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5B6D" w:rsidR="00C8101A" w:rsidP="007936BF" w:rsidRDefault="00C8101A" w14:paraId="56D126E4" w14:textId="77777777">
      <w:pPr>
        <w:spacing w:line="240" w:lineRule="auto"/>
      </w:pPr>
    </w:p>
    <w:p w:rsidRPr="00E75B6D" w:rsidR="00C8101A" w:rsidP="007936BF" w:rsidRDefault="00C8101A" w14:paraId="30CDEC25" w14:textId="77777777">
      <w:pPr>
        <w:spacing w:line="240" w:lineRule="auto"/>
      </w:pPr>
    </w:p>
    <w:p w:rsidRPr="00E75B6D" w:rsidR="00C8101A" w:rsidP="007936BF" w:rsidRDefault="00C8101A" w14:paraId="66E90FD2" w14:textId="77777777">
      <w:pPr>
        <w:spacing w:line="240" w:lineRule="auto"/>
      </w:pPr>
    </w:p>
    <w:p w:rsidRPr="00AE758F" w:rsidR="00C8101A" w:rsidP="007936BF" w:rsidRDefault="00C8101A" w14:paraId="1610D6F7" w14:textId="77777777">
      <w:pPr>
        <w:spacing w:line="240" w:lineRule="auto"/>
        <w:jc w:val="center"/>
        <w:rPr>
          <w:lang w:val="en-CA"/>
        </w:rPr>
      </w:pPr>
      <w:r w:rsidRPr="00AE758F">
        <w:rPr>
          <w:noProof/>
        </w:rPr>
        <mc:AlternateContent>
          <mc:Choice Requires="wps">
            <w:drawing>
              <wp:anchor distT="4294967294" distB="4294967294" distL="114300" distR="114300" simplePos="0" relativeHeight="251658240" behindDoc="0" locked="0" layoutInCell="1" allowOverlap="1" wp14:editId="420B2DEB" wp14:anchorId="1CF36F8D">
                <wp:simplePos x="0" y="0"/>
                <wp:positionH relativeFrom="margin">
                  <wp:posOffset>38100</wp:posOffset>
                </wp:positionH>
                <wp:positionV relativeFrom="paragraph">
                  <wp:posOffset>111760</wp:posOffset>
                </wp:positionV>
                <wp:extent cx="5943600" cy="0"/>
                <wp:effectExtent l="38100" t="33020" r="38100" b="33655"/>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177A2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">
                <v:stroke linestyle="thinThin"/>
                <w10:wrap anchorx="margin"/>
              </v:line>
            </w:pict>
          </mc:Fallback>
        </mc:AlternateContent>
      </w:r>
    </w:p>
    <w:p w:rsidRPr="00AE758F" w:rsidR="00C8101A" w:rsidP="007936BF" w:rsidRDefault="00173972" w14:paraId="1F1375E2" w14:textId="1427096D">
      <w:pPr>
        <w:spacing w:line="240" w:lineRule="auto"/>
        <w:rPr>
          <w:b/>
          <w:color w:val="auto"/>
          <w:sz w:val="40"/>
          <w:szCs w:val="40"/>
        </w:rPr>
      </w:pPr>
      <w:r>
        <w:rPr>
          <w:b/>
          <w:sz w:val="40"/>
          <w:szCs w:val="40"/>
        </w:rPr>
        <w:t xml:space="preserve">Final Rule on Incorporation by Reference of </w:t>
      </w:r>
      <w:r w:rsidRPr="00AE758F" w:rsidR="00C8101A">
        <w:rPr>
          <w:b/>
          <w:sz w:val="40"/>
          <w:szCs w:val="40"/>
        </w:rPr>
        <w:t xml:space="preserve">American Society of Mechanical Engineers </w:t>
      </w:r>
      <w:r w:rsidRPr="00AE758F" w:rsidR="00522C03">
        <w:rPr>
          <w:b/>
          <w:sz w:val="40"/>
          <w:szCs w:val="40"/>
        </w:rPr>
        <w:t>201</w:t>
      </w:r>
      <w:r w:rsidRPr="00AE758F" w:rsidR="00843907">
        <w:rPr>
          <w:b/>
          <w:sz w:val="40"/>
          <w:szCs w:val="40"/>
        </w:rPr>
        <w:t>9</w:t>
      </w:r>
      <w:r w:rsidRPr="00AE758F" w:rsidR="00031DB4">
        <w:rPr>
          <w:b/>
          <w:sz w:val="40"/>
          <w:szCs w:val="40"/>
        </w:rPr>
        <w:t>–</w:t>
      </w:r>
      <w:r w:rsidRPr="00AE758F" w:rsidR="00522C03">
        <w:rPr>
          <w:b/>
          <w:sz w:val="40"/>
          <w:szCs w:val="40"/>
        </w:rPr>
        <w:t>20</w:t>
      </w:r>
      <w:r w:rsidRPr="00AE758F" w:rsidR="00843907">
        <w:rPr>
          <w:b/>
          <w:sz w:val="40"/>
          <w:szCs w:val="40"/>
        </w:rPr>
        <w:t>20</w:t>
      </w:r>
      <w:r w:rsidRPr="00AE758F" w:rsidR="00522C03">
        <w:rPr>
          <w:b/>
          <w:sz w:val="40"/>
          <w:szCs w:val="40"/>
        </w:rPr>
        <w:t xml:space="preserve"> Code Editions</w:t>
      </w:r>
      <w:r>
        <w:rPr>
          <w:b/>
          <w:sz w:val="40"/>
          <w:szCs w:val="40"/>
        </w:rPr>
        <w:t>—</w:t>
      </w:r>
      <w:r w:rsidRPr="00AE758F" w:rsidR="00C8101A">
        <w:rPr>
          <w:b/>
          <w:sz w:val="40"/>
          <w:szCs w:val="40"/>
        </w:rPr>
        <w:t>Regulatory Analysis</w:t>
      </w:r>
    </w:p>
    <w:p w:rsidRPr="00AE758F" w:rsidR="00C8101A" w:rsidP="007936BF" w:rsidRDefault="00C8101A" w14:paraId="489E22C3" w14:textId="77777777">
      <w:pPr>
        <w:spacing w:line="240" w:lineRule="auto"/>
        <w:jc w:val="center"/>
        <w:rPr>
          <w:lang w:val="en-CA"/>
        </w:rPr>
      </w:pPr>
      <w:r w:rsidRPr="00AE758F">
        <w:rPr>
          <w:noProof/>
        </w:rPr>
        <mc:AlternateContent>
          <mc:Choice Requires="wps">
            <w:drawing>
              <wp:anchor distT="4294967294" distB="4294967294" distL="114300" distR="114300" simplePos="0" relativeHeight="251658241" behindDoc="0" locked="0" layoutInCell="1" allowOverlap="1" wp14:editId="4B473457" wp14:anchorId="41ED64F7">
                <wp:simplePos x="0" y="0"/>
                <wp:positionH relativeFrom="margin">
                  <wp:posOffset>38100</wp:posOffset>
                </wp:positionH>
                <wp:positionV relativeFrom="paragraph">
                  <wp:posOffset>111760</wp:posOffset>
                </wp:positionV>
                <wp:extent cx="5943600" cy="0"/>
                <wp:effectExtent l="38100" t="33020" r="38100" b="3365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0" cmpd="dbl">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1;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spid="_x0000_s1026" strokecolor="#020000" strokeweight="4.8pt" from="3pt,8.8pt" to="471pt,8.8pt" w14:anchorId="2AE8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">
                <v:stroke linestyle="thinThin"/>
                <w10:wrap anchorx="margin"/>
              </v:line>
            </w:pict>
          </mc:Fallback>
        </mc:AlternateContent>
      </w:r>
    </w:p>
    <w:p w:rsidRPr="00AE758F" w:rsidR="00C8101A" w:rsidP="007936BF" w:rsidRDefault="00C8101A" w14:paraId="75A86D80" w14:textId="77777777">
      <w:pPr>
        <w:spacing w:line="240" w:lineRule="auto"/>
      </w:pPr>
    </w:p>
    <w:p w:rsidRPr="00AE758F" w:rsidR="00C8101A" w:rsidP="007936BF" w:rsidRDefault="00C8101A" w14:paraId="597DBF75" w14:textId="77777777">
      <w:pPr>
        <w:spacing w:line="240" w:lineRule="auto"/>
      </w:pPr>
    </w:p>
    <w:p w:rsidRPr="00AE758F" w:rsidR="00C8101A" w:rsidP="007936BF" w:rsidRDefault="00C8101A" w14:paraId="4826E45D" w14:textId="77777777">
      <w:pPr>
        <w:spacing w:line="240" w:lineRule="auto"/>
      </w:pPr>
    </w:p>
    <w:p w:rsidRPr="00AE758F" w:rsidR="00C8101A" w:rsidP="007936BF" w:rsidRDefault="00C8101A" w14:paraId="17139D1A" w14:textId="77777777">
      <w:pPr>
        <w:spacing w:line="240" w:lineRule="auto"/>
      </w:pPr>
    </w:p>
    <w:p w:rsidRPr="00AE758F" w:rsidR="00C8101A" w:rsidP="007936BF" w:rsidRDefault="00C8101A" w14:paraId="667EB5B3" w14:textId="77777777">
      <w:pPr>
        <w:spacing w:line="240" w:lineRule="auto"/>
      </w:pPr>
    </w:p>
    <w:p w:rsidRPr="00AE758F" w:rsidR="00C8101A" w:rsidP="007936BF" w:rsidRDefault="00C8101A" w14:paraId="260D8A44" w14:textId="77777777">
      <w:pPr>
        <w:spacing w:line="240" w:lineRule="auto"/>
      </w:pPr>
    </w:p>
    <w:p w:rsidRPr="00AE758F" w:rsidR="00C8101A" w:rsidP="007936BF" w:rsidRDefault="00C8101A" w14:paraId="707E1E4E" w14:textId="77777777">
      <w:pPr>
        <w:autoSpaceDE/>
        <w:autoSpaceDN/>
        <w:adjustRightInd/>
        <w:spacing w:line="240" w:lineRule="auto"/>
        <w:rPr>
          <w:rFonts w:eastAsia="Calibri"/>
          <w:b/>
          <w:color w:val="auto"/>
          <w:sz w:val="32"/>
          <w:szCs w:val="32"/>
        </w:rPr>
      </w:pPr>
      <w:r w:rsidRPr="00AE758F">
        <w:rPr>
          <w:rFonts w:eastAsia="Calibri"/>
          <w:b/>
          <w:color w:val="auto"/>
          <w:sz w:val="32"/>
          <w:szCs w:val="32"/>
        </w:rPr>
        <w:t>U.S. Nuclear Regulatory Commission</w:t>
      </w:r>
    </w:p>
    <w:p w:rsidRPr="00AE758F" w:rsidR="00C8101A" w:rsidP="007936BF" w:rsidRDefault="00C8101A" w14:paraId="315D7ABE" w14:textId="77777777">
      <w:pPr>
        <w:spacing w:line="240" w:lineRule="auto"/>
        <w:rPr>
          <w:sz w:val="32"/>
          <w:szCs w:val="32"/>
        </w:rPr>
      </w:pPr>
      <w:r w:rsidRPr="00AE758F">
        <w:rPr>
          <w:sz w:val="32"/>
          <w:szCs w:val="32"/>
        </w:rPr>
        <w:t>Office of Nuclear Material Safety and Safeguards</w:t>
      </w:r>
    </w:p>
    <w:p w:rsidRPr="00AE758F" w:rsidR="002C0DE8" w:rsidP="007936BF" w:rsidRDefault="002C0DE8" w14:paraId="33B75B3B" w14:textId="0CB5694E">
      <w:pPr>
        <w:spacing w:line="240" w:lineRule="auto"/>
        <w:rPr>
          <w:sz w:val="32"/>
          <w:szCs w:val="32"/>
        </w:rPr>
      </w:pPr>
      <w:r w:rsidRPr="00AE758F">
        <w:rPr>
          <w:sz w:val="32"/>
          <w:szCs w:val="32"/>
        </w:rPr>
        <w:t>Division of Rulemaking, Environmental, and Financial Support</w:t>
      </w:r>
    </w:p>
    <w:p w:rsidRPr="00AE758F" w:rsidR="00C8101A" w:rsidP="007936BF" w:rsidRDefault="00C8101A" w14:paraId="6A3A8DC8" w14:textId="77777777">
      <w:pPr>
        <w:spacing w:line="240" w:lineRule="auto"/>
        <w:rPr>
          <w:sz w:val="32"/>
          <w:szCs w:val="32"/>
        </w:rPr>
      </w:pPr>
    </w:p>
    <w:p w:rsidRPr="00AE758F" w:rsidR="00C8101A" w:rsidP="007936BF" w:rsidRDefault="00C8101A" w14:paraId="635E2BCA" w14:textId="77777777">
      <w:pPr>
        <w:spacing w:line="240" w:lineRule="auto"/>
      </w:pPr>
    </w:p>
    <w:p w:rsidRPr="00AE758F" w:rsidR="00C8101A" w:rsidP="007936BF" w:rsidRDefault="007953A1" w14:paraId="2EC2C112" w14:textId="25C83F8A">
      <w:pPr>
        <w:spacing w:line="240" w:lineRule="auto"/>
      </w:pPr>
      <w:r w:rsidRPr="007953A1">
        <w:rPr>
          <w:b/>
          <w:highlight w:val="yellow"/>
        </w:rPr>
        <w:t>Month, 2022</w:t>
      </w:r>
    </w:p>
    <w:p w:rsidRPr="00AE758F" w:rsidR="00C8101A" w:rsidP="007936BF" w:rsidRDefault="00C8101A" w14:paraId="00759D78" w14:textId="77777777">
      <w:pPr>
        <w:spacing w:line="240" w:lineRule="auto"/>
      </w:pPr>
    </w:p>
    <w:p w:rsidRPr="00AE758F" w:rsidR="00C8101A" w:rsidP="007936BF" w:rsidRDefault="00C8101A" w14:paraId="3B26B479" w14:textId="77777777">
      <w:pPr>
        <w:spacing w:line="240" w:lineRule="auto"/>
      </w:pPr>
    </w:p>
    <w:p w:rsidRPr="00AE758F" w:rsidR="00C8101A" w:rsidP="007936BF" w:rsidRDefault="00C8101A" w14:paraId="56E6626B" w14:textId="77777777">
      <w:pPr>
        <w:spacing w:line="240" w:lineRule="auto"/>
      </w:pPr>
    </w:p>
    <w:p w:rsidRPr="00AE758F" w:rsidR="00C8101A" w:rsidP="007936BF" w:rsidRDefault="00C8101A" w14:paraId="5F5A8DB8" w14:textId="77777777">
      <w:pPr>
        <w:spacing w:line="240" w:lineRule="auto"/>
      </w:pPr>
    </w:p>
    <w:p w:rsidRPr="00AE758F" w:rsidR="00C8101A" w:rsidP="007936BF" w:rsidRDefault="00C8101A" w14:paraId="2FFBA66F" w14:textId="77777777">
      <w:pPr>
        <w:spacing w:line="240" w:lineRule="auto"/>
      </w:pPr>
    </w:p>
    <w:p w:rsidRPr="00AE758F" w:rsidR="00C8101A" w:rsidP="007936BF" w:rsidRDefault="00C8101A" w14:paraId="642CBAF3" w14:textId="77777777">
      <w:pPr>
        <w:spacing w:line="240" w:lineRule="auto"/>
      </w:pPr>
    </w:p>
    <w:p w:rsidRPr="00AE758F" w:rsidR="00C8101A" w:rsidP="007936BF" w:rsidRDefault="00C8101A" w14:paraId="230CF92F" w14:textId="77777777">
      <w:pPr>
        <w:spacing w:line="240" w:lineRule="auto"/>
      </w:pPr>
    </w:p>
    <w:p w:rsidRPr="00AE758F" w:rsidR="00C8101A" w:rsidP="007936BF" w:rsidRDefault="00C8101A" w14:paraId="43C0520C" w14:textId="77777777">
      <w:pPr>
        <w:spacing w:line="240" w:lineRule="auto"/>
      </w:pPr>
    </w:p>
    <w:p w:rsidRPr="00AE758F" w:rsidR="00C8101A" w:rsidP="007936BF" w:rsidRDefault="00C8101A" w14:paraId="44186542" w14:textId="77777777">
      <w:pPr>
        <w:spacing w:line="240" w:lineRule="auto"/>
      </w:pPr>
    </w:p>
    <w:p w:rsidRPr="00AE758F" w:rsidR="00C8101A" w:rsidP="007936BF" w:rsidRDefault="00C8101A" w14:paraId="76F17914" w14:textId="77777777">
      <w:pPr>
        <w:spacing w:line="240" w:lineRule="auto"/>
      </w:pPr>
    </w:p>
    <w:p w:rsidRPr="00AE758F" w:rsidR="00C8101A" w:rsidP="007936BF" w:rsidRDefault="00C8101A" w14:paraId="28BEE7E2" w14:textId="77777777">
      <w:pPr>
        <w:spacing w:line="240" w:lineRule="auto"/>
      </w:pPr>
      <w:r w:rsidRPr="00AE758F">
        <w:rPr>
          <w:noProof/>
        </w:rPr>
        <w:drawing>
          <wp:inline distT="0" distB="0" distL="0" distR="0" wp14:anchorId="05AFDAEE" wp14:editId="466E9076">
            <wp:extent cx="1341120" cy="1341120"/>
            <wp:effectExtent l="0" t="0" r="0" b="0"/>
            <wp:docPr id="3" name="Picture 6" descr="NRC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RC Color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1120" cy="1341120"/>
                    </a:xfrm>
                    <a:prstGeom prst="rect">
                      <a:avLst/>
                    </a:prstGeom>
                    <a:noFill/>
                    <a:ln>
                      <a:noFill/>
                    </a:ln>
                  </pic:spPr>
                </pic:pic>
              </a:graphicData>
            </a:graphic>
          </wp:inline>
        </w:drawing>
      </w:r>
    </w:p>
    <w:p w:rsidRPr="00AE758F" w:rsidR="00C8101A" w:rsidP="007936BF" w:rsidRDefault="00C8101A" w14:paraId="3ED28711" w14:textId="77777777">
      <w:pPr>
        <w:spacing w:line="240" w:lineRule="auto"/>
      </w:pPr>
    </w:p>
    <w:p w:rsidRPr="00AE758F" w:rsidR="00C8101A" w:rsidP="007936BF" w:rsidRDefault="00C8101A" w14:paraId="2D947955" w14:textId="77777777">
      <w:pPr>
        <w:spacing w:line="240" w:lineRule="auto"/>
      </w:pPr>
    </w:p>
    <w:p w:rsidRPr="00AE758F" w:rsidR="00C8101A" w:rsidP="007936BF" w:rsidRDefault="00C8101A" w14:paraId="33FF89C5" w14:textId="77777777">
      <w:pPr>
        <w:spacing w:line="240" w:lineRule="auto"/>
      </w:pPr>
    </w:p>
    <w:p w:rsidRPr="00AE758F" w:rsidR="00C8101A" w:rsidP="007936BF" w:rsidRDefault="00C8101A" w14:paraId="6D5526E0" w14:textId="77777777">
      <w:pPr>
        <w:spacing w:line="240" w:lineRule="auto"/>
      </w:pPr>
    </w:p>
    <w:p w:rsidRPr="00AE758F" w:rsidR="00C8101A" w:rsidP="007936BF" w:rsidRDefault="00C8101A" w14:paraId="6E81EC9D" w14:textId="77777777">
      <w:pPr>
        <w:spacing w:line="240" w:lineRule="auto"/>
        <w:sectPr w:rsidRPr="00AE758F" w:rsidR="00C8101A" w:rsidSect="00461295">
          <w:headerReference w:type="even" r:id="rId12"/>
          <w:headerReference w:type="first" r:id="rId13"/>
          <w:pgSz w:w="12240" w:h="15840"/>
          <w:pgMar w:top="1440" w:right="1440" w:bottom="1440" w:left="1440" w:header="504" w:footer="504" w:gutter="0"/>
          <w:pgNumType w:fmt="numberInDash" w:start="8"/>
          <w:cols w:space="720"/>
          <w:docGrid w:linePitch="360"/>
        </w:sectPr>
      </w:pPr>
    </w:p>
    <w:p w:rsidRPr="00AE758F" w:rsidR="00C8101A" w:rsidP="007936BF" w:rsidRDefault="00C8101A" w14:paraId="095F432B" w14:textId="77777777">
      <w:pPr>
        <w:pStyle w:val="Heading1"/>
        <w:spacing w:line="240" w:lineRule="auto"/>
        <w:ind w:left="540" w:hanging="540"/>
        <w:rPr>
          <w:szCs w:val="22"/>
        </w:rPr>
      </w:pPr>
      <w:bookmarkStart w:name="_Toc462224935" w:id="0"/>
      <w:bookmarkStart w:name="_Toc468875894" w:id="1"/>
      <w:bookmarkStart w:name="_Toc512251643" w:id="2"/>
      <w:bookmarkStart w:name="_Toc521577034" w:id="3"/>
      <w:bookmarkStart w:name="_Toc7512221" w:id="4"/>
      <w:bookmarkStart w:name="_Toc81309092" w:id="5"/>
      <w:bookmarkStart w:name="_Toc331681521" w:id="6"/>
      <w:bookmarkStart w:name="_Toc199932302" w:id="7"/>
      <w:bookmarkStart w:name="_Toc199932390" w:id="8"/>
      <w:bookmarkStart w:name="_Toc199932465" w:id="9"/>
      <w:bookmarkStart w:name="_Toc199932634" w:id="10"/>
      <w:r w:rsidRPr="00AE758F">
        <w:rPr>
          <w:szCs w:val="22"/>
        </w:rPr>
        <w:lastRenderedPageBreak/>
        <w:t>Abstract</w:t>
      </w:r>
      <w:bookmarkEnd w:id="0"/>
      <w:bookmarkEnd w:id="1"/>
      <w:bookmarkEnd w:id="2"/>
      <w:bookmarkEnd w:id="3"/>
      <w:bookmarkEnd w:id="4"/>
      <w:bookmarkEnd w:id="5"/>
    </w:p>
    <w:p w:rsidRPr="00AE758F" w:rsidR="00C8101A" w:rsidP="007936BF" w:rsidRDefault="00C8101A" w14:paraId="26A06D1D" w14:textId="77777777">
      <w:pPr>
        <w:spacing w:line="240" w:lineRule="auto"/>
      </w:pPr>
    </w:p>
    <w:p w:rsidRPr="00AE758F" w:rsidR="0003558B" w:rsidP="007936BF" w:rsidRDefault="0003558B" w14:paraId="3F275C9B" w14:textId="3D17DD64">
      <w:pPr>
        <w:spacing w:line="240" w:lineRule="auto"/>
      </w:pPr>
      <w:bookmarkStart w:name="_Toc414345945" w:id="11"/>
      <w:r w:rsidRPr="00AE758F">
        <w:t>The U.S.</w:t>
      </w:r>
      <w:r w:rsidRPr="00AE758F" w:rsidR="00031DB4">
        <w:t> </w:t>
      </w:r>
      <w:r w:rsidRPr="00AE758F">
        <w:t xml:space="preserve">Nuclear Regulatory Commission (NRC) is </w:t>
      </w:r>
      <w:r w:rsidR="00386110">
        <w:t>amending</w:t>
      </w:r>
      <w:r w:rsidRPr="00AE758F">
        <w:t xml:space="preserve"> its regulations to incorporate by reference the 2019 Edition </w:t>
      </w:r>
      <w:r w:rsidRPr="00AE758F" w:rsidR="00516BA5">
        <w:t>of</w:t>
      </w:r>
      <w:r w:rsidRPr="00AE758F">
        <w:t xml:space="preserve"> the A</w:t>
      </w:r>
      <w:r w:rsidRPr="00AE758F" w:rsidR="00F406A4">
        <w:t>merican Society of Mechanical Engineers (ASME)</w:t>
      </w:r>
      <w:r w:rsidRPr="00AE758F">
        <w:t xml:space="preserve"> B</w:t>
      </w:r>
      <w:r w:rsidRPr="00AE758F" w:rsidR="00876E15">
        <w:t xml:space="preserve">oiler and Pressure Vessel </w:t>
      </w:r>
      <w:r w:rsidRPr="00AE758F">
        <w:t>Code, Section</w:t>
      </w:r>
      <w:r w:rsidRPr="00AE758F" w:rsidR="00031DB4">
        <w:t> </w:t>
      </w:r>
      <w:r w:rsidRPr="00AE758F">
        <w:t>III, Division</w:t>
      </w:r>
      <w:r w:rsidRPr="00AE758F" w:rsidR="00031DB4">
        <w:t> </w:t>
      </w:r>
      <w:r w:rsidRPr="00AE758F">
        <w:t>1</w:t>
      </w:r>
      <w:r w:rsidRPr="00AE758F" w:rsidR="00031DB4">
        <w:t>,</w:t>
      </w:r>
      <w:r w:rsidRPr="00AE758F">
        <w:t xml:space="preserve"> and Section</w:t>
      </w:r>
      <w:r w:rsidRPr="00AE758F" w:rsidR="00031DB4">
        <w:t> </w:t>
      </w:r>
      <w:r w:rsidRPr="00AE758F">
        <w:t xml:space="preserve">XI, </w:t>
      </w:r>
      <w:r w:rsidRPr="00AE758F" w:rsidR="00DD4328">
        <w:t>Division </w:t>
      </w:r>
      <w:r w:rsidRPr="00AE758F">
        <w:t>1, with conditions</w:t>
      </w:r>
      <w:r w:rsidRPr="00AE758F" w:rsidR="00031DB4">
        <w:t>;</w:t>
      </w:r>
      <w:r w:rsidRPr="00AE758F">
        <w:t xml:space="preserve"> the 2020</w:t>
      </w:r>
      <w:r w:rsidRPr="00AE758F" w:rsidR="00031DB4">
        <w:t> </w:t>
      </w:r>
      <w:r w:rsidRPr="00AE758F">
        <w:t xml:space="preserve">Edition </w:t>
      </w:r>
      <w:r w:rsidRPr="00AE758F" w:rsidR="00516BA5">
        <w:t>of</w:t>
      </w:r>
      <w:r w:rsidRPr="00AE758F">
        <w:t xml:space="preserve"> Division</w:t>
      </w:r>
      <w:r w:rsidRPr="00AE758F" w:rsidR="00031DB4">
        <w:t> </w:t>
      </w:r>
      <w:r w:rsidRPr="00AE758F">
        <w:t xml:space="preserve">1 of the ASME </w:t>
      </w:r>
      <w:r w:rsidRPr="00AE758F" w:rsidR="002E6561">
        <w:t>Code for Operation and Maintenance of Nuclear Power Plants</w:t>
      </w:r>
      <w:r w:rsidRPr="00AE758F">
        <w:t>, with conditions</w:t>
      </w:r>
      <w:r w:rsidR="00C12E72">
        <w:t>;</w:t>
      </w:r>
      <w:r w:rsidR="00872121">
        <w:t xml:space="preserve"> ASME OM Code </w:t>
      </w:r>
      <w:r w:rsidR="00623422">
        <w:t xml:space="preserve">Case </w:t>
      </w:r>
      <w:r w:rsidR="00872121">
        <w:t>OMN-28, “</w:t>
      </w:r>
      <w:r w:rsidRPr="00C02F70" w:rsidR="00EB61C2">
        <w:t>Alternative Valve Position Verification Approach to Satisfy ISTC-3700 for Valves Not Susceptible to Stem-Disk Separatio</w:t>
      </w:r>
      <w:r w:rsidR="00EB61C2">
        <w:t>n,</w:t>
      </w:r>
      <w:r w:rsidR="00872121">
        <w:t>” without conditions</w:t>
      </w:r>
      <w:r w:rsidRPr="00AE758F" w:rsidR="00031DB4">
        <w:t>;</w:t>
      </w:r>
      <w:r w:rsidRPr="00AE758F">
        <w:t xml:space="preserve"> the 2011</w:t>
      </w:r>
      <w:r w:rsidRPr="00AE758F" w:rsidR="00031DB4">
        <w:t> </w:t>
      </w:r>
      <w:r w:rsidRPr="00AE758F">
        <w:t>Addenda to ASME NQA</w:t>
      </w:r>
      <w:r w:rsidRPr="00AE758F" w:rsidR="00031DB4">
        <w:noBreakHyphen/>
      </w:r>
      <w:r w:rsidRPr="00AE758F">
        <w:t>1</w:t>
      </w:r>
      <w:r w:rsidRPr="00AE758F" w:rsidR="00031DB4">
        <w:noBreakHyphen/>
      </w:r>
      <w:r w:rsidRPr="00AE758F">
        <w:t xml:space="preserve">2008, </w:t>
      </w:r>
      <w:r w:rsidRPr="00AE758F" w:rsidR="00196F09">
        <w:t>“</w:t>
      </w:r>
      <w:r w:rsidRPr="00AE758F">
        <w:t>Quality Assurance Requirements for Nuclear Facility Applications</w:t>
      </w:r>
      <w:r w:rsidRPr="00AE758F" w:rsidR="006710A3">
        <w:t>,</w:t>
      </w:r>
      <w:r w:rsidRPr="00AE758F" w:rsidR="00196F09">
        <w:t>”</w:t>
      </w:r>
      <w:r w:rsidRPr="00AE758F" w:rsidR="006710A3">
        <w:t xml:space="preserve"> with</w:t>
      </w:r>
      <w:r w:rsidRPr="00AE758F" w:rsidR="006710A3">
        <w:t xml:space="preserve"> conditions</w:t>
      </w:r>
      <w:r w:rsidRPr="00AE758F" w:rsidR="00196F09">
        <w:t>;</w:t>
      </w:r>
      <w:r w:rsidRPr="00AE758F">
        <w:t xml:space="preserve"> and the 2012 and 2015 Editions of ASME NQA</w:t>
      </w:r>
      <w:r w:rsidRPr="00AE758F" w:rsidR="00422127">
        <w:noBreakHyphen/>
      </w:r>
      <w:r w:rsidRPr="00AE758F">
        <w:t>1, with conditions</w:t>
      </w:r>
      <w:r w:rsidRPr="00AE758F" w:rsidR="003762E5">
        <w:t>.</w:t>
      </w:r>
    </w:p>
    <w:p w:rsidRPr="00AE758F" w:rsidR="0003558B" w:rsidP="007936BF" w:rsidRDefault="0003558B" w14:paraId="199D3321" w14:textId="77777777">
      <w:pPr>
        <w:spacing w:line="240" w:lineRule="auto"/>
      </w:pPr>
    </w:p>
    <w:p w:rsidRPr="00AE758F" w:rsidR="00C8101A" w:rsidP="007936BF" w:rsidRDefault="00C8101A" w14:paraId="7386B69E" w14:textId="2FB67743">
      <w:pPr>
        <w:spacing w:line="240" w:lineRule="auto"/>
      </w:pPr>
      <w:r w:rsidRPr="00AE758F">
        <w:t>The NRC has a well-established practice for approving these consensus standards through the</w:t>
      </w:r>
      <w:r w:rsidR="00294C6C">
        <w:t> </w:t>
      </w:r>
      <w:r w:rsidRPr="00AE758F">
        <w:t>rulemaking process and incorporating them by reference into the requirements in Title 10</w:t>
      </w:r>
      <w:r w:rsidR="00D5381B">
        <w:t xml:space="preserve"> </w:t>
      </w:r>
      <w:r w:rsidRPr="00AE758F">
        <w:t xml:space="preserve">of the </w:t>
      </w:r>
      <w:r w:rsidRPr="00AE758F">
        <w:rPr>
          <w:i/>
        </w:rPr>
        <w:t>Code of Federal Regulations</w:t>
      </w:r>
      <w:r w:rsidRPr="00AE758F">
        <w:t xml:space="preserve"> 50.55a, “Codes and </w:t>
      </w:r>
      <w:r w:rsidRPr="00AE758F" w:rsidR="003762E5">
        <w:t>s</w:t>
      </w:r>
      <w:r w:rsidRPr="00AE758F">
        <w:t xml:space="preserve">tandards.”  This practice increases consistency across the industry and demonstrates the NRC’s willingness to support the use of the most </w:t>
      </w:r>
      <w:r w:rsidR="00AD48E6">
        <w:t>up</w:t>
      </w:r>
      <w:r w:rsidR="00AD48E6">
        <w:noBreakHyphen/>
        <w:t>to</w:t>
      </w:r>
      <w:r w:rsidR="00AD48E6">
        <w:noBreakHyphen/>
        <w:t xml:space="preserve">date </w:t>
      </w:r>
      <w:r w:rsidRPr="00AE758F">
        <w:t xml:space="preserve">and technically sound </w:t>
      </w:r>
      <w:r w:rsidR="00AD48E6">
        <w:t>methods</w:t>
      </w:r>
      <w:r w:rsidRPr="00AE758F" w:rsidR="00AD48E6">
        <w:t xml:space="preserve"> </w:t>
      </w:r>
      <w:r w:rsidRPr="00AE758F">
        <w:t>developed by ASME to protect the public.</w:t>
      </w:r>
      <w:bookmarkEnd w:id="11"/>
    </w:p>
    <w:p w:rsidRPr="00AE758F" w:rsidR="00C8101A" w:rsidP="007936BF" w:rsidRDefault="00C8101A" w14:paraId="1218B760" w14:textId="77777777">
      <w:pPr>
        <w:spacing w:line="240" w:lineRule="auto"/>
        <w:rPr>
          <w:bCs/>
        </w:rPr>
      </w:pPr>
    </w:p>
    <w:p w:rsidRPr="00AE758F" w:rsidR="00C8101A" w:rsidP="007936BF" w:rsidRDefault="00C8101A" w14:paraId="593F879C" w14:textId="21C6919C">
      <w:pPr>
        <w:spacing w:line="240" w:lineRule="auto"/>
      </w:pPr>
      <w:r w:rsidRPr="00AE758F">
        <w:t xml:space="preserve">This document is a regulatory analysis </w:t>
      </w:r>
      <w:r w:rsidRPr="00AE758F" w:rsidR="001F28F0">
        <w:t xml:space="preserve">for </w:t>
      </w:r>
      <w:r w:rsidRPr="00AE758F">
        <w:t xml:space="preserve">the </w:t>
      </w:r>
      <w:r w:rsidR="009577C7">
        <w:t>final</w:t>
      </w:r>
      <w:r w:rsidRPr="00AE758F">
        <w:t xml:space="preserve"> rule.  To improve the credibility of the</w:t>
      </w:r>
      <w:r w:rsidR="00D30B09">
        <w:t> </w:t>
      </w:r>
      <w:r w:rsidRPr="00AE758F">
        <w:t xml:space="preserve">NRC’s cost estimate for this regulatory action, the staff conducted an uncertainty analysis to </w:t>
      </w:r>
      <w:r w:rsidR="00AD48E6">
        <w:t xml:space="preserve">examine </w:t>
      </w:r>
      <w:r w:rsidRPr="00AE758F">
        <w:t xml:space="preserve">the effects of input uncertainty on the cost estimate and a sensitivity analysis to identify the variables that most affect the cost estimate (i.e., the cost drivers).  The </w:t>
      </w:r>
      <w:r w:rsidRPr="00AE758F" w:rsidR="00C14057">
        <w:t>NRC</w:t>
      </w:r>
      <w:r w:rsidRPr="00AE758F">
        <w:t xml:space="preserve">’s analysis </w:t>
      </w:r>
      <w:r w:rsidR="007175D7">
        <w:t xml:space="preserve">shows </w:t>
      </w:r>
      <w:r w:rsidRPr="00AE758F">
        <w:t xml:space="preserve">that the </w:t>
      </w:r>
      <w:r w:rsidR="009577C7">
        <w:t>final</w:t>
      </w:r>
      <w:r w:rsidRPr="00AE758F" w:rsidR="009B63F1">
        <w:t xml:space="preserve"> r</w:t>
      </w:r>
      <w:r w:rsidRPr="00AE758F" w:rsidR="0044344C">
        <w:t>ule</w:t>
      </w:r>
      <w:r w:rsidRPr="00AE758F">
        <w:t xml:space="preserve"> would result in a net averted cost </w:t>
      </w:r>
      <w:r w:rsidR="00DF5571">
        <w:t>for</w:t>
      </w:r>
      <w:r w:rsidRPr="00AE758F" w:rsidR="00DF5571">
        <w:t xml:space="preserve"> </w:t>
      </w:r>
      <w:r w:rsidRPr="00AE758F">
        <w:t xml:space="preserve">the industry </w:t>
      </w:r>
      <w:r w:rsidR="007175D7">
        <w:t xml:space="preserve">of between </w:t>
      </w:r>
      <w:r w:rsidRPr="00AE758F">
        <w:t>$</w:t>
      </w:r>
      <w:r w:rsidR="00EB3864">
        <w:t>10.2</w:t>
      </w:r>
      <w:r w:rsidRPr="00AE758F">
        <w:t xml:space="preserve"> million </w:t>
      </w:r>
      <w:r w:rsidR="007175D7">
        <w:t>(</w:t>
      </w:r>
      <w:r w:rsidRPr="00AE758F">
        <w:t>using a 7</w:t>
      </w:r>
      <w:r w:rsidRPr="00AE758F">
        <w:noBreakHyphen/>
        <w:t>percent discount rate</w:t>
      </w:r>
      <w:r w:rsidR="007175D7">
        <w:t>)</w:t>
      </w:r>
      <w:r w:rsidRPr="00AE758F">
        <w:t xml:space="preserve"> </w:t>
      </w:r>
      <w:r w:rsidR="007175D7">
        <w:t xml:space="preserve">and </w:t>
      </w:r>
      <w:r w:rsidRPr="00AE758F">
        <w:t>$</w:t>
      </w:r>
      <w:r w:rsidR="00EB3864">
        <w:t>11.0</w:t>
      </w:r>
      <w:r w:rsidRPr="00AE758F">
        <w:t xml:space="preserve"> million </w:t>
      </w:r>
      <w:r w:rsidR="007175D7">
        <w:t>(</w:t>
      </w:r>
      <w:r w:rsidRPr="00AE758F">
        <w:t>using a 3</w:t>
      </w:r>
      <w:r w:rsidRPr="00AE758F">
        <w:noBreakHyphen/>
        <w:t>percent discount rate</w:t>
      </w:r>
      <w:r w:rsidR="007175D7">
        <w:t>)</w:t>
      </w:r>
      <w:r w:rsidRPr="00AE758F">
        <w:t>.  Compared to the regulatory baseline, the NRC would realize a</w:t>
      </w:r>
      <w:r w:rsidR="00294C6C">
        <w:t> </w:t>
      </w:r>
      <w:r w:rsidRPr="00AE758F">
        <w:t xml:space="preserve">net averted cost </w:t>
      </w:r>
      <w:r w:rsidR="007175D7">
        <w:t xml:space="preserve">of between </w:t>
      </w:r>
      <w:r w:rsidRPr="00AE758F">
        <w:t>$</w:t>
      </w:r>
      <w:r w:rsidRPr="00AE758F" w:rsidR="00F917EA">
        <w:t>0</w:t>
      </w:r>
      <w:r w:rsidRPr="00AE758F">
        <w:t>.</w:t>
      </w:r>
      <w:r w:rsidR="00EE5750">
        <w:t>91</w:t>
      </w:r>
      <w:r w:rsidRPr="00AE758F">
        <w:t xml:space="preserve"> million </w:t>
      </w:r>
      <w:r w:rsidR="007175D7">
        <w:t>(</w:t>
      </w:r>
      <w:r w:rsidRPr="00AE758F">
        <w:t>using a 7</w:t>
      </w:r>
      <w:r w:rsidRPr="00AE758F">
        <w:noBreakHyphen/>
        <w:t>percent discount rate</w:t>
      </w:r>
      <w:r w:rsidR="007175D7">
        <w:t>)</w:t>
      </w:r>
      <w:r w:rsidRPr="00AE758F">
        <w:t xml:space="preserve"> </w:t>
      </w:r>
      <w:r w:rsidR="007175D7">
        <w:t xml:space="preserve">and </w:t>
      </w:r>
      <w:r w:rsidRPr="00AE758F">
        <w:t>$</w:t>
      </w:r>
      <w:r w:rsidRPr="00AE758F" w:rsidR="00F917EA">
        <w:t>0</w:t>
      </w:r>
      <w:r w:rsidRPr="00AE758F">
        <w:t>.</w:t>
      </w:r>
      <w:r w:rsidR="00EE5750">
        <w:t>99</w:t>
      </w:r>
      <w:r w:rsidRPr="00AE758F">
        <w:t xml:space="preserve"> million </w:t>
      </w:r>
      <w:r w:rsidR="007175D7">
        <w:t>(</w:t>
      </w:r>
      <w:r w:rsidRPr="00AE758F">
        <w:t>using a 3</w:t>
      </w:r>
      <w:r w:rsidRPr="00AE758F" w:rsidR="00031DB4">
        <w:noBreakHyphen/>
      </w:r>
      <w:r w:rsidRPr="00AE758F">
        <w:t>percent discount rate</w:t>
      </w:r>
      <w:r w:rsidR="007175D7">
        <w:t>)</w:t>
      </w:r>
      <w:r w:rsidRPr="00AE758F">
        <w:t>.</w:t>
      </w:r>
    </w:p>
    <w:p w:rsidRPr="00AE758F" w:rsidR="00C8101A" w:rsidP="007936BF" w:rsidRDefault="00C8101A" w14:paraId="75424C2D" w14:textId="77777777">
      <w:pPr>
        <w:spacing w:line="240" w:lineRule="auto"/>
      </w:pPr>
    </w:p>
    <w:p w:rsidRPr="00AE758F" w:rsidR="00C8101A" w:rsidP="007936BF" w:rsidRDefault="00C8101A" w14:paraId="0B7158C1" w14:textId="77777777">
      <w:pPr>
        <w:autoSpaceDE/>
        <w:autoSpaceDN/>
        <w:adjustRightInd/>
        <w:spacing w:line="240" w:lineRule="auto"/>
      </w:pPr>
      <w:r w:rsidRPr="00AE758F">
        <w:br w:type="page"/>
      </w:r>
    </w:p>
    <w:p w:rsidRPr="00AE758F" w:rsidR="00C8101A" w:rsidP="00DC4336" w:rsidRDefault="00C8101A" w14:paraId="1666A813" w14:textId="77777777">
      <w:pPr>
        <w:rPr>
          <w:b/>
          <w:bCs/>
        </w:rPr>
      </w:pPr>
      <w:bookmarkStart w:name="_Toc516047610" w:id="13"/>
      <w:bookmarkStart w:name="_Toc521577035" w:id="14"/>
      <w:bookmarkStart w:name="_Toc7512222" w:id="15"/>
      <w:bookmarkStart w:name="_Toc42602641" w:id="16"/>
      <w:r w:rsidRPr="00AE758F">
        <w:rPr>
          <w:b/>
          <w:bCs/>
        </w:rPr>
        <w:lastRenderedPageBreak/>
        <w:t>Table of Contents</w:t>
      </w:r>
      <w:bookmarkEnd w:id="6"/>
      <w:bookmarkEnd w:id="7"/>
      <w:bookmarkEnd w:id="8"/>
      <w:bookmarkEnd w:id="9"/>
      <w:bookmarkEnd w:id="10"/>
      <w:bookmarkEnd w:id="13"/>
      <w:bookmarkEnd w:id="14"/>
      <w:bookmarkEnd w:id="15"/>
      <w:bookmarkEnd w:id="16"/>
    </w:p>
    <w:p w:rsidRPr="00AE758F" w:rsidR="00C8101A" w:rsidP="007936BF" w:rsidRDefault="00C8101A" w14:paraId="7B4AB113" w14:textId="77777777">
      <w:pPr>
        <w:tabs>
          <w:tab w:val="right" w:pos="9000"/>
        </w:tabs>
        <w:spacing w:line="240" w:lineRule="auto"/>
      </w:pPr>
    </w:p>
    <w:p w:rsidRPr="00AE758F" w:rsidR="00C8101A" w:rsidP="00396956" w:rsidRDefault="00C8101A" w14:paraId="7B780D60" w14:textId="77777777">
      <w:pPr>
        <w:tabs>
          <w:tab w:val="right" w:pos="9360"/>
        </w:tabs>
        <w:spacing w:line="240" w:lineRule="auto"/>
        <w:rPr>
          <w:color w:val="auto"/>
          <w:u w:val="single"/>
        </w:rPr>
      </w:pPr>
      <w:r w:rsidRPr="00AE758F">
        <w:rPr>
          <w:u w:val="single"/>
        </w:rPr>
        <w:t>Section</w:t>
      </w:r>
      <w:r w:rsidRPr="00AE758F">
        <w:tab/>
      </w:r>
      <w:r w:rsidRPr="00AE758F">
        <w:rPr>
          <w:u w:val="single"/>
        </w:rPr>
        <w:t>Page</w:t>
      </w:r>
    </w:p>
    <w:p w:rsidR="00E3271D" w:rsidRDefault="003D22E1" w14:paraId="7961BF70" w14:textId="3805E00D">
      <w:pPr>
        <w:pStyle w:val="TOC1"/>
        <w:rPr>
          <w:rFonts w:asciiTheme="minorHAnsi" w:hAnsiTheme="minorHAnsi" w:eastAsiaTheme="minorEastAsia" w:cstheme="minorBidi"/>
          <w:b w:val="0"/>
          <w:bCs w:val="0"/>
          <w:noProof/>
          <w:color w:val="auto"/>
          <w:szCs w:val="22"/>
        </w:rPr>
      </w:pPr>
      <w:r w:rsidRPr="00AE758F">
        <w:rPr>
          <w:rFonts w:asciiTheme="minorHAnsi" w:hAnsiTheme="minorHAnsi"/>
          <w:caps/>
          <w:sz w:val="20"/>
        </w:rPr>
        <w:fldChar w:fldCharType="begin"/>
      </w:r>
      <w:r w:rsidRPr="00AE758F">
        <w:rPr>
          <w:rFonts w:asciiTheme="minorHAnsi" w:hAnsiTheme="minorHAnsi"/>
          <w:caps/>
          <w:sz w:val="20"/>
        </w:rPr>
        <w:instrText xml:space="preserve"> TOC \o "1-5" \h \z \u </w:instrText>
      </w:r>
      <w:r w:rsidRPr="00AE758F">
        <w:rPr>
          <w:rFonts w:asciiTheme="minorHAnsi" w:hAnsiTheme="minorHAnsi"/>
          <w:caps/>
          <w:sz w:val="20"/>
        </w:rPr>
        <w:fldChar w:fldCharType="separate"/>
      </w:r>
      <w:hyperlink w:history="1" w:anchor="_Toc81309092">
        <w:r w:rsidRPr="002E52D6" w:rsidR="00E3271D">
          <w:rPr>
            <w:rStyle w:val="Hyperlink"/>
            <w:noProof/>
          </w:rPr>
          <w:t>Abstract</w:t>
        </w:r>
        <w:r w:rsidR="00E3271D">
          <w:rPr>
            <w:noProof/>
            <w:webHidden/>
          </w:rPr>
          <w:tab/>
        </w:r>
        <w:r w:rsidR="001978E7">
          <w:rPr>
            <w:noProof/>
            <w:webHidden/>
          </w:rPr>
          <w:tab/>
        </w:r>
        <w:r w:rsidR="00E3271D">
          <w:rPr>
            <w:noProof/>
            <w:webHidden/>
          </w:rPr>
          <w:fldChar w:fldCharType="begin"/>
        </w:r>
        <w:r w:rsidR="00E3271D">
          <w:rPr>
            <w:noProof/>
            <w:webHidden/>
          </w:rPr>
          <w:instrText xml:space="preserve"> PAGEREF _Toc81309092 \h </w:instrText>
        </w:r>
        <w:r w:rsidR="00E3271D">
          <w:rPr>
            <w:noProof/>
            <w:webHidden/>
          </w:rPr>
        </w:r>
        <w:r w:rsidR="00E3271D">
          <w:rPr>
            <w:noProof/>
            <w:webHidden/>
          </w:rPr>
          <w:fldChar w:fldCharType="separate"/>
        </w:r>
        <w:r w:rsidR="00E3271D">
          <w:rPr>
            <w:noProof/>
            <w:webHidden/>
          </w:rPr>
          <w:t>i</w:t>
        </w:r>
        <w:r w:rsidR="00E3271D">
          <w:rPr>
            <w:noProof/>
            <w:webHidden/>
          </w:rPr>
          <w:fldChar w:fldCharType="end"/>
        </w:r>
      </w:hyperlink>
    </w:p>
    <w:p w:rsidR="00E3271D" w:rsidRDefault="0057134D" w14:paraId="35FA1E41" w14:textId="062D8502">
      <w:pPr>
        <w:pStyle w:val="TOC1"/>
        <w:rPr>
          <w:rFonts w:asciiTheme="minorHAnsi" w:hAnsiTheme="minorHAnsi" w:eastAsiaTheme="minorEastAsia" w:cstheme="minorBidi"/>
          <w:b w:val="0"/>
          <w:bCs w:val="0"/>
          <w:noProof/>
          <w:color w:val="auto"/>
          <w:szCs w:val="22"/>
        </w:rPr>
      </w:pPr>
      <w:hyperlink w:history="1" w:anchor="_Toc81309093">
        <w:r w:rsidRPr="002E52D6" w:rsidR="00E3271D">
          <w:rPr>
            <w:rStyle w:val="Hyperlink"/>
            <w:noProof/>
          </w:rPr>
          <w:t>List of Figures</w:t>
        </w:r>
        <w:r w:rsidR="00E3271D">
          <w:rPr>
            <w:noProof/>
            <w:webHidden/>
          </w:rPr>
          <w:tab/>
        </w:r>
        <w:r w:rsidR="00E3271D">
          <w:rPr>
            <w:noProof/>
            <w:webHidden/>
          </w:rPr>
          <w:fldChar w:fldCharType="begin"/>
        </w:r>
        <w:r w:rsidR="00E3271D">
          <w:rPr>
            <w:noProof/>
            <w:webHidden/>
          </w:rPr>
          <w:instrText xml:space="preserve"> PAGEREF _Toc81309093 \h </w:instrText>
        </w:r>
        <w:r w:rsidR="00E3271D">
          <w:rPr>
            <w:noProof/>
            <w:webHidden/>
          </w:rPr>
        </w:r>
        <w:r w:rsidR="00E3271D">
          <w:rPr>
            <w:noProof/>
            <w:webHidden/>
          </w:rPr>
          <w:fldChar w:fldCharType="separate"/>
        </w:r>
        <w:r w:rsidR="00E3271D">
          <w:rPr>
            <w:noProof/>
            <w:webHidden/>
          </w:rPr>
          <w:t>iv</w:t>
        </w:r>
        <w:r w:rsidR="00E3271D">
          <w:rPr>
            <w:noProof/>
            <w:webHidden/>
          </w:rPr>
          <w:fldChar w:fldCharType="end"/>
        </w:r>
      </w:hyperlink>
    </w:p>
    <w:p w:rsidR="00E3271D" w:rsidRDefault="0057134D" w14:paraId="5767731C" w14:textId="42984241">
      <w:pPr>
        <w:pStyle w:val="TOC1"/>
        <w:rPr>
          <w:rFonts w:asciiTheme="minorHAnsi" w:hAnsiTheme="minorHAnsi" w:eastAsiaTheme="minorEastAsia" w:cstheme="minorBidi"/>
          <w:b w:val="0"/>
          <w:bCs w:val="0"/>
          <w:noProof/>
          <w:color w:val="auto"/>
          <w:szCs w:val="22"/>
        </w:rPr>
      </w:pPr>
      <w:hyperlink w:history="1" w:anchor="_Toc81309094">
        <w:r w:rsidRPr="002E52D6" w:rsidR="00E3271D">
          <w:rPr>
            <w:rStyle w:val="Hyperlink"/>
            <w:noProof/>
          </w:rPr>
          <w:t>List of Tables</w:t>
        </w:r>
        <w:r w:rsidR="00E3271D">
          <w:rPr>
            <w:noProof/>
            <w:webHidden/>
          </w:rPr>
          <w:tab/>
        </w:r>
        <w:r w:rsidR="00E3271D">
          <w:rPr>
            <w:noProof/>
            <w:webHidden/>
          </w:rPr>
          <w:fldChar w:fldCharType="begin"/>
        </w:r>
        <w:r w:rsidR="00E3271D">
          <w:rPr>
            <w:noProof/>
            <w:webHidden/>
          </w:rPr>
          <w:instrText xml:space="preserve"> PAGEREF _Toc81309094 \h </w:instrText>
        </w:r>
        <w:r w:rsidR="00E3271D">
          <w:rPr>
            <w:noProof/>
            <w:webHidden/>
          </w:rPr>
        </w:r>
        <w:r w:rsidR="00E3271D">
          <w:rPr>
            <w:noProof/>
            <w:webHidden/>
          </w:rPr>
          <w:fldChar w:fldCharType="separate"/>
        </w:r>
        <w:r w:rsidR="00E3271D">
          <w:rPr>
            <w:noProof/>
            <w:webHidden/>
          </w:rPr>
          <w:t>iv</w:t>
        </w:r>
        <w:r w:rsidR="00E3271D">
          <w:rPr>
            <w:noProof/>
            <w:webHidden/>
          </w:rPr>
          <w:fldChar w:fldCharType="end"/>
        </w:r>
      </w:hyperlink>
    </w:p>
    <w:p w:rsidR="00E3271D" w:rsidRDefault="0057134D" w14:paraId="36B7EEA9" w14:textId="67B9796A">
      <w:pPr>
        <w:pStyle w:val="TOC1"/>
        <w:rPr>
          <w:rFonts w:asciiTheme="minorHAnsi" w:hAnsiTheme="minorHAnsi" w:eastAsiaTheme="minorEastAsia" w:cstheme="minorBidi"/>
          <w:b w:val="0"/>
          <w:bCs w:val="0"/>
          <w:noProof/>
          <w:color w:val="auto"/>
          <w:szCs w:val="22"/>
        </w:rPr>
      </w:pPr>
      <w:hyperlink w:history="1" w:anchor="_Toc81309095">
        <w:r w:rsidRPr="002E52D6" w:rsidR="00E3271D">
          <w:rPr>
            <w:rStyle w:val="Hyperlink"/>
            <w:noProof/>
          </w:rPr>
          <w:t>Executive Summary</w:t>
        </w:r>
        <w:r w:rsidR="00E3271D">
          <w:rPr>
            <w:noProof/>
            <w:webHidden/>
          </w:rPr>
          <w:tab/>
        </w:r>
        <w:r w:rsidR="00E3271D">
          <w:rPr>
            <w:noProof/>
            <w:webHidden/>
          </w:rPr>
          <w:fldChar w:fldCharType="begin"/>
        </w:r>
        <w:r w:rsidR="00E3271D">
          <w:rPr>
            <w:noProof/>
            <w:webHidden/>
          </w:rPr>
          <w:instrText xml:space="preserve"> PAGEREF _Toc81309095 \h </w:instrText>
        </w:r>
        <w:r w:rsidR="00E3271D">
          <w:rPr>
            <w:noProof/>
            <w:webHidden/>
          </w:rPr>
        </w:r>
        <w:r w:rsidR="00E3271D">
          <w:rPr>
            <w:noProof/>
            <w:webHidden/>
          </w:rPr>
          <w:fldChar w:fldCharType="separate"/>
        </w:r>
        <w:r w:rsidR="00E3271D">
          <w:rPr>
            <w:noProof/>
            <w:webHidden/>
          </w:rPr>
          <w:t>v</w:t>
        </w:r>
        <w:r w:rsidR="00E3271D">
          <w:rPr>
            <w:noProof/>
            <w:webHidden/>
          </w:rPr>
          <w:fldChar w:fldCharType="end"/>
        </w:r>
      </w:hyperlink>
    </w:p>
    <w:p w:rsidR="00E3271D" w:rsidRDefault="0057134D" w14:paraId="494B9C0A" w14:textId="041CB413">
      <w:pPr>
        <w:pStyle w:val="TOC1"/>
        <w:rPr>
          <w:rFonts w:asciiTheme="minorHAnsi" w:hAnsiTheme="minorHAnsi" w:eastAsiaTheme="minorEastAsia" w:cstheme="minorBidi"/>
          <w:b w:val="0"/>
          <w:bCs w:val="0"/>
          <w:noProof/>
          <w:color w:val="auto"/>
          <w:szCs w:val="22"/>
        </w:rPr>
      </w:pPr>
      <w:hyperlink w:history="1" w:anchor="_Toc81309096">
        <w:r w:rsidRPr="002E52D6" w:rsidR="00E3271D">
          <w:rPr>
            <w:rStyle w:val="Hyperlink"/>
            <w:noProof/>
          </w:rPr>
          <w:t>Abbreviations and Acronyms</w:t>
        </w:r>
        <w:r w:rsidR="00E3271D">
          <w:rPr>
            <w:noProof/>
            <w:webHidden/>
          </w:rPr>
          <w:tab/>
        </w:r>
        <w:r w:rsidR="00E3271D">
          <w:rPr>
            <w:noProof/>
            <w:webHidden/>
          </w:rPr>
          <w:fldChar w:fldCharType="begin"/>
        </w:r>
        <w:r w:rsidR="00E3271D">
          <w:rPr>
            <w:noProof/>
            <w:webHidden/>
          </w:rPr>
          <w:instrText xml:space="preserve"> PAGEREF _Toc81309096 \h </w:instrText>
        </w:r>
        <w:r w:rsidR="00E3271D">
          <w:rPr>
            <w:noProof/>
            <w:webHidden/>
          </w:rPr>
        </w:r>
        <w:r w:rsidR="00E3271D">
          <w:rPr>
            <w:noProof/>
            <w:webHidden/>
          </w:rPr>
          <w:fldChar w:fldCharType="separate"/>
        </w:r>
        <w:r w:rsidR="00E3271D">
          <w:rPr>
            <w:noProof/>
            <w:webHidden/>
          </w:rPr>
          <w:t>vii</w:t>
        </w:r>
        <w:r w:rsidR="00E3271D">
          <w:rPr>
            <w:noProof/>
            <w:webHidden/>
          </w:rPr>
          <w:fldChar w:fldCharType="end"/>
        </w:r>
      </w:hyperlink>
    </w:p>
    <w:p w:rsidR="00E3271D" w:rsidRDefault="0057134D" w14:paraId="74AE12E2" w14:textId="25C6ACAF">
      <w:pPr>
        <w:pStyle w:val="TOC1"/>
        <w:rPr>
          <w:rFonts w:asciiTheme="minorHAnsi" w:hAnsiTheme="minorHAnsi" w:eastAsiaTheme="minorEastAsia" w:cstheme="minorBidi"/>
          <w:b w:val="0"/>
          <w:bCs w:val="0"/>
          <w:noProof/>
          <w:color w:val="auto"/>
          <w:szCs w:val="22"/>
        </w:rPr>
      </w:pPr>
      <w:hyperlink w:history="1" w:anchor="_Toc81309097">
        <w:r w:rsidRPr="002E52D6" w:rsidR="00E3271D">
          <w:rPr>
            <w:rStyle w:val="Hyperlink"/>
            <w:noProof/>
          </w:rPr>
          <w:t>1.</w:t>
        </w:r>
        <w:r w:rsidR="00E3271D">
          <w:rPr>
            <w:rFonts w:asciiTheme="minorHAnsi" w:hAnsiTheme="minorHAnsi" w:eastAsiaTheme="minorEastAsia" w:cstheme="minorBidi"/>
            <w:b w:val="0"/>
            <w:bCs w:val="0"/>
            <w:noProof/>
            <w:color w:val="auto"/>
            <w:szCs w:val="22"/>
          </w:rPr>
          <w:tab/>
        </w:r>
        <w:r w:rsidRPr="002E52D6" w:rsidR="00E3271D">
          <w:rPr>
            <w:rStyle w:val="Hyperlink"/>
            <w:noProof/>
          </w:rPr>
          <w:t>Introduction</w:t>
        </w:r>
        <w:r w:rsidR="00E3271D">
          <w:rPr>
            <w:noProof/>
            <w:webHidden/>
          </w:rPr>
          <w:tab/>
        </w:r>
        <w:r w:rsidR="00E3271D">
          <w:rPr>
            <w:noProof/>
            <w:webHidden/>
          </w:rPr>
          <w:fldChar w:fldCharType="begin"/>
        </w:r>
        <w:r w:rsidR="00E3271D">
          <w:rPr>
            <w:noProof/>
            <w:webHidden/>
          </w:rPr>
          <w:instrText xml:space="preserve"> PAGEREF _Toc81309097 \h </w:instrText>
        </w:r>
        <w:r w:rsidR="00E3271D">
          <w:rPr>
            <w:noProof/>
            <w:webHidden/>
          </w:rPr>
        </w:r>
        <w:r w:rsidR="00E3271D">
          <w:rPr>
            <w:noProof/>
            <w:webHidden/>
          </w:rPr>
          <w:fldChar w:fldCharType="separate"/>
        </w:r>
        <w:r w:rsidR="00E3271D">
          <w:rPr>
            <w:noProof/>
            <w:webHidden/>
          </w:rPr>
          <w:t>1</w:t>
        </w:r>
        <w:r w:rsidR="00E3271D">
          <w:rPr>
            <w:noProof/>
            <w:webHidden/>
          </w:rPr>
          <w:fldChar w:fldCharType="end"/>
        </w:r>
      </w:hyperlink>
    </w:p>
    <w:p w:rsidR="00E3271D" w:rsidRDefault="0057134D" w14:paraId="55174D7B" w14:textId="59B4D8A4">
      <w:pPr>
        <w:pStyle w:val="TOC1"/>
        <w:rPr>
          <w:rFonts w:asciiTheme="minorHAnsi" w:hAnsiTheme="minorHAnsi" w:eastAsiaTheme="minorEastAsia" w:cstheme="minorBidi"/>
          <w:b w:val="0"/>
          <w:bCs w:val="0"/>
          <w:noProof/>
          <w:color w:val="auto"/>
          <w:szCs w:val="22"/>
        </w:rPr>
      </w:pPr>
      <w:hyperlink w:history="1" w:anchor="_Toc81309098">
        <w:r w:rsidRPr="002E52D6" w:rsidR="00E3271D">
          <w:rPr>
            <w:rStyle w:val="Hyperlink"/>
            <w:noProof/>
          </w:rPr>
          <w:t>2.</w:t>
        </w:r>
        <w:r w:rsidR="00E3271D">
          <w:rPr>
            <w:rFonts w:asciiTheme="minorHAnsi" w:hAnsiTheme="minorHAnsi" w:eastAsiaTheme="minorEastAsia" w:cstheme="minorBidi"/>
            <w:b w:val="0"/>
            <w:bCs w:val="0"/>
            <w:noProof/>
            <w:color w:val="auto"/>
            <w:szCs w:val="22"/>
          </w:rPr>
          <w:tab/>
        </w:r>
        <w:r w:rsidRPr="002E52D6" w:rsidR="00E3271D">
          <w:rPr>
            <w:rStyle w:val="Hyperlink"/>
            <w:noProof/>
          </w:rPr>
          <w:t>Statement of the Problem and Objective</w:t>
        </w:r>
        <w:r w:rsidR="00E3271D">
          <w:rPr>
            <w:noProof/>
            <w:webHidden/>
          </w:rPr>
          <w:tab/>
        </w:r>
        <w:r w:rsidR="00E3271D">
          <w:rPr>
            <w:noProof/>
            <w:webHidden/>
          </w:rPr>
          <w:fldChar w:fldCharType="begin"/>
        </w:r>
        <w:r w:rsidR="00E3271D">
          <w:rPr>
            <w:noProof/>
            <w:webHidden/>
          </w:rPr>
          <w:instrText xml:space="preserve"> PAGEREF _Toc81309098 \h </w:instrText>
        </w:r>
        <w:r w:rsidR="00E3271D">
          <w:rPr>
            <w:noProof/>
            <w:webHidden/>
          </w:rPr>
        </w:r>
        <w:r w:rsidR="00E3271D">
          <w:rPr>
            <w:noProof/>
            <w:webHidden/>
          </w:rPr>
          <w:fldChar w:fldCharType="separate"/>
        </w:r>
        <w:r w:rsidR="00E3271D">
          <w:rPr>
            <w:noProof/>
            <w:webHidden/>
          </w:rPr>
          <w:t>1</w:t>
        </w:r>
        <w:r w:rsidR="00E3271D">
          <w:rPr>
            <w:noProof/>
            <w:webHidden/>
          </w:rPr>
          <w:fldChar w:fldCharType="end"/>
        </w:r>
      </w:hyperlink>
    </w:p>
    <w:p w:rsidR="00E3271D" w:rsidRDefault="0057134D" w14:paraId="7A043861" w14:textId="00A72A2D">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099">
        <w:r w:rsidRPr="002E52D6" w:rsidR="00E3271D">
          <w:rPr>
            <w:rStyle w:val="Hyperlink"/>
            <w:noProof/>
          </w:rPr>
          <w:t>2.1</w:t>
        </w:r>
        <w:r w:rsidR="00E3271D">
          <w:rPr>
            <w:rFonts w:asciiTheme="minorHAnsi" w:hAnsiTheme="minorHAnsi" w:eastAsiaTheme="minorEastAsia" w:cstheme="minorBidi"/>
            <w:noProof/>
            <w:color w:val="auto"/>
            <w:szCs w:val="22"/>
          </w:rPr>
          <w:tab/>
        </w:r>
        <w:r w:rsidRPr="002E52D6" w:rsidR="00E3271D">
          <w:rPr>
            <w:rStyle w:val="Hyperlink"/>
            <w:noProof/>
          </w:rPr>
          <w:t>Background</w:t>
        </w:r>
        <w:r w:rsidR="00E3271D">
          <w:rPr>
            <w:noProof/>
            <w:webHidden/>
          </w:rPr>
          <w:tab/>
        </w:r>
        <w:r w:rsidR="00E3271D">
          <w:rPr>
            <w:noProof/>
            <w:webHidden/>
          </w:rPr>
          <w:fldChar w:fldCharType="begin"/>
        </w:r>
        <w:r w:rsidR="00E3271D">
          <w:rPr>
            <w:noProof/>
            <w:webHidden/>
          </w:rPr>
          <w:instrText xml:space="preserve"> PAGEREF _Toc81309099 \h </w:instrText>
        </w:r>
        <w:r w:rsidR="00E3271D">
          <w:rPr>
            <w:noProof/>
            <w:webHidden/>
          </w:rPr>
        </w:r>
        <w:r w:rsidR="00E3271D">
          <w:rPr>
            <w:noProof/>
            <w:webHidden/>
          </w:rPr>
          <w:fldChar w:fldCharType="separate"/>
        </w:r>
        <w:r w:rsidR="00E3271D">
          <w:rPr>
            <w:noProof/>
            <w:webHidden/>
          </w:rPr>
          <w:t>2</w:t>
        </w:r>
        <w:r w:rsidR="00E3271D">
          <w:rPr>
            <w:noProof/>
            <w:webHidden/>
          </w:rPr>
          <w:fldChar w:fldCharType="end"/>
        </w:r>
      </w:hyperlink>
    </w:p>
    <w:p w:rsidR="00E3271D" w:rsidRDefault="0057134D" w14:paraId="0EF3D322" w14:textId="2785F299">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0">
        <w:r w:rsidRPr="002E52D6" w:rsidR="00E3271D">
          <w:rPr>
            <w:rStyle w:val="Hyperlink"/>
            <w:noProof/>
          </w:rPr>
          <w:t>2.2</w:t>
        </w:r>
        <w:r w:rsidR="00E3271D">
          <w:rPr>
            <w:rFonts w:asciiTheme="minorHAnsi" w:hAnsiTheme="minorHAnsi" w:eastAsiaTheme="minorEastAsia" w:cstheme="minorBidi"/>
            <w:noProof/>
            <w:color w:val="auto"/>
            <w:szCs w:val="22"/>
          </w:rPr>
          <w:tab/>
        </w:r>
        <w:r w:rsidRPr="002E52D6" w:rsidR="00E3271D">
          <w:rPr>
            <w:rStyle w:val="Hyperlink"/>
            <w:noProof/>
          </w:rPr>
          <w:t>Statement of the Problem</w:t>
        </w:r>
        <w:r w:rsidR="00E3271D">
          <w:rPr>
            <w:noProof/>
            <w:webHidden/>
          </w:rPr>
          <w:tab/>
        </w:r>
        <w:r w:rsidR="00E3271D">
          <w:rPr>
            <w:noProof/>
            <w:webHidden/>
          </w:rPr>
          <w:fldChar w:fldCharType="begin"/>
        </w:r>
        <w:r w:rsidR="00E3271D">
          <w:rPr>
            <w:noProof/>
            <w:webHidden/>
          </w:rPr>
          <w:instrText xml:space="preserve"> PAGEREF _Toc81309100 \h </w:instrText>
        </w:r>
        <w:r w:rsidR="00E3271D">
          <w:rPr>
            <w:noProof/>
            <w:webHidden/>
          </w:rPr>
        </w:r>
        <w:r w:rsidR="00E3271D">
          <w:rPr>
            <w:noProof/>
            <w:webHidden/>
          </w:rPr>
          <w:fldChar w:fldCharType="separate"/>
        </w:r>
        <w:r w:rsidR="00E3271D">
          <w:rPr>
            <w:noProof/>
            <w:webHidden/>
          </w:rPr>
          <w:t>3</w:t>
        </w:r>
        <w:r w:rsidR="00E3271D">
          <w:rPr>
            <w:noProof/>
            <w:webHidden/>
          </w:rPr>
          <w:fldChar w:fldCharType="end"/>
        </w:r>
      </w:hyperlink>
    </w:p>
    <w:p w:rsidR="00E3271D" w:rsidRDefault="0057134D" w14:paraId="3AF7766D" w14:textId="5C92B631">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1">
        <w:r w:rsidRPr="002E52D6" w:rsidR="00E3271D">
          <w:rPr>
            <w:rStyle w:val="Hyperlink"/>
            <w:noProof/>
          </w:rPr>
          <w:t>2.3</w:t>
        </w:r>
        <w:r w:rsidR="00E3271D">
          <w:rPr>
            <w:rFonts w:asciiTheme="minorHAnsi" w:hAnsiTheme="minorHAnsi" w:eastAsiaTheme="minorEastAsia" w:cstheme="minorBidi"/>
            <w:noProof/>
            <w:color w:val="auto"/>
            <w:szCs w:val="22"/>
          </w:rPr>
          <w:tab/>
        </w:r>
        <w:r w:rsidRPr="002E52D6" w:rsidR="00E3271D">
          <w:rPr>
            <w:rStyle w:val="Hyperlink"/>
            <w:noProof/>
          </w:rPr>
          <w:t>Objective</w:t>
        </w:r>
        <w:r w:rsidR="00E3271D">
          <w:rPr>
            <w:noProof/>
            <w:webHidden/>
          </w:rPr>
          <w:tab/>
        </w:r>
        <w:r w:rsidR="00E3271D">
          <w:rPr>
            <w:noProof/>
            <w:webHidden/>
          </w:rPr>
          <w:fldChar w:fldCharType="begin"/>
        </w:r>
        <w:r w:rsidR="00E3271D">
          <w:rPr>
            <w:noProof/>
            <w:webHidden/>
          </w:rPr>
          <w:instrText xml:space="preserve"> PAGEREF _Toc81309101 \h </w:instrText>
        </w:r>
        <w:r w:rsidR="00E3271D">
          <w:rPr>
            <w:noProof/>
            <w:webHidden/>
          </w:rPr>
        </w:r>
        <w:r w:rsidR="00E3271D">
          <w:rPr>
            <w:noProof/>
            <w:webHidden/>
          </w:rPr>
          <w:fldChar w:fldCharType="separate"/>
        </w:r>
        <w:r w:rsidR="00E3271D">
          <w:rPr>
            <w:noProof/>
            <w:webHidden/>
          </w:rPr>
          <w:t>4</w:t>
        </w:r>
        <w:r w:rsidR="00E3271D">
          <w:rPr>
            <w:noProof/>
            <w:webHidden/>
          </w:rPr>
          <w:fldChar w:fldCharType="end"/>
        </w:r>
      </w:hyperlink>
    </w:p>
    <w:p w:rsidR="00E3271D" w:rsidRDefault="0057134D" w14:paraId="4286FA7B" w14:textId="464DAC9D">
      <w:pPr>
        <w:pStyle w:val="TOC1"/>
        <w:rPr>
          <w:rFonts w:asciiTheme="minorHAnsi" w:hAnsiTheme="minorHAnsi" w:eastAsiaTheme="minorEastAsia" w:cstheme="minorBidi"/>
          <w:b w:val="0"/>
          <w:bCs w:val="0"/>
          <w:noProof/>
          <w:color w:val="auto"/>
          <w:szCs w:val="22"/>
        </w:rPr>
      </w:pPr>
      <w:hyperlink w:history="1" w:anchor="_Toc81309102">
        <w:r w:rsidRPr="002E52D6" w:rsidR="00E3271D">
          <w:rPr>
            <w:rStyle w:val="Hyperlink"/>
            <w:noProof/>
          </w:rPr>
          <w:t>3.</w:t>
        </w:r>
        <w:r w:rsidR="00E3271D">
          <w:rPr>
            <w:rFonts w:asciiTheme="minorHAnsi" w:hAnsiTheme="minorHAnsi" w:eastAsiaTheme="minorEastAsia" w:cstheme="minorBidi"/>
            <w:b w:val="0"/>
            <w:bCs w:val="0"/>
            <w:noProof/>
            <w:color w:val="auto"/>
            <w:szCs w:val="22"/>
          </w:rPr>
          <w:tab/>
        </w:r>
        <w:r w:rsidRPr="002E52D6" w:rsidR="00E3271D">
          <w:rPr>
            <w:rStyle w:val="Hyperlink"/>
            <w:noProof/>
          </w:rPr>
          <w:t>Identification and Preliminary Analysis of Alternative Approaches</w:t>
        </w:r>
        <w:r w:rsidR="00E3271D">
          <w:rPr>
            <w:noProof/>
            <w:webHidden/>
          </w:rPr>
          <w:tab/>
        </w:r>
        <w:r w:rsidR="00E3271D">
          <w:rPr>
            <w:noProof/>
            <w:webHidden/>
          </w:rPr>
          <w:fldChar w:fldCharType="begin"/>
        </w:r>
        <w:r w:rsidR="00E3271D">
          <w:rPr>
            <w:noProof/>
            <w:webHidden/>
          </w:rPr>
          <w:instrText xml:space="preserve"> PAGEREF _Toc81309102 \h </w:instrText>
        </w:r>
        <w:r w:rsidR="00E3271D">
          <w:rPr>
            <w:noProof/>
            <w:webHidden/>
          </w:rPr>
        </w:r>
        <w:r w:rsidR="00E3271D">
          <w:rPr>
            <w:noProof/>
            <w:webHidden/>
          </w:rPr>
          <w:fldChar w:fldCharType="separate"/>
        </w:r>
        <w:r w:rsidR="00E3271D">
          <w:rPr>
            <w:noProof/>
            <w:webHidden/>
          </w:rPr>
          <w:t>4</w:t>
        </w:r>
        <w:r w:rsidR="00E3271D">
          <w:rPr>
            <w:noProof/>
            <w:webHidden/>
          </w:rPr>
          <w:fldChar w:fldCharType="end"/>
        </w:r>
      </w:hyperlink>
    </w:p>
    <w:p w:rsidR="00E3271D" w:rsidRDefault="0057134D" w14:paraId="4F441414" w14:textId="78B75366">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3">
        <w:r w:rsidRPr="002E52D6" w:rsidR="00E3271D">
          <w:rPr>
            <w:rStyle w:val="Hyperlink"/>
            <w:noProof/>
          </w:rPr>
          <w:t>3.1</w:t>
        </w:r>
        <w:r w:rsidR="00E3271D">
          <w:rPr>
            <w:rFonts w:asciiTheme="minorHAnsi" w:hAnsiTheme="minorHAnsi" w:eastAsiaTheme="minorEastAsia" w:cstheme="minorBidi"/>
            <w:noProof/>
            <w:color w:val="auto"/>
            <w:szCs w:val="22"/>
          </w:rPr>
          <w:tab/>
        </w:r>
        <w:r w:rsidRPr="002E52D6" w:rsidR="00E3271D">
          <w:rPr>
            <w:rStyle w:val="Hyperlink"/>
            <w:noProof/>
          </w:rPr>
          <w:t>Alternative 1—No Action</w:t>
        </w:r>
        <w:r w:rsidR="00E3271D">
          <w:rPr>
            <w:noProof/>
            <w:webHidden/>
          </w:rPr>
          <w:tab/>
        </w:r>
        <w:r w:rsidR="00E3271D">
          <w:rPr>
            <w:noProof/>
            <w:webHidden/>
          </w:rPr>
          <w:fldChar w:fldCharType="begin"/>
        </w:r>
        <w:r w:rsidR="00E3271D">
          <w:rPr>
            <w:noProof/>
            <w:webHidden/>
          </w:rPr>
          <w:instrText xml:space="preserve"> PAGEREF _Toc81309103 \h </w:instrText>
        </w:r>
        <w:r w:rsidR="00E3271D">
          <w:rPr>
            <w:noProof/>
            <w:webHidden/>
          </w:rPr>
        </w:r>
        <w:r w:rsidR="00E3271D">
          <w:rPr>
            <w:noProof/>
            <w:webHidden/>
          </w:rPr>
          <w:fldChar w:fldCharType="separate"/>
        </w:r>
        <w:r w:rsidR="00E3271D">
          <w:rPr>
            <w:noProof/>
            <w:webHidden/>
          </w:rPr>
          <w:t>4</w:t>
        </w:r>
        <w:r w:rsidR="00E3271D">
          <w:rPr>
            <w:noProof/>
            <w:webHidden/>
          </w:rPr>
          <w:fldChar w:fldCharType="end"/>
        </w:r>
      </w:hyperlink>
    </w:p>
    <w:p w:rsidR="00E3271D" w:rsidRDefault="0057134D" w14:paraId="01C3237A" w14:textId="09FE0AA2">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4">
        <w:r w:rsidRPr="002E52D6" w:rsidR="00E3271D">
          <w:rPr>
            <w:rStyle w:val="Hyperlink"/>
            <w:noProof/>
          </w:rPr>
          <w:t>3.2</w:t>
        </w:r>
        <w:r w:rsidR="00E3271D">
          <w:rPr>
            <w:rFonts w:asciiTheme="minorHAnsi" w:hAnsiTheme="minorHAnsi" w:eastAsiaTheme="minorEastAsia" w:cstheme="minorBidi"/>
            <w:noProof/>
            <w:color w:val="auto"/>
            <w:szCs w:val="22"/>
          </w:rPr>
          <w:tab/>
        </w:r>
        <w:r w:rsidRPr="002E52D6" w:rsidR="00E3271D">
          <w:rPr>
            <w:rStyle w:val="Hyperlink"/>
            <w:noProof/>
          </w:rPr>
          <w:t>Alternative 2—Incorporation by Reference of the ASME Codes with Conditions</w:t>
        </w:r>
        <w:r w:rsidR="00E3271D">
          <w:rPr>
            <w:noProof/>
            <w:webHidden/>
          </w:rPr>
          <w:tab/>
        </w:r>
        <w:r w:rsidR="00E3271D">
          <w:rPr>
            <w:noProof/>
            <w:webHidden/>
          </w:rPr>
          <w:fldChar w:fldCharType="begin"/>
        </w:r>
        <w:r w:rsidR="00E3271D">
          <w:rPr>
            <w:noProof/>
            <w:webHidden/>
          </w:rPr>
          <w:instrText xml:space="preserve"> PAGEREF _Toc81309104 \h </w:instrText>
        </w:r>
        <w:r w:rsidR="00E3271D">
          <w:rPr>
            <w:noProof/>
            <w:webHidden/>
          </w:rPr>
        </w:r>
        <w:r w:rsidR="00E3271D">
          <w:rPr>
            <w:noProof/>
            <w:webHidden/>
          </w:rPr>
          <w:fldChar w:fldCharType="separate"/>
        </w:r>
        <w:r w:rsidR="00E3271D">
          <w:rPr>
            <w:noProof/>
            <w:webHidden/>
          </w:rPr>
          <w:t>4</w:t>
        </w:r>
        <w:r w:rsidR="00E3271D">
          <w:rPr>
            <w:noProof/>
            <w:webHidden/>
          </w:rPr>
          <w:fldChar w:fldCharType="end"/>
        </w:r>
      </w:hyperlink>
    </w:p>
    <w:p w:rsidR="00E3271D" w:rsidRDefault="0057134D" w14:paraId="3634BB7D" w14:textId="24B7C465">
      <w:pPr>
        <w:pStyle w:val="TOC1"/>
        <w:rPr>
          <w:rFonts w:asciiTheme="minorHAnsi" w:hAnsiTheme="minorHAnsi" w:eastAsiaTheme="minorEastAsia" w:cstheme="minorBidi"/>
          <w:b w:val="0"/>
          <w:bCs w:val="0"/>
          <w:noProof/>
          <w:color w:val="auto"/>
          <w:szCs w:val="22"/>
        </w:rPr>
      </w:pPr>
      <w:hyperlink w:history="1" w:anchor="_Toc81309105">
        <w:r w:rsidRPr="002E52D6" w:rsidR="00E3271D">
          <w:rPr>
            <w:rStyle w:val="Hyperlink"/>
            <w:noProof/>
          </w:rPr>
          <w:t>4.</w:t>
        </w:r>
        <w:r w:rsidR="00E3271D">
          <w:rPr>
            <w:rFonts w:asciiTheme="minorHAnsi" w:hAnsiTheme="minorHAnsi" w:eastAsiaTheme="minorEastAsia" w:cstheme="minorBidi"/>
            <w:b w:val="0"/>
            <w:bCs w:val="0"/>
            <w:noProof/>
            <w:color w:val="auto"/>
            <w:szCs w:val="22"/>
          </w:rPr>
          <w:tab/>
        </w:r>
        <w:r w:rsidRPr="002E52D6" w:rsidR="00E3271D">
          <w:rPr>
            <w:rStyle w:val="Hyperlink"/>
            <w:noProof/>
          </w:rPr>
          <w:t>Estimation and Evaluation of Costs and Benefits</w:t>
        </w:r>
        <w:r w:rsidR="00E3271D">
          <w:rPr>
            <w:noProof/>
            <w:webHidden/>
          </w:rPr>
          <w:tab/>
        </w:r>
        <w:r w:rsidR="00E3271D">
          <w:rPr>
            <w:noProof/>
            <w:webHidden/>
          </w:rPr>
          <w:fldChar w:fldCharType="begin"/>
        </w:r>
        <w:r w:rsidR="00E3271D">
          <w:rPr>
            <w:noProof/>
            <w:webHidden/>
          </w:rPr>
          <w:instrText xml:space="preserve"> PAGEREF _Toc81309105 \h </w:instrText>
        </w:r>
        <w:r w:rsidR="00E3271D">
          <w:rPr>
            <w:noProof/>
            <w:webHidden/>
          </w:rPr>
        </w:r>
        <w:r w:rsidR="00E3271D">
          <w:rPr>
            <w:noProof/>
            <w:webHidden/>
          </w:rPr>
          <w:fldChar w:fldCharType="separate"/>
        </w:r>
        <w:r w:rsidR="00E3271D">
          <w:rPr>
            <w:noProof/>
            <w:webHidden/>
          </w:rPr>
          <w:t>5</w:t>
        </w:r>
        <w:r w:rsidR="00E3271D">
          <w:rPr>
            <w:noProof/>
            <w:webHidden/>
          </w:rPr>
          <w:fldChar w:fldCharType="end"/>
        </w:r>
      </w:hyperlink>
    </w:p>
    <w:p w:rsidR="00E3271D" w:rsidRDefault="0057134D" w14:paraId="20097EC9" w14:textId="4FA3FD51">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6">
        <w:r w:rsidRPr="002E52D6" w:rsidR="00E3271D">
          <w:rPr>
            <w:rStyle w:val="Hyperlink"/>
            <w:noProof/>
          </w:rPr>
          <w:t>4.1</w:t>
        </w:r>
        <w:r w:rsidR="00E3271D">
          <w:rPr>
            <w:rFonts w:asciiTheme="minorHAnsi" w:hAnsiTheme="minorHAnsi" w:eastAsiaTheme="minorEastAsia" w:cstheme="minorBidi"/>
            <w:noProof/>
            <w:color w:val="auto"/>
            <w:szCs w:val="22"/>
          </w:rPr>
          <w:tab/>
        </w:r>
        <w:r w:rsidRPr="002E52D6" w:rsidR="00E3271D">
          <w:rPr>
            <w:rStyle w:val="Hyperlink"/>
            <w:noProof/>
          </w:rPr>
          <w:t>Identification of Affected Attributes</w:t>
        </w:r>
        <w:r w:rsidR="00E3271D">
          <w:rPr>
            <w:noProof/>
            <w:webHidden/>
          </w:rPr>
          <w:tab/>
        </w:r>
        <w:r w:rsidR="00E3271D">
          <w:rPr>
            <w:noProof/>
            <w:webHidden/>
          </w:rPr>
          <w:fldChar w:fldCharType="begin"/>
        </w:r>
        <w:r w:rsidR="00E3271D">
          <w:rPr>
            <w:noProof/>
            <w:webHidden/>
          </w:rPr>
          <w:instrText xml:space="preserve"> PAGEREF _Toc81309106 \h </w:instrText>
        </w:r>
        <w:r w:rsidR="00E3271D">
          <w:rPr>
            <w:noProof/>
            <w:webHidden/>
          </w:rPr>
        </w:r>
        <w:r w:rsidR="00E3271D">
          <w:rPr>
            <w:noProof/>
            <w:webHidden/>
          </w:rPr>
          <w:fldChar w:fldCharType="separate"/>
        </w:r>
        <w:r w:rsidR="00E3271D">
          <w:rPr>
            <w:noProof/>
            <w:webHidden/>
          </w:rPr>
          <w:t>5</w:t>
        </w:r>
        <w:r w:rsidR="00E3271D">
          <w:rPr>
            <w:noProof/>
            <w:webHidden/>
          </w:rPr>
          <w:fldChar w:fldCharType="end"/>
        </w:r>
      </w:hyperlink>
    </w:p>
    <w:p w:rsidR="00E3271D" w:rsidRDefault="0057134D" w14:paraId="27519D5E" w14:textId="5E08B0AF">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07">
        <w:r w:rsidRPr="002E52D6" w:rsidR="00E3271D">
          <w:rPr>
            <w:rStyle w:val="Hyperlink"/>
            <w:noProof/>
          </w:rPr>
          <w:t>4.2</w:t>
        </w:r>
        <w:r w:rsidR="00E3271D">
          <w:rPr>
            <w:rFonts w:asciiTheme="minorHAnsi" w:hAnsiTheme="minorHAnsi" w:eastAsiaTheme="minorEastAsia" w:cstheme="minorBidi"/>
            <w:noProof/>
            <w:color w:val="auto"/>
            <w:szCs w:val="22"/>
          </w:rPr>
          <w:tab/>
        </w:r>
        <w:r w:rsidRPr="002E52D6" w:rsidR="00E3271D">
          <w:rPr>
            <w:rStyle w:val="Hyperlink"/>
            <w:noProof/>
          </w:rPr>
          <w:t>Analytical Methodology</w:t>
        </w:r>
        <w:r w:rsidR="00E3271D">
          <w:rPr>
            <w:noProof/>
            <w:webHidden/>
          </w:rPr>
          <w:tab/>
        </w:r>
        <w:r w:rsidR="00E3271D">
          <w:rPr>
            <w:noProof/>
            <w:webHidden/>
          </w:rPr>
          <w:fldChar w:fldCharType="begin"/>
        </w:r>
        <w:r w:rsidR="00E3271D">
          <w:rPr>
            <w:noProof/>
            <w:webHidden/>
          </w:rPr>
          <w:instrText xml:space="preserve"> PAGEREF _Toc81309107 \h </w:instrText>
        </w:r>
        <w:r w:rsidR="00E3271D">
          <w:rPr>
            <w:noProof/>
            <w:webHidden/>
          </w:rPr>
        </w:r>
        <w:r w:rsidR="00E3271D">
          <w:rPr>
            <w:noProof/>
            <w:webHidden/>
          </w:rPr>
          <w:fldChar w:fldCharType="separate"/>
        </w:r>
        <w:r w:rsidR="00E3271D">
          <w:rPr>
            <w:noProof/>
            <w:webHidden/>
          </w:rPr>
          <w:t>7</w:t>
        </w:r>
        <w:r w:rsidR="00E3271D">
          <w:rPr>
            <w:noProof/>
            <w:webHidden/>
          </w:rPr>
          <w:fldChar w:fldCharType="end"/>
        </w:r>
      </w:hyperlink>
    </w:p>
    <w:p w:rsidR="00E3271D" w:rsidRDefault="0057134D" w14:paraId="010EE968" w14:textId="17966DB8">
      <w:pPr>
        <w:pStyle w:val="TOC3"/>
        <w:rPr>
          <w:rFonts w:asciiTheme="minorHAnsi" w:hAnsiTheme="minorHAnsi" w:eastAsiaTheme="minorEastAsia" w:cstheme="minorBidi"/>
          <w:iCs w:val="0"/>
          <w:noProof/>
          <w:color w:val="auto"/>
          <w:szCs w:val="22"/>
        </w:rPr>
      </w:pPr>
      <w:hyperlink w:history="1" w:anchor="_Toc81309108">
        <w:r w:rsidRPr="002E52D6" w:rsidR="00E3271D">
          <w:rPr>
            <w:rStyle w:val="Hyperlink"/>
            <w:noProof/>
          </w:rPr>
          <w:t>4.2.1</w:t>
        </w:r>
        <w:r w:rsidR="00E3271D">
          <w:rPr>
            <w:rFonts w:asciiTheme="minorHAnsi" w:hAnsiTheme="minorHAnsi" w:eastAsiaTheme="minorEastAsia" w:cstheme="minorBidi"/>
            <w:iCs w:val="0"/>
            <w:noProof/>
            <w:color w:val="auto"/>
            <w:szCs w:val="22"/>
          </w:rPr>
          <w:tab/>
        </w:r>
        <w:r w:rsidRPr="002E52D6" w:rsidR="00E3271D">
          <w:rPr>
            <w:rStyle w:val="Hyperlink"/>
            <w:noProof/>
          </w:rPr>
          <w:t>Regulatory Baseline</w:t>
        </w:r>
        <w:r w:rsidR="00E3271D">
          <w:rPr>
            <w:noProof/>
            <w:webHidden/>
          </w:rPr>
          <w:tab/>
        </w:r>
        <w:r w:rsidR="00E3271D">
          <w:rPr>
            <w:noProof/>
            <w:webHidden/>
          </w:rPr>
          <w:fldChar w:fldCharType="begin"/>
        </w:r>
        <w:r w:rsidR="00E3271D">
          <w:rPr>
            <w:noProof/>
            <w:webHidden/>
          </w:rPr>
          <w:instrText xml:space="preserve"> PAGEREF _Toc81309108 \h </w:instrText>
        </w:r>
        <w:r w:rsidR="00E3271D">
          <w:rPr>
            <w:noProof/>
            <w:webHidden/>
          </w:rPr>
        </w:r>
        <w:r w:rsidR="00E3271D">
          <w:rPr>
            <w:noProof/>
            <w:webHidden/>
          </w:rPr>
          <w:fldChar w:fldCharType="separate"/>
        </w:r>
        <w:r w:rsidR="00E3271D">
          <w:rPr>
            <w:noProof/>
            <w:webHidden/>
          </w:rPr>
          <w:t>7</w:t>
        </w:r>
        <w:r w:rsidR="00E3271D">
          <w:rPr>
            <w:noProof/>
            <w:webHidden/>
          </w:rPr>
          <w:fldChar w:fldCharType="end"/>
        </w:r>
      </w:hyperlink>
    </w:p>
    <w:p w:rsidR="00E3271D" w:rsidRDefault="0057134D" w14:paraId="341CEE7C" w14:textId="361D4A87">
      <w:pPr>
        <w:pStyle w:val="TOC3"/>
        <w:rPr>
          <w:rFonts w:asciiTheme="minorHAnsi" w:hAnsiTheme="minorHAnsi" w:eastAsiaTheme="minorEastAsia" w:cstheme="minorBidi"/>
          <w:iCs w:val="0"/>
          <w:noProof/>
          <w:color w:val="auto"/>
          <w:szCs w:val="22"/>
        </w:rPr>
      </w:pPr>
      <w:hyperlink w:history="1" w:anchor="_Toc81309109">
        <w:r w:rsidRPr="002E52D6" w:rsidR="00E3271D">
          <w:rPr>
            <w:rStyle w:val="Hyperlink"/>
            <w:noProof/>
          </w:rPr>
          <w:t>4.2.2</w:t>
        </w:r>
        <w:r w:rsidR="00E3271D">
          <w:rPr>
            <w:rFonts w:asciiTheme="minorHAnsi" w:hAnsiTheme="minorHAnsi" w:eastAsiaTheme="minorEastAsia" w:cstheme="minorBidi"/>
            <w:iCs w:val="0"/>
            <w:noProof/>
            <w:color w:val="auto"/>
            <w:szCs w:val="22"/>
          </w:rPr>
          <w:tab/>
        </w:r>
        <w:r w:rsidRPr="002E52D6" w:rsidR="00E3271D">
          <w:rPr>
            <w:rStyle w:val="Hyperlink"/>
            <w:noProof/>
          </w:rPr>
          <w:t>Affected Entities</w:t>
        </w:r>
        <w:r w:rsidR="00E3271D">
          <w:rPr>
            <w:noProof/>
            <w:webHidden/>
          </w:rPr>
          <w:tab/>
        </w:r>
        <w:r w:rsidR="00E3271D">
          <w:rPr>
            <w:noProof/>
            <w:webHidden/>
          </w:rPr>
          <w:fldChar w:fldCharType="begin"/>
        </w:r>
        <w:r w:rsidR="00E3271D">
          <w:rPr>
            <w:noProof/>
            <w:webHidden/>
          </w:rPr>
          <w:instrText xml:space="preserve"> PAGEREF _Toc81309109 \h </w:instrText>
        </w:r>
        <w:r w:rsidR="00E3271D">
          <w:rPr>
            <w:noProof/>
            <w:webHidden/>
          </w:rPr>
        </w:r>
        <w:r w:rsidR="00E3271D">
          <w:rPr>
            <w:noProof/>
            <w:webHidden/>
          </w:rPr>
          <w:fldChar w:fldCharType="separate"/>
        </w:r>
        <w:r w:rsidR="00E3271D">
          <w:rPr>
            <w:noProof/>
            <w:webHidden/>
          </w:rPr>
          <w:t>8</w:t>
        </w:r>
        <w:r w:rsidR="00E3271D">
          <w:rPr>
            <w:noProof/>
            <w:webHidden/>
          </w:rPr>
          <w:fldChar w:fldCharType="end"/>
        </w:r>
      </w:hyperlink>
    </w:p>
    <w:p w:rsidR="00E3271D" w:rsidRDefault="0057134D" w14:paraId="54F5CB43" w14:textId="09D8EE9E">
      <w:pPr>
        <w:pStyle w:val="TOC3"/>
        <w:rPr>
          <w:rFonts w:asciiTheme="minorHAnsi" w:hAnsiTheme="minorHAnsi" w:eastAsiaTheme="minorEastAsia" w:cstheme="minorBidi"/>
          <w:iCs w:val="0"/>
          <w:noProof/>
          <w:color w:val="auto"/>
          <w:szCs w:val="22"/>
        </w:rPr>
      </w:pPr>
      <w:hyperlink w:history="1" w:anchor="_Toc81309110">
        <w:r w:rsidRPr="002E52D6" w:rsidR="00E3271D">
          <w:rPr>
            <w:rStyle w:val="Hyperlink"/>
            <w:noProof/>
          </w:rPr>
          <w:t>4.2.3</w:t>
        </w:r>
        <w:r w:rsidR="00E3271D">
          <w:rPr>
            <w:rFonts w:asciiTheme="minorHAnsi" w:hAnsiTheme="minorHAnsi" w:eastAsiaTheme="minorEastAsia" w:cstheme="minorBidi"/>
            <w:iCs w:val="0"/>
            <w:noProof/>
            <w:color w:val="auto"/>
            <w:szCs w:val="22"/>
          </w:rPr>
          <w:tab/>
        </w:r>
        <w:r w:rsidRPr="002E52D6" w:rsidR="00E3271D">
          <w:rPr>
            <w:rStyle w:val="Hyperlink"/>
            <w:noProof/>
          </w:rPr>
          <w:t>Base Year</w:t>
        </w:r>
        <w:r w:rsidR="00E3271D">
          <w:rPr>
            <w:noProof/>
            <w:webHidden/>
          </w:rPr>
          <w:tab/>
        </w:r>
        <w:r w:rsidR="00E3271D">
          <w:rPr>
            <w:noProof/>
            <w:webHidden/>
          </w:rPr>
          <w:fldChar w:fldCharType="begin"/>
        </w:r>
        <w:r w:rsidR="00E3271D">
          <w:rPr>
            <w:noProof/>
            <w:webHidden/>
          </w:rPr>
          <w:instrText xml:space="preserve"> PAGEREF _Toc81309110 \h </w:instrText>
        </w:r>
        <w:r w:rsidR="00E3271D">
          <w:rPr>
            <w:noProof/>
            <w:webHidden/>
          </w:rPr>
        </w:r>
        <w:r w:rsidR="00E3271D">
          <w:rPr>
            <w:noProof/>
            <w:webHidden/>
          </w:rPr>
          <w:fldChar w:fldCharType="separate"/>
        </w:r>
        <w:r w:rsidR="00E3271D">
          <w:rPr>
            <w:noProof/>
            <w:webHidden/>
          </w:rPr>
          <w:t>8</w:t>
        </w:r>
        <w:r w:rsidR="00E3271D">
          <w:rPr>
            <w:noProof/>
            <w:webHidden/>
          </w:rPr>
          <w:fldChar w:fldCharType="end"/>
        </w:r>
      </w:hyperlink>
    </w:p>
    <w:p w:rsidR="00E3271D" w:rsidRDefault="0057134D" w14:paraId="7483A1DD" w14:textId="4822D7D5">
      <w:pPr>
        <w:pStyle w:val="TOC3"/>
        <w:rPr>
          <w:rFonts w:asciiTheme="minorHAnsi" w:hAnsiTheme="minorHAnsi" w:eastAsiaTheme="minorEastAsia" w:cstheme="minorBidi"/>
          <w:iCs w:val="0"/>
          <w:noProof/>
          <w:color w:val="auto"/>
          <w:szCs w:val="22"/>
        </w:rPr>
      </w:pPr>
      <w:hyperlink w:history="1" w:anchor="_Toc81309111">
        <w:r w:rsidRPr="002E52D6" w:rsidR="00E3271D">
          <w:rPr>
            <w:rStyle w:val="Hyperlink"/>
            <w:noProof/>
          </w:rPr>
          <w:t>4.2.4</w:t>
        </w:r>
        <w:r w:rsidR="00E3271D">
          <w:rPr>
            <w:rFonts w:asciiTheme="minorHAnsi" w:hAnsiTheme="minorHAnsi" w:eastAsiaTheme="minorEastAsia" w:cstheme="minorBidi"/>
            <w:iCs w:val="0"/>
            <w:noProof/>
            <w:color w:val="auto"/>
            <w:szCs w:val="22"/>
          </w:rPr>
          <w:tab/>
        </w:r>
        <w:r w:rsidRPr="002E52D6" w:rsidR="00E3271D">
          <w:rPr>
            <w:rStyle w:val="Hyperlink"/>
            <w:noProof/>
          </w:rPr>
          <w:t>Discount Rates</w:t>
        </w:r>
        <w:r w:rsidR="00E3271D">
          <w:rPr>
            <w:noProof/>
            <w:webHidden/>
          </w:rPr>
          <w:tab/>
        </w:r>
        <w:r w:rsidR="00E3271D">
          <w:rPr>
            <w:noProof/>
            <w:webHidden/>
          </w:rPr>
          <w:fldChar w:fldCharType="begin"/>
        </w:r>
        <w:r w:rsidR="00E3271D">
          <w:rPr>
            <w:noProof/>
            <w:webHidden/>
          </w:rPr>
          <w:instrText xml:space="preserve"> PAGEREF _Toc81309111 \h </w:instrText>
        </w:r>
        <w:r w:rsidR="00E3271D">
          <w:rPr>
            <w:noProof/>
            <w:webHidden/>
          </w:rPr>
        </w:r>
        <w:r w:rsidR="00E3271D">
          <w:rPr>
            <w:noProof/>
            <w:webHidden/>
          </w:rPr>
          <w:fldChar w:fldCharType="separate"/>
        </w:r>
        <w:r w:rsidR="00E3271D">
          <w:rPr>
            <w:noProof/>
            <w:webHidden/>
          </w:rPr>
          <w:t>8</w:t>
        </w:r>
        <w:r w:rsidR="00E3271D">
          <w:rPr>
            <w:noProof/>
            <w:webHidden/>
          </w:rPr>
          <w:fldChar w:fldCharType="end"/>
        </w:r>
      </w:hyperlink>
    </w:p>
    <w:p w:rsidR="00E3271D" w:rsidRDefault="0057134D" w14:paraId="78E59F9B" w14:textId="689828EC">
      <w:pPr>
        <w:pStyle w:val="TOC3"/>
        <w:rPr>
          <w:rFonts w:asciiTheme="minorHAnsi" w:hAnsiTheme="minorHAnsi" w:eastAsiaTheme="minorEastAsia" w:cstheme="minorBidi"/>
          <w:iCs w:val="0"/>
          <w:noProof/>
          <w:color w:val="auto"/>
          <w:szCs w:val="22"/>
        </w:rPr>
      </w:pPr>
      <w:hyperlink w:history="1" w:anchor="_Toc81309112">
        <w:r w:rsidRPr="002E52D6" w:rsidR="00E3271D">
          <w:rPr>
            <w:rStyle w:val="Hyperlink"/>
            <w:noProof/>
          </w:rPr>
          <w:t>4.2.5</w:t>
        </w:r>
        <w:r w:rsidR="00E3271D">
          <w:rPr>
            <w:rFonts w:asciiTheme="minorHAnsi" w:hAnsiTheme="minorHAnsi" w:eastAsiaTheme="minorEastAsia" w:cstheme="minorBidi"/>
            <w:iCs w:val="0"/>
            <w:noProof/>
            <w:color w:val="auto"/>
            <w:szCs w:val="22"/>
          </w:rPr>
          <w:tab/>
        </w:r>
        <w:r w:rsidRPr="002E52D6" w:rsidR="00E3271D">
          <w:rPr>
            <w:rStyle w:val="Hyperlink"/>
            <w:noProof/>
          </w:rPr>
          <w:t>Cost-Benefit Inflators</w:t>
        </w:r>
        <w:r w:rsidR="00E3271D">
          <w:rPr>
            <w:noProof/>
            <w:webHidden/>
          </w:rPr>
          <w:tab/>
        </w:r>
        <w:r w:rsidR="00E3271D">
          <w:rPr>
            <w:noProof/>
            <w:webHidden/>
          </w:rPr>
          <w:fldChar w:fldCharType="begin"/>
        </w:r>
        <w:r w:rsidR="00E3271D">
          <w:rPr>
            <w:noProof/>
            <w:webHidden/>
          </w:rPr>
          <w:instrText xml:space="preserve"> PAGEREF _Toc81309112 \h </w:instrText>
        </w:r>
        <w:r w:rsidR="00E3271D">
          <w:rPr>
            <w:noProof/>
            <w:webHidden/>
          </w:rPr>
        </w:r>
        <w:r w:rsidR="00E3271D">
          <w:rPr>
            <w:noProof/>
            <w:webHidden/>
          </w:rPr>
          <w:fldChar w:fldCharType="separate"/>
        </w:r>
        <w:r w:rsidR="00E3271D">
          <w:rPr>
            <w:noProof/>
            <w:webHidden/>
          </w:rPr>
          <w:t>8</w:t>
        </w:r>
        <w:r w:rsidR="00E3271D">
          <w:rPr>
            <w:noProof/>
            <w:webHidden/>
          </w:rPr>
          <w:fldChar w:fldCharType="end"/>
        </w:r>
      </w:hyperlink>
    </w:p>
    <w:p w:rsidR="00E3271D" w:rsidRDefault="0057134D" w14:paraId="1C28F51F" w14:textId="00362647">
      <w:pPr>
        <w:pStyle w:val="TOC3"/>
        <w:rPr>
          <w:rFonts w:asciiTheme="minorHAnsi" w:hAnsiTheme="minorHAnsi" w:eastAsiaTheme="minorEastAsia" w:cstheme="minorBidi"/>
          <w:iCs w:val="0"/>
          <w:noProof/>
          <w:color w:val="auto"/>
          <w:szCs w:val="22"/>
        </w:rPr>
      </w:pPr>
      <w:hyperlink w:history="1" w:anchor="_Toc81309113">
        <w:r w:rsidRPr="002E52D6" w:rsidR="00E3271D">
          <w:rPr>
            <w:rStyle w:val="Hyperlink"/>
            <w:noProof/>
          </w:rPr>
          <w:t>4.2.6</w:t>
        </w:r>
        <w:r w:rsidR="00E3271D">
          <w:rPr>
            <w:rFonts w:asciiTheme="minorHAnsi" w:hAnsiTheme="minorHAnsi" w:eastAsiaTheme="minorEastAsia" w:cstheme="minorBidi"/>
            <w:iCs w:val="0"/>
            <w:noProof/>
            <w:color w:val="auto"/>
            <w:szCs w:val="22"/>
          </w:rPr>
          <w:tab/>
        </w:r>
        <w:r w:rsidRPr="002E52D6" w:rsidR="00E3271D">
          <w:rPr>
            <w:rStyle w:val="Hyperlink"/>
            <w:noProof/>
          </w:rPr>
          <w:t>Labor Rates</w:t>
        </w:r>
        <w:r w:rsidR="00E3271D">
          <w:rPr>
            <w:noProof/>
            <w:webHidden/>
          </w:rPr>
          <w:tab/>
        </w:r>
        <w:r w:rsidR="00E3271D">
          <w:rPr>
            <w:noProof/>
            <w:webHidden/>
          </w:rPr>
          <w:fldChar w:fldCharType="begin"/>
        </w:r>
        <w:r w:rsidR="00E3271D">
          <w:rPr>
            <w:noProof/>
            <w:webHidden/>
          </w:rPr>
          <w:instrText xml:space="preserve"> PAGEREF _Toc81309113 \h </w:instrText>
        </w:r>
        <w:r w:rsidR="00E3271D">
          <w:rPr>
            <w:noProof/>
            <w:webHidden/>
          </w:rPr>
        </w:r>
        <w:r w:rsidR="00E3271D">
          <w:rPr>
            <w:noProof/>
            <w:webHidden/>
          </w:rPr>
          <w:fldChar w:fldCharType="separate"/>
        </w:r>
        <w:r w:rsidR="00E3271D">
          <w:rPr>
            <w:noProof/>
            <w:webHidden/>
          </w:rPr>
          <w:t>9</w:t>
        </w:r>
        <w:r w:rsidR="00E3271D">
          <w:rPr>
            <w:noProof/>
            <w:webHidden/>
          </w:rPr>
          <w:fldChar w:fldCharType="end"/>
        </w:r>
      </w:hyperlink>
    </w:p>
    <w:p w:rsidR="00E3271D" w:rsidRDefault="0057134D" w14:paraId="6A506AD2" w14:textId="297988D2">
      <w:pPr>
        <w:pStyle w:val="TOC3"/>
        <w:rPr>
          <w:rFonts w:asciiTheme="minorHAnsi" w:hAnsiTheme="minorHAnsi" w:eastAsiaTheme="minorEastAsia" w:cstheme="minorBidi"/>
          <w:iCs w:val="0"/>
          <w:noProof/>
          <w:color w:val="auto"/>
          <w:szCs w:val="22"/>
        </w:rPr>
      </w:pPr>
      <w:hyperlink w:history="1" w:anchor="_Toc81309114">
        <w:r w:rsidRPr="002E52D6" w:rsidR="00E3271D">
          <w:rPr>
            <w:rStyle w:val="Hyperlink"/>
            <w:noProof/>
          </w:rPr>
          <w:t>4.2.7</w:t>
        </w:r>
        <w:r w:rsidR="00E3271D">
          <w:rPr>
            <w:rFonts w:asciiTheme="minorHAnsi" w:hAnsiTheme="minorHAnsi" w:eastAsiaTheme="minorEastAsia" w:cstheme="minorBidi"/>
            <w:iCs w:val="0"/>
            <w:noProof/>
            <w:color w:val="auto"/>
            <w:szCs w:val="22"/>
          </w:rPr>
          <w:tab/>
        </w:r>
        <w:r w:rsidRPr="002E52D6" w:rsidR="00E3271D">
          <w:rPr>
            <w:rStyle w:val="Hyperlink"/>
            <w:noProof/>
          </w:rPr>
          <w:t>Sign Conventions</w:t>
        </w:r>
        <w:r w:rsidR="00E3271D">
          <w:rPr>
            <w:noProof/>
            <w:webHidden/>
          </w:rPr>
          <w:tab/>
        </w:r>
        <w:r w:rsidR="00E3271D">
          <w:rPr>
            <w:noProof/>
            <w:webHidden/>
          </w:rPr>
          <w:fldChar w:fldCharType="begin"/>
        </w:r>
        <w:r w:rsidR="00E3271D">
          <w:rPr>
            <w:noProof/>
            <w:webHidden/>
          </w:rPr>
          <w:instrText xml:space="preserve"> PAGEREF _Toc81309114 \h </w:instrText>
        </w:r>
        <w:r w:rsidR="00E3271D">
          <w:rPr>
            <w:noProof/>
            <w:webHidden/>
          </w:rPr>
        </w:r>
        <w:r w:rsidR="00E3271D">
          <w:rPr>
            <w:noProof/>
            <w:webHidden/>
          </w:rPr>
          <w:fldChar w:fldCharType="separate"/>
        </w:r>
        <w:r w:rsidR="00E3271D">
          <w:rPr>
            <w:noProof/>
            <w:webHidden/>
          </w:rPr>
          <w:t>10</w:t>
        </w:r>
        <w:r w:rsidR="00E3271D">
          <w:rPr>
            <w:noProof/>
            <w:webHidden/>
          </w:rPr>
          <w:fldChar w:fldCharType="end"/>
        </w:r>
      </w:hyperlink>
    </w:p>
    <w:p w:rsidR="00E3271D" w:rsidRDefault="0057134D" w14:paraId="2A1EDBD9" w14:textId="20AE550E">
      <w:pPr>
        <w:pStyle w:val="TOC3"/>
        <w:rPr>
          <w:rFonts w:asciiTheme="minorHAnsi" w:hAnsiTheme="minorHAnsi" w:eastAsiaTheme="minorEastAsia" w:cstheme="minorBidi"/>
          <w:iCs w:val="0"/>
          <w:noProof/>
          <w:color w:val="auto"/>
          <w:szCs w:val="22"/>
        </w:rPr>
      </w:pPr>
      <w:hyperlink w:history="1" w:anchor="_Toc81309115">
        <w:r w:rsidRPr="002E52D6" w:rsidR="00E3271D">
          <w:rPr>
            <w:rStyle w:val="Hyperlink"/>
            <w:noProof/>
          </w:rPr>
          <w:t>4.2.8</w:t>
        </w:r>
        <w:r w:rsidR="00E3271D">
          <w:rPr>
            <w:rFonts w:asciiTheme="minorHAnsi" w:hAnsiTheme="minorHAnsi" w:eastAsiaTheme="minorEastAsia" w:cstheme="minorBidi"/>
            <w:iCs w:val="0"/>
            <w:noProof/>
            <w:color w:val="auto"/>
            <w:szCs w:val="22"/>
          </w:rPr>
          <w:tab/>
        </w:r>
        <w:r w:rsidRPr="002E52D6" w:rsidR="00E3271D">
          <w:rPr>
            <w:rStyle w:val="Hyperlink"/>
            <w:noProof/>
          </w:rPr>
          <w:t>Applicability Period</w:t>
        </w:r>
        <w:r w:rsidR="00E3271D">
          <w:rPr>
            <w:noProof/>
            <w:webHidden/>
          </w:rPr>
          <w:tab/>
        </w:r>
        <w:r w:rsidR="00E3271D">
          <w:rPr>
            <w:noProof/>
            <w:webHidden/>
          </w:rPr>
          <w:fldChar w:fldCharType="begin"/>
        </w:r>
        <w:r w:rsidR="00E3271D">
          <w:rPr>
            <w:noProof/>
            <w:webHidden/>
          </w:rPr>
          <w:instrText xml:space="preserve"> PAGEREF _Toc81309115 \h </w:instrText>
        </w:r>
        <w:r w:rsidR="00E3271D">
          <w:rPr>
            <w:noProof/>
            <w:webHidden/>
          </w:rPr>
        </w:r>
        <w:r w:rsidR="00E3271D">
          <w:rPr>
            <w:noProof/>
            <w:webHidden/>
          </w:rPr>
          <w:fldChar w:fldCharType="separate"/>
        </w:r>
        <w:r w:rsidR="00E3271D">
          <w:rPr>
            <w:noProof/>
            <w:webHidden/>
          </w:rPr>
          <w:t>10</w:t>
        </w:r>
        <w:r w:rsidR="00E3271D">
          <w:rPr>
            <w:noProof/>
            <w:webHidden/>
          </w:rPr>
          <w:fldChar w:fldCharType="end"/>
        </w:r>
      </w:hyperlink>
    </w:p>
    <w:p w:rsidR="00E3271D" w:rsidRDefault="0057134D" w14:paraId="7CE4DA56" w14:textId="35B491CD">
      <w:pPr>
        <w:pStyle w:val="TOC3"/>
        <w:rPr>
          <w:rFonts w:asciiTheme="minorHAnsi" w:hAnsiTheme="minorHAnsi" w:eastAsiaTheme="minorEastAsia" w:cstheme="minorBidi"/>
          <w:iCs w:val="0"/>
          <w:noProof/>
          <w:color w:val="auto"/>
          <w:szCs w:val="22"/>
        </w:rPr>
      </w:pPr>
      <w:hyperlink w:history="1" w:anchor="_Toc81309116">
        <w:r w:rsidRPr="002E52D6" w:rsidR="00E3271D">
          <w:rPr>
            <w:rStyle w:val="Hyperlink"/>
            <w:noProof/>
          </w:rPr>
          <w:t>4.2.9</w:t>
        </w:r>
        <w:r w:rsidR="00E3271D">
          <w:rPr>
            <w:rFonts w:asciiTheme="minorHAnsi" w:hAnsiTheme="minorHAnsi" w:eastAsiaTheme="minorEastAsia" w:cstheme="minorBidi"/>
            <w:iCs w:val="0"/>
            <w:noProof/>
            <w:color w:val="auto"/>
            <w:szCs w:val="22"/>
          </w:rPr>
          <w:tab/>
        </w:r>
        <w:r w:rsidRPr="002E52D6" w:rsidR="00E3271D">
          <w:rPr>
            <w:rStyle w:val="Hyperlink"/>
            <w:noProof/>
          </w:rPr>
          <w:t>Cost Estimation</w:t>
        </w:r>
        <w:r w:rsidR="00E3271D">
          <w:rPr>
            <w:noProof/>
            <w:webHidden/>
          </w:rPr>
          <w:tab/>
        </w:r>
        <w:r w:rsidR="00E3271D">
          <w:rPr>
            <w:noProof/>
            <w:webHidden/>
          </w:rPr>
          <w:fldChar w:fldCharType="begin"/>
        </w:r>
        <w:r w:rsidR="00E3271D">
          <w:rPr>
            <w:noProof/>
            <w:webHidden/>
          </w:rPr>
          <w:instrText xml:space="preserve"> PAGEREF _Toc81309116 \h </w:instrText>
        </w:r>
        <w:r w:rsidR="00E3271D">
          <w:rPr>
            <w:noProof/>
            <w:webHidden/>
          </w:rPr>
        </w:r>
        <w:r w:rsidR="00E3271D">
          <w:rPr>
            <w:noProof/>
            <w:webHidden/>
          </w:rPr>
          <w:fldChar w:fldCharType="separate"/>
        </w:r>
        <w:r w:rsidR="00E3271D">
          <w:rPr>
            <w:noProof/>
            <w:webHidden/>
          </w:rPr>
          <w:t>10</w:t>
        </w:r>
        <w:r w:rsidR="00E3271D">
          <w:rPr>
            <w:noProof/>
            <w:webHidden/>
          </w:rPr>
          <w:fldChar w:fldCharType="end"/>
        </w:r>
      </w:hyperlink>
    </w:p>
    <w:p w:rsidR="00E3271D" w:rsidRDefault="0057134D" w14:paraId="72991285" w14:textId="0473C893">
      <w:pPr>
        <w:pStyle w:val="TOC3"/>
        <w:rPr>
          <w:rFonts w:asciiTheme="minorHAnsi" w:hAnsiTheme="minorHAnsi" w:eastAsiaTheme="minorEastAsia" w:cstheme="minorBidi"/>
          <w:iCs w:val="0"/>
          <w:noProof/>
          <w:color w:val="auto"/>
          <w:szCs w:val="22"/>
        </w:rPr>
      </w:pPr>
      <w:hyperlink w:history="1" w:anchor="_Toc81309117">
        <w:r w:rsidRPr="002E52D6" w:rsidR="00E3271D">
          <w:rPr>
            <w:rStyle w:val="Hyperlink"/>
            <w:noProof/>
          </w:rPr>
          <w:t>4.2.10</w:t>
        </w:r>
        <w:r w:rsidR="00E3271D">
          <w:rPr>
            <w:rFonts w:asciiTheme="minorHAnsi" w:hAnsiTheme="minorHAnsi" w:eastAsiaTheme="minorEastAsia" w:cstheme="minorBidi"/>
            <w:iCs w:val="0"/>
            <w:noProof/>
            <w:color w:val="auto"/>
            <w:szCs w:val="22"/>
          </w:rPr>
          <w:tab/>
        </w:r>
        <w:r w:rsidRPr="002E52D6" w:rsidR="00E3271D">
          <w:rPr>
            <w:rStyle w:val="Hyperlink"/>
            <w:noProof/>
          </w:rPr>
          <w:t>ASME BPV and OM Codes Incorporated by Reference</w:t>
        </w:r>
        <w:r w:rsidR="00E3271D">
          <w:rPr>
            <w:noProof/>
            <w:webHidden/>
          </w:rPr>
          <w:tab/>
        </w:r>
        <w:r w:rsidR="00E3271D">
          <w:rPr>
            <w:noProof/>
            <w:webHidden/>
          </w:rPr>
          <w:fldChar w:fldCharType="begin"/>
        </w:r>
        <w:r w:rsidR="00E3271D">
          <w:rPr>
            <w:noProof/>
            <w:webHidden/>
          </w:rPr>
          <w:instrText xml:space="preserve"> PAGEREF _Toc81309117 \h </w:instrText>
        </w:r>
        <w:r w:rsidR="00E3271D">
          <w:rPr>
            <w:noProof/>
            <w:webHidden/>
          </w:rPr>
        </w:r>
        <w:r w:rsidR="00E3271D">
          <w:rPr>
            <w:noProof/>
            <w:webHidden/>
          </w:rPr>
          <w:fldChar w:fldCharType="separate"/>
        </w:r>
        <w:r w:rsidR="00E3271D">
          <w:rPr>
            <w:noProof/>
            <w:webHidden/>
          </w:rPr>
          <w:t>11</w:t>
        </w:r>
        <w:r w:rsidR="00E3271D">
          <w:rPr>
            <w:noProof/>
            <w:webHidden/>
          </w:rPr>
          <w:fldChar w:fldCharType="end"/>
        </w:r>
      </w:hyperlink>
    </w:p>
    <w:p w:rsidR="00E3271D" w:rsidRDefault="0057134D" w14:paraId="75686D20" w14:textId="223A9F1A">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18">
        <w:r w:rsidRPr="002E52D6" w:rsidR="00E3271D">
          <w:rPr>
            <w:rStyle w:val="Hyperlink"/>
            <w:noProof/>
          </w:rPr>
          <w:t>4.3</w:t>
        </w:r>
        <w:r w:rsidR="00E3271D">
          <w:rPr>
            <w:rFonts w:asciiTheme="minorHAnsi" w:hAnsiTheme="minorHAnsi" w:eastAsiaTheme="minorEastAsia" w:cstheme="minorBidi"/>
            <w:noProof/>
            <w:color w:val="auto"/>
            <w:szCs w:val="22"/>
          </w:rPr>
          <w:tab/>
        </w:r>
        <w:r w:rsidRPr="002E52D6" w:rsidR="00E3271D">
          <w:rPr>
            <w:rStyle w:val="Hyperlink"/>
            <w:noProof/>
          </w:rPr>
          <w:t>Data</w:t>
        </w:r>
        <w:r w:rsidR="00E3271D">
          <w:rPr>
            <w:noProof/>
            <w:webHidden/>
          </w:rPr>
          <w:tab/>
        </w:r>
        <w:r w:rsidR="00E3271D">
          <w:rPr>
            <w:noProof/>
            <w:webHidden/>
          </w:rPr>
          <w:fldChar w:fldCharType="begin"/>
        </w:r>
        <w:r w:rsidR="00E3271D">
          <w:rPr>
            <w:noProof/>
            <w:webHidden/>
          </w:rPr>
          <w:instrText xml:space="preserve"> PAGEREF _Toc81309118 \h </w:instrText>
        </w:r>
        <w:r w:rsidR="00E3271D">
          <w:rPr>
            <w:noProof/>
            <w:webHidden/>
          </w:rPr>
        </w:r>
        <w:r w:rsidR="00E3271D">
          <w:rPr>
            <w:noProof/>
            <w:webHidden/>
          </w:rPr>
          <w:fldChar w:fldCharType="separate"/>
        </w:r>
        <w:r w:rsidR="00E3271D">
          <w:rPr>
            <w:noProof/>
            <w:webHidden/>
          </w:rPr>
          <w:t>11</w:t>
        </w:r>
        <w:r w:rsidR="00E3271D">
          <w:rPr>
            <w:noProof/>
            <w:webHidden/>
          </w:rPr>
          <w:fldChar w:fldCharType="end"/>
        </w:r>
      </w:hyperlink>
    </w:p>
    <w:p w:rsidR="00E3271D" w:rsidRDefault="0057134D" w14:paraId="422F6BB9" w14:textId="5B9010A3">
      <w:pPr>
        <w:pStyle w:val="TOC1"/>
        <w:rPr>
          <w:rFonts w:asciiTheme="minorHAnsi" w:hAnsiTheme="minorHAnsi" w:eastAsiaTheme="minorEastAsia" w:cstheme="minorBidi"/>
          <w:b w:val="0"/>
          <w:bCs w:val="0"/>
          <w:noProof/>
          <w:color w:val="auto"/>
          <w:szCs w:val="22"/>
        </w:rPr>
      </w:pPr>
      <w:hyperlink w:history="1" w:anchor="_Toc81309119">
        <w:r w:rsidRPr="002E52D6" w:rsidR="00E3271D">
          <w:rPr>
            <w:rStyle w:val="Hyperlink"/>
            <w:noProof/>
          </w:rPr>
          <w:t>5.</w:t>
        </w:r>
        <w:r w:rsidR="00E3271D">
          <w:rPr>
            <w:rFonts w:asciiTheme="minorHAnsi" w:hAnsiTheme="minorHAnsi" w:eastAsiaTheme="minorEastAsia" w:cstheme="minorBidi"/>
            <w:b w:val="0"/>
            <w:bCs w:val="0"/>
            <w:noProof/>
            <w:color w:val="auto"/>
            <w:szCs w:val="22"/>
          </w:rPr>
          <w:tab/>
        </w:r>
        <w:r w:rsidRPr="002E52D6" w:rsidR="00E3271D">
          <w:rPr>
            <w:rStyle w:val="Hyperlink"/>
            <w:noProof/>
          </w:rPr>
          <w:t>Results</w:t>
        </w:r>
        <w:r w:rsidR="00E3271D">
          <w:rPr>
            <w:noProof/>
            <w:webHidden/>
          </w:rPr>
          <w:tab/>
        </w:r>
        <w:r w:rsidR="00E3271D">
          <w:rPr>
            <w:noProof/>
            <w:webHidden/>
          </w:rPr>
          <w:fldChar w:fldCharType="begin"/>
        </w:r>
        <w:r w:rsidR="00E3271D">
          <w:rPr>
            <w:noProof/>
            <w:webHidden/>
          </w:rPr>
          <w:instrText xml:space="preserve"> PAGEREF _Toc81309119 \h </w:instrText>
        </w:r>
        <w:r w:rsidR="00E3271D">
          <w:rPr>
            <w:noProof/>
            <w:webHidden/>
          </w:rPr>
        </w:r>
        <w:r w:rsidR="00E3271D">
          <w:rPr>
            <w:noProof/>
            <w:webHidden/>
          </w:rPr>
          <w:fldChar w:fldCharType="separate"/>
        </w:r>
        <w:r w:rsidR="00E3271D">
          <w:rPr>
            <w:noProof/>
            <w:webHidden/>
          </w:rPr>
          <w:t>11</w:t>
        </w:r>
        <w:r w:rsidR="00E3271D">
          <w:rPr>
            <w:noProof/>
            <w:webHidden/>
          </w:rPr>
          <w:fldChar w:fldCharType="end"/>
        </w:r>
      </w:hyperlink>
    </w:p>
    <w:p w:rsidR="00E3271D" w:rsidRDefault="0057134D" w14:paraId="30445EDE" w14:textId="3410616B">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0">
        <w:r w:rsidRPr="002E52D6" w:rsidR="00E3271D">
          <w:rPr>
            <w:rStyle w:val="Hyperlink"/>
            <w:noProof/>
          </w:rPr>
          <w:t>5.1</w:t>
        </w:r>
        <w:r w:rsidR="00E3271D">
          <w:rPr>
            <w:rFonts w:asciiTheme="minorHAnsi" w:hAnsiTheme="minorHAnsi" w:eastAsiaTheme="minorEastAsia" w:cstheme="minorBidi"/>
            <w:noProof/>
            <w:color w:val="auto"/>
            <w:szCs w:val="22"/>
          </w:rPr>
          <w:tab/>
        </w:r>
        <w:r w:rsidRPr="002E52D6" w:rsidR="00E3271D">
          <w:rPr>
            <w:rStyle w:val="Hyperlink"/>
            <w:noProof/>
          </w:rPr>
          <w:t>Public Health (Accident)</w:t>
        </w:r>
        <w:r w:rsidR="00E3271D">
          <w:rPr>
            <w:noProof/>
            <w:webHidden/>
          </w:rPr>
          <w:tab/>
        </w:r>
        <w:r w:rsidR="00E3271D">
          <w:rPr>
            <w:noProof/>
            <w:webHidden/>
          </w:rPr>
          <w:fldChar w:fldCharType="begin"/>
        </w:r>
        <w:r w:rsidR="00E3271D">
          <w:rPr>
            <w:noProof/>
            <w:webHidden/>
          </w:rPr>
          <w:instrText xml:space="preserve"> PAGEREF _Toc81309120 \h </w:instrText>
        </w:r>
        <w:r w:rsidR="00E3271D">
          <w:rPr>
            <w:noProof/>
            <w:webHidden/>
          </w:rPr>
        </w:r>
        <w:r w:rsidR="00E3271D">
          <w:rPr>
            <w:noProof/>
            <w:webHidden/>
          </w:rPr>
          <w:fldChar w:fldCharType="separate"/>
        </w:r>
        <w:r w:rsidR="00E3271D">
          <w:rPr>
            <w:noProof/>
            <w:webHidden/>
          </w:rPr>
          <w:t>14</w:t>
        </w:r>
        <w:r w:rsidR="00E3271D">
          <w:rPr>
            <w:noProof/>
            <w:webHidden/>
          </w:rPr>
          <w:fldChar w:fldCharType="end"/>
        </w:r>
      </w:hyperlink>
    </w:p>
    <w:p w:rsidR="00E3271D" w:rsidRDefault="0057134D" w14:paraId="49F82923" w14:textId="09F2F996">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1">
        <w:r w:rsidRPr="002E52D6" w:rsidR="00E3271D">
          <w:rPr>
            <w:rStyle w:val="Hyperlink"/>
            <w:noProof/>
          </w:rPr>
          <w:t>5.2</w:t>
        </w:r>
        <w:r w:rsidR="00E3271D">
          <w:rPr>
            <w:rFonts w:asciiTheme="minorHAnsi" w:hAnsiTheme="minorHAnsi" w:eastAsiaTheme="minorEastAsia" w:cstheme="minorBidi"/>
            <w:noProof/>
            <w:color w:val="auto"/>
            <w:szCs w:val="22"/>
          </w:rPr>
          <w:tab/>
        </w:r>
        <w:r w:rsidRPr="002E52D6" w:rsidR="00E3271D">
          <w:rPr>
            <w:rStyle w:val="Hyperlink"/>
            <w:noProof/>
          </w:rPr>
          <w:t>Industry Implementation</w:t>
        </w:r>
        <w:r w:rsidR="00E3271D">
          <w:rPr>
            <w:noProof/>
            <w:webHidden/>
          </w:rPr>
          <w:tab/>
        </w:r>
        <w:r w:rsidR="00E3271D">
          <w:rPr>
            <w:noProof/>
            <w:webHidden/>
          </w:rPr>
          <w:fldChar w:fldCharType="begin"/>
        </w:r>
        <w:r w:rsidR="00E3271D">
          <w:rPr>
            <w:noProof/>
            <w:webHidden/>
          </w:rPr>
          <w:instrText xml:space="preserve"> PAGEREF _Toc81309121 \h </w:instrText>
        </w:r>
        <w:r w:rsidR="00E3271D">
          <w:rPr>
            <w:noProof/>
            <w:webHidden/>
          </w:rPr>
        </w:r>
        <w:r w:rsidR="00E3271D">
          <w:rPr>
            <w:noProof/>
            <w:webHidden/>
          </w:rPr>
          <w:fldChar w:fldCharType="separate"/>
        </w:r>
        <w:r w:rsidR="00E3271D">
          <w:rPr>
            <w:noProof/>
            <w:webHidden/>
          </w:rPr>
          <w:t>15</w:t>
        </w:r>
        <w:r w:rsidR="00E3271D">
          <w:rPr>
            <w:noProof/>
            <w:webHidden/>
          </w:rPr>
          <w:fldChar w:fldCharType="end"/>
        </w:r>
      </w:hyperlink>
    </w:p>
    <w:p w:rsidR="00E3271D" w:rsidRDefault="0057134D" w14:paraId="504F1049" w14:textId="0E015459">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2">
        <w:r w:rsidRPr="002E52D6" w:rsidR="00E3271D">
          <w:rPr>
            <w:rStyle w:val="Hyperlink"/>
            <w:noProof/>
          </w:rPr>
          <w:t>5.3</w:t>
        </w:r>
        <w:r w:rsidR="00E3271D">
          <w:rPr>
            <w:rFonts w:asciiTheme="minorHAnsi" w:hAnsiTheme="minorHAnsi" w:eastAsiaTheme="minorEastAsia" w:cstheme="minorBidi"/>
            <w:noProof/>
            <w:color w:val="auto"/>
            <w:szCs w:val="22"/>
          </w:rPr>
          <w:tab/>
        </w:r>
        <w:r w:rsidRPr="002E52D6" w:rsidR="00E3271D">
          <w:rPr>
            <w:rStyle w:val="Hyperlink"/>
            <w:noProof/>
          </w:rPr>
          <w:t>Industry Operation</w:t>
        </w:r>
        <w:r w:rsidR="00E3271D">
          <w:rPr>
            <w:noProof/>
            <w:webHidden/>
          </w:rPr>
          <w:tab/>
        </w:r>
        <w:r w:rsidR="00E3271D">
          <w:rPr>
            <w:noProof/>
            <w:webHidden/>
          </w:rPr>
          <w:fldChar w:fldCharType="begin"/>
        </w:r>
        <w:r w:rsidR="00E3271D">
          <w:rPr>
            <w:noProof/>
            <w:webHidden/>
          </w:rPr>
          <w:instrText xml:space="preserve"> PAGEREF _Toc81309122 \h </w:instrText>
        </w:r>
        <w:r w:rsidR="00E3271D">
          <w:rPr>
            <w:noProof/>
            <w:webHidden/>
          </w:rPr>
        </w:r>
        <w:r w:rsidR="00E3271D">
          <w:rPr>
            <w:noProof/>
            <w:webHidden/>
          </w:rPr>
          <w:fldChar w:fldCharType="separate"/>
        </w:r>
        <w:r w:rsidR="00E3271D">
          <w:rPr>
            <w:noProof/>
            <w:webHidden/>
          </w:rPr>
          <w:t>15</w:t>
        </w:r>
        <w:r w:rsidR="00E3271D">
          <w:rPr>
            <w:noProof/>
            <w:webHidden/>
          </w:rPr>
          <w:fldChar w:fldCharType="end"/>
        </w:r>
      </w:hyperlink>
    </w:p>
    <w:p w:rsidR="00E3271D" w:rsidRDefault="0057134D" w14:paraId="0430A1EE" w14:textId="0AFE9F5B">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3">
        <w:r w:rsidRPr="002E52D6" w:rsidR="00E3271D">
          <w:rPr>
            <w:rStyle w:val="Hyperlink"/>
            <w:noProof/>
          </w:rPr>
          <w:t>5.4</w:t>
        </w:r>
        <w:r w:rsidR="00E3271D">
          <w:rPr>
            <w:rFonts w:asciiTheme="minorHAnsi" w:hAnsiTheme="minorHAnsi" w:eastAsiaTheme="minorEastAsia" w:cstheme="minorBidi"/>
            <w:noProof/>
            <w:color w:val="auto"/>
            <w:szCs w:val="22"/>
          </w:rPr>
          <w:tab/>
        </w:r>
        <w:r w:rsidRPr="002E52D6" w:rsidR="00E3271D">
          <w:rPr>
            <w:rStyle w:val="Hyperlink"/>
            <w:noProof/>
          </w:rPr>
          <w:t>Occupational Health (Accident and Routine)</w:t>
        </w:r>
        <w:r w:rsidR="00E3271D">
          <w:rPr>
            <w:noProof/>
            <w:webHidden/>
          </w:rPr>
          <w:tab/>
        </w:r>
        <w:r w:rsidR="00E3271D">
          <w:rPr>
            <w:noProof/>
            <w:webHidden/>
          </w:rPr>
          <w:fldChar w:fldCharType="begin"/>
        </w:r>
        <w:r w:rsidR="00E3271D">
          <w:rPr>
            <w:noProof/>
            <w:webHidden/>
          </w:rPr>
          <w:instrText xml:space="preserve"> PAGEREF _Toc81309123 \h </w:instrText>
        </w:r>
        <w:r w:rsidR="00E3271D">
          <w:rPr>
            <w:noProof/>
            <w:webHidden/>
          </w:rPr>
        </w:r>
        <w:r w:rsidR="00E3271D">
          <w:rPr>
            <w:noProof/>
            <w:webHidden/>
          </w:rPr>
          <w:fldChar w:fldCharType="separate"/>
        </w:r>
        <w:r w:rsidR="00E3271D">
          <w:rPr>
            <w:noProof/>
            <w:webHidden/>
          </w:rPr>
          <w:t>18</w:t>
        </w:r>
        <w:r w:rsidR="00E3271D">
          <w:rPr>
            <w:noProof/>
            <w:webHidden/>
          </w:rPr>
          <w:fldChar w:fldCharType="end"/>
        </w:r>
      </w:hyperlink>
    </w:p>
    <w:p w:rsidR="00E3271D" w:rsidRDefault="0057134D" w14:paraId="58C0E008" w14:textId="1BC5D4A2">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4">
        <w:r w:rsidRPr="002E52D6" w:rsidR="00E3271D">
          <w:rPr>
            <w:rStyle w:val="Hyperlink"/>
            <w:noProof/>
          </w:rPr>
          <w:t>5.5</w:t>
        </w:r>
        <w:r w:rsidR="00E3271D">
          <w:rPr>
            <w:rFonts w:asciiTheme="minorHAnsi" w:hAnsiTheme="minorHAnsi" w:eastAsiaTheme="minorEastAsia" w:cstheme="minorBidi"/>
            <w:noProof/>
            <w:color w:val="auto"/>
            <w:szCs w:val="22"/>
          </w:rPr>
          <w:tab/>
        </w:r>
        <w:r w:rsidRPr="002E52D6" w:rsidR="00E3271D">
          <w:rPr>
            <w:rStyle w:val="Hyperlink"/>
            <w:noProof/>
          </w:rPr>
          <w:t>Net Industry Costs</w:t>
        </w:r>
        <w:r w:rsidR="00E3271D">
          <w:rPr>
            <w:noProof/>
            <w:webHidden/>
          </w:rPr>
          <w:tab/>
        </w:r>
        <w:r w:rsidR="00E3271D">
          <w:rPr>
            <w:noProof/>
            <w:webHidden/>
          </w:rPr>
          <w:fldChar w:fldCharType="begin"/>
        </w:r>
        <w:r w:rsidR="00E3271D">
          <w:rPr>
            <w:noProof/>
            <w:webHidden/>
          </w:rPr>
          <w:instrText xml:space="preserve"> PAGEREF _Toc81309124 \h </w:instrText>
        </w:r>
        <w:r w:rsidR="00E3271D">
          <w:rPr>
            <w:noProof/>
            <w:webHidden/>
          </w:rPr>
        </w:r>
        <w:r w:rsidR="00E3271D">
          <w:rPr>
            <w:noProof/>
            <w:webHidden/>
          </w:rPr>
          <w:fldChar w:fldCharType="separate"/>
        </w:r>
        <w:r w:rsidR="00E3271D">
          <w:rPr>
            <w:noProof/>
            <w:webHidden/>
          </w:rPr>
          <w:t>18</w:t>
        </w:r>
        <w:r w:rsidR="00E3271D">
          <w:rPr>
            <w:noProof/>
            <w:webHidden/>
          </w:rPr>
          <w:fldChar w:fldCharType="end"/>
        </w:r>
      </w:hyperlink>
    </w:p>
    <w:p w:rsidR="00E3271D" w:rsidRDefault="0057134D" w14:paraId="7A5F7210" w14:textId="61510FCD">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5">
        <w:r w:rsidRPr="002E52D6" w:rsidR="00E3271D">
          <w:rPr>
            <w:rStyle w:val="Hyperlink"/>
            <w:noProof/>
          </w:rPr>
          <w:t>5.6</w:t>
        </w:r>
        <w:r w:rsidR="00E3271D">
          <w:rPr>
            <w:rFonts w:asciiTheme="minorHAnsi" w:hAnsiTheme="minorHAnsi" w:eastAsiaTheme="minorEastAsia" w:cstheme="minorBidi"/>
            <w:noProof/>
            <w:color w:val="auto"/>
            <w:szCs w:val="22"/>
          </w:rPr>
          <w:tab/>
        </w:r>
        <w:r w:rsidRPr="002E52D6" w:rsidR="00E3271D">
          <w:rPr>
            <w:rStyle w:val="Hyperlink"/>
            <w:noProof/>
          </w:rPr>
          <w:t>NRC Implementation</w:t>
        </w:r>
        <w:r w:rsidR="00E3271D">
          <w:rPr>
            <w:noProof/>
            <w:webHidden/>
          </w:rPr>
          <w:tab/>
        </w:r>
        <w:r w:rsidR="00E3271D">
          <w:rPr>
            <w:noProof/>
            <w:webHidden/>
          </w:rPr>
          <w:fldChar w:fldCharType="begin"/>
        </w:r>
        <w:r w:rsidR="00E3271D">
          <w:rPr>
            <w:noProof/>
            <w:webHidden/>
          </w:rPr>
          <w:instrText xml:space="preserve"> PAGEREF _Toc81309125 \h </w:instrText>
        </w:r>
        <w:r w:rsidR="00E3271D">
          <w:rPr>
            <w:noProof/>
            <w:webHidden/>
          </w:rPr>
        </w:r>
        <w:r w:rsidR="00E3271D">
          <w:rPr>
            <w:noProof/>
            <w:webHidden/>
          </w:rPr>
          <w:fldChar w:fldCharType="separate"/>
        </w:r>
        <w:r w:rsidR="00E3271D">
          <w:rPr>
            <w:noProof/>
            <w:webHidden/>
          </w:rPr>
          <w:t>19</w:t>
        </w:r>
        <w:r w:rsidR="00E3271D">
          <w:rPr>
            <w:noProof/>
            <w:webHidden/>
          </w:rPr>
          <w:fldChar w:fldCharType="end"/>
        </w:r>
      </w:hyperlink>
    </w:p>
    <w:p w:rsidR="00E3271D" w:rsidRDefault="0057134D" w14:paraId="3AA7C3E1" w14:textId="5CBEE21E">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6">
        <w:r w:rsidRPr="002E52D6" w:rsidR="00E3271D">
          <w:rPr>
            <w:rStyle w:val="Hyperlink"/>
            <w:noProof/>
          </w:rPr>
          <w:t>5.7</w:t>
        </w:r>
        <w:r w:rsidR="00E3271D">
          <w:rPr>
            <w:rFonts w:asciiTheme="minorHAnsi" w:hAnsiTheme="minorHAnsi" w:eastAsiaTheme="minorEastAsia" w:cstheme="minorBidi"/>
            <w:noProof/>
            <w:color w:val="auto"/>
            <w:szCs w:val="22"/>
          </w:rPr>
          <w:tab/>
        </w:r>
        <w:r w:rsidRPr="002E52D6" w:rsidR="00E3271D">
          <w:rPr>
            <w:rStyle w:val="Hyperlink"/>
            <w:noProof/>
          </w:rPr>
          <w:t>NRC Operation</w:t>
        </w:r>
        <w:r w:rsidR="00E3271D">
          <w:rPr>
            <w:noProof/>
            <w:webHidden/>
          </w:rPr>
          <w:tab/>
        </w:r>
        <w:r w:rsidR="00E3271D">
          <w:rPr>
            <w:noProof/>
            <w:webHidden/>
          </w:rPr>
          <w:fldChar w:fldCharType="begin"/>
        </w:r>
        <w:r w:rsidR="00E3271D">
          <w:rPr>
            <w:noProof/>
            <w:webHidden/>
          </w:rPr>
          <w:instrText xml:space="preserve"> PAGEREF _Toc81309126 \h </w:instrText>
        </w:r>
        <w:r w:rsidR="00E3271D">
          <w:rPr>
            <w:noProof/>
            <w:webHidden/>
          </w:rPr>
        </w:r>
        <w:r w:rsidR="00E3271D">
          <w:rPr>
            <w:noProof/>
            <w:webHidden/>
          </w:rPr>
          <w:fldChar w:fldCharType="separate"/>
        </w:r>
        <w:r w:rsidR="00E3271D">
          <w:rPr>
            <w:noProof/>
            <w:webHidden/>
          </w:rPr>
          <w:t>19</w:t>
        </w:r>
        <w:r w:rsidR="00E3271D">
          <w:rPr>
            <w:noProof/>
            <w:webHidden/>
          </w:rPr>
          <w:fldChar w:fldCharType="end"/>
        </w:r>
      </w:hyperlink>
    </w:p>
    <w:p w:rsidR="00E3271D" w:rsidRDefault="0057134D" w14:paraId="51125026" w14:textId="30793BD5">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7">
        <w:r w:rsidRPr="002E52D6" w:rsidR="00E3271D">
          <w:rPr>
            <w:rStyle w:val="Hyperlink"/>
            <w:noProof/>
          </w:rPr>
          <w:t>5.8</w:t>
        </w:r>
        <w:r w:rsidR="00E3271D">
          <w:rPr>
            <w:rFonts w:asciiTheme="minorHAnsi" w:hAnsiTheme="minorHAnsi" w:eastAsiaTheme="minorEastAsia" w:cstheme="minorBidi"/>
            <w:noProof/>
            <w:color w:val="auto"/>
            <w:szCs w:val="22"/>
          </w:rPr>
          <w:tab/>
        </w:r>
        <w:r w:rsidRPr="002E52D6" w:rsidR="00E3271D">
          <w:rPr>
            <w:rStyle w:val="Hyperlink"/>
            <w:noProof/>
          </w:rPr>
          <w:t>Net NRC Costs</w:t>
        </w:r>
        <w:r w:rsidR="00E3271D">
          <w:rPr>
            <w:noProof/>
            <w:webHidden/>
          </w:rPr>
          <w:tab/>
        </w:r>
        <w:r w:rsidR="00E3271D">
          <w:rPr>
            <w:noProof/>
            <w:webHidden/>
          </w:rPr>
          <w:fldChar w:fldCharType="begin"/>
        </w:r>
        <w:r w:rsidR="00E3271D">
          <w:rPr>
            <w:noProof/>
            <w:webHidden/>
          </w:rPr>
          <w:instrText xml:space="preserve"> PAGEREF _Toc81309127 \h </w:instrText>
        </w:r>
        <w:r w:rsidR="00E3271D">
          <w:rPr>
            <w:noProof/>
            <w:webHidden/>
          </w:rPr>
        </w:r>
        <w:r w:rsidR="00E3271D">
          <w:rPr>
            <w:noProof/>
            <w:webHidden/>
          </w:rPr>
          <w:fldChar w:fldCharType="separate"/>
        </w:r>
        <w:r w:rsidR="00E3271D">
          <w:rPr>
            <w:noProof/>
            <w:webHidden/>
          </w:rPr>
          <w:t>19</w:t>
        </w:r>
        <w:r w:rsidR="00E3271D">
          <w:rPr>
            <w:noProof/>
            <w:webHidden/>
          </w:rPr>
          <w:fldChar w:fldCharType="end"/>
        </w:r>
      </w:hyperlink>
    </w:p>
    <w:p w:rsidR="00E3271D" w:rsidRDefault="0057134D" w14:paraId="4699B199" w14:textId="0F9ED925">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8">
        <w:r w:rsidRPr="002E52D6" w:rsidR="00E3271D">
          <w:rPr>
            <w:rStyle w:val="Hyperlink"/>
            <w:noProof/>
          </w:rPr>
          <w:t>5.9</w:t>
        </w:r>
        <w:r w:rsidR="00E3271D">
          <w:rPr>
            <w:rFonts w:asciiTheme="minorHAnsi" w:hAnsiTheme="minorHAnsi" w:eastAsiaTheme="minorEastAsia" w:cstheme="minorBidi"/>
            <w:noProof/>
            <w:color w:val="auto"/>
            <w:szCs w:val="22"/>
          </w:rPr>
          <w:tab/>
        </w:r>
        <w:r w:rsidRPr="002E52D6" w:rsidR="00E3271D">
          <w:rPr>
            <w:rStyle w:val="Hyperlink"/>
            <w:noProof/>
          </w:rPr>
          <w:t>Net Costs</w:t>
        </w:r>
        <w:r w:rsidR="00E3271D">
          <w:rPr>
            <w:noProof/>
            <w:webHidden/>
          </w:rPr>
          <w:tab/>
        </w:r>
        <w:r w:rsidR="00E3271D">
          <w:rPr>
            <w:noProof/>
            <w:webHidden/>
          </w:rPr>
          <w:fldChar w:fldCharType="begin"/>
        </w:r>
        <w:r w:rsidR="00E3271D">
          <w:rPr>
            <w:noProof/>
            <w:webHidden/>
          </w:rPr>
          <w:instrText xml:space="preserve"> PAGEREF _Toc81309128 \h </w:instrText>
        </w:r>
        <w:r w:rsidR="00E3271D">
          <w:rPr>
            <w:noProof/>
            <w:webHidden/>
          </w:rPr>
        </w:r>
        <w:r w:rsidR="00E3271D">
          <w:rPr>
            <w:noProof/>
            <w:webHidden/>
          </w:rPr>
          <w:fldChar w:fldCharType="separate"/>
        </w:r>
        <w:r w:rsidR="00E3271D">
          <w:rPr>
            <w:noProof/>
            <w:webHidden/>
          </w:rPr>
          <w:t>20</w:t>
        </w:r>
        <w:r w:rsidR="00E3271D">
          <w:rPr>
            <w:noProof/>
            <w:webHidden/>
          </w:rPr>
          <w:fldChar w:fldCharType="end"/>
        </w:r>
      </w:hyperlink>
    </w:p>
    <w:p w:rsidR="00E3271D" w:rsidRDefault="0057134D" w14:paraId="113F14B9" w14:textId="102032FA">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29">
        <w:r w:rsidRPr="002E52D6" w:rsidR="00E3271D">
          <w:rPr>
            <w:rStyle w:val="Hyperlink"/>
            <w:noProof/>
          </w:rPr>
          <w:t>5.10</w:t>
        </w:r>
        <w:r w:rsidR="00E3271D">
          <w:rPr>
            <w:rFonts w:asciiTheme="minorHAnsi" w:hAnsiTheme="minorHAnsi" w:eastAsiaTheme="minorEastAsia" w:cstheme="minorBidi"/>
            <w:noProof/>
            <w:color w:val="auto"/>
            <w:szCs w:val="22"/>
          </w:rPr>
          <w:tab/>
        </w:r>
        <w:r w:rsidRPr="002E52D6" w:rsidR="00E3271D">
          <w:rPr>
            <w:rStyle w:val="Hyperlink"/>
            <w:noProof/>
          </w:rPr>
          <w:t>Improvements in Knowledge</w:t>
        </w:r>
        <w:r w:rsidR="00E3271D">
          <w:rPr>
            <w:noProof/>
            <w:webHidden/>
          </w:rPr>
          <w:tab/>
        </w:r>
        <w:r w:rsidR="00E3271D">
          <w:rPr>
            <w:noProof/>
            <w:webHidden/>
          </w:rPr>
          <w:fldChar w:fldCharType="begin"/>
        </w:r>
        <w:r w:rsidR="00E3271D">
          <w:rPr>
            <w:noProof/>
            <w:webHidden/>
          </w:rPr>
          <w:instrText xml:space="preserve"> PAGEREF _Toc81309129 \h </w:instrText>
        </w:r>
        <w:r w:rsidR="00E3271D">
          <w:rPr>
            <w:noProof/>
            <w:webHidden/>
          </w:rPr>
        </w:r>
        <w:r w:rsidR="00E3271D">
          <w:rPr>
            <w:noProof/>
            <w:webHidden/>
          </w:rPr>
          <w:fldChar w:fldCharType="separate"/>
        </w:r>
        <w:r w:rsidR="00E3271D">
          <w:rPr>
            <w:noProof/>
            <w:webHidden/>
          </w:rPr>
          <w:t>20</w:t>
        </w:r>
        <w:r w:rsidR="00E3271D">
          <w:rPr>
            <w:noProof/>
            <w:webHidden/>
          </w:rPr>
          <w:fldChar w:fldCharType="end"/>
        </w:r>
      </w:hyperlink>
    </w:p>
    <w:p w:rsidR="00E3271D" w:rsidRDefault="0057134D" w14:paraId="3C0AC464" w14:textId="3E5062FC">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30">
        <w:r w:rsidRPr="002E52D6" w:rsidR="00E3271D">
          <w:rPr>
            <w:rStyle w:val="Hyperlink"/>
            <w:noProof/>
          </w:rPr>
          <w:t>5.11</w:t>
        </w:r>
        <w:r w:rsidR="00E3271D">
          <w:rPr>
            <w:rFonts w:asciiTheme="minorHAnsi" w:hAnsiTheme="minorHAnsi" w:eastAsiaTheme="minorEastAsia" w:cstheme="minorBidi"/>
            <w:noProof/>
            <w:color w:val="auto"/>
            <w:szCs w:val="22"/>
          </w:rPr>
          <w:tab/>
        </w:r>
        <w:r w:rsidRPr="002E52D6" w:rsidR="00E3271D">
          <w:rPr>
            <w:rStyle w:val="Hyperlink"/>
            <w:noProof/>
          </w:rPr>
          <w:t>Regulatory Efficiency</w:t>
        </w:r>
        <w:r w:rsidR="00E3271D">
          <w:rPr>
            <w:noProof/>
            <w:webHidden/>
          </w:rPr>
          <w:tab/>
        </w:r>
        <w:r w:rsidR="00E3271D">
          <w:rPr>
            <w:noProof/>
            <w:webHidden/>
          </w:rPr>
          <w:fldChar w:fldCharType="begin"/>
        </w:r>
        <w:r w:rsidR="00E3271D">
          <w:rPr>
            <w:noProof/>
            <w:webHidden/>
          </w:rPr>
          <w:instrText xml:space="preserve"> PAGEREF _Toc81309130 \h </w:instrText>
        </w:r>
        <w:r w:rsidR="00E3271D">
          <w:rPr>
            <w:noProof/>
            <w:webHidden/>
          </w:rPr>
        </w:r>
        <w:r w:rsidR="00E3271D">
          <w:rPr>
            <w:noProof/>
            <w:webHidden/>
          </w:rPr>
          <w:fldChar w:fldCharType="separate"/>
        </w:r>
        <w:r w:rsidR="00E3271D">
          <w:rPr>
            <w:noProof/>
            <w:webHidden/>
          </w:rPr>
          <w:t>20</w:t>
        </w:r>
        <w:r w:rsidR="00E3271D">
          <w:rPr>
            <w:noProof/>
            <w:webHidden/>
          </w:rPr>
          <w:fldChar w:fldCharType="end"/>
        </w:r>
      </w:hyperlink>
    </w:p>
    <w:p w:rsidR="00E3271D" w:rsidRDefault="0057134D" w14:paraId="041CF93D" w14:textId="2CF22B70">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31">
        <w:r w:rsidRPr="002E52D6" w:rsidR="00E3271D">
          <w:rPr>
            <w:rStyle w:val="Hyperlink"/>
            <w:noProof/>
          </w:rPr>
          <w:t>5.12</w:t>
        </w:r>
        <w:r w:rsidR="00E3271D">
          <w:rPr>
            <w:rFonts w:asciiTheme="minorHAnsi" w:hAnsiTheme="minorHAnsi" w:eastAsiaTheme="minorEastAsia" w:cstheme="minorBidi"/>
            <w:noProof/>
            <w:color w:val="auto"/>
            <w:szCs w:val="22"/>
          </w:rPr>
          <w:tab/>
        </w:r>
        <w:r w:rsidRPr="002E52D6" w:rsidR="00E3271D">
          <w:rPr>
            <w:rStyle w:val="Hyperlink"/>
            <w:noProof/>
          </w:rPr>
          <w:t>Other Considerations</w:t>
        </w:r>
        <w:r w:rsidR="00E3271D">
          <w:rPr>
            <w:noProof/>
            <w:webHidden/>
          </w:rPr>
          <w:tab/>
        </w:r>
        <w:r w:rsidR="00E3271D">
          <w:rPr>
            <w:noProof/>
            <w:webHidden/>
          </w:rPr>
          <w:fldChar w:fldCharType="begin"/>
        </w:r>
        <w:r w:rsidR="00E3271D">
          <w:rPr>
            <w:noProof/>
            <w:webHidden/>
          </w:rPr>
          <w:instrText xml:space="preserve"> PAGEREF _Toc81309131 \h </w:instrText>
        </w:r>
        <w:r w:rsidR="00E3271D">
          <w:rPr>
            <w:noProof/>
            <w:webHidden/>
          </w:rPr>
        </w:r>
        <w:r w:rsidR="00E3271D">
          <w:rPr>
            <w:noProof/>
            <w:webHidden/>
          </w:rPr>
          <w:fldChar w:fldCharType="separate"/>
        </w:r>
        <w:r w:rsidR="00E3271D">
          <w:rPr>
            <w:noProof/>
            <w:webHidden/>
          </w:rPr>
          <w:t>21</w:t>
        </w:r>
        <w:r w:rsidR="00E3271D">
          <w:rPr>
            <w:noProof/>
            <w:webHidden/>
          </w:rPr>
          <w:fldChar w:fldCharType="end"/>
        </w:r>
      </w:hyperlink>
    </w:p>
    <w:p w:rsidR="00E3271D" w:rsidRDefault="0057134D" w14:paraId="66924285" w14:textId="51BA05BD">
      <w:pPr>
        <w:pStyle w:val="TOC3"/>
        <w:rPr>
          <w:rFonts w:asciiTheme="minorHAnsi" w:hAnsiTheme="minorHAnsi" w:eastAsiaTheme="minorEastAsia" w:cstheme="minorBidi"/>
          <w:iCs w:val="0"/>
          <w:noProof/>
          <w:color w:val="auto"/>
          <w:szCs w:val="22"/>
        </w:rPr>
      </w:pPr>
      <w:hyperlink w:history="1" w:anchor="_Toc81309132">
        <w:r w:rsidRPr="002E52D6" w:rsidR="00E3271D">
          <w:rPr>
            <w:rStyle w:val="Hyperlink"/>
            <w:noProof/>
          </w:rPr>
          <w:t>5.12.1</w:t>
        </w:r>
        <w:r w:rsidR="00E3271D">
          <w:rPr>
            <w:rFonts w:asciiTheme="minorHAnsi" w:hAnsiTheme="minorHAnsi" w:eastAsiaTheme="minorEastAsia" w:cstheme="minorBidi"/>
            <w:iCs w:val="0"/>
            <w:noProof/>
            <w:color w:val="auto"/>
            <w:szCs w:val="22"/>
          </w:rPr>
          <w:tab/>
        </w:r>
        <w:r w:rsidRPr="002E52D6" w:rsidR="00E3271D">
          <w:rPr>
            <w:rStyle w:val="Hyperlink"/>
            <w:noProof/>
          </w:rPr>
          <w:t>Consistency with National Technology Transfer and Advancement Act of 1995 and Implementing Guidance</w:t>
        </w:r>
        <w:r w:rsidR="00E3271D">
          <w:rPr>
            <w:noProof/>
            <w:webHidden/>
          </w:rPr>
          <w:tab/>
        </w:r>
        <w:r w:rsidR="00E3271D">
          <w:rPr>
            <w:noProof/>
            <w:webHidden/>
          </w:rPr>
          <w:fldChar w:fldCharType="begin"/>
        </w:r>
        <w:r w:rsidR="00E3271D">
          <w:rPr>
            <w:noProof/>
            <w:webHidden/>
          </w:rPr>
          <w:instrText xml:space="preserve"> PAGEREF _Toc81309132 \h </w:instrText>
        </w:r>
        <w:r w:rsidR="00E3271D">
          <w:rPr>
            <w:noProof/>
            <w:webHidden/>
          </w:rPr>
        </w:r>
        <w:r w:rsidR="00E3271D">
          <w:rPr>
            <w:noProof/>
            <w:webHidden/>
          </w:rPr>
          <w:fldChar w:fldCharType="separate"/>
        </w:r>
        <w:r w:rsidR="00E3271D">
          <w:rPr>
            <w:noProof/>
            <w:webHidden/>
          </w:rPr>
          <w:t>21</w:t>
        </w:r>
        <w:r w:rsidR="00E3271D">
          <w:rPr>
            <w:noProof/>
            <w:webHidden/>
          </w:rPr>
          <w:fldChar w:fldCharType="end"/>
        </w:r>
      </w:hyperlink>
    </w:p>
    <w:p w:rsidR="00E3271D" w:rsidRDefault="0057134D" w14:paraId="140ECC59" w14:textId="37978F5B">
      <w:pPr>
        <w:pStyle w:val="TOC3"/>
        <w:rPr>
          <w:rFonts w:asciiTheme="minorHAnsi" w:hAnsiTheme="minorHAnsi" w:eastAsiaTheme="minorEastAsia" w:cstheme="minorBidi"/>
          <w:iCs w:val="0"/>
          <w:noProof/>
          <w:color w:val="auto"/>
          <w:szCs w:val="22"/>
        </w:rPr>
      </w:pPr>
      <w:hyperlink w:history="1" w:anchor="_Toc81309133">
        <w:r w:rsidRPr="002E52D6" w:rsidR="00E3271D">
          <w:rPr>
            <w:rStyle w:val="Hyperlink"/>
            <w:noProof/>
          </w:rPr>
          <w:t>5.12.2</w:t>
        </w:r>
        <w:r w:rsidR="00E3271D">
          <w:rPr>
            <w:rFonts w:asciiTheme="minorHAnsi" w:hAnsiTheme="minorHAnsi" w:eastAsiaTheme="minorEastAsia" w:cstheme="minorBidi"/>
            <w:iCs w:val="0"/>
            <w:noProof/>
            <w:color w:val="auto"/>
            <w:szCs w:val="22"/>
          </w:rPr>
          <w:tab/>
        </w:r>
        <w:r w:rsidRPr="002E52D6" w:rsidR="00E3271D">
          <w:rPr>
            <w:rStyle w:val="Hyperlink"/>
            <w:noProof/>
          </w:rPr>
          <w:t>Continuation of NRC Practice of Incorporation by Reference of ASME Code Editions and Addenda into the Code of Federal Regulations</w:t>
        </w:r>
        <w:r w:rsidR="00E3271D">
          <w:rPr>
            <w:noProof/>
            <w:webHidden/>
          </w:rPr>
          <w:tab/>
        </w:r>
        <w:r w:rsidR="00E3271D">
          <w:rPr>
            <w:noProof/>
            <w:webHidden/>
          </w:rPr>
          <w:fldChar w:fldCharType="begin"/>
        </w:r>
        <w:r w:rsidR="00E3271D">
          <w:rPr>
            <w:noProof/>
            <w:webHidden/>
          </w:rPr>
          <w:instrText xml:space="preserve"> PAGEREF _Toc81309133 \h </w:instrText>
        </w:r>
        <w:r w:rsidR="00E3271D">
          <w:rPr>
            <w:noProof/>
            <w:webHidden/>
          </w:rPr>
        </w:r>
        <w:r w:rsidR="00E3271D">
          <w:rPr>
            <w:noProof/>
            <w:webHidden/>
          </w:rPr>
          <w:fldChar w:fldCharType="separate"/>
        </w:r>
        <w:r w:rsidR="00E3271D">
          <w:rPr>
            <w:noProof/>
            <w:webHidden/>
          </w:rPr>
          <w:t>21</w:t>
        </w:r>
        <w:r w:rsidR="00E3271D">
          <w:rPr>
            <w:noProof/>
            <w:webHidden/>
          </w:rPr>
          <w:fldChar w:fldCharType="end"/>
        </w:r>
      </w:hyperlink>
    </w:p>
    <w:p w:rsidR="00E3271D" w:rsidRDefault="0057134D" w14:paraId="16C2389E" w14:textId="09E51DCD">
      <w:pPr>
        <w:pStyle w:val="TOC3"/>
        <w:rPr>
          <w:rFonts w:asciiTheme="minorHAnsi" w:hAnsiTheme="minorHAnsi" w:eastAsiaTheme="minorEastAsia" w:cstheme="minorBidi"/>
          <w:iCs w:val="0"/>
          <w:noProof/>
          <w:color w:val="auto"/>
          <w:szCs w:val="22"/>
        </w:rPr>
      </w:pPr>
      <w:hyperlink w:history="1" w:anchor="_Toc81309134">
        <w:r w:rsidRPr="002E52D6" w:rsidR="00E3271D">
          <w:rPr>
            <w:rStyle w:val="Hyperlink"/>
            <w:noProof/>
          </w:rPr>
          <w:t>5.12.3</w:t>
        </w:r>
        <w:r w:rsidR="00E3271D">
          <w:rPr>
            <w:rFonts w:asciiTheme="minorHAnsi" w:hAnsiTheme="minorHAnsi" w:eastAsiaTheme="minorEastAsia" w:cstheme="minorBidi"/>
            <w:iCs w:val="0"/>
            <w:noProof/>
            <w:color w:val="auto"/>
            <w:szCs w:val="22"/>
          </w:rPr>
          <w:tab/>
        </w:r>
        <w:r w:rsidRPr="002E52D6" w:rsidR="00E3271D">
          <w:rPr>
            <w:rStyle w:val="Hyperlink"/>
            <w:noProof/>
          </w:rPr>
          <w:t>Increased Public Confidence</w:t>
        </w:r>
        <w:r w:rsidR="00E3271D">
          <w:rPr>
            <w:noProof/>
            <w:webHidden/>
          </w:rPr>
          <w:tab/>
        </w:r>
        <w:r w:rsidR="00E3271D">
          <w:rPr>
            <w:noProof/>
            <w:webHidden/>
          </w:rPr>
          <w:fldChar w:fldCharType="begin"/>
        </w:r>
        <w:r w:rsidR="00E3271D">
          <w:rPr>
            <w:noProof/>
            <w:webHidden/>
          </w:rPr>
          <w:instrText xml:space="preserve"> PAGEREF _Toc81309134 \h </w:instrText>
        </w:r>
        <w:r w:rsidR="00E3271D">
          <w:rPr>
            <w:noProof/>
            <w:webHidden/>
          </w:rPr>
        </w:r>
        <w:r w:rsidR="00E3271D">
          <w:rPr>
            <w:noProof/>
            <w:webHidden/>
          </w:rPr>
          <w:fldChar w:fldCharType="separate"/>
        </w:r>
        <w:r w:rsidR="00E3271D">
          <w:rPr>
            <w:noProof/>
            <w:webHidden/>
          </w:rPr>
          <w:t>21</w:t>
        </w:r>
        <w:r w:rsidR="00E3271D">
          <w:rPr>
            <w:noProof/>
            <w:webHidden/>
          </w:rPr>
          <w:fldChar w:fldCharType="end"/>
        </w:r>
      </w:hyperlink>
    </w:p>
    <w:p w:rsidR="00E3271D" w:rsidRDefault="0057134D" w14:paraId="3402C769" w14:textId="0150B444">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35">
        <w:r w:rsidRPr="002E52D6" w:rsidR="00E3271D">
          <w:rPr>
            <w:rStyle w:val="Hyperlink"/>
            <w:noProof/>
          </w:rPr>
          <w:t>5.13</w:t>
        </w:r>
        <w:r w:rsidR="00E3271D">
          <w:rPr>
            <w:rFonts w:asciiTheme="minorHAnsi" w:hAnsiTheme="minorHAnsi" w:eastAsiaTheme="minorEastAsia" w:cstheme="minorBidi"/>
            <w:noProof/>
            <w:color w:val="auto"/>
            <w:szCs w:val="22"/>
          </w:rPr>
          <w:tab/>
        </w:r>
        <w:r w:rsidRPr="002E52D6" w:rsidR="00E3271D">
          <w:rPr>
            <w:rStyle w:val="Hyperlink"/>
            <w:noProof/>
          </w:rPr>
          <w:t>Uncertainty Analysis</w:t>
        </w:r>
        <w:r w:rsidR="00E3271D">
          <w:rPr>
            <w:noProof/>
            <w:webHidden/>
          </w:rPr>
          <w:tab/>
        </w:r>
        <w:r w:rsidR="00E3271D">
          <w:rPr>
            <w:noProof/>
            <w:webHidden/>
          </w:rPr>
          <w:fldChar w:fldCharType="begin"/>
        </w:r>
        <w:r w:rsidR="00E3271D">
          <w:rPr>
            <w:noProof/>
            <w:webHidden/>
          </w:rPr>
          <w:instrText xml:space="preserve"> PAGEREF _Toc81309135 \h </w:instrText>
        </w:r>
        <w:r w:rsidR="00E3271D">
          <w:rPr>
            <w:noProof/>
            <w:webHidden/>
          </w:rPr>
        </w:r>
        <w:r w:rsidR="00E3271D">
          <w:rPr>
            <w:noProof/>
            <w:webHidden/>
          </w:rPr>
          <w:fldChar w:fldCharType="separate"/>
        </w:r>
        <w:r w:rsidR="00E3271D">
          <w:rPr>
            <w:noProof/>
            <w:webHidden/>
          </w:rPr>
          <w:t>22</w:t>
        </w:r>
        <w:r w:rsidR="00E3271D">
          <w:rPr>
            <w:noProof/>
            <w:webHidden/>
          </w:rPr>
          <w:fldChar w:fldCharType="end"/>
        </w:r>
      </w:hyperlink>
    </w:p>
    <w:p w:rsidR="00E3271D" w:rsidRDefault="0057134D" w14:paraId="69A8E1F5" w14:textId="7B6BB850">
      <w:pPr>
        <w:pStyle w:val="TOC3"/>
        <w:rPr>
          <w:rFonts w:asciiTheme="minorHAnsi" w:hAnsiTheme="minorHAnsi" w:eastAsiaTheme="minorEastAsia" w:cstheme="minorBidi"/>
          <w:iCs w:val="0"/>
          <w:noProof/>
          <w:color w:val="auto"/>
          <w:szCs w:val="22"/>
        </w:rPr>
      </w:pPr>
      <w:hyperlink w:history="1" w:anchor="_Toc81309136">
        <w:r w:rsidRPr="002E52D6" w:rsidR="00E3271D">
          <w:rPr>
            <w:rStyle w:val="Hyperlink"/>
            <w:noProof/>
          </w:rPr>
          <w:t>5.13.1</w:t>
        </w:r>
        <w:r w:rsidR="00E3271D">
          <w:rPr>
            <w:rFonts w:asciiTheme="minorHAnsi" w:hAnsiTheme="minorHAnsi" w:eastAsiaTheme="minorEastAsia" w:cstheme="minorBidi"/>
            <w:iCs w:val="0"/>
            <w:noProof/>
            <w:color w:val="auto"/>
            <w:szCs w:val="22"/>
          </w:rPr>
          <w:tab/>
        </w:r>
        <w:r w:rsidRPr="002E52D6" w:rsidR="00E3271D">
          <w:rPr>
            <w:rStyle w:val="Hyperlink"/>
            <w:noProof/>
          </w:rPr>
          <w:t>Uncertainty Analysis Assumptions</w:t>
        </w:r>
        <w:r w:rsidR="00E3271D">
          <w:rPr>
            <w:noProof/>
            <w:webHidden/>
          </w:rPr>
          <w:tab/>
        </w:r>
        <w:r w:rsidR="00E3271D">
          <w:rPr>
            <w:noProof/>
            <w:webHidden/>
          </w:rPr>
          <w:fldChar w:fldCharType="begin"/>
        </w:r>
        <w:r w:rsidR="00E3271D">
          <w:rPr>
            <w:noProof/>
            <w:webHidden/>
          </w:rPr>
          <w:instrText xml:space="preserve"> PAGEREF _Toc81309136 \h </w:instrText>
        </w:r>
        <w:r w:rsidR="00E3271D">
          <w:rPr>
            <w:noProof/>
            <w:webHidden/>
          </w:rPr>
        </w:r>
        <w:r w:rsidR="00E3271D">
          <w:rPr>
            <w:noProof/>
            <w:webHidden/>
          </w:rPr>
          <w:fldChar w:fldCharType="separate"/>
        </w:r>
        <w:r w:rsidR="00E3271D">
          <w:rPr>
            <w:noProof/>
            <w:webHidden/>
          </w:rPr>
          <w:t>22</w:t>
        </w:r>
        <w:r w:rsidR="00E3271D">
          <w:rPr>
            <w:noProof/>
            <w:webHidden/>
          </w:rPr>
          <w:fldChar w:fldCharType="end"/>
        </w:r>
      </w:hyperlink>
    </w:p>
    <w:p w:rsidR="00E3271D" w:rsidRDefault="0057134D" w14:paraId="0EF1538A" w14:textId="5F5CC5DC">
      <w:pPr>
        <w:pStyle w:val="TOC3"/>
        <w:rPr>
          <w:rFonts w:asciiTheme="minorHAnsi" w:hAnsiTheme="minorHAnsi" w:eastAsiaTheme="minorEastAsia" w:cstheme="minorBidi"/>
          <w:iCs w:val="0"/>
          <w:noProof/>
          <w:color w:val="auto"/>
          <w:szCs w:val="22"/>
        </w:rPr>
      </w:pPr>
      <w:hyperlink w:history="1" w:anchor="_Toc81309137">
        <w:r w:rsidRPr="002E52D6" w:rsidR="00E3271D">
          <w:rPr>
            <w:rStyle w:val="Hyperlink"/>
            <w:noProof/>
          </w:rPr>
          <w:t>5.13.2</w:t>
        </w:r>
        <w:r w:rsidR="00E3271D">
          <w:rPr>
            <w:rFonts w:asciiTheme="minorHAnsi" w:hAnsiTheme="minorHAnsi" w:eastAsiaTheme="minorEastAsia" w:cstheme="minorBidi"/>
            <w:iCs w:val="0"/>
            <w:noProof/>
            <w:color w:val="auto"/>
            <w:szCs w:val="22"/>
          </w:rPr>
          <w:tab/>
        </w:r>
        <w:r w:rsidRPr="002E52D6" w:rsidR="00E3271D">
          <w:rPr>
            <w:rStyle w:val="Hyperlink"/>
            <w:noProof/>
          </w:rPr>
          <w:t>Uncertainty Analysis Results</w:t>
        </w:r>
        <w:r w:rsidR="00E3271D">
          <w:rPr>
            <w:noProof/>
            <w:webHidden/>
          </w:rPr>
          <w:tab/>
        </w:r>
        <w:r w:rsidR="00E3271D">
          <w:rPr>
            <w:noProof/>
            <w:webHidden/>
          </w:rPr>
          <w:fldChar w:fldCharType="begin"/>
        </w:r>
        <w:r w:rsidR="00E3271D">
          <w:rPr>
            <w:noProof/>
            <w:webHidden/>
          </w:rPr>
          <w:instrText xml:space="preserve"> PAGEREF _Toc81309137 \h </w:instrText>
        </w:r>
        <w:r w:rsidR="00E3271D">
          <w:rPr>
            <w:noProof/>
            <w:webHidden/>
          </w:rPr>
        </w:r>
        <w:r w:rsidR="00E3271D">
          <w:rPr>
            <w:noProof/>
            <w:webHidden/>
          </w:rPr>
          <w:fldChar w:fldCharType="separate"/>
        </w:r>
        <w:r w:rsidR="00E3271D">
          <w:rPr>
            <w:noProof/>
            <w:webHidden/>
          </w:rPr>
          <w:t>24</w:t>
        </w:r>
        <w:r w:rsidR="00E3271D">
          <w:rPr>
            <w:noProof/>
            <w:webHidden/>
          </w:rPr>
          <w:fldChar w:fldCharType="end"/>
        </w:r>
      </w:hyperlink>
    </w:p>
    <w:p w:rsidR="00E3271D" w:rsidRDefault="0057134D" w14:paraId="5B1E9F4F" w14:textId="75D461E4">
      <w:pPr>
        <w:pStyle w:val="TOC3"/>
        <w:rPr>
          <w:rFonts w:asciiTheme="minorHAnsi" w:hAnsiTheme="minorHAnsi" w:eastAsiaTheme="minorEastAsia" w:cstheme="minorBidi"/>
          <w:iCs w:val="0"/>
          <w:noProof/>
          <w:color w:val="auto"/>
          <w:szCs w:val="22"/>
        </w:rPr>
      </w:pPr>
      <w:hyperlink w:history="1" w:anchor="_Toc81309138">
        <w:r w:rsidRPr="002E52D6" w:rsidR="00E3271D">
          <w:rPr>
            <w:rStyle w:val="Hyperlink"/>
            <w:noProof/>
          </w:rPr>
          <w:t>5.13.3</w:t>
        </w:r>
        <w:r w:rsidR="00E3271D">
          <w:rPr>
            <w:rFonts w:asciiTheme="minorHAnsi" w:hAnsiTheme="minorHAnsi" w:eastAsiaTheme="minorEastAsia" w:cstheme="minorBidi"/>
            <w:iCs w:val="0"/>
            <w:noProof/>
            <w:color w:val="auto"/>
            <w:szCs w:val="22"/>
          </w:rPr>
          <w:tab/>
        </w:r>
        <w:r w:rsidRPr="002E52D6" w:rsidR="00E3271D">
          <w:rPr>
            <w:rStyle w:val="Hyperlink"/>
            <w:noProof/>
          </w:rPr>
          <w:t>Summary of Uncertainty Analysis</w:t>
        </w:r>
        <w:r w:rsidR="00E3271D">
          <w:rPr>
            <w:noProof/>
            <w:webHidden/>
          </w:rPr>
          <w:tab/>
        </w:r>
        <w:r w:rsidR="00E3271D">
          <w:rPr>
            <w:noProof/>
            <w:webHidden/>
          </w:rPr>
          <w:fldChar w:fldCharType="begin"/>
        </w:r>
        <w:r w:rsidR="00E3271D">
          <w:rPr>
            <w:noProof/>
            <w:webHidden/>
          </w:rPr>
          <w:instrText xml:space="preserve"> PAGEREF _Toc81309138 \h </w:instrText>
        </w:r>
        <w:r w:rsidR="00E3271D">
          <w:rPr>
            <w:noProof/>
            <w:webHidden/>
          </w:rPr>
        </w:r>
        <w:r w:rsidR="00E3271D">
          <w:rPr>
            <w:noProof/>
            <w:webHidden/>
          </w:rPr>
          <w:fldChar w:fldCharType="separate"/>
        </w:r>
        <w:r w:rsidR="00E3271D">
          <w:rPr>
            <w:noProof/>
            <w:webHidden/>
          </w:rPr>
          <w:t>26</w:t>
        </w:r>
        <w:r w:rsidR="00E3271D">
          <w:rPr>
            <w:noProof/>
            <w:webHidden/>
          </w:rPr>
          <w:fldChar w:fldCharType="end"/>
        </w:r>
      </w:hyperlink>
    </w:p>
    <w:p w:rsidR="00E3271D" w:rsidRDefault="0057134D" w14:paraId="40D29329" w14:textId="038E9424">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39">
        <w:r w:rsidRPr="002E52D6" w:rsidR="00E3271D">
          <w:rPr>
            <w:rStyle w:val="Hyperlink"/>
            <w:noProof/>
          </w:rPr>
          <w:t>5.14</w:t>
        </w:r>
        <w:r w:rsidR="00E3271D">
          <w:rPr>
            <w:rFonts w:asciiTheme="minorHAnsi" w:hAnsiTheme="minorHAnsi" w:eastAsiaTheme="minorEastAsia" w:cstheme="minorBidi"/>
            <w:noProof/>
            <w:color w:val="auto"/>
            <w:szCs w:val="22"/>
          </w:rPr>
          <w:tab/>
        </w:r>
        <w:r w:rsidRPr="002E52D6" w:rsidR="00E3271D">
          <w:rPr>
            <w:rStyle w:val="Hyperlink"/>
            <w:noProof/>
          </w:rPr>
          <w:t>Disaggregation</w:t>
        </w:r>
        <w:r w:rsidR="00E3271D">
          <w:rPr>
            <w:noProof/>
            <w:webHidden/>
          </w:rPr>
          <w:tab/>
        </w:r>
        <w:r w:rsidR="00E3271D">
          <w:rPr>
            <w:noProof/>
            <w:webHidden/>
          </w:rPr>
          <w:fldChar w:fldCharType="begin"/>
        </w:r>
        <w:r w:rsidR="00E3271D">
          <w:rPr>
            <w:noProof/>
            <w:webHidden/>
          </w:rPr>
          <w:instrText xml:space="preserve"> PAGEREF _Toc81309139 \h </w:instrText>
        </w:r>
        <w:r w:rsidR="00E3271D">
          <w:rPr>
            <w:noProof/>
            <w:webHidden/>
          </w:rPr>
        </w:r>
        <w:r w:rsidR="00E3271D">
          <w:rPr>
            <w:noProof/>
            <w:webHidden/>
          </w:rPr>
          <w:fldChar w:fldCharType="separate"/>
        </w:r>
        <w:r w:rsidR="00E3271D">
          <w:rPr>
            <w:noProof/>
            <w:webHidden/>
          </w:rPr>
          <w:t>27</w:t>
        </w:r>
        <w:r w:rsidR="00E3271D">
          <w:rPr>
            <w:noProof/>
            <w:webHidden/>
          </w:rPr>
          <w:fldChar w:fldCharType="end"/>
        </w:r>
      </w:hyperlink>
    </w:p>
    <w:p w:rsidR="00E3271D" w:rsidRDefault="0057134D" w14:paraId="6964503A" w14:textId="0FD5DA9C">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40">
        <w:r w:rsidRPr="002E52D6" w:rsidR="00E3271D">
          <w:rPr>
            <w:rStyle w:val="Hyperlink"/>
            <w:noProof/>
          </w:rPr>
          <w:t>5.15</w:t>
        </w:r>
        <w:r w:rsidR="00E3271D">
          <w:rPr>
            <w:rFonts w:asciiTheme="minorHAnsi" w:hAnsiTheme="minorHAnsi" w:eastAsiaTheme="minorEastAsia" w:cstheme="minorBidi"/>
            <w:noProof/>
            <w:color w:val="auto"/>
            <w:szCs w:val="22"/>
          </w:rPr>
          <w:tab/>
        </w:r>
        <w:r w:rsidRPr="002E52D6" w:rsidR="00E3271D">
          <w:rPr>
            <w:rStyle w:val="Hyperlink"/>
            <w:noProof/>
          </w:rPr>
          <w:t>Summary</w:t>
        </w:r>
        <w:r w:rsidR="00E3271D">
          <w:rPr>
            <w:noProof/>
            <w:webHidden/>
          </w:rPr>
          <w:tab/>
        </w:r>
        <w:r w:rsidR="00E3271D">
          <w:rPr>
            <w:noProof/>
            <w:webHidden/>
          </w:rPr>
          <w:fldChar w:fldCharType="begin"/>
        </w:r>
        <w:r w:rsidR="00E3271D">
          <w:rPr>
            <w:noProof/>
            <w:webHidden/>
          </w:rPr>
          <w:instrText xml:space="preserve"> PAGEREF _Toc81309140 \h </w:instrText>
        </w:r>
        <w:r w:rsidR="00E3271D">
          <w:rPr>
            <w:noProof/>
            <w:webHidden/>
          </w:rPr>
        </w:r>
        <w:r w:rsidR="00E3271D">
          <w:rPr>
            <w:noProof/>
            <w:webHidden/>
          </w:rPr>
          <w:fldChar w:fldCharType="separate"/>
        </w:r>
        <w:r w:rsidR="00E3271D">
          <w:rPr>
            <w:noProof/>
            <w:webHidden/>
          </w:rPr>
          <w:t>27</w:t>
        </w:r>
        <w:r w:rsidR="00E3271D">
          <w:rPr>
            <w:noProof/>
            <w:webHidden/>
          </w:rPr>
          <w:fldChar w:fldCharType="end"/>
        </w:r>
      </w:hyperlink>
    </w:p>
    <w:p w:rsidR="00E3271D" w:rsidRDefault="0057134D" w14:paraId="4866B416" w14:textId="2447D9E5">
      <w:pPr>
        <w:pStyle w:val="TOC3"/>
        <w:rPr>
          <w:rFonts w:asciiTheme="minorHAnsi" w:hAnsiTheme="minorHAnsi" w:eastAsiaTheme="minorEastAsia" w:cstheme="minorBidi"/>
          <w:iCs w:val="0"/>
          <w:noProof/>
          <w:color w:val="auto"/>
          <w:szCs w:val="22"/>
        </w:rPr>
      </w:pPr>
      <w:hyperlink w:history="1" w:anchor="_Toc81309141">
        <w:r w:rsidRPr="002E52D6" w:rsidR="00E3271D">
          <w:rPr>
            <w:rStyle w:val="Hyperlink"/>
            <w:noProof/>
          </w:rPr>
          <w:t>5.15.1</w:t>
        </w:r>
        <w:r w:rsidR="00E3271D">
          <w:rPr>
            <w:rFonts w:asciiTheme="minorHAnsi" w:hAnsiTheme="minorHAnsi" w:eastAsiaTheme="minorEastAsia" w:cstheme="minorBidi"/>
            <w:iCs w:val="0"/>
            <w:noProof/>
            <w:color w:val="auto"/>
            <w:szCs w:val="22"/>
          </w:rPr>
          <w:tab/>
        </w:r>
        <w:r w:rsidRPr="002E52D6" w:rsidR="00E3271D">
          <w:rPr>
            <w:rStyle w:val="Hyperlink"/>
            <w:noProof/>
          </w:rPr>
          <w:t>Quantified Net Benefit</w:t>
        </w:r>
        <w:r w:rsidR="00E3271D">
          <w:rPr>
            <w:noProof/>
            <w:webHidden/>
          </w:rPr>
          <w:tab/>
        </w:r>
        <w:r w:rsidR="00E3271D">
          <w:rPr>
            <w:noProof/>
            <w:webHidden/>
          </w:rPr>
          <w:fldChar w:fldCharType="begin"/>
        </w:r>
        <w:r w:rsidR="00E3271D">
          <w:rPr>
            <w:noProof/>
            <w:webHidden/>
          </w:rPr>
          <w:instrText xml:space="preserve"> PAGEREF _Toc81309141 \h </w:instrText>
        </w:r>
        <w:r w:rsidR="00E3271D">
          <w:rPr>
            <w:noProof/>
            <w:webHidden/>
          </w:rPr>
        </w:r>
        <w:r w:rsidR="00E3271D">
          <w:rPr>
            <w:noProof/>
            <w:webHidden/>
          </w:rPr>
          <w:fldChar w:fldCharType="separate"/>
        </w:r>
        <w:r w:rsidR="00E3271D">
          <w:rPr>
            <w:noProof/>
            <w:webHidden/>
          </w:rPr>
          <w:t>28</w:t>
        </w:r>
        <w:r w:rsidR="00E3271D">
          <w:rPr>
            <w:noProof/>
            <w:webHidden/>
          </w:rPr>
          <w:fldChar w:fldCharType="end"/>
        </w:r>
      </w:hyperlink>
    </w:p>
    <w:p w:rsidR="00E3271D" w:rsidRDefault="0057134D" w14:paraId="271782DD" w14:textId="454C47A4">
      <w:pPr>
        <w:pStyle w:val="TOC3"/>
        <w:rPr>
          <w:rFonts w:asciiTheme="minorHAnsi" w:hAnsiTheme="minorHAnsi" w:eastAsiaTheme="minorEastAsia" w:cstheme="minorBidi"/>
          <w:iCs w:val="0"/>
          <w:noProof/>
          <w:color w:val="auto"/>
          <w:szCs w:val="22"/>
        </w:rPr>
      </w:pPr>
      <w:hyperlink w:history="1" w:anchor="_Toc81309142">
        <w:r w:rsidRPr="002E52D6" w:rsidR="00E3271D">
          <w:rPr>
            <w:rStyle w:val="Hyperlink"/>
            <w:noProof/>
          </w:rPr>
          <w:t>5.15.2</w:t>
        </w:r>
        <w:r w:rsidR="00E3271D">
          <w:rPr>
            <w:rFonts w:asciiTheme="minorHAnsi" w:hAnsiTheme="minorHAnsi" w:eastAsiaTheme="minorEastAsia" w:cstheme="minorBidi"/>
            <w:iCs w:val="0"/>
            <w:noProof/>
            <w:color w:val="auto"/>
            <w:szCs w:val="22"/>
          </w:rPr>
          <w:tab/>
        </w:r>
        <w:r w:rsidRPr="002E52D6" w:rsidR="00E3271D">
          <w:rPr>
            <w:rStyle w:val="Hyperlink"/>
            <w:noProof/>
          </w:rPr>
          <w:t>Nonquantified Benefits</w:t>
        </w:r>
        <w:r w:rsidR="00E3271D">
          <w:rPr>
            <w:noProof/>
            <w:webHidden/>
          </w:rPr>
          <w:tab/>
        </w:r>
        <w:r w:rsidR="00E3271D">
          <w:rPr>
            <w:noProof/>
            <w:webHidden/>
          </w:rPr>
          <w:fldChar w:fldCharType="begin"/>
        </w:r>
        <w:r w:rsidR="00E3271D">
          <w:rPr>
            <w:noProof/>
            <w:webHidden/>
          </w:rPr>
          <w:instrText xml:space="preserve"> PAGEREF _Toc81309142 \h </w:instrText>
        </w:r>
        <w:r w:rsidR="00E3271D">
          <w:rPr>
            <w:noProof/>
            <w:webHidden/>
          </w:rPr>
        </w:r>
        <w:r w:rsidR="00E3271D">
          <w:rPr>
            <w:noProof/>
            <w:webHidden/>
          </w:rPr>
          <w:fldChar w:fldCharType="separate"/>
        </w:r>
        <w:r w:rsidR="00E3271D">
          <w:rPr>
            <w:noProof/>
            <w:webHidden/>
          </w:rPr>
          <w:t>28</w:t>
        </w:r>
        <w:r w:rsidR="00E3271D">
          <w:rPr>
            <w:noProof/>
            <w:webHidden/>
          </w:rPr>
          <w:fldChar w:fldCharType="end"/>
        </w:r>
      </w:hyperlink>
    </w:p>
    <w:p w:rsidR="00E3271D" w:rsidRDefault="0057134D" w14:paraId="4C042E14" w14:textId="539036B3">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3">
        <w:r w:rsidRPr="002E52D6" w:rsidR="00E3271D">
          <w:rPr>
            <w:rStyle w:val="Hyperlink"/>
            <w:noProof/>
          </w:rPr>
          <w:t>5.15.2.1</w:t>
        </w:r>
        <w:r w:rsidR="00E3271D">
          <w:rPr>
            <w:rFonts w:asciiTheme="minorHAnsi" w:hAnsiTheme="minorHAnsi" w:eastAsiaTheme="minorEastAsia" w:cstheme="minorBidi"/>
            <w:noProof/>
            <w:color w:val="auto"/>
            <w:sz w:val="22"/>
            <w:szCs w:val="22"/>
          </w:rPr>
          <w:tab/>
        </w:r>
        <w:r w:rsidRPr="002E52D6" w:rsidR="00E3271D">
          <w:rPr>
            <w:rStyle w:val="Hyperlink"/>
            <w:noProof/>
          </w:rPr>
          <w:t>Advances in Inservice Inspection and Inservice Testing</w:t>
        </w:r>
        <w:r w:rsidR="00E3271D">
          <w:rPr>
            <w:noProof/>
            <w:webHidden/>
          </w:rPr>
          <w:tab/>
        </w:r>
        <w:r w:rsidR="00E3271D">
          <w:rPr>
            <w:noProof/>
            <w:webHidden/>
          </w:rPr>
          <w:fldChar w:fldCharType="begin"/>
        </w:r>
        <w:r w:rsidR="00E3271D">
          <w:rPr>
            <w:noProof/>
            <w:webHidden/>
          </w:rPr>
          <w:instrText xml:space="preserve"> PAGEREF _Toc81309143 \h </w:instrText>
        </w:r>
        <w:r w:rsidR="00E3271D">
          <w:rPr>
            <w:noProof/>
            <w:webHidden/>
          </w:rPr>
        </w:r>
        <w:r w:rsidR="00E3271D">
          <w:rPr>
            <w:noProof/>
            <w:webHidden/>
          </w:rPr>
          <w:fldChar w:fldCharType="separate"/>
        </w:r>
        <w:r w:rsidR="00E3271D">
          <w:rPr>
            <w:noProof/>
            <w:webHidden/>
          </w:rPr>
          <w:t>28</w:t>
        </w:r>
        <w:r w:rsidR="00E3271D">
          <w:rPr>
            <w:noProof/>
            <w:webHidden/>
          </w:rPr>
          <w:fldChar w:fldCharType="end"/>
        </w:r>
      </w:hyperlink>
    </w:p>
    <w:p w:rsidR="00E3271D" w:rsidRDefault="0057134D" w14:paraId="57688E48" w14:textId="2662FD79">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4">
        <w:r w:rsidRPr="002E52D6" w:rsidR="00E3271D">
          <w:rPr>
            <w:rStyle w:val="Hyperlink"/>
            <w:noProof/>
          </w:rPr>
          <w:t>5.15.2.2</w:t>
        </w:r>
        <w:r w:rsidR="00E3271D">
          <w:rPr>
            <w:rFonts w:asciiTheme="minorHAnsi" w:hAnsiTheme="minorHAnsi" w:eastAsiaTheme="minorEastAsia" w:cstheme="minorBidi"/>
            <w:noProof/>
            <w:color w:val="auto"/>
            <w:sz w:val="22"/>
            <w:szCs w:val="22"/>
          </w:rPr>
          <w:tab/>
        </w:r>
        <w:r w:rsidRPr="002E52D6" w:rsidR="00E3271D">
          <w:rPr>
            <w:rStyle w:val="Hyperlink"/>
            <w:noProof/>
          </w:rPr>
          <w:t>Reduction in Public Radiation Exposures</w:t>
        </w:r>
        <w:r w:rsidR="00E3271D">
          <w:rPr>
            <w:noProof/>
            <w:webHidden/>
          </w:rPr>
          <w:tab/>
        </w:r>
        <w:r w:rsidR="00E3271D">
          <w:rPr>
            <w:noProof/>
            <w:webHidden/>
          </w:rPr>
          <w:fldChar w:fldCharType="begin"/>
        </w:r>
        <w:r w:rsidR="00E3271D">
          <w:rPr>
            <w:noProof/>
            <w:webHidden/>
          </w:rPr>
          <w:instrText xml:space="preserve"> PAGEREF _Toc81309144 \h </w:instrText>
        </w:r>
        <w:r w:rsidR="00E3271D">
          <w:rPr>
            <w:noProof/>
            <w:webHidden/>
          </w:rPr>
        </w:r>
        <w:r w:rsidR="00E3271D">
          <w:rPr>
            <w:noProof/>
            <w:webHidden/>
          </w:rPr>
          <w:fldChar w:fldCharType="separate"/>
        </w:r>
        <w:r w:rsidR="00E3271D">
          <w:rPr>
            <w:noProof/>
            <w:webHidden/>
          </w:rPr>
          <w:t>28</w:t>
        </w:r>
        <w:r w:rsidR="00E3271D">
          <w:rPr>
            <w:noProof/>
            <w:webHidden/>
          </w:rPr>
          <w:fldChar w:fldCharType="end"/>
        </w:r>
      </w:hyperlink>
    </w:p>
    <w:p w:rsidR="00E3271D" w:rsidRDefault="0057134D" w14:paraId="612731E7" w14:textId="4B2637FA">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5">
        <w:r w:rsidRPr="002E52D6" w:rsidR="00E3271D">
          <w:rPr>
            <w:rStyle w:val="Hyperlink"/>
            <w:noProof/>
          </w:rPr>
          <w:t>5.15.2.3</w:t>
        </w:r>
        <w:r w:rsidR="00E3271D">
          <w:rPr>
            <w:rFonts w:asciiTheme="minorHAnsi" w:hAnsiTheme="minorHAnsi" w:eastAsiaTheme="minorEastAsia" w:cstheme="minorBidi"/>
            <w:noProof/>
            <w:color w:val="auto"/>
            <w:sz w:val="22"/>
            <w:szCs w:val="22"/>
          </w:rPr>
          <w:tab/>
        </w:r>
        <w:r w:rsidRPr="002E52D6" w:rsidR="00E3271D">
          <w:rPr>
            <w:rStyle w:val="Hyperlink"/>
            <w:noProof/>
          </w:rPr>
          <w:t>Improvements in Knowledge</w:t>
        </w:r>
        <w:r w:rsidR="00E3271D">
          <w:rPr>
            <w:noProof/>
            <w:webHidden/>
          </w:rPr>
          <w:tab/>
        </w:r>
        <w:r w:rsidR="00E3271D">
          <w:rPr>
            <w:noProof/>
            <w:webHidden/>
          </w:rPr>
          <w:fldChar w:fldCharType="begin"/>
        </w:r>
        <w:r w:rsidR="00E3271D">
          <w:rPr>
            <w:noProof/>
            <w:webHidden/>
          </w:rPr>
          <w:instrText xml:space="preserve"> PAGEREF _Toc81309145 \h </w:instrText>
        </w:r>
        <w:r w:rsidR="00E3271D">
          <w:rPr>
            <w:noProof/>
            <w:webHidden/>
          </w:rPr>
        </w:r>
        <w:r w:rsidR="00E3271D">
          <w:rPr>
            <w:noProof/>
            <w:webHidden/>
          </w:rPr>
          <w:fldChar w:fldCharType="separate"/>
        </w:r>
        <w:r w:rsidR="00E3271D">
          <w:rPr>
            <w:noProof/>
            <w:webHidden/>
          </w:rPr>
          <w:t>28</w:t>
        </w:r>
        <w:r w:rsidR="00E3271D">
          <w:rPr>
            <w:noProof/>
            <w:webHidden/>
          </w:rPr>
          <w:fldChar w:fldCharType="end"/>
        </w:r>
      </w:hyperlink>
    </w:p>
    <w:p w:rsidR="00E3271D" w:rsidRDefault="0057134D" w14:paraId="37B24B47" w14:textId="39E00B6F">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6">
        <w:r w:rsidRPr="002E52D6" w:rsidR="00E3271D">
          <w:rPr>
            <w:rStyle w:val="Hyperlink"/>
            <w:noProof/>
          </w:rPr>
          <w:t>5.15.2.4</w:t>
        </w:r>
        <w:r w:rsidR="00E3271D">
          <w:rPr>
            <w:rFonts w:asciiTheme="minorHAnsi" w:hAnsiTheme="minorHAnsi" w:eastAsiaTheme="minorEastAsia" w:cstheme="minorBidi"/>
            <w:noProof/>
            <w:color w:val="auto"/>
            <w:sz w:val="22"/>
            <w:szCs w:val="22"/>
          </w:rPr>
          <w:tab/>
        </w:r>
        <w:r w:rsidRPr="002E52D6" w:rsidR="00E3271D">
          <w:rPr>
            <w:rStyle w:val="Hyperlink"/>
            <w:noProof/>
          </w:rPr>
          <w:t>Consistency with National Technology Transfer and Advancement Act of 1995 and Implementing Guidance</w:t>
        </w:r>
        <w:r w:rsidR="00E3271D">
          <w:rPr>
            <w:noProof/>
            <w:webHidden/>
          </w:rPr>
          <w:tab/>
        </w:r>
        <w:r w:rsidR="00E3271D">
          <w:rPr>
            <w:noProof/>
            <w:webHidden/>
          </w:rPr>
          <w:fldChar w:fldCharType="begin"/>
        </w:r>
        <w:r w:rsidR="00E3271D">
          <w:rPr>
            <w:noProof/>
            <w:webHidden/>
          </w:rPr>
          <w:instrText xml:space="preserve"> PAGEREF _Toc81309146 \h </w:instrText>
        </w:r>
        <w:r w:rsidR="00E3271D">
          <w:rPr>
            <w:noProof/>
            <w:webHidden/>
          </w:rPr>
        </w:r>
        <w:r w:rsidR="00E3271D">
          <w:rPr>
            <w:noProof/>
            <w:webHidden/>
          </w:rPr>
          <w:fldChar w:fldCharType="separate"/>
        </w:r>
        <w:r w:rsidR="00E3271D">
          <w:rPr>
            <w:noProof/>
            <w:webHidden/>
          </w:rPr>
          <w:t>29</w:t>
        </w:r>
        <w:r w:rsidR="00E3271D">
          <w:rPr>
            <w:noProof/>
            <w:webHidden/>
          </w:rPr>
          <w:fldChar w:fldCharType="end"/>
        </w:r>
      </w:hyperlink>
    </w:p>
    <w:p w:rsidR="00E3271D" w:rsidRDefault="0057134D" w14:paraId="4DFEACE6" w14:textId="795EEE1C">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7">
        <w:r w:rsidRPr="002E52D6" w:rsidR="00E3271D">
          <w:rPr>
            <w:rStyle w:val="Hyperlink"/>
            <w:noProof/>
          </w:rPr>
          <w:t>5.15.2.5</w:t>
        </w:r>
        <w:r w:rsidR="00E3271D">
          <w:rPr>
            <w:rFonts w:asciiTheme="minorHAnsi" w:hAnsiTheme="minorHAnsi" w:eastAsiaTheme="minorEastAsia" w:cstheme="minorBidi"/>
            <w:noProof/>
            <w:color w:val="auto"/>
            <w:sz w:val="22"/>
            <w:szCs w:val="22"/>
          </w:rPr>
          <w:tab/>
        </w:r>
        <w:r w:rsidRPr="002E52D6" w:rsidR="00E3271D">
          <w:rPr>
            <w:rStyle w:val="Hyperlink"/>
            <w:noProof/>
          </w:rPr>
          <w:t>Continuation of NRC Practice of Incorporation by Reference of ASME Code Editions and Addenda into the Code of Federal Regulations</w:t>
        </w:r>
        <w:r w:rsidR="00E3271D">
          <w:rPr>
            <w:noProof/>
            <w:webHidden/>
          </w:rPr>
          <w:tab/>
        </w:r>
        <w:r w:rsidR="00E3271D">
          <w:rPr>
            <w:noProof/>
            <w:webHidden/>
          </w:rPr>
          <w:fldChar w:fldCharType="begin"/>
        </w:r>
        <w:r w:rsidR="00E3271D">
          <w:rPr>
            <w:noProof/>
            <w:webHidden/>
          </w:rPr>
          <w:instrText xml:space="preserve"> PAGEREF _Toc81309147 \h </w:instrText>
        </w:r>
        <w:r w:rsidR="00E3271D">
          <w:rPr>
            <w:noProof/>
            <w:webHidden/>
          </w:rPr>
        </w:r>
        <w:r w:rsidR="00E3271D">
          <w:rPr>
            <w:noProof/>
            <w:webHidden/>
          </w:rPr>
          <w:fldChar w:fldCharType="separate"/>
        </w:r>
        <w:r w:rsidR="00E3271D">
          <w:rPr>
            <w:noProof/>
            <w:webHidden/>
          </w:rPr>
          <w:t>29</w:t>
        </w:r>
        <w:r w:rsidR="00E3271D">
          <w:rPr>
            <w:noProof/>
            <w:webHidden/>
          </w:rPr>
          <w:fldChar w:fldCharType="end"/>
        </w:r>
      </w:hyperlink>
    </w:p>
    <w:p w:rsidR="00E3271D" w:rsidRDefault="0057134D" w14:paraId="3E3BBFAF" w14:textId="388B8A97">
      <w:pPr>
        <w:pStyle w:val="TOC4"/>
        <w:tabs>
          <w:tab w:val="left" w:pos="1760"/>
          <w:tab w:val="right" w:leader="dot" w:pos="9350"/>
        </w:tabs>
        <w:rPr>
          <w:rFonts w:asciiTheme="minorHAnsi" w:hAnsiTheme="minorHAnsi" w:eastAsiaTheme="minorEastAsia" w:cstheme="minorBidi"/>
          <w:noProof/>
          <w:color w:val="auto"/>
          <w:sz w:val="22"/>
          <w:szCs w:val="22"/>
        </w:rPr>
      </w:pPr>
      <w:hyperlink w:history="1" w:anchor="_Toc81309148">
        <w:r w:rsidRPr="002E52D6" w:rsidR="00E3271D">
          <w:rPr>
            <w:rStyle w:val="Hyperlink"/>
            <w:noProof/>
          </w:rPr>
          <w:t>5.15.2.6</w:t>
        </w:r>
        <w:r w:rsidR="00E3271D">
          <w:rPr>
            <w:rFonts w:asciiTheme="minorHAnsi" w:hAnsiTheme="minorHAnsi" w:eastAsiaTheme="minorEastAsia" w:cstheme="minorBidi"/>
            <w:noProof/>
            <w:color w:val="auto"/>
            <w:sz w:val="22"/>
            <w:szCs w:val="22"/>
          </w:rPr>
          <w:tab/>
        </w:r>
        <w:r w:rsidRPr="002E52D6" w:rsidR="00E3271D">
          <w:rPr>
            <w:rStyle w:val="Hyperlink"/>
            <w:noProof/>
          </w:rPr>
          <w:t>Increased Public Confidence</w:t>
        </w:r>
        <w:r w:rsidR="00E3271D">
          <w:rPr>
            <w:noProof/>
            <w:webHidden/>
          </w:rPr>
          <w:tab/>
        </w:r>
        <w:r w:rsidR="00E3271D">
          <w:rPr>
            <w:noProof/>
            <w:webHidden/>
          </w:rPr>
          <w:fldChar w:fldCharType="begin"/>
        </w:r>
        <w:r w:rsidR="00E3271D">
          <w:rPr>
            <w:noProof/>
            <w:webHidden/>
          </w:rPr>
          <w:instrText xml:space="preserve"> PAGEREF _Toc81309148 \h </w:instrText>
        </w:r>
        <w:r w:rsidR="00E3271D">
          <w:rPr>
            <w:noProof/>
            <w:webHidden/>
          </w:rPr>
        </w:r>
        <w:r w:rsidR="00E3271D">
          <w:rPr>
            <w:noProof/>
            <w:webHidden/>
          </w:rPr>
          <w:fldChar w:fldCharType="separate"/>
        </w:r>
        <w:r w:rsidR="00E3271D">
          <w:rPr>
            <w:noProof/>
            <w:webHidden/>
          </w:rPr>
          <w:t>29</w:t>
        </w:r>
        <w:r w:rsidR="00E3271D">
          <w:rPr>
            <w:noProof/>
            <w:webHidden/>
          </w:rPr>
          <w:fldChar w:fldCharType="end"/>
        </w:r>
      </w:hyperlink>
    </w:p>
    <w:p w:rsidR="00E3271D" w:rsidRDefault="0057134D" w14:paraId="15356508" w14:textId="1A30489F">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49">
        <w:r w:rsidRPr="002E52D6" w:rsidR="00E3271D">
          <w:rPr>
            <w:rStyle w:val="Hyperlink"/>
            <w:noProof/>
          </w:rPr>
          <w:t>5.16</w:t>
        </w:r>
        <w:r w:rsidR="00E3271D">
          <w:rPr>
            <w:rFonts w:asciiTheme="minorHAnsi" w:hAnsiTheme="minorHAnsi" w:eastAsiaTheme="minorEastAsia" w:cstheme="minorBidi"/>
            <w:noProof/>
            <w:color w:val="auto"/>
            <w:szCs w:val="22"/>
          </w:rPr>
          <w:tab/>
        </w:r>
        <w:r w:rsidRPr="002E52D6" w:rsidR="00E3271D">
          <w:rPr>
            <w:rStyle w:val="Hyperlink"/>
            <w:noProof/>
          </w:rPr>
          <w:t>Safety Goal Evaluation</w:t>
        </w:r>
        <w:r w:rsidR="00E3271D">
          <w:rPr>
            <w:noProof/>
            <w:webHidden/>
          </w:rPr>
          <w:tab/>
        </w:r>
        <w:r w:rsidR="00E3271D">
          <w:rPr>
            <w:noProof/>
            <w:webHidden/>
          </w:rPr>
          <w:fldChar w:fldCharType="begin"/>
        </w:r>
        <w:r w:rsidR="00E3271D">
          <w:rPr>
            <w:noProof/>
            <w:webHidden/>
          </w:rPr>
          <w:instrText xml:space="preserve"> PAGEREF _Toc81309149 \h </w:instrText>
        </w:r>
        <w:r w:rsidR="00E3271D">
          <w:rPr>
            <w:noProof/>
            <w:webHidden/>
          </w:rPr>
        </w:r>
        <w:r w:rsidR="00E3271D">
          <w:rPr>
            <w:noProof/>
            <w:webHidden/>
          </w:rPr>
          <w:fldChar w:fldCharType="separate"/>
        </w:r>
        <w:r w:rsidR="00E3271D">
          <w:rPr>
            <w:noProof/>
            <w:webHidden/>
          </w:rPr>
          <w:t>29</w:t>
        </w:r>
        <w:r w:rsidR="00E3271D">
          <w:rPr>
            <w:noProof/>
            <w:webHidden/>
          </w:rPr>
          <w:fldChar w:fldCharType="end"/>
        </w:r>
      </w:hyperlink>
    </w:p>
    <w:p w:rsidR="00E3271D" w:rsidRDefault="0057134D" w14:paraId="3C71B02F" w14:textId="495ECD35">
      <w:pPr>
        <w:pStyle w:val="TOC2"/>
        <w:tabs>
          <w:tab w:val="left" w:pos="1350"/>
          <w:tab w:val="right" w:leader="dot" w:pos="9350"/>
        </w:tabs>
        <w:rPr>
          <w:rFonts w:asciiTheme="minorHAnsi" w:hAnsiTheme="minorHAnsi" w:eastAsiaTheme="minorEastAsia" w:cstheme="minorBidi"/>
          <w:noProof/>
          <w:color w:val="auto"/>
          <w:szCs w:val="22"/>
        </w:rPr>
      </w:pPr>
      <w:hyperlink w:history="1" w:anchor="_Toc81309150">
        <w:r w:rsidRPr="002E52D6" w:rsidR="00E3271D">
          <w:rPr>
            <w:rStyle w:val="Hyperlink"/>
            <w:noProof/>
          </w:rPr>
          <w:t>5.17</w:t>
        </w:r>
        <w:r w:rsidR="00E3271D">
          <w:rPr>
            <w:rFonts w:asciiTheme="minorHAnsi" w:hAnsiTheme="minorHAnsi" w:eastAsiaTheme="minorEastAsia" w:cstheme="minorBidi"/>
            <w:noProof/>
            <w:color w:val="auto"/>
            <w:szCs w:val="22"/>
          </w:rPr>
          <w:tab/>
        </w:r>
        <w:r w:rsidRPr="002E52D6" w:rsidR="00E3271D">
          <w:rPr>
            <w:rStyle w:val="Hyperlink"/>
            <w:noProof/>
          </w:rPr>
          <w:t>Results for the Committee to Review Generic Requirements</w:t>
        </w:r>
        <w:r w:rsidR="00E3271D">
          <w:rPr>
            <w:noProof/>
            <w:webHidden/>
          </w:rPr>
          <w:tab/>
        </w:r>
        <w:r w:rsidR="00E3271D">
          <w:rPr>
            <w:noProof/>
            <w:webHidden/>
          </w:rPr>
          <w:fldChar w:fldCharType="begin"/>
        </w:r>
        <w:r w:rsidR="00E3271D">
          <w:rPr>
            <w:noProof/>
            <w:webHidden/>
          </w:rPr>
          <w:instrText xml:space="preserve"> PAGEREF _Toc81309150 \h </w:instrText>
        </w:r>
        <w:r w:rsidR="00E3271D">
          <w:rPr>
            <w:noProof/>
            <w:webHidden/>
          </w:rPr>
        </w:r>
        <w:r w:rsidR="00E3271D">
          <w:rPr>
            <w:noProof/>
            <w:webHidden/>
          </w:rPr>
          <w:fldChar w:fldCharType="separate"/>
        </w:r>
        <w:r w:rsidR="00E3271D">
          <w:rPr>
            <w:noProof/>
            <w:webHidden/>
          </w:rPr>
          <w:t>29</w:t>
        </w:r>
        <w:r w:rsidR="00E3271D">
          <w:rPr>
            <w:noProof/>
            <w:webHidden/>
          </w:rPr>
          <w:fldChar w:fldCharType="end"/>
        </w:r>
      </w:hyperlink>
    </w:p>
    <w:p w:rsidR="00E3271D" w:rsidRDefault="0057134D" w14:paraId="7080D177" w14:textId="49153BE2">
      <w:pPr>
        <w:pStyle w:val="TOC1"/>
        <w:rPr>
          <w:rFonts w:asciiTheme="minorHAnsi" w:hAnsiTheme="minorHAnsi" w:eastAsiaTheme="minorEastAsia" w:cstheme="minorBidi"/>
          <w:b w:val="0"/>
          <w:bCs w:val="0"/>
          <w:noProof/>
          <w:color w:val="auto"/>
          <w:szCs w:val="22"/>
        </w:rPr>
      </w:pPr>
      <w:hyperlink w:history="1" w:anchor="_Toc81309151">
        <w:r w:rsidRPr="002E52D6" w:rsidR="00E3271D">
          <w:rPr>
            <w:rStyle w:val="Hyperlink"/>
            <w:noProof/>
          </w:rPr>
          <w:t>6.</w:t>
        </w:r>
        <w:r w:rsidR="00E3271D">
          <w:rPr>
            <w:rFonts w:asciiTheme="minorHAnsi" w:hAnsiTheme="minorHAnsi" w:eastAsiaTheme="minorEastAsia" w:cstheme="minorBidi"/>
            <w:b w:val="0"/>
            <w:bCs w:val="0"/>
            <w:noProof/>
            <w:color w:val="auto"/>
            <w:szCs w:val="22"/>
          </w:rPr>
          <w:tab/>
        </w:r>
        <w:r w:rsidRPr="002E52D6" w:rsidR="00E3271D">
          <w:rPr>
            <w:rStyle w:val="Hyperlink"/>
            <w:noProof/>
          </w:rPr>
          <w:t>Decision Rationale</w:t>
        </w:r>
        <w:r w:rsidR="00E3271D">
          <w:rPr>
            <w:noProof/>
            <w:webHidden/>
          </w:rPr>
          <w:tab/>
        </w:r>
        <w:r w:rsidR="00E3271D">
          <w:rPr>
            <w:noProof/>
            <w:webHidden/>
          </w:rPr>
          <w:fldChar w:fldCharType="begin"/>
        </w:r>
        <w:r w:rsidR="00E3271D">
          <w:rPr>
            <w:noProof/>
            <w:webHidden/>
          </w:rPr>
          <w:instrText xml:space="preserve"> PAGEREF _Toc81309151 \h </w:instrText>
        </w:r>
        <w:r w:rsidR="00E3271D">
          <w:rPr>
            <w:noProof/>
            <w:webHidden/>
          </w:rPr>
        </w:r>
        <w:r w:rsidR="00E3271D">
          <w:rPr>
            <w:noProof/>
            <w:webHidden/>
          </w:rPr>
          <w:fldChar w:fldCharType="separate"/>
        </w:r>
        <w:r w:rsidR="00E3271D">
          <w:rPr>
            <w:noProof/>
            <w:webHidden/>
          </w:rPr>
          <w:t>30</w:t>
        </w:r>
        <w:r w:rsidR="00E3271D">
          <w:rPr>
            <w:noProof/>
            <w:webHidden/>
          </w:rPr>
          <w:fldChar w:fldCharType="end"/>
        </w:r>
      </w:hyperlink>
    </w:p>
    <w:p w:rsidR="00E3271D" w:rsidRDefault="0057134D" w14:paraId="18F0ACA2" w14:textId="39CD4912">
      <w:pPr>
        <w:pStyle w:val="TOC1"/>
        <w:rPr>
          <w:rFonts w:asciiTheme="minorHAnsi" w:hAnsiTheme="minorHAnsi" w:eastAsiaTheme="minorEastAsia" w:cstheme="minorBidi"/>
          <w:b w:val="0"/>
          <w:bCs w:val="0"/>
          <w:noProof/>
          <w:color w:val="auto"/>
          <w:szCs w:val="22"/>
        </w:rPr>
      </w:pPr>
      <w:hyperlink w:history="1" w:anchor="_Toc81309152">
        <w:r w:rsidRPr="002E52D6" w:rsidR="00E3271D">
          <w:rPr>
            <w:rStyle w:val="Hyperlink"/>
            <w:noProof/>
          </w:rPr>
          <w:t>7.</w:t>
        </w:r>
        <w:r w:rsidR="00E3271D">
          <w:rPr>
            <w:rFonts w:asciiTheme="minorHAnsi" w:hAnsiTheme="minorHAnsi" w:eastAsiaTheme="minorEastAsia" w:cstheme="minorBidi"/>
            <w:b w:val="0"/>
            <w:bCs w:val="0"/>
            <w:noProof/>
            <w:color w:val="auto"/>
            <w:szCs w:val="22"/>
          </w:rPr>
          <w:tab/>
        </w:r>
        <w:r w:rsidRPr="002E52D6" w:rsidR="00E3271D">
          <w:rPr>
            <w:rStyle w:val="Hyperlink"/>
            <w:noProof/>
          </w:rPr>
          <w:t>Schedule</w:t>
        </w:r>
        <w:r w:rsidR="00E3271D">
          <w:rPr>
            <w:noProof/>
            <w:webHidden/>
          </w:rPr>
          <w:tab/>
        </w:r>
        <w:r w:rsidR="00E3271D">
          <w:rPr>
            <w:noProof/>
            <w:webHidden/>
          </w:rPr>
          <w:fldChar w:fldCharType="begin"/>
        </w:r>
        <w:r w:rsidR="00E3271D">
          <w:rPr>
            <w:noProof/>
            <w:webHidden/>
          </w:rPr>
          <w:instrText xml:space="preserve"> PAGEREF _Toc81309152 \h </w:instrText>
        </w:r>
        <w:r w:rsidR="00E3271D">
          <w:rPr>
            <w:noProof/>
            <w:webHidden/>
          </w:rPr>
        </w:r>
        <w:r w:rsidR="00E3271D">
          <w:rPr>
            <w:noProof/>
            <w:webHidden/>
          </w:rPr>
          <w:fldChar w:fldCharType="separate"/>
        </w:r>
        <w:r w:rsidR="00E3271D">
          <w:rPr>
            <w:noProof/>
            <w:webHidden/>
          </w:rPr>
          <w:t>32</w:t>
        </w:r>
        <w:r w:rsidR="00E3271D">
          <w:rPr>
            <w:noProof/>
            <w:webHidden/>
          </w:rPr>
          <w:fldChar w:fldCharType="end"/>
        </w:r>
      </w:hyperlink>
    </w:p>
    <w:p w:rsidR="00E3271D" w:rsidRDefault="0057134D" w14:paraId="641B73A1" w14:textId="19849997">
      <w:pPr>
        <w:pStyle w:val="TOC1"/>
        <w:rPr>
          <w:rFonts w:asciiTheme="minorHAnsi" w:hAnsiTheme="minorHAnsi" w:eastAsiaTheme="minorEastAsia" w:cstheme="minorBidi"/>
          <w:b w:val="0"/>
          <w:bCs w:val="0"/>
          <w:noProof/>
          <w:color w:val="auto"/>
          <w:szCs w:val="22"/>
        </w:rPr>
      </w:pPr>
      <w:hyperlink w:history="1" w:anchor="_Toc81309153">
        <w:r w:rsidRPr="002E52D6" w:rsidR="00E3271D">
          <w:rPr>
            <w:rStyle w:val="Hyperlink"/>
            <w:noProof/>
          </w:rPr>
          <w:t>8.</w:t>
        </w:r>
        <w:r w:rsidR="00E3271D">
          <w:rPr>
            <w:rFonts w:asciiTheme="minorHAnsi" w:hAnsiTheme="minorHAnsi" w:eastAsiaTheme="minorEastAsia" w:cstheme="minorBidi"/>
            <w:b w:val="0"/>
            <w:bCs w:val="0"/>
            <w:noProof/>
            <w:color w:val="auto"/>
            <w:szCs w:val="22"/>
          </w:rPr>
          <w:tab/>
        </w:r>
        <w:r w:rsidRPr="002E52D6" w:rsidR="00E3271D">
          <w:rPr>
            <w:rStyle w:val="Hyperlink"/>
            <w:noProof/>
          </w:rPr>
          <w:t>References</w:t>
        </w:r>
        <w:r w:rsidR="00E3271D">
          <w:rPr>
            <w:noProof/>
            <w:webHidden/>
          </w:rPr>
          <w:tab/>
        </w:r>
        <w:r w:rsidR="00E3271D">
          <w:rPr>
            <w:noProof/>
            <w:webHidden/>
          </w:rPr>
          <w:fldChar w:fldCharType="begin"/>
        </w:r>
        <w:r w:rsidR="00E3271D">
          <w:rPr>
            <w:noProof/>
            <w:webHidden/>
          </w:rPr>
          <w:instrText xml:space="preserve"> PAGEREF _Toc81309153 \h </w:instrText>
        </w:r>
        <w:r w:rsidR="00E3271D">
          <w:rPr>
            <w:noProof/>
            <w:webHidden/>
          </w:rPr>
        </w:r>
        <w:r w:rsidR="00E3271D">
          <w:rPr>
            <w:noProof/>
            <w:webHidden/>
          </w:rPr>
          <w:fldChar w:fldCharType="separate"/>
        </w:r>
        <w:r w:rsidR="00E3271D">
          <w:rPr>
            <w:noProof/>
            <w:webHidden/>
          </w:rPr>
          <w:t>33</w:t>
        </w:r>
        <w:r w:rsidR="00E3271D">
          <w:rPr>
            <w:noProof/>
            <w:webHidden/>
          </w:rPr>
          <w:fldChar w:fldCharType="end"/>
        </w:r>
      </w:hyperlink>
    </w:p>
    <w:p w:rsidR="00E3271D" w:rsidRDefault="0057134D" w14:paraId="0C2FCAD9" w14:textId="43405AEE">
      <w:pPr>
        <w:pStyle w:val="TOC1"/>
        <w:rPr>
          <w:rFonts w:asciiTheme="minorHAnsi" w:hAnsiTheme="minorHAnsi" w:eastAsiaTheme="minorEastAsia" w:cstheme="minorBidi"/>
          <w:b w:val="0"/>
          <w:bCs w:val="0"/>
          <w:noProof/>
          <w:color w:val="auto"/>
          <w:szCs w:val="22"/>
        </w:rPr>
      </w:pPr>
      <w:hyperlink w:history="1" w:anchor="_Toc81309154">
        <w:r w:rsidRPr="002E52D6" w:rsidR="00E3271D">
          <w:rPr>
            <w:rStyle w:val="Hyperlink"/>
            <w:noProof/>
          </w:rPr>
          <w:t>Appendix A</w:t>
        </w:r>
        <w:r w:rsidR="00E3271D">
          <w:rPr>
            <w:rFonts w:asciiTheme="minorHAnsi" w:hAnsiTheme="minorHAnsi" w:eastAsiaTheme="minorEastAsia" w:cstheme="minorBidi"/>
            <w:b w:val="0"/>
            <w:bCs w:val="0"/>
            <w:noProof/>
            <w:color w:val="auto"/>
            <w:szCs w:val="22"/>
          </w:rPr>
          <w:tab/>
        </w:r>
        <w:r w:rsidRPr="002E52D6" w:rsidR="00E3271D">
          <w:rPr>
            <w:rStyle w:val="Hyperlink"/>
            <w:noProof/>
          </w:rPr>
          <w:t>Major Assumptions and Input Data</w:t>
        </w:r>
        <w:r w:rsidR="00E3271D">
          <w:rPr>
            <w:noProof/>
            <w:webHidden/>
          </w:rPr>
          <w:tab/>
        </w:r>
        <w:r w:rsidR="008E092D">
          <w:rPr>
            <w:noProof/>
            <w:webHidden/>
          </w:rPr>
          <w:t>A-</w:t>
        </w:r>
        <w:r w:rsidR="00E3271D">
          <w:rPr>
            <w:noProof/>
            <w:webHidden/>
          </w:rPr>
          <w:fldChar w:fldCharType="begin"/>
        </w:r>
        <w:r w:rsidR="00E3271D">
          <w:rPr>
            <w:noProof/>
            <w:webHidden/>
          </w:rPr>
          <w:instrText xml:space="preserve"> PAGEREF _Toc81309154 \h </w:instrText>
        </w:r>
        <w:r w:rsidR="00E3271D">
          <w:rPr>
            <w:noProof/>
            <w:webHidden/>
          </w:rPr>
        </w:r>
        <w:r w:rsidR="00E3271D">
          <w:rPr>
            <w:noProof/>
            <w:webHidden/>
          </w:rPr>
          <w:fldChar w:fldCharType="separate"/>
        </w:r>
        <w:r w:rsidR="00E3271D">
          <w:rPr>
            <w:noProof/>
            <w:webHidden/>
          </w:rPr>
          <w:t>1</w:t>
        </w:r>
        <w:r w:rsidR="00E3271D">
          <w:rPr>
            <w:noProof/>
            <w:webHidden/>
          </w:rPr>
          <w:fldChar w:fldCharType="end"/>
        </w:r>
      </w:hyperlink>
    </w:p>
    <w:p w:rsidRPr="00AE758F" w:rsidR="00C8101A" w:rsidP="007936BF" w:rsidRDefault="003D22E1" w14:paraId="777352E3" w14:textId="208594C4">
      <w:pPr>
        <w:tabs>
          <w:tab w:val="left" w:pos="720"/>
          <w:tab w:val="left" w:pos="1440"/>
          <w:tab w:val="right" w:leader="dot" w:pos="9360"/>
        </w:tabs>
        <w:spacing w:line="240" w:lineRule="auto"/>
        <w:ind w:left="900" w:hanging="900"/>
      </w:pPr>
      <w:r w:rsidRPr="00AE758F">
        <w:rPr>
          <w:rFonts w:asciiTheme="minorHAnsi" w:hAnsiTheme="minorHAnsi"/>
          <w:caps/>
          <w:sz w:val="20"/>
          <w:szCs w:val="20"/>
        </w:rPr>
        <w:fldChar w:fldCharType="end"/>
      </w:r>
    </w:p>
    <w:p w:rsidRPr="00AE758F" w:rsidR="00C8101A" w:rsidP="007936BF" w:rsidRDefault="00C8101A" w14:paraId="1E3FCC46" w14:textId="77777777">
      <w:pPr>
        <w:autoSpaceDE/>
        <w:autoSpaceDN/>
        <w:adjustRightInd/>
        <w:spacing w:line="240" w:lineRule="auto"/>
      </w:pPr>
      <w:r w:rsidRPr="00AE758F">
        <w:br w:type="page"/>
      </w:r>
    </w:p>
    <w:p w:rsidRPr="00AE758F" w:rsidR="00C8101A" w:rsidP="007936BF" w:rsidRDefault="00C8101A" w14:paraId="108C4C02" w14:textId="77777777">
      <w:pPr>
        <w:pStyle w:val="Heading1"/>
        <w:spacing w:line="240" w:lineRule="auto"/>
        <w:rPr>
          <w:szCs w:val="22"/>
        </w:rPr>
      </w:pPr>
      <w:bookmarkStart w:name="_Toc456098201" w:id="17"/>
      <w:bookmarkStart w:name="_Toc457827214" w:id="18"/>
      <w:bookmarkStart w:name="_Toc521577036" w:id="19"/>
      <w:bookmarkStart w:name="_Toc7512223" w:id="20"/>
      <w:bookmarkStart w:name="_Toc81309093" w:id="21"/>
      <w:bookmarkStart w:name="_Toc456098200" w:id="22"/>
      <w:bookmarkStart w:name="_Toc457827213" w:id="23"/>
      <w:bookmarkStart w:name="_Ref470011498" w:id="24"/>
      <w:bookmarkStart w:name="_Ref470011502" w:id="25"/>
      <w:bookmarkStart w:name="_Ref470011543" w:id="26"/>
      <w:bookmarkStart w:name="_Ref470011557" w:id="27"/>
      <w:r w:rsidRPr="00AE758F">
        <w:rPr>
          <w:szCs w:val="22"/>
        </w:rPr>
        <w:lastRenderedPageBreak/>
        <w:t>List of Figures</w:t>
      </w:r>
      <w:bookmarkEnd w:id="17"/>
      <w:bookmarkEnd w:id="18"/>
      <w:bookmarkEnd w:id="19"/>
      <w:bookmarkEnd w:id="20"/>
      <w:bookmarkEnd w:id="21"/>
    </w:p>
    <w:p w:rsidRPr="00AE758F" w:rsidR="00C8101A" w:rsidP="007936BF" w:rsidRDefault="00C8101A" w14:paraId="714CB381" w14:textId="77777777">
      <w:pPr>
        <w:spacing w:line="240" w:lineRule="auto"/>
      </w:pPr>
    </w:p>
    <w:p w:rsidRPr="00AE758F" w:rsidR="00C8101A" w:rsidP="007936BF" w:rsidRDefault="00C8101A" w14:paraId="268F4058" w14:textId="77777777">
      <w:pPr>
        <w:pStyle w:val="TableofFigures"/>
        <w:tabs>
          <w:tab w:val="right" w:pos="9350"/>
        </w:tabs>
        <w:spacing w:after="40" w:line="240" w:lineRule="auto"/>
      </w:pPr>
      <w:r w:rsidRPr="00AE758F">
        <w:rPr>
          <w:u w:val="single"/>
        </w:rPr>
        <w:t>Figure</w:t>
      </w:r>
      <w:r w:rsidRPr="00AE758F">
        <w:tab/>
      </w:r>
      <w:r w:rsidRPr="00AE758F">
        <w:rPr>
          <w:u w:val="single"/>
        </w:rPr>
        <w:t>Page</w:t>
      </w:r>
    </w:p>
    <w:p w:rsidR="006A41A8" w:rsidRDefault="00C8101A" w14:paraId="1F484729" w14:textId="4915AD49">
      <w:pPr>
        <w:pStyle w:val="TableofFigures"/>
        <w:tabs>
          <w:tab w:val="right" w:leader="dot" w:pos="9350"/>
        </w:tabs>
        <w:rPr>
          <w:rFonts w:asciiTheme="minorHAnsi" w:hAnsiTheme="minorHAnsi" w:eastAsiaTheme="minorEastAsia" w:cstheme="minorBidi"/>
          <w:noProof/>
          <w:color w:val="auto"/>
        </w:rPr>
      </w:pPr>
      <w:r w:rsidRPr="00343099">
        <w:fldChar w:fldCharType="begin"/>
      </w:r>
      <w:r w:rsidRPr="00AE758F">
        <w:instrText xml:space="preserve"> TOC \h \z \c "Figure" </w:instrText>
      </w:r>
      <w:r w:rsidRPr="00343099">
        <w:fldChar w:fldCharType="separate"/>
      </w:r>
      <w:hyperlink w:history="1" w:anchor="_Toc79410119">
        <w:r w:rsidRPr="007C7ED1" w:rsidR="006A41A8">
          <w:rPr>
            <w:rStyle w:val="Hyperlink"/>
            <w:b/>
            <w:noProof/>
          </w:rPr>
          <w:t>Figure 1  Net industry costs (7-percent NPV)—Alternative 2</w:t>
        </w:r>
        <w:r w:rsidR="006A41A8">
          <w:rPr>
            <w:noProof/>
            <w:webHidden/>
          </w:rPr>
          <w:tab/>
        </w:r>
        <w:r w:rsidR="006A41A8">
          <w:rPr>
            <w:noProof/>
            <w:webHidden/>
          </w:rPr>
          <w:fldChar w:fldCharType="begin"/>
        </w:r>
        <w:r w:rsidR="006A41A8">
          <w:rPr>
            <w:noProof/>
            <w:webHidden/>
          </w:rPr>
          <w:instrText xml:space="preserve"> PAGEREF _Toc79410119 \h </w:instrText>
        </w:r>
        <w:r w:rsidR="006A41A8">
          <w:rPr>
            <w:noProof/>
            <w:webHidden/>
          </w:rPr>
        </w:r>
        <w:r w:rsidR="006A41A8">
          <w:rPr>
            <w:noProof/>
            <w:webHidden/>
          </w:rPr>
          <w:fldChar w:fldCharType="separate"/>
        </w:r>
        <w:r w:rsidR="006A41A8">
          <w:rPr>
            <w:noProof/>
            <w:webHidden/>
          </w:rPr>
          <w:t>24</w:t>
        </w:r>
        <w:r w:rsidR="006A41A8">
          <w:rPr>
            <w:noProof/>
            <w:webHidden/>
          </w:rPr>
          <w:fldChar w:fldCharType="end"/>
        </w:r>
      </w:hyperlink>
    </w:p>
    <w:p w:rsidR="006A41A8" w:rsidRDefault="0057134D" w14:paraId="32DEA64B" w14:textId="64C67481">
      <w:pPr>
        <w:pStyle w:val="TableofFigures"/>
        <w:tabs>
          <w:tab w:val="right" w:leader="dot" w:pos="9350"/>
        </w:tabs>
        <w:rPr>
          <w:rFonts w:asciiTheme="minorHAnsi" w:hAnsiTheme="minorHAnsi" w:eastAsiaTheme="minorEastAsia" w:cstheme="minorBidi"/>
          <w:noProof/>
          <w:color w:val="auto"/>
        </w:rPr>
      </w:pPr>
      <w:hyperlink w:history="1" w:anchor="_Toc79410120">
        <w:r w:rsidRPr="007C7ED1" w:rsidR="006A41A8">
          <w:rPr>
            <w:rStyle w:val="Hyperlink"/>
            <w:b/>
            <w:bCs/>
            <w:noProof/>
          </w:rPr>
          <w:t>Figure 2  Net NRC costs (7-percent NPV)—Alternative 2</w:t>
        </w:r>
        <w:r w:rsidR="006A41A8">
          <w:rPr>
            <w:noProof/>
            <w:webHidden/>
          </w:rPr>
          <w:tab/>
        </w:r>
        <w:r w:rsidR="006A41A8">
          <w:rPr>
            <w:noProof/>
            <w:webHidden/>
          </w:rPr>
          <w:fldChar w:fldCharType="begin"/>
        </w:r>
        <w:r w:rsidR="006A41A8">
          <w:rPr>
            <w:noProof/>
            <w:webHidden/>
          </w:rPr>
          <w:instrText xml:space="preserve"> PAGEREF _Toc79410120 \h </w:instrText>
        </w:r>
        <w:r w:rsidR="006A41A8">
          <w:rPr>
            <w:noProof/>
            <w:webHidden/>
          </w:rPr>
        </w:r>
        <w:r w:rsidR="006A41A8">
          <w:rPr>
            <w:noProof/>
            <w:webHidden/>
          </w:rPr>
          <w:fldChar w:fldCharType="separate"/>
        </w:r>
        <w:r w:rsidR="006A41A8">
          <w:rPr>
            <w:noProof/>
            <w:webHidden/>
          </w:rPr>
          <w:t>25</w:t>
        </w:r>
        <w:r w:rsidR="006A41A8">
          <w:rPr>
            <w:noProof/>
            <w:webHidden/>
          </w:rPr>
          <w:fldChar w:fldCharType="end"/>
        </w:r>
      </w:hyperlink>
    </w:p>
    <w:p w:rsidR="006A41A8" w:rsidRDefault="0057134D" w14:paraId="229E6024" w14:textId="1764F0A4">
      <w:pPr>
        <w:pStyle w:val="TableofFigures"/>
        <w:tabs>
          <w:tab w:val="right" w:leader="dot" w:pos="9350"/>
        </w:tabs>
        <w:rPr>
          <w:rFonts w:asciiTheme="minorHAnsi" w:hAnsiTheme="minorHAnsi" w:eastAsiaTheme="minorEastAsia" w:cstheme="minorBidi"/>
          <w:noProof/>
          <w:color w:val="auto"/>
        </w:rPr>
      </w:pPr>
      <w:hyperlink w:history="1" w:anchor="_Toc79410121">
        <w:r w:rsidRPr="007C7ED1" w:rsidR="006A41A8">
          <w:rPr>
            <w:rStyle w:val="Hyperlink"/>
            <w:b/>
            <w:noProof/>
          </w:rPr>
          <w:t>Figure 3  Net costs (7-percent NPV)—Alternative 2</w:t>
        </w:r>
        <w:r w:rsidR="006A41A8">
          <w:rPr>
            <w:noProof/>
            <w:webHidden/>
          </w:rPr>
          <w:tab/>
        </w:r>
        <w:r w:rsidR="006A41A8">
          <w:rPr>
            <w:noProof/>
            <w:webHidden/>
          </w:rPr>
          <w:fldChar w:fldCharType="begin"/>
        </w:r>
        <w:r w:rsidR="006A41A8">
          <w:rPr>
            <w:noProof/>
            <w:webHidden/>
          </w:rPr>
          <w:instrText xml:space="preserve"> PAGEREF _Toc79410121 \h </w:instrText>
        </w:r>
        <w:r w:rsidR="006A41A8">
          <w:rPr>
            <w:noProof/>
            <w:webHidden/>
          </w:rPr>
        </w:r>
        <w:r w:rsidR="006A41A8">
          <w:rPr>
            <w:noProof/>
            <w:webHidden/>
          </w:rPr>
          <w:fldChar w:fldCharType="separate"/>
        </w:r>
        <w:r w:rsidR="006A41A8">
          <w:rPr>
            <w:noProof/>
            <w:webHidden/>
          </w:rPr>
          <w:t>25</w:t>
        </w:r>
        <w:r w:rsidR="006A41A8">
          <w:rPr>
            <w:noProof/>
            <w:webHidden/>
          </w:rPr>
          <w:fldChar w:fldCharType="end"/>
        </w:r>
      </w:hyperlink>
    </w:p>
    <w:p w:rsidR="006A41A8" w:rsidRDefault="0057134D" w14:paraId="30DB1733" w14:textId="72049AC9">
      <w:pPr>
        <w:pStyle w:val="TableofFigures"/>
        <w:tabs>
          <w:tab w:val="right" w:leader="dot" w:pos="9350"/>
        </w:tabs>
        <w:rPr>
          <w:rFonts w:asciiTheme="minorHAnsi" w:hAnsiTheme="minorHAnsi" w:eastAsiaTheme="minorEastAsia" w:cstheme="minorBidi"/>
          <w:noProof/>
          <w:color w:val="auto"/>
        </w:rPr>
      </w:pPr>
      <w:hyperlink w:history="1" w:anchor="_Toc79410122">
        <w:r w:rsidRPr="007C7ED1" w:rsidR="006A41A8">
          <w:rPr>
            <w:rStyle w:val="Hyperlink"/>
            <w:b/>
            <w:noProof/>
          </w:rPr>
          <w:t>Figure 4  Top eight cost drivers (7</w:t>
        </w:r>
        <w:r w:rsidRPr="007C7ED1" w:rsidR="006A41A8">
          <w:rPr>
            <w:rStyle w:val="Hyperlink"/>
            <w:b/>
            <w:noProof/>
          </w:rPr>
          <w:noBreakHyphen/>
          <w:t>Percent NPV)—Alternative 2</w:t>
        </w:r>
        <w:r w:rsidR="006A41A8">
          <w:rPr>
            <w:noProof/>
            <w:webHidden/>
          </w:rPr>
          <w:tab/>
        </w:r>
        <w:r w:rsidR="006A41A8">
          <w:rPr>
            <w:noProof/>
            <w:webHidden/>
          </w:rPr>
          <w:fldChar w:fldCharType="begin"/>
        </w:r>
        <w:r w:rsidR="006A41A8">
          <w:rPr>
            <w:noProof/>
            <w:webHidden/>
          </w:rPr>
          <w:instrText xml:space="preserve"> PAGEREF _Toc79410122 \h </w:instrText>
        </w:r>
        <w:r w:rsidR="006A41A8">
          <w:rPr>
            <w:noProof/>
            <w:webHidden/>
          </w:rPr>
        </w:r>
        <w:r w:rsidR="006A41A8">
          <w:rPr>
            <w:noProof/>
            <w:webHidden/>
          </w:rPr>
          <w:fldChar w:fldCharType="separate"/>
        </w:r>
        <w:r w:rsidR="006A41A8">
          <w:rPr>
            <w:noProof/>
            <w:webHidden/>
          </w:rPr>
          <w:t>26</w:t>
        </w:r>
        <w:r w:rsidR="006A41A8">
          <w:rPr>
            <w:noProof/>
            <w:webHidden/>
          </w:rPr>
          <w:fldChar w:fldCharType="end"/>
        </w:r>
      </w:hyperlink>
    </w:p>
    <w:p w:rsidRPr="00AE758F" w:rsidR="00C8101A" w:rsidP="007936BF" w:rsidRDefault="00C8101A" w14:paraId="1F12D0E2" w14:textId="6015DC5D">
      <w:pPr>
        <w:tabs>
          <w:tab w:val="left" w:pos="1440"/>
        </w:tabs>
        <w:spacing w:line="240" w:lineRule="auto"/>
        <w:ind w:left="1440" w:hanging="1440"/>
      </w:pPr>
      <w:r w:rsidRPr="00343099">
        <w:fldChar w:fldCharType="end"/>
      </w:r>
    </w:p>
    <w:p w:rsidRPr="00AE758F" w:rsidR="00C8101A" w:rsidP="007936BF" w:rsidRDefault="00C8101A" w14:paraId="2FE41F68" w14:textId="77777777">
      <w:pPr>
        <w:spacing w:line="240" w:lineRule="auto"/>
      </w:pPr>
    </w:p>
    <w:p w:rsidRPr="00AE758F" w:rsidR="00C8101A" w:rsidP="007936BF" w:rsidRDefault="00C8101A" w14:paraId="5D95A030" w14:textId="01C84BA6">
      <w:pPr>
        <w:pStyle w:val="Heading1"/>
        <w:spacing w:line="240" w:lineRule="auto"/>
        <w:rPr>
          <w:szCs w:val="22"/>
        </w:rPr>
      </w:pPr>
      <w:bookmarkStart w:name="_Toc521577037" w:id="28"/>
      <w:bookmarkStart w:name="_Toc7512224" w:id="29"/>
      <w:bookmarkStart w:name="_Toc81309094" w:id="30"/>
      <w:r w:rsidRPr="00AE758F">
        <w:rPr>
          <w:szCs w:val="22"/>
        </w:rPr>
        <w:t>List of Tables</w:t>
      </w:r>
      <w:bookmarkEnd w:id="22"/>
      <w:bookmarkEnd w:id="23"/>
      <w:bookmarkEnd w:id="24"/>
      <w:bookmarkEnd w:id="25"/>
      <w:bookmarkEnd w:id="26"/>
      <w:bookmarkEnd w:id="27"/>
      <w:bookmarkEnd w:id="28"/>
      <w:bookmarkEnd w:id="29"/>
      <w:bookmarkEnd w:id="30"/>
    </w:p>
    <w:p w:rsidRPr="00AE758F" w:rsidR="00C8101A" w:rsidP="007936BF" w:rsidRDefault="00C8101A" w14:paraId="502F2F3F" w14:textId="77777777">
      <w:pPr>
        <w:spacing w:line="240" w:lineRule="auto"/>
      </w:pPr>
    </w:p>
    <w:p w:rsidRPr="00AE758F" w:rsidR="00C8101A" w:rsidP="007936BF" w:rsidRDefault="00C8101A" w14:paraId="3D346D9C" w14:textId="77777777">
      <w:pPr>
        <w:tabs>
          <w:tab w:val="right" w:pos="9360"/>
        </w:tabs>
        <w:spacing w:after="40" w:line="240" w:lineRule="auto"/>
        <w:rPr>
          <w:color w:val="auto"/>
        </w:rPr>
      </w:pPr>
      <w:r w:rsidRPr="00AE758F">
        <w:rPr>
          <w:u w:val="single"/>
        </w:rPr>
        <w:t>Table</w:t>
      </w:r>
      <w:r w:rsidRPr="00AE758F">
        <w:tab/>
      </w:r>
      <w:r w:rsidRPr="00AE758F">
        <w:rPr>
          <w:u w:val="single"/>
        </w:rPr>
        <w:t>Page</w:t>
      </w:r>
    </w:p>
    <w:p w:rsidR="00EE3B4E" w:rsidRDefault="00C8101A" w14:paraId="4E26326D" w14:textId="2AD7FC33">
      <w:pPr>
        <w:pStyle w:val="TableofFigures"/>
        <w:tabs>
          <w:tab w:val="right" w:leader="dot" w:pos="9350"/>
        </w:tabs>
        <w:rPr>
          <w:rFonts w:asciiTheme="minorHAnsi" w:hAnsiTheme="minorHAnsi" w:eastAsiaTheme="minorEastAsia" w:cstheme="minorBidi"/>
          <w:noProof/>
          <w:color w:val="auto"/>
        </w:rPr>
      </w:pPr>
      <w:r w:rsidRPr="00343099">
        <w:fldChar w:fldCharType="begin"/>
      </w:r>
      <w:r w:rsidRPr="00AE758F">
        <w:instrText xml:space="preserve"> TOC \h \z \c "Table"  \* MERGEFORMAT  \* MERGEFORMAT </w:instrText>
      </w:r>
      <w:r w:rsidRPr="00343099">
        <w:fldChar w:fldCharType="separate"/>
      </w:r>
      <w:hyperlink w:history="1" w:anchor="_Toc81309676">
        <w:r w:rsidRPr="00D900C3" w:rsidR="00EE3B4E">
          <w:rPr>
            <w:rStyle w:val="Hyperlink"/>
            <w:b/>
            <w:noProof/>
          </w:rPr>
          <w:t>Table ES-1  Net Costs and Benefits for Rulemaking (Alternative 2)</w:t>
        </w:r>
        <w:r w:rsidR="00EE3B4E">
          <w:rPr>
            <w:noProof/>
            <w:webHidden/>
          </w:rPr>
          <w:tab/>
        </w:r>
        <w:r w:rsidR="00EE3B4E">
          <w:rPr>
            <w:noProof/>
            <w:webHidden/>
          </w:rPr>
          <w:fldChar w:fldCharType="begin"/>
        </w:r>
        <w:r w:rsidR="00EE3B4E">
          <w:rPr>
            <w:noProof/>
            <w:webHidden/>
          </w:rPr>
          <w:instrText xml:space="preserve"> PAGEREF _Toc81309676 \h </w:instrText>
        </w:r>
        <w:r w:rsidR="00EE3B4E">
          <w:rPr>
            <w:noProof/>
            <w:webHidden/>
          </w:rPr>
        </w:r>
        <w:r w:rsidR="00EE3B4E">
          <w:rPr>
            <w:noProof/>
            <w:webHidden/>
          </w:rPr>
          <w:fldChar w:fldCharType="separate"/>
        </w:r>
        <w:r w:rsidR="00EE3B4E">
          <w:rPr>
            <w:noProof/>
            <w:webHidden/>
          </w:rPr>
          <w:t>v</w:t>
        </w:r>
        <w:r w:rsidR="00EE3B4E">
          <w:rPr>
            <w:noProof/>
            <w:webHidden/>
          </w:rPr>
          <w:fldChar w:fldCharType="end"/>
        </w:r>
      </w:hyperlink>
    </w:p>
    <w:p w:rsidR="00EE3B4E" w:rsidRDefault="0057134D" w14:paraId="2A695D8F" w14:textId="34450461">
      <w:pPr>
        <w:pStyle w:val="TableofFigures"/>
        <w:tabs>
          <w:tab w:val="right" w:leader="dot" w:pos="9350"/>
        </w:tabs>
        <w:rPr>
          <w:rFonts w:asciiTheme="minorHAnsi" w:hAnsiTheme="minorHAnsi" w:eastAsiaTheme="minorEastAsia" w:cstheme="minorBidi"/>
          <w:noProof/>
          <w:color w:val="auto"/>
        </w:rPr>
      </w:pPr>
      <w:hyperlink w:history="1" w:anchor="_Toc81309677">
        <w:r w:rsidRPr="00D900C3" w:rsidR="00EE3B4E">
          <w:rPr>
            <w:rStyle w:val="Hyperlink"/>
            <w:b/>
            <w:noProof/>
          </w:rPr>
          <w:t>Table 1  CPI-U Inflator</w:t>
        </w:r>
        <w:r w:rsidR="00EE3B4E">
          <w:rPr>
            <w:noProof/>
            <w:webHidden/>
          </w:rPr>
          <w:tab/>
        </w:r>
        <w:r w:rsidR="00EE3B4E">
          <w:rPr>
            <w:noProof/>
            <w:webHidden/>
          </w:rPr>
          <w:fldChar w:fldCharType="begin"/>
        </w:r>
        <w:r w:rsidR="00EE3B4E">
          <w:rPr>
            <w:noProof/>
            <w:webHidden/>
          </w:rPr>
          <w:instrText xml:space="preserve"> PAGEREF _Toc81309677 \h </w:instrText>
        </w:r>
        <w:r w:rsidR="00EE3B4E">
          <w:rPr>
            <w:noProof/>
            <w:webHidden/>
          </w:rPr>
        </w:r>
        <w:r w:rsidR="00EE3B4E">
          <w:rPr>
            <w:noProof/>
            <w:webHidden/>
          </w:rPr>
          <w:fldChar w:fldCharType="separate"/>
        </w:r>
        <w:r w:rsidR="00EE3B4E">
          <w:rPr>
            <w:noProof/>
            <w:webHidden/>
          </w:rPr>
          <w:t>9</w:t>
        </w:r>
        <w:r w:rsidR="00EE3B4E">
          <w:rPr>
            <w:noProof/>
            <w:webHidden/>
          </w:rPr>
          <w:fldChar w:fldCharType="end"/>
        </w:r>
      </w:hyperlink>
    </w:p>
    <w:p w:rsidR="00EE3B4E" w:rsidRDefault="0057134D" w14:paraId="27370840" w14:textId="2F81CE30">
      <w:pPr>
        <w:pStyle w:val="TableofFigures"/>
        <w:tabs>
          <w:tab w:val="right" w:leader="dot" w:pos="9350"/>
        </w:tabs>
        <w:rPr>
          <w:rFonts w:asciiTheme="minorHAnsi" w:hAnsiTheme="minorHAnsi" w:eastAsiaTheme="minorEastAsia" w:cstheme="minorBidi"/>
          <w:noProof/>
          <w:color w:val="auto"/>
        </w:rPr>
      </w:pPr>
      <w:hyperlink w:history="1" w:anchor="_Toc81309678">
        <w:r w:rsidRPr="00D900C3" w:rsidR="00EE3B4E">
          <w:rPr>
            <w:rStyle w:val="Hyperlink"/>
            <w:b/>
            <w:noProof/>
          </w:rPr>
          <w:t>Table 2  Position Titles and Occupations</w:t>
        </w:r>
        <w:r w:rsidR="00EE3B4E">
          <w:rPr>
            <w:noProof/>
            <w:webHidden/>
          </w:rPr>
          <w:tab/>
        </w:r>
        <w:r w:rsidR="00EE3B4E">
          <w:rPr>
            <w:noProof/>
            <w:webHidden/>
          </w:rPr>
          <w:fldChar w:fldCharType="begin"/>
        </w:r>
        <w:r w:rsidR="00EE3B4E">
          <w:rPr>
            <w:noProof/>
            <w:webHidden/>
          </w:rPr>
          <w:instrText xml:space="preserve"> PAGEREF _Toc81309678 \h </w:instrText>
        </w:r>
        <w:r w:rsidR="00EE3B4E">
          <w:rPr>
            <w:noProof/>
            <w:webHidden/>
          </w:rPr>
        </w:r>
        <w:r w:rsidR="00EE3B4E">
          <w:rPr>
            <w:noProof/>
            <w:webHidden/>
          </w:rPr>
          <w:fldChar w:fldCharType="separate"/>
        </w:r>
        <w:r w:rsidR="00EE3B4E">
          <w:rPr>
            <w:noProof/>
            <w:webHidden/>
          </w:rPr>
          <w:t>10</w:t>
        </w:r>
        <w:r w:rsidR="00EE3B4E">
          <w:rPr>
            <w:noProof/>
            <w:webHidden/>
          </w:rPr>
          <w:fldChar w:fldCharType="end"/>
        </w:r>
      </w:hyperlink>
    </w:p>
    <w:p w:rsidR="00EE3B4E" w:rsidRDefault="0057134D" w14:paraId="054435CD" w14:textId="006F226D">
      <w:pPr>
        <w:pStyle w:val="TableofFigures"/>
        <w:tabs>
          <w:tab w:val="right" w:leader="dot" w:pos="9350"/>
        </w:tabs>
        <w:rPr>
          <w:rFonts w:asciiTheme="minorHAnsi" w:hAnsiTheme="minorHAnsi" w:eastAsiaTheme="minorEastAsia" w:cstheme="minorBidi"/>
          <w:noProof/>
          <w:color w:val="auto"/>
        </w:rPr>
      </w:pPr>
      <w:hyperlink w:history="1" w:anchor="_Toc81309679">
        <w:r w:rsidRPr="00D900C3" w:rsidR="00EE3B4E">
          <w:rPr>
            <w:rStyle w:val="Hyperlink"/>
            <w:b/>
            <w:noProof/>
          </w:rPr>
          <w:t>Table 3  Industry Implementation—Averted Costs for Reduced Training</w:t>
        </w:r>
        <w:r w:rsidR="00EE3B4E">
          <w:rPr>
            <w:noProof/>
            <w:webHidden/>
          </w:rPr>
          <w:tab/>
        </w:r>
        <w:r w:rsidR="00EE3B4E">
          <w:rPr>
            <w:noProof/>
            <w:webHidden/>
          </w:rPr>
          <w:fldChar w:fldCharType="begin"/>
        </w:r>
        <w:r w:rsidR="00EE3B4E">
          <w:rPr>
            <w:noProof/>
            <w:webHidden/>
          </w:rPr>
          <w:instrText xml:space="preserve"> PAGEREF _Toc81309679 \h </w:instrText>
        </w:r>
        <w:r w:rsidR="00EE3B4E">
          <w:rPr>
            <w:noProof/>
            <w:webHidden/>
          </w:rPr>
        </w:r>
        <w:r w:rsidR="00EE3B4E">
          <w:rPr>
            <w:noProof/>
            <w:webHidden/>
          </w:rPr>
          <w:fldChar w:fldCharType="separate"/>
        </w:r>
        <w:r w:rsidR="00EE3B4E">
          <w:rPr>
            <w:noProof/>
            <w:webHidden/>
          </w:rPr>
          <w:t>15</w:t>
        </w:r>
        <w:r w:rsidR="00EE3B4E">
          <w:rPr>
            <w:noProof/>
            <w:webHidden/>
          </w:rPr>
          <w:fldChar w:fldCharType="end"/>
        </w:r>
      </w:hyperlink>
    </w:p>
    <w:p w:rsidR="00EE3B4E" w:rsidRDefault="0057134D" w14:paraId="24D0B5F1" w14:textId="6BDFE6E4">
      <w:pPr>
        <w:pStyle w:val="TableofFigures"/>
        <w:tabs>
          <w:tab w:val="right" w:leader="dot" w:pos="9350"/>
        </w:tabs>
        <w:rPr>
          <w:rFonts w:asciiTheme="minorHAnsi" w:hAnsiTheme="minorHAnsi" w:eastAsiaTheme="minorEastAsia" w:cstheme="minorBidi"/>
          <w:noProof/>
          <w:color w:val="auto"/>
        </w:rPr>
      </w:pPr>
      <w:hyperlink w:history="1" w:anchor="_Toc81309680">
        <w:r w:rsidRPr="00D900C3" w:rsidR="00EE3B4E">
          <w:rPr>
            <w:rStyle w:val="Hyperlink"/>
            <w:b/>
            <w:noProof/>
          </w:rPr>
          <w:t>Table 4  Industry Operation—Averted Costs for Alternative Requests</w:t>
        </w:r>
        <w:r w:rsidR="00EE3B4E">
          <w:rPr>
            <w:noProof/>
            <w:webHidden/>
          </w:rPr>
          <w:tab/>
        </w:r>
        <w:r w:rsidR="00EE3B4E">
          <w:rPr>
            <w:noProof/>
            <w:webHidden/>
          </w:rPr>
          <w:fldChar w:fldCharType="begin"/>
        </w:r>
        <w:r w:rsidR="00EE3B4E">
          <w:rPr>
            <w:noProof/>
            <w:webHidden/>
          </w:rPr>
          <w:instrText xml:space="preserve"> PAGEREF _Toc81309680 \h </w:instrText>
        </w:r>
        <w:r w:rsidR="00EE3B4E">
          <w:rPr>
            <w:noProof/>
            <w:webHidden/>
          </w:rPr>
        </w:r>
        <w:r w:rsidR="00EE3B4E">
          <w:rPr>
            <w:noProof/>
            <w:webHidden/>
          </w:rPr>
          <w:fldChar w:fldCharType="separate"/>
        </w:r>
        <w:r w:rsidR="00EE3B4E">
          <w:rPr>
            <w:noProof/>
            <w:webHidden/>
          </w:rPr>
          <w:t>17</w:t>
        </w:r>
        <w:r w:rsidR="00EE3B4E">
          <w:rPr>
            <w:noProof/>
            <w:webHidden/>
          </w:rPr>
          <w:fldChar w:fldCharType="end"/>
        </w:r>
      </w:hyperlink>
    </w:p>
    <w:p w:rsidR="00EE3B4E" w:rsidRDefault="0057134D" w14:paraId="75E0A86D" w14:textId="1615D6CC">
      <w:pPr>
        <w:pStyle w:val="TableofFigures"/>
        <w:tabs>
          <w:tab w:val="right" w:leader="dot" w:pos="9350"/>
        </w:tabs>
        <w:rPr>
          <w:rFonts w:asciiTheme="minorHAnsi" w:hAnsiTheme="minorHAnsi" w:eastAsiaTheme="minorEastAsia" w:cstheme="minorBidi"/>
          <w:noProof/>
          <w:color w:val="auto"/>
        </w:rPr>
      </w:pPr>
      <w:hyperlink w:history="1" w:anchor="_Toc81309681">
        <w:r w:rsidRPr="00D900C3" w:rsidR="00EE3B4E">
          <w:rPr>
            <w:rStyle w:val="Hyperlink"/>
            <w:b/>
            <w:noProof/>
          </w:rPr>
          <w:t>Table 5  Industry Operation—Averted Costs for Alternative Measurement Locations</w:t>
        </w:r>
        <w:r w:rsidR="00EE3B4E">
          <w:rPr>
            <w:noProof/>
            <w:webHidden/>
          </w:rPr>
          <w:tab/>
        </w:r>
        <w:r w:rsidR="00EE3B4E">
          <w:rPr>
            <w:noProof/>
            <w:webHidden/>
          </w:rPr>
          <w:fldChar w:fldCharType="begin"/>
        </w:r>
        <w:r w:rsidR="00EE3B4E">
          <w:rPr>
            <w:noProof/>
            <w:webHidden/>
          </w:rPr>
          <w:instrText xml:space="preserve"> PAGEREF _Toc81309681 \h </w:instrText>
        </w:r>
        <w:r w:rsidR="00EE3B4E">
          <w:rPr>
            <w:noProof/>
            <w:webHidden/>
          </w:rPr>
        </w:r>
        <w:r w:rsidR="00EE3B4E">
          <w:rPr>
            <w:noProof/>
            <w:webHidden/>
          </w:rPr>
          <w:fldChar w:fldCharType="separate"/>
        </w:r>
        <w:r w:rsidR="00EE3B4E">
          <w:rPr>
            <w:noProof/>
            <w:webHidden/>
          </w:rPr>
          <w:t>17</w:t>
        </w:r>
        <w:r w:rsidR="00EE3B4E">
          <w:rPr>
            <w:noProof/>
            <w:webHidden/>
          </w:rPr>
          <w:fldChar w:fldCharType="end"/>
        </w:r>
      </w:hyperlink>
    </w:p>
    <w:p w:rsidR="00EE3B4E" w:rsidRDefault="0057134D" w14:paraId="46AA618C" w14:textId="177592EA">
      <w:pPr>
        <w:pStyle w:val="TableofFigures"/>
        <w:tabs>
          <w:tab w:val="right" w:leader="dot" w:pos="9350"/>
        </w:tabs>
        <w:rPr>
          <w:rFonts w:asciiTheme="minorHAnsi" w:hAnsiTheme="minorHAnsi" w:eastAsiaTheme="minorEastAsia" w:cstheme="minorBidi"/>
          <w:noProof/>
          <w:color w:val="auto"/>
        </w:rPr>
      </w:pPr>
      <w:hyperlink w:history="1" w:anchor="_Toc81309682">
        <w:r w:rsidRPr="00D900C3" w:rsidR="00EE3B4E">
          <w:rPr>
            <w:rStyle w:val="Hyperlink"/>
            <w:b/>
            <w:noProof/>
          </w:rPr>
          <w:t>Table 6  Industry Operation—Additional Costs To Justify the Stem-Disk Connection</w:t>
        </w:r>
        <w:r w:rsidR="00EE3B4E">
          <w:rPr>
            <w:noProof/>
            <w:webHidden/>
          </w:rPr>
          <w:tab/>
        </w:r>
        <w:r w:rsidR="00EE3B4E">
          <w:rPr>
            <w:noProof/>
            <w:webHidden/>
          </w:rPr>
          <w:fldChar w:fldCharType="begin"/>
        </w:r>
        <w:r w:rsidR="00EE3B4E">
          <w:rPr>
            <w:noProof/>
            <w:webHidden/>
          </w:rPr>
          <w:instrText xml:space="preserve"> PAGEREF _Toc81309682 \h </w:instrText>
        </w:r>
        <w:r w:rsidR="00EE3B4E">
          <w:rPr>
            <w:noProof/>
            <w:webHidden/>
          </w:rPr>
        </w:r>
        <w:r w:rsidR="00EE3B4E">
          <w:rPr>
            <w:noProof/>
            <w:webHidden/>
          </w:rPr>
          <w:fldChar w:fldCharType="separate"/>
        </w:r>
        <w:r w:rsidR="00EE3B4E">
          <w:rPr>
            <w:noProof/>
            <w:webHidden/>
          </w:rPr>
          <w:t>18</w:t>
        </w:r>
        <w:r w:rsidR="00EE3B4E">
          <w:rPr>
            <w:noProof/>
            <w:webHidden/>
          </w:rPr>
          <w:fldChar w:fldCharType="end"/>
        </w:r>
      </w:hyperlink>
    </w:p>
    <w:p w:rsidR="00EE3B4E" w:rsidRDefault="0057134D" w14:paraId="116D0CC2" w14:textId="332F47E1">
      <w:pPr>
        <w:pStyle w:val="TableofFigures"/>
        <w:tabs>
          <w:tab w:val="right" w:leader="dot" w:pos="9350"/>
        </w:tabs>
        <w:rPr>
          <w:rFonts w:asciiTheme="minorHAnsi" w:hAnsiTheme="minorHAnsi" w:eastAsiaTheme="minorEastAsia" w:cstheme="minorBidi"/>
          <w:noProof/>
          <w:color w:val="auto"/>
        </w:rPr>
      </w:pPr>
      <w:hyperlink w:history="1" w:anchor="_Toc81309683">
        <w:r w:rsidRPr="00D900C3" w:rsidR="00EE3B4E">
          <w:rPr>
            <w:rStyle w:val="Hyperlink"/>
            <w:b/>
            <w:noProof/>
          </w:rPr>
          <w:t>Table 7  Industry Operation—Averted Costs for Testing Valves under ISTC-3700</w:t>
        </w:r>
        <w:r w:rsidR="00EE3B4E">
          <w:rPr>
            <w:noProof/>
            <w:webHidden/>
          </w:rPr>
          <w:tab/>
        </w:r>
        <w:r w:rsidR="00EE3B4E">
          <w:rPr>
            <w:noProof/>
            <w:webHidden/>
          </w:rPr>
          <w:fldChar w:fldCharType="begin"/>
        </w:r>
        <w:r w:rsidR="00EE3B4E">
          <w:rPr>
            <w:noProof/>
            <w:webHidden/>
          </w:rPr>
          <w:instrText xml:space="preserve"> PAGEREF _Toc81309683 \h </w:instrText>
        </w:r>
        <w:r w:rsidR="00EE3B4E">
          <w:rPr>
            <w:noProof/>
            <w:webHidden/>
          </w:rPr>
        </w:r>
        <w:r w:rsidR="00EE3B4E">
          <w:rPr>
            <w:noProof/>
            <w:webHidden/>
          </w:rPr>
          <w:fldChar w:fldCharType="separate"/>
        </w:r>
        <w:r w:rsidR="00EE3B4E">
          <w:rPr>
            <w:noProof/>
            <w:webHidden/>
          </w:rPr>
          <w:t>18</w:t>
        </w:r>
        <w:r w:rsidR="00EE3B4E">
          <w:rPr>
            <w:noProof/>
            <w:webHidden/>
          </w:rPr>
          <w:fldChar w:fldCharType="end"/>
        </w:r>
      </w:hyperlink>
    </w:p>
    <w:p w:rsidR="00EE3B4E" w:rsidRDefault="0057134D" w14:paraId="1F8F1A3D" w14:textId="2E704AA4">
      <w:pPr>
        <w:pStyle w:val="TableofFigures"/>
        <w:tabs>
          <w:tab w:val="right" w:leader="dot" w:pos="9350"/>
        </w:tabs>
        <w:rPr>
          <w:rFonts w:asciiTheme="minorHAnsi" w:hAnsiTheme="minorHAnsi" w:eastAsiaTheme="minorEastAsia" w:cstheme="minorBidi"/>
          <w:noProof/>
          <w:color w:val="auto"/>
        </w:rPr>
      </w:pPr>
      <w:hyperlink w:history="1" w:anchor="_Toc81309684">
        <w:r w:rsidRPr="00D900C3" w:rsidR="00EE3B4E">
          <w:rPr>
            <w:rStyle w:val="Hyperlink"/>
            <w:b/>
            <w:noProof/>
          </w:rPr>
          <w:t>Table 8  Net Industry Costs</w:t>
        </w:r>
        <w:r w:rsidR="00EE3B4E">
          <w:rPr>
            <w:noProof/>
            <w:webHidden/>
          </w:rPr>
          <w:tab/>
        </w:r>
        <w:r w:rsidR="00EE3B4E">
          <w:rPr>
            <w:noProof/>
            <w:webHidden/>
          </w:rPr>
          <w:fldChar w:fldCharType="begin"/>
        </w:r>
        <w:r w:rsidR="00EE3B4E">
          <w:rPr>
            <w:noProof/>
            <w:webHidden/>
          </w:rPr>
          <w:instrText xml:space="preserve"> PAGEREF _Toc81309684 \h </w:instrText>
        </w:r>
        <w:r w:rsidR="00EE3B4E">
          <w:rPr>
            <w:noProof/>
            <w:webHidden/>
          </w:rPr>
        </w:r>
        <w:r w:rsidR="00EE3B4E">
          <w:rPr>
            <w:noProof/>
            <w:webHidden/>
          </w:rPr>
          <w:fldChar w:fldCharType="separate"/>
        </w:r>
        <w:r w:rsidR="00EE3B4E">
          <w:rPr>
            <w:noProof/>
            <w:webHidden/>
          </w:rPr>
          <w:t>19</w:t>
        </w:r>
        <w:r w:rsidR="00EE3B4E">
          <w:rPr>
            <w:noProof/>
            <w:webHidden/>
          </w:rPr>
          <w:fldChar w:fldCharType="end"/>
        </w:r>
      </w:hyperlink>
    </w:p>
    <w:p w:rsidR="00EE3B4E" w:rsidRDefault="0057134D" w14:paraId="4FEE4CA2" w14:textId="2CE4B696">
      <w:pPr>
        <w:pStyle w:val="TableofFigures"/>
        <w:tabs>
          <w:tab w:val="right" w:leader="dot" w:pos="9350"/>
        </w:tabs>
        <w:rPr>
          <w:rFonts w:asciiTheme="minorHAnsi" w:hAnsiTheme="minorHAnsi" w:eastAsiaTheme="minorEastAsia" w:cstheme="minorBidi"/>
          <w:noProof/>
          <w:color w:val="auto"/>
        </w:rPr>
      </w:pPr>
      <w:hyperlink w:history="1" w:anchor="_Toc81309685">
        <w:r w:rsidRPr="00D900C3" w:rsidR="00EE3B4E">
          <w:rPr>
            <w:rStyle w:val="Hyperlink"/>
            <w:b/>
            <w:noProof/>
          </w:rPr>
          <w:t>Table 9  NRC Operation Costs—Averted Alternative Request Reviews</w:t>
        </w:r>
        <w:r w:rsidR="00EE3B4E">
          <w:rPr>
            <w:noProof/>
            <w:webHidden/>
          </w:rPr>
          <w:tab/>
        </w:r>
        <w:r w:rsidR="00EE3B4E">
          <w:rPr>
            <w:noProof/>
            <w:webHidden/>
          </w:rPr>
          <w:fldChar w:fldCharType="begin"/>
        </w:r>
        <w:r w:rsidR="00EE3B4E">
          <w:rPr>
            <w:noProof/>
            <w:webHidden/>
          </w:rPr>
          <w:instrText xml:space="preserve"> PAGEREF _Toc81309685 \h </w:instrText>
        </w:r>
        <w:r w:rsidR="00EE3B4E">
          <w:rPr>
            <w:noProof/>
            <w:webHidden/>
          </w:rPr>
        </w:r>
        <w:r w:rsidR="00EE3B4E">
          <w:rPr>
            <w:noProof/>
            <w:webHidden/>
          </w:rPr>
          <w:fldChar w:fldCharType="separate"/>
        </w:r>
        <w:r w:rsidR="00EE3B4E">
          <w:rPr>
            <w:noProof/>
            <w:webHidden/>
          </w:rPr>
          <w:t>19</w:t>
        </w:r>
        <w:r w:rsidR="00EE3B4E">
          <w:rPr>
            <w:noProof/>
            <w:webHidden/>
          </w:rPr>
          <w:fldChar w:fldCharType="end"/>
        </w:r>
      </w:hyperlink>
    </w:p>
    <w:p w:rsidR="00EE3B4E" w:rsidRDefault="0057134D" w14:paraId="03FEBEB8" w14:textId="79A39D92">
      <w:pPr>
        <w:pStyle w:val="TableofFigures"/>
        <w:tabs>
          <w:tab w:val="right" w:leader="dot" w:pos="9350"/>
        </w:tabs>
        <w:rPr>
          <w:rFonts w:asciiTheme="minorHAnsi" w:hAnsiTheme="minorHAnsi" w:eastAsiaTheme="minorEastAsia" w:cstheme="minorBidi"/>
          <w:noProof/>
          <w:color w:val="auto"/>
        </w:rPr>
      </w:pPr>
      <w:hyperlink w:history="1" w:anchor="_Toc81309686">
        <w:r w:rsidRPr="00D900C3" w:rsidR="00EE3B4E">
          <w:rPr>
            <w:rStyle w:val="Hyperlink"/>
            <w:b/>
            <w:noProof/>
          </w:rPr>
          <w:t>Table 10  Net NRC Costs</w:t>
        </w:r>
        <w:r w:rsidR="00EE3B4E">
          <w:rPr>
            <w:noProof/>
            <w:webHidden/>
          </w:rPr>
          <w:tab/>
        </w:r>
        <w:r w:rsidR="00EE3B4E">
          <w:rPr>
            <w:noProof/>
            <w:webHidden/>
          </w:rPr>
          <w:fldChar w:fldCharType="begin"/>
        </w:r>
        <w:r w:rsidR="00EE3B4E">
          <w:rPr>
            <w:noProof/>
            <w:webHidden/>
          </w:rPr>
          <w:instrText xml:space="preserve"> PAGEREF _Toc81309686 \h </w:instrText>
        </w:r>
        <w:r w:rsidR="00EE3B4E">
          <w:rPr>
            <w:noProof/>
            <w:webHidden/>
          </w:rPr>
        </w:r>
        <w:r w:rsidR="00EE3B4E">
          <w:rPr>
            <w:noProof/>
            <w:webHidden/>
          </w:rPr>
          <w:fldChar w:fldCharType="separate"/>
        </w:r>
        <w:r w:rsidR="00EE3B4E">
          <w:rPr>
            <w:noProof/>
            <w:webHidden/>
          </w:rPr>
          <w:t>20</w:t>
        </w:r>
        <w:r w:rsidR="00EE3B4E">
          <w:rPr>
            <w:noProof/>
            <w:webHidden/>
          </w:rPr>
          <w:fldChar w:fldCharType="end"/>
        </w:r>
      </w:hyperlink>
    </w:p>
    <w:p w:rsidR="00EE3B4E" w:rsidRDefault="0057134D" w14:paraId="5EE7407B" w14:textId="6DD13FC0">
      <w:pPr>
        <w:pStyle w:val="TableofFigures"/>
        <w:tabs>
          <w:tab w:val="right" w:leader="dot" w:pos="9350"/>
        </w:tabs>
        <w:rPr>
          <w:rFonts w:asciiTheme="minorHAnsi" w:hAnsiTheme="minorHAnsi" w:eastAsiaTheme="minorEastAsia" w:cstheme="minorBidi"/>
          <w:noProof/>
          <w:color w:val="auto"/>
        </w:rPr>
      </w:pPr>
      <w:hyperlink w:history="1" w:anchor="_Toc81309687">
        <w:r w:rsidRPr="00D900C3" w:rsidR="00EE3B4E">
          <w:rPr>
            <w:rStyle w:val="Hyperlink"/>
            <w:b/>
            <w:noProof/>
          </w:rPr>
          <w:t>Table 11  Net Costs</w:t>
        </w:r>
        <w:r w:rsidR="00EE3B4E">
          <w:rPr>
            <w:noProof/>
            <w:webHidden/>
          </w:rPr>
          <w:tab/>
        </w:r>
        <w:r w:rsidR="00EE3B4E">
          <w:rPr>
            <w:noProof/>
            <w:webHidden/>
          </w:rPr>
          <w:fldChar w:fldCharType="begin"/>
        </w:r>
        <w:r w:rsidR="00EE3B4E">
          <w:rPr>
            <w:noProof/>
            <w:webHidden/>
          </w:rPr>
          <w:instrText xml:space="preserve"> PAGEREF _Toc81309687 \h </w:instrText>
        </w:r>
        <w:r w:rsidR="00EE3B4E">
          <w:rPr>
            <w:noProof/>
            <w:webHidden/>
          </w:rPr>
        </w:r>
        <w:r w:rsidR="00EE3B4E">
          <w:rPr>
            <w:noProof/>
            <w:webHidden/>
          </w:rPr>
          <w:fldChar w:fldCharType="separate"/>
        </w:r>
        <w:r w:rsidR="00EE3B4E">
          <w:rPr>
            <w:noProof/>
            <w:webHidden/>
          </w:rPr>
          <w:t>20</w:t>
        </w:r>
        <w:r w:rsidR="00EE3B4E">
          <w:rPr>
            <w:noProof/>
            <w:webHidden/>
          </w:rPr>
          <w:fldChar w:fldCharType="end"/>
        </w:r>
      </w:hyperlink>
    </w:p>
    <w:p w:rsidR="00EE3B4E" w:rsidRDefault="0057134D" w14:paraId="68A18BE4" w14:textId="19AF94A7">
      <w:pPr>
        <w:pStyle w:val="TableofFigures"/>
        <w:tabs>
          <w:tab w:val="right" w:leader="dot" w:pos="9350"/>
        </w:tabs>
        <w:rPr>
          <w:rFonts w:asciiTheme="minorHAnsi" w:hAnsiTheme="minorHAnsi" w:eastAsiaTheme="minorEastAsia" w:cstheme="minorBidi"/>
          <w:noProof/>
          <w:color w:val="auto"/>
        </w:rPr>
      </w:pPr>
      <w:hyperlink w:history="1" w:anchor="_Toc81309688">
        <w:r w:rsidRPr="00D900C3" w:rsidR="00EE3B4E">
          <w:rPr>
            <w:rStyle w:val="Hyperlink"/>
            <w:b/>
            <w:noProof/>
          </w:rPr>
          <w:t>Table 12  Uncertainty Analysis Variables</w:t>
        </w:r>
        <w:r w:rsidR="00EE3B4E">
          <w:rPr>
            <w:noProof/>
            <w:webHidden/>
          </w:rPr>
          <w:tab/>
        </w:r>
        <w:r w:rsidR="00EE3B4E">
          <w:rPr>
            <w:noProof/>
            <w:webHidden/>
          </w:rPr>
          <w:fldChar w:fldCharType="begin"/>
        </w:r>
        <w:r w:rsidR="00EE3B4E">
          <w:rPr>
            <w:noProof/>
            <w:webHidden/>
          </w:rPr>
          <w:instrText xml:space="preserve"> PAGEREF _Toc81309688 \h </w:instrText>
        </w:r>
        <w:r w:rsidR="00EE3B4E">
          <w:rPr>
            <w:noProof/>
            <w:webHidden/>
          </w:rPr>
        </w:r>
        <w:r w:rsidR="00EE3B4E">
          <w:rPr>
            <w:noProof/>
            <w:webHidden/>
          </w:rPr>
          <w:fldChar w:fldCharType="separate"/>
        </w:r>
        <w:r w:rsidR="00EE3B4E">
          <w:rPr>
            <w:noProof/>
            <w:webHidden/>
          </w:rPr>
          <w:t>22</w:t>
        </w:r>
        <w:r w:rsidR="00EE3B4E">
          <w:rPr>
            <w:noProof/>
            <w:webHidden/>
          </w:rPr>
          <w:fldChar w:fldCharType="end"/>
        </w:r>
      </w:hyperlink>
    </w:p>
    <w:p w:rsidR="00EE3B4E" w:rsidRDefault="0057134D" w14:paraId="1880A889" w14:textId="3FC9DD8A">
      <w:pPr>
        <w:pStyle w:val="TableofFigures"/>
        <w:tabs>
          <w:tab w:val="right" w:leader="dot" w:pos="9350"/>
        </w:tabs>
        <w:rPr>
          <w:rFonts w:asciiTheme="minorHAnsi" w:hAnsiTheme="minorHAnsi" w:eastAsiaTheme="minorEastAsia" w:cstheme="minorBidi"/>
          <w:noProof/>
          <w:color w:val="auto"/>
        </w:rPr>
      </w:pPr>
      <w:hyperlink w:history="1" w:anchor="_Toc81309689">
        <w:r w:rsidRPr="00D900C3" w:rsidR="00EE3B4E">
          <w:rPr>
            <w:rStyle w:val="Hyperlink"/>
            <w:b/>
            <w:noProof/>
          </w:rPr>
          <w:t>Table 13  Descriptive Statistics for Uncertainty Results (7-Percent NPV)</w:t>
        </w:r>
        <w:r w:rsidR="00EE3B4E">
          <w:rPr>
            <w:noProof/>
            <w:webHidden/>
          </w:rPr>
          <w:tab/>
        </w:r>
        <w:r w:rsidR="00EE3B4E">
          <w:rPr>
            <w:noProof/>
            <w:webHidden/>
          </w:rPr>
          <w:fldChar w:fldCharType="begin"/>
        </w:r>
        <w:r w:rsidR="00EE3B4E">
          <w:rPr>
            <w:noProof/>
            <w:webHidden/>
          </w:rPr>
          <w:instrText xml:space="preserve"> PAGEREF _Toc81309689 \h </w:instrText>
        </w:r>
        <w:r w:rsidR="00EE3B4E">
          <w:rPr>
            <w:noProof/>
            <w:webHidden/>
          </w:rPr>
        </w:r>
        <w:r w:rsidR="00EE3B4E">
          <w:rPr>
            <w:noProof/>
            <w:webHidden/>
          </w:rPr>
          <w:fldChar w:fldCharType="separate"/>
        </w:r>
        <w:r w:rsidR="00EE3B4E">
          <w:rPr>
            <w:noProof/>
            <w:webHidden/>
          </w:rPr>
          <w:t>26</w:t>
        </w:r>
        <w:r w:rsidR="00EE3B4E">
          <w:rPr>
            <w:noProof/>
            <w:webHidden/>
          </w:rPr>
          <w:fldChar w:fldCharType="end"/>
        </w:r>
      </w:hyperlink>
    </w:p>
    <w:p w:rsidR="00EE3B4E" w:rsidRDefault="0057134D" w14:paraId="1ACE492B" w14:textId="705F50D3">
      <w:pPr>
        <w:pStyle w:val="TableofFigures"/>
        <w:tabs>
          <w:tab w:val="right" w:leader="dot" w:pos="9350"/>
        </w:tabs>
        <w:rPr>
          <w:rFonts w:asciiTheme="minorHAnsi" w:hAnsiTheme="minorHAnsi" w:eastAsiaTheme="minorEastAsia" w:cstheme="minorBidi"/>
          <w:noProof/>
          <w:color w:val="auto"/>
        </w:rPr>
      </w:pPr>
      <w:hyperlink w:history="1" w:anchor="_Toc81309690">
        <w:r w:rsidRPr="00D900C3" w:rsidR="00EE3B4E">
          <w:rPr>
            <w:rStyle w:val="Hyperlink"/>
            <w:b/>
            <w:noProof/>
          </w:rPr>
          <w:t>Table 14  Disaggregation</w:t>
        </w:r>
        <w:r w:rsidR="00EE3B4E">
          <w:rPr>
            <w:noProof/>
            <w:webHidden/>
          </w:rPr>
          <w:tab/>
        </w:r>
        <w:r w:rsidR="00EE3B4E">
          <w:rPr>
            <w:noProof/>
            <w:webHidden/>
          </w:rPr>
          <w:fldChar w:fldCharType="begin"/>
        </w:r>
        <w:r w:rsidR="00EE3B4E">
          <w:rPr>
            <w:noProof/>
            <w:webHidden/>
          </w:rPr>
          <w:instrText xml:space="preserve"> PAGEREF _Toc81309690 \h </w:instrText>
        </w:r>
        <w:r w:rsidR="00EE3B4E">
          <w:rPr>
            <w:noProof/>
            <w:webHidden/>
          </w:rPr>
        </w:r>
        <w:r w:rsidR="00EE3B4E">
          <w:rPr>
            <w:noProof/>
            <w:webHidden/>
          </w:rPr>
          <w:fldChar w:fldCharType="separate"/>
        </w:r>
        <w:r w:rsidR="00EE3B4E">
          <w:rPr>
            <w:noProof/>
            <w:webHidden/>
          </w:rPr>
          <w:t>27</w:t>
        </w:r>
        <w:r w:rsidR="00EE3B4E">
          <w:rPr>
            <w:noProof/>
            <w:webHidden/>
          </w:rPr>
          <w:fldChar w:fldCharType="end"/>
        </w:r>
      </w:hyperlink>
    </w:p>
    <w:p w:rsidR="00EE3B4E" w:rsidRDefault="0057134D" w14:paraId="76D9AF57" w14:textId="1375A496">
      <w:pPr>
        <w:pStyle w:val="TableofFigures"/>
        <w:tabs>
          <w:tab w:val="right" w:leader="dot" w:pos="9350"/>
        </w:tabs>
        <w:rPr>
          <w:rFonts w:asciiTheme="minorHAnsi" w:hAnsiTheme="minorHAnsi" w:eastAsiaTheme="minorEastAsia" w:cstheme="minorBidi"/>
          <w:noProof/>
          <w:color w:val="auto"/>
        </w:rPr>
      </w:pPr>
      <w:hyperlink w:history="1" w:anchor="_Toc81309691">
        <w:r w:rsidRPr="00D900C3" w:rsidR="00EE3B4E">
          <w:rPr>
            <w:rStyle w:val="Hyperlink"/>
            <w:b/>
            <w:noProof/>
          </w:rPr>
          <w:t>Table 15  Costs by Provision</w:t>
        </w:r>
        <w:r w:rsidR="00EE3B4E">
          <w:rPr>
            <w:noProof/>
            <w:webHidden/>
          </w:rPr>
          <w:tab/>
        </w:r>
        <w:r w:rsidR="00EE3B4E">
          <w:rPr>
            <w:noProof/>
            <w:webHidden/>
          </w:rPr>
          <w:fldChar w:fldCharType="begin"/>
        </w:r>
        <w:r w:rsidR="00EE3B4E">
          <w:rPr>
            <w:noProof/>
            <w:webHidden/>
          </w:rPr>
          <w:instrText xml:space="preserve"> PAGEREF _Toc81309691 \h </w:instrText>
        </w:r>
        <w:r w:rsidR="00EE3B4E">
          <w:rPr>
            <w:noProof/>
            <w:webHidden/>
          </w:rPr>
        </w:r>
        <w:r w:rsidR="00EE3B4E">
          <w:rPr>
            <w:noProof/>
            <w:webHidden/>
          </w:rPr>
          <w:fldChar w:fldCharType="separate"/>
        </w:r>
        <w:r w:rsidR="00EE3B4E">
          <w:rPr>
            <w:noProof/>
            <w:webHidden/>
          </w:rPr>
          <w:t>27</w:t>
        </w:r>
        <w:r w:rsidR="00EE3B4E">
          <w:rPr>
            <w:noProof/>
            <w:webHidden/>
          </w:rPr>
          <w:fldChar w:fldCharType="end"/>
        </w:r>
      </w:hyperlink>
    </w:p>
    <w:p w:rsidR="00EE3B4E" w:rsidRDefault="0057134D" w14:paraId="182889B4" w14:textId="44678FD1">
      <w:pPr>
        <w:pStyle w:val="TableofFigures"/>
        <w:tabs>
          <w:tab w:val="right" w:leader="dot" w:pos="9350"/>
        </w:tabs>
        <w:rPr>
          <w:rFonts w:asciiTheme="minorHAnsi" w:hAnsiTheme="minorHAnsi" w:eastAsiaTheme="minorEastAsia" w:cstheme="minorBidi"/>
          <w:noProof/>
          <w:color w:val="auto"/>
        </w:rPr>
      </w:pPr>
      <w:hyperlink w:history="1" w:anchor="_Toc81309692">
        <w:r w:rsidRPr="00D900C3" w:rsidR="00EE3B4E">
          <w:rPr>
            <w:rStyle w:val="Hyperlink"/>
            <w:b/>
            <w:noProof/>
          </w:rPr>
          <w:t>Table 16  Specific CRGR Regulatory Analysis Information Requirements</w:t>
        </w:r>
        <w:r w:rsidR="00EE3B4E">
          <w:rPr>
            <w:noProof/>
            <w:webHidden/>
          </w:rPr>
          <w:tab/>
        </w:r>
        <w:r w:rsidR="00EE3B4E">
          <w:rPr>
            <w:noProof/>
            <w:webHidden/>
          </w:rPr>
          <w:fldChar w:fldCharType="begin"/>
        </w:r>
        <w:r w:rsidR="00EE3B4E">
          <w:rPr>
            <w:noProof/>
            <w:webHidden/>
          </w:rPr>
          <w:instrText xml:space="preserve"> PAGEREF _Toc81309692 \h </w:instrText>
        </w:r>
        <w:r w:rsidR="00EE3B4E">
          <w:rPr>
            <w:noProof/>
            <w:webHidden/>
          </w:rPr>
        </w:r>
        <w:r w:rsidR="00EE3B4E">
          <w:rPr>
            <w:noProof/>
            <w:webHidden/>
          </w:rPr>
          <w:fldChar w:fldCharType="separate"/>
        </w:r>
        <w:r w:rsidR="00EE3B4E">
          <w:rPr>
            <w:noProof/>
            <w:webHidden/>
          </w:rPr>
          <w:t>30</w:t>
        </w:r>
        <w:r w:rsidR="00EE3B4E">
          <w:rPr>
            <w:noProof/>
            <w:webHidden/>
          </w:rPr>
          <w:fldChar w:fldCharType="end"/>
        </w:r>
      </w:hyperlink>
    </w:p>
    <w:p w:rsidR="00EE3B4E" w:rsidRDefault="0057134D" w14:paraId="663783D9" w14:textId="279D4D46">
      <w:pPr>
        <w:pStyle w:val="TableofFigures"/>
        <w:tabs>
          <w:tab w:val="right" w:leader="dot" w:pos="9350"/>
        </w:tabs>
        <w:rPr>
          <w:rFonts w:asciiTheme="minorHAnsi" w:hAnsiTheme="minorHAnsi" w:eastAsiaTheme="minorEastAsia" w:cstheme="minorBidi"/>
          <w:noProof/>
          <w:color w:val="auto"/>
        </w:rPr>
      </w:pPr>
      <w:hyperlink w:history="1" w:anchor="_Toc81309693">
        <w:r w:rsidRPr="00D900C3" w:rsidR="00EE3B4E">
          <w:rPr>
            <w:rStyle w:val="Hyperlink"/>
            <w:b/>
            <w:noProof/>
          </w:rPr>
          <w:t>Table 17  Summary of Costs and Benefits</w:t>
        </w:r>
        <w:r w:rsidR="00EE3B4E">
          <w:rPr>
            <w:noProof/>
            <w:webHidden/>
          </w:rPr>
          <w:tab/>
        </w:r>
        <w:r w:rsidR="00EE3B4E">
          <w:rPr>
            <w:noProof/>
            <w:webHidden/>
          </w:rPr>
          <w:fldChar w:fldCharType="begin"/>
        </w:r>
        <w:r w:rsidR="00EE3B4E">
          <w:rPr>
            <w:noProof/>
            <w:webHidden/>
          </w:rPr>
          <w:instrText xml:space="preserve"> PAGEREF _Toc81309693 \h </w:instrText>
        </w:r>
        <w:r w:rsidR="00EE3B4E">
          <w:rPr>
            <w:noProof/>
            <w:webHidden/>
          </w:rPr>
        </w:r>
        <w:r w:rsidR="00EE3B4E">
          <w:rPr>
            <w:noProof/>
            <w:webHidden/>
          </w:rPr>
          <w:fldChar w:fldCharType="separate"/>
        </w:r>
        <w:r w:rsidR="00EE3B4E">
          <w:rPr>
            <w:noProof/>
            <w:webHidden/>
          </w:rPr>
          <w:t>30</w:t>
        </w:r>
        <w:r w:rsidR="00EE3B4E">
          <w:rPr>
            <w:noProof/>
            <w:webHidden/>
          </w:rPr>
          <w:fldChar w:fldCharType="end"/>
        </w:r>
      </w:hyperlink>
    </w:p>
    <w:p w:rsidRPr="00AE758F" w:rsidR="00C8101A" w:rsidP="007936BF" w:rsidRDefault="00C8101A" w14:paraId="3B468E2D" w14:textId="7ACA0447">
      <w:pPr>
        <w:tabs>
          <w:tab w:val="right" w:pos="9360"/>
        </w:tabs>
        <w:spacing w:after="120" w:line="240" w:lineRule="auto"/>
        <w:ind w:left="1530" w:hanging="1530"/>
        <w:rPr>
          <w:rFonts w:eastAsiaTheme="majorEastAsia"/>
          <w:b/>
          <w:bCs/>
        </w:rPr>
      </w:pPr>
      <w:r w:rsidRPr="00343099">
        <w:fldChar w:fldCharType="end"/>
      </w:r>
      <w:r w:rsidRPr="00AE758F">
        <w:br w:type="page"/>
      </w:r>
    </w:p>
    <w:p w:rsidRPr="00AE758F" w:rsidR="00C8101A" w:rsidP="007936BF" w:rsidRDefault="00C8101A" w14:paraId="1CC9257F" w14:textId="7CC3A0F8">
      <w:pPr>
        <w:pStyle w:val="Heading1"/>
        <w:spacing w:line="240" w:lineRule="auto"/>
        <w:rPr>
          <w:szCs w:val="22"/>
        </w:rPr>
      </w:pPr>
      <w:bookmarkStart w:name="_Toc456098204" w:id="31"/>
      <w:bookmarkStart w:name="_Toc521577038" w:id="32"/>
      <w:bookmarkStart w:name="_Toc7512225" w:id="33"/>
      <w:bookmarkStart w:name="_Toc81309095" w:id="34"/>
      <w:r w:rsidRPr="00AE758F">
        <w:rPr>
          <w:szCs w:val="22"/>
        </w:rPr>
        <w:lastRenderedPageBreak/>
        <w:t>Executive Summary</w:t>
      </w:r>
      <w:bookmarkEnd w:id="31"/>
      <w:bookmarkEnd w:id="32"/>
      <w:bookmarkEnd w:id="33"/>
      <w:bookmarkEnd w:id="34"/>
    </w:p>
    <w:p w:rsidRPr="00AE758F" w:rsidR="00C8101A" w:rsidP="007936BF" w:rsidRDefault="00C8101A" w14:paraId="6BB0481C" w14:textId="77777777">
      <w:pPr>
        <w:spacing w:line="240" w:lineRule="auto"/>
      </w:pPr>
    </w:p>
    <w:p w:rsidRPr="00AE758F" w:rsidR="00C8101A" w:rsidP="007936BF" w:rsidRDefault="00C8101A" w14:paraId="64CB453E" w14:textId="11FA5DD5">
      <w:pPr>
        <w:spacing w:line="240" w:lineRule="auto"/>
      </w:pPr>
      <w:r w:rsidRPr="00AE758F">
        <w:t>The U.S. Nuclear Regulatory Commission (NRC) is amend</w:t>
      </w:r>
      <w:r w:rsidR="00AB19E5">
        <w:t>ing</w:t>
      </w:r>
      <w:r w:rsidRPr="00AE758F">
        <w:t xml:space="preserve"> its regulations to incorporate by reference </w:t>
      </w:r>
      <w:r w:rsidRPr="00AE758F" w:rsidR="0003558B">
        <w:t xml:space="preserve">the 2019 Edition </w:t>
      </w:r>
      <w:r w:rsidRPr="00AE758F" w:rsidR="00516BA5">
        <w:t>of</w:t>
      </w:r>
      <w:r w:rsidRPr="00AE758F" w:rsidR="0003558B">
        <w:t xml:space="preserve"> the A</w:t>
      </w:r>
      <w:r w:rsidRPr="00AE758F" w:rsidR="009A28EF">
        <w:t>merican Society of Mechanical Engineers (ASME)</w:t>
      </w:r>
      <w:r w:rsidRPr="00AE758F" w:rsidR="0003558B">
        <w:t xml:space="preserve"> B</w:t>
      </w:r>
      <w:r w:rsidRPr="00AE758F" w:rsidR="0086430F">
        <w:t xml:space="preserve">oiler and Pressure Vessel </w:t>
      </w:r>
      <w:r w:rsidRPr="00AE758F" w:rsidR="0003558B">
        <w:t>Code</w:t>
      </w:r>
      <w:r w:rsidR="00E415E8">
        <w:t xml:space="preserve"> </w:t>
      </w:r>
      <w:r w:rsidRPr="00AE758F" w:rsidR="00E415E8">
        <w:t>(BPV</w:t>
      </w:r>
      <w:r w:rsidR="00E415E8">
        <w:t xml:space="preserve"> Code</w:t>
      </w:r>
      <w:r w:rsidRPr="00AE758F" w:rsidR="00E415E8">
        <w:t>)</w:t>
      </w:r>
      <w:r w:rsidRPr="00AE758F" w:rsidR="0003558B">
        <w:t>, Section</w:t>
      </w:r>
      <w:r w:rsidRPr="00AE758F" w:rsidR="00031DB4">
        <w:t> </w:t>
      </w:r>
      <w:r w:rsidRPr="00AE758F" w:rsidR="0003558B">
        <w:t>III, Division</w:t>
      </w:r>
      <w:r w:rsidRPr="00AE758F" w:rsidR="00031DB4">
        <w:t> </w:t>
      </w:r>
      <w:r w:rsidRPr="00AE758F" w:rsidR="0003558B">
        <w:t>1</w:t>
      </w:r>
      <w:r w:rsidRPr="00AE758F" w:rsidR="00031DB4">
        <w:t>,</w:t>
      </w:r>
      <w:r w:rsidRPr="00AE758F" w:rsidR="00F21C94">
        <w:t xml:space="preserve"> </w:t>
      </w:r>
      <w:r w:rsidRPr="00AE758F" w:rsidR="0003558B">
        <w:t>and Section</w:t>
      </w:r>
      <w:r w:rsidRPr="00AE758F" w:rsidR="00031DB4">
        <w:t> </w:t>
      </w:r>
      <w:r w:rsidRPr="00AE758F" w:rsidR="0003558B">
        <w:t xml:space="preserve">XI, </w:t>
      </w:r>
      <w:r w:rsidRPr="00AE758F" w:rsidR="0086430F">
        <w:t>Division </w:t>
      </w:r>
      <w:r w:rsidRPr="00AE758F" w:rsidR="0003558B">
        <w:t>1, with conditions</w:t>
      </w:r>
      <w:r w:rsidRPr="00AE758F" w:rsidR="00031DB4">
        <w:t>;</w:t>
      </w:r>
      <w:r w:rsidRPr="00AE758F" w:rsidR="0003558B">
        <w:t xml:space="preserve"> the 2020</w:t>
      </w:r>
      <w:r w:rsidRPr="00AE758F" w:rsidR="00031DB4">
        <w:t> </w:t>
      </w:r>
      <w:r w:rsidRPr="00AE758F" w:rsidR="0003558B">
        <w:t xml:space="preserve">Edition </w:t>
      </w:r>
      <w:r w:rsidRPr="00AE758F" w:rsidR="00516BA5">
        <w:t>of</w:t>
      </w:r>
      <w:r w:rsidRPr="00AE758F" w:rsidR="0003558B">
        <w:t xml:space="preserve"> Division</w:t>
      </w:r>
      <w:r w:rsidRPr="00AE758F" w:rsidR="00031DB4">
        <w:t> </w:t>
      </w:r>
      <w:r w:rsidRPr="00AE758F" w:rsidR="0003558B">
        <w:t xml:space="preserve">1 of the ASME </w:t>
      </w:r>
      <w:r w:rsidRPr="00AE758F" w:rsidR="002E6561">
        <w:t xml:space="preserve">Code for Operation and Maintenance of Nuclear Power Plants </w:t>
      </w:r>
      <w:r w:rsidRPr="00AE758F" w:rsidR="00031DB4">
        <w:t>(</w:t>
      </w:r>
      <w:r w:rsidRPr="00AE758F" w:rsidR="0003558B">
        <w:t>OM Code</w:t>
      </w:r>
      <w:r w:rsidRPr="00AE758F" w:rsidR="002E6561">
        <w:t>)</w:t>
      </w:r>
      <w:r w:rsidRPr="00AE758F" w:rsidR="0003558B">
        <w:t>, with conditions</w:t>
      </w:r>
      <w:r w:rsidRPr="00AE758F" w:rsidR="00031DB4">
        <w:t>;</w:t>
      </w:r>
      <w:r w:rsidRPr="00C12E72" w:rsidR="00C12E72">
        <w:t xml:space="preserve"> </w:t>
      </w:r>
      <w:r w:rsidR="00C12E72">
        <w:t xml:space="preserve">ASME OM Code </w:t>
      </w:r>
      <w:r w:rsidR="00623422">
        <w:t xml:space="preserve">Case </w:t>
      </w:r>
      <w:r w:rsidR="00C12E72">
        <w:t>OMN-28, “</w:t>
      </w:r>
      <w:r w:rsidRPr="00C02F70" w:rsidR="00C12E72">
        <w:t>Alternative Valve Position Verification Approach to Satisfy ISTC-3700 for Valves Not Susceptible to Stem-Disk Separatio</w:t>
      </w:r>
      <w:r w:rsidR="00C12E72">
        <w:t>n,” without conditions;</w:t>
      </w:r>
      <w:r w:rsidRPr="00AE758F" w:rsidR="0003558B">
        <w:t xml:space="preserve"> the 2011</w:t>
      </w:r>
      <w:r w:rsidRPr="00AE758F" w:rsidR="00031DB4">
        <w:t> </w:t>
      </w:r>
      <w:r w:rsidRPr="00AE758F" w:rsidR="0003558B">
        <w:t>Addenda to ASME NQA</w:t>
      </w:r>
      <w:r w:rsidRPr="00AE758F" w:rsidR="00031DB4">
        <w:noBreakHyphen/>
      </w:r>
      <w:r w:rsidRPr="00AE758F" w:rsidR="0003558B">
        <w:t>1</w:t>
      </w:r>
      <w:r w:rsidRPr="00AE758F" w:rsidR="00031DB4">
        <w:noBreakHyphen/>
      </w:r>
      <w:r w:rsidRPr="00AE758F" w:rsidR="0003558B">
        <w:t xml:space="preserve">2008, </w:t>
      </w:r>
      <w:r w:rsidRPr="00AE758F" w:rsidR="00031DB4">
        <w:t>“</w:t>
      </w:r>
      <w:r w:rsidRPr="00AE758F" w:rsidR="0003558B">
        <w:t>Quality Assurance Requirements for Nuclear Facility Applications</w:t>
      </w:r>
      <w:r w:rsidRPr="00AE758F" w:rsidR="00F5665A">
        <w:t>,</w:t>
      </w:r>
      <w:r w:rsidRPr="00AE758F" w:rsidR="00031DB4">
        <w:t>”</w:t>
      </w:r>
      <w:r w:rsidRPr="00AE758F" w:rsidR="0003558B">
        <w:t xml:space="preserve"> </w:t>
      </w:r>
      <w:r w:rsidRPr="00AE758F" w:rsidR="00F21C94">
        <w:t>with</w:t>
      </w:r>
      <w:r w:rsidRPr="00AE758F" w:rsidR="00F21C94">
        <w:t xml:space="preserve"> conditions</w:t>
      </w:r>
      <w:r w:rsidRPr="00AE758F" w:rsidR="00031DB4">
        <w:t>;</w:t>
      </w:r>
      <w:r w:rsidRPr="00AE758F" w:rsidR="00F21C94">
        <w:t xml:space="preserve"> </w:t>
      </w:r>
      <w:r w:rsidRPr="00AE758F" w:rsidR="0003558B">
        <w:t>and the 2012 and 2015 Editions of ASME NQA</w:t>
      </w:r>
      <w:r w:rsidRPr="00AE758F" w:rsidR="00422127">
        <w:noBreakHyphen/>
      </w:r>
      <w:r w:rsidRPr="00AE758F" w:rsidR="0003558B">
        <w:t>1, with conditions.</w:t>
      </w:r>
      <w:r w:rsidRPr="00AE758F" w:rsidR="00B4455E">
        <w:t xml:space="preserve"> </w:t>
      </w:r>
      <w:r w:rsidRPr="00AE758F" w:rsidR="002A087F">
        <w:t xml:space="preserve"> </w:t>
      </w:r>
      <w:r w:rsidRPr="00AE758F">
        <w:t xml:space="preserve">A significant portion of the averted costs from this </w:t>
      </w:r>
      <w:r w:rsidR="00AB19E5">
        <w:t>final</w:t>
      </w:r>
      <w:r w:rsidRPr="00AE758F">
        <w:t xml:space="preserve"> rule result</w:t>
      </w:r>
      <w:r w:rsidR="00FF133B">
        <w:t>s</w:t>
      </w:r>
      <w:r w:rsidRPr="00AE758F">
        <w:t xml:space="preserve"> from the reduction in plant</w:t>
      </w:r>
      <w:r w:rsidRPr="00AE758F" w:rsidR="00031DB4">
        <w:noBreakHyphen/>
      </w:r>
      <w:r w:rsidRPr="00AE758F">
        <w:t>specific requests for alternatives because these provisions would be incorporated by reference.</w:t>
      </w:r>
    </w:p>
    <w:p w:rsidRPr="00AE758F" w:rsidR="00C8101A" w:rsidP="007936BF" w:rsidRDefault="00C8101A" w14:paraId="652C4B17" w14:textId="77777777">
      <w:pPr>
        <w:spacing w:line="240" w:lineRule="auto"/>
      </w:pPr>
    </w:p>
    <w:p w:rsidRPr="00AE758F" w:rsidR="00C8101A" w:rsidP="007936BF" w:rsidRDefault="00C8101A" w14:paraId="6F499CF3" w14:textId="67E6FFA9">
      <w:pPr>
        <w:spacing w:line="240" w:lineRule="auto"/>
      </w:pPr>
      <w:r w:rsidRPr="00AE758F">
        <w:t xml:space="preserve">This regulatory analysis evaluates the costs and benefits </w:t>
      </w:r>
      <w:r w:rsidRPr="00AE758F" w:rsidR="003762E5">
        <w:t>of</w:t>
      </w:r>
      <w:r w:rsidRPr="00AE758F">
        <w:t xml:space="preserve"> the </w:t>
      </w:r>
      <w:r w:rsidR="00AB19E5">
        <w:t>final</w:t>
      </w:r>
      <w:r w:rsidRPr="00AE758F">
        <w:t xml:space="preserve"> rule relative to the baseline case (i.e., the no</w:t>
      </w:r>
      <w:r w:rsidRPr="00AE758F" w:rsidR="00196F09">
        <w:noBreakHyphen/>
      </w:r>
      <w:r w:rsidRPr="00AE758F">
        <w:t>action alternative).  The staff makes the following key findings based on this analysis:</w:t>
      </w:r>
    </w:p>
    <w:p w:rsidRPr="00AE758F" w:rsidR="00C8101A" w:rsidP="007936BF" w:rsidRDefault="00C8101A" w14:paraId="7617102F" w14:textId="155FCB70">
      <w:pPr>
        <w:spacing w:line="240" w:lineRule="auto"/>
      </w:pPr>
    </w:p>
    <w:p w:rsidRPr="00AE758F" w:rsidR="00C8101A" w:rsidP="00977776" w:rsidRDefault="005D650F" w14:paraId="6DD4C94B" w14:textId="0A6F2635">
      <w:pPr>
        <w:pStyle w:val="ListParagraph"/>
        <w:numPr>
          <w:ilvl w:val="0"/>
          <w:numId w:val="8"/>
        </w:numPr>
        <w:spacing w:line="240" w:lineRule="auto"/>
        <w:ind w:hanging="720"/>
      </w:pPr>
      <w:r>
        <w:t>Final</w:t>
      </w:r>
      <w:r w:rsidRPr="00AE758F" w:rsidR="00C8101A">
        <w:t xml:space="preserve"> Rule Analysis.  The </w:t>
      </w:r>
      <w:r>
        <w:t>final</w:t>
      </w:r>
      <w:r w:rsidRPr="00AE758F" w:rsidR="0073282E">
        <w:t xml:space="preserve"> </w:t>
      </w:r>
      <w:r w:rsidRPr="00AE758F" w:rsidR="00C8101A">
        <w:t>rule recommended by the staff would result in a</w:t>
      </w:r>
      <w:r w:rsidR="00C2365E">
        <w:t> </w:t>
      </w:r>
      <w:r w:rsidRPr="00AE758F" w:rsidR="00C8101A">
        <w:t>cost</w:t>
      </w:r>
      <w:r w:rsidRPr="00AE758F" w:rsidR="00196F09">
        <w:noBreakHyphen/>
      </w:r>
      <w:r w:rsidRPr="00AE758F" w:rsidR="00C8101A">
        <w:t>justified change based on a net (i.e., </w:t>
      </w:r>
      <w:proofErr w:type="gramStart"/>
      <w:r w:rsidRPr="00AE758F" w:rsidR="00C8101A">
        <w:t>taking into account</w:t>
      </w:r>
      <w:proofErr w:type="gramEnd"/>
      <w:r w:rsidRPr="00AE758F" w:rsidR="00C8101A">
        <w:t xml:space="preserve"> both costs and benefits) averted cost </w:t>
      </w:r>
      <w:r w:rsidR="00DF5571">
        <w:t>for</w:t>
      </w:r>
      <w:r w:rsidRPr="00AE758F" w:rsidR="00DF5571">
        <w:t xml:space="preserve"> </w:t>
      </w:r>
      <w:r w:rsidRPr="00AE758F" w:rsidR="00C8101A">
        <w:t xml:space="preserve">the industry </w:t>
      </w:r>
      <w:r w:rsidR="00DF5571">
        <w:t xml:space="preserve">of </w:t>
      </w:r>
      <w:r w:rsidR="005736A1">
        <w:t xml:space="preserve">between </w:t>
      </w:r>
      <w:r w:rsidRPr="00AE758F" w:rsidR="00C8101A">
        <w:t>$</w:t>
      </w:r>
      <w:r w:rsidR="00D5024E">
        <w:t>10.2</w:t>
      </w:r>
      <w:r w:rsidRPr="00AE758F" w:rsidR="00C8101A">
        <w:t> million (7</w:t>
      </w:r>
      <w:r w:rsidRPr="00AE758F" w:rsidR="00C8101A">
        <w:noBreakHyphen/>
        <w:t xml:space="preserve">percent net present value (NPV)) </w:t>
      </w:r>
      <w:r w:rsidR="005736A1">
        <w:t xml:space="preserve">and </w:t>
      </w:r>
      <w:r w:rsidRPr="00AE758F" w:rsidR="00C8101A">
        <w:t>$</w:t>
      </w:r>
      <w:r w:rsidR="00D5024E">
        <w:t>11.0</w:t>
      </w:r>
      <w:r w:rsidRPr="00AE758F" w:rsidR="001F28F0">
        <w:t> </w:t>
      </w:r>
      <w:r w:rsidRPr="00AE758F" w:rsidR="00C8101A">
        <w:t>million (3-percent NPV).  Relative to the regulatory baseline, the NRC would realize a net averted cost</w:t>
      </w:r>
      <w:r w:rsidR="00C26FE0">
        <w:t xml:space="preserve"> of</w:t>
      </w:r>
      <w:r w:rsidRPr="00AE758F" w:rsidR="00C8101A">
        <w:t xml:space="preserve"> </w:t>
      </w:r>
      <w:r w:rsidR="005736A1">
        <w:t xml:space="preserve">between </w:t>
      </w:r>
      <w:r w:rsidRPr="00AE758F" w:rsidR="00C8101A">
        <w:t>$</w:t>
      </w:r>
      <w:r w:rsidRPr="00AE758F" w:rsidR="00F917EA">
        <w:t>0</w:t>
      </w:r>
      <w:r w:rsidRPr="00AE758F" w:rsidR="00C8101A">
        <w:t>.</w:t>
      </w:r>
      <w:r w:rsidR="00BC4277">
        <w:t>91</w:t>
      </w:r>
      <w:r w:rsidRPr="00AE758F" w:rsidR="002A087F">
        <w:t> </w:t>
      </w:r>
      <w:r w:rsidRPr="00AE758F" w:rsidR="00C8101A">
        <w:t>million (7</w:t>
      </w:r>
      <w:r w:rsidRPr="00AE758F" w:rsidR="00C8101A">
        <w:noBreakHyphen/>
        <w:t xml:space="preserve">percent NPV) </w:t>
      </w:r>
      <w:r w:rsidR="005736A1">
        <w:t xml:space="preserve">and </w:t>
      </w:r>
      <w:r w:rsidRPr="00AE758F" w:rsidR="00C8101A">
        <w:t>$</w:t>
      </w:r>
      <w:r w:rsidRPr="00AE758F" w:rsidR="00F917EA">
        <w:t>0</w:t>
      </w:r>
      <w:r w:rsidRPr="00AE758F" w:rsidR="00C8101A">
        <w:t>.</w:t>
      </w:r>
      <w:r w:rsidR="00BC4277">
        <w:t>99</w:t>
      </w:r>
      <w:r w:rsidRPr="00AE758F" w:rsidR="00C8101A">
        <w:t> million (3</w:t>
      </w:r>
      <w:r w:rsidRPr="00AE758F" w:rsidR="003762E5">
        <w:noBreakHyphen/>
      </w:r>
      <w:r w:rsidRPr="00AE758F" w:rsidR="00C8101A">
        <w:t xml:space="preserve">percent NPV).  </w:t>
      </w:r>
      <w:r w:rsidRPr="00AE758F" w:rsidR="00196F09">
        <w:t>Table</w:t>
      </w:r>
      <w:r w:rsidRPr="00AE758F" w:rsidR="00C5703E">
        <w:t> </w:t>
      </w:r>
      <w:r w:rsidRPr="00AE758F" w:rsidR="00196F09">
        <w:t>ES</w:t>
      </w:r>
      <w:r w:rsidRPr="00AE758F" w:rsidR="00196F09">
        <w:noBreakHyphen/>
        <w:t>1</w:t>
      </w:r>
      <w:r w:rsidRPr="00AE758F" w:rsidR="00C8101A">
        <w:t xml:space="preserve"> shows </w:t>
      </w:r>
      <w:r w:rsidRPr="00AE758F" w:rsidR="00196F09">
        <w:t xml:space="preserve">that </w:t>
      </w:r>
      <w:r w:rsidRPr="00AE758F" w:rsidR="00C8101A">
        <w:t xml:space="preserve">the </w:t>
      </w:r>
      <w:r w:rsidR="00575A1F">
        <w:t xml:space="preserve">final </w:t>
      </w:r>
      <w:r w:rsidRPr="00AE758F" w:rsidR="00C8101A">
        <w:t xml:space="preserve">rule would result in net averted costs </w:t>
      </w:r>
      <w:r w:rsidR="0047544D">
        <w:t>for</w:t>
      </w:r>
      <w:r w:rsidRPr="00AE758F" w:rsidR="0047544D">
        <w:t xml:space="preserve"> </w:t>
      </w:r>
      <w:r w:rsidRPr="00AE758F" w:rsidR="00C8101A">
        <w:t xml:space="preserve">the industry and the NRC </w:t>
      </w:r>
      <w:r w:rsidR="0047544D">
        <w:t xml:space="preserve">of </w:t>
      </w:r>
      <w:r w:rsidR="007A3278">
        <w:t xml:space="preserve">between </w:t>
      </w:r>
      <w:r w:rsidRPr="00AE758F" w:rsidR="00C8101A">
        <w:t>$</w:t>
      </w:r>
      <w:r w:rsidR="00BC4277">
        <w:t>11.1</w:t>
      </w:r>
      <w:r w:rsidRPr="00AE758F" w:rsidR="00C8101A">
        <w:t> million (7</w:t>
      </w:r>
      <w:r w:rsidRPr="00AE758F" w:rsidR="00C8101A">
        <w:noBreakHyphen/>
        <w:t xml:space="preserve">percent NPV) </w:t>
      </w:r>
      <w:r w:rsidR="007A3278">
        <w:t xml:space="preserve">and </w:t>
      </w:r>
      <w:r w:rsidRPr="00AE758F" w:rsidR="00C8101A">
        <w:t>$</w:t>
      </w:r>
      <w:r w:rsidR="00BC4277">
        <w:t>12.0</w:t>
      </w:r>
      <w:r w:rsidRPr="00AE758F" w:rsidR="00C8101A">
        <w:t> million (3</w:t>
      </w:r>
      <w:r w:rsidRPr="00AE758F" w:rsidR="00C8101A">
        <w:noBreakHyphen/>
        <w:t>percent NPV).</w:t>
      </w:r>
    </w:p>
    <w:p w:rsidRPr="00AE758F" w:rsidR="00C8101A" w:rsidP="007936BF" w:rsidRDefault="00C8101A" w14:paraId="173B2395" w14:textId="77777777">
      <w:pPr>
        <w:pStyle w:val="ListParagraph"/>
        <w:spacing w:line="240" w:lineRule="auto"/>
      </w:pPr>
    </w:p>
    <w:p w:rsidRPr="00AE758F" w:rsidR="006944A5" w:rsidP="00382B4A" w:rsidRDefault="006944A5" w14:paraId="7F9DBF8A" w14:textId="2763042E">
      <w:pPr>
        <w:pStyle w:val="Caption"/>
        <w:spacing w:line="240" w:lineRule="auto"/>
        <w:jc w:val="center"/>
        <w:rPr>
          <w:b/>
          <w:bCs w:val="0"/>
        </w:rPr>
      </w:pPr>
      <w:bookmarkStart w:name="_Toc81309676" w:id="36"/>
      <w:r w:rsidRPr="00AE758F">
        <w:rPr>
          <w:b/>
          <w:bCs w:val="0"/>
        </w:rPr>
        <w:t xml:space="preserve">Table </w:t>
      </w:r>
      <w:r w:rsidRPr="00AE758F" w:rsidR="00DB0F3F">
        <w:rPr>
          <w:b/>
          <w:bCs w:val="0"/>
        </w:rPr>
        <w:t>ES-</w:t>
      </w:r>
      <w:r w:rsidRPr="00343099" w:rsidR="00817FA9">
        <w:rPr>
          <w:b/>
          <w:bCs w:val="0"/>
        </w:rPr>
        <w:fldChar w:fldCharType="begin"/>
      </w:r>
      <w:r w:rsidRPr="00AE758F" w:rsidR="00817FA9">
        <w:rPr>
          <w:b/>
          <w:bCs w:val="0"/>
        </w:rPr>
        <w:instrText xml:space="preserve"> SEQ Table \* ARABIC </w:instrText>
      </w:r>
      <w:r w:rsidRPr="00343099" w:rsidR="00817FA9">
        <w:rPr>
          <w:b/>
          <w:bCs w:val="0"/>
        </w:rPr>
        <w:fldChar w:fldCharType="separate"/>
      </w:r>
      <w:r w:rsidR="006A41A8">
        <w:rPr>
          <w:b/>
          <w:bCs w:val="0"/>
          <w:noProof/>
        </w:rPr>
        <w:t>1</w:t>
      </w:r>
      <w:r w:rsidRPr="00343099" w:rsidR="00817FA9">
        <w:rPr>
          <w:b/>
          <w:bCs w:val="0"/>
          <w:noProof/>
        </w:rPr>
        <w:fldChar w:fldCharType="end"/>
      </w:r>
      <w:r w:rsidRPr="00AE758F" w:rsidR="00817FA9">
        <w:rPr>
          <w:b/>
          <w:bCs w:val="0"/>
        </w:rPr>
        <w:t xml:space="preserve">  </w:t>
      </w:r>
      <w:r w:rsidR="002B2B70">
        <w:rPr>
          <w:b/>
          <w:bCs w:val="0"/>
        </w:rPr>
        <w:t>Net</w:t>
      </w:r>
      <w:r w:rsidRPr="00AE758F" w:rsidR="00DB0F3F">
        <w:rPr>
          <w:b/>
          <w:bCs w:val="0"/>
        </w:rPr>
        <w:t xml:space="preserve"> Costs and Benefits for </w:t>
      </w:r>
      <w:r w:rsidR="006802C1">
        <w:rPr>
          <w:b/>
          <w:bCs w:val="0"/>
        </w:rPr>
        <w:t>Rulemaking</w:t>
      </w:r>
      <w:r w:rsidR="00CD610C">
        <w:rPr>
          <w:b/>
          <w:bCs w:val="0"/>
        </w:rPr>
        <w:t xml:space="preserve"> (Alternative 2)</w:t>
      </w:r>
      <w:bookmarkEnd w:id="36"/>
    </w:p>
    <w:p w:rsidR="00881B61" w:rsidP="002338D1" w:rsidRDefault="00881B61" w14:paraId="16D1452F" w14:textId="77777777">
      <w:pPr>
        <w:pStyle w:val="ListParagraph"/>
        <w:spacing w:line="240" w:lineRule="auto"/>
        <w:ind w:left="540" w:hanging="540"/>
        <w:jc w:val="center"/>
        <w:rPr>
          <w:sz w:val="18"/>
          <w:szCs w:val="18"/>
        </w:rPr>
      </w:pPr>
      <w:r w:rsidRPr="00881B61">
        <w:rPr>
          <w:noProof/>
        </w:rPr>
        <w:drawing>
          <wp:inline distT="0" distB="0" distL="0" distR="0" wp14:anchorId="486BE8FA" wp14:editId="1D3686ED">
            <wp:extent cx="5288280" cy="31165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8280" cy="3116580"/>
                    </a:xfrm>
                    <a:prstGeom prst="rect">
                      <a:avLst/>
                    </a:prstGeom>
                    <a:noFill/>
                    <a:ln>
                      <a:noFill/>
                    </a:ln>
                  </pic:spPr>
                </pic:pic>
              </a:graphicData>
            </a:graphic>
          </wp:inline>
        </w:drawing>
      </w:r>
    </w:p>
    <w:p w:rsidRPr="00AE758F" w:rsidR="00C8101A" w:rsidP="00380855" w:rsidRDefault="00C8101A" w14:paraId="17C387C4" w14:textId="65197341">
      <w:pPr>
        <w:pStyle w:val="ListParagraph"/>
        <w:spacing w:line="240" w:lineRule="auto"/>
        <w:ind w:left="1080" w:hanging="540"/>
        <w:rPr>
          <w:sz w:val="18"/>
          <w:szCs w:val="18"/>
        </w:rPr>
      </w:pPr>
      <w:r w:rsidRPr="00AE758F">
        <w:rPr>
          <w:sz w:val="18"/>
          <w:szCs w:val="18"/>
        </w:rPr>
        <w:t>Note:</w:t>
      </w:r>
      <w:r w:rsidRPr="00AE758F" w:rsidR="007936BF">
        <w:rPr>
          <w:sz w:val="18"/>
          <w:szCs w:val="18"/>
        </w:rPr>
        <w:t xml:space="preserve">  </w:t>
      </w:r>
      <w:r w:rsidR="0030296B">
        <w:rPr>
          <w:sz w:val="18"/>
          <w:szCs w:val="18"/>
        </w:rPr>
        <w:t xml:space="preserve">Values </w:t>
      </w:r>
      <w:r w:rsidR="00380855">
        <w:rPr>
          <w:sz w:val="18"/>
          <w:szCs w:val="18"/>
        </w:rPr>
        <w:t xml:space="preserve">are </w:t>
      </w:r>
      <w:r w:rsidRPr="00AE758F">
        <w:rPr>
          <w:sz w:val="18"/>
          <w:szCs w:val="18"/>
        </w:rPr>
        <w:t xml:space="preserve">rounded to </w:t>
      </w:r>
      <w:r w:rsidRPr="00AE758F" w:rsidR="00046BA2">
        <w:rPr>
          <w:sz w:val="18"/>
          <w:szCs w:val="18"/>
        </w:rPr>
        <w:t xml:space="preserve">the nearest </w:t>
      </w:r>
      <w:r w:rsidRPr="00AE758F" w:rsidR="0073282E">
        <w:rPr>
          <w:sz w:val="18"/>
          <w:szCs w:val="18"/>
        </w:rPr>
        <w:t xml:space="preserve">ten </w:t>
      </w:r>
      <w:r w:rsidRPr="00AE758F" w:rsidR="00046BA2">
        <w:rPr>
          <w:sz w:val="18"/>
          <w:szCs w:val="18"/>
        </w:rPr>
        <w:t>thousand dollars</w:t>
      </w:r>
      <w:r w:rsidRPr="00AE758F">
        <w:rPr>
          <w:sz w:val="18"/>
          <w:szCs w:val="18"/>
        </w:rPr>
        <w:t xml:space="preserve">.  Totals </w:t>
      </w:r>
      <w:r w:rsidRPr="00AE758F" w:rsidR="00F43BB2">
        <w:rPr>
          <w:sz w:val="18"/>
          <w:szCs w:val="18"/>
        </w:rPr>
        <w:t xml:space="preserve">throughout this document </w:t>
      </w:r>
      <w:r w:rsidRPr="00AE758F">
        <w:rPr>
          <w:sz w:val="18"/>
          <w:szCs w:val="18"/>
        </w:rPr>
        <w:t>may differ because of rounding.</w:t>
      </w:r>
      <w:r w:rsidRPr="00AE758F" w:rsidR="00574244">
        <w:rPr>
          <w:sz w:val="18"/>
          <w:szCs w:val="18"/>
        </w:rPr>
        <w:t xml:space="preserve"> </w:t>
      </w:r>
      <w:r w:rsidRPr="00AE758F" w:rsidR="0015694A">
        <w:rPr>
          <w:sz w:val="18"/>
          <w:szCs w:val="18"/>
        </w:rPr>
        <w:t xml:space="preserve"> </w:t>
      </w:r>
      <w:r w:rsidRPr="00AE758F">
        <w:rPr>
          <w:sz w:val="18"/>
          <w:szCs w:val="18"/>
        </w:rPr>
        <w:t>All values are reported in 202</w:t>
      </w:r>
      <w:r w:rsidR="002338D1">
        <w:rPr>
          <w:sz w:val="18"/>
          <w:szCs w:val="18"/>
        </w:rPr>
        <w:t>1</w:t>
      </w:r>
      <w:r w:rsidRPr="00AE758F">
        <w:rPr>
          <w:sz w:val="18"/>
          <w:szCs w:val="18"/>
        </w:rPr>
        <w:t xml:space="preserve"> dollars.</w:t>
      </w:r>
    </w:p>
    <w:p w:rsidRPr="00AE758F" w:rsidR="00C8101A" w:rsidP="007936BF" w:rsidRDefault="00C8101A" w14:paraId="433C1763" w14:textId="77777777">
      <w:pPr>
        <w:pStyle w:val="ListParagraph"/>
        <w:spacing w:line="240" w:lineRule="auto"/>
      </w:pPr>
    </w:p>
    <w:p w:rsidRPr="00AE758F" w:rsidR="00C8101A" w:rsidP="00977776" w:rsidRDefault="00C8101A" w14:paraId="7359F8BE" w14:textId="201AABC3">
      <w:pPr>
        <w:pStyle w:val="ListParagraph"/>
        <w:numPr>
          <w:ilvl w:val="0"/>
          <w:numId w:val="3"/>
        </w:numPr>
        <w:spacing w:line="240" w:lineRule="auto"/>
        <w:ind w:hanging="720"/>
      </w:pPr>
      <w:proofErr w:type="spellStart"/>
      <w:r w:rsidRPr="00AE758F">
        <w:lastRenderedPageBreak/>
        <w:t>Nonquantified</w:t>
      </w:r>
      <w:proofErr w:type="spellEnd"/>
      <w:r w:rsidRPr="00AE758F">
        <w:t xml:space="preserve"> Benefits.  Other benefits of the </w:t>
      </w:r>
      <w:r w:rsidR="000D135C">
        <w:t>final</w:t>
      </w:r>
      <w:r w:rsidRPr="00AE758F">
        <w:t xml:space="preserve"> rule include the NRC’s continued ability to </w:t>
      </w:r>
      <w:r w:rsidR="00EA10E8">
        <w:t xml:space="preserve">ensure </w:t>
      </w:r>
      <w:r w:rsidRPr="00AE758F">
        <w:t xml:space="preserve">the protection of public health and safety and the environment through </w:t>
      </w:r>
      <w:r w:rsidR="00EA10E8">
        <w:t xml:space="preserve">its </w:t>
      </w:r>
      <w:r w:rsidRPr="00AE758F">
        <w:t xml:space="preserve">approval of new editions of the ASME BPV </w:t>
      </w:r>
      <w:r w:rsidRPr="00AE758F" w:rsidR="003762E5">
        <w:t xml:space="preserve">Code </w:t>
      </w:r>
      <w:r w:rsidRPr="00AE758F">
        <w:t xml:space="preserve">and </w:t>
      </w:r>
      <w:r w:rsidRPr="00AE758F" w:rsidR="003762E5">
        <w:t xml:space="preserve">ASME </w:t>
      </w:r>
      <w:r w:rsidRPr="00AE758F" w:rsidR="00046BA2">
        <w:t>OM </w:t>
      </w:r>
      <w:r w:rsidRPr="00AE758F">
        <w:t>Code, which allow the use of the most current methods and technology.  The</w:t>
      </w:r>
      <w:r w:rsidR="00C2365E">
        <w:t> </w:t>
      </w:r>
      <w:r w:rsidR="000D135C">
        <w:t>final</w:t>
      </w:r>
      <w:r w:rsidRPr="00AE758F" w:rsidR="006C1EA6">
        <w:t xml:space="preserve"> </w:t>
      </w:r>
      <w:r w:rsidRPr="00AE758F">
        <w:t xml:space="preserve">rule is consistent with the provisions of the National Technology Transfer and Advancement Act of 1995 and </w:t>
      </w:r>
      <w:r w:rsidR="00492A13">
        <w:t xml:space="preserve">the </w:t>
      </w:r>
      <w:r w:rsidRPr="00AE758F">
        <w:t xml:space="preserve">implementing guidance in Office of Management and Budget Circular A-119, “Federal Participation in the Development and Use of Voluntary Consensus Standards and in Conformity Assessment Activities,” dated January 27, 2016, which encourage Federal regulatory agencies to adopt voluntary consensus standards as an alternative to </w:t>
      </w:r>
      <w:r w:rsidRPr="00BC2D9D">
        <w:t>de novo</w:t>
      </w:r>
      <w:r w:rsidRPr="00AE758F">
        <w:rPr>
          <w:i/>
        </w:rPr>
        <w:t xml:space="preserve"> </w:t>
      </w:r>
      <w:r w:rsidRPr="00AE758F">
        <w:t>agency development of standards affecting an industry.  Finally, the ASME </w:t>
      </w:r>
      <w:r w:rsidRPr="00AE758F" w:rsidR="00755B67">
        <w:t>c</w:t>
      </w:r>
      <w:r w:rsidRPr="00AE758F">
        <w:t>ode consensus process is an important part of the regulatory framework.</w:t>
      </w:r>
    </w:p>
    <w:p w:rsidRPr="00AE758F" w:rsidR="00C8101A" w:rsidP="007936BF" w:rsidRDefault="00C8101A" w14:paraId="5DA891AD" w14:textId="77777777">
      <w:pPr>
        <w:pStyle w:val="ListParagraph"/>
        <w:spacing w:line="240" w:lineRule="auto"/>
      </w:pPr>
    </w:p>
    <w:p w:rsidRPr="00AE758F" w:rsidR="00C8101A" w:rsidP="00977776" w:rsidRDefault="00C8101A" w14:paraId="26E96F0B" w14:textId="54BC3065">
      <w:pPr>
        <w:pStyle w:val="ListParagraph"/>
        <w:numPr>
          <w:ilvl w:val="0"/>
          <w:numId w:val="7"/>
        </w:numPr>
        <w:spacing w:line="240" w:lineRule="auto"/>
        <w:ind w:hanging="720"/>
      </w:pPr>
      <w:r w:rsidRPr="00AE758F">
        <w:t>Uncertainty Analysis.  Th</w:t>
      </w:r>
      <w:r w:rsidRPr="00AE758F" w:rsidR="003762E5">
        <w:t>is</w:t>
      </w:r>
      <w:r w:rsidRPr="00AE758F">
        <w:t xml:space="preserve"> regulatory analysis contains a simulation analysis showing that the estimated mean </w:t>
      </w:r>
      <w:r w:rsidR="00981981">
        <w:t xml:space="preserve">net </w:t>
      </w:r>
      <w:r w:rsidRPr="00AE758F">
        <w:t xml:space="preserve">benefit for this </w:t>
      </w:r>
      <w:r w:rsidR="00496FEC">
        <w:t>final</w:t>
      </w:r>
      <w:r w:rsidRPr="00AE758F" w:rsidR="005A11D3">
        <w:t xml:space="preserve"> </w:t>
      </w:r>
      <w:r w:rsidRPr="00AE758F">
        <w:t>rule is</w:t>
      </w:r>
      <w:r w:rsidRPr="00AE758F" w:rsidR="00AE1C61">
        <w:t xml:space="preserve"> </w:t>
      </w:r>
      <w:r w:rsidRPr="00AE758F">
        <w:t>$</w:t>
      </w:r>
      <w:r w:rsidR="00296E57">
        <w:t>11.1</w:t>
      </w:r>
      <w:r w:rsidRPr="00AE758F">
        <w:t> million</w:t>
      </w:r>
      <w:r w:rsidR="00981981">
        <w:t>,</w:t>
      </w:r>
      <w:r w:rsidRPr="00AE758F">
        <w:t xml:space="preserve"> with 90</w:t>
      </w:r>
      <w:r w:rsidRPr="00AE758F">
        <w:noBreakHyphen/>
        <w:t>percent confidence that the net benefit is between $</w:t>
      </w:r>
      <w:r w:rsidR="00296E57">
        <w:t>9.03</w:t>
      </w:r>
      <w:r w:rsidRPr="00AE758F" w:rsidR="00B32423">
        <w:t> </w:t>
      </w:r>
      <w:r w:rsidRPr="00AE758F">
        <w:t>million and $</w:t>
      </w:r>
      <w:r w:rsidR="00296E57">
        <w:t>13.4</w:t>
      </w:r>
      <w:r w:rsidRPr="00AE758F">
        <w:t> million (7</w:t>
      </w:r>
      <w:r w:rsidRPr="00AE758F">
        <w:noBreakHyphen/>
        <w:t xml:space="preserve">percent NPV).  </w:t>
      </w:r>
      <w:r w:rsidR="00981981">
        <w:t>F</w:t>
      </w:r>
      <w:r w:rsidRPr="00AE758F">
        <w:t>rom the uncertainty analysis</w:t>
      </w:r>
      <w:r w:rsidR="00981981">
        <w:t>, it is reasonable to infer</w:t>
      </w:r>
      <w:r w:rsidRPr="00AE758F">
        <w:t xml:space="preserve"> that </w:t>
      </w:r>
      <w:r w:rsidR="00EB1F7B">
        <w:t>issuing</w:t>
      </w:r>
      <w:r w:rsidRPr="00AE758F">
        <w:t xml:space="preserve"> the </w:t>
      </w:r>
      <w:r w:rsidR="00EB1F7B">
        <w:t>final</w:t>
      </w:r>
      <w:r w:rsidRPr="00AE758F">
        <w:t xml:space="preserve"> rule represents an efficient use of resources and </w:t>
      </w:r>
      <w:r w:rsidR="002F2BB9">
        <w:t xml:space="preserve">leads to </w:t>
      </w:r>
      <w:r w:rsidRPr="00AE758F">
        <w:t xml:space="preserve">averted costs </w:t>
      </w:r>
      <w:r w:rsidR="002F2BB9">
        <w:t xml:space="preserve">for </w:t>
      </w:r>
      <w:r w:rsidRPr="00AE758F">
        <w:t xml:space="preserve">the NRC and the industry.  The </w:t>
      </w:r>
      <w:r w:rsidR="00B865D3">
        <w:t xml:space="preserve">number of hours to test a valve under ISTC-3700, </w:t>
      </w:r>
      <w:r w:rsidR="00C5783E">
        <w:t xml:space="preserve">the Industry labor rate, </w:t>
      </w:r>
      <w:r w:rsidR="008131A6">
        <w:t xml:space="preserve">and the annual number of personnel </w:t>
      </w:r>
      <w:r w:rsidR="006F5A14">
        <w:t xml:space="preserve">completing Level I and II certification training </w:t>
      </w:r>
      <w:r w:rsidRPr="00AE758F">
        <w:t>are the factors responsible for the largest variations in averted costs.</w:t>
      </w:r>
    </w:p>
    <w:p w:rsidRPr="00AE758F" w:rsidR="00C8101A" w:rsidP="007936BF" w:rsidRDefault="00C8101A" w14:paraId="6455C0A0" w14:textId="77777777">
      <w:pPr>
        <w:pStyle w:val="ListParagraph"/>
        <w:spacing w:line="240" w:lineRule="auto"/>
        <w:ind w:hanging="720"/>
      </w:pPr>
    </w:p>
    <w:p w:rsidRPr="00AE758F" w:rsidR="00C8101A" w:rsidP="00977776" w:rsidRDefault="00C8101A" w14:paraId="48B29177" w14:textId="3716C2BF">
      <w:pPr>
        <w:pStyle w:val="ListParagraph"/>
        <w:numPr>
          <w:ilvl w:val="0"/>
          <w:numId w:val="7"/>
        </w:numPr>
        <w:spacing w:line="240" w:lineRule="auto"/>
        <w:ind w:hanging="720"/>
      </w:pPr>
      <w:r w:rsidRPr="00AE758F">
        <w:t>Decision Rationale.  Relative to the no</w:t>
      </w:r>
      <w:r w:rsidRPr="00AE758F">
        <w:noBreakHyphen/>
        <w:t xml:space="preserve">action baseline, the </w:t>
      </w:r>
      <w:r w:rsidRPr="00AE758F" w:rsidR="00C14057">
        <w:t>NRC</w:t>
      </w:r>
      <w:r w:rsidRPr="00AE758F">
        <w:t xml:space="preserve"> concludes that the </w:t>
      </w:r>
      <w:r w:rsidR="004B0E54">
        <w:t>final</w:t>
      </w:r>
      <w:r w:rsidRPr="00AE758F">
        <w:t xml:space="preserve"> rule is justified from a quantitative standpoint because its provisions would result </w:t>
      </w:r>
      <w:r w:rsidRPr="00AE758F" w:rsidR="00207F42">
        <w:t xml:space="preserve">in </w:t>
      </w:r>
      <w:r w:rsidRPr="00AE758F">
        <w:t xml:space="preserve">net averted costs (i.e., net benefits) to the NRC and the industry.  In addition, the </w:t>
      </w:r>
      <w:r w:rsidRPr="00AE758F" w:rsidR="00C14057">
        <w:t>NRC</w:t>
      </w:r>
      <w:r w:rsidRPr="00AE758F">
        <w:t xml:space="preserve"> concludes that the </w:t>
      </w:r>
      <w:r w:rsidR="004B0E54">
        <w:t>final</w:t>
      </w:r>
      <w:r w:rsidRPr="00AE758F">
        <w:t xml:space="preserve"> rule is </w:t>
      </w:r>
      <w:r w:rsidR="00210BDD">
        <w:t xml:space="preserve">further </w:t>
      </w:r>
      <w:r w:rsidRPr="00AE758F">
        <w:t xml:space="preserve">justified </w:t>
      </w:r>
      <w:r w:rsidR="00A33EEE">
        <w:t xml:space="preserve">by </w:t>
      </w:r>
      <w:r w:rsidRPr="00AE758F" w:rsidR="00207F42">
        <w:t xml:space="preserve">the </w:t>
      </w:r>
      <w:proofErr w:type="spellStart"/>
      <w:r w:rsidRPr="00AE758F" w:rsidR="00207F42">
        <w:t>nonquantified</w:t>
      </w:r>
      <w:proofErr w:type="spellEnd"/>
      <w:r w:rsidRPr="00AE758F" w:rsidR="00207F42">
        <w:t xml:space="preserve"> benefits that would result </w:t>
      </w:r>
      <w:r w:rsidR="005843F1">
        <w:t xml:space="preserve">from </w:t>
      </w:r>
      <w:r w:rsidR="008D2153">
        <w:t>it</w:t>
      </w:r>
      <w:r w:rsidRPr="00AE758F" w:rsidR="00207F42">
        <w:t>.</w:t>
      </w:r>
    </w:p>
    <w:p w:rsidRPr="00AE758F" w:rsidR="00C8101A" w:rsidP="007936BF" w:rsidRDefault="00C8101A" w14:paraId="05836883" w14:textId="77777777">
      <w:pPr>
        <w:autoSpaceDE/>
        <w:autoSpaceDN/>
        <w:adjustRightInd/>
        <w:spacing w:line="240" w:lineRule="auto"/>
      </w:pPr>
      <w:r w:rsidRPr="00AE758F">
        <w:br w:type="page"/>
      </w:r>
    </w:p>
    <w:p w:rsidRPr="00AE758F" w:rsidR="00C8101A" w:rsidP="007936BF" w:rsidRDefault="00C8101A" w14:paraId="1D4D1ABF" w14:textId="77777777">
      <w:pPr>
        <w:pStyle w:val="Heading1"/>
        <w:spacing w:line="240" w:lineRule="auto"/>
        <w:rPr>
          <w:szCs w:val="22"/>
        </w:rPr>
      </w:pPr>
      <w:bookmarkStart w:name="_Toc521577039" w:id="37"/>
      <w:bookmarkStart w:name="_Toc7512226" w:id="38"/>
      <w:bookmarkStart w:name="_Toc81309096" w:id="39"/>
      <w:r w:rsidRPr="00AE758F">
        <w:rPr>
          <w:szCs w:val="22"/>
        </w:rPr>
        <w:lastRenderedPageBreak/>
        <w:t>Abbreviations and Acronyms</w:t>
      </w:r>
      <w:bookmarkEnd w:id="37"/>
      <w:bookmarkEnd w:id="38"/>
      <w:bookmarkEnd w:id="39"/>
    </w:p>
    <w:p w:rsidRPr="00AE758F" w:rsidR="00C8101A" w:rsidP="007936BF" w:rsidRDefault="00C8101A" w14:paraId="3207CADC" w14:textId="77777777">
      <w:pPr>
        <w:spacing w:line="240" w:lineRule="auto"/>
        <w:ind w:left="2880" w:hanging="2880"/>
      </w:pPr>
    </w:p>
    <w:p w:rsidRPr="00AE758F" w:rsidR="00C8101A" w:rsidP="007936BF" w:rsidRDefault="00C8101A" w14:paraId="6FFE199C" w14:textId="77777777">
      <w:pPr>
        <w:spacing w:line="240" w:lineRule="auto"/>
        <w:ind w:left="2880" w:hanging="2880"/>
      </w:pPr>
      <w:r w:rsidRPr="00AE758F">
        <w:t>ADAMS</w:t>
      </w:r>
      <w:r w:rsidRPr="00AE758F">
        <w:tab/>
        <w:t>Agencywide Documents Access and Management System</w:t>
      </w:r>
    </w:p>
    <w:p w:rsidRPr="00AE758F" w:rsidR="00C8101A" w:rsidP="007936BF" w:rsidRDefault="00C8101A" w14:paraId="0820CC37" w14:textId="77777777">
      <w:pPr>
        <w:spacing w:line="240" w:lineRule="auto"/>
        <w:ind w:left="2880" w:hanging="2880"/>
      </w:pPr>
      <w:r w:rsidRPr="00AE758F">
        <w:t>ASME</w:t>
      </w:r>
      <w:r w:rsidRPr="00AE758F">
        <w:tab/>
        <w:t>American Society of Mechanical Engineers</w:t>
      </w:r>
    </w:p>
    <w:p w:rsidRPr="00AE758F" w:rsidR="00C8101A" w:rsidP="007936BF" w:rsidRDefault="00C8101A" w14:paraId="6D471F84" w14:textId="77777777">
      <w:pPr>
        <w:spacing w:line="240" w:lineRule="auto"/>
        <w:ind w:left="2880" w:hanging="2880"/>
      </w:pPr>
      <w:r w:rsidRPr="00AE758F">
        <w:t>ASME Codes</w:t>
      </w:r>
      <w:r w:rsidRPr="00AE758F">
        <w:tab/>
        <w:t>ASME BPV and OM Codes</w:t>
      </w:r>
    </w:p>
    <w:p w:rsidRPr="00AE758F" w:rsidR="00C8101A" w:rsidP="007936BF" w:rsidRDefault="00C8101A" w14:paraId="5C90EB00" w14:textId="77777777">
      <w:pPr>
        <w:spacing w:line="240" w:lineRule="auto"/>
        <w:ind w:left="2880" w:hanging="2880"/>
      </w:pPr>
      <w:r w:rsidRPr="00AE758F">
        <w:t>ASME OM Committee</w:t>
      </w:r>
      <w:r w:rsidRPr="00AE758F">
        <w:tab/>
        <w:t>ASME Committee on Operation and Maintenance of Nuclear Power Plants</w:t>
      </w:r>
    </w:p>
    <w:p w:rsidRPr="00AE758F" w:rsidR="00C8101A" w:rsidP="007936BF" w:rsidRDefault="00C8101A" w14:paraId="3E944AD2" w14:textId="77777777">
      <w:pPr>
        <w:spacing w:line="240" w:lineRule="auto"/>
        <w:ind w:left="2880" w:hanging="2880"/>
      </w:pPr>
    </w:p>
    <w:p w:rsidRPr="00AE758F" w:rsidR="00C8101A" w:rsidP="007936BF" w:rsidRDefault="00C8101A" w14:paraId="5A0742BD" w14:textId="77777777">
      <w:pPr>
        <w:spacing w:line="240" w:lineRule="auto"/>
        <w:ind w:left="2880" w:hanging="2880"/>
      </w:pPr>
      <w:r w:rsidRPr="00AE758F">
        <w:t>BLS</w:t>
      </w:r>
      <w:r w:rsidRPr="00AE758F">
        <w:tab/>
        <w:t>Bureau of Labor Statistics</w:t>
      </w:r>
    </w:p>
    <w:p w:rsidRPr="00AE758F" w:rsidR="00C8101A" w:rsidP="007936BF" w:rsidRDefault="00C8101A" w14:paraId="63982E71" w14:textId="40DDBDFF">
      <w:pPr>
        <w:spacing w:line="240" w:lineRule="auto"/>
        <w:ind w:left="2880" w:hanging="2880"/>
      </w:pPr>
      <w:r w:rsidRPr="00AE758F">
        <w:t>BPV</w:t>
      </w:r>
      <w:r w:rsidR="001F17C9">
        <w:t xml:space="preserve"> Code</w:t>
      </w:r>
      <w:r w:rsidRPr="00AE758F">
        <w:tab/>
      </w:r>
      <w:r w:rsidR="001F17C9">
        <w:t>(ASME) B</w:t>
      </w:r>
      <w:r w:rsidRPr="00AE758F">
        <w:t xml:space="preserve">oiler and </w:t>
      </w:r>
      <w:r w:rsidR="001F17C9">
        <w:t>P</w:t>
      </w:r>
      <w:r w:rsidRPr="00AE758F">
        <w:t xml:space="preserve">ressure </w:t>
      </w:r>
      <w:r w:rsidR="001F17C9">
        <w:t>V</w:t>
      </w:r>
      <w:r w:rsidRPr="00AE758F">
        <w:t>essel</w:t>
      </w:r>
      <w:r w:rsidR="001F17C9">
        <w:t xml:space="preserve"> Code</w:t>
      </w:r>
    </w:p>
    <w:p w:rsidRPr="00AE758F" w:rsidR="00C8101A" w:rsidP="007936BF" w:rsidRDefault="00C8101A" w14:paraId="3F533198" w14:textId="77777777">
      <w:pPr>
        <w:spacing w:line="240" w:lineRule="auto"/>
        <w:ind w:left="2880" w:hanging="2880"/>
      </w:pPr>
    </w:p>
    <w:p w:rsidRPr="00AE758F" w:rsidR="00C8101A" w:rsidP="007936BF" w:rsidRDefault="00C8101A" w14:paraId="7C0E5B1D" w14:textId="77777777">
      <w:pPr>
        <w:spacing w:line="240" w:lineRule="auto"/>
        <w:ind w:left="2880" w:hanging="2880"/>
        <w:rPr>
          <w:i/>
        </w:rPr>
      </w:pPr>
      <w:r w:rsidRPr="00AE758F">
        <w:t>CFR</w:t>
      </w:r>
      <w:r w:rsidRPr="00AE758F">
        <w:tab/>
      </w:r>
      <w:r w:rsidRPr="00AE758F">
        <w:rPr>
          <w:i/>
        </w:rPr>
        <w:t>Code of Federal Regulations</w:t>
      </w:r>
    </w:p>
    <w:p w:rsidRPr="00AE758F" w:rsidR="00C8101A" w:rsidP="007936BF" w:rsidRDefault="00C8101A" w14:paraId="6A310170" w14:textId="77777777">
      <w:pPr>
        <w:spacing w:line="240" w:lineRule="auto"/>
        <w:ind w:left="2880" w:hanging="2880"/>
      </w:pPr>
      <w:r w:rsidRPr="00AE758F">
        <w:t>CPI-U</w:t>
      </w:r>
      <w:r w:rsidRPr="00AE758F">
        <w:tab/>
        <w:t>Consumer Price Index for All Urban Consumers</w:t>
      </w:r>
    </w:p>
    <w:p w:rsidRPr="00AE758F" w:rsidR="00C8101A" w:rsidP="007936BF" w:rsidRDefault="00C8101A" w14:paraId="75111554" w14:textId="15CEB0C9">
      <w:pPr>
        <w:spacing w:line="240" w:lineRule="auto"/>
        <w:ind w:left="2880" w:hanging="2880"/>
      </w:pPr>
      <w:r w:rsidRPr="00AE758F">
        <w:t>CRGR</w:t>
      </w:r>
      <w:r w:rsidRPr="00AE758F">
        <w:tab/>
        <w:t xml:space="preserve">Committee </w:t>
      </w:r>
      <w:r w:rsidR="003E6C86">
        <w:t>t</w:t>
      </w:r>
      <w:r w:rsidRPr="00AE758F" w:rsidR="00046BA2">
        <w:t>o</w:t>
      </w:r>
      <w:r w:rsidRPr="00AE758F">
        <w:t xml:space="preserve"> Review Generic Requirements</w:t>
      </w:r>
    </w:p>
    <w:p w:rsidRPr="00AE758F" w:rsidR="00C8101A" w:rsidP="007936BF" w:rsidRDefault="00C8101A" w14:paraId="2B6C2A15" w14:textId="77777777">
      <w:pPr>
        <w:spacing w:line="240" w:lineRule="auto"/>
        <w:ind w:left="2880" w:hanging="2880"/>
      </w:pPr>
    </w:p>
    <w:p w:rsidRPr="00AE758F" w:rsidR="00C8101A" w:rsidP="007936BF" w:rsidRDefault="00C8101A" w14:paraId="7E0C06F5" w14:textId="3B9A1343">
      <w:pPr>
        <w:spacing w:line="240" w:lineRule="auto"/>
        <w:ind w:left="2880" w:hanging="2880"/>
      </w:pPr>
      <w:r w:rsidRPr="00AE758F">
        <w:t>GDC</w:t>
      </w:r>
      <w:r w:rsidRPr="00AE758F">
        <w:tab/>
        <w:t>general design criterion/criteria</w:t>
      </w:r>
    </w:p>
    <w:p w:rsidRPr="00AE758F" w:rsidR="00C8101A" w:rsidP="007936BF" w:rsidRDefault="00C8101A" w14:paraId="2E73F0BF" w14:textId="77777777">
      <w:pPr>
        <w:spacing w:line="240" w:lineRule="auto"/>
        <w:ind w:left="2880" w:hanging="2880"/>
      </w:pPr>
    </w:p>
    <w:p w:rsidRPr="00AE758F" w:rsidR="00C8101A" w:rsidP="007936BF" w:rsidRDefault="00C8101A" w14:paraId="6758A0FE" w14:textId="07D386AA">
      <w:pPr>
        <w:spacing w:line="240" w:lineRule="auto"/>
        <w:ind w:left="2880" w:hanging="2880"/>
      </w:pPr>
      <w:r w:rsidRPr="00AE758F">
        <w:t>IBR</w:t>
      </w:r>
      <w:r w:rsidRPr="00AE758F">
        <w:tab/>
        <w:t>incorporation by reference</w:t>
      </w:r>
    </w:p>
    <w:p w:rsidRPr="00AE758F" w:rsidR="00C8101A" w:rsidP="007936BF" w:rsidRDefault="00C8101A" w14:paraId="02CA551E" w14:textId="77777777">
      <w:pPr>
        <w:spacing w:line="240" w:lineRule="auto"/>
        <w:ind w:left="2880" w:hanging="2880"/>
      </w:pPr>
      <w:r w:rsidRPr="00AE758F">
        <w:t>ISI</w:t>
      </w:r>
      <w:r w:rsidRPr="00AE758F">
        <w:tab/>
        <w:t>inservice inspection</w:t>
      </w:r>
    </w:p>
    <w:p w:rsidRPr="00AE758F" w:rsidR="00C8101A" w:rsidP="007936BF" w:rsidRDefault="00C8101A" w14:paraId="27301C11" w14:textId="77777777">
      <w:pPr>
        <w:spacing w:line="240" w:lineRule="auto"/>
        <w:ind w:left="2880" w:hanging="2880"/>
      </w:pPr>
      <w:r w:rsidRPr="00AE758F">
        <w:t>IST</w:t>
      </w:r>
      <w:r w:rsidRPr="00AE758F">
        <w:tab/>
        <w:t>inservice testing</w:t>
      </w:r>
    </w:p>
    <w:p w:rsidRPr="00AE758F" w:rsidR="00C8101A" w:rsidP="007936BF" w:rsidRDefault="00C8101A" w14:paraId="7BB18C8B" w14:textId="77777777">
      <w:pPr>
        <w:spacing w:line="240" w:lineRule="auto"/>
        <w:ind w:left="2880" w:hanging="2880"/>
      </w:pPr>
    </w:p>
    <w:p w:rsidRPr="00AE758F" w:rsidR="00C8101A" w:rsidP="007936BF" w:rsidRDefault="00C8101A" w14:paraId="0971183C" w14:textId="77777777">
      <w:pPr>
        <w:spacing w:line="240" w:lineRule="auto"/>
        <w:ind w:left="2880" w:hanging="2880"/>
      </w:pPr>
      <w:r w:rsidRPr="00AE758F">
        <w:t>NPV</w:t>
      </w:r>
      <w:r w:rsidRPr="00AE758F">
        <w:tab/>
        <w:t>net present value</w:t>
      </w:r>
    </w:p>
    <w:p w:rsidRPr="00AE758F" w:rsidR="00C8101A" w:rsidP="007936BF" w:rsidRDefault="00C8101A" w14:paraId="52BB7483" w14:textId="77777777">
      <w:pPr>
        <w:spacing w:line="240" w:lineRule="auto"/>
        <w:ind w:left="2880" w:hanging="2880"/>
      </w:pPr>
      <w:r w:rsidRPr="00AE758F">
        <w:t>NQA</w:t>
      </w:r>
      <w:r w:rsidRPr="00AE758F">
        <w:tab/>
        <w:t>Nuclear Quality Assurance</w:t>
      </w:r>
    </w:p>
    <w:p w:rsidRPr="00AE758F" w:rsidR="00C8101A" w:rsidP="007936BF" w:rsidRDefault="00C8101A" w14:paraId="7C71A0B3" w14:textId="77777777">
      <w:pPr>
        <w:spacing w:line="240" w:lineRule="auto"/>
        <w:ind w:left="2880" w:hanging="2880"/>
      </w:pPr>
      <w:r w:rsidRPr="00AE758F">
        <w:t>NRC</w:t>
      </w:r>
      <w:r w:rsidRPr="00AE758F">
        <w:tab/>
        <w:t>U.S. Nuclear Regulatory Commission</w:t>
      </w:r>
    </w:p>
    <w:p w:rsidRPr="00AE758F" w:rsidR="00C8101A" w:rsidP="007936BF" w:rsidRDefault="00C8101A" w14:paraId="2E2EEE70" w14:textId="77777777">
      <w:pPr>
        <w:spacing w:line="240" w:lineRule="auto"/>
        <w:ind w:left="2880" w:hanging="2880"/>
      </w:pPr>
      <w:r w:rsidRPr="00AE758F">
        <w:t>NTTAA</w:t>
      </w:r>
      <w:r w:rsidRPr="00AE758F">
        <w:tab/>
        <w:t>National Technology Transfer and Advancement Act of 1995</w:t>
      </w:r>
    </w:p>
    <w:p w:rsidRPr="00AE758F" w:rsidR="00C8101A" w:rsidP="007936BF" w:rsidRDefault="00C8101A" w14:paraId="597DF875" w14:textId="77777777">
      <w:pPr>
        <w:spacing w:line="240" w:lineRule="auto"/>
        <w:ind w:left="2880" w:hanging="2880"/>
      </w:pPr>
    </w:p>
    <w:p w:rsidRPr="00AE758F" w:rsidR="00C8101A" w:rsidP="007936BF" w:rsidRDefault="00C8101A" w14:paraId="43F170AB" w14:textId="77777777">
      <w:pPr>
        <w:spacing w:line="240" w:lineRule="auto"/>
        <w:ind w:left="2880" w:hanging="2880"/>
      </w:pPr>
      <w:r w:rsidRPr="00AE758F">
        <w:t>OM Code</w:t>
      </w:r>
      <w:r w:rsidRPr="00AE758F">
        <w:tab/>
        <w:t>(ASME) Code for Operation and Maintenance of Nuclear Power Plants</w:t>
      </w:r>
    </w:p>
    <w:p w:rsidRPr="00AE758F" w:rsidR="00C8101A" w:rsidP="007936BF" w:rsidRDefault="00C8101A" w14:paraId="207C1775" w14:textId="187AD977">
      <w:pPr>
        <w:spacing w:line="240" w:lineRule="auto"/>
        <w:ind w:left="2880" w:hanging="2880"/>
      </w:pPr>
      <w:r w:rsidRPr="00AE758F">
        <w:t>OMB</w:t>
      </w:r>
      <w:r w:rsidRPr="00AE758F">
        <w:tab/>
        <w:t>Office of Management and Budget</w:t>
      </w:r>
    </w:p>
    <w:p w:rsidRPr="00AE758F" w:rsidR="00C8101A" w:rsidP="007936BF" w:rsidRDefault="00C8101A" w14:paraId="539C93FB" w14:textId="77777777">
      <w:pPr>
        <w:spacing w:line="240" w:lineRule="auto"/>
        <w:ind w:left="2880" w:hanging="2880"/>
      </w:pPr>
    </w:p>
    <w:p w:rsidRPr="00AE758F" w:rsidR="00C8101A" w:rsidP="007936BF" w:rsidRDefault="00C8101A" w14:paraId="38E5F207" w14:textId="77777777">
      <w:pPr>
        <w:spacing w:line="240" w:lineRule="auto"/>
        <w:ind w:left="2880" w:hanging="2880"/>
      </w:pPr>
      <w:r w:rsidRPr="00AE758F">
        <w:t>PERT</w:t>
      </w:r>
      <w:r w:rsidRPr="00AE758F">
        <w:tab/>
        <w:t>program evaluation and review technique</w:t>
      </w:r>
    </w:p>
    <w:p w:rsidRPr="00AE758F" w:rsidR="00C8101A" w:rsidP="007936BF" w:rsidRDefault="00C8101A" w14:paraId="4DD39B31" w14:textId="77777777">
      <w:pPr>
        <w:spacing w:line="240" w:lineRule="auto"/>
        <w:ind w:left="2880" w:hanging="2880"/>
      </w:pPr>
    </w:p>
    <w:p w:rsidRPr="00AE758F" w:rsidR="00C8101A" w:rsidP="007936BF" w:rsidRDefault="00C8101A" w14:paraId="39F4E892" w14:textId="2604C7C8">
      <w:pPr>
        <w:spacing w:line="240" w:lineRule="auto"/>
        <w:ind w:left="2880" w:hanging="2880"/>
      </w:pPr>
    </w:p>
    <w:p w:rsidRPr="00AE758F" w:rsidR="00C8101A" w:rsidP="007936BF" w:rsidRDefault="00C8101A" w14:paraId="541BEF5C" w14:textId="77777777">
      <w:pPr>
        <w:spacing w:line="240" w:lineRule="auto"/>
      </w:pPr>
    </w:p>
    <w:p w:rsidRPr="00AE758F" w:rsidR="00C8101A" w:rsidP="007936BF" w:rsidRDefault="00C8101A" w14:paraId="4EBA7D9A" w14:textId="77777777">
      <w:pPr>
        <w:spacing w:line="240" w:lineRule="auto"/>
        <w:sectPr w:rsidRPr="00AE758F" w:rsidR="00C8101A" w:rsidSect="00871695">
          <w:headerReference w:type="default" r:id="rId15"/>
          <w:footerReference w:type="default" r:id="rId16"/>
          <w:pgSz w:w="12240" w:h="15840"/>
          <w:pgMar w:top="1440" w:right="1440" w:bottom="1440" w:left="1440" w:header="720" w:footer="720" w:gutter="0"/>
          <w:pgNumType w:fmt="lowerRoman" w:start="1"/>
          <w:cols w:space="720"/>
          <w:docGrid w:linePitch="360"/>
        </w:sectPr>
      </w:pPr>
    </w:p>
    <w:p w:rsidRPr="00AE758F" w:rsidR="00C8101A" w:rsidP="00977776" w:rsidRDefault="00C8101A" w14:paraId="63716D56" w14:textId="77777777">
      <w:pPr>
        <w:pStyle w:val="Heading1"/>
        <w:numPr>
          <w:ilvl w:val="0"/>
          <w:numId w:val="10"/>
        </w:numPr>
        <w:spacing w:before="0" w:line="240" w:lineRule="auto"/>
        <w:ind w:left="274" w:hanging="274"/>
        <w:rPr>
          <w:szCs w:val="22"/>
        </w:rPr>
      </w:pPr>
      <w:bookmarkStart w:name="_Toc456098205" w:id="40"/>
      <w:bookmarkStart w:name="_Toc521577040" w:id="41"/>
      <w:bookmarkStart w:name="_Toc7512227" w:id="42"/>
      <w:bookmarkStart w:name="_Toc81309097" w:id="43"/>
      <w:r w:rsidRPr="00AE758F">
        <w:rPr>
          <w:szCs w:val="22"/>
        </w:rPr>
        <w:lastRenderedPageBreak/>
        <w:t>Introduction</w:t>
      </w:r>
      <w:bookmarkEnd w:id="40"/>
      <w:bookmarkEnd w:id="41"/>
      <w:bookmarkEnd w:id="42"/>
      <w:bookmarkEnd w:id="43"/>
    </w:p>
    <w:p w:rsidRPr="00AE758F" w:rsidR="00C8101A" w:rsidP="007936BF" w:rsidRDefault="00C8101A" w14:paraId="117C67C4" w14:textId="77777777">
      <w:pPr>
        <w:spacing w:line="240" w:lineRule="auto"/>
      </w:pPr>
    </w:p>
    <w:p w:rsidRPr="00AE758F" w:rsidR="00C8101A" w:rsidP="007936BF" w:rsidRDefault="00C8101A" w14:paraId="6CA596C7" w14:textId="1D69575B">
      <w:pPr>
        <w:spacing w:line="240" w:lineRule="auto"/>
      </w:pPr>
      <w:r w:rsidRPr="00AE758F">
        <w:t xml:space="preserve">This document presents the regulatory analysis for the </w:t>
      </w:r>
      <w:r w:rsidR="0062002F">
        <w:t>final</w:t>
      </w:r>
      <w:r w:rsidRPr="00AE758F">
        <w:t xml:space="preserve"> rule to incorporate by reference specific American Society of Mechanical Engineers (ASME) </w:t>
      </w:r>
      <w:r w:rsidRPr="00AE758F" w:rsidR="00DB4850">
        <w:t>c</w:t>
      </w:r>
      <w:r w:rsidRPr="00AE758F">
        <w:t>odes and Code Cases</w:t>
      </w:r>
      <w:r w:rsidRPr="00AE758F" w:rsidR="00AB3A8B">
        <w:t xml:space="preserve">.  </w:t>
      </w:r>
      <w:r w:rsidRPr="00AE758F">
        <w:t xml:space="preserve">The </w:t>
      </w:r>
      <w:r w:rsidR="0062002F">
        <w:t>final</w:t>
      </w:r>
      <w:r w:rsidRPr="00AE758F">
        <w:t xml:space="preserve"> rule </w:t>
      </w:r>
      <w:r w:rsidR="00285F96">
        <w:t>includes the following provisions</w:t>
      </w:r>
      <w:r w:rsidRPr="00AE758F">
        <w:t>:</w:t>
      </w:r>
    </w:p>
    <w:p w:rsidRPr="00AE758F" w:rsidR="00C8101A" w:rsidP="007936BF" w:rsidRDefault="00C8101A" w14:paraId="2796428F" w14:textId="77777777">
      <w:pPr>
        <w:spacing w:line="240" w:lineRule="auto"/>
      </w:pPr>
    </w:p>
    <w:p w:rsidRPr="00AE758F" w:rsidR="00C8101A" w:rsidP="00977776" w:rsidRDefault="00285F96" w14:paraId="4A8441F0" w14:textId="080367F9">
      <w:pPr>
        <w:pStyle w:val="ListParagraph"/>
        <w:numPr>
          <w:ilvl w:val="0"/>
          <w:numId w:val="11"/>
        </w:numPr>
        <w:spacing w:after="220" w:line="240" w:lineRule="auto"/>
        <w:ind w:hanging="720"/>
        <w:contextualSpacing w:val="0"/>
      </w:pPr>
      <w:r>
        <w:t xml:space="preserve">incorporation by reference (IBR) of </w:t>
      </w:r>
      <w:r w:rsidRPr="00AE758F" w:rsidR="002E6561">
        <w:t>t</w:t>
      </w:r>
      <w:r w:rsidRPr="00AE758F" w:rsidR="00C8101A">
        <w:t>he 201</w:t>
      </w:r>
      <w:r w:rsidRPr="00AE758F" w:rsidR="00AE1C61">
        <w:t>9</w:t>
      </w:r>
      <w:r w:rsidRPr="00AE758F" w:rsidR="00C8101A">
        <w:t xml:space="preserve"> Edition of the ASME Boiler and Pressure Vessel Code</w:t>
      </w:r>
      <w:r w:rsidR="00C17D13">
        <w:t xml:space="preserve"> (BPV Code)</w:t>
      </w:r>
      <w:r w:rsidRPr="00AE758F" w:rsidR="00C8101A">
        <w:t xml:space="preserve">, Section III, Division 1, and Section XI, Division 1, </w:t>
      </w:r>
      <w:r>
        <w:t xml:space="preserve">into U.S. Nuclear Regulatory Commission (NRC) regulations, </w:t>
      </w:r>
      <w:r w:rsidRPr="00AE758F" w:rsidR="00C8101A">
        <w:t xml:space="preserve">and delineation of NRC requirements for the use of </w:t>
      </w:r>
      <w:r w:rsidRPr="00AE758F" w:rsidR="00884BDE">
        <w:t>this code</w:t>
      </w:r>
      <w:r w:rsidRPr="00AE758F" w:rsidR="00C8101A">
        <w:t xml:space="preserve">, </w:t>
      </w:r>
      <w:r w:rsidRPr="00AE758F" w:rsidR="00F5665A">
        <w:t xml:space="preserve">with </w:t>
      </w:r>
      <w:r w:rsidRPr="00AE758F" w:rsidR="00C8101A">
        <w:t>conditions</w:t>
      </w:r>
    </w:p>
    <w:p w:rsidR="00C8101A" w:rsidP="00977776" w:rsidRDefault="00475679" w14:paraId="4847F95A" w14:textId="3F28EC53">
      <w:pPr>
        <w:pStyle w:val="ListParagraph"/>
        <w:numPr>
          <w:ilvl w:val="0"/>
          <w:numId w:val="11"/>
        </w:numPr>
        <w:spacing w:after="240" w:line="240" w:lineRule="auto"/>
        <w:ind w:hanging="720"/>
        <w:contextualSpacing w:val="0"/>
      </w:pPr>
      <w:r>
        <w:t xml:space="preserve">IBR of </w:t>
      </w:r>
      <w:r w:rsidRPr="00AE758F" w:rsidR="002E6561">
        <w:t>t</w:t>
      </w:r>
      <w:r w:rsidRPr="00AE758F" w:rsidR="00C8101A">
        <w:t xml:space="preserve">he </w:t>
      </w:r>
      <w:r w:rsidRPr="00AE758F" w:rsidR="0041375B">
        <w:t xml:space="preserve">2020 </w:t>
      </w:r>
      <w:r w:rsidRPr="00AE758F" w:rsidR="00C8101A">
        <w:t xml:space="preserve">Edition </w:t>
      </w:r>
      <w:r w:rsidRPr="00AE758F" w:rsidR="002E6561">
        <w:t>of</w:t>
      </w:r>
      <w:r w:rsidRPr="00AE758F" w:rsidR="00C8101A">
        <w:t xml:space="preserve"> Division</w:t>
      </w:r>
      <w:r w:rsidRPr="00AE758F" w:rsidR="002E6561">
        <w:t> </w:t>
      </w:r>
      <w:r w:rsidRPr="00AE758F" w:rsidR="00C8101A">
        <w:t xml:space="preserve">1 of the ASME Code for Operation and Maintenance of Nuclear Power Plants (OM Code) </w:t>
      </w:r>
      <w:r>
        <w:t xml:space="preserve">into NRC regulations, </w:t>
      </w:r>
      <w:r w:rsidRPr="00AE758F" w:rsidR="00C8101A">
        <w:t xml:space="preserve">and delineation of NRC requirements for the use of </w:t>
      </w:r>
      <w:r w:rsidRPr="00AE758F" w:rsidR="00884BDE">
        <w:t>this code</w:t>
      </w:r>
      <w:r w:rsidRPr="00AE758F" w:rsidR="00C8101A">
        <w:t xml:space="preserve">, </w:t>
      </w:r>
      <w:r w:rsidRPr="00AE758F" w:rsidR="00F5665A">
        <w:t xml:space="preserve">with </w:t>
      </w:r>
      <w:r w:rsidRPr="00AE758F" w:rsidR="00C8101A">
        <w:t>conditions</w:t>
      </w:r>
    </w:p>
    <w:p w:rsidRPr="00AE758F" w:rsidR="00623422" w:rsidP="00977776" w:rsidRDefault="00623422" w14:paraId="1FFEF0B7" w14:textId="1D3773CC">
      <w:pPr>
        <w:pStyle w:val="ListParagraph"/>
        <w:numPr>
          <w:ilvl w:val="0"/>
          <w:numId w:val="11"/>
        </w:numPr>
        <w:spacing w:after="240" w:line="240" w:lineRule="auto"/>
        <w:ind w:hanging="720"/>
        <w:contextualSpacing w:val="0"/>
      </w:pPr>
      <w:r>
        <w:t>IBR of the ASME OM Code Case OMN-28, “</w:t>
      </w:r>
      <w:r w:rsidRPr="00C02F70">
        <w:t>Alternative Valve Position Verification Approach to Satisfy ISTC-3700 for Valves Not Susceptible to Stem-Disk Separatio</w:t>
      </w:r>
      <w:r>
        <w:t>n,” without conditions</w:t>
      </w:r>
    </w:p>
    <w:p w:rsidRPr="00AE758F" w:rsidR="009E5202" w:rsidP="00977776" w:rsidRDefault="00E44DB1" w14:paraId="663B9DDE" w14:textId="1E919765">
      <w:pPr>
        <w:pStyle w:val="ListParagraph"/>
        <w:numPr>
          <w:ilvl w:val="0"/>
          <w:numId w:val="11"/>
        </w:numPr>
        <w:spacing w:after="240" w:line="240" w:lineRule="auto"/>
        <w:ind w:hanging="720"/>
        <w:contextualSpacing w:val="0"/>
      </w:pPr>
      <w:r>
        <w:t xml:space="preserve">IBR of </w:t>
      </w:r>
      <w:r w:rsidRPr="00AE758F" w:rsidR="002E6561">
        <w:t>t</w:t>
      </w:r>
      <w:r w:rsidRPr="00AE758F" w:rsidR="009E5202">
        <w:t xml:space="preserve">he 2011 Addenda to ASME NQA-1-2008, </w:t>
      </w:r>
      <w:r w:rsidRPr="00AE758F" w:rsidR="002E6561">
        <w:t>“</w:t>
      </w:r>
      <w:r w:rsidRPr="00AE758F" w:rsidR="009E5202">
        <w:t>Quality Assurance Requirements for Nuclear Facility Applications</w:t>
      </w:r>
      <w:r w:rsidRPr="00AE758F" w:rsidR="002E6561">
        <w:t>”</w:t>
      </w:r>
      <w:r w:rsidRPr="00AE758F" w:rsidR="009E5202">
        <w:t xml:space="preserve"> (ASME NQA-1b-2011)</w:t>
      </w:r>
      <w:r w:rsidRPr="00AE758F" w:rsidR="00F5665A">
        <w:t xml:space="preserve">, </w:t>
      </w:r>
      <w:r>
        <w:t xml:space="preserve">into NRC regulations, </w:t>
      </w:r>
      <w:r w:rsidRPr="00AE758F" w:rsidR="00F5665A">
        <w:t>with</w:t>
      </w:r>
      <w:r w:rsidRPr="00AE758F" w:rsidR="00F5665A">
        <w:t xml:space="preserve"> conditions</w:t>
      </w:r>
    </w:p>
    <w:p w:rsidRPr="00AE758F" w:rsidR="009E5202" w:rsidP="00977776" w:rsidRDefault="00E44DB1" w14:paraId="70781B9D" w14:textId="375E9D79">
      <w:pPr>
        <w:pStyle w:val="ListParagraph"/>
        <w:numPr>
          <w:ilvl w:val="0"/>
          <w:numId w:val="11"/>
        </w:numPr>
        <w:spacing w:after="240" w:line="240" w:lineRule="auto"/>
        <w:ind w:hanging="720"/>
        <w:contextualSpacing w:val="0"/>
      </w:pPr>
      <w:r>
        <w:t xml:space="preserve">IBR of </w:t>
      </w:r>
      <w:r w:rsidRPr="00AE758F" w:rsidR="002E6561">
        <w:t>t</w:t>
      </w:r>
      <w:r w:rsidRPr="00AE758F" w:rsidR="009E5202">
        <w:t>he 2012 and 2015 Editions of ASME NQA</w:t>
      </w:r>
      <w:r w:rsidRPr="00AE758F" w:rsidR="00422127">
        <w:noBreakHyphen/>
      </w:r>
      <w:r w:rsidRPr="00AE758F" w:rsidR="009E5202">
        <w:t>1</w:t>
      </w:r>
      <w:r>
        <w:t xml:space="preserve"> into NRC regulations</w:t>
      </w:r>
      <w:r w:rsidRPr="00AE758F" w:rsidR="009E5202">
        <w:t xml:space="preserve">, </w:t>
      </w:r>
      <w:r w:rsidRPr="00AE758F" w:rsidR="00F5665A">
        <w:t>with</w:t>
      </w:r>
      <w:r w:rsidRPr="00AE758F" w:rsidR="000143A2">
        <w:t xml:space="preserve"> </w:t>
      </w:r>
      <w:r w:rsidRPr="00AE758F" w:rsidR="009E5202">
        <w:t>conditions</w:t>
      </w:r>
    </w:p>
    <w:p w:rsidRPr="00AE758F" w:rsidR="00C8101A" w:rsidP="007936BF" w:rsidRDefault="00C8101A" w14:paraId="0C35BAD4" w14:textId="3C70380E">
      <w:pPr>
        <w:spacing w:line="240" w:lineRule="auto"/>
      </w:pPr>
      <w:r w:rsidRPr="00AE758F">
        <w:t xml:space="preserve">The </w:t>
      </w:r>
      <w:r w:rsidRPr="00AE758F" w:rsidR="00C14057">
        <w:t>NRC</w:t>
      </w:r>
      <w:r w:rsidRPr="00AE758F">
        <w:t xml:space="preserve"> analyzed the ASME BPV and OM Code </w:t>
      </w:r>
      <w:r w:rsidRPr="00AE758F" w:rsidR="00D5645D">
        <w:t>e</w:t>
      </w:r>
      <w:r w:rsidRPr="00AE758F">
        <w:t>ditions</w:t>
      </w:r>
      <w:r w:rsidRPr="00AE758F" w:rsidR="00DB4850">
        <w:t xml:space="preserve"> (</w:t>
      </w:r>
      <w:r w:rsidRPr="00AE758F" w:rsidR="00755B67">
        <w:t>together referred to as the</w:t>
      </w:r>
      <w:r w:rsidRPr="00AE758F" w:rsidR="00DB4850">
        <w:t xml:space="preserve"> ASME Codes)</w:t>
      </w:r>
      <w:r w:rsidRPr="00AE758F">
        <w:t xml:space="preserve"> to determine whether they are (1) acceptable without conditions, (2) acceptable with conditions, or (3) not approved.  Generally, when the NRC approves codes with conditions, licensees may experience additional regulatory </w:t>
      </w:r>
      <w:r w:rsidR="00FB2EB1">
        <w:t>costs</w:t>
      </w:r>
      <w:r w:rsidRPr="00AE758F">
        <w:t xml:space="preserve"> to meet the conditioned requirements.</w:t>
      </w:r>
    </w:p>
    <w:p w:rsidRPr="00AE758F" w:rsidR="00C8101A" w:rsidP="00977776" w:rsidRDefault="00C8101A" w14:paraId="1C3642D3" w14:textId="77777777">
      <w:pPr>
        <w:pStyle w:val="Heading1"/>
        <w:numPr>
          <w:ilvl w:val="0"/>
          <w:numId w:val="10"/>
        </w:numPr>
        <w:spacing w:line="240" w:lineRule="auto"/>
        <w:ind w:left="270" w:hanging="270"/>
        <w:rPr>
          <w:szCs w:val="22"/>
        </w:rPr>
      </w:pPr>
      <w:bookmarkStart w:name="_Toc42676391" w:id="45"/>
      <w:bookmarkStart w:name="_Toc456098206" w:id="46"/>
      <w:bookmarkStart w:name="_Toc457827219" w:id="47"/>
      <w:bookmarkStart w:name="_Toc521577041" w:id="48"/>
      <w:bookmarkStart w:name="_Toc7512228" w:id="49"/>
      <w:bookmarkStart w:name="_Toc81309098" w:id="50"/>
      <w:bookmarkEnd w:id="45"/>
      <w:r w:rsidRPr="00AE758F">
        <w:rPr>
          <w:szCs w:val="22"/>
        </w:rPr>
        <w:t>Statement of the Problem and Objective</w:t>
      </w:r>
      <w:bookmarkEnd w:id="46"/>
      <w:bookmarkEnd w:id="47"/>
      <w:bookmarkEnd w:id="48"/>
      <w:bookmarkEnd w:id="49"/>
      <w:bookmarkEnd w:id="50"/>
    </w:p>
    <w:p w:rsidRPr="00AE758F" w:rsidR="00C8101A" w:rsidP="007936BF" w:rsidRDefault="00C8101A" w14:paraId="68AE600F" w14:textId="77777777">
      <w:pPr>
        <w:spacing w:line="240" w:lineRule="auto"/>
      </w:pPr>
    </w:p>
    <w:p w:rsidRPr="00AE758F" w:rsidR="00002C01" w:rsidP="007936BF" w:rsidRDefault="00C8101A" w14:paraId="66E5B28C" w14:textId="58187509">
      <w:pPr>
        <w:spacing w:line="240" w:lineRule="auto"/>
      </w:pPr>
      <w:r w:rsidRPr="00AE758F">
        <w:t>ASME develops and publishes the ASME BPV Code, which contains requirements for design, construction, and inservice inspection (ISI) of nuclear power plant components, and the ASME OM Code, which contains requirements for operation and inservice testing (IST) of nuclear power plant components.  Until 2012, ASME issued new editions of the BPV Code every 3 years and addenda to the editions annually, except in years when it issued a new edition.  Similarly, ASME periodically published new editions of an</w:t>
      </w:r>
      <w:r w:rsidR="002169BD">
        <w:t>d</w:t>
      </w:r>
      <w:r w:rsidRPr="00AE758F">
        <w:t xml:space="preserve"> addenda to the OM Code. </w:t>
      </w:r>
      <w:r w:rsidRPr="00AE758F" w:rsidR="00E378AC">
        <w:t xml:space="preserve"> </w:t>
      </w:r>
      <w:r w:rsidRPr="00AE758F" w:rsidR="00002C01">
        <w:t>Starting in 2012, ASME decided to issue editions of its BPV and OM Codes (no addenda) every 2 years</w:t>
      </w:r>
      <w:r w:rsidRPr="00AE758F" w:rsidR="00DB4850">
        <w:t>,</w:t>
      </w:r>
      <w:r w:rsidRPr="00AE758F" w:rsidR="00002C01">
        <w:t xml:space="preserve"> </w:t>
      </w:r>
      <w:r w:rsidRPr="00AE758F" w:rsidR="000143A2">
        <w:t>issuing</w:t>
      </w:r>
      <w:r w:rsidRPr="00AE758F" w:rsidR="00002C01">
        <w:t xml:space="preserve"> the BPV Code </w:t>
      </w:r>
      <w:r w:rsidRPr="00AE758F" w:rsidR="00DA4692">
        <w:t>i</w:t>
      </w:r>
      <w:r w:rsidRPr="00AE758F" w:rsidR="00002C01">
        <w:t>n odd years (e.g.,</w:t>
      </w:r>
      <w:r w:rsidRPr="00AE758F" w:rsidR="00BA0E73">
        <w:t> </w:t>
      </w:r>
      <w:r w:rsidRPr="00AE758F" w:rsidR="00002C01">
        <w:t xml:space="preserve">2013, 2015) and the </w:t>
      </w:r>
      <w:r w:rsidRPr="00AE758F" w:rsidR="00E378AC">
        <w:t>OM </w:t>
      </w:r>
      <w:r w:rsidRPr="00AE758F" w:rsidR="00002C01">
        <w:t xml:space="preserve">Code </w:t>
      </w:r>
      <w:r w:rsidRPr="00AE758F" w:rsidR="00DA4692">
        <w:t>i</w:t>
      </w:r>
      <w:r w:rsidRPr="00AE758F" w:rsidR="00002C01">
        <w:t>n even years</w:t>
      </w:r>
      <w:r w:rsidRPr="00AE758F" w:rsidR="00002C01">
        <w:rPr>
          <w:vertAlign w:val="superscript"/>
        </w:rPr>
        <w:footnoteReference w:id="2"/>
      </w:r>
      <w:r w:rsidRPr="00AE758F" w:rsidR="00002C01">
        <w:rPr>
          <w:vertAlign w:val="superscript"/>
        </w:rPr>
        <w:t xml:space="preserve"> </w:t>
      </w:r>
      <w:r w:rsidRPr="00AE758F" w:rsidR="00002C01">
        <w:t>(e.g.,</w:t>
      </w:r>
      <w:r w:rsidRPr="00AE758F" w:rsidR="00DB4850">
        <w:t> </w:t>
      </w:r>
      <w:r w:rsidRPr="00AE758F" w:rsidR="00002C01">
        <w:t>2012, 2014).  The new editions and addenda typically revise provisions of the ASME Codes to broaden their applicability, add specific elements to current provisions, delete specific provisions,</w:t>
      </w:r>
      <w:r w:rsidR="00290567">
        <w:t xml:space="preserve"> and</w:t>
      </w:r>
      <w:r w:rsidRPr="00AE758F" w:rsidR="00002C01">
        <w:t xml:space="preserve"> clarify them to narrow the applicability of the provision.  The </w:t>
      </w:r>
      <w:r w:rsidR="009B4D9C">
        <w:t xml:space="preserve">new </w:t>
      </w:r>
      <w:r w:rsidRPr="00AE758F" w:rsidR="00002C01">
        <w:t>editions and addenda do not significantly change code philosophy or approach.</w:t>
      </w:r>
    </w:p>
    <w:p w:rsidRPr="00AE758F" w:rsidR="00C8101A" w:rsidP="007936BF" w:rsidRDefault="00C8101A" w14:paraId="3BABB6B3" w14:textId="77777777">
      <w:pPr>
        <w:spacing w:line="240" w:lineRule="auto"/>
      </w:pPr>
    </w:p>
    <w:p w:rsidRPr="00AE758F" w:rsidR="00C8101A" w:rsidP="007936BF" w:rsidRDefault="00D551BC" w14:paraId="458CD62E" w14:textId="5624872F">
      <w:pPr>
        <w:spacing w:line="240" w:lineRule="auto"/>
      </w:pPr>
      <w:r w:rsidRPr="00AE758F">
        <w:t xml:space="preserve">Title 10 of the </w:t>
      </w:r>
      <w:r w:rsidRPr="00AE758F">
        <w:rPr>
          <w:i/>
        </w:rPr>
        <w:t>Code of Federal Regulations</w:t>
      </w:r>
      <w:r w:rsidRPr="00AE758F">
        <w:t xml:space="preserve"> (10 CFR) 50.55a, “Codes and </w:t>
      </w:r>
      <w:r w:rsidRPr="00AE758F" w:rsidR="00BA0E73">
        <w:t>s</w:t>
      </w:r>
      <w:r w:rsidRPr="00AE758F">
        <w:t xml:space="preserve">tandards,” </w:t>
      </w:r>
      <w:r w:rsidRPr="00AE758F" w:rsidR="00C8101A">
        <w:t>establish</w:t>
      </w:r>
      <w:r w:rsidRPr="00AE758F">
        <w:t>es</w:t>
      </w:r>
      <w:r w:rsidRPr="00AE758F" w:rsidR="00C8101A">
        <w:t xml:space="preserve"> requirements for the design, construction, operation, ISI, and IST of nuclear power </w:t>
      </w:r>
      <w:r w:rsidRPr="00AE758F" w:rsidR="00C8101A">
        <w:lastRenderedPageBreak/>
        <w:t>plants</w:t>
      </w:r>
      <w:r w:rsidRPr="00AE758F" w:rsidR="00EC3365">
        <w:t xml:space="preserve">. </w:t>
      </w:r>
      <w:r w:rsidRPr="00AE758F" w:rsidR="00C8101A">
        <w:t xml:space="preserve"> </w:t>
      </w:r>
      <w:r w:rsidRPr="00AE758F" w:rsidR="00884BDE">
        <w:t>In 10 CFR 50.55a, t</w:t>
      </w:r>
      <w:r w:rsidRPr="00AE758F" w:rsidR="00C8101A">
        <w:t xml:space="preserve">he NRC approves or mandates the use of certain parts of ASME Code editions and addenda through the rulemaking process of IBR.  Upon IBR of the ASME Codes into 10 CFR 50.55a, the provisions of the ASME Codes </w:t>
      </w:r>
      <w:r w:rsidR="002D3556">
        <w:t xml:space="preserve">become </w:t>
      </w:r>
      <w:r w:rsidRPr="00AE758F" w:rsidR="00C8101A">
        <w:t>legally binding NRC requirements</w:t>
      </w:r>
      <w:r w:rsidRPr="00AE758F" w:rsidR="00EC3365">
        <w:t>,</w:t>
      </w:r>
      <w:r w:rsidRPr="00AE758F" w:rsidR="00C8101A">
        <w:t xml:space="preserve"> as delineated in 10 CFR 50.55a, subject to the conditions on certain ASME Code provisions specified in 10 CFR 50.55a.  The NRC last incorporated by reference editions</w:t>
      </w:r>
      <w:r w:rsidRPr="00AE758F" w:rsidR="00A66E24">
        <w:t xml:space="preserve"> of</w:t>
      </w:r>
      <w:r w:rsidRPr="00AE758F" w:rsidR="00C8101A">
        <w:t xml:space="preserve"> and addenda </w:t>
      </w:r>
      <w:r w:rsidRPr="00AE758F" w:rsidR="00A66E24">
        <w:t>to</w:t>
      </w:r>
      <w:r w:rsidRPr="00AE758F" w:rsidR="00C8101A">
        <w:t xml:space="preserve"> the ASME Codes into the regulations in a final rule </w:t>
      </w:r>
      <w:r w:rsidR="00A1063C">
        <w:t xml:space="preserve">dated July 18, 2017 </w:t>
      </w:r>
      <w:r w:rsidRPr="00AE758F" w:rsidR="00C8101A">
        <w:t>(</w:t>
      </w:r>
      <w:r w:rsidRPr="00AE758F" w:rsidR="00884BDE">
        <w:t>Volume</w:t>
      </w:r>
      <w:r w:rsidRPr="00AE758F" w:rsidR="005D57DE">
        <w:t> </w:t>
      </w:r>
      <w:r w:rsidRPr="00AE758F" w:rsidR="00D6566F">
        <w:t>82</w:t>
      </w:r>
      <w:r w:rsidRPr="00AE758F" w:rsidR="005D57DE">
        <w:t xml:space="preserve"> </w:t>
      </w:r>
      <w:r w:rsidRPr="00AE758F" w:rsidR="00884BDE">
        <w:t xml:space="preserve">of the </w:t>
      </w:r>
      <w:r w:rsidRPr="00AE758F" w:rsidR="00884BDE">
        <w:rPr>
          <w:i/>
          <w:iCs/>
        </w:rPr>
        <w:t>Federal Register</w:t>
      </w:r>
      <w:r w:rsidRPr="00AE758F" w:rsidR="00884BDE">
        <w:t>, page 32934</w:t>
      </w:r>
      <w:r w:rsidRPr="00AE758F" w:rsidR="00C8101A">
        <w:t>), subject to NRC conditions.</w:t>
      </w:r>
    </w:p>
    <w:p w:rsidRPr="00AE758F" w:rsidR="00C8101A" w:rsidP="007936BF" w:rsidRDefault="00C8101A" w14:paraId="470184CB" w14:textId="77777777">
      <w:pPr>
        <w:spacing w:line="240" w:lineRule="auto"/>
      </w:pPr>
    </w:p>
    <w:p w:rsidRPr="00AE758F" w:rsidR="00C8101A" w:rsidP="00382B4A" w:rsidRDefault="00C8101A" w14:paraId="205030AC" w14:textId="77777777">
      <w:pPr>
        <w:pStyle w:val="Heading2"/>
        <w:spacing w:line="240" w:lineRule="auto"/>
        <w:ind w:left="450" w:hanging="450"/>
      </w:pPr>
      <w:bookmarkStart w:name="_Toc456098207" w:id="51"/>
      <w:bookmarkStart w:name="_Toc457827220" w:id="52"/>
      <w:bookmarkStart w:name="_Toc521577042" w:id="53"/>
      <w:bookmarkStart w:name="_Toc7512229" w:id="54"/>
      <w:bookmarkStart w:name="_Toc81309099" w:id="55"/>
      <w:r w:rsidRPr="00AE758F">
        <w:t>2.1</w:t>
      </w:r>
      <w:r w:rsidRPr="00AE758F">
        <w:tab/>
        <w:t>Background</w:t>
      </w:r>
      <w:bookmarkEnd w:id="51"/>
      <w:bookmarkEnd w:id="52"/>
      <w:bookmarkEnd w:id="53"/>
      <w:bookmarkEnd w:id="54"/>
      <w:bookmarkEnd w:id="55"/>
    </w:p>
    <w:p w:rsidRPr="00AE758F" w:rsidR="00C8101A" w:rsidP="007936BF" w:rsidRDefault="00C8101A" w14:paraId="3F67F08E" w14:textId="77777777">
      <w:pPr>
        <w:keepNext/>
        <w:spacing w:line="240" w:lineRule="auto"/>
      </w:pPr>
    </w:p>
    <w:p w:rsidRPr="00AE758F" w:rsidR="00C8101A" w:rsidP="007936BF" w:rsidRDefault="00C8101A" w14:paraId="118448A9" w14:textId="72197415">
      <w:pPr>
        <w:spacing w:line="240" w:lineRule="auto"/>
      </w:pPr>
      <w:r w:rsidRPr="00AE758F">
        <w:t xml:space="preserve">Appendix A, “General Design Criteria for Nuclear Power Plants,” to 10 CFR Part 50, “Domestic </w:t>
      </w:r>
      <w:r w:rsidRPr="00AE758F" w:rsidR="008247EC">
        <w:t>l</w:t>
      </w:r>
      <w:r w:rsidRPr="00AE758F">
        <w:t xml:space="preserve">icensing of </w:t>
      </w:r>
      <w:r w:rsidRPr="00AE758F" w:rsidR="008247EC">
        <w:t>p</w:t>
      </w:r>
      <w:r w:rsidRPr="00AE758F">
        <w:t xml:space="preserve">roduction and </w:t>
      </w:r>
      <w:r w:rsidRPr="00AE758F" w:rsidR="008247EC">
        <w:t>u</w:t>
      </w:r>
      <w:r w:rsidRPr="00AE758F">
        <w:t xml:space="preserve">tilization </w:t>
      </w:r>
      <w:r w:rsidRPr="00AE758F" w:rsidR="008247EC">
        <w:t>f</w:t>
      </w:r>
      <w:r w:rsidRPr="00AE758F">
        <w:t>acilities,” provides the bases and requirements for the NRC’s assessment of the use of generally recognized codes and standards and the potential for, and consequences of, degradation of the reactor coolant pressure boundary.  As appropriate, similar requirements appear in the licensing basis for a reactor facility.  The</w:t>
      </w:r>
      <w:r w:rsidR="00031A87">
        <w:t> </w:t>
      </w:r>
      <w:r w:rsidRPr="00AE758F">
        <w:t xml:space="preserve">applicable general design criteria (GDC) include GDC 1, “Quality </w:t>
      </w:r>
      <w:r w:rsidR="00FE32CC">
        <w:t>s</w:t>
      </w:r>
      <w:r w:rsidRPr="00AE758F">
        <w:t xml:space="preserve">tandards and </w:t>
      </w:r>
      <w:r w:rsidR="00FE32CC">
        <w:t>r</w:t>
      </w:r>
      <w:r w:rsidRPr="00AE758F">
        <w:t>ecords”</w:t>
      </w:r>
      <w:r w:rsidRPr="00AE758F" w:rsidR="00500C06">
        <w:t>;</w:t>
      </w:r>
      <w:r w:rsidRPr="00AE758F">
        <w:t xml:space="preserve"> GDC 14, “Reactor </w:t>
      </w:r>
      <w:r w:rsidR="00FE32CC">
        <w:t>c</w:t>
      </w:r>
      <w:r w:rsidRPr="00AE758F">
        <w:t xml:space="preserve">oolant </w:t>
      </w:r>
      <w:r w:rsidR="00FE32CC">
        <w:t>p</w:t>
      </w:r>
      <w:r w:rsidRPr="00AE758F">
        <w:t xml:space="preserve">ressure </w:t>
      </w:r>
      <w:r w:rsidR="00FE32CC">
        <w:t>b</w:t>
      </w:r>
      <w:r w:rsidRPr="00AE758F">
        <w:t>oundary”</w:t>
      </w:r>
      <w:r w:rsidRPr="00AE758F" w:rsidR="00500C06">
        <w:t>;</w:t>
      </w:r>
      <w:r w:rsidRPr="00AE758F">
        <w:t xml:space="preserve"> and GDC 32, “Inspection of </w:t>
      </w:r>
      <w:r w:rsidR="00FE32CC">
        <w:t>r</w:t>
      </w:r>
      <w:r w:rsidRPr="00AE758F">
        <w:t xml:space="preserve">eactor </w:t>
      </w:r>
      <w:r w:rsidR="00FE32CC">
        <w:t>c</w:t>
      </w:r>
      <w:r w:rsidRPr="00AE758F">
        <w:t xml:space="preserve">oolant </w:t>
      </w:r>
      <w:r w:rsidR="00FE32CC">
        <w:t>p</w:t>
      </w:r>
      <w:r w:rsidRPr="00AE758F">
        <w:t xml:space="preserve">ressure </w:t>
      </w:r>
      <w:r w:rsidR="00FE32CC">
        <w:t>b</w:t>
      </w:r>
      <w:r w:rsidRPr="00AE758F">
        <w:t>oundary.”</w:t>
      </w:r>
    </w:p>
    <w:p w:rsidRPr="00AE758F" w:rsidR="00C8101A" w:rsidP="007936BF" w:rsidRDefault="00C8101A" w14:paraId="1AE44367" w14:textId="77777777">
      <w:pPr>
        <w:spacing w:line="240" w:lineRule="auto"/>
      </w:pPr>
    </w:p>
    <w:p w:rsidRPr="00AE758F" w:rsidR="00C8101A" w:rsidP="007936BF" w:rsidRDefault="00C8101A" w14:paraId="41FA8F40" w14:textId="77777777">
      <w:pPr>
        <w:spacing w:line="240" w:lineRule="auto"/>
      </w:pPr>
      <w:r w:rsidRPr="00AE758F">
        <w:t>GDC 1 requires, in part, the following:</w:t>
      </w:r>
    </w:p>
    <w:p w:rsidRPr="00AE758F" w:rsidR="00C8101A" w:rsidP="007936BF" w:rsidRDefault="00C8101A" w14:paraId="44565301" w14:textId="77777777">
      <w:pPr>
        <w:spacing w:line="240" w:lineRule="auto"/>
      </w:pPr>
    </w:p>
    <w:p w:rsidRPr="00AE758F" w:rsidR="00C8101A" w:rsidP="007936BF" w:rsidRDefault="00C8101A" w14:paraId="3EBB3584" w14:textId="77777777">
      <w:pPr>
        <w:spacing w:line="240" w:lineRule="auto"/>
        <w:ind w:left="720" w:right="720"/>
      </w:pPr>
      <w:r w:rsidRPr="00AE758F">
        <w:t>Structures, systems, and components important to safety shall be designed, fabricated, erected, and tested to quality standards commensurate with the importance of the safety functions to be performed.  Where generally recognized codes and standards are used, they shall be identified and evaluated to determine their applicability, adequacy, and sufficiency and shall be supplemented or modified as necessary to assure a quality product in keeping with the required safety function.</w:t>
      </w:r>
    </w:p>
    <w:p w:rsidRPr="00AE758F" w:rsidR="00C8101A" w:rsidP="007936BF" w:rsidRDefault="00C8101A" w14:paraId="2F00CEDD" w14:textId="77777777">
      <w:pPr>
        <w:spacing w:line="240" w:lineRule="auto"/>
      </w:pPr>
    </w:p>
    <w:p w:rsidRPr="00AE758F" w:rsidR="00C8101A" w:rsidP="007936BF" w:rsidRDefault="00C8101A" w14:paraId="4D0CB9D1" w14:textId="77777777">
      <w:pPr>
        <w:keepNext/>
        <w:spacing w:line="240" w:lineRule="auto"/>
      </w:pPr>
      <w:r w:rsidRPr="00AE758F">
        <w:t>GDC 14 establishes the following:</w:t>
      </w:r>
    </w:p>
    <w:p w:rsidRPr="00AE758F" w:rsidR="00C8101A" w:rsidP="007936BF" w:rsidRDefault="00C8101A" w14:paraId="7C417657" w14:textId="77777777">
      <w:pPr>
        <w:keepNext/>
        <w:spacing w:line="240" w:lineRule="auto"/>
      </w:pPr>
    </w:p>
    <w:p w:rsidRPr="00AE758F" w:rsidR="00C8101A" w:rsidP="007936BF" w:rsidRDefault="00C8101A" w14:paraId="7665EBA0" w14:textId="77777777">
      <w:pPr>
        <w:spacing w:line="240" w:lineRule="auto"/>
        <w:ind w:left="720" w:right="720"/>
      </w:pPr>
      <w:r w:rsidRPr="00AE758F">
        <w:t>The reactor coolant pressure boundary shall be designed, fabricated, erected, and tested so as to have an extremely low probability of abnormal leakage, of rapidly propagating failure, and of gross rupture.</w:t>
      </w:r>
    </w:p>
    <w:p w:rsidRPr="00AE758F" w:rsidR="00C8101A" w:rsidP="007936BF" w:rsidRDefault="00C8101A" w14:paraId="3F0D5B6D" w14:textId="77777777">
      <w:pPr>
        <w:spacing w:line="240" w:lineRule="auto"/>
      </w:pPr>
    </w:p>
    <w:p w:rsidRPr="00AE758F" w:rsidR="00C8101A" w:rsidP="007936BF" w:rsidRDefault="00C8101A" w14:paraId="7E7939A3" w14:textId="77777777">
      <w:pPr>
        <w:spacing w:line="240" w:lineRule="auto"/>
      </w:pPr>
      <w:r w:rsidRPr="00AE758F">
        <w:t>Additionally, GDC 32 establishes the following:</w:t>
      </w:r>
    </w:p>
    <w:p w:rsidRPr="00AE758F" w:rsidR="00C8101A" w:rsidP="007936BF" w:rsidRDefault="00C8101A" w14:paraId="0BA528A4" w14:textId="77777777">
      <w:pPr>
        <w:spacing w:line="240" w:lineRule="auto"/>
      </w:pPr>
    </w:p>
    <w:p w:rsidRPr="00AE758F" w:rsidR="00C8101A" w:rsidP="007936BF" w:rsidRDefault="00C8101A" w14:paraId="5A14C9F5" w14:textId="1FD7C5A3">
      <w:pPr>
        <w:spacing w:line="240" w:lineRule="auto"/>
        <w:ind w:left="720" w:right="720"/>
      </w:pPr>
      <w:r w:rsidRPr="00AE758F">
        <w:t xml:space="preserve">Components which are part of the reactor coolant pressure boundary shall be designed to permit (1) periodic inspection and testing of important areas and features to assess their structural and </w:t>
      </w:r>
      <w:proofErr w:type="spellStart"/>
      <w:r w:rsidRPr="00AE758F">
        <w:t>leaktight</w:t>
      </w:r>
      <w:proofErr w:type="spellEnd"/>
      <w:r w:rsidRPr="00AE758F">
        <w:t xml:space="preserve"> integrity, and (2) an appropriate material surveillance program for the reactor pressure vessel.</w:t>
      </w:r>
    </w:p>
    <w:p w:rsidRPr="00AE758F" w:rsidR="00C8101A" w:rsidP="007936BF" w:rsidRDefault="00C8101A" w14:paraId="6A94A68D" w14:textId="77777777">
      <w:pPr>
        <w:spacing w:line="240" w:lineRule="auto"/>
      </w:pPr>
    </w:p>
    <w:p w:rsidRPr="00AE758F" w:rsidR="00C8101A" w:rsidP="007936BF" w:rsidRDefault="00C8101A" w14:paraId="63C6544D" w14:textId="77777777">
      <w:pPr>
        <w:spacing w:line="240" w:lineRule="auto"/>
      </w:pPr>
      <w:r w:rsidRPr="00AE758F">
        <w:t>The National Technology Transfer and Advancement Act of 1995 (Public Law 104</w:t>
      </w:r>
      <w:r w:rsidRPr="00AE758F">
        <w:noBreakHyphen/>
        <w:t>113, 1995) (NTTAA) mandates the following:</w:t>
      </w:r>
    </w:p>
    <w:p w:rsidRPr="00AE758F" w:rsidR="00C8101A" w:rsidP="007936BF" w:rsidRDefault="00C8101A" w14:paraId="4A9CE916" w14:textId="77777777">
      <w:pPr>
        <w:spacing w:line="240" w:lineRule="auto"/>
      </w:pPr>
    </w:p>
    <w:p w:rsidRPr="00AE758F" w:rsidR="00C8101A" w:rsidP="007936BF" w:rsidRDefault="00C8101A" w14:paraId="00A6C60A" w14:textId="77777777">
      <w:pPr>
        <w:spacing w:line="240" w:lineRule="auto"/>
        <w:ind w:left="720" w:right="720"/>
      </w:pPr>
      <w:r w:rsidRPr="00AE758F">
        <w:t>All Federal agencies and departments shall use technical standards that are developed or adopted by voluntary consensus standards bodies, using such technical standards as a means to carry out policy objectives or activities determined by the agencies and departments.</w:t>
      </w:r>
    </w:p>
    <w:p w:rsidRPr="00AE758F" w:rsidR="00C8101A" w:rsidP="007936BF" w:rsidRDefault="00C8101A" w14:paraId="19082755" w14:textId="77777777">
      <w:pPr>
        <w:spacing w:line="240" w:lineRule="auto"/>
      </w:pPr>
    </w:p>
    <w:p w:rsidRPr="00AE758F" w:rsidR="00C8101A" w:rsidP="007936BF" w:rsidRDefault="000E38E9" w14:paraId="68D9961C" w14:textId="6071B1A7">
      <w:pPr>
        <w:spacing w:line="240" w:lineRule="auto"/>
      </w:pPr>
      <w:r>
        <w:lastRenderedPageBreak/>
        <w:t>The NTTAA further states that i</w:t>
      </w:r>
      <w:r w:rsidRPr="00AE758F" w:rsidR="00C8101A">
        <w:t xml:space="preserve">n carrying out this legislation, Federal agencies are to consult with voluntary consensus standards bodies and participate with such bodies in developing technical standards when such participation is in the public interest and compatible with the agency mission, priorities, and budget resources.  If the technical standards are inconsistent with applicable law or otherwise impractical, a Federal agency may </w:t>
      </w:r>
      <w:r w:rsidRPr="00AE758F" w:rsidR="00EC54B2">
        <w:t xml:space="preserve">choose </w:t>
      </w:r>
      <w:r w:rsidRPr="00AE758F" w:rsidR="00C8101A">
        <w:t>to use technical standards not developed or adopted by voluntary consensus bodies.</w:t>
      </w:r>
    </w:p>
    <w:p w:rsidRPr="00AE758F" w:rsidR="00C8101A" w:rsidP="007936BF" w:rsidRDefault="00C8101A" w14:paraId="7E609848" w14:textId="77777777">
      <w:pPr>
        <w:spacing w:line="240" w:lineRule="auto"/>
      </w:pPr>
    </w:p>
    <w:p w:rsidRPr="00AE758F" w:rsidR="00C8101A" w:rsidP="007936BF" w:rsidRDefault="00C8101A" w14:paraId="5ABEFE16" w14:textId="42655F03">
      <w:pPr>
        <w:spacing w:line="240" w:lineRule="auto"/>
      </w:pPr>
      <w:r w:rsidRPr="00AE758F">
        <w:t xml:space="preserve">Since 1971, </w:t>
      </w:r>
      <w:r w:rsidR="004773C9">
        <w:t xml:space="preserve">the </w:t>
      </w:r>
      <w:r w:rsidRPr="00AE758F">
        <w:t xml:space="preserve">provisions of the ASME BPV Code have been one part of the framework to establish the necessary design, fabrication, construction, testing, and performance requirements for structures, systems, and components important to safety.  Various technical interests (e.g., utility, manufacturing, insurance, regulatory) are represented on the ASME standards committees that develop, among other things, improved methods for the construction and ISI of nuclear power plant components categorized as ASME Class 1, 2, and 3; metal containment; and concrete containment.  </w:t>
      </w:r>
      <w:r w:rsidR="004773C9">
        <w:t>The involvement of t</w:t>
      </w:r>
      <w:r w:rsidRPr="00AE758F">
        <w:t xml:space="preserve">his broad spectrum of stakeholders helps to ensure that </w:t>
      </w:r>
      <w:r w:rsidR="0076267D">
        <w:t xml:space="preserve">a wide range of </w:t>
      </w:r>
      <w:r w:rsidRPr="00AE758F">
        <w:t>interests are considered.</w:t>
      </w:r>
    </w:p>
    <w:p w:rsidRPr="00AE758F" w:rsidR="00C8101A" w:rsidP="007936BF" w:rsidRDefault="00C8101A" w14:paraId="6C267C9D" w14:textId="77777777">
      <w:pPr>
        <w:spacing w:line="240" w:lineRule="auto"/>
      </w:pPr>
    </w:p>
    <w:p w:rsidRPr="00AE758F" w:rsidR="00C8101A" w:rsidP="007936BF" w:rsidRDefault="00C8101A" w14:paraId="1B877F16" w14:textId="343AF47D">
      <w:pPr>
        <w:spacing w:line="240" w:lineRule="auto"/>
      </w:pPr>
      <w:r w:rsidRPr="00AE758F">
        <w:t xml:space="preserve">A directive from the ASME Board on Nuclear Codes and Standards transferred responsibility for </w:t>
      </w:r>
      <w:r w:rsidR="00D314FD">
        <w:t xml:space="preserve">developing and maintaining </w:t>
      </w:r>
      <w:r w:rsidRPr="00AE758F">
        <w:t xml:space="preserve">rules for the IST of pumps and valves from the ASME Section XI Subcommittee on Nuclear Inservice Inspection to the ASME Committee on Operation and Maintenance of Nuclear Power Plants (ASME OM Committee); this led to the development of the OM Code.  In 1990, ASME published the initial edition of the OM Code, which provides rules for IST of pumps and valves.  The ASME OM Committee continues to maintain the OM Code.  ASME intended the OM Code </w:t>
      </w:r>
      <w:r w:rsidR="002809A5">
        <w:t xml:space="preserve">to </w:t>
      </w:r>
      <w:r w:rsidRPr="00AE758F">
        <w:t xml:space="preserve">replace the </w:t>
      </w:r>
      <w:r w:rsidR="00ED5E42">
        <w:t xml:space="preserve">rules in </w:t>
      </w:r>
      <w:r w:rsidRPr="00AE758F">
        <w:t xml:space="preserve">ASME BPV </w:t>
      </w:r>
      <w:r w:rsidR="0077597C">
        <w:t xml:space="preserve">Code </w:t>
      </w:r>
      <w:r w:rsidRPr="00AE758F">
        <w:t>Section XI for IST of pumps and valves.  The ASME Section XI Committee no longer updates the Section XI rules for IST of pumps and valves, which were previously incorporated by reference into NRC regulations.</w:t>
      </w:r>
    </w:p>
    <w:p w:rsidRPr="00AE758F" w:rsidR="00C8101A" w:rsidP="007936BF" w:rsidRDefault="00C8101A" w14:paraId="38231FC5" w14:textId="77777777">
      <w:pPr>
        <w:spacing w:line="240" w:lineRule="auto"/>
      </w:pPr>
    </w:p>
    <w:p w:rsidRPr="00AE758F" w:rsidR="00C8101A" w:rsidP="007936BF" w:rsidRDefault="00C8101A" w14:paraId="3686ABEC" w14:textId="02471772">
      <w:pPr>
        <w:spacing w:line="240" w:lineRule="auto"/>
      </w:pPr>
      <w:r w:rsidRPr="00AE758F">
        <w:t xml:space="preserve">In 10 CFR 50.55a, the NRC requires that nuclear power plant owners construct Class 1, 2, and 3 components in accordance with </w:t>
      </w:r>
      <w:r w:rsidRPr="00AE758F" w:rsidR="00AA5302">
        <w:t xml:space="preserve">the ASME BPV Code, </w:t>
      </w:r>
      <w:r w:rsidRPr="00AE758F">
        <w:t xml:space="preserve">Section III, Division 1.  Regulations in 10 CFR 50.55a also require that owners perform ISI of Class 1, </w:t>
      </w:r>
      <w:r w:rsidR="00297744">
        <w:t>Class </w:t>
      </w:r>
      <w:r w:rsidRPr="00AE758F">
        <w:t xml:space="preserve">2, </w:t>
      </w:r>
      <w:r w:rsidR="00297744">
        <w:t>Class </w:t>
      </w:r>
      <w:r w:rsidRPr="00AE758F">
        <w:t xml:space="preserve">3, </w:t>
      </w:r>
      <w:r w:rsidRPr="00AE758F" w:rsidR="00BA0E73">
        <w:t>metal containment</w:t>
      </w:r>
      <w:r w:rsidRPr="00AE758F">
        <w:t>, and</w:t>
      </w:r>
      <w:r w:rsidRPr="00AE758F" w:rsidR="00BA0E73">
        <w:t xml:space="preserve"> concrete containment</w:t>
      </w:r>
      <w:r w:rsidRPr="00AE758F">
        <w:t xml:space="preserve"> components in accordance with </w:t>
      </w:r>
      <w:r w:rsidRPr="00AE758F" w:rsidR="00AA5302">
        <w:t xml:space="preserve">ASME BPV Code, </w:t>
      </w:r>
      <w:r w:rsidRPr="00AE758F">
        <w:t>Section XI, Division 1, and that they perform IST of safety</w:t>
      </w:r>
      <w:r w:rsidRPr="00AE758F">
        <w:noBreakHyphen/>
        <w:t>related pumps and valves</w:t>
      </w:r>
      <w:r w:rsidR="00814E76">
        <w:t xml:space="preserve"> </w:t>
      </w:r>
      <w:r w:rsidR="00F169A1">
        <w:t>within the scope of the ASME OM Code</w:t>
      </w:r>
      <w:r w:rsidRPr="00AE758F">
        <w:t xml:space="preserve"> in accordance with the </w:t>
      </w:r>
      <w:r w:rsidRPr="00AE758F" w:rsidR="00F44C90">
        <w:t xml:space="preserve">ASME </w:t>
      </w:r>
      <w:r w:rsidRPr="00AE758F">
        <w:t>OM Code.  ASME develops Code Cases to gain experience with new technology before incorporating it into the ASME Code</w:t>
      </w:r>
      <w:r w:rsidRPr="00AE758F" w:rsidR="006C668A">
        <w:t>s</w:t>
      </w:r>
      <w:r w:rsidRPr="00AE758F">
        <w:t>; permit licensees to use advances in ISI and IST; offer alternative examinations for older plants; respond expeditiously to user needs; and provide a limited, clearly focused alternative to specific ASME Code provisions.</w:t>
      </w:r>
    </w:p>
    <w:p w:rsidRPr="00AE758F" w:rsidR="00C8101A" w:rsidP="007936BF" w:rsidRDefault="00C8101A" w14:paraId="677E5107" w14:textId="19CD0B34">
      <w:pPr>
        <w:spacing w:line="240" w:lineRule="auto"/>
      </w:pPr>
    </w:p>
    <w:p w:rsidRPr="00AE758F" w:rsidR="00C8101A" w:rsidP="00382B4A" w:rsidRDefault="00C8101A" w14:paraId="73F760A4" w14:textId="77777777">
      <w:pPr>
        <w:pStyle w:val="Heading2"/>
        <w:spacing w:line="240" w:lineRule="auto"/>
        <w:ind w:left="450" w:hanging="450"/>
      </w:pPr>
      <w:bookmarkStart w:name="_Toc456098208" w:id="56"/>
      <w:bookmarkStart w:name="_Toc457827221" w:id="57"/>
      <w:bookmarkStart w:name="_Toc521577043" w:id="58"/>
      <w:bookmarkStart w:name="_Toc7512230" w:id="59"/>
      <w:bookmarkStart w:name="_Toc81309100" w:id="60"/>
      <w:r w:rsidRPr="00AE758F">
        <w:t>2.2</w:t>
      </w:r>
      <w:r w:rsidRPr="00AE758F">
        <w:tab/>
        <w:t>Statement of the Problem</w:t>
      </w:r>
      <w:bookmarkEnd w:id="56"/>
      <w:bookmarkEnd w:id="57"/>
      <w:bookmarkEnd w:id="58"/>
      <w:bookmarkEnd w:id="59"/>
      <w:bookmarkEnd w:id="60"/>
    </w:p>
    <w:p w:rsidRPr="00AE758F" w:rsidR="00C8101A" w:rsidP="007936BF" w:rsidRDefault="00C8101A" w14:paraId="74437161" w14:textId="77777777">
      <w:pPr>
        <w:keepNext/>
        <w:spacing w:line="240" w:lineRule="auto"/>
      </w:pPr>
    </w:p>
    <w:p w:rsidRPr="00AE758F" w:rsidR="00C8101A" w:rsidP="007936BF" w:rsidRDefault="00C8101A" w14:paraId="208A01C8" w14:textId="766A87E6">
      <w:pPr>
        <w:spacing w:line="240" w:lineRule="auto"/>
      </w:pPr>
      <w:r w:rsidRPr="00AE758F">
        <w:t>In this regulatory action, the NRC is conditioning the use of the 201</w:t>
      </w:r>
      <w:r w:rsidRPr="00AE758F" w:rsidR="00002C01">
        <w:t>9</w:t>
      </w:r>
      <w:r w:rsidRPr="00AE758F">
        <w:t xml:space="preserve"> Edition of the ASME BPV Code, </w:t>
      </w:r>
      <w:r w:rsidRPr="00AE758F" w:rsidR="00C53273">
        <w:t>Section</w:t>
      </w:r>
      <w:r w:rsidRPr="00AE758F" w:rsidR="0001096C">
        <w:t> </w:t>
      </w:r>
      <w:r w:rsidRPr="00AE758F" w:rsidR="00C53273">
        <w:t>III, Division</w:t>
      </w:r>
      <w:r w:rsidRPr="00AE758F" w:rsidR="0001096C">
        <w:t> </w:t>
      </w:r>
      <w:r w:rsidRPr="00AE758F" w:rsidR="00C53273">
        <w:t>1</w:t>
      </w:r>
      <w:r w:rsidRPr="00AE758F" w:rsidR="0001096C">
        <w:t>,</w:t>
      </w:r>
      <w:r w:rsidRPr="00AE758F" w:rsidR="00C53273">
        <w:t xml:space="preserve"> and Section</w:t>
      </w:r>
      <w:r w:rsidRPr="00AE758F" w:rsidR="0001096C">
        <w:t> </w:t>
      </w:r>
      <w:r w:rsidRPr="00AE758F" w:rsidR="00C53273">
        <w:t>XI, Division</w:t>
      </w:r>
      <w:r w:rsidRPr="00AE758F" w:rsidR="0001096C">
        <w:t> </w:t>
      </w:r>
      <w:r w:rsidRPr="00AE758F" w:rsidR="00C53273">
        <w:t>1</w:t>
      </w:r>
      <w:r w:rsidRPr="00AE758F" w:rsidR="0003558B">
        <w:t>.</w:t>
      </w:r>
      <w:r w:rsidRPr="00AE758F" w:rsidR="0048772C">
        <w:t xml:space="preserve">  </w:t>
      </w:r>
      <w:r w:rsidRPr="00AE758F">
        <w:t>If the NRC did not conditionally accept ASME Code editions (or addenda and Code Cases)</w:t>
      </w:r>
      <w:r w:rsidRPr="00AE758F" w:rsidR="0001096C">
        <w:t>,</w:t>
      </w:r>
      <w:r w:rsidRPr="00AE758F">
        <w:t xml:space="preserve"> the NRC would disapprove these provisions entirely.  One outcome of this action might be that licensees and applicants would submit a petition for rulemaking</w:t>
      </w:r>
      <w:r w:rsidRPr="00AE758F" w:rsidR="0001096C">
        <w:t>,</w:t>
      </w:r>
      <w:r w:rsidRPr="00AE758F">
        <w:t xml:space="preserve"> requesting the NRC to incorporate by reference the full scope of the ASME Code editions and addenda that would otherwise be approved th</w:t>
      </w:r>
      <w:r w:rsidRPr="00AE758F" w:rsidR="008659D0">
        <w:t>rough rulemaking</w:t>
      </w:r>
      <w:r w:rsidRPr="00AE758F">
        <w:t xml:space="preserve"> (i.e., the request would not be simply for approval of a specific ASME Code provision with conditions).  Alternatively, licensees and applicants </w:t>
      </w:r>
      <w:r w:rsidR="00DC683D">
        <w:t xml:space="preserve">might </w:t>
      </w:r>
      <w:r w:rsidRPr="00AE758F">
        <w:t xml:space="preserve">submit </w:t>
      </w:r>
      <w:r w:rsidR="00DC683D">
        <w:t xml:space="preserve">more </w:t>
      </w:r>
      <w:r w:rsidRPr="00AE758F">
        <w:t xml:space="preserve">requests for the use of alternatives under 10 CFR 50.55a(z) or for exemptions under 10 CFR 50.12 or 10 CFR 52.7, both titled “Specific </w:t>
      </w:r>
      <w:r w:rsidRPr="00AE758F" w:rsidR="00817D11">
        <w:t>e</w:t>
      </w:r>
      <w:r w:rsidRPr="00AE758F">
        <w:t xml:space="preserve">xemptions.”  These </w:t>
      </w:r>
      <w:r w:rsidR="00343099">
        <w:t>alternative</w:t>
      </w:r>
      <w:r w:rsidR="00B809B6">
        <w:t xml:space="preserve"> or exemption</w:t>
      </w:r>
      <w:r w:rsidRPr="00AE758F" w:rsidR="00343099">
        <w:t xml:space="preserve"> </w:t>
      </w:r>
      <w:r w:rsidRPr="00AE758F">
        <w:t xml:space="preserve">requests </w:t>
      </w:r>
      <w:r w:rsidR="00C445E8">
        <w:t xml:space="preserve">might </w:t>
      </w:r>
      <w:r w:rsidRPr="00AE758F">
        <w:t>also include similar broad</w:t>
      </w:r>
      <w:r w:rsidR="00C445E8">
        <w:t xml:space="preserve"> </w:t>
      </w:r>
      <w:r w:rsidRPr="00AE758F">
        <w:t xml:space="preserve">requests for approval to </w:t>
      </w:r>
      <w:r w:rsidR="00B809B6">
        <w:t>use</w:t>
      </w:r>
      <w:r w:rsidRPr="00AE758F" w:rsidR="00B809B6">
        <w:t xml:space="preserve"> </w:t>
      </w:r>
      <w:r w:rsidRPr="00AE758F">
        <w:t xml:space="preserve">the full scope of the ASME Code editions and </w:t>
      </w:r>
      <w:r w:rsidRPr="00AE758F">
        <w:lastRenderedPageBreak/>
        <w:t>addenda.  These requests would pose an</w:t>
      </w:r>
      <w:r w:rsidR="006C327E">
        <w:t> </w:t>
      </w:r>
      <w:r w:rsidRPr="00AE758F">
        <w:t xml:space="preserve">unnecessary additional </w:t>
      </w:r>
      <w:r w:rsidR="004B4E2F">
        <w:t>cost</w:t>
      </w:r>
      <w:r w:rsidRPr="00AE758F">
        <w:t xml:space="preserve"> </w:t>
      </w:r>
      <w:r w:rsidR="00C445E8">
        <w:t xml:space="preserve">to </w:t>
      </w:r>
      <w:r w:rsidRPr="00AE758F">
        <w:t>both the licensee</w:t>
      </w:r>
      <w:r w:rsidR="004A07C6">
        <w:t>s or applicants</w:t>
      </w:r>
      <w:r w:rsidRPr="00AE758F">
        <w:t xml:space="preserve"> and the NRC, </w:t>
      </w:r>
      <w:r w:rsidR="00184E2A">
        <w:t>because</w:t>
      </w:r>
      <w:r w:rsidR="00C445E8">
        <w:t xml:space="preserve"> </w:t>
      </w:r>
      <w:r w:rsidRPr="00AE758F">
        <w:t>the NRC has already determined that the ASME Codes and Code Cases that are the subject of this regulatory action are acceptable for use (in some cases with conditions).</w:t>
      </w:r>
    </w:p>
    <w:p w:rsidRPr="00AE758F" w:rsidR="00C8101A" w:rsidP="00184E2A" w:rsidRDefault="00C8101A" w14:paraId="7FEF8F77" w14:textId="77777777">
      <w:pPr>
        <w:pStyle w:val="Heading2"/>
        <w:spacing w:before="220" w:line="240" w:lineRule="auto"/>
        <w:ind w:left="446" w:hanging="446"/>
        <w:rPr>
          <w:b/>
        </w:rPr>
      </w:pPr>
      <w:bookmarkStart w:name="_Toc456098209" w:id="61"/>
      <w:bookmarkStart w:name="_Toc457827222" w:id="62"/>
      <w:bookmarkStart w:name="_Toc521577044" w:id="63"/>
      <w:bookmarkStart w:name="_Toc7512231" w:id="64"/>
      <w:bookmarkStart w:name="_Toc81309101" w:id="65"/>
      <w:r w:rsidRPr="00AE758F">
        <w:t>2.3</w:t>
      </w:r>
      <w:r w:rsidRPr="00AE758F">
        <w:tab/>
        <w:t>Objective</w:t>
      </w:r>
      <w:bookmarkEnd w:id="61"/>
      <w:bookmarkEnd w:id="62"/>
      <w:bookmarkEnd w:id="63"/>
      <w:bookmarkEnd w:id="64"/>
      <w:bookmarkEnd w:id="65"/>
    </w:p>
    <w:p w:rsidRPr="00AE758F" w:rsidR="00C8101A" w:rsidP="00184E2A" w:rsidRDefault="00C8101A" w14:paraId="245FBFE5" w14:textId="77777777">
      <w:pPr>
        <w:keepNext/>
        <w:spacing w:line="240" w:lineRule="auto"/>
      </w:pPr>
    </w:p>
    <w:p w:rsidRPr="00AE758F" w:rsidR="00C8101A" w:rsidP="00184E2A" w:rsidRDefault="00C8101A" w14:paraId="08516AD1" w14:textId="4FB8D546">
      <w:pPr>
        <w:keepNext/>
        <w:spacing w:line="240" w:lineRule="auto"/>
      </w:pPr>
      <w:r w:rsidRPr="00AE758F">
        <w:t>The objective of this regulatory action is to incorporate by reference the 201</w:t>
      </w:r>
      <w:r w:rsidRPr="00AE758F" w:rsidR="00374908">
        <w:t>9</w:t>
      </w:r>
      <w:r w:rsidRPr="00AE758F">
        <w:t> Edition of the</w:t>
      </w:r>
      <w:r w:rsidR="00872042">
        <w:t xml:space="preserve"> </w:t>
      </w:r>
      <w:r w:rsidRPr="00AE758F">
        <w:t>ASME BPV Code, Section III, Division 1, and Section XI, Division 1, with conditions</w:t>
      </w:r>
      <w:r w:rsidRPr="00AE758F" w:rsidR="00FB6E4B">
        <w:t>;</w:t>
      </w:r>
      <w:r w:rsidRPr="00AE758F" w:rsidR="00374908">
        <w:t xml:space="preserve"> </w:t>
      </w:r>
      <w:r w:rsidRPr="00AE758F">
        <w:t>the 20</w:t>
      </w:r>
      <w:r w:rsidRPr="00AE758F" w:rsidR="00374908">
        <w:t>20</w:t>
      </w:r>
      <w:r w:rsidRPr="00AE758F">
        <w:t> Edition of</w:t>
      </w:r>
      <w:r w:rsidRPr="00AE758F" w:rsidR="000B2FD1">
        <w:t xml:space="preserve"> Division 1 of</w:t>
      </w:r>
      <w:r w:rsidRPr="00AE758F">
        <w:rPr>
          <w:iCs/>
        </w:rPr>
        <w:t xml:space="preserve"> the</w:t>
      </w:r>
      <w:r w:rsidRPr="00AE758F">
        <w:t xml:space="preserve"> ASME </w:t>
      </w:r>
      <w:r w:rsidRPr="00AE758F">
        <w:rPr>
          <w:iCs/>
        </w:rPr>
        <w:t>OM Code, with conditions</w:t>
      </w:r>
      <w:r w:rsidRPr="00AE758F" w:rsidR="000E077E">
        <w:rPr>
          <w:iCs/>
        </w:rPr>
        <w:t>;</w:t>
      </w:r>
      <w:r w:rsidRPr="00AE758F" w:rsidR="00374908">
        <w:t xml:space="preserve"> ASME NQA</w:t>
      </w:r>
      <w:r w:rsidRPr="00AE758F" w:rsidR="000E077E">
        <w:noBreakHyphen/>
      </w:r>
      <w:r w:rsidRPr="00AE758F" w:rsidR="00374908">
        <w:t>1b-2011</w:t>
      </w:r>
      <w:r w:rsidRPr="00AE758F" w:rsidR="00F5665A">
        <w:t>, with</w:t>
      </w:r>
      <w:r w:rsidRPr="00AE758F" w:rsidR="00F5665A">
        <w:t xml:space="preserve"> conditions</w:t>
      </w:r>
      <w:r w:rsidRPr="00AE758F" w:rsidR="000E077E">
        <w:t>;</w:t>
      </w:r>
      <w:r w:rsidRPr="00AE758F" w:rsidR="00374908">
        <w:t xml:space="preserve"> and the 2012 and 2015 Editions of ASME NQA</w:t>
      </w:r>
      <w:r w:rsidRPr="00AE758F" w:rsidR="00422127">
        <w:noBreakHyphen/>
      </w:r>
      <w:r w:rsidRPr="00AE758F" w:rsidR="00374908">
        <w:t>1, with conditions.</w:t>
      </w:r>
    </w:p>
    <w:p w:rsidRPr="00AE758F" w:rsidR="00C8101A" w:rsidP="00977776" w:rsidRDefault="00C8101A" w14:paraId="3E6A908B" w14:textId="77777777">
      <w:pPr>
        <w:pStyle w:val="Heading1"/>
        <w:numPr>
          <w:ilvl w:val="0"/>
          <w:numId w:val="10"/>
        </w:numPr>
        <w:spacing w:line="240" w:lineRule="auto"/>
        <w:ind w:left="270" w:hanging="270"/>
        <w:rPr>
          <w:szCs w:val="22"/>
        </w:rPr>
      </w:pPr>
      <w:bookmarkStart w:name="_Toc42676396" w:id="67"/>
      <w:bookmarkStart w:name="_Toc456098210" w:id="68"/>
      <w:bookmarkStart w:name="_Toc457827223" w:id="69"/>
      <w:bookmarkStart w:name="_Ref511721298" w:id="70"/>
      <w:bookmarkStart w:name="_Toc521577045" w:id="71"/>
      <w:bookmarkStart w:name="_Toc7512232" w:id="72"/>
      <w:bookmarkStart w:name="_Toc81309102" w:id="73"/>
      <w:bookmarkEnd w:id="67"/>
      <w:r w:rsidRPr="00AE758F">
        <w:rPr>
          <w:szCs w:val="22"/>
        </w:rPr>
        <w:t>Identification and Preliminary Analysis of Alternative Approaches</w:t>
      </w:r>
      <w:bookmarkEnd w:id="68"/>
      <w:bookmarkEnd w:id="69"/>
      <w:bookmarkEnd w:id="70"/>
      <w:bookmarkEnd w:id="71"/>
      <w:bookmarkEnd w:id="72"/>
      <w:bookmarkEnd w:id="73"/>
    </w:p>
    <w:p w:rsidRPr="00AE758F" w:rsidR="00C8101A" w:rsidP="007936BF" w:rsidRDefault="00C8101A" w14:paraId="19380275" w14:textId="77777777">
      <w:pPr>
        <w:keepNext/>
        <w:spacing w:line="240" w:lineRule="auto"/>
      </w:pPr>
    </w:p>
    <w:p w:rsidRPr="00AE758F" w:rsidR="008A12EC" w:rsidP="007936BF" w:rsidRDefault="00C8101A" w14:paraId="0DBF48BB" w14:textId="182F4747">
      <w:pPr>
        <w:spacing w:line="240" w:lineRule="auto"/>
      </w:pPr>
      <w:r w:rsidRPr="00AE758F">
        <w:t xml:space="preserve">This section analyzes the alternatives that the NRC considered for conditioning the use of certain provisions of the ASME Codes.  The </w:t>
      </w:r>
      <w:r w:rsidRPr="00AE758F" w:rsidR="00C14057">
        <w:t>NRC</w:t>
      </w:r>
      <w:r w:rsidRPr="00AE758F">
        <w:t xml:space="preserve"> identified two alternatives</w:t>
      </w:r>
      <w:r w:rsidRPr="00AE758F" w:rsidR="00374908">
        <w:t>:</w:t>
      </w:r>
    </w:p>
    <w:p w:rsidRPr="00AE758F" w:rsidR="008A12EC" w:rsidP="007936BF" w:rsidRDefault="008A12EC" w14:paraId="4C38FF78" w14:textId="41AD8459">
      <w:pPr>
        <w:spacing w:line="240" w:lineRule="auto"/>
      </w:pPr>
    </w:p>
    <w:p w:rsidRPr="00AE758F" w:rsidR="008A12EC" w:rsidP="00977776" w:rsidRDefault="00C8101A" w14:paraId="5C8FC5AA" w14:textId="78932999">
      <w:pPr>
        <w:pStyle w:val="ListParagraph"/>
        <w:numPr>
          <w:ilvl w:val="0"/>
          <w:numId w:val="17"/>
        </w:numPr>
        <w:spacing w:line="240" w:lineRule="auto"/>
        <w:ind w:hanging="720"/>
      </w:pPr>
      <w:r w:rsidRPr="00AE758F">
        <w:t>the no</w:t>
      </w:r>
      <w:r w:rsidR="007B17D4">
        <w:t xml:space="preserve"> </w:t>
      </w:r>
      <w:r w:rsidRPr="00AE758F">
        <w:t>action alternative (i.e., regulatory baseline)</w:t>
      </w:r>
    </w:p>
    <w:p w:rsidRPr="00AE758F" w:rsidR="008A12EC" w:rsidP="00382B4A" w:rsidRDefault="008A12EC" w14:paraId="574CC10E" w14:textId="0B2997F2">
      <w:pPr>
        <w:pStyle w:val="ListParagraph"/>
        <w:spacing w:line="240" w:lineRule="auto"/>
        <w:ind w:hanging="720"/>
      </w:pPr>
    </w:p>
    <w:p w:rsidRPr="00AE758F" w:rsidR="00C8101A" w:rsidP="00977776" w:rsidRDefault="00C8101A" w14:paraId="14C313CE" w14:textId="7A0B1155">
      <w:pPr>
        <w:pStyle w:val="ListParagraph"/>
        <w:numPr>
          <w:ilvl w:val="0"/>
          <w:numId w:val="17"/>
        </w:numPr>
        <w:spacing w:line="240" w:lineRule="auto"/>
        <w:ind w:hanging="720"/>
      </w:pPr>
      <w:r w:rsidRPr="00AE758F">
        <w:t xml:space="preserve">IBR of the </w:t>
      </w:r>
      <w:r w:rsidRPr="00AE758F" w:rsidR="00CB0240">
        <w:t>2019</w:t>
      </w:r>
      <w:r w:rsidRPr="00AE758F" w:rsidR="00657F08">
        <w:t> </w:t>
      </w:r>
      <w:r w:rsidRPr="00AE758F" w:rsidR="00CB0240">
        <w:t xml:space="preserve">Edition </w:t>
      </w:r>
      <w:r w:rsidRPr="00AE758F" w:rsidR="00657F08">
        <w:t xml:space="preserve">of </w:t>
      </w:r>
      <w:r w:rsidRPr="00AE758F" w:rsidR="00CB0240">
        <w:t>the ASME BPV Code, Section</w:t>
      </w:r>
      <w:r w:rsidRPr="00AE758F" w:rsidR="00657F08">
        <w:t> </w:t>
      </w:r>
      <w:r w:rsidRPr="00AE758F" w:rsidR="00CB0240">
        <w:t>III, Division</w:t>
      </w:r>
      <w:r w:rsidRPr="00AE758F" w:rsidR="00657F08">
        <w:t> </w:t>
      </w:r>
      <w:r w:rsidRPr="00AE758F" w:rsidR="00CB0240">
        <w:t>1</w:t>
      </w:r>
      <w:r w:rsidRPr="00AE758F" w:rsidR="00657F08">
        <w:t>,</w:t>
      </w:r>
      <w:r w:rsidRPr="00AE758F" w:rsidR="00CB0240">
        <w:t xml:space="preserve"> and Section</w:t>
      </w:r>
      <w:r w:rsidRPr="00AE758F" w:rsidR="00657F08">
        <w:t> </w:t>
      </w:r>
      <w:r w:rsidRPr="00AE758F" w:rsidR="00CB0240">
        <w:t>XI, Division</w:t>
      </w:r>
      <w:r w:rsidRPr="00AE758F" w:rsidR="00657F08">
        <w:t> </w:t>
      </w:r>
      <w:r w:rsidRPr="00AE758F" w:rsidR="00CB0240">
        <w:t>1, with conditions</w:t>
      </w:r>
      <w:r w:rsidRPr="00AE758F" w:rsidR="00657F08">
        <w:t>;</w:t>
      </w:r>
      <w:r w:rsidRPr="00AE758F" w:rsidR="00CB0240">
        <w:t xml:space="preserve"> </w:t>
      </w:r>
      <w:r w:rsidRPr="00AE758F" w:rsidR="006F26BC">
        <w:t xml:space="preserve">IBR of the </w:t>
      </w:r>
      <w:r w:rsidRPr="00AE758F" w:rsidR="00CB0240">
        <w:t>2020</w:t>
      </w:r>
      <w:r w:rsidRPr="00AE758F" w:rsidR="00657F08">
        <w:t> </w:t>
      </w:r>
      <w:r w:rsidRPr="00AE758F" w:rsidR="00CB0240">
        <w:t xml:space="preserve">Edition </w:t>
      </w:r>
      <w:r w:rsidRPr="00AE758F" w:rsidR="00657F08">
        <w:t xml:space="preserve">of </w:t>
      </w:r>
      <w:r w:rsidRPr="00AE758F" w:rsidR="00CB0240">
        <w:t>Division</w:t>
      </w:r>
      <w:r w:rsidRPr="00AE758F" w:rsidR="00657F08">
        <w:t> </w:t>
      </w:r>
      <w:r w:rsidRPr="00AE758F" w:rsidR="00CB0240">
        <w:t>1 of the ASME OM Code, with conditions</w:t>
      </w:r>
      <w:r w:rsidRPr="00AE758F" w:rsidR="00657F08">
        <w:t>;</w:t>
      </w:r>
      <w:r w:rsidRPr="00AE758F" w:rsidR="00CB0240">
        <w:rPr>
          <w:rFonts w:eastAsia="Times New Roman" w:cs="Times New Roman"/>
          <w:color w:val="auto"/>
          <w:sz w:val="24"/>
          <w:szCs w:val="24"/>
        </w:rPr>
        <w:t xml:space="preserve"> </w:t>
      </w:r>
      <w:r w:rsidRPr="002001DF" w:rsidR="002001DF">
        <w:rPr>
          <w:rFonts w:eastAsia="Times New Roman" w:cs="Times New Roman"/>
          <w:color w:val="auto"/>
        </w:rPr>
        <w:t xml:space="preserve">IBR of the </w:t>
      </w:r>
      <w:r w:rsidRPr="002001DF" w:rsidR="002001DF">
        <w:t>ASME OM Code Case OMN-28</w:t>
      </w:r>
      <w:r w:rsidR="002001DF">
        <w:t>, without conditions;</w:t>
      </w:r>
      <w:r w:rsidRPr="00290ADF" w:rsidR="002001DF">
        <w:rPr>
          <w:rFonts w:eastAsia="Times New Roman" w:cs="Times New Roman"/>
          <w:color w:val="auto"/>
        </w:rPr>
        <w:t xml:space="preserve"> </w:t>
      </w:r>
      <w:r w:rsidRPr="00290ADF" w:rsidR="006F26BC">
        <w:rPr>
          <w:rFonts w:eastAsia="Times New Roman" w:cs="Times New Roman"/>
          <w:color w:val="auto"/>
        </w:rPr>
        <w:t>IBR of</w:t>
      </w:r>
      <w:r w:rsidRPr="00AE758F" w:rsidR="006F26BC">
        <w:rPr>
          <w:rFonts w:eastAsia="Times New Roman" w:cs="Times New Roman"/>
          <w:color w:val="auto"/>
          <w:sz w:val="24"/>
          <w:szCs w:val="24"/>
        </w:rPr>
        <w:t xml:space="preserve"> </w:t>
      </w:r>
      <w:r w:rsidRPr="00AE758F" w:rsidR="00F5665A">
        <w:t>ASME NQA</w:t>
      </w:r>
      <w:r w:rsidRPr="00AE758F" w:rsidR="00F5665A">
        <w:noBreakHyphen/>
        <w:t>1b</w:t>
      </w:r>
      <w:r w:rsidRPr="00AE758F" w:rsidR="00F5665A">
        <w:noBreakHyphen/>
        <w:t xml:space="preserve">2011, </w:t>
      </w:r>
      <w:proofErr w:type="spellStart"/>
      <w:r w:rsidRPr="00AE758F" w:rsidR="00F5665A">
        <w:t>with</w:t>
      </w:r>
      <w:r w:rsidRPr="00AE758F" w:rsidR="00F5665A">
        <w:t>t</w:t>
      </w:r>
      <w:proofErr w:type="spellEnd"/>
      <w:r w:rsidRPr="00AE758F" w:rsidR="00F5665A">
        <w:t xml:space="preserve"> condition</w:t>
      </w:r>
      <w:r w:rsidRPr="00AE758F" w:rsidR="00EE0BF4">
        <w:t>s</w:t>
      </w:r>
      <w:r w:rsidRPr="00AE758F" w:rsidR="00657F08">
        <w:t>;</w:t>
      </w:r>
      <w:r w:rsidRPr="00AE758F" w:rsidR="00374908">
        <w:t xml:space="preserve"> </w:t>
      </w:r>
      <w:r w:rsidRPr="00AE758F" w:rsidR="00CB0240">
        <w:t>a</w:t>
      </w:r>
      <w:r w:rsidRPr="00AE758F" w:rsidR="00374908">
        <w:t xml:space="preserve">nd </w:t>
      </w:r>
      <w:r w:rsidRPr="00AE758F" w:rsidR="006F26BC">
        <w:t xml:space="preserve">IBR of the </w:t>
      </w:r>
      <w:r w:rsidRPr="00AE758F" w:rsidR="00374908">
        <w:t>2012 and 2015 Editions of ASME NQA</w:t>
      </w:r>
      <w:r w:rsidRPr="00AE758F" w:rsidR="00422127">
        <w:noBreakHyphen/>
      </w:r>
      <w:r w:rsidRPr="00AE758F" w:rsidR="00374908">
        <w:t>1, with conditions</w:t>
      </w:r>
    </w:p>
    <w:p w:rsidRPr="00AE758F" w:rsidR="00C8101A" w:rsidP="007936BF" w:rsidRDefault="00C8101A" w14:paraId="1ADB7C63" w14:textId="77777777">
      <w:pPr>
        <w:spacing w:line="240" w:lineRule="auto"/>
      </w:pPr>
    </w:p>
    <w:p w:rsidRPr="00AE758F" w:rsidR="00C8101A" w:rsidP="00382B4A" w:rsidRDefault="00C8101A" w14:paraId="713F9E6E" w14:textId="4019BC96">
      <w:pPr>
        <w:pStyle w:val="Heading2"/>
        <w:spacing w:line="240" w:lineRule="auto"/>
        <w:ind w:left="450" w:hanging="450"/>
        <w:rPr>
          <w:b/>
        </w:rPr>
      </w:pPr>
      <w:bookmarkStart w:name="_Toc456098211" w:id="75"/>
      <w:bookmarkStart w:name="_Toc457827224" w:id="76"/>
      <w:bookmarkStart w:name="_Toc521577046" w:id="77"/>
      <w:bookmarkStart w:name="_Toc7512233" w:id="78"/>
      <w:bookmarkStart w:name="_Toc81309103" w:id="79"/>
      <w:r w:rsidRPr="00AE758F">
        <w:t>3.1</w:t>
      </w:r>
      <w:r w:rsidRPr="00AE758F">
        <w:tab/>
        <w:t>Alternative 1—No</w:t>
      </w:r>
      <w:r w:rsidRPr="00AE758F" w:rsidR="00FF5B60">
        <w:t xml:space="preserve"> </w:t>
      </w:r>
      <w:r w:rsidRPr="00AE758F">
        <w:t>Action</w:t>
      </w:r>
      <w:bookmarkEnd w:id="75"/>
      <w:bookmarkEnd w:id="76"/>
      <w:bookmarkEnd w:id="77"/>
      <w:bookmarkEnd w:id="78"/>
      <w:bookmarkEnd w:id="79"/>
    </w:p>
    <w:p w:rsidRPr="00AE758F" w:rsidR="00C8101A" w:rsidP="007936BF" w:rsidRDefault="00C8101A" w14:paraId="30ADD234" w14:textId="77777777">
      <w:pPr>
        <w:keepNext/>
        <w:keepLines/>
        <w:spacing w:line="240" w:lineRule="auto"/>
      </w:pPr>
    </w:p>
    <w:p w:rsidRPr="00AE758F" w:rsidR="00C8101A" w:rsidP="00C2379B" w:rsidRDefault="00C8101A" w14:paraId="49A797BF" w14:textId="40AFD6AE">
      <w:pPr>
        <w:keepNext/>
        <w:keepLines/>
        <w:spacing w:line="240" w:lineRule="auto"/>
      </w:pPr>
      <w:r w:rsidRPr="00AE758F">
        <w:t>The no</w:t>
      </w:r>
      <w:r w:rsidR="00470A89">
        <w:t xml:space="preserve"> </w:t>
      </w:r>
      <w:r w:rsidRPr="00AE758F">
        <w:t xml:space="preserve">action alternative is a </w:t>
      </w:r>
      <w:proofErr w:type="spellStart"/>
      <w:r w:rsidRPr="00AE758F">
        <w:t>nonrulemaking</w:t>
      </w:r>
      <w:proofErr w:type="spellEnd"/>
      <w:r w:rsidRPr="00AE758F">
        <w:t xml:space="preserve"> alternative.  This alternative would not revise the</w:t>
      </w:r>
      <w:r w:rsidR="006C327E">
        <w:t> </w:t>
      </w:r>
      <w:r w:rsidRPr="00AE758F">
        <w:t>NRC’s regulations</w:t>
      </w:r>
      <w:bookmarkStart w:name="_Hlk39144728" w:id="80"/>
      <w:r w:rsidRPr="00AE758F" w:rsidR="00C2379B">
        <w:t>.</w:t>
      </w:r>
    </w:p>
    <w:bookmarkEnd w:id="80"/>
    <w:p w:rsidRPr="00AE758F" w:rsidR="005B1143" w:rsidP="007936BF" w:rsidRDefault="005B1143" w14:paraId="25CD4E35" w14:textId="77777777">
      <w:pPr>
        <w:spacing w:line="240" w:lineRule="auto"/>
      </w:pPr>
    </w:p>
    <w:p w:rsidRPr="00AE758F" w:rsidR="00C8101A" w:rsidP="007936BF" w:rsidRDefault="00C8101A" w14:paraId="3D755D84" w14:textId="34CBB40B">
      <w:pPr>
        <w:spacing w:line="240" w:lineRule="auto"/>
      </w:pPr>
      <w:r w:rsidRPr="00AE758F">
        <w:t>The no</w:t>
      </w:r>
      <w:r w:rsidR="00470A89">
        <w:t xml:space="preserve"> </w:t>
      </w:r>
      <w:r w:rsidRPr="00AE758F">
        <w:t xml:space="preserve">action alternative would </w:t>
      </w:r>
      <w:r w:rsidRPr="00AE758F" w:rsidR="00657F08">
        <w:t>require</w:t>
      </w:r>
      <w:r w:rsidRPr="00AE758F">
        <w:t xml:space="preserve"> licensees and applicants that want to use the many provisions of the ASME Code editions </w:t>
      </w:r>
      <w:r w:rsidRPr="00AE758F" w:rsidR="00C2379B">
        <w:t xml:space="preserve">above </w:t>
      </w:r>
      <w:r w:rsidRPr="00AE758F">
        <w:t xml:space="preserve">to request and receive </w:t>
      </w:r>
      <w:r w:rsidRPr="00AE758F" w:rsidR="00657F08">
        <w:t xml:space="preserve">NRC </w:t>
      </w:r>
      <w:r w:rsidRPr="00AE758F">
        <w:t>approval for the use of alternatives under 10 CFR 50.55a(z).</w:t>
      </w:r>
    </w:p>
    <w:p w:rsidRPr="00AE758F" w:rsidR="00675C38" w:rsidP="007936BF" w:rsidRDefault="00675C38" w14:paraId="717013A6" w14:textId="77777777">
      <w:pPr>
        <w:spacing w:line="240" w:lineRule="auto"/>
      </w:pPr>
    </w:p>
    <w:p w:rsidRPr="00AE758F" w:rsidR="00C8101A" w:rsidP="00382B4A" w:rsidRDefault="00C8101A" w14:paraId="1983CADC" w14:textId="1A5E490E">
      <w:pPr>
        <w:pStyle w:val="Heading2"/>
        <w:spacing w:line="240" w:lineRule="auto"/>
        <w:ind w:left="450" w:hanging="450"/>
        <w:rPr>
          <w:b/>
        </w:rPr>
      </w:pPr>
      <w:bookmarkStart w:name="_Toc456098215" w:id="81"/>
      <w:bookmarkStart w:name="_Toc457827228" w:id="82"/>
      <w:bookmarkStart w:name="_Toc521577047" w:id="83"/>
      <w:bookmarkStart w:name="_Toc7512234" w:id="84"/>
      <w:bookmarkStart w:name="_Toc81309104" w:id="85"/>
      <w:r w:rsidRPr="00AE758F">
        <w:t>3.2</w:t>
      </w:r>
      <w:r w:rsidRPr="00AE758F">
        <w:tab/>
        <w:t>Alternative 2—Incorporat</w:t>
      </w:r>
      <w:r w:rsidR="00880E7F">
        <w:t>ion</w:t>
      </w:r>
      <w:r w:rsidRPr="00AE758F">
        <w:t xml:space="preserve"> by Reference </w:t>
      </w:r>
      <w:r w:rsidR="00880E7F">
        <w:t xml:space="preserve">of </w:t>
      </w:r>
      <w:r w:rsidRPr="00AE758F" w:rsidR="00657F08">
        <w:t xml:space="preserve">the </w:t>
      </w:r>
      <w:r w:rsidRPr="00AE758F">
        <w:t xml:space="preserve">ASME </w:t>
      </w:r>
      <w:r w:rsidRPr="00AE758F" w:rsidR="00657F08">
        <w:t>Codes</w:t>
      </w:r>
      <w:r w:rsidRPr="00AE758F">
        <w:t xml:space="preserve"> with Conditions</w:t>
      </w:r>
      <w:bookmarkEnd w:id="81"/>
      <w:bookmarkEnd w:id="82"/>
      <w:bookmarkEnd w:id="83"/>
      <w:bookmarkEnd w:id="84"/>
      <w:bookmarkEnd w:id="85"/>
    </w:p>
    <w:p w:rsidRPr="00AE758F" w:rsidR="00C8101A" w:rsidP="007936BF" w:rsidRDefault="00C8101A" w14:paraId="700A09E0" w14:textId="77777777">
      <w:pPr>
        <w:keepNext/>
        <w:spacing w:line="240" w:lineRule="auto"/>
      </w:pPr>
    </w:p>
    <w:p w:rsidRPr="00AE758F" w:rsidR="00E31CB4" w:rsidP="007936BF" w:rsidRDefault="00A24097" w14:paraId="39F8855F" w14:textId="77B4CC4D">
      <w:pPr>
        <w:spacing w:line="240" w:lineRule="auto"/>
      </w:pPr>
      <w:r w:rsidRPr="00AE758F">
        <w:t xml:space="preserve">In </w:t>
      </w:r>
      <w:r w:rsidRPr="00AE758F" w:rsidR="00C8101A">
        <w:t>Alternative 2</w:t>
      </w:r>
      <w:r w:rsidRPr="00AE758F" w:rsidR="00E31CB4">
        <w:t>, a rulemaking alternative,</w:t>
      </w:r>
      <w:r w:rsidRPr="00AE758F" w:rsidR="00C8101A">
        <w:t xml:space="preserve"> </w:t>
      </w:r>
      <w:r w:rsidRPr="00AE758F">
        <w:t xml:space="preserve">the NRC </w:t>
      </w:r>
      <w:r w:rsidR="005F22FD">
        <w:t>would</w:t>
      </w:r>
      <w:r w:rsidRPr="00AE758F">
        <w:t xml:space="preserve"> incorporate</w:t>
      </w:r>
      <w:r w:rsidRPr="00AE758F" w:rsidR="00C8101A">
        <w:t xml:space="preserve"> by reference</w:t>
      </w:r>
      <w:r w:rsidRPr="00AE758F" w:rsidR="00167281">
        <w:t xml:space="preserve"> the</w:t>
      </w:r>
      <w:r w:rsidR="006C327E">
        <w:t> </w:t>
      </w:r>
      <w:r w:rsidRPr="00AE758F" w:rsidR="00167281">
        <w:t>following</w:t>
      </w:r>
      <w:r w:rsidRPr="00AE758F" w:rsidR="00C8101A">
        <w:t xml:space="preserve"> in the </w:t>
      </w:r>
      <w:r w:rsidRPr="00AE758F" w:rsidR="00C8101A">
        <w:rPr>
          <w:i/>
        </w:rPr>
        <w:t>Code of Federal Regulations</w:t>
      </w:r>
      <w:r w:rsidRPr="00AE758F" w:rsidR="00E31CB4">
        <w:t>:</w:t>
      </w:r>
    </w:p>
    <w:p w:rsidRPr="00AE758F" w:rsidR="00E31CB4" w:rsidP="007936BF" w:rsidRDefault="00E31CB4" w14:paraId="0709F0E6" w14:textId="77777777">
      <w:pPr>
        <w:spacing w:line="240" w:lineRule="auto"/>
      </w:pPr>
    </w:p>
    <w:p w:rsidRPr="00AE758F" w:rsidR="00E31CB4" w:rsidP="00880E7F" w:rsidRDefault="00657F08" w14:paraId="508469AC" w14:textId="529C2026">
      <w:pPr>
        <w:pStyle w:val="ListParagraph"/>
        <w:numPr>
          <w:ilvl w:val="0"/>
          <w:numId w:val="13"/>
        </w:numPr>
        <w:spacing w:after="220" w:line="240" w:lineRule="auto"/>
        <w:ind w:hanging="720"/>
        <w:contextualSpacing w:val="0"/>
      </w:pPr>
      <w:bookmarkStart w:name="_Hlk39592011" w:id="86"/>
      <w:r w:rsidRPr="00AE758F">
        <w:t xml:space="preserve">the </w:t>
      </w:r>
      <w:r w:rsidRPr="00AE758F" w:rsidR="00212DA9">
        <w:t xml:space="preserve">2019 Edition </w:t>
      </w:r>
      <w:r w:rsidRPr="00AE758F">
        <w:t xml:space="preserve">of </w:t>
      </w:r>
      <w:r w:rsidRPr="00AE758F" w:rsidR="00212DA9">
        <w:t>the ASME BPV Code, Section</w:t>
      </w:r>
      <w:r w:rsidRPr="00AE758F">
        <w:t> </w:t>
      </w:r>
      <w:r w:rsidRPr="00AE758F" w:rsidR="00212DA9">
        <w:t xml:space="preserve">III, </w:t>
      </w:r>
      <w:r w:rsidRPr="00AE758F" w:rsidR="00A24097">
        <w:t>including Subsection NCA</w:t>
      </w:r>
      <w:r w:rsidRPr="00AE758F">
        <w:t>,</w:t>
      </w:r>
      <w:r w:rsidRPr="00AE758F" w:rsidR="00A24097">
        <w:t xml:space="preserve"> and </w:t>
      </w:r>
      <w:r w:rsidRPr="00AE758F" w:rsidR="006C696A">
        <w:t>Division </w:t>
      </w:r>
      <w:r w:rsidRPr="00AE758F" w:rsidR="00A24097">
        <w:t>1</w:t>
      </w:r>
      <w:r w:rsidRPr="00AE758F">
        <w:t>,</w:t>
      </w:r>
      <w:r w:rsidRPr="00AE758F" w:rsidR="00A24097">
        <w:t xml:space="preserve"> Subsections</w:t>
      </w:r>
      <w:r w:rsidRPr="00AE758F">
        <w:t> </w:t>
      </w:r>
      <w:r w:rsidRPr="00AE758F" w:rsidR="00A24097">
        <w:t>NB</w:t>
      </w:r>
      <w:r w:rsidR="00880E7F">
        <w:t>–</w:t>
      </w:r>
      <w:r w:rsidRPr="00AE758F" w:rsidR="00A24097">
        <w:t xml:space="preserve">NG and </w:t>
      </w:r>
      <w:r w:rsidRPr="00AE758F">
        <w:t>a</w:t>
      </w:r>
      <w:r w:rsidRPr="00AE758F" w:rsidR="00A24097">
        <w:t>ppendices</w:t>
      </w:r>
    </w:p>
    <w:p w:rsidRPr="00AE758F" w:rsidR="00E31CB4" w:rsidP="00880E7F" w:rsidRDefault="00657F08" w14:paraId="4D187312" w14:textId="393BC7F2">
      <w:pPr>
        <w:pStyle w:val="ListParagraph"/>
        <w:numPr>
          <w:ilvl w:val="0"/>
          <w:numId w:val="13"/>
        </w:numPr>
        <w:spacing w:after="220" w:line="240" w:lineRule="auto"/>
        <w:ind w:hanging="720"/>
        <w:contextualSpacing w:val="0"/>
      </w:pPr>
      <w:bookmarkStart w:name="_Hlk39655089" w:id="87"/>
      <w:bookmarkEnd w:id="86"/>
      <w:r w:rsidRPr="00AE758F">
        <w:t xml:space="preserve">the </w:t>
      </w:r>
      <w:r w:rsidRPr="00AE758F" w:rsidR="00E31CB4">
        <w:t xml:space="preserve">2019 Edition </w:t>
      </w:r>
      <w:r w:rsidRPr="00AE758F">
        <w:t xml:space="preserve">of </w:t>
      </w:r>
      <w:r w:rsidRPr="00AE758F" w:rsidR="00E31CB4">
        <w:t xml:space="preserve">the ASME BPV Code, </w:t>
      </w:r>
      <w:r w:rsidRPr="00AE758F" w:rsidR="00212DA9">
        <w:t>Section XI, Division 1</w:t>
      </w:r>
      <w:bookmarkEnd w:id="87"/>
      <w:r w:rsidRPr="00AE758F" w:rsidR="00212DA9">
        <w:t>, with conditions</w:t>
      </w:r>
    </w:p>
    <w:p w:rsidR="00E31CB4" w:rsidP="00880E7F" w:rsidRDefault="00516BA5" w14:paraId="67E8CEFB" w14:textId="78E9F4A7">
      <w:pPr>
        <w:pStyle w:val="ListParagraph"/>
        <w:numPr>
          <w:ilvl w:val="0"/>
          <w:numId w:val="13"/>
        </w:numPr>
        <w:spacing w:after="220" w:line="240" w:lineRule="auto"/>
        <w:ind w:hanging="720"/>
        <w:contextualSpacing w:val="0"/>
      </w:pPr>
      <w:r w:rsidRPr="00AE758F">
        <w:t xml:space="preserve">the </w:t>
      </w:r>
      <w:r w:rsidRPr="00AE758F" w:rsidR="00212DA9">
        <w:t xml:space="preserve">2020 Edition </w:t>
      </w:r>
      <w:r w:rsidRPr="00AE758F">
        <w:t>of</w:t>
      </w:r>
      <w:r w:rsidRPr="00AE758F" w:rsidR="00212DA9">
        <w:t xml:space="preserve"> Division</w:t>
      </w:r>
      <w:r w:rsidRPr="00AE758F">
        <w:t> </w:t>
      </w:r>
      <w:r w:rsidRPr="00AE758F" w:rsidR="00212DA9">
        <w:t>1 of the ASME OM Code, with conditions</w:t>
      </w:r>
    </w:p>
    <w:p w:rsidRPr="00AE758F" w:rsidR="00991FC5" w:rsidP="00880E7F" w:rsidRDefault="00DB7621" w14:paraId="425BB01E" w14:textId="03AF5E81">
      <w:pPr>
        <w:pStyle w:val="ListParagraph"/>
        <w:numPr>
          <w:ilvl w:val="0"/>
          <w:numId w:val="13"/>
        </w:numPr>
        <w:spacing w:after="220" w:line="240" w:lineRule="auto"/>
        <w:ind w:hanging="720"/>
        <w:contextualSpacing w:val="0"/>
      </w:pPr>
      <w:r>
        <w:t>the ASME OM Code Case OMN-28, without conditions</w:t>
      </w:r>
    </w:p>
    <w:p w:rsidRPr="00AE758F" w:rsidR="00E31CB4" w:rsidP="00880E7F" w:rsidRDefault="00212DA9" w14:paraId="61C412C0" w14:textId="05C6D3E1">
      <w:pPr>
        <w:pStyle w:val="ListParagraph"/>
        <w:numPr>
          <w:ilvl w:val="0"/>
          <w:numId w:val="13"/>
        </w:numPr>
        <w:spacing w:after="220" w:line="240" w:lineRule="auto"/>
        <w:ind w:hanging="720"/>
        <w:contextualSpacing w:val="0"/>
      </w:pPr>
      <w:r w:rsidRPr="00AE758F">
        <w:t>ASME NQA-1b-2011</w:t>
      </w:r>
      <w:r w:rsidRPr="00AE758F" w:rsidR="00F5665A">
        <w:t>, with</w:t>
      </w:r>
      <w:r w:rsidRPr="00AE758F" w:rsidR="00F5665A">
        <w:t xml:space="preserve"> conditions</w:t>
      </w:r>
    </w:p>
    <w:p w:rsidRPr="00AE758F" w:rsidR="00E31CB4" w:rsidP="00880E7F" w:rsidRDefault="00516BA5" w14:paraId="3A686F25" w14:textId="32BB5400">
      <w:pPr>
        <w:pStyle w:val="ListParagraph"/>
        <w:numPr>
          <w:ilvl w:val="0"/>
          <w:numId w:val="13"/>
        </w:numPr>
        <w:spacing w:line="240" w:lineRule="auto"/>
        <w:ind w:hanging="720"/>
      </w:pPr>
      <w:r w:rsidRPr="00AE758F">
        <w:t xml:space="preserve">the </w:t>
      </w:r>
      <w:r w:rsidRPr="00AE758F" w:rsidR="00212DA9">
        <w:t>2012 and 2015 Editions of ASME NQA</w:t>
      </w:r>
      <w:r w:rsidRPr="00AE758F" w:rsidR="00422127">
        <w:noBreakHyphen/>
      </w:r>
      <w:r w:rsidRPr="00AE758F" w:rsidR="00212DA9">
        <w:t>1, with conditions</w:t>
      </w:r>
    </w:p>
    <w:p w:rsidRPr="00AE758F" w:rsidR="00E31CB4" w:rsidP="007936BF" w:rsidRDefault="00E31CB4" w14:paraId="677CEAA1" w14:textId="1C3F2AC4">
      <w:pPr>
        <w:spacing w:line="240" w:lineRule="auto"/>
      </w:pPr>
    </w:p>
    <w:p w:rsidRPr="00AE758F" w:rsidR="00C8101A" w:rsidP="007936BF" w:rsidRDefault="00C8101A" w14:paraId="4C29B9CE" w14:textId="579249FB">
      <w:pPr>
        <w:spacing w:line="240" w:lineRule="auto"/>
      </w:pPr>
      <w:r w:rsidRPr="00AE758F">
        <w:t>As a result, the provisions of the ASME Codes would be legally binding NRC requirements</w:t>
      </w:r>
      <w:r w:rsidRPr="00AE758F" w:rsidR="00516BA5">
        <w:t>,</w:t>
      </w:r>
      <w:r w:rsidRPr="00AE758F">
        <w:t xml:space="preserve"> as delineated in 10 CFR 50.55a</w:t>
      </w:r>
      <w:r w:rsidRPr="00AE758F" w:rsidR="00516BA5">
        <w:t>,</w:t>
      </w:r>
      <w:r w:rsidRPr="00AE758F">
        <w:t xml:space="preserve"> and subject to the conditions on specific ASME Code provisions in 10 CFR 50.55a.</w:t>
      </w:r>
    </w:p>
    <w:p w:rsidRPr="00AE758F" w:rsidR="00C8101A" w:rsidP="007936BF" w:rsidRDefault="00C8101A" w14:paraId="77C9EF2C" w14:textId="77777777">
      <w:pPr>
        <w:spacing w:line="240" w:lineRule="auto"/>
      </w:pPr>
    </w:p>
    <w:p w:rsidRPr="00AE758F" w:rsidR="00C8101A" w:rsidP="00691675" w:rsidRDefault="00C8101A" w14:paraId="18E954F0" w14:textId="77777777">
      <w:pPr>
        <w:keepNext/>
        <w:spacing w:line="240" w:lineRule="auto"/>
      </w:pPr>
      <w:r w:rsidRPr="00AE758F">
        <w:t>The NRC recommends this rulemaking alternative for the following reasons:</w:t>
      </w:r>
    </w:p>
    <w:p w:rsidRPr="00AE758F" w:rsidR="00C8101A" w:rsidP="00691675" w:rsidRDefault="00C8101A" w14:paraId="4A6C28AB" w14:textId="77777777">
      <w:pPr>
        <w:keepNext/>
        <w:spacing w:line="240" w:lineRule="auto"/>
      </w:pPr>
    </w:p>
    <w:p w:rsidRPr="00AE758F" w:rsidR="00C8101A" w:rsidP="00691675" w:rsidRDefault="00C8101A" w14:paraId="32610BC7" w14:textId="0535B2FA">
      <w:pPr>
        <w:pStyle w:val="ListParagraph"/>
        <w:keepNext/>
        <w:numPr>
          <w:ilvl w:val="0"/>
          <w:numId w:val="9"/>
        </w:numPr>
        <w:spacing w:line="240" w:lineRule="auto"/>
        <w:ind w:hanging="720"/>
      </w:pPr>
      <w:r w:rsidRPr="00AE758F">
        <w:t xml:space="preserve">This alternative reduces regulatory </w:t>
      </w:r>
      <w:r w:rsidR="004B4E2F">
        <w:t>costs</w:t>
      </w:r>
      <w:r w:rsidRPr="00AE758F">
        <w:t xml:space="preserve"> </w:t>
      </w:r>
      <w:r w:rsidR="00BE7E13">
        <w:t xml:space="preserve">to the industry </w:t>
      </w:r>
      <w:r w:rsidRPr="00AE758F">
        <w:t xml:space="preserve">by eliminating the need </w:t>
      </w:r>
      <w:r w:rsidR="00BE7E13">
        <w:t xml:space="preserve">for </w:t>
      </w:r>
      <w:r w:rsidRPr="00AE758F" w:rsidR="00BE7E13">
        <w:t xml:space="preserve">applicants and licensees </w:t>
      </w:r>
      <w:r w:rsidRPr="00AE758F">
        <w:t>to submit plant</w:t>
      </w:r>
      <w:r w:rsidRPr="00AE758F" w:rsidR="00516BA5">
        <w:noBreakHyphen/>
      </w:r>
      <w:r w:rsidRPr="00AE758F">
        <w:t>specific requests for alternatives in accordance with 10 CFR 50.55a(z)</w:t>
      </w:r>
      <w:r w:rsidR="00BE7E13">
        <w:t>,</w:t>
      </w:r>
      <w:r w:rsidRPr="00AE758F">
        <w:t xml:space="preserve"> </w:t>
      </w:r>
      <w:r w:rsidR="00BE7E13">
        <w:t xml:space="preserve">as well as </w:t>
      </w:r>
      <w:r w:rsidRPr="00AE758F">
        <w:t>the need for the NRC to review those submittals.</w:t>
      </w:r>
    </w:p>
    <w:p w:rsidRPr="00AE758F" w:rsidR="00C8101A" w:rsidP="007936BF" w:rsidRDefault="00C8101A" w14:paraId="500D9B19" w14:textId="77777777">
      <w:pPr>
        <w:pStyle w:val="ListParagraph"/>
        <w:spacing w:line="240" w:lineRule="auto"/>
        <w:ind w:hanging="720"/>
      </w:pPr>
    </w:p>
    <w:p w:rsidRPr="00AE758F" w:rsidR="00C8101A" w:rsidP="00977776" w:rsidRDefault="00C8101A" w14:paraId="3503E4B3" w14:textId="3A6C81BA">
      <w:pPr>
        <w:pStyle w:val="ListParagraph"/>
        <w:numPr>
          <w:ilvl w:val="0"/>
          <w:numId w:val="9"/>
        </w:numPr>
        <w:spacing w:line="240" w:lineRule="auto"/>
        <w:ind w:hanging="720"/>
      </w:pPr>
      <w:r w:rsidRPr="00AE758F">
        <w:t xml:space="preserve">This alternative </w:t>
      </w:r>
      <w:r w:rsidR="00265905">
        <w:t xml:space="preserve">supports </w:t>
      </w:r>
      <w:r w:rsidRPr="00AE758F">
        <w:t xml:space="preserve">the NRC’s goal of ensuring the protection of public health and safety and the environment by continuing to </w:t>
      </w:r>
      <w:r w:rsidR="00265905">
        <w:t xml:space="preserve">approve </w:t>
      </w:r>
      <w:r w:rsidRPr="00AE758F">
        <w:t>new ASME Code editions that allow the use of the most current methods and technology.</w:t>
      </w:r>
    </w:p>
    <w:p w:rsidRPr="00AE758F" w:rsidR="00C8101A" w:rsidP="007936BF" w:rsidRDefault="00C8101A" w14:paraId="71697FF7" w14:textId="77777777">
      <w:pPr>
        <w:pStyle w:val="ListParagraph"/>
        <w:spacing w:line="240" w:lineRule="auto"/>
        <w:ind w:hanging="720"/>
      </w:pPr>
    </w:p>
    <w:p w:rsidRPr="00AE758F" w:rsidR="00C8101A" w:rsidP="00977776" w:rsidRDefault="00C8101A" w14:paraId="775F17DF" w14:textId="3B2B6A14">
      <w:pPr>
        <w:pStyle w:val="ListParagraph"/>
        <w:numPr>
          <w:ilvl w:val="0"/>
          <w:numId w:val="9"/>
        </w:numPr>
        <w:spacing w:line="240" w:lineRule="auto"/>
        <w:ind w:hanging="720"/>
      </w:pPr>
      <w:r w:rsidRPr="00AE758F">
        <w:t xml:space="preserve">This alternative supports the NRC’s goal of maintaining an open regulatory process by informing the public about the process and </w:t>
      </w:r>
      <w:r w:rsidR="00802E75">
        <w:t xml:space="preserve">allowing </w:t>
      </w:r>
      <w:r w:rsidRPr="00AE758F">
        <w:t>the public to participate in it.</w:t>
      </w:r>
    </w:p>
    <w:p w:rsidRPr="00AE758F" w:rsidR="00C8101A" w:rsidP="007936BF" w:rsidRDefault="00C8101A" w14:paraId="1623AAA5" w14:textId="77777777">
      <w:pPr>
        <w:pStyle w:val="ListParagraph"/>
        <w:spacing w:line="240" w:lineRule="auto"/>
        <w:ind w:hanging="720"/>
      </w:pPr>
    </w:p>
    <w:p w:rsidRPr="00AE758F" w:rsidR="00C8101A" w:rsidP="00977776" w:rsidRDefault="00C8101A" w14:paraId="71562D51" w14:textId="0B915FE7">
      <w:pPr>
        <w:pStyle w:val="ListParagraph"/>
        <w:numPr>
          <w:ilvl w:val="0"/>
          <w:numId w:val="9"/>
        </w:numPr>
        <w:spacing w:line="240" w:lineRule="auto"/>
        <w:ind w:hanging="720"/>
      </w:pPr>
      <w:r w:rsidRPr="00AE758F">
        <w:t xml:space="preserve">This alternative supports the NRC’s commitment to participating in the national consensus standard process </w:t>
      </w:r>
      <w:r w:rsidR="00802E75">
        <w:t xml:space="preserve">by approving updated </w:t>
      </w:r>
      <w:r w:rsidRPr="00AE758F">
        <w:t>ASME Code editions, and it conforms to NTTAA requirements.</w:t>
      </w:r>
    </w:p>
    <w:p w:rsidRPr="00AE758F" w:rsidR="00C8101A" w:rsidP="007936BF" w:rsidRDefault="00C8101A" w14:paraId="1215712B" w14:textId="77777777">
      <w:pPr>
        <w:pStyle w:val="ListParagraph"/>
        <w:spacing w:line="240" w:lineRule="auto"/>
        <w:ind w:hanging="720"/>
      </w:pPr>
    </w:p>
    <w:p w:rsidRPr="00AE758F" w:rsidR="00C8101A" w:rsidP="00977776" w:rsidRDefault="00C8101A" w14:paraId="5BA33218" w14:textId="4CF77D13">
      <w:pPr>
        <w:pStyle w:val="ListParagraph"/>
        <w:numPr>
          <w:ilvl w:val="0"/>
          <w:numId w:val="9"/>
        </w:numPr>
        <w:spacing w:line="240" w:lineRule="auto"/>
        <w:ind w:hanging="720"/>
      </w:pPr>
      <w:r w:rsidRPr="00AE758F">
        <w:t xml:space="preserve">The </w:t>
      </w:r>
      <w:r w:rsidR="008B5335">
        <w:t>costs of the conditions the NRC is placing on</w:t>
      </w:r>
      <w:r w:rsidRPr="00AE758F">
        <w:t xml:space="preserve"> the editions of and addenda to the ASME Codes cited here </w:t>
      </w:r>
      <w:r w:rsidR="00802E75">
        <w:t xml:space="preserve">are </w:t>
      </w:r>
      <w:r w:rsidRPr="00AE758F">
        <w:t xml:space="preserve">more than offset by the reduction in the number of </w:t>
      </w:r>
      <w:proofErr w:type="gramStart"/>
      <w:r w:rsidRPr="00AE758F">
        <w:t>plant</w:t>
      </w:r>
      <w:proofErr w:type="gramEnd"/>
      <w:r w:rsidR="00802E75">
        <w:noBreakHyphen/>
      </w:r>
      <w:r w:rsidRPr="00AE758F">
        <w:t xml:space="preserve">specific alternative requests that the NRC would otherwise </w:t>
      </w:r>
      <w:r w:rsidR="00802E75">
        <w:t xml:space="preserve">need to </w:t>
      </w:r>
      <w:r w:rsidRPr="00AE758F">
        <w:t>evaluate.  Section </w:t>
      </w:r>
      <w:r w:rsidRPr="00343099">
        <w:fldChar w:fldCharType="begin"/>
      </w:r>
      <w:r w:rsidRPr="00AE758F">
        <w:instrText xml:space="preserve"> REF _Ref393196136 \r \h  \* MERGEFORMAT </w:instrText>
      </w:r>
      <w:r w:rsidRPr="00343099">
        <w:fldChar w:fldCharType="separate"/>
      </w:r>
      <w:r w:rsidR="006A41A8">
        <w:t>5</w:t>
      </w:r>
      <w:r w:rsidRPr="00343099">
        <w:fldChar w:fldCharType="end"/>
      </w:r>
      <w:r w:rsidRPr="00AE758F">
        <w:t xml:space="preserve"> of this analysis </w:t>
      </w:r>
      <w:r w:rsidR="00177A02">
        <w:t>details</w:t>
      </w:r>
      <w:r w:rsidRPr="00AE758F">
        <w:t xml:space="preserve"> the costs and benefits of this alternative compared to the regulatory baseline (Alternative 1).</w:t>
      </w:r>
    </w:p>
    <w:p w:rsidRPr="00AE758F" w:rsidR="00C8101A" w:rsidP="00977776" w:rsidRDefault="00C8101A" w14:paraId="229A5781" w14:textId="77777777">
      <w:pPr>
        <w:pStyle w:val="Heading1"/>
        <w:numPr>
          <w:ilvl w:val="0"/>
          <w:numId w:val="10"/>
        </w:numPr>
        <w:spacing w:line="240" w:lineRule="auto"/>
        <w:ind w:left="270" w:hanging="270"/>
        <w:rPr>
          <w:szCs w:val="22"/>
        </w:rPr>
      </w:pPr>
      <w:bookmarkStart w:name="_Toc42676400" w:id="89"/>
      <w:bookmarkStart w:name="_Ref386989918" w:id="90"/>
      <w:bookmarkStart w:name="_Toc456098216" w:id="91"/>
      <w:bookmarkStart w:name="_Toc457827229" w:id="92"/>
      <w:bookmarkStart w:name="_Toc521577048" w:id="93"/>
      <w:bookmarkStart w:name="_Toc7512235" w:id="94"/>
      <w:bookmarkStart w:name="_Toc81309105" w:id="95"/>
      <w:bookmarkEnd w:id="89"/>
      <w:r w:rsidRPr="00AE758F">
        <w:rPr>
          <w:szCs w:val="22"/>
        </w:rPr>
        <w:t>Estimation and Evaluation of Costs</w:t>
      </w:r>
      <w:bookmarkEnd w:id="90"/>
      <w:bookmarkEnd w:id="91"/>
      <w:bookmarkEnd w:id="92"/>
      <w:r w:rsidRPr="00AE758F">
        <w:rPr>
          <w:szCs w:val="22"/>
        </w:rPr>
        <w:t xml:space="preserve"> and Benefits</w:t>
      </w:r>
      <w:bookmarkEnd w:id="93"/>
      <w:bookmarkEnd w:id="94"/>
      <w:bookmarkEnd w:id="95"/>
    </w:p>
    <w:p w:rsidRPr="00AE758F" w:rsidR="00C8101A" w:rsidP="007936BF" w:rsidRDefault="00C8101A" w14:paraId="161BBE17" w14:textId="77777777">
      <w:pPr>
        <w:spacing w:line="240" w:lineRule="auto"/>
      </w:pPr>
    </w:p>
    <w:p w:rsidRPr="00AE758F" w:rsidR="00C8101A" w:rsidP="007936BF" w:rsidRDefault="00C8101A" w14:paraId="4158441C" w14:textId="35A2DD34">
      <w:pPr>
        <w:spacing w:line="240" w:lineRule="auto"/>
      </w:pPr>
      <w:r w:rsidRPr="00AE758F">
        <w:t xml:space="preserve">This section describes the process for evaluating the costs and benefits expected to result from </w:t>
      </w:r>
      <w:r w:rsidR="00AE6C26">
        <w:t xml:space="preserve">Alternative 2 </w:t>
      </w:r>
      <w:r w:rsidRPr="00AE758F">
        <w:t xml:space="preserve">relative to the regulatory baseline (Alternative 1).  All costs and benefits are monetized, when possible.  The </w:t>
      </w:r>
      <w:r w:rsidR="00637EB0">
        <w:t>net</w:t>
      </w:r>
      <w:r w:rsidRPr="00AE758F">
        <w:t xml:space="preserve"> costs and benefits are then summed to determine whether the</w:t>
      </w:r>
      <w:r w:rsidR="00ED5C21">
        <w:t>ir</w:t>
      </w:r>
      <w:r w:rsidRPr="00AE758F">
        <w:t xml:space="preserve"> difference </w:t>
      </w:r>
      <w:r w:rsidR="00ED5C21">
        <w:t xml:space="preserve">constitutes </w:t>
      </w:r>
      <w:r w:rsidRPr="00AE758F">
        <w:t>a positive benefit.  In some cases, costs and benefits are not monetized because meaningful quantification is not possible.</w:t>
      </w:r>
    </w:p>
    <w:p w:rsidRPr="00AE758F" w:rsidR="00C8101A" w:rsidP="007936BF" w:rsidRDefault="00C8101A" w14:paraId="7239B225" w14:textId="77777777">
      <w:pPr>
        <w:spacing w:line="240" w:lineRule="auto"/>
      </w:pPr>
    </w:p>
    <w:p w:rsidRPr="00AE758F" w:rsidR="00C8101A" w:rsidP="00382B4A" w:rsidRDefault="00C8101A" w14:paraId="2A743CB0" w14:textId="77777777">
      <w:pPr>
        <w:pStyle w:val="Heading2"/>
        <w:spacing w:line="240" w:lineRule="auto"/>
        <w:ind w:left="450" w:hanging="450"/>
        <w:rPr>
          <w:b/>
        </w:rPr>
      </w:pPr>
      <w:bookmarkStart w:name="_Toc456098217" w:id="96"/>
      <w:bookmarkStart w:name="_Toc457827230" w:id="97"/>
      <w:bookmarkStart w:name="_Toc521577049" w:id="98"/>
      <w:bookmarkStart w:name="_Toc7512236" w:id="99"/>
      <w:bookmarkStart w:name="_Toc81309106" w:id="100"/>
      <w:r w:rsidRPr="00AE758F">
        <w:t>4.1</w:t>
      </w:r>
      <w:r w:rsidRPr="00AE758F">
        <w:tab/>
        <w:t>Identification of Affected Attributes</w:t>
      </w:r>
      <w:bookmarkEnd w:id="96"/>
      <w:bookmarkEnd w:id="97"/>
      <w:bookmarkEnd w:id="98"/>
      <w:bookmarkEnd w:id="99"/>
      <w:bookmarkEnd w:id="100"/>
    </w:p>
    <w:p w:rsidRPr="00AE758F" w:rsidR="00C8101A" w:rsidP="007936BF" w:rsidRDefault="00C8101A" w14:paraId="48490088" w14:textId="77777777">
      <w:pPr>
        <w:spacing w:line="240" w:lineRule="auto"/>
      </w:pPr>
    </w:p>
    <w:p w:rsidRPr="00AE758F" w:rsidR="00C8101A" w:rsidP="007936BF" w:rsidRDefault="00C8101A" w14:paraId="33A63E05" w14:textId="7E5C8071">
      <w:pPr>
        <w:spacing w:line="240" w:lineRule="auto"/>
      </w:pPr>
      <w:r w:rsidRPr="00AE758F">
        <w:t xml:space="preserve">This section identifies the components of the public and private sectors, commonly referred to as “attributes,” that </w:t>
      </w:r>
      <w:r w:rsidR="002339F7">
        <w:t>A</w:t>
      </w:r>
      <w:r w:rsidRPr="00AE758F">
        <w:t xml:space="preserve">lternatives </w:t>
      </w:r>
      <w:r w:rsidR="002339F7">
        <w:t>1 and 2</w:t>
      </w:r>
      <w:r w:rsidR="0059364E">
        <w:t xml:space="preserve"> are expected to affect</w:t>
      </w:r>
      <w:r w:rsidRPr="00AE758F">
        <w:t>.  The</w:t>
      </w:r>
      <w:r w:rsidR="0059364E">
        <w:t xml:space="preserve"> </w:t>
      </w:r>
      <w:r w:rsidRPr="00AE758F">
        <w:t xml:space="preserve">alternatives would apply to licensees and applicants for nuclear power plants and nuclear power plant design certifications.  The NRC believes that nuclear power plant licensees would be the primary beneficiaries.  The </w:t>
      </w:r>
      <w:r w:rsidRPr="00AE758F" w:rsidR="00C14057">
        <w:t>NRC</w:t>
      </w:r>
      <w:r w:rsidRPr="00AE758F">
        <w:t xml:space="preserve"> developed an inventory of the </w:t>
      </w:r>
      <w:r w:rsidR="0059364E">
        <w:t xml:space="preserve">affected </w:t>
      </w:r>
      <w:r w:rsidRPr="00AE758F">
        <w:t xml:space="preserve">attributes using </w:t>
      </w:r>
      <w:r w:rsidR="00876261">
        <w:rPr>
          <w:rStyle w:val="normaltextrun"/>
          <w:color w:val="000000"/>
          <w:shd w:val="clear" w:color="auto" w:fill="FFFFFF"/>
        </w:rPr>
        <w:t>NUREG/BR</w:t>
      </w:r>
      <w:r w:rsidR="000C3A9C">
        <w:rPr>
          <w:rStyle w:val="normaltextrun"/>
          <w:color w:val="000000"/>
          <w:shd w:val="clear" w:color="auto" w:fill="FFFFFF"/>
        </w:rPr>
        <w:noBreakHyphen/>
      </w:r>
      <w:r w:rsidR="00876261">
        <w:rPr>
          <w:rStyle w:val="findhit"/>
          <w:color w:val="000000"/>
        </w:rPr>
        <w:t>0058</w:t>
      </w:r>
      <w:r w:rsidR="00876261">
        <w:rPr>
          <w:rStyle w:val="normaltextrun"/>
          <w:color w:val="000000"/>
          <w:shd w:val="clear" w:color="auto" w:fill="FFFFFF"/>
        </w:rPr>
        <w:t>,</w:t>
      </w:r>
      <w:r w:rsidR="002339F7">
        <w:rPr>
          <w:rStyle w:val="normaltextrun"/>
          <w:color w:val="000000"/>
          <w:shd w:val="clear" w:color="auto" w:fill="FFFFFF"/>
        </w:rPr>
        <w:t xml:space="preserve"> </w:t>
      </w:r>
      <w:r w:rsidR="00876261">
        <w:rPr>
          <w:rStyle w:val="normaltextrun"/>
          <w:color w:val="000000"/>
          <w:shd w:val="clear" w:color="auto" w:fill="FFFFFF"/>
        </w:rPr>
        <w:t>“Regulatory Analysis Guidelines of the U.S. Nuclear Regulatory Commission,”</w:t>
      </w:r>
      <w:r w:rsidR="002339F7">
        <w:rPr>
          <w:rStyle w:val="normaltextrun"/>
          <w:color w:val="000000"/>
          <w:shd w:val="clear" w:color="auto" w:fill="FFFFFF"/>
        </w:rPr>
        <w:t xml:space="preserve"> </w:t>
      </w:r>
      <w:r w:rsidR="00876261">
        <w:rPr>
          <w:rStyle w:val="normaltextrun"/>
          <w:color w:val="000000"/>
          <w:shd w:val="clear" w:color="auto" w:fill="FFFFFF"/>
        </w:rPr>
        <w:t>Revision 5</w:t>
      </w:r>
      <w:r w:rsidR="00B571F0">
        <w:rPr>
          <w:rStyle w:val="normaltextrun"/>
          <w:color w:val="000000"/>
          <w:shd w:val="clear" w:color="auto" w:fill="FFFFFF"/>
        </w:rPr>
        <w:t xml:space="preserve"> (draft final)</w:t>
      </w:r>
      <w:r w:rsidR="00876261">
        <w:rPr>
          <w:rStyle w:val="normaltextrun"/>
          <w:color w:val="000000"/>
          <w:shd w:val="clear" w:color="auto" w:fill="FFFFFF"/>
        </w:rPr>
        <w:t>,</w:t>
      </w:r>
      <w:r w:rsidR="002339F7">
        <w:rPr>
          <w:rStyle w:val="normaltextrun"/>
          <w:color w:val="000000"/>
          <w:shd w:val="clear" w:color="auto" w:fill="FFFFFF"/>
        </w:rPr>
        <w:t xml:space="preserve"> </w:t>
      </w:r>
      <w:r w:rsidR="00876261">
        <w:rPr>
          <w:rStyle w:val="normaltextrun"/>
          <w:color w:val="000000"/>
          <w:shd w:val="clear" w:color="auto" w:fill="FFFFFF"/>
        </w:rPr>
        <w:t>issued</w:t>
      </w:r>
      <w:r w:rsidR="002339F7">
        <w:rPr>
          <w:rStyle w:val="normaltextrun"/>
          <w:color w:val="000000"/>
          <w:shd w:val="clear" w:color="auto" w:fill="FFFFFF"/>
        </w:rPr>
        <w:t xml:space="preserve"> </w:t>
      </w:r>
      <w:r w:rsidR="00876261">
        <w:rPr>
          <w:rStyle w:val="normaltextrun"/>
          <w:color w:val="000000"/>
          <w:shd w:val="clear" w:color="auto" w:fill="FFFFFF"/>
        </w:rPr>
        <w:t>January 2020</w:t>
      </w:r>
      <w:r w:rsidR="002339F7">
        <w:rPr>
          <w:rStyle w:val="normaltextrun"/>
          <w:color w:val="000000"/>
          <w:shd w:val="clear" w:color="auto" w:fill="FFFFFF"/>
        </w:rPr>
        <w:t xml:space="preserve"> </w:t>
      </w:r>
      <w:r w:rsidR="00876261">
        <w:rPr>
          <w:rStyle w:val="normaltextrun"/>
          <w:color w:val="000000"/>
          <w:shd w:val="clear" w:color="auto" w:fill="FFFFFF"/>
        </w:rPr>
        <w:t>(NRC, 2020).</w:t>
      </w:r>
    </w:p>
    <w:p w:rsidRPr="00AE758F" w:rsidR="00C8101A" w:rsidP="007936BF" w:rsidRDefault="00C8101A" w14:paraId="0BA60CC7" w14:textId="77777777">
      <w:pPr>
        <w:spacing w:line="240" w:lineRule="auto"/>
      </w:pPr>
    </w:p>
    <w:p w:rsidRPr="00AE758F" w:rsidR="00C8101A" w:rsidP="007936BF" w:rsidRDefault="00C8101A" w14:paraId="7C44E24A" w14:textId="0F56B7B7">
      <w:pPr>
        <w:spacing w:line="240" w:lineRule="auto"/>
      </w:pPr>
      <w:r w:rsidRPr="00AE758F">
        <w:t xml:space="preserve">The rule </w:t>
      </w:r>
      <w:r w:rsidR="0059364E">
        <w:t xml:space="preserve">in Alternative 2 </w:t>
      </w:r>
      <w:r w:rsidRPr="00AE758F">
        <w:t>would affect the following attributes:</w:t>
      </w:r>
    </w:p>
    <w:p w:rsidRPr="00AE758F" w:rsidR="00C8101A" w:rsidP="007936BF" w:rsidRDefault="00C8101A" w14:paraId="79AA3354" w14:textId="77777777">
      <w:pPr>
        <w:spacing w:line="240" w:lineRule="auto"/>
      </w:pPr>
    </w:p>
    <w:p w:rsidRPr="00AE758F" w:rsidR="00C8101A" w:rsidP="00977776" w:rsidRDefault="00C8101A" w14:paraId="118026DD" w14:textId="0026D43D">
      <w:pPr>
        <w:pStyle w:val="ListParagraph"/>
        <w:numPr>
          <w:ilvl w:val="0"/>
          <w:numId w:val="2"/>
        </w:numPr>
        <w:spacing w:line="240" w:lineRule="auto"/>
        <w:ind w:hanging="720"/>
      </w:pPr>
      <w:r w:rsidRPr="00AE758F">
        <w:rPr>
          <w:u w:val="single"/>
        </w:rPr>
        <w:t>Public Health (Accident)</w:t>
      </w:r>
      <w:r w:rsidRPr="00AE758F">
        <w:t xml:space="preserve">.  This attribute accounts for expected changes in </w:t>
      </w:r>
      <w:r w:rsidR="0059364E">
        <w:t xml:space="preserve">public exposure to </w:t>
      </w:r>
      <w:r w:rsidRPr="00AE758F">
        <w:t xml:space="preserve">radiation caused by changes in accident frequencies or accident </w:t>
      </w:r>
      <w:r w:rsidRPr="00AE758F">
        <w:lastRenderedPageBreak/>
        <w:t>consequences associated with the alternative (i.e., delta risk).  A decrease in public radiological exposure is a decrease in risk (i.e., benefit); an increase in public exposure is an increase in risk (i.e., cost).</w:t>
      </w:r>
    </w:p>
    <w:p w:rsidRPr="00AE758F" w:rsidR="00C8101A" w:rsidP="007936BF" w:rsidRDefault="00C8101A" w14:paraId="7C5F9DCF" w14:textId="77777777">
      <w:pPr>
        <w:pStyle w:val="ListParagraph"/>
        <w:spacing w:line="240" w:lineRule="auto"/>
        <w:ind w:hanging="720"/>
      </w:pPr>
    </w:p>
    <w:p w:rsidRPr="00AE758F" w:rsidR="00C8101A" w:rsidP="00977776" w:rsidRDefault="00C8101A" w14:paraId="7B3610DF" w14:textId="6CA8EA78">
      <w:pPr>
        <w:pStyle w:val="ListParagraph"/>
        <w:numPr>
          <w:ilvl w:val="0"/>
          <w:numId w:val="2"/>
        </w:numPr>
        <w:spacing w:line="240" w:lineRule="auto"/>
        <w:ind w:hanging="720"/>
      </w:pPr>
      <w:r w:rsidRPr="00AE758F">
        <w:rPr>
          <w:u w:val="single"/>
        </w:rPr>
        <w:t>Occupational Health (Accident)</w:t>
      </w:r>
      <w:r w:rsidRPr="00AE758F">
        <w:t>.  This attribute measures immediate and long</w:t>
      </w:r>
      <w:r w:rsidR="00C31005">
        <w:noBreakHyphen/>
      </w:r>
      <w:r w:rsidRPr="00AE758F">
        <w:t>term health effects on site workers because of changes in accident frequency or accident consequences associated with the alternative (i.e., delta risk).  A decrease in worker radiological exposure is a decrease in risk (i.e., benefit); an increase in worker exposure is an increase in risk (i.e., cost).</w:t>
      </w:r>
    </w:p>
    <w:p w:rsidRPr="00AE758F" w:rsidR="00C8101A" w:rsidP="007936BF" w:rsidRDefault="00C8101A" w14:paraId="643232D2" w14:textId="77777777">
      <w:pPr>
        <w:pStyle w:val="ListParagraph"/>
        <w:spacing w:line="240" w:lineRule="auto"/>
        <w:ind w:hanging="720"/>
      </w:pPr>
    </w:p>
    <w:p w:rsidRPr="00AE758F" w:rsidR="00C8101A" w:rsidP="00977776" w:rsidRDefault="00C8101A" w14:paraId="74D48D35" w14:textId="4CABE5C9">
      <w:pPr>
        <w:pStyle w:val="ListParagraph"/>
        <w:numPr>
          <w:ilvl w:val="0"/>
          <w:numId w:val="2"/>
        </w:numPr>
        <w:spacing w:line="240" w:lineRule="auto"/>
        <w:ind w:hanging="720"/>
      </w:pPr>
      <w:r w:rsidRPr="00AE758F">
        <w:rPr>
          <w:u w:val="single"/>
        </w:rPr>
        <w:t>Occupational Health (Routine)</w:t>
      </w:r>
      <w:r w:rsidRPr="00AE758F">
        <w:t xml:space="preserve">.  This attribute accounts for radiological exposure </w:t>
      </w:r>
      <w:r w:rsidR="00C31005">
        <w:t xml:space="preserve">of </w:t>
      </w:r>
      <w:r w:rsidRPr="00AE758F">
        <w:t>workers during normal facility operations (i.e., </w:t>
      </w:r>
      <w:proofErr w:type="spellStart"/>
      <w:r w:rsidRPr="00AE758F">
        <w:t>nonaccident</w:t>
      </w:r>
      <w:proofErr w:type="spellEnd"/>
      <w:r w:rsidRPr="00AE758F">
        <w:t xml:space="preserve"> situations).  An action could increase worker exposure</w:t>
      </w:r>
      <w:r w:rsidR="006D61A5">
        <w:t xml:space="preserve">, either as </w:t>
      </w:r>
      <w:r w:rsidRPr="00AE758F">
        <w:t>a one</w:t>
      </w:r>
      <w:r w:rsidRPr="00AE758F" w:rsidR="00262A5D">
        <w:noBreakHyphen/>
      </w:r>
      <w:r w:rsidRPr="00AE758F">
        <w:t>time effect (e.g., </w:t>
      </w:r>
      <w:r w:rsidR="006D61A5">
        <w:t xml:space="preserve">due to </w:t>
      </w:r>
      <w:r w:rsidRPr="00AE758F">
        <w:t>installation or modification of equipment in a hot area)</w:t>
      </w:r>
      <w:r w:rsidR="006D61A5">
        <w:t>,</w:t>
      </w:r>
      <w:r w:rsidRPr="00AE758F">
        <w:t xml:space="preserve"> </w:t>
      </w:r>
      <w:r w:rsidR="006D61A5">
        <w:t xml:space="preserve">or as </w:t>
      </w:r>
      <w:r w:rsidRPr="00AE758F">
        <w:t>an</w:t>
      </w:r>
      <w:r w:rsidR="006C327E">
        <w:t> </w:t>
      </w:r>
      <w:r w:rsidRPr="00AE758F">
        <w:t>ongoing effect (e.g., </w:t>
      </w:r>
      <w:r w:rsidR="006D61A5">
        <w:t xml:space="preserve">due to </w:t>
      </w:r>
      <w:r w:rsidRPr="00AE758F">
        <w:t>routine surveillance or maintenance of contaminated equipment or equipment in a radiation area).</w:t>
      </w:r>
    </w:p>
    <w:p w:rsidRPr="00AE758F" w:rsidR="00C8101A" w:rsidP="007936BF" w:rsidRDefault="00C8101A" w14:paraId="193A322D" w14:textId="77777777">
      <w:pPr>
        <w:spacing w:line="240" w:lineRule="auto"/>
      </w:pPr>
    </w:p>
    <w:p w:rsidRPr="00AE758F" w:rsidR="00C8101A" w:rsidP="00977776" w:rsidRDefault="00C8101A" w14:paraId="68A3AF01" w14:textId="6C937C8C">
      <w:pPr>
        <w:pStyle w:val="ListParagraph"/>
        <w:numPr>
          <w:ilvl w:val="0"/>
          <w:numId w:val="2"/>
        </w:numPr>
        <w:spacing w:line="240" w:lineRule="auto"/>
        <w:ind w:hanging="720"/>
      </w:pPr>
      <w:r w:rsidRPr="00AE758F">
        <w:rPr>
          <w:u w:val="single"/>
        </w:rPr>
        <w:t>Industry Implementation</w:t>
      </w:r>
      <w:r w:rsidRPr="00AE758F">
        <w:t>.  This attribute accounts for the projected net economic effect on the affected licensees of implementing the mandated changes.  Additional costs above the regulatory baseline are considered negative, and cost savings and averted costs are considered positive.</w:t>
      </w:r>
    </w:p>
    <w:p w:rsidRPr="00AE758F" w:rsidR="00C8101A" w:rsidP="007936BF" w:rsidRDefault="00C8101A" w14:paraId="6A7D9E37" w14:textId="77777777">
      <w:pPr>
        <w:pStyle w:val="ListParagraph"/>
        <w:spacing w:line="240" w:lineRule="auto"/>
        <w:ind w:hanging="720"/>
      </w:pPr>
    </w:p>
    <w:p w:rsidRPr="00AE758F" w:rsidR="00C8101A" w:rsidP="00977776" w:rsidRDefault="00C8101A" w14:paraId="702B908D" w14:textId="504B7279">
      <w:pPr>
        <w:pStyle w:val="ListParagraph"/>
        <w:numPr>
          <w:ilvl w:val="0"/>
          <w:numId w:val="2"/>
        </w:numPr>
        <w:spacing w:line="240" w:lineRule="auto"/>
        <w:ind w:hanging="720"/>
      </w:pPr>
      <w:r w:rsidRPr="00AE758F">
        <w:rPr>
          <w:u w:val="single"/>
        </w:rPr>
        <w:t>Industry Operation</w:t>
      </w:r>
      <w:r w:rsidRPr="00AE758F">
        <w:t xml:space="preserve">.  This attribute accounts for the projected net economic effect </w:t>
      </w:r>
      <w:bookmarkStart w:name="_Hlk39480532" w:id="101"/>
      <w:r w:rsidRPr="00AE758F" w:rsidR="00D3571F">
        <w:t xml:space="preserve">on all affected licensees </w:t>
      </w:r>
      <w:r w:rsidRPr="00AE758F">
        <w:t>caused by routine and recurring activities</w:t>
      </w:r>
      <w:bookmarkEnd w:id="101"/>
      <w:r w:rsidRPr="00AE758F">
        <w:t xml:space="preserve"> required by the alternative.  For example, an alternative that would allow a nuclear power plant licensee to use the</w:t>
      </w:r>
      <w:r w:rsidR="006C327E">
        <w:t> </w:t>
      </w:r>
      <w:r w:rsidRPr="00AE758F">
        <w:t>latest edition of the ASME BPV Code without submitting an alternative request would provide a net benefit (i.e., averted cost) to the licensee.</w:t>
      </w:r>
    </w:p>
    <w:p w:rsidRPr="00AE758F" w:rsidR="00C8101A" w:rsidP="007936BF" w:rsidRDefault="00C8101A" w14:paraId="525552A1" w14:textId="77777777">
      <w:pPr>
        <w:pStyle w:val="ListParagraph"/>
        <w:spacing w:line="240" w:lineRule="auto"/>
      </w:pPr>
    </w:p>
    <w:p w:rsidRPr="00AE758F" w:rsidR="00C8101A" w:rsidP="00977776" w:rsidRDefault="00C8101A" w14:paraId="5EAA985E" w14:textId="5C4B86D0">
      <w:pPr>
        <w:pStyle w:val="ListParagraph"/>
        <w:numPr>
          <w:ilvl w:val="0"/>
          <w:numId w:val="2"/>
        </w:numPr>
        <w:spacing w:line="240" w:lineRule="auto"/>
        <w:ind w:hanging="720"/>
      </w:pPr>
      <w:r w:rsidRPr="00AE758F">
        <w:rPr>
          <w:u w:val="single"/>
        </w:rPr>
        <w:t>NRC Implementation</w:t>
      </w:r>
      <w:r w:rsidRPr="00AE758F">
        <w:t xml:space="preserve">.  This attribute accounts for the projected net economic effect on the NRC of </w:t>
      </w:r>
      <w:r w:rsidR="00C54B8F">
        <w:t xml:space="preserve">implementing </w:t>
      </w:r>
      <w:r w:rsidRPr="00AE758F">
        <w:t>the alternative.  It includes NRC implementation costs and benefits incurred in addition to those expected under the regulatory baseline.</w:t>
      </w:r>
      <w:r w:rsidR="00F97C76">
        <w:t xml:space="preserve">  At the final rule stage</w:t>
      </w:r>
      <w:r w:rsidR="00406056">
        <w:t>,</w:t>
      </w:r>
      <w:r w:rsidR="00F97C76">
        <w:t xml:space="preserve"> all NRC implementation costs are sunk.</w:t>
      </w:r>
    </w:p>
    <w:p w:rsidRPr="00AE758F" w:rsidR="00C8101A" w:rsidP="007936BF" w:rsidRDefault="00C8101A" w14:paraId="51A42C68" w14:textId="77777777">
      <w:pPr>
        <w:pStyle w:val="ListParagraph"/>
        <w:spacing w:line="240" w:lineRule="auto"/>
        <w:ind w:hanging="720"/>
      </w:pPr>
    </w:p>
    <w:p w:rsidRPr="00AE758F" w:rsidR="00C8101A" w:rsidP="00977776" w:rsidRDefault="00C8101A" w14:paraId="22487EF4" w14:textId="3941C6D7">
      <w:pPr>
        <w:pStyle w:val="ListParagraph"/>
        <w:numPr>
          <w:ilvl w:val="0"/>
          <w:numId w:val="2"/>
        </w:numPr>
        <w:spacing w:line="240" w:lineRule="auto"/>
        <w:ind w:hanging="720"/>
      </w:pPr>
      <w:r w:rsidRPr="00AE758F">
        <w:rPr>
          <w:u w:val="single"/>
        </w:rPr>
        <w:t>NRC Operation</w:t>
      </w:r>
      <w:r w:rsidRPr="00AE758F">
        <w:t xml:space="preserve">.  This attribute accounts for the projected net economic effect </w:t>
      </w:r>
      <w:r w:rsidRPr="00AE758F" w:rsidR="00D3571F">
        <w:t xml:space="preserve">on the NRC </w:t>
      </w:r>
      <w:r w:rsidRPr="00AE758F" w:rsidR="00DD0531">
        <w:t xml:space="preserve">caused by routine and recurring activities </w:t>
      </w:r>
      <w:r w:rsidRPr="00AE758F">
        <w:t xml:space="preserve">after the rule is implemented.  If the NRC does not approve changes to licensee design, fabrication, construction, testing, and inspection practices because the licensee or applicant wants to use an unapproved </w:t>
      </w:r>
      <w:r w:rsidR="00990876">
        <w:t xml:space="preserve">updated </w:t>
      </w:r>
      <w:r w:rsidRPr="00AE758F">
        <w:t xml:space="preserve">ASME Code, </w:t>
      </w:r>
      <w:r w:rsidR="00956FAE">
        <w:t xml:space="preserve">then </w:t>
      </w:r>
      <w:r w:rsidRPr="00AE758F">
        <w:t xml:space="preserve">the licensee or applicant must </w:t>
      </w:r>
      <w:r w:rsidR="00744628">
        <w:t xml:space="preserve">submit a </w:t>
      </w:r>
      <w:r w:rsidRPr="00AE758F">
        <w:t xml:space="preserve">request, under 10 CFR 50.55a(z), to apply the </w:t>
      </w:r>
      <w:r w:rsidR="00744628">
        <w:t xml:space="preserve">unapproved </w:t>
      </w:r>
      <w:r w:rsidRPr="00AE758F">
        <w:t xml:space="preserve">edition or addenda as an alternative to the </w:t>
      </w:r>
      <w:r w:rsidR="00D3571F">
        <w:t xml:space="preserve">approved </w:t>
      </w:r>
      <w:r w:rsidRPr="00AE758F">
        <w:t xml:space="preserve">ASME Code provisions.  This submittal requires additional staff time to determine </w:t>
      </w:r>
      <w:r w:rsidR="005041A6">
        <w:t xml:space="preserve">whether the </w:t>
      </w:r>
      <w:r w:rsidR="00990876">
        <w:t xml:space="preserve">updated </w:t>
      </w:r>
      <w:r w:rsidR="005041A6">
        <w:t xml:space="preserve">ASME Code is acceptable </w:t>
      </w:r>
      <w:r w:rsidRPr="00AE758F">
        <w:t xml:space="preserve">and whether any limitations or modifications should apply.  </w:t>
      </w:r>
      <w:r w:rsidR="00FC2B5D">
        <w:t>T</w:t>
      </w:r>
      <w:r w:rsidRPr="00AE758F">
        <w:t xml:space="preserve">he </w:t>
      </w:r>
      <w:r w:rsidR="005F3817">
        <w:t>final</w:t>
      </w:r>
      <w:r w:rsidRPr="00AE758F">
        <w:t xml:space="preserve"> rule (Alternative 2) </w:t>
      </w:r>
      <w:r w:rsidR="00FC2B5D">
        <w:t xml:space="preserve">would render </w:t>
      </w:r>
      <w:r w:rsidRPr="00AE758F">
        <w:t xml:space="preserve">these alternative requests </w:t>
      </w:r>
      <w:r w:rsidR="00FC2B5D">
        <w:t>un</w:t>
      </w:r>
      <w:r w:rsidRPr="00AE758F">
        <w:t xml:space="preserve">necessary, </w:t>
      </w:r>
      <w:r w:rsidR="00FE5914">
        <w:t xml:space="preserve">yielding </w:t>
      </w:r>
      <w:r w:rsidRPr="00AE758F">
        <w:t>a net benefit (i.e., averted cost) for the NRC.</w:t>
      </w:r>
      <w:r w:rsidR="00085A3A">
        <w:t xml:space="preserve">  </w:t>
      </w:r>
      <w:r w:rsidR="002E2ED7">
        <w:t>(</w:t>
      </w:r>
      <w:r w:rsidR="00317A46">
        <w:t>Licensees wishing to update early to all or part of a new edition would still need to request NRC approval for that early update.</w:t>
      </w:r>
      <w:r w:rsidR="002E2ED7">
        <w:t>)</w:t>
      </w:r>
    </w:p>
    <w:p w:rsidRPr="00AE758F" w:rsidR="00C8101A" w:rsidP="007936BF" w:rsidRDefault="00C8101A" w14:paraId="10A16206" w14:textId="77777777">
      <w:pPr>
        <w:spacing w:line="240" w:lineRule="auto"/>
      </w:pPr>
    </w:p>
    <w:p w:rsidRPr="00AE758F" w:rsidR="00C8101A" w:rsidP="00977776" w:rsidRDefault="00C8101A" w14:paraId="1A3A31B6" w14:textId="5AE6CCBC">
      <w:pPr>
        <w:pStyle w:val="ListParagraph"/>
        <w:numPr>
          <w:ilvl w:val="0"/>
          <w:numId w:val="2"/>
        </w:numPr>
        <w:spacing w:line="240" w:lineRule="auto"/>
        <w:ind w:hanging="720"/>
      </w:pPr>
      <w:r w:rsidRPr="00AE758F">
        <w:rPr>
          <w:u w:val="single"/>
        </w:rPr>
        <w:t>Improvements in Knowledge</w:t>
      </w:r>
      <w:r w:rsidRPr="00AE758F">
        <w:t xml:space="preserve">.  This attribute accounts for knowledge acquired as the industry and the </w:t>
      </w:r>
      <w:r w:rsidR="00E707B3">
        <w:t xml:space="preserve">NRC </w:t>
      </w:r>
      <w:r w:rsidRPr="00AE758F">
        <w:t xml:space="preserve">staff gain experience with new technology before its incorporation into the ASME Codes and </w:t>
      </w:r>
      <w:r w:rsidR="00E707B3">
        <w:t xml:space="preserve">as </w:t>
      </w:r>
      <w:r w:rsidRPr="00AE758F">
        <w:t xml:space="preserve">licensees use advances in ISI and IST.  Improved ISI and </w:t>
      </w:r>
      <w:r w:rsidRPr="00AE758F">
        <w:lastRenderedPageBreak/>
        <w:t xml:space="preserve">IST may also </w:t>
      </w:r>
      <w:r w:rsidR="00E36013">
        <w:t xml:space="preserve">lead to </w:t>
      </w:r>
      <w:r w:rsidRPr="00AE758F">
        <w:t>earlier identification of material degradation that, if undetected, could eventually cause a plant transient.</w:t>
      </w:r>
    </w:p>
    <w:p w:rsidRPr="00AE758F" w:rsidR="00C8101A" w:rsidP="007936BF" w:rsidRDefault="00C8101A" w14:paraId="4591C911" w14:textId="77777777">
      <w:pPr>
        <w:pStyle w:val="ListParagraph"/>
        <w:spacing w:line="240" w:lineRule="auto"/>
        <w:ind w:hanging="720"/>
      </w:pPr>
    </w:p>
    <w:p w:rsidRPr="00AE758F" w:rsidR="00C8101A" w:rsidP="00977776" w:rsidRDefault="00C8101A" w14:paraId="04DB62A0" w14:textId="6707720C">
      <w:pPr>
        <w:pStyle w:val="ListParagraph"/>
        <w:numPr>
          <w:ilvl w:val="0"/>
          <w:numId w:val="2"/>
        </w:numPr>
        <w:spacing w:line="240" w:lineRule="auto"/>
        <w:ind w:hanging="720"/>
      </w:pPr>
      <w:r w:rsidRPr="00AE758F">
        <w:rPr>
          <w:u w:val="single"/>
        </w:rPr>
        <w:t>Regulatory Efficiency</w:t>
      </w:r>
      <w:r w:rsidRPr="00AE758F">
        <w:t>.  This attribute accounts for regulatory and compliance improvements resulting from the implementation of Alternative 2</w:t>
      </w:r>
      <w:r w:rsidR="005F7865">
        <w:t>,</w:t>
      </w:r>
      <w:r w:rsidRPr="00AE758F">
        <w:t xml:space="preserve"> relative to the</w:t>
      </w:r>
      <w:r w:rsidR="006C327E">
        <w:t> </w:t>
      </w:r>
      <w:r w:rsidRPr="00AE758F">
        <w:t>regulatory baseline.  Alternative 2 would continue the best practice of aligning NRC regulations with ASME Code standards, thereby providing the industry with the</w:t>
      </w:r>
      <w:r w:rsidR="006C327E">
        <w:t> </w:t>
      </w:r>
      <w:r w:rsidRPr="00AE758F">
        <w:t xml:space="preserve">regulatory provisions for which it has sought permission </w:t>
      </w:r>
      <w:r w:rsidR="00880E7F">
        <w:t xml:space="preserve">through </w:t>
      </w:r>
      <w:r w:rsidRPr="00AE758F">
        <w:t xml:space="preserve">alternative requests.  This rulemaking would reduce </w:t>
      </w:r>
      <w:r w:rsidR="005F7865">
        <w:t xml:space="preserve">industry </w:t>
      </w:r>
      <w:r w:rsidRPr="00AE758F">
        <w:t xml:space="preserve">effort </w:t>
      </w:r>
      <w:r w:rsidR="005F7865">
        <w:t xml:space="preserve">on </w:t>
      </w:r>
      <w:r w:rsidRPr="00AE758F">
        <w:t>generating these requests and considering alternative means to accomplish the goals of these provisions.</w:t>
      </w:r>
    </w:p>
    <w:p w:rsidRPr="00AE758F" w:rsidR="00C8101A" w:rsidP="007936BF" w:rsidRDefault="00C8101A" w14:paraId="6F63589B" w14:textId="77777777">
      <w:pPr>
        <w:pStyle w:val="ListParagraph"/>
        <w:spacing w:line="240" w:lineRule="auto"/>
        <w:ind w:hanging="720"/>
      </w:pPr>
    </w:p>
    <w:p w:rsidRPr="00AE758F" w:rsidR="00C8101A" w:rsidP="00977776" w:rsidRDefault="00C8101A" w14:paraId="514B3342" w14:textId="14D2F01A">
      <w:pPr>
        <w:pStyle w:val="ListParagraph"/>
        <w:numPr>
          <w:ilvl w:val="0"/>
          <w:numId w:val="2"/>
        </w:numPr>
        <w:spacing w:line="240" w:lineRule="auto"/>
        <w:ind w:hanging="720"/>
      </w:pPr>
      <w:r w:rsidRPr="00AE758F">
        <w:rPr>
          <w:u w:val="single"/>
        </w:rPr>
        <w:t>Other Considerations</w:t>
      </w:r>
      <w:r w:rsidRPr="00AE758F">
        <w:t>.  This attribute accounts for considerations not captured in the</w:t>
      </w:r>
      <w:r w:rsidR="006C327E">
        <w:t> </w:t>
      </w:r>
      <w:r w:rsidRPr="00AE758F">
        <w:t>preceding attributes.  Specifically, this attribute accounts for how Alternative 2 meets specific requirements of the Commission, helps achieve NRC policy, and provides other advantages or detriments.</w:t>
      </w:r>
    </w:p>
    <w:p w:rsidRPr="00AE758F" w:rsidR="00C8101A" w:rsidP="007936BF" w:rsidRDefault="00C8101A" w14:paraId="4CFA5C0B" w14:textId="77777777">
      <w:pPr>
        <w:pStyle w:val="ListParagraph"/>
        <w:spacing w:line="240" w:lineRule="auto"/>
        <w:ind w:hanging="720"/>
      </w:pPr>
    </w:p>
    <w:p w:rsidRPr="00AE758F" w:rsidR="00C8101A" w:rsidP="00977776" w:rsidRDefault="00C8101A" w14:paraId="3BA9EF82" w14:textId="23AF18E4">
      <w:pPr>
        <w:pStyle w:val="ListParagraph"/>
        <w:numPr>
          <w:ilvl w:val="0"/>
          <w:numId w:val="2"/>
        </w:numPr>
        <w:spacing w:line="240" w:lineRule="auto"/>
        <w:ind w:hanging="720"/>
      </w:pPr>
      <w:r w:rsidRPr="00AE758F">
        <w:rPr>
          <w:u w:val="single"/>
        </w:rPr>
        <w:t>Attributes with No Effects</w:t>
      </w:r>
      <w:r w:rsidRPr="00AE758F">
        <w:t xml:space="preserve">.  Attributes </w:t>
      </w:r>
      <w:r w:rsidR="004908F0">
        <w:t xml:space="preserve">that none </w:t>
      </w:r>
      <w:r w:rsidRPr="00AE758F">
        <w:t>of the</w:t>
      </w:r>
      <w:r w:rsidR="006C327E">
        <w:t> </w:t>
      </w:r>
      <w:r w:rsidRPr="00AE758F">
        <w:t xml:space="preserve">alternatives </w:t>
      </w:r>
      <w:r w:rsidR="004908F0">
        <w:t xml:space="preserve">are expected to affect </w:t>
      </w:r>
      <w:r w:rsidRPr="00AE758F">
        <w:t>include considerations of public health (routine), offsite property, onsite property, other governments, the general public, safeguards and security, and the environment.</w:t>
      </w:r>
    </w:p>
    <w:p w:rsidRPr="00AE758F" w:rsidR="00C8101A" w:rsidP="007936BF" w:rsidRDefault="00C8101A" w14:paraId="01561C15" w14:textId="77777777">
      <w:pPr>
        <w:pStyle w:val="ListParagraph"/>
        <w:spacing w:line="240" w:lineRule="auto"/>
      </w:pPr>
    </w:p>
    <w:p w:rsidRPr="00AE758F" w:rsidR="00C8101A" w:rsidP="00382B4A" w:rsidRDefault="00C8101A" w14:paraId="5F7FFA8A" w14:textId="77777777">
      <w:pPr>
        <w:pStyle w:val="Heading2"/>
        <w:spacing w:line="240" w:lineRule="auto"/>
        <w:ind w:left="450" w:hanging="450"/>
        <w:rPr>
          <w:b/>
        </w:rPr>
      </w:pPr>
      <w:bookmarkStart w:name="_Toc456098218" w:id="102"/>
      <w:bookmarkStart w:name="_Toc457827231" w:id="103"/>
      <w:bookmarkStart w:name="_Toc521577050" w:id="104"/>
      <w:bookmarkStart w:name="_Toc7512237" w:id="105"/>
      <w:bookmarkStart w:name="_Toc81309107" w:id="106"/>
      <w:r w:rsidRPr="00AE758F">
        <w:t>4.2</w:t>
      </w:r>
      <w:r w:rsidRPr="00AE758F">
        <w:tab/>
        <w:t>Analytical Methodology</w:t>
      </w:r>
      <w:bookmarkEnd w:id="102"/>
      <w:bookmarkEnd w:id="103"/>
      <w:bookmarkEnd w:id="104"/>
      <w:bookmarkEnd w:id="105"/>
      <w:bookmarkEnd w:id="106"/>
    </w:p>
    <w:p w:rsidRPr="00AE758F" w:rsidR="00C8101A" w:rsidP="007936BF" w:rsidRDefault="00C8101A" w14:paraId="4BBB60B7" w14:textId="77777777">
      <w:pPr>
        <w:keepNext/>
        <w:spacing w:line="240" w:lineRule="auto"/>
      </w:pPr>
    </w:p>
    <w:p w:rsidRPr="00AE758F" w:rsidR="00C8101A" w:rsidP="007936BF" w:rsidRDefault="00C8101A" w14:paraId="6E7A36F3" w14:textId="1A86A424">
      <w:pPr>
        <w:spacing w:line="240" w:lineRule="auto"/>
      </w:pPr>
      <w:r w:rsidRPr="00AE758F">
        <w:t>This section describes the process used to evaluate costs and benefits associated with the</w:t>
      </w:r>
      <w:r w:rsidR="006C327E">
        <w:t> </w:t>
      </w:r>
      <w:r w:rsidRPr="00AE758F">
        <w:t xml:space="preserve">alternatives.  </w:t>
      </w:r>
      <w:r w:rsidR="007F14B0">
        <w:rPr>
          <w:iCs/>
        </w:rPr>
        <w:t>B</w:t>
      </w:r>
      <w:r w:rsidRPr="00AE758F">
        <w:rPr>
          <w:iCs/>
        </w:rPr>
        <w:t>enefits</w:t>
      </w:r>
      <w:r w:rsidRPr="00AE758F">
        <w:t xml:space="preserve"> include any desirable changes in affected attributes (e.g., monetary savings, improved safety, and improved security).  </w:t>
      </w:r>
      <w:r w:rsidR="007F14B0">
        <w:rPr>
          <w:iCs/>
        </w:rPr>
        <w:t>C</w:t>
      </w:r>
      <w:r w:rsidRPr="00AE758F">
        <w:rPr>
          <w:iCs/>
        </w:rPr>
        <w:t>osts</w:t>
      </w:r>
      <w:r w:rsidRPr="00AE758F">
        <w:t xml:space="preserve"> include any undesirable changes in affected attributes (e.g., monetary costs, increased exposures).</w:t>
      </w:r>
    </w:p>
    <w:p w:rsidRPr="00AE758F" w:rsidR="00C8101A" w:rsidP="007936BF" w:rsidRDefault="00C8101A" w14:paraId="619B0CC0" w14:textId="77777777">
      <w:pPr>
        <w:spacing w:line="240" w:lineRule="auto"/>
      </w:pPr>
    </w:p>
    <w:p w:rsidRPr="00AE758F" w:rsidR="00C8101A" w:rsidP="007936BF" w:rsidRDefault="00C8101A" w14:paraId="5A33598F" w14:textId="7B2C81C7">
      <w:pPr>
        <w:spacing w:line="240" w:lineRule="auto"/>
      </w:pPr>
      <w:r w:rsidRPr="00AE758F">
        <w:t xml:space="preserve">Of the 10 affected attributes, the analysis evaluates </w:t>
      </w:r>
      <w:r w:rsidRPr="00AE758F" w:rsidR="004B4501">
        <w:t>f</w:t>
      </w:r>
      <w:r w:rsidRPr="00AE758F" w:rsidR="00BB3BDD">
        <w:t>our</w:t>
      </w:r>
      <w:r w:rsidRPr="00AE758F">
        <w:t>—industry implementation, industry operation</w:t>
      </w:r>
      <w:r w:rsidRPr="00AE758F" w:rsidR="00F51111">
        <w:t xml:space="preserve">, </w:t>
      </w:r>
      <w:r w:rsidRPr="00AE758F">
        <w:t>NRC implementation, and NRC operation—quantitative</w:t>
      </w:r>
      <w:r w:rsidR="007F14B0">
        <w:t>ly</w:t>
      </w:r>
      <w:r w:rsidRPr="00AE758F">
        <w:t xml:space="preserve">.  Quantitative analysis requires a baseline characterization of the affected society, including factors such as the number of affected </w:t>
      </w:r>
      <w:r w:rsidRPr="00AE758F" w:rsidR="00BB3BDD">
        <w:t>power plants</w:t>
      </w:r>
      <w:r w:rsidRPr="00AE758F">
        <w:t>, the nature of the activities currently performed, and the</w:t>
      </w:r>
      <w:r w:rsidR="006C327E">
        <w:t> </w:t>
      </w:r>
      <w:r w:rsidRPr="00AE758F">
        <w:t>types of systems and procedures that licensees or applicants would implement, or would no</w:t>
      </w:r>
      <w:r w:rsidR="006C327E">
        <w:t> </w:t>
      </w:r>
      <w:r w:rsidRPr="00AE758F">
        <w:t xml:space="preserve">longer implement, because of the alternatives.  </w:t>
      </w:r>
      <w:r w:rsidRPr="00AE758F" w:rsidR="00BB3BDD">
        <w:t>T</w:t>
      </w:r>
      <w:r w:rsidRPr="00AE758F">
        <w:t xml:space="preserve">he staff calculated costs for these </w:t>
      </w:r>
      <w:r w:rsidRPr="00AE758F" w:rsidR="004B4501">
        <w:t>f</w:t>
      </w:r>
      <w:r w:rsidRPr="00AE758F" w:rsidR="00BB3BDD">
        <w:t>our</w:t>
      </w:r>
      <w:r w:rsidRPr="00AE758F" w:rsidR="004B4501">
        <w:t xml:space="preserve"> </w:t>
      </w:r>
      <w:r w:rsidRPr="00AE758F">
        <w:t>attributes using three</w:t>
      </w:r>
      <w:r w:rsidRPr="00AE758F" w:rsidR="000B79B8">
        <w:noBreakHyphen/>
      </w:r>
      <w:r w:rsidRPr="00AE758F">
        <w:t xml:space="preserve">point estimates to quantify the uncertainty in </w:t>
      </w:r>
      <w:r w:rsidR="007F14B0">
        <w:t>the calculations</w:t>
      </w:r>
      <w:r w:rsidRPr="00AE758F">
        <w:t>.  The</w:t>
      </w:r>
      <w:r w:rsidR="006C327E">
        <w:t> </w:t>
      </w:r>
      <w:r w:rsidRPr="00AE758F">
        <w:t xml:space="preserve">detailed cost tables used in this regulatory analysis </w:t>
      </w:r>
      <w:r w:rsidR="007F14B0">
        <w:t xml:space="preserve">appear </w:t>
      </w:r>
      <w:r w:rsidRPr="00AE758F">
        <w:t xml:space="preserve">in the individual sections for each of the provisions.  The </w:t>
      </w:r>
      <w:r w:rsidRPr="00AE758F" w:rsidR="00C14057">
        <w:t>NRC</w:t>
      </w:r>
      <w:r w:rsidRPr="00AE758F">
        <w:t xml:space="preserve"> evaluated the </w:t>
      </w:r>
      <w:r w:rsidR="007F14B0">
        <w:t xml:space="preserve">other </w:t>
      </w:r>
      <w:r w:rsidRPr="00AE758F" w:rsidR="00BB3BDD">
        <w:t>six</w:t>
      </w:r>
      <w:r w:rsidRPr="00AE758F" w:rsidR="004B4501">
        <w:t xml:space="preserve"> </w:t>
      </w:r>
      <w:r w:rsidRPr="00AE758F">
        <w:t>attributes qualitative</w:t>
      </w:r>
      <w:r w:rsidR="007F14B0">
        <w:t>ly,</w:t>
      </w:r>
      <w:r w:rsidRPr="00AE758F">
        <w:t xml:space="preserve"> because </w:t>
      </w:r>
      <w:r w:rsidRPr="00AE758F" w:rsidR="001B2887">
        <w:t xml:space="preserve">some </w:t>
      </w:r>
      <w:r w:rsidR="007F14B0">
        <w:t xml:space="preserve">of the </w:t>
      </w:r>
      <w:r w:rsidRPr="00AE758F">
        <w:t xml:space="preserve">benefits </w:t>
      </w:r>
      <w:r w:rsidR="007F14B0">
        <w:t xml:space="preserve">of </w:t>
      </w:r>
      <w:r w:rsidRPr="00AE758F">
        <w:t>consistent policy application and improvements in ISI and IST techniques are not quantifiable</w:t>
      </w:r>
      <w:r w:rsidR="00665D61">
        <w:t>,</w:t>
      </w:r>
      <w:r w:rsidRPr="00AE758F">
        <w:t xml:space="preserve"> or because the data necessary to quantify and monetize the </w:t>
      </w:r>
      <w:r w:rsidR="00485790">
        <w:t xml:space="preserve">effects </w:t>
      </w:r>
      <w:r w:rsidRPr="00AE758F">
        <w:t>on these attributes are not available.</w:t>
      </w:r>
      <w:r w:rsidRPr="00AE758F" w:rsidR="00BB3BDD">
        <w:t xml:space="preserve"> </w:t>
      </w:r>
      <w:r w:rsidRPr="00AE758F" w:rsidR="000B79B8">
        <w:t xml:space="preserve"> </w:t>
      </w:r>
      <w:r w:rsidRPr="00AE758F">
        <w:t xml:space="preserve">The staff </w:t>
      </w:r>
      <w:r w:rsidR="00665D61">
        <w:t xml:space="preserve">has </w:t>
      </w:r>
      <w:r w:rsidRPr="00AE758F">
        <w:t>document</w:t>
      </w:r>
      <w:r w:rsidR="00665D61">
        <w:t>ed</w:t>
      </w:r>
      <w:r w:rsidRPr="00AE758F">
        <w:t xml:space="preserve"> its assumptions throughout this regulatory analysis.  Appendix A </w:t>
      </w:r>
      <w:r w:rsidRPr="00AE758F" w:rsidR="000B79B8">
        <w:t xml:space="preserve">to this analysis </w:t>
      </w:r>
      <w:r w:rsidRPr="00AE758F">
        <w:t>summarizes the major assumptions and input data.</w:t>
      </w:r>
    </w:p>
    <w:p w:rsidRPr="00AE758F" w:rsidR="00635525" w:rsidP="007936BF" w:rsidRDefault="00635525" w14:paraId="7E026CD1" w14:textId="77777777">
      <w:pPr>
        <w:spacing w:line="240" w:lineRule="auto"/>
      </w:pPr>
    </w:p>
    <w:p w:rsidRPr="00AE758F" w:rsidR="00C8101A" w:rsidP="00382B4A" w:rsidRDefault="00C8101A" w14:paraId="317C088B" w14:textId="77777777">
      <w:pPr>
        <w:pStyle w:val="Heading3"/>
        <w:spacing w:line="240" w:lineRule="auto"/>
        <w:ind w:left="720" w:hanging="720"/>
      </w:pPr>
      <w:bookmarkStart w:name="_Toc456098219" w:id="107"/>
      <w:bookmarkStart w:name="_Toc457827232" w:id="108"/>
      <w:bookmarkStart w:name="_Toc521577051" w:id="109"/>
      <w:bookmarkStart w:name="_Toc7512238" w:id="110"/>
      <w:bookmarkStart w:name="_Toc81309108" w:id="111"/>
      <w:r w:rsidRPr="00AE758F">
        <w:t>4.2.1</w:t>
      </w:r>
      <w:r w:rsidRPr="00AE758F">
        <w:tab/>
        <w:t>Regulatory Baseline</w:t>
      </w:r>
      <w:bookmarkEnd w:id="107"/>
      <w:bookmarkEnd w:id="108"/>
      <w:bookmarkEnd w:id="109"/>
      <w:bookmarkEnd w:id="110"/>
      <w:bookmarkEnd w:id="111"/>
    </w:p>
    <w:p w:rsidRPr="00AE758F" w:rsidR="00C8101A" w:rsidP="007936BF" w:rsidRDefault="00C8101A" w14:paraId="7E609522" w14:textId="77777777">
      <w:pPr>
        <w:spacing w:line="240" w:lineRule="auto"/>
      </w:pPr>
    </w:p>
    <w:p w:rsidRPr="00AE758F" w:rsidR="00AA5596" w:rsidP="007936BF" w:rsidRDefault="00C8101A" w14:paraId="483DB0BF" w14:textId="15885FE9">
      <w:pPr>
        <w:spacing w:line="240" w:lineRule="auto"/>
      </w:pPr>
      <w:r w:rsidRPr="00AE758F">
        <w:t xml:space="preserve">This regulatory analysis identifies the incremental impacts of the </w:t>
      </w:r>
      <w:r w:rsidR="008F788C">
        <w:t>final</w:t>
      </w:r>
      <w:r w:rsidRPr="00AE758F">
        <w:t xml:space="preserve"> rule compared to a</w:t>
      </w:r>
      <w:r w:rsidR="006C327E">
        <w:t> </w:t>
      </w:r>
      <w:r w:rsidRPr="00AE758F">
        <w:t>baseline that reflects anticipated behavior if the NRC does not undertake regulatory or nonregulatory action.  The regulatory baseline assumes full compliance with existing NRC requirements, including current regulations and relevant orders.  This is consistent with NUREG/BR-0058, Revision 5</w:t>
      </w:r>
      <w:r w:rsidR="00B571F0">
        <w:t xml:space="preserve"> (draft final)</w:t>
      </w:r>
      <w:r w:rsidRPr="00AE758F">
        <w:t>, which states</w:t>
      </w:r>
      <w:r w:rsidRPr="00AE758F" w:rsidR="000B79B8">
        <w:t xml:space="preserve"> the following</w:t>
      </w:r>
      <w:r w:rsidRPr="00AE758F" w:rsidR="00AA5596">
        <w:t>:</w:t>
      </w:r>
    </w:p>
    <w:p w:rsidRPr="00AE758F" w:rsidR="00AA5596" w:rsidP="007936BF" w:rsidRDefault="00AA5596" w14:paraId="364A72EC" w14:textId="77777777">
      <w:pPr>
        <w:spacing w:line="240" w:lineRule="auto"/>
      </w:pPr>
    </w:p>
    <w:p w:rsidRPr="00AE758F" w:rsidR="00AA5596" w:rsidP="007936BF" w:rsidRDefault="00AA5596" w14:paraId="46AB2162" w14:textId="0013546C">
      <w:pPr>
        <w:spacing w:line="240" w:lineRule="auto"/>
        <w:ind w:left="720" w:right="720"/>
        <w:rPr>
          <w:rFonts w:ascii="ArialMT" w:hAnsi="ArialMT" w:cs="ArialMT"/>
          <w:color w:val="auto"/>
        </w:rPr>
      </w:pPr>
      <w:r w:rsidRPr="00AE758F">
        <w:rPr>
          <w:rFonts w:ascii="ArialMT" w:hAnsi="ArialMT" w:cs="ArialMT"/>
          <w:color w:val="auto"/>
        </w:rPr>
        <w:t xml:space="preserve">In establishing the baseline case, the analyst should assume that all existing NRC and Agreement State requirements and written licensee commitments are </w:t>
      </w:r>
      <w:r w:rsidRPr="00AE758F">
        <w:rPr>
          <w:rFonts w:ascii="ArialMT" w:hAnsi="ArialMT" w:cs="ArialMT"/>
          <w:color w:val="auto"/>
        </w:rPr>
        <w:lastRenderedPageBreak/>
        <w:t>already being implemented and that the costs and benefits associated with these requirements are not part of the incremental estimates prepared for the</w:t>
      </w:r>
      <w:r w:rsidR="006C327E">
        <w:rPr>
          <w:rFonts w:ascii="ArialMT" w:hAnsi="ArialMT" w:cs="ArialMT"/>
          <w:color w:val="auto"/>
        </w:rPr>
        <w:t> </w:t>
      </w:r>
      <w:r w:rsidRPr="00AE758F">
        <w:rPr>
          <w:rFonts w:ascii="ArialMT" w:hAnsi="ArialMT" w:cs="ArialMT"/>
          <w:color w:val="auto"/>
        </w:rPr>
        <w:t>regulatory analysis.</w:t>
      </w:r>
    </w:p>
    <w:p w:rsidRPr="00AE758F" w:rsidR="00AA5596" w:rsidP="007936BF" w:rsidRDefault="00AA5596" w14:paraId="49750D6F" w14:textId="77777777">
      <w:pPr>
        <w:spacing w:line="240" w:lineRule="auto"/>
      </w:pPr>
    </w:p>
    <w:p w:rsidRPr="00AE758F" w:rsidR="00C8101A" w:rsidP="007936BF" w:rsidRDefault="00C8101A" w14:paraId="5A4634FB" w14:textId="2B1905A3">
      <w:pPr>
        <w:spacing w:line="240" w:lineRule="auto"/>
      </w:pPr>
      <w:r w:rsidRPr="00AE758F">
        <w:t>Section </w:t>
      </w:r>
      <w:r w:rsidRPr="00AE758F">
        <w:fldChar w:fldCharType="begin"/>
      </w:r>
      <w:r w:rsidRPr="00AE758F">
        <w:instrText xml:space="preserve"> REF _Ref393196136 \r \h  \* MERGEFORMAT </w:instrText>
      </w:r>
      <w:r w:rsidRPr="00AE758F">
        <w:fldChar w:fldCharType="separate"/>
      </w:r>
      <w:r w:rsidR="006A41A8">
        <w:t>5</w:t>
      </w:r>
      <w:r w:rsidRPr="00AE758F">
        <w:fldChar w:fldCharType="end"/>
      </w:r>
      <w:r w:rsidRPr="00AE758F">
        <w:t xml:space="preserve"> of this regulatory analysis presents the estimated incremental costs and benefits of the alternatives compared to this baseline.</w:t>
      </w:r>
    </w:p>
    <w:p w:rsidRPr="00AE758F" w:rsidR="00635525" w:rsidP="007936BF" w:rsidRDefault="00635525" w14:paraId="7FFF2730" w14:textId="77777777">
      <w:pPr>
        <w:spacing w:line="240" w:lineRule="auto"/>
      </w:pPr>
    </w:p>
    <w:p w:rsidRPr="00AE758F" w:rsidR="00C8101A" w:rsidP="007936BF" w:rsidRDefault="00C8101A" w14:paraId="7FA617C6" w14:textId="77777777">
      <w:pPr>
        <w:pStyle w:val="Heading3"/>
        <w:spacing w:line="240" w:lineRule="auto"/>
        <w:ind w:left="720" w:hanging="720"/>
        <w:rPr>
          <w:b/>
        </w:rPr>
      </w:pPr>
      <w:bookmarkStart w:name="_Toc456098220" w:id="112"/>
      <w:bookmarkStart w:name="_Toc457827233" w:id="113"/>
      <w:bookmarkStart w:name="_Ref511728852" w:id="114"/>
      <w:bookmarkStart w:name="_Toc521577052" w:id="115"/>
      <w:bookmarkStart w:name="_Toc7512239" w:id="116"/>
      <w:bookmarkStart w:name="_Toc81309109" w:id="117"/>
      <w:r w:rsidRPr="00AE758F">
        <w:t>4.2.2</w:t>
      </w:r>
      <w:r w:rsidRPr="00AE758F">
        <w:tab/>
        <w:t>Affected Entities</w:t>
      </w:r>
      <w:bookmarkEnd w:id="112"/>
      <w:bookmarkEnd w:id="113"/>
      <w:bookmarkEnd w:id="114"/>
      <w:bookmarkEnd w:id="115"/>
      <w:bookmarkEnd w:id="116"/>
      <w:bookmarkEnd w:id="117"/>
    </w:p>
    <w:p w:rsidRPr="00AE758F" w:rsidR="00C8101A" w:rsidP="007936BF" w:rsidRDefault="00C8101A" w14:paraId="21EB02CA" w14:textId="77777777">
      <w:pPr>
        <w:keepNext/>
        <w:spacing w:line="240" w:lineRule="auto"/>
      </w:pPr>
    </w:p>
    <w:p w:rsidRPr="00AE758F" w:rsidR="00C8101A" w:rsidP="007936BF" w:rsidRDefault="00E317A5" w14:paraId="45592D65" w14:textId="2960C331">
      <w:pPr>
        <w:spacing w:line="240" w:lineRule="auto"/>
      </w:pPr>
      <w:r w:rsidRPr="00AE758F">
        <w:t xml:space="preserve">This </w:t>
      </w:r>
      <w:r w:rsidR="00F24638">
        <w:t>final</w:t>
      </w:r>
      <w:r w:rsidRPr="00AE758F">
        <w:t xml:space="preserve"> rule will affect all operating light-water nuclear power plants. </w:t>
      </w:r>
      <w:r w:rsidRPr="00AE758F" w:rsidR="00575B50">
        <w:t xml:space="preserve"> </w:t>
      </w:r>
      <w:r w:rsidRPr="00AE758F">
        <w:t>The analysis considers 5</w:t>
      </w:r>
      <w:r w:rsidR="00E96811">
        <w:t>2</w:t>
      </w:r>
      <w:r w:rsidRPr="00AE758F" w:rsidR="00575B50">
        <w:t> </w:t>
      </w:r>
      <w:r w:rsidRPr="00AE758F">
        <w:t xml:space="preserve">plant sites </w:t>
      </w:r>
      <w:r w:rsidRPr="00AE758F" w:rsidR="00A84E18">
        <w:t xml:space="preserve">containing one or more operating U.S. light-water nuclear power reactor units </w:t>
      </w:r>
      <w:r w:rsidR="003B5CD8">
        <w:t xml:space="preserve">(with a total of 92 reactors) </w:t>
      </w:r>
      <w:r w:rsidRPr="00AE758F">
        <w:t>in 202</w:t>
      </w:r>
      <w:r w:rsidR="00E96811">
        <w:t>2</w:t>
      </w:r>
      <w:r w:rsidRPr="00AE758F" w:rsidR="00575B50">
        <w:t>,</w:t>
      </w:r>
      <w:r w:rsidRPr="00AE758F">
        <w:t xml:space="preserve"> and 5</w:t>
      </w:r>
      <w:r w:rsidR="00FA1E87">
        <w:t>1</w:t>
      </w:r>
      <w:r w:rsidRPr="00AE758F" w:rsidR="00575B50">
        <w:t> </w:t>
      </w:r>
      <w:r w:rsidRPr="00AE758F">
        <w:t xml:space="preserve">plant sites </w:t>
      </w:r>
      <w:r w:rsidR="001119B9">
        <w:t>(and 91 reactors)</w:t>
      </w:r>
      <w:r w:rsidR="00B15F5E">
        <w:t xml:space="preserve"> </w:t>
      </w:r>
      <w:r w:rsidRPr="00AE758F" w:rsidR="00B15F5E">
        <w:t>in 202</w:t>
      </w:r>
      <w:r w:rsidR="00B15F5E">
        <w:t>3–</w:t>
      </w:r>
      <w:r w:rsidRPr="00AE758F" w:rsidR="00B15F5E">
        <w:t>202</w:t>
      </w:r>
      <w:r w:rsidR="00B15F5E">
        <w:t>4</w:t>
      </w:r>
      <w:r w:rsidRPr="00AE758F">
        <w:t>.</w:t>
      </w:r>
      <w:r w:rsidR="002A1042">
        <w:t xml:space="preserve">  </w:t>
      </w:r>
    </w:p>
    <w:p w:rsidRPr="00AE758F" w:rsidR="00C8101A" w:rsidP="007936BF" w:rsidRDefault="00C8101A" w14:paraId="58FEB9C5" w14:textId="303D60FD">
      <w:pPr>
        <w:spacing w:line="240" w:lineRule="auto"/>
      </w:pPr>
    </w:p>
    <w:p w:rsidRPr="00AE758F" w:rsidR="00C8101A" w:rsidP="007936BF" w:rsidRDefault="00C8101A" w14:paraId="3F299468" w14:textId="77777777">
      <w:pPr>
        <w:pStyle w:val="Heading3"/>
        <w:spacing w:line="240" w:lineRule="auto"/>
        <w:ind w:left="720" w:hanging="720"/>
        <w:rPr>
          <w:b/>
        </w:rPr>
      </w:pPr>
      <w:bookmarkStart w:name="_Toc456098221" w:id="118"/>
      <w:bookmarkStart w:name="_Toc457827234" w:id="119"/>
      <w:bookmarkStart w:name="_Toc521577053" w:id="120"/>
      <w:bookmarkStart w:name="_Toc7512240" w:id="121"/>
      <w:bookmarkStart w:name="_Toc81309110" w:id="122"/>
      <w:r w:rsidRPr="00AE758F">
        <w:t>4.2.3</w:t>
      </w:r>
      <w:r w:rsidRPr="00AE758F">
        <w:tab/>
        <w:t>Base Year</w:t>
      </w:r>
      <w:bookmarkEnd w:id="118"/>
      <w:bookmarkEnd w:id="119"/>
      <w:bookmarkEnd w:id="120"/>
      <w:bookmarkEnd w:id="121"/>
      <w:bookmarkEnd w:id="122"/>
    </w:p>
    <w:p w:rsidRPr="00AE758F" w:rsidR="00C8101A" w:rsidP="007936BF" w:rsidRDefault="00C8101A" w14:paraId="392F2B74" w14:textId="50C24568">
      <w:pPr>
        <w:keepNext/>
        <w:spacing w:line="240" w:lineRule="auto"/>
      </w:pPr>
    </w:p>
    <w:p w:rsidRPr="00AE758F" w:rsidR="00E317A5" w:rsidP="007936BF" w:rsidRDefault="00E317A5" w14:paraId="29BC912A" w14:textId="40ABD476">
      <w:pPr>
        <w:spacing w:line="240" w:lineRule="auto"/>
      </w:pPr>
      <w:r w:rsidRPr="00AE758F">
        <w:t>All monetized costs are expressed in 202</w:t>
      </w:r>
      <w:r w:rsidR="00D24A4C">
        <w:t>1</w:t>
      </w:r>
      <w:r w:rsidRPr="00AE758F" w:rsidR="00575B50">
        <w:t> </w:t>
      </w:r>
      <w:r w:rsidRPr="00AE758F">
        <w:t>dollars.  Ongoing costs of operation related to Alternative</w:t>
      </w:r>
      <w:r w:rsidRPr="00AE758F" w:rsidR="00575B50">
        <w:t> </w:t>
      </w:r>
      <w:r w:rsidRPr="00AE758F">
        <w:t xml:space="preserve">2 are assumed to begin no earlier than 30 days after publication of the final rule in the </w:t>
      </w:r>
      <w:r w:rsidRPr="00AE758F">
        <w:rPr>
          <w:i/>
        </w:rPr>
        <w:t>Code of Federal Regulations</w:t>
      </w:r>
      <w:r w:rsidRPr="00AE758F">
        <w:t xml:space="preserve"> unless otherwise stated, and they are modeled on an annual cost basis. </w:t>
      </w:r>
      <w:r w:rsidRPr="00AE758F" w:rsidR="00575B50">
        <w:t xml:space="preserve"> </w:t>
      </w:r>
      <w:r w:rsidRPr="00AE758F">
        <w:t>Estimates are made for recurring annual operating expenses.  The values for annual operating expenses are modeled as a constant expense for each year of the analysis horizon</w:t>
      </w:r>
      <w:r w:rsidR="005934B4">
        <w:t>.</w:t>
      </w:r>
    </w:p>
    <w:p w:rsidRPr="00AE758F" w:rsidR="00FA1685" w:rsidP="007936BF" w:rsidRDefault="00FA1685" w14:paraId="79F8E3FD" w14:textId="77777777">
      <w:pPr>
        <w:spacing w:line="240" w:lineRule="auto"/>
      </w:pPr>
    </w:p>
    <w:p w:rsidRPr="00AE758F" w:rsidR="00C8101A" w:rsidP="007936BF" w:rsidRDefault="00C8101A" w14:paraId="491DAD9D" w14:textId="77777777">
      <w:pPr>
        <w:pStyle w:val="Heading3"/>
        <w:spacing w:line="240" w:lineRule="auto"/>
        <w:ind w:left="720" w:hanging="720"/>
        <w:rPr>
          <w:b/>
        </w:rPr>
      </w:pPr>
      <w:bookmarkStart w:name="_Toc456098222" w:id="123"/>
      <w:bookmarkStart w:name="_Toc457827235" w:id="124"/>
      <w:bookmarkStart w:name="_Toc521577054" w:id="125"/>
      <w:bookmarkStart w:name="_Toc7512241" w:id="126"/>
      <w:bookmarkStart w:name="_Toc81309111" w:id="127"/>
      <w:r w:rsidRPr="00AE758F">
        <w:t>4.2.4</w:t>
      </w:r>
      <w:r w:rsidRPr="00AE758F">
        <w:tab/>
        <w:t>Discount Rates</w:t>
      </w:r>
      <w:bookmarkEnd w:id="123"/>
      <w:bookmarkEnd w:id="124"/>
      <w:bookmarkEnd w:id="125"/>
      <w:bookmarkEnd w:id="126"/>
      <w:bookmarkEnd w:id="127"/>
    </w:p>
    <w:p w:rsidRPr="00AE758F" w:rsidR="00C8101A" w:rsidP="007936BF" w:rsidRDefault="00C8101A" w14:paraId="129A2BDE" w14:textId="77777777">
      <w:pPr>
        <w:keepNext/>
        <w:spacing w:line="240" w:lineRule="auto"/>
      </w:pPr>
    </w:p>
    <w:p w:rsidRPr="00AE758F" w:rsidR="00C8101A" w:rsidP="007936BF" w:rsidRDefault="00C8101A" w14:paraId="3F91903B" w14:textId="6AFEE358">
      <w:pPr>
        <w:spacing w:line="240" w:lineRule="auto"/>
      </w:pPr>
      <w:r w:rsidRPr="00AE758F">
        <w:t>In accordance with guidance from Office of Management and Budget (OMB) Circular A</w:t>
      </w:r>
      <w:r w:rsidRPr="00AE758F">
        <w:noBreakHyphen/>
        <w:t>4, “Regulatory Analysis,” issued October</w:t>
      </w:r>
      <w:r w:rsidRPr="00AE758F" w:rsidR="00575B50">
        <w:t> </w:t>
      </w:r>
      <w:r w:rsidRPr="00AE758F">
        <w:t>2003 (OMB, 2003), and NUREG/BR</w:t>
      </w:r>
      <w:r w:rsidRPr="00AE758F">
        <w:noBreakHyphen/>
        <w:t>0058, Revision 5</w:t>
      </w:r>
      <w:r w:rsidR="00B571F0">
        <w:t xml:space="preserve"> (draft final)</w:t>
      </w:r>
      <w:r w:rsidRPr="00AE758F">
        <w:t xml:space="preserve">, </w:t>
      </w:r>
      <w:r w:rsidR="0040106A">
        <w:t xml:space="preserve">the staff used </w:t>
      </w:r>
      <w:r w:rsidRPr="00AE758F">
        <w:t xml:space="preserve">net present value (NPV) calculations to determine how much society would need to invest today to ensure that the designated dollar amount is available </w:t>
      </w:r>
      <w:proofErr w:type="gramStart"/>
      <w:r w:rsidRPr="00AE758F">
        <w:t>in a</w:t>
      </w:r>
      <w:r w:rsidR="009C3487">
        <w:t> </w:t>
      </w:r>
      <w:r w:rsidRPr="00AE758F">
        <w:t>given year</w:t>
      </w:r>
      <w:proofErr w:type="gramEnd"/>
      <w:r w:rsidRPr="00AE758F">
        <w:t xml:space="preserve"> in the future.  </w:t>
      </w:r>
      <w:r w:rsidR="0040106A">
        <w:t>U</w:t>
      </w:r>
      <w:r w:rsidRPr="00AE758F">
        <w:t xml:space="preserve">sing NPVs, costs and benefits, regardless of when </w:t>
      </w:r>
      <w:r w:rsidR="0040106A">
        <w:t xml:space="preserve">they are </w:t>
      </w:r>
      <w:r w:rsidRPr="00AE758F">
        <w:t xml:space="preserve">incurred, are valued to a reference year for comparison.  The choice of </w:t>
      </w:r>
      <w:r w:rsidR="0040106A">
        <w:t xml:space="preserve">and conceptual basis for the </w:t>
      </w:r>
      <w:r w:rsidRPr="00AE758F">
        <w:t xml:space="preserve">discount rate </w:t>
      </w:r>
      <w:r w:rsidR="0040106A">
        <w:t xml:space="preserve">are </w:t>
      </w:r>
      <w:r w:rsidRPr="00AE758F">
        <w:t xml:space="preserve">a topic of ongoing discussion within the Federal </w:t>
      </w:r>
      <w:r w:rsidR="008A79C0">
        <w:t>G</w:t>
      </w:r>
      <w:r w:rsidRPr="00AE758F" w:rsidR="005512F4">
        <w:t>overnment</w:t>
      </w:r>
      <w:r w:rsidRPr="00AE758F">
        <w:t>.  Based on OMB Circular A</w:t>
      </w:r>
      <w:r w:rsidRPr="00AE758F">
        <w:noBreakHyphen/>
        <w:t>4 and consistent with NRC past practice and guidance, present</w:t>
      </w:r>
      <w:r w:rsidR="00650F10">
        <w:noBreakHyphen/>
      </w:r>
      <w:r w:rsidRPr="00AE758F">
        <w:t>worth calculations in this analysis use 3</w:t>
      </w:r>
      <w:r w:rsidR="00FD04D0">
        <w:noBreakHyphen/>
      </w:r>
      <w:r w:rsidRPr="00AE758F">
        <w:t>percent and 7</w:t>
      </w:r>
      <w:r w:rsidR="00FD04D0">
        <w:noBreakHyphen/>
      </w:r>
      <w:r w:rsidRPr="00AE758F">
        <w:t>percent real discount rates.  A</w:t>
      </w:r>
      <w:r w:rsidR="009C3487">
        <w:t> </w:t>
      </w:r>
      <w:r w:rsidRPr="00AE758F">
        <w:t>3</w:t>
      </w:r>
      <w:r w:rsidR="00650F10">
        <w:noBreakHyphen/>
      </w:r>
      <w:r w:rsidRPr="00AE758F">
        <w:t>percent discount rate approximates the real rate of return on long</w:t>
      </w:r>
      <w:r w:rsidRPr="00AE758F" w:rsidR="003B38E5">
        <w:noBreakHyphen/>
      </w:r>
      <w:r w:rsidRPr="00AE758F">
        <w:t xml:space="preserve">term </w:t>
      </w:r>
      <w:r w:rsidR="003D10FC">
        <w:t>g</w:t>
      </w:r>
      <w:r w:rsidRPr="00AE758F">
        <w:t>overnment debt, which serves as a proxy for the real rate of return on savings to reflect reliance on the</w:t>
      </w:r>
      <w:r w:rsidR="009C3487">
        <w:t> </w:t>
      </w:r>
      <w:r w:rsidRPr="00AE758F">
        <w:t xml:space="preserve">discounting concept of </w:t>
      </w:r>
      <w:r w:rsidR="00FD04D0">
        <w:t>“</w:t>
      </w:r>
      <w:r w:rsidRPr="00AE758F">
        <w:t>social rate of time preference.</w:t>
      </w:r>
      <w:r w:rsidR="00FD04D0">
        <w:t>”</w:t>
      </w:r>
      <w:r w:rsidRPr="00AE758F">
        <w:rPr>
          <w:rStyle w:val="FootnoteReference"/>
          <w:vertAlign w:val="superscript"/>
        </w:rPr>
        <w:footnoteReference w:id="3"/>
      </w:r>
      <w:r w:rsidRPr="00AE758F">
        <w:t xml:space="preserve">  A 7</w:t>
      </w:r>
      <w:r w:rsidR="00FD04D0">
        <w:noBreakHyphen/>
      </w:r>
      <w:r w:rsidRPr="00AE758F">
        <w:t>percent discount rate approximates the marginal pretax real rate of return on an average investment in the private sector</w:t>
      </w:r>
      <w:r w:rsidR="00FD04D0">
        <w:t>.</w:t>
      </w:r>
      <w:r w:rsidRPr="00AE758F">
        <w:t xml:space="preserve"> </w:t>
      </w:r>
      <w:r w:rsidR="00FD04D0">
        <w:t xml:space="preserve"> This </w:t>
      </w:r>
      <w:r w:rsidRPr="00AE758F">
        <w:t>is the appropriate discount rate whenever the main effect of a regulation is to displace or alter the use of capital in the private sector.  A 7</w:t>
      </w:r>
      <w:r w:rsidR="00FD04D0">
        <w:noBreakHyphen/>
      </w:r>
      <w:r w:rsidRPr="00AE758F">
        <w:t xml:space="preserve">percent rate is consistent with </w:t>
      </w:r>
      <w:r w:rsidR="00FD04D0">
        <w:t>the concept of the “</w:t>
      </w:r>
      <w:r w:rsidRPr="00AE758F">
        <w:t>opportunity cost</w:t>
      </w:r>
      <w:r w:rsidR="00FD04D0">
        <w:t xml:space="preserve"> of capital,”</w:t>
      </w:r>
      <w:r w:rsidRPr="00AE758F">
        <w:rPr>
          <w:rStyle w:val="FootnoteReference"/>
          <w:vertAlign w:val="superscript"/>
        </w:rPr>
        <w:footnoteReference w:id="4"/>
      </w:r>
      <w:r w:rsidRPr="00AE758F">
        <w:t xml:space="preserve"> reflect</w:t>
      </w:r>
      <w:r w:rsidR="00FD04D0">
        <w:t>ing</w:t>
      </w:r>
      <w:r w:rsidRPr="00AE758F">
        <w:t xml:space="preserve"> the time value of resources directed to meet regulatory requirements.</w:t>
      </w:r>
    </w:p>
    <w:p w:rsidRPr="00AE758F" w:rsidR="00C8101A" w:rsidP="007936BF" w:rsidRDefault="00C8101A" w14:paraId="4E570432" w14:textId="77777777">
      <w:pPr>
        <w:spacing w:line="240" w:lineRule="auto"/>
      </w:pPr>
    </w:p>
    <w:p w:rsidRPr="00AE758F" w:rsidR="00C8101A" w:rsidP="007936BF" w:rsidRDefault="00C8101A" w14:paraId="7B48C70E" w14:textId="77777777">
      <w:pPr>
        <w:pStyle w:val="Heading3"/>
        <w:spacing w:line="240" w:lineRule="auto"/>
        <w:ind w:left="720" w:hanging="720"/>
        <w:rPr>
          <w:b/>
        </w:rPr>
      </w:pPr>
      <w:bookmarkStart w:name="_Ref448229252" w:id="128"/>
      <w:bookmarkStart w:name="_Toc456098223" w:id="129"/>
      <w:bookmarkStart w:name="_Toc457827236" w:id="130"/>
      <w:bookmarkStart w:name="_Toc521577055" w:id="131"/>
      <w:bookmarkStart w:name="_Toc7512242" w:id="132"/>
      <w:bookmarkStart w:name="_Toc81309112" w:id="133"/>
      <w:r w:rsidRPr="00AE758F">
        <w:t>4.2.5</w:t>
      </w:r>
      <w:r w:rsidRPr="00AE758F">
        <w:tab/>
        <w:t>Cost-Benefit Inflators</w:t>
      </w:r>
      <w:bookmarkEnd w:id="128"/>
      <w:bookmarkEnd w:id="129"/>
      <w:bookmarkEnd w:id="130"/>
      <w:bookmarkEnd w:id="131"/>
      <w:bookmarkEnd w:id="132"/>
      <w:bookmarkEnd w:id="133"/>
    </w:p>
    <w:p w:rsidRPr="00AE758F" w:rsidR="00C8101A" w:rsidP="007936BF" w:rsidRDefault="00C8101A" w14:paraId="32095C92" w14:textId="77777777">
      <w:pPr>
        <w:keepNext/>
        <w:spacing w:line="240" w:lineRule="auto"/>
      </w:pPr>
    </w:p>
    <w:p w:rsidRPr="00AE758F" w:rsidR="00C8101A" w:rsidP="007936BF" w:rsidRDefault="00C8101A" w14:paraId="2C3129E0" w14:textId="6F7AC29F">
      <w:pPr>
        <w:spacing w:after="220" w:line="240" w:lineRule="auto"/>
      </w:pPr>
      <w:r w:rsidRPr="00AE758F">
        <w:t xml:space="preserve">The </w:t>
      </w:r>
      <w:r w:rsidRPr="00AE758F" w:rsidR="00C14057">
        <w:t>NRC</w:t>
      </w:r>
      <w:r w:rsidRPr="00AE758F">
        <w:t xml:space="preserve"> estimated the analysis inputs for some attributes based on the values published in the</w:t>
      </w:r>
      <w:r w:rsidR="009C3487">
        <w:t> </w:t>
      </w:r>
      <w:r w:rsidRPr="00AE758F">
        <w:t>sources referenced, which are provided in prior</w:t>
      </w:r>
      <w:r w:rsidRPr="00AE758F" w:rsidR="003B38E5">
        <w:noBreakHyphen/>
      </w:r>
      <w:r w:rsidRPr="00AE758F">
        <w:t xml:space="preserve">year dollars.  To evaluate costs and benefits </w:t>
      </w:r>
      <w:r w:rsidRPr="00AE758F">
        <w:lastRenderedPageBreak/>
        <w:t xml:space="preserve">consistently, these inputs are </w:t>
      </w:r>
      <w:r w:rsidR="00D06FF8">
        <w:t xml:space="preserve">expressed in </w:t>
      </w:r>
      <w:r w:rsidRPr="00AE758F" w:rsidR="00531D48">
        <w:t>202</w:t>
      </w:r>
      <w:r w:rsidR="00911139">
        <w:t>1</w:t>
      </w:r>
      <w:r w:rsidRPr="00AE758F" w:rsidR="00531D48">
        <w:t xml:space="preserve"> </w:t>
      </w:r>
      <w:r w:rsidRPr="00AE758F">
        <w:t>base</w:t>
      </w:r>
      <w:r w:rsidRPr="00AE758F" w:rsidR="003B38E5">
        <w:noBreakHyphen/>
      </w:r>
      <w:r w:rsidRPr="00AE758F">
        <w:t xml:space="preserve">year dollars.  The most common inflator </w:t>
      </w:r>
      <w:r w:rsidR="00D06FF8">
        <w:t xml:space="preserve">used </w:t>
      </w:r>
      <w:r w:rsidR="00F6070A">
        <w:t>for conversion from prior</w:t>
      </w:r>
      <w:r w:rsidR="00F6070A">
        <w:noBreakHyphen/>
        <w:t xml:space="preserve">year dollars </w:t>
      </w:r>
      <w:r w:rsidRPr="00AE758F">
        <w:t>is the Consumer Price Index for All Urban Consumers (CPI</w:t>
      </w:r>
      <w:r w:rsidRPr="00AE758F">
        <w:noBreakHyphen/>
        <w:t>U), developed by the</w:t>
      </w:r>
      <w:r w:rsidR="009C3487">
        <w:t> </w:t>
      </w:r>
      <w:r w:rsidRPr="00AE758F">
        <w:t>U.S. Department of Labor</w:t>
      </w:r>
      <w:r w:rsidR="00D06FF8">
        <w:t>’s</w:t>
      </w:r>
      <w:r w:rsidRPr="00AE758F">
        <w:t xml:space="preserve"> Bureau of Labor Statistics (BLS).  The </w:t>
      </w:r>
      <w:r w:rsidRPr="00AE758F" w:rsidR="003B38E5">
        <w:t xml:space="preserve">NRC used the </w:t>
      </w:r>
      <w:r w:rsidR="000D4006">
        <w:t>CPI</w:t>
      </w:r>
      <w:r w:rsidR="000D4006">
        <w:noBreakHyphen/>
        <w:t xml:space="preserve">U </w:t>
      </w:r>
      <w:r w:rsidRPr="00AE758F">
        <w:t xml:space="preserve">to </w:t>
      </w:r>
      <w:r w:rsidR="00844449">
        <w:t xml:space="preserve">convert </w:t>
      </w:r>
      <w:proofErr w:type="gramStart"/>
      <w:r w:rsidR="00844449">
        <w:t>2020 dollar</w:t>
      </w:r>
      <w:proofErr w:type="gramEnd"/>
      <w:r w:rsidR="00844449">
        <w:t xml:space="preserve"> values into </w:t>
      </w:r>
      <w:r w:rsidRPr="00AE758F">
        <w:t>202</w:t>
      </w:r>
      <w:r w:rsidR="00911139">
        <w:t>1</w:t>
      </w:r>
      <w:r w:rsidRPr="00AE758F" w:rsidR="003B38E5">
        <w:t> </w:t>
      </w:r>
      <w:r w:rsidRPr="00AE758F" w:rsidR="00531D48">
        <w:t>base</w:t>
      </w:r>
      <w:r w:rsidRPr="00AE758F" w:rsidR="003B38E5">
        <w:noBreakHyphen/>
      </w:r>
      <w:r w:rsidRPr="00AE758F" w:rsidR="00531D48">
        <w:t xml:space="preserve">year </w:t>
      </w:r>
      <w:r w:rsidRPr="00AE758F">
        <w:t>dollars</w:t>
      </w:r>
      <w:r w:rsidR="000D4006">
        <w:t>, through the following formula</w:t>
      </w:r>
      <w:r w:rsidRPr="00AE758F">
        <w:t>:</w:t>
      </w:r>
    </w:p>
    <w:p w:rsidRPr="00AE758F" w:rsidR="00C8101A" w:rsidP="007936BF" w:rsidRDefault="0057134D" w14:paraId="7520523C" w14:textId="7C1A8733">
      <w:pPr>
        <w:spacing w:line="240" w:lineRule="auto"/>
      </w:pPr>
      <m:oMathPara>
        <m:oMath>
          <m:f>
            <m:fPr>
              <m:ctrlPr>
                <w:rPr>
                  <w:rFonts w:ascii="Cambria Math" w:hAnsi="Cambria Math"/>
                </w:rPr>
              </m:ctrlPr>
            </m:fPr>
            <m:num>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m:rPr>
                      <m:sty m:val="p"/>
                    </m:rPr>
                    <w:rPr>
                      <w:rFonts w:ascii="Cambria Math" w:hAnsi="Cambria Math"/>
                    </w:rPr>
                    <m:t>2021</m:t>
                  </m:r>
                </m:sub>
              </m:sSub>
            </m:num>
            <m:den>
              <m:sSub>
                <m:sSubPr>
                  <m:ctrlPr>
                    <w:rPr>
                      <w:rFonts w:ascii="Cambria Math" w:hAnsi="Cambria Math"/>
                    </w:rPr>
                  </m:ctrlPr>
                </m:sSubPr>
                <m:e>
                  <m:r>
                    <w:rPr>
                      <w:rFonts w:ascii="Cambria Math" w:hAnsi="Cambria Math"/>
                    </w:rPr>
                    <m:t>CPI</m:t>
                  </m:r>
                  <m:r>
                    <m:rPr>
                      <m:sty m:val="p"/>
                    </m:rPr>
                    <w:rPr>
                      <w:rFonts w:ascii="Cambria Math" w:hAnsi="Cambria Math"/>
                    </w:rPr>
                    <m:t>-</m:t>
                  </m:r>
                  <m:r>
                    <w:rPr>
                      <w:rFonts w:ascii="Cambria Math" w:hAnsi="Cambria Math"/>
                    </w:rPr>
                    <m:t>U</m:t>
                  </m:r>
                </m:e>
                <m:sub>
                  <m:r>
                    <w:rPr>
                      <w:rFonts w:ascii="Cambria Math" w:hAnsi="Cambria Math"/>
                    </w:rPr>
                    <m:t>2020</m:t>
                  </m:r>
                </m:sub>
              </m:sSub>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w:rPr>
                  <w:rFonts w:ascii="Cambria Math" w:hAnsi="Cambria Math"/>
                </w:rPr>
                <m:t>2020</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Value</m:t>
              </m:r>
            </m:e>
            <m:sub>
              <m:r>
                <m:rPr>
                  <m:sty m:val="p"/>
                </m:rPr>
                <w:rPr>
                  <w:rFonts w:ascii="Cambria Math" w:hAnsi="Cambria Math"/>
                </w:rPr>
                <m:t>2021</m:t>
              </m:r>
            </m:sub>
          </m:sSub>
        </m:oMath>
      </m:oMathPara>
    </w:p>
    <w:p w:rsidRPr="00AE758F" w:rsidR="00C8101A" w:rsidP="007936BF" w:rsidRDefault="00C8101A" w14:paraId="73FFBC28" w14:textId="77777777">
      <w:pPr>
        <w:spacing w:line="240" w:lineRule="auto"/>
      </w:pPr>
    </w:p>
    <w:p w:rsidRPr="00AE758F" w:rsidR="00C8101A" w:rsidP="007936BF" w:rsidRDefault="00C8101A" w14:paraId="34E24E2E" w14:textId="20C1A983">
      <w:pPr>
        <w:spacing w:line="240" w:lineRule="auto"/>
      </w:pPr>
      <w:r w:rsidRPr="00AE758F">
        <w:fldChar w:fldCharType="begin"/>
      </w:r>
      <w:r w:rsidRPr="00AE758F">
        <w:instrText xml:space="preserve"> REF _Ref454874380 \h  \* MERGEFORMAT </w:instrText>
      </w:r>
      <w:r w:rsidRPr="00AE758F">
        <w:fldChar w:fldCharType="separate"/>
      </w:r>
      <w:r w:rsidRPr="006A41A8" w:rsidR="006A41A8">
        <w:t>Table</w:t>
      </w:r>
      <w:r w:rsidRPr="00AE758F" w:rsidR="006A41A8">
        <w:rPr>
          <w:b/>
        </w:rPr>
        <w:t xml:space="preserve"> </w:t>
      </w:r>
      <w:r w:rsidRPr="004C4838" w:rsidR="006A41A8">
        <w:rPr>
          <w:bCs/>
          <w:noProof/>
        </w:rPr>
        <w:t>1</w:t>
      </w:r>
      <w:r w:rsidRPr="00AE758F">
        <w:fldChar w:fldCharType="end"/>
      </w:r>
      <w:r w:rsidRPr="00AE758F">
        <w:t xml:space="preserve"> summarizes the CPI-U </w:t>
      </w:r>
      <w:r w:rsidR="007F293D">
        <w:t xml:space="preserve">values </w:t>
      </w:r>
      <w:r w:rsidRPr="00AE758F">
        <w:t>used in this regulatory analysis.</w:t>
      </w:r>
    </w:p>
    <w:p w:rsidRPr="00AE758F" w:rsidR="00C8101A" w:rsidP="007936BF" w:rsidRDefault="00C8101A" w14:paraId="68DE1A18" w14:textId="77777777">
      <w:pPr>
        <w:spacing w:line="240" w:lineRule="auto"/>
      </w:pPr>
    </w:p>
    <w:p w:rsidRPr="00AE758F" w:rsidR="00C8101A" w:rsidP="00382B4A" w:rsidRDefault="00C8101A" w14:paraId="2B9BED53" w14:textId="131B338B">
      <w:pPr>
        <w:pStyle w:val="Caption"/>
        <w:keepLines/>
        <w:spacing w:line="240" w:lineRule="auto"/>
        <w:ind w:left="1080" w:hanging="1080"/>
        <w:jc w:val="center"/>
        <w:rPr>
          <w:b/>
          <w:bCs w:val="0"/>
        </w:rPr>
      </w:pPr>
      <w:bookmarkStart w:name="_Ref454874380" w:id="134"/>
      <w:bookmarkStart w:name="_Toc393790899" w:id="135"/>
      <w:bookmarkStart w:name="_Toc393791033" w:id="136"/>
      <w:bookmarkStart w:name="_Toc454442462" w:id="137"/>
      <w:bookmarkStart w:name="_Toc457827382" w:id="138"/>
      <w:bookmarkStart w:name="_Toc7512463" w:id="139"/>
      <w:bookmarkStart w:name="_Toc81309677" w:id="140"/>
      <w:r w:rsidRPr="00AE758F">
        <w:rPr>
          <w:b/>
          <w:bCs w:val="0"/>
        </w:rPr>
        <w:t xml:space="preserve">Table </w:t>
      </w:r>
      <w:r w:rsidRPr="00AE758F" w:rsidR="00CE6017">
        <w:rPr>
          <w:b/>
          <w:bCs w:val="0"/>
          <w:noProof/>
        </w:rPr>
        <w:fldChar w:fldCharType="begin"/>
      </w:r>
      <w:r w:rsidRPr="00AE758F" w:rsidR="00CE6017">
        <w:rPr>
          <w:b/>
          <w:bCs w:val="0"/>
          <w:noProof/>
        </w:rPr>
        <w:instrText xml:space="preserve"> SEQ Table \* ARABIC \r 1 </w:instrText>
      </w:r>
      <w:r w:rsidRPr="00AE758F" w:rsidR="00CE6017">
        <w:rPr>
          <w:b/>
          <w:bCs w:val="0"/>
          <w:noProof/>
        </w:rPr>
        <w:fldChar w:fldCharType="separate"/>
      </w:r>
      <w:r w:rsidR="006A41A8">
        <w:rPr>
          <w:b/>
          <w:bCs w:val="0"/>
          <w:noProof/>
        </w:rPr>
        <w:t>1</w:t>
      </w:r>
      <w:r w:rsidRPr="00AE758F" w:rsidR="00CE6017">
        <w:rPr>
          <w:b/>
          <w:bCs w:val="0"/>
          <w:noProof/>
        </w:rPr>
        <w:fldChar w:fldCharType="end"/>
      </w:r>
      <w:bookmarkEnd w:id="134"/>
      <w:r w:rsidRPr="00AE758F" w:rsidR="003B38E5">
        <w:rPr>
          <w:b/>
          <w:bCs w:val="0"/>
          <w:noProof/>
        </w:rPr>
        <w:t xml:space="preserve">  </w:t>
      </w:r>
      <w:r w:rsidRPr="00AE758F">
        <w:rPr>
          <w:b/>
          <w:bCs w:val="0"/>
          <w:noProof/>
        </w:rPr>
        <w:t>CPI-U</w:t>
      </w:r>
      <w:r w:rsidRPr="00AE758F">
        <w:rPr>
          <w:b/>
          <w:bCs w:val="0"/>
        </w:rPr>
        <w:t xml:space="preserve"> Inflator</w:t>
      </w:r>
      <w:bookmarkEnd w:id="135"/>
      <w:bookmarkEnd w:id="136"/>
      <w:bookmarkEnd w:id="137"/>
      <w:bookmarkEnd w:id="138"/>
      <w:bookmarkEnd w:id="139"/>
      <w:bookmarkEnd w:id="140"/>
    </w:p>
    <w:tbl>
      <w:tblPr>
        <w:tblW w:w="79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788"/>
        <w:gridCol w:w="1888"/>
        <w:gridCol w:w="3244"/>
      </w:tblGrid>
      <w:tr w:rsidRPr="00AE758F" w:rsidR="00C8101A" w:rsidTr="00363ADA" w14:paraId="3C71DE9E" w14:textId="77777777">
        <w:trPr>
          <w:trHeight w:val="592"/>
          <w:jc w:val="center"/>
        </w:trPr>
        <w:tc>
          <w:tcPr>
            <w:tcW w:w="2788" w:type="dxa"/>
            <w:shd w:val="clear" w:color="auto" w:fill="auto"/>
            <w:vAlign w:val="center"/>
            <w:hideMark/>
          </w:tcPr>
          <w:p w:rsidRPr="00AE758F" w:rsidR="00C8101A" w:rsidP="007936BF" w:rsidRDefault="00C8101A" w14:paraId="17EC647E" w14:textId="77777777">
            <w:pPr>
              <w:spacing w:line="240" w:lineRule="auto"/>
              <w:jc w:val="center"/>
              <w:rPr>
                <w:b/>
                <w:sz w:val="20"/>
                <w:szCs w:val="20"/>
              </w:rPr>
            </w:pPr>
            <w:r w:rsidRPr="00AE758F">
              <w:rPr>
                <w:b/>
                <w:sz w:val="20"/>
                <w:szCs w:val="20"/>
              </w:rPr>
              <w:t>Base Year</w:t>
            </w:r>
          </w:p>
        </w:tc>
        <w:tc>
          <w:tcPr>
            <w:tcW w:w="1888" w:type="dxa"/>
            <w:shd w:val="clear" w:color="auto" w:fill="auto"/>
            <w:vAlign w:val="center"/>
            <w:hideMark/>
          </w:tcPr>
          <w:p w:rsidRPr="00AE758F" w:rsidR="00C8101A" w:rsidP="007936BF" w:rsidRDefault="00C8101A" w14:paraId="62D7F95B" w14:textId="7F18FA7F">
            <w:pPr>
              <w:spacing w:line="240" w:lineRule="auto"/>
              <w:jc w:val="center"/>
              <w:rPr>
                <w:b/>
                <w:sz w:val="20"/>
                <w:szCs w:val="20"/>
              </w:rPr>
            </w:pPr>
            <w:r w:rsidRPr="00AE758F">
              <w:rPr>
                <w:b/>
                <w:sz w:val="20"/>
                <w:szCs w:val="20"/>
              </w:rPr>
              <w:t xml:space="preserve">CPI-U Annual </w:t>
            </w:r>
            <w:proofErr w:type="spellStart"/>
            <w:r w:rsidRPr="00AE758F">
              <w:rPr>
                <w:b/>
                <w:sz w:val="20"/>
                <w:szCs w:val="20"/>
              </w:rPr>
              <w:t>Average</w:t>
            </w:r>
            <w:r w:rsidRPr="00AE758F" w:rsidR="0057467D">
              <w:rPr>
                <w:b/>
                <w:sz w:val="20"/>
                <w:szCs w:val="20"/>
                <w:vertAlign w:val="superscript"/>
              </w:rPr>
              <w:t>a</w:t>
            </w:r>
            <w:proofErr w:type="spellEnd"/>
          </w:p>
        </w:tc>
        <w:tc>
          <w:tcPr>
            <w:tcW w:w="3244" w:type="dxa"/>
            <w:tcBorders>
              <w:bottom w:val="single" w:color="auto" w:sz="6" w:space="0"/>
            </w:tcBorders>
            <w:shd w:val="clear" w:color="auto" w:fill="auto"/>
            <w:vAlign w:val="center"/>
            <w:hideMark/>
          </w:tcPr>
          <w:p w:rsidRPr="00AE758F" w:rsidR="00C8101A" w:rsidP="007936BF" w:rsidRDefault="00C8101A" w14:paraId="1286121F" w14:textId="60C525ED">
            <w:pPr>
              <w:spacing w:line="240" w:lineRule="auto"/>
              <w:jc w:val="center"/>
              <w:rPr>
                <w:b/>
                <w:sz w:val="20"/>
                <w:szCs w:val="20"/>
              </w:rPr>
            </w:pPr>
            <w:r w:rsidRPr="00AE758F">
              <w:rPr>
                <w:b/>
                <w:sz w:val="20"/>
                <w:szCs w:val="20"/>
              </w:rPr>
              <w:t>Percent Change from Previous Year</w:t>
            </w:r>
          </w:p>
        </w:tc>
      </w:tr>
      <w:tr w:rsidRPr="00AE758F" w:rsidR="00C8101A" w:rsidTr="00363ADA" w14:paraId="1485FC39" w14:textId="77777777">
        <w:trPr>
          <w:trHeight w:val="300"/>
          <w:jc w:val="center"/>
        </w:trPr>
        <w:tc>
          <w:tcPr>
            <w:tcW w:w="2788" w:type="dxa"/>
            <w:shd w:val="clear" w:color="auto" w:fill="auto"/>
            <w:vAlign w:val="center"/>
          </w:tcPr>
          <w:p w:rsidRPr="00AE758F" w:rsidR="00C8101A" w:rsidP="007936BF" w:rsidRDefault="00F42EB0" w14:paraId="5D581DE7" w14:textId="568D17A2">
            <w:pPr>
              <w:spacing w:line="240" w:lineRule="auto"/>
              <w:jc w:val="center"/>
              <w:rPr>
                <w:sz w:val="20"/>
                <w:szCs w:val="20"/>
              </w:rPr>
            </w:pPr>
            <w:r>
              <w:rPr>
                <w:sz w:val="20"/>
                <w:szCs w:val="20"/>
              </w:rPr>
              <w:t>2020</w:t>
            </w:r>
          </w:p>
        </w:tc>
        <w:tc>
          <w:tcPr>
            <w:tcW w:w="1888" w:type="dxa"/>
            <w:shd w:val="clear" w:color="auto" w:fill="auto"/>
            <w:vAlign w:val="center"/>
          </w:tcPr>
          <w:p w:rsidRPr="00AE758F" w:rsidR="00C8101A" w:rsidP="007936BF" w:rsidRDefault="00C8101A" w14:paraId="1880149E" w14:textId="1435DC11">
            <w:pPr>
              <w:spacing w:line="240" w:lineRule="auto"/>
              <w:jc w:val="center"/>
              <w:rPr>
                <w:sz w:val="20"/>
                <w:szCs w:val="20"/>
              </w:rPr>
            </w:pPr>
            <w:r w:rsidRPr="00AE758F">
              <w:rPr>
                <w:sz w:val="20"/>
                <w:szCs w:val="20"/>
              </w:rPr>
              <w:t>25</w:t>
            </w:r>
            <w:r w:rsidR="00727726">
              <w:rPr>
                <w:sz w:val="20"/>
                <w:szCs w:val="20"/>
              </w:rPr>
              <w:t>8.811</w:t>
            </w:r>
          </w:p>
        </w:tc>
        <w:tc>
          <w:tcPr>
            <w:tcW w:w="3244" w:type="dxa"/>
            <w:tcBorders>
              <w:top w:val="single" w:color="auto" w:sz="6" w:space="0"/>
            </w:tcBorders>
            <w:shd w:val="clear" w:color="auto" w:fill="auto"/>
            <w:noWrap/>
            <w:vAlign w:val="center"/>
          </w:tcPr>
          <w:p w:rsidRPr="00AE758F" w:rsidR="00C8101A" w:rsidP="007936BF" w:rsidRDefault="00C8101A" w14:paraId="04A3A1E2" w14:textId="4BBF90D8">
            <w:pPr>
              <w:spacing w:line="240" w:lineRule="auto"/>
              <w:jc w:val="center"/>
              <w:rPr>
                <w:color w:val="000000"/>
                <w:sz w:val="20"/>
                <w:szCs w:val="20"/>
              </w:rPr>
            </w:pPr>
          </w:p>
        </w:tc>
      </w:tr>
      <w:tr w:rsidRPr="00AE758F" w:rsidR="00363ADA" w:rsidTr="00363ADA" w14:paraId="7635A41E" w14:textId="77777777">
        <w:trPr>
          <w:trHeight w:val="300"/>
          <w:jc w:val="center"/>
        </w:trPr>
        <w:tc>
          <w:tcPr>
            <w:tcW w:w="2788" w:type="dxa"/>
            <w:shd w:val="clear" w:color="auto" w:fill="auto"/>
            <w:vAlign w:val="center"/>
            <w:hideMark/>
          </w:tcPr>
          <w:p w:rsidRPr="00AE758F" w:rsidR="00363ADA" w:rsidP="00363ADA" w:rsidRDefault="00363ADA" w14:paraId="7329D51F" w14:textId="44568DC1">
            <w:pPr>
              <w:spacing w:line="240" w:lineRule="auto"/>
              <w:jc w:val="center"/>
              <w:rPr>
                <w:sz w:val="20"/>
                <w:szCs w:val="20"/>
              </w:rPr>
            </w:pPr>
            <w:r w:rsidRPr="00AE758F">
              <w:rPr>
                <w:sz w:val="20"/>
                <w:szCs w:val="20"/>
              </w:rPr>
              <w:t>202</w:t>
            </w:r>
            <w:r w:rsidR="00F42EB0">
              <w:rPr>
                <w:sz w:val="20"/>
                <w:szCs w:val="20"/>
              </w:rPr>
              <w:t>1</w:t>
            </w:r>
          </w:p>
        </w:tc>
        <w:tc>
          <w:tcPr>
            <w:tcW w:w="1888" w:type="dxa"/>
            <w:tcBorders>
              <w:top w:val="nil"/>
              <w:left w:val="nil"/>
              <w:bottom w:val="single" w:color="auto" w:sz="8" w:space="0"/>
              <w:right w:val="single" w:color="auto" w:sz="8" w:space="0"/>
            </w:tcBorders>
            <w:shd w:val="clear" w:color="auto" w:fill="auto"/>
            <w:vAlign w:val="center"/>
            <w:hideMark/>
          </w:tcPr>
          <w:p w:rsidRPr="00AE758F" w:rsidR="00363ADA" w:rsidP="00363ADA" w:rsidRDefault="00363ADA" w14:paraId="26E1EBDE" w14:textId="1826A9A8">
            <w:pPr>
              <w:autoSpaceDE/>
              <w:autoSpaceDN/>
              <w:adjustRightInd/>
              <w:spacing w:line="240" w:lineRule="auto"/>
              <w:jc w:val="center"/>
              <w:rPr>
                <w:color w:val="000000"/>
                <w:sz w:val="20"/>
                <w:szCs w:val="20"/>
              </w:rPr>
            </w:pPr>
            <w:r w:rsidRPr="00AE758F">
              <w:rPr>
                <w:color w:val="000000"/>
                <w:sz w:val="20"/>
                <w:szCs w:val="20"/>
              </w:rPr>
              <w:t>26</w:t>
            </w:r>
            <w:r w:rsidR="00727726">
              <w:rPr>
                <w:color w:val="000000"/>
                <w:sz w:val="20"/>
                <w:szCs w:val="20"/>
              </w:rPr>
              <w:t>6.236</w:t>
            </w:r>
          </w:p>
        </w:tc>
        <w:tc>
          <w:tcPr>
            <w:tcW w:w="3244" w:type="dxa"/>
            <w:tcBorders>
              <w:top w:val="nil"/>
              <w:left w:val="nil"/>
              <w:bottom w:val="single" w:color="auto" w:sz="8" w:space="0"/>
              <w:right w:val="single" w:color="auto" w:sz="8" w:space="0"/>
            </w:tcBorders>
            <w:shd w:val="clear" w:color="auto" w:fill="auto"/>
            <w:noWrap/>
            <w:vAlign w:val="center"/>
            <w:hideMark/>
          </w:tcPr>
          <w:p w:rsidRPr="00AE758F" w:rsidR="00363ADA" w:rsidP="00363ADA" w:rsidRDefault="00F861E1" w14:paraId="442262D0" w14:textId="51C18577">
            <w:pPr>
              <w:spacing w:line="240" w:lineRule="auto"/>
              <w:jc w:val="center"/>
              <w:rPr>
                <w:sz w:val="20"/>
                <w:szCs w:val="20"/>
              </w:rPr>
            </w:pPr>
            <w:r>
              <w:rPr>
                <w:color w:val="000000"/>
                <w:sz w:val="20"/>
                <w:szCs w:val="20"/>
              </w:rPr>
              <w:t>2.87</w:t>
            </w:r>
            <w:r w:rsidRPr="00AE758F" w:rsidR="00363ADA">
              <w:rPr>
                <w:color w:val="000000"/>
                <w:sz w:val="20"/>
                <w:szCs w:val="20"/>
              </w:rPr>
              <w:t>%</w:t>
            </w:r>
          </w:p>
        </w:tc>
      </w:tr>
    </w:tbl>
    <w:p w:rsidRPr="00AE758F" w:rsidR="009A3151" w:rsidP="00047EE2" w:rsidRDefault="00C8101A" w14:paraId="04205E62" w14:textId="4E260F69">
      <w:pPr>
        <w:spacing w:line="240" w:lineRule="auto"/>
        <w:ind w:left="810" w:hanging="90"/>
        <w:rPr>
          <w:sz w:val="18"/>
          <w:szCs w:val="18"/>
        </w:rPr>
      </w:pPr>
      <w:proofErr w:type="spellStart"/>
      <w:r w:rsidRPr="00047EE2">
        <w:rPr>
          <w:sz w:val="18"/>
          <w:szCs w:val="18"/>
          <w:vertAlign w:val="superscript"/>
        </w:rPr>
        <w:t>a</w:t>
      </w:r>
      <w:proofErr w:type="spellEnd"/>
      <w:r w:rsidRPr="00AE758F">
        <w:rPr>
          <w:sz w:val="18"/>
          <w:szCs w:val="18"/>
        </w:rPr>
        <w:tab/>
      </w:r>
      <w:proofErr w:type="gramStart"/>
      <w:r w:rsidRPr="00AE758F" w:rsidR="009A3151">
        <w:rPr>
          <w:sz w:val="18"/>
          <w:szCs w:val="18"/>
        </w:rPr>
        <w:t>For</w:t>
      </w:r>
      <w:proofErr w:type="gramEnd"/>
      <w:r w:rsidRPr="00AE758F" w:rsidR="009A3151">
        <w:rPr>
          <w:sz w:val="18"/>
          <w:szCs w:val="18"/>
        </w:rPr>
        <w:t xml:space="preserve"> 202</w:t>
      </w:r>
      <w:r w:rsidR="00714EA8">
        <w:rPr>
          <w:sz w:val="18"/>
          <w:szCs w:val="18"/>
        </w:rPr>
        <w:t>1</w:t>
      </w:r>
      <w:r w:rsidRPr="00AE758F" w:rsidR="003B38E5">
        <w:rPr>
          <w:sz w:val="18"/>
          <w:szCs w:val="18"/>
        </w:rPr>
        <w:t>,</w:t>
      </w:r>
      <w:r w:rsidRPr="00AE758F" w:rsidR="00177438">
        <w:rPr>
          <w:sz w:val="18"/>
          <w:szCs w:val="18"/>
        </w:rPr>
        <w:t xml:space="preserve"> </w:t>
      </w:r>
      <w:r w:rsidRPr="00AE758F" w:rsidR="009A3151">
        <w:rPr>
          <w:sz w:val="18"/>
          <w:szCs w:val="18"/>
        </w:rPr>
        <w:t xml:space="preserve">the CPI-U annual average is the average value for the first </w:t>
      </w:r>
      <w:r w:rsidR="004203EB">
        <w:rPr>
          <w:sz w:val="18"/>
          <w:szCs w:val="18"/>
        </w:rPr>
        <w:t>6</w:t>
      </w:r>
      <w:r w:rsidRPr="00AE758F" w:rsidR="009A3151">
        <w:rPr>
          <w:sz w:val="18"/>
          <w:szCs w:val="18"/>
        </w:rPr>
        <w:t xml:space="preserve"> months</w:t>
      </w:r>
      <w:r w:rsidR="0030750B">
        <w:rPr>
          <w:sz w:val="18"/>
          <w:szCs w:val="18"/>
        </w:rPr>
        <w:t xml:space="preserve"> based on data availability at the time of the analysis.</w:t>
      </w:r>
    </w:p>
    <w:p w:rsidRPr="00AE758F" w:rsidR="00C8101A" w:rsidP="00382B4A" w:rsidRDefault="009A3151" w14:paraId="50CACEEE" w14:textId="09DEB200">
      <w:pPr>
        <w:spacing w:line="240" w:lineRule="auto"/>
        <w:ind w:left="720"/>
        <w:rPr>
          <w:sz w:val="18"/>
          <w:szCs w:val="18"/>
        </w:rPr>
      </w:pPr>
      <w:r w:rsidRPr="00AE758F">
        <w:rPr>
          <w:sz w:val="18"/>
          <w:szCs w:val="18"/>
        </w:rPr>
        <w:t xml:space="preserve">Source: </w:t>
      </w:r>
      <w:r w:rsidRPr="00AE758F" w:rsidR="003B38E5">
        <w:rPr>
          <w:sz w:val="18"/>
          <w:szCs w:val="18"/>
        </w:rPr>
        <w:t xml:space="preserve"> </w:t>
      </w:r>
      <w:r w:rsidRPr="00AE758F" w:rsidR="002C0DE8">
        <w:rPr>
          <w:sz w:val="18"/>
          <w:szCs w:val="18"/>
        </w:rPr>
        <w:t>BLS, 202</w:t>
      </w:r>
      <w:r w:rsidR="0042594E">
        <w:rPr>
          <w:sz w:val="18"/>
          <w:szCs w:val="18"/>
        </w:rPr>
        <w:t>0a</w:t>
      </w:r>
    </w:p>
    <w:p w:rsidRPr="00AE758F" w:rsidR="004F333F" w:rsidP="009A64E5" w:rsidRDefault="004F333F" w14:paraId="2A6B2386" w14:textId="12EAFE29">
      <w:pPr>
        <w:spacing w:line="240" w:lineRule="auto"/>
        <w:ind w:left="720"/>
      </w:pPr>
    </w:p>
    <w:p w:rsidRPr="00AE758F" w:rsidR="00C8101A" w:rsidP="007936BF" w:rsidRDefault="00C8101A" w14:paraId="04FB6AF8" w14:textId="77777777">
      <w:pPr>
        <w:pStyle w:val="Heading3"/>
        <w:spacing w:line="240" w:lineRule="auto"/>
        <w:ind w:left="720" w:hanging="720"/>
        <w:rPr>
          <w:b/>
        </w:rPr>
      </w:pPr>
      <w:bookmarkStart w:name="_Toc456098224" w:id="141"/>
      <w:bookmarkStart w:name="_Toc457827237" w:id="142"/>
      <w:bookmarkStart w:name="_Toc521577056" w:id="143"/>
      <w:bookmarkStart w:name="_Toc7512243" w:id="144"/>
      <w:bookmarkStart w:name="_Toc81309113" w:id="145"/>
      <w:r w:rsidRPr="00AE758F">
        <w:t>4.2.6</w:t>
      </w:r>
      <w:r w:rsidRPr="00AE758F">
        <w:tab/>
        <w:t>Labor Rates</w:t>
      </w:r>
      <w:bookmarkEnd w:id="141"/>
      <w:bookmarkEnd w:id="142"/>
      <w:bookmarkEnd w:id="143"/>
      <w:bookmarkEnd w:id="144"/>
      <w:bookmarkEnd w:id="145"/>
    </w:p>
    <w:p w:rsidRPr="00AE758F" w:rsidR="00C8101A" w:rsidP="007936BF" w:rsidRDefault="00C8101A" w14:paraId="3C4366D7" w14:textId="77777777">
      <w:pPr>
        <w:keepNext/>
        <w:spacing w:line="240" w:lineRule="auto"/>
      </w:pPr>
    </w:p>
    <w:p w:rsidRPr="00AE758F" w:rsidR="00C8101A" w:rsidP="007936BF" w:rsidRDefault="00C8101A" w14:paraId="00CD092C" w14:textId="492A3C23">
      <w:pPr>
        <w:spacing w:line="240" w:lineRule="auto"/>
      </w:pPr>
      <w:r w:rsidRPr="00AE758F">
        <w:t xml:space="preserve">For the purposes of this regulatory analysis, the </w:t>
      </w:r>
      <w:r w:rsidRPr="00AE758F" w:rsidR="00C14057">
        <w:t>NRC</w:t>
      </w:r>
      <w:r w:rsidRPr="00AE758F">
        <w:t xml:space="preserve"> developed labor rates that include only labor and material costs directly related to the implementation, operation, and maintenance of the </w:t>
      </w:r>
      <w:r w:rsidRPr="00AE758F" w:rsidR="0044344C">
        <w:t>proposed</w:t>
      </w:r>
      <w:r w:rsidRPr="00AE758F">
        <w:t xml:space="preserve"> rule requirements.  This approach is consistent with the guidance in NUREG/CR</w:t>
      </w:r>
      <w:r w:rsidR="000A786B">
        <w:noBreakHyphen/>
      </w:r>
      <w:r w:rsidRPr="00AE758F">
        <w:t>3568, “A Handbook for Value-Impact Assessment,” issued December 1983</w:t>
      </w:r>
      <w:r w:rsidRPr="00AE758F" w:rsidR="006F0A68">
        <w:t xml:space="preserve"> </w:t>
      </w:r>
      <w:r w:rsidRPr="00AE758F">
        <w:t xml:space="preserve">(NRC, 1983), and </w:t>
      </w:r>
      <w:r w:rsidR="000A786B">
        <w:t xml:space="preserve">with </w:t>
      </w:r>
      <w:r w:rsidRPr="00AE758F">
        <w:t>general cost-benefit methodology.  The NRC incremental labor rate is $13</w:t>
      </w:r>
      <w:r w:rsidR="00AD174C">
        <w:t>7</w:t>
      </w:r>
      <w:r w:rsidRPr="00AE758F">
        <w:t> per hour in 202</w:t>
      </w:r>
      <w:r w:rsidR="00AD174C">
        <w:t>1</w:t>
      </w:r>
      <w:r w:rsidRPr="00AE758F" w:rsidR="00645246">
        <w:t> </w:t>
      </w:r>
      <w:r w:rsidRPr="00AE758F">
        <w:t>dollars.</w:t>
      </w:r>
      <w:r w:rsidRPr="00AE758F">
        <w:rPr>
          <w:rStyle w:val="FootnoteReference"/>
          <w:vertAlign w:val="superscript"/>
        </w:rPr>
        <w:footnoteReference w:id="5"/>
      </w:r>
    </w:p>
    <w:p w:rsidRPr="00AE758F" w:rsidR="00C8101A" w:rsidP="007936BF" w:rsidRDefault="00C8101A" w14:paraId="54E57FE6" w14:textId="77777777">
      <w:pPr>
        <w:spacing w:line="240" w:lineRule="auto"/>
      </w:pPr>
    </w:p>
    <w:p w:rsidRPr="00AE758F" w:rsidR="00C8101A" w:rsidP="007936BF" w:rsidRDefault="00C8101A" w14:paraId="03688D20" w14:textId="4C541622">
      <w:pPr>
        <w:spacing w:line="240" w:lineRule="auto"/>
      </w:pPr>
      <w:r w:rsidRPr="00AE758F">
        <w:rPr>
          <w:rFonts w:eastAsiaTheme="minorEastAsia"/>
          <w:lang w:eastAsia="ja-JP"/>
        </w:rPr>
        <w:t xml:space="preserve">The </w:t>
      </w:r>
      <w:r w:rsidRPr="00AE758F" w:rsidR="00C14057">
        <w:rPr>
          <w:rFonts w:eastAsiaTheme="minorEastAsia"/>
          <w:lang w:eastAsia="ja-JP"/>
        </w:rPr>
        <w:t>NRC</w:t>
      </w:r>
      <w:r w:rsidRPr="00AE758F">
        <w:rPr>
          <w:rFonts w:eastAsiaTheme="minorEastAsia"/>
          <w:lang w:eastAsia="ja-JP"/>
        </w:rPr>
        <w:t xml:space="preserve"> used the 20</w:t>
      </w:r>
      <w:r w:rsidR="00AD174C">
        <w:rPr>
          <w:rFonts w:eastAsiaTheme="minorEastAsia"/>
          <w:lang w:eastAsia="ja-JP"/>
        </w:rPr>
        <w:t>20</w:t>
      </w:r>
      <w:r w:rsidRPr="00AE758F" w:rsidR="00645246">
        <w:rPr>
          <w:rFonts w:eastAsiaTheme="minorEastAsia"/>
          <w:lang w:eastAsia="ja-JP"/>
        </w:rPr>
        <w:t> </w:t>
      </w:r>
      <w:r w:rsidRPr="00AE758F">
        <w:rPr>
          <w:rFonts w:eastAsiaTheme="minorEastAsia"/>
          <w:lang w:eastAsia="ja-JP"/>
        </w:rPr>
        <w:t>BLS Occupational Employment and Wages data (</w:t>
      </w:r>
      <w:r w:rsidRPr="00AE758F" w:rsidR="002368AF">
        <w:t>BLS, 20</w:t>
      </w:r>
      <w:r w:rsidR="00AD174C">
        <w:t>20</w:t>
      </w:r>
      <w:r w:rsidR="0042594E">
        <w:t>b</w:t>
      </w:r>
      <w:r w:rsidRPr="00AE758F">
        <w:rPr>
          <w:rFonts w:eastAsiaTheme="minorEastAsia"/>
          <w:lang w:eastAsia="ja-JP"/>
        </w:rPr>
        <w:t>) for the</w:t>
      </w:r>
      <w:r w:rsidR="00A56600">
        <w:rPr>
          <w:rFonts w:eastAsiaTheme="minorEastAsia"/>
          <w:lang w:eastAsia="ja-JP"/>
        </w:rPr>
        <w:t> </w:t>
      </w:r>
      <w:r w:rsidRPr="00AE758F">
        <w:rPr>
          <w:rFonts w:eastAsiaTheme="minorEastAsia"/>
          <w:lang w:eastAsia="ja-JP"/>
        </w:rPr>
        <w:t>nuclear electric power generation industry (</w:t>
      </w:r>
      <w:r w:rsidRPr="00AE758F">
        <w:t xml:space="preserve">North American Industry Classification System </w:t>
      </w:r>
      <w:r w:rsidRPr="00AE758F">
        <w:rPr>
          <w:rFonts w:eastAsiaTheme="minorEastAsia"/>
          <w:lang w:eastAsia="ja-JP"/>
        </w:rPr>
        <w:t>Code 221113), which provide labor categories and the mean hourly wage rate by job type</w:t>
      </w:r>
      <w:r w:rsidR="003040A9">
        <w:rPr>
          <w:rFonts w:eastAsiaTheme="minorEastAsia"/>
          <w:lang w:eastAsia="ja-JP"/>
        </w:rPr>
        <w:t xml:space="preserve">.  The NRC </w:t>
      </w:r>
      <w:r w:rsidRPr="00AE758F">
        <w:rPr>
          <w:rFonts w:eastAsiaTheme="minorEastAsia"/>
          <w:lang w:eastAsia="ja-JP"/>
        </w:rPr>
        <w:t xml:space="preserve">used the </w:t>
      </w:r>
      <w:r w:rsidR="003040A9">
        <w:rPr>
          <w:rFonts w:eastAsiaTheme="minorEastAsia"/>
          <w:lang w:eastAsia="ja-JP"/>
        </w:rPr>
        <w:t>CPI</w:t>
      </w:r>
      <w:r w:rsidR="003040A9">
        <w:rPr>
          <w:rFonts w:eastAsiaTheme="minorEastAsia"/>
          <w:lang w:eastAsia="ja-JP"/>
        </w:rPr>
        <w:noBreakHyphen/>
        <w:t xml:space="preserve">U </w:t>
      </w:r>
      <w:r w:rsidRPr="00AE758F">
        <w:rPr>
          <w:rFonts w:eastAsiaTheme="minorEastAsia"/>
          <w:lang w:eastAsia="ja-JP"/>
        </w:rPr>
        <w:t>to inflate these labor rate data to 202</w:t>
      </w:r>
      <w:r w:rsidR="00D3314A">
        <w:rPr>
          <w:rFonts w:eastAsiaTheme="minorEastAsia"/>
          <w:lang w:eastAsia="ja-JP"/>
        </w:rPr>
        <w:t>1</w:t>
      </w:r>
      <w:r w:rsidRPr="00AE758F" w:rsidR="00645246">
        <w:rPr>
          <w:rFonts w:eastAsiaTheme="minorEastAsia"/>
          <w:lang w:eastAsia="ja-JP"/>
        </w:rPr>
        <w:t> </w:t>
      </w:r>
      <w:r w:rsidRPr="00AE758F">
        <w:rPr>
          <w:rFonts w:eastAsiaTheme="minorEastAsia"/>
          <w:lang w:eastAsia="ja-JP"/>
        </w:rPr>
        <w:t>dollars.  The</w:t>
      </w:r>
      <w:r w:rsidR="00A56600">
        <w:rPr>
          <w:rFonts w:eastAsiaTheme="minorEastAsia"/>
          <w:lang w:eastAsia="ja-JP"/>
        </w:rPr>
        <w:t> </w:t>
      </w:r>
      <w:r w:rsidRPr="00AE758F">
        <w:rPr>
          <w:rFonts w:eastAsiaTheme="minorEastAsia"/>
          <w:lang w:eastAsia="ja-JP"/>
        </w:rPr>
        <w:t>labor rates used in the analysis reflect total hourly compensation, which includes wages and nonwage benefits (using a burden factor of 2.4, applicable for contract labor and conservative for regular utility employees)</w:t>
      </w:r>
      <w:r w:rsidRPr="00AE758F">
        <w:t xml:space="preserve">.  The </w:t>
      </w:r>
      <w:r w:rsidRPr="00AE758F" w:rsidR="001D647F">
        <w:t>NRC</w:t>
      </w:r>
      <w:r w:rsidRPr="00AE758F">
        <w:t xml:space="preserve"> used the BLS data tables to select appropriate hourly labor rates for the estimated procedural, licensing, and utility</w:t>
      </w:r>
      <w:r w:rsidRPr="00AE758F" w:rsidR="00645246">
        <w:noBreakHyphen/>
      </w:r>
      <w:r w:rsidRPr="00AE758F">
        <w:t xml:space="preserve">related work necessary during and </w:t>
      </w:r>
      <w:r w:rsidR="003040A9">
        <w:t xml:space="preserve">after </w:t>
      </w:r>
      <w:r w:rsidRPr="00AE758F">
        <w:t>implementation of the alternative.</w:t>
      </w:r>
      <w:r w:rsidRPr="00AE758F" w:rsidR="00645246">
        <w:t xml:space="preserve"> </w:t>
      </w:r>
      <w:r w:rsidRPr="00AE758F">
        <w:t xml:space="preserve"> In</w:t>
      </w:r>
      <w:r w:rsidR="00A56600">
        <w:t> </w:t>
      </w:r>
      <w:r w:rsidRPr="00AE758F">
        <w:t xml:space="preserve">establishing </w:t>
      </w:r>
      <w:r w:rsidR="00242C4F">
        <w:t xml:space="preserve">the </w:t>
      </w:r>
      <w:r w:rsidRPr="00AE758F">
        <w:t>labor rate</w:t>
      </w:r>
      <w:r w:rsidR="00242C4F">
        <w:t>s</w:t>
      </w:r>
      <w:r w:rsidRPr="00AE758F">
        <w:t xml:space="preserve">, </w:t>
      </w:r>
      <w:r w:rsidR="00242C4F">
        <w:t xml:space="preserve">the NRC included </w:t>
      </w:r>
      <w:r w:rsidRPr="00AE758F">
        <w:t>wages paid to the individuals performing the work plus the</w:t>
      </w:r>
      <w:r w:rsidR="00A56600">
        <w:t> </w:t>
      </w:r>
      <w:r w:rsidRPr="00AE758F">
        <w:t>associated fringe benefit component of labor cost (i.e., the time for plant management over and above those directly expensed)</w:t>
      </w:r>
      <w:r w:rsidR="00242C4F">
        <w:t>, which</w:t>
      </w:r>
      <w:r w:rsidRPr="00AE758F">
        <w:t xml:space="preserve"> are considered incremental expenses.  </w:t>
      </w:r>
      <w:r w:rsidRPr="00A56600">
        <w:fldChar w:fldCharType="begin"/>
      </w:r>
      <w:r w:rsidRPr="00AE758F">
        <w:instrText xml:space="preserve"> REF _Ref448319675 \h </w:instrText>
      </w:r>
      <w:r w:rsidRPr="00A56600">
        <w:instrText xml:space="preserve"> \* MERGEFORMAT </w:instrText>
      </w:r>
      <w:r w:rsidRPr="00A56600">
        <w:fldChar w:fldCharType="separate"/>
      </w:r>
      <w:r w:rsidRPr="006A41A8" w:rsidR="006A41A8">
        <w:t>Table</w:t>
      </w:r>
      <w:r w:rsidRPr="00AE758F" w:rsidR="006A41A8">
        <w:rPr>
          <w:b/>
        </w:rPr>
        <w:t xml:space="preserve"> </w:t>
      </w:r>
      <w:r w:rsidRPr="00CA5688" w:rsidR="006A41A8">
        <w:rPr>
          <w:bCs/>
          <w:noProof/>
        </w:rPr>
        <w:t>2</w:t>
      </w:r>
      <w:r w:rsidRPr="00A56600">
        <w:fldChar w:fldCharType="end"/>
      </w:r>
      <w:r w:rsidRPr="00AE758F">
        <w:t xml:space="preserve"> summarizes the BLS labor categories used to estimate industry labor costs to implement this </w:t>
      </w:r>
      <w:r w:rsidRPr="00AE758F" w:rsidR="0044344C">
        <w:t>proposed</w:t>
      </w:r>
      <w:r w:rsidRPr="00AE758F">
        <w:t xml:space="preserve"> rule, and Appendix A lists the industry labor rates used in the analysis.  The </w:t>
      </w:r>
      <w:r w:rsidRPr="00AE758F" w:rsidR="001D647F">
        <w:t>NRC</w:t>
      </w:r>
      <w:r w:rsidRPr="00AE758F">
        <w:t xml:space="preserve"> </w:t>
      </w:r>
      <w:r w:rsidR="00A66671">
        <w:t xml:space="preserve">also </w:t>
      </w:r>
      <w:r w:rsidRPr="00AE758F">
        <w:t>performed an uncertainty analysis</w:t>
      </w:r>
      <w:r w:rsidRPr="00AE758F" w:rsidR="00645246">
        <w:t xml:space="preserve"> (see</w:t>
      </w:r>
      <w:r w:rsidRPr="00AE758F">
        <w:t xml:space="preserve"> Section 5.13</w:t>
      </w:r>
      <w:r w:rsidRPr="00AE758F" w:rsidR="00645246">
        <w:t>)</w:t>
      </w:r>
      <w:r w:rsidRPr="00AE758F">
        <w:t>.</w:t>
      </w:r>
    </w:p>
    <w:p w:rsidRPr="00AE758F" w:rsidR="00C8101A" w:rsidP="007936BF" w:rsidRDefault="00C8101A" w14:paraId="5CFAB926" w14:textId="77777777">
      <w:pPr>
        <w:spacing w:line="240" w:lineRule="auto"/>
      </w:pPr>
    </w:p>
    <w:p w:rsidRPr="00AE758F" w:rsidR="00C8101A" w:rsidP="00382B4A" w:rsidRDefault="00C8101A" w14:paraId="199DCD4F" w14:textId="7A36A7E7">
      <w:pPr>
        <w:pStyle w:val="Caption"/>
        <w:spacing w:line="240" w:lineRule="auto"/>
        <w:ind w:left="1080" w:hanging="1080"/>
        <w:jc w:val="center"/>
        <w:rPr>
          <w:b/>
          <w:bCs w:val="0"/>
        </w:rPr>
      </w:pPr>
      <w:bookmarkStart w:name="_Ref448319675" w:id="146"/>
      <w:bookmarkStart w:name="_Toc454442463" w:id="147"/>
      <w:bookmarkStart w:name="_Toc457827383" w:id="148"/>
      <w:bookmarkStart w:name="_Toc7512464" w:id="149"/>
      <w:bookmarkStart w:name="_Toc81309678" w:id="150"/>
      <w:r w:rsidRPr="00AE758F">
        <w:rPr>
          <w:b/>
          <w:bCs w:val="0"/>
        </w:rPr>
        <w:lastRenderedPageBreak/>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2</w:t>
      </w:r>
      <w:r w:rsidRPr="00AE758F">
        <w:rPr>
          <w:b/>
          <w:bCs w:val="0"/>
          <w:noProof/>
        </w:rPr>
        <w:fldChar w:fldCharType="end"/>
      </w:r>
      <w:bookmarkEnd w:id="146"/>
      <w:r w:rsidRPr="00AE758F" w:rsidR="00645246">
        <w:rPr>
          <w:b/>
          <w:bCs w:val="0"/>
          <w:noProof/>
        </w:rPr>
        <w:t xml:space="preserve">  </w:t>
      </w:r>
      <w:r w:rsidRPr="00AE758F">
        <w:rPr>
          <w:b/>
          <w:bCs w:val="0"/>
        </w:rPr>
        <w:t>Position Titles and Occupations</w:t>
      </w:r>
      <w:bookmarkEnd w:id="147"/>
      <w:bookmarkEnd w:id="148"/>
      <w:bookmarkEnd w:id="149"/>
      <w:bookmarkEnd w:id="150"/>
    </w:p>
    <w:tbl>
      <w:tblPr>
        <w:tblW w:w="9445" w:type="dxa"/>
        <w:tblLook w:val="04A0" w:firstRow="1" w:lastRow="0" w:firstColumn="1" w:lastColumn="0" w:noHBand="0" w:noVBand="1"/>
      </w:tblPr>
      <w:tblGrid>
        <w:gridCol w:w="2065"/>
        <w:gridCol w:w="7380"/>
      </w:tblGrid>
      <w:tr w:rsidRPr="00AE758F" w:rsidR="00C8101A" w:rsidTr="00B62830" w14:paraId="4622D917" w14:textId="77777777">
        <w:trPr>
          <w:trHeight w:val="629"/>
          <w:tblHeader/>
        </w:trPr>
        <w:tc>
          <w:tcPr>
            <w:tcW w:w="20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E758F" w:rsidR="00C8101A" w:rsidP="007936BF" w:rsidRDefault="00C8101A" w14:paraId="55DA15C2" w14:textId="6466D9FD">
            <w:pPr>
              <w:autoSpaceDE/>
              <w:autoSpaceDN/>
              <w:adjustRightInd/>
              <w:spacing w:line="240" w:lineRule="auto"/>
              <w:jc w:val="center"/>
              <w:rPr>
                <w:rFonts w:eastAsia="Times New Roman"/>
                <w:b/>
                <w:bCs/>
                <w:color w:val="000000"/>
                <w:sz w:val="20"/>
                <w:szCs w:val="20"/>
              </w:rPr>
            </w:pPr>
            <w:bookmarkStart w:name="RANGE!A1" w:id="151"/>
            <w:r w:rsidRPr="00AE758F">
              <w:rPr>
                <w:rFonts w:eastAsia="Times New Roman"/>
                <w:b/>
                <w:bCs/>
                <w:color w:val="000000"/>
                <w:sz w:val="20"/>
                <w:szCs w:val="20"/>
              </w:rPr>
              <w:t>Position Title</w:t>
            </w:r>
            <w:bookmarkEnd w:id="151"/>
            <w:r w:rsidRPr="00AE758F">
              <w:rPr>
                <w:rFonts w:eastAsia="Times New Roman"/>
                <w:b/>
                <w:bCs/>
                <w:color w:val="000000"/>
                <w:sz w:val="20"/>
                <w:szCs w:val="20"/>
              </w:rPr>
              <w:t xml:space="preserve"> (in This Regulatory Analysis)</w:t>
            </w:r>
          </w:p>
        </w:tc>
        <w:tc>
          <w:tcPr>
            <w:tcW w:w="7380" w:type="dxa"/>
            <w:tcBorders>
              <w:top w:val="single" w:color="auto" w:sz="4" w:space="0"/>
              <w:left w:val="nil"/>
              <w:bottom w:val="single" w:color="auto" w:sz="4" w:space="0"/>
              <w:right w:val="single" w:color="auto" w:sz="4" w:space="0"/>
            </w:tcBorders>
            <w:shd w:val="clear" w:color="auto" w:fill="auto"/>
            <w:vAlign w:val="center"/>
            <w:hideMark/>
          </w:tcPr>
          <w:p w:rsidRPr="00AE758F" w:rsidR="00C8101A" w:rsidP="007936BF" w:rsidRDefault="00C8101A" w14:paraId="2A8186F3" w14:textId="4C64E4DC">
            <w:pPr>
              <w:autoSpaceDE/>
              <w:autoSpaceDN/>
              <w:adjustRightInd/>
              <w:spacing w:line="240" w:lineRule="auto"/>
              <w:jc w:val="center"/>
              <w:rPr>
                <w:rFonts w:eastAsia="Times New Roman"/>
                <w:b/>
                <w:bCs/>
                <w:color w:val="000000"/>
                <w:sz w:val="20"/>
                <w:szCs w:val="20"/>
              </w:rPr>
            </w:pPr>
            <w:r w:rsidRPr="00AE758F">
              <w:rPr>
                <w:rFonts w:eastAsia="Times New Roman"/>
                <w:b/>
                <w:bCs/>
                <w:color w:val="000000"/>
                <w:sz w:val="20"/>
                <w:szCs w:val="20"/>
              </w:rPr>
              <w:t>Standard Occupational Classification Code</w:t>
            </w:r>
          </w:p>
        </w:tc>
      </w:tr>
      <w:tr w:rsidRPr="00AE758F" w:rsidR="00C8101A" w:rsidTr="00B62830" w14:paraId="2B2CC277" w14:textId="77777777">
        <w:trPr>
          <w:trHeight w:val="251"/>
        </w:trPr>
        <w:tc>
          <w:tcPr>
            <w:tcW w:w="2065" w:type="dxa"/>
            <w:vMerge w:val="restart"/>
            <w:tcBorders>
              <w:top w:val="nil"/>
              <w:left w:val="single" w:color="auto" w:sz="4" w:space="0"/>
              <w:bottom w:val="single" w:color="auto" w:sz="4" w:space="0"/>
              <w:right w:val="single" w:color="auto" w:sz="4" w:space="0"/>
            </w:tcBorders>
            <w:shd w:val="clear" w:color="auto" w:fill="auto"/>
            <w:noWrap/>
            <w:vAlign w:val="center"/>
            <w:hideMark/>
          </w:tcPr>
          <w:p w:rsidRPr="00AE758F" w:rsidR="00C8101A" w:rsidP="007936BF" w:rsidRDefault="00C8101A" w14:paraId="41EF25C4" w14:textId="77777777">
            <w:pPr>
              <w:autoSpaceDE/>
              <w:autoSpaceDN/>
              <w:adjustRightInd/>
              <w:spacing w:line="240" w:lineRule="auto"/>
              <w:jc w:val="center"/>
              <w:rPr>
                <w:rFonts w:eastAsia="Times New Roman"/>
                <w:color w:val="000000"/>
                <w:sz w:val="20"/>
                <w:szCs w:val="20"/>
              </w:rPr>
            </w:pPr>
            <w:r w:rsidRPr="00AE758F">
              <w:rPr>
                <w:rFonts w:eastAsia="Times New Roman"/>
                <w:color w:val="000000"/>
                <w:sz w:val="20"/>
                <w:szCs w:val="20"/>
              </w:rPr>
              <w:t>Managers</w:t>
            </w: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0E88A4F3" w14:textId="74F2F0A8">
            <w:pPr>
              <w:autoSpaceDE/>
              <w:autoSpaceDN/>
              <w:adjustRightInd/>
              <w:spacing w:line="240" w:lineRule="auto"/>
              <w:rPr>
                <w:rFonts w:eastAsia="Times New Roman"/>
                <w:color w:val="000000"/>
                <w:sz w:val="20"/>
                <w:szCs w:val="20"/>
              </w:rPr>
            </w:pPr>
            <w:r w:rsidRPr="00AE758F">
              <w:rPr>
                <w:rFonts w:eastAsia="Times New Roman"/>
                <w:color w:val="000000"/>
                <w:sz w:val="20"/>
                <w:szCs w:val="20"/>
              </w:rPr>
              <w:t>Top Executives (11</w:t>
            </w:r>
            <w:r w:rsidR="007C1049">
              <w:rPr>
                <w:rFonts w:eastAsia="Times New Roman"/>
                <w:color w:val="000000"/>
                <w:sz w:val="20"/>
                <w:szCs w:val="20"/>
              </w:rPr>
              <w:t>-</w:t>
            </w:r>
            <w:r w:rsidRPr="00AE758F">
              <w:rPr>
                <w:rFonts w:eastAsia="Times New Roman"/>
                <w:color w:val="000000"/>
                <w:sz w:val="20"/>
                <w:szCs w:val="20"/>
              </w:rPr>
              <w:t>1000)</w:t>
            </w:r>
          </w:p>
        </w:tc>
      </w:tr>
      <w:tr w:rsidRPr="00AE758F" w:rsidR="00C8101A" w:rsidTr="00B62830" w14:paraId="06785997" w14:textId="77777777">
        <w:trPr>
          <w:trHeight w:val="269"/>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6F2D0DF1"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2E7CD807" w14:textId="27074CC0">
            <w:pPr>
              <w:autoSpaceDE/>
              <w:autoSpaceDN/>
              <w:adjustRightInd/>
              <w:spacing w:line="240" w:lineRule="auto"/>
              <w:rPr>
                <w:rFonts w:eastAsia="Times New Roman"/>
                <w:color w:val="000000"/>
                <w:sz w:val="20"/>
                <w:szCs w:val="20"/>
              </w:rPr>
            </w:pPr>
            <w:r w:rsidRPr="00AE758F">
              <w:rPr>
                <w:rFonts w:eastAsia="Times New Roman"/>
                <w:color w:val="000000"/>
                <w:sz w:val="20"/>
                <w:szCs w:val="20"/>
              </w:rPr>
              <w:t>Chief Executives (11</w:t>
            </w:r>
            <w:r w:rsidR="007C1049">
              <w:rPr>
                <w:rFonts w:eastAsia="Times New Roman"/>
                <w:color w:val="000000"/>
                <w:sz w:val="20"/>
                <w:szCs w:val="20"/>
              </w:rPr>
              <w:t>-</w:t>
            </w:r>
            <w:r w:rsidRPr="00AE758F">
              <w:rPr>
                <w:rFonts w:eastAsia="Times New Roman"/>
                <w:color w:val="000000"/>
                <w:sz w:val="20"/>
                <w:szCs w:val="20"/>
              </w:rPr>
              <w:t>1011)</w:t>
            </w:r>
          </w:p>
        </w:tc>
      </w:tr>
      <w:tr w:rsidRPr="00AE758F" w:rsidR="00C8101A" w:rsidTr="00B62830" w14:paraId="0FF5968A" w14:textId="77777777">
        <w:trPr>
          <w:trHeight w:val="269"/>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5211AF8D"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0B8888D2" w14:textId="5E1834FE">
            <w:pPr>
              <w:autoSpaceDE/>
              <w:autoSpaceDN/>
              <w:adjustRightInd/>
              <w:spacing w:line="240" w:lineRule="auto"/>
              <w:rPr>
                <w:rFonts w:eastAsia="Times New Roman"/>
                <w:color w:val="000000"/>
                <w:sz w:val="20"/>
                <w:szCs w:val="20"/>
              </w:rPr>
            </w:pPr>
            <w:r w:rsidRPr="00AE758F">
              <w:rPr>
                <w:rFonts w:eastAsia="Times New Roman"/>
                <w:color w:val="000000"/>
                <w:sz w:val="20"/>
                <w:szCs w:val="20"/>
              </w:rPr>
              <w:t>General and Operations Managers (11</w:t>
            </w:r>
            <w:r w:rsidR="007C1049">
              <w:rPr>
                <w:rFonts w:eastAsia="Times New Roman"/>
                <w:color w:val="000000"/>
                <w:sz w:val="20"/>
                <w:szCs w:val="20"/>
              </w:rPr>
              <w:t>-</w:t>
            </w:r>
            <w:r w:rsidRPr="00AE758F">
              <w:rPr>
                <w:rFonts w:eastAsia="Times New Roman"/>
                <w:color w:val="000000"/>
                <w:sz w:val="20"/>
                <w:szCs w:val="20"/>
              </w:rPr>
              <w:t>1021)</w:t>
            </w:r>
          </w:p>
        </w:tc>
      </w:tr>
      <w:tr w:rsidRPr="00AE758F" w:rsidR="00C8101A" w:rsidTr="00B62830" w14:paraId="75FDD5ED" w14:textId="77777777">
        <w:trPr>
          <w:trHeight w:val="269"/>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5B9CF317"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2F2693B8" w14:textId="61B5ECE8">
            <w:pPr>
              <w:autoSpaceDE/>
              <w:autoSpaceDN/>
              <w:adjustRightInd/>
              <w:spacing w:line="240" w:lineRule="auto"/>
              <w:rPr>
                <w:rFonts w:eastAsia="Times New Roman"/>
                <w:color w:val="000000"/>
                <w:sz w:val="20"/>
                <w:szCs w:val="20"/>
              </w:rPr>
            </w:pPr>
            <w:r w:rsidRPr="00AE758F">
              <w:rPr>
                <w:rFonts w:eastAsia="Times New Roman"/>
                <w:color w:val="000000"/>
                <w:sz w:val="20"/>
                <w:szCs w:val="20"/>
              </w:rPr>
              <w:t>Industrial Production Managers (11</w:t>
            </w:r>
            <w:r w:rsidR="007C1049">
              <w:rPr>
                <w:rFonts w:eastAsia="Times New Roman"/>
                <w:color w:val="000000"/>
                <w:sz w:val="20"/>
                <w:szCs w:val="20"/>
              </w:rPr>
              <w:t>-</w:t>
            </w:r>
            <w:r w:rsidRPr="00AE758F">
              <w:rPr>
                <w:rFonts w:eastAsia="Times New Roman"/>
                <w:color w:val="000000"/>
                <w:sz w:val="20"/>
                <w:szCs w:val="20"/>
              </w:rPr>
              <w:t>3051)</w:t>
            </w:r>
          </w:p>
        </w:tc>
      </w:tr>
      <w:tr w:rsidRPr="00AE758F" w:rsidR="00C8101A" w:rsidTr="00B62830" w14:paraId="01B17C1B" w14:textId="77777777">
        <w:trPr>
          <w:trHeight w:val="269"/>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2604EE5E"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26395CFF" w14:textId="33101E77">
            <w:pPr>
              <w:autoSpaceDE/>
              <w:autoSpaceDN/>
              <w:adjustRightInd/>
              <w:spacing w:line="240" w:lineRule="auto"/>
              <w:rPr>
                <w:rFonts w:eastAsia="Times New Roman"/>
                <w:color w:val="000000"/>
                <w:sz w:val="20"/>
                <w:szCs w:val="20"/>
              </w:rPr>
            </w:pPr>
            <w:r w:rsidRPr="00AE758F">
              <w:rPr>
                <w:rFonts w:eastAsia="Times New Roman"/>
                <w:color w:val="000000"/>
                <w:sz w:val="20"/>
                <w:szCs w:val="20"/>
              </w:rPr>
              <w:t>First-Line Supervisors of Mechanics</w:t>
            </w:r>
            <w:r w:rsidR="0093065F">
              <w:rPr>
                <w:rFonts w:eastAsia="Times New Roman"/>
                <w:color w:val="000000"/>
                <w:sz w:val="20"/>
                <w:szCs w:val="20"/>
              </w:rPr>
              <w:t>,</w:t>
            </w:r>
            <w:r w:rsidRPr="00AE758F">
              <w:rPr>
                <w:rFonts w:eastAsia="Times New Roman"/>
                <w:color w:val="000000"/>
                <w:sz w:val="20"/>
                <w:szCs w:val="20"/>
              </w:rPr>
              <w:t xml:space="preserve"> Installers</w:t>
            </w:r>
            <w:r w:rsidR="0093065F">
              <w:rPr>
                <w:rFonts w:eastAsia="Times New Roman"/>
                <w:color w:val="000000"/>
                <w:sz w:val="20"/>
                <w:szCs w:val="20"/>
              </w:rPr>
              <w:t>,</w:t>
            </w:r>
            <w:r w:rsidRPr="00AE758F">
              <w:rPr>
                <w:rFonts w:eastAsia="Times New Roman"/>
                <w:color w:val="000000"/>
                <w:sz w:val="20"/>
                <w:szCs w:val="20"/>
              </w:rPr>
              <w:t xml:space="preserve"> and Repairers (49</w:t>
            </w:r>
            <w:r w:rsidR="007C1049">
              <w:rPr>
                <w:rFonts w:eastAsia="Times New Roman"/>
                <w:color w:val="000000"/>
                <w:sz w:val="20"/>
                <w:szCs w:val="20"/>
              </w:rPr>
              <w:t>-</w:t>
            </w:r>
            <w:r w:rsidRPr="00AE758F">
              <w:rPr>
                <w:rFonts w:eastAsia="Times New Roman"/>
                <w:color w:val="000000"/>
                <w:sz w:val="20"/>
                <w:szCs w:val="20"/>
              </w:rPr>
              <w:t>1011)</w:t>
            </w:r>
          </w:p>
        </w:tc>
      </w:tr>
      <w:tr w:rsidRPr="00AE758F" w:rsidR="00C8101A" w:rsidTr="00B62830" w14:paraId="47F47FF9" w14:textId="77777777">
        <w:trPr>
          <w:trHeight w:val="269"/>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10F2C6A4"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4CBB4936" w14:textId="2A6DCBB5">
            <w:pPr>
              <w:autoSpaceDE/>
              <w:autoSpaceDN/>
              <w:adjustRightInd/>
              <w:spacing w:line="240" w:lineRule="auto"/>
              <w:rPr>
                <w:rFonts w:eastAsia="Times New Roman"/>
                <w:color w:val="000000"/>
                <w:sz w:val="20"/>
                <w:szCs w:val="20"/>
              </w:rPr>
            </w:pPr>
            <w:r w:rsidRPr="00AE758F">
              <w:rPr>
                <w:rFonts w:eastAsia="Times New Roman"/>
                <w:color w:val="000000"/>
                <w:sz w:val="20"/>
                <w:szCs w:val="20"/>
              </w:rPr>
              <w:t>First-Line Supervisors of Production and Operating Workers (51</w:t>
            </w:r>
            <w:r w:rsidR="007C1049">
              <w:rPr>
                <w:rFonts w:eastAsia="Times New Roman"/>
                <w:color w:val="000000"/>
                <w:sz w:val="20"/>
                <w:szCs w:val="20"/>
              </w:rPr>
              <w:t>-</w:t>
            </w:r>
            <w:r w:rsidRPr="00AE758F">
              <w:rPr>
                <w:rFonts w:eastAsia="Times New Roman"/>
                <w:color w:val="000000"/>
                <w:sz w:val="20"/>
                <w:szCs w:val="20"/>
              </w:rPr>
              <w:t>1011)</w:t>
            </w:r>
          </w:p>
        </w:tc>
      </w:tr>
      <w:tr w:rsidRPr="00AE758F" w:rsidR="00C8101A" w:rsidTr="00B62830" w14:paraId="7BC9BDA2" w14:textId="77777777">
        <w:trPr>
          <w:trHeight w:val="269"/>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AE758F" w:rsidR="00C8101A" w:rsidP="007936BF" w:rsidRDefault="00C8101A" w14:paraId="09DE47C1" w14:textId="160573D0">
            <w:pPr>
              <w:autoSpaceDE/>
              <w:autoSpaceDN/>
              <w:adjustRightInd/>
              <w:spacing w:line="240" w:lineRule="auto"/>
              <w:jc w:val="center"/>
              <w:rPr>
                <w:rFonts w:eastAsia="Times New Roman"/>
                <w:color w:val="000000"/>
                <w:sz w:val="20"/>
                <w:szCs w:val="20"/>
              </w:rPr>
            </w:pPr>
            <w:r w:rsidRPr="00AE758F">
              <w:rPr>
                <w:rFonts w:eastAsia="Times New Roman"/>
                <w:color w:val="000000"/>
                <w:sz w:val="20"/>
                <w:szCs w:val="20"/>
              </w:rPr>
              <w:t>Technical Staff</w:t>
            </w: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2F7377DA" w14:textId="512CAD81">
            <w:pPr>
              <w:autoSpaceDE/>
              <w:autoSpaceDN/>
              <w:adjustRightInd/>
              <w:spacing w:line="240" w:lineRule="auto"/>
              <w:rPr>
                <w:rFonts w:eastAsia="Times New Roman"/>
                <w:color w:val="000000"/>
                <w:sz w:val="20"/>
                <w:szCs w:val="20"/>
              </w:rPr>
            </w:pPr>
            <w:r w:rsidRPr="00AE758F">
              <w:rPr>
                <w:rFonts w:eastAsia="Times New Roman"/>
                <w:color w:val="000000"/>
                <w:sz w:val="20"/>
                <w:szCs w:val="20"/>
              </w:rPr>
              <w:t>Nuclear Engineers (17</w:t>
            </w:r>
            <w:r w:rsidR="007C1049">
              <w:rPr>
                <w:rFonts w:eastAsia="Times New Roman"/>
                <w:color w:val="000000"/>
                <w:sz w:val="20"/>
                <w:szCs w:val="20"/>
              </w:rPr>
              <w:t>-</w:t>
            </w:r>
            <w:r w:rsidRPr="00AE758F">
              <w:rPr>
                <w:rFonts w:eastAsia="Times New Roman"/>
                <w:color w:val="000000"/>
                <w:sz w:val="20"/>
                <w:szCs w:val="20"/>
              </w:rPr>
              <w:t>2161)</w:t>
            </w:r>
          </w:p>
        </w:tc>
      </w:tr>
      <w:tr w:rsidRPr="00AE758F" w:rsidR="00C8101A" w:rsidTr="00B62830" w14:paraId="290BBD08" w14:textId="77777777">
        <w:trPr>
          <w:trHeight w:val="260"/>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057CEF15"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24ECBC97" w14:textId="3A090408">
            <w:pPr>
              <w:autoSpaceDE/>
              <w:autoSpaceDN/>
              <w:adjustRightInd/>
              <w:spacing w:line="240" w:lineRule="auto"/>
              <w:rPr>
                <w:rFonts w:eastAsia="Times New Roman"/>
                <w:color w:val="000000"/>
                <w:sz w:val="20"/>
                <w:szCs w:val="20"/>
              </w:rPr>
            </w:pPr>
            <w:r w:rsidRPr="00AE758F">
              <w:rPr>
                <w:rFonts w:eastAsia="Times New Roman"/>
                <w:color w:val="000000"/>
                <w:sz w:val="20"/>
                <w:szCs w:val="20"/>
              </w:rPr>
              <w:t>Physicists (19</w:t>
            </w:r>
            <w:r w:rsidR="007C1049">
              <w:rPr>
                <w:rFonts w:eastAsia="Times New Roman"/>
                <w:color w:val="000000"/>
                <w:sz w:val="20"/>
                <w:szCs w:val="20"/>
              </w:rPr>
              <w:t>-</w:t>
            </w:r>
            <w:r w:rsidRPr="00AE758F">
              <w:rPr>
                <w:rFonts w:eastAsia="Times New Roman"/>
                <w:color w:val="000000"/>
                <w:sz w:val="20"/>
                <w:szCs w:val="20"/>
              </w:rPr>
              <w:t>2012)</w:t>
            </w:r>
          </w:p>
        </w:tc>
      </w:tr>
      <w:tr w:rsidRPr="00AE758F" w:rsidR="00C8101A" w:rsidTr="00B62830" w14:paraId="49E4C2EB" w14:textId="77777777">
        <w:trPr>
          <w:trHeight w:val="260"/>
        </w:trPr>
        <w:tc>
          <w:tcPr>
            <w:tcW w:w="2065" w:type="dxa"/>
            <w:vMerge/>
            <w:tcBorders>
              <w:top w:val="nil"/>
              <w:left w:val="single" w:color="auto" w:sz="4" w:space="0"/>
              <w:bottom w:val="single" w:color="auto" w:sz="4" w:space="0"/>
              <w:right w:val="single" w:color="auto" w:sz="4" w:space="0"/>
            </w:tcBorders>
            <w:vAlign w:val="center"/>
            <w:hideMark/>
          </w:tcPr>
          <w:p w:rsidRPr="00AE758F" w:rsidR="00C8101A" w:rsidP="007936BF" w:rsidRDefault="00C8101A" w14:paraId="425F9D05"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69179CBC" w14:textId="06EC7C67">
            <w:pPr>
              <w:autoSpaceDE/>
              <w:autoSpaceDN/>
              <w:adjustRightInd/>
              <w:spacing w:line="240" w:lineRule="auto"/>
              <w:rPr>
                <w:rFonts w:eastAsia="Times New Roman"/>
                <w:color w:val="000000"/>
                <w:sz w:val="20"/>
                <w:szCs w:val="20"/>
              </w:rPr>
            </w:pPr>
            <w:r w:rsidRPr="00AE758F">
              <w:rPr>
                <w:rFonts w:eastAsia="Times New Roman"/>
                <w:color w:val="000000"/>
                <w:sz w:val="20"/>
                <w:szCs w:val="20"/>
              </w:rPr>
              <w:t>Nuclear Technicians (19</w:t>
            </w:r>
            <w:r w:rsidR="007C1049">
              <w:rPr>
                <w:rFonts w:eastAsia="Times New Roman"/>
                <w:color w:val="000000"/>
                <w:sz w:val="20"/>
                <w:szCs w:val="20"/>
              </w:rPr>
              <w:t>-</w:t>
            </w:r>
            <w:r w:rsidRPr="00AE758F">
              <w:rPr>
                <w:rFonts w:eastAsia="Times New Roman"/>
                <w:color w:val="000000"/>
                <w:sz w:val="20"/>
                <w:szCs w:val="20"/>
              </w:rPr>
              <w:t>4051)</w:t>
            </w:r>
          </w:p>
        </w:tc>
      </w:tr>
      <w:tr w:rsidRPr="00AE758F" w:rsidR="00C8101A" w:rsidTr="00B62830" w14:paraId="4C6F3BB4" w14:textId="77777777">
        <w:trPr>
          <w:trHeight w:val="260"/>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68169D6A"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46A1E8DD" w14:textId="396D388F">
            <w:pPr>
              <w:autoSpaceDE/>
              <w:autoSpaceDN/>
              <w:adjustRightInd/>
              <w:spacing w:line="240" w:lineRule="auto"/>
              <w:rPr>
                <w:rFonts w:eastAsia="Times New Roman"/>
                <w:color w:val="000000"/>
                <w:sz w:val="20"/>
                <w:szCs w:val="20"/>
              </w:rPr>
            </w:pPr>
            <w:r w:rsidRPr="00AE758F">
              <w:rPr>
                <w:rFonts w:eastAsia="Times New Roman"/>
                <w:color w:val="000000"/>
                <w:sz w:val="20"/>
                <w:szCs w:val="20"/>
              </w:rPr>
              <w:t>Industrial Machinery Mechanics (49</w:t>
            </w:r>
            <w:r w:rsidR="007C1049">
              <w:rPr>
                <w:rFonts w:eastAsia="Times New Roman"/>
                <w:color w:val="000000"/>
                <w:sz w:val="20"/>
                <w:szCs w:val="20"/>
              </w:rPr>
              <w:t>-</w:t>
            </w:r>
            <w:r w:rsidRPr="00AE758F">
              <w:rPr>
                <w:rFonts w:eastAsia="Times New Roman"/>
                <w:color w:val="000000"/>
                <w:sz w:val="20"/>
                <w:szCs w:val="20"/>
              </w:rPr>
              <w:t>9041)</w:t>
            </w:r>
          </w:p>
        </w:tc>
      </w:tr>
      <w:tr w:rsidRPr="00AE758F" w:rsidR="00C8101A" w:rsidTr="00B62830" w14:paraId="563C0043" w14:textId="77777777">
        <w:trPr>
          <w:trHeight w:val="260"/>
        </w:trPr>
        <w:tc>
          <w:tcPr>
            <w:tcW w:w="2065" w:type="dxa"/>
            <w:vMerge/>
            <w:tcBorders>
              <w:top w:val="nil"/>
              <w:left w:val="single" w:color="auto" w:sz="4" w:space="0"/>
              <w:bottom w:val="single" w:color="auto" w:sz="4" w:space="0"/>
              <w:right w:val="single" w:color="auto" w:sz="4" w:space="0"/>
            </w:tcBorders>
            <w:vAlign w:val="center"/>
            <w:hideMark/>
          </w:tcPr>
          <w:p w:rsidRPr="00AE758F" w:rsidR="00C8101A" w:rsidP="007936BF" w:rsidRDefault="00C8101A" w14:paraId="625244ED"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092B1E74" w14:textId="2E1FA82E">
            <w:pPr>
              <w:autoSpaceDE/>
              <w:autoSpaceDN/>
              <w:adjustRightInd/>
              <w:spacing w:line="240" w:lineRule="auto"/>
              <w:rPr>
                <w:rFonts w:eastAsia="Times New Roman"/>
                <w:color w:val="000000"/>
                <w:sz w:val="20"/>
                <w:szCs w:val="20"/>
              </w:rPr>
            </w:pPr>
            <w:r w:rsidRPr="00AE758F">
              <w:rPr>
                <w:rFonts w:eastAsia="Times New Roman"/>
                <w:color w:val="000000"/>
                <w:sz w:val="20"/>
                <w:szCs w:val="20"/>
              </w:rPr>
              <w:t>Nuclear Power Reactor Operators (51</w:t>
            </w:r>
            <w:r w:rsidR="007C1049">
              <w:rPr>
                <w:rFonts w:eastAsia="Times New Roman"/>
                <w:color w:val="000000"/>
                <w:sz w:val="20"/>
                <w:szCs w:val="20"/>
              </w:rPr>
              <w:t>-</w:t>
            </w:r>
            <w:r w:rsidRPr="00AE758F">
              <w:rPr>
                <w:rFonts w:eastAsia="Times New Roman"/>
                <w:color w:val="000000"/>
                <w:sz w:val="20"/>
                <w:szCs w:val="20"/>
              </w:rPr>
              <w:t>8011)</w:t>
            </w:r>
          </w:p>
        </w:tc>
      </w:tr>
      <w:tr w:rsidRPr="00AE758F" w:rsidR="00C8101A" w:rsidTr="00B62830" w14:paraId="79A20241" w14:textId="77777777">
        <w:trPr>
          <w:trHeight w:val="260"/>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AE758F" w:rsidR="00C8101A" w:rsidP="007936BF" w:rsidRDefault="00C8101A" w14:paraId="56E2E60D" w14:textId="640572CE">
            <w:pPr>
              <w:autoSpaceDE/>
              <w:autoSpaceDN/>
              <w:adjustRightInd/>
              <w:spacing w:line="240" w:lineRule="auto"/>
              <w:jc w:val="center"/>
              <w:rPr>
                <w:rFonts w:eastAsia="Times New Roman"/>
                <w:color w:val="000000"/>
                <w:sz w:val="20"/>
                <w:szCs w:val="20"/>
              </w:rPr>
            </w:pPr>
            <w:r w:rsidRPr="00AE758F">
              <w:rPr>
                <w:rFonts w:eastAsia="Times New Roman"/>
                <w:color w:val="000000"/>
                <w:sz w:val="20"/>
                <w:szCs w:val="20"/>
              </w:rPr>
              <w:t>Administrative Staff</w:t>
            </w: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59A06726" w14:textId="0F83CB93">
            <w:pPr>
              <w:autoSpaceDE/>
              <w:autoSpaceDN/>
              <w:adjustRightInd/>
              <w:spacing w:line="240" w:lineRule="auto"/>
              <w:rPr>
                <w:rFonts w:eastAsia="Times New Roman"/>
                <w:color w:val="000000"/>
                <w:sz w:val="20"/>
                <w:szCs w:val="20"/>
              </w:rPr>
            </w:pPr>
            <w:r w:rsidRPr="00AE758F">
              <w:rPr>
                <w:rFonts w:eastAsia="Times New Roman"/>
                <w:color w:val="000000"/>
                <w:sz w:val="20"/>
                <w:szCs w:val="20"/>
              </w:rPr>
              <w:t>Office and Administrative Support Occupations (43</w:t>
            </w:r>
            <w:r w:rsidR="007C1049">
              <w:rPr>
                <w:rFonts w:eastAsia="Times New Roman"/>
                <w:color w:val="000000"/>
                <w:sz w:val="20"/>
                <w:szCs w:val="20"/>
              </w:rPr>
              <w:t>-</w:t>
            </w:r>
            <w:r w:rsidRPr="00AE758F">
              <w:rPr>
                <w:rFonts w:eastAsia="Times New Roman"/>
                <w:color w:val="000000"/>
                <w:sz w:val="20"/>
                <w:szCs w:val="20"/>
              </w:rPr>
              <w:t>0000)</w:t>
            </w:r>
          </w:p>
        </w:tc>
      </w:tr>
      <w:tr w:rsidRPr="00AE758F" w:rsidR="00C8101A" w:rsidTr="00B62830" w14:paraId="443E641F" w14:textId="77777777">
        <w:trPr>
          <w:trHeight w:val="260"/>
        </w:trPr>
        <w:tc>
          <w:tcPr>
            <w:tcW w:w="2065" w:type="dxa"/>
            <w:vMerge/>
            <w:tcBorders>
              <w:top w:val="nil"/>
              <w:left w:val="single" w:color="auto" w:sz="4" w:space="0"/>
              <w:bottom w:val="single" w:color="auto" w:sz="4" w:space="0"/>
              <w:right w:val="single" w:color="auto" w:sz="4" w:space="0"/>
            </w:tcBorders>
            <w:vAlign w:val="center"/>
            <w:hideMark/>
          </w:tcPr>
          <w:p w:rsidRPr="00AE758F" w:rsidR="00C8101A" w:rsidP="007936BF" w:rsidRDefault="00C8101A" w14:paraId="573D7591"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6BD4228D" w14:textId="4E25783B">
            <w:pPr>
              <w:autoSpaceDE/>
              <w:autoSpaceDN/>
              <w:adjustRightInd/>
              <w:spacing w:line="240" w:lineRule="auto"/>
              <w:rPr>
                <w:rFonts w:eastAsia="Times New Roman"/>
                <w:color w:val="000000"/>
                <w:sz w:val="20"/>
                <w:szCs w:val="20"/>
              </w:rPr>
            </w:pPr>
            <w:r w:rsidRPr="00AE758F">
              <w:rPr>
                <w:rFonts w:eastAsia="Times New Roman"/>
                <w:color w:val="000000"/>
                <w:sz w:val="20"/>
                <w:szCs w:val="20"/>
              </w:rPr>
              <w:t>First-Line Supervisors of Office and Administrative Support Workers (43</w:t>
            </w:r>
            <w:r w:rsidR="007C1049">
              <w:rPr>
                <w:rFonts w:eastAsia="Times New Roman"/>
                <w:color w:val="000000"/>
                <w:sz w:val="20"/>
                <w:szCs w:val="20"/>
              </w:rPr>
              <w:t>-</w:t>
            </w:r>
            <w:r w:rsidRPr="00AE758F">
              <w:rPr>
                <w:rFonts w:eastAsia="Times New Roman"/>
                <w:color w:val="000000"/>
                <w:sz w:val="20"/>
                <w:szCs w:val="20"/>
              </w:rPr>
              <w:t>1011)</w:t>
            </w:r>
          </w:p>
        </w:tc>
      </w:tr>
      <w:tr w:rsidRPr="00AE758F" w:rsidR="00C8101A" w:rsidTr="00B62830" w14:paraId="50F45DAB" w14:textId="77777777">
        <w:trPr>
          <w:trHeight w:val="251"/>
        </w:trPr>
        <w:tc>
          <w:tcPr>
            <w:tcW w:w="2065" w:type="dxa"/>
            <w:vMerge/>
            <w:tcBorders>
              <w:top w:val="nil"/>
              <w:left w:val="single" w:color="auto" w:sz="4" w:space="0"/>
              <w:bottom w:val="single" w:color="auto" w:sz="4" w:space="0"/>
              <w:right w:val="single" w:color="auto" w:sz="4" w:space="0"/>
            </w:tcBorders>
            <w:vAlign w:val="center"/>
            <w:hideMark/>
          </w:tcPr>
          <w:p w:rsidRPr="00AE758F" w:rsidR="00C8101A" w:rsidP="007936BF" w:rsidRDefault="00C8101A" w14:paraId="2893DE7E"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4BCB4A76" w14:textId="0E824142">
            <w:pPr>
              <w:autoSpaceDE/>
              <w:autoSpaceDN/>
              <w:adjustRightInd/>
              <w:spacing w:line="240" w:lineRule="auto"/>
              <w:rPr>
                <w:rFonts w:eastAsia="Times New Roman"/>
                <w:color w:val="000000"/>
                <w:sz w:val="20"/>
                <w:szCs w:val="20"/>
              </w:rPr>
            </w:pPr>
            <w:r w:rsidRPr="00AE758F">
              <w:rPr>
                <w:rFonts w:eastAsia="Times New Roman"/>
                <w:color w:val="000000"/>
                <w:sz w:val="20"/>
                <w:szCs w:val="20"/>
              </w:rPr>
              <w:t>Office Clerks, General (43</w:t>
            </w:r>
            <w:r w:rsidR="007C1049">
              <w:rPr>
                <w:rFonts w:eastAsia="Times New Roman"/>
                <w:color w:val="000000"/>
                <w:sz w:val="20"/>
                <w:szCs w:val="20"/>
              </w:rPr>
              <w:t>-</w:t>
            </w:r>
            <w:r w:rsidRPr="00AE758F">
              <w:rPr>
                <w:rFonts w:eastAsia="Times New Roman"/>
                <w:color w:val="000000"/>
                <w:sz w:val="20"/>
                <w:szCs w:val="20"/>
              </w:rPr>
              <w:t>9061)</w:t>
            </w:r>
          </w:p>
        </w:tc>
      </w:tr>
      <w:tr w:rsidRPr="00AE758F" w:rsidR="00C8101A" w:rsidTr="00B62830" w14:paraId="0FA135DB" w14:textId="77777777">
        <w:trPr>
          <w:trHeight w:val="260"/>
        </w:trPr>
        <w:tc>
          <w:tcPr>
            <w:tcW w:w="2065" w:type="dxa"/>
            <w:vMerge w:val="restart"/>
            <w:tcBorders>
              <w:top w:val="nil"/>
              <w:left w:val="single" w:color="auto" w:sz="4" w:space="0"/>
              <w:bottom w:val="single" w:color="auto" w:sz="4" w:space="0"/>
              <w:right w:val="single" w:color="auto" w:sz="4" w:space="0"/>
            </w:tcBorders>
            <w:shd w:val="clear" w:color="auto" w:fill="auto"/>
            <w:vAlign w:val="center"/>
            <w:hideMark/>
          </w:tcPr>
          <w:p w:rsidRPr="00AE758F" w:rsidR="00C8101A" w:rsidP="007936BF" w:rsidRDefault="00C8101A" w14:paraId="49BA49EE" w14:textId="7C487A74">
            <w:pPr>
              <w:autoSpaceDE/>
              <w:autoSpaceDN/>
              <w:adjustRightInd/>
              <w:spacing w:line="240" w:lineRule="auto"/>
              <w:jc w:val="center"/>
              <w:rPr>
                <w:rFonts w:eastAsia="Times New Roman"/>
                <w:color w:val="000000"/>
                <w:sz w:val="20"/>
                <w:szCs w:val="20"/>
              </w:rPr>
            </w:pPr>
            <w:r w:rsidRPr="00AE758F">
              <w:rPr>
                <w:rFonts w:eastAsia="Times New Roman"/>
                <w:color w:val="000000"/>
                <w:sz w:val="20"/>
                <w:szCs w:val="20"/>
              </w:rPr>
              <w:t>Licensing Staff </w:t>
            </w:r>
          </w:p>
        </w:tc>
        <w:tc>
          <w:tcPr>
            <w:tcW w:w="7380" w:type="dxa"/>
            <w:tcBorders>
              <w:top w:val="nil"/>
              <w:left w:val="nil"/>
              <w:bottom w:val="single" w:color="auto" w:sz="4" w:space="0"/>
              <w:right w:val="single" w:color="auto" w:sz="4" w:space="0"/>
            </w:tcBorders>
            <w:shd w:val="clear" w:color="auto" w:fill="auto"/>
            <w:vAlign w:val="center"/>
            <w:hideMark/>
          </w:tcPr>
          <w:p w:rsidRPr="00AE758F" w:rsidR="00C8101A" w:rsidP="007936BF" w:rsidRDefault="00C8101A" w14:paraId="0AB2FD04" w14:textId="360E41F1">
            <w:pPr>
              <w:autoSpaceDE/>
              <w:autoSpaceDN/>
              <w:adjustRightInd/>
              <w:spacing w:line="240" w:lineRule="auto"/>
              <w:rPr>
                <w:rFonts w:eastAsia="Times New Roman"/>
                <w:color w:val="000000"/>
                <w:sz w:val="20"/>
                <w:szCs w:val="20"/>
              </w:rPr>
            </w:pPr>
            <w:r w:rsidRPr="00AE758F">
              <w:rPr>
                <w:rFonts w:eastAsia="Times New Roman"/>
                <w:color w:val="000000"/>
                <w:sz w:val="20"/>
                <w:szCs w:val="20"/>
              </w:rPr>
              <w:t>Lawyers (23</w:t>
            </w:r>
            <w:r w:rsidR="007C1049">
              <w:rPr>
                <w:rFonts w:eastAsia="Times New Roman"/>
                <w:color w:val="000000"/>
                <w:sz w:val="20"/>
                <w:szCs w:val="20"/>
              </w:rPr>
              <w:t>-</w:t>
            </w:r>
            <w:r w:rsidRPr="00AE758F">
              <w:rPr>
                <w:rFonts w:eastAsia="Times New Roman"/>
                <w:color w:val="000000"/>
                <w:sz w:val="20"/>
                <w:szCs w:val="20"/>
              </w:rPr>
              <w:t>1011)</w:t>
            </w:r>
          </w:p>
        </w:tc>
      </w:tr>
      <w:tr w:rsidRPr="00AE758F" w:rsidR="00C8101A" w:rsidTr="00B62830" w14:paraId="2E52E90C" w14:textId="77777777">
        <w:trPr>
          <w:trHeight w:val="251"/>
        </w:trPr>
        <w:tc>
          <w:tcPr>
            <w:tcW w:w="2065" w:type="dxa"/>
            <w:vMerge/>
            <w:tcBorders>
              <w:top w:val="nil"/>
              <w:left w:val="single" w:color="auto" w:sz="4" w:space="0"/>
              <w:bottom w:val="single" w:color="auto" w:sz="4" w:space="0"/>
              <w:right w:val="single" w:color="auto" w:sz="4" w:space="0"/>
            </w:tcBorders>
            <w:vAlign w:val="center"/>
          </w:tcPr>
          <w:p w:rsidRPr="00AE758F" w:rsidR="00C8101A" w:rsidP="007936BF" w:rsidRDefault="00C8101A" w14:paraId="369BDD43" w14:textId="77777777">
            <w:pPr>
              <w:autoSpaceDE/>
              <w:autoSpaceDN/>
              <w:adjustRightInd/>
              <w:spacing w:line="240" w:lineRule="auto"/>
              <w:rPr>
                <w:rFonts w:eastAsia="Times New Roman"/>
                <w:color w:val="000000"/>
                <w:sz w:val="20"/>
                <w:szCs w:val="20"/>
              </w:rPr>
            </w:pPr>
          </w:p>
        </w:tc>
        <w:tc>
          <w:tcPr>
            <w:tcW w:w="7380" w:type="dxa"/>
            <w:tcBorders>
              <w:top w:val="nil"/>
              <w:left w:val="nil"/>
              <w:bottom w:val="single" w:color="auto" w:sz="4" w:space="0"/>
              <w:right w:val="single" w:color="auto" w:sz="4" w:space="0"/>
            </w:tcBorders>
            <w:shd w:val="clear" w:color="auto" w:fill="auto"/>
            <w:vAlign w:val="center"/>
          </w:tcPr>
          <w:p w:rsidRPr="00AE758F" w:rsidR="00C8101A" w:rsidP="007936BF" w:rsidRDefault="00C8101A" w14:paraId="148430DA" w14:textId="5C048088">
            <w:pPr>
              <w:autoSpaceDE/>
              <w:autoSpaceDN/>
              <w:adjustRightInd/>
              <w:spacing w:line="240" w:lineRule="auto"/>
              <w:rPr>
                <w:rFonts w:eastAsia="Times New Roman"/>
                <w:color w:val="000000"/>
                <w:sz w:val="20"/>
                <w:szCs w:val="20"/>
              </w:rPr>
            </w:pPr>
            <w:r w:rsidRPr="00AE758F">
              <w:rPr>
                <w:rFonts w:eastAsia="Times New Roman"/>
                <w:color w:val="000000"/>
                <w:sz w:val="20"/>
                <w:szCs w:val="20"/>
              </w:rPr>
              <w:t>Paralegals and Legal Assistants (23</w:t>
            </w:r>
            <w:r w:rsidR="007C1049">
              <w:rPr>
                <w:rFonts w:eastAsia="Times New Roman"/>
                <w:color w:val="000000"/>
                <w:sz w:val="20"/>
                <w:szCs w:val="20"/>
              </w:rPr>
              <w:t>-</w:t>
            </w:r>
            <w:r w:rsidRPr="00AE758F">
              <w:rPr>
                <w:rFonts w:eastAsia="Times New Roman"/>
                <w:color w:val="000000"/>
                <w:sz w:val="20"/>
                <w:szCs w:val="20"/>
              </w:rPr>
              <w:t>2011)</w:t>
            </w:r>
          </w:p>
        </w:tc>
      </w:tr>
    </w:tbl>
    <w:p w:rsidRPr="00AE758F" w:rsidR="00C8101A" w:rsidP="007936BF" w:rsidRDefault="00645246" w14:paraId="3DC340A2" w14:textId="4D85A0EF">
      <w:pPr>
        <w:spacing w:line="240" w:lineRule="auto"/>
        <w:rPr>
          <w:sz w:val="18"/>
          <w:szCs w:val="18"/>
        </w:rPr>
      </w:pPr>
      <w:bookmarkStart w:name="_Toc456098225" w:id="152"/>
      <w:r w:rsidRPr="00AE758F">
        <w:rPr>
          <w:sz w:val="18"/>
          <w:szCs w:val="18"/>
        </w:rPr>
        <w:t>Source:  BLS, 20</w:t>
      </w:r>
      <w:r w:rsidR="00F20DA1">
        <w:rPr>
          <w:sz w:val="18"/>
          <w:szCs w:val="18"/>
        </w:rPr>
        <w:t>20</w:t>
      </w:r>
      <w:r w:rsidR="0042594E">
        <w:rPr>
          <w:sz w:val="18"/>
          <w:szCs w:val="18"/>
        </w:rPr>
        <w:t>b</w:t>
      </w:r>
    </w:p>
    <w:p w:rsidRPr="00AE758F" w:rsidR="00645246" w:rsidP="007936BF" w:rsidRDefault="00645246" w14:paraId="6BF35821" w14:textId="77777777">
      <w:pPr>
        <w:spacing w:line="240" w:lineRule="auto"/>
      </w:pPr>
    </w:p>
    <w:p w:rsidRPr="00AE758F" w:rsidR="00C8101A" w:rsidP="00382B4A" w:rsidRDefault="00C8101A" w14:paraId="06936770" w14:textId="77777777">
      <w:pPr>
        <w:pStyle w:val="Heading3"/>
        <w:spacing w:line="240" w:lineRule="auto"/>
        <w:ind w:left="720" w:hanging="720"/>
        <w:rPr>
          <w:b/>
        </w:rPr>
      </w:pPr>
      <w:bookmarkStart w:name="_Toc457827238" w:id="153"/>
      <w:bookmarkStart w:name="_Toc521577057" w:id="154"/>
      <w:bookmarkStart w:name="_Toc7512244" w:id="155"/>
      <w:bookmarkStart w:name="_Toc81309114" w:id="156"/>
      <w:r w:rsidRPr="00AE758F">
        <w:t>4.2.7</w:t>
      </w:r>
      <w:r w:rsidRPr="00AE758F">
        <w:tab/>
        <w:t>Sign Conventions</w:t>
      </w:r>
      <w:bookmarkEnd w:id="152"/>
      <w:bookmarkEnd w:id="153"/>
      <w:bookmarkEnd w:id="154"/>
      <w:bookmarkEnd w:id="155"/>
      <w:bookmarkEnd w:id="156"/>
    </w:p>
    <w:p w:rsidRPr="00AE758F" w:rsidR="00C8101A" w:rsidP="007936BF" w:rsidRDefault="00C8101A" w14:paraId="5FF3EC55" w14:textId="77777777">
      <w:pPr>
        <w:spacing w:line="240" w:lineRule="auto"/>
      </w:pPr>
    </w:p>
    <w:p w:rsidRPr="00AE758F" w:rsidR="00C8101A" w:rsidP="007936BF" w:rsidRDefault="0093065F" w14:paraId="2BBE5F02" w14:textId="62CFAADC">
      <w:pPr>
        <w:spacing w:line="240" w:lineRule="auto"/>
      </w:pPr>
      <w:r>
        <w:t>T</w:t>
      </w:r>
      <w:r w:rsidRPr="00AE758F" w:rsidR="00C8101A">
        <w:t xml:space="preserve">his analysis </w:t>
      </w:r>
      <w:r>
        <w:t xml:space="preserve">uses the following sign conventions:  </w:t>
      </w:r>
      <w:r w:rsidRPr="00AE758F" w:rsidR="00C8101A">
        <w:t>all favorable consequences for the</w:t>
      </w:r>
      <w:r w:rsidR="00A56600">
        <w:t> </w:t>
      </w:r>
      <w:r w:rsidRPr="00AE758F" w:rsidR="00C8101A">
        <w:t>alternative are positive</w:t>
      </w:r>
      <w:r>
        <w:t>,</w:t>
      </w:r>
      <w:r w:rsidRPr="00AE758F" w:rsidR="00C8101A">
        <w:t xml:space="preserve"> and all adverse consequences for the alternative are negative.  Negative values are shown using parentheses (e.g.,</w:t>
      </w:r>
      <w:r w:rsidRPr="00AE758F" w:rsidR="001B78E1">
        <w:t> </w:t>
      </w:r>
      <w:r w:rsidRPr="00AE758F" w:rsidR="00C8101A">
        <w:t>negative $500 is displayed as ($500)).</w:t>
      </w:r>
    </w:p>
    <w:p w:rsidRPr="00AE758F" w:rsidR="00C8101A" w:rsidP="007936BF" w:rsidRDefault="00C8101A" w14:paraId="414F994E" w14:textId="77777777">
      <w:pPr>
        <w:spacing w:line="240" w:lineRule="auto"/>
      </w:pPr>
    </w:p>
    <w:p w:rsidRPr="00AE758F" w:rsidR="00C8101A" w:rsidP="007936BF" w:rsidRDefault="00C8101A" w14:paraId="25B92D6A" w14:textId="16460BD4">
      <w:pPr>
        <w:pStyle w:val="Heading3"/>
        <w:spacing w:line="240" w:lineRule="auto"/>
        <w:ind w:left="720" w:hanging="720"/>
        <w:rPr>
          <w:b/>
        </w:rPr>
      </w:pPr>
      <w:bookmarkStart w:name="_Toc456098226" w:id="157"/>
      <w:bookmarkStart w:name="_Toc457827239" w:id="158"/>
      <w:bookmarkStart w:name="_Toc521577058" w:id="159"/>
      <w:bookmarkStart w:name="_Toc7512245" w:id="160"/>
      <w:bookmarkStart w:name="_Toc81309115" w:id="161"/>
      <w:r w:rsidRPr="00AE758F">
        <w:t>4.2.8</w:t>
      </w:r>
      <w:r w:rsidRPr="00AE758F">
        <w:tab/>
        <w:t>A</w:t>
      </w:r>
      <w:bookmarkEnd w:id="157"/>
      <w:bookmarkEnd w:id="158"/>
      <w:bookmarkEnd w:id="159"/>
      <w:bookmarkEnd w:id="160"/>
      <w:r w:rsidRPr="00AE758F" w:rsidR="00104FC1">
        <w:t>pplicability Period</w:t>
      </w:r>
      <w:bookmarkEnd w:id="161"/>
    </w:p>
    <w:p w:rsidRPr="00AE758F" w:rsidR="00C8101A" w:rsidP="007936BF" w:rsidRDefault="00C8101A" w14:paraId="4C0FFA72" w14:textId="5E93F7CB">
      <w:pPr>
        <w:spacing w:line="240" w:lineRule="auto"/>
      </w:pPr>
    </w:p>
    <w:p w:rsidRPr="00AE758F" w:rsidR="009A0F27" w:rsidP="00382B4A" w:rsidRDefault="009A0F27" w14:paraId="467ED540" w14:textId="1CD09527">
      <w:pPr>
        <w:spacing w:after="220" w:line="240" w:lineRule="auto"/>
      </w:pPr>
      <w:r w:rsidRPr="00AE758F">
        <w:t xml:space="preserve">ASME issues </w:t>
      </w:r>
      <w:r w:rsidR="0093065F">
        <w:t xml:space="preserve">new </w:t>
      </w:r>
      <w:r w:rsidRPr="00AE758F">
        <w:t xml:space="preserve">editions of its BPV and OM Codes (no addenda) every </w:t>
      </w:r>
      <w:r w:rsidRPr="00AE758F" w:rsidR="003F338D">
        <w:t>2 </w:t>
      </w:r>
      <w:r w:rsidRPr="00AE758F">
        <w:t>years</w:t>
      </w:r>
      <w:r w:rsidRPr="00AE758F" w:rsidR="003F338D">
        <w:t>,</w:t>
      </w:r>
      <w:r w:rsidRPr="00AE758F">
        <w:t xml:space="preserve"> with the </w:t>
      </w:r>
      <w:r w:rsidRPr="00AE758F" w:rsidR="00365B1E">
        <w:t>BPV</w:t>
      </w:r>
      <w:r w:rsidR="00365B1E">
        <w:t> </w:t>
      </w:r>
      <w:r w:rsidRPr="00AE758F">
        <w:t xml:space="preserve">Code issued </w:t>
      </w:r>
      <w:r w:rsidRPr="00AE758F" w:rsidR="00683751">
        <w:t>i</w:t>
      </w:r>
      <w:r w:rsidRPr="00AE758F">
        <w:t>n odd years (e.g.,</w:t>
      </w:r>
      <w:r w:rsidRPr="00AE758F" w:rsidR="003F338D">
        <w:t> </w:t>
      </w:r>
      <w:r w:rsidRPr="00AE758F">
        <w:t xml:space="preserve">2013, 2015) and the OM Code </w:t>
      </w:r>
      <w:r w:rsidRPr="00AE758F" w:rsidR="00683751">
        <w:t>i</w:t>
      </w:r>
      <w:r w:rsidRPr="00AE758F">
        <w:t>n even years (e.g.,</w:t>
      </w:r>
      <w:r w:rsidRPr="00AE758F" w:rsidR="003F338D">
        <w:t> </w:t>
      </w:r>
      <w:r w:rsidRPr="00AE758F">
        <w:t xml:space="preserve">2012, 2014).  </w:t>
      </w:r>
      <w:r w:rsidRPr="00AE758F" w:rsidR="0080005C">
        <w:t>The</w:t>
      </w:r>
      <w:r w:rsidRPr="00AE758F">
        <w:t xml:space="preserve"> NRC </w:t>
      </w:r>
      <w:r w:rsidRPr="00AE758F" w:rsidR="0080005C">
        <w:t>typically incorporate</w:t>
      </w:r>
      <w:r w:rsidR="0093065F">
        <w:t>s</w:t>
      </w:r>
      <w:r w:rsidRPr="00AE758F">
        <w:t xml:space="preserve"> by reference the </w:t>
      </w:r>
      <w:r w:rsidR="0093065F">
        <w:t xml:space="preserve">latest </w:t>
      </w:r>
      <w:r w:rsidRPr="00AE758F">
        <w:t xml:space="preserve">editions of the BPV and </w:t>
      </w:r>
      <w:r w:rsidRPr="00AE758F" w:rsidR="00365B1E">
        <w:t>OM</w:t>
      </w:r>
      <w:r w:rsidR="00365B1E">
        <w:t> </w:t>
      </w:r>
      <w:r w:rsidRPr="00AE758F">
        <w:t xml:space="preserve">Codes </w:t>
      </w:r>
      <w:r w:rsidRPr="00AE758F" w:rsidR="00683751">
        <w:t>through</w:t>
      </w:r>
      <w:r w:rsidRPr="00AE758F">
        <w:t xml:space="preserve"> rulemaking </w:t>
      </w:r>
      <w:r w:rsidRPr="00AE758F" w:rsidR="00182390">
        <w:t xml:space="preserve">at </w:t>
      </w:r>
      <w:r w:rsidRPr="00AE758F" w:rsidR="0080005C">
        <w:t xml:space="preserve">the time </w:t>
      </w:r>
      <w:r w:rsidR="0093065F">
        <w:t xml:space="preserve">of publication </w:t>
      </w:r>
      <w:r w:rsidRPr="00AE758F" w:rsidR="0080005C">
        <w:t xml:space="preserve">of the </w:t>
      </w:r>
      <w:r w:rsidR="0093065F">
        <w:t xml:space="preserve">updated </w:t>
      </w:r>
      <w:r w:rsidRPr="00AE758F" w:rsidR="0080005C">
        <w:t>OM Code</w:t>
      </w:r>
      <w:r w:rsidR="00454FC9">
        <w:t xml:space="preserve"> (when </w:t>
      </w:r>
      <w:r w:rsidRPr="00AE758F" w:rsidR="00182390">
        <w:t xml:space="preserve">the BPV Code </w:t>
      </w:r>
      <w:r w:rsidR="00454FC9">
        <w:t xml:space="preserve">has </w:t>
      </w:r>
      <w:r w:rsidRPr="00AE758F" w:rsidR="00182390">
        <w:t>already be</w:t>
      </w:r>
      <w:r w:rsidRPr="00AE758F" w:rsidR="003F338D">
        <w:t>en</w:t>
      </w:r>
      <w:r w:rsidRPr="00AE758F" w:rsidR="00182390">
        <w:t xml:space="preserve"> updated </w:t>
      </w:r>
      <w:r w:rsidRPr="00AE758F" w:rsidR="003F338D">
        <w:t>the year before</w:t>
      </w:r>
      <w:r w:rsidR="00454FC9">
        <w:t>)</w:t>
      </w:r>
      <w:r w:rsidRPr="00AE758F" w:rsidR="0080005C">
        <w:t xml:space="preserve">. </w:t>
      </w:r>
      <w:r w:rsidRPr="00AE758F" w:rsidR="003F338D">
        <w:t xml:space="preserve"> </w:t>
      </w:r>
      <w:r w:rsidRPr="00AE758F" w:rsidR="0080005C">
        <w:t xml:space="preserve">The next </w:t>
      </w:r>
      <w:r w:rsidR="00BF2525">
        <w:t xml:space="preserve">edition of </w:t>
      </w:r>
      <w:r w:rsidRPr="00AE758F" w:rsidR="0080005C">
        <w:t xml:space="preserve">the OM Code is expected to be </w:t>
      </w:r>
      <w:r w:rsidR="00BF2525">
        <w:t xml:space="preserve">issued in </w:t>
      </w:r>
      <w:r w:rsidRPr="00AE758F" w:rsidR="0080005C">
        <w:t>2022.</w:t>
      </w:r>
      <w:r w:rsidRPr="00AE758F" w:rsidR="003F338D">
        <w:t xml:space="preserve"> </w:t>
      </w:r>
      <w:r w:rsidRPr="00AE758F" w:rsidR="0080005C">
        <w:t xml:space="preserve"> </w:t>
      </w:r>
      <w:r w:rsidRPr="00AE758F" w:rsidR="003F338D">
        <w:t>At that time,</w:t>
      </w:r>
      <w:r w:rsidRPr="00AE758F" w:rsidR="0080005C">
        <w:t xml:space="preserve"> the NRC will start the next </w:t>
      </w:r>
      <w:r w:rsidRPr="00AE758F" w:rsidR="00341600">
        <w:t xml:space="preserve">Code Editions </w:t>
      </w:r>
      <w:r w:rsidRPr="00AE758F" w:rsidR="0080005C">
        <w:t>proposed rule</w:t>
      </w:r>
      <w:r w:rsidRPr="00AE758F" w:rsidR="003F338D">
        <w:t>,</w:t>
      </w:r>
      <w:r w:rsidRPr="00AE758F" w:rsidR="005F7724">
        <w:t xml:space="preserve"> assuming there are no delays in ASME</w:t>
      </w:r>
      <w:r w:rsidR="00EA7AC0">
        <w:t>’s</w:t>
      </w:r>
      <w:r w:rsidRPr="00AE758F" w:rsidR="005F7724">
        <w:t xml:space="preserve"> </w:t>
      </w:r>
      <w:r w:rsidR="00EA7AC0">
        <w:t xml:space="preserve">next updates to </w:t>
      </w:r>
      <w:r w:rsidRPr="00AE758F" w:rsidR="00182390">
        <w:t>the</w:t>
      </w:r>
      <w:r w:rsidR="00A56600">
        <w:t> </w:t>
      </w:r>
      <w:r w:rsidRPr="00AE758F" w:rsidR="00182390">
        <w:t>BPV and OM Codes</w:t>
      </w:r>
      <w:r w:rsidRPr="00AE758F" w:rsidR="0080005C">
        <w:t xml:space="preserve">. </w:t>
      </w:r>
      <w:r w:rsidRPr="00AE758F" w:rsidR="003F338D">
        <w:t xml:space="preserve"> </w:t>
      </w:r>
      <w:r w:rsidRPr="00AE758F" w:rsidR="0080005C">
        <w:t xml:space="preserve">Since it is assumed the </w:t>
      </w:r>
      <w:r w:rsidRPr="00AE758F" w:rsidR="005F7724">
        <w:t xml:space="preserve">next </w:t>
      </w:r>
      <w:r w:rsidRPr="00AE758F" w:rsidR="00B70B79">
        <w:t xml:space="preserve">Code Editions </w:t>
      </w:r>
      <w:r w:rsidRPr="00AE758F" w:rsidR="0080005C">
        <w:t xml:space="preserve">rule will take </w:t>
      </w:r>
      <w:r w:rsidRPr="00AE758F" w:rsidR="003F338D">
        <w:t>2 </w:t>
      </w:r>
      <w:r w:rsidRPr="00AE758F" w:rsidR="0080005C">
        <w:t>years to complete</w:t>
      </w:r>
      <w:r w:rsidRPr="00AE758F" w:rsidR="00D214D3">
        <w:t xml:space="preserve"> and that </w:t>
      </w:r>
      <w:r w:rsidR="00A8564F">
        <w:t>the</w:t>
      </w:r>
      <w:r w:rsidRPr="00AE758F" w:rsidR="00A8564F">
        <w:t xml:space="preserve"> </w:t>
      </w:r>
      <w:r w:rsidRPr="00AE758F" w:rsidR="00D214D3">
        <w:t xml:space="preserve">rule </w:t>
      </w:r>
      <w:r w:rsidR="00A8564F">
        <w:t xml:space="preserve">proposed here </w:t>
      </w:r>
      <w:r w:rsidRPr="00AE758F" w:rsidR="00D214D3">
        <w:t xml:space="preserve">will be in effect </w:t>
      </w:r>
      <w:r w:rsidR="00A8564F">
        <w:t>at the</w:t>
      </w:r>
      <w:r w:rsidRPr="00AE758F" w:rsidR="00A8564F">
        <w:t xml:space="preserve"> </w:t>
      </w:r>
      <w:r w:rsidRPr="00AE758F" w:rsidR="00D214D3">
        <w:t>beginning of 2022</w:t>
      </w:r>
      <w:r w:rsidRPr="00AE758F" w:rsidR="0080005C">
        <w:t>, the</w:t>
      </w:r>
      <w:r w:rsidRPr="00AE758F">
        <w:t xml:space="preserve"> applicability </w:t>
      </w:r>
      <w:r w:rsidRPr="00AE758F" w:rsidR="00104FC1">
        <w:t xml:space="preserve">period </w:t>
      </w:r>
      <w:r w:rsidRPr="00AE758F">
        <w:t xml:space="preserve">of this proposed rule is </w:t>
      </w:r>
      <w:r w:rsidRPr="00AE758F" w:rsidR="0080005C">
        <w:t>202</w:t>
      </w:r>
      <w:r w:rsidRPr="00AE758F" w:rsidR="00D214D3">
        <w:t>2</w:t>
      </w:r>
      <w:r w:rsidRPr="00AE758F" w:rsidR="00884BDE">
        <w:t>–</w:t>
      </w:r>
      <w:r w:rsidRPr="00AE758F" w:rsidR="0080005C">
        <w:t>2024</w:t>
      </w:r>
      <w:r w:rsidRPr="00AE758F" w:rsidR="00341600">
        <w:t xml:space="preserve"> or 3 years</w:t>
      </w:r>
      <w:r w:rsidRPr="00AE758F" w:rsidR="0080005C">
        <w:t>.</w:t>
      </w:r>
    </w:p>
    <w:p w:rsidRPr="00AE758F" w:rsidR="00C8101A" w:rsidP="007936BF" w:rsidRDefault="00C8101A" w14:paraId="2C0620DC" w14:textId="77777777">
      <w:pPr>
        <w:pStyle w:val="Heading3"/>
        <w:spacing w:line="240" w:lineRule="auto"/>
        <w:ind w:left="720" w:hanging="720"/>
        <w:rPr>
          <w:b/>
        </w:rPr>
      </w:pPr>
      <w:bookmarkStart w:name="_Toc456098227" w:id="162"/>
      <w:bookmarkStart w:name="_Toc457827240" w:id="163"/>
      <w:bookmarkStart w:name="_Toc521577059" w:id="164"/>
      <w:bookmarkStart w:name="_Toc7512246" w:id="165"/>
      <w:bookmarkStart w:name="_Toc81309116" w:id="166"/>
      <w:r w:rsidRPr="00AE758F">
        <w:t>4.2.9</w:t>
      </w:r>
      <w:r w:rsidRPr="00AE758F">
        <w:tab/>
        <w:t>Cost Estimation</w:t>
      </w:r>
      <w:bookmarkEnd w:id="162"/>
      <w:bookmarkEnd w:id="163"/>
      <w:bookmarkEnd w:id="164"/>
      <w:bookmarkEnd w:id="165"/>
      <w:bookmarkEnd w:id="166"/>
    </w:p>
    <w:p w:rsidRPr="00AE758F" w:rsidR="00C8101A" w:rsidP="007936BF" w:rsidRDefault="00C8101A" w14:paraId="02276062" w14:textId="77777777">
      <w:pPr>
        <w:keepNext/>
        <w:spacing w:line="240" w:lineRule="auto"/>
      </w:pPr>
    </w:p>
    <w:p w:rsidRPr="00AE758F" w:rsidR="00C8101A" w:rsidP="007936BF" w:rsidRDefault="00C8101A" w14:paraId="3BA93584" w14:textId="054A799E">
      <w:pPr>
        <w:spacing w:line="240" w:lineRule="auto"/>
        <w:rPr>
          <w:rFonts w:eastAsiaTheme="minorEastAsia"/>
          <w:lang w:eastAsia="ja-JP"/>
        </w:rPr>
      </w:pPr>
      <w:r w:rsidRPr="00AE758F">
        <w:rPr>
          <w:rFonts w:eastAsiaTheme="minorEastAsia"/>
          <w:lang w:eastAsia="ja-JP"/>
        </w:rPr>
        <w:t xml:space="preserve">To estimate the costs associated with the evaluated alternatives, the </w:t>
      </w:r>
      <w:r w:rsidRPr="00AE758F" w:rsidR="001D647F">
        <w:rPr>
          <w:rFonts w:eastAsiaTheme="minorEastAsia"/>
          <w:lang w:eastAsia="ja-JP"/>
        </w:rPr>
        <w:t>NRC</w:t>
      </w:r>
      <w:r w:rsidRPr="00AE758F">
        <w:rPr>
          <w:rFonts w:eastAsiaTheme="minorEastAsia"/>
          <w:lang w:eastAsia="ja-JP"/>
        </w:rPr>
        <w:t xml:space="preserve"> used a work breakdown approach to deconstruct each requirement </w:t>
      </w:r>
      <w:r w:rsidR="00F61C95">
        <w:rPr>
          <w:rFonts w:eastAsiaTheme="minorEastAsia"/>
          <w:lang w:eastAsia="ja-JP"/>
        </w:rPr>
        <w:t>in</w:t>
      </w:r>
      <w:r w:rsidRPr="00AE758F">
        <w:rPr>
          <w:rFonts w:eastAsiaTheme="minorEastAsia"/>
          <w:lang w:eastAsia="ja-JP"/>
        </w:rPr>
        <w:t xml:space="preserve">to its mandated activities.  For each </w:t>
      </w:r>
      <w:r w:rsidR="00F61C95">
        <w:rPr>
          <w:rFonts w:eastAsiaTheme="minorEastAsia"/>
          <w:lang w:eastAsia="ja-JP"/>
        </w:rPr>
        <w:t xml:space="preserve">mandated </w:t>
      </w:r>
      <w:r w:rsidRPr="00AE758F">
        <w:rPr>
          <w:rFonts w:eastAsiaTheme="minorEastAsia"/>
          <w:lang w:eastAsia="ja-JP"/>
        </w:rPr>
        <w:t>activity, the NRC subdivided the work across labor categories (i.e., executives</w:t>
      </w:r>
      <w:r w:rsidR="007B0F0B">
        <w:rPr>
          <w:rFonts w:eastAsiaTheme="minorEastAsia"/>
          <w:lang w:eastAsia="ja-JP"/>
        </w:rPr>
        <w:t>/</w:t>
      </w:r>
      <w:r w:rsidRPr="00AE758F">
        <w:rPr>
          <w:rFonts w:eastAsiaTheme="minorEastAsia"/>
          <w:lang w:eastAsia="ja-JP"/>
        </w:rPr>
        <w:t xml:space="preserve">managers, technical staff, administrative staff, and licensing staff).  The </w:t>
      </w:r>
      <w:r w:rsidRPr="00AE758F" w:rsidR="001D647F">
        <w:rPr>
          <w:rFonts w:eastAsiaTheme="minorEastAsia"/>
          <w:lang w:eastAsia="ja-JP"/>
        </w:rPr>
        <w:t>NRC</w:t>
      </w:r>
      <w:r w:rsidRPr="00AE758F">
        <w:rPr>
          <w:rFonts w:eastAsiaTheme="minorEastAsia"/>
          <w:lang w:eastAsia="ja-JP"/>
        </w:rPr>
        <w:t xml:space="preserve"> estimated the level of effort </w:t>
      </w:r>
      <w:r w:rsidRPr="00AE758F" w:rsidR="00C91C7C">
        <w:rPr>
          <w:rFonts w:eastAsiaTheme="minorEastAsia"/>
          <w:lang w:eastAsia="ja-JP"/>
        </w:rPr>
        <w:t xml:space="preserve">required </w:t>
      </w:r>
      <w:r w:rsidRPr="00AE758F">
        <w:rPr>
          <w:rFonts w:eastAsiaTheme="minorEastAsia"/>
          <w:lang w:eastAsia="ja-JP"/>
        </w:rPr>
        <w:t xml:space="preserve">for each </w:t>
      </w:r>
      <w:r w:rsidR="00C91C7C">
        <w:rPr>
          <w:rFonts w:eastAsiaTheme="minorEastAsia"/>
          <w:lang w:eastAsia="ja-JP"/>
        </w:rPr>
        <w:t xml:space="preserve">mandated </w:t>
      </w:r>
      <w:r w:rsidRPr="00AE758F">
        <w:rPr>
          <w:rFonts w:eastAsiaTheme="minorEastAsia"/>
          <w:lang w:eastAsia="ja-JP"/>
        </w:rPr>
        <w:t>activity and used a blended labor rate to develop bottom</w:t>
      </w:r>
      <w:r w:rsidR="004B3074">
        <w:rPr>
          <w:rFonts w:eastAsiaTheme="minorEastAsia"/>
          <w:lang w:eastAsia="ja-JP"/>
        </w:rPr>
        <w:noBreakHyphen/>
      </w:r>
      <w:r w:rsidRPr="00AE758F">
        <w:rPr>
          <w:rFonts w:eastAsiaTheme="minorEastAsia"/>
          <w:lang w:eastAsia="ja-JP"/>
        </w:rPr>
        <w:t>up cost estimates.</w:t>
      </w:r>
    </w:p>
    <w:p w:rsidRPr="00AE758F" w:rsidR="00C8101A" w:rsidP="00721F74" w:rsidRDefault="00C8101A" w14:paraId="1C63345F" w14:textId="0C3C9664">
      <w:pPr>
        <w:spacing w:before="220" w:line="240" w:lineRule="auto"/>
        <w:rPr>
          <w:rFonts w:eastAsiaTheme="minorEastAsia"/>
          <w:lang w:eastAsia="ja-JP"/>
        </w:rPr>
      </w:pPr>
      <w:r w:rsidRPr="00AE758F">
        <w:rPr>
          <w:rFonts w:eastAsiaTheme="minorEastAsia"/>
          <w:lang w:eastAsia="ja-JP"/>
        </w:rPr>
        <w:lastRenderedPageBreak/>
        <w:t xml:space="preserve">The </w:t>
      </w:r>
      <w:r w:rsidRPr="00AE758F" w:rsidR="001D647F">
        <w:rPr>
          <w:rFonts w:eastAsiaTheme="minorEastAsia"/>
          <w:lang w:eastAsia="ja-JP"/>
        </w:rPr>
        <w:t>NRC</w:t>
      </w:r>
      <w:r w:rsidRPr="00AE758F">
        <w:rPr>
          <w:rFonts w:eastAsiaTheme="minorEastAsia"/>
          <w:lang w:eastAsia="ja-JP"/>
        </w:rPr>
        <w:t xml:space="preserve"> gathered data from several sources and consulted ASME Code working group members to develop </w:t>
      </w:r>
      <w:r w:rsidRPr="00AE758F" w:rsidR="00110D7B">
        <w:rPr>
          <w:rFonts w:eastAsiaTheme="minorEastAsia"/>
          <w:lang w:eastAsia="ja-JP"/>
        </w:rPr>
        <w:t>level</w:t>
      </w:r>
      <w:r w:rsidR="002209C2">
        <w:rPr>
          <w:rFonts w:eastAsiaTheme="minorEastAsia"/>
          <w:lang w:eastAsia="ja-JP"/>
        </w:rPr>
        <w:noBreakHyphen/>
      </w:r>
      <w:r w:rsidRPr="00AE758F" w:rsidR="00110D7B">
        <w:rPr>
          <w:rFonts w:eastAsiaTheme="minorEastAsia"/>
          <w:lang w:eastAsia="ja-JP"/>
        </w:rPr>
        <w:t>of</w:t>
      </w:r>
      <w:r w:rsidR="002209C2">
        <w:rPr>
          <w:rFonts w:eastAsiaTheme="minorEastAsia"/>
          <w:lang w:eastAsia="ja-JP"/>
        </w:rPr>
        <w:noBreakHyphen/>
      </w:r>
      <w:r w:rsidRPr="00AE758F" w:rsidR="00110D7B">
        <w:rPr>
          <w:rFonts w:eastAsiaTheme="minorEastAsia"/>
          <w:lang w:eastAsia="ja-JP"/>
        </w:rPr>
        <w:t>effort</w:t>
      </w:r>
      <w:r w:rsidRPr="00AE758F">
        <w:rPr>
          <w:rFonts w:eastAsiaTheme="minorEastAsia"/>
          <w:lang w:eastAsia="ja-JP"/>
        </w:rPr>
        <w:t xml:space="preserve"> and unit</w:t>
      </w:r>
      <w:r w:rsidR="002209C2">
        <w:rPr>
          <w:rFonts w:eastAsiaTheme="minorEastAsia"/>
          <w:lang w:eastAsia="ja-JP"/>
        </w:rPr>
        <w:noBreakHyphen/>
      </w:r>
      <w:r w:rsidRPr="00AE758F">
        <w:rPr>
          <w:rFonts w:eastAsiaTheme="minorEastAsia"/>
          <w:lang w:eastAsia="ja-JP"/>
        </w:rPr>
        <w:t xml:space="preserve">cost estimates.  The </w:t>
      </w:r>
      <w:r w:rsidRPr="00AE758F" w:rsidR="001D647F">
        <w:rPr>
          <w:rFonts w:eastAsiaTheme="minorEastAsia"/>
          <w:lang w:eastAsia="ja-JP"/>
        </w:rPr>
        <w:t>NRC</w:t>
      </w:r>
      <w:r w:rsidRPr="00AE758F">
        <w:rPr>
          <w:rFonts w:eastAsiaTheme="minorEastAsia"/>
          <w:lang w:eastAsia="ja-JP"/>
        </w:rPr>
        <w:t xml:space="preserve"> applied several cost estimation methods in this analysis and used its collective professional knowledge and judgment </w:t>
      </w:r>
      <w:r w:rsidR="00DC7DF0">
        <w:rPr>
          <w:rFonts w:eastAsiaTheme="minorEastAsia"/>
          <w:lang w:eastAsia="ja-JP"/>
        </w:rPr>
        <w:t>for many of the estimates</w:t>
      </w:r>
      <w:r w:rsidRPr="00AE758F">
        <w:rPr>
          <w:rFonts w:eastAsiaTheme="minorEastAsia"/>
          <w:lang w:eastAsia="ja-JP"/>
        </w:rPr>
        <w:t xml:space="preserve">.  Additionally, the </w:t>
      </w:r>
      <w:r w:rsidRPr="00AE758F" w:rsidR="001D647F">
        <w:rPr>
          <w:rFonts w:eastAsiaTheme="minorEastAsia"/>
          <w:lang w:eastAsia="ja-JP"/>
        </w:rPr>
        <w:t>NRC</w:t>
      </w:r>
      <w:r w:rsidR="00A900B2">
        <w:rPr>
          <w:rFonts w:eastAsiaTheme="minorEastAsia"/>
          <w:lang w:eastAsia="ja-JP"/>
        </w:rPr>
        <w:t xml:space="preserve"> </w:t>
      </w:r>
      <w:r w:rsidRPr="00AE758F" w:rsidR="00A900B2">
        <w:rPr>
          <w:rFonts w:eastAsiaTheme="minorEastAsia"/>
          <w:lang w:eastAsia="ja-JP"/>
        </w:rPr>
        <w:t>estimate</w:t>
      </w:r>
      <w:r w:rsidR="00A900B2">
        <w:rPr>
          <w:rFonts w:eastAsiaTheme="minorEastAsia"/>
          <w:lang w:eastAsia="ja-JP"/>
        </w:rPr>
        <w:t>d</w:t>
      </w:r>
      <w:r w:rsidRPr="00AE758F" w:rsidR="00A900B2">
        <w:rPr>
          <w:rFonts w:eastAsiaTheme="minorEastAsia"/>
          <w:lang w:eastAsia="ja-JP"/>
        </w:rPr>
        <w:t xml:space="preserve"> costs and benefits</w:t>
      </w:r>
      <w:r w:rsidRPr="00AE758F">
        <w:rPr>
          <w:rFonts w:eastAsiaTheme="minorEastAsia"/>
          <w:lang w:eastAsia="ja-JP"/>
        </w:rPr>
        <w:t xml:space="preserve"> </w:t>
      </w:r>
      <w:r w:rsidR="00A900B2">
        <w:rPr>
          <w:rFonts w:eastAsiaTheme="minorEastAsia"/>
          <w:lang w:eastAsia="ja-JP"/>
        </w:rPr>
        <w:t xml:space="preserve">using </w:t>
      </w:r>
      <w:r w:rsidRPr="00AE758F">
        <w:rPr>
          <w:rFonts w:eastAsiaTheme="minorEastAsia"/>
          <w:lang w:eastAsia="ja-JP"/>
        </w:rPr>
        <w:t>a buildup method, solicitation of licensee input, and extrapolation techniques.</w:t>
      </w:r>
    </w:p>
    <w:p w:rsidRPr="00AE758F" w:rsidR="00C8101A" w:rsidP="007936BF" w:rsidRDefault="00C8101A" w14:paraId="24DCEE97" w14:textId="77777777">
      <w:pPr>
        <w:spacing w:line="240" w:lineRule="auto"/>
        <w:rPr>
          <w:rFonts w:eastAsiaTheme="minorEastAsia"/>
          <w:lang w:eastAsia="ja-JP"/>
        </w:rPr>
      </w:pPr>
    </w:p>
    <w:p w:rsidRPr="00AE758F" w:rsidR="00C8101A" w:rsidP="007936BF" w:rsidRDefault="00C8101A" w14:paraId="3C753F86" w14:textId="5AD9569F">
      <w:pPr>
        <w:spacing w:line="240" w:lineRule="auto"/>
        <w:rPr>
          <w:rFonts w:eastAsiaTheme="minorEastAsia"/>
          <w:lang w:eastAsia="ja-JP"/>
        </w:rPr>
      </w:pPr>
      <w:r w:rsidRPr="00AE758F">
        <w:rPr>
          <w:rFonts w:eastAsiaTheme="minorEastAsia"/>
          <w:lang w:eastAsia="ja-JP"/>
        </w:rPr>
        <w:t xml:space="preserve">The </w:t>
      </w:r>
      <w:r w:rsidRPr="00AE758F" w:rsidR="001D647F">
        <w:rPr>
          <w:rFonts w:eastAsiaTheme="minorEastAsia"/>
          <w:lang w:eastAsia="ja-JP"/>
        </w:rPr>
        <w:t>NRC</w:t>
      </w:r>
      <w:r w:rsidRPr="00AE758F">
        <w:rPr>
          <w:rFonts w:eastAsiaTheme="minorEastAsia"/>
          <w:lang w:eastAsia="ja-JP"/>
        </w:rPr>
        <w:t xml:space="preserve"> began by using the engineering buildup method of cost estimation</w:t>
      </w:r>
      <w:r w:rsidR="00AA75DA">
        <w:rPr>
          <w:rFonts w:eastAsiaTheme="minorEastAsia"/>
          <w:lang w:eastAsia="ja-JP"/>
        </w:rPr>
        <w:t xml:space="preserve"> for some activities.</w:t>
      </w:r>
      <w:r w:rsidRPr="00AE758F">
        <w:rPr>
          <w:rFonts w:eastAsiaTheme="minorEastAsia"/>
          <w:lang w:eastAsia="ja-JP"/>
        </w:rPr>
        <w:t xml:space="preserve"> </w:t>
      </w:r>
      <w:r w:rsidR="00AA75DA">
        <w:rPr>
          <w:rFonts w:eastAsiaTheme="minorEastAsia"/>
          <w:lang w:eastAsia="ja-JP"/>
        </w:rPr>
        <w:t xml:space="preserve"> This method </w:t>
      </w:r>
      <w:r w:rsidRPr="00AE758F">
        <w:rPr>
          <w:rFonts w:eastAsiaTheme="minorEastAsia"/>
          <w:lang w:eastAsia="ja-JP"/>
        </w:rPr>
        <w:t xml:space="preserve">combines </w:t>
      </w:r>
      <w:r w:rsidR="00AA75DA">
        <w:rPr>
          <w:rFonts w:eastAsiaTheme="minorEastAsia"/>
          <w:lang w:eastAsia="ja-JP"/>
        </w:rPr>
        <w:t xml:space="preserve">the </w:t>
      </w:r>
      <w:r w:rsidRPr="00AE758F">
        <w:rPr>
          <w:rFonts w:eastAsiaTheme="minorEastAsia"/>
          <w:lang w:eastAsia="ja-JP"/>
        </w:rPr>
        <w:t>incremental costs of an activity from the bottom up to estimate a</w:t>
      </w:r>
      <w:r w:rsidR="00A56600">
        <w:rPr>
          <w:rFonts w:eastAsiaTheme="minorEastAsia"/>
          <w:lang w:eastAsia="ja-JP"/>
        </w:rPr>
        <w:t> </w:t>
      </w:r>
      <w:r w:rsidR="00392236">
        <w:rPr>
          <w:rFonts w:eastAsiaTheme="minorEastAsia"/>
          <w:lang w:eastAsia="ja-JP"/>
        </w:rPr>
        <w:t>net</w:t>
      </w:r>
      <w:r w:rsidRPr="00AE758F">
        <w:rPr>
          <w:rFonts w:eastAsiaTheme="minorEastAsia"/>
          <w:lang w:eastAsia="ja-JP"/>
        </w:rPr>
        <w:t xml:space="preserve"> cost.  For this step, the NRC reviewed previous license submittals and determined the</w:t>
      </w:r>
      <w:r w:rsidR="00A56600">
        <w:rPr>
          <w:rFonts w:eastAsiaTheme="minorEastAsia"/>
          <w:lang w:eastAsia="ja-JP"/>
        </w:rPr>
        <w:t> </w:t>
      </w:r>
      <w:r w:rsidRPr="00AE758F">
        <w:rPr>
          <w:rFonts w:eastAsiaTheme="minorEastAsia"/>
          <w:lang w:eastAsia="ja-JP"/>
        </w:rPr>
        <w:t xml:space="preserve">number of pages in each section, then used these data to </w:t>
      </w:r>
      <w:r w:rsidR="00BB774B">
        <w:rPr>
          <w:rFonts w:eastAsiaTheme="minorEastAsia"/>
          <w:lang w:eastAsia="ja-JP"/>
        </w:rPr>
        <w:t>calculate</w:t>
      </w:r>
      <w:r w:rsidRPr="00AE758F" w:rsidR="00BB774B">
        <w:rPr>
          <w:rFonts w:eastAsiaTheme="minorEastAsia"/>
          <w:lang w:eastAsia="ja-JP"/>
        </w:rPr>
        <w:t xml:space="preserve"> </w:t>
      </w:r>
      <w:r w:rsidRPr="00AE758F">
        <w:rPr>
          <w:rFonts w:eastAsiaTheme="minorEastAsia"/>
          <w:lang w:eastAsia="ja-JP"/>
        </w:rPr>
        <w:t>preliminary levels of effort.</w:t>
      </w:r>
      <w:r w:rsidRPr="00AE758F" w:rsidR="0072429A">
        <w:rPr>
          <w:rFonts w:eastAsiaTheme="minorEastAsia"/>
          <w:lang w:eastAsia="ja-JP"/>
        </w:rPr>
        <w:t xml:space="preserve">  </w:t>
      </w:r>
      <w:r w:rsidRPr="00AE758F">
        <w:rPr>
          <w:rFonts w:eastAsiaTheme="minorEastAsia"/>
          <w:lang w:eastAsia="ja-JP"/>
        </w:rPr>
        <w:t xml:space="preserve">The </w:t>
      </w:r>
      <w:r w:rsidRPr="00AE758F" w:rsidR="001D647F">
        <w:rPr>
          <w:rFonts w:eastAsiaTheme="minorEastAsia"/>
          <w:lang w:eastAsia="ja-JP"/>
        </w:rPr>
        <w:t>NRC</w:t>
      </w:r>
      <w:r w:rsidRPr="00AE758F">
        <w:rPr>
          <w:rFonts w:eastAsiaTheme="minorEastAsia"/>
          <w:lang w:eastAsia="ja-JP"/>
        </w:rPr>
        <w:t xml:space="preserve"> consulted subject</w:t>
      </w:r>
      <w:r w:rsidR="00BB774B">
        <w:rPr>
          <w:rFonts w:eastAsiaTheme="minorEastAsia"/>
          <w:lang w:eastAsia="ja-JP"/>
        </w:rPr>
        <w:noBreakHyphen/>
      </w:r>
      <w:r w:rsidRPr="00AE758F">
        <w:rPr>
          <w:rFonts w:eastAsiaTheme="minorEastAsia"/>
          <w:lang w:eastAsia="ja-JP"/>
        </w:rPr>
        <w:t xml:space="preserve">matter experts within the agency to develop most of the </w:t>
      </w:r>
      <w:r w:rsidRPr="00AE758F" w:rsidR="00110D7B">
        <w:rPr>
          <w:rFonts w:eastAsiaTheme="minorEastAsia"/>
          <w:lang w:eastAsia="ja-JP"/>
        </w:rPr>
        <w:t>level</w:t>
      </w:r>
      <w:r w:rsidR="006A7C4F">
        <w:rPr>
          <w:rFonts w:eastAsiaTheme="minorEastAsia"/>
          <w:lang w:eastAsia="ja-JP"/>
        </w:rPr>
        <w:noBreakHyphen/>
      </w:r>
      <w:r w:rsidRPr="00AE758F" w:rsidR="00110D7B">
        <w:rPr>
          <w:rFonts w:eastAsiaTheme="minorEastAsia"/>
          <w:lang w:eastAsia="ja-JP"/>
        </w:rPr>
        <w:t>of</w:t>
      </w:r>
      <w:r w:rsidR="006A7C4F">
        <w:rPr>
          <w:rFonts w:eastAsiaTheme="minorEastAsia"/>
          <w:lang w:eastAsia="ja-JP"/>
        </w:rPr>
        <w:noBreakHyphen/>
      </w:r>
      <w:r w:rsidRPr="00AE758F" w:rsidR="00110D7B">
        <w:rPr>
          <w:rFonts w:eastAsiaTheme="minorEastAsia"/>
          <w:lang w:eastAsia="ja-JP"/>
        </w:rPr>
        <w:t>effort</w:t>
      </w:r>
      <w:r w:rsidRPr="00AE758F">
        <w:rPr>
          <w:rFonts w:eastAsiaTheme="minorEastAsia"/>
          <w:lang w:eastAsia="ja-JP"/>
        </w:rPr>
        <w:t xml:space="preserve"> estimates used in the analysis</w:t>
      </w:r>
      <w:r w:rsidRPr="00AE758F" w:rsidR="0072429A">
        <w:rPr>
          <w:rFonts w:eastAsiaTheme="minorEastAsia"/>
          <w:lang w:eastAsia="ja-JP"/>
        </w:rPr>
        <w:t>.</w:t>
      </w:r>
    </w:p>
    <w:p w:rsidRPr="00AE758F" w:rsidR="00C8101A" w:rsidP="007936BF" w:rsidRDefault="00C8101A" w14:paraId="7912D33D" w14:textId="77777777">
      <w:pPr>
        <w:spacing w:line="240" w:lineRule="auto"/>
        <w:rPr>
          <w:rFonts w:eastAsiaTheme="minorEastAsia"/>
          <w:lang w:eastAsia="ja-JP"/>
        </w:rPr>
      </w:pPr>
    </w:p>
    <w:p w:rsidRPr="00AE758F" w:rsidR="00C8101A" w:rsidP="007936BF" w:rsidRDefault="00BA4152" w14:paraId="623ECA03" w14:textId="76EC371A">
      <w:pPr>
        <w:spacing w:line="240" w:lineRule="auto"/>
        <w:rPr>
          <w:rFonts w:eastAsiaTheme="minorEastAsia"/>
          <w:lang w:eastAsia="ja-JP"/>
        </w:rPr>
      </w:pPr>
      <w:r>
        <w:rPr>
          <w:rFonts w:eastAsiaTheme="minorEastAsia"/>
          <w:lang w:eastAsia="ja-JP"/>
        </w:rPr>
        <w:t>For some activities, t</w:t>
      </w:r>
      <w:r w:rsidRPr="00AE758F" w:rsidR="00C8101A">
        <w:rPr>
          <w:rFonts w:eastAsiaTheme="minorEastAsia"/>
          <w:lang w:eastAsia="ja-JP"/>
        </w:rPr>
        <w:t xml:space="preserve">he </w:t>
      </w:r>
      <w:r w:rsidRPr="00AE758F" w:rsidR="001D647F">
        <w:rPr>
          <w:rFonts w:eastAsiaTheme="minorEastAsia"/>
          <w:lang w:eastAsia="ja-JP"/>
        </w:rPr>
        <w:t>NRC</w:t>
      </w:r>
      <w:r w:rsidRPr="00AE758F" w:rsidR="00C8101A">
        <w:rPr>
          <w:rFonts w:eastAsiaTheme="minorEastAsia"/>
          <w:lang w:eastAsia="ja-JP"/>
        </w:rPr>
        <w:t xml:space="preserve"> extrapolated </w:t>
      </w:r>
      <w:r>
        <w:rPr>
          <w:rFonts w:eastAsiaTheme="minorEastAsia"/>
          <w:lang w:eastAsia="ja-JP"/>
        </w:rPr>
        <w:t xml:space="preserve">from </w:t>
      </w:r>
      <w:r w:rsidRPr="00AE758F" w:rsidR="00C8101A">
        <w:rPr>
          <w:rFonts w:eastAsiaTheme="minorEastAsia"/>
          <w:lang w:eastAsia="ja-JP"/>
        </w:rPr>
        <w:t xml:space="preserve">actual past or current costs to estimate the future cost of similar activities.  For example, to </w:t>
      </w:r>
      <w:r w:rsidR="00771A76">
        <w:rPr>
          <w:rFonts w:eastAsiaTheme="minorEastAsia"/>
          <w:lang w:eastAsia="ja-JP"/>
        </w:rPr>
        <w:t xml:space="preserve">estimate the </w:t>
      </w:r>
      <w:r w:rsidRPr="00AE758F" w:rsidR="00C8101A">
        <w:rPr>
          <w:rFonts w:eastAsiaTheme="minorEastAsia"/>
          <w:lang w:eastAsia="ja-JP"/>
        </w:rPr>
        <w:t>averted costs of alternative</w:t>
      </w:r>
      <w:r w:rsidRPr="00AE758F" w:rsidR="009A3151">
        <w:rPr>
          <w:rFonts w:eastAsiaTheme="minorEastAsia"/>
          <w:lang w:eastAsia="ja-JP"/>
        </w:rPr>
        <w:t xml:space="preserve"> </w:t>
      </w:r>
      <w:r w:rsidRPr="00AE758F" w:rsidR="00C8101A">
        <w:rPr>
          <w:rFonts w:eastAsiaTheme="minorEastAsia"/>
          <w:lang w:eastAsia="ja-JP"/>
        </w:rPr>
        <w:t xml:space="preserve">requests and the costs for preparation of the </w:t>
      </w:r>
      <w:r w:rsidRPr="00AE758F" w:rsidR="0072429A">
        <w:rPr>
          <w:rFonts w:eastAsiaTheme="minorEastAsia"/>
          <w:lang w:eastAsia="ja-JP"/>
        </w:rPr>
        <w:t>proposed</w:t>
      </w:r>
      <w:r w:rsidRPr="00AE758F" w:rsidR="00C8101A">
        <w:rPr>
          <w:rFonts w:eastAsiaTheme="minorEastAsia"/>
          <w:lang w:eastAsia="ja-JP"/>
        </w:rPr>
        <w:t xml:space="preserve"> rule, the </w:t>
      </w:r>
      <w:r w:rsidRPr="00AE758F" w:rsidR="001D647F">
        <w:rPr>
          <w:rFonts w:eastAsiaTheme="minorEastAsia"/>
          <w:lang w:eastAsia="ja-JP"/>
        </w:rPr>
        <w:t>NRC</w:t>
      </w:r>
      <w:r w:rsidRPr="00AE758F" w:rsidR="00C8101A">
        <w:rPr>
          <w:rFonts w:eastAsiaTheme="minorEastAsia"/>
          <w:lang w:eastAsia="ja-JP"/>
        </w:rPr>
        <w:t xml:space="preserve"> used data on past projects to determine the labor categories of those who would perform the work and </w:t>
      </w:r>
      <w:r w:rsidRPr="00AE758F" w:rsidR="003F338D">
        <w:rPr>
          <w:rFonts w:eastAsiaTheme="minorEastAsia"/>
          <w:lang w:eastAsia="ja-JP"/>
        </w:rPr>
        <w:t xml:space="preserve">to </w:t>
      </w:r>
      <w:r w:rsidRPr="00AE758F" w:rsidR="00C8101A">
        <w:rPr>
          <w:rFonts w:eastAsiaTheme="minorEastAsia"/>
          <w:lang w:eastAsia="ja-JP"/>
        </w:rPr>
        <w:t>estimate the time required under each category to complete the work.</w:t>
      </w:r>
    </w:p>
    <w:p w:rsidRPr="00AE758F" w:rsidR="00C8101A" w:rsidP="007936BF" w:rsidRDefault="00C8101A" w14:paraId="1DD8C2DD" w14:textId="77777777">
      <w:pPr>
        <w:spacing w:line="240" w:lineRule="auto"/>
        <w:rPr>
          <w:rFonts w:eastAsiaTheme="minorEastAsia"/>
          <w:lang w:eastAsia="ja-JP"/>
        </w:rPr>
      </w:pPr>
    </w:p>
    <w:p w:rsidRPr="00AE758F" w:rsidR="00C8101A" w:rsidP="007936BF" w:rsidRDefault="00C8101A" w14:paraId="1FB84FBC" w14:textId="2AC47C28">
      <w:pPr>
        <w:spacing w:line="240" w:lineRule="auto"/>
        <w:rPr>
          <w:rFonts w:eastAsiaTheme="minorEastAsia"/>
          <w:lang w:eastAsia="ja-JP"/>
        </w:rPr>
      </w:pPr>
      <w:r w:rsidRPr="00AC1741">
        <w:rPr>
          <w:rFonts w:eastAsiaTheme="minorEastAsia"/>
          <w:lang w:eastAsia="ja-JP"/>
        </w:rPr>
        <w:t xml:space="preserve">To evaluate the effect of uncertainty in the model, the </w:t>
      </w:r>
      <w:r w:rsidRPr="00AC1741" w:rsidR="001D647F">
        <w:rPr>
          <w:rFonts w:eastAsiaTheme="minorEastAsia"/>
          <w:lang w:eastAsia="ja-JP"/>
        </w:rPr>
        <w:t>NRC</w:t>
      </w:r>
      <w:r w:rsidRPr="00AC1741">
        <w:rPr>
          <w:rFonts w:eastAsiaTheme="minorEastAsia"/>
          <w:lang w:eastAsia="ja-JP"/>
        </w:rPr>
        <w:t xml:space="preserve"> used Monte Carlo simulation, which is an approach to uncertainty analysis that expresses input variables as distributions.  The </w:t>
      </w:r>
      <w:r w:rsidRPr="00AC1741" w:rsidR="003F338D">
        <w:rPr>
          <w:rFonts w:eastAsiaTheme="minorEastAsia"/>
          <w:lang w:eastAsia="ja-JP"/>
        </w:rPr>
        <w:t xml:space="preserve">staff ran the </w:t>
      </w:r>
      <w:r w:rsidRPr="00AC1741">
        <w:rPr>
          <w:rFonts w:eastAsiaTheme="minorEastAsia"/>
          <w:lang w:eastAsia="ja-JP"/>
        </w:rPr>
        <w:t>simulation 10,000 times</w:t>
      </w:r>
      <w:r w:rsidRPr="00AC1741" w:rsidR="00771A76">
        <w:rPr>
          <w:rFonts w:eastAsiaTheme="minorEastAsia"/>
          <w:lang w:eastAsia="ja-JP"/>
        </w:rPr>
        <w:t>,</w:t>
      </w:r>
      <w:r w:rsidRPr="00AC1741">
        <w:rPr>
          <w:rFonts w:eastAsiaTheme="minorEastAsia"/>
          <w:lang w:eastAsia="ja-JP"/>
        </w:rPr>
        <w:t xml:space="preserve"> </w:t>
      </w:r>
      <w:r w:rsidRPr="00AC1741" w:rsidR="00771A76">
        <w:rPr>
          <w:rFonts w:eastAsiaTheme="minorEastAsia"/>
          <w:lang w:eastAsia="ja-JP"/>
        </w:rPr>
        <w:t xml:space="preserve">choosing </w:t>
      </w:r>
      <w:r w:rsidRPr="00AC1741" w:rsidR="00603850">
        <w:rPr>
          <w:rFonts w:eastAsiaTheme="minorEastAsia"/>
          <w:lang w:eastAsia="ja-JP"/>
        </w:rPr>
        <w:t xml:space="preserve">input </w:t>
      </w:r>
      <w:r w:rsidRPr="00AC1741">
        <w:rPr>
          <w:rFonts w:eastAsiaTheme="minorEastAsia"/>
          <w:lang w:eastAsia="ja-JP"/>
        </w:rPr>
        <w:t xml:space="preserve">values at random from the distributions of the input variables.  The result was a distribution of values for the output variable of interest.  Monte Carlo simulation also </w:t>
      </w:r>
      <w:r w:rsidRPr="00AC1741" w:rsidR="00F67F2F">
        <w:rPr>
          <w:rFonts w:eastAsiaTheme="minorEastAsia"/>
          <w:lang w:eastAsia="ja-JP"/>
        </w:rPr>
        <w:t xml:space="preserve">shows which </w:t>
      </w:r>
      <w:r w:rsidRPr="00AC1741">
        <w:rPr>
          <w:rFonts w:eastAsiaTheme="minorEastAsia"/>
          <w:lang w:eastAsia="ja-JP"/>
        </w:rPr>
        <w:t xml:space="preserve">input variables have the greatest effect on the value of the output variable.  </w:t>
      </w:r>
      <w:r w:rsidRPr="00AC1741" w:rsidR="006236DA">
        <w:rPr>
          <w:rFonts w:eastAsiaTheme="minorEastAsia"/>
          <w:lang w:eastAsia="ja-JP"/>
        </w:rPr>
        <w:t>Section</w:t>
      </w:r>
      <w:r w:rsidRPr="00AC1741" w:rsidR="003A5142">
        <w:rPr>
          <w:rFonts w:eastAsiaTheme="minorEastAsia"/>
          <w:lang w:eastAsia="ja-JP"/>
        </w:rPr>
        <w:t> </w:t>
      </w:r>
      <w:r w:rsidRPr="00AC1741">
        <w:rPr>
          <w:rFonts w:eastAsiaTheme="minorEastAsia"/>
          <w:lang w:eastAsia="ja-JP"/>
        </w:rPr>
        <w:t xml:space="preserve">5 </w:t>
      </w:r>
      <w:r w:rsidRPr="00AC1741" w:rsidR="003A5142">
        <w:rPr>
          <w:rFonts w:eastAsiaTheme="minorEastAsia"/>
          <w:lang w:eastAsia="ja-JP"/>
        </w:rPr>
        <w:t xml:space="preserve">of this analysis </w:t>
      </w:r>
      <w:r w:rsidRPr="00AC1741">
        <w:rPr>
          <w:rFonts w:eastAsiaTheme="minorEastAsia"/>
          <w:lang w:eastAsia="ja-JP"/>
        </w:rPr>
        <w:t>descri</w:t>
      </w:r>
      <w:r w:rsidRPr="00AC1741" w:rsidR="003A5142">
        <w:rPr>
          <w:rFonts w:eastAsiaTheme="minorEastAsia"/>
          <w:lang w:eastAsia="ja-JP"/>
        </w:rPr>
        <w:t>bes</w:t>
      </w:r>
      <w:r w:rsidRPr="00AC1741">
        <w:rPr>
          <w:rFonts w:eastAsiaTheme="minorEastAsia"/>
          <w:lang w:eastAsia="ja-JP"/>
        </w:rPr>
        <w:t xml:space="preserve"> the </w:t>
      </w:r>
      <w:r w:rsidRPr="00AC1741" w:rsidR="00F00E33">
        <w:rPr>
          <w:rFonts w:eastAsiaTheme="minorEastAsia"/>
          <w:lang w:eastAsia="ja-JP"/>
        </w:rPr>
        <w:t xml:space="preserve">staff’s </w:t>
      </w:r>
      <w:r w:rsidRPr="00AC1741">
        <w:rPr>
          <w:rFonts w:eastAsiaTheme="minorEastAsia"/>
          <w:lang w:eastAsia="ja-JP"/>
        </w:rPr>
        <w:t>Monte Carlo simulation methods and presents the results.</w:t>
      </w:r>
    </w:p>
    <w:p w:rsidRPr="00AE758F" w:rsidR="0072429A" w:rsidP="007936BF" w:rsidRDefault="0072429A" w14:paraId="44BC7198" w14:textId="3356BE66">
      <w:pPr>
        <w:spacing w:line="240" w:lineRule="auto"/>
        <w:rPr>
          <w:rFonts w:eastAsiaTheme="minorEastAsia"/>
          <w:lang w:eastAsia="ja-JP"/>
        </w:rPr>
      </w:pPr>
    </w:p>
    <w:p w:rsidRPr="00AE758F" w:rsidR="00C8101A" w:rsidP="007936BF" w:rsidRDefault="00C8101A" w14:paraId="7787EC2E" w14:textId="62E54480">
      <w:pPr>
        <w:pStyle w:val="Heading3"/>
        <w:spacing w:line="240" w:lineRule="auto"/>
        <w:ind w:left="720" w:hanging="720"/>
        <w:rPr>
          <w:b/>
        </w:rPr>
      </w:pPr>
      <w:bookmarkStart w:name="_Toc457827241" w:id="167"/>
      <w:bookmarkStart w:name="_Toc456098228" w:id="168"/>
      <w:bookmarkStart w:name="_Toc521577060" w:id="169"/>
      <w:bookmarkStart w:name="_Toc7512247" w:id="170"/>
      <w:bookmarkStart w:name="_Toc81309117" w:id="171"/>
      <w:r w:rsidRPr="00AE758F">
        <w:t>4.2.10</w:t>
      </w:r>
      <w:r w:rsidRPr="00AE758F">
        <w:tab/>
      </w:r>
      <w:bookmarkEnd w:id="167"/>
      <w:bookmarkEnd w:id="168"/>
      <w:bookmarkEnd w:id="169"/>
      <w:bookmarkEnd w:id="170"/>
      <w:r w:rsidRPr="00AE758F" w:rsidR="007B6878">
        <w:t>ASME BPV and OM Codes Incorporated by Reference</w:t>
      </w:r>
      <w:bookmarkEnd w:id="171"/>
    </w:p>
    <w:p w:rsidRPr="00AE758F" w:rsidR="0072429A" w:rsidP="007936BF" w:rsidRDefault="0072429A" w14:paraId="33E66D86" w14:textId="77777777">
      <w:pPr>
        <w:keepNext/>
        <w:spacing w:line="240" w:lineRule="auto"/>
      </w:pPr>
    </w:p>
    <w:p w:rsidRPr="00AE758F" w:rsidR="0070145E" w:rsidP="007936BF" w:rsidRDefault="00C8101A" w14:paraId="45689842" w14:textId="78FA5728">
      <w:pPr>
        <w:spacing w:line="240" w:lineRule="auto"/>
      </w:pPr>
      <w:r w:rsidRPr="00AE758F">
        <w:t xml:space="preserve">The </w:t>
      </w:r>
      <w:r w:rsidRPr="00AE758F" w:rsidR="001D647F">
        <w:t>NRC</w:t>
      </w:r>
      <w:r w:rsidRPr="00AE758F">
        <w:t xml:space="preserve"> analyzed the </w:t>
      </w:r>
      <w:r w:rsidRPr="00AE758F" w:rsidR="007D1FCA">
        <w:t>2019</w:t>
      </w:r>
      <w:r w:rsidRPr="00AE758F" w:rsidR="003A5142">
        <w:t>–</w:t>
      </w:r>
      <w:r w:rsidRPr="00AE758F" w:rsidR="007D1FCA">
        <w:t xml:space="preserve">2020 </w:t>
      </w:r>
      <w:r w:rsidRPr="00AE758F" w:rsidR="00D5520D">
        <w:t xml:space="preserve">Editions of the </w:t>
      </w:r>
      <w:r w:rsidRPr="00AE758F" w:rsidR="003A5142">
        <w:t xml:space="preserve">ASME </w:t>
      </w:r>
      <w:r w:rsidRPr="00AE758F" w:rsidR="007D1FCA">
        <w:t xml:space="preserve">Codes </w:t>
      </w:r>
      <w:r w:rsidRPr="00AE758F">
        <w:t>to determine whether they are (1) acceptable without conditions</w:t>
      </w:r>
      <w:r w:rsidRPr="00AE758F" w:rsidR="0072429A">
        <w:t xml:space="preserve"> or </w:t>
      </w:r>
      <w:r w:rsidRPr="00AE758F">
        <w:t xml:space="preserve">(2) generally acceptable with conditions.  </w:t>
      </w:r>
      <w:r w:rsidRPr="00AE758F" w:rsidR="009310EA">
        <w:t>Typically</w:t>
      </w:r>
      <w:r w:rsidRPr="00AE758F">
        <w:t xml:space="preserve">, when the NRC approves codes with conditions, licensees may experience additional regulatory </w:t>
      </w:r>
      <w:r w:rsidR="006B1253">
        <w:t>costs</w:t>
      </w:r>
      <w:r w:rsidRPr="00AE758F">
        <w:t xml:space="preserve"> to meet the conditioned requirements.  For each applicable case, the conditions </w:t>
      </w:r>
      <w:r w:rsidRPr="00AE758F" w:rsidR="005622F1">
        <w:t>may</w:t>
      </w:r>
      <w:r w:rsidRPr="00AE758F">
        <w:t xml:space="preserve"> specify additional activities that must be performed, limits on the activities, or supplemental information needed to provide clarity (or a combination of these). </w:t>
      </w:r>
      <w:r w:rsidRPr="00AE758F" w:rsidR="003A5142">
        <w:t xml:space="preserve"> </w:t>
      </w:r>
      <w:r w:rsidRPr="00AE758F" w:rsidR="0070145E">
        <w:t xml:space="preserve">This regulatory analysis </w:t>
      </w:r>
      <w:r w:rsidR="002032D4">
        <w:t>examine</w:t>
      </w:r>
      <w:r w:rsidR="001638F5">
        <w:t>s</w:t>
      </w:r>
      <w:r w:rsidR="002032D4">
        <w:t xml:space="preserve"> </w:t>
      </w:r>
      <w:r w:rsidRPr="00AE758F" w:rsidR="005622F1">
        <w:t xml:space="preserve">the </w:t>
      </w:r>
      <w:r w:rsidRPr="00AE758F">
        <w:t>condition</w:t>
      </w:r>
      <w:r w:rsidRPr="00AE758F" w:rsidR="005622F1">
        <w:t>s</w:t>
      </w:r>
      <w:r w:rsidRPr="00AE758F">
        <w:t xml:space="preserve"> </w:t>
      </w:r>
      <w:r w:rsidR="002F7426">
        <w:t xml:space="preserve">for </w:t>
      </w:r>
      <w:r w:rsidRPr="00AE758F" w:rsidR="005622F1">
        <w:t>the</w:t>
      </w:r>
      <w:r w:rsidRPr="00AE758F">
        <w:t xml:space="preserve"> </w:t>
      </w:r>
      <w:r w:rsidRPr="00AE758F" w:rsidR="005622F1">
        <w:t>2019</w:t>
      </w:r>
      <w:r w:rsidRPr="00AE758F" w:rsidR="003A5142">
        <w:t>–</w:t>
      </w:r>
      <w:r w:rsidRPr="00AE758F" w:rsidR="005622F1">
        <w:t xml:space="preserve">2020 </w:t>
      </w:r>
      <w:r w:rsidRPr="00AE758F" w:rsidR="00D5520D">
        <w:t xml:space="preserve">Editions of the </w:t>
      </w:r>
      <w:r w:rsidRPr="00AE758F" w:rsidR="007211E4">
        <w:t xml:space="preserve">ASME </w:t>
      </w:r>
      <w:r w:rsidRPr="00AE758F">
        <w:t>Code</w:t>
      </w:r>
      <w:r w:rsidRPr="00AE758F" w:rsidR="005622F1">
        <w:t xml:space="preserve">s to determine </w:t>
      </w:r>
      <w:r w:rsidRPr="00AE758F">
        <w:t>the</w:t>
      </w:r>
      <w:r w:rsidR="001638F5">
        <w:t>ir</w:t>
      </w:r>
      <w:r w:rsidRPr="00AE758F">
        <w:t xml:space="preserve"> overall costs and benefits.</w:t>
      </w:r>
    </w:p>
    <w:p w:rsidRPr="00AE758F" w:rsidR="00C8101A" w:rsidP="007936BF" w:rsidRDefault="00C8101A" w14:paraId="6DE2DA39" w14:textId="77777777">
      <w:pPr>
        <w:spacing w:line="240" w:lineRule="auto"/>
      </w:pPr>
      <w:bookmarkStart w:name="_Toc456098230" w:id="172"/>
    </w:p>
    <w:p w:rsidRPr="00AE758F" w:rsidR="00C8101A" w:rsidP="00382B4A" w:rsidRDefault="00C8101A" w14:paraId="0B3FE91C" w14:textId="35425544">
      <w:pPr>
        <w:pStyle w:val="Heading2"/>
        <w:spacing w:line="240" w:lineRule="auto"/>
        <w:ind w:left="450" w:hanging="450"/>
      </w:pPr>
      <w:bookmarkStart w:name="_Toc457827243" w:id="173"/>
      <w:bookmarkStart w:name="_Toc521577062" w:id="174"/>
      <w:bookmarkStart w:name="_Toc7512249" w:id="175"/>
      <w:bookmarkStart w:name="_Toc81309118" w:id="176"/>
      <w:r w:rsidRPr="00AE758F">
        <w:t>4.3</w:t>
      </w:r>
      <w:r w:rsidRPr="00AE758F">
        <w:tab/>
        <w:t>Data</w:t>
      </w:r>
      <w:bookmarkEnd w:id="172"/>
      <w:bookmarkEnd w:id="173"/>
      <w:bookmarkEnd w:id="174"/>
      <w:bookmarkEnd w:id="175"/>
      <w:bookmarkEnd w:id="176"/>
    </w:p>
    <w:p w:rsidRPr="00AE758F" w:rsidR="00C8101A" w:rsidP="007936BF" w:rsidRDefault="00C8101A" w14:paraId="2DDE8062" w14:textId="77777777">
      <w:pPr>
        <w:keepNext/>
        <w:spacing w:line="240" w:lineRule="auto"/>
      </w:pPr>
    </w:p>
    <w:p w:rsidRPr="00AE758F" w:rsidR="00C8101A" w:rsidP="007936BF" w:rsidRDefault="00C8101A" w14:paraId="4BF005B2" w14:textId="14239144">
      <w:pPr>
        <w:spacing w:line="240" w:lineRule="auto"/>
      </w:pPr>
      <w:r w:rsidRPr="00AE758F">
        <w:t xml:space="preserve">This section discusses the data used in analyzing the quantifiable </w:t>
      </w:r>
      <w:r w:rsidR="00BC0255">
        <w:t>effects</w:t>
      </w:r>
      <w:r w:rsidRPr="00AE758F" w:rsidR="00BC0255">
        <w:t xml:space="preserve"> </w:t>
      </w:r>
      <w:r w:rsidR="00BC0255">
        <w:t xml:space="preserve">of </w:t>
      </w:r>
      <w:r w:rsidRPr="00AE758F" w:rsidR="002C03F2">
        <w:t>the</w:t>
      </w:r>
      <w:r w:rsidR="00A56600">
        <w:t> </w:t>
      </w:r>
      <w:r w:rsidRPr="00AE758F" w:rsidR="002C03F2">
        <w:t>rulemaking</w:t>
      </w:r>
      <w:r w:rsidRPr="00AE758F">
        <w:t xml:space="preserve"> alternative.  </w:t>
      </w:r>
      <w:r w:rsidRPr="00AE758F" w:rsidR="00D5520D">
        <w:t>For this regulatory analysis, t</w:t>
      </w:r>
      <w:r w:rsidRPr="00AE758F">
        <w:t xml:space="preserve">he </w:t>
      </w:r>
      <w:r w:rsidRPr="00AE758F" w:rsidR="001D647F">
        <w:t>NRC</w:t>
      </w:r>
      <w:r w:rsidRPr="00AE758F">
        <w:t xml:space="preserve"> used data from subject</w:t>
      </w:r>
      <w:r w:rsidR="00BB774B">
        <w:noBreakHyphen/>
      </w:r>
      <w:r w:rsidRPr="00AE758F">
        <w:t>matter experts</w:t>
      </w:r>
      <w:r w:rsidRPr="00AE758F" w:rsidR="003A5142">
        <w:t>,</w:t>
      </w:r>
      <w:r w:rsidRPr="00AE758F">
        <w:t xml:space="preserve"> </w:t>
      </w:r>
      <w:r w:rsidRPr="00AE758F" w:rsidR="003A5142">
        <w:t>applied</w:t>
      </w:r>
      <w:r w:rsidRPr="00AE758F" w:rsidR="002C03F2">
        <w:t xml:space="preserve"> </w:t>
      </w:r>
      <w:r w:rsidRPr="00AE758F">
        <w:t>knowledge gained from past rulemakings</w:t>
      </w:r>
      <w:r w:rsidRPr="00AE758F" w:rsidR="003A5142">
        <w:t>,</w:t>
      </w:r>
      <w:r w:rsidRPr="00AE758F">
        <w:t xml:space="preserve"> </w:t>
      </w:r>
      <w:r w:rsidRPr="00AE758F" w:rsidR="003A5142">
        <w:t>and obtained q</w:t>
      </w:r>
      <w:r w:rsidRPr="00AE758F">
        <w:t>uantitative and qualitative (i.e., </w:t>
      </w:r>
      <w:proofErr w:type="spellStart"/>
      <w:r w:rsidRPr="00AE758F">
        <w:t>nonquantified</w:t>
      </w:r>
      <w:proofErr w:type="spellEnd"/>
      <w:r w:rsidRPr="00AE758F">
        <w:t xml:space="preserve">) information </w:t>
      </w:r>
      <w:r w:rsidR="00BC0255">
        <w:t xml:space="preserve">from the staff </w:t>
      </w:r>
      <w:r w:rsidRPr="00AE758F">
        <w:t xml:space="preserve">on attributes affected by the </w:t>
      </w:r>
      <w:r w:rsidR="00C14208">
        <w:t>final</w:t>
      </w:r>
      <w:r w:rsidRPr="00AE758F">
        <w:t xml:space="preserve"> rule.  The NRC considered the potential differences between the new requirements and the</w:t>
      </w:r>
      <w:r w:rsidR="00A56600">
        <w:t> </w:t>
      </w:r>
      <w:r w:rsidRPr="00AE758F">
        <w:t>current requirements and incorporated the incremental changes into this analysis.</w:t>
      </w:r>
    </w:p>
    <w:p w:rsidRPr="00AE758F" w:rsidR="00C8101A" w:rsidP="00977776" w:rsidRDefault="00C8101A" w14:paraId="62D2B510" w14:textId="77777777">
      <w:pPr>
        <w:pStyle w:val="Heading1"/>
        <w:numPr>
          <w:ilvl w:val="0"/>
          <w:numId w:val="10"/>
        </w:numPr>
        <w:spacing w:line="240" w:lineRule="auto"/>
        <w:ind w:left="270" w:hanging="270"/>
        <w:rPr>
          <w:szCs w:val="22"/>
        </w:rPr>
      </w:pPr>
      <w:bookmarkStart w:name="_Toc42676415" w:id="177"/>
      <w:bookmarkStart w:name="_Ref393196136" w:id="178"/>
      <w:bookmarkStart w:name="_Toc456098231" w:id="179"/>
      <w:bookmarkStart w:name="_Toc457827244" w:id="180"/>
      <w:bookmarkStart w:name="_Toc521577063" w:id="181"/>
      <w:bookmarkStart w:name="_Toc7512250" w:id="182"/>
      <w:bookmarkStart w:name="_Toc81309119" w:id="183"/>
      <w:bookmarkEnd w:id="177"/>
      <w:r w:rsidRPr="00AE758F">
        <w:rPr>
          <w:szCs w:val="22"/>
        </w:rPr>
        <w:t>Results</w:t>
      </w:r>
      <w:bookmarkEnd w:id="178"/>
      <w:bookmarkEnd w:id="179"/>
      <w:bookmarkEnd w:id="180"/>
      <w:bookmarkEnd w:id="181"/>
      <w:bookmarkEnd w:id="182"/>
      <w:bookmarkEnd w:id="183"/>
    </w:p>
    <w:p w:rsidRPr="00AE758F" w:rsidR="00C8101A" w:rsidP="007936BF" w:rsidRDefault="00C8101A" w14:paraId="487908AB" w14:textId="77777777">
      <w:pPr>
        <w:keepNext/>
        <w:spacing w:line="240" w:lineRule="auto"/>
      </w:pPr>
    </w:p>
    <w:p w:rsidRPr="00AE758F" w:rsidR="00C8101A" w:rsidP="007936BF" w:rsidRDefault="00C8101A" w14:paraId="664E6A80" w14:textId="185BED37">
      <w:pPr>
        <w:spacing w:line="240" w:lineRule="auto"/>
      </w:pPr>
      <w:r w:rsidRPr="00AE758F">
        <w:t xml:space="preserve">This section presents the quantitative and qualitative results by attribute for Alternative 2 relative to the regulatory baseline (Alternative 1).  As described in the previous sections, costs and </w:t>
      </w:r>
      <w:r w:rsidRPr="00AE758F">
        <w:lastRenderedPageBreak/>
        <w:t xml:space="preserve">benefits </w:t>
      </w:r>
      <w:r w:rsidRPr="00AE758F" w:rsidR="003A5142">
        <w:t>we</w:t>
      </w:r>
      <w:r w:rsidRPr="00AE758F">
        <w:t xml:space="preserve">re quantified when possible and are shown </w:t>
      </w:r>
      <w:r w:rsidR="00E6088E">
        <w:t xml:space="preserve">as </w:t>
      </w:r>
      <w:r w:rsidRPr="00AE758F">
        <w:t xml:space="preserve">either positive or negative, depending on whether the alternative has a favorable or </w:t>
      </w:r>
      <w:r w:rsidR="00295295">
        <w:t xml:space="preserve">an </w:t>
      </w:r>
      <w:r w:rsidRPr="00AE758F">
        <w:t xml:space="preserve">adverse effect compared to the regulatory baseline.  </w:t>
      </w:r>
      <w:r w:rsidRPr="00AE758F" w:rsidR="003A5142">
        <w:t>A</w:t>
      </w:r>
      <w:r w:rsidRPr="00AE758F">
        <w:t xml:space="preserve">ttributes not presented in monetary values are discussed in qualitative terms.  This </w:t>
      </w:r>
      <w:proofErr w:type="gramStart"/>
      <w:r w:rsidRPr="00120697">
        <w:t>ex ante</w:t>
      </w:r>
      <w:proofErr w:type="gramEnd"/>
      <w:r w:rsidRPr="00AE758F">
        <w:t xml:space="preserve"> cost-benefit analysis</w:t>
      </w:r>
      <w:r w:rsidRPr="00AE758F">
        <w:rPr>
          <w:rStyle w:val="FootnoteReference"/>
          <w:vertAlign w:val="superscript"/>
        </w:rPr>
        <w:footnoteReference w:id="6"/>
      </w:r>
      <w:r w:rsidRPr="00AE758F">
        <w:t xml:space="preserve"> provides information that can be useful when deciding whether to select an alternative, even if the analysis is based on estimates of future costs and benefits.</w:t>
      </w:r>
    </w:p>
    <w:p w:rsidRPr="00AE758F" w:rsidR="00C8101A" w:rsidP="007936BF" w:rsidRDefault="00C8101A" w14:paraId="69589D4B" w14:textId="77777777">
      <w:pPr>
        <w:spacing w:line="240" w:lineRule="auto"/>
      </w:pPr>
    </w:p>
    <w:p w:rsidRPr="00AE758F" w:rsidR="00C8101A" w:rsidP="007936BF" w:rsidRDefault="00C8101A" w14:paraId="07973C90" w14:textId="34DB8A00">
      <w:pPr>
        <w:spacing w:line="240" w:lineRule="auto"/>
      </w:pPr>
      <w:r w:rsidRPr="00AE758F">
        <w:t xml:space="preserve">The NRC’s regulatory analysis guidelines (NRC, </w:t>
      </w:r>
      <w:r w:rsidRPr="00AE758F" w:rsidR="00CE439A">
        <w:t>2020</w:t>
      </w:r>
      <w:r w:rsidRPr="00AE758F">
        <w:t xml:space="preserve">) state that the </w:t>
      </w:r>
      <w:r w:rsidR="007B51B4">
        <w:t xml:space="preserve">agency’s </w:t>
      </w:r>
      <w:r w:rsidRPr="00AE758F" w:rsidR="00B524D0">
        <w:t xml:space="preserve">practice of </w:t>
      </w:r>
      <w:r w:rsidRPr="00AE758F">
        <w:t>periodic review and endorsement of consensus standards, such as new versions of the ASME Code</w:t>
      </w:r>
      <w:r w:rsidRPr="00AE758F" w:rsidR="00B524D0">
        <w:t>s</w:t>
      </w:r>
      <w:r w:rsidRPr="00AE758F">
        <w:t xml:space="preserve"> and associated Code Cases, is a special case because consensus standards have already undergone extensive external review and have </w:t>
      </w:r>
      <w:r w:rsidRPr="00AE758F" w:rsidR="00C71C31">
        <w:t xml:space="preserve">received industry </w:t>
      </w:r>
      <w:r w:rsidRPr="00AE758F">
        <w:t>endorse</w:t>
      </w:r>
      <w:r w:rsidRPr="00AE758F" w:rsidR="00C71C31">
        <w:t>ment</w:t>
      </w:r>
      <w:r w:rsidRPr="00AE758F">
        <w:t>.  In addition, endorsement of the ASME Code</w:t>
      </w:r>
      <w:r w:rsidRPr="00AE758F" w:rsidR="00B524D0">
        <w:t>s</w:t>
      </w:r>
      <w:r w:rsidRPr="00AE758F">
        <w:t xml:space="preserve"> and Code Cases has been a longstanding NRC policy.  Licensees and applicants participate in </w:t>
      </w:r>
      <w:r w:rsidR="007B51B4">
        <w:t xml:space="preserve">developing </w:t>
      </w:r>
      <w:r w:rsidRPr="00AE758F">
        <w:t>the ASME Code</w:t>
      </w:r>
      <w:r w:rsidRPr="00AE758F" w:rsidR="00B524D0">
        <w:t>s</w:t>
      </w:r>
      <w:r w:rsidRPr="00AE758F">
        <w:t xml:space="preserve"> and Code Cases and are aware that periodic updating of the ASME Code</w:t>
      </w:r>
      <w:r w:rsidRPr="00AE758F" w:rsidR="00B524D0">
        <w:t>s</w:t>
      </w:r>
      <w:r w:rsidRPr="00AE758F">
        <w:t xml:space="preserve"> is part of the regulatory process.  Code Cases are ASME</w:t>
      </w:r>
      <w:r w:rsidRPr="00AE758F" w:rsidR="00C71C31">
        <w:noBreakHyphen/>
      </w:r>
      <w:r w:rsidRPr="00AE758F">
        <w:t xml:space="preserve">developed alternatives to the ASME Codes, which licensees and applicants may choose to adopt without an alternative request if </w:t>
      </w:r>
      <w:r w:rsidR="007B51B4">
        <w:t xml:space="preserve">the NRC has approved </w:t>
      </w:r>
      <w:r w:rsidRPr="00AE758F">
        <w:t>the Code Cases through IBR</w:t>
      </w:r>
      <w:r w:rsidR="007B51B4">
        <w:t xml:space="preserve"> in its regulations</w:t>
      </w:r>
      <w:r w:rsidRPr="00AE758F">
        <w:t>.  Finally, endorsement of the ASME Code</w:t>
      </w:r>
      <w:r w:rsidRPr="00AE758F" w:rsidR="00CB1FE0">
        <w:t>s</w:t>
      </w:r>
      <w:r w:rsidRPr="00AE758F">
        <w:t xml:space="preserve"> and Code Cases is consistent with the NTTAA, </w:t>
      </w:r>
      <w:r w:rsidRPr="00AE758F" w:rsidR="003970B2">
        <w:t>because</w:t>
      </w:r>
      <w:r w:rsidRPr="00AE758F">
        <w:t xml:space="preserve"> the NRC has determined that sound regulatory reasons exist for establishing regulatory requirements for design, maintenance, ISI, IST, and examination by rulemaking.</w:t>
      </w:r>
    </w:p>
    <w:p w:rsidRPr="00AE758F" w:rsidR="004C7D6C" w:rsidP="007936BF" w:rsidRDefault="004C7D6C" w14:paraId="33D9FF36" w14:textId="6510EA64">
      <w:pPr>
        <w:spacing w:line="240" w:lineRule="auto"/>
      </w:pPr>
    </w:p>
    <w:p w:rsidRPr="00AE758F" w:rsidR="00BE234A" w:rsidP="007936BF" w:rsidRDefault="00BE234A" w14:paraId="01B0E050" w14:textId="6916317D">
      <w:pPr>
        <w:spacing w:line="240" w:lineRule="auto"/>
      </w:pPr>
      <w:r w:rsidRPr="00AE758F">
        <w:t xml:space="preserve">The NRC is </w:t>
      </w:r>
      <w:r w:rsidRPr="00AE758F" w:rsidR="00A64A4D">
        <w:t>amending</w:t>
      </w:r>
      <w:r w:rsidRPr="00AE758F">
        <w:t xml:space="preserve"> </w:t>
      </w:r>
      <w:r w:rsidRPr="00AE758F" w:rsidR="00BC3406">
        <w:t xml:space="preserve">most of the </w:t>
      </w:r>
      <w:r w:rsidRPr="00AE758F">
        <w:t>existing condition</w:t>
      </w:r>
      <w:r w:rsidRPr="00AE758F" w:rsidR="00BC3406">
        <w:t>s</w:t>
      </w:r>
      <w:r w:rsidRPr="00AE758F">
        <w:t xml:space="preserve"> </w:t>
      </w:r>
      <w:r w:rsidRPr="00AE758F" w:rsidR="00BC3406">
        <w:t xml:space="preserve">of </w:t>
      </w:r>
      <w:r w:rsidRPr="00AE758F" w:rsidR="00C71C31">
        <w:t>10 CFR</w:t>
      </w:r>
      <w:r w:rsidRPr="00AE758F" w:rsidR="00BC3406">
        <w:t xml:space="preserve"> 50.55a(b) so that they </w:t>
      </w:r>
      <w:r w:rsidRPr="00AE758F">
        <w:t>appl</w:t>
      </w:r>
      <w:r w:rsidRPr="00AE758F" w:rsidR="00BC3406">
        <w:t>y</w:t>
      </w:r>
      <w:r w:rsidRPr="00AE758F">
        <w:t xml:space="preserve"> to the </w:t>
      </w:r>
      <w:r w:rsidRPr="00AE758F" w:rsidR="004C7D6C">
        <w:t xml:space="preserve">2019 Edition </w:t>
      </w:r>
      <w:r w:rsidR="00A262D7">
        <w:t>of</w:t>
      </w:r>
      <w:r w:rsidRPr="00AE758F" w:rsidR="00A262D7">
        <w:t xml:space="preserve"> </w:t>
      </w:r>
      <w:r w:rsidRPr="00AE758F" w:rsidR="004C7D6C">
        <w:t>the ASME BPV Code, Section</w:t>
      </w:r>
      <w:r w:rsidRPr="00AE758F" w:rsidR="00C71C31">
        <w:t> </w:t>
      </w:r>
      <w:r w:rsidRPr="00AE758F" w:rsidR="004C7D6C">
        <w:t>III, Division</w:t>
      </w:r>
      <w:r w:rsidRPr="00AE758F" w:rsidR="00C71C31">
        <w:t> </w:t>
      </w:r>
      <w:r w:rsidRPr="00AE758F" w:rsidR="004C7D6C">
        <w:t>1</w:t>
      </w:r>
      <w:r w:rsidRPr="00AE758F">
        <w:rPr>
          <w:bCs/>
          <w:i/>
          <w:lang w:val="en"/>
        </w:rPr>
        <w:t>.</w:t>
      </w:r>
      <w:r w:rsidRPr="00AE758F">
        <w:rPr>
          <w:bCs/>
          <w:lang w:val="en"/>
        </w:rPr>
        <w:t xml:space="preserve">  </w:t>
      </w:r>
      <w:r w:rsidR="00A12A7B">
        <w:rPr>
          <w:bCs/>
          <w:lang w:val="en"/>
        </w:rPr>
        <w:t>T</w:t>
      </w:r>
      <w:r w:rsidRPr="00AE758F" w:rsidR="00BC3406">
        <w:rPr>
          <w:bCs/>
          <w:lang w:val="en"/>
        </w:rPr>
        <w:t>he</w:t>
      </w:r>
      <w:r w:rsidR="00365B1E">
        <w:rPr>
          <w:bCs/>
          <w:lang w:val="en"/>
        </w:rPr>
        <w:t>refore, the</w:t>
      </w:r>
      <w:r w:rsidRPr="00AE758F" w:rsidR="00BC3406">
        <w:rPr>
          <w:bCs/>
          <w:lang w:val="en"/>
        </w:rPr>
        <w:t xml:space="preserve">se </w:t>
      </w:r>
      <w:r w:rsidRPr="00AE758F" w:rsidR="00A64A4D">
        <w:rPr>
          <w:bCs/>
          <w:lang w:val="en"/>
        </w:rPr>
        <w:t>amendments</w:t>
      </w:r>
      <w:r w:rsidRPr="00AE758F" w:rsidR="00BC3406">
        <w:rPr>
          <w:bCs/>
          <w:lang w:val="en"/>
        </w:rPr>
        <w:t xml:space="preserve"> will </w:t>
      </w:r>
      <w:r w:rsidR="00365B1E">
        <w:rPr>
          <w:bCs/>
          <w:lang w:val="en"/>
        </w:rPr>
        <w:t xml:space="preserve">not </w:t>
      </w:r>
      <w:r w:rsidRPr="00AE758F" w:rsidR="00BC3406">
        <w:rPr>
          <w:bCs/>
          <w:lang w:val="en"/>
        </w:rPr>
        <w:t xml:space="preserve">result in </w:t>
      </w:r>
      <w:r w:rsidR="00FB415D">
        <w:rPr>
          <w:bCs/>
          <w:lang w:val="en"/>
        </w:rPr>
        <w:t>any</w:t>
      </w:r>
      <w:r w:rsidR="00660E61">
        <w:rPr>
          <w:bCs/>
          <w:lang w:val="en"/>
        </w:rPr>
        <w:t xml:space="preserve"> </w:t>
      </w:r>
      <w:r w:rsidRPr="00AE758F">
        <w:rPr>
          <w:bCs/>
          <w:lang w:val="en"/>
        </w:rPr>
        <w:t xml:space="preserve">incremental costs </w:t>
      </w:r>
      <w:r w:rsidRPr="00AE758F" w:rsidR="00BC3406">
        <w:rPr>
          <w:bCs/>
          <w:lang w:val="en"/>
        </w:rPr>
        <w:t xml:space="preserve">or benefits. </w:t>
      </w:r>
      <w:r w:rsidRPr="00AE758F" w:rsidR="00C71C31">
        <w:rPr>
          <w:bCs/>
          <w:lang w:val="en"/>
        </w:rPr>
        <w:t xml:space="preserve"> </w:t>
      </w:r>
      <w:r w:rsidRPr="00AE758F" w:rsidR="00BC3406">
        <w:rPr>
          <w:bCs/>
          <w:lang w:val="en"/>
        </w:rPr>
        <w:t>The</w:t>
      </w:r>
      <w:r w:rsidRPr="00AE758F" w:rsidR="00C71C31">
        <w:rPr>
          <w:bCs/>
          <w:lang w:val="en"/>
        </w:rPr>
        <w:t xml:space="preserve"> following </w:t>
      </w:r>
      <w:r w:rsidRPr="00AE758F" w:rsidR="003970B2">
        <w:rPr>
          <w:bCs/>
          <w:lang w:val="en"/>
        </w:rPr>
        <w:t>are</w:t>
      </w:r>
      <w:r w:rsidRPr="00AE758F" w:rsidR="00BC3406">
        <w:rPr>
          <w:bCs/>
          <w:lang w:val="en"/>
        </w:rPr>
        <w:t xml:space="preserve"> </w:t>
      </w:r>
      <w:r w:rsidRPr="00AE758F" w:rsidR="00C71C31">
        <w:rPr>
          <w:bCs/>
          <w:lang w:val="en"/>
        </w:rPr>
        <w:t xml:space="preserve">the </w:t>
      </w:r>
      <w:r w:rsidRPr="00AE758F" w:rsidR="00BC3406">
        <w:rPr>
          <w:bCs/>
          <w:lang w:val="en"/>
        </w:rPr>
        <w:t>existing conditions and the associated BPV Codes:</w:t>
      </w:r>
    </w:p>
    <w:p w:rsidRPr="00AE758F" w:rsidR="00BC3406" w:rsidP="007936BF" w:rsidRDefault="00BC3406" w14:paraId="5BA216F4" w14:textId="5CB115EB">
      <w:pPr>
        <w:spacing w:line="240" w:lineRule="auto"/>
      </w:pPr>
    </w:p>
    <w:p w:rsidRPr="00AE758F" w:rsidR="00BC3406" w:rsidP="00977776" w:rsidRDefault="00BC3406" w14:paraId="2ACEBC39" w14:textId="74838BDE">
      <w:pPr>
        <w:pStyle w:val="ListParagraph"/>
        <w:numPr>
          <w:ilvl w:val="0"/>
          <w:numId w:val="14"/>
        </w:numPr>
        <w:spacing w:after="220" w:line="240" w:lineRule="auto"/>
        <w:ind w:hanging="720"/>
        <w:contextualSpacing w:val="0"/>
      </w:pPr>
      <w:r w:rsidRPr="00AE758F">
        <w:t xml:space="preserve">10 CFR 50.55a(b)(1)(ii) Section III condition: </w:t>
      </w:r>
      <w:r w:rsidRPr="00AE758F" w:rsidR="00C71C31">
        <w:t xml:space="preserve"> </w:t>
      </w:r>
      <w:r w:rsidRPr="00AE758F" w:rsidR="00CB1FE0">
        <w:t>w</w:t>
      </w:r>
      <w:r w:rsidRPr="00AE758F">
        <w:t>eld leg dimensions</w:t>
      </w:r>
    </w:p>
    <w:p w:rsidRPr="00AE758F" w:rsidR="00BC3406" w:rsidP="00977776" w:rsidRDefault="00BC3406" w14:paraId="10DEB160" w14:textId="7599C1E6">
      <w:pPr>
        <w:pStyle w:val="ListParagraph"/>
        <w:numPr>
          <w:ilvl w:val="0"/>
          <w:numId w:val="14"/>
        </w:numPr>
        <w:spacing w:after="220" w:line="240" w:lineRule="auto"/>
        <w:ind w:hanging="720"/>
        <w:contextualSpacing w:val="0"/>
      </w:pPr>
      <w:r w:rsidRPr="00AE758F">
        <w:t xml:space="preserve">10 CFR 50.55a(b)(1)(iii) Section III condition: </w:t>
      </w:r>
      <w:r w:rsidRPr="00AE758F" w:rsidR="00C71C31">
        <w:t xml:space="preserve"> </w:t>
      </w:r>
      <w:r w:rsidRPr="00AE758F" w:rsidR="00CB1FE0">
        <w:t>s</w:t>
      </w:r>
      <w:r w:rsidRPr="00AE758F">
        <w:t>eismic design of piping</w:t>
      </w:r>
    </w:p>
    <w:p w:rsidRPr="00AE758F" w:rsidR="006E17F1" w:rsidP="00977776" w:rsidRDefault="00300F85" w14:paraId="04E85CA0" w14:textId="26B0974E">
      <w:pPr>
        <w:pStyle w:val="ListParagraph"/>
        <w:numPr>
          <w:ilvl w:val="0"/>
          <w:numId w:val="14"/>
        </w:numPr>
        <w:spacing w:after="220" w:line="240" w:lineRule="auto"/>
        <w:ind w:hanging="720"/>
        <w:contextualSpacing w:val="0"/>
      </w:pPr>
      <w:r w:rsidRPr="00AE758F">
        <w:t xml:space="preserve">10 CFR 50.55a(b)(1)(vii) Section III condition:  </w:t>
      </w:r>
      <w:r w:rsidRPr="00AE758F" w:rsidR="00CB1FE0">
        <w:t>c</w:t>
      </w:r>
      <w:r w:rsidRPr="00AE758F">
        <w:t>apacity certification and demonstration of function of incompressible-fluid pressure-relief valves</w:t>
      </w:r>
    </w:p>
    <w:p w:rsidRPr="00AE758F" w:rsidR="004C7D6C" w:rsidP="00977776" w:rsidRDefault="00300F85" w14:paraId="68117482" w14:textId="5FA963D3">
      <w:pPr>
        <w:pStyle w:val="ListParagraph"/>
        <w:numPr>
          <w:ilvl w:val="0"/>
          <w:numId w:val="14"/>
        </w:numPr>
        <w:spacing w:after="220" w:line="240" w:lineRule="auto"/>
        <w:ind w:hanging="720"/>
        <w:contextualSpacing w:val="0"/>
      </w:pPr>
      <w:r w:rsidRPr="00AE758F">
        <w:t xml:space="preserve">10 CFR 50.55a(b)(1)(x) Section III condition:  </w:t>
      </w:r>
      <w:r w:rsidRPr="00AE758F" w:rsidR="00CB1FE0">
        <w:t>v</w:t>
      </w:r>
      <w:r w:rsidRPr="00AE758F">
        <w:t>isual examination of bolts, studs, and nuts</w:t>
      </w:r>
    </w:p>
    <w:p w:rsidRPr="00AE758F" w:rsidR="00416396" w:rsidP="00977776" w:rsidRDefault="00416396" w14:paraId="2E1E3A0A" w14:textId="5040B9D4">
      <w:pPr>
        <w:pStyle w:val="ListParagraph"/>
        <w:numPr>
          <w:ilvl w:val="0"/>
          <w:numId w:val="14"/>
        </w:numPr>
        <w:spacing w:line="240" w:lineRule="auto"/>
        <w:ind w:hanging="720"/>
      </w:pPr>
      <w:r w:rsidRPr="00AE758F">
        <w:t xml:space="preserve">10 CFR 50.55a(b)(1)(iv) Section III condition: </w:t>
      </w:r>
      <w:r w:rsidRPr="00AE758F" w:rsidR="00C71C31">
        <w:t xml:space="preserve"> </w:t>
      </w:r>
      <w:r w:rsidRPr="00AE758F" w:rsidR="00CB1FE0">
        <w:t>q</w:t>
      </w:r>
      <w:r w:rsidRPr="00AE758F">
        <w:t xml:space="preserve">uality </w:t>
      </w:r>
      <w:r w:rsidRPr="00AE758F" w:rsidR="00C71C31">
        <w:t>a</w:t>
      </w:r>
      <w:r w:rsidRPr="00AE758F">
        <w:t>ssurance</w:t>
      </w:r>
    </w:p>
    <w:p w:rsidRPr="00AE758F" w:rsidR="004C7D6C" w:rsidP="007936BF" w:rsidRDefault="004C7D6C" w14:paraId="4C896824" w14:textId="7FE6B53D">
      <w:pPr>
        <w:spacing w:line="240" w:lineRule="auto"/>
      </w:pPr>
    </w:p>
    <w:p w:rsidRPr="00AE758F" w:rsidR="004C7D6C" w:rsidP="007936BF" w:rsidRDefault="004C7D6C" w14:paraId="46F94FDD" w14:textId="43C6F0E8">
      <w:pPr>
        <w:spacing w:line="240" w:lineRule="auto"/>
      </w:pPr>
      <w:bookmarkStart w:name="_Hlk39660078" w:id="184"/>
      <w:r w:rsidRPr="00AE758F">
        <w:t xml:space="preserve">Other </w:t>
      </w:r>
      <w:r w:rsidRPr="00AE758F" w:rsidR="00A64A4D">
        <w:t>amendments</w:t>
      </w:r>
      <w:r w:rsidRPr="00AE758F">
        <w:t xml:space="preserve"> that pertain to the 2019 Edition </w:t>
      </w:r>
      <w:r w:rsidR="00A262D7">
        <w:t xml:space="preserve">of </w:t>
      </w:r>
      <w:r w:rsidRPr="00AE758F">
        <w:t>the ASME BPV Code, Section</w:t>
      </w:r>
      <w:r w:rsidRPr="00AE758F" w:rsidR="00C71C31">
        <w:t> </w:t>
      </w:r>
      <w:r w:rsidRPr="00AE758F">
        <w:t>III, Division</w:t>
      </w:r>
      <w:r w:rsidRPr="00AE758F" w:rsidR="00C71C31">
        <w:t> </w:t>
      </w:r>
      <w:r w:rsidRPr="00AE758F">
        <w:t xml:space="preserve">1, will result in </w:t>
      </w:r>
      <w:r w:rsidRPr="00AE758F" w:rsidR="00833480">
        <w:t xml:space="preserve">incremental </w:t>
      </w:r>
      <w:r w:rsidRPr="00AE758F">
        <w:t xml:space="preserve">benefits </w:t>
      </w:r>
      <w:r w:rsidRPr="00AE758F" w:rsidR="00833480">
        <w:t>to</w:t>
      </w:r>
      <w:r w:rsidRPr="00AE758F">
        <w:t xml:space="preserve"> industry and are discussed below </w:t>
      </w:r>
      <w:r w:rsidRPr="00AE758F" w:rsidR="00C71C31">
        <w:t xml:space="preserve">with </w:t>
      </w:r>
      <w:r w:rsidRPr="00AE758F">
        <w:t>the</w:t>
      </w:r>
      <w:r w:rsidR="00A56600">
        <w:t> </w:t>
      </w:r>
      <w:r w:rsidRPr="00AE758F" w:rsidR="00C71C31">
        <w:t xml:space="preserve">associated </w:t>
      </w:r>
      <w:r w:rsidRPr="00AE758F">
        <w:t>attributes.</w:t>
      </w:r>
    </w:p>
    <w:bookmarkEnd w:id="184"/>
    <w:p w:rsidRPr="00AE758F" w:rsidR="00416396" w:rsidP="007936BF" w:rsidRDefault="00416396" w14:paraId="06FD0D42" w14:textId="10E8C5B7">
      <w:pPr>
        <w:spacing w:line="240" w:lineRule="auto"/>
      </w:pPr>
    </w:p>
    <w:p w:rsidRPr="00AE758F" w:rsidR="00416396" w:rsidP="007936BF" w:rsidRDefault="00117EB1" w14:paraId="4D8F94A0" w14:textId="626852C0">
      <w:pPr>
        <w:spacing w:line="240" w:lineRule="auto"/>
      </w:pPr>
      <w:r w:rsidRPr="00AE758F">
        <w:t xml:space="preserve">The NRC </w:t>
      </w:r>
      <w:r w:rsidR="00977608">
        <w:t>is</w:t>
      </w:r>
      <w:r w:rsidRPr="00AE758F" w:rsidR="00130702">
        <w:t xml:space="preserve"> </w:t>
      </w:r>
      <w:r w:rsidRPr="00AE758F" w:rsidR="00A64A4D">
        <w:t>amend</w:t>
      </w:r>
      <w:r w:rsidR="00977608">
        <w:t>ing</w:t>
      </w:r>
      <w:r w:rsidRPr="00AE758F" w:rsidR="00130702">
        <w:t xml:space="preserve"> the </w:t>
      </w:r>
      <w:r w:rsidRPr="00AE758F" w:rsidR="00174122">
        <w:t>following regulations and conditions to</w:t>
      </w:r>
      <w:r w:rsidRPr="00AE758F" w:rsidR="00130702">
        <w:t xml:space="preserve"> remove references to </w:t>
      </w:r>
      <w:r w:rsidRPr="00AE758F" w:rsidR="0097758D">
        <w:t>pre</w:t>
      </w:r>
      <w:r w:rsidRPr="00AE758F" w:rsidR="0097758D">
        <w:noBreakHyphen/>
        <w:t xml:space="preserve">2001 </w:t>
      </w:r>
      <w:r w:rsidRPr="00AE758F" w:rsidR="00F82519">
        <w:t xml:space="preserve">Editions and Addenda of </w:t>
      </w:r>
      <w:r w:rsidRPr="00AE758F" w:rsidR="002B2D83">
        <w:t xml:space="preserve">the </w:t>
      </w:r>
      <w:r w:rsidRPr="00AE758F" w:rsidR="005D3B75">
        <w:t xml:space="preserve">ASME BPV Code, </w:t>
      </w:r>
      <w:r w:rsidRPr="00AE758F" w:rsidR="00130702">
        <w:t>Section</w:t>
      </w:r>
      <w:r w:rsidRPr="00AE758F" w:rsidR="00F44C90">
        <w:t> </w:t>
      </w:r>
      <w:r w:rsidRPr="00AE758F" w:rsidR="00130702">
        <w:t>XI</w:t>
      </w:r>
      <w:r w:rsidRPr="00AE758F" w:rsidR="00F44C90">
        <w:t>,</w:t>
      </w:r>
      <w:r w:rsidRPr="00AE758F" w:rsidR="00130702">
        <w:t xml:space="preserve"> </w:t>
      </w:r>
      <w:r w:rsidRPr="00AE758F" w:rsidR="0097758D">
        <w:t>because</w:t>
      </w:r>
      <w:r w:rsidRPr="00AE758F" w:rsidR="00174122">
        <w:t xml:space="preserve"> licensees are no longer using earlier versions of the code:</w:t>
      </w:r>
    </w:p>
    <w:p w:rsidRPr="00AE758F" w:rsidR="00130702" w:rsidP="007936BF" w:rsidRDefault="00130702" w14:paraId="502740B1" w14:textId="0CE9A085">
      <w:pPr>
        <w:spacing w:line="240" w:lineRule="auto"/>
      </w:pPr>
    </w:p>
    <w:p w:rsidRPr="00AE758F" w:rsidR="00130702" w:rsidP="00977776" w:rsidRDefault="00F31E18" w14:paraId="79BFB61A" w14:textId="36C1AC69">
      <w:pPr>
        <w:pStyle w:val="ListParagraph"/>
        <w:numPr>
          <w:ilvl w:val="0"/>
          <w:numId w:val="15"/>
        </w:numPr>
        <w:spacing w:after="220" w:line="240" w:lineRule="auto"/>
        <w:ind w:hanging="720"/>
        <w:contextualSpacing w:val="0"/>
      </w:pPr>
      <w:r w:rsidRPr="00AE758F">
        <w:t xml:space="preserve">10 CFR 50.55a(b)(2)(viii) Section XI condition: </w:t>
      </w:r>
      <w:r w:rsidRPr="00AE758F" w:rsidR="00F44C90">
        <w:t xml:space="preserve"> </w:t>
      </w:r>
      <w:r w:rsidRPr="00AE758F" w:rsidR="00CB1FE0">
        <w:t>c</w:t>
      </w:r>
      <w:r w:rsidRPr="00AE758F">
        <w:t>oncrete containment examinations</w:t>
      </w:r>
    </w:p>
    <w:p w:rsidRPr="00AE758F" w:rsidR="00174122" w:rsidP="00977776" w:rsidRDefault="009C1371" w14:paraId="09CE99EE" w14:textId="3F001C06">
      <w:pPr>
        <w:pStyle w:val="ListParagraph"/>
        <w:numPr>
          <w:ilvl w:val="0"/>
          <w:numId w:val="15"/>
        </w:numPr>
        <w:spacing w:after="220" w:line="240" w:lineRule="auto"/>
        <w:ind w:hanging="720"/>
        <w:contextualSpacing w:val="0"/>
      </w:pPr>
      <w:r w:rsidRPr="00AE758F">
        <w:lastRenderedPageBreak/>
        <w:t xml:space="preserve">10 CFR 50.55a(b)(2)(ix) Section XI condition: </w:t>
      </w:r>
      <w:r w:rsidRPr="00AE758F" w:rsidR="00F44C90">
        <w:t xml:space="preserve"> </w:t>
      </w:r>
      <w:r w:rsidRPr="00AE758F" w:rsidR="00CB1FE0">
        <w:t>m</w:t>
      </w:r>
      <w:r w:rsidRPr="00AE758F">
        <w:t>etal containment examinations</w:t>
      </w:r>
    </w:p>
    <w:p w:rsidRPr="00AE758F" w:rsidR="00174122" w:rsidP="00977776" w:rsidRDefault="009C1371" w14:paraId="485A9DD5" w14:textId="771E895D">
      <w:pPr>
        <w:pStyle w:val="ListParagraph"/>
        <w:numPr>
          <w:ilvl w:val="0"/>
          <w:numId w:val="15"/>
        </w:numPr>
        <w:spacing w:after="220" w:line="240" w:lineRule="auto"/>
        <w:ind w:hanging="720"/>
        <w:contextualSpacing w:val="0"/>
      </w:pPr>
      <w:r w:rsidRPr="00AE758F">
        <w:t xml:space="preserve">10 CFR 50.55a(b)(2)(xii) Section XI condition: </w:t>
      </w:r>
      <w:r w:rsidRPr="00AE758F" w:rsidR="00F44C90">
        <w:t xml:space="preserve"> </w:t>
      </w:r>
      <w:r w:rsidRPr="00AE758F" w:rsidR="00CB1FE0">
        <w:t>u</w:t>
      </w:r>
      <w:r w:rsidRPr="00AE758F">
        <w:t>nderwater welding</w:t>
      </w:r>
    </w:p>
    <w:p w:rsidR="009C1371" w:rsidP="00977776" w:rsidRDefault="009C1371" w14:paraId="0551C3BC" w14:textId="30B08BD9">
      <w:pPr>
        <w:pStyle w:val="ListParagraph"/>
        <w:numPr>
          <w:ilvl w:val="0"/>
          <w:numId w:val="15"/>
        </w:numPr>
        <w:spacing w:after="220" w:line="240" w:lineRule="auto"/>
        <w:ind w:hanging="720"/>
        <w:contextualSpacing w:val="0"/>
      </w:pPr>
      <w:r w:rsidRPr="00AE758F">
        <w:t>10 CFR 50.55a(b)(2)(xiv) Section XI condition:</w:t>
      </w:r>
      <w:r w:rsidRPr="00AE758F" w:rsidR="00F44C90">
        <w:t xml:space="preserve"> </w:t>
      </w:r>
      <w:r w:rsidRPr="00AE758F">
        <w:t xml:space="preserve"> Appendix VIII personnel qualification</w:t>
      </w:r>
    </w:p>
    <w:p w:rsidRPr="00AE758F" w:rsidR="00B73DEB" w:rsidP="00977776" w:rsidRDefault="00B73DEB" w14:paraId="7FF1BF79" w14:textId="27B1767C">
      <w:pPr>
        <w:pStyle w:val="ListParagraph"/>
        <w:numPr>
          <w:ilvl w:val="0"/>
          <w:numId w:val="15"/>
        </w:numPr>
        <w:spacing w:after="220" w:line="240" w:lineRule="auto"/>
        <w:ind w:hanging="720"/>
        <w:contextualSpacing w:val="0"/>
      </w:pPr>
      <w:r>
        <w:t>10 CFR 50.55a(b)(2)(xv) Section XI condition:  Appendix VIII specimen set and qualification requirements</w:t>
      </w:r>
    </w:p>
    <w:p w:rsidRPr="00AE758F" w:rsidR="009C1371" w:rsidP="00977776" w:rsidRDefault="009C1371" w14:paraId="0F0AE79B" w14:textId="4AE71424">
      <w:pPr>
        <w:pStyle w:val="ListParagraph"/>
        <w:numPr>
          <w:ilvl w:val="0"/>
          <w:numId w:val="15"/>
        </w:numPr>
        <w:spacing w:after="220" w:line="240" w:lineRule="auto"/>
        <w:ind w:hanging="720"/>
        <w:contextualSpacing w:val="0"/>
      </w:pPr>
      <w:r w:rsidRPr="00AE758F">
        <w:t xml:space="preserve">10 CFR 50.55a(b)(2)(xviii)(A) Section XI condition: </w:t>
      </w:r>
      <w:r w:rsidRPr="00AE758F" w:rsidR="00F44C90">
        <w:t xml:space="preserve"> </w:t>
      </w:r>
      <w:r w:rsidRPr="00AE758F" w:rsidR="00005C2E">
        <w:t>nondestructive examination</w:t>
      </w:r>
      <w:r w:rsidRPr="00AE758F" w:rsidR="00CB1FE0">
        <w:t xml:space="preserve"> </w:t>
      </w:r>
      <w:r w:rsidRPr="00AE758F">
        <w:t>personnel certification</w:t>
      </w:r>
    </w:p>
    <w:p w:rsidRPr="00AE758F" w:rsidR="001F5D9B" w:rsidP="00977776" w:rsidRDefault="001F5D9B" w14:paraId="60B5F695" w14:textId="5BE3290F">
      <w:pPr>
        <w:pStyle w:val="ListParagraph"/>
        <w:numPr>
          <w:ilvl w:val="0"/>
          <w:numId w:val="15"/>
        </w:numPr>
        <w:spacing w:after="220" w:line="240" w:lineRule="auto"/>
        <w:ind w:hanging="720"/>
        <w:contextualSpacing w:val="0"/>
      </w:pPr>
      <w:r w:rsidRPr="00AE758F">
        <w:t xml:space="preserve">10 CFR 50.55a(b)(2)(xix) Section XI condition: </w:t>
      </w:r>
      <w:r w:rsidRPr="00AE758F" w:rsidR="00F44C90">
        <w:t xml:space="preserve"> </w:t>
      </w:r>
      <w:r w:rsidRPr="00AE758F" w:rsidR="00CB1FE0">
        <w:t>s</w:t>
      </w:r>
      <w:r w:rsidRPr="00AE758F">
        <w:t>ubstitution of alternative methods</w:t>
      </w:r>
    </w:p>
    <w:p w:rsidRPr="00AE758F" w:rsidR="001F5D9B" w:rsidP="00977776" w:rsidRDefault="001F5D9B" w14:paraId="34774D45" w14:textId="02A7ACFE">
      <w:pPr>
        <w:pStyle w:val="ListParagraph"/>
        <w:numPr>
          <w:ilvl w:val="0"/>
          <w:numId w:val="15"/>
        </w:numPr>
        <w:spacing w:after="220" w:line="240" w:lineRule="auto"/>
        <w:ind w:hanging="720"/>
        <w:contextualSpacing w:val="0"/>
      </w:pPr>
      <w:r w:rsidRPr="00AE758F">
        <w:t xml:space="preserve">10 CFR 50.55a(b)(2)(xx)(A) Section XI condition: </w:t>
      </w:r>
      <w:r w:rsidRPr="00AE758F" w:rsidR="00F44C90">
        <w:t xml:space="preserve"> </w:t>
      </w:r>
      <w:r w:rsidRPr="00AE758F" w:rsidR="00CB1FE0">
        <w:t>s</w:t>
      </w:r>
      <w:r w:rsidRPr="00AE758F">
        <w:t xml:space="preserve">ystem leakage tests: </w:t>
      </w:r>
      <w:r w:rsidRPr="00AE758F" w:rsidR="00F44C90">
        <w:t xml:space="preserve"> f</w:t>
      </w:r>
      <w:r w:rsidRPr="00AE758F">
        <w:t>irst provision</w:t>
      </w:r>
    </w:p>
    <w:p w:rsidRPr="00AE758F" w:rsidR="00BE234A" w:rsidP="007936BF" w:rsidRDefault="009D3FB1" w14:paraId="0D069087" w14:textId="55CCF62C">
      <w:pPr>
        <w:spacing w:line="240" w:lineRule="auto"/>
      </w:pPr>
      <w:bookmarkStart w:name="_Hlk39656158" w:id="185"/>
      <w:r w:rsidRPr="00AE758F">
        <w:t xml:space="preserve">These </w:t>
      </w:r>
      <w:r w:rsidRPr="00AE758F" w:rsidR="00DA3840">
        <w:t>amendments</w:t>
      </w:r>
      <w:r w:rsidRPr="00AE758F">
        <w:t xml:space="preserve"> will not result in </w:t>
      </w:r>
      <w:r w:rsidRPr="00AE758F" w:rsidR="00833480">
        <w:t xml:space="preserve">incremental </w:t>
      </w:r>
      <w:r w:rsidRPr="00AE758F">
        <w:t>cost</w:t>
      </w:r>
      <w:r w:rsidRPr="00AE758F" w:rsidR="00833480">
        <w:t>s</w:t>
      </w:r>
      <w:r w:rsidRPr="00AE758F">
        <w:t xml:space="preserve"> or benefit</w:t>
      </w:r>
      <w:bookmarkEnd w:id="185"/>
      <w:r w:rsidRPr="00AE758F" w:rsidR="00833480">
        <w:t>s</w:t>
      </w:r>
      <w:r w:rsidRPr="00AE758F" w:rsidR="00B80BDF">
        <w:t xml:space="preserve"> </w:t>
      </w:r>
      <w:r w:rsidRPr="00AE758F" w:rsidR="00B66A33">
        <w:t>because</w:t>
      </w:r>
      <w:r w:rsidRPr="00AE758F" w:rsidR="00B80BDF">
        <w:t xml:space="preserve"> they remov</w:t>
      </w:r>
      <w:r w:rsidRPr="00AE758F" w:rsidR="0097758D">
        <w:t>e</w:t>
      </w:r>
      <w:r w:rsidRPr="00AE758F" w:rsidR="00B80BDF">
        <w:t xml:space="preserve"> </w:t>
      </w:r>
      <w:r w:rsidRPr="00AE758F" w:rsidR="0097758D">
        <w:t>pre</w:t>
      </w:r>
      <w:r w:rsidRPr="00AE758F" w:rsidR="0097758D">
        <w:noBreakHyphen/>
        <w:t xml:space="preserve">2001 </w:t>
      </w:r>
      <w:r w:rsidRPr="00AE758F" w:rsidR="00B80BDF">
        <w:t xml:space="preserve">references </w:t>
      </w:r>
      <w:r w:rsidRPr="00AE758F" w:rsidR="0097758D">
        <w:t xml:space="preserve">that </w:t>
      </w:r>
      <w:r w:rsidRPr="00AE758F" w:rsidR="004E3C37">
        <w:t>are no longer in use.</w:t>
      </w:r>
    </w:p>
    <w:p w:rsidRPr="00AE758F" w:rsidR="009D3FB1" w:rsidP="007936BF" w:rsidRDefault="009D3FB1" w14:paraId="0BA38480" w14:textId="7E098990">
      <w:pPr>
        <w:spacing w:line="240" w:lineRule="auto"/>
      </w:pPr>
    </w:p>
    <w:p w:rsidRPr="00AE758F" w:rsidR="00BE563A" w:rsidP="007936BF" w:rsidRDefault="00CB1FE0" w14:paraId="4EEF674D" w14:textId="7BFABA3F">
      <w:pPr>
        <w:spacing w:line="240" w:lineRule="auto"/>
      </w:pPr>
      <w:r w:rsidRPr="00AE758F">
        <w:t xml:space="preserve">This </w:t>
      </w:r>
      <w:r w:rsidR="006D14B6">
        <w:t>final</w:t>
      </w:r>
      <w:r w:rsidRPr="00AE758F">
        <w:t xml:space="preserve"> rule amends</w:t>
      </w:r>
      <w:r w:rsidR="0064126B">
        <w:t>, removes,</w:t>
      </w:r>
      <w:r w:rsidRPr="00AE758F">
        <w:t xml:space="preserve"> </w:t>
      </w:r>
      <w:r w:rsidR="0047114E">
        <w:t xml:space="preserve">or adds </w:t>
      </w:r>
      <w:r w:rsidRPr="00AE758F">
        <w:t>t</w:t>
      </w:r>
      <w:r w:rsidRPr="00AE758F" w:rsidR="005D3B75">
        <w:t xml:space="preserve">he following conditions </w:t>
      </w:r>
      <w:r w:rsidR="00CC6E1B">
        <w:t>for</w:t>
      </w:r>
      <w:r w:rsidRPr="00AE758F" w:rsidR="00CC6E1B">
        <w:t xml:space="preserve"> </w:t>
      </w:r>
      <w:r w:rsidRPr="00AE758F" w:rsidR="005D3B75">
        <w:t>the ASME BPV Code, Section</w:t>
      </w:r>
      <w:r w:rsidRPr="00AE758F" w:rsidR="00C71C31">
        <w:t> </w:t>
      </w:r>
      <w:r w:rsidRPr="00AE758F" w:rsidR="005D3B75">
        <w:t>XI:</w:t>
      </w:r>
    </w:p>
    <w:p w:rsidRPr="00AE758F" w:rsidR="005D3B75" w:rsidP="007936BF" w:rsidRDefault="005D3B75" w14:paraId="7DC05571" w14:textId="569AD93E">
      <w:pPr>
        <w:spacing w:line="240" w:lineRule="auto"/>
      </w:pPr>
    </w:p>
    <w:p w:rsidRPr="00AE758F" w:rsidR="00BE563A" w:rsidP="00977776" w:rsidRDefault="00BE563A" w14:paraId="0B611859" w14:textId="7E59B00D">
      <w:pPr>
        <w:pStyle w:val="ListParagraph"/>
        <w:numPr>
          <w:ilvl w:val="0"/>
          <w:numId w:val="16"/>
        </w:numPr>
        <w:spacing w:line="240" w:lineRule="auto"/>
        <w:ind w:hanging="720"/>
      </w:pPr>
      <w:r w:rsidRPr="00AE758F">
        <w:t xml:space="preserve">The NRC </w:t>
      </w:r>
      <w:r w:rsidR="005A4C70">
        <w:t>is</w:t>
      </w:r>
      <w:r w:rsidRPr="00AE758F">
        <w:t xml:space="preserve"> </w:t>
      </w:r>
      <w:r w:rsidRPr="00AE758F" w:rsidR="00DA3840">
        <w:t>amend</w:t>
      </w:r>
      <w:r w:rsidR="005A4C70">
        <w:t>ing</w:t>
      </w:r>
      <w:r w:rsidRPr="00AE758F">
        <w:t xml:space="preserve"> </w:t>
      </w:r>
      <w:r w:rsidRPr="00AE758F" w:rsidR="005D3B75">
        <w:t xml:space="preserve">10 CFR 50.55a(b)(2)(x) </w:t>
      </w:r>
      <w:r w:rsidRPr="00AE758F">
        <w:t>to approve for use the version of NQA</w:t>
      </w:r>
      <w:r w:rsidR="004C3E4C">
        <w:noBreakHyphen/>
      </w:r>
      <w:r w:rsidRPr="00AE758F">
        <w:t xml:space="preserve">1 referenced in </w:t>
      </w:r>
      <w:bookmarkStart w:name="_Hlk39656235" w:id="186"/>
      <w:r w:rsidRPr="00AE758F">
        <w:t>the 2019 Edition of ASME BPV Code, Section</w:t>
      </w:r>
      <w:r w:rsidRPr="00AE758F" w:rsidR="00C71C31">
        <w:t> </w:t>
      </w:r>
      <w:r w:rsidRPr="00AE758F">
        <w:t>XI</w:t>
      </w:r>
      <w:bookmarkEnd w:id="186"/>
      <w:r w:rsidRPr="00AE758F">
        <w:t>, Table</w:t>
      </w:r>
      <w:r w:rsidRPr="00AE758F" w:rsidR="00C71C31">
        <w:t> </w:t>
      </w:r>
      <w:r w:rsidRPr="00AE758F">
        <w:t>IWA</w:t>
      </w:r>
      <w:r w:rsidRPr="00AE758F" w:rsidR="00C71C31">
        <w:t> </w:t>
      </w:r>
      <w:r w:rsidRPr="00AE758F">
        <w:t>1600</w:t>
      </w:r>
      <w:r w:rsidR="004C3E4C">
        <w:noBreakHyphen/>
      </w:r>
      <w:r w:rsidRPr="00AE758F">
        <w:t>1, which this proposed rule is incorporating by reference.</w:t>
      </w:r>
    </w:p>
    <w:p w:rsidRPr="00AE758F" w:rsidR="00423A5D" w:rsidP="00382B4A" w:rsidRDefault="00423A5D" w14:paraId="55A5BDBC" w14:textId="77777777">
      <w:pPr>
        <w:pStyle w:val="ListParagraph"/>
        <w:spacing w:line="240" w:lineRule="auto"/>
        <w:ind w:hanging="720"/>
      </w:pPr>
    </w:p>
    <w:p w:rsidR="00503F0E" w:rsidP="00503F0E" w:rsidRDefault="00503F0E" w14:paraId="064A1E44" w14:textId="40C11BE7">
      <w:pPr>
        <w:pStyle w:val="ListParagraph"/>
        <w:numPr>
          <w:ilvl w:val="0"/>
          <w:numId w:val="16"/>
        </w:numPr>
        <w:spacing w:line="240" w:lineRule="auto"/>
        <w:ind w:hanging="720"/>
      </w:pPr>
      <w:r w:rsidRPr="00AE758F">
        <w:t xml:space="preserve">The NRC </w:t>
      </w:r>
      <w:r w:rsidR="005A4C70">
        <w:t>is</w:t>
      </w:r>
      <w:r w:rsidRPr="00AE758F">
        <w:t xml:space="preserve"> amend</w:t>
      </w:r>
      <w:r w:rsidR="005A4C70">
        <w:t>ing</w:t>
      </w:r>
      <w:r w:rsidRPr="00AE758F">
        <w:t xml:space="preserve"> 10 CFR 50.55a(b)(2)(x</w:t>
      </w:r>
      <w:r w:rsidR="00C30BE5">
        <w:t>xv</w:t>
      </w:r>
      <w:r w:rsidRPr="00AE758F">
        <w:t>)</w:t>
      </w:r>
      <w:r w:rsidR="00C30BE5">
        <w:t xml:space="preserve">(B) on </w:t>
      </w:r>
      <w:r w:rsidR="004C3E4C">
        <w:t>m</w:t>
      </w:r>
      <w:r w:rsidR="00C30BE5">
        <w:t xml:space="preserve">itigation of </w:t>
      </w:r>
      <w:r w:rsidR="004C3E4C">
        <w:t>d</w:t>
      </w:r>
      <w:r w:rsidR="00637919">
        <w:t xml:space="preserve">efects by </w:t>
      </w:r>
      <w:r w:rsidR="004C3E4C">
        <w:t>m</w:t>
      </w:r>
      <w:r w:rsidR="00637919">
        <w:t>odification</w:t>
      </w:r>
      <w:r w:rsidR="008A0ED0">
        <w:t>, making editorial changes to the language for greater clarity.</w:t>
      </w:r>
    </w:p>
    <w:p w:rsidRPr="00AE758F" w:rsidR="00503F0E" w:rsidP="00503F0E" w:rsidRDefault="00503F0E" w14:paraId="62CD95CB" w14:textId="77777777">
      <w:pPr>
        <w:spacing w:line="240" w:lineRule="auto"/>
      </w:pPr>
    </w:p>
    <w:p w:rsidR="00D7396B" w:rsidP="00D7396B" w:rsidRDefault="00D7396B" w14:paraId="01F3DDAB" w14:textId="54D362FC">
      <w:pPr>
        <w:pStyle w:val="ListParagraph"/>
        <w:numPr>
          <w:ilvl w:val="0"/>
          <w:numId w:val="16"/>
        </w:numPr>
        <w:spacing w:line="240" w:lineRule="auto"/>
        <w:ind w:hanging="720"/>
      </w:pPr>
      <w:r w:rsidRPr="00AE758F">
        <w:t xml:space="preserve">The NRC </w:t>
      </w:r>
      <w:r>
        <w:t xml:space="preserve">is amending 10 CFR 50.55a(b)(2)(xxvi) which relaxes the pressure testing requirement in the current condition to, at minimum, a leak check defined by the owner </w:t>
      </w:r>
      <w:r w:rsidRPr="0047114E">
        <w:t xml:space="preserve">on all repair/replacement activities which </w:t>
      </w:r>
      <w:r>
        <w:t>affect</w:t>
      </w:r>
      <w:r w:rsidRPr="0047114E">
        <w:t xml:space="preserve"> mechanical joints</w:t>
      </w:r>
      <w:r>
        <w:t>.  In the final rule language, the NRC made editorial changes to simplify the wording of the condition but did not change the effect of the condition from the proposed rule language.</w:t>
      </w:r>
    </w:p>
    <w:p w:rsidR="009A3346" w:rsidP="009A3346" w:rsidRDefault="009A3346" w14:paraId="4C894FBD" w14:textId="77777777">
      <w:pPr>
        <w:spacing w:line="240" w:lineRule="auto"/>
      </w:pPr>
    </w:p>
    <w:p w:rsidRPr="00AE758F" w:rsidR="00B80BDF" w:rsidP="00977776" w:rsidRDefault="00B80BDF" w14:paraId="3A67CE8B" w14:textId="46B55F90">
      <w:pPr>
        <w:pStyle w:val="ListParagraph"/>
        <w:numPr>
          <w:ilvl w:val="0"/>
          <w:numId w:val="16"/>
        </w:numPr>
        <w:spacing w:line="240" w:lineRule="auto"/>
        <w:ind w:hanging="720"/>
      </w:pPr>
      <w:r w:rsidRPr="00AE758F">
        <w:t xml:space="preserve">The NRC </w:t>
      </w:r>
      <w:r w:rsidR="005A4C70">
        <w:t>is amending</w:t>
      </w:r>
      <w:r w:rsidRPr="00AE758F">
        <w:t xml:space="preserve"> 10 CFR 50.55a(b)(2)(xxxii) to increase the timeframe for submittal of </w:t>
      </w:r>
      <w:r w:rsidRPr="00AE758F" w:rsidR="005143C9">
        <w:t>s</w:t>
      </w:r>
      <w:r w:rsidRPr="00AE758F">
        <w:t xml:space="preserve">ummary </w:t>
      </w:r>
      <w:r w:rsidRPr="00AE758F" w:rsidR="005143C9">
        <w:t>r</w:t>
      </w:r>
      <w:r w:rsidRPr="00AE758F">
        <w:t>eports (</w:t>
      </w:r>
      <w:r w:rsidR="005C2EF0">
        <w:t xml:space="preserve">before the </w:t>
      </w:r>
      <w:r w:rsidRPr="00AE758F">
        <w:t xml:space="preserve">2015 Edition) </w:t>
      </w:r>
      <w:r w:rsidR="002A1798">
        <w:t xml:space="preserve">and </w:t>
      </w:r>
      <w:r w:rsidRPr="00AE758F" w:rsidR="005143C9">
        <w:t>o</w:t>
      </w:r>
      <w:r w:rsidRPr="00AE758F">
        <w:t xml:space="preserve">wner </w:t>
      </w:r>
      <w:r w:rsidRPr="00AE758F" w:rsidR="005143C9">
        <w:t>a</w:t>
      </w:r>
      <w:r w:rsidRPr="00AE758F">
        <w:t xml:space="preserve">ctivity </w:t>
      </w:r>
      <w:r w:rsidRPr="00AE758F" w:rsidR="005143C9">
        <w:t>r</w:t>
      </w:r>
      <w:r w:rsidRPr="00AE758F">
        <w:t>eports (2015 Edition and later) for inservice examinations and repair</w:t>
      </w:r>
      <w:r w:rsidR="0031560C">
        <w:t>/</w:t>
      </w:r>
      <w:r w:rsidRPr="00AE758F">
        <w:t>replacement activities from 90</w:t>
      </w:r>
      <w:r w:rsidRPr="00AE758F" w:rsidR="005143C9">
        <w:t> </w:t>
      </w:r>
      <w:r w:rsidRPr="00AE758F">
        <w:t>days to 120</w:t>
      </w:r>
      <w:r w:rsidRPr="00AE758F" w:rsidR="005143C9">
        <w:t> </w:t>
      </w:r>
      <w:r w:rsidRPr="00AE758F">
        <w:t>days.</w:t>
      </w:r>
    </w:p>
    <w:p w:rsidRPr="00AE758F" w:rsidR="00423A5D" w:rsidP="00382B4A" w:rsidRDefault="00423A5D" w14:paraId="6710E521" w14:textId="77777777">
      <w:pPr>
        <w:pStyle w:val="ListParagraph"/>
        <w:spacing w:line="240" w:lineRule="auto"/>
        <w:ind w:hanging="720"/>
      </w:pPr>
    </w:p>
    <w:p w:rsidR="00B80BDF" w:rsidP="00977776" w:rsidRDefault="00B80BDF" w14:paraId="474A06CA" w14:textId="6853F44E">
      <w:pPr>
        <w:pStyle w:val="ListParagraph"/>
        <w:numPr>
          <w:ilvl w:val="0"/>
          <w:numId w:val="16"/>
        </w:numPr>
        <w:spacing w:line="240" w:lineRule="auto"/>
        <w:ind w:hanging="720"/>
      </w:pPr>
      <w:r w:rsidRPr="00AE758F">
        <w:t xml:space="preserve">The NRC </w:t>
      </w:r>
      <w:r w:rsidR="00C20550">
        <w:t>is removing</w:t>
      </w:r>
      <w:r w:rsidRPr="00AE758F">
        <w:t xml:space="preserve"> 10 CFR 50.55a(b)(2)(xl) to</w:t>
      </w:r>
      <w:r w:rsidR="00C20550">
        <w:t xml:space="preserve"> no longer</w:t>
      </w:r>
      <w:r w:rsidRPr="00AE758F">
        <w:t xml:space="preserve"> prohibit the use of ASME BPV Code, Section</w:t>
      </w:r>
      <w:r w:rsidRPr="00AE758F" w:rsidR="005143C9">
        <w:t> </w:t>
      </w:r>
      <w:r w:rsidRPr="00AE758F">
        <w:t>XI, IWC</w:t>
      </w:r>
      <w:r w:rsidRPr="00AE758F" w:rsidR="005143C9">
        <w:noBreakHyphen/>
      </w:r>
      <w:r w:rsidRPr="00AE758F">
        <w:t>3510.5(b)(4), IWC</w:t>
      </w:r>
      <w:r w:rsidRPr="00AE758F" w:rsidR="005143C9">
        <w:noBreakHyphen/>
      </w:r>
      <w:r w:rsidRPr="00AE758F">
        <w:t>3510.5(b)(5), and Tables</w:t>
      </w:r>
      <w:r w:rsidRPr="00AE758F" w:rsidR="005143C9">
        <w:t> </w:t>
      </w:r>
      <w:r w:rsidRPr="00AE758F">
        <w:t>A-4200-1 and G</w:t>
      </w:r>
      <w:r w:rsidRPr="00AE758F" w:rsidR="00CB1FE0">
        <w:noBreakHyphen/>
      </w:r>
      <w:r w:rsidRPr="00AE758F">
        <w:t>2110-1.</w:t>
      </w:r>
    </w:p>
    <w:p w:rsidR="00BB0148" w:rsidP="00BB0148" w:rsidRDefault="00BB0148" w14:paraId="096B6745" w14:textId="77777777">
      <w:pPr>
        <w:pStyle w:val="ListParagraph"/>
      </w:pPr>
    </w:p>
    <w:p w:rsidR="00BB0148" w:rsidP="00977776" w:rsidRDefault="00BB0148" w14:paraId="77D03418" w14:textId="5715EB91">
      <w:pPr>
        <w:pStyle w:val="ListParagraph"/>
        <w:numPr>
          <w:ilvl w:val="0"/>
          <w:numId w:val="16"/>
        </w:numPr>
        <w:spacing w:line="240" w:lineRule="auto"/>
        <w:ind w:hanging="720"/>
      </w:pPr>
      <w:r>
        <w:t>The NRC is adding 10 CFR 50.55a(b)(2)(xliii)</w:t>
      </w:r>
      <w:r w:rsidRPr="00FB7AE3" w:rsidR="00FB7AE3">
        <w:t xml:space="preserve"> </w:t>
      </w:r>
      <w:r w:rsidR="00FB7AE3">
        <w:t>t</w:t>
      </w:r>
      <w:r w:rsidRPr="002143C0" w:rsidR="00FB7AE3">
        <w:t>o require submission of certain analyses to the NRC for review</w:t>
      </w:r>
      <w:r w:rsidR="0040238E">
        <w:t xml:space="preserve">. </w:t>
      </w:r>
      <w:r w:rsidRPr="0040238E" w:rsidR="0040238E">
        <w:t xml:space="preserve"> </w:t>
      </w:r>
      <w:r w:rsidR="009F3E17">
        <w:t>This</w:t>
      </w:r>
      <w:r w:rsidRPr="00AD33CF" w:rsidR="0040238E">
        <w:t xml:space="preserve"> condition </w:t>
      </w:r>
      <w:r w:rsidR="0040238E">
        <w:t>simply retains the</w:t>
      </w:r>
      <w:r w:rsidR="009C7195">
        <w:t>se</w:t>
      </w:r>
      <w:r w:rsidR="0040238E">
        <w:t xml:space="preserve"> requirement</w:t>
      </w:r>
      <w:r w:rsidR="009C7195">
        <w:t>s</w:t>
      </w:r>
      <w:r w:rsidR="0040238E">
        <w:t xml:space="preserve"> from previous editions</w:t>
      </w:r>
      <w:r w:rsidRPr="00AD33CF" w:rsidR="0040238E">
        <w:t xml:space="preserve"> </w:t>
      </w:r>
      <w:r w:rsidR="0040238E">
        <w:t xml:space="preserve">of </w:t>
      </w:r>
      <w:r w:rsidRPr="00AD33CF" w:rsidR="0040238E">
        <w:t>ASME Section XI</w:t>
      </w:r>
      <w:r w:rsidR="009F3E17">
        <w:t>.</w:t>
      </w:r>
    </w:p>
    <w:p w:rsidR="0047114E" w:rsidP="00EB10AB" w:rsidRDefault="0047114E" w14:paraId="1FF9088A" w14:textId="77777777">
      <w:pPr>
        <w:pStyle w:val="ListParagraph"/>
      </w:pPr>
    </w:p>
    <w:p w:rsidR="00C45841" w:rsidP="007936BF" w:rsidRDefault="00587027" w14:paraId="6A3E29A8" w14:textId="0F77E7C7">
      <w:pPr>
        <w:spacing w:line="240" w:lineRule="auto"/>
      </w:pPr>
      <w:r>
        <w:t>Most of t</w:t>
      </w:r>
      <w:r w:rsidRPr="00AE758F" w:rsidR="004E3C37">
        <w:t xml:space="preserve">hese </w:t>
      </w:r>
      <w:r w:rsidRPr="00AE758F" w:rsidR="00DA3840">
        <w:t>amendments</w:t>
      </w:r>
      <w:r w:rsidRPr="00AE758F" w:rsidR="004E3C37">
        <w:t xml:space="preserve"> will </w:t>
      </w:r>
      <w:bookmarkStart w:name="_Hlk39659645" w:id="187"/>
      <w:r w:rsidRPr="00AE758F" w:rsidR="004E3C37">
        <w:t xml:space="preserve">not result in </w:t>
      </w:r>
      <w:r w:rsidRPr="00AE758F" w:rsidR="00833480">
        <w:t xml:space="preserve">incremental </w:t>
      </w:r>
      <w:r w:rsidRPr="00AE758F" w:rsidR="004E3C37">
        <w:t>cost</w:t>
      </w:r>
      <w:r w:rsidRPr="00AE758F" w:rsidR="00833480">
        <w:t>s</w:t>
      </w:r>
      <w:r w:rsidRPr="00AE758F" w:rsidR="004E3C37">
        <w:t xml:space="preserve"> </w:t>
      </w:r>
      <w:r w:rsidRPr="00AE758F" w:rsidR="00833480">
        <w:t>or benefits</w:t>
      </w:r>
      <w:r w:rsidR="00F247B7">
        <w:t>,</w:t>
      </w:r>
      <w:r w:rsidRPr="00AE758F" w:rsidR="00833480">
        <w:t xml:space="preserve"> </w:t>
      </w:r>
      <w:bookmarkEnd w:id="187"/>
      <w:r w:rsidRPr="00AE758F" w:rsidR="004E3C37">
        <w:t>because they either clarif</w:t>
      </w:r>
      <w:r w:rsidRPr="00AE758F" w:rsidR="00031538">
        <w:t>y</w:t>
      </w:r>
      <w:r w:rsidRPr="00AE758F" w:rsidR="004E3C37">
        <w:t xml:space="preserve"> how to incorporate the 2019 Edition of the ASME BPV Code, Section</w:t>
      </w:r>
      <w:r w:rsidRPr="00AE758F" w:rsidR="00031538">
        <w:t> </w:t>
      </w:r>
      <w:r w:rsidRPr="00AE758F" w:rsidR="004E3C37">
        <w:t>XI</w:t>
      </w:r>
      <w:r w:rsidRPr="00AE758F" w:rsidR="00A81320">
        <w:t>,</w:t>
      </w:r>
      <w:r w:rsidRPr="00AE758F" w:rsidR="004E3C37">
        <w:t xml:space="preserve"> </w:t>
      </w:r>
      <w:r w:rsidRPr="00AE758F" w:rsidR="00031538">
        <w:t xml:space="preserve">by reference </w:t>
      </w:r>
      <w:r w:rsidRPr="00AE758F" w:rsidR="004E3C37">
        <w:t xml:space="preserve">or do not result in </w:t>
      </w:r>
      <w:r w:rsidRPr="00AE758F" w:rsidR="00AE33C1">
        <w:t xml:space="preserve">meaningful </w:t>
      </w:r>
      <w:r w:rsidRPr="00AE758F" w:rsidR="00491B93">
        <w:t>operational change</w:t>
      </w:r>
      <w:r w:rsidRPr="00AE758F" w:rsidR="00AE33C1">
        <w:t>s</w:t>
      </w:r>
      <w:r w:rsidRPr="00AE758F" w:rsidR="00CC1F4A">
        <w:t xml:space="preserve"> to industry and </w:t>
      </w:r>
      <w:r w:rsidRPr="00AE758F" w:rsidR="00CB1FE0">
        <w:t xml:space="preserve">the </w:t>
      </w:r>
      <w:r w:rsidRPr="00AE758F" w:rsidR="00CC1F4A">
        <w:t>NRC.</w:t>
      </w:r>
    </w:p>
    <w:p w:rsidR="00C45841" w:rsidP="007936BF" w:rsidRDefault="00C45841" w14:paraId="0698F1C9" w14:textId="77777777">
      <w:pPr>
        <w:spacing w:line="240" w:lineRule="auto"/>
      </w:pPr>
    </w:p>
    <w:p w:rsidRPr="00AE758F" w:rsidR="00B80BDF" w:rsidP="007936BF" w:rsidRDefault="00587027" w14:paraId="4E9FF93D" w14:textId="7E889EF6">
      <w:pPr>
        <w:spacing w:line="240" w:lineRule="auto"/>
      </w:pPr>
      <w:r>
        <w:t>The amending of</w:t>
      </w:r>
      <w:r w:rsidR="00C45841">
        <w:t xml:space="preserve"> 10 CFR 50.55a(b)(2)(xxvi)</w:t>
      </w:r>
      <w:r>
        <w:t xml:space="preserve"> </w:t>
      </w:r>
      <w:r w:rsidR="00C45841">
        <w:t>is expected to reduce the number of alternative requests from licensees</w:t>
      </w:r>
      <w:r w:rsidR="00F247B7">
        <w:t>.  T</w:t>
      </w:r>
      <w:r w:rsidR="00C45841">
        <w:t>his averted cost is included in the total number of annual averted alternative requests</w:t>
      </w:r>
      <w:r w:rsidR="00365B1E">
        <w:t xml:space="preserve"> discussed</w:t>
      </w:r>
      <w:r w:rsidR="00C45841">
        <w:t xml:space="preserve"> in </w:t>
      </w:r>
      <w:r w:rsidR="00F247B7">
        <w:t>Section 5.3, “</w:t>
      </w:r>
      <w:r w:rsidR="00C45841">
        <w:t>Industry Operation</w:t>
      </w:r>
      <w:r w:rsidR="00F247B7">
        <w:t>,”</w:t>
      </w:r>
      <w:r w:rsidR="00C45841">
        <w:t xml:space="preserve"> and </w:t>
      </w:r>
      <w:r w:rsidR="00F247B7">
        <w:t>Section 5.7, “</w:t>
      </w:r>
      <w:r w:rsidR="00C45841">
        <w:t>NRC Operation</w:t>
      </w:r>
      <w:r w:rsidR="00F247B7">
        <w:t>,”</w:t>
      </w:r>
      <w:r w:rsidR="00C45841">
        <w:t xml:space="preserve"> below.</w:t>
      </w:r>
    </w:p>
    <w:p w:rsidRPr="00AE758F" w:rsidR="00C8101A" w:rsidP="007936BF" w:rsidRDefault="00C8101A" w14:paraId="6C9B1914" w14:textId="00DB0AA2">
      <w:pPr>
        <w:spacing w:line="240" w:lineRule="auto"/>
      </w:pPr>
    </w:p>
    <w:p w:rsidR="00EB1DAC" w:rsidP="007936BF" w:rsidRDefault="00022E77" w14:paraId="7F8EBA2E" w14:textId="5A474870">
      <w:pPr>
        <w:spacing w:line="240" w:lineRule="auto"/>
      </w:pPr>
      <w:r w:rsidRPr="00AE758F">
        <w:t xml:space="preserve">The current regulations in 10 CFR 50.55a(a)(1)(iv)(B)(2) incorporate by reference the </w:t>
      </w:r>
      <w:r w:rsidRPr="00AE758F" w:rsidR="00FC1444">
        <w:t>2011</w:t>
      </w:r>
      <w:r w:rsidR="00FC1444">
        <w:t> </w:t>
      </w:r>
      <w:r w:rsidRPr="00AE758F">
        <w:t>Addenda to the ASME OM Code.  The NRC is streamlining 10 CFR 50.55a to provide clearer IST regulatory requirements for nuclear power plant licensees and applicants.  As part of this effort, the NRC has determined that the IBR of the 2011 Addenda to the ASME OM Code into 10 CFR 50.55a is not necessary.</w:t>
      </w:r>
      <w:r>
        <w:t xml:space="preserve">  </w:t>
      </w:r>
      <w:r w:rsidR="003379FA">
        <w:t>Therefore, t</w:t>
      </w:r>
      <w:r w:rsidRPr="00AE758F" w:rsidR="00EB1DAC">
        <w:t xml:space="preserve">his </w:t>
      </w:r>
      <w:r w:rsidR="00EB1DAC">
        <w:t>final</w:t>
      </w:r>
      <w:r w:rsidRPr="00AE758F" w:rsidR="00EB1DAC">
        <w:t xml:space="preserve"> rule amends</w:t>
      </w:r>
      <w:r w:rsidR="00EB1DAC">
        <w:t>, removes,</w:t>
      </w:r>
      <w:r w:rsidRPr="00AE758F" w:rsidR="00EB1DAC">
        <w:t xml:space="preserve"> </w:t>
      </w:r>
      <w:r w:rsidR="00EB1DAC">
        <w:t xml:space="preserve">or adds </w:t>
      </w:r>
      <w:r w:rsidRPr="00AE758F" w:rsidR="00EB1DAC">
        <w:t xml:space="preserve">the following conditions from the ASME </w:t>
      </w:r>
      <w:r w:rsidR="006079C9">
        <w:t>OM</w:t>
      </w:r>
      <w:r w:rsidRPr="00AE758F" w:rsidR="00EB1DAC">
        <w:t xml:space="preserve"> Code:</w:t>
      </w:r>
    </w:p>
    <w:p w:rsidR="00EB1DAC" w:rsidP="007936BF" w:rsidRDefault="00EB1DAC" w14:paraId="2FD4F5A7" w14:textId="77777777">
      <w:pPr>
        <w:spacing w:line="240" w:lineRule="auto"/>
      </w:pPr>
    </w:p>
    <w:p w:rsidR="00290325" w:rsidP="00963D16" w:rsidRDefault="003379FA" w14:paraId="05D7CAFB" w14:textId="187A4767">
      <w:pPr>
        <w:pStyle w:val="ListParagraph"/>
        <w:numPr>
          <w:ilvl w:val="0"/>
          <w:numId w:val="16"/>
        </w:numPr>
        <w:spacing w:line="240" w:lineRule="auto"/>
        <w:ind w:hanging="720"/>
      </w:pPr>
      <w:r>
        <w:t>T</w:t>
      </w:r>
      <w:r w:rsidRPr="00AE758F" w:rsidR="00DA3840">
        <w:t xml:space="preserve">he NRC </w:t>
      </w:r>
      <w:r w:rsidR="00C82418">
        <w:t xml:space="preserve">is </w:t>
      </w:r>
      <w:r w:rsidRPr="00AE758F" w:rsidR="00DA3840">
        <w:t>remov</w:t>
      </w:r>
      <w:r w:rsidR="00C82418">
        <w:t>ing</w:t>
      </w:r>
      <w:r w:rsidRPr="00AE758F" w:rsidR="00DA3840">
        <w:t xml:space="preserve"> the </w:t>
      </w:r>
      <w:r w:rsidRPr="00AE758F" w:rsidR="002E182E">
        <w:t>IBR</w:t>
      </w:r>
      <w:r w:rsidRPr="00AE758F" w:rsidR="00DA3840">
        <w:t xml:space="preserve"> of the 2011</w:t>
      </w:r>
      <w:r w:rsidRPr="00AE758F" w:rsidR="00031538">
        <w:t> </w:t>
      </w:r>
      <w:r w:rsidRPr="00AE758F" w:rsidR="00DA3840">
        <w:t xml:space="preserve">Addenda </w:t>
      </w:r>
      <w:r w:rsidRPr="00AE758F" w:rsidR="00031538">
        <w:t>to</w:t>
      </w:r>
      <w:r w:rsidRPr="00AE758F" w:rsidR="00DA3840">
        <w:t xml:space="preserve"> the ASME OM Code from </w:t>
      </w:r>
      <w:r w:rsidRPr="00AE758F" w:rsidR="00031538">
        <w:t>10 CFR</w:t>
      </w:r>
      <w:r w:rsidRPr="00AE758F" w:rsidR="00E57342">
        <w:t> 50</w:t>
      </w:r>
      <w:r w:rsidRPr="00AE758F" w:rsidR="00DA3840">
        <w:t>.55a(a)(1)(iv)(B)(2)</w:t>
      </w:r>
      <w:r w:rsidR="00CA5E9E">
        <w:t>.</w:t>
      </w:r>
      <w:r w:rsidRPr="00AE758F" w:rsidR="00DA3840">
        <w:t xml:space="preserve"> </w:t>
      </w:r>
      <w:r w:rsidR="00CA5E9E">
        <w:t xml:space="preserve"> This </w:t>
      </w:r>
      <w:r w:rsidRPr="00AE758F" w:rsidR="00DA3840">
        <w:t>allow</w:t>
      </w:r>
      <w:r w:rsidR="00CA5E9E">
        <w:t>s</w:t>
      </w:r>
      <w:r w:rsidRPr="00AE758F" w:rsidR="00DA3840">
        <w:t xml:space="preserve"> the NRC to remove the condition on the use of the 2011</w:t>
      </w:r>
      <w:r w:rsidRPr="00AE758F" w:rsidR="00031538">
        <w:t> </w:t>
      </w:r>
      <w:r w:rsidRPr="00AE758F" w:rsidR="00DA3840">
        <w:t xml:space="preserve">Addenda specified in </w:t>
      </w:r>
      <w:r w:rsidRPr="00AE758F" w:rsidR="00031538">
        <w:t>10 CFR</w:t>
      </w:r>
      <w:r w:rsidRPr="00AE758F" w:rsidR="00E57342">
        <w:t> 50</w:t>
      </w:r>
      <w:r w:rsidRPr="00AE758F" w:rsidR="00DA3840">
        <w:t>.55a(b)(3)(xi)</w:t>
      </w:r>
      <w:r w:rsidR="00CA5E9E">
        <w:t>,</w:t>
      </w:r>
      <w:r w:rsidRPr="00AE758F" w:rsidR="00DA3840">
        <w:t xml:space="preserve"> as well as the reference to the 2011 Addenda in </w:t>
      </w:r>
      <w:r w:rsidRPr="00AE758F" w:rsidR="00031538">
        <w:t>10 CFR</w:t>
      </w:r>
      <w:r w:rsidRPr="00AE758F" w:rsidR="00E57342">
        <w:t> 50</w:t>
      </w:r>
      <w:r w:rsidRPr="00AE758F" w:rsidR="00DA3840">
        <w:t>.55a(b)(3)(ix).</w:t>
      </w:r>
    </w:p>
    <w:p w:rsidR="00DB6829" w:rsidP="00963D16" w:rsidRDefault="00DB6829" w14:paraId="0B7DB7F4" w14:textId="77777777">
      <w:pPr>
        <w:pStyle w:val="ListParagraph"/>
        <w:spacing w:line="240" w:lineRule="auto"/>
      </w:pPr>
    </w:p>
    <w:p w:rsidR="00DB6829" w:rsidP="00963D16" w:rsidRDefault="00DB6829" w14:paraId="5DE7E0BC" w14:textId="1ACEA59F">
      <w:pPr>
        <w:pStyle w:val="ListParagraph"/>
        <w:numPr>
          <w:ilvl w:val="0"/>
          <w:numId w:val="16"/>
        </w:numPr>
        <w:spacing w:line="240" w:lineRule="auto"/>
        <w:ind w:hanging="720"/>
      </w:pPr>
      <w:r>
        <w:t>T</w:t>
      </w:r>
      <w:r w:rsidRPr="00AE758F" w:rsidR="00DA3840">
        <w:t xml:space="preserve">he NRC </w:t>
      </w:r>
      <w:r w:rsidR="00C82418">
        <w:t xml:space="preserve">is </w:t>
      </w:r>
      <w:r w:rsidRPr="00AE758F" w:rsidR="00BD4699">
        <w:t>also</w:t>
      </w:r>
      <w:r w:rsidRPr="00AE758F" w:rsidR="00DA3840">
        <w:t xml:space="preserve"> remov</w:t>
      </w:r>
      <w:r w:rsidR="00C82418">
        <w:t>ing</w:t>
      </w:r>
      <w:r w:rsidRPr="00AE758F" w:rsidR="00DA3840">
        <w:t xml:space="preserve"> the </w:t>
      </w:r>
      <w:r w:rsidRPr="00AE758F" w:rsidR="00D40E0F">
        <w:t>IBR</w:t>
      </w:r>
      <w:r w:rsidRPr="00AE758F" w:rsidR="00DA3840">
        <w:t xml:space="preserve"> of the</w:t>
      </w:r>
      <w:r w:rsidR="00EB10AB">
        <w:t> </w:t>
      </w:r>
      <w:r w:rsidRPr="00AE758F" w:rsidR="00DA3840">
        <w:t>2015</w:t>
      </w:r>
      <w:r w:rsidRPr="00AE758F" w:rsidR="00031538">
        <w:t> </w:t>
      </w:r>
      <w:r w:rsidRPr="00AE758F" w:rsidR="00DA3840">
        <w:t xml:space="preserve">Edition of the ASME OM Code from </w:t>
      </w:r>
      <w:r w:rsidRPr="00AE758F" w:rsidR="00031538">
        <w:t>10 CFR</w:t>
      </w:r>
      <w:r w:rsidRPr="00AE758F" w:rsidR="009340D1">
        <w:t> 50</w:t>
      </w:r>
      <w:r w:rsidRPr="00AE758F" w:rsidR="00DA3840">
        <w:t>.55a(a)(1)(iv)(C)(2)</w:t>
      </w:r>
      <w:r w:rsidR="00CA5E9E">
        <w:t>,</w:t>
      </w:r>
      <w:r w:rsidRPr="00AE758F" w:rsidR="00DA3840">
        <w:t xml:space="preserve"> because the</w:t>
      </w:r>
      <w:r w:rsidR="00EB10AB">
        <w:t> </w:t>
      </w:r>
      <w:r w:rsidRPr="00AE758F" w:rsidR="00DA3840">
        <w:t>2017</w:t>
      </w:r>
      <w:r w:rsidRPr="00AE758F" w:rsidR="00031538">
        <w:t> </w:t>
      </w:r>
      <w:r w:rsidRPr="00AE758F" w:rsidR="00DA3840">
        <w:t xml:space="preserve">Edition of the ASME OM Code was incorporated by reference into </w:t>
      </w:r>
      <w:r w:rsidRPr="00AE758F" w:rsidR="00031538">
        <w:t>10 CFR</w:t>
      </w:r>
      <w:r w:rsidRPr="00AE758F" w:rsidR="009340D1">
        <w:t> 50</w:t>
      </w:r>
      <w:r w:rsidRPr="00AE758F" w:rsidR="00DA3840">
        <w:t>.55a on the same date as the 2015</w:t>
      </w:r>
      <w:r w:rsidRPr="00AE758F" w:rsidR="00031538">
        <w:t> </w:t>
      </w:r>
      <w:r w:rsidRPr="00AE758F" w:rsidR="00DA3840">
        <w:t>Edition.</w:t>
      </w:r>
    </w:p>
    <w:p w:rsidR="00DB6829" w:rsidP="00963D16" w:rsidRDefault="00DB6829" w14:paraId="1BADF0FF" w14:textId="77777777">
      <w:pPr>
        <w:pStyle w:val="ListParagraph"/>
        <w:spacing w:line="240" w:lineRule="auto"/>
      </w:pPr>
    </w:p>
    <w:p w:rsidR="00DB6829" w:rsidP="00963D16" w:rsidRDefault="00CA5E9E" w14:paraId="41A0359D" w14:textId="728348D9">
      <w:pPr>
        <w:pStyle w:val="ListParagraph"/>
        <w:numPr>
          <w:ilvl w:val="0"/>
          <w:numId w:val="16"/>
        </w:numPr>
        <w:spacing w:line="240" w:lineRule="auto"/>
        <w:ind w:hanging="720"/>
      </w:pPr>
      <w:r>
        <w:t>In response to public comments, t</w:t>
      </w:r>
      <w:r w:rsidRPr="00963D16" w:rsidR="00DB6829">
        <w:t>he NRC is amending 10 CFR 50.55a(f)(4) t</w:t>
      </w:r>
      <w:r w:rsidRPr="00963D16" w:rsidR="004B1B57">
        <w:t>o clarify w</w:t>
      </w:r>
      <w:r w:rsidR="004B1B57">
        <w:t xml:space="preserve">hich </w:t>
      </w:r>
      <w:r w:rsidR="00CD5272">
        <w:t xml:space="preserve">requirements for dynamic restraints (snubbers) are applicable to licensees using different ASME Code </w:t>
      </w:r>
      <w:r w:rsidR="00447B55">
        <w:t xml:space="preserve">Addenda, </w:t>
      </w:r>
      <w:r>
        <w:t xml:space="preserve">and also </w:t>
      </w:r>
      <w:r w:rsidR="00447B55">
        <w:t xml:space="preserve">that </w:t>
      </w:r>
      <w:r w:rsidR="006F3501">
        <w:t xml:space="preserve">inservice test requirements for </w:t>
      </w:r>
      <w:r w:rsidR="00E57C28">
        <w:t xml:space="preserve">pumps and valves may </w:t>
      </w:r>
      <w:r w:rsidR="00D20F20">
        <w:t xml:space="preserve">be satisfied </w:t>
      </w:r>
      <w:r>
        <w:t xml:space="preserve">by </w:t>
      </w:r>
      <w:r w:rsidR="00D20F20">
        <w:t xml:space="preserve">an augmented </w:t>
      </w:r>
      <w:r w:rsidR="000172DC">
        <w:t>IST program</w:t>
      </w:r>
      <w:r>
        <w:t>,</w:t>
      </w:r>
      <w:r w:rsidR="000172DC">
        <w:t xml:space="preserve"> in </w:t>
      </w:r>
      <w:r w:rsidR="00FA49C6">
        <w:t xml:space="preserve">accordance with </w:t>
      </w:r>
      <w:r>
        <w:t>10 CFR </w:t>
      </w:r>
      <w:r w:rsidRPr="00963D16">
        <w:t>50.55a</w:t>
      </w:r>
      <w:r w:rsidR="00415E56">
        <w:t>(f)(6)(ii)</w:t>
      </w:r>
      <w:r>
        <w:t>,</w:t>
      </w:r>
      <w:r w:rsidR="00415E56">
        <w:t xml:space="preserve"> without the need to request relief or an alternative.</w:t>
      </w:r>
    </w:p>
    <w:p w:rsidR="00DB6829" w:rsidP="00963D16" w:rsidRDefault="00DB6829" w14:paraId="33C14061" w14:textId="77777777">
      <w:pPr>
        <w:pStyle w:val="ListParagraph"/>
        <w:spacing w:line="240" w:lineRule="auto"/>
      </w:pPr>
    </w:p>
    <w:p w:rsidR="00DB6829" w:rsidP="00963D16" w:rsidRDefault="005B2853" w14:paraId="7AA09EC0" w14:textId="401DDBDE">
      <w:pPr>
        <w:pStyle w:val="ListParagraph"/>
        <w:numPr>
          <w:ilvl w:val="0"/>
          <w:numId w:val="16"/>
        </w:numPr>
        <w:spacing w:line="240" w:lineRule="auto"/>
        <w:ind w:hanging="720"/>
      </w:pPr>
      <w:r>
        <w:t>In response to public comments, t</w:t>
      </w:r>
      <w:r w:rsidR="00DB6829">
        <w:t xml:space="preserve">he NRC is amending 10 CFR 50.55a(f)(7) to remove the requirement for licensees to submit interim IST </w:t>
      </w:r>
      <w:r w:rsidR="003170AA">
        <w:t>p</w:t>
      </w:r>
      <w:r w:rsidR="00DB6829">
        <w:t>lan updates.  This may result in incremental averted costs that were not quantified</w:t>
      </w:r>
      <w:r w:rsidR="00E50F4F">
        <w:t>, making the final rule more cost beneficial</w:t>
      </w:r>
      <w:r w:rsidR="00DB6829">
        <w:t>.</w:t>
      </w:r>
    </w:p>
    <w:p w:rsidR="00DB6829" w:rsidP="00963D16" w:rsidRDefault="00DB6829" w14:paraId="68BD5FA6" w14:textId="77777777">
      <w:pPr>
        <w:pStyle w:val="ListParagraph"/>
        <w:spacing w:line="240" w:lineRule="auto"/>
      </w:pPr>
    </w:p>
    <w:p w:rsidR="0048173C" w:rsidP="00963D16" w:rsidRDefault="0048173C" w14:paraId="330209DF" w14:textId="7B479AF8">
      <w:pPr>
        <w:pStyle w:val="ListParagraph"/>
        <w:numPr>
          <w:ilvl w:val="0"/>
          <w:numId w:val="16"/>
        </w:numPr>
        <w:spacing w:line="240" w:lineRule="auto"/>
        <w:ind w:hanging="720"/>
      </w:pPr>
      <w:r>
        <w:t xml:space="preserve">The NRC is amending </w:t>
      </w:r>
      <w:r w:rsidRPr="001C276D">
        <w:t>10 CFR 50.55a(b)(3)(xi)</w:t>
      </w:r>
      <w:r>
        <w:t xml:space="preserve"> </w:t>
      </w:r>
      <w:r w:rsidR="00EF798F">
        <w:t xml:space="preserve">to </w:t>
      </w:r>
      <w:r w:rsidR="006D05A3">
        <w:t xml:space="preserve">allow licensees to extend the position indication </w:t>
      </w:r>
      <w:r w:rsidRPr="001C276D" w:rsidR="00EF798F">
        <w:t xml:space="preserve">testing </w:t>
      </w:r>
      <w:r w:rsidR="006D05A3">
        <w:t xml:space="preserve">interval for certain valves </w:t>
      </w:r>
      <w:r w:rsidRPr="001C276D" w:rsidR="00EF798F">
        <w:t>to 1</w:t>
      </w:r>
      <w:r w:rsidR="00EF798F">
        <w:t>2</w:t>
      </w:r>
      <w:r w:rsidR="006D05A3">
        <w:t xml:space="preserve"> </w:t>
      </w:r>
      <w:r w:rsidRPr="001C276D" w:rsidR="00EF798F">
        <w:t>year</w:t>
      </w:r>
      <w:r w:rsidR="006D05A3">
        <w:t>s</w:t>
      </w:r>
      <w:r w:rsidRPr="001C276D" w:rsidR="00EF798F">
        <w:t>, rather than the 2-year interval specified in ISTC-3700</w:t>
      </w:r>
      <w:r w:rsidR="00DB67B2">
        <w:t xml:space="preserve">, by allowing licensees </w:t>
      </w:r>
      <w:r w:rsidR="0056124A">
        <w:t xml:space="preserve">to use </w:t>
      </w:r>
      <w:r w:rsidR="00D11EC8">
        <w:t>ASME OM Code Case OMN-28</w:t>
      </w:r>
      <w:r w:rsidR="006D05A3">
        <w:t xml:space="preserve"> for valves that are not susceptible to separation of the stem-disk connection</w:t>
      </w:r>
      <w:r w:rsidRPr="001C276D" w:rsidR="00EF798F">
        <w:t xml:space="preserve">.  </w:t>
      </w:r>
      <w:r w:rsidR="00775BFE">
        <w:t>L</w:t>
      </w:r>
      <w:r w:rsidRPr="001C276D" w:rsidR="00EF798F">
        <w:t xml:space="preserve">icensees may </w:t>
      </w:r>
      <w:r w:rsidR="006D05A3">
        <w:t xml:space="preserve">perform the valve position indication tests </w:t>
      </w:r>
      <w:r w:rsidR="00775BFE">
        <w:t xml:space="preserve">at </w:t>
      </w:r>
      <w:r w:rsidRPr="001C276D" w:rsidR="00EF798F">
        <w:t>1</w:t>
      </w:r>
      <w:r w:rsidR="00EF798F">
        <w:t>2</w:t>
      </w:r>
      <w:r w:rsidRPr="001C276D" w:rsidR="00EF798F">
        <w:t>-year interval</w:t>
      </w:r>
      <w:r w:rsidR="00775BFE">
        <w:t>s</w:t>
      </w:r>
      <w:r w:rsidRPr="001C276D" w:rsidR="00EF798F">
        <w:t xml:space="preserve"> if they </w:t>
      </w:r>
      <w:r w:rsidR="006D05A3">
        <w:t xml:space="preserve">have </w:t>
      </w:r>
      <w:r w:rsidRPr="001C276D" w:rsidR="00EF798F">
        <w:t xml:space="preserve">documentation </w:t>
      </w:r>
      <w:r w:rsidR="007476F0">
        <w:t>on-site</w:t>
      </w:r>
      <w:r w:rsidRPr="001C276D" w:rsidR="00EF798F">
        <w:t xml:space="preserve"> that demonstrates that the stem</w:t>
      </w:r>
      <w:r w:rsidR="21811457">
        <w:t>-</w:t>
      </w:r>
      <w:r w:rsidRPr="001C276D" w:rsidR="00EF798F">
        <w:t xml:space="preserve">disk connection for the </w:t>
      </w:r>
      <w:r w:rsidR="007476F0">
        <w:t xml:space="preserve">specific </w:t>
      </w:r>
      <w:r w:rsidRPr="001C276D" w:rsidR="00EF798F">
        <w:t>valve</w:t>
      </w:r>
      <w:r w:rsidR="007476F0">
        <w:t>s</w:t>
      </w:r>
      <w:r w:rsidRPr="001C276D" w:rsidR="00EF798F">
        <w:t xml:space="preserve"> is not susceptible to separation.</w:t>
      </w:r>
    </w:p>
    <w:p w:rsidR="0048173C" w:rsidP="007936BF" w:rsidRDefault="0048173C" w14:paraId="1E3277C8" w14:textId="77777777">
      <w:pPr>
        <w:spacing w:line="240" w:lineRule="auto"/>
      </w:pPr>
    </w:p>
    <w:p w:rsidR="00AA3862" w:rsidP="007936BF" w:rsidRDefault="00F53331" w14:paraId="778B4454" w14:textId="15F47BF0">
      <w:pPr>
        <w:spacing w:line="240" w:lineRule="auto"/>
      </w:pPr>
      <w:r w:rsidRPr="00AE758F">
        <w:t>The removal of the 2011</w:t>
      </w:r>
      <w:r w:rsidRPr="00AE758F" w:rsidR="00031538">
        <w:t> </w:t>
      </w:r>
      <w:r w:rsidRPr="00AE758F">
        <w:t xml:space="preserve">Addenda </w:t>
      </w:r>
      <w:r w:rsidRPr="00AE758F" w:rsidR="00031538">
        <w:t>to</w:t>
      </w:r>
      <w:r w:rsidRPr="00AE758F">
        <w:t xml:space="preserve"> the ASME OM Code and the</w:t>
      </w:r>
      <w:r w:rsidRPr="00AE758F" w:rsidR="001F5DE9">
        <w:t xml:space="preserve"> removal of the</w:t>
      </w:r>
      <w:r w:rsidRPr="00AE758F">
        <w:t xml:space="preserve"> </w:t>
      </w:r>
      <w:r w:rsidRPr="00AE758F" w:rsidR="00D40E0F">
        <w:t>IBR</w:t>
      </w:r>
      <w:r w:rsidRPr="00AE758F">
        <w:t xml:space="preserve"> of the 2015</w:t>
      </w:r>
      <w:r w:rsidRPr="00AE758F" w:rsidR="00031538">
        <w:t> </w:t>
      </w:r>
      <w:r w:rsidRPr="00AE758F">
        <w:t xml:space="preserve">Edition of the ASME OM Code </w:t>
      </w:r>
      <w:r w:rsidRPr="00AE758F" w:rsidR="001F5DE9">
        <w:t xml:space="preserve">will </w:t>
      </w:r>
      <w:r w:rsidRPr="00AE758F">
        <w:t xml:space="preserve">result in no incremental costs </w:t>
      </w:r>
      <w:r w:rsidRPr="00AE758F" w:rsidR="001F5DE9">
        <w:t>or</w:t>
      </w:r>
      <w:r w:rsidRPr="00AE758F">
        <w:t xml:space="preserve"> benefits.</w:t>
      </w:r>
      <w:r w:rsidRPr="00AE758F" w:rsidR="001F5DE9">
        <w:t xml:space="preserve"> </w:t>
      </w:r>
      <w:r w:rsidRPr="00AE758F" w:rsidR="00031538">
        <w:t xml:space="preserve"> </w:t>
      </w:r>
      <w:r w:rsidR="00B17134">
        <w:t>However</w:t>
      </w:r>
      <w:r w:rsidRPr="00AE758F" w:rsidR="00B17134">
        <w:t xml:space="preserve">, the IBR of the 2020 Edition </w:t>
      </w:r>
      <w:r w:rsidR="00A262D7">
        <w:t>of</w:t>
      </w:r>
      <w:r w:rsidRPr="00AE758F" w:rsidR="00A262D7">
        <w:t xml:space="preserve"> </w:t>
      </w:r>
      <w:r w:rsidRPr="00AE758F" w:rsidR="00B17134">
        <w:t xml:space="preserve">Division 1 of the ASME OM Code will result in cost savings </w:t>
      </w:r>
      <w:r w:rsidR="0001117C">
        <w:t xml:space="preserve">because it will reduce the </w:t>
      </w:r>
      <w:r w:rsidRPr="00AE758F" w:rsidR="00B17134">
        <w:t xml:space="preserve">number of </w:t>
      </w:r>
      <w:r w:rsidR="00B17134">
        <w:t>alternative</w:t>
      </w:r>
      <w:r w:rsidRPr="00AE758F" w:rsidR="00B17134">
        <w:t xml:space="preserve"> requests.</w:t>
      </w:r>
    </w:p>
    <w:p w:rsidR="00AA3862" w:rsidP="007936BF" w:rsidRDefault="00AA3862" w14:paraId="27A3796B" w14:textId="77777777">
      <w:pPr>
        <w:spacing w:line="240" w:lineRule="auto"/>
      </w:pPr>
    </w:p>
    <w:p w:rsidRPr="00AE758F" w:rsidR="006C19A8" w:rsidP="007936BF" w:rsidRDefault="00B17134" w14:paraId="0F256E91" w14:textId="3542FE27">
      <w:pPr>
        <w:spacing w:line="240" w:lineRule="auto"/>
      </w:pPr>
      <w:r>
        <w:t>T</w:t>
      </w:r>
      <w:r w:rsidRPr="001C276D" w:rsidR="00D85529">
        <w:t>he m</w:t>
      </w:r>
      <w:r w:rsidRPr="001C276D" w:rsidR="00DE4B23">
        <w:t>odification of 10 CFR 50.55a(b)(3)(xi)</w:t>
      </w:r>
      <w:r w:rsidRPr="001C276D" w:rsidR="00D85529">
        <w:t xml:space="preserve"> will </w:t>
      </w:r>
      <w:r w:rsidRPr="001C276D" w:rsidR="00D12C82">
        <w:t xml:space="preserve">result in incremental costs and benefits because this condition </w:t>
      </w:r>
      <w:r w:rsidRPr="001C276D" w:rsidR="00D85529">
        <w:t>will</w:t>
      </w:r>
      <w:r w:rsidR="00580299">
        <w:t xml:space="preserve"> reduce the testing frequency </w:t>
      </w:r>
      <w:r w:rsidR="00F801D3">
        <w:t>from a 2</w:t>
      </w:r>
      <w:r w:rsidR="00F801D3">
        <w:noBreakHyphen/>
        <w:t xml:space="preserve">year </w:t>
      </w:r>
      <w:r w:rsidR="00580299">
        <w:t>to a 12-year interval.</w:t>
      </w:r>
      <w:r w:rsidRPr="00AE758F" w:rsidR="00D85529">
        <w:t xml:space="preserve"> </w:t>
      </w:r>
      <w:r w:rsidRPr="00AE758F" w:rsidR="007179EF">
        <w:t xml:space="preserve"> </w:t>
      </w:r>
      <w:r w:rsidRPr="00AE758F" w:rsidR="006C19A8">
        <w:t>All other amendments pertaining to the ASME OM Code</w:t>
      </w:r>
      <w:r w:rsidRPr="00AE758F" w:rsidR="00F44C90">
        <w:t xml:space="preserve"> edition</w:t>
      </w:r>
      <w:r w:rsidRPr="00AE758F" w:rsidR="006C19A8">
        <w:t xml:space="preserve">s </w:t>
      </w:r>
      <w:r w:rsidRPr="00AE758F" w:rsidR="00602CE1">
        <w:t>clarify</w:t>
      </w:r>
      <w:r w:rsidRPr="00AE758F" w:rsidR="006C19A8">
        <w:t xml:space="preserve"> how licensees should </w:t>
      </w:r>
      <w:r w:rsidRPr="00AE758F" w:rsidR="006C19A8">
        <w:lastRenderedPageBreak/>
        <w:t xml:space="preserve">continue to meet the current regulations of </w:t>
      </w:r>
      <w:r w:rsidRPr="00AE758F" w:rsidR="00602CE1">
        <w:t>10 CFR</w:t>
      </w:r>
      <w:r w:rsidRPr="00AE758F" w:rsidR="009340D1">
        <w:t> 50</w:t>
      </w:r>
      <w:r w:rsidRPr="00AE758F" w:rsidR="006C19A8">
        <w:t>.55a</w:t>
      </w:r>
      <w:r w:rsidRPr="00AE758F" w:rsidR="00602CE1">
        <w:t>,</w:t>
      </w:r>
      <w:r w:rsidRPr="00AE758F" w:rsidR="006C19A8">
        <w:t xml:space="preserve"> </w:t>
      </w:r>
      <w:r w:rsidR="005E2668">
        <w:t xml:space="preserve">so </w:t>
      </w:r>
      <w:r w:rsidRPr="00AE758F" w:rsidR="006C19A8">
        <w:t xml:space="preserve">there are no incremental costs </w:t>
      </w:r>
      <w:r w:rsidR="00490BAD">
        <w:t>or</w:t>
      </w:r>
      <w:r w:rsidRPr="00AE758F" w:rsidR="00490BAD">
        <w:t xml:space="preserve"> </w:t>
      </w:r>
      <w:r w:rsidRPr="00AE758F" w:rsidR="006C19A8">
        <w:t xml:space="preserve">benefits </w:t>
      </w:r>
      <w:r w:rsidRPr="00AE758F" w:rsidR="001F5DE9">
        <w:t>associated with these amendments.</w:t>
      </w:r>
    </w:p>
    <w:p w:rsidRPr="00AE758F" w:rsidR="00DA3840" w:rsidP="007936BF" w:rsidRDefault="00DA3840" w14:paraId="659E66D1" w14:textId="77777777">
      <w:pPr>
        <w:spacing w:line="240" w:lineRule="auto"/>
      </w:pPr>
    </w:p>
    <w:p w:rsidRPr="00AE758F" w:rsidR="00C8101A" w:rsidP="00382B4A" w:rsidRDefault="00C8101A" w14:paraId="151E0AE1" w14:textId="77777777">
      <w:pPr>
        <w:pStyle w:val="Heading2"/>
        <w:spacing w:line="240" w:lineRule="auto"/>
        <w:ind w:left="450" w:hanging="450"/>
      </w:pPr>
      <w:bookmarkStart w:name="_Toc456098232" w:id="188"/>
      <w:bookmarkStart w:name="_Toc457827245" w:id="189"/>
      <w:bookmarkStart w:name="_Toc521577064" w:id="190"/>
      <w:bookmarkStart w:name="_Toc7512251" w:id="191"/>
      <w:bookmarkStart w:name="_Toc81309120" w:id="192"/>
      <w:r w:rsidRPr="00AE758F">
        <w:t>5.1</w:t>
      </w:r>
      <w:r w:rsidRPr="00AE758F">
        <w:tab/>
        <w:t>Public Health (Accident)</w:t>
      </w:r>
      <w:bookmarkEnd w:id="188"/>
      <w:bookmarkEnd w:id="189"/>
      <w:bookmarkEnd w:id="190"/>
      <w:bookmarkEnd w:id="191"/>
      <w:bookmarkEnd w:id="192"/>
    </w:p>
    <w:p w:rsidRPr="00AE758F" w:rsidR="00C8101A" w:rsidP="007936BF" w:rsidRDefault="00C8101A" w14:paraId="3C9421E5" w14:textId="77777777">
      <w:pPr>
        <w:keepNext/>
        <w:spacing w:line="240" w:lineRule="auto"/>
      </w:pPr>
    </w:p>
    <w:p w:rsidRPr="00AE758F" w:rsidR="00C8101A" w:rsidP="007936BF" w:rsidRDefault="00C8101A" w14:paraId="19E524F6" w14:textId="4E041C47">
      <w:pPr>
        <w:spacing w:line="240" w:lineRule="auto"/>
      </w:pPr>
      <w:r w:rsidRPr="00AE758F">
        <w:t xml:space="preserve">The </w:t>
      </w:r>
      <w:r w:rsidR="00D82FE4">
        <w:t>NRC’s</w:t>
      </w:r>
      <w:r w:rsidRPr="00AE758F" w:rsidR="00D82FE4">
        <w:t xml:space="preserve"> </w:t>
      </w:r>
      <w:r w:rsidRPr="00AE758F">
        <w:t xml:space="preserve">practice of adopting the latest ASME BPV and OM Code editions may incrementally reduce the likelihood of a radiological accident, </w:t>
      </w:r>
      <w:r w:rsidR="00B3669E">
        <w:t>although</w:t>
      </w:r>
      <w:r w:rsidRPr="00AE758F" w:rsidR="00B3669E">
        <w:t xml:space="preserve"> </w:t>
      </w:r>
      <w:r w:rsidRPr="00AE758F">
        <w:t xml:space="preserve">not </w:t>
      </w:r>
      <w:r w:rsidRPr="00AE758F" w:rsidR="00FA42A9">
        <w:t xml:space="preserve">in an </w:t>
      </w:r>
      <w:r w:rsidRPr="00AE758F">
        <w:t>easily quantifiable manner.  Pursuing Alternative 2 would meet the NRC goal of maintaining safety by approv</w:t>
      </w:r>
      <w:r w:rsidRPr="00AE758F" w:rsidR="00804C92">
        <w:t>ing</w:t>
      </w:r>
      <w:r w:rsidRPr="00AE758F">
        <w:t xml:space="preserve"> the latest ASME Code editions</w:t>
      </w:r>
      <w:r w:rsidR="008543C4">
        <w:t>.</w:t>
      </w:r>
      <w:r w:rsidRPr="00AE758F">
        <w:t xml:space="preserve">  </w:t>
      </w:r>
      <w:r w:rsidR="005C0F9F">
        <w:t>Incorporating the latest ASME Code editions</w:t>
      </w:r>
      <w:r w:rsidR="00721AD3">
        <w:t xml:space="preserve"> into plant procedures</w:t>
      </w:r>
      <w:r w:rsidRPr="00AE758F">
        <w:t xml:space="preserve"> may also </w:t>
      </w:r>
      <w:r w:rsidR="00A13326">
        <w:t xml:space="preserve">lead to </w:t>
      </w:r>
      <w:r w:rsidRPr="00AE758F">
        <w:t xml:space="preserve">earlier identification of material degradation that, if undetected, could eventually </w:t>
      </w:r>
      <w:r w:rsidR="00E36013">
        <w:t xml:space="preserve">cause </w:t>
      </w:r>
      <w:r w:rsidRPr="00AE758F">
        <w:t xml:space="preserve">a plant transient.  </w:t>
      </w:r>
      <w:r w:rsidR="00AD0E26">
        <w:t xml:space="preserve">Therefore, </w:t>
      </w:r>
      <w:r w:rsidRPr="00AE758F">
        <w:t>Alternative 2 would maintain the same level of safety or provide an incremental improvement in safety compared to the regulatory baseline</w:t>
      </w:r>
      <w:r w:rsidRPr="00AE758F" w:rsidR="005D3C95">
        <w:t xml:space="preserve"> (Alternative 1)</w:t>
      </w:r>
      <w:r w:rsidRPr="00AE758F">
        <w:t>.</w:t>
      </w:r>
    </w:p>
    <w:p w:rsidRPr="00AE758F" w:rsidR="00C8101A" w:rsidP="007936BF" w:rsidRDefault="00C8101A" w14:paraId="06C7B1E2" w14:textId="77777777">
      <w:pPr>
        <w:spacing w:line="240" w:lineRule="auto"/>
      </w:pPr>
    </w:p>
    <w:p w:rsidRPr="00AE758F" w:rsidR="00C8101A" w:rsidP="007936BF" w:rsidRDefault="00C8101A" w14:paraId="35FFEDA4" w14:textId="1FF5DCF0">
      <w:pPr>
        <w:spacing w:line="240" w:lineRule="auto"/>
      </w:pPr>
      <w:r w:rsidRPr="00AE758F">
        <w:t>Compared to the regulatory baseline, Alternative 2 meets the NRC’s goal of ensuring the protection of public health and safety and the environment by approv</w:t>
      </w:r>
      <w:r w:rsidRPr="00AE758F" w:rsidR="00804C92">
        <w:t xml:space="preserve">ing </w:t>
      </w:r>
      <w:r w:rsidRPr="00AE758F">
        <w:t xml:space="preserve">the latest ASME Code editions.  This </w:t>
      </w:r>
      <w:r w:rsidR="00254A7C">
        <w:t>ensures</w:t>
      </w:r>
      <w:r w:rsidRPr="00AE758F" w:rsidR="00254A7C">
        <w:t xml:space="preserve"> </w:t>
      </w:r>
      <w:r w:rsidR="00AD0E26">
        <w:t xml:space="preserve">that </w:t>
      </w:r>
      <w:r w:rsidRPr="00AE758F">
        <w:t xml:space="preserve">the industry </w:t>
      </w:r>
      <w:r w:rsidR="00254A7C">
        <w:t xml:space="preserve">is </w:t>
      </w:r>
      <w:r w:rsidR="00740B08">
        <w:t>periodically</w:t>
      </w:r>
      <w:r w:rsidR="00254A7C">
        <w:t xml:space="preserve"> updating to</w:t>
      </w:r>
      <w:r w:rsidRPr="00AE758F">
        <w:t xml:space="preserve"> the most current methods and technology</w:t>
      </w:r>
      <w:r w:rsidR="00344756">
        <w:t>,</w:t>
      </w:r>
      <w:r w:rsidRPr="00AE758F">
        <w:t xml:space="preserve"> </w:t>
      </w:r>
      <w:r w:rsidR="00344756">
        <w:t xml:space="preserve">which </w:t>
      </w:r>
      <w:r w:rsidRPr="00AE758F">
        <w:t xml:space="preserve">may </w:t>
      </w:r>
      <w:r w:rsidR="00344756">
        <w:t xml:space="preserve">make </w:t>
      </w:r>
      <w:r w:rsidRPr="00AE758F">
        <w:t>accident</w:t>
      </w:r>
      <w:r w:rsidR="00344756">
        <w:t>s less likely</w:t>
      </w:r>
      <w:r w:rsidRPr="00AE758F">
        <w:t>, thus decreasing the overall risk to public health.</w:t>
      </w:r>
    </w:p>
    <w:p w:rsidRPr="00AE758F" w:rsidR="00C8101A" w:rsidP="007936BF" w:rsidRDefault="00C8101A" w14:paraId="364C6B72" w14:textId="77777777">
      <w:pPr>
        <w:spacing w:line="240" w:lineRule="auto"/>
      </w:pPr>
    </w:p>
    <w:p w:rsidRPr="00AE758F" w:rsidR="00C8101A" w:rsidP="007936BF" w:rsidRDefault="00C8101A" w14:paraId="598FAAB1" w14:textId="2992F390">
      <w:pPr>
        <w:spacing w:line="240" w:lineRule="auto"/>
      </w:pPr>
      <w:r w:rsidRPr="00AE758F">
        <w:t xml:space="preserve">Compared to the regulatory baseline, Alternative 2 may decrease the probability of an accident because it ensures that plant safety systems are designed with equipment </w:t>
      </w:r>
      <w:r w:rsidR="00EC2BCB">
        <w:t xml:space="preserve">that can be </w:t>
      </w:r>
      <w:r w:rsidRPr="00AE758F">
        <w:t xml:space="preserve">relied on to remain functional during and </w:t>
      </w:r>
      <w:r w:rsidR="009B49A2">
        <w:t xml:space="preserve">after </w:t>
      </w:r>
      <w:r w:rsidRPr="00AE758F">
        <w:t>design</w:t>
      </w:r>
      <w:r w:rsidRPr="00AE758F" w:rsidR="005D3C95">
        <w:noBreakHyphen/>
      </w:r>
      <w:r w:rsidRPr="00AE758F">
        <w:t xml:space="preserve">basis accidents.  Alternative 2 may </w:t>
      </w:r>
      <w:r w:rsidR="003D4480">
        <w:t xml:space="preserve">also </w:t>
      </w:r>
      <w:r w:rsidRPr="00AE758F">
        <w:t>decrease the probability of an accident because</w:t>
      </w:r>
      <w:r w:rsidR="0079287F">
        <w:t xml:space="preserve"> improved</w:t>
      </w:r>
      <w:r w:rsidR="002410E6">
        <w:t xml:space="preserve"> inspection and</w:t>
      </w:r>
      <w:r w:rsidR="0079287F">
        <w:t xml:space="preserve"> </w:t>
      </w:r>
      <w:r w:rsidR="00FA77A9">
        <w:t xml:space="preserve">testing techniques </w:t>
      </w:r>
      <w:r w:rsidR="003D4480">
        <w:t xml:space="preserve">will </w:t>
      </w:r>
      <w:r w:rsidR="00FA77A9">
        <w:t>ensure material</w:t>
      </w:r>
      <w:r w:rsidR="00415C47">
        <w:t xml:space="preserve"> remains in acceptable</w:t>
      </w:r>
      <w:r w:rsidR="00FA77A9">
        <w:t xml:space="preserve"> condition.</w:t>
      </w:r>
    </w:p>
    <w:p w:rsidRPr="00AE758F" w:rsidR="00C8101A" w:rsidP="007936BF" w:rsidRDefault="00C8101A" w14:paraId="6FB24247" w14:textId="1358E407">
      <w:pPr>
        <w:spacing w:line="240" w:lineRule="auto"/>
      </w:pPr>
    </w:p>
    <w:p w:rsidRPr="00AE758F" w:rsidR="00C8101A" w:rsidP="00382B4A" w:rsidRDefault="00107422" w14:paraId="24A5942F" w14:textId="3A12FF5D">
      <w:pPr>
        <w:pStyle w:val="Heading2"/>
        <w:spacing w:line="240" w:lineRule="auto"/>
        <w:ind w:left="450" w:hanging="450"/>
      </w:pPr>
      <w:bookmarkStart w:name="_Ref386964349" w:id="193"/>
      <w:bookmarkStart w:name="_Toc456098234" w:id="194"/>
      <w:bookmarkStart w:name="_Toc457827247" w:id="195"/>
      <w:bookmarkStart w:name="_Toc521577066" w:id="196"/>
      <w:bookmarkStart w:name="_Toc7512253" w:id="197"/>
      <w:bookmarkStart w:name="_Toc81309121" w:id="198"/>
      <w:r w:rsidRPr="00AE758F">
        <w:t>5.2</w:t>
      </w:r>
      <w:r w:rsidRPr="00AE758F" w:rsidR="00C8101A">
        <w:tab/>
        <w:t>Industry Implementation</w:t>
      </w:r>
      <w:bookmarkEnd w:id="193"/>
      <w:bookmarkEnd w:id="194"/>
      <w:bookmarkEnd w:id="195"/>
      <w:bookmarkEnd w:id="196"/>
      <w:bookmarkEnd w:id="197"/>
      <w:bookmarkEnd w:id="198"/>
    </w:p>
    <w:p w:rsidRPr="00AE758F" w:rsidR="00C8101A" w:rsidP="007936BF" w:rsidRDefault="00C8101A" w14:paraId="7F32823F" w14:textId="77777777">
      <w:pPr>
        <w:keepNext/>
        <w:spacing w:line="240" w:lineRule="auto"/>
      </w:pPr>
    </w:p>
    <w:p w:rsidRPr="00AE758F" w:rsidR="00104FC1" w:rsidP="007936BF" w:rsidRDefault="00C8101A" w14:paraId="15B3F3B0" w14:textId="57737D93">
      <w:pPr>
        <w:spacing w:line="240" w:lineRule="auto"/>
      </w:pPr>
      <w:r w:rsidRPr="00AE758F">
        <w:t>This attribute accounts for the projected net economic effect on licensees of implementing the regulatory changes (conditions on the ASME Code editions).</w:t>
      </w:r>
      <w:r w:rsidRPr="00AE758F" w:rsidR="004A2FD1">
        <w:t xml:space="preserve">  </w:t>
      </w:r>
      <w:r w:rsidRPr="00AE758F" w:rsidR="00630A02">
        <w:t xml:space="preserve">The NRC </w:t>
      </w:r>
      <w:r w:rsidR="008C544C">
        <w:t>is</w:t>
      </w:r>
      <w:r w:rsidRPr="00AE758F" w:rsidR="00630A02">
        <w:t xml:space="preserve"> </w:t>
      </w:r>
      <w:r w:rsidRPr="00AE758F" w:rsidR="009D0533">
        <w:t>add</w:t>
      </w:r>
      <w:r w:rsidR="008C544C">
        <w:t>ing</w:t>
      </w:r>
      <w:r w:rsidRPr="00AE758F" w:rsidR="009D0533">
        <w:t xml:space="preserve"> an alternative</w:t>
      </w:r>
      <w:r w:rsidRPr="00AE758F" w:rsidR="00630A02">
        <w:t xml:space="preserve"> to the condition</w:t>
      </w:r>
      <w:r w:rsidRPr="00AE758F" w:rsidR="009D0533">
        <w:t xml:space="preserve"> </w:t>
      </w:r>
      <w:r w:rsidRPr="00AE758F" w:rsidR="0055136D">
        <w:t xml:space="preserve">in 10 CFR 50.55a(b)(2)(xviii)(D) on </w:t>
      </w:r>
      <w:r w:rsidR="00E14738">
        <w:t>nondestructive examination</w:t>
      </w:r>
      <w:r w:rsidRPr="00AE758F" w:rsidR="00E14738">
        <w:t xml:space="preserve"> </w:t>
      </w:r>
      <w:r w:rsidRPr="00AE758F" w:rsidR="0055136D">
        <w:t xml:space="preserve">personnel certification </w:t>
      </w:r>
      <w:r w:rsidRPr="00AE758F" w:rsidR="009D0533">
        <w:t xml:space="preserve">that would allow the use of laboratory practice as a </w:t>
      </w:r>
      <w:bookmarkStart w:name="_Hlk39741432" w:id="199"/>
      <w:r w:rsidRPr="00AE758F" w:rsidR="009D0533">
        <w:t xml:space="preserve">partial substitute </w:t>
      </w:r>
      <w:r w:rsidRPr="00AE758F" w:rsidR="00630A02">
        <w:t>for certification</w:t>
      </w:r>
      <w:bookmarkEnd w:id="199"/>
      <w:r w:rsidRPr="00AE758F" w:rsidR="00630A02">
        <w:t xml:space="preserve">. </w:t>
      </w:r>
      <w:r w:rsidRPr="00AE758F" w:rsidR="00BE70A1">
        <w:t xml:space="preserve"> </w:t>
      </w:r>
      <w:r w:rsidRPr="00AE758F" w:rsidR="00630A02">
        <w:t>This alternative w</w:t>
      </w:r>
      <w:r w:rsidRPr="00AE758F" w:rsidR="000D52D1">
        <w:t>ould</w:t>
      </w:r>
      <w:r w:rsidRPr="00AE758F" w:rsidR="00630A02">
        <w:t xml:space="preserve"> </w:t>
      </w:r>
      <w:bookmarkStart w:name="_Hlk40695730" w:id="200"/>
      <w:r w:rsidR="00D703DA">
        <w:t xml:space="preserve">allow </w:t>
      </w:r>
      <w:r w:rsidRPr="00AE758F" w:rsidR="000D52D1">
        <w:t xml:space="preserve">personnel </w:t>
      </w:r>
      <w:r w:rsidR="00D703DA">
        <w:t xml:space="preserve">to complete </w:t>
      </w:r>
      <w:r w:rsidRPr="00AE758F" w:rsidR="000D52D1">
        <w:t xml:space="preserve">their ultrasonic examination certifications </w:t>
      </w:r>
      <w:r w:rsidRPr="00AE758F" w:rsidR="00630A02">
        <w:t>in less time</w:t>
      </w:r>
      <w:r w:rsidRPr="00AE758F" w:rsidR="000D52D1">
        <w:t xml:space="preserve"> than under current </w:t>
      </w:r>
      <w:bookmarkEnd w:id="200"/>
      <w:r w:rsidR="00D703DA">
        <w:t>regulations</w:t>
      </w:r>
      <w:r w:rsidRPr="00AE758F" w:rsidR="00630A02">
        <w:t xml:space="preserve">. </w:t>
      </w:r>
      <w:r w:rsidRPr="00AE758F" w:rsidR="00F973DD">
        <w:t xml:space="preserve"> </w:t>
      </w:r>
      <w:r w:rsidRPr="00AE758F" w:rsidR="00630A02">
        <w:t xml:space="preserve">The staff estimates that </w:t>
      </w:r>
      <w:r w:rsidR="00BF5737">
        <w:t xml:space="preserve">the alternative would reduce </w:t>
      </w:r>
      <w:r w:rsidRPr="00AE758F" w:rsidR="00630A02">
        <w:t xml:space="preserve">the time to complete </w:t>
      </w:r>
      <w:r w:rsidR="00BF5737">
        <w:t xml:space="preserve">these </w:t>
      </w:r>
      <w:r w:rsidRPr="00AE758F" w:rsidR="00630A02">
        <w:t xml:space="preserve">certifications </w:t>
      </w:r>
      <w:r w:rsidRPr="00AE758F" w:rsidR="00053A53">
        <w:t xml:space="preserve">by </w:t>
      </w:r>
      <w:r w:rsidRPr="00AE758F" w:rsidR="00056C1D">
        <w:t>about 78</w:t>
      </w:r>
      <w:r w:rsidRPr="00AE758F" w:rsidR="00F973DD">
        <w:t> </w:t>
      </w:r>
      <w:r w:rsidRPr="00AE758F" w:rsidR="00630A02">
        <w:t xml:space="preserve">hours </w:t>
      </w:r>
      <w:r w:rsidR="00BF5737">
        <w:t xml:space="preserve">per </w:t>
      </w:r>
      <w:r w:rsidRPr="00AE758F" w:rsidR="00630A02">
        <w:t>person</w:t>
      </w:r>
      <w:r w:rsidR="000B398A">
        <w:t>, on average</w:t>
      </w:r>
      <w:r w:rsidRPr="00AE758F" w:rsidR="00630A02">
        <w:t>.</w:t>
      </w:r>
      <w:r w:rsidRPr="00AE758F" w:rsidR="00F973DD">
        <w:t xml:space="preserve"> </w:t>
      </w:r>
      <w:r w:rsidRPr="00AE758F" w:rsidR="00630A02">
        <w:t xml:space="preserve"> The staff expects </w:t>
      </w:r>
      <w:r w:rsidRPr="00AE758F" w:rsidR="00F973DD">
        <w:t>that</w:t>
      </w:r>
      <w:r w:rsidR="004F1150">
        <w:t>, over the applicability period of this rule,</w:t>
      </w:r>
      <w:r w:rsidRPr="00AE758F" w:rsidR="00F973DD">
        <w:t xml:space="preserve"> </w:t>
      </w:r>
      <w:r w:rsidRPr="00AE758F" w:rsidR="00630A02">
        <w:t xml:space="preserve">about </w:t>
      </w:r>
      <w:r w:rsidRPr="00AE758F" w:rsidR="00F973DD">
        <w:t>nine </w:t>
      </w:r>
      <w:r w:rsidRPr="00AE758F" w:rsidR="00630A02">
        <w:t>people</w:t>
      </w:r>
      <w:r w:rsidRPr="00AE758F" w:rsidR="00056C1D">
        <w:t xml:space="preserve"> at each </w:t>
      </w:r>
      <w:r w:rsidRPr="00AE758F" w:rsidR="00630A02">
        <w:t xml:space="preserve">power plant facility </w:t>
      </w:r>
      <w:r w:rsidRPr="00AE758F" w:rsidR="00F973DD">
        <w:t>would</w:t>
      </w:r>
      <w:r w:rsidRPr="00AE758F" w:rsidR="00630A02">
        <w:t xml:space="preserve"> complete certifications using this alternative of laboratory practice.  </w:t>
      </w:r>
      <w:r w:rsidRPr="00AE758F" w:rsidR="00053A53">
        <w:t xml:space="preserve">Because a </w:t>
      </w:r>
      <w:r w:rsidRPr="00AE758F" w:rsidR="00630A02">
        <w:t xml:space="preserve">person </w:t>
      </w:r>
      <w:r w:rsidRPr="00AE758F" w:rsidR="00053A53">
        <w:t xml:space="preserve">only needs to </w:t>
      </w:r>
      <w:r w:rsidRPr="00AE758F" w:rsidR="00630A02">
        <w:t>complete certification once</w:t>
      </w:r>
      <w:r w:rsidR="00E50F4F">
        <w:t xml:space="preserve"> in their career</w:t>
      </w:r>
      <w:r w:rsidRPr="00AE758F" w:rsidR="00056C1D">
        <w:t>,</w:t>
      </w:r>
      <w:r w:rsidRPr="00AE758F" w:rsidR="000475B8">
        <w:t xml:space="preserve"> </w:t>
      </w:r>
      <w:r w:rsidRPr="00AE758F" w:rsidR="00056C1D">
        <w:t>Alternative</w:t>
      </w:r>
      <w:r w:rsidRPr="00AE758F" w:rsidR="00F973DD">
        <w:t> </w:t>
      </w:r>
      <w:r w:rsidRPr="00AE758F" w:rsidR="000475B8">
        <w:t xml:space="preserve">2 </w:t>
      </w:r>
      <w:r w:rsidRPr="00AE758F" w:rsidR="00056C1D">
        <w:t>w</w:t>
      </w:r>
      <w:r w:rsidRPr="00AE758F" w:rsidR="00F973DD">
        <w:t>ould</w:t>
      </w:r>
      <w:r w:rsidRPr="00AE758F" w:rsidR="00056C1D">
        <w:t xml:space="preserve"> result in a one</w:t>
      </w:r>
      <w:r w:rsidRPr="00AE758F" w:rsidR="000D52D1">
        <w:noBreakHyphen/>
      </w:r>
      <w:r w:rsidRPr="00AE758F" w:rsidR="00056C1D">
        <w:t xml:space="preserve">time cost savings (benefit) to the industry for </w:t>
      </w:r>
      <w:r w:rsidR="00E50F4F">
        <w:t xml:space="preserve">training new </w:t>
      </w:r>
      <w:r w:rsidRPr="00AE758F" w:rsidR="000D52D1">
        <w:t>personnel</w:t>
      </w:r>
      <w:r w:rsidRPr="00AE758F" w:rsidR="00056C1D">
        <w:t xml:space="preserve">. </w:t>
      </w:r>
      <w:r w:rsidRPr="00AE758F" w:rsidR="000D52D1">
        <w:t xml:space="preserve"> </w:t>
      </w:r>
      <w:r w:rsidRPr="00AE758F" w:rsidR="00CA150E">
        <w:t>T</w:t>
      </w:r>
      <w:r w:rsidRPr="00AE758F" w:rsidR="00056C1D">
        <w:t>able</w:t>
      </w:r>
      <w:r w:rsidRPr="00AE758F" w:rsidR="00CA150E">
        <w:t> 3</w:t>
      </w:r>
      <w:r w:rsidRPr="00AE758F" w:rsidR="00056C1D">
        <w:t xml:space="preserve"> details the cost savings over the applicability period of the </w:t>
      </w:r>
      <w:r w:rsidR="005C25E3">
        <w:t>final</w:t>
      </w:r>
      <w:r w:rsidRPr="00AE758F" w:rsidR="00056C1D">
        <w:t xml:space="preserve"> rule</w:t>
      </w:r>
      <w:r w:rsidRPr="00AE758F" w:rsidR="00104FC1">
        <w:t>.</w:t>
      </w:r>
      <w:r w:rsidR="0052679F">
        <w:t xml:space="preserve">  </w:t>
      </w:r>
      <w:r w:rsidRPr="00AE758F" w:rsidR="0052679F">
        <w:t xml:space="preserve">The NRC estimates that </w:t>
      </w:r>
      <w:r w:rsidR="004F1150">
        <w:t xml:space="preserve">the reduced training under Alternative 2 will result in </w:t>
      </w:r>
      <w:r w:rsidRPr="00AE758F" w:rsidR="0052679F">
        <w:t xml:space="preserve">averted costs </w:t>
      </w:r>
      <w:r w:rsidR="00C87AB2">
        <w:t xml:space="preserve">for </w:t>
      </w:r>
      <w:r w:rsidR="004F1150">
        <w:t xml:space="preserve">the industry of between </w:t>
      </w:r>
      <w:r w:rsidRPr="00AE758F" w:rsidR="0052679F">
        <w:t>$</w:t>
      </w:r>
      <w:r w:rsidR="0052679F">
        <w:t>4.54</w:t>
      </w:r>
      <w:r w:rsidRPr="00AE758F" w:rsidR="0052679F">
        <w:t> million (7</w:t>
      </w:r>
      <w:r w:rsidRPr="00AE758F" w:rsidR="0052679F">
        <w:noBreakHyphen/>
        <w:t xml:space="preserve">percent NPV) </w:t>
      </w:r>
      <w:r w:rsidR="004F1150">
        <w:t xml:space="preserve">and </w:t>
      </w:r>
      <w:r w:rsidRPr="00AE758F" w:rsidR="0052679F">
        <w:t>$</w:t>
      </w:r>
      <w:r w:rsidR="0052679F">
        <w:t>4.89</w:t>
      </w:r>
      <w:r w:rsidRPr="00AE758F" w:rsidR="0052679F">
        <w:t> million (3</w:t>
      </w:r>
      <w:r w:rsidRPr="00AE758F" w:rsidR="0052679F">
        <w:noBreakHyphen/>
        <w:t>percent NPV).</w:t>
      </w:r>
    </w:p>
    <w:p w:rsidRPr="00AE758F" w:rsidR="00E41657" w:rsidP="007936BF" w:rsidRDefault="00E41657" w14:paraId="24B65BCC" w14:textId="61FD3D31">
      <w:pPr>
        <w:spacing w:line="240" w:lineRule="auto"/>
      </w:pPr>
    </w:p>
    <w:p w:rsidRPr="00AE758F" w:rsidR="00872E76" w:rsidP="00382B4A" w:rsidRDefault="00E5029D" w14:paraId="0C35C007" w14:textId="2522D30D">
      <w:pPr>
        <w:pStyle w:val="Caption"/>
        <w:spacing w:line="240" w:lineRule="auto"/>
        <w:ind w:left="1080" w:hanging="1080"/>
        <w:jc w:val="center"/>
        <w:rPr>
          <w:b/>
          <w:bCs w:val="0"/>
        </w:rPr>
      </w:pPr>
      <w:bookmarkStart w:name="_Toc81309679" w:id="201"/>
      <w:r w:rsidRPr="00AE758F">
        <w:rPr>
          <w:b/>
          <w:bCs w:val="0"/>
        </w:rPr>
        <w:lastRenderedPageBreak/>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3</w:t>
      </w:r>
      <w:r w:rsidRPr="00AE758F">
        <w:rPr>
          <w:b/>
          <w:bCs w:val="0"/>
          <w:noProof/>
        </w:rPr>
        <w:fldChar w:fldCharType="end"/>
      </w:r>
      <w:r w:rsidRPr="00AE758F" w:rsidR="00584855">
        <w:rPr>
          <w:b/>
          <w:bCs w:val="0"/>
        </w:rPr>
        <w:t xml:space="preserve">  </w:t>
      </w:r>
      <w:r w:rsidRPr="00AE758F">
        <w:rPr>
          <w:b/>
          <w:bCs w:val="0"/>
        </w:rPr>
        <w:t xml:space="preserve">Industry Implementation—Averted Costs for </w:t>
      </w:r>
      <w:r w:rsidRPr="00AE758F" w:rsidR="00516431">
        <w:rPr>
          <w:b/>
          <w:bCs w:val="0"/>
        </w:rPr>
        <w:t>Reduced Training</w:t>
      </w:r>
      <w:bookmarkEnd w:id="201"/>
    </w:p>
    <w:p w:rsidR="008A12EC" w:rsidP="007936BF" w:rsidRDefault="00D871EC" w14:paraId="5080D62D" w14:textId="08BD7930">
      <w:pPr>
        <w:spacing w:line="240" w:lineRule="auto"/>
      </w:pPr>
      <w:r w:rsidRPr="00D871EC">
        <w:rPr>
          <w:noProof/>
        </w:rPr>
        <w:drawing>
          <wp:inline distT="0" distB="0" distL="0" distR="0" wp14:anchorId="75DD2EB6" wp14:editId="50165A85">
            <wp:extent cx="5943600" cy="13849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384935"/>
                    </a:xfrm>
                    <a:prstGeom prst="rect">
                      <a:avLst/>
                    </a:prstGeom>
                    <a:noFill/>
                    <a:ln>
                      <a:noFill/>
                    </a:ln>
                  </pic:spPr>
                </pic:pic>
              </a:graphicData>
            </a:graphic>
          </wp:inline>
        </w:drawing>
      </w:r>
    </w:p>
    <w:p w:rsidRPr="00AE758F" w:rsidR="0052679F" w:rsidP="007936BF" w:rsidRDefault="0052679F" w14:paraId="67DEDDA8" w14:textId="77777777">
      <w:pPr>
        <w:spacing w:line="240" w:lineRule="auto"/>
      </w:pPr>
    </w:p>
    <w:p w:rsidRPr="00AE758F" w:rsidR="00C8101A" w:rsidP="00382B4A" w:rsidRDefault="00C8101A" w14:paraId="4422DEE1" w14:textId="221E7B55">
      <w:pPr>
        <w:pStyle w:val="Heading2"/>
        <w:spacing w:line="240" w:lineRule="auto"/>
        <w:ind w:left="450" w:hanging="450"/>
      </w:pPr>
      <w:bookmarkStart w:name="_Ref422721898" w:id="202"/>
      <w:bookmarkStart w:name="_Toc456098259" w:id="203"/>
      <w:bookmarkStart w:name="_Toc457827272" w:id="204"/>
      <w:bookmarkStart w:name="_Toc521577111" w:id="205"/>
      <w:bookmarkStart w:name="_Toc7512297" w:id="206"/>
      <w:bookmarkStart w:name="_Toc81309122" w:id="207"/>
      <w:r w:rsidRPr="00AE758F">
        <w:t>5.</w:t>
      </w:r>
      <w:r w:rsidRPr="00AE758F" w:rsidR="00B27A7E">
        <w:t>3</w:t>
      </w:r>
      <w:r w:rsidRPr="00AE758F">
        <w:tab/>
        <w:t>Industry Operation</w:t>
      </w:r>
      <w:bookmarkEnd w:id="202"/>
      <w:bookmarkEnd w:id="203"/>
      <w:bookmarkEnd w:id="204"/>
      <w:bookmarkEnd w:id="205"/>
      <w:bookmarkEnd w:id="206"/>
      <w:bookmarkEnd w:id="207"/>
    </w:p>
    <w:p w:rsidRPr="00AE758F" w:rsidR="00C8101A" w:rsidP="007936BF" w:rsidRDefault="00C8101A" w14:paraId="08CD45D1" w14:textId="77777777">
      <w:pPr>
        <w:keepNext/>
        <w:spacing w:line="240" w:lineRule="auto"/>
      </w:pPr>
    </w:p>
    <w:p w:rsidRPr="00AE758F" w:rsidR="00C8101A" w:rsidP="007936BF" w:rsidRDefault="00C8101A" w14:paraId="45FC21DE" w14:textId="40D08891">
      <w:pPr>
        <w:spacing w:line="240" w:lineRule="auto"/>
      </w:pPr>
      <w:r w:rsidRPr="00AE758F">
        <w:t>This attribute accounts for the projected net economic effect of routine and recurring activities required by the alternative for all affected licensees.  Under Alternative 2, a nuclear power plant licensee would not need to submit an alternative</w:t>
      </w:r>
      <w:r w:rsidRPr="00AE758F" w:rsidR="005F51DE">
        <w:t xml:space="preserve"> </w:t>
      </w:r>
      <w:r w:rsidRPr="00AE758F">
        <w:t xml:space="preserve">request under 10 CFR 50.55a(z) to receive permission to use </w:t>
      </w:r>
      <w:r w:rsidRPr="00AE758F" w:rsidR="005F51DE">
        <w:t xml:space="preserve">the latest </w:t>
      </w:r>
      <w:r w:rsidRPr="00AE758F">
        <w:t>edition</w:t>
      </w:r>
      <w:r w:rsidRPr="00AE758F" w:rsidR="006A0A65">
        <w:t xml:space="preserve"> of</w:t>
      </w:r>
      <w:r w:rsidRPr="00AE758F">
        <w:t xml:space="preserve"> or addenda </w:t>
      </w:r>
      <w:r w:rsidRPr="00AE758F" w:rsidR="006A0A65">
        <w:t>to</w:t>
      </w:r>
      <w:r w:rsidRPr="00AE758F">
        <w:t xml:space="preserve"> the</w:t>
      </w:r>
      <w:r w:rsidR="004C764B">
        <w:t> </w:t>
      </w:r>
      <w:r w:rsidRPr="00AE758F">
        <w:t xml:space="preserve">ASME Codes as an alternative to the </w:t>
      </w:r>
      <w:r w:rsidR="009D4168">
        <w:t xml:space="preserve">previously approved </w:t>
      </w:r>
      <w:r w:rsidRPr="00AE758F">
        <w:t>ASME Code provisions.  This provides a net benefit (i.e., averted cost) to the licensee.</w:t>
      </w:r>
      <w:r w:rsidR="00C458DD">
        <w:t xml:space="preserve">  Some licensees may need to submit an early update request</w:t>
      </w:r>
      <w:r w:rsidR="003A7BC4">
        <w:t xml:space="preserve"> under 10</w:t>
      </w:r>
      <w:r w:rsidR="00783F68">
        <w:t> </w:t>
      </w:r>
      <w:r w:rsidR="003A7BC4">
        <w:t>CFR</w:t>
      </w:r>
      <w:r w:rsidR="00783F68">
        <w:t> </w:t>
      </w:r>
      <w:r w:rsidR="003A7BC4">
        <w:t>50.55a(f)(</w:t>
      </w:r>
      <w:r w:rsidR="00FB1511">
        <w:t>4</w:t>
      </w:r>
      <w:r w:rsidR="003A7BC4">
        <w:t>)</w:t>
      </w:r>
      <w:r w:rsidR="003925C8">
        <w:t>(iv)</w:t>
      </w:r>
      <w:r w:rsidR="00FB1511">
        <w:t xml:space="preserve"> or (g)(4)</w:t>
      </w:r>
      <w:r w:rsidR="003925C8">
        <w:t>(iv)</w:t>
      </w:r>
      <w:r w:rsidR="00C458DD">
        <w:t>,</w:t>
      </w:r>
      <w:r w:rsidRPr="00AE758F" w:rsidR="00CC6553">
        <w:rPr>
          <w:rStyle w:val="FootnoteReference"/>
          <w:vertAlign w:val="superscript"/>
        </w:rPr>
        <w:footnoteReference w:id="7"/>
      </w:r>
      <w:r w:rsidR="00C458DD">
        <w:t xml:space="preserve"> which is not an averted cost </w:t>
      </w:r>
      <w:r w:rsidR="003959CE">
        <w:t>for Alternative</w:t>
      </w:r>
      <w:r w:rsidR="00200EDC">
        <w:t> </w:t>
      </w:r>
      <w:r w:rsidR="003959CE">
        <w:t>2</w:t>
      </w:r>
      <w:r w:rsidR="00C458DD">
        <w:t>.</w:t>
      </w:r>
    </w:p>
    <w:p w:rsidRPr="00AE758F" w:rsidR="00C8101A" w:rsidP="007936BF" w:rsidRDefault="00C8101A" w14:paraId="74AC0B4D" w14:textId="77777777">
      <w:pPr>
        <w:spacing w:line="240" w:lineRule="auto"/>
      </w:pPr>
    </w:p>
    <w:p w:rsidRPr="00AE758F" w:rsidR="00C8101A" w:rsidP="007936BF" w:rsidRDefault="00C8101A" w14:paraId="073A7805" w14:textId="5D1F2B32">
      <w:pPr>
        <w:spacing w:line="240" w:lineRule="auto"/>
      </w:pPr>
      <w:r w:rsidRPr="00AE758F">
        <w:t xml:space="preserve">The use of </w:t>
      </w:r>
      <w:r w:rsidR="000843A1">
        <w:t xml:space="preserve">current </w:t>
      </w:r>
      <w:r w:rsidRPr="00AE758F">
        <w:t>ASME Code</w:t>
      </w:r>
      <w:r w:rsidR="006164F5">
        <w:t xml:space="preserve"> editions and addenda</w:t>
      </w:r>
      <w:r w:rsidRPr="00AE758F">
        <w:t xml:space="preserve"> would benefit NRC nuclear power plant licensees and applicants </w:t>
      </w:r>
      <w:r w:rsidR="001B1C82">
        <w:t>in several ways</w:t>
      </w:r>
      <w:r w:rsidRPr="00AE758F">
        <w:t xml:space="preserve">.  </w:t>
      </w:r>
      <w:r w:rsidR="00CA3C96">
        <w:t xml:space="preserve">For example, </w:t>
      </w:r>
      <w:r w:rsidR="000843A1">
        <w:t xml:space="preserve">these </w:t>
      </w:r>
      <w:r w:rsidRPr="00AE758F">
        <w:t>editions</w:t>
      </w:r>
      <w:r w:rsidRPr="00AE758F" w:rsidR="006A0A65">
        <w:t xml:space="preserve"> </w:t>
      </w:r>
      <w:r w:rsidRPr="00AE758F">
        <w:t xml:space="preserve">and addenda may introduce advanced techniques, procedures, and measures. </w:t>
      </w:r>
    </w:p>
    <w:p w:rsidRPr="00AE758F" w:rsidR="00C8101A" w:rsidP="007936BF" w:rsidRDefault="00C8101A" w14:paraId="691B12C8" w14:textId="1DB180C2">
      <w:pPr>
        <w:spacing w:line="240" w:lineRule="auto"/>
      </w:pPr>
    </w:p>
    <w:p w:rsidRPr="00AE758F" w:rsidR="00C8101A" w:rsidP="007936BF" w:rsidRDefault="00C8101A" w14:paraId="4EAC80FC" w14:textId="1BBCCE61">
      <w:pPr>
        <w:spacing w:line="240" w:lineRule="auto"/>
      </w:pPr>
      <w:r w:rsidRPr="00AE758F">
        <w:t>Submission of an alternative request to the NRC is not a trivial matter.  Once ASME issues a</w:t>
      </w:r>
      <w:r w:rsidR="004C764B">
        <w:t> </w:t>
      </w:r>
      <w:r w:rsidRPr="00AE758F">
        <w:t xml:space="preserve">Code edition, the licensee or applicant must determine the applicability of the Code edition to its facility and the benefits of using it.  If the licensee or applicant determines that </w:t>
      </w:r>
      <w:r w:rsidR="00604BB5">
        <w:t xml:space="preserve">it would be beneficial to </w:t>
      </w:r>
      <w:r w:rsidRPr="00AE758F">
        <w:t xml:space="preserve">use </w:t>
      </w:r>
      <w:r w:rsidR="00604BB5">
        <w:t xml:space="preserve">a Code edition that </w:t>
      </w:r>
      <w:r w:rsidRPr="00AE758F">
        <w:t xml:space="preserve">the NRC has not approved, the licensee or applicant must prepare a request for </w:t>
      </w:r>
      <w:r w:rsidR="00604BB5">
        <w:t xml:space="preserve">its </w:t>
      </w:r>
      <w:r w:rsidRPr="00AE758F">
        <w:t xml:space="preserve">use, and appropriate levels of licensee or applicant management must review and approve the request before submission to the NRC.  A review of Code alternative requests submitted to the NRC over </w:t>
      </w:r>
      <w:r w:rsidRPr="00AE758F" w:rsidR="00053A53">
        <w:t>a</w:t>
      </w:r>
      <w:r w:rsidRPr="00AE758F" w:rsidR="005F51DE">
        <w:t xml:space="preserve"> </w:t>
      </w:r>
      <w:r w:rsidRPr="00AE758F" w:rsidR="001A3C88">
        <w:t>5</w:t>
      </w:r>
      <w:r w:rsidRPr="00AE758F" w:rsidR="006A0A65">
        <w:noBreakHyphen/>
      </w:r>
      <w:r w:rsidRPr="00AE758F" w:rsidR="001A3C88">
        <w:t>year</w:t>
      </w:r>
      <w:r w:rsidRPr="00AE758F" w:rsidR="00053A53">
        <w:t xml:space="preserve"> period</w:t>
      </w:r>
      <w:r w:rsidRPr="00AE758F" w:rsidR="001A3C88">
        <w:t xml:space="preserve"> </w:t>
      </w:r>
      <w:r w:rsidRPr="00AE758F">
        <w:t xml:space="preserve">found that these submittals ranged from a few pages to </w:t>
      </w:r>
      <w:r w:rsidRPr="00AE758F" w:rsidR="005F51DE">
        <w:t xml:space="preserve">a few </w:t>
      </w:r>
      <w:r w:rsidRPr="00AE758F">
        <w:t>hundred page</w:t>
      </w:r>
      <w:r w:rsidRPr="00AE758F" w:rsidR="005F51DE">
        <w:t>s</w:t>
      </w:r>
      <w:r w:rsidRPr="00AE758F">
        <w:t>.</w:t>
      </w:r>
    </w:p>
    <w:p w:rsidRPr="00AE758F" w:rsidR="00C8101A" w:rsidP="007936BF" w:rsidRDefault="00C8101A" w14:paraId="4ADD26D4" w14:textId="77777777">
      <w:pPr>
        <w:spacing w:line="240" w:lineRule="auto"/>
      </w:pPr>
    </w:p>
    <w:p w:rsidRPr="00AE758F" w:rsidR="00C8101A" w:rsidP="007936BF" w:rsidRDefault="00C8101A" w14:paraId="21276058" w14:textId="4F801A8C">
      <w:pPr>
        <w:spacing w:line="240" w:lineRule="auto"/>
      </w:pPr>
      <w:r w:rsidRPr="00AE758F">
        <w:t xml:space="preserve">Therefore, the NRC estimates that </w:t>
      </w:r>
      <w:r w:rsidR="00240C42">
        <w:t xml:space="preserve">it takes </w:t>
      </w:r>
      <w:r w:rsidRPr="00AE758F">
        <w:t xml:space="preserve">an average of </w:t>
      </w:r>
      <w:r w:rsidRPr="00AE758F" w:rsidR="008B49D2">
        <w:t>230</w:t>
      </w:r>
      <w:r w:rsidRPr="00AE758F">
        <w:t xml:space="preserve"> hours </w:t>
      </w:r>
      <w:r w:rsidRPr="00AE758F" w:rsidR="006A0A65">
        <w:t xml:space="preserve">for </w:t>
      </w:r>
      <w:r w:rsidR="00240C42">
        <w:t xml:space="preserve">a </w:t>
      </w:r>
      <w:r w:rsidRPr="00AE758F" w:rsidR="006A0A65">
        <w:t xml:space="preserve">licensee or applicant </w:t>
      </w:r>
      <w:r w:rsidRPr="00AE758F">
        <w:t xml:space="preserve">to research, review, approve, process, and submit </w:t>
      </w:r>
      <w:r w:rsidR="00240C42">
        <w:t xml:space="preserve">a Code alternative request </w:t>
      </w:r>
      <w:r w:rsidRPr="00AE758F">
        <w:t xml:space="preserve">to the NRC under 10 CFR 50.55a(z).  The NRC assumes that licensees </w:t>
      </w:r>
      <w:r w:rsidR="00C10D60">
        <w:t xml:space="preserve">and </w:t>
      </w:r>
      <w:r w:rsidRPr="00AE758F">
        <w:t xml:space="preserve">applicants decide whether to request an alternative by weighing the cost against the </w:t>
      </w:r>
      <w:r w:rsidRPr="00AE758F" w:rsidR="006A0A65">
        <w:t xml:space="preserve">derived </w:t>
      </w:r>
      <w:r w:rsidRPr="00AE758F">
        <w:t xml:space="preserve">benefit.  In some cases, </w:t>
      </w:r>
      <w:r w:rsidR="00C10D60">
        <w:t>because of the cost</w:t>
      </w:r>
      <w:r w:rsidR="00696FED">
        <w:t xml:space="preserve"> of requesting an alternative</w:t>
      </w:r>
      <w:r w:rsidR="00C10D60">
        <w:t xml:space="preserve">, </w:t>
      </w:r>
      <w:r w:rsidRPr="00AE758F">
        <w:t xml:space="preserve">licensees may decide to forfeit the benefits </w:t>
      </w:r>
      <w:r w:rsidR="006E4499">
        <w:t xml:space="preserve">(whether radiological benefits or cost reductions) </w:t>
      </w:r>
      <w:r w:rsidR="00E76206">
        <w:t xml:space="preserve">provided by </w:t>
      </w:r>
      <w:r w:rsidRPr="00AE758F">
        <w:t xml:space="preserve">using </w:t>
      </w:r>
      <w:r w:rsidRPr="00AE758F" w:rsidR="006A0A65">
        <w:t xml:space="preserve">a </w:t>
      </w:r>
      <w:r w:rsidRPr="00AE758F">
        <w:t>newer ASME Code.</w:t>
      </w:r>
    </w:p>
    <w:p w:rsidRPr="00AE758F" w:rsidR="00C8101A" w:rsidP="007936BF" w:rsidRDefault="00C8101A" w14:paraId="7EA7D4D3" w14:textId="77777777">
      <w:pPr>
        <w:spacing w:line="240" w:lineRule="auto"/>
      </w:pPr>
    </w:p>
    <w:p w:rsidRPr="00AE758F" w:rsidR="00C8101A" w:rsidP="007936BF" w:rsidRDefault="00C8101A" w14:paraId="079CA016" w14:textId="0E7E226B">
      <w:pPr>
        <w:spacing w:line="240" w:lineRule="auto"/>
      </w:pPr>
      <w:r w:rsidRPr="00AE758F">
        <w:t>A review of past submittals shows that plant owners submit Code alternative requests covering multiple units and multiple plant sites.  Under Alternative 2, a</w:t>
      </w:r>
      <w:r w:rsidR="004C764B">
        <w:t> </w:t>
      </w:r>
      <w:r w:rsidR="00D740CE">
        <w:t xml:space="preserve">nuclear power plant </w:t>
      </w:r>
      <w:r w:rsidRPr="00AE758F">
        <w:t xml:space="preserve">licensee would no longer need to submit </w:t>
      </w:r>
      <w:r w:rsidR="00D740CE">
        <w:t xml:space="preserve">such </w:t>
      </w:r>
      <w:r w:rsidRPr="00AE758F">
        <w:t xml:space="preserve">requests under 10 CFR 50.55a(z).  This would provide a </w:t>
      </w:r>
      <w:r w:rsidRPr="00AE758F">
        <w:lastRenderedPageBreak/>
        <w:t xml:space="preserve">net benefit (i.e., averted cost) to the licensee.  The </w:t>
      </w:r>
      <w:r w:rsidRPr="00AE758F" w:rsidR="00E47BEB">
        <w:t>NRC</w:t>
      </w:r>
      <w:r w:rsidRPr="00AE758F">
        <w:t xml:space="preserve"> analyzed alternative request submittals across multiple years and</w:t>
      </w:r>
      <w:r w:rsidR="008B5678">
        <w:t xml:space="preserve"> determined that</w:t>
      </w:r>
      <w:r w:rsidRPr="00AE758F">
        <w:t xml:space="preserve">, </w:t>
      </w:r>
      <w:r w:rsidR="008B5678">
        <w:t xml:space="preserve">assuming </w:t>
      </w:r>
      <w:r w:rsidRPr="00AE758F" w:rsidR="003E3F73">
        <w:t>the agency issue</w:t>
      </w:r>
      <w:r w:rsidR="00C96044">
        <w:t>s</w:t>
      </w:r>
      <w:r w:rsidRPr="00AE758F" w:rsidR="003E3F73">
        <w:t xml:space="preserve"> </w:t>
      </w:r>
      <w:r w:rsidRPr="00AE758F" w:rsidR="00053A53">
        <w:t>this</w:t>
      </w:r>
      <w:r w:rsidRPr="00AE758F">
        <w:t xml:space="preserve"> rule by 202</w:t>
      </w:r>
      <w:r w:rsidRPr="00AE758F" w:rsidR="008B49D2">
        <w:t>2</w:t>
      </w:r>
      <w:r w:rsidRPr="00AE758F">
        <w:t xml:space="preserve">, </w:t>
      </w:r>
      <w:r w:rsidR="008B5678">
        <w:t xml:space="preserve">implementing </w:t>
      </w:r>
      <w:r w:rsidRPr="00AE758F">
        <w:t xml:space="preserve">Alternative 2 would </w:t>
      </w:r>
      <w:r w:rsidR="008B5678">
        <w:t xml:space="preserve">avert the preparation and submission of </w:t>
      </w:r>
      <w:r w:rsidRPr="00AE758F">
        <w:t>approximately 2</w:t>
      </w:r>
      <w:r w:rsidRPr="00AE758F" w:rsidR="008B49D2">
        <w:t>2</w:t>
      </w:r>
      <w:r w:rsidRPr="00AE758F" w:rsidR="006A0A65">
        <w:t> </w:t>
      </w:r>
      <w:r w:rsidRPr="00AE758F" w:rsidR="008B49D2">
        <w:t>Code alternative requests</w:t>
      </w:r>
      <w:r w:rsidRPr="00AE758F">
        <w:t xml:space="preserve"> each year (see </w:t>
      </w:r>
      <w:r w:rsidRPr="003C4445" w:rsidR="003C4445">
        <w:fldChar w:fldCharType="begin"/>
      </w:r>
      <w:r w:rsidRPr="003C4445" w:rsidR="003C4445">
        <w:instrText xml:space="preserve"> REF _Ref80086265 \h  \* MERGEFORMAT </w:instrText>
      </w:r>
      <w:r w:rsidRPr="003C4445" w:rsidR="003C4445">
        <w:fldChar w:fldCharType="separate"/>
      </w:r>
      <w:r w:rsidRPr="003C4445" w:rsidR="003C4445">
        <w:t xml:space="preserve">Table </w:t>
      </w:r>
      <w:r w:rsidRPr="003C4445" w:rsidR="003C4445">
        <w:rPr>
          <w:noProof/>
        </w:rPr>
        <w:t>4</w:t>
      </w:r>
      <w:r w:rsidRPr="003C4445" w:rsidR="003C4445">
        <w:fldChar w:fldCharType="end"/>
      </w:r>
      <w:r w:rsidRPr="00AE758F">
        <w:t>).  The NRC estimates</w:t>
      </w:r>
      <w:r w:rsidRPr="00AE758F" w:rsidR="00BA67F8">
        <w:t xml:space="preserve"> </w:t>
      </w:r>
      <w:r w:rsidRPr="00AE758F">
        <w:t xml:space="preserve">the </w:t>
      </w:r>
      <w:r w:rsidR="00A274AD">
        <w:t xml:space="preserve">associated </w:t>
      </w:r>
      <w:r w:rsidRPr="00AE758F">
        <w:t xml:space="preserve">averted costs </w:t>
      </w:r>
      <w:r w:rsidR="008C6793">
        <w:t xml:space="preserve">for </w:t>
      </w:r>
      <w:r w:rsidR="00415F03">
        <w:t>the industry</w:t>
      </w:r>
      <w:r w:rsidR="006647C5">
        <w:t>, under Alternative 2,</w:t>
      </w:r>
      <w:r w:rsidR="00415F03">
        <w:t xml:space="preserve"> at between </w:t>
      </w:r>
      <w:r w:rsidRPr="00AE758F">
        <w:t>$</w:t>
      </w:r>
      <w:r w:rsidRPr="00AE758F" w:rsidR="00E00FAF">
        <w:t>1.</w:t>
      </w:r>
      <w:r w:rsidR="00B56500">
        <w:t>83</w:t>
      </w:r>
      <w:r w:rsidRPr="00AE758F">
        <w:t> million (7</w:t>
      </w:r>
      <w:r w:rsidRPr="00AE758F" w:rsidR="00BA67F8">
        <w:noBreakHyphen/>
      </w:r>
      <w:r w:rsidRPr="00AE758F">
        <w:t xml:space="preserve">percent NPV) </w:t>
      </w:r>
      <w:r w:rsidR="00415F03">
        <w:t xml:space="preserve">and </w:t>
      </w:r>
      <w:r w:rsidRPr="00AE758F">
        <w:t>$</w:t>
      </w:r>
      <w:r w:rsidRPr="00AE758F" w:rsidR="00E00FAF">
        <w:t>1.</w:t>
      </w:r>
      <w:r w:rsidR="00B56500">
        <w:t>98</w:t>
      </w:r>
      <w:r w:rsidRPr="00AE758F" w:rsidR="00BA67F8">
        <w:t> </w:t>
      </w:r>
      <w:r w:rsidRPr="00AE758F">
        <w:t>million (3</w:t>
      </w:r>
      <w:r w:rsidRPr="00AE758F" w:rsidR="00BA67F8">
        <w:noBreakHyphen/>
      </w:r>
      <w:r w:rsidRPr="00AE758F">
        <w:t>percent NPV).</w:t>
      </w:r>
    </w:p>
    <w:p w:rsidRPr="00AE758F" w:rsidR="00C8101A" w:rsidP="00716A97" w:rsidRDefault="00C8101A" w14:paraId="4C498B9C" w14:textId="672CF2A3">
      <w:pPr>
        <w:autoSpaceDE/>
        <w:autoSpaceDN/>
        <w:adjustRightInd/>
        <w:rPr>
          <w:b/>
          <w:bCs/>
        </w:rPr>
      </w:pPr>
      <w:bookmarkStart w:name="_Hlk40178284" w:id="208"/>
    </w:p>
    <w:p w:rsidRPr="00B56500" w:rsidR="00B56500" w:rsidP="00B56500" w:rsidRDefault="00B56500" w14:paraId="3E26B2A9" w14:textId="7CA07C48">
      <w:pPr>
        <w:pStyle w:val="Caption"/>
        <w:jc w:val="center"/>
        <w:rPr>
          <w:b/>
          <w:bCs w:val="0"/>
        </w:rPr>
      </w:pPr>
      <w:bookmarkStart w:name="_Ref80086265" w:id="209"/>
      <w:bookmarkStart w:name="_Toc81309680" w:id="210"/>
      <w:bookmarkStart w:name="_Toc456098260" w:id="211"/>
      <w:bookmarkStart w:name="_Ref386985636" w:id="212"/>
      <w:bookmarkEnd w:id="208"/>
      <w:r w:rsidRPr="00B56500">
        <w:rPr>
          <w:b/>
          <w:bCs w:val="0"/>
        </w:rPr>
        <w:t xml:space="preserve">Table </w:t>
      </w:r>
      <w:r w:rsidRPr="00B56500">
        <w:rPr>
          <w:b/>
          <w:bCs w:val="0"/>
        </w:rPr>
        <w:fldChar w:fldCharType="begin"/>
      </w:r>
      <w:r w:rsidRPr="00B56500">
        <w:rPr>
          <w:b/>
          <w:bCs w:val="0"/>
        </w:rPr>
        <w:instrText xml:space="preserve"> SEQ Table \* ARABIC </w:instrText>
      </w:r>
      <w:r w:rsidRPr="00B56500">
        <w:rPr>
          <w:b/>
          <w:bCs w:val="0"/>
        </w:rPr>
        <w:fldChar w:fldCharType="separate"/>
      </w:r>
      <w:r w:rsidR="006A41A8">
        <w:rPr>
          <w:b/>
          <w:bCs w:val="0"/>
          <w:noProof/>
        </w:rPr>
        <w:t>4</w:t>
      </w:r>
      <w:r w:rsidRPr="00B56500">
        <w:rPr>
          <w:b/>
          <w:bCs w:val="0"/>
        </w:rPr>
        <w:fldChar w:fldCharType="end"/>
      </w:r>
      <w:bookmarkEnd w:id="209"/>
      <w:r w:rsidRPr="00B56500">
        <w:rPr>
          <w:b/>
          <w:bCs w:val="0"/>
        </w:rPr>
        <w:t xml:space="preserve"> </w:t>
      </w:r>
      <w:r w:rsidR="00AC0EE7">
        <w:rPr>
          <w:b/>
          <w:bCs w:val="0"/>
        </w:rPr>
        <w:t xml:space="preserve"> </w:t>
      </w:r>
      <w:r w:rsidRPr="00B56500">
        <w:rPr>
          <w:b/>
          <w:bCs w:val="0"/>
        </w:rPr>
        <w:t>Industry Operation</w:t>
      </w:r>
      <w:r w:rsidR="00AC0EE7">
        <w:rPr>
          <w:b/>
          <w:bCs w:val="0"/>
        </w:rPr>
        <w:t>—</w:t>
      </w:r>
      <w:r w:rsidRPr="00B56500">
        <w:rPr>
          <w:b/>
          <w:bCs w:val="0"/>
        </w:rPr>
        <w:t>Averted Costs for Alternative Requests</w:t>
      </w:r>
      <w:bookmarkEnd w:id="210"/>
    </w:p>
    <w:p w:rsidRPr="00AE758F" w:rsidR="00C8101A" w:rsidP="007936BF" w:rsidRDefault="00837D71" w14:paraId="3EF4E03E" w14:textId="380A2CDB">
      <w:pPr>
        <w:spacing w:line="240" w:lineRule="auto"/>
        <w:rPr>
          <w:sz w:val="16"/>
          <w:szCs w:val="16"/>
        </w:rPr>
      </w:pPr>
      <w:r w:rsidRPr="00837D71">
        <w:rPr>
          <w:noProof/>
        </w:rPr>
        <w:drawing>
          <wp:inline distT="0" distB="0" distL="0" distR="0" wp14:anchorId="0A1F8972" wp14:editId="4327270E">
            <wp:extent cx="5943600" cy="14484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1448435"/>
                    </a:xfrm>
                    <a:prstGeom prst="rect">
                      <a:avLst/>
                    </a:prstGeom>
                    <a:noFill/>
                    <a:ln>
                      <a:noFill/>
                    </a:ln>
                  </pic:spPr>
                </pic:pic>
              </a:graphicData>
            </a:graphic>
          </wp:inline>
        </w:drawing>
      </w:r>
      <w:r w:rsidRPr="00AE758F" w:rsidR="00C8101A">
        <w:rPr>
          <w:sz w:val="16"/>
          <w:szCs w:val="16"/>
        </w:rPr>
        <w:t>Note:</w:t>
      </w:r>
      <w:r w:rsidRPr="00AE758F" w:rsidR="00BA67F8">
        <w:rPr>
          <w:sz w:val="16"/>
          <w:szCs w:val="16"/>
        </w:rPr>
        <w:t xml:space="preserve">  </w:t>
      </w:r>
      <w:r w:rsidRPr="00AE758F" w:rsidR="00C8101A">
        <w:rPr>
          <w:sz w:val="16"/>
          <w:szCs w:val="16"/>
        </w:rPr>
        <w:t xml:space="preserve">All values </w:t>
      </w:r>
      <w:r w:rsidR="00086A09">
        <w:rPr>
          <w:sz w:val="16"/>
          <w:szCs w:val="16"/>
        </w:rPr>
        <w:t xml:space="preserve">are </w:t>
      </w:r>
      <w:r w:rsidRPr="00AE758F" w:rsidR="00C8101A">
        <w:rPr>
          <w:sz w:val="16"/>
          <w:szCs w:val="16"/>
        </w:rPr>
        <w:t>reported in 202</w:t>
      </w:r>
      <w:r w:rsidR="00716A97">
        <w:rPr>
          <w:sz w:val="16"/>
          <w:szCs w:val="16"/>
        </w:rPr>
        <w:t>1</w:t>
      </w:r>
      <w:r w:rsidRPr="00AE758F" w:rsidR="00C8101A">
        <w:rPr>
          <w:sz w:val="16"/>
          <w:szCs w:val="16"/>
        </w:rPr>
        <w:t xml:space="preserve"> dollars.</w:t>
      </w:r>
    </w:p>
    <w:p w:rsidRPr="00AE758F" w:rsidR="00C8101A" w:rsidP="007936BF" w:rsidRDefault="00C8101A" w14:paraId="534B90F3" w14:textId="19CFC09A">
      <w:pPr>
        <w:spacing w:line="240" w:lineRule="auto"/>
      </w:pPr>
    </w:p>
    <w:p w:rsidRPr="00AE758F" w:rsidR="00211E05" w:rsidP="007936BF" w:rsidRDefault="00595B6B" w14:paraId="555B5345" w14:textId="30789C55">
      <w:pPr>
        <w:spacing w:line="240" w:lineRule="auto"/>
      </w:pPr>
      <w:r w:rsidRPr="00AE758F">
        <w:t xml:space="preserve">The NRC </w:t>
      </w:r>
      <w:bookmarkStart w:name="_Hlk33782527" w:id="213"/>
      <w:r w:rsidR="000E7E18">
        <w:t>is</w:t>
      </w:r>
      <w:r w:rsidRPr="00AE758F">
        <w:t xml:space="preserve"> provid</w:t>
      </w:r>
      <w:r w:rsidR="000E7E18">
        <w:t>ing</w:t>
      </w:r>
      <w:r w:rsidRPr="00AE758F">
        <w:t xml:space="preserve"> an </w:t>
      </w:r>
      <w:bookmarkStart w:name="_Hlk39755519" w:id="214"/>
      <w:r w:rsidRPr="00AE758F">
        <w:t xml:space="preserve">alternative to 10 CFR 50.55a(b)(2)(xxv)(B) </w:t>
      </w:r>
      <w:bookmarkStart w:name="_Hlk40696595" w:id="215"/>
      <w:bookmarkEnd w:id="214"/>
      <w:r w:rsidR="004D016C">
        <w:t>to</w:t>
      </w:r>
      <w:r w:rsidRPr="00AE758F">
        <w:t xml:space="preserve"> allow </w:t>
      </w:r>
      <w:r w:rsidR="00DF5571">
        <w:t xml:space="preserve">licensees to measure </w:t>
      </w:r>
      <w:r w:rsidRPr="00AE758F">
        <w:t>loss of material rates at</w:t>
      </w:r>
      <w:r w:rsidRPr="00AE758F" w:rsidR="00705D19">
        <w:t xml:space="preserve"> </w:t>
      </w:r>
      <w:r w:rsidR="00C96273">
        <w:t>up to</w:t>
      </w:r>
      <w:r w:rsidR="00B92A95">
        <w:t xml:space="preserve"> two </w:t>
      </w:r>
      <w:r w:rsidRPr="00AE758F" w:rsidR="0007274A">
        <w:t>different</w:t>
      </w:r>
      <w:r w:rsidRPr="00AE758F">
        <w:t xml:space="preserve"> location</w:t>
      </w:r>
      <w:r w:rsidRPr="00AE758F" w:rsidR="00705D19">
        <w:t xml:space="preserve">s </w:t>
      </w:r>
      <w:r w:rsidRPr="00AE758F">
        <w:t>with similar corrosion conditions, similar flow characteristics</w:t>
      </w:r>
      <w:r w:rsidRPr="00AE758F" w:rsidR="007A78A7">
        <w:t>,</w:t>
      </w:r>
      <w:r w:rsidRPr="00AE758F">
        <w:t xml:space="preserve"> and the same piping configuration </w:t>
      </w:r>
      <w:bookmarkEnd w:id="213"/>
      <w:r w:rsidRPr="00AE758F">
        <w:t>(e.g.,</w:t>
      </w:r>
      <w:r w:rsidRPr="00AE758F" w:rsidR="007A78A7">
        <w:t> </w:t>
      </w:r>
      <w:r w:rsidRPr="00AE758F">
        <w:t>straight run of pipe, elbow, tee).</w:t>
      </w:r>
      <w:r w:rsidRPr="00AE758F" w:rsidR="002B2E8F">
        <w:t xml:space="preserve">  </w:t>
      </w:r>
      <w:bookmarkEnd w:id="215"/>
      <w:r w:rsidRPr="00AE758F" w:rsidR="002B2E8F">
        <w:t xml:space="preserve">Allowing </w:t>
      </w:r>
      <w:r w:rsidR="00B92A95">
        <w:t xml:space="preserve">the use of </w:t>
      </w:r>
      <w:r w:rsidRPr="00AE758F" w:rsidR="002B2E8F">
        <w:t>equivalent location</w:t>
      </w:r>
      <w:r w:rsidRPr="00AE758F" w:rsidR="00705D19">
        <w:t>s</w:t>
      </w:r>
      <w:r w:rsidRPr="00AE758F" w:rsidR="002B2E8F">
        <w:t xml:space="preserve"> provides flexibility and reduces </w:t>
      </w:r>
      <w:r w:rsidR="00A32E4A">
        <w:t>cost</w:t>
      </w:r>
      <w:r w:rsidRPr="00AE758F" w:rsidR="002B2E8F">
        <w:t xml:space="preserve"> to licensees.  The staff estimates </w:t>
      </w:r>
      <w:r w:rsidRPr="00AE758F" w:rsidR="007A78A7">
        <w:t>that eight</w:t>
      </w:r>
      <w:r w:rsidRPr="00AE758F" w:rsidR="00326E9C">
        <w:t> </w:t>
      </w:r>
      <w:r w:rsidRPr="00AE758F" w:rsidR="007A78A7">
        <w:t xml:space="preserve">power plants would </w:t>
      </w:r>
      <w:r w:rsidRPr="00AE758F" w:rsidR="00A10A9D">
        <w:t xml:space="preserve">likely </w:t>
      </w:r>
      <w:r w:rsidRPr="00AE758F" w:rsidR="007A78A7">
        <w:t xml:space="preserve">use </w:t>
      </w:r>
      <w:r w:rsidRPr="00AE758F" w:rsidR="002B2E8F">
        <w:t>this provision each year</w:t>
      </w:r>
      <w:r w:rsidRPr="00AE758F" w:rsidR="00326E9C">
        <w:t>,</w:t>
      </w:r>
      <w:r w:rsidRPr="00AE758F" w:rsidR="0090780C">
        <w:t xml:space="preserve"> </w:t>
      </w:r>
      <w:r w:rsidR="00DF5571">
        <w:t xml:space="preserve">and that the provision would save </w:t>
      </w:r>
      <w:r w:rsidRPr="00AE758F" w:rsidR="0090780C">
        <w:t xml:space="preserve">each </w:t>
      </w:r>
      <w:r w:rsidR="00DE3E60">
        <w:t xml:space="preserve">of these </w:t>
      </w:r>
      <w:r w:rsidRPr="00AE758F" w:rsidR="0090780C">
        <w:t>power plant</w:t>
      </w:r>
      <w:r w:rsidR="00DE3E60">
        <w:t>s</w:t>
      </w:r>
      <w:r w:rsidRPr="00AE758F" w:rsidR="0090780C">
        <w:t xml:space="preserve"> </w:t>
      </w:r>
      <w:r w:rsidRPr="00AE758F" w:rsidR="001D6112">
        <w:t>1</w:t>
      </w:r>
      <w:r w:rsidRPr="00AE758F" w:rsidR="003B21AE">
        <w:t>8</w:t>
      </w:r>
      <w:r w:rsidRPr="00AE758F" w:rsidR="002B2E8F">
        <w:t>0</w:t>
      </w:r>
      <w:r w:rsidRPr="00AE758F" w:rsidR="00326E9C">
        <w:t> </w:t>
      </w:r>
      <w:r w:rsidRPr="00AE758F" w:rsidR="001A6C7D">
        <w:t>hours of labor</w:t>
      </w:r>
      <w:r w:rsidRPr="00AE758F" w:rsidR="0007274A">
        <w:t xml:space="preserve">. </w:t>
      </w:r>
      <w:r w:rsidRPr="00AE758F" w:rsidR="00326E9C">
        <w:t xml:space="preserve"> </w:t>
      </w:r>
      <w:r w:rsidRPr="00AE758F" w:rsidR="00070636">
        <w:fldChar w:fldCharType="begin"/>
      </w:r>
      <w:r w:rsidRPr="00AE758F" w:rsidR="00070636">
        <w:instrText xml:space="preserve"> REF _Ref45195928 \h  \* MERGEFORMAT </w:instrText>
      </w:r>
      <w:r w:rsidRPr="00AE758F" w:rsidR="00070636">
        <w:fldChar w:fldCharType="separate"/>
      </w:r>
      <w:r w:rsidRPr="006A41A8" w:rsidR="006A41A8">
        <w:t>Table</w:t>
      </w:r>
      <w:r w:rsidR="00DF5571">
        <w:t> </w:t>
      </w:r>
      <w:r w:rsidRPr="006A41A8" w:rsidR="006A41A8">
        <w:rPr>
          <w:noProof/>
        </w:rPr>
        <w:t>5</w:t>
      </w:r>
      <w:r w:rsidRPr="00AE758F" w:rsidR="00070636">
        <w:fldChar w:fldCharType="end"/>
      </w:r>
      <w:r w:rsidRPr="00AE758F" w:rsidR="00B71E32">
        <w:t xml:space="preserve"> delineates the estimated avert</w:t>
      </w:r>
      <w:r w:rsidRPr="00AE758F" w:rsidR="003F0EB7">
        <w:t>ed</w:t>
      </w:r>
      <w:r w:rsidRPr="00AE758F" w:rsidR="00B71E32">
        <w:t xml:space="preserve"> costs </w:t>
      </w:r>
      <w:r w:rsidR="00DF5571">
        <w:t>for</w:t>
      </w:r>
      <w:r w:rsidRPr="00AE758F" w:rsidR="00DF5571">
        <w:t xml:space="preserve"> </w:t>
      </w:r>
      <w:r w:rsidRPr="00AE758F" w:rsidR="00CC6BC3">
        <w:t xml:space="preserve">licensees </w:t>
      </w:r>
      <w:r w:rsidRPr="00AE758F" w:rsidR="00B71E32">
        <w:t xml:space="preserve">each year if </w:t>
      </w:r>
      <w:r w:rsidRPr="00AE758F" w:rsidR="00326E9C">
        <w:t xml:space="preserve">the NRC granted </w:t>
      </w:r>
      <w:r w:rsidRPr="00AE758F" w:rsidR="00B71E32">
        <w:t>this alternative to 10</w:t>
      </w:r>
      <w:r w:rsidRPr="00AE758F" w:rsidR="00326E9C">
        <w:t> </w:t>
      </w:r>
      <w:r w:rsidRPr="00AE758F" w:rsidR="00B71E32">
        <w:t>CFR</w:t>
      </w:r>
      <w:r w:rsidRPr="00AE758F" w:rsidR="00326E9C">
        <w:t> </w:t>
      </w:r>
      <w:r w:rsidRPr="00AE758F" w:rsidR="00B71E32">
        <w:t>50.55a(b)(2)(xxv)(B).</w:t>
      </w:r>
      <w:r w:rsidR="00B975BB">
        <w:t xml:space="preserve">  </w:t>
      </w:r>
      <w:r w:rsidRPr="00AE758F" w:rsidR="00B975BB">
        <w:t>The NRC estimates that</w:t>
      </w:r>
      <w:r w:rsidR="0047544D">
        <w:t>, under Alternative 2,</w:t>
      </w:r>
      <w:r w:rsidRPr="00AE758F" w:rsidR="00B975BB">
        <w:t xml:space="preserve"> the </w:t>
      </w:r>
      <w:r w:rsidR="0047544D">
        <w:t xml:space="preserve">option to use different measurement locations would result in </w:t>
      </w:r>
      <w:r w:rsidRPr="00AE758F" w:rsidR="00B975BB">
        <w:t xml:space="preserve">averted costs for the </w:t>
      </w:r>
      <w:r w:rsidR="0047544D">
        <w:t xml:space="preserve">industry of between </w:t>
      </w:r>
      <w:r w:rsidRPr="00AE758F" w:rsidR="00B975BB">
        <w:t>$</w:t>
      </w:r>
      <w:r w:rsidR="00E42C11">
        <w:t xml:space="preserve">520,000 </w:t>
      </w:r>
      <w:r w:rsidRPr="00AE758F" w:rsidR="00B975BB">
        <w:t>(7</w:t>
      </w:r>
      <w:r w:rsidRPr="00AE758F" w:rsidR="00B975BB">
        <w:noBreakHyphen/>
        <w:t xml:space="preserve">percent NPV) </w:t>
      </w:r>
      <w:r w:rsidR="0047544D">
        <w:t xml:space="preserve">and </w:t>
      </w:r>
      <w:r w:rsidRPr="00AE758F" w:rsidR="00B975BB">
        <w:t>$</w:t>
      </w:r>
      <w:r w:rsidR="00E42C11">
        <w:t>560,000</w:t>
      </w:r>
      <w:r w:rsidRPr="00AE758F" w:rsidR="00B975BB">
        <w:t xml:space="preserve"> (3</w:t>
      </w:r>
      <w:r w:rsidRPr="00AE758F" w:rsidR="00B975BB">
        <w:noBreakHyphen/>
        <w:t>percent NPV).</w:t>
      </w:r>
    </w:p>
    <w:p w:rsidRPr="00AE758F" w:rsidR="00872E76" w:rsidP="007936BF" w:rsidRDefault="00872E76" w14:paraId="4E3D1284" w14:textId="77777777">
      <w:pPr>
        <w:spacing w:line="240" w:lineRule="auto"/>
      </w:pPr>
    </w:p>
    <w:p w:rsidRPr="00AE758F" w:rsidR="0065578D" w:rsidP="00382B4A" w:rsidRDefault="0065578D" w14:paraId="43837A8D" w14:textId="170E73E5">
      <w:pPr>
        <w:pStyle w:val="Caption"/>
        <w:spacing w:line="240" w:lineRule="auto"/>
        <w:ind w:left="1080" w:hanging="1080"/>
        <w:jc w:val="center"/>
        <w:rPr>
          <w:b/>
          <w:bCs w:val="0"/>
        </w:rPr>
      </w:pPr>
      <w:bookmarkStart w:name="_Ref45195928" w:id="216"/>
      <w:bookmarkStart w:name="_Toc81309681" w:id="217"/>
      <w:bookmarkStart w:name="_Hlk45196110" w:id="218"/>
      <w:r w:rsidRPr="00AE758F">
        <w:rPr>
          <w:b/>
          <w:bCs w:val="0"/>
        </w:rPr>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5</w:t>
      </w:r>
      <w:r w:rsidRPr="00AE758F">
        <w:rPr>
          <w:b/>
          <w:bCs w:val="0"/>
          <w:noProof/>
        </w:rPr>
        <w:fldChar w:fldCharType="end"/>
      </w:r>
      <w:bookmarkEnd w:id="216"/>
      <w:r w:rsidRPr="00AE758F" w:rsidR="00326E9C">
        <w:rPr>
          <w:b/>
          <w:bCs w:val="0"/>
        </w:rPr>
        <w:t xml:space="preserve">  </w:t>
      </w:r>
      <w:r w:rsidRPr="00AE758F">
        <w:rPr>
          <w:b/>
          <w:bCs w:val="0"/>
        </w:rPr>
        <w:t xml:space="preserve">Industry Operation—Averted Costs for </w:t>
      </w:r>
      <w:r w:rsidR="00B975BB">
        <w:rPr>
          <w:b/>
          <w:bCs w:val="0"/>
        </w:rPr>
        <w:t>Alternative Measurement Locations</w:t>
      </w:r>
      <w:bookmarkEnd w:id="217"/>
    </w:p>
    <w:bookmarkEnd w:id="218"/>
    <w:p w:rsidR="00872E76" w:rsidP="007936BF" w:rsidRDefault="00E42C11" w14:paraId="67F84503" w14:textId="1D2A8B4C">
      <w:pPr>
        <w:spacing w:line="240" w:lineRule="auto"/>
      </w:pPr>
      <w:r w:rsidRPr="00E42C11">
        <w:rPr>
          <w:noProof/>
        </w:rPr>
        <w:drawing>
          <wp:inline distT="0" distB="0" distL="0" distR="0" wp14:anchorId="3451CB5A" wp14:editId="09EE7C7D">
            <wp:extent cx="5943600" cy="18751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875155"/>
                    </a:xfrm>
                    <a:prstGeom prst="rect">
                      <a:avLst/>
                    </a:prstGeom>
                    <a:noFill/>
                    <a:ln>
                      <a:noFill/>
                    </a:ln>
                  </pic:spPr>
                </pic:pic>
              </a:graphicData>
            </a:graphic>
          </wp:inline>
        </w:drawing>
      </w:r>
    </w:p>
    <w:p w:rsidRPr="00AE758F" w:rsidR="00E42C11" w:rsidP="007936BF" w:rsidRDefault="00E42C11" w14:paraId="042EABD1" w14:textId="77777777">
      <w:pPr>
        <w:spacing w:line="240" w:lineRule="auto"/>
      </w:pPr>
    </w:p>
    <w:p w:rsidRPr="00AE758F" w:rsidR="008A5F40" w:rsidP="008A5F40" w:rsidRDefault="008A5F40" w14:paraId="6F6D4CD9" w14:textId="5E8D756C">
      <w:pPr>
        <w:spacing w:line="240" w:lineRule="auto"/>
      </w:pPr>
      <w:r w:rsidRPr="008740F6">
        <w:t xml:space="preserve">The NRC </w:t>
      </w:r>
      <w:r w:rsidR="00BC0451">
        <w:t>is</w:t>
      </w:r>
      <w:r w:rsidRPr="008740F6">
        <w:t xml:space="preserve"> modify</w:t>
      </w:r>
      <w:r w:rsidR="00BC0451">
        <w:t>ing</w:t>
      </w:r>
      <w:r w:rsidRPr="008740F6">
        <w:t xml:space="preserve"> 10 CFR 50.55a(b)(3)(xi)</w:t>
      </w:r>
      <w:r w:rsidR="00954A5C">
        <w:t>, including a statement that it is acceptable for licensees to use ASME OM Code Case OMN-28, which is being incorporated by reference in 10</w:t>
      </w:r>
      <w:r w:rsidR="00121C2D">
        <w:t> </w:t>
      </w:r>
      <w:r w:rsidR="00954A5C">
        <w:t>CFR 50.55a(a)(1)(iii)</w:t>
      </w:r>
      <w:r w:rsidRPr="008740F6">
        <w:t>.</w:t>
      </w:r>
      <w:r w:rsidRPr="008740F6" w:rsidR="001678D7">
        <w:t xml:space="preserve"> </w:t>
      </w:r>
      <w:r w:rsidRPr="008740F6">
        <w:t xml:space="preserve"> </w:t>
      </w:r>
      <w:r w:rsidR="001552FB">
        <w:t xml:space="preserve">The ASME OM Code Case OMN-28 provides a structured approach for testing valves that have a stem-disk connection that is not susceptible to separation and allows up to 12 years as the maximum interval for valve position verification testing.  Therefore, </w:t>
      </w:r>
      <w:r w:rsidR="001552FB">
        <w:lastRenderedPageBreak/>
        <w:t>u</w:t>
      </w:r>
      <w:r w:rsidRPr="008740F6">
        <w:t>nder this modification</w:t>
      </w:r>
      <w:r w:rsidRPr="008740F6" w:rsidR="00366596">
        <w:t>,</w:t>
      </w:r>
      <w:r w:rsidRPr="008740F6">
        <w:t xml:space="preserve"> if </w:t>
      </w:r>
      <w:r w:rsidRPr="008740F6" w:rsidR="008B20F7">
        <w:t xml:space="preserve">a valve is </w:t>
      </w:r>
      <w:r w:rsidRPr="008740F6">
        <w:t xml:space="preserve">determined not to be susceptible to stem-disk separation, the position verification testing specified in paragraph ISTC-3700 may be performed </w:t>
      </w:r>
      <w:r w:rsidR="00FD0FA5">
        <w:t xml:space="preserve">at </w:t>
      </w:r>
      <w:r w:rsidRPr="008740F6">
        <w:t>1</w:t>
      </w:r>
      <w:r w:rsidR="009574D2">
        <w:t>2</w:t>
      </w:r>
      <w:r w:rsidR="00D377FC">
        <w:noBreakHyphen/>
      </w:r>
      <w:r w:rsidRPr="008740F6">
        <w:t>year interval</w:t>
      </w:r>
      <w:r w:rsidR="00FD0FA5">
        <w:t>s</w:t>
      </w:r>
      <w:r w:rsidRPr="008740F6" w:rsidR="00B42228">
        <w:t xml:space="preserve"> </w:t>
      </w:r>
      <w:r w:rsidR="00FD0FA5">
        <w:t xml:space="preserve">rather than at </w:t>
      </w:r>
      <w:r w:rsidRPr="008740F6" w:rsidR="00B42228">
        <w:t>2-year interval</w:t>
      </w:r>
      <w:r w:rsidR="00FD0FA5">
        <w:t>s</w:t>
      </w:r>
      <w:r w:rsidRPr="008740F6">
        <w:t xml:space="preserve">.  </w:t>
      </w:r>
      <w:r w:rsidR="00271D0A">
        <w:t>T</w:t>
      </w:r>
      <w:r w:rsidRPr="008740F6">
        <w:t xml:space="preserve">o take this benefit, </w:t>
      </w:r>
      <w:r w:rsidR="00271D0A">
        <w:t xml:space="preserve">the licensee </w:t>
      </w:r>
      <w:r w:rsidRPr="008740F6">
        <w:t xml:space="preserve">must </w:t>
      </w:r>
      <w:r w:rsidR="002D2BEC">
        <w:t>have</w:t>
      </w:r>
      <w:r w:rsidRPr="008740F6">
        <w:t xml:space="preserve"> </w:t>
      </w:r>
      <w:r w:rsidR="00271D0A">
        <w:t xml:space="preserve">documentation </w:t>
      </w:r>
      <w:r w:rsidR="002D2BEC">
        <w:t>on-site</w:t>
      </w:r>
      <w:r w:rsidRPr="008740F6">
        <w:t xml:space="preserve"> demonstrating that the stem-disk connection is not susceptible to separation</w:t>
      </w:r>
      <w:r w:rsidR="004B05C7">
        <w:t>,</w:t>
      </w:r>
      <w:r w:rsidRPr="008740F6">
        <w:t xml:space="preserve"> based on the internal design and evaluation of the stem-disk connection and </w:t>
      </w:r>
      <w:r w:rsidR="004B05C7">
        <w:t xml:space="preserve">on </w:t>
      </w:r>
      <w:r w:rsidRPr="008740F6">
        <w:t>vendor recommendations.</w:t>
      </w:r>
      <w:r w:rsidRPr="008740F6" w:rsidR="00B42228">
        <w:t xml:space="preserve"> </w:t>
      </w:r>
      <w:r w:rsidRPr="008740F6" w:rsidR="0006748D">
        <w:t xml:space="preserve"> </w:t>
      </w:r>
      <w:r w:rsidR="004449E6">
        <w:t>Licensees would perform</w:t>
      </w:r>
      <w:r w:rsidRPr="008740F6" w:rsidR="00B42228">
        <w:t xml:space="preserve"> additional effort </w:t>
      </w:r>
      <w:r w:rsidRPr="008740F6" w:rsidR="00377028">
        <w:t xml:space="preserve">and </w:t>
      </w:r>
      <w:r w:rsidR="001327F4">
        <w:t xml:space="preserve">incur </w:t>
      </w:r>
      <w:r w:rsidRPr="008740F6" w:rsidR="00377028">
        <w:t xml:space="preserve">costs </w:t>
      </w:r>
      <w:r w:rsidRPr="008740F6" w:rsidR="00B42228">
        <w:t xml:space="preserve">to collect </w:t>
      </w:r>
      <w:r w:rsidR="003832ED">
        <w:t xml:space="preserve">the necessary </w:t>
      </w:r>
      <w:r w:rsidRPr="008740F6" w:rsidR="00B42228">
        <w:t xml:space="preserve">data and </w:t>
      </w:r>
      <w:r w:rsidR="003832ED">
        <w:t>prepare such documentation</w:t>
      </w:r>
      <w:r w:rsidRPr="008740F6" w:rsidR="00B42228">
        <w:t xml:space="preserve">. </w:t>
      </w:r>
      <w:r w:rsidRPr="008740F6" w:rsidR="00366596">
        <w:t xml:space="preserve"> If the licensee </w:t>
      </w:r>
      <w:r w:rsidR="00F933C3">
        <w:t>can</w:t>
      </w:r>
      <w:r w:rsidRPr="008740F6" w:rsidR="00F933C3">
        <w:t xml:space="preserve"> </w:t>
      </w:r>
      <w:r w:rsidR="006C43F1">
        <w:t xml:space="preserve">demonstrate </w:t>
      </w:r>
      <w:r w:rsidRPr="008740F6" w:rsidR="00366596">
        <w:t xml:space="preserve">that the </w:t>
      </w:r>
      <w:r w:rsidR="006C43F1">
        <w:t xml:space="preserve">valve </w:t>
      </w:r>
      <w:r w:rsidRPr="008740F6" w:rsidR="00366596">
        <w:t xml:space="preserve">is not susceptible to </w:t>
      </w:r>
      <w:r w:rsidRPr="008740F6" w:rsidR="006C43F1">
        <w:t xml:space="preserve">stem-disk connection </w:t>
      </w:r>
      <w:r w:rsidRPr="008740F6" w:rsidR="00366596">
        <w:t xml:space="preserve">separation, </w:t>
      </w:r>
      <w:r w:rsidR="006C43F1">
        <w:t xml:space="preserve">then </w:t>
      </w:r>
      <w:r w:rsidRPr="008740F6" w:rsidR="00B42228">
        <w:t xml:space="preserve">the licensee will not have to perform another </w:t>
      </w:r>
      <w:r w:rsidRPr="008740F6" w:rsidR="006C43F1">
        <w:t>ISTC</w:t>
      </w:r>
      <w:r w:rsidR="00F933C3">
        <w:noBreakHyphen/>
      </w:r>
      <w:r w:rsidRPr="008740F6" w:rsidR="006C43F1">
        <w:t xml:space="preserve">3700 </w:t>
      </w:r>
      <w:r w:rsidRPr="008740F6" w:rsidR="00B42228">
        <w:t xml:space="preserve">test </w:t>
      </w:r>
      <w:r w:rsidRPr="008740F6" w:rsidR="008B20F7">
        <w:t>for</w:t>
      </w:r>
      <w:r w:rsidRPr="008740F6" w:rsidR="00366596">
        <w:t xml:space="preserve"> this valve </w:t>
      </w:r>
      <w:r w:rsidR="006C43F1">
        <w:t xml:space="preserve">for </w:t>
      </w:r>
      <w:r w:rsidRPr="008740F6" w:rsidR="00B42228">
        <w:t>1</w:t>
      </w:r>
      <w:r w:rsidR="00122A75">
        <w:t>2</w:t>
      </w:r>
      <w:r w:rsidRPr="008740F6" w:rsidR="00B42228">
        <w:t xml:space="preserve"> year</w:t>
      </w:r>
      <w:r w:rsidRPr="008740F6" w:rsidR="00366596">
        <w:t>s</w:t>
      </w:r>
      <w:r w:rsidRPr="008740F6" w:rsidR="00B42228">
        <w:t xml:space="preserve">. </w:t>
      </w:r>
      <w:r w:rsidRPr="008740F6" w:rsidR="0006748D">
        <w:t xml:space="preserve"> </w:t>
      </w:r>
      <w:r w:rsidR="006C43F1">
        <w:t xml:space="preserve">Thus, </w:t>
      </w:r>
      <w:r w:rsidRPr="008740F6" w:rsidR="00DC2AF9">
        <w:t xml:space="preserve">the licensee </w:t>
      </w:r>
      <w:r w:rsidR="006C43F1">
        <w:t xml:space="preserve">will save the costs of </w:t>
      </w:r>
      <w:r w:rsidRPr="008740F6" w:rsidR="00DC2AF9">
        <w:t>testing</w:t>
      </w:r>
      <w:r w:rsidRPr="008740F6" w:rsidR="00366596">
        <w:t xml:space="preserve"> the</w:t>
      </w:r>
      <w:r w:rsidRPr="008740F6" w:rsidR="00DC2AF9">
        <w:t xml:space="preserve"> valve </w:t>
      </w:r>
      <w:r w:rsidRPr="008740F6" w:rsidR="00366596">
        <w:t xml:space="preserve">under ISTC-3700 </w:t>
      </w:r>
      <w:r w:rsidRPr="008740F6" w:rsidR="00DC2AF9">
        <w:t>every</w:t>
      </w:r>
      <w:r w:rsidRPr="008740F6" w:rsidR="00B42228">
        <w:t xml:space="preserve"> </w:t>
      </w:r>
      <w:r w:rsidRPr="008740F6" w:rsidR="00DC2AF9">
        <w:t>2 years</w:t>
      </w:r>
      <w:r w:rsidR="002A06C1">
        <w:t xml:space="preserve"> (twice over the analysis horizon for this final rule)</w:t>
      </w:r>
      <w:r w:rsidRPr="008740F6" w:rsidR="00DC2AF9">
        <w:t>.</w:t>
      </w:r>
    </w:p>
    <w:p w:rsidRPr="00AE758F" w:rsidR="00F54A10" w:rsidP="008A5F40" w:rsidRDefault="00F54A10" w14:paraId="1EF031B4" w14:textId="70786FC3">
      <w:pPr>
        <w:spacing w:line="240" w:lineRule="auto"/>
      </w:pPr>
    </w:p>
    <w:p w:rsidRPr="00AE758F" w:rsidR="00C96870" w:rsidP="008A5F40" w:rsidRDefault="00BE35EF" w14:paraId="576478C9" w14:textId="0A047210">
      <w:pPr>
        <w:spacing w:line="240" w:lineRule="auto"/>
      </w:pPr>
      <w:r w:rsidRPr="008740F6">
        <w:t xml:space="preserve">Table 6 shows the additional cost for licensees to collect data and documents to </w:t>
      </w:r>
      <w:r w:rsidR="00EC0F7B">
        <w:t xml:space="preserve">show </w:t>
      </w:r>
      <w:r w:rsidRPr="008740F6">
        <w:t xml:space="preserve">that a </w:t>
      </w:r>
      <w:bookmarkStart w:name="_Hlk45208988" w:id="219"/>
      <w:r w:rsidRPr="008740F6">
        <w:t xml:space="preserve">stem-disk connection is not susceptible to separation for </w:t>
      </w:r>
      <w:r w:rsidRPr="008740F6" w:rsidR="006617E7">
        <w:t xml:space="preserve">the </w:t>
      </w:r>
      <w:r w:rsidRPr="008740F6">
        <w:t xml:space="preserve">valves </w:t>
      </w:r>
      <w:bookmarkEnd w:id="219"/>
      <w:r w:rsidRPr="008740F6" w:rsidR="006617E7">
        <w:t xml:space="preserve">in a reactor unit </w:t>
      </w:r>
      <w:r w:rsidRPr="008740F6">
        <w:t xml:space="preserve">subject to ISTC-3700 testing.  Table 7 shows the </w:t>
      </w:r>
      <w:r w:rsidR="00EC0F7B">
        <w:t xml:space="preserve">amounts </w:t>
      </w:r>
      <w:r w:rsidRPr="008740F6">
        <w:t xml:space="preserve">licensees would </w:t>
      </w:r>
      <w:r w:rsidR="00EC0F7B">
        <w:t xml:space="preserve">save by testing </w:t>
      </w:r>
      <w:r w:rsidRPr="008740F6">
        <w:t>the valves once every 1</w:t>
      </w:r>
      <w:r w:rsidR="00BD09A8">
        <w:t>2</w:t>
      </w:r>
      <w:r w:rsidRPr="008740F6">
        <w:t xml:space="preserve"> years</w:t>
      </w:r>
      <w:r w:rsidR="00EC0F7B">
        <w:t xml:space="preserve"> instead of every 2 years</w:t>
      </w:r>
      <w:r w:rsidRPr="008740F6">
        <w:t>.</w:t>
      </w:r>
      <w:r w:rsidRPr="008740F6" w:rsidR="0054136F">
        <w:t xml:space="preserve"> </w:t>
      </w:r>
      <w:r w:rsidRPr="008740F6">
        <w:t xml:space="preserve"> </w:t>
      </w:r>
      <w:r w:rsidR="00731055">
        <w:t>The staff</w:t>
      </w:r>
      <w:r w:rsidRPr="008740F6">
        <w:t xml:space="preserve"> assume</w:t>
      </w:r>
      <w:r w:rsidR="00731055">
        <w:t>s</w:t>
      </w:r>
      <w:r w:rsidRPr="008740F6">
        <w:t xml:space="preserve"> that </w:t>
      </w:r>
      <w:r w:rsidR="00731055">
        <w:t>under</w:t>
      </w:r>
      <w:r w:rsidR="00110B08">
        <w:t xml:space="preserve"> </w:t>
      </w:r>
      <w:r w:rsidR="000955B5">
        <w:t>this final rule</w:t>
      </w:r>
      <w:r w:rsidRPr="008740F6">
        <w:t xml:space="preserve">, licensees would </w:t>
      </w:r>
      <w:r w:rsidRPr="008740F6" w:rsidR="00110B08">
        <w:t xml:space="preserve">already </w:t>
      </w:r>
      <w:r w:rsidRPr="008740F6">
        <w:t>have completed testing of these valves under ISTC-3700</w:t>
      </w:r>
      <w:r w:rsidR="00110B08">
        <w:t>,</w:t>
      </w:r>
      <w:r w:rsidRPr="00AE758F">
        <w:t xml:space="preserve"> </w:t>
      </w:r>
      <w:r w:rsidRPr="008740F6">
        <w:t xml:space="preserve">so that they would not </w:t>
      </w:r>
      <w:r w:rsidRPr="008740F6" w:rsidR="006617E7">
        <w:t xml:space="preserve">need to </w:t>
      </w:r>
      <w:r w:rsidRPr="008740F6">
        <w:t xml:space="preserve">test the valves again </w:t>
      </w:r>
      <w:r w:rsidR="006D159A">
        <w:t xml:space="preserve">for another </w:t>
      </w:r>
      <w:r w:rsidRPr="008740F6">
        <w:t>1</w:t>
      </w:r>
      <w:r w:rsidR="00BD09A8">
        <w:t>2</w:t>
      </w:r>
      <w:r w:rsidRPr="008740F6">
        <w:t xml:space="preserve"> years.</w:t>
      </w:r>
      <w:r w:rsidR="004C516C">
        <w:t xml:space="preserve">  </w:t>
      </w:r>
      <w:r w:rsidRPr="00AE758F" w:rsidR="004C516C">
        <w:t xml:space="preserve">The NRC estimates that </w:t>
      </w:r>
      <w:r w:rsidR="00B619B8">
        <w:t xml:space="preserve">these changes under Alternative 2 will result in </w:t>
      </w:r>
      <w:r w:rsidR="004C516C">
        <w:t xml:space="preserve">net </w:t>
      </w:r>
      <w:r w:rsidRPr="00AE758F" w:rsidR="004C516C">
        <w:t xml:space="preserve">averted costs </w:t>
      </w:r>
      <w:r w:rsidR="00B619B8">
        <w:t xml:space="preserve">for licensees of between </w:t>
      </w:r>
      <w:r w:rsidRPr="00AE758F" w:rsidR="004C516C">
        <w:t>$</w:t>
      </w:r>
      <w:r w:rsidR="0043492B">
        <w:t>3.32</w:t>
      </w:r>
      <w:r w:rsidR="00B619B8">
        <w:t> </w:t>
      </w:r>
      <w:r w:rsidR="0043492B">
        <w:t>million</w:t>
      </w:r>
      <w:r w:rsidR="004C516C">
        <w:t xml:space="preserve"> </w:t>
      </w:r>
      <w:r w:rsidRPr="00AE758F" w:rsidR="004C516C">
        <w:t>(7</w:t>
      </w:r>
      <w:r w:rsidRPr="00AE758F" w:rsidR="004C516C">
        <w:noBreakHyphen/>
        <w:t xml:space="preserve">percent NPV) </w:t>
      </w:r>
      <w:r w:rsidR="00B619B8">
        <w:t xml:space="preserve">and </w:t>
      </w:r>
      <w:r w:rsidRPr="00AE758F" w:rsidR="004C516C">
        <w:t>$</w:t>
      </w:r>
      <w:r w:rsidR="00C40C37">
        <w:t>3.58 million</w:t>
      </w:r>
      <w:r w:rsidRPr="00AE758F" w:rsidR="004C516C">
        <w:t xml:space="preserve"> (3</w:t>
      </w:r>
      <w:r w:rsidRPr="00AE758F" w:rsidR="004C516C">
        <w:noBreakHyphen/>
        <w:t>percent NPV).</w:t>
      </w:r>
      <w:r w:rsidR="00597988">
        <w:t xml:space="preserve">  Because there may be a radiation field near some of these valves that would subject testing personnel to dose, there are also additional minor averted costs due to avoiding this dose that were not quantified.</w:t>
      </w:r>
    </w:p>
    <w:p w:rsidRPr="00AE758F" w:rsidR="00BE35EF" w:rsidP="008A5F40" w:rsidRDefault="00BE35EF" w14:paraId="3203FB0B" w14:textId="77777777">
      <w:pPr>
        <w:spacing w:line="240" w:lineRule="auto"/>
      </w:pPr>
    </w:p>
    <w:p w:rsidRPr="00AE758F" w:rsidR="00377028" w:rsidP="00377028" w:rsidRDefault="00377028" w14:paraId="49F2B23D" w14:textId="4B098AC4">
      <w:pPr>
        <w:pStyle w:val="Caption"/>
        <w:spacing w:line="240" w:lineRule="auto"/>
        <w:ind w:left="1080" w:hanging="1080"/>
        <w:jc w:val="center"/>
        <w:rPr>
          <w:b/>
          <w:bCs w:val="0"/>
        </w:rPr>
      </w:pPr>
      <w:bookmarkStart w:name="_Toc81309682" w:id="220"/>
      <w:bookmarkStart w:name="_Hlk45196830" w:id="221"/>
      <w:r w:rsidRPr="008740F6">
        <w:rPr>
          <w:b/>
          <w:bCs w:val="0"/>
        </w:rPr>
        <w:t xml:space="preserve">Table </w:t>
      </w:r>
      <w:r w:rsidRPr="008740F6">
        <w:rPr>
          <w:b/>
          <w:bCs w:val="0"/>
          <w:noProof/>
        </w:rPr>
        <w:fldChar w:fldCharType="begin"/>
      </w:r>
      <w:r w:rsidRPr="008740F6">
        <w:rPr>
          <w:b/>
          <w:bCs w:val="0"/>
          <w:noProof/>
        </w:rPr>
        <w:instrText xml:space="preserve"> SEQ Table \* ARABIC </w:instrText>
      </w:r>
      <w:r w:rsidRPr="008740F6">
        <w:rPr>
          <w:b/>
          <w:bCs w:val="0"/>
          <w:noProof/>
        </w:rPr>
        <w:fldChar w:fldCharType="separate"/>
      </w:r>
      <w:r w:rsidR="006A41A8">
        <w:rPr>
          <w:b/>
          <w:bCs w:val="0"/>
          <w:noProof/>
        </w:rPr>
        <w:t>6</w:t>
      </w:r>
      <w:r w:rsidRPr="008740F6">
        <w:rPr>
          <w:b/>
          <w:bCs w:val="0"/>
          <w:noProof/>
        </w:rPr>
        <w:fldChar w:fldCharType="end"/>
      </w:r>
      <w:r w:rsidRPr="008740F6">
        <w:rPr>
          <w:b/>
          <w:bCs w:val="0"/>
        </w:rPr>
        <w:t xml:space="preserve">  Industry Operation—Additional Costs </w:t>
      </w:r>
      <w:r w:rsidR="001E70A7">
        <w:rPr>
          <w:b/>
          <w:bCs w:val="0"/>
        </w:rPr>
        <w:t>t</w:t>
      </w:r>
      <w:r w:rsidRPr="008740F6">
        <w:rPr>
          <w:b/>
          <w:bCs w:val="0"/>
        </w:rPr>
        <w:t>o Justify the Stem-Disk Connection</w:t>
      </w:r>
      <w:bookmarkEnd w:id="220"/>
    </w:p>
    <w:bookmarkEnd w:id="221"/>
    <w:p w:rsidRPr="00AE758F" w:rsidR="00F54A10" w:rsidP="008A5F40" w:rsidRDefault="003633F3" w14:paraId="0C868CEF" w14:textId="24B38F66">
      <w:pPr>
        <w:spacing w:line="240" w:lineRule="auto"/>
      </w:pPr>
      <w:r w:rsidRPr="003633F3">
        <w:rPr>
          <w:noProof/>
        </w:rPr>
        <w:drawing>
          <wp:inline distT="0" distB="0" distL="0" distR="0" wp14:anchorId="5AAEC573" wp14:editId="72993C21">
            <wp:extent cx="5943600" cy="12941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294130"/>
                    </a:xfrm>
                    <a:prstGeom prst="rect">
                      <a:avLst/>
                    </a:prstGeom>
                    <a:noFill/>
                    <a:ln>
                      <a:noFill/>
                    </a:ln>
                  </pic:spPr>
                </pic:pic>
              </a:graphicData>
            </a:graphic>
          </wp:inline>
        </w:drawing>
      </w:r>
    </w:p>
    <w:p w:rsidRPr="00AE758F" w:rsidR="00377028" w:rsidP="008A5F40" w:rsidRDefault="00377028" w14:paraId="704F41C8" w14:textId="77777777">
      <w:pPr>
        <w:spacing w:line="240" w:lineRule="auto"/>
      </w:pPr>
    </w:p>
    <w:p w:rsidRPr="00AE758F" w:rsidR="00377028" w:rsidP="00377028" w:rsidRDefault="00377028" w14:paraId="15A7A4BB" w14:textId="511956E2">
      <w:pPr>
        <w:pStyle w:val="Caption"/>
        <w:spacing w:line="240" w:lineRule="auto"/>
        <w:ind w:left="1080" w:hanging="1080"/>
        <w:jc w:val="center"/>
        <w:rPr>
          <w:b/>
          <w:bCs w:val="0"/>
        </w:rPr>
      </w:pPr>
      <w:bookmarkStart w:name="_Toc81309683" w:id="222"/>
      <w:r w:rsidRPr="008740F6">
        <w:rPr>
          <w:b/>
          <w:bCs w:val="0"/>
        </w:rPr>
        <w:t xml:space="preserve">Table </w:t>
      </w:r>
      <w:r w:rsidRPr="008740F6">
        <w:rPr>
          <w:b/>
          <w:bCs w:val="0"/>
          <w:noProof/>
        </w:rPr>
        <w:fldChar w:fldCharType="begin"/>
      </w:r>
      <w:r w:rsidRPr="008740F6">
        <w:rPr>
          <w:b/>
          <w:bCs w:val="0"/>
          <w:noProof/>
        </w:rPr>
        <w:instrText xml:space="preserve"> SEQ Table \* ARABIC </w:instrText>
      </w:r>
      <w:r w:rsidRPr="008740F6">
        <w:rPr>
          <w:b/>
          <w:bCs w:val="0"/>
          <w:noProof/>
        </w:rPr>
        <w:fldChar w:fldCharType="separate"/>
      </w:r>
      <w:r w:rsidR="006A41A8">
        <w:rPr>
          <w:b/>
          <w:bCs w:val="0"/>
          <w:noProof/>
        </w:rPr>
        <w:t>7</w:t>
      </w:r>
      <w:r w:rsidRPr="008740F6">
        <w:rPr>
          <w:b/>
          <w:bCs w:val="0"/>
          <w:noProof/>
        </w:rPr>
        <w:fldChar w:fldCharType="end"/>
      </w:r>
      <w:r w:rsidRPr="008740F6">
        <w:rPr>
          <w:b/>
          <w:bCs w:val="0"/>
        </w:rPr>
        <w:t xml:space="preserve">  Industry Operation—Averted Costs for </w:t>
      </w:r>
      <w:r w:rsidRPr="008740F6" w:rsidR="00EA5417">
        <w:rPr>
          <w:b/>
          <w:bCs w:val="0"/>
        </w:rPr>
        <w:t xml:space="preserve">Testing Valves </w:t>
      </w:r>
      <w:r w:rsidR="00C41340">
        <w:rPr>
          <w:b/>
          <w:bCs w:val="0"/>
        </w:rPr>
        <w:t>u</w:t>
      </w:r>
      <w:r w:rsidRPr="008740F6" w:rsidR="00EA5417">
        <w:rPr>
          <w:b/>
          <w:bCs w:val="0"/>
        </w:rPr>
        <w:t>nder ISTC-3700</w:t>
      </w:r>
      <w:bookmarkEnd w:id="222"/>
    </w:p>
    <w:p w:rsidRPr="00AE758F" w:rsidR="00495653" w:rsidP="007936BF" w:rsidRDefault="0043492B" w14:paraId="0DCFB123" w14:textId="7ACD83DF">
      <w:pPr>
        <w:spacing w:line="240" w:lineRule="auto"/>
      </w:pPr>
      <w:r w:rsidRPr="0043492B">
        <w:rPr>
          <w:noProof/>
        </w:rPr>
        <w:drawing>
          <wp:inline distT="0" distB="0" distL="0" distR="0" wp14:anchorId="02FA91C1" wp14:editId="3BABE279">
            <wp:extent cx="5943600" cy="1127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127760"/>
                    </a:xfrm>
                    <a:prstGeom prst="rect">
                      <a:avLst/>
                    </a:prstGeom>
                    <a:noFill/>
                    <a:ln>
                      <a:noFill/>
                    </a:ln>
                  </pic:spPr>
                </pic:pic>
              </a:graphicData>
            </a:graphic>
          </wp:inline>
        </w:drawing>
      </w:r>
    </w:p>
    <w:p w:rsidRPr="00AE758F" w:rsidR="00377028" w:rsidP="007936BF" w:rsidRDefault="00377028" w14:paraId="7108FFF9" w14:textId="761CBBB4">
      <w:pPr>
        <w:spacing w:line="240" w:lineRule="auto"/>
      </w:pPr>
    </w:p>
    <w:p w:rsidRPr="00AE758F" w:rsidR="00377028" w:rsidP="007936BF" w:rsidRDefault="00377028" w14:paraId="4759D453" w14:textId="77777777">
      <w:pPr>
        <w:spacing w:line="240" w:lineRule="auto"/>
      </w:pPr>
    </w:p>
    <w:p w:rsidRPr="00AE758F" w:rsidR="00107422" w:rsidP="00382B4A" w:rsidRDefault="00107422" w14:paraId="49EAF9E9" w14:textId="20F5BD7A">
      <w:pPr>
        <w:pStyle w:val="Heading2"/>
        <w:spacing w:line="240" w:lineRule="auto"/>
        <w:ind w:left="450" w:hanging="450"/>
      </w:pPr>
      <w:bookmarkStart w:name="_Toc456098233" w:id="223"/>
      <w:bookmarkStart w:name="_Toc457827246" w:id="224"/>
      <w:bookmarkStart w:name="_Toc521577065" w:id="225"/>
      <w:bookmarkStart w:name="_Toc7512252" w:id="226"/>
      <w:bookmarkStart w:name="_Toc81309123" w:id="227"/>
      <w:bookmarkEnd w:id="211"/>
      <w:r w:rsidRPr="00AE758F">
        <w:t>5.4</w:t>
      </w:r>
      <w:r w:rsidRPr="00AE758F">
        <w:tab/>
        <w:t>Occupational Health (Accident and Routine)</w:t>
      </w:r>
      <w:bookmarkEnd w:id="223"/>
      <w:bookmarkEnd w:id="224"/>
      <w:bookmarkEnd w:id="225"/>
      <w:bookmarkEnd w:id="226"/>
      <w:bookmarkEnd w:id="227"/>
    </w:p>
    <w:p w:rsidRPr="00AE758F" w:rsidR="00107422" w:rsidP="007936BF" w:rsidRDefault="00107422" w14:paraId="5682404D" w14:textId="77777777">
      <w:pPr>
        <w:keepNext/>
        <w:spacing w:line="240" w:lineRule="auto"/>
      </w:pPr>
    </w:p>
    <w:p w:rsidRPr="00AE758F" w:rsidR="00432F66" w:rsidP="007936BF" w:rsidRDefault="00107422" w14:paraId="490E52DA" w14:textId="728804DE">
      <w:pPr>
        <w:spacing w:line="240" w:lineRule="auto"/>
      </w:pPr>
      <w:r w:rsidRPr="00AE758F">
        <w:t xml:space="preserve">The NRC practice of reviewing the latest ASME BPV and OM Code editions </w:t>
      </w:r>
      <w:r w:rsidR="00634802">
        <w:t xml:space="preserve">and </w:t>
      </w:r>
      <w:r w:rsidRPr="00AE758F">
        <w:t>incorporat</w:t>
      </w:r>
      <w:r w:rsidR="00634802">
        <w:t>ing</w:t>
      </w:r>
      <w:r w:rsidRPr="00AE758F">
        <w:t xml:space="preserve"> </w:t>
      </w:r>
      <w:r w:rsidR="00634802">
        <w:t xml:space="preserve">them </w:t>
      </w:r>
      <w:r w:rsidRPr="00AE758F">
        <w:t>by reference into the regulations ensures that the mandated ASME Code requirement results in acceptable quality and safety.  Pursuing Alternative 2 would continue to meet the NRC goal of maintaining safety</w:t>
      </w:r>
      <w:r w:rsidR="00634802">
        <w:t xml:space="preserve"> in this way</w:t>
      </w:r>
      <w:r w:rsidRPr="00AE758F" w:rsidR="00326E9C">
        <w:t>,</w:t>
      </w:r>
      <w:r w:rsidRPr="00AE758F">
        <w:t xml:space="preserve"> as it would provide </w:t>
      </w:r>
      <w:r w:rsidR="00634802">
        <w:t xml:space="preserve">for </w:t>
      </w:r>
      <w:r w:rsidRPr="00AE758F">
        <w:t xml:space="preserve">NRC approval of the latest </w:t>
      </w:r>
      <w:r w:rsidRPr="00AE758F">
        <w:lastRenderedPageBreak/>
        <w:t xml:space="preserve">ASME Code editions.  </w:t>
      </w:r>
      <w:r w:rsidR="00E2662F">
        <w:t>This</w:t>
      </w:r>
      <w:r w:rsidRPr="00AE758F">
        <w:t xml:space="preserve"> may incrementally decrease the likelihood of accident</w:t>
      </w:r>
      <w:r w:rsidR="00634802">
        <w:t>s</w:t>
      </w:r>
      <w:r w:rsidRPr="00AE758F">
        <w:t xml:space="preserve"> resulting in worker </w:t>
      </w:r>
      <w:r w:rsidR="00634802">
        <w:t xml:space="preserve">radiological </w:t>
      </w:r>
      <w:r w:rsidRPr="00AE758F">
        <w:t xml:space="preserve">exposure </w:t>
      </w:r>
      <w:r w:rsidR="00634802">
        <w:t xml:space="preserve">and may decrease </w:t>
      </w:r>
      <w:r w:rsidRPr="00AE758F">
        <w:t>worker exposure during routine inspections or testing</w:t>
      </w:r>
      <w:r w:rsidR="00634802">
        <w:t>,</w:t>
      </w:r>
      <w:r w:rsidRPr="00AE758F">
        <w:t xml:space="preserve"> compared to the</w:t>
      </w:r>
      <w:r w:rsidR="008740F6">
        <w:t> </w:t>
      </w:r>
      <w:r w:rsidRPr="00AE758F">
        <w:t>regulatory baseline.</w:t>
      </w:r>
    </w:p>
    <w:p w:rsidRPr="00AE758F" w:rsidR="001311D0" w:rsidP="007936BF" w:rsidRDefault="001311D0" w14:paraId="4BC019B2" w14:textId="0B4723EB">
      <w:pPr>
        <w:spacing w:line="240" w:lineRule="auto"/>
      </w:pPr>
    </w:p>
    <w:p w:rsidRPr="00AE758F" w:rsidR="00C8101A" w:rsidP="00382B4A" w:rsidRDefault="00C8101A" w14:paraId="562BF749" w14:textId="334B5320">
      <w:pPr>
        <w:pStyle w:val="Heading2"/>
        <w:spacing w:line="240" w:lineRule="auto"/>
        <w:ind w:left="450" w:hanging="450"/>
      </w:pPr>
      <w:bookmarkStart w:name="_Toc456098285" w:id="228"/>
      <w:bookmarkStart w:name="_Toc457827298" w:id="229"/>
      <w:bookmarkStart w:name="_Toc521577156" w:id="230"/>
      <w:bookmarkStart w:name="_Toc7512341" w:id="231"/>
      <w:bookmarkStart w:name="_Toc81309124" w:id="232"/>
      <w:bookmarkEnd w:id="212"/>
      <w:r w:rsidRPr="00AE758F">
        <w:t>5.</w:t>
      </w:r>
      <w:r w:rsidRPr="00AE758F" w:rsidR="00107422">
        <w:t>5</w:t>
      </w:r>
      <w:r w:rsidRPr="00AE758F">
        <w:tab/>
      </w:r>
      <w:r w:rsidR="00396945">
        <w:t>Net</w:t>
      </w:r>
      <w:r w:rsidRPr="00AE758F">
        <w:t xml:space="preserve"> Industry Costs</w:t>
      </w:r>
      <w:bookmarkEnd w:id="228"/>
      <w:bookmarkEnd w:id="229"/>
      <w:bookmarkEnd w:id="230"/>
      <w:bookmarkEnd w:id="231"/>
      <w:bookmarkEnd w:id="232"/>
    </w:p>
    <w:p w:rsidRPr="00AE758F" w:rsidR="00C8101A" w:rsidP="007936BF" w:rsidRDefault="00C8101A" w14:paraId="6FBAA055" w14:textId="45E7F159">
      <w:pPr>
        <w:keepNext/>
        <w:spacing w:line="240" w:lineRule="auto"/>
      </w:pPr>
    </w:p>
    <w:p w:rsidRPr="00AE758F" w:rsidR="00C8101A" w:rsidP="007936BF" w:rsidRDefault="00C8101A" w14:paraId="65A5BD89" w14:textId="2D7CED63">
      <w:pPr>
        <w:spacing w:line="240" w:lineRule="auto"/>
      </w:pPr>
      <w:r w:rsidRPr="00AE758F">
        <w:fldChar w:fldCharType="begin"/>
      </w:r>
      <w:r w:rsidRPr="00AE758F">
        <w:instrText xml:space="preserve"> REF _Ref453163057 \h  \* MERGEFORMAT </w:instrText>
      </w:r>
      <w:r w:rsidRPr="00AE758F">
        <w:fldChar w:fldCharType="separate"/>
      </w:r>
      <w:r w:rsidRPr="006A41A8" w:rsidR="006A41A8">
        <w:t>Table</w:t>
      </w:r>
      <w:r w:rsidRPr="006A41A8" w:rsidR="006A41A8">
        <w:rPr>
          <w:bCs/>
        </w:rPr>
        <w:t xml:space="preserve"> </w:t>
      </w:r>
      <w:r w:rsidRPr="006A41A8" w:rsidR="006A41A8">
        <w:rPr>
          <w:bCs/>
          <w:noProof/>
        </w:rPr>
        <w:t>8</w:t>
      </w:r>
      <w:r w:rsidRPr="00AE758F">
        <w:fldChar w:fldCharType="end"/>
      </w:r>
      <w:r w:rsidRPr="00AE758F">
        <w:t xml:space="preserve"> shows the </w:t>
      </w:r>
      <w:r w:rsidR="00396945">
        <w:t>net</w:t>
      </w:r>
      <w:r w:rsidRPr="00AE758F">
        <w:t xml:space="preserve"> in</w:t>
      </w:r>
      <w:r w:rsidRPr="00AE758F" w:rsidR="00432F66">
        <w:t>dustry costs</w:t>
      </w:r>
      <w:r w:rsidR="00634802">
        <w:t>,</w:t>
      </w:r>
      <w:r w:rsidRPr="00AE758F" w:rsidR="00432F66">
        <w:t xml:space="preserve"> broken down </w:t>
      </w:r>
      <w:r w:rsidR="00430376">
        <w:t xml:space="preserve">into </w:t>
      </w:r>
      <w:r w:rsidRPr="00AE758F">
        <w:t>implementatio</w:t>
      </w:r>
      <w:r w:rsidRPr="00AE758F" w:rsidR="00432F66">
        <w:t>n</w:t>
      </w:r>
      <w:r w:rsidRPr="00AE758F" w:rsidR="003A75EF">
        <w:t xml:space="preserve"> and </w:t>
      </w:r>
      <w:r w:rsidRPr="00AE758F">
        <w:t>operation</w:t>
      </w:r>
      <w:r w:rsidRPr="00AE758F" w:rsidR="00013D4F">
        <w:t xml:space="preserve"> costs</w:t>
      </w:r>
      <w:r w:rsidR="00634802">
        <w:t>,</w:t>
      </w:r>
      <w:r w:rsidRPr="00AE758F" w:rsidR="003A75EF">
        <w:t xml:space="preserve"> </w:t>
      </w:r>
      <w:r w:rsidRPr="00AE758F">
        <w:t xml:space="preserve">for the </w:t>
      </w:r>
      <w:r w:rsidRPr="00AE758F" w:rsidR="003A75EF">
        <w:t xml:space="preserve">proposed rule </w:t>
      </w:r>
      <w:r w:rsidRPr="00AE758F">
        <w:t xml:space="preserve">under Alternative 2.  These </w:t>
      </w:r>
      <w:r w:rsidR="00396945">
        <w:t>net</w:t>
      </w:r>
      <w:r w:rsidRPr="00AE758F">
        <w:t xml:space="preserve"> industry costs represent averted costs of </w:t>
      </w:r>
      <w:r w:rsidR="00634802">
        <w:t xml:space="preserve">between </w:t>
      </w:r>
      <w:r w:rsidRPr="00AE758F">
        <w:t>$</w:t>
      </w:r>
      <w:r w:rsidR="00C43680">
        <w:t>10.2</w:t>
      </w:r>
      <w:r w:rsidRPr="00AE758F">
        <w:t> million (7</w:t>
      </w:r>
      <w:r w:rsidRPr="00AE758F" w:rsidR="0001476C">
        <w:noBreakHyphen/>
      </w:r>
      <w:r w:rsidRPr="00AE758F">
        <w:t>percent NPV) and $</w:t>
      </w:r>
      <w:r w:rsidR="00C43680">
        <w:t>11.0</w:t>
      </w:r>
      <w:r w:rsidRPr="00AE758F">
        <w:t> million (3</w:t>
      </w:r>
      <w:r w:rsidRPr="00AE758F" w:rsidR="0001476C">
        <w:noBreakHyphen/>
      </w:r>
      <w:r w:rsidRPr="00AE758F">
        <w:t>percent NPV).</w:t>
      </w:r>
    </w:p>
    <w:p w:rsidRPr="00AE758F" w:rsidR="00C8101A" w:rsidP="007936BF" w:rsidRDefault="00C8101A" w14:paraId="226516E6" w14:textId="77777777">
      <w:pPr>
        <w:spacing w:line="240" w:lineRule="auto"/>
      </w:pPr>
    </w:p>
    <w:p w:rsidRPr="00AE758F" w:rsidR="00C8101A" w:rsidP="00382B4A" w:rsidRDefault="00C8101A" w14:paraId="1B2C3F23" w14:textId="3D6A23BC">
      <w:pPr>
        <w:pStyle w:val="Caption"/>
        <w:spacing w:line="240" w:lineRule="auto"/>
        <w:ind w:left="1080" w:hanging="1080"/>
        <w:jc w:val="center"/>
        <w:rPr>
          <w:b/>
          <w:bCs w:val="0"/>
        </w:rPr>
      </w:pPr>
      <w:bookmarkStart w:name="_Ref453163057" w:id="233"/>
      <w:bookmarkStart w:name="_Toc454442488" w:id="234"/>
      <w:bookmarkStart w:name="_Toc457827408" w:id="235"/>
      <w:bookmarkStart w:name="_Toc7512478" w:id="236"/>
      <w:bookmarkStart w:name="_Toc81309684" w:id="237"/>
      <w:bookmarkStart w:name="_Hlk40189059" w:id="238"/>
      <w:r w:rsidRPr="00AE758F">
        <w:rPr>
          <w:b/>
          <w:bCs w:val="0"/>
        </w:rPr>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8</w:t>
      </w:r>
      <w:r w:rsidRPr="00AE758F">
        <w:rPr>
          <w:b/>
          <w:bCs w:val="0"/>
          <w:noProof/>
        </w:rPr>
        <w:fldChar w:fldCharType="end"/>
      </w:r>
      <w:bookmarkEnd w:id="233"/>
      <w:r w:rsidRPr="00AE758F" w:rsidR="0001476C">
        <w:rPr>
          <w:b/>
          <w:bCs w:val="0"/>
          <w:noProof/>
        </w:rPr>
        <w:t xml:space="preserve">  </w:t>
      </w:r>
      <w:r w:rsidR="00396945">
        <w:rPr>
          <w:b/>
          <w:bCs w:val="0"/>
        </w:rPr>
        <w:t>Net</w:t>
      </w:r>
      <w:r w:rsidRPr="00AE758F">
        <w:rPr>
          <w:b/>
          <w:bCs w:val="0"/>
        </w:rPr>
        <w:t xml:space="preserve"> Industry Costs</w:t>
      </w:r>
      <w:bookmarkEnd w:id="234"/>
      <w:bookmarkEnd w:id="235"/>
      <w:bookmarkEnd w:id="236"/>
      <w:bookmarkEnd w:id="237"/>
    </w:p>
    <w:bookmarkEnd w:id="238"/>
    <w:p w:rsidR="00574437" w:rsidP="007936BF" w:rsidRDefault="00574437" w14:paraId="28CF35DE" w14:textId="77777777">
      <w:pPr>
        <w:spacing w:line="240" w:lineRule="auto"/>
        <w:rPr>
          <w:sz w:val="18"/>
          <w:szCs w:val="18"/>
        </w:rPr>
      </w:pPr>
      <w:r w:rsidRPr="00574437">
        <w:rPr>
          <w:noProof/>
        </w:rPr>
        <w:drawing>
          <wp:inline distT="0" distB="0" distL="0" distR="0" wp14:anchorId="285AC06B" wp14:editId="62780093">
            <wp:extent cx="5212080" cy="92202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2080" cy="922020"/>
                    </a:xfrm>
                    <a:prstGeom prst="rect">
                      <a:avLst/>
                    </a:prstGeom>
                    <a:noFill/>
                    <a:ln>
                      <a:noFill/>
                    </a:ln>
                  </pic:spPr>
                </pic:pic>
              </a:graphicData>
            </a:graphic>
          </wp:inline>
        </w:drawing>
      </w:r>
    </w:p>
    <w:p w:rsidRPr="00AE758F" w:rsidR="00C8101A" w:rsidP="007936BF" w:rsidRDefault="00C8101A" w14:paraId="5CA0B492" w14:textId="2034B198">
      <w:pPr>
        <w:spacing w:line="240" w:lineRule="auto"/>
        <w:rPr>
          <w:sz w:val="18"/>
          <w:szCs w:val="18"/>
        </w:rPr>
      </w:pPr>
      <w:r w:rsidRPr="00AE758F">
        <w:rPr>
          <w:sz w:val="18"/>
          <w:szCs w:val="18"/>
        </w:rPr>
        <w:t>Note:</w:t>
      </w:r>
      <w:r w:rsidRPr="00AE758F" w:rsidR="0001476C">
        <w:rPr>
          <w:sz w:val="18"/>
          <w:szCs w:val="18"/>
        </w:rPr>
        <w:t xml:space="preserve">  </w:t>
      </w:r>
      <w:r w:rsidR="00396945">
        <w:rPr>
          <w:sz w:val="18"/>
          <w:szCs w:val="18"/>
        </w:rPr>
        <w:t>Net</w:t>
      </w:r>
      <w:r w:rsidRPr="00AE758F">
        <w:rPr>
          <w:sz w:val="18"/>
          <w:szCs w:val="18"/>
        </w:rPr>
        <w:t xml:space="preserve"> costs are rounded to the nearest $10,000.</w:t>
      </w:r>
      <w:r w:rsidRPr="00AE758F" w:rsidR="001862AC">
        <w:rPr>
          <w:sz w:val="18"/>
          <w:szCs w:val="18"/>
        </w:rPr>
        <w:t xml:space="preserve"> </w:t>
      </w:r>
      <w:r w:rsidRPr="00AE758F" w:rsidR="0001476C">
        <w:rPr>
          <w:sz w:val="18"/>
          <w:szCs w:val="18"/>
        </w:rPr>
        <w:t xml:space="preserve"> </w:t>
      </w:r>
      <w:r w:rsidRPr="00AE758F">
        <w:rPr>
          <w:sz w:val="18"/>
          <w:szCs w:val="18"/>
        </w:rPr>
        <w:t xml:space="preserve">All values </w:t>
      </w:r>
      <w:r w:rsidR="00086A09">
        <w:rPr>
          <w:sz w:val="18"/>
          <w:szCs w:val="18"/>
        </w:rPr>
        <w:t xml:space="preserve">are </w:t>
      </w:r>
      <w:r w:rsidRPr="00AE758F">
        <w:rPr>
          <w:sz w:val="18"/>
          <w:szCs w:val="18"/>
        </w:rPr>
        <w:t>reported in 202</w:t>
      </w:r>
      <w:r w:rsidR="00574437">
        <w:rPr>
          <w:sz w:val="18"/>
          <w:szCs w:val="18"/>
        </w:rPr>
        <w:t>1</w:t>
      </w:r>
      <w:r w:rsidRPr="00AE758F">
        <w:rPr>
          <w:sz w:val="18"/>
          <w:szCs w:val="18"/>
        </w:rPr>
        <w:t xml:space="preserve"> dollars.</w:t>
      </w:r>
    </w:p>
    <w:p w:rsidRPr="00AE758F" w:rsidR="00C8101A" w:rsidP="007936BF" w:rsidRDefault="00C8101A" w14:paraId="1C3C3416" w14:textId="77777777">
      <w:pPr>
        <w:pStyle w:val="ListParagraph"/>
        <w:spacing w:line="240" w:lineRule="auto"/>
        <w:ind w:left="0"/>
      </w:pPr>
    </w:p>
    <w:p w:rsidRPr="00AE758F" w:rsidR="00C8101A" w:rsidP="00382B4A" w:rsidRDefault="00C8101A" w14:paraId="4CA6EACF" w14:textId="77777777">
      <w:pPr>
        <w:pStyle w:val="Heading2"/>
        <w:spacing w:line="240" w:lineRule="auto"/>
        <w:ind w:left="450" w:hanging="450"/>
      </w:pPr>
      <w:bookmarkStart w:name="_Toc456098286" w:id="239"/>
      <w:bookmarkStart w:name="_Toc457827299" w:id="240"/>
      <w:bookmarkStart w:name="_Toc521577157" w:id="241"/>
      <w:bookmarkStart w:name="_Toc7512342" w:id="242"/>
      <w:bookmarkStart w:name="_Toc81309125" w:id="243"/>
      <w:r w:rsidRPr="00AE758F">
        <w:t>5.6</w:t>
      </w:r>
      <w:r w:rsidRPr="00AE758F">
        <w:tab/>
        <w:t>NRC Implementation</w:t>
      </w:r>
      <w:bookmarkEnd w:id="239"/>
      <w:bookmarkEnd w:id="240"/>
      <w:bookmarkEnd w:id="241"/>
      <w:bookmarkEnd w:id="242"/>
      <w:bookmarkEnd w:id="243"/>
    </w:p>
    <w:p w:rsidRPr="00AE758F" w:rsidR="00C8101A" w:rsidP="007936BF" w:rsidRDefault="00C8101A" w14:paraId="3A8AF798" w14:textId="77777777">
      <w:pPr>
        <w:pStyle w:val="ListParagraph"/>
        <w:spacing w:line="240" w:lineRule="auto"/>
        <w:ind w:left="0"/>
      </w:pPr>
    </w:p>
    <w:p w:rsidRPr="00AE758F" w:rsidR="0042441C" w:rsidP="00C43680" w:rsidRDefault="00AC4F3B" w14:paraId="0B2A74F8" w14:textId="208DC779">
      <w:pPr>
        <w:pStyle w:val="ListParagraph"/>
        <w:spacing w:line="240" w:lineRule="auto"/>
        <w:ind w:left="0"/>
        <w:rPr>
          <w:sz w:val="18"/>
          <w:szCs w:val="18"/>
        </w:rPr>
      </w:pPr>
      <w:r w:rsidRPr="00AE758F">
        <w:t xml:space="preserve">The NRC </w:t>
      </w:r>
      <w:r w:rsidR="00C43680">
        <w:t>implementation costs are from the rulemaking process and are sunk at this stage of the final rule.</w:t>
      </w:r>
    </w:p>
    <w:p w:rsidRPr="00AE758F" w:rsidR="006A5588" w:rsidP="007936BF" w:rsidRDefault="006A5588" w14:paraId="71340607" w14:textId="437F6E3E">
      <w:pPr>
        <w:pStyle w:val="ListParagraph"/>
        <w:spacing w:line="240" w:lineRule="auto"/>
        <w:ind w:left="0"/>
      </w:pPr>
    </w:p>
    <w:p w:rsidRPr="00AE758F" w:rsidR="00C8101A" w:rsidP="00382B4A" w:rsidRDefault="00C8101A" w14:paraId="2E1DA917" w14:textId="77777777">
      <w:pPr>
        <w:pStyle w:val="Heading2"/>
        <w:spacing w:line="240" w:lineRule="auto"/>
        <w:ind w:left="450" w:hanging="450"/>
      </w:pPr>
      <w:bookmarkStart w:name="_Ref393279064" w:id="244"/>
      <w:bookmarkStart w:name="_Ref422721928" w:id="245"/>
      <w:bookmarkStart w:name="_Toc456098312" w:id="246"/>
      <w:bookmarkStart w:name="_Toc457827325" w:id="247"/>
      <w:bookmarkStart w:name="_Toc521577202" w:id="248"/>
      <w:bookmarkStart w:name="_Toc7512386" w:id="249"/>
      <w:bookmarkStart w:name="_Toc81309126" w:id="250"/>
      <w:r w:rsidRPr="00AE758F">
        <w:t>5.7</w:t>
      </w:r>
      <w:r w:rsidRPr="00AE758F">
        <w:tab/>
        <w:t>NRC Operation</w:t>
      </w:r>
      <w:bookmarkEnd w:id="244"/>
      <w:bookmarkEnd w:id="245"/>
      <w:bookmarkEnd w:id="246"/>
      <w:bookmarkEnd w:id="247"/>
      <w:bookmarkEnd w:id="248"/>
      <w:bookmarkEnd w:id="249"/>
      <w:bookmarkEnd w:id="250"/>
    </w:p>
    <w:p w:rsidRPr="00AE758F" w:rsidR="00C8101A" w:rsidP="007936BF" w:rsidRDefault="00C8101A" w14:paraId="42ECA2BC" w14:textId="77777777">
      <w:pPr>
        <w:keepNext/>
        <w:spacing w:line="240" w:lineRule="auto"/>
      </w:pPr>
    </w:p>
    <w:p w:rsidRPr="00AE758F" w:rsidR="00C8101A" w:rsidP="007936BF" w:rsidRDefault="00C8101A" w14:paraId="0B2BD5CD" w14:textId="5D701E68">
      <w:pPr>
        <w:spacing w:line="240" w:lineRule="auto"/>
      </w:pPr>
      <w:r w:rsidRPr="00AE758F">
        <w:t>When the NRC receives an alternative request, it requires staff time to evaluate the acceptability of the request against the current</w:t>
      </w:r>
      <w:r w:rsidRPr="00AE758F" w:rsidR="0001476C">
        <w:t xml:space="preserve"> agency</w:t>
      </w:r>
      <w:r w:rsidRPr="00AE758F" w:rsidR="0001476C">
        <w:noBreakHyphen/>
      </w:r>
      <w:r w:rsidRPr="00AE758F">
        <w:t xml:space="preserve">approved </w:t>
      </w:r>
      <w:r w:rsidRPr="00AE758F" w:rsidR="0001476C">
        <w:t>criteria</w:t>
      </w:r>
      <w:r w:rsidRPr="00AE758F">
        <w:t xml:space="preserve">.  </w:t>
      </w:r>
      <w:r w:rsidR="00086A09">
        <w:t>T</w:t>
      </w:r>
      <w:r w:rsidRPr="00AE758F" w:rsidR="0001476C">
        <w:t xml:space="preserve">he NRC expects </w:t>
      </w:r>
      <w:r w:rsidR="003C7B8C">
        <w:t xml:space="preserve">implementation of </w:t>
      </w:r>
      <w:r w:rsidR="00086A09">
        <w:t xml:space="preserve">Alternative 2 to avert </w:t>
      </w:r>
      <w:r w:rsidRPr="00AE758F">
        <w:t>2</w:t>
      </w:r>
      <w:r w:rsidRPr="00AE758F" w:rsidR="005C6646">
        <w:t>2</w:t>
      </w:r>
      <w:r w:rsidRPr="00AE758F" w:rsidR="0001476C">
        <w:t> </w:t>
      </w:r>
      <w:r w:rsidR="00B167CE">
        <w:t>alternative</w:t>
      </w:r>
      <w:r w:rsidRPr="00AE758F" w:rsidR="00B167CE">
        <w:t xml:space="preserve"> </w:t>
      </w:r>
      <w:r w:rsidRPr="00AE758F">
        <w:t>request submittals per year.  The IBR of the</w:t>
      </w:r>
      <w:r w:rsidR="001A4D0F">
        <w:t> </w:t>
      </w:r>
      <w:r w:rsidR="00663C8B">
        <w:t xml:space="preserve">latest </w:t>
      </w:r>
      <w:r w:rsidRPr="00AE758F">
        <w:t xml:space="preserve">ASME Code editions in the </w:t>
      </w:r>
      <w:r w:rsidRPr="00AE758F">
        <w:rPr>
          <w:i/>
        </w:rPr>
        <w:t>Code of Federal Regulations</w:t>
      </w:r>
      <w:r w:rsidRPr="00AE758F">
        <w:t xml:space="preserve"> allows a nuclear power plant licensee to use current ASME Code edition</w:t>
      </w:r>
      <w:r w:rsidR="00FB67C5">
        <w:t>s</w:t>
      </w:r>
      <w:r w:rsidRPr="00AE758F">
        <w:t xml:space="preserve"> </w:t>
      </w:r>
      <w:r w:rsidR="00FB67C5">
        <w:t xml:space="preserve">and </w:t>
      </w:r>
      <w:r w:rsidRPr="00AE758F">
        <w:t>addenda without submitting an alternative request for NRC review.</w:t>
      </w:r>
    </w:p>
    <w:p w:rsidRPr="00AE758F" w:rsidR="00C8101A" w:rsidP="007936BF" w:rsidRDefault="00C8101A" w14:paraId="2BB5C23C" w14:textId="77777777">
      <w:pPr>
        <w:spacing w:line="240" w:lineRule="auto"/>
      </w:pPr>
    </w:p>
    <w:p w:rsidRPr="00AE758F" w:rsidR="00C8101A" w:rsidP="007936BF" w:rsidRDefault="00C8101A" w14:paraId="76E94A71" w14:textId="3B9CA338">
      <w:pPr>
        <w:spacing w:line="240" w:lineRule="auto"/>
      </w:pPr>
      <w:r w:rsidRPr="00AE758F">
        <w:t xml:space="preserve">As shown in </w:t>
      </w:r>
      <w:r w:rsidRPr="00AE758F">
        <w:fldChar w:fldCharType="begin"/>
      </w:r>
      <w:r w:rsidRPr="00AE758F">
        <w:instrText xml:space="preserve"> REF _Ref482957554 \h  \* MERGEFORMAT </w:instrText>
      </w:r>
      <w:r w:rsidRPr="00AE758F">
        <w:fldChar w:fldCharType="separate"/>
      </w:r>
      <w:r w:rsidRPr="006A41A8" w:rsidR="006A41A8">
        <w:t>Table</w:t>
      </w:r>
      <w:r w:rsidRPr="006A41A8" w:rsidR="006A41A8">
        <w:rPr>
          <w:b/>
          <w:bCs/>
        </w:rPr>
        <w:t xml:space="preserve"> </w:t>
      </w:r>
      <w:r w:rsidRPr="006A41A8" w:rsidR="006A41A8">
        <w:rPr>
          <w:bCs/>
          <w:noProof/>
        </w:rPr>
        <w:t>9</w:t>
      </w:r>
      <w:r w:rsidRPr="00AE758F">
        <w:fldChar w:fldCharType="end"/>
      </w:r>
      <w:r w:rsidRPr="00AE758F">
        <w:t xml:space="preserve">, the NRC estimates that each </w:t>
      </w:r>
      <w:r w:rsidR="00022C73">
        <w:t xml:space="preserve">alternative request </w:t>
      </w:r>
      <w:r w:rsidRPr="00AE758F">
        <w:t xml:space="preserve">submittal would require </w:t>
      </w:r>
      <w:r w:rsidRPr="00AE758F" w:rsidR="005C6646">
        <w:t>115</w:t>
      </w:r>
      <w:r w:rsidRPr="00AE758F">
        <w:t> hours of staff time to perform the technical review (including resolving technical issues), document the</w:t>
      </w:r>
      <w:r w:rsidR="001A4D0F">
        <w:t> </w:t>
      </w:r>
      <w:r w:rsidRPr="00AE758F">
        <w:t xml:space="preserve">evaluation, and respond to the licensee.  </w:t>
      </w:r>
      <w:r w:rsidR="00C40EB0">
        <w:t>T</w:t>
      </w:r>
      <w:r w:rsidRPr="00AE758F" w:rsidR="00BB2FE5">
        <w:t xml:space="preserve">he NRC staff estimates that </w:t>
      </w:r>
      <w:r w:rsidRPr="00AE758F" w:rsidR="00C40EB0">
        <w:t xml:space="preserve">eliminating the need for these submittals </w:t>
      </w:r>
      <w:r w:rsidR="00C40EB0">
        <w:t xml:space="preserve">would lead to </w:t>
      </w:r>
      <w:r w:rsidRPr="00AE758F">
        <w:t>averted cost</w:t>
      </w:r>
      <w:r w:rsidR="00C40EB0">
        <w:t>s</w:t>
      </w:r>
      <w:r w:rsidRPr="00AE758F">
        <w:t xml:space="preserve"> </w:t>
      </w:r>
      <w:r w:rsidR="00C40EB0">
        <w:t xml:space="preserve">of between </w:t>
      </w:r>
      <w:r w:rsidRPr="00AE758F">
        <w:t>$</w:t>
      </w:r>
      <w:r w:rsidRPr="00AE758F" w:rsidR="00375C8A">
        <w:t>0.</w:t>
      </w:r>
      <w:r w:rsidR="001C2510">
        <w:t>9</w:t>
      </w:r>
      <w:r w:rsidRPr="00AE758F" w:rsidR="00375C8A">
        <w:t>1</w:t>
      </w:r>
      <w:r w:rsidRPr="00AE758F">
        <w:t xml:space="preserve"> million </w:t>
      </w:r>
      <w:r w:rsidRPr="00AE758F" w:rsidR="00013D4F">
        <w:t>(</w:t>
      </w:r>
      <w:r w:rsidRPr="00AE758F">
        <w:t>7</w:t>
      </w:r>
      <w:r w:rsidRPr="00AE758F" w:rsidR="0001476C">
        <w:noBreakHyphen/>
      </w:r>
      <w:r w:rsidRPr="00AE758F">
        <w:t>percent NPV</w:t>
      </w:r>
      <w:r w:rsidRPr="00AE758F" w:rsidR="00013D4F">
        <w:t>)</w:t>
      </w:r>
      <w:r w:rsidRPr="00AE758F">
        <w:t xml:space="preserve"> </w:t>
      </w:r>
      <w:r w:rsidR="00C40EB0">
        <w:t xml:space="preserve">and </w:t>
      </w:r>
      <w:r w:rsidRPr="00AE758F">
        <w:t>$</w:t>
      </w:r>
      <w:r w:rsidRPr="00AE758F" w:rsidR="00375C8A">
        <w:t>0.9</w:t>
      </w:r>
      <w:r w:rsidR="001C2510">
        <w:t>9</w:t>
      </w:r>
      <w:r w:rsidRPr="00AE758F">
        <w:t xml:space="preserve"> million </w:t>
      </w:r>
      <w:r w:rsidRPr="00AE758F" w:rsidR="00013D4F">
        <w:t>(</w:t>
      </w:r>
      <w:r w:rsidRPr="00AE758F">
        <w:t>3</w:t>
      </w:r>
      <w:r w:rsidRPr="00AE758F" w:rsidR="0001476C">
        <w:noBreakHyphen/>
      </w:r>
      <w:r w:rsidRPr="00AE758F">
        <w:t>percent NPV</w:t>
      </w:r>
      <w:r w:rsidRPr="00AE758F" w:rsidR="00013D4F">
        <w:t>)</w:t>
      </w:r>
      <w:r w:rsidRPr="00AE758F">
        <w:t>.</w:t>
      </w:r>
    </w:p>
    <w:p w:rsidRPr="00AE758F" w:rsidR="00C8101A" w:rsidP="007936BF" w:rsidRDefault="00C8101A" w14:paraId="6ED9B84D" w14:textId="77777777">
      <w:pPr>
        <w:spacing w:line="240" w:lineRule="auto"/>
      </w:pPr>
    </w:p>
    <w:p w:rsidRPr="00AE758F" w:rsidR="00C8101A" w:rsidP="00382B4A" w:rsidRDefault="00C8101A" w14:paraId="31804780" w14:textId="7DD6258F">
      <w:pPr>
        <w:pStyle w:val="Caption"/>
        <w:spacing w:line="240" w:lineRule="auto"/>
        <w:ind w:left="1440" w:hanging="1440"/>
        <w:jc w:val="center"/>
        <w:rPr>
          <w:b/>
          <w:bCs w:val="0"/>
        </w:rPr>
      </w:pPr>
      <w:bookmarkStart w:name="_Ref482957554" w:id="251"/>
      <w:bookmarkStart w:name="_Toc7512479" w:id="252"/>
      <w:bookmarkStart w:name="_Toc81309685" w:id="253"/>
      <w:r w:rsidRPr="00AE758F">
        <w:rPr>
          <w:b/>
          <w:bCs w:val="0"/>
        </w:rPr>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9</w:t>
      </w:r>
      <w:r w:rsidRPr="00AE758F">
        <w:rPr>
          <w:b/>
          <w:bCs w:val="0"/>
          <w:noProof/>
        </w:rPr>
        <w:fldChar w:fldCharType="end"/>
      </w:r>
      <w:bookmarkEnd w:id="251"/>
      <w:r w:rsidRPr="00AE758F">
        <w:rPr>
          <w:b/>
          <w:bCs w:val="0"/>
        </w:rPr>
        <w:t xml:space="preserve"> </w:t>
      </w:r>
      <w:r w:rsidRPr="00AE758F" w:rsidR="0001476C">
        <w:rPr>
          <w:b/>
          <w:bCs w:val="0"/>
        </w:rPr>
        <w:t xml:space="preserve"> </w:t>
      </w:r>
      <w:r w:rsidRPr="00AE758F">
        <w:rPr>
          <w:b/>
          <w:bCs w:val="0"/>
        </w:rPr>
        <w:t>NRC Operation Costs—Averted Alternative Request Review</w:t>
      </w:r>
      <w:bookmarkEnd w:id="252"/>
      <w:r w:rsidR="00430376">
        <w:rPr>
          <w:b/>
          <w:bCs w:val="0"/>
        </w:rPr>
        <w:t>s</w:t>
      </w:r>
      <w:bookmarkEnd w:id="253"/>
    </w:p>
    <w:p w:rsidRPr="00AE758F" w:rsidR="00C8101A" w:rsidP="007936BF" w:rsidRDefault="00FE49F0" w14:paraId="42C77A00" w14:textId="6B88711A">
      <w:pPr>
        <w:spacing w:line="240" w:lineRule="auto"/>
        <w:rPr>
          <w:sz w:val="18"/>
          <w:szCs w:val="18"/>
        </w:rPr>
      </w:pPr>
      <w:r w:rsidRPr="00FE49F0">
        <w:rPr>
          <w:noProof/>
        </w:rPr>
        <w:drawing>
          <wp:inline distT="0" distB="0" distL="0" distR="0" wp14:anchorId="131F2953" wp14:editId="3B9DFD50">
            <wp:extent cx="5943600" cy="1367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367790"/>
                    </a:xfrm>
                    <a:prstGeom prst="rect">
                      <a:avLst/>
                    </a:prstGeom>
                    <a:noFill/>
                    <a:ln>
                      <a:noFill/>
                    </a:ln>
                  </pic:spPr>
                </pic:pic>
              </a:graphicData>
            </a:graphic>
          </wp:inline>
        </w:drawing>
      </w:r>
      <w:r w:rsidRPr="00AE758F" w:rsidR="00C8101A">
        <w:rPr>
          <w:sz w:val="18"/>
          <w:szCs w:val="18"/>
        </w:rPr>
        <w:t>Note:</w:t>
      </w:r>
      <w:r w:rsidRPr="00AE758F" w:rsidR="00013D4F">
        <w:rPr>
          <w:sz w:val="18"/>
          <w:szCs w:val="18"/>
        </w:rPr>
        <w:t xml:space="preserve">  </w:t>
      </w:r>
      <w:r w:rsidRPr="00AE758F" w:rsidR="00C8101A">
        <w:rPr>
          <w:sz w:val="18"/>
          <w:szCs w:val="18"/>
        </w:rPr>
        <w:t>All values</w:t>
      </w:r>
      <w:r w:rsidR="00086A09">
        <w:rPr>
          <w:sz w:val="18"/>
          <w:szCs w:val="18"/>
        </w:rPr>
        <w:t xml:space="preserve"> are</w:t>
      </w:r>
      <w:r w:rsidRPr="00AE758F" w:rsidR="00C8101A">
        <w:rPr>
          <w:sz w:val="18"/>
          <w:szCs w:val="18"/>
        </w:rPr>
        <w:t xml:space="preserve"> reported in 202</w:t>
      </w:r>
      <w:r w:rsidR="001C2510">
        <w:rPr>
          <w:sz w:val="18"/>
          <w:szCs w:val="18"/>
        </w:rPr>
        <w:t>1</w:t>
      </w:r>
      <w:r w:rsidRPr="00AE758F" w:rsidR="00C8101A">
        <w:rPr>
          <w:sz w:val="18"/>
          <w:szCs w:val="18"/>
        </w:rPr>
        <w:t xml:space="preserve"> dollars.</w:t>
      </w:r>
    </w:p>
    <w:p w:rsidRPr="00AE758F" w:rsidR="00C8101A" w:rsidP="007936BF" w:rsidRDefault="00C8101A" w14:paraId="79A0302F" w14:textId="77777777">
      <w:pPr>
        <w:spacing w:line="240" w:lineRule="auto"/>
      </w:pPr>
    </w:p>
    <w:p w:rsidRPr="00AE758F" w:rsidR="00C8101A" w:rsidP="00F6070A" w:rsidRDefault="00C8101A" w14:paraId="0D830CAC" w14:textId="2CE96E89">
      <w:pPr>
        <w:pStyle w:val="Heading2"/>
        <w:spacing w:line="240" w:lineRule="auto"/>
        <w:ind w:left="450" w:hanging="450"/>
      </w:pPr>
      <w:bookmarkStart w:name="_Toc456098338" w:id="254"/>
      <w:bookmarkStart w:name="_Toc457827351" w:id="255"/>
      <w:bookmarkStart w:name="_Toc521577247" w:id="256"/>
      <w:bookmarkStart w:name="_Toc7512430" w:id="257"/>
      <w:bookmarkStart w:name="_Toc81309127" w:id="258"/>
      <w:r w:rsidRPr="00AE758F">
        <w:t>5.8</w:t>
      </w:r>
      <w:r w:rsidRPr="00AE758F">
        <w:tab/>
      </w:r>
      <w:r w:rsidR="00396945">
        <w:t>Net</w:t>
      </w:r>
      <w:r w:rsidRPr="00AE758F">
        <w:t xml:space="preserve"> NRC Costs</w:t>
      </w:r>
      <w:bookmarkEnd w:id="254"/>
      <w:bookmarkEnd w:id="255"/>
      <w:bookmarkEnd w:id="256"/>
      <w:bookmarkEnd w:id="257"/>
      <w:bookmarkEnd w:id="258"/>
    </w:p>
    <w:p w:rsidRPr="00AE758F" w:rsidR="00C8101A" w:rsidP="002A591C" w:rsidRDefault="00C8101A" w14:paraId="7789CF4A" w14:textId="77777777">
      <w:pPr>
        <w:keepNext/>
        <w:spacing w:line="240" w:lineRule="auto"/>
      </w:pPr>
    </w:p>
    <w:p w:rsidRPr="00AE758F" w:rsidR="00C8101A" w:rsidP="002A591C" w:rsidRDefault="00C8101A" w14:paraId="7CE23B8C" w14:textId="7F1F6423">
      <w:pPr>
        <w:keepNext/>
        <w:spacing w:line="240" w:lineRule="auto"/>
      </w:pPr>
      <w:r w:rsidRPr="00AE758F">
        <w:fldChar w:fldCharType="begin"/>
      </w:r>
      <w:r w:rsidRPr="00AE758F">
        <w:instrText xml:space="preserve"> REF _Ref453154216 \h  \* MERGEFORMAT </w:instrText>
      </w:r>
      <w:r w:rsidRPr="00AE758F">
        <w:fldChar w:fldCharType="separate"/>
      </w:r>
      <w:r w:rsidRPr="006A41A8" w:rsidR="006A41A8">
        <w:t>Table 10</w:t>
      </w:r>
      <w:r w:rsidRPr="00AE758F">
        <w:fldChar w:fldCharType="end"/>
      </w:r>
      <w:r w:rsidRPr="00AE758F">
        <w:t xml:space="preserve"> shows the </w:t>
      </w:r>
      <w:r w:rsidR="00396945">
        <w:t>net</w:t>
      </w:r>
      <w:r w:rsidRPr="00AE758F">
        <w:t xml:space="preserve"> NRC costs</w:t>
      </w:r>
      <w:r w:rsidR="00430376">
        <w:t>,</w:t>
      </w:r>
      <w:r w:rsidRPr="00AE758F">
        <w:t xml:space="preserve"> broken down </w:t>
      </w:r>
      <w:r w:rsidR="00430376">
        <w:t xml:space="preserve">into </w:t>
      </w:r>
      <w:r w:rsidRPr="00AE758F">
        <w:t>implementation and operation costs</w:t>
      </w:r>
      <w:r w:rsidR="00430376">
        <w:t>,</w:t>
      </w:r>
      <w:r w:rsidRPr="00AE758F">
        <w:t xml:space="preserve"> for Alternative 2.  These </w:t>
      </w:r>
      <w:r w:rsidR="00396945">
        <w:t>net</w:t>
      </w:r>
      <w:r w:rsidRPr="00AE758F">
        <w:t xml:space="preserve"> NRC costs represent averted costs (savings) estimated </w:t>
      </w:r>
      <w:r w:rsidR="00781C17">
        <w:t xml:space="preserve">at between </w:t>
      </w:r>
      <w:r w:rsidRPr="00AE758F">
        <w:t>$</w:t>
      </w:r>
      <w:r w:rsidRPr="00AE758F" w:rsidR="00375C8A">
        <w:t>0.</w:t>
      </w:r>
      <w:r w:rsidR="00675D57">
        <w:t>91</w:t>
      </w:r>
      <w:r w:rsidRPr="00AE758F">
        <w:t> million (7</w:t>
      </w:r>
      <w:r w:rsidRPr="00AE758F" w:rsidR="00013D4F">
        <w:noBreakHyphen/>
      </w:r>
      <w:r w:rsidRPr="00AE758F">
        <w:t xml:space="preserve">percent NPV) </w:t>
      </w:r>
      <w:r w:rsidR="00781C17">
        <w:t xml:space="preserve">and </w:t>
      </w:r>
      <w:r w:rsidRPr="00AE758F">
        <w:t>$</w:t>
      </w:r>
      <w:r w:rsidRPr="00AE758F" w:rsidR="00375C8A">
        <w:t>0.</w:t>
      </w:r>
      <w:r w:rsidR="00675D57">
        <w:t>99</w:t>
      </w:r>
      <w:r w:rsidRPr="00AE758F">
        <w:t> million (3</w:t>
      </w:r>
      <w:r w:rsidRPr="00AE758F" w:rsidR="00013D4F">
        <w:noBreakHyphen/>
      </w:r>
      <w:r w:rsidRPr="00AE758F">
        <w:t>percent NPV).</w:t>
      </w:r>
    </w:p>
    <w:p w:rsidRPr="00AE758F" w:rsidR="00C8101A" w:rsidP="007936BF" w:rsidRDefault="00C8101A" w14:paraId="0E1358D5" w14:textId="77777777">
      <w:pPr>
        <w:spacing w:line="240" w:lineRule="auto"/>
      </w:pPr>
    </w:p>
    <w:p w:rsidRPr="00AE758F" w:rsidR="00C8101A" w:rsidP="00382B4A" w:rsidRDefault="00C8101A" w14:paraId="1743974F" w14:textId="30F42AF7">
      <w:pPr>
        <w:pStyle w:val="Caption"/>
        <w:spacing w:line="240" w:lineRule="auto"/>
        <w:ind w:left="1440" w:hanging="1440"/>
        <w:jc w:val="center"/>
        <w:rPr>
          <w:b/>
          <w:bCs w:val="0"/>
        </w:rPr>
      </w:pPr>
      <w:bookmarkStart w:name="_Ref453154216" w:id="259"/>
      <w:bookmarkStart w:name="_Toc454442493" w:id="260"/>
      <w:bookmarkStart w:name="_Toc457827413" w:id="261"/>
      <w:bookmarkStart w:name="_Toc7512484" w:id="262"/>
      <w:bookmarkStart w:name="_Toc81309686" w:id="263"/>
      <w:r w:rsidRPr="00AE758F">
        <w:rPr>
          <w:b/>
          <w:bCs w:val="0"/>
        </w:rPr>
        <w:t>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10</w:t>
      </w:r>
      <w:r w:rsidRPr="00AE758F">
        <w:rPr>
          <w:b/>
          <w:bCs w:val="0"/>
          <w:noProof/>
        </w:rPr>
        <w:fldChar w:fldCharType="end"/>
      </w:r>
      <w:bookmarkEnd w:id="259"/>
      <w:r w:rsidRPr="00AE758F" w:rsidR="00013D4F">
        <w:rPr>
          <w:b/>
          <w:bCs w:val="0"/>
        </w:rPr>
        <w:t xml:space="preserve">  </w:t>
      </w:r>
      <w:r w:rsidR="00396945">
        <w:rPr>
          <w:b/>
          <w:bCs w:val="0"/>
        </w:rPr>
        <w:t>Net</w:t>
      </w:r>
      <w:r w:rsidRPr="00AE758F">
        <w:rPr>
          <w:b/>
          <w:bCs w:val="0"/>
        </w:rPr>
        <w:t xml:space="preserve"> NRC Costs</w:t>
      </w:r>
      <w:bookmarkEnd w:id="260"/>
      <w:bookmarkEnd w:id="261"/>
      <w:bookmarkEnd w:id="262"/>
      <w:bookmarkEnd w:id="263"/>
    </w:p>
    <w:p w:rsidR="00FF1A56" w:rsidP="007936BF" w:rsidRDefault="00FF1A56" w14:paraId="0C89FC03" w14:textId="77777777">
      <w:pPr>
        <w:spacing w:line="240" w:lineRule="auto"/>
        <w:rPr>
          <w:sz w:val="18"/>
          <w:szCs w:val="18"/>
        </w:rPr>
      </w:pPr>
      <w:bookmarkStart w:name="_Toc456098339" w:id="264"/>
      <w:r w:rsidRPr="00FF1A56">
        <w:rPr>
          <w:noProof/>
        </w:rPr>
        <w:drawing>
          <wp:inline distT="0" distB="0" distL="0" distR="0" wp14:anchorId="0E90EC88" wp14:editId="7C41ED96">
            <wp:extent cx="4869180" cy="92202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69180" cy="922020"/>
                    </a:xfrm>
                    <a:prstGeom prst="rect">
                      <a:avLst/>
                    </a:prstGeom>
                    <a:noFill/>
                    <a:ln>
                      <a:noFill/>
                    </a:ln>
                  </pic:spPr>
                </pic:pic>
              </a:graphicData>
            </a:graphic>
          </wp:inline>
        </w:drawing>
      </w:r>
    </w:p>
    <w:p w:rsidRPr="00AE758F" w:rsidR="00C8101A" w:rsidP="007936BF" w:rsidRDefault="00C8101A" w14:paraId="6A51292A" w14:textId="76B38EE9">
      <w:pPr>
        <w:spacing w:line="240" w:lineRule="auto"/>
        <w:rPr>
          <w:sz w:val="18"/>
          <w:szCs w:val="18"/>
        </w:rPr>
      </w:pPr>
      <w:r w:rsidRPr="00AE758F">
        <w:rPr>
          <w:sz w:val="18"/>
          <w:szCs w:val="18"/>
        </w:rPr>
        <w:t xml:space="preserve">Note: </w:t>
      </w:r>
      <w:r w:rsidRPr="00AE758F" w:rsidR="00013D4F">
        <w:rPr>
          <w:sz w:val="18"/>
          <w:szCs w:val="18"/>
        </w:rPr>
        <w:t xml:space="preserve"> </w:t>
      </w:r>
      <w:r w:rsidRPr="00AE758F">
        <w:rPr>
          <w:sz w:val="18"/>
          <w:szCs w:val="18"/>
        </w:rPr>
        <w:t xml:space="preserve">All values </w:t>
      </w:r>
      <w:r w:rsidR="00086A09">
        <w:rPr>
          <w:sz w:val="18"/>
          <w:szCs w:val="18"/>
        </w:rPr>
        <w:t xml:space="preserve">are </w:t>
      </w:r>
      <w:r w:rsidRPr="00AE758F">
        <w:rPr>
          <w:sz w:val="18"/>
          <w:szCs w:val="18"/>
        </w:rPr>
        <w:t>reported in 202</w:t>
      </w:r>
      <w:r w:rsidR="00CF7882">
        <w:rPr>
          <w:sz w:val="18"/>
          <w:szCs w:val="18"/>
        </w:rPr>
        <w:t>1</w:t>
      </w:r>
      <w:r w:rsidRPr="00AE758F">
        <w:rPr>
          <w:sz w:val="18"/>
          <w:szCs w:val="18"/>
        </w:rPr>
        <w:t xml:space="preserve"> dollars.</w:t>
      </w:r>
    </w:p>
    <w:p w:rsidRPr="00AE758F" w:rsidR="00C8101A" w:rsidP="007936BF" w:rsidRDefault="00C8101A" w14:paraId="46A52718" w14:textId="77777777">
      <w:pPr>
        <w:spacing w:line="240" w:lineRule="auto"/>
      </w:pPr>
    </w:p>
    <w:p w:rsidRPr="00AE758F" w:rsidR="00C8101A" w:rsidP="00382B4A" w:rsidRDefault="00C8101A" w14:paraId="48D9A0B4" w14:textId="6433DCB8">
      <w:pPr>
        <w:pStyle w:val="Heading2"/>
        <w:spacing w:line="240" w:lineRule="auto"/>
        <w:ind w:left="450" w:hanging="450"/>
      </w:pPr>
      <w:bookmarkStart w:name="_Toc521577248" w:id="265"/>
      <w:bookmarkStart w:name="_Toc7512431" w:id="266"/>
      <w:bookmarkStart w:name="_Toc81309128" w:id="267"/>
      <w:bookmarkEnd w:id="264"/>
      <w:r w:rsidRPr="00AE758F">
        <w:t>5.9</w:t>
      </w:r>
      <w:r w:rsidRPr="00AE758F">
        <w:tab/>
      </w:r>
      <w:r w:rsidR="00396945">
        <w:t>Net</w:t>
      </w:r>
      <w:r w:rsidRPr="00AE758F">
        <w:t xml:space="preserve"> Costs</w:t>
      </w:r>
      <w:bookmarkEnd w:id="265"/>
      <w:bookmarkEnd w:id="266"/>
      <w:bookmarkEnd w:id="267"/>
    </w:p>
    <w:p w:rsidRPr="00AE758F" w:rsidR="00C8101A" w:rsidP="007936BF" w:rsidRDefault="00C8101A" w14:paraId="5FF70330" w14:textId="77777777">
      <w:pPr>
        <w:spacing w:line="240" w:lineRule="auto"/>
      </w:pPr>
    </w:p>
    <w:p w:rsidRPr="00AE758F" w:rsidR="00C8101A" w:rsidP="007936BF" w:rsidRDefault="00C8101A" w14:paraId="22423490" w14:textId="269F6E01">
      <w:pPr>
        <w:spacing w:line="240" w:lineRule="auto"/>
      </w:pPr>
      <w:r w:rsidRPr="00AE758F">
        <w:fldChar w:fldCharType="begin"/>
      </w:r>
      <w:r w:rsidRPr="00AE758F">
        <w:instrText xml:space="preserve"> REF _Ref479172421 \h  \* MERGEFORMAT </w:instrText>
      </w:r>
      <w:r w:rsidRPr="00AE758F">
        <w:fldChar w:fldCharType="separate"/>
      </w:r>
      <w:r w:rsidRPr="006A41A8" w:rsidR="006A41A8">
        <w:t>Table</w:t>
      </w:r>
      <w:r w:rsidRPr="006A41A8" w:rsidR="006A41A8">
        <w:rPr>
          <w:b/>
          <w:bCs/>
        </w:rPr>
        <w:t xml:space="preserve"> </w:t>
      </w:r>
      <w:r w:rsidRPr="006A41A8" w:rsidR="006A41A8">
        <w:rPr>
          <w:bCs/>
          <w:noProof/>
        </w:rPr>
        <w:t>11</w:t>
      </w:r>
      <w:r w:rsidRPr="00AE758F">
        <w:fldChar w:fldCharType="end"/>
      </w:r>
      <w:r w:rsidRPr="00AE758F">
        <w:t xml:space="preserve"> shows the </w:t>
      </w:r>
      <w:r w:rsidRPr="00AE758F" w:rsidR="000B2B54">
        <w:t>Alternative 2 costs</w:t>
      </w:r>
      <w:r w:rsidR="00695770">
        <w:t>,</w:t>
      </w:r>
      <w:r w:rsidRPr="00AE758F">
        <w:t xml:space="preserve"> broken down </w:t>
      </w:r>
      <w:r w:rsidR="00695770">
        <w:t xml:space="preserve">into </w:t>
      </w:r>
      <w:r w:rsidRPr="00AE758F">
        <w:t xml:space="preserve">implementation and operation </w:t>
      </w:r>
      <w:r w:rsidR="00695770">
        <w:t xml:space="preserve">costs, </w:t>
      </w:r>
      <w:r w:rsidRPr="00AE758F">
        <w:t xml:space="preserve">for </w:t>
      </w:r>
      <w:r w:rsidR="00695770">
        <w:t xml:space="preserve">both the </w:t>
      </w:r>
      <w:r w:rsidRPr="00AE758F">
        <w:t xml:space="preserve">industry and the NRC.  The </w:t>
      </w:r>
      <w:r w:rsidR="00396945">
        <w:t>net</w:t>
      </w:r>
      <w:r w:rsidRPr="00AE758F">
        <w:t xml:space="preserve"> averted costs are estimated </w:t>
      </w:r>
      <w:r w:rsidR="00695770">
        <w:t xml:space="preserve">at between </w:t>
      </w:r>
      <w:r w:rsidRPr="00AE758F">
        <w:t>$</w:t>
      </w:r>
      <w:r w:rsidR="00CA5F67">
        <w:t>11.1</w:t>
      </w:r>
      <w:r w:rsidRPr="00AE758F">
        <w:t> million (7</w:t>
      </w:r>
      <w:r w:rsidRPr="00AE758F" w:rsidR="00013D4F">
        <w:noBreakHyphen/>
      </w:r>
      <w:r w:rsidRPr="00AE758F">
        <w:t xml:space="preserve">percent NPV) </w:t>
      </w:r>
      <w:r w:rsidR="00695770">
        <w:t xml:space="preserve">and </w:t>
      </w:r>
      <w:r w:rsidRPr="00AE758F">
        <w:t>$</w:t>
      </w:r>
      <w:r w:rsidR="00CA5F67">
        <w:t>12.0</w:t>
      </w:r>
      <w:r w:rsidRPr="00AE758F">
        <w:t> million (3</w:t>
      </w:r>
      <w:r w:rsidRPr="00AE758F" w:rsidR="00013D4F">
        <w:noBreakHyphen/>
      </w:r>
      <w:r w:rsidRPr="00AE758F">
        <w:t>percent NPV).</w:t>
      </w:r>
    </w:p>
    <w:p w:rsidRPr="00AE758F" w:rsidR="00C8101A" w:rsidP="007936BF" w:rsidRDefault="00C8101A" w14:paraId="60E72FE8" w14:textId="79BB4FEA">
      <w:pPr>
        <w:spacing w:line="240" w:lineRule="auto"/>
      </w:pPr>
    </w:p>
    <w:p w:rsidRPr="00AE758F" w:rsidR="00C8101A" w:rsidP="00382B4A" w:rsidRDefault="00C8101A" w14:paraId="2025CEF2" w14:textId="48130A08">
      <w:pPr>
        <w:pStyle w:val="Caption"/>
        <w:spacing w:line="240" w:lineRule="auto"/>
        <w:ind w:left="1440" w:hanging="1440"/>
        <w:jc w:val="center"/>
        <w:rPr>
          <w:b/>
          <w:bCs w:val="0"/>
        </w:rPr>
      </w:pPr>
      <w:bookmarkStart w:name="_Ref479172421" w:id="268"/>
      <w:bookmarkStart w:name="_Toc7512485" w:id="269"/>
      <w:bookmarkStart w:name="_Toc81309687" w:id="270"/>
      <w:r w:rsidRPr="00AE758F">
        <w:rPr>
          <w:b/>
          <w:bCs w:val="0"/>
        </w:rPr>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11</w:t>
      </w:r>
      <w:r w:rsidRPr="00AE758F">
        <w:rPr>
          <w:b/>
          <w:bCs w:val="0"/>
          <w:noProof/>
        </w:rPr>
        <w:fldChar w:fldCharType="end"/>
      </w:r>
      <w:bookmarkEnd w:id="268"/>
      <w:r w:rsidRPr="00AE758F">
        <w:rPr>
          <w:b/>
          <w:bCs w:val="0"/>
        </w:rPr>
        <w:t xml:space="preserve"> </w:t>
      </w:r>
      <w:r w:rsidRPr="00AE758F" w:rsidR="00013D4F">
        <w:rPr>
          <w:b/>
          <w:bCs w:val="0"/>
        </w:rPr>
        <w:t xml:space="preserve"> </w:t>
      </w:r>
      <w:r w:rsidR="00396945">
        <w:rPr>
          <w:b/>
          <w:bCs w:val="0"/>
        </w:rPr>
        <w:t>Net</w:t>
      </w:r>
      <w:r w:rsidRPr="00AE758F">
        <w:rPr>
          <w:b/>
          <w:bCs w:val="0"/>
        </w:rPr>
        <w:t xml:space="preserve"> Costs</w:t>
      </w:r>
      <w:bookmarkEnd w:id="269"/>
      <w:bookmarkEnd w:id="270"/>
    </w:p>
    <w:p w:rsidR="008D1C2F" w:rsidP="00382B4A" w:rsidRDefault="008D1C2F" w14:paraId="3AB72EAE" w14:textId="77777777">
      <w:pPr>
        <w:spacing w:line="240" w:lineRule="auto"/>
        <w:ind w:firstLine="720"/>
        <w:rPr>
          <w:sz w:val="18"/>
          <w:szCs w:val="18"/>
        </w:rPr>
      </w:pPr>
      <w:r w:rsidRPr="008D1C2F">
        <w:rPr>
          <w:noProof/>
        </w:rPr>
        <w:drawing>
          <wp:inline distT="0" distB="0" distL="0" distR="0" wp14:anchorId="362446B2" wp14:editId="208150E6">
            <wp:extent cx="4632960" cy="1790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2960" cy="1790700"/>
                    </a:xfrm>
                    <a:prstGeom prst="rect">
                      <a:avLst/>
                    </a:prstGeom>
                    <a:noFill/>
                    <a:ln>
                      <a:noFill/>
                    </a:ln>
                  </pic:spPr>
                </pic:pic>
              </a:graphicData>
            </a:graphic>
          </wp:inline>
        </w:drawing>
      </w:r>
    </w:p>
    <w:p w:rsidRPr="00AE758F" w:rsidR="00C8101A" w:rsidP="00382B4A" w:rsidRDefault="00C8101A" w14:paraId="19CA21B3" w14:textId="4D4BEDA9">
      <w:pPr>
        <w:spacing w:line="240" w:lineRule="auto"/>
        <w:ind w:firstLine="720"/>
        <w:rPr>
          <w:sz w:val="18"/>
          <w:szCs w:val="18"/>
        </w:rPr>
      </w:pPr>
      <w:r w:rsidRPr="00AE758F">
        <w:rPr>
          <w:sz w:val="18"/>
          <w:szCs w:val="18"/>
        </w:rPr>
        <w:t>Note:</w:t>
      </w:r>
      <w:r w:rsidR="009B2B25">
        <w:rPr>
          <w:sz w:val="18"/>
          <w:szCs w:val="18"/>
        </w:rPr>
        <w:t xml:space="preserve">  </w:t>
      </w:r>
      <w:r w:rsidRPr="00AE758F">
        <w:rPr>
          <w:sz w:val="18"/>
          <w:szCs w:val="18"/>
        </w:rPr>
        <w:t xml:space="preserve">All values </w:t>
      </w:r>
      <w:r w:rsidR="00086A09">
        <w:rPr>
          <w:sz w:val="18"/>
          <w:szCs w:val="18"/>
        </w:rPr>
        <w:t xml:space="preserve">are </w:t>
      </w:r>
      <w:r w:rsidRPr="00AE758F">
        <w:rPr>
          <w:sz w:val="18"/>
          <w:szCs w:val="18"/>
        </w:rPr>
        <w:t>reported in 202</w:t>
      </w:r>
      <w:r w:rsidR="008D1C2F">
        <w:rPr>
          <w:sz w:val="18"/>
          <w:szCs w:val="18"/>
        </w:rPr>
        <w:t>1</w:t>
      </w:r>
      <w:r w:rsidRPr="00AE758F">
        <w:rPr>
          <w:sz w:val="18"/>
          <w:szCs w:val="18"/>
        </w:rPr>
        <w:t xml:space="preserve"> dollars.</w:t>
      </w:r>
    </w:p>
    <w:p w:rsidRPr="00AE758F" w:rsidR="00C8101A" w:rsidP="007936BF" w:rsidRDefault="00C8101A" w14:paraId="7A7B99E7" w14:textId="034E0CA5">
      <w:pPr>
        <w:spacing w:line="240" w:lineRule="auto"/>
      </w:pPr>
    </w:p>
    <w:p w:rsidRPr="00AE758F" w:rsidR="00C8101A" w:rsidP="00382B4A" w:rsidRDefault="00C8101A" w14:paraId="72CC36DD" w14:textId="53277D78">
      <w:pPr>
        <w:pStyle w:val="Heading2"/>
        <w:tabs>
          <w:tab w:val="left" w:pos="540"/>
        </w:tabs>
        <w:spacing w:line="240" w:lineRule="auto"/>
        <w:ind w:left="450" w:hanging="450"/>
      </w:pPr>
      <w:bookmarkStart w:name="_Toc521577249" w:id="271"/>
      <w:bookmarkStart w:name="_Toc7512432" w:id="272"/>
      <w:bookmarkStart w:name="_Toc81309129" w:id="273"/>
      <w:r w:rsidRPr="00AE758F">
        <w:t>5.10</w:t>
      </w:r>
      <w:r w:rsidRPr="00AE758F">
        <w:tab/>
      </w:r>
      <w:r w:rsidRPr="00AE758F" w:rsidR="00FF5B60">
        <w:tab/>
      </w:r>
      <w:r w:rsidRPr="00AE758F">
        <w:t>Improvements in Knowledge</w:t>
      </w:r>
      <w:bookmarkEnd w:id="271"/>
      <w:bookmarkEnd w:id="272"/>
      <w:bookmarkEnd w:id="273"/>
    </w:p>
    <w:p w:rsidRPr="00AE758F" w:rsidR="00C8101A" w:rsidP="007936BF" w:rsidRDefault="00C8101A" w14:paraId="1F61B78B" w14:textId="77777777">
      <w:pPr>
        <w:keepNext/>
        <w:spacing w:line="240" w:lineRule="auto"/>
      </w:pPr>
    </w:p>
    <w:p w:rsidRPr="00AE758F" w:rsidR="00C8101A" w:rsidP="007936BF" w:rsidRDefault="00C8101A" w14:paraId="02CB21B2" w14:textId="15E1F394">
      <w:pPr>
        <w:spacing w:line="240" w:lineRule="auto"/>
      </w:pPr>
      <w:r w:rsidRPr="00AE758F">
        <w:t>Compared to the regulatory baseline (Alternative</w:t>
      </w:r>
      <w:r w:rsidRPr="00AE758F" w:rsidR="00013D4F">
        <w:t> </w:t>
      </w:r>
      <w:r w:rsidRPr="00AE758F">
        <w:t>1), Alternative 2 would improve knowledge by allowing the industry and the staff to gain experience with new technology and by permitting licensees to use advances in ISI and IST.  Improved ISI and IST may lead to earlier identification of material degradation that, if undetected, could eventually cause a plant transient.</w:t>
      </w:r>
    </w:p>
    <w:p w:rsidRPr="00AE758F" w:rsidR="00C8101A" w:rsidP="007936BF" w:rsidRDefault="00C8101A" w14:paraId="45D8671B" w14:textId="77777777">
      <w:pPr>
        <w:spacing w:line="240" w:lineRule="auto"/>
      </w:pPr>
    </w:p>
    <w:p w:rsidRPr="00AE758F" w:rsidR="00C8101A" w:rsidP="00382B4A" w:rsidRDefault="00C8101A" w14:paraId="19F84E8E" w14:textId="2B067FA4">
      <w:pPr>
        <w:pStyle w:val="Heading2"/>
        <w:tabs>
          <w:tab w:val="left" w:pos="540"/>
        </w:tabs>
        <w:spacing w:line="240" w:lineRule="auto"/>
        <w:ind w:left="450" w:hanging="450"/>
      </w:pPr>
      <w:bookmarkStart w:name="_Toc456098340" w:id="274"/>
      <w:bookmarkStart w:name="_Toc457827353" w:id="275"/>
      <w:bookmarkStart w:name="_Toc521577250" w:id="276"/>
      <w:bookmarkStart w:name="_Toc7512433" w:id="277"/>
      <w:bookmarkStart w:name="_Toc81309130" w:id="278"/>
      <w:r w:rsidRPr="00AE758F">
        <w:t>5.11</w:t>
      </w:r>
      <w:r w:rsidRPr="00AE758F">
        <w:tab/>
      </w:r>
      <w:r w:rsidRPr="00AE758F" w:rsidR="00FF5B60">
        <w:tab/>
      </w:r>
      <w:r w:rsidRPr="00AE758F">
        <w:t>Regulatory Efficiency</w:t>
      </w:r>
      <w:bookmarkEnd w:id="274"/>
      <w:bookmarkEnd w:id="275"/>
      <w:bookmarkEnd w:id="276"/>
      <w:bookmarkEnd w:id="277"/>
      <w:bookmarkEnd w:id="278"/>
    </w:p>
    <w:p w:rsidRPr="00AE758F" w:rsidR="00C8101A" w:rsidP="007936BF" w:rsidRDefault="00C8101A" w14:paraId="65EA5C99" w14:textId="77777777">
      <w:pPr>
        <w:spacing w:line="240" w:lineRule="auto"/>
      </w:pPr>
    </w:p>
    <w:p w:rsidRPr="00AE758F" w:rsidR="00C8101A" w:rsidP="007936BF" w:rsidRDefault="00C8101A" w14:paraId="6AEF5091" w14:textId="58D6FDE5">
      <w:pPr>
        <w:spacing w:line="240" w:lineRule="auto"/>
      </w:pPr>
      <w:r w:rsidRPr="00AE758F">
        <w:t xml:space="preserve">Compared to the regulatory baseline (Alternative 1), Alternative 2 would increase regulatory efficiency </w:t>
      </w:r>
      <w:r w:rsidR="00CD34AE">
        <w:t>by</w:t>
      </w:r>
      <w:r w:rsidR="00382768">
        <w:t xml:space="preserve"> making</w:t>
      </w:r>
      <w:r w:rsidRPr="00AE758F">
        <w:t xml:space="preserve"> the ASME Codes and NRC regulations</w:t>
      </w:r>
      <w:r w:rsidR="00382768">
        <w:t xml:space="preserve"> consistent</w:t>
      </w:r>
      <w:r w:rsidRPr="00AE758F">
        <w:t>.  Licensees and applicants that wish to use current editions</w:t>
      </w:r>
      <w:r w:rsidRPr="00AE758F" w:rsidR="000413EC">
        <w:t xml:space="preserve"> of</w:t>
      </w:r>
      <w:r w:rsidRPr="00AE758F">
        <w:t xml:space="preserve"> or addenda </w:t>
      </w:r>
      <w:r w:rsidRPr="00AE758F" w:rsidR="000413EC">
        <w:t>to</w:t>
      </w:r>
      <w:r w:rsidRPr="00AE758F">
        <w:t xml:space="preserve"> the</w:t>
      </w:r>
      <w:r w:rsidR="001A4D0F">
        <w:t> </w:t>
      </w:r>
      <w:r w:rsidRPr="00AE758F">
        <w:t xml:space="preserve">ASME Codes would not </w:t>
      </w:r>
      <w:r w:rsidR="000C6F40">
        <w:t xml:space="preserve">have </w:t>
      </w:r>
      <w:r w:rsidRPr="00AE758F">
        <w:t>to submit 10 CFR 50.55a(z) alternative requests to the</w:t>
      </w:r>
      <w:r w:rsidR="001A4D0F">
        <w:t> </w:t>
      </w:r>
      <w:r w:rsidRPr="00AE758F">
        <w:t xml:space="preserve">NRC for review and approval.  This would </w:t>
      </w:r>
      <w:r w:rsidR="006A1CE3">
        <w:lastRenderedPageBreak/>
        <w:t xml:space="preserve">give </w:t>
      </w:r>
      <w:r w:rsidRPr="00AE758F">
        <w:t xml:space="preserve">licensees and applicants </w:t>
      </w:r>
      <w:r w:rsidR="006A1CE3">
        <w:t xml:space="preserve">more </w:t>
      </w:r>
      <w:r w:rsidRPr="00AE758F">
        <w:t>flexibility and would decrease licensee uncertainty when making modifications or preparing to perform ISI or IST.</w:t>
      </w:r>
    </w:p>
    <w:p w:rsidRPr="00AE758F" w:rsidR="00C8101A" w:rsidP="007936BF" w:rsidRDefault="00C8101A" w14:paraId="79F2B598" w14:textId="77777777">
      <w:pPr>
        <w:spacing w:line="240" w:lineRule="auto"/>
      </w:pPr>
    </w:p>
    <w:p w:rsidRPr="00AE758F" w:rsidR="00C8101A" w:rsidP="007936BF" w:rsidRDefault="00C8101A" w14:paraId="6F7E4A3E" w14:textId="77777777">
      <w:pPr>
        <w:spacing w:line="240" w:lineRule="auto"/>
      </w:pPr>
      <w:r w:rsidRPr="00AE758F">
        <w:t>The NRC does not recommend Alternative 1 for the following two reasons:</w:t>
      </w:r>
    </w:p>
    <w:p w:rsidRPr="00AE758F" w:rsidR="00C8101A" w:rsidP="007936BF" w:rsidRDefault="00C8101A" w14:paraId="5AF3248F" w14:textId="77777777">
      <w:pPr>
        <w:spacing w:line="240" w:lineRule="auto"/>
      </w:pPr>
    </w:p>
    <w:p w:rsidRPr="00AE758F" w:rsidR="00C8101A" w:rsidP="00977776" w:rsidRDefault="00040C60" w14:paraId="3CCE5B7D" w14:textId="21B8320A">
      <w:pPr>
        <w:pStyle w:val="ListParagraph"/>
        <w:numPr>
          <w:ilvl w:val="0"/>
          <w:numId w:val="6"/>
        </w:numPr>
        <w:spacing w:line="240" w:lineRule="auto"/>
        <w:ind w:hanging="720"/>
      </w:pPr>
      <w:r>
        <w:t>Under Alternative 1, l</w:t>
      </w:r>
      <w:r w:rsidRPr="00AE758F" w:rsidR="00C8101A">
        <w:t xml:space="preserve">icensees would submit many </w:t>
      </w:r>
      <w:r w:rsidR="006A1CE3">
        <w:t xml:space="preserve">alternative </w:t>
      </w:r>
      <w:r w:rsidRPr="00AE758F" w:rsidR="00C8101A">
        <w:t xml:space="preserve">requests to use more current editions </w:t>
      </w:r>
      <w:r w:rsidRPr="00AE758F" w:rsidR="000413EC">
        <w:t xml:space="preserve">of </w:t>
      </w:r>
      <w:r w:rsidRPr="00AE758F" w:rsidR="00C8101A">
        <w:t xml:space="preserve">or addenda </w:t>
      </w:r>
      <w:r w:rsidRPr="00AE758F" w:rsidR="000413EC">
        <w:t>to</w:t>
      </w:r>
      <w:r w:rsidRPr="00AE758F" w:rsidR="00C8101A">
        <w:t xml:space="preserve"> the ASME Codes under 10 CFR 50.55a(z).  This would increase regulatory </w:t>
      </w:r>
      <w:r w:rsidR="00A32E4A">
        <w:t>costs</w:t>
      </w:r>
      <w:r w:rsidRPr="00AE758F" w:rsidR="00C8101A">
        <w:t xml:space="preserve"> for licensees and the NRC.</w:t>
      </w:r>
    </w:p>
    <w:p w:rsidRPr="00AE758F" w:rsidR="00C8101A" w:rsidP="007936BF" w:rsidRDefault="00C8101A" w14:paraId="5398A692" w14:textId="77777777">
      <w:pPr>
        <w:pStyle w:val="ListParagraph"/>
        <w:spacing w:line="240" w:lineRule="auto"/>
        <w:ind w:hanging="720"/>
      </w:pPr>
    </w:p>
    <w:p w:rsidRPr="00AE758F" w:rsidR="00C8101A" w:rsidP="00977776" w:rsidRDefault="00040C60" w14:paraId="223B18EA" w14:textId="2B32F785">
      <w:pPr>
        <w:pStyle w:val="ListParagraph"/>
        <w:numPr>
          <w:ilvl w:val="0"/>
          <w:numId w:val="6"/>
        </w:numPr>
        <w:spacing w:line="240" w:lineRule="auto"/>
        <w:ind w:hanging="720"/>
      </w:pPr>
      <w:r>
        <w:t>The choice of Alternative 1 would undermine t</w:t>
      </w:r>
      <w:r w:rsidRPr="00AE758F" w:rsidR="00C8101A">
        <w:t>he NRC’s role as an effective industry regulator</w:t>
      </w:r>
      <w:r w:rsidR="000117DC">
        <w:t xml:space="preserve"> because,</w:t>
      </w:r>
      <w:r w:rsidRPr="00AE758F" w:rsidR="00C8101A">
        <w:t xml:space="preserve"> </w:t>
      </w:r>
      <w:r w:rsidR="000117DC">
        <w:t>a</w:t>
      </w:r>
      <w:r w:rsidRPr="00AE758F" w:rsidR="00C8101A">
        <w:t xml:space="preserve">lthough ASME periodically revises its </w:t>
      </w:r>
      <w:r w:rsidRPr="00AE758F" w:rsidR="000413EC">
        <w:t>c</w:t>
      </w:r>
      <w:r w:rsidRPr="00AE758F" w:rsidR="00C8101A">
        <w:t xml:space="preserve">odes, outdated material would remain incorporated by reference in the </w:t>
      </w:r>
      <w:r w:rsidRPr="00AE758F" w:rsidR="00C8101A">
        <w:rPr>
          <w:i/>
        </w:rPr>
        <w:t>Code of Federal Regulations</w:t>
      </w:r>
      <w:r w:rsidRPr="00AE758F" w:rsidR="00C8101A">
        <w:t>.</w:t>
      </w:r>
    </w:p>
    <w:p w:rsidRPr="00AE758F" w:rsidR="00C8101A" w:rsidP="007936BF" w:rsidRDefault="00C8101A" w14:paraId="503795BC" w14:textId="77777777">
      <w:pPr>
        <w:spacing w:line="240" w:lineRule="auto"/>
      </w:pPr>
    </w:p>
    <w:p w:rsidRPr="00AE758F" w:rsidR="00C8101A" w:rsidP="00382B4A" w:rsidRDefault="00C8101A" w14:paraId="7F782722" w14:textId="4147AFFB">
      <w:pPr>
        <w:pStyle w:val="Heading2"/>
        <w:tabs>
          <w:tab w:val="left" w:pos="540"/>
        </w:tabs>
        <w:spacing w:line="240" w:lineRule="auto"/>
        <w:ind w:left="450" w:hanging="450"/>
      </w:pPr>
      <w:bookmarkStart w:name="_Toc456098341" w:id="279"/>
      <w:bookmarkStart w:name="_Toc457827354" w:id="280"/>
      <w:bookmarkStart w:name="_Toc521577251" w:id="281"/>
      <w:bookmarkStart w:name="_Toc7512434" w:id="282"/>
      <w:bookmarkStart w:name="_Toc81309131" w:id="283"/>
      <w:r w:rsidRPr="00AE758F">
        <w:t>5.12</w:t>
      </w:r>
      <w:r w:rsidRPr="00AE758F">
        <w:tab/>
      </w:r>
      <w:r w:rsidRPr="00AE758F" w:rsidR="00FF5B60">
        <w:tab/>
      </w:r>
      <w:r w:rsidRPr="00AE758F">
        <w:t>Other Considerations</w:t>
      </w:r>
      <w:bookmarkEnd w:id="279"/>
      <w:bookmarkEnd w:id="280"/>
      <w:bookmarkEnd w:id="281"/>
      <w:bookmarkEnd w:id="282"/>
      <w:bookmarkEnd w:id="283"/>
    </w:p>
    <w:p w:rsidRPr="00AE758F" w:rsidR="00C8101A" w:rsidP="007936BF" w:rsidRDefault="00C8101A" w14:paraId="3F823B63" w14:textId="77777777">
      <w:pPr>
        <w:spacing w:line="240" w:lineRule="auto"/>
      </w:pPr>
    </w:p>
    <w:p w:rsidRPr="00AE758F" w:rsidR="00C8101A" w:rsidP="007936BF" w:rsidRDefault="00C8101A" w14:paraId="022D1E82" w14:textId="19DB43ED">
      <w:pPr>
        <w:pStyle w:val="Heading3"/>
        <w:spacing w:line="240" w:lineRule="auto"/>
        <w:ind w:left="720" w:hanging="720"/>
      </w:pPr>
      <w:bookmarkStart w:name="_Toc456098342" w:id="284"/>
      <w:bookmarkStart w:name="_Toc457827355" w:id="285"/>
      <w:bookmarkStart w:name="_Toc521577252" w:id="286"/>
      <w:bookmarkStart w:name="_Toc7512435" w:id="287"/>
      <w:bookmarkStart w:name="_Toc81309132" w:id="288"/>
      <w:r w:rsidRPr="00AE758F">
        <w:t>5.12.1</w:t>
      </w:r>
      <w:r w:rsidRPr="00AE758F">
        <w:tab/>
      </w:r>
      <w:r w:rsidR="006164F5">
        <w:t xml:space="preserve">Consistency with </w:t>
      </w:r>
      <w:r w:rsidRPr="00AE758F">
        <w:t>National Technology Transfer and Advancement Act of 1995</w:t>
      </w:r>
      <w:bookmarkEnd w:id="284"/>
      <w:bookmarkEnd w:id="285"/>
      <w:bookmarkEnd w:id="286"/>
      <w:bookmarkEnd w:id="287"/>
      <w:r w:rsidR="006164F5">
        <w:t xml:space="preserve"> and Implementing Guidance</w:t>
      </w:r>
      <w:bookmarkEnd w:id="288"/>
    </w:p>
    <w:p w:rsidRPr="00AE758F" w:rsidR="00C8101A" w:rsidP="007936BF" w:rsidRDefault="00C8101A" w14:paraId="17F81707" w14:textId="77777777">
      <w:pPr>
        <w:spacing w:line="240" w:lineRule="auto"/>
      </w:pPr>
    </w:p>
    <w:p w:rsidRPr="00AE758F" w:rsidR="00C8101A" w:rsidP="007936BF" w:rsidRDefault="00C8101A" w14:paraId="23982B0F" w14:textId="38572FE6">
      <w:pPr>
        <w:spacing w:line="240" w:lineRule="auto"/>
      </w:pPr>
      <w:r w:rsidRPr="00AE758F">
        <w:t xml:space="preserve">Alternative 2 is consistent with the provisions of the NTTAA and </w:t>
      </w:r>
      <w:r w:rsidR="007B5FF5">
        <w:t xml:space="preserve">the </w:t>
      </w:r>
      <w:r w:rsidRPr="00AE758F">
        <w:t>implementing guidance in OMB</w:t>
      </w:r>
      <w:r w:rsidRPr="00AE758F" w:rsidR="000413EC">
        <w:t> </w:t>
      </w:r>
      <w:r w:rsidRPr="00AE758F">
        <w:t>Circular A</w:t>
      </w:r>
      <w:r w:rsidRPr="00AE758F">
        <w:noBreakHyphen/>
        <w:t>119</w:t>
      </w:r>
      <w:r w:rsidR="004D5D3F">
        <w:t xml:space="preserve">, </w:t>
      </w:r>
      <w:r w:rsidRPr="00AE758F" w:rsidR="004D5D3F">
        <w:t>“Federal Participation in the Development and Use of Voluntary Consensus Standards and in Conformity Assessment Activities,” dated January 27, 2016</w:t>
      </w:r>
      <w:r w:rsidRPr="00AE758F" w:rsidR="00BE6FB6">
        <w:t xml:space="preserve"> (OMB, 2016)</w:t>
      </w:r>
      <w:r w:rsidRPr="00AE758F">
        <w:t xml:space="preserve">, which encourage Federal regulatory agencies to adopt voluntary consensus standards as an alternative to </w:t>
      </w:r>
      <w:r w:rsidRPr="00BF1F40">
        <w:t>de novo</w:t>
      </w:r>
      <w:r w:rsidRPr="00AE758F">
        <w:rPr>
          <w:i/>
        </w:rPr>
        <w:t xml:space="preserve"> </w:t>
      </w:r>
      <w:r w:rsidRPr="00AE758F">
        <w:t>agency development of standards affecting an industry.</w:t>
      </w:r>
    </w:p>
    <w:p w:rsidRPr="00AE758F" w:rsidR="00C8101A" w:rsidP="007936BF" w:rsidRDefault="00C8101A" w14:paraId="1FB89BD1" w14:textId="77777777">
      <w:pPr>
        <w:spacing w:line="240" w:lineRule="auto"/>
      </w:pPr>
    </w:p>
    <w:p w:rsidRPr="00AE758F" w:rsidR="00C8101A" w:rsidP="007936BF" w:rsidRDefault="00C8101A" w14:paraId="083E71B4" w14:textId="03D56C91">
      <w:pPr>
        <w:pStyle w:val="Heading3"/>
        <w:spacing w:line="240" w:lineRule="auto"/>
        <w:ind w:left="720" w:hanging="720"/>
      </w:pPr>
      <w:bookmarkStart w:name="_Toc456098343" w:id="289"/>
      <w:bookmarkStart w:name="_Toc457827356" w:id="290"/>
      <w:bookmarkStart w:name="_Toc521577253" w:id="291"/>
      <w:bookmarkStart w:name="_Toc7512436" w:id="292"/>
      <w:bookmarkStart w:name="_Toc81309133" w:id="293"/>
      <w:r w:rsidRPr="00AE758F">
        <w:t>5.12.2</w:t>
      </w:r>
      <w:r w:rsidRPr="00AE758F">
        <w:tab/>
        <w:t>Continu</w:t>
      </w:r>
      <w:r w:rsidR="006164F5">
        <w:t>ation</w:t>
      </w:r>
      <w:r w:rsidRPr="00AE758F">
        <w:t xml:space="preserve"> </w:t>
      </w:r>
      <w:r w:rsidR="006164F5">
        <w:t xml:space="preserve">of </w:t>
      </w:r>
      <w:r w:rsidRPr="00AE758F">
        <w:t xml:space="preserve">NRC Practice of Incorporation by Reference of ASME Code Editions and Addenda into the </w:t>
      </w:r>
      <w:r w:rsidRPr="00BF1F40">
        <w:rPr>
          <w:i w:val="0"/>
          <w:iCs/>
        </w:rPr>
        <w:t>Code of Federal Regulations</w:t>
      </w:r>
      <w:bookmarkEnd w:id="289"/>
      <w:bookmarkEnd w:id="290"/>
      <w:bookmarkEnd w:id="291"/>
      <w:bookmarkEnd w:id="292"/>
      <w:bookmarkEnd w:id="293"/>
    </w:p>
    <w:p w:rsidRPr="00AE758F" w:rsidR="00C8101A" w:rsidP="007936BF" w:rsidRDefault="00C8101A" w14:paraId="5E9CB286" w14:textId="77777777">
      <w:pPr>
        <w:keepNext/>
        <w:spacing w:line="240" w:lineRule="auto"/>
      </w:pPr>
    </w:p>
    <w:p w:rsidRPr="00AE758F" w:rsidR="00C8101A" w:rsidP="00382B4A" w:rsidRDefault="00C8101A" w14:paraId="3C7997FF" w14:textId="268B9B61">
      <w:pPr>
        <w:spacing w:after="220" w:line="240" w:lineRule="auto"/>
      </w:pPr>
      <w:r w:rsidRPr="00AE758F">
        <w:t xml:space="preserve">Alternative 2 would continue the NRC’s practice of establishing requirements for the design, construction, operation, ISI, and IST of nuclear power plants </w:t>
      </w:r>
      <w:r w:rsidR="006164F5">
        <w:t xml:space="preserve">through IBR </w:t>
      </w:r>
      <w:r w:rsidRPr="00AE758F">
        <w:t xml:space="preserve">of </w:t>
      </w:r>
      <w:r w:rsidR="006164F5">
        <w:t xml:space="preserve">ASME Code </w:t>
      </w:r>
      <w:r w:rsidRPr="00AE758F">
        <w:t>editions and addenda in 10 CFR 50.55a.</w:t>
      </w:r>
    </w:p>
    <w:p w:rsidRPr="00AE758F" w:rsidR="00C8101A" w:rsidP="007936BF" w:rsidRDefault="00C8101A" w14:paraId="77359910" w14:textId="15BD50CA">
      <w:pPr>
        <w:spacing w:line="240" w:lineRule="auto"/>
      </w:pPr>
      <w:r w:rsidRPr="00AE758F">
        <w:t>Given the existing data and information, Alternative 2 is the mo</w:t>
      </w:r>
      <w:r w:rsidRPr="00AE758F" w:rsidR="000413EC">
        <w:t>re</w:t>
      </w:r>
      <w:r w:rsidRPr="00AE758F">
        <w:t xml:space="preserve"> effective way to implement the</w:t>
      </w:r>
      <w:r w:rsidR="001A4D0F">
        <w:t> </w:t>
      </w:r>
      <w:r w:rsidRPr="00AE758F">
        <w:t>updated ASME Codes.  The updates would amend 10 CFR 50.55a to incorporate by reference the following ASME Code editions</w:t>
      </w:r>
      <w:r w:rsidR="008A22DF">
        <w:t xml:space="preserve"> and addenda</w:t>
      </w:r>
      <w:r w:rsidRPr="00AE758F">
        <w:t>:</w:t>
      </w:r>
    </w:p>
    <w:p w:rsidRPr="00AE758F" w:rsidR="00D36455" w:rsidP="007936BF" w:rsidRDefault="00D36455" w14:paraId="0BA7CBC6" w14:textId="77777777">
      <w:pPr>
        <w:spacing w:line="240" w:lineRule="auto"/>
      </w:pPr>
    </w:p>
    <w:p w:rsidRPr="00AE758F" w:rsidR="00D36455" w:rsidP="00977776" w:rsidRDefault="00A66E24" w14:paraId="17AD5E3F" w14:textId="54D48F50">
      <w:pPr>
        <w:pStyle w:val="ListParagraph"/>
        <w:numPr>
          <w:ilvl w:val="0"/>
          <w:numId w:val="5"/>
        </w:numPr>
        <w:spacing w:line="240" w:lineRule="auto"/>
        <w:ind w:hanging="720"/>
      </w:pPr>
      <w:r w:rsidRPr="00AE758F">
        <w:t>t</w:t>
      </w:r>
      <w:r w:rsidRPr="00AE758F" w:rsidR="00D36455">
        <w:t xml:space="preserve">he 2019 Edition </w:t>
      </w:r>
      <w:r w:rsidRPr="00AE758F" w:rsidR="000413EC">
        <w:t>of</w:t>
      </w:r>
      <w:r w:rsidRPr="00AE758F" w:rsidR="00D36455">
        <w:t xml:space="preserve"> the ASME BPV Code, Section</w:t>
      </w:r>
      <w:r w:rsidRPr="00AE758F" w:rsidR="000413EC">
        <w:t> </w:t>
      </w:r>
      <w:r w:rsidRPr="00AE758F" w:rsidR="00D36455">
        <w:t>III, Division</w:t>
      </w:r>
      <w:r w:rsidRPr="00AE758F" w:rsidR="000413EC">
        <w:t> </w:t>
      </w:r>
      <w:r w:rsidRPr="00AE758F" w:rsidR="00D36455">
        <w:t>1</w:t>
      </w:r>
      <w:r w:rsidRPr="00AE758F" w:rsidR="000413EC">
        <w:t>,</w:t>
      </w:r>
      <w:r w:rsidRPr="00AE758F" w:rsidR="00D36455">
        <w:t xml:space="preserve"> and Section</w:t>
      </w:r>
      <w:r w:rsidRPr="00AE758F" w:rsidR="000413EC">
        <w:t> </w:t>
      </w:r>
      <w:r w:rsidRPr="00AE758F" w:rsidR="00D36455">
        <w:t>XI, Division</w:t>
      </w:r>
      <w:r w:rsidRPr="00AE758F" w:rsidR="000413EC">
        <w:t> </w:t>
      </w:r>
      <w:r w:rsidRPr="00AE758F" w:rsidR="00D36455">
        <w:t>1, with conditions on its use</w:t>
      </w:r>
    </w:p>
    <w:p w:rsidRPr="00AE758F" w:rsidR="00D36455" w:rsidP="007936BF" w:rsidRDefault="00D36455" w14:paraId="786AC97F" w14:textId="77777777">
      <w:pPr>
        <w:spacing w:line="240" w:lineRule="auto"/>
      </w:pPr>
    </w:p>
    <w:p w:rsidR="00D36455" w:rsidP="00977776" w:rsidRDefault="00A66E24" w14:paraId="72BAC6B0" w14:textId="382BE570">
      <w:pPr>
        <w:pStyle w:val="ListParagraph"/>
        <w:numPr>
          <w:ilvl w:val="0"/>
          <w:numId w:val="5"/>
        </w:numPr>
        <w:spacing w:line="240" w:lineRule="auto"/>
        <w:ind w:hanging="720"/>
      </w:pPr>
      <w:r w:rsidRPr="00AE758F">
        <w:t>t</w:t>
      </w:r>
      <w:r w:rsidRPr="00AE758F" w:rsidR="00D36455">
        <w:t xml:space="preserve">he 2020 Edition </w:t>
      </w:r>
      <w:r w:rsidRPr="00AE758F" w:rsidR="000413EC">
        <w:t>of</w:t>
      </w:r>
      <w:r w:rsidRPr="00AE758F" w:rsidR="00D36455">
        <w:t xml:space="preserve"> </w:t>
      </w:r>
      <w:r w:rsidRPr="00AE758F">
        <w:t xml:space="preserve">the ASME OM Code, </w:t>
      </w:r>
      <w:r w:rsidRPr="00AE758F" w:rsidR="00D36455">
        <w:t>Division</w:t>
      </w:r>
      <w:r w:rsidRPr="00AE758F" w:rsidR="000413EC">
        <w:t> </w:t>
      </w:r>
      <w:r w:rsidRPr="00AE758F" w:rsidR="00D36455">
        <w:t>1, with conditions on its use</w:t>
      </w:r>
    </w:p>
    <w:p w:rsidR="005342AD" w:rsidP="005342AD" w:rsidRDefault="005342AD" w14:paraId="37F75989" w14:textId="77777777">
      <w:pPr>
        <w:pStyle w:val="ListParagraph"/>
      </w:pPr>
    </w:p>
    <w:p w:rsidR="005342AD" w:rsidP="00977776" w:rsidRDefault="005342AD" w14:paraId="070DD029" w14:textId="035BCA89">
      <w:pPr>
        <w:pStyle w:val="ListParagraph"/>
        <w:numPr>
          <w:ilvl w:val="0"/>
          <w:numId w:val="5"/>
        </w:numPr>
        <w:spacing w:line="240" w:lineRule="auto"/>
        <w:ind w:hanging="720"/>
      </w:pPr>
      <w:r>
        <w:t>the ASME OM Code Case</w:t>
      </w:r>
      <w:r w:rsidR="006E5751">
        <w:t xml:space="preserve"> OMN-28, without conditions</w:t>
      </w:r>
    </w:p>
    <w:p w:rsidR="006E5751" w:rsidP="006E5751" w:rsidRDefault="006E5751" w14:paraId="54E05726" w14:textId="77777777">
      <w:pPr>
        <w:pStyle w:val="ListParagraph"/>
      </w:pPr>
    </w:p>
    <w:p w:rsidR="009729BF" w:rsidP="00215213" w:rsidRDefault="009729BF" w14:paraId="38DE6137" w14:textId="5A3F54C1">
      <w:pPr>
        <w:pStyle w:val="ListParagraph"/>
        <w:numPr>
          <w:ilvl w:val="0"/>
          <w:numId w:val="5"/>
        </w:numPr>
        <w:spacing w:line="240" w:lineRule="auto"/>
        <w:ind w:hanging="720"/>
      </w:pPr>
      <w:r w:rsidRPr="00AE758F">
        <w:t>the 2011 Addenda to ASME NQA-1-2008</w:t>
      </w:r>
      <w:r w:rsidR="004449F2">
        <w:t xml:space="preserve"> </w:t>
      </w:r>
      <w:r w:rsidRPr="00AE758F">
        <w:t>(ASME NQA-1b-2011), with</w:t>
      </w:r>
      <w:r w:rsidRPr="00AE758F">
        <w:t xml:space="preserve"> conditions</w:t>
      </w:r>
    </w:p>
    <w:p w:rsidR="006E5751" w:rsidP="006E5751" w:rsidRDefault="006E5751" w14:paraId="3D7C1F87" w14:textId="77777777">
      <w:pPr>
        <w:pStyle w:val="ListParagraph"/>
      </w:pPr>
    </w:p>
    <w:p w:rsidRPr="00AE758F" w:rsidR="009729BF" w:rsidP="00570C05" w:rsidRDefault="009729BF" w14:paraId="5D9864B2" w14:textId="7578B48C">
      <w:pPr>
        <w:pStyle w:val="ListParagraph"/>
        <w:numPr>
          <w:ilvl w:val="0"/>
          <w:numId w:val="5"/>
        </w:numPr>
        <w:spacing w:line="240" w:lineRule="auto"/>
        <w:ind w:hanging="720"/>
      </w:pPr>
      <w:r w:rsidRPr="00AE758F">
        <w:t>the 2012 and 2015 Editions of ASME NQA</w:t>
      </w:r>
      <w:r w:rsidRPr="00AE758F">
        <w:noBreakHyphen/>
        <w:t>1, with conditions</w:t>
      </w:r>
      <w:r w:rsidR="00215213">
        <w:t xml:space="preserve"> on their use</w:t>
      </w:r>
    </w:p>
    <w:p w:rsidR="006E5751" w:rsidP="006E5751" w:rsidRDefault="006E5751" w14:paraId="5DD245E6" w14:textId="77777777">
      <w:pPr>
        <w:pStyle w:val="ListParagraph"/>
      </w:pPr>
    </w:p>
    <w:p w:rsidRPr="00AE758F" w:rsidR="00C8101A" w:rsidP="007936BF" w:rsidRDefault="00C8101A" w14:paraId="5B59510E" w14:textId="77777777">
      <w:pPr>
        <w:spacing w:line="240" w:lineRule="auto"/>
      </w:pPr>
    </w:p>
    <w:p w:rsidRPr="00AE758F" w:rsidR="00C8101A" w:rsidP="007936BF" w:rsidRDefault="00C8101A" w14:paraId="0C8776DB" w14:textId="77777777">
      <w:pPr>
        <w:pStyle w:val="Heading3"/>
        <w:spacing w:line="240" w:lineRule="auto"/>
        <w:ind w:left="720" w:hanging="720"/>
        <w:rPr>
          <w:szCs w:val="22"/>
        </w:rPr>
      </w:pPr>
      <w:bookmarkStart w:name="_Toc456098345" w:id="295"/>
      <w:bookmarkStart w:name="_Toc457827358" w:id="296"/>
      <w:bookmarkStart w:name="_Toc521577254" w:id="297"/>
      <w:bookmarkStart w:name="_Toc7512437" w:id="298"/>
      <w:bookmarkStart w:name="_Toc81309134" w:id="299"/>
      <w:r w:rsidRPr="00AE758F">
        <w:rPr>
          <w:szCs w:val="22"/>
        </w:rPr>
        <w:lastRenderedPageBreak/>
        <w:t>5.12.3</w:t>
      </w:r>
      <w:r w:rsidRPr="00AE758F">
        <w:rPr>
          <w:szCs w:val="22"/>
        </w:rPr>
        <w:tab/>
        <w:t>Increased Public Confidence</w:t>
      </w:r>
      <w:bookmarkEnd w:id="295"/>
      <w:bookmarkEnd w:id="296"/>
      <w:bookmarkEnd w:id="297"/>
      <w:bookmarkEnd w:id="298"/>
      <w:bookmarkEnd w:id="299"/>
    </w:p>
    <w:p w:rsidRPr="00AE758F" w:rsidR="00C8101A" w:rsidP="007936BF" w:rsidRDefault="00C8101A" w14:paraId="43E77132" w14:textId="77777777">
      <w:pPr>
        <w:keepNext/>
        <w:spacing w:line="240" w:lineRule="auto"/>
      </w:pPr>
    </w:p>
    <w:p w:rsidRPr="00AE758F" w:rsidR="00C8101A" w:rsidP="007936BF" w:rsidRDefault="00C8101A" w14:paraId="20EE6980" w14:textId="6E6F8046">
      <w:pPr>
        <w:spacing w:line="240" w:lineRule="auto"/>
      </w:pPr>
      <w:r w:rsidRPr="00AE758F">
        <w:t xml:space="preserve">Alternative 2 incorporates </w:t>
      </w:r>
      <w:r w:rsidR="004449F2">
        <w:t xml:space="preserve">into NRC regulations </w:t>
      </w:r>
      <w:r w:rsidRPr="00AE758F">
        <w:t>the current ASME Code edition</w:t>
      </w:r>
      <w:r w:rsidR="004449F2">
        <w:t>s</w:t>
      </w:r>
      <w:r w:rsidRPr="00AE758F">
        <w:t>, addenda, and Code Cases for the</w:t>
      </w:r>
      <w:r w:rsidR="001A4D0F">
        <w:t> </w:t>
      </w:r>
      <w:r w:rsidRPr="00AE758F">
        <w:t xml:space="preserve">design, construction, operation, ISI, and IST of nuclear power plants by approving </w:t>
      </w:r>
      <w:r w:rsidR="001066B7">
        <w:t xml:space="preserve">them </w:t>
      </w:r>
      <w:r w:rsidRPr="00AE758F">
        <w:t>in 10 CFR 50.55a.  This alternative allow</w:t>
      </w:r>
      <w:r w:rsidR="001066B7">
        <w:t>s</w:t>
      </w:r>
      <w:r w:rsidRPr="00AE758F">
        <w:t xml:space="preserve"> licensees to use risk</w:t>
      </w:r>
      <w:r w:rsidRPr="00AE758F" w:rsidR="000413EC">
        <w:noBreakHyphen/>
      </w:r>
      <w:r w:rsidRPr="00AE758F">
        <w:t>informed, performance</w:t>
      </w:r>
      <w:r w:rsidRPr="00AE758F" w:rsidR="000413EC">
        <w:noBreakHyphen/>
      </w:r>
      <w:r w:rsidRPr="00AE758F">
        <w:t>based approaches and the most current methods and technology to design, construct, operate, examine, and test nuclear power plant components while maintaining NRC oversight of these activities, which increases public confidence.</w:t>
      </w:r>
    </w:p>
    <w:p w:rsidRPr="00AE758F" w:rsidR="00C8101A" w:rsidP="007936BF" w:rsidRDefault="00C8101A" w14:paraId="75522146" w14:textId="77777777">
      <w:pPr>
        <w:spacing w:line="240" w:lineRule="auto"/>
      </w:pPr>
    </w:p>
    <w:p w:rsidRPr="00AE758F" w:rsidR="00C8101A" w:rsidP="001066B7" w:rsidRDefault="00C8101A" w14:paraId="252078B5" w14:textId="191E9D3C">
      <w:pPr>
        <w:pStyle w:val="Heading2"/>
        <w:tabs>
          <w:tab w:val="left" w:pos="540"/>
        </w:tabs>
        <w:spacing w:line="240" w:lineRule="auto"/>
        <w:ind w:left="450" w:hanging="450"/>
      </w:pPr>
      <w:bookmarkStart w:name="_Ref448229449" w:id="300"/>
      <w:bookmarkStart w:name="_Toc456098347" w:id="301"/>
      <w:bookmarkStart w:name="_Toc457827360" w:id="302"/>
      <w:bookmarkStart w:name="_Toc521577256" w:id="303"/>
      <w:bookmarkStart w:name="_Toc7512439" w:id="304"/>
      <w:bookmarkStart w:name="_Toc81309135" w:id="305"/>
      <w:r w:rsidRPr="00AE758F">
        <w:t>5.13</w:t>
      </w:r>
      <w:r w:rsidRPr="00AE758F">
        <w:tab/>
      </w:r>
      <w:r w:rsidRPr="00AE758F" w:rsidR="00FF5B60">
        <w:tab/>
      </w:r>
      <w:r w:rsidRPr="00AE758F">
        <w:t>Uncertainty Analysis</w:t>
      </w:r>
      <w:bookmarkEnd w:id="300"/>
      <w:bookmarkEnd w:id="301"/>
      <w:bookmarkEnd w:id="302"/>
      <w:bookmarkEnd w:id="303"/>
      <w:bookmarkEnd w:id="304"/>
      <w:bookmarkEnd w:id="305"/>
    </w:p>
    <w:p w:rsidRPr="00AE758F" w:rsidR="00C8101A" w:rsidP="00BF1F40" w:rsidRDefault="00C8101A" w14:paraId="69C37472" w14:textId="77777777">
      <w:pPr>
        <w:keepNext/>
        <w:spacing w:line="240" w:lineRule="auto"/>
      </w:pPr>
    </w:p>
    <w:p w:rsidRPr="00AE758F" w:rsidR="00C8101A" w:rsidP="00BF1F40" w:rsidRDefault="00C8101A" w14:paraId="0A571834" w14:textId="28D5BC05">
      <w:pPr>
        <w:keepNext/>
        <w:spacing w:line="240" w:lineRule="auto"/>
      </w:pPr>
      <w:r w:rsidRPr="00AE758F">
        <w:t xml:space="preserve">The </w:t>
      </w:r>
      <w:r w:rsidRPr="00AE758F" w:rsidR="00C43A80">
        <w:t>NRC</w:t>
      </w:r>
      <w:r w:rsidRPr="00AE758F">
        <w:t xml:space="preserve"> completed a Monte Carlo sensitivity analysis for this regulatory analysis using the</w:t>
      </w:r>
      <w:r w:rsidR="001A4D0F">
        <w:t> </w:t>
      </w:r>
      <w:r w:rsidRPr="00AE758F">
        <w:t>specialty software @Risk.</w:t>
      </w:r>
      <w:r w:rsidRPr="00AE758F">
        <w:rPr>
          <w:rStyle w:val="FootnoteReference"/>
          <w:vertAlign w:val="superscript"/>
        </w:rPr>
        <w:footnoteReference w:id="8"/>
      </w:r>
      <w:r w:rsidRPr="00AE758F">
        <w:t xml:space="preserve">  The Monte Carlo approach answers the question, “What distribution of net benefits results from multiple </w:t>
      </w:r>
      <w:r w:rsidRPr="00AE758F" w:rsidR="00135322">
        <w:t xml:space="preserve">model simulations using </w:t>
      </w:r>
      <w:r w:rsidRPr="00AE758F">
        <w:t>the probability distribution</w:t>
      </w:r>
      <w:r w:rsidRPr="00AE758F" w:rsidR="00135322">
        <w:t>s</w:t>
      </w:r>
      <w:r w:rsidRPr="00AE758F">
        <w:t xml:space="preserve"> assigned to key </w:t>
      </w:r>
      <w:r w:rsidRPr="00AE758F" w:rsidR="00135322">
        <w:t xml:space="preserve">input </w:t>
      </w:r>
      <w:r w:rsidRPr="00AE758F">
        <w:t>variables?”</w:t>
      </w:r>
    </w:p>
    <w:p w:rsidRPr="00AE758F" w:rsidR="00C8101A" w:rsidP="007936BF" w:rsidRDefault="00C8101A" w14:paraId="4A482DC0" w14:textId="77777777">
      <w:pPr>
        <w:spacing w:line="240" w:lineRule="auto"/>
      </w:pPr>
    </w:p>
    <w:p w:rsidRPr="00AE758F" w:rsidR="00C8101A" w:rsidP="00BF1F40" w:rsidRDefault="00C8101A" w14:paraId="4E0FF4B1" w14:textId="77777777">
      <w:pPr>
        <w:pStyle w:val="Heading3"/>
        <w:ind w:left="720" w:hanging="720"/>
      </w:pPr>
      <w:bookmarkStart w:name="_Toc436817854" w:id="306"/>
      <w:bookmarkStart w:name="_Toc443059996" w:id="307"/>
      <w:bookmarkStart w:name="_Toc456098348" w:id="308"/>
      <w:bookmarkStart w:name="_Toc457827361" w:id="309"/>
      <w:bookmarkStart w:name="_Toc521577257" w:id="310"/>
      <w:bookmarkStart w:name="_Toc7512440" w:id="311"/>
      <w:bookmarkStart w:name="_Toc81309136" w:id="312"/>
      <w:r w:rsidRPr="00AE758F">
        <w:t>5.13.1</w:t>
      </w:r>
      <w:r w:rsidRPr="00AE758F">
        <w:tab/>
        <w:t>Uncertainty Analysis Assumptions</w:t>
      </w:r>
      <w:bookmarkEnd w:id="306"/>
      <w:bookmarkEnd w:id="307"/>
      <w:bookmarkEnd w:id="308"/>
      <w:bookmarkEnd w:id="309"/>
      <w:bookmarkEnd w:id="310"/>
      <w:bookmarkEnd w:id="311"/>
      <w:bookmarkEnd w:id="312"/>
    </w:p>
    <w:p w:rsidRPr="00AE758F" w:rsidR="00C8101A" w:rsidP="007936BF" w:rsidRDefault="00C8101A" w14:paraId="552B1140" w14:textId="77777777">
      <w:pPr>
        <w:spacing w:line="240" w:lineRule="auto"/>
      </w:pPr>
    </w:p>
    <w:p w:rsidRPr="00AE758F" w:rsidR="00C8101A" w:rsidP="007936BF" w:rsidRDefault="00C8101A" w14:paraId="7041B41E" w14:textId="55A67DEE">
      <w:pPr>
        <w:spacing w:line="240" w:lineRule="auto"/>
      </w:pPr>
      <w:r w:rsidRPr="00AE758F">
        <w:t>As this regulatory analysis is based on estimates of values that are sensitive to plant</w:t>
      </w:r>
      <w:r w:rsidR="003A45F5">
        <w:noBreakHyphen/>
      </w:r>
      <w:r w:rsidRPr="00AE758F">
        <w:t xml:space="preserve">specific cost drivers and plant dissimilarities, the </w:t>
      </w:r>
      <w:r w:rsidRPr="00AE758F" w:rsidR="00C43A80">
        <w:t>NRC</w:t>
      </w:r>
      <w:r w:rsidRPr="00AE758F">
        <w:t xml:space="preserve"> provides the following analysis of the variables that have the greatest uncertainty.  </w:t>
      </w:r>
      <w:r w:rsidR="005A47F5">
        <w:t>T</w:t>
      </w:r>
      <w:r w:rsidRPr="00AE758F">
        <w:t xml:space="preserve">his </w:t>
      </w:r>
      <w:r w:rsidR="003A45F5">
        <w:t xml:space="preserve">uncertainty </w:t>
      </w:r>
      <w:r w:rsidRPr="00AE758F">
        <w:t>analysis</w:t>
      </w:r>
      <w:r w:rsidR="005A47F5">
        <w:t xml:space="preserve"> is based on </w:t>
      </w:r>
      <w:r w:rsidRPr="00AE758F">
        <w:t>Monte Carlo simulation</w:t>
      </w:r>
      <w:r w:rsidR="005A47F5">
        <w:t>s</w:t>
      </w:r>
      <w:r w:rsidRPr="00AE758F">
        <w:t xml:space="preserve"> </w:t>
      </w:r>
      <w:r w:rsidR="005A47F5">
        <w:t xml:space="preserve">performed </w:t>
      </w:r>
      <w:r w:rsidRPr="00AE758F">
        <w:t>using @Risk.</w:t>
      </w:r>
    </w:p>
    <w:p w:rsidRPr="00AE758F" w:rsidR="00C8101A" w:rsidP="007936BF" w:rsidRDefault="00C8101A" w14:paraId="23A7C402" w14:textId="77777777">
      <w:pPr>
        <w:spacing w:line="240" w:lineRule="auto"/>
      </w:pPr>
    </w:p>
    <w:p w:rsidRPr="00AE758F" w:rsidR="00C8101A" w:rsidP="007936BF" w:rsidRDefault="00C8101A" w14:paraId="761743C9" w14:textId="264AE3E4">
      <w:pPr>
        <w:spacing w:line="240" w:lineRule="auto"/>
      </w:pPr>
      <w:r w:rsidRPr="00AE758F">
        <w:t xml:space="preserve">Monte Carlo simulations </w:t>
      </w:r>
      <w:r w:rsidR="00411736">
        <w:t xml:space="preserve">account for </w:t>
      </w:r>
      <w:r w:rsidRPr="00AE758F">
        <w:t xml:space="preserve">uncertainty </w:t>
      </w:r>
      <w:r w:rsidR="00411736">
        <w:t xml:space="preserve">in </w:t>
      </w:r>
      <w:r w:rsidRPr="00AE758F">
        <w:t xml:space="preserve">the analysis by replacing point estimates of the </w:t>
      </w:r>
      <w:r w:rsidR="00411736">
        <w:t xml:space="preserve">input </w:t>
      </w:r>
      <w:r w:rsidRPr="00AE758F">
        <w:t xml:space="preserve">variables used to </w:t>
      </w:r>
      <w:r w:rsidR="00411736">
        <w:t xml:space="preserve">calculate </w:t>
      </w:r>
      <w:r w:rsidRPr="00AE758F">
        <w:t>base</w:t>
      </w:r>
      <w:r w:rsidRPr="00AE758F" w:rsidR="000413EC">
        <w:noBreakHyphen/>
      </w:r>
      <w:r w:rsidRPr="00AE758F">
        <w:t xml:space="preserve">case costs and benefits with probability distributions.  </w:t>
      </w:r>
      <w:r w:rsidR="00411736">
        <w:t xml:space="preserve">This provides an effective way to model </w:t>
      </w:r>
      <w:r w:rsidRPr="00AE758F">
        <w:t>the influence of uncertainty on the results of the analysis (i.e., the net benefits).</w:t>
      </w:r>
    </w:p>
    <w:p w:rsidRPr="00AE758F" w:rsidR="00C8101A" w:rsidP="007936BF" w:rsidRDefault="00C8101A" w14:paraId="759065A9" w14:textId="77777777">
      <w:pPr>
        <w:spacing w:line="240" w:lineRule="auto"/>
      </w:pPr>
    </w:p>
    <w:p w:rsidRPr="00AE758F" w:rsidR="00C8101A" w:rsidP="007936BF" w:rsidRDefault="00C8101A" w14:paraId="3F98F71C" w14:textId="14EFC62C">
      <w:pPr>
        <w:spacing w:line="240" w:lineRule="auto"/>
      </w:pPr>
      <w:r w:rsidRPr="00AE758F">
        <w:t xml:space="preserve">The probability distributions chosen </w:t>
      </w:r>
      <w:r w:rsidR="00D54EF4">
        <w:t xml:space="preserve">for the </w:t>
      </w:r>
      <w:r w:rsidRPr="00AE758F">
        <w:t>variables in the analysis were bounded by the range</w:t>
      </w:r>
      <w:r w:rsidRPr="00AE758F" w:rsidR="000413EC">
        <w:noBreakHyphen/>
      </w:r>
      <w:r w:rsidRPr="00AE758F">
        <w:t xml:space="preserve">referenced input and the staff’s professional judgment.  </w:t>
      </w:r>
      <w:r w:rsidR="00A97ADC">
        <w:t>T</w:t>
      </w:r>
      <w:r w:rsidRPr="00AE758F">
        <w:t xml:space="preserve">he probability distributions </w:t>
      </w:r>
      <w:r w:rsidR="00A97ADC">
        <w:t xml:space="preserve">to be used </w:t>
      </w:r>
      <w:r w:rsidRPr="00AE758F">
        <w:t xml:space="preserve">in a Monte Carlo simulation </w:t>
      </w:r>
      <w:r w:rsidR="00A97ADC">
        <w:t xml:space="preserve">need to be characterized by </w:t>
      </w:r>
      <w:r w:rsidRPr="00AE758F">
        <w:t>summary statistics.  These summary statistics include the minimum, most likely, and maximum values of a program evaluation and review technique (PERT) distribution</w:t>
      </w:r>
      <w:r w:rsidRPr="00AE758F" w:rsidR="002431EA">
        <w:t>,</w:t>
      </w:r>
      <w:r w:rsidRPr="00AE758F">
        <w:rPr>
          <w:rStyle w:val="FootnoteReference"/>
          <w:vertAlign w:val="superscript"/>
        </w:rPr>
        <w:footnoteReference w:id="9"/>
      </w:r>
      <w:r w:rsidRPr="00AE758F">
        <w:t xml:space="preserve"> the</w:t>
      </w:r>
      <w:r w:rsidR="001A4D0F">
        <w:t> </w:t>
      </w:r>
      <w:r w:rsidRPr="00AE758F">
        <w:t>minimum and maximum values of a uniform distribution</w:t>
      </w:r>
      <w:r w:rsidRPr="00AE758F" w:rsidR="002431EA">
        <w:t>,</w:t>
      </w:r>
      <w:r w:rsidRPr="00AE758F">
        <w:t xml:space="preserve"> and the specified integer values of a discrete population.  The staff used the PERT distribution to reflect the relative spread and skewness of the distribution defined by the three estimates.</w:t>
      </w:r>
    </w:p>
    <w:p w:rsidRPr="00AE758F" w:rsidR="00C8101A" w:rsidP="007936BF" w:rsidRDefault="00C8101A" w14:paraId="6A4CCA9B" w14:textId="77777777">
      <w:pPr>
        <w:spacing w:line="240" w:lineRule="auto"/>
      </w:pPr>
    </w:p>
    <w:p w:rsidRPr="00AE758F" w:rsidR="00C8101A" w:rsidP="007936BF" w:rsidRDefault="00A32693" w14:paraId="1F05898E" w14:textId="4D924034">
      <w:pPr>
        <w:spacing w:line="240" w:lineRule="auto"/>
      </w:pPr>
      <w:r w:rsidRPr="00AE758F">
        <w:fldChar w:fldCharType="begin"/>
      </w:r>
      <w:r w:rsidRPr="00AE758F">
        <w:instrText xml:space="preserve"> REF _Ref41923012 \h </w:instrText>
      </w:r>
      <w:r w:rsidRPr="00AE758F" w:rsidR="00E73146">
        <w:instrText xml:space="preserve"> \* MERGEFORMAT </w:instrText>
      </w:r>
      <w:r w:rsidRPr="00AE758F">
        <w:fldChar w:fldCharType="separate"/>
      </w:r>
      <w:r w:rsidRPr="006A41A8" w:rsidR="006A41A8">
        <w:rPr>
          <w:bCs/>
        </w:rPr>
        <w:t xml:space="preserve">Table </w:t>
      </w:r>
      <w:r w:rsidRPr="006A41A8" w:rsidR="006A41A8">
        <w:rPr>
          <w:bCs/>
          <w:noProof/>
        </w:rPr>
        <w:t>12</w:t>
      </w:r>
      <w:r w:rsidRPr="00AE758F">
        <w:fldChar w:fldCharType="end"/>
      </w:r>
      <w:r w:rsidRPr="00AE758F" w:rsidR="00C8101A">
        <w:t xml:space="preserve"> identifies the data elements, the distribution and summary statistic</w:t>
      </w:r>
      <w:r w:rsidR="00E6112F">
        <w:t>s for each</w:t>
      </w:r>
      <w:r w:rsidRPr="00AE758F" w:rsidR="00C8101A">
        <w:t>, and the mean value of the distribution used in the uncertainty analysis.</w:t>
      </w:r>
    </w:p>
    <w:p w:rsidRPr="00AE758F" w:rsidR="008F1397" w:rsidP="007936BF" w:rsidRDefault="008F1397" w14:paraId="4CE6AC69" w14:textId="2A84DD33">
      <w:pPr>
        <w:spacing w:line="240" w:lineRule="auto"/>
      </w:pPr>
    </w:p>
    <w:p w:rsidRPr="00AE758F" w:rsidR="00F12A38" w:rsidP="00382B4A" w:rsidRDefault="00F12A38" w14:paraId="1A4D0A30" w14:textId="41E43429">
      <w:pPr>
        <w:pStyle w:val="Caption"/>
        <w:spacing w:line="240" w:lineRule="auto"/>
        <w:jc w:val="center"/>
        <w:rPr>
          <w:b/>
          <w:bCs w:val="0"/>
        </w:rPr>
      </w:pPr>
      <w:bookmarkStart w:name="_Ref41923012" w:id="313"/>
      <w:bookmarkStart w:name="_Toc81309688" w:id="314"/>
      <w:r w:rsidRPr="00AE758F">
        <w:rPr>
          <w:b/>
          <w:bCs w:val="0"/>
        </w:rPr>
        <w:lastRenderedPageBreak/>
        <w:t xml:space="preserve">Table </w:t>
      </w:r>
      <w:r w:rsidRPr="00AE758F" w:rsidR="00817FA9">
        <w:rPr>
          <w:b/>
          <w:bCs w:val="0"/>
        </w:rPr>
        <w:fldChar w:fldCharType="begin"/>
      </w:r>
      <w:r w:rsidRPr="00AE758F" w:rsidR="00817FA9">
        <w:rPr>
          <w:b/>
          <w:bCs w:val="0"/>
        </w:rPr>
        <w:instrText xml:space="preserve"> SEQ Table \* ARABIC </w:instrText>
      </w:r>
      <w:r w:rsidRPr="00AE758F" w:rsidR="00817FA9">
        <w:rPr>
          <w:b/>
          <w:bCs w:val="0"/>
        </w:rPr>
        <w:fldChar w:fldCharType="separate"/>
      </w:r>
      <w:r w:rsidR="006A41A8">
        <w:rPr>
          <w:b/>
          <w:bCs w:val="0"/>
          <w:noProof/>
        </w:rPr>
        <w:t>12</w:t>
      </w:r>
      <w:r w:rsidRPr="00AE758F" w:rsidR="00817FA9">
        <w:rPr>
          <w:b/>
          <w:bCs w:val="0"/>
          <w:noProof/>
        </w:rPr>
        <w:fldChar w:fldCharType="end"/>
      </w:r>
      <w:bookmarkEnd w:id="313"/>
      <w:r w:rsidRPr="00AE758F" w:rsidR="002431EA">
        <w:rPr>
          <w:b/>
          <w:bCs w:val="0"/>
          <w:noProof/>
        </w:rPr>
        <w:t xml:space="preserve">  </w:t>
      </w:r>
      <w:r w:rsidRPr="00AE758F">
        <w:rPr>
          <w:b/>
          <w:bCs w:val="0"/>
        </w:rPr>
        <w:t>Uncertainty Analysis Variables</w:t>
      </w:r>
      <w:bookmarkEnd w:id="31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45"/>
        <w:gridCol w:w="1084"/>
        <w:gridCol w:w="1705"/>
        <w:gridCol w:w="1134"/>
        <w:gridCol w:w="1134"/>
        <w:gridCol w:w="1158"/>
      </w:tblGrid>
      <w:tr w:rsidRPr="00AE758F" w:rsidR="00C8101A" w:rsidTr="00382B4A" w14:paraId="3E89DF03" w14:textId="77777777">
        <w:trPr>
          <w:tblHeader/>
        </w:trPr>
        <w:tc>
          <w:tcPr>
            <w:tcW w:w="3145" w:type="dxa"/>
            <w:vAlign w:val="center"/>
            <w:hideMark/>
          </w:tcPr>
          <w:p w:rsidRPr="00AE758F" w:rsidR="00C8101A" w:rsidP="007936BF" w:rsidRDefault="00C8101A" w14:paraId="42CCF24B" w14:textId="77777777">
            <w:pPr>
              <w:spacing w:line="240" w:lineRule="auto"/>
              <w:jc w:val="center"/>
              <w:rPr>
                <w:b/>
                <w:bCs/>
                <w:sz w:val="20"/>
                <w:szCs w:val="20"/>
              </w:rPr>
            </w:pPr>
            <w:bookmarkStart w:name="RANGE!A1:F234" w:id="315"/>
            <w:bookmarkEnd w:id="315"/>
            <w:r w:rsidRPr="00AE758F">
              <w:rPr>
                <w:b/>
                <w:bCs/>
                <w:sz w:val="20"/>
                <w:szCs w:val="20"/>
              </w:rPr>
              <w:t>Data Element</w:t>
            </w:r>
          </w:p>
        </w:tc>
        <w:tc>
          <w:tcPr>
            <w:tcW w:w="1084" w:type="dxa"/>
            <w:vAlign w:val="center"/>
            <w:hideMark/>
          </w:tcPr>
          <w:p w:rsidRPr="00AE758F" w:rsidR="00C8101A" w:rsidP="007936BF" w:rsidRDefault="00C8101A" w14:paraId="4B77EEF4" w14:textId="77777777">
            <w:pPr>
              <w:spacing w:line="240" w:lineRule="auto"/>
              <w:jc w:val="center"/>
              <w:rPr>
                <w:b/>
                <w:bCs/>
                <w:sz w:val="20"/>
                <w:szCs w:val="20"/>
              </w:rPr>
            </w:pPr>
            <w:r w:rsidRPr="00AE758F">
              <w:rPr>
                <w:b/>
                <w:bCs/>
                <w:sz w:val="20"/>
                <w:szCs w:val="20"/>
              </w:rPr>
              <w:t>Mean Estimate</w:t>
            </w:r>
          </w:p>
        </w:tc>
        <w:tc>
          <w:tcPr>
            <w:tcW w:w="1705" w:type="dxa"/>
            <w:noWrap/>
            <w:vAlign w:val="center"/>
            <w:hideMark/>
          </w:tcPr>
          <w:p w:rsidRPr="00AE758F" w:rsidR="00C8101A" w:rsidP="007936BF" w:rsidRDefault="00C8101A" w14:paraId="5316D9F6" w14:textId="77777777">
            <w:pPr>
              <w:spacing w:line="240" w:lineRule="auto"/>
              <w:jc w:val="center"/>
              <w:rPr>
                <w:b/>
                <w:bCs/>
                <w:sz w:val="20"/>
                <w:szCs w:val="20"/>
              </w:rPr>
            </w:pPr>
            <w:r w:rsidRPr="00AE758F">
              <w:rPr>
                <w:b/>
                <w:bCs/>
                <w:sz w:val="20"/>
                <w:szCs w:val="20"/>
              </w:rPr>
              <w:t>Distribution</w:t>
            </w:r>
          </w:p>
        </w:tc>
        <w:tc>
          <w:tcPr>
            <w:tcW w:w="1134" w:type="dxa"/>
            <w:vAlign w:val="center"/>
            <w:hideMark/>
          </w:tcPr>
          <w:p w:rsidRPr="00AE758F" w:rsidR="00C8101A" w:rsidP="007936BF" w:rsidRDefault="00C8101A" w14:paraId="2EB48B9C" w14:textId="77777777">
            <w:pPr>
              <w:spacing w:line="240" w:lineRule="auto"/>
              <w:jc w:val="center"/>
              <w:rPr>
                <w:b/>
                <w:bCs/>
                <w:sz w:val="20"/>
                <w:szCs w:val="20"/>
              </w:rPr>
            </w:pPr>
            <w:r w:rsidRPr="00AE758F">
              <w:rPr>
                <w:b/>
                <w:bCs/>
                <w:sz w:val="20"/>
                <w:szCs w:val="20"/>
              </w:rPr>
              <w:t>Low Estimate</w:t>
            </w:r>
          </w:p>
        </w:tc>
        <w:tc>
          <w:tcPr>
            <w:tcW w:w="1134" w:type="dxa"/>
            <w:vAlign w:val="center"/>
            <w:hideMark/>
          </w:tcPr>
          <w:p w:rsidRPr="00AE758F" w:rsidR="00C8101A" w:rsidP="007936BF" w:rsidRDefault="00C8101A" w14:paraId="5F5C9FF5" w14:textId="77777777">
            <w:pPr>
              <w:spacing w:line="240" w:lineRule="auto"/>
              <w:jc w:val="center"/>
              <w:rPr>
                <w:b/>
                <w:bCs/>
                <w:sz w:val="20"/>
                <w:szCs w:val="20"/>
              </w:rPr>
            </w:pPr>
            <w:r w:rsidRPr="00AE758F">
              <w:rPr>
                <w:b/>
                <w:bCs/>
                <w:sz w:val="20"/>
                <w:szCs w:val="20"/>
              </w:rPr>
              <w:t>Best Estimate</w:t>
            </w:r>
          </w:p>
        </w:tc>
        <w:tc>
          <w:tcPr>
            <w:tcW w:w="1158" w:type="dxa"/>
            <w:vAlign w:val="center"/>
            <w:hideMark/>
          </w:tcPr>
          <w:p w:rsidRPr="00AE758F" w:rsidR="00C8101A" w:rsidP="007936BF" w:rsidRDefault="00C8101A" w14:paraId="7F71745C" w14:textId="77777777">
            <w:pPr>
              <w:spacing w:line="240" w:lineRule="auto"/>
              <w:jc w:val="center"/>
              <w:rPr>
                <w:b/>
                <w:bCs/>
                <w:sz w:val="20"/>
                <w:szCs w:val="20"/>
              </w:rPr>
            </w:pPr>
            <w:r w:rsidRPr="00AE758F">
              <w:rPr>
                <w:b/>
                <w:bCs/>
                <w:sz w:val="20"/>
                <w:szCs w:val="20"/>
              </w:rPr>
              <w:t>High Estimate</w:t>
            </w:r>
          </w:p>
        </w:tc>
      </w:tr>
      <w:tr w:rsidRPr="00AE758F" w:rsidR="00C8101A" w:rsidTr="00382B4A" w14:paraId="2506A15F" w14:textId="77777777">
        <w:tc>
          <w:tcPr>
            <w:tcW w:w="9360" w:type="dxa"/>
            <w:gridSpan w:val="6"/>
            <w:vAlign w:val="center"/>
            <w:hideMark/>
          </w:tcPr>
          <w:p w:rsidRPr="001A4D0F" w:rsidR="00C8101A" w:rsidP="007936BF" w:rsidRDefault="0056446F" w14:paraId="2842C830" w14:textId="388B97E0">
            <w:pPr>
              <w:spacing w:line="240" w:lineRule="auto"/>
              <w:rPr>
                <w:b/>
                <w:bCs/>
                <w:sz w:val="20"/>
                <w:szCs w:val="20"/>
              </w:rPr>
            </w:pPr>
            <w:bookmarkStart w:name="_Hlk40204130" w:id="316"/>
            <w:r w:rsidRPr="00AE758F">
              <w:rPr>
                <w:b/>
                <w:bCs/>
                <w:sz w:val="20"/>
                <w:szCs w:val="20"/>
              </w:rPr>
              <w:t>Labor Rates</w:t>
            </w:r>
          </w:p>
        </w:tc>
      </w:tr>
      <w:tr w:rsidRPr="00AE758F" w:rsidR="0056446F" w:rsidTr="00382B4A" w14:paraId="63AD5A9B" w14:textId="77777777">
        <w:tc>
          <w:tcPr>
            <w:tcW w:w="3145" w:type="dxa"/>
            <w:vAlign w:val="center"/>
            <w:hideMark/>
          </w:tcPr>
          <w:p w:rsidRPr="001A4D0F" w:rsidR="0056446F" w:rsidP="007936BF" w:rsidRDefault="0056446F" w14:paraId="0A697B61" w14:textId="2402BD3B">
            <w:pPr>
              <w:spacing w:line="240" w:lineRule="auto"/>
              <w:rPr>
                <w:sz w:val="20"/>
                <w:szCs w:val="20"/>
              </w:rPr>
            </w:pPr>
            <w:r w:rsidRPr="00AE758F">
              <w:rPr>
                <w:color w:val="000000"/>
                <w:sz w:val="20"/>
                <w:szCs w:val="20"/>
              </w:rPr>
              <w:t xml:space="preserve">Weighted </w:t>
            </w:r>
            <w:r w:rsidR="0076338C">
              <w:rPr>
                <w:color w:val="000000"/>
                <w:sz w:val="20"/>
                <w:szCs w:val="20"/>
              </w:rPr>
              <w:t>H</w:t>
            </w:r>
            <w:r w:rsidRPr="00AE758F">
              <w:rPr>
                <w:color w:val="000000"/>
                <w:sz w:val="20"/>
                <w:szCs w:val="20"/>
              </w:rPr>
              <w:t xml:space="preserve">ourly </w:t>
            </w:r>
            <w:r w:rsidR="0076338C">
              <w:rPr>
                <w:color w:val="000000"/>
                <w:sz w:val="20"/>
                <w:szCs w:val="20"/>
              </w:rPr>
              <w:t>R</w:t>
            </w:r>
            <w:r w:rsidRPr="00AE758F">
              <w:rPr>
                <w:color w:val="000000"/>
                <w:sz w:val="20"/>
                <w:szCs w:val="20"/>
              </w:rPr>
              <w:t xml:space="preserve">ate for </w:t>
            </w:r>
            <w:r w:rsidR="0076338C">
              <w:rPr>
                <w:color w:val="000000"/>
                <w:sz w:val="20"/>
                <w:szCs w:val="20"/>
              </w:rPr>
              <w:t>I</w:t>
            </w:r>
            <w:r w:rsidRPr="00AE758F">
              <w:rPr>
                <w:color w:val="000000"/>
                <w:sz w:val="20"/>
                <w:szCs w:val="20"/>
              </w:rPr>
              <w:t>ndustry</w:t>
            </w:r>
          </w:p>
        </w:tc>
        <w:tc>
          <w:tcPr>
            <w:tcW w:w="108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E758F" w:rsidR="0056446F" w:rsidP="007936BF" w:rsidRDefault="0056446F" w14:paraId="0BAEDEC1" w14:textId="37B7196C">
            <w:pPr>
              <w:spacing w:line="240" w:lineRule="auto"/>
              <w:jc w:val="center"/>
              <w:rPr>
                <w:color w:val="000000"/>
                <w:sz w:val="20"/>
                <w:szCs w:val="20"/>
              </w:rPr>
            </w:pPr>
            <w:r w:rsidRPr="00AE758F">
              <w:rPr>
                <w:color w:val="000000"/>
                <w:sz w:val="20"/>
                <w:szCs w:val="20"/>
              </w:rPr>
              <w:t>$13</w:t>
            </w:r>
            <w:r w:rsidR="00873C6B">
              <w:rPr>
                <w:color w:val="000000"/>
                <w:sz w:val="20"/>
                <w:szCs w:val="20"/>
              </w:rPr>
              <w:t>7.78</w:t>
            </w:r>
          </w:p>
        </w:tc>
        <w:tc>
          <w:tcPr>
            <w:tcW w:w="1705" w:type="dxa"/>
            <w:tcBorders>
              <w:top w:val="single" w:color="auto" w:sz="4" w:space="0"/>
              <w:left w:val="nil"/>
              <w:bottom w:val="single" w:color="auto" w:sz="4" w:space="0"/>
              <w:right w:val="single" w:color="auto" w:sz="4" w:space="0"/>
            </w:tcBorders>
            <w:shd w:val="clear" w:color="auto" w:fill="auto"/>
            <w:noWrap/>
            <w:vAlign w:val="center"/>
            <w:hideMark/>
          </w:tcPr>
          <w:p w:rsidRPr="00AE758F" w:rsidR="0056446F" w:rsidP="007936BF" w:rsidRDefault="0056446F" w14:paraId="4EA45386" w14:textId="62CAF0BE">
            <w:pPr>
              <w:spacing w:line="240" w:lineRule="auto"/>
              <w:jc w:val="center"/>
              <w:rPr>
                <w:color w:val="000000"/>
                <w:sz w:val="20"/>
                <w:szCs w:val="20"/>
              </w:rPr>
            </w:pPr>
            <w:r w:rsidRPr="00AE758F">
              <w:rPr>
                <w:color w:val="000000"/>
                <w:sz w:val="20"/>
                <w:szCs w:val="20"/>
              </w:rPr>
              <w:t>PERT</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AE758F" w:rsidR="0056446F" w:rsidP="007936BF" w:rsidRDefault="0056446F" w14:paraId="11252B7A" w14:textId="26847332">
            <w:pPr>
              <w:spacing w:line="240" w:lineRule="auto"/>
              <w:jc w:val="center"/>
              <w:rPr>
                <w:color w:val="000000"/>
                <w:sz w:val="20"/>
                <w:szCs w:val="20"/>
              </w:rPr>
            </w:pPr>
            <w:r w:rsidRPr="00AE758F">
              <w:rPr>
                <w:color w:val="000000"/>
                <w:sz w:val="20"/>
                <w:szCs w:val="20"/>
              </w:rPr>
              <w:t>$10</w:t>
            </w:r>
            <w:r w:rsidR="00873C6B">
              <w:rPr>
                <w:color w:val="000000"/>
                <w:sz w:val="20"/>
                <w:szCs w:val="20"/>
              </w:rPr>
              <w:t>9.55</w:t>
            </w:r>
          </w:p>
        </w:tc>
        <w:tc>
          <w:tcPr>
            <w:tcW w:w="1134" w:type="dxa"/>
            <w:tcBorders>
              <w:top w:val="single" w:color="auto" w:sz="4" w:space="0"/>
              <w:left w:val="nil"/>
              <w:bottom w:val="single" w:color="auto" w:sz="4" w:space="0"/>
              <w:right w:val="single" w:color="auto" w:sz="4" w:space="0"/>
            </w:tcBorders>
            <w:shd w:val="clear" w:color="auto" w:fill="auto"/>
            <w:noWrap/>
            <w:vAlign w:val="center"/>
            <w:hideMark/>
          </w:tcPr>
          <w:p w:rsidRPr="00AE758F" w:rsidR="0056446F" w:rsidP="007936BF" w:rsidRDefault="0056446F" w14:paraId="5A019B18" w14:textId="4B4A7F15">
            <w:pPr>
              <w:spacing w:line="240" w:lineRule="auto"/>
              <w:jc w:val="center"/>
              <w:rPr>
                <w:color w:val="000000"/>
                <w:sz w:val="20"/>
                <w:szCs w:val="20"/>
              </w:rPr>
            </w:pPr>
            <w:r w:rsidRPr="00AE758F">
              <w:rPr>
                <w:color w:val="000000"/>
                <w:sz w:val="20"/>
                <w:szCs w:val="20"/>
              </w:rPr>
              <w:t>$13</w:t>
            </w:r>
            <w:r w:rsidR="008337DA">
              <w:rPr>
                <w:color w:val="000000"/>
                <w:sz w:val="20"/>
                <w:szCs w:val="20"/>
              </w:rPr>
              <w:t>9.75</w:t>
            </w:r>
          </w:p>
        </w:tc>
        <w:tc>
          <w:tcPr>
            <w:tcW w:w="1158" w:type="dxa"/>
            <w:tcBorders>
              <w:top w:val="single" w:color="auto" w:sz="4" w:space="0"/>
              <w:left w:val="nil"/>
              <w:bottom w:val="single" w:color="auto" w:sz="4" w:space="0"/>
              <w:right w:val="single" w:color="auto" w:sz="4" w:space="0"/>
            </w:tcBorders>
            <w:shd w:val="clear" w:color="auto" w:fill="auto"/>
            <w:noWrap/>
            <w:vAlign w:val="center"/>
            <w:hideMark/>
          </w:tcPr>
          <w:p w:rsidRPr="00AE758F" w:rsidR="0056446F" w:rsidP="007936BF" w:rsidRDefault="0056446F" w14:paraId="0AA7D544" w14:textId="771DB8A3">
            <w:pPr>
              <w:spacing w:line="240" w:lineRule="auto"/>
              <w:jc w:val="center"/>
              <w:rPr>
                <w:color w:val="000000"/>
                <w:sz w:val="20"/>
                <w:szCs w:val="20"/>
              </w:rPr>
            </w:pPr>
            <w:r w:rsidRPr="00AE758F">
              <w:rPr>
                <w:color w:val="000000"/>
                <w:sz w:val="20"/>
                <w:szCs w:val="20"/>
              </w:rPr>
              <w:t>$15</w:t>
            </w:r>
            <w:r w:rsidR="008337DA">
              <w:rPr>
                <w:color w:val="000000"/>
                <w:sz w:val="20"/>
                <w:szCs w:val="20"/>
              </w:rPr>
              <w:t>8.09</w:t>
            </w:r>
          </w:p>
        </w:tc>
      </w:tr>
      <w:bookmarkEnd w:id="316"/>
      <w:tr w:rsidRPr="00AE758F" w:rsidR="00C8101A" w:rsidTr="00382B4A" w14:paraId="5375B4A2" w14:textId="77777777">
        <w:tc>
          <w:tcPr>
            <w:tcW w:w="3145" w:type="dxa"/>
            <w:vAlign w:val="center"/>
          </w:tcPr>
          <w:p w:rsidRPr="001A4D0F" w:rsidR="00C8101A" w:rsidP="007936BF" w:rsidRDefault="0056446F" w14:paraId="0C79E266" w14:textId="765BBEB7">
            <w:pPr>
              <w:spacing w:line="240" w:lineRule="auto"/>
              <w:rPr>
                <w:sz w:val="20"/>
                <w:szCs w:val="20"/>
              </w:rPr>
            </w:pPr>
            <w:r w:rsidRPr="00AE758F">
              <w:rPr>
                <w:sz w:val="20"/>
                <w:szCs w:val="20"/>
              </w:rPr>
              <w:t xml:space="preserve">Weighted </w:t>
            </w:r>
            <w:r w:rsidR="0076338C">
              <w:rPr>
                <w:sz w:val="20"/>
                <w:szCs w:val="20"/>
              </w:rPr>
              <w:t>H</w:t>
            </w:r>
            <w:r w:rsidRPr="00AE758F">
              <w:rPr>
                <w:sz w:val="20"/>
                <w:szCs w:val="20"/>
              </w:rPr>
              <w:t xml:space="preserve">ourly </w:t>
            </w:r>
            <w:r w:rsidR="0076338C">
              <w:rPr>
                <w:sz w:val="20"/>
                <w:szCs w:val="20"/>
              </w:rPr>
              <w:t>R</w:t>
            </w:r>
            <w:r w:rsidRPr="00AE758F">
              <w:rPr>
                <w:sz w:val="20"/>
                <w:szCs w:val="20"/>
              </w:rPr>
              <w:t xml:space="preserve">ate for </w:t>
            </w:r>
            <w:r w:rsidR="0076338C">
              <w:rPr>
                <w:sz w:val="20"/>
                <w:szCs w:val="20"/>
              </w:rPr>
              <w:t xml:space="preserve">the </w:t>
            </w:r>
            <w:r w:rsidRPr="00AE758F">
              <w:rPr>
                <w:sz w:val="20"/>
                <w:szCs w:val="20"/>
              </w:rPr>
              <w:t>NRC</w:t>
            </w:r>
          </w:p>
        </w:tc>
        <w:tc>
          <w:tcPr>
            <w:tcW w:w="1084" w:type="dxa"/>
            <w:noWrap/>
            <w:vAlign w:val="center"/>
          </w:tcPr>
          <w:p w:rsidRPr="00AE758F" w:rsidR="00C8101A" w:rsidP="007936BF" w:rsidRDefault="0056446F" w14:paraId="3AEF20B9" w14:textId="120C7E72">
            <w:pPr>
              <w:spacing w:line="240" w:lineRule="auto"/>
              <w:jc w:val="center"/>
              <w:rPr>
                <w:color w:val="000000"/>
                <w:sz w:val="20"/>
                <w:szCs w:val="20"/>
              </w:rPr>
            </w:pPr>
            <w:r w:rsidRPr="00AE758F">
              <w:rPr>
                <w:color w:val="000000"/>
                <w:sz w:val="20"/>
                <w:szCs w:val="20"/>
              </w:rPr>
              <w:t>$13</w:t>
            </w:r>
            <w:r w:rsidR="00CB0DF8">
              <w:rPr>
                <w:color w:val="000000"/>
                <w:sz w:val="20"/>
                <w:szCs w:val="20"/>
              </w:rPr>
              <w:t>7</w:t>
            </w:r>
          </w:p>
        </w:tc>
        <w:tc>
          <w:tcPr>
            <w:tcW w:w="1705" w:type="dxa"/>
            <w:noWrap/>
            <w:vAlign w:val="center"/>
          </w:tcPr>
          <w:p w:rsidRPr="00AE758F" w:rsidR="00C8101A" w:rsidP="007936BF" w:rsidRDefault="002431EA" w14:paraId="02C71F7E" w14:textId="472D9D65">
            <w:pPr>
              <w:spacing w:line="240" w:lineRule="auto"/>
              <w:jc w:val="center"/>
              <w:rPr>
                <w:color w:val="000000"/>
                <w:sz w:val="20"/>
                <w:szCs w:val="20"/>
              </w:rPr>
            </w:pPr>
            <w:r w:rsidRPr="00AE758F">
              <w:rPr>
                <w:color w:val="000000"/>
                <w:sz w:val="20"/>
                <w:szCs w:val="20"/>
              </w:rPr>
              <w:t>None</w:t>
            </w:r>
          </w:p>
        </w:tc>
        <w:tc>
          <w:tcPr>
            <w:tcW w:w="1134" w:type="dxa"/>
            <w:noWrap/>
            <w:vAlign w:val="center"/>
          </w:tcPr>
          <w:p w:rsidRPr="00AE758F" w:rsidR="00C8101A" w:rsidP="007936BF" w:rsidRDefault="00C8101A" w14:paraId="2C0FE6C9" w14:textId="20008EBB">
            <w:pPr>
              <w:spacing w:line="240" w:lineRule="auto"/>
              <w:jc w:val="center"/>
              <w:rPr>
                <w:color w:val="000000"/>
                <w:sz w:val="20"/>
                <w:szCs w:val="20"/>
              </w:rPr>
            </w:pPr>
          </w:p>
        </w:tc>
        <w:tc>
          <w:tcPr>
            <w:tcW w:w="1134" w:type="dxa"/>
            <w:noWrap/>
            <w:vAlign w:val="center"/>
          </w:tcPr>
          <w:p w:rsidRPr="00AE758F" w:rsidR="00C8101A" w:rsidP="007936BF" w:rsidRDefault="00C8101A" w14:paraId="791587D5" w14:textId="2F3504A9">
            <w:pPr>
              <w:spacing w:line="240" w:lineRule="auto"/>
              <w:jc w:val="center"/>
              <w:rPr>
                <w:color w:val="000000"/>
                <w:sz w:val="20"/>
                <w:szCs w:val="20"/>
              </w:rPr>
            </w:pPr>
          </w:p>
        </w:tc>
        <w:tc>
          <w:tcPr>
            <w:tcW w:w="1158" w:type="dxa"/>
            <w:noWrap/>
            <w:vAlign w:val="center"/>
          </w:tcPr>
          <w:p w:rsidRPr="00AE758F" w:rsidR="00C8101A" w:rsidP="007936BF" w:rsidRDefault="00C8101A" w14:paraId="4A08ECEA" w14:textId="3B5E6427">
            <w:pPr>
              <w:spacing w:line="240" w:lineRule="auto"/>
              <w:jc w:val="center"/>
              <w:rPr>
                <w:color w:val="000000"/>
                <w:sz w:val="20"/>
                <w:szCs w:val="20"/>
              </w:rPr>
            </w:pPr>
          </w:p>
        </w:tc>
      </w:tr>
      <w:tr w:rsidRPr="00AE758F" w:rsidR="00872CBF" w:rsidTr="00382B4A" w14:paraId="05D25DF2" w14:textId="77777777">
        <w:tc>
          <w:tcPr>
            <w:tcW w:w="9360" w:type="dxa"/>
            <w:gridSpan w:val="6"/>
            <w:vAlign w:val="center"/>
          </w:tcPr>
          <w:p w:rsidRPr="00AE758F" w:rsidR="00872CBF" w:rsidP="007936BF" w:rsidRDefault="00872CBF" w14:paraId="7B8DB129" w14:textId="67F16CD5">
            <w:pPr>
              <w:keepNext/>
              <w:keepLines/>
              <w:spacing w:line="240" w:lineRule="auto"/>
              <w:rPr>
                <w:b/>
                <w:bCs/>
                <w:color w:val="auto"/>
                <w:sz w:val="20"/>
                <w:szCs w:val="20"/>
              </w:rPr>
            </w:pPr>
            <w:r w:rsidRPr="00AE758F">
              <w:rPr>
                <w:b/>
                <w:bCs/>
                <w:color w:val="auto"/>
                <w:sz w:val="20"/>
                <w:szCs w:val="20"/>
              </w:rPr>
              <w:t>Reduced Industry Training for Level I and II Certifications per Power Plant</w:t>
            </w:r>
          </w:p>
        </w:tc>
      </w:tr>
      <w:tr w:rsidRPr="00AE758F" w:rsidR="00586218" w:rsidTr="00382B4A" w14:paraId="77A40B40" w14:textId="77777777">
        <w:tc>
          <w:tcPr>
            <w:tcW w:w="3145" w:type="dxa"/>
            <w:vAlign w:val="center"/>
            <w:hideMark/>
          </w:tcPr>
          <w:p w:rsidRPr="001A4D0F" w:rsidR="00586218" w:rsidP="007936BF" w:rsidRDefault="00586218" w14:paraId="2CCCE355" w14:textId="0F0CB7F3">
            <w:pPr>
              <w:spacing w:line="240" w:lineRule="auto"/>
              <w:rPr>
                <w:sz w:val="20"/>
                <w:szCs w:val="20"/>
              </w:rPr>
            </w:pPr>
            <w:r w:rsidRPr="00AE758F">
              <w:rPr>
                <w:sz w:val="20"/>
                <w:szCs w:val="20"/>
              </w:rPr>
              <w:t xml:space="preserve">Industry </w:t>
            </w:r>
            <w:r w:rsidR="0076338C">
              <w:rPr>
                <w:sz w:val="20"/>
                <w:szCs w:val="20"/>
              </w:rPr>
              <w:t>H</w:t>
            </w:r>
            <w:r w:rsidRPr="00AE758F">
              <w:rPr>
                <w:sz w:val="20"/>
                <w:szCs w:val="20"/>
              </w:rPr>
              <w:t xml:space="preserve">ours </w:t>
            </w:r>
            <w:r w:rsidR="0076338C">
              <w:rPr>
                <w:sz w:val="20"/>
                <w:szCs w:val="20"/>
              </w:rPr>
              <w:t>R</w:t>
            </w:r>
            <w:r w:rsidRPr="00AE758F">
              <w:rPr>
                <w:sz w:val="20"/>
                <w:szCs w:val="20"/>
              </w:rPr>
              <w:t>educed</w:t>
            </w:r>
          </w:p>
        </w:tc>
        <w:tc>
          <w:tcPr>
            <w:tcW w:w="1084" w:type="dxa"/>
            <w:noWrap/>
            <w:vAlign w:val="center"/>
            <w:hideMark/>
          </w:tcPr>
          <w:p w:rsidRPr="00AE758F" w:rsidR="00586218" w:rsidP="007936BF" w:rsidRDefault="00586218" w14:paraId="4B3A0DCB" w14:textId="569B9DF1">
            <w:pPr>
              <w:spacing w:line="240" w:lineRule="auto"/>
              <w:jc w:val="center"/>
              <w:rPr>
                <w:color w:val="000000"/>
                <w:sz w:val="20"/>
                <w:szCs w:val="20"/>
              </w:rPr>
            </w:pPr>
            <w:r w:rsidRPr="00AE758F">
              <w:rPr>
                <w:sz w:val="20"/>
                <w:szCs w:val="20"/>
              </w:rPr>
              <w:t>78</w:t>
            </w:r>
          </w:p>
        </w:tc>
        <w:tc>
          <w:tcPr>
            <w:tcW w:w="1705" w:type="dxa"/>
            <w:noWrap/>
            <w:vAlign w:val="center"/>
            <w:hideMark/>
          </w:tcPr>
          <w:p w:rsidRPr="00AE758F" w:rsidR="00586218" w:rsidP="007936BF" w:rsidRDefault="00586218" w14:paraId="0D2FFD64" w14:textId="3BFBFFC3">
            <w:pPr>
              <w:spacing w:line="240" w:lineRule="auto"/>
              <w:jc w:val="center"/>
              <w:rPr>
                <w:color w:val="000000"/>
                <w:sz w:val="20"/>
                <w:szCs w:val="20"/>
              </w:rPr>
            </w:pPr>
            <w:r w:rsidRPr="00AE758F">
              <w:rPr>
                <w:sz w:val="20"/>
                <w:szCs w:val="20"/>
              </w:rPr>
              <w:t>U</w:t>
            </w:r>
            <w:r w:rsidRPr="00AE758F" w:rsidR="002431EA">
              <w:rPr>
                <w:sz w:val="20"/>
                <w:szCs w:val="20"/>
              </w:rPr>
              <w:t>niform</w:t>
            </w:r>
          </w:p>
        </w:tc>
        <w:tc>
          <w:tcPr>
            <w:tcW w:w="1134" w:type="dxa"/>
            <w:noWrap/>
            <w:vAlign w:val="center"/>
            <w:hideMark/>
          </w:tcPr>
          <w:p w:rsidRPr="00AE758F" w:rsidR="00586218" w:rsidP="007936BF" w:rsidRDefault="00586218" w14:paraId="0518943D" w14:textId="647D385B">
            <w:pPr>
              <w:spacing w:line="240" w:lineRule="auto"/>
              <w:jc w:val="center"/>
              <w:rPr>
                <w:color w:val="000000"/>
                <w:sz w:val="20"/>
                <w:szCs w:val="20"/>
              </w:rPr>
            </w:pPr>
            <w:r w:rsidRPr="00AE758F">
              <w:rPr>
                <w:sz w:val="20"/>
                <w:szCs w:val="20"/>
              </w:rPr>
              <w:t>75</w:t>
            </w:r>
          </w:p>
        </w:tc>
        <w:tc>
          <w:tcPr>
            <w:tcW w:w="1134" w:type="dxa"/>
            <w:noWrap/>
            <w:vAlign w:val="center"/>
            <w:hideMark/>
          </w:tcPr>
          <w:p w:rsidRPr="00AE758F" w:rsidR="00586218" w:rsidP="007936BF" w:rsidRDefault="00586218" w14:paraId="1AFB9066" w14:textId="32E7D580">
            <w:pPr>
              <w:spacing w:line="240" w:lineRule="auto"/>
              <w:jc w:val="center"/>
              <w:rPr>
                <w:color w:val="000000"/>
                <w:sz w:val="20"/>
                <w:szCs w:val="20"/>
              </w:rPr>
            </w:pPr>
          </w:p>
        </w:tc>
        <w:tc>
          <w:tcPr>
            <w:tcW w:w="1158" w:type="dxa"/>
            <w:noWrap/>
            <w:vAlign w:val="center"/>
            <w:hideMark/>
          </w:tcPr>
          <w:p w:rsidRPr="00AE758F" w:rsidR="00586218" w:rsidP="007936BF" w:rsidRDefault="00586218" w14:paraId="3FDF6149" w14:textId="3DD5D296">
            <w:pPr>
              <w:spacing w:line="240" w:lineRule="auto"/>
              <w:jc w:val="center"/>
              <w:rPr>
                <w:color w:val="000000"/>
                <w:sz w:val="20"/>
                <w:szCs w:val="20"/>
              </w:rPr>
            </w:pPr>
            <w:r w:rsidRPr="00AE758F">
              <w:rPr>
                <w:sz w:val="20"/>
                <w:szCs w:val="20"/>
              </w:rPr>
              <w:t>80</w:t>
            </w:r>
          </w:p>
        </w:tc>
      </w:tr>
      <w:tr w:rsidRPr="00AE758F" w:rsidR="00586218" w:rsidTr="00382B4A" w14:paraId="0946A924" w14:textId="77777777">
        <w:tc>
          <w:tcPr>
            <w:tcW w:w="3145" w:type="dxa"/>
            <w:vAlign w:val="center"/>
            <w:hideMark/>
          </w:tcPr>
          <w:p w:rsidRPr="001A4D0F" w:rsidR="00586218" w:rsidP="007936BF" w:rsidRDefault="00586218" w14:paraId="6B509F5E" w14:textId="4D516003">
            <w:pPr>
              <w:spacing w:line="240" w:lineRule="auto"/>
              <w:rPr>
                <w:sz w:val="20"/>
                <w:szCs w:val="20"/>
              </w:rPr>
            </w:pPr>
            <w:r w:rsidRPr="00AE758F">
              <w:rPr>
                <w:sz w:val="20"/>
                <w:szCs w:val="20"/>
              </w:rPr>
              <w:t xml:space="preserve">Number of </w:t>
            </w:r>
            <w:r w:rsidR="0076338C">
              <w:rPr>
                <w:sz w:val="20"/>
                <w:szCs w:val="20"/>
              </w:rPr>
              <w:t>P</w:t>
            </w:r>
            <w:r w:rsidRPr="00AE758F">
              <w:rPr>
                <w:sz w:val="20"/>
                <w:szCs w:val="20"/>
              </w:rPr>
              <w:t xml:space="preserve">ersonnel </w:t>
            </w:r>
            <w:r w:rsidR="0076338C">
              <w:rPr>
                <w:sz w:val="20"/>
                <w:szCs w:val="20"/>
              </w:rPr>
              <w:t>C</w:t>
            </w:r>
            <w:r w:rsidRPr="00AE758F">
              <w:rPr>
                <w:sz w:val="20"/>
                <w:szCs w:val="20"/>
              </w:rPr>
              <w:t xml:space="preserve">ompleting </w:t>
            </w:r>
            <w:r w:rsidR="0076338C">
              <w:rPr>
                <w:sz w:val="20"/>
                <w:szCs w:val="20"/>
              </w:rPr>
              <w:t>T</w:t>
            </w:r>
            <w:r w:rsidRPr="00AE758F">
              <w:rPr>
                <w:sz w:val="20"/>
                <w:szCs w:val="20"/>
              </w:rPr>
              <w:t xml:space="preserve">raining </w:t>
            </w:r>
            <w:r w:rsidRPr="00AE758F" w:rsidR="002431EA">
              <w:rPr>
                <w:sz w:val="20"/>
                <w:szCs w:val="20"/>
              </w:rPr>
              <w:t xml:space="preserve">at </w:t>
            </w:r>
            <w:r w:rsidR="0076338C">
              <w:rPr>
                <w:sz w:val="20"/>
                <w:szCs w:val="20"/>
              </w:rPr>
              <w:t>E</w:t>
            </w:r>
            <w:r w:rsidRPr="00AE758F">
              <w:rPr>
                <w:sz w:val="20"/>
                <w:szCs w:val="20"/>
              </w:rPr>
              <w:t xml:space="preserve">ach </w:t>
            </w:r>
            <w:r w:rsidR="0076338C">
              <w:rPr>
                <w:sz w:val="20"/>
                <w:szCs w:val="20"/>
              </w:rPr>
              <w:t>P</w:t>
            </w:r>
            <w:r w:rsidRPr="00AE758F">
              <w:rPr>
                <w:sz w:val="20"/>
                <w:szCs w:val="20"/>
              </w:rPr>
              <w:t xml:space="preserve">ower </w:t>
            </w:r>
            <w:r w:rsidR="0076338C">
              <w:rPr>
                <w:sz w:val="20"/>
                <w:szCs w:val="20"/>
              </w:rPr>
              <w:t>P</w:t>
            </w:r>
            <w:r w:rsidRPr="00AE758F">
              <w:rPr>
                <w:sz w:val="20"/>
                <w:szCs w:val="20"/>
              </w:rPr>
              <w:t>lant</w:t>
            </w:r>
          </w:p>
        </w:tc>
        <w:tc>
          <w:tcPr>
            <w:tcW w:w="1084" w:type="dxa"/>
            <w:noWrap/>
            <w:vAlign w:val="center"/>
            <w:hideMark/>
          </w:tcPr>
          <w:p w:rsidRPr="00AE758F" w:rsidR="00586218" w:rsidP="007936BF" w:rsidRDefault="00586218" w14:paraId="0EFEC293" w14:textId="7C06B05F">
            <w:pPr>
              <w:spacing w:line="240" w:lineRule="auto"/>
              <w:jc w:val="center"/>
              <w:rPr>
                <w:color w:val="000000"/>
                <w:sz w:val="20"/>
                <w:szCs w:val="20"/>
              </w:rPr>
            </w:pPr>
            <w:r w:rsidRPr="00AE758F">
              <w:rPr>
                <w:sz w:val="20"/>
                <w:szCs w:val="20"/>
              </w:rPr>
              <w:t>3</w:t>
            </w:r>
          </w:p>
        </w:tc>
        <w:tc>
          <w:tcPr>
            <w:tcW w:w="1705" w:type="dxa"/>
            <w:noWrap/>
            <w:vAlign w:val="center"/>
            <w:hideMark/>
          </w:tcPr>
          <w:p w:rsidRPr="00AE758F" w:rsidR="00586218" w:rsidP="007936BF" w:rsidRDefault="00586218" w14:paraId="5E7B4AC1" w14:textId="585DFAC7">
            <w:pPr>
              <w:spacing w:line="240" w:lineRule="auto"/>
              <w:jc w:val="center"/>
              <w:rPr>
                <w:color w:val="000000"/>
                <w:sz w:val="20"/>
                <w:szCs w:val="20"/>
              </w:rPr>
            </w:pPr>
            <w:r w:rsidRPr="00AE758F">
              <w:rPr>
                <w:sz w:val="20"/>
                <w:szCs w:val="20"/>
              </w:rPr>
              <w:t>PERT</w:t>
            </w:r>
          </w:p>
        </w:tc>
        <w:tc>
          <w:tcPr>
            <w:tcW w:w="1134" w:type="dxa"/>
            <w:noWrap/>
            <w:vAlign w:val="center"/>
            <w:hideMark/>
          </w:tcPr>
          <w:p w:rsidRPr="00AE758F" w:rsidR="00586218" w:rsidP="007936BF" w:rsidRDefault="00586218" w14:paraId="3AEFC7A6" w14:textId="61239087">
            <w:pPr>
              <w:spacing w:line="240" w:lineRule="auto"/>
              <w:jc w:val="center"/>
              <w:rPr>
                <w:color w:val="000000"/>
                <w:sz w:val="20"/>
                <w:szCs w:val="20"/>
              </w:rPr>
            </w:pPr>
            <w:r w:rsidRPr="00AE758F">
              <w:rPr>
                <w:sz w:val="20"/>
                <w:szCs w:val="20"/>
              </w:rPr>
              <w:t>2</w:t>
            </w:r>
          </w:p>
        </w:tc>
        <w:tc>
          <w:tcPr>
            <w:tcW w:w="1134" w:type="dxa"/>
            <w:noWrap/>
            <w:vAlign w:val="center"/>
            <w:hideMark/>
          </w:tcPr>
          <w:p w:rsidRPr="00AE758F" w:rsidR="00586218" w:rsidP="007936BF" w:rsidRDefault="00586218" w14:paraId="1BCAF69C" w14:textId="5A2CACCF">
            <w:pPr>
              <w:spacing w:line="240" w:lineRule="auto"/>
              <w:jc w:val="center"/>
              <w:rPr>
                <w:color w:val="000000"/>
                <w:sz w:val="20"/>
                <w:szCs w:val="20"/>
              </w:rPr>
            </w:pPr>
            <w:r w:rsidRPr="00AE758F">
              <w:rPr>
                <w:sz w:val="20"/>
                <w:szCs w:val="20"/>
              </w:rPr>
              <w:t>3</w:t>
            </w:r>
          </w:p>
        </w:tc>
        <w:tc>
          <w:tcPr>
            <w:tcW w:w="1158" w:type="dxa"/>
            <w:noWrap/>
            <w:vAlign w:val="center"/>
            <w:hideMark/>
          </w:tcPr>
          <w:p w:rsidRPr="00AE758F" w:rsidR="00586218" w:rsidP="007936BF" w:rsidRDefault="00586218" w14:paraId="54638734" w14:textId="1B12EA31">
            <w:pPr>
              <w:spacing w:line="240" w:lineRule="auto"/>
              <w:jc w:val="center"/>
              <w:rPr>
                <w:color w:val="000000"/>
                <w:sz w:val="20"/>
                <w:szCs w:val="20"/>
              </w:rPr>
            </w:pPr>
            <w:r w:rsidRPr="00AE758F">
              <w:rPr>
                <w:sz w:val="20"/>
                <w:szCs w:val="20"/>
              </w:rPr>
              <w:t>4</w:t>
            </w:r>
          </w:p>
        </w:tc>
      </w:tr>
      <w:tr w:rsidRPr="00AE758F" w:rsidR="00C8101A" w:rsidTr="00382B4A" w14:paraId="762D63F1" w14:textId="77777777">
        <w:tc>
          <w:tcPr>
            <w:tcW w:w="9360" w:type="dxa"/>
            <w:gridSpan w:val="6"/>
            <w:vAlign w:val="center"/>
          </w:tcPr>
          <w:p w:rsidRPr="00AE758F" w:rsidR="00C8101A" w:rsidP="00063B9F" w:rsidRDefault="00586218" w14:paraId="45E17AB6" w14:textId="0BB52E72">
            <w:pPr>
              <w:keepNext/>
              <w:autoSpaceDE/>
              <w:autoSpaceDN/>
              <w:adjustRightInd/>
              <w:spacing w:line="240" w:lineRule="auto"/>
              <w:rPr>
                <w:b/>
                <w:bCs/>
                <w:color w:val="000000"/>
                <w:sz w:val="20"/>
                <w:szCs w:val="20"/>
              </w:rPr>
            </w:pPr>
            <w:r w:rsidRPr="00AE758F">
              <w:rPr>
                <w:b/>
                <w:bCs/>
                <w:color w:val="000000"/>
                <w:sz w:val="20"/>
                <w:szCs w:val="20"/>
              </w:rPr>
              <w:t>Loss of Material Rates Measured at Alternative Locations (Industry)</w:t>
            </w:r>
          </w:p>
        </w:tc>
      </w:tr>
      <w:tr w:rsidRPr="00AE758F" w:rsidR="00586218" w:rsidTr="00382B4A" w14:paraId="43E0B445" w14:textId="77777777">
        <w:tc>
          <w:tcPr>
            <w:tcW w:w="3145" w:type="dxa"/>
            <w:vAlign w:val="center"/>
          </w:tcPr>
          <w:p w:rsidRPr="00AE758F" w:rsidR="00586218" w:rsidP="00063B9F" w:rsidRDefault="00586218" w14:paraId="46600DDC" w14:textId="50622005">
            <w:pPr>
              <w:keepNext/>
              <w:spacing w:line="240" w:lineRule="auto"/>
              <w:rPr>
                <w:color w:val="auto"/>
                <w:sz w:val="20"/>
                <w:szCs w:val="20"/>
              </w:rPr>
            </w:pPr>
            <w:r w:rsidRPr="00AE758F">
              <w:rPr>
                <w:sz w:val="20"/>
                <w:szCs w:val="20"/>
              </w:rPr>
              <w:t xml:space="preserve">Reduced </w:t>
            </w:r>
            <w:r w:rsidR="0076338C">
              <w:rPr>
                <w:sz w:val="20"/>
                <w:szCs w:val="20"/>
              </w:rPr>
              <w:t>I</w:t>
            </w:r>
            <w:r w:rsidRPr="00AE758F">
              <w:rPr>
                <w:sz w:val="20"/>
                <w:szCs w:val="20"/>
              </w:rPr>
              <w:t xml:space="preserve">ndustry </w:t>
            </w:r>
            <w:r w:rsidR="0076338C">
              <w:rPr>
                <w:sz w:val="20"/>
                <w:szCs w:val="20"/>
              </w:rPr>
              <w:t>H</w:t>
            </w:r>
            <w:r w:rsidRPr="00AE758F">
              <w:rPr>
                <w:sz w:val="20"/>
                <w:szCs w:val="20"/>
              </w:rPr>
              <w:t>ours</w:t>
            </w:r>
          </w:p>
        </w:tc>
        <w:tc>
          <w:tcPr>
            <w:tcW w:w="1084" w:type="dxa"/>
            <w:noWrap/>
            <w:vAlign w:val="center"/>
          </w:tcPr>
          <w:p w:rsidRPr="00AE758F" w:rsidR="00586218" w:rsidP="007936BF" w:rsidRDefault="00586218" w14:paraId="6E008DC1" w14:textId="5F1AE0CD">
            <w:pPr>
              <w:spacing w:line="240" w:lineRule="auto"/>
              <w:jc w:val="center"/>
              <w:rPr>
                <w:color w:val="000000"/>
                <w:sz w:val="20"/>
                <w:szCs w:val="20"/>
              </w:rPr>
            </w:pPr>
            <w:r w:rsidRPr="00AE758F">
              <w:rPr>
                <w:sz w:val="20"/>
                <w:szCs w:val="20"/>
              </w:rPr>
              <w:t>180</w:t>
            </w:r>
          </w:p>
        </w:tc>
        <w:tc>
          <w:tcPr>
            <w:tcW w:w="1705" w:type="dxa"/>
            <w:noWrap/>
            <w:vAlign w:val="center"/>
          </w:tcPr>
          <w:p w:rsidRPr="00AE758F" w:rsidR="00586218" w:rsidP="007936BF" w:rsidRDefault="00586218" w14:paraId="264B2757" w14:textId="17056EAF">
            <w:pPr>
              <w:spacing w:line="240" w:lineRule="auto"/>
              <w:jc w:val="center"/>
              <w:rPr>
                <w:color w:val="000000"/>
                <w:sz w:val="20"/>
                <w:szCs w:val="20"/>
              </w:rPr>
            </w:pPr>
            <w:r w:rsidRPr="00AE758F">
              <w:rPr>
                <w:sz w:val="20"/>
                <w:szCs w:val="20"/>
              </w:rPr>
              <w:t>PERT</w:t>
            </w:r>
          </w:p>
        </w:tc>
        <w:tc>
          <w:tcPr>
            <w:tcW w:w="1134" w:type="dxa"/>
            <w:noWrap/>
            <w:vAlign w:val="center"/>
          </w:tcPr>
          <w:p w:rsidRPr="00AE758F" w:rsidR="00586218" w:rsidP="007936BF" w:rsidRDefault="00586218" w14:paraId="2C3102C2" w14:textId="194B881C">
            <w:pPr>
              <w:spacing w:line="240" w:lineRule="auto"/>
              <w:jc w:val="center"/>
              <w:rPr>
                <w:color w:val="000000"/>
                <w:sz w:val="20"/>
                <w:szCs w:val="20"/>
              </w:rPr>
            </w:pPr>
            <w:r w:rsidRPr="00AE758F">
              <w:rPr>
                <w:sz w:val="20"/>
                <w:szCs w:val="20"/>
              </w:rPr>
              <w:t>120</w:t>
            </w:r>
          </w:p>
        </w:tc>
        <w:tc>
          <w:tcPr>
            <w:tcW w:w="1134" w:type="dxa"/>
            <w:noWrap/>
            <w:vAlign w:val="center"/>
          </w:tcPr>
          <w:p w:rsidRPr="00AE758F" w:rsidR="00586218" w:rsidP="007936BF" w:rsidRDefault="00586218" w14:paraId="6F439142" w14:textId="01B16494">
            <w:pPr>
              <w:spacing w:line="240" w:lineRule="auto"/>
              <w:jc w:val="center"/>
              <w:rPr>
                <w:color w:val="000000"/>
                <w:sz w:val="20"/>
                <w:szCs w:val="20"/>
              </w:rPr>
            </w:pPr>
            <w:r w:rsidRPr="00AE758F">
              <w:rPr>
                <w:sz w:val="20"/>
                <w:szCs w:val="20"/>
              </w:rPr>
              <w:t>180</w:t>
            </w:r>
          </w:p>
        </w:tc>
        <w:tc>
          <w:tcPr>
            <w:tcW w:w="1158" w:type="dxa"/>
            <w:noWrap/>
            <w:vAlign w:val="center"/>
          </w:tcPr>
          <w:p w:rsidRPr="00AE758F" w:rsidR="00586218" w:rsidP="007936BF" w:rsidRDefault="00586218" w14:paraId="0E288771" w14:textId="0D6C4368">
            <w:pPr>
              <w:spacing w:line="240" w:lineRule="auto"/>
              <w:jc w:val="center"/>
              <w:rPr>
                <w:color w:val="000000"/>
                <w:sz w:val="20"/>
                <w:szCs w:val="20"/>
              </w:rPr>
            </w:pPr>
            <w:r w:rsidRPr="00AE758F">
              <w:rPr>
                <w:sz w:val="20"/>
                <w:szCs w:val="20"/>
              </w:rPr>
              <w:t>240</w:t>
            </w:r>
          </w:p>
        </w:tc>
      </w:tr>
      <w:tr w:rsidRPr="00AE758F" w:rsidR="00586218" w:rsidTr="00382B4A" w14:paraId="06EDDD90" w14:textId="77777777">
        <w:tc>
          <w:tcPr>
            <w:tcW w:w="3145" w:type="dxa"/>
            <w:vAlign w:val="center"/>
          </w:tcPr>
          <w:p w:rsidRPr="00AE758F" w:rsidR="00586218" w:rsidP="00B237B9" w:rsidRDefault="00586218" w14:paraId="1E709A14" w14:textId="34712C17">
            <w:pPr>
              <w:spacing w:line="240" w:lineRule="auto"/>
              <w:rPr>
                <w:color w:val="auto"/>
                <w:sz w:val="20"/>
                <w:szCs w:val="20"/>
              </w:rPr>
            </w:pPr>
            <w:r w:rsidRPr="00AE758F">
              <w:rPr>
                <w:sz w:val="20"/>
                <w:szCs w:val="20"/>
              </w:rPr>
              <w:t xml:space="preserve">Number of </w:t>
            </w:r>
            <w:r w:rsidR="0076338C">
              <w:rPr>
                <w:sz w:val="20"/>
                <w:szCs w:val="20"/>
              </w:rPr>
              <w:t>P</w:t>
            </w:r>
            <w:r w:rsidRPr="00AE758F">
              <w:rPr>
                <w:sz w:val="20"/>
                <w:szCs w:val="20"/>
              </w:rPr>
              <w:t xml:space="preserve">ower </w:t>
            </w:r>
            <w:r w:rsidR="0076338C">
              <w:rPr>
                <w:sz w:val="20"/>
                <w:szCs w:val="20"/>
              </w:rPr>
              <w:t>P</w:t>
            </w:r>
            <w:r w:rsidRPr="00AE758F">
              <w:rPr>
                <w:sz w:val="20"/>
                <w:szCs w:val="20"/>
              </w:rPr>
              <w:t xml:space="preserve">lants to </w:t>
            </w:r>
            <w:r w:rsidR="0076338C">
              <w:rPr>
                <w:sz w:val="20"/>
                <w:szCs w:val="20"/>
              </w:rPr>
              <w:t>I</w:t>
            </w:r>
            <w:r w:rsidRPr="00AE758F">
              <w:rPr>
                <w:sz w:val="20"/>
                <w:szCs w:val="20"/>
              </w:rPr>
              <w:t xml:space="preserve">mplement </w:t>
            </w:r>
            <w:r w:rsidR="00B237B9">
              <w:rPr>
                <w:sz w:val="20"/>
                <w:szCs w:val="20"/>
              </w:rPr>
              <w:t>the</w:t>
            </w:r>
            <w:r w:rsidRPr="00AE758F" w:rsidR="00B237B9">
              <w:rPr>
                <w:sz w:val="20"/>
                <w:szCs w:val="20"/>
              </w:rPr>
              <w:t xml:space="preserve"> </w:t>
            </w:r>
            <w:r w:rsidRPr="00AE758F" w:rsidR="006368D6">
              <w:rPr>
                <w:sz w:val="20"/>
                <w:szCs w:val="20"/>
              </w:rPr>
              <w:t>“</w:t>
            </w:r>
            <w:r w:rsidR="0076338C">
              <w:rPr>
                <w:sz w:val="20"/>
                <w:szCs w:val="20"/>
              </w:rPr>
              <w:t>A</w:t>
            </w:r>
            <w:r w:rsidRPr="00AE758F">
              <w:rPr>
                <w:sz w:val="20"/>
                <w:szCs w:val="20"/>
              </w:rPr>
              <w:t xml:space="preserve">lternative </w:t>
            </w:r>
            <w:r w:rsidR="0076338C">
              <w:rPr>
                <w:sz w:val="20"/>
                <w:szCs w:val="20"/>
              </w:rPr>
              <w:t>L</w:t>
            </w:r>
            <w:r w:rsidRPr="00AE758F">
              <w:rPr>
                <w:sz w:val="20"/>
                <w:szCs w:val="20"/>
              </w:rPr>
              <w:t>ocation</w:t>
            </w:r>
            <w:r w:rsidRPr="00AE758F" w:rsidR="006368D6">
              <w:rPr>
                <w:sz w:val="20"/>
                <w:szCs w:val="20"/>
              </w:rPr>
              <w:t>”</w:t>
            </w:r>
            <w:r w:rsidRPr="00AE758F">
              <w:rPr>
                <w:sz w:val="20"/>
                <w:szCs w:val="20"/>
              </w:rPr>
              <w:t xml:space="preserve"> </w:t>
            </w:r>
            <w:r w:rsidR="0076338C">
              <w:rPr>
                <w:sz w:val="20"/>
                <w:szCs w:val="20"/>
              </w:rPr>
              <w:t>B</w:t>
            </w:r>
            <w:r w:rsidRPr="00AE758F">
              <w:rPr>
                <w:sz w:val="20"/>
                <w:szCs w:val="20"/>
              </w:rPr>
              <w:t xml:space="preserve">enefit </w:t>
            </w:r>
            <w:r w:rsidR="0076338C">
              <w:rPr>
                <w:sz w:val="20"/>
                <w:szCs w:val="20"/>
              </w:rPr>
              <w:t>A</w:t>
            </w:r>
            <w:r w:rsidRPr="00AE758F">
              <w:rPr>
                <w:sz w:val="20"/>
                <w:szCs w:val="20"/>
              </w:rPr>
              <w:t>nnually</w:t>
            </w:r>
          </w:p>
        </w:tc>
        <w:tc>
          <w:tcPr>
            <w:tcW w:w="1084" w:type="dxa"/>
            <w:noWrap/>
            <w:vAlign w:val="center"/>
          </w:tcPr>
          <w:p w:rsidRPr="00AE758F" w:rsidR="00586218" w:rsidP="007936BF" w:rsidRDefault="00586218" w14:paraId="60D3B107" w14:textId="1C5764E5">
            <w:pPr>
              <w:spacing w:line="240" w:lineRule="auto"/>
              <w:jc w:val="center"/>
              <w:rPr>
                <w:color w:val="000000"/>
                <w:sz w:val="20"/>
                <w:szCs w:val="20"/>
              </w:rPr>
            </w:pPr>
            <w:r w:rsidRPr="00AE758F">
              <w:rPr>
                <w:sz w:val="20"/>
                <w:szCs w:val="20"/>
              </w:rPr>
              <w:t>8</w:t>
            </w:r>
          </w:p>
        </w:tc>
        <w:tc>
          <w:tcPr>
            <w:tcW w:w="1705" w:type="dxa"/>
            <w:noWrap/>
            <w:vAlign w:val="center"/>
          </w:tcPr>
          <w:p w:rsidRPr="00AE758F" w:rsidR="00586218" w:rsidP="007936BF" w:rsidRDefault="00586218" w14:paraId="343B497D" w14:textId="22A02919">
            <w:pPr>
              <w:spacing w:line="240" w:lineRule="auto"/>
              <w:jc w:val="center"/>
              <w:rPr>
                <w:color w:val="000000"/>
                <w:sz w:val="20"/>
                <w:szCs w:val="20"/>
              </w:rPr>
            </w:pPr>
            <w:r w:rsidRPr="00AE758F">
              <w:rPr>
                <w:sz w:val="20"/>
                <w:szCs w:val="20"/>
              </w:rPr>
              <w:t>PERT</w:t>
            </w:r>
          </w:p>
        </w:tc>
        <w:tc>
          <w:tcPr>
            <w:tcW w:w="1134" w:type="dxa"/>
            <w:noWrap/>
            <w:vAlign w:val="center"/>
          </w:tcPr>
          <w:p w:rsidRPr="00AE758F" w:rsidR="00586218" w:rsidP="007936BF" w:rsidRDefault="00586218" w14:paraId="617F021F" w14:textId="5907B57D">
            <w:pPr>
              <w:spacing w:line="240" w:lineRule="auto"/>
              <w:jc w:val="center"/>
              <w:rPr>
                <w:color w:val="000000"/>
                <w:sz w:val="20"/>
                <w:szCs w:val="20"/>
              </w:rPr>
            </w:pPr>
            <w:r w:rsidRPr="00AE758F">
              <w:rPr>
                <w:sz w:val="20"/>
                <w:szCs w:val="20"/>
              </w:rPr>
              <w:t>6</w:t>
            </w:r>
          </w:p>
        </w:tc>
        <w:tc>
          <w:tcPr>
            <w:tcW w:w="1134" w:type="dxa"/>
            <w:noWrap/>
            <w:vAlign w:val="center"/>
          </w:tcPr>
          <w:p w:rsidRPr="00AE758F" w:rsidR="00586218" w:rsidP="007936BF" w:rsidRDefault="00586218" w14:paraId="60814490" w14:textId="17CA5AF9">
            <w:pPr>
              <w:spacing w:line="240" w:lineRule="auto"/>
              <w:jc w:val="center"/>
              <w:rPr>
                <w:color w:val="000000"/>
                <w:sz w:val="20"/>
                <w:szCs w:val="20"/>
              </w:rPr>
            </w:pPr>
            <w:r w:rsidRPr="00AE758F">
              <w:rPr>
                <w:sz w:val="20"/>
                <w:szCs w:val="20"/>
              </w:rPr>
              <w:t>8</w:t>
            </w:r>
          </w:p>
        </w:tc>
        <w:tc>
          <w:tcPr>
            <w:tcW w:w="1158" w:type="dxa"/>
            <w:noWrap/>
            <w:vAlign w:val="center"/>
          </w:tcPr>
          <w:p w:rsidRPr="00AE758F" w:rsidR="00586218" w:rsidP="007936BF" w:rsidRDefault="00586218" w14:paraId="5A303854" w14:textId="4910BEC6">
            <w:pPr>
              <w:spacing w:line="240" w:lineRule="auto"/>
              <w:jc w:val="center"/>
              <w:rPr>
                <w:color w:val="000000"/>
                <w:sz w:val="20"/>
                <w:szCs w:val="20"/>
              </w:rPr>
            </w:pPr>
            <w:r w:rsidRPr="00AE758F">
              <w:rPr>
                <w:sz w:val="20"/>
                <w:szCs w:val="20"/>
              </w:rPr>
              <w:t>10</w:t>
            </w:r>
          </w:p>
        </w:tc>
      </w:tr>
      <w:tr w:rsidRPr="00AE758F" w:rsidR="001B7961" w:rsidTr="00FD5A63" w14:paraId="4A2EE75A" w14:textId="77777777">
        <w:tc>
          <w:tcPr>
            <w:tcW w:w="9360" w:type="dxa"/>
            <w:gridSpan w:val="6"/>
            <w:vAlign w:val="center"/>
          </w:tcPr>
          <w:p w:rsidRPr="001A4D0F" w:rsidR="001B7961" w:rsidP="001B7961" w:rsidRDefault="00A32E4A" w14:paraId="70E63291" w14:textId="3D888283">
            <w:pPr>
              <w:spacing w:line="240" w:lineRule="auto"/>
              <w:rPr>
                <w:b/>
                <w:sz w:val="20"/>
                <w:szCs w:val="20"/>
              </w:rPr>
            </w:pPr>
            <w:r>
              <w:rPr>
                <w:b/>
                <w:sz w:val="20"/>
                <w:szCs w:val="20"/>
              </w:rPr>
              <w:t>Cost</w:t>
            </w:r>
            <w:r w:rsidRPr="001A4D0F" w:rsidR="00E96077">
              <w:rPr>
                <w:b/>
                <w:sz w:val="20"/>
                <w:szCs w:val="20"/>
              </w:rPr>
              <w:t xml:space="preserve"> to Justify the Stem-Disk Connection</w:t>
            </w:r>
            <w:r w:rsidRPr="001A4D0F" w:rsidR="001B7961">
              <w:rPr>
                <w:b/>
                <w:sz w:val="20"/>
                <w:szCs w:val="20"/>
              </w:rPr>
              <w:t xml:space="preserve"> (Industry)</w:t>
            </w:r>
          </w:p>
        </w:tc>
      </w:tr>
      <w:tr w:rsidRPr="00AE758F" w:rsidR="001B7961" w:rsidTr="00597988" w14:paraId="6B6FF193" w14:textId="77777777">
        <w:tc>
          <w:tcPr>
            <w:tcW w:w="3145" w:type="dxa"/>
            <w:vAlign w:val="center"/>
          </w:tcPr>
          <w:p w:rsidRPr="001A4D0F" w:rsidR="001B7961" w:rsidP="001B7961" w:rsidRDefault="001B7961" w14:paraId="47F69C43" w14:textId="1C04779A">
            <w:pPr>
              <w:spacing w:line="240" w:lineRule="auto"/>
              <w:rPr>
                <w:sz w:val="20"/>
                <w:szCs w:val="20"/>
              </w:rPr>
            </w:pPr>
            <w:r w:rsidRPr="001A4D0F">
              <w:rPr>
                <w:sz w:val="20"/>
                <w:szCs w:val="20"/>
              </w:rPr>
              <w:t xml:space="preserve">Number of </w:t>
            </w:r>
            <w:r w:rsidR="0076338C">
              <w:rPr>
                <w:sz w:val="20"/>
                <w:szCs w:val="20"/>
              </w:rPr>
              <w:t>V</w:t>
            </w:r>
            <w:r w:rsidRPr="001A4D0F">
              <w:rPr>
                <w:sz w:val="20"/>
                <w:szCs w:val="20"/>
              </w:rPr>
              <w:t xml:space="preserve">alves per </w:t>
            </w:r>
            <w:r w:rsidR="0076338C">
              <w:rPr>
                <w:sz w:val="20"/>
                <w:szCs w:val="20"/>
              </w:rPr>
              <w:t>R</w:t>
            </w:r>
            <w:r w:rsidRPr="001A4D0F">
              <w:rPr>
                <w:sz w:val="20"/>
                <w:szCs w:val="20"/>
              </w:rPr>
              <w:t xml:space="preserve">eactor </w:t>
            </w:r>
            <w:r w:rsidR="0076338C">
              <w:rPr>
                <w:sz w:val="20"/>
                <w:szCs w:val="20"/>
              </w:rPr>
              <w:t>U</w:t>
            </w:r>
            <w:r w:rsidRPr="001A4D0F">
              <w:rPr>
                <w:sz w:val="20"/>
                <w:szCs w:val="20"/>
              </w:rPr>
              <w:t>nit</w:t>
            </w:r>
          </w:p>
        </w:tc>
        <w:tc>
          <w:tcPr>
            <w:tcW w:w="1084" w:type="dxa"/>
            <w:noWrap/>
            <w:vAlign w:val="center"/>
          </w:tcPr>
          <w:p w:rsidRPr="001A4D0F" w:rsidR="001B7961" w:rsidP="001B7961" w:rsidRDefault="001B7961" w14:paraId="5AD58DC8" w14:textId="631F31F7">
            <w:pPr>
              <w:spacing w:line="240" w:lineRule="auto"/>
              <w:jc w:val="center"/>
              <w:rPr>
                <w:sz w:val="20"/>
                <w:szCs w:val="20"/>
              </w:rPr>
            </w:pPr>
            <w:r w:rsidRPr="001A4D0F">
              <w:rPr>
                <w:sz w:val="20"/>
                <w:szCs w:val="20"/>
              </w:rPr>
              <w:t>100</w:t>
            </w:r>
          </w:p>
        </w:tc>
        <w:tc>
          <w:tcPr>
            <w:tcW w:w="1705" w:type="dxa"/>
            <w:noWrap/>
            <w:vAlign w:val="center"/>
          </w:tcPr>
          <w:p w:rsidRPr="001A4D0F" w:rsidR="001B7961" w:rsidP="001B7961" w:rsidRDefault="001B7961" w14:paraId="4DAD0A85" w14:textId="7879EC46">
            <w:pPr>
              <w:spacing w:line="240" w:lineRule="auto"/>
              <w:jc w:val="center"/>
              <w:rPr>
                <w:sz w:val="20"/>
                <w:szCs w:val="20"/>
              </w:rPr>
            </w:pPr>
            <w:r w:rsidRPr="001A4D0F">
              <w:rPr>
                <w:sz w:val="20"/>
                <w:szCs w:val="20"/>
              </w:rPr>
              <w:t>PERT</w:t>
            </w:r>
          </w:p>
        </w:tc>
        <w:tc>
          <w:tcPr>
            <w:tcW w:w="1134" w:type="dxa"/>
            <w:noWrap/>
            <w:vAlign w:val="center"/>
          </w:tcPr>
          <w:p w:rsidRPr="001A4D0F" w:rsidR="001B7961" w:rsidP="001B7961" w:rsidRDefault="001B7961" w14:paraId="02797A7E" w14:textId="3ECCBEE0">
            <w:pPr>
              <w:spacing w:line="240" w:lineRule="auto"/>
              <w:jc w:val="center"/>
              <w:rPr>
                <w:sz w:val="20"/>
                <w:szCs w:val="20"/>
              </w:rPr>
            </w:pPr>
            <w:r w:rsidRPr="001A4D0F">
              <w:rPr>
                <w:sz w:val="20"/>
                <w:szCs w:val="20"/>
              </w:rPr>
              <w:t>75</w:t>
            </w:r>
          </w:p>
        </w:tc>
        <w:tc>
          <w:tcPr>
            <w:tcW w:w="1134" w:type="dxa"/>
            <w:noWrap/>
            <w:vAlign w:val="center"/>
          </w:tcPr>
          <w:p w:rsidRPr="001A4D0F" w:rsidR="001B7961" w:rsidP="001B7961" w:rsidRDefault="001B7961" w14:paraId="095CF604" w14:textId="4FC371AA">
            <w:pPr>
              <w:spacing w:line="240" w:lineRule="auto"/>
              <w:jc w:val="center"/>
              <w:rPr>
                <w:sz w:val="20"/>
                <w:szCs w:val="20"/>
              </w:rPr>
            </w:pPr>
            <w:r w:rsidRPr="001A4D0F">
              <w:rPr>
                <w:sz w:val="20"/>
                <w:szCs w:val="20"/>
              </w:rPr>
              <w:t>100</w:t>
            </w:r>
          </w:p>
        </w:tc>
        <w:tc>
          <w:tcPr>
            <w:tcW w:w="1158" w:type="dxa"/>
            <w:noWrap/>
            <w:vAlign w:val="center"/>
          </w:tcPr>
          <w:p w:rsidRPr="001A4D0F" w:rsidR="001B7961" w:rsidP="001B7961" w:rsidRDefault="001B7961" w14:paraId="4E569A72" w14:textId="17EC5BE1">
            <w:pPr>
              <w:spacing w:line="240" w:lineRule="auto"/>
              <w:jc w:val="center"/>
              <w:rPr>
                <w:sz w:val="20"/>
                <w:szCs w:val="20"/>
              </w:rPr>
            </w:pPr>
            <w:r w:rsidRPr="001A4D0F">
              <w:rPr>
                <w:sz w:val="20"/>
                <w:szCs w:val="20"/>
              </w:rPr>
              <w:t>125</w:t>
            </w:r>
          </w:p>
        </w:tc>
      </w:tr>
      <w:tr w:rsidRPr="00AE758F" w:rsidR="00E96077" w:rsidTr="00597988" w14:paraId="0908D0F7" w14:textId="77777777">
        <w:tc>
          <w:tcPr>
            <w:tcW w:w="3145" w:type="dxa"/>
            <w:vAlign w:val="center"/>
          </w:tcPr>
          <w:p w:rsidRPr="001A4D0F" w:rsidR="00E96077" w:rsidP="00E96077" w:rsidRDefault="00E96077" w14:paraId="53E3CFCB" w14:textId="3180CA2F">
            <w:pPr>
              <w:spacing w:line="240" w:lineRule="auto"/>
              <w:rPr>
                <w:sz w:val="20"/>
                <w:szCs w:val="20"/>
              </w:rPr>
            </w:pPr>
            <w:r w:rsidRPr="001A4D0F">
              <w:rPr>
                <w:sz w:val="20"/>
                <w:szCs w:val="20"/>
              </w:rPr>
              <w:t xml:space="preserve">Number of </w:t>
            </w:r>
            <w:r w:rsidR="0076338C">
              <w:rPr>
                <w:sz w:val="20"/>
                <w:szCs w:val="20"/>
              </w:rPr>
              <w:t>H</w:t>
            </w:r>
            <w:r w:rsidRPr="001A4D0F">
              <w:rPr>
                <w:sz w:val="20"/>
                <w:szCs w:val="20"/>
              </w:rPr>
              <w:t xml:space="preserve">ours to </w:t>
            </w:r>
            <w:r w:rsidR="0076338C">
              <w:rPr>
                <w:sz w:val="20"/>
                <w:szCs w:val="20"/>
              </w:rPr>
              <w:t>C</w:t>
            </w:r>
            <w:r w:rsidRPr="001A4D0F">
              <w:rPr>
                <w:sz w:val="20"/>
                <w:szCs w:val="20"/>
              </w:rPr>
              <w:t xml:space="preserve">ollect </w:t>
            </w:r>
            <w:r w:rsidR="0076338C">
              <w:rPr>
                <w:sz w:val="20"/>
                <w:szCs w:val="20"/>
              </w:rPr>
              <w:t>J</w:t>
            </w:r>
            <w:r w:rsidRPr="001A4D0F">
              <w:rPr>
                <w:sz w:val="20"/>
                <w:szCs w:val="20"/>
              </w:rPr>
              <w:t xml:space="preserve">ustification </w:t>
            </w:r>
            <w:r w:rsidR="0076338C">
              <w:rPr>
                <w:sz w:val="20"/>
                <w:szCs w:val="20"/>
              </w:rPr>
              <w:t>D</w:t>
            </w:r>
            <w:r w:rsidRPr="001A4D0F">
              <w:rPr>
                <w:sz w:val="20"/>
                <w:szCs w:val="20"/>
              </w:rPr>
              <w:t>ata</w:t>
            </w:r>
            <w:r w:rsidRPr="001A4D0F" w:rsidR="004D0E32">
              <w:rPr>
                <w:sz w:val="20"/>
                <w:szCs w:val="20"/>
              </w:rPr>
              <w:t xml:space="preserve"> </w:t>
            </w:r>
            <w:r w:rsidR="009B75C3">
              <w:rPr>
                <w:sz w:val="20"/>
                <w:szCs w:val="20"/>
              </w:rPr>
              <w:t xml:space="preserve">for </w:t>
            </w:r>
            <w:r w:rsidR="0076338C">
              <w:rPr>
                <w:sz w:val="20"/>
                <w:szCs w:val="20"/>
              </w:rPr>
              <w:t>E</w:t>
            </w:r>
            <w:r w:rsidRPr="001A4D0F" w:rsidR="004D0E32">
              <w:rPr>
                <w:sz w:val="20"/>
                <w:szCs w:val="20"/>
              </w:rPr>
              <w:t xml:space="preserve">ach </w:t>
            </w:r>
            <w:r w:rsidR="0076338C">
              <w:rPr>
                <w:sz w:val="20"/>
                <w:szCs w:val="20"/>
              </w:rPr>
              <w:t>V</w:t>
            </w:r>
            <w:r w:rsidRPr="001A4D0F" w:rsidR="004D0E32">
              <w:rPr>
                <w:sz w:val="20"/>
                <w:szCs w:val="20"/>
              </w:rPr>
              <w:t>alve</w:t>
            </w:r>
          </w:p>
        </w:tc>
        <w:tc>
          <w:tcPr>
            <w:tcW w:w="1084" w:type="dxa"/>
            <w:noWrap/>
            <w:vAlign w:val="center"/>
          </w:tcPr>
          <w:p w:rsidRPr="001A4D0F" w:rsidR="00E96077" w:rsidP="00E96077" w:rsidRDefault="00E96077" w14:paraId="65A782EC" w14:textId="618D8766">
            <w:pPr>
              <w:spacing w:line="240" w:lineRule="auto"/>
              <w:jc w:val="center"/>
              <w:rPr>
                <w:sz w:val="20"/>
                <w:szCs w:val="20"/>
              </w:rPr>
            </w:pPr>
            <w:r w:rsidRPr="001A4D0F">
              <w:rPr>
                <w:sz w:val="20"/>
                <w:szCs w:val="20"/>
              </w:rPr>
              <w:t>0.50</w:t>
            </w:r>
          </w:p>
        </w:tc>
        <w:tc>
          <w:tcPr>
            <w:tcW w:w="1705" w:type="dxa"/>
            <w:noWrap/>
            <w:vAlign w:val="center"/>
          </w:tcPr>
          <w:p w:rsidRPr="001A4D0F" w:rsidR="00E96077" w:rsidP="00E96077" w:rsidRDefault="00E96077" w14:paraId="66569251" w14:textId="42501195">
            <w:pPr>
              <w:spacing w:line="240" w:lineRule="auto"/>
              <w:jc w:val="center"/>
              <w:rPr>
                <w:sz w:val="20"/>
                <w:szCs w:val="20"/>
              </w:rPr>
            </w:pPr>
            <w:r w:rsidRPr="001A4D0F">
              <w:rPr>
                <w:sz w:val="20"/>
                <w:szCs w:val="20"/>
              </w:rPr>
              <w:t>PERT</w:t>
            </w:r>
          </w:p>
        </w:tc>
        <w:tc>
          <w:tcPr>
            <w:tcW w:w="1134" w:type="dxa"/>
            <w:noWrap/>
            <w:vAlign w:val="center"/>
          </w:tcPr>
          <w:p w:rsidRPr="001A4D0F" w:rsidR="00E96077" w:rsidP="00E96077" w:rsidRDefault="00E96077" w14:paraId="22380D90" w14:textId="0D904AE5">
            <w:pPr>
              <w:spacing w:line="240" w:lineRule="auto"/>
              <w:jc w:val="center"/>
              <w:rPr>
                <w:sz w:val="20"/>
                <w:szCs w:val="20"/>
              </w:rPr>
            </w:pPr>
            <w:r w:rsidRPr="001A4D0F">
              <w:rPr>
                <w:sz w:val="20"/>
                <w:szCs w:val="20"/>
              </w:rPr>
              <w:t>0.25</w:t>
            </w:r>
          </w:p>
        </w:tc>
        <w:tc>
          <w:tcPr>
            <w:tcW w:w="1134" w:type="dxa"/>
            <w:noWrap/>
            <w:vAlign w:val="center"/>
          </w:tcPr>
          <w:p w:rsidRPr="001A4D0F" w:rsidR="00E96077" w:rsidP="00E96077" w:rsidRDefault="00E96077" w14:paraId="5B6D0283" w14:textId="7395E9D0">
            <w:pPr>
              <w:spacing w:line="240" w:lineRule="auto"/>
              <w:jc w:val="center"/>
              <w:rPr>
                <w:sz w:val="20"/>
                <w:szCs w:val="20"/>
              </w:rPr>
            </w:pPr>
            <w:r w:rsidRPr="001A4D0F">
              <w:rPr>
                <w:sz w:val="20"/>
                <w:szCs w:val="20"/>
              </w:rPr>
              <w:t>0.50</w:t>
            </w:r>
          </w:p>
        </w:tc>
        <w:tc>
          <w:tcPr>
            <w:tcW w:w="1158" w:type="dxa"/>
            <w:noWrap/>
            <w:vAlign w:val="center"/>
          </w:tcPr>
          <w:p w:rsidRPr="001A4D0F" w:rsidR="00E96077" w:rsidP="00E96077" w:rsidRDefault="00E96077" w14:paraId="00063416" w14:textId="5937BA5C">
            <w:pPr>
              <w:spacing w:line="240" w:lineRule="auto"/>
              <w:jc w:val="center"/>
              <w:rPr>
                <w:sz w:val="20"/>
                <w:szCs w:val="20"/>
              </w:rPr>
            </w:pPr>
            <w:r w:rsidRPr="001A4D0F">
              <w:rPr>
                <w:sz w:val="20"/>
                <w:szCs w:val="20"/>
              </w:rPr>
              <w:t>0.75</w:t>
            </w:r>
          </w:p>
        </w:tc>
      </w:tr>
      <w:tr w:rsidRPr="00AE758F" w:rsidR="001B7961" w:rsidTr="00FD5A63" w14:paraId="7F25002A" w14:textId="77777777">
        <w:tc>
          <w:tcPr>
            <w:tcW w:w="9360" w:type="dxa"/>
            <w:gridSpan w:val="6"/>
          </w:tcPr>
          <w:p w:rsidRPr="001A4D0F" w:rsidR="001B7961" w:rsidP="00B237B9" w:rsidRDefault="00E96077" w14:paraId="49849A6C" w14:textId="34D92CB0">
            <w:pPr>
              <w:spacing w:line="240" w:lineRule="auto"/>
              <w:rPr>
                <w:b/>
                <w:sz w:val="20"/>
                <w:szCs w:val="20"/>
              </w:rPr>
            </w:pPr>
            <w:r w:rsidRPr="001A4D0F">
              <w:rPr>
                <w:b/>
                <w:sz w:val="20"/>
                <w:szCs w:val="20"/>
              </w:rPr>
              <w:t xml:space="preserve">Averted Testing </w:t>
            </w:r>
            <w:r w:rsidR="00B237B9">
              <w:rPr>
                <w:b/>
                <w:sz w:val="20"/>
                <w:szCs w:val="20"/>
              </w:rPr>
              <w:t>u</w:t>
            </w:r>
            <w:r w:rsidRPr="001A4D0F">
              <w:rPr>
                <w:b/>
                <w:sz w:val="20"/>
                <w:szCs w:val="20"/>
              </w:rPr>
              <w:t>nder ISTC-3700</w:t>
            </w:r>
            <w:r w:rsidRPr="001A4D0F" w:rsidR="004D0E32">
              <w:rPr>
                <w:b/>
                <w:sz w:val="20"/>
                <w:szCs w:val="20"/>
              </w:rPr>
              <w:t xml:space="preserve"> (Industry)</w:t>
            </w:r>
          </w:p>
        </w:tc>
      </w:tr>
      <w:tr w:rsidRPr="00AE758F" w:rsidR="00E96077" w:rsidTr="00597988" w14:paraId="1BB0E547" w14:textId="77777777">
        <w:tc>
          <w:tcPr>
            <w:tcW w:w="3145" w:type="dxa"/>
            <w:vAlign w:val="center"/>
          </w:tcPr>
          <w:p w:rsidRPr="001A4D0F" w:rsidR="00E96077" w:rsidP="00E96077" w:rsidRDefault="00E96077" w14:paraId="0A74ADD9" w14:textId="065AC735">
            <w:pPr>
              <w:spacing w:line="240" w:lineRule="auto"/>
              <w:rPr>
                <w:sz w:val="20"/>
                <w:szCs w:val="20"/>
              </w:rPr>
            </w:pPr>
            <w:r w:rsidRPr="001A4D0F">
              <w:rPr>
                <w:sz w:val="20"/>
                <w:szCs w:val="20"/>
              </w:rPr>
              <w:t xml:space="preserve">Number of </w:t>
            </w:r>
            <w:r w:rsidR="0076338C">
              <w:rPr>
                <w:sz w:val="20"/>
                <w:szCs w:val="20"/>
              </w:rPr>
              <w:t>V</w:t>
            </w:r>
            <w:r w:rsidRPr="001A4D0F">
              <w:rPr>
                <w:sz w:val="20"/>
                <w:szCs w:val="20"/>
              </w:rPr>
              <w:t xml:space="preserve">alves per </w:t>
            </w:r>
            <w:r w:rsidR="0076338C">
              <w:rPr>
                <w:sz w:val="20"/>
                <w:szCs w:val="20"/>
              </w:rPr>
              <w:t>R</w:t>
            </w:r>
            <w:r w:rsidRPr="001A4D0F">
              <w:rPr>
                <w:sz w:val="20"/>
                <w:szCs w:val="20"/>
              </w:rPr>
              <w:t xml:space="preserve">eactor </w:t>
            </w:r>
            <w:r w:rsidR="0076338C">
              <w:rPr>
                <w:sz w:val="20"/>
                <w:szCs w:val="20"/>
              </w:rPr>
              <w:t>U</w:t>
            </w:r>
            <w:r w:rsidRPr="001A4D0F">
              <w:rPr>
                <w:sz w:val="20"/>
                <w:szCs w:val="20"/>
              </w:rPr>
              <w:t>nit</w:t>
            </w:r>
          </w:p>
        </w:tc>
        <w:tc>
          <w:tcPr>
            <w:tcW w:w="1084" w:type="dxa"/>
            <w:noWrap/>
            <w:vAlign w:val="center"/>
          </w:tcPr>
          <w:p w:rsidRPr="001A4D0F" w:rsidR="00E96077" w:rsidP="00E96077" w:rsidRDefault="00E96077" w14:paraId="393E0864" w14:textId="49F5478B">
            <w:pPr>
              <w:spacing w:line="240" w:lineRule="auto"/>
              <w:jc w:val="center"/>
              <w:rPr>
                <w:sz w:val="20"/>
                <w:szCs w:val="20"/>
              </w:rPr>
            </w:pPr>
            <w:r w:rsidRPr="001A4D0F">
              <w:rPr>
                <w:sz w:val="20"/>
                <w:szCs w:val="20"/>
              </w:rPr>
              <w:t>100</w:t>
            </w:r>
          </w:p>
        </w:tc>
        <w:tc>
          <w:tcPr>
            <w:tcW w:w="1705" w:type="dxa"/>
            <w:noWrap/>
            <w:vAlign w:val="center"/>
          </w:tcPr>
          <w:p w:rsidRPr="001A4D0F" w:rsidR="00E96077" w:rsidP="00E96077" w:rsidRDefault="00E96077" w14:paraId="1BD4C4C3" w14:textId="34B6DF92">
            <w:pPr>
              <w:spacing w:line="240" w:lineRule="auto"/>
              <w:jc w:val="center"/>
              <w:rPr>
                <w:sz w:val="20"/>
                <w:szCs w:val="20"/>
              </w:rPr>
            </w:pPr>
            <w:r w:rsidRPr="001A4D0F">
              <w:rPr>
                <w:sz w:val="20"/>
                <w:szCs w:val="20"/>
              </w:rPr>
              <w:t>PERT</w:t>
            </w:r>
          </w:p>
        </w:tc>
        <w:tc>
          <w:tcPr>
            <w:tcW w:w="1134" w:type="dxa"/>
            <w:noWrap/>
            <w:vAlign w:val="center"/>
          </w:tcPr>
          <w:p w:rsidRPr="001A4D0F" w:rsidR="00E96077" w:rsidP="00E96077" w:rsidRDefault="00E96077" w14:paraId="4C8D3DE9" w14:textId="61C67D74">
            <w:pPr>
              <w:spacing w:line="240" w:lineRule="auto"/>
              <w:jc w:val="center"/>
              <w:rPr>
                <w:sz w:val="20"/>
                <w:szCs w:val="20"/>
              </w:rPr>
            </w:pPr>
            <w:r w:rsidRPr="001A4D0F">
              <w:rPr>
                <w:sz w:val="20"/>
                <w:szCs w:val="20"/>
              </w:rPr>
              <w:t>75</w:t>
            </w:r>
          </w:p>
        </w:tc>
        <w:tc>
          <w:tcPr>
            <w:tcW w:w="1134" w:type="dxa"/>
            <w:noWrap/>
            <w:vAlign w:val="center"/>
          </w:tcPr>
          <w:p w:rsidRPr="001A4D0F" w:rsidR="00E96077" w:rsidP="00E96077" w:rsidRDefault="00E96077" w14:paraId="618D0203" w14:textId="16C7C2CE">
            <w:pPr>
              <w:spacing w:line="240" w:lineRule="auto"/>
              <w:jc w:val="center"/>
              <w:rPr>
                <w:sz w:val="20"/>
                <w:szCs w:val="20"/>
              </w:rPr>
            </w:pPr>
            <w:r w:rsidRPr="001A4D0F">
              <w:rPr>
                <w:sz w:val="20"/>
                <w:szCs w:val="20"/>
              </w:rPr>
              <w:t>100</w:t>
            </w:r>
          </w:p>
        </w:tc>
        <w:tc>
          <w:tcPr>
            <w:tcW w:w="1158" w:type="dxa"/>
            <w:noWrap/>
            <w:vAlign w:val="center"/>
          </w:tcPr>
          <w:p w:rsidRPr="001A4D0F" w:rsidR="00E96077" w:rsidP="00E96077" w:rsidRDefault="00E96077" w14:paraId="79931C48" w14:textId="08890F63">
            <w:pPr>
              <w:spacing w:line="240" w:lineRule="auto"/>
              <w:jc w:val="center"/>
              <w:rPr>
                <w:sz w:val="20"/>
                <w:szCs w:val="20"/>
              </w:rPr>
            </w:pPr>
            <w:r w:rsidRPr="001A4D0F">
              <w:rPr>
                <w:sz w:val="20"/>
                <w:szCs w:val="20"/>
              </w:rPr>
              <w:t>125</w:t>
            </w:r>
          </w:p>
        </w:tc>
      </w:tr>
      <w:tr w:rsidRPr="00AE758F" w:rsidR="00E96077" w:rsidTr="00597988" w14:paraId="37334D62" w14:textId="77777777">
        <w:tc>
          <w:tcPr>
            <w:tcW w:w="3145" w:type="dxa"/>
            <w:vAlign w:val="center"/>
          </w:tcPr>
          <w:p w:rsidRPr="001A4D0F" w:rsidR="00E96077" w:rsidP="00E96077" w:rsidRDefault="00E96077" w14:paraId="01A4A123" w14:textId="12CF6A00">
            <w:pPr>
              <w:spacing w:line="240" w:lineRule="auto"/>
              <w:rPr>
                <w:sz w:val="20"/>
                <w:szCs w:val="20"/>
              </w:rPr>
            </w:pPr>
            <w:r w:rsidRPr="001A4D0F">
              <w:rPr>
                <w:sz w:val="20"/>
                <w:szCs w:val="20"/>
              </w:rPr>
              <w:t xml:space="preserve">Number of </w:t>
            </w:r>
            <w:r w:rsidR="0076338C">
              <w:rPr>
                <w:sz w:val="20"/>
                <w:szCs w:val="20"/>
              </w:rPr>
              <w:t>H</w:t>
            </w:r>
            <w:r w:rsidRPr="001A4D0F">
              <w:rPr>
                <w:sz w:val="20"/>
                <w:szCs w:val="20"/>
              </w:rPr>
              <w:t xml:space="preserve">ours </w:t>
            </w:r>
            <w:r w:rsidR="0076338C">
              <w:rPr>
                <w:sz w:val="20"/>
                <w:szCs w:val="20"/>
              </w:rPr>
              <w:t>A</w:t>
            </w:r>
            <w:r w:rsidRPr="001A4D0F" w:rsidR="00C245ED">
              <w:rPr>
                <w:sz w:val="20"/>
                <w:szCs w:val="20"/>
              </w:rPr>
              <w:t xml:space="preserve">verted </w:t>
            </w:r>
            <w:r w:rsidRPr="001A4D0F">
              <w:rPr>
                <w:sz w:val="20"/>
                <w:szCs w:val="20"/>
              </w:rPr>
              <w:t xml:space="preserve">to </w:t>
            </w:r>
            <w:r w:rsidR="0076338C">
              <w:rPr>
                <w:sz w:val="20"/>
                <w:szCs w:val="20"/>
              </w:rPr>
              <w:t>T</w:t>
            </w:r>
            <w:r w:rsidRPr="001A4D0F">
              <w:rPr>
                <w:sz w:val="20"/>
                <w:szCs w:val="20"/>
              </w:rPr>
              <w:t xml:space="preserve">est a </w:t>
            </w:r>
            <w:r w:rsidR="0076338C">
              <w:rPr>
                <w:sz w:val="20"/>
                <w:szCs w:val="20"/>
              </w:rPr>
              <w:t>V</w:t>
            </w:r>
            <w:r w:rsidRPr="001A4D0F">
              <w:rPr>
                <w:sz w:val="20"/>
                <w:szCs w:val="20"/>
              </w:rPr>
              <w:t>alve</w:t>
            </w:r>
          </w:p>
        </w:tc>
        <w:tc>
          <w:tcPr>
            <w:tcW w:w="1084" w:type="dxa"/>
            <w:noWrap/>
            <w:vAlign w:val="center"/>
          </w:tcPr>
          <w:p w:rsidRPr="001A4D0F" w:rsidR="00E96077" w:rsidP="00E96077" w:rsidRDefault="00E96077" w14:paraId="23C65F3C" w14:textId="0D20056F">
            <w:pPr>
              <w:spacing w:line="240" w:lineRule="auto"/>
              <w:jc w:val="center"/>
              <w:rPr>
                <w:sz w:val="20"/>
                <w:szCs w:val="20"/>
              </w:rPr>
            </w:pPr>
            <w:r w:rsidRPr="001A4D0F">
              <w:rPr>
                <w:sz w:val="20"/>
                <w:szCs w:val="20"/>
              </w:rPr>
              <w:t>2</w:t>
            </w:r>
          </w:p>
        </w:tc>
        <w:tc>
          <w:tcPr>
            <w:tcW w:w="1705" w:type="dxa"/>
            <w:noWrap/>
            <w:vAlign w:val="center"/>
          </w:tcPr>
          <w:p w:rsidRPr="001A4D0F" w:rsidR="00E96077" w:rsidP="00E96077" w:rsidRDefault="00E96077" w14:paraId="0C403806" w14:textId="78A5CA72">
            <w:pPr>
              <w:spacing w:line="240" w:lineRule="auto"/>
              <w:jc w:val="center"/>
              <w:rPr>
                <w:sz w:val="20"/>
                <w:szCs w:val="20"/>
              </w:rPr>
            </w:pPr>
            <w:r w:rsidRPr="001A4D0F">
              <w:rPr>
                <w:sz w:val="20"/>
                <w:szCs w:val="20"/>
              </w:rPr>
              <w:t>PERT</w:t>
            </w:r>
          </w:p>
        </w:tc>
        <w:tc>
          <w:tcPr>
            <w:tcW w:w="1134" w:type="dxa"/>
            <w:noWrap/>
            <w:vAlign w:val="center"/>
          </w:tcPr>
          <w:p w:rsidRPr="001A4D0F" w:rsidR="00E96077" w:rsidP="00E96077" w:rsidRDefault="00E96077" w14:paraId="16B1F824" w14:textId="207D3D35">
            <w:pPr>
              <w:spacing w:line="240" w:lineRule="auto"/>
              <w:jc w:val="center"/>
              <w:rPr>
                <w:sz w:val="20"/>
                <w:szCs w:val="20"/>
              </w:rPr>
            </w:pPr>
            <w:r w:rsidRPr="001A4D0F">
              <w:rPr>
                <w:sz w:val="20"/>
                <w:szCs w:val="20"/>
              </w:rPr>
              <w:t>1</w:t>
            </w:r>
          </w:p>
        </w:tc>
        <w:tc>
          <w:tcPr>
            <w:tcW w:w="1134" w:type="dxa"/>
            <w:noWrap/>
            <w:vAlign w:val="center"/>
          </w:tcPr>
          <w:p w:rsidRPr="001A4D0F" w:rsidR="00E96077" w:rsidP="00E96077" w:rsidRDefault="00E96077" w14:paraId="44893084" w14:textId="7FA1D179">
            <w:pPr>
              <w:spacing w:line="240" w:lineRule="auto"/>
              <w:jc w:val="center"/>
              <w:rPr>
                <w:sz w:val="20"/>
                <w:szCs w:val="20"/>
              </w:rPr>
            </w:pPr>
            <w:r w:rsidRPr="001A4D0F">
              <w:rPr>
                <w:sz w:val="20"/>
                <w:szCs w:val="20"/>
              </w:rPr>
              <w:t>2</w:t>
            </w:r>
          </w:p>
        </w:tc>
        <w:tc>
          <w:tcPr>
            <w:tcW w:w="1158" w:type="dxa"/>
            <w:noWrap/>
            <w:vAlign w:val="center"/>
          </w:tcPr>
          <w:p w:rsidRPr="001A4D0F" w:rsidR="00E96077" w:rsidP="00E96077" w:rsidRDefault="00E96077" w14:paraId="5E171952" w14:textId="7DEE0A23">
            <w:pPr>
              <w:spacing w:line="240" w:lineRule="auto"/>
              <w:jc w:val="center"/>
              <w:rPr>
                <w:sz w:val="20"/>
                <w:szCs w:val="20"/>
              </w:rPr>
            </w:pPr>
            <w:r w:rsidRPr="001A4D0F">
              <w:rPr>
                <w:sz w:val="20"/>
                <w:szCs w:val="20"/>
              </w:rPr>
              <w:t>3</w:t>
            </w:r>
          </w:p>
        </w:tc>
      </w:tr>
      <w:tr w:rsidRPr="00AE758F" w:rsidR="00FA740B" w:rsidTr="00382B4A" w14:paraId="6C1D6DFC" w14:textId="77777777">
        <w:tc>
          <w:tcPr>
            <w:tcW w:w="9360" w:type="dxa"/>
            <w:gridSpan w:val="6"/>
            <w:vAlign w:val="center"/>
            <w:hideMark/>
          </w:tcPr>
          <w:p w:rsidRPr="00AE758F" w:rsidR="00FA740B" w:rsidP="00A262D7" w:rsidRDefault="00B313E0" w14:paraId="5CCAD36A" w14:textId="4C70463E">
            <w:pPr>
              <w:autoSpaceDE/>
              <w:autoSpaceDN/>
              <w:adjustRightInd/>
              <w:spacing w:line="240" w:lineRule="auto"/>
              <w:rPr>
                <w:b/>
                <w:bCs/>
                <w:color w:val="000000"/>
                <w:sz w:val="20"/>
                <w:szCs w:val="20"/>
              </w:rPr>
            </w:pPr>
            <w:r w:rsidRPr="00AE758F">
              <w:rPr>
                <w:b/>
                <w:bCs/>
                <w:color w:val="000000"/>
                <w:sz w:val="20"/>
                <w:szCs w:val="20"/>
              </w:rPr>
              <w:t xml:space="preserve">2019 Edition </w:t>
            </w:r>
            <w:r w:rsidR="00A262D7">
              <w:rPr>
                <w:b/>
                <w:bCs/>
                <w:color w:val="000000"/>
                <w:sz w:val="20"/>
                <w:szCs w:val="20"/>
              </w:rPr>
              <w:t>of</w:t>
            </w:r>
            <w:r w:rsidRPr="00AE758F" w:rsidR="00A262D7">
              <w:rPr>
                <w:b/>
                <w:bCs/>
                <w:color w:val="000000"/>
                <w:sz w:val="20"/>
                <w:szCs w:val="20"/>
              </w:rPr>
              <w:t xml:space="preserve"> </w:t>
            </w:r>
            <w:r w:rsidRPr="00AE758F" w:rsidR="00D36141">
              <w:rPr>
                <w:b/>
                <w:bCs/>
                <w:color w:val="000000"/>
                <w:sz w:val="20"/>
                <w:szCs w:val="20"/>
              </w:rPr>
              <w:t xml:space="preserve">the </w:t>
            </w:r>
            <w:r w:rsidRPr="00AE758F">
              <w:rPr>
                <w:b/>
                <w:bCs/>
                <w:color w:val="000000"/>
                <w:sz w:val="20"/>
                <w:szCs w:val="20"/>
              </w:rPr>
              <w:t>ASME BPV Code, Section III, Division 1</w:t>
            </w:r>
            <w:r w:rsidRPr="00AE758F" w:rsidR="00D36141">
              <w:rPr>
                <w:b/>
                <w:bCs/>
                <w:color w:val="000000"/>
                <w:sz w:val="20"/>
                <w:szCs w:val="20"/>
              </w:rPr>
              <w:t>,</w:t>
            </w:r>
            <w:r w:rsidRPr="00AE758F">
              <w:rPr>
                <w:b/>
                <w:bCs/>
                <w:color w:val="000000"/>
                <w:sz w:val="20"/>
                <w:szCs w:val="20"/>
              </w:rPr>
              <w:t xml:space="preserve"> and Section XI, Division 1</w:t>
            </w:r>
          </w:p>
        </w:tc>
      </w:tr>
      <w:tr w:rsidRPr="00AE758F" w:rsidR="00FA740B" w:rsidTr="00382B4A" w14:paraId="72B5FF39" w14:textId="77777777">
        <w:tc>
          <w:tcPr>
            <w:tcW w:w="9360" w:type="dxa"/>
            <w:gridSpan w:val="6"/>
            <w:vAlign w:val="center"/>
            <w:hideMark/>
          </w:tcPr>
          <w:p w:rsidRPr="00AE758F" w:rsidR="00FA740B" w:rsidP="007936BF" w:rsidRDefault="00B313E0" w14:paraId="40114CA4" w14:textId="225E8A01">
            <w:pPr>
              <w:autoSpaceDE/>
              <w:autoSpaceDN/>
              <w:adjustRightInd/>
              <w:spacing w:line="240" w:lineRule="auto"/>
              <w:rPr>
                <w:b/>
                <w:bCs/>
                <w:color w:val="000000"/>
                <w:sz w:val="20"/>
                <w:szCs w:val="20"/>
              </w:rPr>
            </w:pPr>
            <w:r w:rsidRPr="00AE758F">
              <w:rPr>
                <w:b/>
                <w:bCs/>
                <w:color w:val="000000"/>
                <w:sz w:val="20"/>
                <w:szCs w:val="20"/>
              </w:rPr>
              <w:t xml:space="preserve">Averted </w:t>
            </w:r>
            <w:r w:rsidR="00B167CE">
              <w:rPr>
                <w:b/>
                <w:bCs/>
                <w:color w:val="000000"/>
                <w:sz w:val="20"/>
                <w:szCs w:val="20"/>
              </w:rPr>
              <w:t>Alternative</w:t>
            </w:r>
            <w:r w:rsidRPr="00AE758F" w:rsidR="00B167CE">
              <w:rPr>
                <w:b/>
                <w:bCs/>
                <w:color w:val="000000"/>
                <w:sz w:val="20"/>
                <w:szCs w:val="20"/>
              </w:rPr>
              <w:t xml:space="preserve"> </w:t>
            </w:r>
            <w:r w:rsidRPr="00AE758F">
              <w:rPr>
                <w:b/>
                <w:bCs/>
                <w:color w:val="000000"/>
                <w:sz w:val="20"/>
                <w:szCs w:val="20"/>
              </w:rPr>
              <w:t>Request (Industry)</w:t>
            </w:r>
          </w:p>
        </w:tc>
      </w:tr>
      <w:tr w:rsidRPr="00AE758F" w:rsidR="00B313E0" w:rsidTr="00382B4A" w14:paraId="78BFA073" w14:textId="77777777">
        <w:tc>
          <w:tcPr>
            <w:tcW w:w="3145" w:type="dxa"/>
            <w:vAlign w:val="center"/>
            <w:hideMark/>
          </w:tcPr>
          <w:p w:rsidRPr="001A4D0F" w:rsidR="00B313E0" w:rsidP="007936BF" w:rsidRDefault="00B313E0" w14:paraId="4B0D3122" w14:textId="06785218">
            <w:pPr>
              <w:keepNext/>
              <w:keepLines/>
              <w:spacing w:line="240" w:lineRule="auto"/>
              <w:rPr>
                <w:color w:val="auto"/>
                <w:sz w:val="20"/>
                <w:szCs w:val="20"/>
              </w:rPr>
            </w:pPr>
            <w:r w:rsidRPr="00AE758F">
              <w:rPr>
                <w:sz w:val="20"/>
                <w:szCs w:val="20"/>
              </w:rPr>
              <w:t xml:space="preserve">Industry </w:t>
            </w:r>
            <w:r w:rsidR="0076338C">
              <w:rPr>
                <w:sz w:val="20"/>
                <w:szCs w:val="20"/>
              </w:rPr>
              <w:t>H</w:t>
            </w:r>
            <w:r w:rsidRPr="00AE758F">
              <w:rPr>
                <w:sz w:val="20"/>
                <w:szCs w:val="20"/>
              </w:rPr>
              <w:t xml:space="preserve">ours to </w:t>
            </w:r>
            <w:r w:rsidR="0076338C">
              <w:rPr>
                <w:sz w:val="20"/>
                <w:szCs w:val="20"/>
              </w:rPr>
              <w:t>P</w:t>
            </w:r>
            <w:r w:rsidRPr="00AE758F">
              <w:rPr>
                <w:sz w:val="20"/>
                <w:szCs w:val="20"/>
              </w:rPr>
              <w:t xml:space="preserve">roduce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 for </w:t>
            </w:r>
            <w:r w:rsidRPr="00AE758F" w:rsidR="00B80647">
              <w:rPr>
                <w:sz w:val="20"/>
                <w:szCs w:val="20"/>
              </w:rPr>
              <w:t xml:space="preserve">the </w:t>
            </w:r>
            <w:r w:rsidRPr="00AE758F">
              <w:rPr>
                <w:sz w:val="20"/>
                <w:szCs w:val="20"/>
              </w:rPr>
              <w:t>BPV Code</w:t>
            </w:r>
          </w:p>
        </w:tc>
        <w:tc>
          <w:tcPr>
            <w:tcW w:w="1084" w:type="dxa"/>
            <w:noWrap/>
            <w:vAlign w:val="center"/>
            <w:hideMark/>
          </w:tcPr>
          <w:p w:rsidRPr="00AE758F" w:rsidR="00B313E0" w:rsidP="007936BF" w:rsidRDefault="00B313E0" w14:paraId="5422AFE8" w14:textId="27D68446">
            <w:pPr>
              <w:spacing w:line="240" w:lineRule="auto"/>
              <w:jc w:val="center"/>
              <w:rPr>
                <w:color w:val="000000"/>
                <w:sz w:val="20"/>
                <w:szCs w:val="20"/>
              </w:rPr>
            </w:pPr>
            <w:r w:rsidRPr="00AE758F">
              <w:rPr>
                <w:sz w:val="20"/>
                <w:szCs w:val="20"/>
              </w:rPr>
              <w:t>230</w:t>
            </w:r>
          </w:p>
        </w:tc>
        <w:tc>
          <w:tcPr>
            <w:tcW w:w="1705" w:type="dxa"/>
            <w:noWrap/>
            <w:vAlign w:val="center"/>
            <w:hideMark/>
          </w:tcPr>
          <w:p w:rsidRPr="00AE758F" w:rsidR="00B313E0" w:rsidP="007936BF" w:rsidRDefault="00B313E0" w14:paraId="51C326DB" w14:textId="648349C6">
            <w:pPr>
              <w:spacing w:line="240" w:lineRule="auto"/>
              <w:jc w:val="center"/>
              <w:rPr>
                <w:color w:val="000000"/>
                <w:sz w:val="20"/>
                <w:szCs w:val="20"/>
              </w:rPr>
            </w:pPr>
            <w:r w:rsidRPr="00AE758F">
              <w:rPr>
                <w:sz w:val="20"/>
                <w:szCs w:val="20"/>
              </w:rPr>
              <w:t>PERT</w:t>
            </w:r>
          </w:p>
        </w:tc>
        <w:tc>
          <w:tcPr>
            <w:tcW w:w="1134" w:type="dxa"/>
            <w:noWrap/>
            <w:vAlign w:val="center"/>
            <w:hideMark/>
          </w:tcPr>
          <w:p w:rsidRPr="00AE758F" w:rsidR="00B313E0" w:rsidP="007936BF" w:rsidRDefault="00B313E0" w14:paraId="46B675A7" w14:textId="596978C4">
            <w:pPr>
              <w:spacing w:line="240" w:lineRule="auto"/>
              <w:jc w:val="center"/>
              <w:rPr>
                <w:color w:val="000000"/>
                <w:sz w:val="20"/>
                <w:szCs w:val="20"/>
              </w:rPr>
            </w:pPr>
            <w:r w:rsidRPr="00AE758F">
              <w:rPr>
                <w:sz w:val="20"/>
                <w:szCs w:val="20"/>
              </w:rPr>
              <w:t>170</w:t>
            </w:r>
          </w:p>
        </w:tc>
        <w:tc>
          <w:tcPr>
            <w:tcW w:w="1134" w:type="dxa"/>
            <w:noWrap/>
            <w:vAlign w:val="center"/>
            <w:hideMark/>
          </w:tcPr>
          <w:p w:rsidRPr="00AE758F" w:rsidR="00B313E0" w:rsidP="007936BF" w:rsidRDefault="00B313E0" w14:paraId="60CC5631" w14:textId="5B47765E">
            <w:pPr>
              <w:spacing w:line="240" w:lineRule="auto"/>
              <w:jc w:val="center"/>
              <w:rPr>
                <w:color w:val="000000"/>
                <w:sz w:val="20"/>
                <w:szCs w:val="20"/>
              </w:rPr>
            </w:pPr>
            <w:r w:rsidRPr="00AE758F">
              <w:rPr>
                <w:sz w:val="20"/>
                <w:szCs w:val="20"/>
              </w:rPr>
              <w:t>230</w:t>
            </w:r>
          </w:p>
        </w:tc>
        <w:tc>
          <w:tcPr>
            <w:tcW w:w="1158" w:type="dxa"/>
            <w:noWrap/>
            <w:vAlign w:val="center"/>
            <w:hideMark/>
          </w:tcPr>
          <w:p w:rsidRPr="00AE758F" w:rsidR="00B313E0" w:rsidP="007936BF" w:rsidRDefault="00B313E0" w14:paraId="1A137D6E" w14:textId="6DBD1167">
            <w:pPr>
              <w:spacing w:line="240" w:lineRule="auto"/>
              <w:jc w:val="center"/>
              <w:rPr>
                <w:color w:val="000000"/>
                <w:sz w:val="20"/>
                <w:szCs w:val="20"/>
              </w:rPr>
            </w:pPr>
            <w:r w:rsidRPr="00AE758F">
              <w:rPr>
                <w:sz w:val="20"/>
                <w:szCs w:val="20"/>
              </w:rPr>
              <w:t>290</w:t>
            </w:r>
          </w:p>
        </w:tc>
      </w:tr>
      <w:tr w:rsidRPr="00AE758F" w:rsidR="00B313E0" w:rsidTr="00382B4A" w14:paraId="31A5C846" w14:textId="77777777">
        <w:tc>
          <w:tcPr>
            <w:tcW w:w="3145" w:type="dxa"/>
            <w:vAlign w:val="center"/>
          </w:tcPr>
          <w:p w:rsidRPr="001A4D0F" w:rsidR="00B313E0" w:rsidP="007936BF" w:rsidRDefault="00B313E0" w14:paraId="6A7B6485" w14:textId="45EAB42A">
            <w:pPr>
              <w:spacing w:line="240" w:lineRule="auto"/>
              <w:rPr>
                <w:color w:val="auto"/>
                <w:sz w:val="20"/>
                <w:szCs w:val="20"/>
              </w:rPr>
            </w:pPr>
            <w:r w:rsidRPr="00AE758F">
              <w:rPr>
                <w:sz w:val="20"/>
                <w:szCs w:val="20"/>
              </w:rPr>
              <w:t xml:space="preserve">Number of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equests </w:t>
            </w:r>
            <w:r w:rsidR="0076338C">
              <w:rPr>
                <w:sz w:val="20"/>
                <w:szCs w:val="20"/>
              </w:rPr>
              <w:t>P</w:t>
            </w:r>
            <w:r w:rsidRPr="00AE758F">
              <w:rPr>
                <w:sz w:val="20"/>
                <w:szCs w:val="20"/>
              </w:rPr>
              <w:t xml:space="preserve">roduced </w:t>
            </w:r>
            <w:r w:rsidR="0076338C">
              <w:rPr>
                <w:sz w:val="20"/>
                <w:szCs w:val="20"/>
              </w:rPr>
              <w:t>A</w:t>
            </w:r>
            <w:r w:rsidRPr="00AE758F">
              <w:rPr>
                <w:sz w:val="20"/>
                <w:szCs w:val="20"/>
              </w:rPr>
              <w:t xml:space="preserve">nnually for </w:t>
            </w:r>
            <w:r w:rsidRPr="00AE758F" w:rsidR="002431EA">
              <w:rPr>
                <w:sz w:val="20"/>
                <w:szCs w:val="20"/>
              </w:rPr>
              <w:t xml:space="preserve">the </w:t>
            </w:r>
            <w:r w:rsidRPr="00AE758F">
              <w:rPr>
                <w:sz w:val="20"/>
                <w:szCs w:val="20"/>
              </w:rPr>
              <w:t xml:space="preserve">2019 Edition </w:t>
            </w:r>
            <w:r w:rsidRPr="00AE758F" w:rsidR="00B80647">
              <w:rPr>
                <w:sz w:val="20"/>
                <w:szCs w:val="20"/>
              </w:rPr>
              <w:t xml:space="preserve">of the </w:t>
            </w:r>
            <w:r w:rsidRPr="00AE758F">
              <w:rPr>
                <w:sz w:val="20"/>
                <w:szCs w:val="20"/>
              </w:rPr>
              <w:t>BPV Code</w:t>
            </w:r>
          </w:p>
        </w:tc>
        <w:tc>
          <w:tcPr>
            <w:tcW w:w="1084" w:type="dxa"/>
            <w:noWrap/>
            <w:vAlign w:val="center"/>
          </w:tcPr>
          <w:p w:rsidRPr="00AE758F" w:rsidR="00B313E0" w:rsidP="007936BF" w:rsidRDefault="00B313E0" w14:paraId="1ACC2F31" w14:textId="3B47F4AC">
            <w:pPr>
              <w:spacing w:line="240" w:lineRule="auto"/>
              <w:jc w:val="center"/>
              <w:rPr>
                <w:color w:val="000000"/>
                <w:sz w:val="20"/>
                <w:szCs w:val="20"/>
              </w:rPr>
            </w:pPr>
            <w:r w:rsidRPr="00AE758F">
              <w:rPr>
                <w:sz w:val="20"/>
                <w:szCs w:val="20"/>
              </w:rPr>
              <w:t>2</w:t>
            </w:r>
          </w:p>
        </w:tc>
        <w:tc>
          <w:tcPr>
            <w:tcW w:w="1705" w:type="dxa"/>
            <w:noWrap/>
            <w:vAlign w:val="center"/>
          </w:tcPr>
          <w:p w:rsidRPr="00AE758F" w:rsidR="00B313E0" w:rsidP="007936BF" w:rsidRDefault="00B313E0" w14:paraId="263B1B5B" w14:textId="1C72E9C7">
            <w:pPr>
              <w:spacing w:line="240" w:lineRule="auto"/>
              <w:jc w:val="center"/>
              <w:rPr>
                <w:color w:val="000000"/>
                <w:sz w:val="20"/>
                <w:szCs w:val="20"/>
              </w:rPr>
            </w:pPr>
            <w:r w:rsidRPr="00AE758F">
              <w:rPr>
                <w:sz w:val="20"/>
                <w:szCs w:val="20"/>
              </w:rPr>
              <w:t>PERT</w:t>
            </w:r>
          </w:p>
        </w:tc>
        <w:tc>
          <w:tcPr>
            <w:tcW w:w="1134" w:type="dxa"/>
            <w:noWrap/>
            <w:vAlign w:val="center"/>
          </w:tcPr>
          <w:p w:rsidRPr="00AE758F" w:rsidR="00B313E0" w:rsidP="007936BF" w:rsidRDefault="00B313E0" w14:paraId="44954082" w14:textId="755222AD">
            <w:pPr>
              <w:spacing w:line="240" w:lineRule="auto"/>
              <w:jc w:val="center"/>
              <w:rPr>
                <w:color w:val="000000"/>
                <w:sz w:val="20"/>
                <w:szCs w:val="20"/>
              </w:rPr>
            </w:pPr>
            <w:r w:rsidRPr="00AE758F">
              <w:rPr>
                <w:sz w:val="20"/>
                <w:szCs w:val="20"/>
              </w:rPr>
              <w:t>1</w:t>
            </w:r>
          </w:p>
        </w:tc>
        <w:tc>
          <w:tcPr>
            <w:tcW w:w="1134" w:type="dxa"/>
            <w:noWrap/>
            <w:vAlign w:val="center"/>
          </w:tcPr>
          <w:p w:rsidRPr="00AE758F" w:rsidR="00B313E0" w:rsidP="007936BF" w:rsidRDefault="00B313E0" w14:paraId="2CD89BE3" w14:textId="5A17DC29">
            <w:pPr>
              <w:spacing w:line="240" w:lineRule="auto"/>
              <w:jc w:val="center"/>
              <w:rPr>
                <w:color w:val="000000"/>
                <w:sz w:val="20"/>
                <w:szCs w:val="20"/>
              </w:rPr>
            </w:pPr>
            <w:r w:rsidRPr="00AE758F">
              <w:rPr>
                <w:sz w:val="20"/>
                <w:szCs w:val="20"/>
              </w:rPr>
              <w:t>2</w:t>
            </w:r>
          </w:p>
        </w:tc>
        <w:tc>
          <w:tcPr>
            <w:tcW w:w="1158" w:type="dxa"/>
            <w:noWrap/>
            <w:vAlign w:val="center"/>
          </w:tcPr>
          <w:p w:rsidRPr="00AE758F" w:rsidR="00B313E0" w:rsidP="007936BF" w:rsidRDefault="00B313E0" w14:paraId="0CE11315" w14:textId="434C648D">
            <w:pPr>
              <w:spacing w:line="240" w:lineRule="auto"/>
              <w:jc w:val="center"/>
              <w:rPr>
                <w:color w:val="000000"/>
                <w:sz w:val="20"/>
                <w:szCs w:val="20"/>
              </w:rPr>
            </w:pPr>
            <w:r w:rsidRPr="00AE758F">
              <w:rPr>
                <w:sz w:val="20"/>
                <w:szCs w:val="20"/>
              </w:rPr>
              <w:t>3</w:t>
            </w:r>
          </w:p>
        </w:tc>
      </w:tr>
      <w:tr w:rsidRPr="00AE758F" w:rsidR="00FA740B" w:rsidTr="00382B4A" w14:paraId="3B827CA9" w14:textId="77777777">
        <w:tc>
          <w:tcPr>
            <w:tcW w:w="9360" w:type="dxa"/>
            <w:gridSpan w:val="6"/>
            <w:vAlign w:val="center"/>
            <w:hideMark/>
          </w:tcPr>
          <w:p w:rsidRPr="00AE758F" w:rsidR="00FA740B" w:rsidP="007936BF" w:rsidRDefault="009B0603" w14:paraId="75F10CBC" w14:textId="4CA1B9A7">
            <w:pPr>
              <w:autoSpaceDE/>
              <w:autoSpaceDN/>
              <w:adjustRightInd/>
              <w:spacing w:line="240" w:lineRule="auto"/>
              <w:rPr>
                <w:b/>
                <w:bCs/>
                <w:color w:val="000000"/>
                <w:sz w:val="20"/>
                <w:szCs w:val="20"/>
              </w:rPr>
            </w:pPr>
            <w:r>
              <w:rPr>
                <w:b/>
                <w:bCs/>
                <w:color w:val="000000"/>
                <w:sz w:val="20"/>
                <w:szCs w:val="20"/>
              </w:rPr>
              <w:t xml:space="preserve">Review of </w:t>
            </w:r>
            <w:r w:rsidRPr="00AE758F" w:rsidR="00B313E0">
              <w:rPr>
                <w:b/>
                <w:bCs/>
                <w:color w:val="000000"/>
                <w:sz w:val="20"/>
                <w:szCs w:val="20"/>
              </w:rPr>
              <w:t xml:space="preserve">Averted </w:t>
            </w:r>
            <w:r w:rsidR="00B167CE">
              <w:rPr>
                <w:b/>
                <w:bCs/>
                <w:color w:val="000000"/>
                <w:sz w:val="20"/>
                <w:szCs w:val="20"/>
              </w:rPr>
              <w:t>Alternative</w:t>
            </w:r>
            <w:r w:rsidRPr="00AE758F" w:rsidR="00B167CE">
              <w:rPr>
                <w:b/>
                <w:bCs/>
                <w:color w:val="000000"/>
                <w:sz w:val="20"/>
                <w:szCs w:val="20"/>
              </w:rPr>
              <w:t xml:space="preserve"> </w:t>
            </w:r>
            <w:r w:rsidRPr="00AE758F" w:rsidR="00B313E0">
              <w:rPr>
                <w:b/>
                <w:bCs/>
                <w:color w:val="000000"/>
                <w:sz w:val="20"/>
                <w:szCs w:val="20"/>
              </w:rPr>
              <w:t>Request (NRC)</w:t>
            </w:r>
          </w:p>
        </w:tc>
      </w:tr>
      <w:tr w:rsidRPr="00AE758F" w:rsidR="00466233" w:rsidTr="00382B4A" w14:paraId="6B2FC627" w14:textId="77777777">
        <w:tc>
          <w:tcPr>
            <w:tcW w:w="3145" w:type="dxa"/>
            <w:vAlign w:val="center"/>
            <w:hideMark/>
          </w:tcPr>
          <w:p w:rsidRPr="001A4D0F" w:rsidR="00466233" w:rsidP="007936BF" w:rsidRDefault="00466233" w14:paraId="17F53CAF" w14:textId="7250A756">
            <w:pPr>
              <w:spacing w:line="240" w:lineRule="auto"/>
              <w:rPr>
                <w:color w:val="auto"/>
                <w:sz w:val="20"/>
                <w:szCs w:val="20"/>
              </w:rPr>
            </w:pPr>
            <w:r w:rsidRPr="00AE758F">
              <w:rPr>
                <w:sz w:val="20"/>
                <w:szCs w:val="20"/>
              </w:rPr>
              <w:t xml:space="preserve">NRC </w:t>
            </w:r>
            <w:r w:rsidR="0076338C">
              <w:rPr>
                <w:sz w:val="20"/>
                <w:szCs w:val="20"/>
              </w:rPr>
              <w:t>H</w:t>
            </w:r>
            <w:r w:rsidRPr="00AE758F">
              <w:rPr>
                <w:sz w:val="20"/>
                <w:szCs w:val="20"/>
              </w:rPr>
              <w:t xml:space="preserve">ours to </w:t>
            </w:r>
            <w:r w:rsidR="0076338C">
              <w:rPr>
                <w:sz w:val="20"/>
                <w:szCs w:val="20"/>
              </w:rPr>
              <w:t>E</w:t>
            </w:r>
            <w:r w:rsidRPr="00AE758F">
              <w:rPr>
                <w:sz w:val="20"/>
                <w:szCs w:val="20"/>
              </w:rPr>
              <w:t xml:space="preserve">valuate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 for </w:t>
            </w:r>
            <w:r w:rsidRPr="00AE758F" w:rsidR="00B80647">
              <w:rPr>
                <w:sz w:val="20"/>
                <w:szCs w:val="20"/>
              </w:rPr>
              <w:t xml:space="preserve">the </w:t>
            </w:r>
            <w:r w:rsidRPr="00AE758F">
              <w:rPr>
                <w:sz w:val="20"/>
                <w:szCs w:val="20"/>
              </w:rPr>
              <w:t>BPV Code</w:t>
            </w:r>
          </w:p>
        </w:tc>
        <w:tc>
          <w:tcPr>
            <w:tcW w:w="1084" w:type="dxa"/>
            <w:noWrap/>
            <w:vAlign w:val="center"/>
            <w:hideMark/>
          </w:tcPr>
          <w:p w:rsidRPr="00AE758F" w:rsidR="00466233" w:rsidP="007936BF" w:rsidRDefault="00466233" w14:paraId="3625BE85" w14:textId="20DCCFC2">
            <w:pPr>
              <w:spacing w:line="240" w:lineRule="auto"/>
              <w:jc w:val="center"/>
              <w:rPr>
                <w:color w:val="000000"/>
                <w:sz w:val="20"/>
                <w:szCs w:val="20"/>
              </w:rPr>
            </w:pPr>
            <w:r w:rsidRPr="00AE758F">
              <w:rPr>
                <w:sz w:val="20"/>
                <w:szCs w:val="20"/>
              </w:rPr>
              <w:t>115</w:t>
            </w:r>
          </w:p>
        </w:tc>
        <w:tc>
          <w:tcPr>
            <w:tcW w:w="1705" w:type="dxa"/>
            <w:noWrap/>
            <w:vAlign w:val="center"/>
            <w:hideMark/>
          </w:tcPr>
          <w:p w:rsidRPr="00AE758F" w:rsidR="00466233" w:rsidP="007936BF" w:rsidRDefault="00466233" w14:paraId="610ACFF4" w14:textId="6637744D">
            <w:pPr>
              <w:spacing w:line="240" w:lineRule="auto"/>
              <w:jc w:val="center"/>
              <w:rPr>
                <w:color w:val="000000"/>
                <w:sz w:val="20"/>
                <w:szCs w:val="20"/>
              </w:rPr>
            </w:pPr>
            <w:r w:rsidRPr="00AE758F">
              <w:rPr>
                <w:sz w:val="20"/>
                <w:szCs w:val="20"/>
              </w:rPr>
              <w:t>PERT</w:t>
            </w:r>
          </w:p>
        </w:tc>
        <w:tc>
          <w:tcPr>
            <w:tcW w:w="1134" w:type="dxa"/>
            <w:noWrap/>
            <w:vAlign w:val="center"/>
            <w:hideMark/>
          </w:tcPr>
          <w:p w:rsidRPr="00AE758F" w:rsidR="00466233" w:rsidP="007936BF" w:rsidRDefault="00466233" w14:paraId="76D8A319" w14:textId="2036F7AB">
            <w:pPr>
              <w:spacing w:line="240" w:lineRule="auto"/>
              <w:jc w:val="center"/>
              <w:rPr>
                <w:color w:val="000000"/>
                <w:sz w:val="20"/>
                <w:szCs w:val="20"/>
              </w:rPr>
            </w:pPr>
            <w:r w:rsidRPr="00AE758F">
              <w:rPr>
                <w:sz w:val="20"/>
                <w:szCs w:val="20"/>
              </w:rPr>
              <w:t>85</w:t>
            </w:r>
          </w:p>
        </w:tc>
        <w:tc>
          <w:tcPr>
            <w:tcW w:w="1134" w:type="dxa"/>
            <w:noWrap/>
            <w:vAlign w:val="center"/>
            <w:hideMark/>
          </w:tcPr>
          <w:p w:rsidRPr="00AE758F" w:rsidR="00466233" w:rsidP="007936BF" w:rsidRDefault="00466233" w14:paraId="6FF5DFA7" w14:textId="54CA4860">
            <w:pPr>
              <w:spacing w:line="240" w:lineRule="auto"/>
              <w:jc w:val="center"/>
              <w:rPr>
                <w:color w:val="000000"/>
                <w:sz w:val="20"/>
                <w:szCs w:val="20"/>
              </w:rPr>
            </w:pPr>
            <w:r w:rsidRPr="00AE758F">
              <w:rPr>
                <w:sz w:val="20"/>
                <w:szCs w:val="20"/>
              </w:rPr>
              <w:t>115</w:t>
            </w:r>
          </w:p>
        </w:tc>
        <w:tc>
          <w:tcPr>
            <w:tcW w:w="1158" w:type="dxa"/>
            <w:noWrap/>
            <w:vAlign w:val="center"/>
            <w:hideMark/>
          </w:tcPr>
          <w:p w:rsidRPr="00AE758F" w:rsidR="00466233" w:rsidP="007936BF" w:rsidRDefault="00466233" w14:paraId="46920753" w14:textId="250BA2D2">
            <w:pPr>
              <w:spacing w:line="240" w:lineRule="auto"/>
              <w:jc w:val="center"/>
              <w:rPr>
                <w:color w:val="000000"/>
                <w:sz w:val="20"/>
                <w:szCs w:val="20"/>
              </w:rPr>
            </w:pPr>
            <w:r w:rsidRPr="00AE758F">
              <w:rPr>
                <w:sz w:val="20"/>
                <w:szCs w:val="20"/>
              </w:rPr>
              <w:t>145</w:t>
            </w:r>
          </w:p>
        </w:tc>
      </w:tr>
      <w:tr w:rsidRPr="00AE758F" w:rsidR="00466233" w:rsidTr="00382B4A" w14:paraId="0677498C" w14:textId="77777777">
        <w:tc>
          <w:tcPr>
            <w:tcW w:w="3145" w:type="dxa"/>
            <w:vAlign w:val="center"/>
          </w:tcPr>
          <w:p w:rsidRPr="001A4D0F" w:rsidR="00466233" w:rsidP="007936BF" w:rsidRDefault="00466233" w14:paraId="22D1BF8E" w14:textId="60295A39">
            <w:pPr>
              <w:spacing w:line="240" w:lineRule="auto"/>
              <w:rPr>
                <w:color w:val="auto"/>
                <w:sz w:val="20"/>
                <w:szCs w:val="20"/>
              </w:rPr>
            </w:pPr>
            <w:r w:rsidRPr="00AE758F">
              <w:rPr>
                <w:sz w:val="20"/>
                <w:szCs w:val="20"/>
              </w:rPr>
              <w:t xml:space="preserve">Number of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equests </w:t>
            </w:r>
            <w:r w:rsidR="0076338C">
              <w:rPr>
                <w:sz w:val="20"/>
                <w:szCs w:val="20"/>
              </w:rPr>
              <w:t>P</w:t>
            </w:r>
            <w:r w:rsidRPr="00AE758F">
              <w:rPr>
                <w:sz w:val="20"/>
                <w:szCs w:val="20"/>
              </w:rPr>
              <w:t xml:space="preserve">roduced </w:t>
            </w:r>
            <w:r w:rsidR="0076338C">
              <w:rPr>
                <w:sz w:val="20"/>
                <w:szCs w:val="20"/>
              </w:rPr>
              <w:t>A</w:t>
            </w:r>
            <w:r w:rsidRPr="00AE758F">
              <w:rPr>
                <w:sz w:val="20"/>
                <w:szCs w:val="20"/>
              </w:rPr>
              <w:t xml:space="preserve">nnually for </w:t>
            </w:r>
            <w:r w:rsidRPr="00AE758F" w:rsidR="002431EA">
              <w:rPr>
                <w:sz w:val="20"/>
                <w:szCs w:val="20"/>
              </w:rPr>
              <w:t xml:space="preserve">the </w:t>
            </w:r>
            <w:r w:rsidRPr="00AE758F">
              <w:rPr>
                <w:sz w:val="20"/>
                <w:szCs w:val="20"/>
              </w:rPr>
              <w:t xml:space="preserve">2019 Edition </w:t>
            </w:r>
            <w:r w:rsidRPr="00AE758F" w:rsidR="00B80647">
              <w:rPr>
                <w:sz w:val="20"/>
                <w:szCs w:val="20"/>
              </w:rPr>
              <w:t xml:space="preserve">of the </w:t>
            </w:r>
            <w:r w:rsidRPr="00AE758F">
              <w:rPr>
                <w:sz w:val="20"/>
                <w:szCs w:val="20"/>
              </w:rPr>
              <w:t>BPV Code</w:t>
            </w:r>
          </w:p>
        </w:tc>
        <w:tc>
          <w:tcPr>
            <w:tcW w:w="1084" w:type="dxa"/>
            <w:noWrap/>
            <w:vAlign w:val="center"/>
          </w:tcPr>
          <w:p w:rsidRPr="00AE758F" w:rsidR="00466233" w:rsidP="007936BF" w:rsidRDefault="00466233" w14:paraId="63AE67F3" w14:textId="3E003E2E">
            <w:pPr>
              <w:spacing w:line="240" w:lineRule="auto"/>
              <w:jc w:val="center"/>
              <w:rPr>
                <w:color w:val="000000"/>
                <w:sz w:val="20"/>
                <w:szCs w:val="20"/>
              </w:rPr>
            </w:pPr>
            <w:r w:rsidRPr="00AE758F">
              <w:rPr>
                <w:sz w:val="20"/>
                <w:szCs w:val="20"/>
              </w:rPr>
              <w:t>2</w:t>
            </w:r>
          </w:p>
        </w:tc>
        <w:tc>
          <w:tcPr>
            <w:tcW w:w="1705" w:type="dxa"/>
            <w:noWrap/>
            <w:vAlign w:val="center"/>
          </w:tcPr>
          <w:p w:rsidRPr="00AE758F" w:rsidR="00466233" w:rsidP="007936BF" w:rsidRDefault="00466233" w14:paraId="34D6CC6A" w14:textId="526ECB23">
            <w:pPr>
              <w:spacing w:line="240" w:lineRule="auto"/>
              <w:jc w:val="center"/>
              <w:rPr>
                <w:color w:val="000000"/>
                <w:sz w:val="20"/>
                <w:szCs w:val="20"/>
              </w:rPr>
            </w:pPr>
            <w:r w:rsidRPr="00AE758F">
              <w:rPr>
                <w:sz w:val="20"/>
                <w:szCs w:val="20"/>
              </w:rPr>
              <w:t>PERT</w:t>
            </w:r>
          </w:p>
        </w:tc>
        <w:tc>
          <w:tcPr>
            <w:tcW w:w="1134" w:type="dxa"/>
            <w:noWrap/>
            <w:vAlign w:val="center"/>
          </w:tcPr>
          <w:p w:rsidRPr="00AE758F" w:rsidR="00466233" w:rsidP="007936BF" w:rsidRDefault="00466233" w14:paraId="2F6CD101" w14:textId="4822801B">
            <w:pPr>
              <w:spacing w:line="240" w:lineRule="auto"/>
              <w:jc w:val="center"/>
              <w:rPr>
                <w:color w:val="000000"/>
                <w:sz w:val="20"/>
                <w:szCs w:val="20"/>
              </w:rPr>
            </w:pPr>
            <w:r w:rsidRPr="00AE758F">
              <w:rPr>
                <w:sz w:val="20"/>
                <w:szCs w:val="20"/>
              </w:rPr>
              <w:t>1</w:t>
            </w:r>
          </w:p>
        </w:tc>
        <w:tc>
          <w:tcPr>
            <w:tcW w:w="1134" w:type="dxa"/>
            <w:noWrap/>
            <w:vAlign w:val="center"/>
          </w:tcPr>
          <w:p w:rsidRPr="00AE758F" w:rsidR="00466233" w:rsidP="007936BF" w:rsidRDefault="00466233" w14:paraId="7C9AECAD" w14:textId="0F44B2D0">
            <w:pPr>
              <w:spacing w:line="240" w:lineRule="auto"/>
              <w:jc w:val="center"/>
              <w:rPr>
                <w:color w:val="000000"/>
                <w:sz w:val="20"/>
                <w:szCs w:val="20"/>
              </w:rPr>
            </w:pPr>
            <w:r w:rsidRPr="00AE758F">
              <w:rPr>
                <w:sz w:val="20"/>
                <w:szCs w:val="20"/>
              </w:rPr>
              <w:t>2</w:t>
            </w:r>
          </w:p>
        </w:tc>
        <w:tc>
          <w:tcPr>
            <w:tcW w:w="1158" w:type="dxa"/>
            <w:noWrap/>
            <w:vAlign w:val="center"/>
          </w:tcPr>
          <w:p w:rsidRPr="00AE758F" w:rsidR="00466233" w:rsidP="007936BF" w:rsidRDefault="00466233" w14:paraId="5E769677" w14:textId="02ADF110">
            <w:pPr>
              <w:spacing w:line="240" w:lineRule="auto"/>
              <w:jc w:val="center"/>
              <w:rPr>
                <w:color w:val="000000"/>
                <w:sz w:val="20"/>
                <w:szCs w:val="20"/>
              </w:rPr>
            </w:pPr>
            <w:r w:rsidRPr="00AE758F">
              <w:rPr>
                <w:sz w:val="20"/>
                <w:szCs w:val="20"/>
              </w:rPr>
              <w:t>3</w:t>
            </w:r>
          </w:p>
        </w:tc>
      </w:tr>
      <w:tr w:rsidRPr="00AE758F" w:rsidR="00FA740B" w:rsidTr="00382B4A" w14:paraId="193C627E" w14:textId="77777777">
        <w:tc>
          <w:tcPr>
            <w:tcW w:w="9360" w:type="dxa"/>
            <w:gridSpan w:val="6"/>
            <w:vAlign w:val="center"/>
            <w:hideMark/>
          </w:tcPr>
          <w:p w:rsidRPr="001A4D0F" w:rsidR="00FA740B" w:rsidP="00A262D7" w:rsidRDefault="00B313E0" w14:paraId="1378B820" w14:textId="2D7714D3">
            <w:pPr>
              <w:spacing w:line="240" w:lineRule="auto"/>
              <w:rPr>
                <w:b/>
                <w:bCs/>
                <w:color w:val="auto"/>
                <w:sz w:val="20"/>
                <w:szCs w:val="20"/>
              </w:rPr>
            </w:pPr>
            <w:r w:rsidRPr="00AE758F">
              <w:rPr>
                <w:b/>
                <w:bCs/>
                <w:color w:val="auto"/>
                <w:sz w:val="20"/>
                <w:szCs w:val="20"/>
              </w:rPr>
              <w:t xml:space="preserve">2020 Edition </w:t>
            </w:r>
            <w:r w:rsidR="00A262D7">
              <w:rPr>
                <w:b/>
                <w:bCs/>
                <w:color w:val="auto"/>
                <w:sz w:val="20"/>
                <w:szCs w:val="20"/>
              </w:rPr>
              <w:t xml:space="preserve">of </w:t>
            </w:r>
            <w:r w:rsidRPr="00AE758F">
              <w:rPr>
                <w:b/>
                <w:bCs/>
                <w:color w:val="auto"/>
                <w:sz w:val="20"/>
                <w:szCs w:val="20"/>
              </w:rPr>
              <w:t>Division 1 of the ASME OM Code</w:t>
            </w:r>
          </w:p>
        </w:tc>
      </w:tr>
      <w:tr w:rsidRPr="00AE758F" w:rsidR="00B313E0" w:rsidTr="00382B4A" w14:paraId="6AC1C3EE" w14:textId="77777777">
        <w:tc>
          <w:tcPr>
            <w:tcW w:w="9360" w:type="dxa"/>
            <w:gridSpan w:val="6"/>
            <w:vAlign w:val="center"/>
          </w:tcPr>
          <w:p w:rsidRPr="00AE758F" w:rsidR="00B313E0" w:rsidP="007936BF" w:rsidRDefault="00B313E0" w14:paraId="738FB28D" w14:textId="2E610ED8">
            <w:pPr>
              <w:autoSpaceDE/>
              <w:autoSpaceDN/>
              <w:adjustRightInd/>
              <w:spacing w:line="240" w:lineRule="auto"/>
              <w:rPr>
                <w:b/>
                <w:bCs/>
                <w:color w:val="000000"/>
                <w:sz w:val="20"/>
                <w:szCs w:val="20"/>
              </w:rPr>
            </w:pPr>
            <w:r w:rsidRPr="00AE758F">
              <w:rPr>
                <w:b/>
                <w:bCs/>
                <w:color w:val="000000"/>
                <w:sz w:val="20"/>
                <w:szCs w:val="20"/>
              </w:rPr>
              <w:t xml:space="preserve">Averted </w:t>
            </w:r>
            <w:r w:rsidR="00B167CE">
              <w:rPr>
                <w:b/>
                <w:bCs/>
                <w:color w:val="000000"/>
                <w:sz w:val="20"/>
                <w:szCs w:val="20"/>
              </w:rPr>
              <w:t>Alternative</w:t>
            </w:r>
            <w:r w:rsidRPr="00AE758F" w:rsidR="00B167CE">
              <w:rPr>
                <w:b/>
                <w:bCs/>
                <w:color w:val="000000"/>
                <w:sz w:val="20"/>
                <w:szCs w:val="20"/>
              </w:rPr>
              <w:t xml:space="preserve"> </w:t>
            </w:r>
            <w:r w:rsidRPr="00AE758F">
              <w:rPr>
                <w:b/>
                <w:bCs/>
                <w:color w:val="000000"/>
                <w:sz w:val="20"/>
                <w:szCs w:val="20"/>
              </w:rPr>
              <w:t>Request (Industry)</w:t>
            </w:r>
          </w:p>
        </w:tc>
      </w:tr>
      <w:tr w:rsidRPr="00AE758F" w:rsidR="00466233" w:rsidTr="00382B4A" w14:paraId="41596EBE" w14:textId="77777777">
        <w:tc>
          <w:tcPr>
            <w:tcW w:w="3145" w:type="dxa"/>
            <w:vAlign w:val="center"/>
            <w:hideMark/>
          </w:tcPr>
          <w:p w:rsidRPr="001A4D0F" w:rsidR="00466233" w:rsidP="007936BF" w:rsidRDefault="00466233" w14:paraId="3C9B3E76" w14:textId="47ACB182">
            <w:pPr>
              <w:spacing w:line="240" w:lineRule="auto"/>
              <w:rPr>
                <w:color w:val="auto"/>
                <w:sz w:val="20"/>
                <w:szCs w:val="20"/>
              </w:rPr>
            </w:pPr>
            <w:r w:rsidRPr="00AE758F">
              <w:rPr>
                <w:sz w:val="20"/>
                <w:szCs w:val="20"/>
              </w:rPr>
              <w:t xml:space="preserve">Industry </w:t>
            </w:r>
            <w:r w:rsidR="0076338C">
              <w:rPr>
                <w:sz w:val="20"/>
                <w:szCs w:val="20"/>
              </w:rPr>
              <w:t>H</w:t>
            </w:r>
            <w:r w:rsidRPr="00AE758F">
              <w:rPr>
                <w:sz w:val="20"/>
                <w:szCs w:val="20"/>
              </w:rPr>
              <w:t xml:space="preserve">ours to </w:t>
            </w:r>
            <w:r w:rsidR="0076338C">
              <w:rPr>
                <w:sz w:val="20"/>
                <w:szCs w:val="20"/>
              </w:rPr>
              <w:t>P</w:t>
            </w:r>
            <w:r w:rsidRPr="00AE758F">
              <w:rPr>
                <w:sz w:val="20"/>
                <w:szCs w:val="20"/>
              </w:rPr>
              <w:t xml:space="preserve">roduce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 </w:t>
            </w:r>
            <w:r w:rsidRPr="00AE758F" w:rsidR="00D36141">
              <w:rPr>
                <w:sz w:val="20"/>
                <w:szCs w:val="20"/>
              </w:rPr>
              <w:t xml:space="preserve">for the </w:t>
            </w:r>
            <w:r w:rsidRPr="00AE758F">
              <w:rPr>
                <w:sz w:val="20"/>
                <w:szCs w:val="20"/>
              </w:rPr>
              <w:t>OM Code</w:t>
            </w:r>
          </w:p>
        </w:tc>
        <w:tc>
          <w:tcPr>
            <w:tcW w:w="1084" w:type="dxa"/>
            <w:noWrap/>
            <w:vAlign w:val="center"/>
            <w:hideMark/>
          </w:tcPr>
          <w:p w:rsidRPr="00AE758F" w:rsidR="00466233" w:rsidP="007936BF" w:rsidRDefault="00466233" w14:paraId="2AB801AC" w14:textId="0A1BDF35">
            <w:pPr>
              <w:spacing w:line="240" w:lineRule="auto"/>
              <w:jc w:val="center"/>
              <w:rPr>
                <w:color w:val="000000"/>
                <w:sz w:val="20"/>
                <w:szCs w:val="20"/>
              </w:rPr>
            </w:pPr>
            <w:r w:rsidRPr="00AE758F">
              <w:rPr>
                <w:sz w:val="20"/>
                <w:szCs w:val="20"/>
              </w:rPr>
              <w:t>230</w:t>
            </w:r>
          </w:p>
        </w:tc>
        <w:tc>
          <w:tcPr>
            <w:tcW w:w="1705" w:type="dxa"/>
            <w:noWrap/>
            <w:vAlign w:val="center"/>
            <w:hideMark/>
          </w:tcPr>
          <w:p w:rsidRPr="00AE758F" w:rsidR="00466233" w:rsidP="007936BF" w:rsidRDefault="00466233" w14:paraId="7024DDED" w14:textId="0043608F">
            <w:pPr>
              <w:spacing w:line="240" w:lineRule="auto"/>
              <w:jc w:val="center"/>
              <w:rPr>
                <w:color w:val="000000"/>
                <w:sz w:val="20"/>
                <w:szCs w:val="20"/>
              </w:rPr>
            </w:pPr>
            <w:r w:rsidRPr="00AE758F">
              <w:rPr>
                <w:sz w:val="20"/>
                <w:szCs w:val="20"/>
              </w:rPr>
              <w:t>PERT</w:t>
            </w:r>
          </w:p>
        </w:tc>
        <w:tc>
          <w:tcPr>
            <w:tcW w:w="1134" w:type="dxa"/>
            <w:noWrap/>
            <w:vAlign w:val="center"/>
            <w:hideMark/>
          </w:tcPr>
          <w:p w:rsidRPr="00AE758F" w:rsidR="00466233" w:rsidP="007936BF" w:rsidRDefault="00466233" w14:paraId="5162C103" w14:textId="59E931C1">
            <w:pPr>
              <w:spacing w:line="240" w:lineRule="auto"/>
              <w:jc w:val="center"/>
              <w:rPr>
                <w:color w:val="000000"/>
                <w:sz w:val="20"/>
                <w:szCs w:val="20"/>
              </w:rPr>
            </w:pPr>
            <w:r w:rsidRPr="00AE758F">
              <w:rPr>
                <w:sz w:val="20"/>
                <w:szCs w:val="20"/>
              </w:rPr>
              <w:t>170</w:t>
            </w:r>
          </w:p>
        </w:tc>
        <w:tc>
          <w:tcPr>
            <w:tcW w:w="1134" w:type="dxa"/>
            <w:noWrap/>
            <w:vAlign w:val="center"/>
            <w:hideMark/>
          </w:tcPr>
          <w:p w:rsidRPr="00AE758F" w:rsidR="00466233" w:rsidP="007936BF" w:rsidRDefault="00466233" w14:paraId="549369EE" w14:textId="7E3C3CA9">
            <w:pPr>
              <w:spacing w:line="240" w:lineRule="auto"/>
              <w:jc w:val="center"/>
              <w:rPr>
                <w:color w:val="000000"/>
                <w:sz w:val="20"/>
                <w:szCs w:val="20"/>
              </w:rPr>
            </w:pPr>
            <w:r w:rsidRPr="00AE758F">
              <w:rPr>
                <w:sz w:val="20"/>
                <w:szCs w:val="20"/>
              </w:rPr>
              <w:t>230</w:t>
            </w:r>
          </w:p>
        </w:tc>
        <w:tc>
          <w:tcPr>
            <w:tcW w:w="1158" w:type="dxa"/>
            <w:noWrap/>
            <w:vAlign w:val="center"/>
            <w:hideMark/>
          </w:tcPr>
          <w:p w:rsidRPr="00AE758F" w:rsidR="00466233" w:rsidP="007936BF" w:rsidRDefault="00466233" w14:paraId="3653A122" w14:textId="01EAA30E">
            <w:pPr>
              <w:spacing w:line="240" w:lineRule="auto"/>
              <w:jc w:val="center"/>
              <w:rPr>
                <w:color w:val="000000"/>
                <w:sz w:val="20"/>
                <w:szCs w:val="20"/>
              </w:rPr>
            </w:pPr>
            <w:r w:rsidRPr="00AE758F">
              <w:rPr>
                <w:sz w:val="20"/>
                <w:szCs w:val="20"/>
              </w:rPr>
              <w:t>290</w:t>
            </w:r>
          </w:p>
        </w:tc>
      </w:tr>
      <w:tr w:rsidRPr="00AE758F" w:rsidR="00466233" w:rsidTr="00382B4A" w14:paraId="66CDA728" w14:textId="77777777">
        <w:tc>
          <w:tcPr>
            <w:tcW w:w="3145" w:type="dxa"/>
            <w:vAlign w:val="center"/>
            <w:hideMark/>
          </w:tcPr>
          <w:p w:rsidRPr="00AE758F" w:rsidR="00466233" w:rsidP="007936BF" w:rsidRDefault="00466233" w14:paraId="7466973F" w14:textId="1B496D20">
            <w:pPr>
              <w:spacing w:line="240" w:lineRule="auto"/>
              <w:rPr>
                <w:sz w:val="20"/>
                <w:szCs w:val="20"/>
              </w:rPr>
            </w:pPr>
            <w:r w:rsidRPr="00AE758F">
              <w:rPr>
                <w:sz w:val="20"/>
                <w:szCs w:val="20"/>
              </w:rPr>
              <w:t xml:space="preserve">Number of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equests </w:t>
            </w:r>
            <w:r w:rsidR="0076338C">
              <w:rPr>
                <w:sz w:val="20"/>
                <w:szCs w:val="20"/>
              </w:rPr>
              <w:t>P</w:t>
            </w:r>
            <w:r w:rsidRPr="00AE758F">
              <w:rPr>
                <w:sz w:val="20"/>
                <w:szCs w:val="20"/>
              </w:rPr>
              <w:t xml:space="preserve">roduced </w:t>
            </w:r>
            <w:r w:rsidR="0076338C">
              <w:rPr>
                <w:sz w:val="20"/>
                <w:szCs w:val="20"/>
              </w:rPr>
              <w:t>A</w:t>
            </w:r>
            <w:r w:rsidRPr="00AE758F">
              <w:rPr>
                <w:sz w:val="20"/>
                <w:szCs w:val="20"/>
              </w:rPr>
              <w:t xml:space="preserve">nnually for </w:t>
            </w:r>
            <w:r w:rsidRPr="00AE758F" w:rsidR="002431EA">
              <w:rPr>
                <w:sz w:val="20"/>
                <w:szCs w:val="20"/>
              </w:rPr>
              <w:t xml:space="preserve">the </w:t>
            </w:r>
            <w:r w:rsidRPr="00AE758F">
              <w:rPr>
                <w:sz w:val="20"/>
                <w:szCs w:val="20"/>
              </w:rPr>
              <w:t xml:space="preserve">2020 Edition </w:t>
            </w:r>
            <w:r w:rsidRPr="00AE758F" w:rsidR="00D36141">
              <w:rPr>
                <w:sz w:val="20"/>
                <w:szCs w:val="20"/>
              </w:rPr>
              <w:t xml:space="preserve">of the </w:t>
            </w:r>
            <w:r w:rsidRPr="00AE758F">
              <w:rPr>
                <w:sz w:val="20"/>
                <w:szCs w:val="20"/>
              </w:rPr>
              <w:t>OM Code</w:t>
            </w:r>
          </w:p>
          <w:p w:rsidRPr="001A4D0F" w:rsidR="00F12A38" w:rsidP="007936BF" w:rsidRDefault="00F12A38" w14:paraId="1EFA3D40" w14:textId="2137CAAA">
            <w:pPr>
              <w:spacing w:line="240" w:lineRule="auto"/>
              <w:rPr>
                <w:color w:val="auto"/>
                <w:sz w:val="20"/>
                <w:szCs w:val="20"/>
              </w:rPr>
            </w:pPr>
          </w:p>
        </w:tc>
        <w:tc>
          <w:tcPr>
            <w:tcW w:w="1084" w:type="dxa"/>
            <w:noWrap/>
            <w:vAlign w:val="center"/>
            <w:hideMark/>
          </w:tcPr>
          <w:p w:rsidRPr="00AE758F" w:rsidR="00466233" w:rsidP="007936BF" w:rsidRDefault="00466233" w14:paraId="010C8C02" w14:textId="67906A3A">
            <w:pPr>
              <w:spacing w:line="240" w:lineRule="auto"/>
              <w:jc w:val="center"/>
              <w:rPr>
                <w:color w:val="000000"/>
                <w:sz w:val="20"/>
                <w:szCs w:val="20"/>
              </w:rPr>
            </w:pPr>
            <w:r w:rsidRPr="00AE758F">
              <w:rPr>
                <w:sz w:val="20"/>
                <w:szCs w:val="20"/>
              </w:rPr>
              <w:t>20</w:t>
            </w:r>
          </w:p>
        </w:tc>
        <w:tc>
          <w:tcPr>
            <w:tcW w:w="1705" w:type="dxa"/>
            <w:noWrap/>
            <w:vAlign w:val="center"/>
            <w:hideMark/>
          </w:tcPr>
          <w:p w:rsidRPr="00AE758F" w:rsidR="00466233" w:rsidP="007936BF" w:rsidRDefault="00466233" w14:paraId="5963CE57" w14:textId="186678D6">
            <w:pPr>
              <w:spacing w:line="240" w:lineRule="auto"/>
              <w:jc w:val="center"/>
              <w:rPr>
                <w:color w:val="000000"/>
                <w:sz w:val="20"/>
                <w:szCs w:val="20"/>
              </w:rPr>
            </w:pPr>
            <w:r w:rsidRPr="00AE758F">
              <w:rPr>
                <w:sz w:val="20"/>
                <w:szCs w:val="20"/>
              </w:rPr>
              <w:t>PERT</w:t>
            </w:r>
          </w:p>
        </w:tc>
        <w:tc>
          <w:tcPr>
            <w:tcW w:w="1134" w:type="dxa"/>
            <w:noWrap/>
            <w:vAlign w:val="center"/>
            <w:hideMark/>
          </w:tcPr>
          <w:p w:rsidRPr="00AE758F" w:rsidR="00466233" w:rsidP="007936BF" w:rsidRDefault="00466233" w14:paraId="64EFC07D" w14:textId="77257B3F">
            <w:pPr>
              <w:spacing w:line="240" w:lineRule="auto"/>
              <w:jc w:val="center"/>
              <w:rPr>
                <w:color w:val="000000"/>
                <w:sz w:val="20"/>
                <w:szCs w:val="20"/>
              </w:rPr>
            </w:pPr>
            <w:r w:rsidRPr="00AE758F">
              <w:rPr>
                <w:sz w:val="20"/>
                <w:szCs w:val="20"/>
              </w:rPr>
              <w:t>18</w:t>
            </w:r>
          </w:p>
        </w:tc>
        <w:tc>
          <w:tcPr>
            <w:tcW w:w="1134" w:type="dxa"/>
            <w:noWrap/>
            <w:vAlign w:val="center"/>
            <w:hideMark/>
          </w:tcPr>
          <w:p w:rsidRPr="00AE758F" w:rsidR="00466233" w:rsidP="007936BF" w:rsidRDefault="00466233" w14:paraId="5CB85B64" w14:textId="40E70A62">
            <w:pPr>
              <w:spacing w:line="240" w:lineRule="auto"/>
              <w:jc w:val="center"/>
              <w:rPr>
                <w:color w:val="000000"/>
                <w:sz w:val="20"/>
                <w:szCs w:val="20"/>
              </w:rPr>
            </w:pPr>
            <w:r w:rsidRPr="00AE758F">
              <w:rPr>
                <w:sz w:val="20"/>
                <w:szCs w:val="20"/>
              </w:rPr>
              <w:t>20</w:t>
            </w:r>
          </w:p>
        </w:tc>
        <w:tc>
          <w:tcPr>
            <w:tcW w:w="1158" w:type="dxa"/>
            <w:noWrap/>
            <w:vAlign w:val="center"/>
            <w:hideMark/>
          </w:tcPr>
          <w:p w:rsidRPr="00AE758F" w:rsidR="00466233" w:rsidP="007936BF" w:rsidRDefault="00466233" w14:paraId="2796FF52" w14:textId="080F61CC">
            <w:pPr>
              <w:spacing w:line="240" w:lineRule="auto"/>
              <w:jc w:val="center"/>
              <w:rPr>
                <w:color w:val="000000"/>
                <w:sz w:val="20"/>
                <w:szCs w:val="20"/>
              </w:rPr>
            </w:pPr>
            <w:r w:rsidRPr="00AE758F">
              <w:rPr>
                <w:sz w:val="20"/>
                <w:szCs w:val="20"/>
              </w:rPr>
              <w:t>22</w:t>
            </w:r>
          </w:p>
        </w:tc>
      </w:tr>
      <w:tr w:rsidRPr="00AE758F" w:rsidR="00FA740B" w:rsidTr="00382B4A" w14:paraId="0FAF11A5" w14:textId="77777777">
        <w:tc>
          <w:tcPr>
            <w:tcW w:w="9360" w:type="dxa"/>
            <w:gridSpan w:val="6"/>
            <w:vAlign w:val="center"/>
            <w:hideMark/>
          </w:tcPr>
          <w:p w:rsidRPr="00AE758F" w:rsidR="00FA740B" w:rsidP="00382B4A" w:rsidRDefault="009B0603" w14:paraId="1202C793" w14:textId="2BCA59A3">
            <w:pPr>
              <w:keepNext/>
              <w:autoSpaceDE/>
              <w:autoSpaceDN/>
              <w:adjustRightInd/>
              <w:spacing w:line="240" w:lineRule="auto"/>
              <w:rPr>
                <w:b/>
                <w:bCs/>
                <w:color w:val="000000"/>
                <w:sz w:val="20"/>
                <w:szCs w:val="20"/>
              </w:rPr>
            </w:pPr>
            <w:r>
              <w:rPr>
                <w:b/>
                <w:bCs/>
                <w:color w:val="000000"/>
                <w:sz w:val="20"/>
                <w:szCs w:val="20"/>
              </w:rPr>
              <w:lastRenderedPageBreak/>
              <w:t xml:space="preserve">Review of </w:t>
            </w:r>
            <w:r w:rsidRPr="00AE758F" w:rsidR="00D77434">
              <w:rPr>
                <w:b/>
                <w:bCs/>
                <w:color w:val="000000"/>
                <w:sz w:val="20"/>
                <w:szCs w:val="20"/>
              </w:rPr>
              <w:t xml:space="preserve">Averted </w:t>
            </w:r>
            <w:r w:rsidR="00B167CE">
              <w:rPr>
                <w:b/>
                <w:bCs/>
                <w:color w:val="000000"/>
                <w:sz w:val="20"/>
                <w:szCs w:val="20"/>
              </w:rPr>
              <w:t>Alternative</w:t>
            </w:r>
            <w:r w:rsidRPr="00AE758F" w:rsidR="00B167CE">
              <w:rPr>
                <w:b/>
                <w:bCs/>
                <w:color w:val="000000"/>
                <w:sz w:val="20"/>
                <w:szCs w:val="20"/>
              </w:rPr>
              <w:t xml:space="preserve"> </w:t>
            </w:r>
            <w:r w:rsidRPr="00AE758F" w:rsidR="00D77434">
              <w:rPr>
                <w:b/>
                <w:bCs/>
                <w:color w:val="000000"/>
                <w:sz w:val="20"/>
                <w:szCs w:val="20"/>
              </w:rPr>
              <w:t>Request (NRC)</w:t>
            </w:r>
          </w:p>
        </w:tc>
      </w:tr>
      <w:tr w:rsidRPr="00AE758F" w:rsidR="00466233" w:rsidTr="00382B4A" w14:paraId="283924F1" w14:textId="77777777">
        <w:tc>
          <w:tcPr>
            <w:tcW w:w="3145" w:type="dxa"/>
            <w:vAlign w:val="center"/>
            <w:hideMark/>
          </w:tcPr>
          <w:p w:rsidRPr="001A4D0F" w:rsidR="00466233" w:rsidP="007936BF" w:rsidRDefault="00466233" w14:paraId="4A44A61B" w14:textId="7511C3EC">
            <w:pPr>
              <w:spacing w:line="240" w:lineRule="auto"/>
              <w:rPr>
                <w:color w:val="auto"/>
                <w:sz w:val="20"/>
                <w:szCs w:val="20"/>
              </w:rPr>
            </w:pPr>
            <w:r w:rsidRPr="00AE758F">
              <w:rPr>
                <w:sz w:val="20"/>
                <w:szCs w:val="20"/>
              </w:rPr>
              <w:t xml:space="preserve">NRC </w:t>
            </w:r>
            <w:r w:rsidR="0076338C">
              <w:rPr>
                <w:sz w:val="20"/>
                <w:szCs w:val="20"/>
              </w:rPr>
              <w:t>H</w:t>
            </w:r>
            <w:r w:rsidRPr="00AE758F">
              <w:rPr>
                <w:sz w:val="20"/>
                <w:szCs w:val="20"/>
              </w:rPr>
              <w:t xml:space="preserve">ours to </w:t>
            </w:r>
            <w:r w:rsidR="0076338C">
              <w:rPr>
                <w:sz w:val="20"/>
                <w:szCs w:val="20"/>
              </w:rPr>
              <w:t>E</w:t>
            </w:r>
            <w:r w:rsidRPr="00AE758F">
              <w:rPr>
                <w:sz w:val="20"/>
                <w:szCs w:val="20"/>
              </w:rPr>
              <w:t xml:space="preserve">valuate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 for </w:t>
            </w:r>
            <w:r w:rsidRPr="00AE758F" w:rsidR="00D36141">
              <w:rPr>
                <w:sz w:val="20"/>
                <w:szCs w:val="20"/>
              </w:rPr>
              <w:t xml:space="preserve">the </w:t>
            </w:r>
            <w:r w:rsidRPr="00AE758F">
              <w:rPr>
                <w:sz w:val="20"/>
                <w:szCs w:val="20"/>
              </w:rPr>
              <w:t>OM Code</w:t>
            </w:r>
          </w:p>
        </w:tc>
        <w:tc>
          <w:tcPr>
            <w:tcW w:w="1084" w:type="dxa"/>
            <w:noWrap/>
            <w:vAlign w:val="center"/>
            <w:hideMark/>
          </w:tcPr>
          <w:p w:rsidRPr="00AE758F" w:rsidR="00466233" w:rsidP="007936BF" w:rsidRDefault="00466233" w14:paraId="46A5385E" w14:textId="1E2691C3">
            <w:pPr>
              <w:spacing w:line="240" w:lineRule="auto"/>
              <w:jc w:val="center"/>
              <w:rPr>
                <w:color w:val="000000"/>
                <w:sz w:val="20"/>
                <w:szCs w:val="20"/>
              </w:rPr>
            </w:pPr>
            <w:r w:rsidRPr="00AE758F">
              <w:rPr>
                <w:sz w:val="20"/>
                <w:szCs w:val="20"/>
              </w:rPr>
              <w:t>115</w:t>
            </w:r>
          </w:p>
        </w:tc>
        <w:tc>
          <w:tcPr>
            <w:tcW w:w="1705" w:type="dxa"/>
            <w:noWrap/>
            <w:vAlign w:val="center"/>
          </w:tcPr>
          <w:p w:rsidRPr="00AE758F" w:rsidR="00466233" w:rsidP="007936BF" w:rsidRDefault="00466233" w14:paraId="4B7050D4" w14:textId="58E2B59C">
            <w:pPr>
              <w:spacing w:line="240" w:lineRule="auto"/>
              <w:jc w:val="center"/>
              <w:rPr>
                <w:color w:val="000000"/>
                <w:sz w:val="20"/>
                <w:szCs w:val="20"/>
              </w:rPr>
            </w:pPr>
            <w:r w:rsidRPr="00AE758F">
              <w:rPr>
                <w:sz w:val="20"/>
                <w:szCs w:val="20"/>
              </w:rPr>
              <w:t>PERT</w:t>
            </w:r>
          </w:p>
        </w:tc>
        <w:tc>
          <w:tcPr>
            <w:tcW w:w="1134" w:type="dxa"/>
            <w:noWrap/>
            <w:vAlign w:val="center"/>
          </w:tcPr>
          <w:p w:rsidRPr="00AE758F" w:rsidR="00466233" w:rsidP="007936BF" w:rsidRDefault="00466233" w14:paraId="2ED9B753" w14:textId="5A127060">
            <w:pPr>
              <w:spacing w:line="240" w:lineRule="auto"/>
              <w:jc w:val="center"/>
              <w:rPr>
                <w:color w:val="000000"/>
                <w:sz w:val="20"/>
                <w:szCs w:val="20"/>
              </w:rPr>
            </w:pPr>
            <w:r w:rsidRPr="00AE758F">
              <w:rPr>
                <w:sz w:val="20"/>
                <w:szCs w:val="20"/>
              </w:rPr>
              <w:t>85</w:t>
            </w:r>
          </w:p>
        </w:tc>
        <w:tc>
          <w:tcPr>
            <w:tcW w:w="1134" w:type="dxa"/>
            <w:noWrap/>
            <w:vAlign w:val="center"/>
          </w:tcPr>
          <w:p w:rsidRPr="00AE758F" w:rsidR="00466233" w:rsidP="007936BF" w:rsidRDefault="00466233" w14:paraId="715AAA9D" w14:textId="654FAC71">
            <w:pPr>
              <w:spacing w:line="240" w:lineRule="auto"/>
              <w:jc w:val="center"/>
              <w:rPr>
                <w:color w:val="000000"/>
                <w:sz w:val="20"/>
                <w:szCs w:val="20"/>
              </w:rPr>
            </w:pPr>
            <w:r w:rsidRPr="00AE758F">
              <w:rPr>
                <w:sz w:val="20"/>
                <w:szCs w:val="20"/>
              </w:rPr>
              <w:t>115</w:t>
            </w:r>
          </w:p>
        </w:tc>
        <w:tc>
          <w:tcPr>
            <w:tcW w:w="1158" w:type="dxa"/>
            <w:noWrap/>
            <w:vAlign w:val="center"/>
          </w:tcPr>
          <w:p w:rsidRPr="00AE758F" w:rsidR="00466233" w:rsidP="007936BF" w:rsidRDefault="00466233" w14:paraId="3E504378" w14:textId="15B008AC">
            <w:pPr>
              <w:spacing w:line="240" w:lineRule="auto"/>
              <w:jc w:val="center"/>
              <w:rPr>
                <w:color w:val="000000"/>
                <w:sz w:val="20"/>
                <w:szCs w:val="20"/>
              </w:rPr>
            </w:pPr>
            <w:r w:rsidRPr="00AE758F">
              <w:rPr>
                <w:sz w:val="20"/>
                <w:szCs w:val="20"/>
              </w:rPr>
              <w:t>145</w:t>
            </w:r>
          </w:p>
        </w:tc>
      </w:tr>
      <w:tr w:rsidRPr="00AE758F" w:rsidR="00466233" w:rsidTr="00382B4A" w14:paraId="77B78733" w14:textId="77777777">
        <w:tc>
          <w:tcPr>
            <w:tcW w:w="3145" w:type="dxa"/>
            <w:vAlign w:val="center"/>
          </w:tcPr>
          <w:p w:rsidRPr="00AE758F" w:rsidR="00466233" w:rsidP="007936BF" w:rsidRDefault="00466233" w14:paraId="334AFCEE" w14:textId="25B85E81">
            <w:pPr>
              <w:spacing w:line="240" w:lineRule="auto"/>
              <w:rPr>
                <w:color w:val="auto"/>
                <w:sz w:val="20"/>
                <w:szCs w:val="20"/>
              </w:rPr>
            </w:pPr>
            <w:r w:rsidRPr="00AE758F">
              <w:rPr>
                <w:sz w:val="20"/>
                <w:szCs w:val="20"/>
              </w:rPr>
              <w:t xml:space="preserve">Number of </w:t>
            </w:r>
            <w:r w:rsidR="0076338C">
              <w:rPr>
                <w:sz w:val="20"/>
                <w:szCs w:val="20"/>
              </w:rPr>
              <w:t>A</w:t>
            </w:r>
            <w:r w:rsidR="00B167CE">
              <w:rPr>
                <w:sz w:val="20"/>
                <w:szCs w:val="20"/>
              </w:rPr>
              <w:t>lternative</w:t>
            </w:r>
            <w:r w:rsidRPr="00AE758F" w:rsidR="00B167CE">
              <w:rPr>
                <w:sz w:val="20"/>
                <w:szCs w:val="20"/>
              </w:rPr>
              <w:t xml:space="preserve"> </w:t>
            </w:r>
            <w:r w:rsidR="0076338C">
              <w:rPr>
                <w:sz w:val="20"/>
                <w:szCs w:val="20"/>
              </w:rPr>
              <w:t>R</w:t>
            </w:r>
            <w:r w:rsidRPr="00AE758F">
              <w:rPr>
                <w:sz w:val="20"/>
                <w:szCs w:val="20"/>
              </w:rPr>
              <w:t xml:space="preserve">equests </w:t>
            </w:r>
            <w:r w:rsidR="0076338C">
              <w:rPr>
                <w:sz w:val="20"/>
                <w:szCs w:val="20"/>
              </w:rPr>
              <w:t>P</w:t>
            </w:r>
            <w:r w:rsidRPr="00AE758F">
              <w:rPr>
                <w:sz w:val="20"/>
                <w:szCs w:val="20"/>
              </w:rPr>
              <w:t xml:space="preserve">roduced </w:t>
            </w:r>
            <w:r w:rsidR="0076338C">
              <w:rPr>
                <w:sz w:val="20"/>
                <w:szCs w:val="20"/>
              </w:rPr>
              <w:t>A</w:t>
            </w:r>
            <w:r w:rsidRPr="00AE758F">
              <w:rPr>
                <w:sz w:val="20"/>
                <w:szCs w:val="20"/>
              </w:rPr>
              <w:t xml:space="preserve">nnually for </w:t>
            </w:r>
            <w:r w:rsidRPr="00AE758F" w:rsidR="002431EA">
              <w:rPr>
                <w:sz w:val="20"/>
                <w:szCs w:val="20"/>
              </w:rPr>
              <w:t xml:space="preserve">the </w:t>
            </w:r>
            <w:r w:rsidRPr="00AE758F">
              <w:rPr>
                <w:sz w:val="20"/>
                <w:szCs w:val="20"/>
              </w:rPr>
              <w:t xml:space="preserve">2020 Edition </w:t>
            </w:r>
            <w:r w:rsidRPr="00AE758F" w:rsidR="00D36141">
              <w:rPr>
                <w:sz w:val="20"/>
                <w:szCs w:val="20"/>
              </w:rPr>
              <w:t xml:space="preserve">of the </w:t>
            </w:r>
            <w:r w:rsidRPr="00AE758F">
              <w:rPr>
                <w:sz w:val="20"/>
                <w:szCs w:val="20"/>
              </w:rPr>
              <w:t>OM Code</w:t>
            </w:r>
          </w:p>
        </w:tc>
        <w:tc>
          <w:tcPr>
            <w:tcW w:w="1084" w:type="dxa"/>
            <w:noWrap/>
            <w:vAlign w:val="center"/>
          </w:tcPr>
          <w:p w:rsidRPr="00AE758F" w:rsidR="00466233" w:rsidP="007936BF" w:rsidRDefault="00466233" w14:paraId="5ED605F5" w14:textId="5DFEAB44">
            <w:pPr>
              <w:spacing w:line="240" w:lineRule="auto"/>
              <w:jc w:val="center"/>
              <w:rPr>
                <w:color w:val="000000"/>
                <w:sz w:val="20"/>
                <w:szCs w:val="20"/>
              </w:rPr>
            </w:pPr>
            <w:r w:rsidRPr="00AE758F">
              <w:rPr>
                <w:sz w:val="20"/>
                <w:szCs w:val="20"/>
              </w:rPr>
              <w:t>20</w:t>
            </w:r>
          </w:p>
        </w:tc>
        <w:tc>
          <w:tcPr>
            <w:tcW w:w="1705" w:type="dxa"/>
            <w:noWrap/>
            <w:vAlign w:val="center"/>
          </w:tcPr>
          <w:p w:rsidRPr="00AE758F" w:rsidR="00466233" w:rsidP="007936BF" w:rsidRDefault="00466233" w14:paraId="53AF7D7E" w14:textId="0E10708C">
            <w:pPr>
              <w:spacing w:line="240" w:lineRule="auto"/>
              <w:jc w:val="center"/>
              <w:rPr>
                <w:color w:val="000000"/>
                <w:sz w:val="20"/>
                <w:szCs w:val="20"/>
              </w:rPr>
            </w:pPr>
            <w:r w:rsidRPr="00AE758F">
              <w:rPr>
                <w:sz w:val="20"/>
                <w:szCs w:val="20"/>
              </w:rPr>
              <w:t>PERT</w:t>
            </w:r>
          </w:p>
        </w:tc>
        <w:tc>
          <w:tcPr>
            <w:tcW w:w="1134" w:type="dxa"/>
            <w:noWrap/>
            <w:vAlign w:val="center"/>
          </w:tcPr>
          <w:p w:rsidRPr="00AE758F" w:rsidR="00466233" w:rsidP="007936BF" w:rsidRDefault="00466233" w14:paraId="0E6E1D6C" w14:textId="1E205A6F">
            <w:pPr>
              <w:spacing w:line="240" w:lineRule="auto"/>
              <w:jc w:val="center"/>
              <w:rPr>
                <w:color w:val="000000"/>
                <w:sz w:val="20"/>
                <w:szCs w:val="20"/>
              </w:rPr>
            </w:pPr>
            <w:r w:rsidRPr="00AE758F">
              <w:rPr>
                <w:sz w:val="20"/>
                <w:szCs w:val="20"/>
              </w:rPr>
              <w:t>18</w:t>
            </w:r>
          </w:p>
        </w:tc>
        <w:tc>
          <w:tcPr>
            <w:tcW w:w="1134" w:type="dxa"/>
            <w:noWrap/>
            <w:vAlign w:val="center"/>
          </w:tcPr>
          <w:p w:rsidRPr="00AE758F" w:rsidR="00466233" w:rsidP="007936BF" w:rsidRDefault="00466233" w14:paraId="316B7920" w14:textId="00414A07">
            <w:pPr>
              <w:spacing w:line="240" w:lineRule="auto"/>
              <w:jc w:val="center"/>
              <w:rPr>
                <w:color w:val="000000"/>
                <w:sz w:val="20"/>
                <w:szCs w:val="20"/>
              </w:rPr>
            </w:pPr>
            <w:r w:rsidRPr="00AE758F">
              <w:rPr>
                <w:sz w:val="20"/>
                <w:szCs w:val="20"/>
              </w:rPr>
              <w:t>20</w:t>
            </w:r>
          </w:p>
        </w:tc>
        <w:tc>
          <w:tcPr>
            <w:tcW w:w="1158" w:type="dxa"/>
            <w:noWrap/>
            <w:vAlign w:val="center"/>
          </w:tcPr>
          <w:p w:rsidRPr="00AE758F" w:rsidR="00466233" w:rsidP="007936BF" w:rsidRDefault="00466233" w14:paraId="03127FA5" w14:textId="15017C0C">
            <w:pPr>
              <w:spacing w:line="240" w:lineRule="auto"/>
              <w:jc w:val="center"/>
              <w:rPr>
                <w:color w:val="000000"/>
                <w:sz w:val="20"/>
                <w:szCs w:val="20"/>
              </w:rPr>
            </w:pPr>
            <w:r w:rsidRPr="00AE758F">
              <w:rPr>
                <w:sz w:val="20"/>
                <w:szCs w:val="20"/>
              </w:rPr>
              <w:t>22</w:t>
            </w:r>
          </w:p>
        </w:tc>
      </w:tr>
    </w:tbl>
    <w:p w:rsidRPr="00AE758F" w:rsidR="00C8101A" w:rsidP="007936BF" w:rsidRDefault="00C8101A" w14:paraId="1873FCBE" w14:textId="16C9521D">
      <w:pPr>
        <w:spacing w:line="240" w:lineRule="auto"/>
        <w:rPr>
          <w:sz w:val="18"/>
          <w:szCs w:val="18"/>
        </w:rPr>
      </w:pPr>
      <w:bookmarkStart w:name="_Toc436817855" w:id="317"/>
      <w:bookmarkStart w:name="_Toc443059997" w:id="318"/>
      <w:bookmarkStart w:name="_Toc456098349" w:id="319"/>
      <w:r w:rsidRPr="00AE758F">
        <w:rPr>
          <w:sz w:val="18"/>
          <w:szCs w:val="18"/>
        </w:rPr>
        <w:t>Note:</w:t>
      </w:r>
      <w:r w:rsidRPr="00AE758F" w:rsidR="002431EA">
        <w:rPr>
          <w:sz w:val="18"/>
          <w:szCs w:val="18"/>
        </w:rPr>
        <w:t xml:space="preserve">  </w:t>
      </w:r>
      <w:r w:rsidRPr="00AE758F">
        <w:rPr>
          <w:sz w:val="18"/>
          <w:szCs w:val="18"/>
        </w:rPr>
        <w:t xml:space="preserve">All values </w:t>
      </w:r>
      <w:r w:rsidR="00086A09">
        <w:rPr>
          <w:sz w:val="18"/>
          <w:szCs w:val="18"/>
        </w:rPr>
        <w:t xml:space="preserve">are </w:t>
      </w:r>
      <w:r w:rsidRPr="00AE758F">
        <w:rPr>
          <w:sz w:val="18"/>
          <w:szCs w:val="18"/>
        </w:rPr>
        <w:t>reported in 202</w:t>
      </w:r>
      <w:r w:rsidR="00063B9F">
        <w:rPr>
          <w:sz w:val="18"/>
          <w:szCs w:val="18"/>
        </w:rPr>
        <w:t>1</w:t>
      </w:r>
      <w:r w:rsidRPr="00AE758F">
        <w:rPr>
          <w:sz w:val="18"/>
          <w:szCs w:val="18"/>
        </w:rPr>
        <w:t xml:space="preserve"> dollars.</w:t>
      </w:r>
    </w:p>
    <w:p w:rsidRPr="00AE758F" w:rsidR="00466233" w:rsidP="007936BF" w:rsidRDefault="00466233" w14:paraId="589E741D" w14:textId="6FC78A6B">
      <w:pPr>
        <w:spacing w:line="240" w:lineRule="auto"/>
      </w:pPr>
    </w:p>
    <w:p w:rsidRPr="00AE758F" w:rsidR="00C8101A" w:rsidP="007936BF" w:rsidRDefault="00C8101A" w14:paraId="6D01E072" w14:textId="1728BAF6">
      <w:pPr>
        <w:pStyle w:val="Heading3"/>
        <w:spacing w:line="240" w:lineRule="auto"/>
        <w:ind w:left="720" w:hanging="720"/>
      </w:pPr>
      <w:bookmarkStart w:name="_Toc457827362" w:id="320"/>
      <w:bookmarkStart w:name="_Toc521577258" w:id="321"/>
      <w:bookmarkStart w:name="_Toc7512441" w:id="322"/>
      <w:bookmarkStart w:name="_Toc81309137" w:id="323"/>
      <w:r w:rsidRPr="00AE758F">
        <w:t>5.13.</w:t>
      </w:r>
      <w:r w:rsidR="00872042">
        <w:t>2</w:t>
      </w:r>
      <w:r w:rsidRPr="00AE758F">
        <w:tab/>
        <w:t>Uncertainty Analysis Results</w:t>
      </w:r>
      <w:bookmarkEnd w:id="317"/>
      <w:bookmarkEnd w:id="318"/>
      <w:bookmarkEnd w:id="319"/>
      <w:bookmarkEnd w:id="320"/>
      <w:bookmarkEnd w:id="321"/>
      <w:bookmarkEnd w:id="322"/>
      <w:bookmarkEnd w:id="323"/>
    </w:p>
    <w:p w:rsidRPr="00AE758F" w:rsidR="00C8101A" w:rsidP="007936BF" w:rsidRDefault="00C8101A" w14:paraId="7C0C705E" w14:textId="77777777">
      <w:pPr>
        <w:keepNext/>
        <w:spacing w:line="240" w:lineRule="auto"/>
      </w:pPr>
    </w:p>
    <w:p w:rsidRPr="00AE758F" w:rsidR="00C8101A" w:rsidP="007936BF" w:rsidRDefault="00C8101A" w14:paraId="043FC934" w14:textId="0D72597A">
      <w:pPr>
        <w:spacing w:line="240" w:lineRule="auto"/>
      </w:pPr>
      <w:r w:rsidRPr="00AE758F">
        <w:t xml:space="preserve">The NRC performed the Monte Carlo simulation by recalculating the results 10,000 times.  For each iteration, the </w:t>
      </w:r>
      <w:r w:rsidRPr="00AE758F" w:rsidR="002431EA">
        <w:t xml:space="preserve">NRC staff chose </w:t>
      </w:r>
      <w:r w:rsidRPr="00AE758F">
        <w:t xml:space="preserve">values randomly from the probability distributions </w:t>
      </w:r>
      <w:r w:rsidR="009B75C3">
        <w:t xml:space="preserve">defining </w:t>
      </w:r>
      <w:r w:rsidRPr="00AE758F">
        <w:t>the input variables.  The</w:t>
      </w:r>
      <w:r w:rsidRPr="00AE758F" w:rsidR="002431EA">
        <w:t xml:space="preserve"> staff recorded</w:t>
      </w:r>
      <w:r w:rsidRPr="00AE758F">
        <w:t xml:space="preserve"> </w:t>
      </w:r>
      <w:r w:rsidR="00AF7764">
        <w:t xml:space="preserve">the </w:t>
      </w:r>
      <w:r w:rsidRPr="00AE758F">
        <w:t xml:space="preserve">values of the output variables for each iteration and </w:t>
      </w:r>
      <w:r w:rsidRPr="00AE758F" w:rsidR="002431EA">
        <w:t xml:space="preserve">used </w:t>
      </w:r>
      <w:r w:rsidRPr="00AE758F">
        <w:t>these to define the resultant probability distribution.</w:t>
      </w:r>
    </w:p>
    <w:p w:rsidRPr="00AE758F" w:rsidR="00C8101A" w:rsidP="007936BF" w:rsidRDefault="00C8101A" w14:paraId="1E167788" w14:textId="77777777">
      <w:pPr>
        <w:spacing w:line="240" w:lineRule="auto"/>
      </w:pPr>
    </w:p>
    <w:p w:rsidRPr="00AE758F" w:rsidR="00A32693" w:rsidP="007936BF" w:rsidRDefault="00C8101A" w14:paraId="0942D8DA" w14:textId="6D8C14E1">
      <w:pPr>
        <w:spacing w:line="240" w:lineRule="auto"/>
      </w:pPr>
      <w:r w:rsidRPr="00AE758F">
        <w:fldChar w:fldCharType="begin"/>
      </w:r>
      <w:r w:rsidRPr="00AE758F">
        <w:instrText xml:space="preserve"> REF _Ref447551186 \h  \* MERGEFORMAT </w:instrText>
      </w:r>
      <w:r w:rsidRPr="00AE758F">
        <w:fldChar w:fldCharType="separate"/>
      </w:r>
      <w:r w:rsidRPr="006A41A8" w:rsidR="006A41A8">
        <w:t>Figure</w:t>
      </w:r>
      <w:r w:rsidR="00D6646F">
        <w:t>s</w:t>
      </w:r>
      <w:r w:rsidRPr="00AE758F" w:rsidR="006A41A8">
        <w:rPr>
          <w:b/>
        </w:rPr>
        <w:t xml:space="preserve"> </w:t>
      </w:r>
      <w:r w:rsidRPr="00A44FC6" w:rsidR="006A41A8">
        <w:rPr>
          <w:bCs/>
          <w:noProof/>
        </w:rPr>
        <w:t>1</w:t>
      </w:r>
      <w:r w:rsidRPr="00AE758F">
        <w:fldChar w:fldCharType="end"/>
      </w:r>
      <w:r w:rsidRPr="00AE758F">
        <w:t>, 2, and 3 display the histograms of the incremental costs and benefits from the</w:t>
      </w:r>
      <w:r w:rsidR="001A4D0F">
        <w:t> </w:t>
      </w:r>
      <w:r w:rsidRPr="00AE758F">
        <w:t xml:space="preserve">regulatory baseline (Alternative 1).  </w:t>
      </w:r>
      <w:r w:rsidRPr="00AE758F" w:rsidR="002431EA">
        <w:t xml:space="preserve">For the analysis </w:t>
      </w:r>
      <w:r w:rsidR="00DA6EFE">
        <w:t xml:space="preserve">summarized </w:t>
      </w:r>
      <w:r w:rsidRPr="00AE758F" w:rsidR="002431EA">
        <w:t>in each figure, the NRC ran 10,000 simulations, changing the key variables to assess the effect</w:t>
      </w:r>
      <w:r w:rsidR="00551B6E">
        <w:t>s</w:t>
      </w:r>
      <w:r w:rsidRPr="00AE758F" w:rsidR="002431EA">
        <w:t xml:space="preserve"> on costs and benefits.  </w:t>
      </w:r>
      <w:r w:rsidRPr="00AE758F">
        <w:t xml:space="preserve">The analysis shows that both the industry and the NRC would benefit </w:t>
      </w:r>
      <w:r w:rsidR="004E23E5">
        <w:t>from the issuance of the final rule</w:t>
      </w:r>
      <w:r w:rsidRPr="00AE758F">
        <w:t>.</w:t>
      </w:r>
    </w:p>
    <w:p w:rsidRPr="00AE758F" w:rsidR="00F60C76" w:rsidP="007936BF" w:rsidRDefault="00F60C76" w14:paraId="64C85973" w14:textId="71072447">
      <w:pPr>
        <w:spacing w:line="240" w:lineRule="auto"/>
      </w:pPr>
    </w:p>
    <w:p w:rsidRPr="00AE758F" w:rsidR="00C8101A" w:rsidP="00382B4A" w:rsidRDefault="002918B8" w14:paraId="130B7424" w14:textId="6CC9C876">
      <w:pPr>
        <w:spacing w:line="240" w:lineRule="auto"/>
        <w:jc w:val="center"/>
      </w:pPr>
      <w:r w:rsidRPr="002918B8">
        <w:rPr>
          <w:noProof/>
        </w:rPr>
        <w:drawing>
          <wp:inline distT="0" distB="0" distL="0" distR="0" wp14:anchorId="2FFD856D" wp14:editId="3BA202EA">
            <wp:extent cx="5943600" cy="3232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AE758F" w:rsidR="002431EA" w:rsidP="00382B4A" w:rsidRDefault="002431EA" w14:paraId="121C4FA6" w14:textId="2EE2D292">
      <w:pPr>
        <w:pStyle w:val="Caption"/>
        <w:keepNext w:val="0"/>
        <w:spacing w:after="0" w:line="240" w:lineRule="auto"/>
        <w:ind w:left="1080" w:hanging="1080"/>
        <w:jc w:val="center"/>
        <w:rPr>
          <w:b/>
          <w:bCs w:val="0"/>
        </w:rPr>
      </w:pPr>
      <w:bookmarkStart w:name="_Ref447551186" w:id="324"/>
      <w:bookmarkStart w:name="_Toc79410119" w:id="325"/>
      <w:bookmarkStart w:name="_Ref483485872" w:id="326"/>
      <w:bookmarkStart w:name="_Toc454442715" w:id="327"/>
      <w:bookmarkStart w:name="_Toc457827436" w:id="328"/>
      <w:bookmarkStart w:name="_Toc7512458" w:id="329"/>
      <w:r w:rsidRPr="00AE758F">
        <w:rPr>
          <w:b/>
          <w:bCs w:val="0"/>
        </w:rPr>
        <w:t xml:space="preserve">Figure </w:t>
      </w:r>
      <w:r w:rsidRPr="00AE758F">
        <w:rPr>
          <w:b/>
          <w:bCs w:val="0"/>
          <w:noProof/>
        </w:rPr>
        <w:fldChar w:fldCharType="begin"/>
      </w:r>
      <w:r w:rsidRPr="00AE758F">
        <w:rPr>
          <w:b/>
          <w:bCs w:val="0"/>
          <w:noProof/>
        </w:rPr>
        <w:instrText xml:space="preserve"> SEQ Figure \* ARABIC </w:instrText>
      </w:r>
      <w:r w:rsidRPr="00AE758F">
        <w:rPr>
          <w:b/>
          <w:bCs w:val="0"/>
          <w:noProof/>
        </w:rPr>
        <w:fldChar w:fldCharType="separate"/>
      </w:r>
      <w:r w:rsidR="006A41A8">
        <w:rPr>
          <w:b/>
          <w:bCs w:val="0"/>
          <w:noProof/>
        </w:rPr>
        <w:t>1</w:t>
      </w:r>
      <w:r w:rsidRPr="00AE758F">
        <w:rPr>
          <w:b/>
          <w:bCs w:val="0"/>
          <w:noProof/>
        </w:rPr>
        <w:fldChar w:fldCharType="end"/>
      </w:r>
      <w:bookmarkEnd w:id="324"/>
      <w:r w:rsidRPr="00AE758F">
        <w:rPr>
          <w:b/>
          <w:bCs w:val="0"/>
          <w:noProof/>
        </w:rPr>
        <w:t xml:space="preserve"> </w:t>
      </w:r>
      <w:r w:rsidRPr="00AE758F">
        <w:rPr>
          <w:b/>
          <w:bCs w:val="0"/>
        </w:rPr>
        <w:t xml:space="preserve"> </w:t>
      </w:r>
      <w:r w:rsidR="00396945">
        <w:rPr>
          <w:b/>
          <w:bCs w:val="0"/>
        </w:rPr>
        <w:t>Net</w:t>
      </w:r>
      <w:r w:rsidRPr="00AE758F">
        <w:rPr>
          <w:b/>
          <w:bCs w:val="0"/>
        </w:rPr>
        <w:t xml:space="preserve"> industry costs (7-</w:t>
      </w:r>
      <w:r w:rsidRPr="00AE758F" w:rsidR="00FD1D4B">
        <w:rPr>
          <w:b/>
          <w:bCs w:val="0"/>
        </w:rPr>
        <w:t>p</w:t>
      </w:r>
      <w:r w:rsidRPr="00AE758F">
        <w:rPr>
          <w:b/>
          <w:bCs w:val="0"/>
        </w:rPr>
        <w:t>ercent NPV)—Alternative 2</w:t>
      </w:r>
      <w:bookmarkEnd w:id="325"/>
    </w:p>
    <w:bookmarkEnd w:id="326"/>
    <w:bookmarkEnd w:id="327"/>
    <w:bookmarkEnd w:id="328"/>
    <w:bookmarkEnd w:id="329"/>
    <w:p w:rsidR="006949B0" w:rsidP="00382B4A" w:rsidRDefault="006949B0" w14:paraId="1DE58D6A" w14:textId="77777777">
      <w:pPr>
        <w:spacing w:line="240" w:lineRule="auto"/>
        <w:jc w:val="center"/>
      </w:pPr>
    </w:p>
    <w:p w:rsidRPr="00AE758F" w:rsidR="00C8101A" w:rsidP="00382B4A" w:rsidRDefault="009B1A5F" w14:paraId="2DA63C45" w14:textId="49CB78C9">
      <w:pPr>
        <w:spacing w:line="240" w:lineRule="auto"/>
        <w:jc w:val="center"/>
      </w:pPr>
      <w:r w:rsidRPr="009B1A5F">
        <w:rPr>
          <w:noProof/>
        </w:rPr>
        <w:lastRenderedPageBreak/>
        <w:drawing>
          <wp:inline distT="0" distB="0" distL="0" distR="0" wp14:anchorId="064EB25E" wp14:editId="4EE23DCB">
            <wp:extent cx="5943600" cy="3232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AE758F" w:rsidR="002431EA" w:rsidP="007936BF" w:rsidRDefault="002431EA" w14:paraId="751F389F" w14:textId="5073D939">
      <w:pPr>
        <w:spacing w:line="240" w:lineRule="auto"/>
        <w:jc w:val="center"/>
        <w:rPr>
          <w:b/>
          <w:bCs/>
        </w:rPr>
      </w:pPr>
      <w:bookmarkStart w:name="_Toc79410120" w:id="330"/>
      <w:bookmarkStart w:name="_Ref447551195" w:id="331"/>
      <w:bookmarkStart w:name="_Toc454442716" w:id="332"/>
      <w:bookmarkStart w:name="_Toc457827437" w:id="333"/>
      <w:bookmarkStart w:name="_Toc7512459" w:id="334"/>
      <w:r w:rsidRPr="00AE758F">
        <w:rPr>
          <w:b/>
          <w:bCs/>
        </w:rPr>
        <w:t xml:space="preserve">Figure </w:t>
      </w:r>
      <w:r w:rsidRPr="00AE758F">
        <w:rPr>
          <w:b/>
          <w:bCs/>
          <w:noProof/>
        </w:rPr>
        <w:fldChar w:fldCharType="begin"/>
      </w:r>
      <w:r w:rsidRPr="00AE758F">
        <w:rPr>
          <w:b/>
          <w:bCs/>
          <w:noProof/>
        </w:rPr>
        <w:instrText xml:space="preserve"> SEQ Figure \* ARABIC </w:instrText>
      </w:r>
      <w:r w:rsidRPr="00AE758F">
        <w:rPr>
          <w:b/>
          <w:bCs/>
          <w:noProof/>
        </w:rPr>
        <w:fldChar w:fldCharType="separate"/>
      </w:r>
      <w:r w:rsidR="006A41A8">
        <w:rPr>
          <w:b/>
          <w:bCs/>
          <w:noProof/>
        </w:rPr>
        <w:t>2</w:t>
      </w:r>
      <w:r w:rsidRPr="00AE758F">
        <w:rPr>
          <w:b/>
          <w:bCs/>
          <w:noProof/>
        </w:rPr>
        <w:fldChar w:fldCharType="end"/>
      </w:r>
      <w:r w:rsidRPr="00AE758F">
        <w:rPr>
          <w:b/>
          <w:bCs/>
        </w:rPr>
        <w:t xml:space="preserve">  </w:t>
      </w:r>
      <w:r w:rsidR="00396945">
        <w:rPr>
          <w:b/>
          <w:bCs/>
        </w:rPr>
        <w:t>Net</w:t>
      </w:r>
      <w:r w:rsidRPr="00AE758F">
        <w:rPr>
          <w:b/>
          <w:bCs/>
        </w:rPr>
        <w:t xml:space="preserve"> NRC </w:t>
      </w:r>
      <w:r w:rsidRPr="00AE758F" w:rsidR="00FD1D4B">
        <w:rPr>
          <w:b/>
          <w:bCs/>
        </w:rPr>
        <w:t>c</w:t>
      </w:r>
      <w:r w:rsidRPr="00AE758F">
        <w:rPr>
          <w:b/>
          <w:bCs/>
        </w:rPr>
        <w:t>osts (7-</w:t>
      </w:r>
      <w:r w:rsidRPr="00AE758F" w:rsidR="00FD1D4B">
        <w:rPr>
          <w:b/>
          <w:bCs/>
        </w:rPr>
        <w:t>p</w:t>
      </w:r>
      <w:r w:rsidRPr="00AE758F">
        <w:rPr>
          <w:b/>
          <w:bCs/>
        </w:rPr>
        <w:t>ercent NPV)—Alternative 2</w:t>
      </w:r>
      <w:bookmarkEnd w:id="330"/>
    </w:p>
    <w:p w:rsidRPr="00AE758F" w:rsidR="002431EA" w:rsidP="00382B4A" w:rsidRDefault="002431EA" w14:paraId="1BC418E7" w14:textId="77777777">
      <w:pPr>
        <w:spacing w:line="240" w:lineRule="auto"/>
        <w:jc w:val="center"/>
        <w:rPr>
          <w:b/>
          <w:bCs/>
        </w:rPr>
      </w:pPr>
    </w:p>
    <w:bookmarkEnd w:id="331"/>
    <w:bookmarkEnd w:id="332"/>
    <w:bookmarkEnd w:id="333"/>
    <w:bookmarkEnd w:id="334"/>
    <w:p w:rsidRPr="00AE758F" w:rsidR="00E162F7" w:rsidP="00382B4A" w:rsidRDefault="006949B0" w14:paraId="3EF60BE2" w14:textId="35A7E918">
      <w:pPr>
        <w:spacing w:line="240" w:lineRule="auto"/>
        <w:jc w:val="center"/>
      </w:pPr>
      <w:r w:rsidRPr="006949B0">
        <w:rPr>
          <w:noProof/>
        </w:rPr>
        <w:drawing>
          <wp:inline distT="0" distB="0" distL="0" distR="0" wp14:anchorId="1D7E095F" wp14:editId="787F617A">
            <wp:extent cx="5943600" cy="3232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AE758F" w:rsidR="002431EA" w:rsidP="00382B4A" w:rsidRDefault="002431EA" w14:paraId="43B00B8C" w14:textId="1B2D75B2">
      <w:pPr>
        <w:pStyle w:val="Caption"/>
        <w:spacing w:after="0" w:line="240" w:lineRule="auto"/>
        <w:ind w:left="1080" w:hanging="1080"/>
        <w:jc w:val="center"/>
        <w:rPr>
          <w:b/>
          <w:bCs w:val="0"/>
        </w:rPr>
      </w:pPr>
      <w:bookmarkStart w:name="_Toc79410121" w:id="335"/>
      <w:r w:rsidRPr="00AE758F">
        <w:rPr>
          <w:b/>
          <w:bCs w:val="0"/>
        </w:rPr>
        <w:t xml:space="preserve">Figure </w:t>
      </w:r>
      <w:r w:rsidRPr="00AE758F">
        <w:rPr>
          <w:b/>
          <w:bCs w:val="0"/>
          <w:noProof/>
        </w:rPr>
        <w:fldChar w:fldCharType="begin"/>
      </w:r>
      <w:r w:rsidRPr="00AE758F">
        <w:rPr>
          <w:b/>
          <w:bCs w:val="0"/>
          <w:noProof/>
        </w:rPr>
        <w:instrText xml:space="preserve"> SEQ Figure \* ARABIC </w:instrText>
      </w:r>
      <w:r w:rsidRPr="00AE758F">
        <w:rPr>
          <w:b/>
          <w:bCs w:val="0"/>
          <w:noProof/>
        </w:rPr>
        <w:fldChar w:fldCharType="separate"/>
      </w:r>
      <w:r w:rsidR="006A41A8">
        <w:rPr>
          <w:b/>
          <w:bCs w:val="0"/>
          <w:noProof/>
        </w:rPr>
        <w:t>3</w:t>
      </w:r>
      <w:r w:rsidRPr="00AE758F">
        <w:rPr>
          <w:b/>
          <w:bCs w:val="0"/>
          <w:noProof/>
        </w:rPr>
        <w:fldChar w:fldCharType="end"/>
      </w:r>
      <w:r w:rsidRPr="00AE758F" w:rsidR="00FD1D4B">
        <w:rPr>
          <w:b/>
          <w:bCs w:val="0"/>
          <w:noProof/>
        </w:rPr>
        <w:t xml:space="preserve">  </w:t>
      </w:r>
      <w:r w:rsidR="00396945">
        <w:rPr>
          <w:b/>
          <w:bCs w:val="0"/>
        </w:rPr>
        <w:t>Net</w:t>
      </w:r>
      <w:r w:rsidRPr="00AE758F">
        <w:rPr>
          <w:b/>
          <w:bCs w:val="0"/>
        </w:rPr>
        <w:t xml:space="preserve"> </w:t>
      </w:r>
      <w:r w:rsidRPr="00AE758F" w:rsidR="00FD1D4B">
        <w:rPr>
          <w:b/>
          <w:bCs w:val="0"/>
        </w:rPr>
        <w:t>c</w:t>
      </w:r>
      <w:r w:rsidRPr="00AE758F">
        <w:rPr>
          <w:b/>
          <w:bCs w:val="0"/>
        </w:rPr>
        <w:t>osts (7-</w:t>
      </w:r>
      <w:r w:rsidRPr="00AE758F" w:rsidR="00FD1D4B">
        <w:rPr>
          <w:b/>
          <w:bCs w:val="0"/>
        </w:rPr>
        <w:t>p</w:t>
      </w:r>
      <w:r w:rsidRPr="00AE758F">
        <w:rPr>
          <w:b/>
          <w:bCs w:val="0"/>
        </w:rPr>
        <w:t>ercent NPV)—Alternative</w:t>
      </w:r>
      <w:r w:rsidRPr="00AE758F" w:rsidR="00FD1D4B">
        <w:rPr>
          <w:b/>
          <w:bCs w:val="0"/>
        </w:rPr>
        <w:t> </w:t>
      </w:r>
      <w:r w:rsidRPr="00AE758F">
        <w:rPr>
          <w:b/>
          <w:bCs w:val="0"/>
        </w:rPr>
        <w:t>2</w:t>
      </w:r>
      <w:bookmarkEnd w:id="335"/>
    </w:p>
    <w:p w:rsidRPr="00AE758F" w:rsidR="002431EA" w:rsidP="00382B4A" w:rsidRDefault="002431EA" w14:paraId="08B4EFCA" w14:textId="77777777">
      <w:pPr>
        <w:spacing w:line="240" w:lineRule="auto"/>
      </w:pPr>
    </w:p>
    <w:p w:rsidRPr="00AE758F" w:rsidR="00C8101A" w:rsidP="007936BF" w:rsidRDefault="00C8101A" w14:paraId="34FE1676" w14:textId="03E2325C">
      <w:pPr>
        <w:spacing w:line="240" w:lineRule="auto"/>
      </w:pPr>
      <w:r w:rsidRPr="00AE758F">
        <w:fldChar w:fldCharType="begin"/>
      </w:r>
      <w:r w:rsidRPr="00AE758F">
        <w:instrText xml:space="preserve"> REF _Ref453770447 \h  \* MERGEFORMAT </w:instrText>
      </w:r>
      <w:r w:rsidRPr="00AE758F">
        <w:fldChar w:fldCharType="separate"/>
      </w:r>
      <w:r w:rsidRPr="006A41A8" w:rsidR="006A41A8">
        <w:t xml:space="preserve">Table </w:t>
      </w:r>
      <w:r w:rsidRPr="006A41A8" w:rsidR="006A41A8">
        <w:rPr>
          <w:noProof/>
        </w:rPr>
        <w:t>13</w:t>
      </w:r>
      <w:r w:rsidRPr="00AE758F">
        <w:fldChar w:fldCharType="end"/>
      </w:r>
      <w:r w:rsidRPr="00AE758F">
        <w:t xml:space="preserve"> presents descriptive statistics on the uncertainty analysis.  The 5</w:t>
      </w:r>
      <w:r w:rsidRPr="00AE758F" w:rsidR="00FD1D4B">
        <w:noBreakHyphen/>
      </w:r>
      <w:r w:rsidRPr="00AE758F">
        <w:t>percent and 95</w:t>
      </w:r>
      <w:r w:rsidRPr="00AE758F" w:rsidR="00FD1D4B">
        <w:noBreakHyphen/>
      </w:r>
      <w:r w:rsidRPr="00AE758F">
        <w:t xml:space="preserve">percent values that appear </w:t>
      </w:r>
      <w:r w:rsidR="00551B6E">
        <w:t xml:space="preserve">above </w:t>
      </w:r>
      <w:r w:rsidRPr="00AE758F">
        <w:t xml:space="preserve">the vertical lines in </w:t>
      </w:r>
      <w:r w:rsidRPr="00AE758F">
        <w:fldChar w:fldCharType="begin"/>
      </w:r>
      <w:r w:rsidRPr="00AE758F">
        <w:instrText xml:space="preserve"> REF _Ref447551186 \h  \* MERGEFORMAT </w:instrText>
      </w:r>
      <w:r w:rsidRPr="00AE758F">
        <w:fldChar w:fldCharType="separate"/>
      </w:r>
      <w:r w:rsidRPr="006A41A8" w:rsidR="006A41A8">
        <w:t>Figure</w:t>
      </w:r>
      <w:r w:rsidR="00551B6E">
        <w:t>s</w:t>
      </w:r>
      <w:r w:rsidRPr="00AE758F" w:rsidR="006A41A8">
        <w:rPr>
          <w:b/>
        </w:rPr>
        <w:t xml:space="preserve"> </w:t>
      </w:r>
      <w:r w:rsidRPr="00A44FC6" w:rsidR="006A41A8">
        <w:rPr>
          <w:bCs/>
          <w:noProof/>
        </w:rPr>
        <w:t>1</w:t>
      </w:r>
      <w:r w:rsidRPr="00AE758F">
        <w:fldChar w:fldCharType="end"/>
      </w:r>
      <w:r w:rsidRPr="00AE758F">
        <w:t xml:space="preserve">, 2, and 3 </w:t>
      </w:r>
      <w:r w:rsidRPr="00AE758F" w:rsidR="00711657">
        <w:t xml:space="preserve">(labeling the bands </w:t>
      </w:r>
      <w:r w:rsidR="00711657">
        <w:t xml:space="preserve">left and right </w:t>
      </w:r>
      <w:r w:rsidRPr="00AE758F" w:rsidR="00711657">
        <w:t>of the 90</w:t>
      </w:r>
      <w:r w:rsidRPr="00AE758F" w:rsidR="00711657">
        <w:noBreakHyphen/>
        <w:t xml:space="preserve">percent band) </w:t>
      </w:r>
      <w:r w:rsidRPr="00AE758F">
        <w:t xml:space="preserve">are </w:t>
      </w:r>
      <w:r w:rsidR="00846A91">
        <w:t xml:space="preserve">given </w:t>
      </w:r>
      <w:r w:rsidRPr="00AE758F">
        <w:t xml:space="preserve">in </w:t>
      </w:r>
      <w:r w:rsidRPr="00AE758F">
        <w:fldChar w:fldCharType="begin"/>
      </w:r>
      <w:r w:rsidRPr="00AE758F">
        <w:instrText xml:space="preserve"> REF _Ref453770447 \h  \* MERGEFORMAT </w:instrText>
      </w:r>
      <w:r w:rsidRPr="00AE758F">
        <w:fldChar w:fldCharType="separate"/>
      </w:r>
      <w:r w:rsidRPr="006A41A8" w:rsidR="006A41A8">
        <w:t>Table</w:t>
      </w:r>
      <w:r w:rsidR="00711657">
        <w:t> </w:t>
      </w:r>
      <w:r w:rsidRPr="006A41A8" w:rsidR="006A41A8">
        <w:rPr>
          <w:noProof/>
        </w:rPr>
        <w:t>13</w:t>
      </w:r>
      <w:r w:rsidRPr="00AE758F">
        <w:fldChar w:fldCharType="end"/>
      </w:r>
      <w:r w:rsidRPr="00AE758F">
        <w:t xml:space="preserve"> as the 0.05 and 0.95</w:t>
      </w:r>
      <w:r w:rsidRPr="00AE758F" w:rsidR="00FD1D4B">
        <w:t> </w:t>
      </w:r>
      <w:r w:rsidRPr="00AE758F">
        <w:t>values, respectively.</w:t>
      </w:r>
    </w:p>
    <w:p w:rsidRPr="00AE758F" w:rsidR="00135322" w:rsidP="007936BF" w:rsidRDefault="00135322" w14:paraId="58164264" w14:textId="77777777">
      <w:pPr>
        <w:spacing w:line="240" w:lineRule="auto"/>
      </w:pPr>
    </w:p>
    <w:p w:rsidRPr="00AE758F" w:rsidR="00C8101A" w:rsidP="00382B4A" w:rsidRDefault="00C8101A" w14:paraId="16E239D0" w14:textId="45A1E9E5">
      <w:pPr>
        <w:pStyle w:val="Caption"/>
        <w:spacing w:line="240" w:lineRule="auto"/>
        <w:ind w:left="1440" w:hanging="1440"/>
        <w:jc w:val="center"/>
        <w:rPr>
          <w:b/>
          <w:bCs w:val="0"/>
        </w:rPr>
      </w:pPr>
      <w:bookmarkStart w:name="_Ref453770447" w:id="336"/>
      <w:bookmarkStart w:name="_Toc454442495" w:id="337"/>
      <w:bookmarkStart w:name="_Toc457827415" w:id="338"/>
      <w:bookmarkStart w:name="_Toc7512487" w:id="339"/>
      <w:bookmarkStart w:name="_Toc81309689" w:id="340"/>
      <w:r w:rsidRPr="00AE758F">
        <w:rPr>
          <w:b/>
          <w:bCs w:val="0"/>
        </w:rPr>
        <w:lastRenderedPageBreak/>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13</w:t>
      </w:r>
      <w:r w:rsidRPr="00AE758F">
        <w:rPr>
          <w:b/>
          <w:bCs w:val="0"/>
          <w:noProof/>
        </w:rPr>
        <w:fldChar w:fldCharType="end"/>
      </w:r>
      <w:bookmarkEnd w:id="336"/>
      <w:r w:rsidRPr="00AE758F" w:rsidR="00FD1D4B">
        <w:rPr>
          <w:b/>
          <w:bCs w:val="0"/>
          <w:noProof/>
        </w:rPr>
        <w:t xml:space="preserve">  </w:t>
      </w:r>
      <w:r w:rsidRPr="00AE758F">
        <w:rPr>
          <w:b/>
          <w:bCs w:val="0"/>
        </w:rPr>
        <w:t>Descriptive Statistics for Uncertainty Results (7-Percent NPV)</w:t>
      </w:r>
      <w:bookmarkEnd w:id="337"/>
      <w:bookmarkEnd w:id="338"/>
      <w:bookmarkEnd w:id="339"/>
      <w:bookmarkEnd w:id="340"/>
    </w:p>
    <w:tbl>
      <w:tblPr>
        <w:tblW w:w="9360" w:type="dxa"/>
        <w:jc w:val="center"/>
        <w:tblLayout w:type="fixed"/>
        <w:tblLook w:val="04A0" w:firstRow="1" w:lastRow="0" w:firstColumn="1" w:lastColumn="0" w:noHBand="0" w:noVBand="1"/>
      </w:tblPr>
      <w:tblGrid>
        <w:gridCol w:w="2960"/>
        <w:gridCol w:w="1170"/>
        <w:gridCol w:w="1260"/>
        <w:gridCol w:w="1170"/>
        <w:gridCol w:w="1170"/>
        <w:gridCol w:w="810"/>
        <w:gridCol w:w="820"/>
      </w:tblGrid>
      <w:tr w:rsidRPr="00AE758F" w:rsidR="00C8101A" w:rsidTr="00683751" w14:paraId="49997C31" w14:textId="77777777">
        <w:trPr>
          <w:trHeight w:val="276"/>
          <w:jc w:val="center"/>
        </w:trPr>
        <w:tc>
          <w:tcPr>
            <w:tcW w:w="2960" w:type="dxa"/>
            <w:vMerge w:val="restart"/>
            <w:tcBorders>
              <w:top w:val="single" w:color="auto" w:sz="8" w:space="0"/>
              <w:left w:val="single" w:color="auto" w:sz="8" w:space="0"/>
              <w:bottom w:val="single" w:color="auto" w:sz="4" w:space="0"/>
              <w:right w:val="single" w:color="auto" w:sz="4" w:space="0"/>
            </w:tcBorders>
            <w:shd w:val="clear" w:color="auto" w:fill="auto"/>
            <w:noWrap/>
            <w:vAlign w:val="center"/>
            <w:hideMark/>
          </w:tcPr>
          <w:p w:rsidRPr="00AE758F" w:rsidR="00C8101A" w:rsidP="007936BF" w:rsidRDefault="00C8101A" w14:paraId="7FD0904A" w14:textId="77777777">
            <w:pPr>
              <w:spacing w:line="240" w:lineRule="auto"/>
              <w:jc w:val="center"/>
              <w:rPr>
                <w:rFonts w:eastAsia="Times New Roman"/>
                <w:b/>
                <w:bCs/>
                <w:color w:val="auto"/>
                <w:sz w:val="20"/>
                <w:szCs w:val="20"/>
              </w:rPr>
            </w:pPr>
            <w:r w:rsidRPr="00AE758F">
              <w:rPr>
                <w:b/>
                <w:bCs/>
                <w:sz w:val="20"/>
                <w:szCs w:val="20"/>
              </w:rPr>
              <w:t>Uncertainty Result</w:t>
            </w:r>
          </w:p>
        </w:tc>
        <w:tc>
          <w:tcPr>
            <w:tcW w:w="6400" w:type="dxa"/>
            <w:gridSpan w:val="6"/>
            <w:tcBorders>
              <w:top w:val="single" w:color="auto" w:sz="8" w:space="0"/>
              <w:left w:val="nil"/>
              <w:bottom w:val="single" w:color="auto" w:sz="4" w:space="0"/>
              <w:right w:val="single" w:color="000000" w:sz="8" w:space="0"/>
            </w:tcBorders>
            <w:shd w:val="clear" w:color="auto" w:fill="auto"/>
            <w:noWrap/>
            <w:vAlign w:val="center"/>
            <w:hideMark/>
          </w:tcPr>
          <w:p w:rsidRPr="00AE758F" w:rsidR="00C8101A" w:rsidP="007936BF" w:rsidRDefault="00C8101A" w14:paraId="7F3C5BC4" w14:textId="79CC06C1">
            <w:pPr>
              <w:spacing w:line="240" w:lineRule="auto"/>
              <w:jc w:val="center"/>
              <w:rPr>
                <w:b/>
                <w:bCs/>
                <w:sz w:val="20"/>
                <w:szCs w:val="20"/>
              </w:rPr>
            </w:pPr>
            <w:r w:rsidRPr="00AE758F">
              <w:rPr>
                <w:b/>
                <w:bCs/>
                <w:sz w:val="20"/>
                <w:szCs w:val="20"/>
              </w:rPr>
              <w:t>Incremental Cost-Benefit (202</w:t>
            </w:r>
            <w:r w:rsidR="008C3348">
              <w:rPr>
                <w:b/>
                <w:bCs/>
                <w:sz w:val="20"/>
                <w:szCs w:val="20"/>
              </w:rPr>
              <w:t>1</w:t>
            </w:r>
            <w:r w:rsidRPr="00AE758F">
              <w:rPr>
                <w:b/>
                <w:bCs/>
                <w:sz w:val="20"/>
                <w:szCs w:val="20"/>
              </w:rPr>
              <w:t xml:space="preserve"> million dollars)</w:t>
            </w:r>
          </w:p>
        </w:tc>
      </w:tr>
      <w:tr w:rsidRPr="00AE758F" w:rsidR="00E378AC" w:rsidTr="00683751" w14:paraId="62F43572" w14:textId="77777777">
        <w:trPr>
          <w:trHeight w:val="232"/>
          <w:jc w:val="center"/>
        </w:trPr>
        <w:tc>
          <w:tcPr>
            <w:tcW w:w="2960" w:type="dxa"/>
            <w:vMerge/>
            <w:tcBorders>
              <w:top w:val="single" w:color="auto" w:sz="8" w:space="0"/>
              <w:left w:val="single" w:color="auto" w:sz="8" w:space="0"/>
              <w:bottom w:val="single" w:color="auto" w:sz="4" w:space="0"/>
              <w:right w:val="single" w:color="auto" w:sz="4" w:space="0"/>
            </w:tcBorders>
            <w:vAlign w:val="center"/>
            <w:hideMark/>
          </w:tcPr>
          <w:p w:rsidRPr="00AE758F" w:rsidR="00C8101A" w:rsidP="007936BF" w:rsidRDefault="00C8101A" w14:paraId="203E45BC" w14:textId="77777777">
            <w:pPr>
              <w:autoSpaceDE/>
              <w:autoSpaceDN/>
              <w:adjustRightInd/>
              <w:spacing w:line="240" w:lineRule="auto"/>
              <w:rPr>
                <w:rFonts w:eastAsia="Times New Roman"/>
                <w:b/>
                <w:bCs/>
                <w:color w:val="auto"/>
                <w:sz w:val="20"/>
                <w:szCs w:val="20"/>
              </w:rPr>
            </w:pP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10060049" w14:textId="77777777">
            <w:pPr>
              <w:spacing w:line="240" w:lineRule="auto"/>
              <w:jc w:val="center"/>
              <w:rPr>
                <w:rFonts w:eastAsia="Times New Roman"/>
                <w:b/>
                <w:bCs/>
                <w:color w:val="auto"/>
                <w:sz w:val="20"/>
                <w:szCs w:val="20"/>
              </w:rPr>
            </w:pPr>
            <w:r w:rsidRPr="00AE758F">
              <w:rPr>
                <w:b/>
                <w:bCs/>
                <w:sz w:val="20"/>
                <w:szCs w:val="20"/>
              </w:rPr>
              <w:t>Minimum</w:t>
            </w:r>
          </w:p>
        </w:tc>
        <w:tc>
          <w:tcPr>
            <w:tcW w:w="126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5145B2D5" w14:textId="77777777">
            <w:pPr>
              <w:spacing w:line="240" w:lineRule="auto"/>
              <w:jc w:val="center"/>
              <w:rPr>
                <w:b/>
                <w:bCs/>
                <w:sz w:val="20"/>
                <w:szCs w:val="20"/>
              </w:rPr>
            </w:pPr>
            <w:r w:rsidRPr="00AE758F">
              <w:rPr>
                <w:b/>
                <w:bCs/>
                <w:sz w:val="20"/>
                <w:szCs w:val="20"/>
              </w:rPr>
              <w:t>Mean</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79EA65B3" w14:textId="77777777">
            <w:pPr>
              <w:spacing w:line="240" w:lineRule="auto"/>
              <w:jc w:val="center"/>
              <w:rPr>
                <w:rFonts w:eastAsia="Times New Roman"/>
                <w:b/>
                <w:bCs/>
                <w:color w:val="auto"/>
                <w:sz w:val="20"/>
                <w:szCs w:val="20"/>
              </w:rPr>
            </w:pPr>
            <w:r w:rsidRPr="00AE758F">
              <w:rPr>
                <w:b/>
                <w:bCs/>
                <w:sz w:val="20"/>
                <w:szCs w:val="20"/>
              </w:rPr>
              <w:t>Standard Deviation</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304C7971" w14:textId="77777777">
            <w:pPr>
              <w:spacing w:line="240" w:lineRule="auto"/>
              <w:jc w:val="center"/>
              <w:rPr>
                <w:rFonts w:eastAsia="Times New Roman"/>
                <w:b/>
                <w:bCs/>
                <w:color w:val="auto"/>
                <w:sz w:val="20"/>
                <w:szCs w:val="20"/>
              </w:rPr>
            </w:pPr>
            <w:r w:rsidRPr="00AE758F">
              <w:rPr>
                <w:b/>
                <w:bCs/>
                <w:sz w:val="20"/>
                <w:szCs w:val="20"/>
              </w:rPr>
              <w:t>Maximum</w:t>
            </w:r>
          </w:p>
        </w:tc>
        <w:tc>
          <w:tcPr>
            <w:tcW w:w="81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00DBAFCF" w14:textId="77777777">
            <w:pPr>
              <w:spacing w:line="240" w:lineRule="auto"/>
              <w:jc w:val="center"/>
              <w:rPr>
                <w:rFonts w:eastAsia="Times New Roman"/>
                <w:b/>
                <w:bCs/>
                <w:color w:val="auto"/>
                <w:sz w:val="20"/>
                <w:szCs w:val="20"/>
              </w:rPr>
            </w:pPr>
            <w:r w:rsidRPr="00AE758F">
              <w:rPr>
                <w:b/>
                <w:bCs/>
                <w:sz w:val="20"/>
                <w:szCs w:val="20"/>
              </w:rPr>
              <w:t>0.05</w:t>
            </w:r>
          </w:p>
        </w:tc>
        <w:tc>
          <w:tcPr>
            <w:tcW w:w="820" w:type="dxa"/>
            <w:tcBorders>
              <w:top w:val="nil"/>
              <w:left w:val="nil"/>
              <w:bottom w:val="single" w:color="auto" w:sz="4" w:space="0"/>
              <w:right w:val="single" w:color="auto" w:sz="8" w:space="0"/>
            </w:tcBorders>
            <w:shd w:val="clear" w:color="auto" w:fill="auto"/>
            <w:noWrap/>
            <w:vAlign w:val="center"/>
            <w:hideMark/>
          </w:tcPr>
          <w:p w:rsidRPr="00AE758F" w:rsidR="00C8101A" w:rsidP="007936BF" w:rsidRDefault="00C8101A" w14:paraId="06F43DD1" w14:textId="77777777">
            <w:pPr>
              <w:spacing w:line="240" w:lineRule="auto"/>
              <w:jc w:val="center"/>
              <w:rPr>
                <w:b/>
                <w:bCs/>
                <w:sz w:val="20"/>
                <w:szCs w:val="20"/>
              </w:rPr>
            </w:pPr>
            <w:r w:rsidRPr="00AE758F">
              <w:rPr>
                <w:b/>
                <w:bCs/>
                <w:sz w:val="20"/>
                <w:szCs w:val="20"/>
              </w:rPr>
              <w:t>0.95</w:t>
            </w:r>
          </w:p>
        </w:tc>
      </w:tr>
      <w:tr w:rsidRPr="00AE758F" w:rsidR="00E378AC" w:rsidTr="00683751" w14:paraId="4BF73377" w14:textId="77777777">
        <w:trPr>
          <w:trHeight w:val="276"/>
          <w:jc w:val="center"/>
        </w:trPr>
        <w:tc>
          <w:tcPr>
            <w:tcW w:w="2960" w:type="dxa"/>
            <w:tcBorders>
              <w:top w:val="nil"/>
              <w:left w:val="single" w:color="auto" w:sz="8" w:space="0"/>
              <w:bottom w:val="single" w:color="auto" w:sz="4" w:space="0"/>
              <w:right w:val="single" w:color="auto" w:sz="4" w:space="0"/>
            </w:tcBorders>
            <w:shd w:val="clear" w:color="auto" w:fill="auto"/>
            <w:noWrap/>
            <w:vAlign w:val="center"/>
            <w:hideMark/>
          </w:tcPr>
          <w:p w:rsidRPr="00AE758F" w:rsidR="00C8101A" w:rsidP="007936BF" w:rsidRDefault="00396945" w14:paraId="4DB3366F" w14:textId="7CADDB73">
            <w:pPr>
              <w:autoSpaceDE/>
              <w:autoSpaceDN/>
              <w:adjustRightInd/>
              <w:spacing w:line="240" w:lineRule="auto"/>
              <w:rPr>
                <w:rFonts w:eastAsia="Times New Roman"/>
                <w:color w:val="auto"/>
                <w:sz w:val="20"/>
                <w:szCs w:val="20"/>
              </w:rPr>
            </w:pPr>
            <w:r>
              <w:rPr>
                <w:rFonts w:eastAsia="Times New Roman"/>
                <w:color w:val="auto"/>
                <w:sz w:val="20"/>
                <w:szCs w:val="20"/>
              </w:rPr>
              <w:t>Net</w:t>
            </w:r>
            <w:r w:rsidRPr="00AE758F" w:rsidR="00C8101A">
              <w:rPr>
                <w:rFonts w:eastAsia="Times New Roman"/>
                <w:color w:val="auto"/>
                <w:sz w:val="20"/>
                <w:szCs w:val="20"/>
              </w:rPr>
              <w:t xml:space="preserve"> Industry </w:t>
            </w:r>
            <w:r w:rsidRPr="00AE758F" w:rsidR="002A087F">
              <w:rPr>
                <w:rFonts w:eastAsia="Times New Roman"/>
                <w:color w:val="auto"/>
                <w:sz w:val="20"/>
                <w:szCs w:val="20"/>
              </w:rPr>
              <w:t>Benefit (</w:t>
            </w:r>
            <w:r w:rsidRPr="00AE758F" w:rsidR="00C8101A">
              <w:rPr>
                <w:rFonts w:eastAsia="Times New Roman"/>
                <w:color w:val="auto"/>
                <w:sz w:val="20"/>
                <w:szCs w:val="20"/>
              </w:rPr>
              <w:t>Cost</w:t>
            </w:r>
            <w:r w:rsidRPr="00AE758F" w:rsidR="002A087F">
              <w:rPr>
                <w:rFonts w:eastAsia="Times New Roman"/>
                <w:color w:val="auto"/>
                <w:sz w:val="20"/>
                <w:szCs w:val="20"/>
              </w:rPr>
              <w:t>)</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6F3C2493" w14:textId="766F0C0F">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781290">
              <w:rPr>
                <w:rFonts w:eastAsia="Times New Roman"/>
                <w:color w:val="auto"/>
                <w:sz w:val="20"/>
                <w:szCs w:val="20"/>
              </w:rPr>
              <w:t>6.22</w:t>
            </w:r>
          </w:p>
        </w:tc>
        <w:tc>
          <w:tcPr>
            <w:tcW w:w="126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71541CF3" w14:textId="6E5201A5">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C83AEE">
              <w:rPr>
                <w:rFonts w:eastAsia="Times New Roman"/>
                <w:color w:val="auto"/>
                <w:sz w:val="20"/>
                <w:szCs w:val="20"/>
              </w:rPr>
              <w:t>10.2</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42E798BA" w14:textId="7266C8DC">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C83AEE">
              <w:rPr>
                <w:rFonts w:eastAsia="Times New Roman"/>
                <w:color w:val="auto"/>
                <w:sz w:val="20"/>
                <w:szCs w:val="20"/>
              </w:rPr>
              <w:t>1.30</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49DAFA8D" w14:textId="782303E6">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C83AEE">
              <w:rPr>
                <w:rFonts w:eastAsia="Times New Roman"/>
                <w:color w:val="auto"/>
                <w:sz w:val="20"/>
                <w:szCs w:val="20"/>
              </w:rPr>
              <w:t>14.9</w:t>
            </w:r>
          </w:p>
        </w:tc>
        <w:tc>
          <w:tcPr>
            <w:tcW w:w="81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70CACB09" w14:textId="31D9D447">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CF5613">
              <w:rPr>
                <w:rFonts w:eastAsia="Times New Roman"/>
                <w:color w:val="auto"/>
                <w:sz w:val="20"/>
                <w:szCs w:val="20"/>
              </w:rPr>
              <w:t>8.12</w:t>
            </w:r>
          </w:p>
        </w:tc>
        <w:tc>
          <w:tcPr>
            <w:tcW w:w="820" w:type="dxa"/>
            <w:tcBorders>
              <w:top w:val="nil"/>
              <w:left w:val="nil"/>
              <w:bottom w:val="single" w:color="auto" w:sz="4" w:space="0"/>
              <w:right w:val="single" w:color="auto" w:sz="8" w:space="0"/>
            </w:tcBorders>
            <w:shd w:val="clear" w:color="auto" w:fill="auto"/>
            <w:noWrap/>
            <w:vAlign w:val="center"/>
            <w:hideMark/>
          </w:tcPr>
          <w:p w:rsidRPr="00AE758F" w:rsidR="00C8101A" w:rsidP="007936BF" w:rsidRDefault="00C8101A" w14:paraId="2EDC13FA" w14:textId="51EAF8CE">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CF5613">
              <w:rPr>
                <w:rFonts w:eastAsia="Times New Roman"/>
                <w:color w:val="auto"/>
                <w:sz w:val="20"/>
                <w:szCs w:val="20"/>
              </w:rPr>
              <w:t>12.4</w:t>
            </w:r>
          </w:p>
        </w:tc>
      </w:tr>
      <w:tr w:rsidRPr="00AE758F" w:rsidR="00E378AC" w:rsidTr="00683751" w14:paraId="47EA1908" w14:textId="77777777">
        <w:trPr>
          <w:trHeight w:val="276"/>
          <w:jc w:val="center"/>
        </w:trPr>
        <w:tc>
          <w:tcPr>
            <w:tcW w:w="2960" w:type="dxa"/>
            <w:tcBorders>
              <w:top w:val="nil"/>
              <w:left w:val="single" w:color="auto" w:sz="8" w:space="0"/>
              <w:bottom w:val="single" w:color="auto" w:sz="4" w:space="0"/>
              <w:right w:val="single" w:color="auto" w:sz="4" w:space="0"/>
            </w:tcBorders>
            <w:shd w:val="clear" w:color="auto" w:fill="auto"/>
            <w:noWrap/>
            <w:vAlign w:val="center"/>
            <w:hideMark/>
          </w:tcPr>
          <w:p w:rsidRPr="00AE758F" w:rsidR="00C8101A" w:rsidP="007936BF" w:rsidRDefault="00396945" w14:paraId="657E274F" w14:textId="6CA8C4CE">
            <w:pPr>
              <w:autoSpaceDE/>
              <w:autoSpaceDN/>
              <w:adjustRightInd/>
              <w:spacing w:line="240" w:lineRule="auto"/>
              <w:rPr>
                <w:rFonts w:eastAsia="Times New Roman"/>
                <w:color w:val="auto"/>
                <w:sz w:val="20"/>
                <w:szCs w:val="20"/>
              </w:rPr>
            </w:pPr>
            <w:r>
              <w:rPr>
                <w:rFonts w:eastAsia="Times New Roman"/>
                <w:color w:val="auto"/>
                <w:sz w:val="20"/>
                <w:szCs w:val="20"/>
              </w:rPr>
              <w:t>Net</w:t>
            </w:r>
            <w:r w:rsidRPr="00AE758F" w:rsidR="00C8101A">
              <w:rPr>
                <w:rFonts w:eastAsia="Times New Roman"/>
                <w:color w:val="auto"/>
                <w:sz w:val="20"/>
                <w:szCs w:val="20"/>
              </w:rPr>
              <w:t xml:space="preserve"> NRC </w:t>
            </w:r>
            <w:r w:rsidRPr="00AE758F" w:rsidR="002A087F">
              <w:rPr>
                <w:rFonts w:eastAsia="Times New Roman"/>
                <w:color w:val="auto"/>
                <w:sz w:val="20"/>
                <w:szCs w:val="20"/>
              </w:rPr>
              <w:t>Benefit (</w:t>
            </w:r>
            <w:r w:rsidRPr="00AE758F" w:rsidR="00C8101A">
              <w:rPr>
                <w:rFonts w:eastAsia="Times New Roman"/>
                <w:color w:val="auto"/>
                <w:sz w:val="20"/>
                <w:szCs w:val="20"/>
              </w:rPr>
              <w:t>Cost</w:t>
            </w:r>
            <w:r w:rsidRPr="00AE758F" w:rsidR="002A087F">
              <w:rPr>
                <w:rFonts w:eastAsia="Times New Roman"/>
                <w:color w:val="auto"/>
                <w:sz w:val="20"/>
                <w:szCs w:val="20"/>
              </w:rPr>
              <w:t>)</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33B6DBB0" w14:textId="4BFBBF1C">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Pr="00AE758F" w:rsidR="00C05618">
              <w:rPr>
                <w:rFonts w:eastAsia="Times New Roman"/>
                <w:color w:val="auto"/>
                <w:sz w:val="20"/>
                <w:szCs w:val="20"/>
              </w:rPr>
              <w:t>0.</w:t>
            </w:r>
            <w:r w:rsidR="00CF5613">
              <w:rPr>
                <w:rFonts w:eastAsia="Times New Roman"/>
                <w:color w:val="auto"/>
                <w:sz w:val="20"/>
                <w:szCs w:val="20"/>
              </w:rPr>
              <w:t>64</w:t>
            </w:r>
          </w:p>
        </w:tc>
        <w:tc>
          <w:tcPr>
            <w:tcW w:w="126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0916CE8D" w14:textId="50DA0365">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Pr="00AE758F" w:rsidR="00C05618">
              <w:rPr>
                <w:rFonts w:eastAsia="Times New Roman"/>
                <w:color w:val="auto"/>
                <w:sz w:val="20"/>
                <w:szCs w:val="20"/>
              </w:rPr>
              <w:t>0.</w:t>
            </w:r>
            <w:r w:rsidR="007D44CB">
              <w:rPr>
                <w:rFonts w:eastAsia="Times New Roman"/>
                <w:color w:val="auto"/>
                <w:sz w:val="20"/>
                <w:szCs w:val="20"/>
              </w:rPr>
              <w:t>91</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4AFEA202" w14:textId="7450D647">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$0.</w:t>
            </w:r>
            <w:r w:rsidRPr="00AE758F" w:rsidR="00C05618">
              <w:rPr>
                <w:rFonts w:eastAsia="Times New Roman"/>
                <w:color w:val="auto"/>
                <w:sz w:val="20"/>
                <w:szCs w:val="20"/>
              </w:rPr>
              <w:t>0</w:t>
            </w:r>
            <w:r w:rsidR="007D44CB">
              <w:rPr>
                <w:rFonts w:eastAsia="Times New Roman"/>
                <w:color w:val="auto"/>
                <w:sz w:val="20"/>
                <w:szCs w:val="20"/>
              </w:rPr>
              <w:t>96</w:t>
            </w:r>
          </w:p>
        </w:tc>
        <w:tc>
          <w:tcPr>
            <w:tcW w:w="117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C8101A" w14:paraId="2599F5B4" w14:textId="28244E04">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7D44CB">
              <w:rPr>
                <w:rFonts w:eastAsia="Times New Roman"/>
                <w:color w:val="auto"/>
                <w:sz w:val="20"/>
                <w:szCs w:val="20"/>
              </w:rPr>
              <w:t>1.22</w:t>
            </w:r>
          </w:p>
        </w:tc>
        <w:tc>
          <w:tcPr>
            <w:tcW w:w="810" w:type="dxa"/>
            <w:tcBorders>
              <w:top w:val="nil"/>
              <w:left w:val="nil"/>
              <w:bottom w:val="single" w:color="auto" w:sz="4" w:space="0"/>
              <w:right w:val="single" w:color="auto" w:sz="4" w:space="0"/>
            </w:tcBorders>
            <w:shd w:val="clear" w:color="auto" w:fill="auto"/>
            <w:noWrap/>
            <w:vAlign w:val="center"/>
            <w:hideMark/>
          </w:tcPr>
          <w:p w:rsidRPr="00AE758F" w:rsidR="00C8101A" w:rsidP="007936BF" w:rsidRDefault="0032256C" w14:paraId="1E73BF1A" w14:textId="25088CB8">
            <w:pPr>
              <w:autoSpaceDE/>
              <w:autoSpaceDN/>
              <w:adjustRightInd/>
              <w:spacing w:line="240" w:lineRule="auto"/>
              <w:rPr>
                <w:rFonts w:eastAsia="Times New Roman"/>
                <w:color w:val="auto"/>
                <w:sz w:val="20"/>
                <w:szCs w:val="20"/>
              </w:rPr>
            </w:pPr>
            <w:r>
              <w:rPr>
                <w:rFonts w:eastAsia="Times New Roman"/>
                <w:color w:val="auto"/>
                <w:sz w:val="20"/>
                <w:szCs w:val="20"/>
              </w:rPr>
              <w:t xml:space="preserve"> </w:t>
            </w:r>
            <w:r w:rsidRPr="00AE758F" w:rsidR="00C8101A">
              <w:rPr>
                <w:rFonts w:eastAsia="Times New Roman"/>
                <w:color w:val="auto"/>
                <w:sz w:val="20"/>
                <w:szCs w:val="20"/>
              </w:rPr>
              <w:t>$</w:t>
            </w:r>
            <w:r w:rsidRPr="00AE758F" w:rsidR="00C05618">
              <w:rPr>
                <w:rFonts w:eastAsia="Times New Roman"/>
                <w:color w:val="auto"/>
                <w:sz w:val="20"/>
                <w:szCs w:val="20"/>
              </w:rPr>
              <w:t>0.</w:t>
            </w:r>
            <w:r w:rsidR="000F71DF">
              <w:rPr>
                <w:rFonts w:eastAsia="Times New Roman"/>
                <w:color w:val="auto"/>
                <w:sz w:val="20"/>
                <w:szCs w:val="20"/>
              </w:rPr>
              <w:t>75</w:t>
            </w:r>
          </w:p>
        </w:tc>
        <w:tc>
          <w:tcPr>
            <w:tcW w:w="820" w:type="dxa"/>
            <w:tcBorders>
              <w:top w:val="nil"/>
              <w:left w:val="nil"/>
              <w:bottom w:val="single" w:color="auto" w:sz="4" w:space="0"/>
              <w:right w:val="single" w:color="auto" w:sz="8" w:space="0"/>
            </w:tcBorders>
            <w:shd w:val="clear" w:color="auto" w:fill="auto"/>
            <w:noWrap/>
            <w:vAlign w:val="center"/>
            <w:hideMark/>
          </w:tcPr>
          <w:p w:rsidRPr="00AE758F" w:rsidR="00C8101A" w:rsidP="007936BF" w:rsidRDefault="00C8101A" w14:paraId="59771193" w14:textId="18905482">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0F71DF">
              <w:rPr>
                <w:rFonts w:eastAsia="Times New Roman"/>
                <w:color w:val="auto"/>
                <w:sz w:val="20"/>
                <w:szCs w:val="20"/>
              </w:rPr>
              <w:t>1.07</w:t>
            </w:r>
          </w:p>
        </w:tc>
      </w:tr>
      <w:tr w:rsidRPr="00AE758F" w:rsidR="00E378AC" w:rsidTr="00683751" w14:paraId="1D186695" w14:textId="77777777">
        <w:trPr>
          <w:trHeight w:val="288"/>
          <w:jc w:val="center"/>
        </w:trPr>
        <w:tc>
          <w:tcPr>
            <w:tcW w:w="2960" w:type="dxa"/>
            <w:tcBorders>
              <w:top w:val="nil"/>
              <w:left w:val="single" w:color="auto" w:sz="8" w:space="0"/>
              <w:bottom w:val="single" w:color="auto" w:sz="8" w:space="0"/>
              <w:right w:val="single" w:color="auto" w:sz="4" w:space="0"/>
            </w:tcBorders>
            <w:shd w:val="clear" w:color="auto" w:fill="auto"/>
            <w:noWrap/>
            <w:vAlign w:val="center"/>
            <w:hideMark/>
          </w:tcPr>
          <w:p w:rsidRPr="00AE758F" w:rsidR="00C8101A" w:rsidP="007936BF" w:rsidRDefault="00396945" w14:paraId="7ACF1F92" w14:textId="75FF0238">
            <w:pPr>
              <w:autoSpaceDE/>
              <w:autoSpaceDN/>
              <w:adjustRightInd/>
              <w:spacing w:line="240" w:lineRule="auto"/>
              <w:rPr>
                <w:rFonts w:eastAsia="Times New Roman"/>
                <w:color w:val="auto"/>
                <w:sz w:val="20"/>
                <w:szCs w:val="20"/>
              </w:rPr>
            </w:pPr>
            <w:r>
              <w:rPr>
                <w:rFonts w:eastAsia="Times New Roman"/>
                <w:color w:val="auto"/>
                <w:sz w:val="20"/>
                <w:szCs w:val="20"/>
              </w:rPr>
              <w:t>Net</w:t>
            </w:r>
            <w:r w:rsidRPr="00AE758F" w:rsidR="00C8101A">
              <w:rPr>
                <w:rFonts w:eastAsia="Times New Roman"/>
                <w:color w:val="auto"/>
                <w:sz w:val="20"/>
                <w:szCs w:val="20"/>
              </w:rPr>
              <w:t xml:space="preserve"> </w:t>
            </w:r>
            <w:r w:rsidRPr="00AE758F" w:rsidR="002A087F">
              <w:rPr>
                <w:rFonts w:eastAsia="Times New Roman"/>
                <w:color w:val="auto"/>
                <w:sz w:val="20"/>
                <w:szCs w:val="20"/>
              </w:rPr>
              <w:t>Benefit (</w:t>
            </w:r>
            <w:r w:rsidRPr="00AE758F" w:rsidR="00C8101A">
              <w:rPr>
                <w:rFonts w:eastAsia="Times New Roman"/>
                <w:color w:val="auto"/>
                <w:sz w:val="20"/>
                <w:szCs w:val="20"/>
              </w:rPr>
              <w:t>Cost</w:t>
            </w:r>
            <w:r w:rsidRPr="00AE758F" w:rsidR="002A087F">
              <w:rPr>
                <w:rFonts w:eastAsia="Times New Roman"/>
                <w:color w:val="auto"/>
                <w:sz w:val="20"/>
                <w:szCs w:val="20"/>
              </w:rPr>
              <w:t>)</w:t>
            </w:r>
          </w:p>
        </w:tc>
        <w:tc>
          <w:tcPr>
            <w:tcW w:w="1170" w:type="dxa"/>
            <w:tcBorders>
              <w:top w:val="nil"/>
              <w:left w:val="nil"/>
              <w:bottom w:val="single" w:color="auto" w:sz="8" w:space="0"/>
              <w:right w:val="single" w:color="auto" w:sz="4" w:space="0"/>
            </w:tcBorders>
            <w:shd w:val="clear" w:color="auto" w:fill="auto"/>
            <w:noWrap/>
            <w:vAlign w:val="center"/>
            <w:hideMark/>
          </w:tcPr>
          <w:p w:rsidRPr="00AE758F" w:rsidR="00C8101A" w:rsidP="007936BF" w:rsidRDefault="00C8101A" w14:paraId="76FB11CE" w14:textId="3103BF9F">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0F71DF">
              <w:rPr>
                <w:rFonts w:eastAsia="Times New Roman"/>
                <w:color w:val="auto"/>
                <w:sz w:val="20"/>
                <w:szCs w:val="20"/>
              </w:rPr>
              <w:t>7.00</w:t>
            </w:r>
          </w:p>
        </w:tc>
        <w:tc>
          <w:tcPr>
            <w:tcW w:w="1260" w:type="dxa"/>
            <w:tcBorders>
              <w:top w:val="nil"/>
              <w:left w:val="nil"/>
              <w:bottom w:val="single" w:color="auto" w:sz="8" w:space="0"/>
              <w:right w:val="single" w:color="auto" w:sz="4" w:space="0"/>
            </w:tcBorders>
            <w:shd w:val="clear" w:color="auto" w:fill="auto"/>
            <w:noWrap/>
            <w:vAlign w:val="center"/>
            <w:hideMark/>
          </w:tcPr>
          <w:p w:rsidRPr="00AE758F" w:rsidR="00C8101A" w:rsidP="007936BF" w:rsidRDefault="00C8101A" w14:paraId="18E71016" w14:textId="7FE5D879">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0F71DF">
              <w:rPr>
                <w:rFonts w:eastAsia="Times New Roman"/>
                <w:color w:val="auto"/>
                <w:sz w:val="20"/>
                <w:szCs w:val="20"/>
              </w:rPr>
              <w:t>11.1</w:t>
            </w:r>
          </w:p>
        </w:tc>
        <w:tc>
          <w:tcPr>
            <w:tcW w:w="1170" w:type="dxa"/>
            <w:tcBorders>
              <w:top w:val="nil"/>
              <w:left w:val="nil"/>
              <w:bottom w:val="single" w:color="auto" w:sz="8" w:space="0"/>
              <w:right w:val="single" w:color="auto" w:sz="4" w:space="0"/>
            </w:tcBorders>
            <w:shd w:val="clear" w:color="auto" w:fill="auto"/>
            <w:noWrap/>
            <w:vAlign w:val="center"/>
            <w:hideMark/>
          </w:tcPr>
          <w:p w:rsidRPr="00AE758F" w:rsidR="00C8101A" w:rsidP="007936BF" w:rsidRDefault="00C8101A" w14:paraId="7360E665" w14:textId="451B65FB">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BB6DA9">
              <w:rPr>
                <w:rFonts w:eastAsia="Times New Roman"/>
                <w:color w:val="auto"/>
                <w:sz w:val="20"/>
                <w:szCs w:val="20"/>
              </w:rPr>
              <w:t>1.31</w:t>
            </w:r>
          </w:p>
        </w:tc>
        <w:tc>
          <w:tcPr>
            <w:tcW w:w="1170" w:type="dxa"/>
            <w:tcBorders>
              <w:top w:val="nil"/>
              <w:left w:val="nil"/>
              <w:bottom w:val="single" w:color="auto" w:sz="8" w:space="0"/>
              <w:right w:val="single" w:color="auto" w:sz="4" w:space="0"/>
            </w:tcBorders>
            <w:shd w:val="clear" w:color="auto" w:fill="auto"/>
            <w:noWrap/>
            <w:vAlign w:val="center"/>
            <w:hideMark/>
          </w:tcPr>
          <w:p w:rsidRPr="00AE758F" w:rsidR="00C8101A" w:rsidP="007936BF" w:rsidRDefault="00C8101A" w14:paraId="677398B1" w14:textId="3C4439CB">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BB6DA9">
              <w:rPr>
                <w:rFonts w:eastAsia="Times New Roman"/>
                <w:color w:val="auto"/>
                <w:sz w:val="20"/>
                <w:szCs w:val="20"/>
              </w:rPr>
              <w:t>15.8</w:t>
            </w:r>
          </w:p>
        </w:tc>
        <w:tc>
          <w:tcPr>
            <w:tcW w:w="810" w:type="dxa"/>
            <w:tcBorders>
              <w:top w:val="nil"/>
              <w:left w:val="nil"/>
              <w:bottom w:val="single" w:color="auto" w:sz="8" w:space="0"/>
              <w:right w:val="single" w:color="auto" w:sz="4" w:space="0"/>
            </w:tcBorders>
            <w:shd w:val="clear" w:color="auto" w:fill="auto"/>
            <w:noWrap/>
            <w:vAlign w:val="center"/>
            <w:hideMark/>
          </w:tcPr>
          <w:p w:rsidRPr="00AE758F" w:rsidR="00C8101A" w:rsidP="007936BF" w:rsidRDefault="00C8101A" w14:paraId="58B59CA2" w14:textId="1095F284">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BB6DA9">
              <w:rPr>
                <w:rFonts w:eastAsia="Times New Roman"/>
                <w:color w:val="auto"/>
                <w:sz w:val="20"/>
                <w:szCs w:val="20"/>
              </w:rPr>
              <w:t>9.03</w:t>
            </w:r>
          </w:p>
        </w:tc>
        <w:tc>
          <w:tcPr>
            <w:tcW w:w="820" w:type="dxa"/>
            <w:tcBorders>
              <w:top w:val="nil"/>
              <w:left w:val="nil"/>
              <w:bottom w:val="single" w:color="auto" w:sz="8" w:space="0"/>
              <w:right w:val="single" w:color="auto" w:sz="8" w:space="0"/>
            </w:tcBorders>
            <w:shd w:val="clear" w:color="auto" w:fill="auto"/>
            <w:noWrap/>
            <w:vAlign w:val="center"/>
            <w:hideMark/>
          </w:tcPr>
          <w:p w:rsidRPr="00AE758F" w:rsidR="00C8101A" w:rsidP="007936BF" w:rsidRDefault="00C8101A" w14:paraId="4A46E6FD" w14:textId="7BF7D749">
            <w:pPr>
              <w:autoSpaceDE/>
              <w:autoSpaceDN/>
              <w:adjustRightInd/>
              <w:spacing w:line="240" w:lineRule="auto"/>
              <w:jc w:val="center"/>
              <w:rPr>
                <w:rFonts w:eastAsia="Times New Roman"/>
                <w:color w:val="auto"/>
                <w:sz w:val="20"/>
                <w:szCs w:val="20"/>
              </w:rPr>
            </w:pPr>
            <w:r w:rsidRPr="00AE758F">
              <w:rPr>
                <w:rFonts w:eastAsia="Times New Roman"/>
                <w:color w:val="auto"/>
                <w:sz w:val="20"/>
                <w:szCs w:val="20"/>
              </w:rPr>
              <w:t>$</w:t>
            </w:r>
            <w:r w:rsidR="002B24C3">
              <w:rPr>
                <w:rFonts w:eastAsia="Times New Roman"/>
                <w:color w:val="auto"/>
                <w:sz w:val="20"/>
                <w:szCs w:val="20"/>
              </w:rPr>
              <w:t>13.3</w:t>
            </w:r>
          </w:p>
        </w:tc>
      </w:tr>
    </w:tbl>
    <w:p w:rsidRPr="00AE758F" w:rsidR="00C8101A" w:rsidP="007936BF" w:rsidRDefault="00A32693" w14:paraId="4C242078" w14:textId="648031EF">
      <w:pPr>
        <w:spacing w:line="240" w:lineRule="auto"/>
        <w:rPr>
          <w:sz w:val="18"/>
          <w:szCs w:val="18"/>
        </w:rPr>
      </w:pPr>
      <w:r w:rsidRPr="00AE758F">
        <w:rPr>
          <w:sz w:val="18"/>
          <w:szCs w:val="18"/>
        </w:rPr>
        <w:t xml:space="preserve">Note:  All values </w:t>
      </w:r>
      <w:r w:rsidR="0032256C">
        <w:rPr>
          <w:sz w:val="18"/>
          <w:szCs w:val="18"/>
        </w:rPr>
        <w:t xml:space="preserve">are </w:t>
      </w:r>
      <w:r w:rsidRPr="00AE758F">
        <w:rPr>
          <w:sz w:val="18"/>
          <w:szCs w:val="18"/>
        </w:rPr>
        <w:t>rounded.</w:t>
      </w:r>
    </w:p>
    <w:p w:rsidRPr="00AE758F" w:rsidR="00A32693" w:rsidP="007936BF" w:rsidRDefault="00A32693" w14:paraId="50C3529A" w14:textId="77777777">
      <w:pPr>
        <w:spacing w:line="240" w:lineRule="auto"/>
      </w:pPr>
    </w:p>
    <w:p w:rsidRPr="00AE758F" w:rsidR="00C8101A" w:rsidP="007936BF" w:rsidRDefault="00C8101A" w14:paraId="20FE7A3B" w14:textId="2C9004D2">
      <w:pPr>
        <w:spacing w:line="240" w:lineRule="auto"/>
      </w:pPr>
      <w:r w:rsidRPr="00AE758F">
        <w:t xml:space="preserve">Examining the range of the output distribution shown in </w:t>
      </w:r>
      <w:r w:rsidRPr="00AE758F">
        <w:fldChar w:fldCharType="begin"/>
      </w:r>
      <w:r w:rsidRPr="00AE758F">
        <w:instrText xml:space="preserve"> REF _Ref453770447 \h  \* MERGEFORMAT </w:instrText>
      </w:r>
      <w:r w:rsidRPr="00AE758F">
        <w:fldChar w:fldCharType="separate"/>
      </w:r>
      <w:r w:rsidRPr="006A41A8" w:rsidR="006A41A8">
        <w:t>Table</w:t>
      </w:r>
      <w:r w:rsidRPr="006A41A8" w:rsidR="006A41A8">
        <w:rPr>
          <w:b/>
          <w:bCs/>
        </w:rPr>
        <w:t xml:space="preserve"> </w:t>
      </w:r>
      <w:r w:rsidRPr="006A41A8" w:rsidR="006A41A8">
        <w:rPr>
          <w:bCs/>
          <w:noProof/>
        </w:rPr>
        <w:t>13</w:t>
      </w:r>
      <w:r w:rsidRPr="00AE758F">
        <w:fldChar w:fldCharType="end"/>
      </w:r>
      <w:r w:rsidRPr="00AE758F">
        <w:t xml:space="preserve"> </w:t>
      </w:r>
      <w:r w:rsidR="0032256C">
        <w:t xml:space="preserve">makes </w:t>
      </w:r>
      <w:r w:rsidRPr="00AE758F">
        <w:t xml:space="preserve">it possible to discuss the potential incremental costs and benefits of the </w:t>
      </w:r>
      <w:r w:rsidR="008C3348">
        <w:t>final</w:t>
      </w:r>
      <w:r w:rsidRPr="00AE758F">
        <w:t xml:space="preserve"> rule</w:t>
      </w:r>
      <w:r w:rsidRPr="0076338C" w:rsidR="0076338C">
        <w:t xml:space="preserve"> </w:t>
      </w:r>
      <w:r w:rsidR="0076338C">
        <w:t xml:space="preserve">with </w:t>
      </w:r>
      <w:r w:rsidRPr="00AE758F" w:rsidR="0076338C">
        <w:t>more confiden</w:t>
      </w:r>
      <w:r w:rsidR="0076338C">
        <w:t>ce</w:t>
      </w:r>
      <w:r w:rsidRPr="00AE758F">
        <w:t>.  This table displays the key statistical results, including the 90</w:t>
      </w:r>
      <w:r w:rsidRPr="00AE758F" w:rsidR="00FD1D4B">
        <w:noBreakHyphen/>
      </w:r>
      <w:r w:rsidRPr="00AE758F">
        <w:t>percent confidence interval</w:t>
      </w:r>
      <w:r w:rsidRPr="00AE758F" w:rsidR="00FD1D4B">
        <w:t>,</w:t>
      </w:r>
      <w:r w:rsidRPr="00AE758F">
        <w:t xml:space="preserve"> in which the net benefits would fall between the 5</w:t>
      </w:r>
      <w:r w:rsidRPr="00AE758F" w:rsidR="007205F7">
        <w:t>-percent</w:t>
      </w:r>
      <w:r w:rsidRPr="00AE758F">
        <w:t xml:space="preserve"> and 95</w:t>
      </w:r>
      <w:r w:rsidRPr="00AE758F" w:rsidR="007205F7">
        <w:noBreakHyphen/>
      </w:r>
      <w:r w:rsidRPr="00AE758F">
        <w:t>percent values.</w:t>
      </w:r>
    </w:p>
    <w:p w:rsidRPr="00AE758F" w:rsidR="00C8101A" w:rsidP="007936BF" w:rsidRDefault="00C8101A" w14:paraId="5DA3ECB8" w14:textId="77777777">
      <w:pPr>
        <w:spacing w:line="240" w:lineRule="auto"/>
      </w:pPr>
    </w:p>
    <w:p w:rsidRPr="00AE758F" w:rsidR="00C8101A" w:rsidP="007936BF" w:rsidRDefault="00C8101A" w14:paraId="74BD2D07" w14:textId="4D266D35">
      <w:pPr>
        <w:spacing w:line="240" w:lineRule="auto"/>
      </w:pPr>
      <w:r w:rsidRPr="00AE758F">
        <w:t xml:space="preserve">Figure 4 shows a tornado diagram that identifies the </w:t>
      </w:r>
      <w:r w:rsidRPr="00AE758F" w:rsidR="00D36455">
        <w:t>cost drivers</w:t>
      </w:r>
      <w:r w:rsidRPr="00AE758F">
        <w:t xml:space="preserve">, </w:t>
      </w:r>
      <w:r w:rsidR="006553ED">
        <w:t xml:space="preserve">which are the input variables </w:t>
      </w:r>
      <w:r w:rsidRPr="00AE758F">
        <w:t>w</w:t>
      </w:r>
      <w:r w:rsidRPr="00AE758F" w:rsidR="00D36455">
        <w:t>hose</w:t>
      </w:r>
      <w:r w:rsidRPr="00AE758F">
        <w:t xml:space="preserve"> uncertainty </w:t>
      </w:r>
      <w:r w:rsidRPr="00AE758F" w:rsidR="00D36455">
        <w:t>has the</w:t>
      </w:r>
      <w:r w:rsidR="001A4D0F">
        <w:t> </w:t>
      </w:r>
      <w:r w:rsidRPr="00AE758F">
        <w:t xml:space="preserve">largest impact on </w:t>
      </w:r>
      <w:r w:rsidR="00396945">
        <w:t>net</w:t>
      </w:r>
      <w:r w:rsidRPr="00AE758F">
        <w:t xml:space="preserve"> costs (and </w:t>
      </w:r>
      <w:r w:rsidR="00B90153">
        <w:t>benefits</w:t>
      </w:r>
      <w:r w:rsidRPr="00AE758F">
        <w:t xml:space="preserve">) for this </w:t>
      </w:r>
      <w:r w:rsidR="00C15E48">
        <w:t>final</w:t>
      </w:r>
      <w:r w:rsidRPr="00AE758F">
        <w:t xml:space="preserve"> rule.  This figure ranks the</w:t>
      </w:r>
      <w:r w:rsidR="001A4D0F">
        <w:t> </w:t>
      </w:r>
      <w:r w:rsidRPr="00AE758F" w:rsidR="00132E7F">
        <w:t>cost drivers</w:t>
      </w:r>
      <w:r w:rsidRPr="00AE758F">
        <w:t xml:space="preserve"> based on their </w:t>
      </w:r>
      <w:r w:rsidRPr="00AE758F" w:rsidR="00132E7F">
        <w:t xml:space="preserve">impact </w:t>
      </w:r>
      <w:r w:rsidR="00664956">
        <w:t xml:space="preserve">on </w:t>
      </w:r>
      <w:r w:rsidRPr="00AE758F" w:rsidR="00132E7F">
        <w:t xml:space="preserve">the </w:t>
      </w:r>
      <w:r w:rsidRPr="00AE758F">
        <w:t>uncertainty</w:t>
      </w:r>
      <w:r w:rsidRPr="00AE758F" w:rsidR="00132E7F">
        <w:t xml:space="preserve"> in the </w:t>
      </w:r>
      <w:r w:rsidR="00396945">
        <w:t>net</w:t>
      </w:r>
      <w:r w:rsidRPr="00AE758F" w:rsidR="00132E7F">
        <w:t xml:space="preserve"> cost</w:t>
      </w:r>
      <w:r w:rsidRPr="00AE758F">
        <w:t xml:space="preserve">.  </w:t>
      </w:r>
      <w:r w:rsidRPr="00AE758F" w:rsidR="00320182">
        <w:t xml:space="preserve">The </w:t>
      </w:r>
      <w:r w:rsidR="00597988">
        <w:t>three</w:t>
      </w:r>
      <w:r w:rsidRPr="00AE758F" w:rsidR="00320182">
        <w:t xml:space="preserve"> biggest cost drivers for this rule are</w:t>
      </w:r>
      <w:r w:rsidR="00B7470A">
        <w:t xml:space="preserve"> the number of hours to test a valve under ISTC-3700, the Industry labor rates, and</w:t>
      </w:r>
      <w:r w:rsidRPr="00AE758F" w:rsidR="00320182">
        <w:t xml:space="preserve"> t</w:t>
      </w:r>
      <w:r w:rsidRPr="00AE758F" w:rsidR="00132E7F">
        <w:t xml:space="preserve">he </w:t>
      </w:r>
      <w:r w:rsidRPr="00AE758F" w:rsidR="00635720">
        <w:t xml:space="preserve">annual number of personnel </w:t>
      </w:r>
      <w:r w:rsidRPr="00AE758F" w:rsidR="00A13235">
        <w:t xml:space="preserve">that complete </w:t>
      </w:r>
      <w:r w:rsidRPr="00AE758F" w:rsidR="00635720">
        <w:t xml:space="preserve">training for the </w:t>
      </w:r>
      <w:r w:rsidRPr="00AE758F" w:rsidR="00320182">
        <w:t>L</w:t>
      </w:r>
      <w:r w:rsidRPr="00AE758F" w:rsidR="00635720">
        <w:t>evel</w:t>
      </w:r>
      <w:r w:rsidRPr="00AE758F" w:rsidR="00320182">
        <w:t> </w:t>
      </w:r>
      <w:r w:rsidRPr="00AE758F" w:rsidR="00635720">
        <w:t>I and II certifications</w:t>
      </w:r>
      <w:r w:rsidRPr="00AE758F">
        <w:t xml:space="preserve">.  The remaining </w:t>
      </w:r>
      <w:r w:rsidRPr="00AE758F" w:rsidR="00D36455">
        <w:t>cost drivers</w:t>
      </w:r>
      <w:r w:rsidRPr="00AE758F">
        <w:t xml:space="preserve"> show diminishing variation.</w:t>
      </w:r>
    </w:p>
    <w:p w:rsidRPr="00AE758F" w:rsidR="00C8101A" w:rsidP="007936BF" w:rsidRDefault="00C8101A" w14:paraId="18754BBF" w14:textId="5638648B">
      <w:pPr>
        <w:spacing w:line="240" w:lineRule="auto"/>
      </w:pPr>
    </w:p>
    <w:p w:rsidRPr="00AE758F" w:rsidR="00EB20C3" w:rsidP="00382B4A" w:rsidRDefault="00DE54AC" w14:paraId="6E0B1430" w14:textId="6019C7A8">
      <w:pPr>
        <w:spacing w:line="240" w:lineRule="auto"/>
        <w:jc w:val="center"/>
      </w:pPr>
      <w:r w:rsidRPr="00DE54AC">
        <w:rPr>
          <w:noProof/>
        </w:rPr>
        <w:drawing>
          <wp:inline distT="0" distB="0" distL="0" distR="0" wp14:anchorId="66EE1EB1" wp14:editId="3FC521D0">
            <wp:extent cx="5943600" cy="30168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016885"/>
                    </a:xfrm>
                    <a:prstGeom prst="rect">
                      <a:avLst/>
                    </a:prstGeom>
                    <a:noFill/>
                    <a:ln>
                      <a:noFill/>
                    </a:ln>
                  </pic:spPr>
                </pic:pic>
              </a:graphicData>
            </a:graphic>
          </wp:inline>
        </w:drawing>
      </w:r>
    </w:p>
    <w:p w:rsidRPr="00AE758F" w:rsidR="00E772AE" w:rsidP="00382B4A" w:rsidRDefault="00E772AE" w14:paraId="1F3D8235" w14:textId="58B57526">
      <w:pPr>
        <w:pStyle w:val="Caption"/>
        <w:keepNext w:val="0"/>
        <w:spacing w:after="0" w:line="240" w:lineRule="auto"/>
        <w:ind w:left="1080" w:hanging="1080"/>
        <w:jc w:val="center"/>
        <w:rPr>
          <w:b/>
          <w:bCs w:val="0"/>
        </w:rPr>
      </w:pPr>
      <w:bookmarkStart w:name="_Ref447551171" w:id="341"/>
      <w:bookmarkStart w:name="_Toc79410122" w:id="342"/>
      <w:r w:rsidRPr="00AE758F">
        <w:rPr>
          <w:b/>
          <w:bCs w:val="0"/>
        </w:rPr>
        <w:t xml:space="preserve">Figure </w:t>
      </w:r>
      <w:r w:rsidRPr="00AE758F">
        <w:rPr>
          <w:b/>
          <w:bCs w:val="0"/>
          <w:noProof/>
        </w:rPr>
        <w:fldChar w:fldCharType="begin"/>
      </w:r>
      <w:r w:rsidRPr="00AE758F">
        <w:rPr>
          <w:b/>
          <w:bCs w:val="0"/>
          <w:noProof/>
        </w:rPr>
        <w:instrText xml:space="preserve"> SEQ Figure \* ARABIC </w:instrText>
      </w:r>
      <w:r w:rsidRPr="00AE758F">
        <w:rPr>
          <w:b/>
          <w:bCs w:val="0"/>
          <w:noProof/>
        </w:rPr>
        <w:fldChar w:fldCharType="separate"/>
      </w:r>
      <w:r w:rsidR="006A41A8">
        <w:rPr>
          <w:b/>
          <w:bCs w:val="0"/>
          <w:noProof/>
        </w:rPr>
        <w:t>4</w:t>
      </w:r>
      <w:r w:rsidRPr="00AE758F">
        <w:rPr>
          <w:b/>
          <w:bCs w:val="0"/>
          <w:noProof/>
        </w:rPr>
        <w:fldChar w:fldCharType="end"/>
      </w:r>
      <w:bookmarkEnd w:id="341"/>
      <w:r w:rsidRPr="00AE758F" w:rsidR="007936BF">
        <w:rPr>
          <w:b/>
          <w:bCs w:val="0"/>
        </w:rPr>
        <w:t xml:space="preserve">  </w:t>
      </w:r>
      <w:r w:rsidRPr="00AE758F">
        <w:rPr>
          <w:b/>
          <w:bCs w:val="0"/>
        </w:rPr>
        <w:t>Top eight cost drivers (7</w:t>
      </w:r>
      <w:r w:rsidRPr="00AE758F">
        <w:rPr>
          <w:b/>
          <w:bCs w:val="0"/>
        </w:rPr>
        <w:noBreakHyphen/>
      </w:r>
      <w:r w:rsidR="005A49FB">
        <w:rPr>
          <w:b/>
          <w:bCs w:val="0"/>
        </w:rPr>
        <w:t>p</w:t>
      </w:r>
      <w:r w:rsidRPr="00AE758F">
        <w:rPr>
          <w:b/>
          <w:bCs w:val="0"/>
        </w:rPr>
        <w:t>ercent NPV)—Alternative 2</w:t>
      </w:r>
      <w:bookmarkEnd w:id="342"/>
    </w:p>
    <w:p w:rsidRPr="00AE758F" w:rsidR="00E772AE" w:rsidP="007936BF" w:rsidRDefault="00E772AE" w14:paraId="0814C105" w14:textId="77777777">
      <w:pPr>
        <w:spacing w:line="240" w:lineRule="auto"/>
      </w:pPr>
    </w:p>
    <w:p w:rsidRPr="00AE758F" w:rsidR="00C8101A" w:rsidP="00520AA4" w:rsidRDefault="00C8101A" w14:paraId="612EEAC7" w14:textId="445C0B5F">
      <w:pPr>
        <w:pStyle w:val="Heading3"/>
        <w:spacing w:line="240" w:lineRule="auto"/>
        <w:ind w:left="720" w:hanging="720"/>
      </w:pPr>
      <w:bookmarkStart w:name="_Toc436817856" w:id="343"/>
      <w:bookmarkStart w:name="_Toc443059998" w:id="344"/>
      <w:bookmarkStart w:name="_Toc456098350" w:id="345"/>
      <w:bookmarkStart w:name="_Toc457827363" w:id="346"/>
      <w:bookmarkStart w:name="_Toc521577259" w:id="347"/>
      <w:bookmarkStart w:name="_Toc7512442" w:id="348"/>
      <w:bookmarkStart w:name="_Toc81309138" w:id="349"/>
      <w:r w:rsidRPr="00AE758F">
        <w:t>5.13.</w:t>
      </w:r>
      <w:r w:rsidR="00872042">
        <w:t>3</w:t>
      </w:r>
      <w:r w:rsidRPr="00AE758F">
        <w:tab/>
        <w:t>Summary of Uncertainty Analysis</w:t>
      </w:r>
      <w:bookmarkEnd w:id="343"/>
      <w:bookmarkEnd w:id="344"/>
      <w:bookmarkEnd w:id="345"/>
      <w:bookmarkEnd w:id="346"/>
      <w:bookmarkEnd w:id="347"/>
      <w:bookmarkEnd w:id="348"/>
      <w:bookmarkEnd w:id="349"/>
    </w:p>
    <w:p w:rsidRPr="00AE758F" w:rsidR="00C8101A" w:rsidP="007936BF" w:rsidRDefault="00C8101A" w14:paraId="5FF1B9F8" w14:textId="77777777">
      <w:pPr>
        <w:pStyle w:val="headinglineafter"/>
      </w:pPr>
    </w:p>
    <w:p w:rsidRPr="00AE758F" w:rsidR="00C8101A" w:rsidP="007936BF" w:rsidRDefault="00C8101A" w14:paraId="57784B97" w14:textId="41F8B419">
      <w:pPr>
        <w:spacing w:line="240" w:lineRule="auto"/>
      </w:pPr>
      <w:r w:rsidRPr="00AE758F">
        <w:t>The simulation analysis shows that the estimated mean benefit (i.e., </w:t>
      </w:r>
      <w:r w:rsidR="00664956">
        <w:t xml:space="preserve">savings or </w:t>
      </w:r>
      <w:r w:rsidRPr="00AE758F">
        <w:t xml:space="preserve">averted costs) for this </w:t>
      </w:r>
      <w:r w:rsidR="00EA76D3">
        <w:t>final</w:t>
      </w:r>
      <w:r w:rsidRPr="00AE758F">
        <w:t xml:space="preserve"> rule is $</w:t>
      </w:r>
      <w:r w:rsidR="00DE54AC">
        <w:t>11.1</w:t>
      </w:r>
      <w:r w:rsidRPr="00AE758F">
        <w:t> million</w:t>
      </w:r>
      <w:r w:rsidR="00664956">
        <w:t>,</w:t>
      </w:r>
      <w:r w:rsidRPr="00AE758F">
        <w:t xml:space="preserve"> with 90</w:t>
      </w:r>
      <w:r w:rsidRPr="00AE758F" w:rsidR="009055FA">
        <w:noBreakHyphen/>
      </w:r>
      <w:r w:rsidRPr="00AE758F">
        <w:t>percent confidence that the</w:t>
      </w:r>
      <w:r w:rsidR="0043692F">
        <w:t> </w:t>
      </w:r>
      <w:r w:rsidRPr="00AE758F">
        <w:t xml:space="preserve">benefit </w:t>
      </w:r>
      <w:bookmarkStart w:name="_Hlk40697767" w:id="350"/>
      <w:r w:rsidRPr="00AE758F">
        <w:t>is between $</w:t>
      </w:r>
      <w:r w:rsidR="00DE54AC">
        <w:t>9.03</w:t>
      </w:r>
      <w:r w:rsidRPr="00AE758F">
        <w:t> million and $</w:t>
      </w:r>
      <w:r w:rsidR="000F3945">
        <w:t>13.4</w:t>
      </w:r>
      <w:r w:rsidRPr="00AE758F">
        <w:t> million</w:t>
      </w:r>
      <w:r w:rsidR="00664956">
        <w:t>,</w:t>
      </w:r>
      <w:r w:rsidRPr="00AE758F">
        <w:t xml:space="preserve"> </w:t>
      </w:r>
      <w:bookmarkEnd w:id="350"/>
      <w:r w:rsidRPr="00AE758F">
        <w:t>using a 7</w:t>
      </w:r>
      <w:r w:rsidRPr="00AE758F" w:rsidR="009055FA">
        <w:noBreakHyphen/>
      </w:r>
      <w:r w:rsidRPr="00AE758F">
        <w:t>percent discount rate</w:t>
      </w:r>
      <w:r w:rsidR="00664956">
        <w:t xml:space="preserve">.  In particular, </w:t>
      </w:r>
      <w:r w:rsidR="0064221C">
        <w:t xml:space="preserve">the </w:t>
      </w:r>
      <w:r w:rsidRPr="00AE758F">
        <w:t>rule is cost</w:t>
      </w:r>
      <w:r w:rsidR="00B83C99">
        <w:noBreakHyphen/>
      </w:r>
      <w:r w:rsidRPr="00AE758F">
        <w:t>beneficial in all simulations</w:t>
      </w:r>
      <w:r w:rsidR="00640577">
        <w:t xml:space="preserve"> for bot</w:t>
      </w:r>
      <w:r w:rsidR="00EB2C05">
        <w:t>h industry and the NRC</w:t>
      </w:r>
      <w:r w:rsidRPr="00AE758F">
        <w:t xml:space="preserve">.  </w:t>
      </w:r>
      <w:r w:rsidR="0064221C">
        <w:t>F</w:t>
      </w:r>
      <w:r w:rsidRPr="00AE758F">
        <w:t>rom the uncertainty analysis</w:t>
      </w:r>
      <w:r w:rsidR="0064221C">
        <w:t>, it is reasonable to infer</w:t>
      </w:r>
      <w:r w:rsidRPr="00AE758F">
        <w:t xml:space="preserve"> that </w:t>
      </w:r>
      <w:r w:rsidR="00EA76D3">
        <w:t>issuing</w:t>
      </w:r>
      <w:r w:rsidRPr="00AE758F">
        <w:t xml:space="preserve"> </w:t>
      </w:r>
      <w:r w:rsidRPr="00AE758F" w:rsidR="00A32693">
        <w:t>this</w:t>
      </w:r>
      <w:r w:rsidRPr="00AE758F">
        <w:t xml:space="preserve"> rule represents an efficient use of resources and </w:t>
      </w:r>
      <w:r w:rsidR="00403EFA">
        <w:t xml:space="preserve">leads to </w:t>
      </w:r>
      <w:r w:rsidRPr="00AE758F">
        <w:t>averted costs for the NRC and the industry.</w:t>
      </w:r>
    </w:p>
    <w:p w:rsidRPr="00AE758F" w:rsidR="00C8101A" w:rsidP="00DC747A" w:rsidRDefault="00C8101A" w14:paraId="2D0FB24E" w14:textId="0990E7F6">
      <w:pPr>
        <w:pStyle w:val="Heading2"/>
        <w:tabs>
          <w:tab w:val="left" w:pos="540"/>
        </w:tabs>
        <w:spacing w:before="220" w:line="240" w:lineRule="auto"/>
        <w:ind w:left="446" w:hanging="446"/>
      </w:pPr>
      <w:bookmarkStart w:name="_Toc456098351" w:id="351"/>
      <w:bookmarkStart w:name="_Toc457827364" w:id="352"/>
      <w:bookmarkStart w:name="_Toc521577260" w:id="353"/>
      <w:bookmarkStart w:name="_Toc7512443" w:id="354"/>
      <w:bookmarkStart w:name="_Toc81309139" w:id="355"/>
      <w:r w:rsidRPr="00AE758F">
        <w:lastRenderedPageBreak/>
        <w:t>5.14</w:t>
      </w:r>
      <w:r w:rsidRPr="00AE758F">
        <w:tab/>
      </w:r>
      <w:r w:rsidRPr="00AE758F" w:rsidR="00FF5B60">
        <w:tab/>
      </w:r>
      <w:r w:rsidRPr="00AE758F">
        <w:t>Disaggregation</w:t>
      </w:r>
      <w:bookmarkEnd w:id="351"/>
      <w:bookmarkEnd w:id="352"/>
      <w:bookmarkEnd w:id="353"/>
      <w:bookmarkEnd w:id="354"/>
      <w:bookmarkEnd w:id="355"/>
    </w:p>
    <w:p w:rsidRPr="00AE758F" w:rsidR="00C8101A" w:rsidP="007936BF" w:rsidRDefault="00C8101A" w14:paraId="4E3812C2" w14:textId="77777777">
      <w:pPr>
        <w:spacing w:line="240" w:lineRule="auto"/>
      </w:pPr>
    </w:p>
    <w:p w:rsidRPr="00AE758F" w:rsidR="00C8101A" w:rsidP="007936BF" w:rsidRDefault="00C8101A" w14:paraId="58346DB3" w14:textId="21C50EAE">
      <w:pPr>
        <w:spacing w:line="240" w:lineRule="auto"/>
      </w:pPr>
      <w:r w:rsidRPr="00AE758F">
        <w:t xml:space="preserve">To comply with the guidance in Section </w:t>
      </w:r>
      <w:r w:rsidRPr="00AE758F" w:rsidR="00CE439A">
        <w:t>E.</w:t>
      </w:r>
      <w:r w:rsidRPr="00AE758F">
        <w:t>2</w:t>
      </w:r>
      <w:r w:rsidRPr="00AE758F" w:rsidR="00CE439A">
        <w:t>.3</w:t>
      </w:r>
      <w:r w:rsidRPr="00AE758F">
        <w:t xml:space="preserve">, “Criteria for the Treatment of Individual Requirements,” </w:t>
      </w:r>
      <w:r w:rsidR="00CD69BF">
        <w:t xml:space="preserve">of </w:t>
      </w:r>
      <w:r w:rsidRPr="00AE758F" w:rsidR="00CE439A">
        <w:t xml:space="preserve">Appendix E, “Special Circumstances and Relationship to Other Procedural Requirements,” </w:t>
      </w:r>
      <w:r w:rsidRPr="00AE758F" w:rsidR="00FC2790">
        <w:t>t</w:t>
      </w:r>
      <w:r w:rsidRPr="00AE758F">
        <w:t xml:space="preserve">o </w:t>
      </w:r>
      <w:r w:rsidRPr="00AE758F" w:rsidR="00D403AC">
        <w:t>NUREG/BR-0058</w:t>
      </w:r>
      <w:r w:rsidR="00DC1980">
        <w:t>, Revision 5</w:t>
      </w:r>
      <w:r w:rsidR="00B571F0">
        <w:t xml:space="preserve"> (draft final)</w:t>
      </w:r>
      <w:r w:rsidRPr="00AE758F">
        <w:t xml:space="preserve">, the NRC performed a screening review to determine whether any of the individual requirements (or </w:t>
      </w:r>
      <w:r w:rsidR="00CD69BF">
        <w:t xml:space="preserve">the </w:t>
      </w:r>
      <w:r w:rsidRPr="00AE758F">
        <w:t>set of integrated requirements) of the</w:t>
      </w:r>
      <w:r w:rsidR="0043692F">
        <w:t> </w:t>
      </w:r>
      <w:r w:rsidR="0052756D">
        <w:t>final</w:t>
      </w:r>
      <w:r w:rsidRPr="00AE758F">
        <w:t xml:space="preserve"> rule </w:t>
      </w:r>
      <w:r w:rsidR="00CD69BF">
        <w:t xml:space="preserve">were </w:t>
      </w:r>
      <w:r w:rsidRPr="00AE758F">
        <w:t>unnecessary to achieve the objectives of the rulemaking.  The NRC determined that the objectives of the rulemaking are to incorporate standards by reference; provide updated rules for the design, construction, operation, ISI, and IST of safety</w:t>
      </w:r>
      <w:r w:rsidRPr="00AE758F" w:rsidR="009055FA">
        <w:noBreakHyphen/>
      </w:r>
      <w:r w:rsidRPr="00AE758F">
        <w:t xml:space="preserve">related systems; and impose conditions on the use of the updated standards referenced in the rules.  Furthermore, the NRC concludes that each requirement in the </w:t>
      </w:r>
      <w:r w:rsidR="0052756D">
        <w:t>final</w:t>
      </w:r>
      <w:r w:rsidRPr="00AE758F" w:rsidR="00F52893">
        <w:t xml:space="preserve"> </w:t>
      </w:r>
      <w:r w:rsidRPr="00AE758F">
        <w:t xml:space="preserve">rule </w:t>
      </w:r>
      <w:r w:rsidR="00CD69BF">
        <w:t xml:space="preserve">is </w:t>
      </w:r>
      <w:r w:rsidRPr="00AE758F">
        <w:t xml:space="preserve">necessary to achieve one or more objectives of the rulemaking.  </w:t>
      </w:r>
      <w:r w:rsidRPr="00AE758F">
        <w:fldChar w:fldCharType="begin"/>
      </w:r>
      <w:r w:rsidRPr="00AE758F">
        <w:instrText xml:space="preserve"> REF _Ref391037114 \h  \* MERGEFORMAT </w:instrText>
      </w:r>
      <w:r w:rsidRPr="00AE758F">
        <w:fldChar w:fldCharType="separate"/>
      </w:r>
      <w:r w:rsidRPr="006A41A8" w:rsidR="006A41A8">
        <w:t>Table 14</w:t>
      </w:r>
      <w:r w:rsidRPr="00AE758F">
        <w:fldChar w:fldCharType="end"/>
      </w:r>
      <w:r w:rsidRPr="00AE758F">
        <w:t xml:space="preserve"> shows the results of this screening review.</w:t>
      </w:r>
    </w:p>
    <w:p w:rsidRPr="00AE758F" w:rsidR="00C8101A" w:rsidP="007936BF" w:rsidRDefault="00C8101A" w14:paraId="6E6141F8" w14:textId="77777777">
      <w:pPr>
        <w:spacing w:line="240" w:lineRule="auto"/>
      </w:pPr>
    </w:p>
    <w:p w:rsidRPr="00AE758F" w:rsidR="00C8101A" w:rsidP="00382B4A" w:rsidRDefault="00DC545D" w14:paraId="242CAE0C" w14:textId="31BD4CBA">
      <w:pPr>
        <w:pStyle w:val="Caption"/>
        <w:spacing w:line="240" w:lineRule="auto"/>
        <w:ind w:left="1440" w:hanging="1440"/>
        <w:jc w:val="center"/>
        <w:rPr>
          <w:b/>
          <w:bCs w:val="0"/>
        </w:rPr>
      </w:pPr>
      <w:bookmarkStart w:name="_Ref391037114" w:id="356"/>
      <w:bookmarkStart w:name="_Toc393790943" w:id="357"/>
      <w:bookmarkStart w:name="_Toc393791077" w:id="358"/>
      <w:bookmarkStart w:name="_Toc454442496" w:id="359"/>
      <w:bookmarkStart w:name="_Toc457827416" w:id="360"/>
      <w:bookmarkStart w:name="_Toc7512488" w:id="361"/>
      <w:bookmarkStart w:name="_Toc81309690" w:id="362"/>
      <w:r w:rsidRPr="00AE758F">
        <w:rPr>
          <w:b/>
          <w:bCs w:val="0"/>
        </w:rPr>
        <w:t>Table </w:t>
      </w:r>
      <w:r w:rsidRPr="00AE758F" w:rsidR="00C8101A">
        <w:rPr>
          <w:b/>
          <w:bCs w:val="0"/>
          <w:noProof/>
        </w:rPr>
        <w:fldChar w:fldCharType="begin"/>
      </w:r>
      <w:r w:rsidRPr="00AE758F" w:rsidR="00C8101A">
        <w:rPr>
          <w:b/>
          <w:bCs w:val="0"/>
          <w:noProof/>
        </w:rPr>
        <w:instrText xml:space="preserve"> SEQ Table \* ARABIC </w:instrText>
      </w:r>
      <w:r w:rsidRPr="00AE758F" w:rsidR="00C8101A">
        <w:rPr>
          <w:b/>
          <w:bCs w:val="0"/>
          <w:noProof/>
        </w:rPr>
        <w:fldChar w:fldCharType="separate"/>
      </w:r>
      <w:r w:rsidR="006A41A8">
        <w:rPr>
          <w:b/>
          <w:bCs w:val="0"/>
          <w:noProof/>
        </w:rPr>
        <w:t>14</w:t>
      </w:r>
      <w:r w:rsidRPr="00AE758F" w:rsidR="00C8101A">
        <w:rPr>
          <w:b/>
          <w:bCs w:val="0"/>
          <w:noProof/>
        </w:rPr>
        <w:fldChar w:fldCharType="end"/>
      </w:r>
      <w:bookmarkEnd w:id="356"/>
      <w:r w:rsidRPr="00AE758F" w:rsidR="009055FA">
        <w:rPr>
          <w:b/>
          <w:bCs w:val="0"/>
        </w:rPr>
        <w:t xml:space="preserve">  </w:t>
      </w:r>
      <w:r w:rsidRPr="00AE758F" w:rsidR="00C8101A">
        <w:rPr>
          <w:b/>
          <w:bCs w:val="0"/>
        </w:rPr>
        <w:t>Disaggregation</w:t>
      </w:r>
      <w:bookmarkEnd w:id="357"/>
      <w:bookmarkEnd w:id="358"/>
      <w:bookmarkEnd w:id="359"/>
      <w:bookmarkEnd w:id="360"/>
      <w:bookmarkEnd w:id="361"/>
      <w:bookmarkEnd w:id="36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8"/>
        <w:gridCol w:w="2542"/>
        <w:gridCol w:w="3090"/>
      </w:tblGrid>
      <w:tr w:rsidRPr="00AE758F" w:rsidR="00C8101A" w:rsidTr="00382B4A" w14:paraId="296FB4CD" w14:textId="77777777">
        <w:trPr>
          <w:cantSplit/>
          <w:tblHeader/>
        </w:trPr>
        <w:tc>
          <w:tcPr>
            <w:tcW w:w="3475" w:type="dxa"/>
            <w:vAlign w:val="center"/>
          </w:tcPr>
          <w:p w:rsidRPr="00AE758F" w:rsidR="00C8101A" w:rsidP="007936BF" w:rsidRDefault="00C8101A" w14:paraId="611DCC03" w14:textId="3956959E">
            <w:pPr>
              <w:spacing w:line="240" w:lineRule="auto"/>
              <w:jc w:val="center"/>
              <w:rPr>
                <w:sz w:val="20"/>
                <w:szCs w:val="20"/>
              </w:rPr>
            </w:pPr>
            <w:r w:rsidRPr="00AE758F">
              <w:rPr>
                <w:b/>
                <w:sz w:val="20"/>
                <w:szCs w:val="20"/>
              </w:rPr>
              <w:t xml:space="preserve">Regulatory Goals for </w:t>
            </w:r>
            <w:r w:rsidR="0052756D">
              <w:rPr>
                <w:b/>
                <w:sz w:val="20"/>
                <w:szCs w:val="20"/>
              </w:rPr>
              <w:t>Final</w:t>
            </w:r>
            <w:r w:rsidRPr="00AE758F">
              <w:rPr>
                <w:b/>
                <w:sz w:val="20"/>
                <w:szCs w:val="20"/>
              </w:rPr>
              <w:t xml:space="preserve"> Rule</w:t>
            </w:r>
          </w:p>
        </w:tc>
        <w:tc>
          <w:tcPr>
            <w:tcW w:w="2370" w:type="dxa"/>
            <w:vAlign w:val="center"/>
          </w:tcPr>
          <w:p w:rsidRPr="00AE758F" w:rsidR="00C8101A" w:rsidP="007936BF" w:rsidRDefault="00C8101A" w14:paraId="4F287E22" w14:textId="59D6EF20">
            <w:pPr>
              <w:spacing w:line="240" w:lineRule="auto"/>
              <w:jc w:val="center"/>
              <w:rPr>
                <w:sz w:val="20"/>
                <w:szCs w:val="20"/>
              </w:rPr>
            </w:pPr>
            <w:r w:rsidRPr="00AE758F">
              <w:rPr>
                <w:b/>
                <w:sz w:val="20"/>
                <w:szCs w:val="20"/>
              </w:rPr>
              <w:t>(1) Approve Use of the Code Edition</w:t>
            </w:r>
            <w:r w:rsidRPr="00AE758F" w:rsidR="00F65EE1">
              <w:rPr>
                <w:b/>
                <w:sz w:val="20"/>
                <w:szCs w:val="20"/>
              </w:rPr>
              <w:t xml:space="preserve"> or Addenda</w:t>
            </w:r>
          </w:p>
        </w:tc>
        <w:tc>
          <w:tcPr>
            <w:tcW w:w="2880" w:type="dxa"/>
            <w:vAlign w:val="center"/>
          </w:tcPr>
          <w:p w:rsidRPr="00AE758F" w:rsidR="00C8101A" w:rsidP="007936BF" w:rsidRDefault="00C8101A" w14:paraId="5F7BBF88" w14:textId="77777777">
            <w:pPr>
              <w:spacing w:line="240" w:lineRule="auto"/>
              <w:jc w:val="center"/>
              <w:rPr>
                <w:sz w:val="20"/>
                <w:szCs w:val="20"/>
              </w:rPr>
            </w:pPr>
            <w:r w:rsidRPr="00AE758F">
              <w:rPr>
                <w:b/>
                <w:sz w:val="20"/>
                <w:szCs w:val="20"/>
              </w:rPr>
              <w:t>(2) Make IBR Conforming Changes</w:t>
            </w:r>
          </w:p>
        </w:tc>
      </w:tr>
      <w:tr w:rsidRPr="00AE758F" w:rsidR="00C8101A" w:rsidDel="004C026F" w:rsidTr="00382B4A" w14:paraId="779D1332" w14:textId="77777777">
        <w:trPr>
          <w:cantSplit/>
        </w:trPr>
        <w:tc>
          <w:tcPr>
            <w:tcW w:w="3475" w:type="dxa"/>
            <w:vAlign w:val="center"/>
          </w:tcPr>
          <w:p w:rsidRPr="00AE758F" w:rsidR="00C8101A" w:rsidP="007936BF" w:rsidRDefault="00C8101A" w14:paraId="3D77E1A2" w14:textId="6B12D595">
            <w:pPr>
              <w:spacing w:line="240" w:lineRule="auto"/>
              <w:rPr>
                <w:sz w:val="20"/>
                <w:szCs w:val="20"/>
              </w:rPr>
            </w:pPr>
            <w:r w:rsidRPr="00AE758F">
              <w:rPr>
                <w:sz w:val="20"/>
                <w:szCs w:val="20"/>
              </w:rPr>
              <w:t>201</w:t>
            </w:r>
            <w:r w:rsidRPr="00AE758F" w:rsidR="0084112C">
              <w:rPr>
                <w:sz w:val="20"/>
                <w:szCs w:val="20"/>
              </w:rPr>
              <w:t>9</w:t>
            </w:r>
            <w:r w:rsidRPr="00AE758F">
              <w:rPr>
                <w:sz w:val="20"/>
                <w:szCs w:val="20"/>
              </w:rPr>
              <w:t xml:space="preserve"> Edition of </w:t>
            </w:r>
            <w:r w:rsidRPr="00AE758F" w:rsidR="009055FA">
              <w:rPr>
                <w:sz w:val="20"/>
                <w:szCs w:val="20"/>
              </w:rPr>
              <w:t xml:space="preserve">the </w:t>
            </w:r>
            <w:r w:rsidRPr="00AE758F">
              <w:rPr>
                <w:sz w:val="20"/>
                <w:szCs w:val="20"/>
              </w:rPr>
              <w:t>ASME BPV Code</w:t>
            </w:r>
          </w:p>
        </w:tc>
        <w:tc>
          <w:tcPr>
            <w:tcW w:w="2370" w:type="dxa"/>
            <w:vAlign w:val="center"/>
          </w:tcPr>
          <w:p w:rsidRPr="00AE758F" w:rsidR="00C8101A" w:rsidP="007936BF" w:rsidRDefault="00C8101A" w14:paraId="3B17D06E" w14:textId="77777777">
            <w:pPr>
              <w:spacing w:line="240" w:lineRule="auto"/>
              <w:jc w:val="center"/>
              <w:rPr>
                <w:sz w:val="20"/>
                <w:szCs w:val="20"/>
              </w:rPr>
            </w:pPr>
            <w:r w:rsidRPr="00AE758F">
              <w:rPr>
                <w:sz w:val="20"/>
                <w:szCs w:val="20"/>
              </w:rPr>
              <w:t>X</w:t>
            </w:r>
          </w:p>
        </w:tc>
        <w:tc>
          <w:tcPr>
            <w:tcW w:w="2880" w:type="dxa"/>
            <w:vAlign w:val="center"/>
          </w:tcPr>
          <w:p w:rsidRPr="00AE758F" w:rsidR="00C8101A" w:rsidP="007936BF" w:rsidRDefault="00C8101A" w14:paraId="1BA3D7DE" w14:textId="77777777">
            <w:pPr>
              <w:spacing w:line="240" w:lineRule="auto"/>
              <w:jc w:val="center"/>
              <w:rPr>
                <w:sz w:val="20"/>
                <w:szCs w:val="20"/>
              </w:rPr>
            </w:pPr>
            <w:r w:rsidRPr="00AE758F">
              <w:rPr>
                <w:sz w:val="20"/>
                <w:szCs w:val="20"/>
              </w:rPr>
              <w:t>X</w:t>
            </w:r>
          </w:p>
        </w:tc>
      </w:tr>
      <w:tr w:rsidRPr="00AE758F" w:rsidR="00C8101A" w:rsidDel="004C026F" w:rsidTr="00382B4A" w14:paraId="498871A7" w14:textId="77777777">
        <w:trPr>
          <w:cantSplit/>
        </w:trPr>
        <w:tc>
          <w:tcPr>
            <w:tcW w:w="3475" w:type="dxa"/>
            <w:vAlign w:val="center"/>
          </w:tcPr>
          <w:p w:rsidRPr="00AE758F" w:rsidR="00C8101A" w:rsidP="007936BF" w:rsidRDefault="00C8101A" w14:paraId="5F44BCBD" w14:textId="4DDDA482">
            <w:pPr>
              <w:spacing w:line="240" w:lineRule="auto"/>
              <w:rPr>
                <w:sz w:val="20"/>
                <w:szCs w:val="20"/>
              </w:rPr>
            </w:pPr>
            <w:r w:rsidRPr="00AE758F">
              <w:rPr>
                <w:sz w:val="20"/>
                <w:szCs w:val="20"/>
              </w:rPr>
              <w:t>20</w:t>
            </w:r>
            <w:r w:rsidRPr="00AE758F" w:rsidR="0084112C">
              <w:rPr>
                <w:sz w:val="20"/>
                <w:szCs w:val="20"/>
              </w:rPr>
              <w:t>20</w:t>
            </w:r>
            <w:r w:rsidRPr="00AE758F">
              <w:rPr>
                <w:sz w:val="20"/>
                <w:szCs w:val="20"/>
              </w:rPr>
              <w:t xml:space="preserve"> Edition of </w:t>
            </w:r>
            <w:r w:rsidRPr="00AE758F" w:rsidR="009055FA">
              <w:rPr>
                <w:sz w:val="20"/>
                <w:szCs w:val="20"/>
              </w:rPr>
              <w:t xml:space="preserve">the </w:t>
            </w:r>
            <w:r w:rsidRPr="00AE758F">
              <w:rPr>
                <w:sz w:val="20"/>
                <w:szCs w:val="20"/>
              </w:rPr>
              <w:t>ASME OM Code</w:t>
            </w:r>
          </w:p>
        </w:tc>
        <w:tc>
          <w:tcPr>
            <w:tcW w:w="2370" w:type="dxa"/>
            <w:vAlign w:val="center"/>
          </w:tcPr>
          <w:p w:rsidRPr="00AE758F" w:rsidR="00C8101A" w:rsidP="007936BF" w:rsidRDefault="00C8101A" w14:paraId="6B097DE4" w14:textId="77777777">
            <w:pPr>
              <w:spacing w:line="240" w:lineRule="auto"/>
              <w:jc w:val="center"/>
              <w:rPr>
                <w:sz w:val="20"/>
                <w:szCs w:val="20"/>
              </w:rPr>
            </w:pPr>
            <w:r w:rsidRPr="00AE758F">
              <w:rPr>
                <w:sz w:val="20"/>
                <w:szCs w:val="20"/>
              </w:rPr>
              <w:t>X</w:t>
            </w:r>
          </w:p>
        </w:tc>
        <w:tc>
          <w:tcPr>
            <w:tcW w:w="2880" w:type="dxa"/>
            <w:vAlign w:val="center"/>
          </w:tcPr>
          <w:p w:rsidRPr="00AE758F" w:rsidR="00C8101A" w:rsidP="007936BF" w:rsidRDefault="00C8101A" w14:paraId="662F8EDC" w14:textId="77777777">
            <w:pPr>
              <w:spacing w:line="240" w:lineRule="auto"/>
              <w:jc w:val="center"/>
              <w:rPr>
                <w:sz w:val="20"/>
                <w:szCs w:val="20"/>
              </w:rPr>
            </w:pPr>
            <w:r w:rsidRPr="00AE758F">
              <w:rPr>
                <w:sz w:val="20"/>
                <w:szCs w:val="20"/>
              </w:rPr>
              <w:t>X</w:t>
            </w:r>
          </w:p>
        </w:tc>
      </w:tr>
      <w:tr w:rsidRPr="00AE758F" w:rsidR="006E5751" w:rsidDel="004C026F" w:rsidTr="00382B4A" w14:paraId="1E8115ED" w14:textId="77777777">
        <w:trPr>
          <w:cantSplit/>
        </w:trPr>
        <w:tc>
          <w:tcPr>
            <w:tcW w:w="3475" w:type="dxa"/>
            <w:vAlign w:val="center"/>
          </w:tcPr>
          <w:p w:rsidRPr="00AE758F" w:rsidR="006E5751" w:rsidP="007936BF" w:rsidRDefault="006E5751" w14:paraId="7EBA5D50" w14:textId="77DA43FB">
            <w:pPr>
              <w:spacing w:line="240" w:lineRule="auto"/>
              <w:rPr>
                <w:sz w:val="20"/>
                <w:szCs w:val="20"/>
              </w:rPr>
            </w:pPr>
            <w:r>
              <w:rPr>
                <w:sz w:val="20"/>
                <w:szCs w:val="20"/>
              </w:rPr>
              <w:t>ASME OM Code Case OMN-28</w:t>
            </w:r>
          </w:p>
        </w:tc>
        <w:tc>
          <w:tcPr>
            <w:tcW w:w="2370" w:type="dxa"/>
            <w:vAlign w:val="center"/>
          </w:tcPr>
          <w:p w:rsidRPr="00AE758F" w:rsidR="006E5751" w:rsidP="007936BF" w:rsidRDefault="006E5751" w14:paraId="4E9ABE19" w14:textId="0B6EEC4C">
            <w:pPr>
              <w:spacing w:line="240" w:lineRule="auto"/>
              <w:jc w:val="center"/>
              <w:rPr>
                <w:sz w:val="20"/>
                <w:szCs w:val="20"/>
              </w:rPr>
            </w:pPr>
            <w:r>
              <w:rPr>
                <w:sz w:val="20"/>
                <w:szCs w:val="20"/>
              </w:rPr>
              <w:t>X</w:t>
            </w:r>
          </w:p>
        </w:tc>
        <w:tc>
          <w:tcPr>
            <w:tcW w:w="2880" w:type="dxa"/>
            <w:vAlign w:val="center"/>
          </w:tcPr>
          <w:p w:rsidRPr="00AE758F" w:rsidR="006E5751" w:rsidP="007936BF" w:rsidRDefault="006E5751" w14:paraId="217B9EA0" w14:textId="396BD9AE">
            <w:pPr>
              <w:spacing w:line="240" w:lineRule="auto"/>
              <w:jc w:val="center"/>
              <w:rPr>
                <w:sz w:val="20"/>
                <w:szCs w:val="20"/>
              </w:rPr>
            </w:pPr>
            <w:r>
              <w:rPr>
                <w:sz w:val="20"/>
                <w:szCs w:val="20"/>
              </w:rPr>
              <w:t>X</w:t>
            </w:r>
          </w:p>
        </w:tc>
      </w:tr>
      <w:tr w:rsidRPr="00AE758F" w:rsidR="00F65EE1" w:rsidDel="004C026F" w:rsidTr="00382B4A" w14:paraId="02EBC997" w14:textId="77777777">
        <w:trPr>
          <w:cantSplit/>
        </w:trPr>
        <w:tc>
          <w:tcPr>
            <w:tcW w:w="3475" w:type="dxa"/>
            <w:vAlign w:val="center"/>
          </w:tcPr>
          <w:p w:rsidRPr="00AE758F" w:rsidR="00F65EE1" w:rsidP="007936BF" w:rsidRDefault="00F65EE1" w14:paraId="50D4BFE4" w14:textId="76E9E5D4">
            <w:pPr>
              <w:spacing w:line="240" w:lineRule="auto"/>
              <w:rPr>
                <w:sz w:val="20"/>
                <w:szCs w:val="20"/>
              </w:rPr>
            </w:pPr>
            <w:r w:rsidRPr="00AE758F">
              <w:rPr>
                <w:sz w:val="20"/>
                <w:szCs w:val="20"/>
              </w:rPr>
              <w:t>2011 Addenda to ASME NQA-1-2008</w:t>
            </w:r>
          </w:p>
        </w:tc>
        <w:tc>
          <w:tcPr>
            <w:tcW w:w="2370" w:type="dxa"/>
            <w:vAlign w:val="center"/>
          </w:tcPr>
          <w:p w:rsidRPr="00AE758F" w:rsidR="00F65EE1" w:rsidP="007936BF" w:rsidRDefault="00F65EE1" w14:paraId="0CD26340" w14:textId="0FB0249D">
            <w:pPr>
              <w:spacing w:line="240" w:lineRule="auto"/>
              <w:jc w:val="center"/>
              <w:rPr>
                <w:sz w:val="20"/>
                <w:szCs w:val="20"/>
              </w:rPr>
            </w:pPr>
            <w:r w:rsidRPr="00AE758F">
              <w:rPr>
                <w:sz w:val="20"/>
                <w:szCs w:val="20"/>
              </w:rPr>
              <w:t>X</w:t>
            </w:r>
          </w:p>
        </w:tc>
        <w:tc>
          <w:tcPr>
            <w:tcW w:w="2880" w:type="dxa"/>
            <w:vAlign w:val="center"/>
          </w:tcPr>
          <w:p w:rsidRPr="00AE758F" w:rsidR="00F65EE1" w:rsidP="007936BF" w:rsidRDefault="00F65EE1" w14:paraId="7E36446B" w14:textId="737955B4">
            <w:pPr>
              <w:spacing w:line="240" w:lineRule="auto"/>
              <w:jc w:val="center"/>
              <w:rPr>
                <w:sz w:val="20"/>
                <w:szCs w:val="20"/>
              </w:rPr>
            </w:pPr>
            <w:r w:rsidRPr="00AE758F">
              <w:rPr>
                <w:sz w:val="20"/>
                <w:szCs w:val="20"/>
              </w:rPr>
              <w:t>X</w:t>
            </w:r>
          </w:p>
        </w:tc>
      </w:tr>
      <w:tr w:rsidRPr="00AE758F" w:rsidR="00F65EE1" w:rsidDel="004C026F" w:rsidTr="00382B4A" w14:paraId="4B6521B7" w14:textId="77777777">
        <w:trPr>
          <w:cantSplit/>
        </w:trPr>
        <w:tc>
          <w:tcPr>
            <w:tcW w:w="3475" w:type="dxa"/>
            <w:vAlign w:val="center"/>
          </w:tcPr>
          <w:p w:rsidRPr="00AE758F" w:rsidR="00F65EE1" w:rsidP="007936BF" w:rsidRDefault="00F65EE1" w14:paraId="2CB3E789" w14:textId="3F57A6CD">
            <w:pPr>
              <w:spacing w:line="240" w:lineRule="auto"/>
              <w:rPr>
                <w:sz w:val="20"/>
                <w:szCs w:val="20"/>
              </w:rPr>
            </w:pPr>
            <w:r w:rsidRPr="00AE758F">
              <w:rPr>
                <w:sz w:val="20"/>
                <w:szCs w:val="20"/>
              </w:rPr>
              <w:t>2012 Edition of ASME NQA-1</w:t>
            </w:r>
          </w:p>
        </w:tc>
        <w:tc>
          <w:tcPr>
            <w:tcW w:w="2370" w:type="dxa"/>
            <w:vAlign w:val="center"/>
          </w:tcPr>
          <w:p w:rsidRPr="00AE758F" w:rsidR="00F65EE1" w:rsidP="007936BF" w:rsidRDefault="00F65EE1" w14:paraId="0CC64425" w14:textId="3ECE145F">
            <w:pPr>
              <w:spacing w:line="240" w:lineRule="auto"/>
              <w:jc w:val="center"/>
              <w:rPr>
                <w:sz w:val="20"/>
                <w:szCs w:val="20"/>
              </w:rPr>
            </w:pPr>
            <w:r w:rsidRPr="00AE758F">
              <w:rPr>
                <w:sz w:val="20"/>
                <w:szCs w:val="20"/>
              </w:rPr>
              <w:t>X</w:t>
            </w:r>
          </w:p>
        </w:tc>
        <w:tc>
          <w:tcPr>
            <w:tcW w:w="2880" w:type="dxa"/>
            <w:vAlign w:val="center"/>
          </w:tcPr>
          <w:p w:rsidRPr="00AE758F" w:rsidR="00F65EE1" w:rsidP="007936BF" w:rsidRDefault="00F65EE1" w14:paraId="2D30FCF6" w14:textId="02F06059">
            <w:pPr>
              <w:spacing w:line="240" w:lineRule="auto"/>
              <w:jc w:val="center"/>
              <w:rPr>
                <w:sz w:val="20"/>
                <w:szCs w:val="20"/>
              </w:rPr>
            </w:pPr>
            <w:r w:rsidRPr="00AE758F">
              <w:rPr>
                <w:sz w:val="20"/>
                <w:szCs w:val="20"/>
              </w:rPr>
              <w:t>X</w:t>
            </w:r>
          </w:p>
        </w:tc>
      </w:tr>
      <w:tr w:rsidRPr="00AE758F" w:rsidR="00F65EE1" w:rsidDel="004C026F" w:rsidTr="00382B4A" w14:paraId="4251ACEB" w14:textId="77777777">
        <w:trPr>
          <w:cantSplit/>
        </w:trPr>
        <w:tc>
          <w:tcPr>
            <w:tcW w:w="3475" w:type="dxa"/>
            <w:vAlign w:val="center"/>
          </w:tcPr>
          <w:p w:rsidRPr="00AE758F" w:rsidR="00F65EE1" w:rsidP="007936BF" w:rsidRDefault="00F65EE1" w14:paraId="38DE0DFE" w14:textId="225EAD46">
            <w:pPr>
              <w:spacing w:line="240" w:lineRule="auto"/>
              <w:rPr>
                <w:sz w:val="20"/>
                <w:szCs w:val="20"/>
              </w:rPr>
            </w:pPr>
            <w:r w:rsidRPr="00AE758F">
              <w:rPr>
                <w:sz w:val="20"/>
                <w:szCs w:val="20"/>
              </w:rPr>
              <w:t>2015 Edition of ASME NQA-1</w:t>
            </w:r>
          </w:p>
        </w:tc>
        <w:tc>
          <w:tcPr>
            <w:tcW w:w="2370" w:type="dxa"/>
            <w:vAlign w:val="center"/>
          </w:tcPr>
          <w:p w:rsidRPr="00AE758F" w:rsidR="00F65EE1" w:rsidP="007936BF" w:rsidRDefault="00F65EE1" w14:paraId="39CB9746" w14:textId="20A6CC88">
            <w:pPr>
              <w:spacing w:line="240" w:lineRule="auto"/>
              <w:jc w:val="center"/>
              <w:rPr>
                <w:sz w:val="20"/>
                <w:szCs w:val="20"/>
              </w:rPr>
            </w:pPr>
            <w:r w:rsidRPr="00AE758F">
              <w:rPr>
                <w:sz w:val="20"/>
                <w:szCs w:val="20"/>
              </w:rPr>
              <w:t>X</w:t>
            </w:r>
          </w:p>
        </w:tc>
        <w:tc>
          <w:tcPr>
            <w:tcW w:w="2880" w:type="dxa"/>
            <w:vAlign w:val="center"/>
          </w:tcPr>
          <w:p w:rsidRPr="00AE758F" w:rsidR="00F65EE1" w:rsidP="007936BF" w:rsidRDefault="00F65EE1" w14:paraId="527735A4" w14:textId="3A0150E1">
            <w:pPr>
              <w:spacing w:line="240" w:lineRule="auto"/>
              <w:jc w:val="center"/>
              <w:rPr>
                <w:sz w:val="20"/>
                <w:szCs w:val="20"/>
              </w:rPr>
            </w:pPr>
            <w:r w:rsidRPr="00AE758F">
              <w:rPr>
                <w:sz w:val="20"/>
                <w:szCs w:val="20"/>
              </w:rPr>
              <w:t>X</w:t>
            </w:r>
          </w:p>
        </w:tc>
      </w:tr>
    </w:tbl>
    <w:p w:rsidRPr="00AE758F" w:rsidR="00C8101A" w:rsidP="007936BF" w:rsidRDefault="00C8101A" w14:paraId="7B1BB82E" w14:textId="77777777">
      <w:pPr>
        <w:spacing w:line="240" w:lineRule="auto"/>
      </w:pPr>
      <w:bookmarkStart w:name="_Toc456098352" w:id="363"/>
      <w:bookmarkStart w:name="_Toc456098353" w:id="364"/>
      <w:bookmarkEnd w:id="363"/>
    </w:p>
    <w:p w:rsidRPr="00AE758F" w:rsidR="00C8101A" w:rsidP="007936BF" w:rsidRDefault="00C8101A" w14:paraId="7175AEAD" w14:textId="140359B3">
      <w:pPr>
        <w:spacing w:line="240" w:lineRule="auto"/>
      </w:pPr>
      <w:r w:rsidRPr="00AE758F">
        <w:fldChar w:fldCharType="begin"/>
      </w:r>
      <w:r w:rsidRPr="00AE758F">
        <w:instrText xml:space="preserve"> REF _Ref7098300 \h </w:instrText>
      </w:r>
      <w:r w:rsidRPr="00AE758F" w:rsidR="00E73146">
        <w:instrText xml:space="preserve"> \* MERGEFORMAT </w:instrText>
      </w:r>
      <w:r w:rsidRPr="00AE758F">
        <w:fldChar w:fldCharType="separate"/>
      </w:r>
      <w:r w:rsidRPr="006A41A8" w:rsidR="006A41A8">
        <w:rPr>
          <w:bCs/>
        </w:rPr>
        <w:t xml:space="preserve">Table </w:t>
      </w:r>
      <w:r w:rsidRPr="006A41A8" w:rsidR="006A41A8">
        <w:rPr>
          <w:bCs/>
          <w:noProof/>
        </w:rPr>
        <w:t>15</w:t>
      </w:r>
      <w:r w:rsidRPr="00AE758F">
        <w:fldChar w:fldCharType="end"/>
      </w:r>
      <w:r w:rsidRPr="00AE758F">
        <w:t xml:space="preserve"> shows the estimated </w:t>
      </w:r>
      <w:r w:rsidRPr="00AE758F" w:rsidR="00256D24">
        <w:t>benefits and costs</w:t>
      </w:r>
      <w:r w:rsidRPr="00AE758F">
        <w:t xml:space="preserve"> to </w:t>
      </w:r>
      <w:r w:rsidR="00F66916">
        <w:t xml:space="preserve">the </w:t>
      </w:r>
      <w:r w:rsidRPr="00AE758F">
        <w:t xml:space="preserve">industry </w:t>
      </w:r>
      <w:r w:rsidR="00F66916">
        <w:t xml:space="preserve">and </w:t>
      </w:r>
      <w:r w:rsidRPr="00AE758F">
        <w:t xml:space="preserve">the NRC, </w:t>
      </w:r>
      <w:r w:rsidR="00F66916">
        <w:t xml:space="preserve">along with </w:t>
      </w:r>
      <w:r w:rsidRPr="00AE758F">
        <w:t xml:space="preserve">the </w:t>
      </w:r>
      <w:r w:rsidR="00396945">
        <w:t>net cost or benefit</w:t>
      </w:r>
      <w:r w:rsidR="00F66916">
        <w:t>,</w:t>
      </w:r>
      <w:r w:rsidRPr="00AE758F">
        <w:t xml:space="preserve"> for each provision in this </w:t>
      </w:r>
      <w:r w:rsidR="00A01837">
        <w:t>final</w:t>
      </w:r>
      <w:r w:rsidRPr="00AE758F">
        <w:t xml:space="preserve"> rule for which the staff has calculated quantitative benefits.  </w:t>
      </w:r>
      <w:r w:rsidRPr="009E68AA" w:rsidR="00762301">
        <w:t>The</w:t>
      </w:r>
      <w:r w:rsidR="009E68AA">
        <w:t> </w:t>
      </w:r>
      <w:r w:rsidR="00A01837">
        <w:t>final</w:t>
      </w:r>
      <w:r w:rsidRPr="009E68AA">
        <w:t xml:space="preserve"> rule itself is cost</w:t>
      </w:r>
      <w:r w:rsidR="00B83C99">
        <w:noBreakHyphen/>
      </w:r>
      <w:r w:rsidRPr="009E68AA">
        <w:t>beneficial</w:t>
      </w:r>
      <w:r w:rsidRPr="009E68AA" w:rsidR="00762301">
        <w:t xml:space="preserve"> in all provisions</w:t>
      </w:r>
      <w:r w:rsidRPr="009E68AA" w:rsidR="00CD6028">
        <w:t xml:space="preserve">. </w:t>
      </w:r>
      <w:r w:rsidRPr="009E68AA" w:rsidR="006C69C8">
        <w:t xml:space="preserve"> </w:t>
      </w:r>
      <w:r w:rsidRPr="009E68AA" w:rsidR="00CD6028">
        <w:t>The</w:t>
      </w:r>
      <w:r w:rsidRPr="009E68AA" w:rsidR="006C69C8">
        <w:t xml:space="preserve"> licensee’s effort to </w:t>
      </w:r>
      <w:r w:rsidR="008E6FBB">
        <w:t xml:space="preserve">demonstrate </w:t>
      </w:r>
      <w:r w:rsidRPr="009E68AA" w:rsidR="006C69C8">
        <w:t>that valves are not susceptible to stem-disk separation</w:t>
      </w:r>
      <w:r w:rsidRPr="009E68AA" w:rsidR="00CD6028">
        <w:t xml:space="preserve"> </w:t>
      </w:r>
      <w:r w:rsidRPr="009E68AA" w:rsidR="006F1964">
        <w:t>is more than offset by the cost savings from</w:t>
      </w:r>
      <w:r w:rsidRPr="009E68AA" w:rsidR="006C69C8">
        <w:t xml:space="preserve"> </w:t>
      </w:r>
      <w:r w:rsidRPr="009E68AA" w:rsidR="006F1964">
        <w:t xml:space="preserve">averted testing of </w:t>
      </w:r>
      <w:r w:rsidR="00F66916">
        <w:t xml:space="preserve">such </w:t>
      </w:r>
      <w:r w:rsidRPr="009E68AA" w:rsidR="006F1964">
        <w:t>valves under ISTC-</w:t>
      </w:r>
      <w:r w:rsidR="00F66916">
        <w:t>3</w:t>
      </w:r>
      <w:r w:rsidRPr="009E68AA" w:rsidR="006F1964">
        <w:t>700.</w:t>
      </w:r>
    </w:p>
    <w:p w:rsidRPr="00AE758F" w:rsidR="00C8101A" w:rsidP="007936BF" w:rsidRDefault="00C8101A" w14:paraId="4ABB0754" w14:textId="77777777">
      <w:pPr>
        <w:spacing w:line="240" w:lineRule="auto"/>
      </w:pPr>
    </w:p>
    <w:p w:rsidRPr="00AE758F" w:rsidR="00C8101A" w:rsidP="00382B4A" w:rsidRDefault="00C8101A" w14:paraId="0414EB53" w14:textId="37F3A9FB">
      <w:pPr>
        <w:pStyle w:val="Caption"/>
        <w:spacing w:line="240" w:lineRule="auto"/>
        <w:jc w:val="center"/>
        <w:rPr>
          <w:b/>
          <w:bCs w:val="0"/>
        </w:rPr>
      </w:pPr>
      <w:bookmarkStart w:name="_Ref7098300" w:id="365"/>
      <w:bookmarkStart w:name="_Toc7512489" w:id="366"/>
      <w:bookmarkStart w:name="_Toc81309691" w:id="367"/>
      <w:r w:rsidRPr="00AE758F">
        <w:rPr>
          <w:b/>
          <w:bCs w:val="0"/>
        </w:rPr>
        <w:t xml:space="preserve">Table </w:t>
      </w:r>
      <w:r w:rsidRPr="00AE758F">
        <w:rPr>
          <w:b/>
          <w:bCs w:val="0"/>
          <w:noProof/>
        </w:rPr>
        <w:fldChar w:fldCharType="begin"/>
      </w:r>
      <w:r w:rsidRPr="00AE758F">
        <w:rPr>
          <w:b/>
          <w:bCs w:val="0"/>
          <w:noProof/>
        </w:rPr>
        <w:instrText xml:space="preserve"> SEQ Table \* ARABIC </w:instrText>
      </w:r>
      <w:r w:rsidRPr="00AE758F">
        <w:rPr>
          <w:b/>
          <w:bCs w:val="0"/>
          <w:noProof/>
        </w:rPr>
        <w:fldChar w:fldCharType="separate"/>
      </w:r>
      <w:r w:rsidR="006A41A8">
        <w:rPr>
          <w:b/>
          <w:bCs w:val="0"/>
          <w:noProof/>
        </w:rPr>
        <w:t>15</w:t>
      </w:r>
      <w:r w:rsidRPr="00AE758F">
        <w:rPr>
          <w:b/>
          <w:bCs w:val="0"/>
          <w:noProof/>
        </w:rPr>
        <w:fldChar w:fldCharType="end"/>
      </w:r>
      <w:bookmarkEnd w:id="365"/>
      <w:r w:rsidRPr="00AE758F">
        <w:rPr>
          <w:b/>
          <w:bCs w:val="0"/>
        </w:rPr>
        <w:t xml:space="preserve"> </w:t>
      </w:r>
      <w:r w:rsidRPr="00AE758F" w:rsidR="007936BF">
        <w:rPr>
          <w:b/>
          <w:bCs w:val="0"/>
        </w:rPr>
        <w:t xml:space="preserve"> </w:t>
      </w:r>
      <w:r w:rsidRPr="00AE758F">
        <w:rPr>
          <w:b/>
          <w:bCs w:val="0"/>
        </w:rPr>
        <w:t>Costs by Provision</w:t>
      </w:r>
      <w:bookmarkEnd w:id="366"/>
      <w:bookmarkEnd w:id="367"/>
    </w:p>
    <w:tbl>
      <w:tblPr>
        <w:tblStyle w:val="TableGrid"/>
        <w:tblW w:w="0" w:type="auto"/>
        <w:tblLook w:val="04A0" w:firstRow="1" w:lastRow="0" w:firstColumn="1" w:lastColumn="0" w:noHBand="0" w:noVBand="1"/>
      </w:tblPr>
      <w:tblGrid>
        <w:gridCol w:w="3775"/>
        <w:gridCol w:w="1800"/>
        <w:gridCol w:w="1800"/>
        <w:gridCol w:w="1975"/>
      </w:tblGrid>
      <w:tr w:rsidRPr="00AE758F" w:rsidR="000E1816" w:rsidTr="00591DC7" w14:paraId="38E5038B" w14:textId="77777777">
        <w:trPr>
          <w:tblHeader/>
        </w:trPr>
        <w:tc>
          <w:tcPr>
            <w:tcW w:w="3775" w:type="dxa"/>
            <w:vMerge w:val="restart"/>
            <w:vAlign w:val="center"/>
          </w:tcPr>
          <w:p w:rsidRPr="00AE758F" w:rsidR="000E1816" w:rsidP="007936BF" w:rsidRDefault="000E1816" w14:paraId="6E980725" w14:textId="114CD7E9">
            <w:pPr>
              <w:jc w:val="center"/>
              <w:rPr>
                <w:b/>
                <w:sz w:val="20"/>
                <w:szCs w:val="20"/>
              </w:rPr>
            </w:pPr>
            <w:r w:rsidRPr="00AE758F">
              <w:rPr>
                <w:b/>
                <w:sz w:val="20"/>
                <w:szCs w:val="20"/>
              </w:rPr>
              <w:t>Provision</w:t>
            </w:r>
          </w:p>
        </w:tc>
        <w:tc>
          <w:tcPr>
            <w:tcW w:w="5575" w:type="dxa"/>
            <w:gridSpan w:val="3"/>
          </w:tcPr>
          <w:p w:rsidRPr="00AE758F" w:rsidR="000E1816" w:rsidP="007936BF" w:rsidRDefault="000E1816" w14:paraId="2C2F97F3" w14:textId="47A652F4">
            <w:pPr>
              <w:jc w:val="center"/>
              <w:rPr>
                <w:b/>
                <w:sz w:val="20"/>
                <w:szCs w:val="20"/>
              </w:rPr>
            </w:pPr>
            <w:r w:rsidRPr="00AE758F">
              <w:rPr>
                <w:b/>
                <w:sz w:val="20"/>
                <w:szCs w:val="20"/>
              </w:rPr>
              <w:t>Averted Cost (Cost)</w:t>
            </w:r>
            <w:r w:rsidR="00B83C99">
              <w:rPr>
                <w:b/>
                <w:sz w:val="20"/>
                <w:szCs w:val="20"/>
              </w:rPr>
              <w:t>,</w:t>
            </w:r>
            <w:r w:rsidRPr="00AE758F">
              <w:rPr>
                <w:b/>
                <w:sz w:val="20"/>
                <w:szCs w:val="20"/>
              </w:rPr>
              <w:t xml:space="preserve"> 7% NPV</w:t>
            </w:r>
          </w:p>
        </w:tc>
      </w:tr>
      <w:tr w:rsidRPr="00AE758F" w:rsidR="000E1816" w:rsidTr="00591DC7" w14:paraId="7DB79E34" w14:textId="77777777">
        <w:trPr>
          <w:tblHeader/>
        </w:trPr>
        <w:tc>
          <w:tcPr>
            <w:tcW w:w="3775" w:type="dxa"/>
            <w:vMerge/>
          </w:tcPr>
          <w:p w:rsidRPr="00AE758F" w:rsidR="000E1816" w:rsidP="007936BF" w:rsidRDefault="000E1816" w14:paraId="44C5C32A" w14:textId="77777777">
            <w:pPr>
              <w:rPr>
                <w:b/>
                <w:sz w:val="20"/>
                <w:szCs w:val="20"/>
              </w:rPr>
            </w:pPr>
          </w:p>
        </w:tc>
        <w:tc>
          <w:tcPr>
            <w:tcW w:w="1800" w:type="dxa"/>
          </w:tcPr>
          <w:p w:rsidRPr="00AE758F" w:rsidR="000E1816" w:rsidP="007936BF" w:rsidRDefault="000E1816" w14:paraId="71DCE9A9" w14:textId="4417F261">
            <w:pPr>
              <w:jc w:val="center"/>
              <w:rPr>
                <w:b/>
                <w:sz w:val="20"/>
                <w:szCs w:val="20"/>
              </w:rPr>
            </w:pPr>
            <w:r w:rsidRPr="00AE758F">
              <w:rPr>
                <w:b/>
                <w:sz w:val="20"/>
                <w:szCs w:val="20"/>
              </w:rPr>
              <w:t>Industry</w:t>
            </w:r>
          </w:p>
        </w:tc>
        <w:tc>
          <w:tcPr>
            <w:tcW w:w="1800" w:type="dxa"/>
          </w:tcPr>
          <w:p w:rsidRPr="00AE758F" w:rsidR="000E1816" w:rsidP="007936BF" w:rsidRDefault="000E1816" w14:paraId="42FCFC91" w14:textId="60403530">
            <w:pPr>
              <w:jc w:val="center"/>
              <w:rPr>
                <w:b/>
                <w:sz w:val="20"/>
                <w:szCs w:val="20"/>
              </w:rPr>
            </w:pPr>
            <w:r w:rsidRPr="00AE758F">
              <w:rPr>
                <w:b/>
                <w:sz w:val="20"/>
                <w:szCs w:val="20"/>
              </w:rPr>
              <w:t>NRC</w:t>
            </w:r>
          </w:p>
        </w:tc>
        <w:tc>
          <w:tcPr>
            <w:tcW w:w="1975" w:type="dxa"/>
          </w:tcPr>
          <w:p w:rsidRPr="00AE758F" w:rsidR="000E1816" w:rsidP="007936BF" w:rsidRDefault="00396945" w14:paraId="7E723065" w14:textId="3F33DAD8">
            <w:pPr>
              <w:jc w:val="center"/>
              <w:rPr>
                <w:b/>
                <w:sz w:val="20"/>
                <w:szCs w:val="20"/>
              </w:rPr>
            </w:pPr>
            <w:r>
              <w:rPr>
                <w:b/>
                <w:sz w:val="20"/>
                <w:szCs w:val="20"/>
              </w:rPr>
              <w:t>Net</w:t>
            </w:r>
          </w:p>
        </w:tc>
      </w:tr>
      <w:tr w:rsidRPr="00AE758F" w:rsidR="008F1397" w:rsidTr="00D7380B" w14:paraId="51B494D2" w14:textId="77777777">
        <w:tc>
          <w:tcPr>
            <w:tcW w:w="3775" w:type="dxa"/>
            <w:tcBorders>
              <w:top w:val="single" w:color="auto" w:sz="4" w:space="0"/>
              <w:left w:val="single" w:color="auto" w:sz="4" w:space="0"/>
              <w:bottom w:val="single" w:color="auto" w:sz="4" w:space="0"/>
              <w:right w:val="single" w:color="auto" w:sz="4" w:space="0"/>
            </w:tcBorders>
            <w:shd w:val="clear" w:color="auto" w:fill="auto"/>
            <w:vAlign w:val="center"/>
          </w:tcPr>
          <w:p w:rsidRPr="00AE758F" w:rsidR="008F1397" w:rsidP="007936BF" w:rsidRDefault="00B167CE" w14:paraId="083D397D" w14:textId="74367FE7">
            <w:pPr>
              <w:rPr>
                <w:sz w:val="20"/>
                <w:szCs w:val="20"/>
              </w:rPr>
            </w:pPr>
            <w:r>
              <w:rPr>
                <w:color w:val="000000"/>
                <w:sz w:val="20"/>
                <w:szCs w:val="20"/>
              </w:rPr>
              <w:t>Alternative</w:t>
            </w:r>
            <w:r w:rsidRPr="00AE758F">
              <w:rPr>
                <w:color w:val="000000"/>
                <w:sz w:val="20"/>
                <w:szCs w:val="20"/>
              </w:rPr>
              <w:t xml:space="preserve"> </w:t>
            </w:r>
            <w:r w:rsidRPr="00AE758F" w:rsidR="008F1397">
              <w:rPr>
                <w:color w:val="000000"/>
                <w:sz w:val="20"/>
                <w:szCs w:val="20"/>
              </w:rPr>
              <w:t>Requests Averted by Rulemaking</w:t>
            </w:r>
          </w:p>
        </w:tc>
        <w:tc>
          <w:tcPr>
            <w:tcW w:w="1800" w:type="dxa"/>
            <w:tcBorders>
              <w:top w:val="single" w:color="auto" w:sz="4" w:space="0"/>
              <w:left w:val="nil"/>
              <w:bottom w:val="single" w:color="auto" w:sz="4" w:space="0"/>
              <w:right w:val="single" w:color="auto" w:sz="4" w:space="0"/>
            </w:tcBorders>
            <w:shd w:val="clear" w:color="auto" w:fill="auto"/>
            <w:vAlign w:val="center"/>
          </w:tcPr>
          <w:p w:rsidRPr="00AE758F" w:rsidR="008F1397" w:rsidP="007936BF" w:rsidRDefault="008F1397" w14:paraId="2FD328FB" w14:textId="188F72B6">
            <w:pPr>
              <w:jc w:val="center"/>
              <w:rPr>
                <w:sz w:val="20"/>
                <w:szCs w:val="20"/>
              </w:rPr>
            </w:pPr>
            <w:r w:rsidRPr="00AE758F">
              <w:rPr>
                <w:color w:val="000000"/>
                <w:sz w:val="20"/>
                <w:szCs w:val="20"/>
              </w:rPr>
              <w:t>$1,</w:t>
            </w:r>
            <w:r w:rsidR="00504CB5">
              <w:rPr>
                <w:color w:val="000000"/>
                <w:sz w:val="20"/>
                <w:szCs w:val="20"/>
              </w:rPr>
              <w:t>83</w:t>
            </w:r>
            <w:r w:rsidRPr="00AE758F">
              <w:rPr>
                <w:color w:val="000000"/>
                <w:sz w:val="20"/>
                <w:szCs w:val="20"/>
              </w:rPr>
              <w:t>0,000</w:t>
            </w:r>
          </w:p>
        </w:tc>
        <w:tc>
          <w:tcPr>
            <w:tcW w:w="1800" w:type="dxa"/>
            <w:tcBorders>
              <w:top w:val="single" w:color="auto" w:sz="4" w:space="0"/>
              <w:left w:val="nil"/>
              <w:bottom w:val="single" w:color="auto" w:sz="4" w:space="0"/>
              <w:right w:val="single" w:color="auto" w:sz="4" w:space="0"/>
            </w:tcBorders>
            <w:shd w:val="clear" w:color="auto" w:fill="auto"/>
            <w:vAlign w:val="center"/>
          </w:tcPr>
          <w:p w:rsidRPr="00AE758F" w:rsidR="008F1397" w:rsidP="007936BF" w:rsidRDefault="008F1397" w14:paraId="52D80457" w14:textId="260A88A6">
            <w:pPr>
              <w:jc w:val="center"/>
              <w:rPr>
                <w:sz w:val="20"/>
                <w:szCs w:val="20"/>
              </w:rPr>
            </w:pPr>
            <w:r w:rsidRPr="00AE758F">
              <w:rPr>
                <w:color w:val="000000"/>
                <w:sz w:val="20"/>
                <w:szCs w:val="20"/>
              </w:rPr>
              <w:t>$</w:t>
            </w:r>
            <w:r w:rsidR="00504CB5">
              <w:rPr>
                <w:color w:val="000000"/>
                <w:sz w:val="20"/>
                <w:szCs w:val="20"/>
              </w:rPr>
              <w:t>9</w:t>
            </w:r>
            <w:r w:rsidRPr="00AE758F">
              <w:rPr>
                <w:color w:val="000000"/>
                <w:sz w:val="20"/>
                <w:szCs w:val="20"/>
              </w:rPr>
              <w:t>10,000</w:t>
            </w:r>
          </w:p>
        </w:tc>
        <w:tc>
          <w:tcPr>
            <w:tcW w:w="1975" w:type="dxa"/>
            <w:tcBorders>
              <w:top w:val="single" w:color="auto" w:sz="4" w:space="0"/>
              <w:left w:val="nil"/>
              <w:bottom w:val="single" w:color="auto" w:sz="4" w:space="0"/>
              <w:right w:val="single" w:color="auto" w:sz="4" w:space="0"/>
            </w:tcBorders>
            <w:shd w:val="clear" w:color="auto" w:fill="auto"/>
            <w:vAlign w:val="center"/>
          </w:tcPr>
          <w:p w:rsidRPr="00AE758F" w:rsidR="008F1397" w:rsidP="007936BF" w:rsidRDefault="008F1397" w14:paraId="442B71AB" w14:textId="1CFA6B7D">
            <w:pPr>
              <w:jc w:val="center"/>
              <w:rPr>
                <w:sz w:val="20"/>
                <w:szCs w:val="20"/>
              </w:rPr>
            </w:pPr>
            <w:r w:rsidRPr="00AE758F">
              <w:rPr>
                <w:color w:val="000000"/>
                <w:sz w:val="20"/>
                <w:szCs w:val="20"/>
              </w:rPr>
              <w:t>$2,</w:t>
            </w:r>
            <w:r w:rsidR="00504CB5">
              <w:rPr>
                <w:color w:val="000000"/>
                <w:sz w:val="20"/>
                <w:szCs w:val="20"/>
              </w:rPr>
              <w:t>74</w:t>
            </w:r>
            <w:r w:rsidRPr="00AE758F">
              <w:rPr>
                <w:color w:val="000000"/>
                <w:sz w:val="20"/>
                <w:szCs w:val="20"/>
              </w:rPr>
              <w:t>0,000</w:t>
            </w:r>
          </w:p>
        </w:tc>
      </w:tr>
      <w:tr w:rsidRPr="00AE758F" w:rsidR="008F1397" w:rsidTr="00D7380B" w14:paraId="5DA45FD3" w14:textId="77777777">
        <w:tc>
          <w:tcPr>
            <w:tcW w:w="3775" w:type="dxa"/>
            <w:tcBorders>
              <w:top w:val="nil"/>
              <w:left w:val="single" w:color="auto" w:sz="4" w:space="0"/>
              <w:bottom w:val="single" w:color="auto" w:sz="4" w:space="0"/>
              <w:right w:val="single" w:color="auto" w:sz="4" w:space="0"/>
            </w:tcBorders>
            <w:shd w:val="clear" w:color="auto" w:fill="auto"/>
            <w:vAlign w:val="bottom"/>
          </w:tcPr>
          <w:p w:rsidRPr="00AE758F" w:rsidR="008F1397" w:rsidP="007936BF" w:rsidRDefault="008F1397" w14:paraId="11AC3787" w14:textId="58DDF278">
            <w:pPr>
              <w:rPr>
                <w:sz w:val="20"/>
                <w:szCs w:val="20"/>
              </w:rPr>
            </w:pPr>
            <w:r w:rsidRPr="00AE758F">
              <w:rPr>
                <w:color w:val="000000"/>
                <w:sz w:val="20"/>
                <w:szCs w:val="20"/>
              </w:rPr>
              <w:t>Reduced Training for Level I and II Certifications</w:t>
            </w:r>
          </w:p>
        </w:tc>
        <w:tc>
          <w:tcPr>
            <w:tcW w:w="1800"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16DAFFED" w14:textId="347DF085">
            <w:pPr>
              <w:jc w:val="center"/>
              <w:rPr>
                <w:color w:val="000000"/>
                <w:sz w:val="20"/>
                <w:szCs w:val="20"/>
              </w:rPr>
            </w:pPr>
            <w:r w:rsidRPr="00AE758F">
              <w:rPr>
                <w:color w:val="000000"/>
                <w:sz w:val="20"/>
                <w:szCs w:val="20"/>
              </w:rPr>
              <w:t>$4,</w:t>
            </w:r>
            <w:r w:rsidR="00504CB5">
              <w:rPr>
                <w:color w:val="000000"/>
                <w:sz w:val="20"/>
                <w:szCs w:val="20"/>
              </w:rPr>
              <w:t>54</w:t>
            </w:r>
            <w:r w:rsidRPr="00AE758F">
              <w:rPr>
                <w:color w:val="000000"/>
                <w:sz w:val="20"/>
                <w:szCs w:val="20"/>
              </w:rPr>
              <w:t>0,000</w:t>
            </w:r>
          </w:p>
        </w:tc>
        <w:tc>
          <w:tcPr>
            <w:tcW w:w="1800"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6A98DE51" w14:textId="557625C8">
            <w:pPr>
              <w:jc w:val="center"/>
              <w:rPr>
                <w:color w:val="000000"/>
                <w:sz w:val="20"/>
                <w:szCs w:val="20"/>
              </w:rPr>
            </w:pPr>
            <w:r w:rsidRPr="00AE758F">
              <w:rPr>
                <w:color w:val="000000"/>
                <w:sz w:val="20"/>
                <w:szCs w:val="20"/>
              </w:rPr>
              <w:t>$0</w:t>
            </w:r>
          </w:p>
        </w:tc>
        <w:tc>
          <w:tcPr>
            <w:tcW w:w="1975"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0595C49D" w14:textId="478AE235">
            <w:pPr>
              <w:jc w:val="center"/>
              <w:rPr>
                <w:color w:val="000000"/>
                <w:sz w:val="20"/>
                <w:szCs w:val="20"/>
              </w:rPr>
            </w:pPr>
            <w:r w:rsidRPr="00AE758F">
              <w:rPr>
                <w:color w:val="000000"/>
                <w:sz w:val="20"/>
                <w:szCs w:val="20"/>
              </w:rPr>
              <w:t>$4,</w:t>
            </w:r>
            <w:r w:rsidR="00B309D0">
              <w:rPr>
                <w:color w:val="000000"/>
                <w:sz w:val="20"/>
                <w:szCs w:val="20"/>
              </w:rPr>
              <w:t>54</w:t>
            </w:r>
            <w:r w:rsidRPr="00AE758F">
              <w:rPr>
                <w:color w:val="000000"/>
                <w:sz w:val="20"/>
                <w:szCs w:val="20"/>
              </w:rPr>
              <w:t>0,000</w:t>
            </w:r>
          </w:p>
        </w:tc>
      </w:tr>
      <w:tr w:rsidRPr="00AE758F" w:rsidR="008F1397" w:rsidTr="00D7380B" w14:paraId="201261C4" w14:textId="77777777">
        <w:tc>
          <w:tcPr>
            <w:tcW w:w="3775" w:type="dxa"/>
            <w:tcBorders>
              <w:top w:val="nil"/>
              <w:left w:val="single" w:color="auto" w:sz="4" w:space="0"/>
              <w:bottom w:val="single" w:color="auto" w:sz="4" w:space="0"/>
              <w:right w:val="single" w:color="auto" w:sz="4" w:space="0"/>
            </w:tcBorders>
            <w:shd w:val="clear" w:color="auto" w:fill="auto"/>
            <w:vAlign w:val="bottom"/>
          </w:tcPr>
          <w:p w:rsidRPr="00AE758F" w:rsidR="008F1397" w:rsidP="007936BF" w:rsidRDefault="008F1397" w14:paraId="417D3E9F" w14:textId="4866E911">
            <w:pPr>
              <w:rPr>
                <w:sz w:val="20"/>
                <w:szCs w:val="20"/>
              </w:rPr>
            </w:pPr>
            <w:r w:rsidRPr="00AE758F">
              <w:rPr>
                <w:color w:val="000000"/>
                <w:sz w:val="20"/>
                <w:szCs w:val="20"/>
              </w:rPr>
              <w:t>Loss of Material Rates Measured at Alternative Locations</w:t>
            </w:r>
          </w:p>
        </w:tc>
        <w:tc>
          <w:tcPr>
            <w:tcW w:w="1800"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7CD824C4" w14:textId="2CD954B4">
            <w:pPr>
              <w:jc w:val="center"/>
              <w:rPr>
                <w:color w:val="000000"/>
                <w:sz w:val="20"/>
                <w:szCs w:val="20"/>
              </w:rPr>
            </w:pPr>
            <w:r w:rsidRPr="00AE758F">
              <w:rPr>
                <w:color w:val="000000"/>
                <w:sz w:val="20"/>
                <w:szCs w:val="20"/>
              </w:rPr>
              <w:t>$</w:t>
            </w:r>
            <w:r w:rsidR="00B309D0">
              <w:rPr>
                <w:color w:val="000000"/>
                <w:sz w:val="20"/>
                <w:szCs w:val="20"/>
              </w:rPr>
              <w:t>52</w:t>
            </w:r>
            <w:r w:rsidRPr="00AE758F">
              <w:rPr>
                <w:color w:val="000000"/>
                <w:sz w:val="20"/>
                <w:szCs w:val="20"/>
              </w:rPr>
              <w:t>0,000</w:t>
            </w:r>
          </w:p>
        </w:tc>
        <w:tc>
          <w:tcPr>
            <w:tcW w:w="1800"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0B075D3B" w14:textId="09504D5E">
            <w:pPr>
              <w:jc w:val="center"/>
              <w:rPr>
                <w:color w:val="000000"/>
                <w:sz w:val="20"/>
                <w:szCs w:val="20"/>
              </w:rPr>
            </w:pPr>
            <w:r w:rsidRPr="00AE758F">
              <w:rPr>
                <w:color w:val="000000"/>
                <w:sz w:val="20"/>
                <w:szCs w:val="20"/>
              </w:rPr>
              <w:t>$0</w:t>
            </w:r>
          </w:p>
        </w:tc>
        <w:tc>
          <w:tcPr>
            <w:tcW w:w="1975" w:type="dxa"/>
            <w:tcBorders>
              <w:top w:val="nil"/>
              <w:left w:val="nil"/>
              <w:bottom w:val="single" w:color="auto" w:sz="4" w:space="0"/>
              <w:right w:val="single" w:color="auto" w:sz="4" w:space="0"/>
            </w:tcBorders>
            <w:shd w:val="clear" w:color="auto" w:fill="auto"/>
            <w:vAlign w:val="center"/>
          </w:tcPr>
          <w:p w:rsidRPr="00AE758F" w:rsidR="008F1397" w:rsidP="007936BF" w:rsidRDefault="008F1397" w14:paraId="349054CF" w14:textId="5DE6C061">
            <w:pPr>
              <w:jc w:val="center"/>
              <w:rPr>
                <w:color w:val="000000"/>
                <w:sz w:val="20"/>
                <w:szCs w:val="20"/>
              </w:rPr>
            </w:pPr>
            <w:r w:rsidRPr="00AE758F">
              <w:rPr>
                <w:color w:val="000000"/>
                <w:sz w:val="20"/>
                <w:szCs w:val="20"/>
              </w:rPr>
              <w:t>$</w:t>
            </w:r>
            <w:r w:rsidR="00B309D0">
              <w:rPr>
                <w:color w:val="000000"/>
                <w:sz w:val="20"/>
                <w:szCs w:val="20"/>
              </w:rPr>
              <w:t>52</w:t>
            </w:r>
            <w:r w:rsidRPr="00AE758F">
              <w:rPr>
                <w:color w:val="000000"/>
                <w:sz w:val="20"/>
                <w:szCs w:val="20"/>
              </w:rPr>
              <w:t>0,000</w:t>
            </w:r>
          </w:p>
        </w:tc>
      </w:tr>
      <w:tr w:rsidRPr="00AE758F" w:rsidR="00256D24" w:rsidTr="00D7380B" w14:paraId="1FAE0305" w14:textId="77777777">
        <w:tc>
          <w:tcPr>
            <w:tcW w:w="3775" w:type="dxa"/>
            <w:tcBorders>
              <w:top w:val="nil"/>
              <w:left w:val="single" w:color="auto" w:sz="4" w:space="0"/>
              <w:bottom w:val="single" w:color="auto" w:sz="4" w:space="0"/>
              <w:right w:val="single" w:color="auto" w:sz="4" w:space="0"/>
            </w:tcBorders>
            <w:shd w:val="clear" w:color="auto" w:fill="auto"/>
            <w:vAlign w:val="bottom"/>
          </w:tcPr>
          <w:p w:rsidRPr="009E68AA" w:rsidR="00256D24" w:rsidP="00B83C99" w:rsidRDefault="009B28E9" w14:paraId="529F9EA8" w14:textId="6ECF3D59">
            <w:pPr>
              <w:rPr>
                <w:color w:val="000000"/>
                <w:sz w:val="20"/>
                <w:szCs w:val="20"/>
              </w:rPr>
            </w:pPr>
            <w:r>
              <w:rPr>
                <w:color w:val="000000"/>
                <w:sz w:val="20"/>
                <w:szCs w:val="20"/>
              </w:rPr>
              <w:t>Reduced Frequency</w:t>
            </w:r>
            <w:r w:rsidRPr="009E68AA" w:rsidR="00256D24">
              <w:rPr>
                <w:color w:val="000000"/>
                <w:sz w:val="20"/>
                <w:szCs w:val="20"/>
              </w:rPr>
              <w:t xml:space="preserve"> </w:t>
            </w:r>
            <w:r w:rsidR="00B83C99">
              <w:rPr>
                <w:color w:val="000000"/>
                <w:sz w:val="20"/>
                <w:szCs w:val="20"/>
              </w:rPr>
              <w:t>T</w:t>
            </w:r>
            <w:r w:rsidRPr="009E68AA" w:rsidR="00256D24">
              <w:rPr>
                <w:color w:val="000000"/>
                <w:sz w:val="20"/>
                <w:szCs w:val="20"/>
              </w:rPr>
              <w:t xml:space="preserve">esting of </w:t>
            </w:r>
            <w:r w:rsidR="00B83C99">
              <w:rPr>
                <w:color w:val="000000"/>
                <w:sz w:val="20"/>
                <w:szCs w:val="20"/>
              </w:rPr>
              <w:t>V</w:t>
            </w:r>
            <w:r w:rsidRPr="009E68AA" w:rsidR="00256D24">
              <w:rPr>
                <w:color w:val="000000"/>
                <w:sz w:val="20"/>
                <w:szCs w:val="20"/>
              </w:rPr>
              <w:t>alves under ISTC-3700</w:t>
            </w:r>
          </w:p>
        </w:tc>
        <w:tc>
          <w:tcPr>
            <w:tcW w:w="1800" w:type="dxa"/>
            <w:tcBorders>
              <w:top w:val="nil"/>
              <w:left w:val="nil"/>
              <w:bottom w:val="single" w:color="auto" w:sz="4" w:space="0"/>
              <w:right w:val="single" w:color="auto" w:sz="4" w:space="0"/>
            </w:tcBorders>
            <w:shd w:val="clear" w:color="auto" w:fill="auto"/>
            <w:vAlign w:val="center"/>
          </w:tcPr>
          <w:p w:rsidRPr="009E68AA" w:rsidR="00256D24" w:rsidP="00256D24" w:rsidRDefault="00D77940" w14:paraId="5096842C" w14:textId="7FC73879">
            <w:pPr>
              <w:jc w:val="center"/>
              <w:rPr>
                <w:color w:val="000000"/>
                <w:sz w:val="20"/>
                <w:szCs w:val="20"/>
              </w:rPr>
            </w:pPr>
            <w:r w:rsidRPr="009E68AA">
              <w:rPr>
                <w:color w:val="000000"/>
                <w:sz w:val="20"/>
                <w:szCs w:val="20"/>
              </w:rPr>
              <w:t>$</w:t>
            </w:r>
            <w:r w:rsidR="009B28E9">
              <w:rPr>
                <w:color w:val="000000"/>
                <w:sz w:val="20"/>
                <w:szCs w:val="20"/>
              </w:rPr>
              <w:t>3,790</w:t>
            </w:r>
            <w:r w:rsidRPr="009E68AA">
              <w:rPr>
                <w:color w:val="000000"/>
                <w:sz w:val="20"/>
                <w:szCs w:val="20"/>
              </w:rPr>
              <w:t>,000</w:t>
            </w:r>
          </w:p>
        </w:tc>
        <w:tc>
          <w:tcPr>
            <w:tcW w:w="1800" w:type="dxa"/>
            <w:tcBorders>
              <w:top w:val="nil"/>
              <w:left w:val="nil"/>
              <w:bottom w:val="single" w:color="auto" w:sz="4" w:space="0"/>
              <w:right w:val="single" w:color="auto" w:sz="4" w:space="0"/>
            </w:tcBorders>
            <w:shd w:val="clear" w:color="auto" w:fill="auto"/>
            <w:vAlign w:val="center"/>
          </w:tcPr>
          <w:p w:rsidRPr="009E68AA" w:rsidR="00256D24" w:rsidP="00256D24" w:rsidRDefault="00D77940" w14:paraId="39597077" w14:textId="7B1457DE">
            <w:pPr>
              <w:jc w:val="center"/>
              <w:rPr>
                <w:color w:val="000000"/>
                <w:sz w:val="20"/>
                <w:szCs w:val="20"/>
              </w:rPr>
            </w:pPr>
            <w:r w:rsidRPr="009E68AA">
              <w:rPr>
                <w:color w:val="000000"/>
                <w:sz w:val="20"/>
                <w:szCs w:val="20"/>
              </w:rPr>
              <w:t>$0</w:t>
            </w:r>
          </w:p>
        </w:tc>
        <w:tc>
          <w:tcPr>
            <w:tcW w:w="1975" w:type="dxa"/>
            <w:tcBorders>
              <w:top w:val="nil"/>
              <w:left w:val="nil"/>
              <w:bottom w:val="single" w:color="auto" w:sz="4" w:space="0"/>
              <w:right w:val="single" w:color="auto" w:sz="4" w:space="0"/>
            </w:tcBorders>
            <w:shd w:val="clear" w:color="auto" w:fill="auto"/>
            <w:vAlign w:val="center"/>
          </w:tcPr>
          <w:p w:rsidRPr="009E68AA" w:rsidR="00256D24" w:rsidP="00256D24" w:rsidRDefault="00D77940" w14:paraId="373C4EF6" w14:textId="602C0B37">
            <w:pPr>
              <w:jc w:val="center"/>
              <w:rPr>
                <w:color w:val="000000"/>
                <w:sz w:val="20"/>
                <w:szCs w:val="20"/>
              </w:rPr>
            </w:pPr>
            <w:r w:rsidRPr="009E68AA">
              <w:rPr>
                <w:color w:val="000000"/>
                <w:sz w:val="20"/>
                <w:szCs w:val="20"/>
              </w:rPr>
              <w:t>$</w:t>
            </w:r>
            <w:r w:rsidR="00C00F46">
              <w:rPr>
                <w:color w:val="000000"/>
                <w:sz w:val="20"/>
                <w:szCs w:val="20"/>
              </w:rPr>
              <w:t>3,79</w:t>
            </w:r>
            <w:r w:rsidR="00340170">
              <w:rPr>
                <w:color w:val="000000"/>
                <w:sz w:val="20"/>
                <w:szCs w:val="20"/>
              </w:rPr>
              <w:t>0</w:t>
            </w:r>
            <w:r w:rsidRPr="009E68AA">
              <w:rPr>
                <w:color w:val="000000"/>
                <w:sz w:val="20"/>
                <w:szCs w:val="20"/>
              </w:rPr>
              <w:t>,000</w:t>
            </w:r>
          </w:p>
        </w:tc>
      </w:tr>
      <w:tr w:rsidRPr="00AE758F" w:rsidR="00256D24" w:rsidTr="00D7380B" w14:paraId="233EEC59" w14:textId="77777777">
        <w:tc>
          <w:tcPr>
            <w:tcW w:w="3775" w:type="dxa"/>
            <w:tcBorders>
              <w:top w:val="nil"/>
              <w:left w:val="single" w:color="auto" w:sz="4" w:space="0"/>
              <w:bottom w:val="single" w:color="auto" w:sz="4" w:space="0"/>
              <w:right w:val="single" w:color="auto" w:sz="4" w:space="0"/>
            </w:tcBorders>
            <w:shd w:val="clear" w:color="auto" w:fill="auto"/>
            <w:vAlign w:val="center"/>
          </w:tcPr>
          <w:p w:rsidRPr="00AE758F" w:rsidR="00256D24" w:rsidP="00256D24" w:rsidRDefault="00256D24" w14:paraId="1B1E8BDB" w14:textId="516AEBC0">
            <w:pPr>
              <w:rPr>
                <w:sz w:val="20"/>
                <w:szCs w:val="20"/>
              </w:rPr>
            </w:pPr>
            <w:r w:rsidRPr="00AE758F">
              <w:rPr>
                <w:color w:val="000000"/>
                <w:sz w:val="20"/>
                <w:szCs w:val="20"/>
              </w:rPr>
              <w:t>All Other Conditions to 10 CFR 50.55a in This Rulemaking</w:t>
            </w:r>
          </w:p>
        </w:tc>
        <w:tc>
          <w:tcPr>
            <w:tcW w:w="1800" w:type="dxa"/>
            <w:tcBorders>
              <w:top w:val="nil"/>
              <w:left w:val="nil"/>
              <w:bottom w:val="single" w:color="auto" w:sz="4" w:space="0"/>
              <w:right w:val="single" w:color="auto" w:sz="4" w:space="0"/>
            </w:tcBorders>
            <w:shd w:val="clear" w:color="auto" w:fill="auto"/>
            <w:vAlign w:val="center"/>
          </w:tcPr>
          <w:p w:rsidRPr="00AE758F" w:rsidR="00256D24" w:rsidP="00256D24" w:rsidRDefault="00256D24" w14:paraId="7DE81198" w14:textId="2FAFF98C">
            <w:pPr>
              <w:jc w:val="center"/>
              <w:rPr>
                <w:color w:val="000000"/>
                <w:sz w:val="20"/>
                <w:szCs w:val="20"/>
              </w:rPr>
            </w:pPr>
            <w:r w:rsidRPr="00AE758F">
              <w:rPr>
                <w:color w:val="000000"/>
                <w:sz w:val="20"/>
                <w:szCs w:val="20"/>
              </w:rPr>
              <w:t>$0</w:t>
            </w:r>
          </w:p>
        </w:tc>
        <w:tc>
          <w:tcPr>
            <w:tcW w:w="1800" w:type="dxa"/>
            <w:tcBorders>
              <w:top w:val="nil"/>
              <w:left w:val="nil"/>
              <w:bottom w:val="single" w:color="auto" w:sz="4" w:space="0"/>
              <w:right w:val="single" w:color="auto" w:sz="4" w:space="0"/>
            </w:tcBorders>
            <w:shd w:val="clear" w:color="auto" w:fill="auto"/>
            <w:vAlign w:val="center"/>
          </w:tcPr>
          <w:p w:rsidRPr="00AE758F" w:rsidR="00256D24" w:rsidP="00256D24" w:rsidRDefault="00256D24" w14:paraId="4AF7E788" w14:textId="0D054CD9">
            <w:pPr>
              <w:jc w:val="center"/>
              <w:rPr>
                <w:color w:val="000000"/>
                <w:sz w:val="20"/>
                <w:szCs w:val="20"/>
              </w:rPr>
            </w:pPr>
            <w:r w:rsidRPr="00AE758F">
              <w:rPr>
                <w:color w:val="000000"/>
                <w:sz w:val="20"/>
                <w:szCs w:val="20"/>
              </w:rPr>
              <w:t>$0</w:t>
            </w:r>
          </w:p>
        </w:tc>
        <w:tc>
          <w:tcPr>
            <w:tcW w:w="1975" w:type="dxa"/>
            <w:tcBorders>
              <w:top w:val="nil"/>
              <w:left w:val="nil"/>
              <w:bottom w:val="single" w:color="auto" w:sz="4" w:space="0"/>
              <w:right w:val="single" w:color="auto" w:sz="4" w:space="0"/>
            </w:tcBorders>
            <w:shd w:val="clear" w:color="auto" w:fill="auto"/>
            <w:vAlign w:val="center"/>
          </w:tcPr>
          <w:p w:rsidRPr="00AE758F" w:rsidR="00256D24" w:rsidP="00256D24" w:rsidRDefault="00256D24" w14:paraId="237A3B3A" w14:textId="1F61E445">
            <w:pPr>
              <w:jc w:val="center"/>
              <w:rPr>
                <w:color w:val="000000"/>
                <w:sz w:val="20"/>
                <w:szCs w:val="20"/>
              </w:rPr>
            </w:pPr>
            <w:r w:rsidRPr="00AE758F">
              <w:rPr>
                <w:color w:val="000000"/>
                <w:sz w:val="20"/>
                <w:szCs w:val="20"/>
              </w:rPr>
              <w:t>$0</w:t>
            </w:r>
          </w:p>
        </w:tc>
      </w:tr>
    </w:tbl>
    <w:p w:rsidRPr="00AE758F" w:rsidR="00C8101A" w:rsidP="007936BF" w:rsidRDefault="00C8101A" w14:paraId="28E891B9" w14:textId="77777777">
      <w:pPr>
        <w:spacing w:line="240" w:lineRule="auto"/>
      </w:pPr>
    </w:p>
    <w:p w:rsidRPr="00AE758F" w:rsidR="00C8101A" w:rsidP="00382B4A" w:rsidRDefault="00C8101A" w14:paraId="7D2B30FB" w14:textId="57BFE8FA">
      <w:pPr>
        <w:pStyle w:val="Heading2"/>
        <w:tabs>
          <w:tab w:val="left" w:pos="540"/>
        </w:tabs>
        <w:spacing w:line="240" w:lineRule="auto"/>
        <w:ind w:left="450" w:hanging="450"/>
      </w:pPr>
      <w:bookmarkStart w:name="_Toc457827366" w:id="368"/>
      <w:bookmarkStart w:name="_Toc521577261" w:id="369"/>
      <w:bookmarkStart w:name="_Toc7512444" w:id="370"/>
      <w:bookmarkStart w:name="_Toc81309140" w:id="371"/>
      <w:r w:rsidRPr="00AE758F">
        <w:t>5.15</w:t>
      </w:r>
      <w:r w:rsidRPr="00AE758F" w:rsidR="00FF5B60">
        <w:tab/>
      </w:r>
      <w:r w:rsidRPr="00AE758F">
        <w:tab/>
        <w:t>Summary</w:t>
      </w:r>
      <w:bookmarkEnd w:id="364"/>
      <w:bookmarkEnd w:id="368"/>
      <w:bookmarkEnd w:id="369"/>
      <w:bookmarkEnd w:id="370"/>
      <w:bookmarkEnd w:id="371"/>
    </w:p>
    <w:p w:rsidRPr="00AE758F" w:rsidR="00C8101A" w:rsidP="007936BF" w:rsidRDefault="00C8101A" w14:paraId="7D031806" w14:textId="77777777">
      <w:pPr>
        <w:keepNext/>
        <w:spacing w:line="240" w:lineRule="auto"/>
      </w:pPr>
    </w:p>
    <w:p w:rsidRPr="00AE758F" w:rsidR="00C8101A" w:rsidP="007936BF" w:rsidRDefault="00C8101A" w14:paraId="7ABD8E58" w14:textId="1C44F115">
      <w:pPr>
        <w:spacing w:line="240" w:lineRule="auto"/>
      </w:pPr>
      <w:r w:rsidRPr="00AE758F">
        <w:t>This regulatory analysis identifie</w:t>
      </w:r>
      <w:r w:rsidR="006544AD">
        <w:t>s</w:t>
      </w:r>
      <w:r w:rsidRPr="00AE758F">
        <w:t xml:space="preserve"> both quantifiable and nonquantifiable costs and benefits that would result from incorporating </w:t>
      </w:r>
      <w:r w:rsidR="009B546A">
        <w:t xml:space="preserve">updated </w:t>
      </w:r>
      <w:r w:rsidRPr="00AE758F">
        <w:t>NRC</w:t>
      </w:r>
      <w:r w:rsidRPr="00AE758F" w:rsidR="00852AD9">
        <w:noBreakHyphen/>
      </w:r>
      <w:r w:rsidRPr="00AE758F">
        <w:t>approved ASME BPV and OM Code editions</w:t>
      </w:r>
      <w:r w:rsidR="00B6646E">
        <w:t xml:space="preserve"> and addenda</w:t>
      </w:r>
      <w:r w:rsidRPr="00AE758F">
        <w:t xml:space="preserve"> by reference into the</w:t>
      </w:r>
      <w:r w:rsidRPr="00AE758F">
        <w:rPr>
          <w:i/>
        </w:rPr>
        <w:t xml:space="preserve"> Code of Federal Regulations</w:t>
      </w:r>
      <w:r w:rsidRPr="00AE758F">
        <w:t xml:space="preserve">.  Although quantifiable costs and </w:t>
      </w:r>
      <w:r w:rsidRPr="00AE758F">
        <w:lastRenderedPageBreak/>
        <w:t xml:space="preserve">benefits appear more tangible, the staff urges decisionmakers not to </w:t>
      </w:r>
      <w:r w:rsidRPr="00AE758F" w:rsidR="000E1816">
        <w:t xml:space="preserve">disregard </w:t>
      </w:r>
      <w:r w:rsidR="0097648B">
        <w:t xml:space="preserve">nonquantifiable </w:t>
      </w:r>
      <w:r w:rsidRPr="00AE758F">
        <w:t xml:space="preserve">costs and benefits.  </w:t>
      </w:r>
      <w:r w:rsidR="0097648B">
        <w:t xml:space="preserve">The latter </w:t>
      </w:r>
      <w:r w:rsidRPr="00AE758F">
        <w:t>can be just as important</w:t>
      </w:r>
      <w:r w:rsidR="0097648B">
        <w:t xml:space="preserve"> as</w:t>
      </w:r>
      <w:r w:rsidRPr="00AE758F">
        <w:t>, or even more important</w:t>
      </w:r>
      <w:r w:rsidR="0097648B">
        <w:t xml:space="preserve"> than</w:t>
      </w:r>
      <w:r w:rsidRPr="00AE758F">
        <w:t xml:space="preserve">, costs </w:t>
      </w:r>
      <w:r w:rsidR="0097648B">
        <w:t xml:space="preserve">and benefits </w:t>
      </w:r>
      <w:r w:rsidRPr="00AE758F">
        <w:t>that can be quantified and monetized.</w:t>
      </w:r>
    </w:p>
    <w:p w:rsidRPr="00AE758F" w:rsidR="00C8101A" w:rsidP="007936BF" w:rsidRDefault="00C8101A" w14:paraId="550AC306" w14:textId="77777777">
      <w:pPr>
        <w:spacing w:line="240" w:lineRule="auto"/>
      </w:pPr>
    </w:p>
    <w:p w:rsidRPr="00AE758F" w:rsidR="00C8101A" w:rsidP="007936BF" w:rsidRDefault="00C8101A" w14:paraId="18E89D2A" w14:textId="77777777">
      <w:pPr>
        <w:pStyle w:val="Heading3"/>
        <w:keepLines/>
        <w:spacing w:line="240" w:lineRule="auto"/>
        <w:ind w:left="720" w:hanging="720"/>
      </w:pPr>
      <w:bookmarkStart w:name="_Ref393273932" w:id="372"/>
      <w:bookmarkStart w:name="_Toc456098354" w:id="373"/>
      <w:bookmarkStart w:name="_Toc457827367" w:id="374"/>
      <w:bookmarkStart w:name="_Toc521577262" w:id="375"/>
      <w:bookmarkStart w:name="_Toc7512445" w:id="376"/>
      <w:bookmarkStart w:name="_Toc81309141" w:id="377"/>
      <w:r w:rsidRPr="00AE758F">
        <w:t>5.15.1</w:t>
      </w:r>
      <w:r w:rsidRPr="00AE758F">
        <w:tab/>
        <w:t>Quantified Net Benefit</w:t>
      </w:r>
      <w:bookmarkEnd w:id="372"/>
      <w:bookmarkEnd w:id="373"/>
      <w:bookmarkEnd w:id="374"/>
      <w:bookmarkEnd w:id="375"/>
      <w:bookmarkEnd w:id="376"/>
      <w:bookmarkEnd w:id="377"/>
    </w:p>
    <w:p w:rsidRPr="00AE758F" w:rsidR="00974296" w:rsidP="007936BF" w:rsidRDefault="00974296" w14:paraId="22A0859B" w14:textId="77777777">
      <w:pPr>
        <w:spacing w:line="240" w:lineRule="auto"/>
      </w:pPr>
    </w:p>
    <w:p w:rsidRPr="00AE758F" w:rsidR="00C8101A" w:rsidP="007936BF" w:rsidRDefault="00C8101A" w14:paraId="343ABBD6" w14:textId="1F6114A3">
      <w:pPr>
        <w:spacing w:line="240" w:lineRule="auto"/>
      </w:pPr>
      <w:r w:rsidRPr="00AE758F">
        <w:t xml:space="preserve">As shown in </w:t>
      </w:r>
      <w:r w:rsidRPr="00AE758F">
        <w:fldChar w:fldCharType="begin"/>
      </w:r>
      <w:r w:rsidRPr="00AE758F">
        <w:instrText xml:space="preserve"> REF _Ref479172421 \h  \* MERGEFORMAT </w:instrText>
      </w:r>
      <w:r w:rsidRPr="00AE758F">
        <w:fldChar w:fldCharType="separate"/>
      </w:r>
      <w:r w:rsidRPr="006A41A8" w:rsidR="006A41A8">
        <w:t>Table</w:t>
      </w:r>
      <w:r w:rsidRPr="006A41A8" w:rsidR="006A41A8">
        <w:rPr>
          <w:b/>
          <w:bCs/>
        </w:rPr>
        <w:t xml:space="preserve"> </w:t>
      </w:r>
      <w:r w:rsidRPr="006A41A8" w:rsidR="006A41A8">
        <w:rPr>
          <w:bCs/>
          <w:noProof/>
        </w:rPr>
        <w:t>11</w:t>
      </w:r>
      <w:r w:rsidRPr="00AE758F">
        <w:fldChar w:fldCharType="end"/>
      </w:r>
      <w:r w:rsidRPr="00AE758F">
        <w:t xml:space="preserve">, the estimated quantified incremental averted costs for Alternative 2 relative to the regulatory baseline (Alternative 1) over the remaining term of the affected entities’ operating licenses </w:t>
      </w:r>
      <w:r w:rsidR="00D6646F">
        <w:t xml:space="preserve">are between </w:t>
      </w:r>
      <w:r w:rsidRPr="00AE758F">
        <w:t>approximately $</w:t>
      </w:r>
      <w:r w:rsidR="00B42277">
        <w:t>11.1</w:t>
      </w:r>
      <w:r w:rsidRPr="00AE758F">
        <w:t> million (7</w:t>
      </w:r>
      <w:r w:rsidRPr="00AE758F" w:rsidR="00852AD9">
        <w:noBreakHyphen/>
      </w:r>
      <w:r w:rsidRPr="00AE758F">
        <w:t xml:space="preserve">percent NPV) </w:t>
      </w:r>
      <w:r w:rsidR="00D6646F">
        <w:t xml:space="preserve">and </w:t>
      </w:r>
      <w:r w:rsidRPr="00AE758F">
        <w:t>$</w:t>
      </w:r>
      <w:r w:rsidR="00B42277">
        <w:t>12.0</w:t>
      </w:r>
      <w:r w:rsidRPr="00AE758F">
        <w:t> million (3</w:t>
      </w:r>
      <w:r w:rsidRPr="00AE758F" w:rsidR="00332860">
        <w:noBreakHyphen/>
      </w:r>
      <w:r w:rsidRPr="00AE758F">
        <w:t xml:space="preserve">percent NPV).  </w:t>
      </w:r>
      <w:r w:rsidRPr="00AE758F" w:rsidR="00E73146">
        <w:t xml:space="preserve">This table </w:t>
      </w:r>
      <w:r w:rsidRPr="00AE758F">
        <w:t>also shows that Alternative 2 would be cost</w:t>
      </w:r>
      <w:r w:rsidR="00C6729D">
        <w:noBreakHyphen/>
      </w:r>
      <w:r w:rsidRPr="00AE758F">
        <w:t xml:space="preserve">beneficial for </w:t>
      </w:r>
      <w:r w:rsidR="00C6729D">
        <w:t xml:space="preserve">both </w:t>
      </w:r>
      <w:r w:rsidRPr="00AE758F">
        <w:t>the NRC and the industry</w:t>
      </w:r>
      <w:r w:rsidR="00C6729D">
        <w:t>,</w:t>
      </w:r>
      <w:r w:rsidRPr="00AE758F">
        <w:t xml:space="preserve"> considered separately.</w:t>
      </w:r>
    </w:p>
    <w:p w:rsidRPr="00AE758F" w:rsidR="00C8101A" w:rsidP="007936BF" w:rsidRDefault="00C8101A" w14:paraId="4C44C753" w14:textId="362A3190">
      <w:pPr>
        <w:spacing w:line="240" w:lineRule="auto"/>
      </w:pPr>
    </w:p>
    <w:p w:rsidRPr="00AE758F" w:rsidR="00C8101A" w:rsidP="00382B4A" w:rsidRDefault="00C8101A" w14:paraId="059F990B" w14:textId="77777777">
      <w:pPr>
        <w:pStyle w:val="Heading3"/>
        <w:spacing w:line="240" w:lineRule="auto"/>
        <w:ind w:left="720" w:hanging="720"/>
      </w:pPr>
      <w:bookmarkStart w:name="_Ref386986522" w:id="378"/>
      <w:bookmarkStart w:name="_Toc456098355" w:id="379"/>
      <w:bookmarkStart w:name="_Toc457827368" w:id="380"/>
      <w:bookmarkStart w:name="_Toc521577263" w:id="381"/>
      <w:bookmarkStart w:name="_Toc7512446" w:id="382"/>
      <w:bookmarkStart w:name="_Toc81309142" w:id="383"/>
      <w:r w:rsidRPr="00AE758F">
        <w:t>5.15.2</w:t>
      </w:r>
      <w:r w:rsidRPr="00AE758F">
        <w:tab/>
      </w:r>
      <w:proofErr w:type="spellStart"/>
      <w:r w:rsidRPr="00AE758F">
        <w:t>Nonquantified</w:t>
      </w:r>
      <w:proofErr w:type="spellEnd"/>
      <w:r w:rsidRPr="00AE758F">
        <w:t xml:space="preserve"> Benefits</w:t>
      </w:r>
      <w:bookmarkEnd w:id="378"/>
      <w:bookmarkEnd w:id="379"/>
      <w:bookmarkEnd w:id="380"/>
      <w:bookmarkEnd w:id="381"/>
      <w:bookmarkEnd w:id="382"/>
      <w:bookmarkEnd w:id="383"/>
    </w:p>
    <w:p w:rsidRPr="00AE758F" w:rsidR="00C8101A" w:rsidP="007936BF" w:rsidRDefault="00C8101A" w14:paraId="56BEDEF6" w14:textId="77777777">
      <w:pPr>
        <w:spacing w:line="240" w:lineRule="auto"/>
      </w:pPr>
    </w:p>
    <w:p w:rsidRPr="00AE758F" w:rsidR="00C8101A" w:rsidP="007936BF" w:rsidRDefault="00C8101A" w14:paraId="737C6466" w14:textId="4A69238B">
      <w:pPr>
        <w:spacing w:line="240" w:lineRule="auto"/>
      </w:pPr>
      <w:r w:rsidRPr="00AE758F">
        <w:t xml:space="preserve">In addition to the quantified </w:t>
      </w:r>
      <w:r w:rsidR="00607212">
        <w:t xml:space="preserve">benefits </w:t>
      </w:r>
      <w:r w:rsidRPr="00AE758F">
        <w:t xml:space="preserve">discussed in this regulatory analysis, </w:t>
      </w:r>
      <w:r w:rsidR="00607212">
        <w:t xml:space="preserve">Alternative 2 would yield numerous </w:t>
      </w:r>
      <w:proofErr w:type="spellStart"/>
      <w:r w:rsidR="00607212">
        <w:t>nonquantified</w:t>
      </w:r>
      <w:proofErr w:type="spellEnd"/>
      <w:r w:rsidR="00607212">
        <w:t xml:space="preserve"> benefits for the industry and the NRC in relation to </w:t>
      </w:r>
      <w:r w:rsidRPr="00AE758F">
        <w:t>public health (accident), improvements in knowledge, regulatory efficiency, and other considerations.  The</w:t>
      </w:r>
      <w:r w:rsidRPr="00AE758F" w:rsidR="00852AD9">
        <w:t xml:space="preserve"> sections</w:t>
      </w:r>
      <w:r w:rsidRPr="00AE758F" w:rsidR="00C46279">
        <w:t xml:space="preserve"> below</w:t>
      </w:r>
      <w:r w:rsidRPr="00AE758F" w:rsidR="00852AD9">
        <w:t xml:space="preserve"> summarize thes</w:t>
      </w:r>
      <w:r w:rsidRPr="00AE758F">
        <w:t>e benefits.</w:t>
      </w:r>
    </w:p>
    <w:p w:rsidRPr="00AE758F" w:rsidR="00C8101A" w:rsidP="007936BF" w:rsidRDefault="00C8101A" w14:paraId="06247F84" w14:textId="77777777">
      <w:pPr>
        <w:spacing w:line="240" w:lineRule="auto"/>
      </w:pPr>
    </w:p>
    <w:p w:rsidRPr="00AE758F" w:rsidR="00C8101A" w:rsidP="007936BF" w:rsidRDefault="00C8101A" w14:paraId="413C9224" w14:textId="28366F13">
      <w:pPr>
        <w:pStyle w:val="Heading4"/>
        <w:spacing w:line="240" w:lineRule="auto"/>
        <w:ind w:left="900" w:hanging="900"/>
      </w:pPr>
      <w:bookmarkStart w:name="_Toc81309143" w:id="384"/>
      <w:r w:rsidRPr="00AE758F">
        <w:t>5.15.2.1</w:t>
      </w:r>
      <w:r w:rsidRPr="00AE758F">
        <w:tab/>
        <w:t>Advances in</w:t>
      </w:r>
      <w:r w:rsidRPr="00AE758F" w:rsidR="00EA72EB">
        <w:t xml:space="preserve"> </w:t>
      </w:r>
      <w:r w:rsidRPr="00AE758F">
        <w:t>Inservice Inspection and Inservice Testing</w:t>
      </w:r>
      <w:bookmarkEnd w:id="384"/>
    </w:p>
    <w:p w:rsidRPr="00AE758F" w:rsidR="00C8101A" w:rsidP="007936BF" w:rsidRDefault="00C8101A" w14:paraId="4BBF48D8" w14:textId="77777777">
      <w:pPr>
        <w:keepNext/>
        <w:spacing w:line="240" w:lineRule="auto"/>
      </w:pPr>
    </w:p>
    <w:p w:rsidRPr="00AE758F" w:rsidR="00C8101A" w:rsidP="007936BF" w:rsidRDefault="00C8101A" w14:paraId="045A512D" w14:textId="4C75FD9D">
      <w:pPr>
        <w:spacing w:line="240" w:lineRule="auto"/>
      </w:pPr>
      <w:r w:rsidRPr="00AE758F">
        <w:t xml:space="preserve">Advances in ISI and IST </w:t>
      </w:r>
      <w:r w:rsidR="00616DC0">
        <w:t xml:space="preserve">captured in the updated ASME Codes </w:t>
      </w:r>
      <w:r w:rsidRPr="00AE758F">
        <w:t xml:space="preserve">may incrementally decrease the likelihood of a radiological accident, the likelihood of </w:t>
      </w:r>
      <w:proofErr w:type="spellStart"/>
      <w:r w:rsidRPr="00AE758F">
        <w:t>postaccident</w:t>
      </w:r>
      <w:proofErr w:type="spellEnd"/>
      <w:r w:rsidRPr="00AE758F">
        <w:t xml:space="preserve"> plant worker exposure, and the level of plant worker radiological exposures during routine inspections </w:t>
      </w:r>
      <w:r w:rsidR="00740229">
        <w:t xml:space="preserve">and </w:t>
      </w:r>
      <w:r w:rsidRPr="00AE758F">
        <w:t xml:space="preserve">testing.  </w:t>
      </w:r>
      <w:r w:rsidR="00616DC0">
        <w:t xml:space="preserve">Alternative 2 </w:t>
      </w:r>
      <w:r w:rsidRPr="00AE758F">
        <w:t xml:space="preserve">may </w:t>
      </w:r>
      <w:r w:rsidR="00616DC0">
        <w:t xml:space="preserve">also </w:t>
      </w:r>
      <w:r w:rsidRPr="00AE758F">
        <w:t xml:space="preserve">contribute to plant safety by </w:t>
      </w:r>
      <w:r w:rsidR="00616DC0">
        <w:t xml:space="preserve">allowing for </w:t>
      </w:r>
      <w:r w:rsidR="005211A2">
        <w:t>improved</w:t>
      </w:r>
      <w:r w:rsidRPr="00AE758F" w:rsidR="005211A2">
        <w:t xml:space="preserve"> </w:t>
      </w:r>
      <w:r w:rsidRPr="00AE758F">
        <w:t>examination methods</w:t>
      </w:r>
      <w:r w:rsidR="00616DC0">
        <w:t>,</w:t>
      </w:r>
      <w:r w:rsidRPr="00AE758F">
        <w:t xml:space="preserve"> </w:t>
      </w:r>
      <w:r w:rsidR="00616DC0">
        <w:t xml:space="preserve">which </w:t>
      </w:r>
      <w:r w:rsidRPr="00AE758F">
        <w:t xml:space="preserve">may lead to the earlier identification of material degradation that, if undetected, could </w:t>
      </w:r>
      <w:r w:rsidR="00616DC0">
        <w:t xml:space="preserve">eventually </w:t>
      </w:r>
      <w:r w:rsidRPr="00AE758F">
        <w:t xml:space="preserve">cause a plant transient.  These </w:t>
      </w:r>
      <w:r w:rsidR="005211A2">
        <w:t>improved</w:t>
      </w:r>
      <w:r w:rsidRPr="00AE758F" w:rsidR="005211A2">
        <w:t xml:space="preserve"> </w:t>
      </w:r>
      <w:r w:rsidRPr="00AE758F">
        <w:t>methods may increase the assurance of plant safety</w:t>
      </w:r>
      <w:r w:rsidRPr="00AE758F" w:rsidR="00852AD9">
        <w:noBreakHyphen/>
      </w:r>
      <w:r w:rsidRPr="00AE758F">
        <w:t>system readiness and may prevent, through inspection and testing, the introduction of a new failure mode or common</w:t>
      </w:r>
      <w:r w:rsidRPr="00AE758F" w:rsidR="00852AD9">
        <w:noBreakHyphen/>
      </w:r>
      <w:r w:rsidRPr="00AE758F">
        <w:t>cause failure mode not previously evaluated.</w:t>
      </w:r>
    </w:p>
    <w:p w:rsidRPr="00AE758F" w:rsidR="00C8101A" w:rsidP="007936BF" w:rsidRDefault="00C8101A" w14:paraId="17E8E27F" w14:textId="77777777">
      <w:pPr>
        <w:spacing w:line="240" w:lineRule="auto"/>
      </w:pPr>
    </w:p>
    <w:p w:rsidRPr="00AE758F" w:rsidR="00C8101A" w:rsidP="007936BF" w:rsidRDefault="00C8101A" w14:paraId="5C45EFFC" w14:textId="47588D99">
      <w:pPr>
        <w:pStyle w:val="Heading4"/>
        <w:spacing w:line="240" w:lineRule="auto"/>
        <w:ind w:left="900" w:hanging="900"/>
      </w:pPr>
      <w:bookmarkStart w:name="_Toc81309144" w:id="385"/>
      <w:r w:rsidRPr="00AE758F">
        <w:t>5.15.2.2</w:t>
      </w:r>
      <w:r w:rsidRPr="00AE758F">
        <w:tab/>
        <w:t>Reduction in Public Radiation Exposures</w:t>
      </w:r>
      <w:bookmarkEnd w:id="385"/>
    </w:p>
    <w:p w:rsidRPr="00AE758F" w:rsidR="00C8101A" w:rsidP="007936BF" w:rsidRDefault="00C8101A" w14:paraId="02148C30" w14:textId="77777777">
      <w:pPr>
        <w:keepNext/>
        <w:spacing w:line="240" w:lineRule="auto"/>
      </w:pPr>
    </w:p>
    <w:p w:rsidRPr="00AE758F" w:rsidR="00C8101A" w:rsidP="007936BF" w:rsidRDefault="00C8101A" w14:paraId="6952C7A8" w14:textId="61A79815">
      <w:pPr>
        <w:spacing w:line="240" w:lineRule="auto"/>
      </w:pPr>
      <w:r w:rsidRPr="00AE758F">
        <w:t xml:space="preserve">The industry’s </w:t>
      </w:r>
      <w:r w:rsidR="00B3669E">
        <w:t xml:space="preserve">adoption of </w:t>
      </w:r>
      <w:r w:rsidRPr="00AE758F">
        <w:t xml:space="preserve">the ASME BPV and OM Code Cases incorporated by reference into </w:t>
      </w:r>
      <w:r w:rsidR="00B3669E">
        <w:t xml:space="preserve">NRC </w:t>
      </w:r>
      <w:r w:rsidRPr="00AE758F">
        <w:t>regulations may incrementally reduce the likelihood of a radiological accident</w:t>
      </w:r>
      <w:r w:rsidR="00B3669E">
        <w:t>,</w:t>
      </w:r>
      <w:r w:rsidRPr="00AE758F">
        <w:t xml:space="preserve"> </w:t>
      </w:r>
      <w:r w:rsidR="00B3669E">
        <w:t xml:space="preserve">although </w:t>
      </w:r>
      <w:r w:rsidRPr="00AE758F">
        <w:t xml:space="preserve">not </w:t>
      </w:r>
      <w:r w:rsidR="00B3669E">
        <w:t xml:space="preserve">in an </w:t>
      </w:r>
      <w:r w:rsidRPr="00AE758F">
        <w:t xml:space="preserve">easily quantifiable manner.  Improvements in ISI and IST may also </w:t>
      </w:r>
      <w:r w:rsidR="00E36013">
        <w:t xml:space="preserve">lead to </w:t>
      </w:r>
      <w:r w:rsidRPr="00AE758F">
        <w:t xml:space="preserve">earlier identification of material degradation that, if undetected, could eventually cause a plant transient.  </w:t>
      </w:r>
      <w:r w:rsidR="009B546A">
        <w:t xml:space="preserve">Therefore, </w:t>
      </w:r>
      <w:r w:rsidRPr="00AE758F" w:rsidR="00F82048">
        <w:t>compared to the regulatory baseline</w:t>
      </w:r>
      <w:r w:rsidR="00F82048">
        <w:t>,</w:t>
      </w:r>
      <w:r w:rsidRPr="00AE758F" w:rsidR="00F82048">
        <w:t xml:space="preserve"> </w:t>
      </w:r>
      <w:r w:rsidRPr="00AE758F">
        <w:t xml:space="preserve">Alternative 2 would </w:t>
      </w:r>
      <w:r w:rsidR="009B546A">
        <w:t xml:space="preserve">either </w:t>
      </w:r>
      <w:r w:rsidRPr="00AE758F">
        <w:t>maintain the same level of safety</w:t>
      </w:r>
      <w:r w:rsidR="009B546A">
        <w:t xml:space="preserve"> </w:t>
      </w:r>
      <w:r w:rsidRPr="00AE758F">
        <w:t xml:space="preserve">or provide an incremental improvement in safety, which </w:t>
      </w:r>
      <w:r w:rsidR="009B546A">
        <w:t>could</w:t>
      </w:r>
      <w:r w:rsidRPr="00AE758F" w:rsidR="009B546A">
        <w:t xml:space="preserve"> </w:t>
      </w:r>
      <w:r w:rsidRPr="00AE758F">
        <w:t>incremental</w:t>
      </w:r>
      <w:r w:rsidR="00607212">
        <w:t>ly</w:t>
      </w:r>
      <w:r w:rsidRPr="00AE758F">
        <w:t xml:space="preserve"> decrease public radiation exposures.</w:t>
      </w:r>
    </w:p>
    <w:p w:rsidRPr="00AE758F" w:rsidR="00C8101A" w:rsidP="007936BF" w:rsidRDefault="00C8101A" w14:paraId="27C2570B" w14:textId="77777777">
      <w:pPr>
        <w:spacing w:line="240" w:lineRule="auto"/>
      </w:pPr>
    </w:p>
    <w:p w:rsidRPr="00AE758F" w:rsidR="00C8101A" w:rsidP="007936BF" w:rsidRDefault="00C8101A" w14:paraId="659217C3" w14:textId="670EC4DD">
      <w:pPr>
        <w:pStyle w:val="Heading4"/>
        <w:spacing w:line="240" w:lineRule="auto"/>
        <w:ind w:left="900" w:hanging="900"/>
      </w:pPr>
      <w:bookmarkStart w:name="_Toc81309145" w:id="386"/>
      <w:r w:rsidRPr="00AE758F">
        <w:t>5.15.2.3</w:t>
      </w:r>
      <w:r w:rsidRPr="00AE758F">
        <w:tab/>
        <w:t>Improvements in Knowledge</w:t>
      </w:r>
      <w:bookmarkEnd w:id="386"/>
    </w:p>
    <w:p w:rsidRPr="00AE758F" w:rsidR="00C8101A" w:rsidP="007936BF" w:rsidRDefault="00C8101A" w14:paraId="30A67AB8" w14:textId="77777777">
      <w:pPr>
        <w:spacing w:line="240" w:lineRule="auto"/>
      </w:pPr>
    </w:p>
    <w:p w:rsidRPr="00AE758F" w:rsidR="00C8101A" w:rsidP="007936BF" w:rsidRDefault="00F82048" w14:paraId="7DBEA760" w14:textId="7BD7A951">
      <w:pPr>
        <w:spacing w:line="240" w:lineRule="auto"/>
      </w:pPr>
      <w:r>
        <w:t xml:space="preserve">Alternative 2 </w:t>
      </w:r>
      <w:r w:rsidRPr="00AE758F" w:rsidR="00C8101A">
        <w:t xml:space="preserve">would improve knowledge by allowing the industry and the </w:t>
      </w:r>
      <w:r>
        <w:t xml:space="preserve">NRC </w:t>
      </w:r>
      <w:r w:rsidRPr="00AE758F" w:rsidR="00C8101A">
        <w:t>staff to gain experience with new technology before its incorporation into the ASME Codes and by permitting licensees to use advances in ISI and IST.  Improved ISI and IST may lead to earlier identification of material degradation that, if undetected, could eventually cause a plant transient.</w:t>
      </w:r>
    </w:p>
    <w:p w:rsidRPr="00AE758F" w:rsidR="00C8101A" w:rsidP="007936BF" w:rsidRDefault="00C8101A" w14:paraId="16281978" w14:textId="77777777">
      <w:pPr>
        <w:spacing w:line="240" w:lineRule="auto"/>
      </w:pPr>
    </w:p>
    <w:p w:rsidRPr="00AE758F" w:rsidR="00C8101A" w:rsidP="007936BF" w:rsidRDefault="00C8101A" w14:paraId="1B65D35B" w14:textId="1B877573">
      <w:pPr>
        <w:pStyle w:val="Heading4"/>
        <w:spacing w:line="240" w:lineRule="auto"/>
        <w:ind w:left="900" w:hanging="900"/>
      </w:pPr>
      <w:bookmarkStart w:name="_Toc81309146" w:id="387"/>
      <w:r w:rsidRPr="00AE758F">
        <w:lastRenderedPageBreak/>
        <w:t>5.15.2.4</w:t>
      </w:r>
      <w:r w:rsidRPr="00AE758F">
        <w:tab/>
        <w:t>Consisten</w:t>
      </w:r>
      <w:r w:rsidR="000843A1">
        <w:t>cy</w:t>
      </w:r>
      <w:r w:rsidRPr="00AE758F">
        <w:t xml:space="preserve"> with National Technology Transfer and Advancement Act of 1995 and Implementing Guidance</w:t>
      </w:r>
      <w:bookmarkEnd w:id="387"/>
    </w:p>
    <w:p w:rsidRPr="00AE758F" w:rsidR="00C8101A" w:rsidP="007936BF" w:rsidRDefault="00C8101A" w14:paraId="2C6A1DD4" w14:textId="77777777">
      <w:pPr>
        <w:keepNext/>
        <w:spacing w:line="240" w:lineRule="auto"/>
      </w:pPr>
    </w:p>
    <w:p w:rsidRPr="00AE758F" w:rsidR="00C8101A" w:rsidP="007936BF" w:rsidRDefault="00C8101A" w14:paraId="7E072AB3" w14:textId="40F79D60">
      <w:pPr>
        <w:spacing w:line="240" w:lineRule="auto"/>
      </w:pPr>
      <w:r w:rsidRPr="00AE758F">
        <w:t xml:space="preserve">Alternative 2 is consistent with the provisions of the NTTAA and </w:t>
      </w:r>
      <w:r w:rsidR="007B5FF5">
        <w:t xml:space="preserve">the </w:t>
      </w:r>
      <w:r w:rsidRPr="00AE758F">
        <w:t>implementing guidance in OMB Circular</w:t>
      </w:r>
      <w:r w:rsidRPr="00AE758F" w:rsidR="00852AD9">
        <w:t> </w:t>
      </w:r>
      <w:r w:rsidRPr="00AE758F">
        <w:t xml:space="preserve">A-119, which encourage Federal regulatory agencies to adopt voluntary consensus standards as an alternative to </w:t>
      </w:r>
      <w:r w:rsidRPr="00576537">
        <w:t>de novo</w:t>
      </w:r>
      <w:r w:rsidRPr="00AE758F">
        <w:rPr>
          <w:i/>
        </w:rPr>
        <w:t xml:space="preserve"> </w:t>
      </w:r>
      <w:r w:rsidRPr="00AE758F">
        <w:t>agency development of standards affecting an industry.</w:t>
      </w:r>
    </w:p>
    <w:p w:rsidRPr="00AE758F" w:rsidR="00C8101A" w:rsidP="007936BF" w:rsidRDefault="00C8101A" w14:paraId="73FE0950" w14:textId="77777777">
      <w:pPr>
        <w:spacing w:line="240" w:lineRule="auto"/>
      </w:pPr>
    </w:p>
    <w:p w:rsidRPr="00AE758F" w:rsidR="00C8101A" w:rsidP="007936BF" w:rsidRDefault="00C8101A" w14:paraId="73B83EAA" w14:textId="2929656C">
      <w:pPr>
        <w:pStyle w:val="Heading4"/>
        <w:spacing w:line="240" w:lineRule="auto"/>
        <w:ind w:left="900" w:hanging="900"/>
      </w:pPr>
      <w:bookmarkStart w:name="_Toc81309147" w:id="388"/>
      <w:r w:rsidRPr="00AE758F">
        <w:t>5.15.2.5</w:t>
      </w:r>
      <w:r w:rsidRPr="00AE758F">
        <w:tab/>
        <w:t>Continu</w:t>
      </w:r>
      <w:r w:rsidR="000843A1">
        <w:t>ation of</w:t>
      </w:r>
      <w:r w:rsidRPr="00AE758F">
        <w:t xml:space="preserve"> NRC Practice of Incorporation by Reference of ASME Code Editions and Addenda into the Code of Federal Regulations</w:t>
      </w:r>
      <w:bookmarkEnd w:id="388"/>
    </w:p>
    <w:p w:rsidRPr="00AE758F" w:rsidR="00C8101A" w:rsidP="007936BF" w:rsidRDefault="00C8101A" w14:paraId="7E4902A7" w14:textId="77777777">
      <w:pPr>
        <w:keepNext/>
        <w:spacing w:line="240" w:lineRule="auto"/>
      </w:pPr>
    </w:p>
    <w:p w:rsidRPr="00AE758F" w:rsidR="00C8101A" w:rsidP="007936BF" w:rsidRDefault="00C8101A" w14:paraId="51F7CD75" w14:textId="1B5CE3FD">
      <w:pPr>
        <w:spacing w:line="240" w:lineRule="auto"/>
      </w:pPr>
      <w:r w:rsidRPr="00AE758F">
        <w:t xml:space="preserve">Alternative 2 would continue the NRC’s practice of establishing requirements for the design, construction, operation, ISI, and IST of nuclear power plants </w:t>
      </w:r>
      <w:r w:rsidR="000843A1">
        <w:t xml:space="preserve">through IBR </w:t>
      </w:r>
      <w:r w:rsidRPr="00AE758F">
        <w:t xml:space="preserve">of </w:t>
      </w:r>
      <w:r w:rsidR="006164F5">
        <w:t xml:space="preserve">ASME Code </w:t>
      </w:r>
      <w:r w:rsidRPr="00AE758F">
        <w:t>editions and addenda in 10 CFR 50.55a.</w:t>
      </w:r>
    </w:p>
    <w:p w:rsidRPr="00AE758F" w:rsidR="00C8101A" w:rsidP="007936BF" w:rsidRDefault="00C8101A" w14:paraId="2A91E709" w14:textId="77777777">
      <w:pPr>
        <w:spacing w:line="240" w:lineRule="auto"/>
      </w:pPr>
    </w:p>
    <w:p w:rsidRPr="00AE758F" w:rsidR="00C8101A" w:rsidP="00382B4A" w:rsidRDefault="00C8101A" w14:paraId="3A58FC77" w14:textId="77777777">
      <w:pPr>
        <w:pStyle w:val="Heading4"/>
        <w:spacing w:line="240" w:lineRule="auto"/>
        <w:ind w:left="900" w:hanging="900"/>
      </w:pPr>
      <w:bookmarkStart w:name="_Toc81309148" w:id="389"/>
      <w:r w:rsidRPr="00AE758F">
        <w:t>5.15.2.6</w:t>
      </w:r>
      <w:r w:rsidRPr="00AE758F">
        <w:tab/>
        <w:t>Increased Public Confidence</w:t>
      </w:r>
      <w:bookmarkEnd w:id="389"/>
    </w:p>
    <w:p w:rsidRPr="00AE758F" w:rsidR="00C8101A" w:rsidP="007936BF" w:rsidRDefault="00C8101A" w14:paraId="02DA43EA" w14:textId="77777777">
      <w:pPr>
        <w:keepNext/>
        <w:spacing w:line="240" w:lineRule="auto"/>
      </w:pPr>
    </w:p>
    <w:p w:rsidRPr="00AE758F" w:rsidR="00C8101A" w:rsidP="007936BF" w:rsidRDefault="00C8101A" w14:paraId="0A6C23F4" w14:textId="591CAB25">
      <w:pPr>
        <w:spacing w:line="240" w:lineRule="auto"/>
      </w:pPr>
      <w:r w:rsidRPr="00AE758F">
        <w:t>Alternative 2 would allow licensees to use the most current methods and technology</w:t>
      </w:r>
      <w:r w:rsidR="00F00347">
        <w:t>, as captured in the latest ASME Code editions and addenda,</w:t>
      </w:r>
      <w:r w:rsidRPr="00AE758F">
        <w:t xml:space="preserve"> to design, construct, operate, examine, and test nuclear power plant components, while maintaining NRC oversight of these activities.</w:t>
      </w:r>
    </w:p>
    <w:p w:rsidRPr="00AE758F" w:rsidR="00C8101A" w:rsidP="007936BF" w:rsidRDefault="00C8101A" w14:paraId="71AC071B" w14:textId="77777777">
      <w:pPr>
        <w:spacing w:line="240" w:lineRule="auto"/>
      </w:pPr>
    </w:p>
    <w:p w:rsidRPr="00AE758F" w:rsidR="00C8101A" w:rsidP="007936BF" w:rsidRDefault="00C8101A" w14:paraId="6F9981DF" w14:textId="11587AE2">
      <w:pPr>
        <w:spacing w:line="240" w:lineRule="auto"/>
      </w:pPr>
      <w:r w:rsidRPr="00AE758F">
        <w:t>The timely IBR of current ASME Code</w:t>
      </w:r>
      <w:r w:rsidR="004A6080">
        <w:t xml:space="preserve"> editions and addenda</w:t>
      </w:r>
      <w:r w:rsidRPr="00AE758F">
        <w:t xml:space="preserve"> into the </w:t>
      </w:r>
      <w:r w:rsidRPr="00AE758F">
        <w:rPr>
          <w:i/>
        </w:rPr>
        <w:t>Code of Federal Regulations</w:t>
      </w:r>
      <w:r w:rsidRPr="00AE758F">
        <w:t xml:space="preserve"> would </w:t>
      </w:r>
      <w:r w:rsidR="00F00347">
        <w:t xml:space="preserve">uphold </w:t>
      </w:r>
      <w:r w:rsidRPr="00AE758F">
        <w:t>the NRC’s role as an effective industry regulator</w:t>
      </w:r>
      <w:r w:rsidR="00DE6578">
        <w:t xml:space="preserve"> and boosts public confidence</w:t>
      </w:r>
      <w:r w:rsidRPr="00AE758F">
        <w:t xml:space="preserve">.  </w:t>
      </w:r>
      <w:r w:rsidR="00CB26F8">
        <w:t>Conversely, t</w:t>
      </w:r>
      <w:r w:rsidRPr="00AE758F">
        <w:t xml:space="preserve">his role would be undermined if outdated material remains incorporated by reference in the </w:t>
      </w:r>
      <w:r w:rsidRPr="00AE758F">
        <w:rPr>
          <w:i/>
        </w:rPr>
        <w:t>Code of Federal Regulations</w:t>
      </w:r>
      <w:r w:rsidRPr="00AE758F">
        <w:t>.</w:t>
      </w:r>
    </w:p>
    <w:p w:rsidRPr="00AE758F" w:rsidR="00C8101A" w:rsidP="007936BF" w:rsidRDefault="00C8101A" w14:paraId="6F18284B" w14:textId="3F811BBC">
      <w:pPr>
        <w:spacing w:line="240" w:lineRule="auto"/>
      </w:pPr>
    </w:p>
    <w:p w:rsidRPr="00AE758F" w:rsidR="00C8101A" w:rsidP="00382B4A" w:rsidRDefault="00C8101A" w14:paraId="12218FBB" w14:textId="16BAB6CB">
      <w:pPr>
        <w:pStyle w:val="Heading2"/>
        <w:tabs>
          <w:tab w:val="left" w:pos="540"/>
        </w:tabs>
        <w:spacing w:line="240" w:lineRule="auto"/>
        <w:ind w:left="450" w:hanging="450"/>
      </w:pPr>
      <w:bookmarkStart w:name="_Toc456098357" w:id="390"/>
      <w:bookmarkStart w:name="_Toc457827370" w:id="391"/>
      <w:bookmarkStart w:name="_Ref511728864" w:id="392"/>
      <w:bookmarkStart w:name="_Toc521577265" w:id="393"/>
      <w:bookmarkStart w:name="_Toc7512448" w:id="394"/>
      <w:bookmarkStart w:name="_Toc81309149" w:id="395"/>
      <w:r w:rsidRPr="00AE758F">
        <w:t>5.16</w:t>
      </w:r>
      <w:r w:rsidRPr="00AE758F">
        <w:tab/>
      </w:r>
      <w:r w:rsidRPr="00AE758F" w:rsidR="00FF5B60">
        <w:tab/>
      </w:r>
      <w:r w:rsidRPr="00AE758F">
        <w:t>Safety Goal Evaluation</w:t>
      </w:r>
      <w:bookmarkEnd w:id="390"/>
      <w:bookmarkEnd w:id="391"/>
      <w:bookmarkEnd w:id="392"/>
      <w:bookmarkEnd w:id="393"/>
      <w:bookmarkEnd w:id="394"/>
      <w:bookmarkEnd w:id="395"/>
    </w:p>
    <w:p w:rsidRPr="00AE758F" w:rsidR="00C8101A" w:rsidP="007936BF" w:rsidRDefault="00C8101A" w14:paraId="2C93B40E" w14:textId="77777777">
      <w:pPr>
        <w:spacing w:line="240" w:lineRule="auto"/>
      </w:pPr>
    </w:p>
    <w:p w:rsidRPr="00AE758F" w:rsidR="00C8101A" w:rsidP="007936BF" w:rsidRDefault="0035420A" w14:paraId="396F3CA0" w14:textId="658F570F">
      <w:pPr>
        <w:spacing w:line="240" w:lineRule="auto"/>
      </w:pPr>
      <w:r w:rsidRPr="00AE758F">
        <w:t>A</w:t>
      </w:r>
      <w:r w:rsidRPr="00AE758F" w:rsidR="00C8101A">
        <w:t>lternative</w:t>
      </w:r>
      <w:r w:rsidRPr="00AE758F">
        <w:t> 2</w:t>
      </w:r>
      <w:r w:rsidRPr="00AE758F" w:rsidR="00C8101A">
        <w:t xml:space="preserve"> would allow licensees and applicants to apply the most recent ASME BPV and OM Code editions and addenda and NRC</w:t>
      </w:r>
      <w:r w:rsidRPr="00AE758F" w:rsidR="00CA0AC4">
        <w:noBreakHyphen/>
      </w:r>
      <w:r w:rsidRPr="00AE758F" w:rsidR="00C8101A">
        <w:t>approved Code Cases, sometimes with NRC</w:t>
      </w:r>
      <w:r w:rsidRPr="00AE758F" w:rsidR="00C8101A">
        <w:noBreakHyphen/>
        <w:t>specified conditions.  The NRC’s safety goal evaluation applies only to regulatory initiatives considered to be generic safety</w:t>
      </w:r>
      <w:r w:rsidRPr="00AE758F" w:rsidR="00CA0AC4">
        <w:noBreakHyphen/>
      </w:r>
      <w:r w:rsidRPr="00AE758F" w:rsidR="00C8101A">
        <w:t xml:space="preserve">enhancement backfits subject to the standard at 10 CFR 50.109(a)(3).  The NRC does not </w:t>
      </w:r>
      <w:r w:rsidR="002D59FE">
        <w:t>consider</w:t>
      </w:r>
      <w:r w:rsidRPr="00AE758F" w:rsidR="002D59FE">
        <w:t xml:space="preserve"> </w:t>
      </w:r>
      <w:r w:rsidRPr="00AE758F" w:rsidR="00C8101A">
        <w:t>the IBR of ASME Code editions and addenda and NRC</w:t>
      </w:r>
      <w:r w:rsidRPr="00AE758F" w:rsidR="00CA0AC4">
        <w:noBreakHyphen/>
      </w:r>
      <w:r w:rsidRPr="00AE758F" w:rsidR="00C8101A">
        <w:t>approved Code Cases to be backfitting</w:t>
      </w:r>
      <w:r w:rsidR="001C6C69">
        <w:t>.</w:t>
      </w:r>
      <w:r w:rsidRPr="00AE758F" w:rsidR="00C8101A">
        <w:t xml:space="preserve">  The </w:t>
      </w:r>
      <w:r w:rsidR="00C86687">
        <w:t>proposed</w:t>
      </w:r>
      <w:r w:rsidRPr="00AE758F" w:rsidR="00C86687">
        <w:t xml:space="preserve"> </w:t>
      </w:r>
      <w:r w:rsidRPr="00AE758F" w:rsidR="00C8101A">
        <w:t xml:space="preserve">rule published in the </w:t>
      </w:r>
      <w:r w:rsidRPr="00AE758F" w:rsidR="00C8101A">
        <w:rPr>
          <w:i/>
        </w:rPr>
        <w:t>Federal Register</w:t>
      </w:r>
      <w:r w:rsidRPr="00AE758F" w:rsidR="00C8101A">
        <w:t xml:space="preserve"> gives the basis for this determination.  </w:t>
      </w:r>
      <w:r w:rsidR="00911E93">
        <w:t>For these reasons</w:t>
      </w:r>
      <w:r w:rsidRPr="00AE758F" w:rsidR="00C8101A">
        <w:t>, a safety goal evaluation is not appropriate for this regulatory analysis.</w:t>
      </w:r>
    </w:p>
    <w:p w:rsidRPr="00AE758F" w:rsidR="00C8101A" w:rsidP="007936BF" w:rsidRDefault="00C8101A" w14:paraId="7B75A129" w14:textId="77777777">
      <w:pPr>
        <w:spacing w:line="240" w:lineRule="auto"/>
      </w:pPr>
    </w:p>
    <w:p w:rsidRPr="00AE758F" w:rsidR="00C8101A" w:rsidP="00382B4A" w:rsidRDefault="00C8101A" w14:paraId="6CFCD380" w14:textId="4EE91AA6">
      <w:pPr>
        <w:pStyle w:val="Heading2"/>
        <w:tabs>
          <w:tab w:val="left" w:pos="540"/>
        </w:tabs>
        <w:spacing w:line="240" w:lineRule="auto"/>
        <w:ind w:left="450" w:hanging="450"/>
      </w:pPr>
      <w:bookmarkStart w:name="_Toc456098362" w:id="396"/>
      <w:bookmarkStart w:name="_Toc457827375" w:id="397"/>
      <w:bookmarkStart w:name="_Toc521577270" w:id="398"/>
      <w:bookmarkStart w:name="_Toc7512453" w:id="399"/>
      <w:bookmarkStart w:name="_Toc81309150" w:id="400"/>
      <w:r w:rsidRPr="00AE758F">
        <w:t>5.17</w:t>
      </w:r>
      <w:r w:rsidRPr="00AE758F">
        <w:tab/>
      </w:r>
      <w:r w:rsidRPr="00AE758F" w:rsidR="00FF5B60">
        <w:tab/>
      </w:r>
      <w:r w:rsidRPr="00AE758F">
        <w:t xml:space="preserve">Results for the Committee </w:t>
      </w:r>
      <w:r w:rsidRPr="00AE758F" w:rsidR="00CD6028">
        <w:t>t</w:t>
      </w:r>
      <w:r w:rsidRPr="00AE758F">
        <w:t>o Review Generic Requirements</w:t>
      </w:r>
      <w:bookmarkEnd w:id="396"/>
      <w:bookmarkEnd w:id="397"/>
      <w:bookmarkEnd w:id="398"/>
      <w:bookmarkEnd w:id="399"/>
      <w:bookmarkEnd w:id="400"/>
    </w:p>
    <w:p w:rsidRPr="00AE758F" w:rsidR="00C8101A" w:rsidP="007936BF" w:rsidRDefault="00C8101A" w14:paraId="3A4AC2F9" w14:textId="77777777">
      <w:pPr>
        <w:keepNext/>
        <w:spacing w:line="240" w:lineRule="auto"/>
      </w:pPr>
    </w:p>
    <w:p w:rsidRPr="00AE758F" w:rsidR="00C8101A" w:rsidP="007936BF" w:rsidRDefault="00B863BC" w14:paraId="61268C78" w14:textId="3086C2F2">
      <w:pPr>
        <w:autoSpaceDE/>
        <w:autoSpaceDN/>
        <w:adjustRightInd/>
        <w:spacing w:line="240" w:lineRule="auto"/>
      </w:pPr>
      <w:r w:rsidRPr="00217D07">
        <w:t xml:space="preserve">This section addresses regulatory analysis information requirements for rulemaking actions or staff positions subject to review by the Committee </w:t>
      </w:r>
      <w:r>
        <w:t>t</w:t>
      </w:r>
      <w:r w:rsidRPr="00217D07">
        <w:t xml:space="preserve">o Review Generic Requirements (CRGR).  All information called for by the CRGR </w:t>
      </w:r>
      <w:r>
        <w:t>procedures</w:t>
      </w:r>
      <w:r w:rsidRPr="00217D07">
        <w:t xml:space="preserve"> (</w:t>
      </w:r>
      <w:r>
        <w:t>NRC, 2018</w:t>
      </w:r>
      <w:r w:rsidRPr="00217D07">
        <w:t xml:space="preserve">) </w:t>
      </w:r>
      <w:r w:rsidR="00485F2A">
        <w:t xml:space="preserve">appears </w:t>
      </w:r>
      <w:r w:rsidRPr="00217D07">
        <w:t xml:space="preserve">in this regulatory analysis or in the </w:t>
      </w:r>
      <w:r w:rsidRPr="00217D07">
        <w:rPr>
          <w:i/>
        </w:rPr>
        <w:t>Federal Register</w:t>
      </w:r>
      <w:r w:rsidRPr="00217D07">
        <w:t xml:space="preserve"> notice for the </w:t>
      </w:r>
      <w:r>
        <w:t>final</w:t>
      </w:r>
      <w:r w:rsidRPr="00217D07">
        <w:t xml:space="preserve"> rule.  </w:t>
      </w:r>
      <w:r w:rsidRPr="00343099" w:rsidR="00C8101A">
        <w:fldChar w:fldCharType="begin"/>
      </w:r>
      <w:r w:rsidRPr="00AE758F" w:rsidR="00C8101A">
        <w:instrText xml:space="preserve"> REF _Ref453656225 \h  \* MERGEFORMAT </w:instrText>
      </w:r>
      <w:r w:rsidRPr="00343099" w:rsidR="00C8101A">
        <w:fldChar w:fldCharType="separate"/>
      </w:r>
      <w:r w:rsidRPr="006A41A8" w:rsidR="006A41A8">
        <w:t>Table</w:t>
      </w:r>
      <w:r w:rsidRPr="006A41A8" w:rsidR="006A41A8">
        <w:rPr>
          <w:b/>
          <w:bCs/>
        </w:rPr>
        <w:t xml:space="preserve"> </w:t>
      </w:r>
      <w:r w:rsidRPr="006A41A8" w:rsidR="006A41A8">
        <w:rPr>
          <w:bCs/>
          <w:noProof/>
        </w:rPr>
        <w:t>16</w:t>
      </w:r>
      <w:r w:rsidRPr="00343099" w:rsidR="00C8101A">
        <w:fldChar w:fldCharType="end"/>
      </w:r>
      <w:r w:rsidRPr="00AE758F" w:rsidR="00C8101A">
        <w:t xml:space="preserve"> provides cross</w:t>
      </w:r>
      <w:r w:rsidRPr="00AE758F" w:rsidR="00C8101A">
        <w:noBreakHyphen/>
        <w:t xml:space="preserve">references </w:t>
      </w:r>
      <w:r w:rsidRPr="00AE758F" w:rsidR="00EF4C1F">
        <w:t>to</w:t>
      </w:r>
      <w:r w:rsidRPr="00AE758F" w:rsidR="00C8101A">
        <w:t xml:space="preserve"> </w:t>
      </w:r>
      <w:r w:rsidR="00DD3370">
        <w:t xml:space="preserve">the relevant parts of </w:t>
      </w:r>
      <w:r w:rsidRPr="00AE758F" w:rsidR="00C8101A">
        <w:t xml:space="preserve">this document or the </w:t>
      </w:r>
      <w:r w:rsidRPr="00AE758F" w:rsidR="00C8101A">
        <w:rPr>
          <w:i/>
        </w:rPr>
        <w:t>Federal Register</w:t>
      </w:r>
      <w:r w:rsidRPr="00AE758F" w:rsidR="00C8101A">
        <w:t xml:space="preserve"> notice</w:t>
      </w:r>
      <w:r w:rsidR="00DD3370">
        <w:t xml:space="preserve"> </w:t>
      </w:r>
      <w:r w:rsidRPr="00AE758F" w:rsidR="00DD3370">
        <w:t xml:space="preserve">for </w:t>
      </w:r>
      <w:r w:rsidR="00DD3370">
        <w:t xml:space="preserve">this </w:t>
      </w:r>
      <w:r w:rsidRPr="00AE758F" w:rsidR="00DD3370">
        <w:t>information</w:t>
      </w:r>
      <w:r w:rsidRPr="00AE758F" w:rsidR="00C8101A">
        <w:t>.</w:t>
      </w:r>
    </w:p>
    <w:p w:rsidRPr="00AE758F" w:rsidR="00C8101A" w:rsidP="007936BF" w:rsidRDefault="00C8101A" w14:paraId="1EE7B2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pPr>
    </w:p>
    <w:p w:rsidRPr="00AE758F" w:rsidR="00C8101A" w:rsidP="00382B4A" w:rsidRDefault="00C8101A" w14:paraId="39B41F51" w14:textId="70C9B735">
      <w:pPr>
        <w:pStyle w:val="Caption"/>
        <w:spacing w:line="240" w:lineRule="auto"/>
        <w:ind w:left="1440" w:hanging="1440"/>
        <w:jc w:val="center"/>
        <w:rPr>
          <w:b/>
          <w:bCs w:val="0"/>
        </w:rPr>
      </w:pPr>
      <w:bookmarkStart w:name="_Ref453656225" w:id="401"/>
      <w:bookmarkStart w:name="_Toc454442509" w:id="402"/>
      <w:bookmarkStart w:name="_Toc457827429" w:id="403"/>
      <w:bookmarkStart w:name="_Toc7512490" w:id="404"/>
      <w:bookmarkStart w:name="_Toc81309692" w:id="405"/>
      <w:r w:rsidRPr="00AE758F">
        <w:rPr>
          <w:b/>
          <w:bCs w:val="0"/>
        </w:rPr>
        <w:lastRenderedPageBreak/>
        <w:t xml:space="preserve">Table </w:t>
      </w:r>
      <w:r w:rsidRPr="00343099">
        <w:rPr>
          <w:b/>
          <w:bCs w:val="0"/>
          <w:noProof/>
        </w:rPr>
        <w:fldChar w:fldCharType="begin"/>
      </w:r>
      <w:r w:rsidRPr="00AE758F">
        <w:rPr>
          <w:b/>
          <w:bCs w:val="0"/>
          <w:noProof/>
        </w:rPr>
        <w:instrText xml:space="preserve"> SEQ Table \* ARABIC </w:instrText>
      </w:r>
      <w:r w:rsidRPr="00343099">
        <w:rPr>
          <w:b/>
          <w:bCs w:val="0"/>
          <w:noProof/>
        </w:rPr>
        <w:fldChar w:fldCharType="separate"/>
      </w:r>
      <w:r w:rsidR="006A41A8">
        <w:rPr>
          <w:b/>
          <w:bCs w:val="0"/>
          <w:noProof/>
        </w:rPr>
        <w:t>16</w:t>
      </w:r>
      <w:r w:rsidRPr="00343099">
        <w:rPr>
          <w:b/>
          <w:bCs w:val="0"/>
          <w:noProof/>
        </w:rPr>
        <w:fldChar w:fldCharType="end"/>
      </w:r>
      <w:bookmarkEnd w:id="401"/>
      <w:r w:rsidRPr="00AE758F" w:rsidR="00EF4C1F">
        <w:rPr>
          <w:b/>
          <w:bCs w:val="0"/>
        </w:rPr>
        <w:t xml:space="preserve">  </w:t>
      </w:r>
      <w:r w:rsidRPr="00AE758F">
        <w:rPr>
          <w:b/>
          <w:bCs w:val="0"/>
        </w:rPr>
        <w:t>Specific CRGR Regulatory Analysis Information Requirements</w:t>
      </w:r>
      <w:bookmarkEnd w:id="402"/>
      <w:bookmarkEnd w:id="403"/>
      <w:bookmarkEnd w:id="404"/>
      <w:bookmarkEnd w:id="40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1868"/>
        <w:gridCol w:w="5062"/>
        <w:gridCol w:w="2430"/>
      </w:tblGrid>
      <w:tr w:rsidRPr="00AE758F" w:rsidR="00A96BAB" w:rsidTr="00382B4A" w14:paraId="12C8420F" w14:textId="77777777">
        <w:trPr>
          <w:cantSplit/>
        </w:trPr>
        <w:tc>
          <w:tcPr>
            <w:tcW w:w="998" w:type="pct"/>
          </w:tcPr>
          <w:p w:rsidRPr="00AE758F" w:rsidR="00A96BAB" w:rsidP="001A17A9" w:rsidRDefault="001A17A9" w14:paraId="53564E18" w14:textId="3CF180AD">
            <w:pPr>
              <w:numPr>
                <w:ilvl w:val="12"/>
                <w:numId w:val="0"/>
              </w:numPr>
              <w:tabs>
                <w:tab w:val="left" w:pos="0"/>
                <w:tab w:val="left" w:pos="720"/>
              </w:tabs>
              <w:spacing w:before="117" w:after="52" w:line="240" w:lineRule="auto"/>
            </w:pPr>
            <w:r>
              <w:rPr>
                <w:b/>
                <w:bCs/>
                <w:sz w:val="20"/>
              </w:rPr>
              <w:t xml:space="preserve">Citation in </w:t>
            </w:r>
            <w:r w:rsidRPr="00217D07" w:rsidR="00A96BAB">
              <w:rPr>
                <w:b/>
                <w:bCs/>
                <w:sz w:val="20"/>
              </w:rPr>
              <w:t>CRGR</w:t>
            </w:r>
            <w:r w:rsidRPr="00217D07" w:rsidR="00A96BAB">
              <w:rPr>
                <w:b/>
                <w:bCs/>
                <w:sz w:val="20"/>
              </w:rPr>
              <w:br/>
            </w:r>
            <w:r w:rsidR="00A96BAB">
              <w:rPr>
                <w:b/>
                <w:bCs/>
                <w:sz w:val="20"/>
              </w:rPr>
              <w:t>Procedures</w:t>
            </w:r>
            <w:r w:rsidRPr="00217D07" w:rsidR="00A96BAB">
              <w:rPr>
                <w:b/>
                <w:bCs/>
                <w:sz w:val="20"/>
              </w:rPr>
              <w:t xml:space="preserve"> (</w:t>
            </w:r>
            <w:r w:rsidR="00A96BAB">
              <w:rPr>
                <w:b/>
                <w:bCs/>
                <w:sz w:val="20"/>
              </w:rPr>
              <w:t>NRC, 2018</w:t>
            </w:r>
            <w:r w:rsidRPr="00217D07" w:rsidR="00A96BAB">
              <w:rPr>
                <w:b/>
                <w:bCs/>
                <w:sz w:val="20"/>
              </w:rPr>
              <w:t>)</w:t>
            </w:r>
          </w:p>
        </w:tc>
        <w:tc>
          <w:tcPr>
            <w:tcW w:w="2704" w:type="pct"/>
          </w:tcPr>
          <w:p w:rsidRPr="00AE758F" w:rsidR="00A96BAB" w:rsidP="00A96BAB" w:rsidRDefault="00A96BAB" w14:paraId="30FEC483" w14:textId="2A8C9532">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sidRPr="00217D07">
              <w:rPr>
                <w:b/>
                <w:bCs/>
                <w:sz w:val="20"/>
              </w:rPr>
              <w:t xml:space="preserve">Information Item </w:t>
            </w:r>
            <w:proofErr w:type="gramStart"/>
            <w:r>
              <w:rPr>
                <w:b/>
                <w:bCs/>
                <w:sz w:val="20"/>
              </w:rPr>
              <w:t>T</w:t>
            </w:r>
            <w:r w:rsidRPr="00217D07">
              <w:rPr>
                <w:b/>
                <w:bCs/>
                <w:sz w:val="20"/>
              </w:rPr>
              <w:t>o</w:t>
            </w:r>
            <w:proofErr w:type="gramEnd"/>
            <w:r w:rsidRPr="00217D07">
              <w:rPr>
                <w:b/>
                <w:bCs/>
                <w:sz w:val="20"/>
              </w:rPr>
              <w:t xml:space="preserve"> Be Included in a Regulatory Analysis Prepared for CRGR Review</w:t>
            </w:r>
          </w:p>
        </w:tc>
        <w:tc>
          <w:tcPr>
            <w:tcW w:w="1298" w:type="pct"/>
          </w:tcPr>
          <w:p w:rsidRPr="00AE758F" w:rsidR="00A96BAB" w:rsidP="00A96BAB" w:rsidRDefault="00A96BAB" w14:paraId="38C5AE9B" w14:textId="4FBE3CC1">
            <w:pPr>
              <w:numPr>
                <w:ilvl w:val="12"/>
                <w:numId w:val="0"/>
              </w:numPr>
              <w:tabs>
                <w:tab w:val="left" w:pos="0"/>
                <w:tab w:val="left" w:pos="720"/>
                <w:tab w:val="left" w:pos="1440"/>
                <w:tab w:val="left" w:pos="2160"/>
                <w:tab w:val="left" w:pos="2880"/>
              </w:tabs>
              <w:spacing w:before="117" w:after="52" w:line="240" w:lineRule="auto"/>
            </w:pPr>
            <w:r w:rsidRPr="00217D07">
              <w:rPr>
                <w:b/>
                <w:bCs/>
                <w:sz w:val="20"/>
              </w:rPr>
              <w:t>Where Item Is Discussed</w:t>
            </w:r>
          </w:p>
        </w:tc>
      </w:tr>
      <w:tr w:rsidRPr="00AE758F" w:rsidR="00A96BAB" w:rsidTr="00382B4A" w14:paraId="279345DF" w14:textId="77777777">
        <w:trPr>
          <w:cantSplit/>
        </w:trPr>
        <w:tc>
          <w:tcPr>
            <w:tcW w:w="998" w:type="pct"/>
          </w:tcPr>
          <w:p w:rsidRPr="00AE758F" w:rsidR="00A96BAB" w:rsidP="00A96BAB" w:rsidRDefault="00A96BAB" w14:paraId="279AF372" w14:textId="02E2A5AC">
            <w:pPr>
              <w:numPr>
                <w:ilvl w:val="12"/>
                <w:numId w:val="0"/>
              </w:numPr>
              <w:tabs>
                <w:tab w:val="left" w:pos="0"/>
                <w:tab w:val="left" w:pos="720"/>
              </w:tabs>
              <w:spacing w:before="117" w:after="52" w:line="240" w:lineRule="auto"/>
              <w:rPr>
                <w:sz w:val="20"/>
              </w:rPr>
            </w:pPr>
            <w:r w:rsidRPr="00217D07">
              <w:rPr>
                <w:sz w:val="20"/>
              </w:rPr>
              <w:t xml:space="preserve">Appendix </w:t>
            </w:r>
            <w:r>
              <w:rPr>
                <w:sz w:val="20"/>
              </w:rPr>
              <w:t>B</w:t>
            </w:r>
            <w:r w:rsidRPr="00217D07">
              <w:rPr>
                <w:sz w:val="20"/>
              </w:rPr>
              <w:t>, (</w:t>
            </w:r>
            <w:proofErr w:type="spellStart"/>
            <w:r w:rsidRPr="00217D07">
              <w:rPr>
                <w:sz w:val="20"/>
              </w:rPr>
              <w:t>i</w:t>
            </w:r>
            <w:proofErr w:type="spellEnd"/>
            <w:r w:rsidRPr="00217D07">
              <w:rPr>
                <w:sz w:val="20"/>
              </w:rPr>
              <w:t>)</w:t>
            </w:r>
          </w:p>
        </w:tc>
        <w:tc>
          <w:tcPr>
            <w:tcW w:w="2704" w:type="pct"/>
          </w:tcPr>
          <w:p w:rsidRPr="00AE758F" w:rsidR="00A96BAB" w:rsidP="00A96BAB" w:rsidRDefault="00A96BAB" w14:paraId="7E7A2684" w14:textId="633096A8">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rPr>
                <w:sz w:val="20"/>
              </w:rPr>
            </w:pPr>
            <w:r w:rsidRPr="00217D07">
              <w:rPr>
                <w:sz w:val="20"/>
              </w:rPr>
              <w:t xml:space="preserve">The new or revised generic requirement or staff position as it is </w:t>
            </w:r>
            <w:r>
              <w:rPr>
                <w:sz w:val="20"/>
              </w:rPr>
              <w:t>issued as a final rule</w:t>
            </w:r>
          </w:p>
        </w:tc>
        <w:tc>
          <w:tcPr>
            <w:tcW w:w="1298" w:type="pct"/>
          </w:tcPr>
          <w:p w:rsidRPr="00AE758F" w:rsidR="00A96BAB" w:rsidP="00A96BAB" w:rsidRDefault="00A96BAB" w14:paraId="2F248872" w14:textId="4AA5E411">
            <w:pPr>
              <w:numPr>
                <w:ilvl w:val="12"/>
                <w:numId w:val="0"/>
              </w:numPr>
              <w:tabs>
                <w:tab w:val="left" w:pos="0"/>
                <w:tab w:val="left" w:pos="720"/>
                <w:tab w:val="left" w:pos="1440"/>
                <w:tab w:val="left" w:pos="2160"/>
                <w:tab w:val="left" w:pos="2880"/>
              </w:tabs>
              <w:spacing w:before="117" w:after="52" w:line="240" w:lineRule="auto"/>
              <w:rPr>
                <w:sz w:val="20"/>
              </w:rPr>
            </w:pPr>
            <w:r>
              <w:rPr>
                <w:sz w:val="20"/>
              </w:rPr>
              <w:t>Final</w:t>
            </w:r>
            <w:r w:rsidRPr="00217D07">
              <w:rPr>
                <w:sz w:val="20"/>
              </w:rPr>
              <w:t xml:space="preserve"> rule text in </w:t>
            </w:r>
            <w:r w:rsidRPr="00217D07">
              <w:rPr>
                <w:i/>
                <w:sz w:val="20"/>
              </w:rPr>
              <w:t xml:space="preserve">Federal Register </w:t>
            </w:r>
            <w:r w:rsidRPr="00217D07">
              <w:rPr>
                <w:sz w:val="20"/>
              </w:rPr>
              <w:t xml:space="preserve">notice for the </w:t>
            </w:r>
            <w:r>
              <w:rPr>
                <w:sz w:val="20"/>
              </w:rPr>
              <w:t>final</w:t>
            </w:r>
            <w:r w:rsidRPr="00217D07">
              <w:rPr>
                <w:sz w:val="20"/>
              </w:rPr>
              <w:t xml:space="preserve"> rule</w:t>
            </w:r>
          </w:p>
        </w:tc>
      </w:tr>
      <w:tr w:rsidRPr="00AE758F" w:rsidR="00A96BAB" w:rsidTr="00382B4A" w14:paraId="56968428" w14:textId="77777777">
        <w:trPr>
          <w:cantSplit/>
        </w:trPr>
        <w:tc>
          <w:tcPr>
            <w:tcW w:w="998" w:type="pct"/>
          </w:tcPr>
          <w:p w:rsidRPr="00AE758F" w:rsidR="00A96BAB" w:rsidP="00A96BAB" w:rsidRDefault="00A96BAB" w14:paraId="57EC484A" w14:textId="69F321E8">
            <w:pPr>
              <w:numPr>
                <w:ilvl w:val="12"/>
                <w:numId w:val="0"/>
              </w:numPr>
              <w:tabs>
                <w:tab w:val="left" w:pos="0"/>
                <w:tab w:val="left" w:pos="720"/>
              </w:tabs>
              <w:spacing w:before="117" w:after="52" w:line="240" w:lineRule="auto"/>
            </w:pPr>
            <w:r w:rsidRPr="00217D07">
              <w:rPr>
                <w:sz w:val="20"/>
              </w:rPr>
              <w:t xml:space="preserve">Appendix </w:t>
            </w:r>
            <w:r>
              <w:rPr>
                <w:sz w:val="20"/>
              </w:rPr>
              <w:t>B</w:t>
            </w:r>
            <w:r w:rsidRPr="00217D07">
              <w:rPr>
                <w:sz w:val="20"/>
              </w:rPr>
              <w:t>, (ii)</w:t>
            </w:r>
          </w:p>
        </w:tc>
        <w:tc>
          <w:tcPr>
            <w:tcW w:w="2704" w:type="pct"/>
          </w:tcPr>
          <w:p w:rsidRPr="00AE758F" w:rsidR="00A96BAB" w:rsidP="00A96BAB" w:rsidRDefault="00A96BAB" w14:paraId="1E9E1547" w14:textId="609CE62D">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sidRPr="00217D07">
              <w:rPr>
                <w:sz w:val="20"/>
              </w:rPr>
              <w:t>Draft papers or other documents supporting the requirements or staff positions</w:t>
            </w:r>
          </w:p>
        </w:tc>
        <w:tc>
          <w:tcPr>
            <w:tcW w:w="1298" w:type="pct"/>
          </w:tcPr>
          <w:p w:rsidRPr="00AE758F" w:rsidR="00A96BAB" w:rsidP="00A96BAB" w:rsidRDefault="00A96BAB" w14:paraId="31A308D4" w14:textId="24EBEF2C">
            <w:pPr>
              <w:numPr>
                <w:ilvl w:val="12"/>
                <w:numId w:val="0"/>
              </w:numPr>
              <w:tabs>
                <w:tab w:val="left" w:pos="0"/>
                <w:tab w:val="left" w:pos="720"/>
                <w:tab w:val="left" w:pos="1440"/>
                <w:tab w:val="left" w:pos="2160"/>
                <w:tab w:val="left" w:pos="2880"/>
              </w:tabs>
              <w:spacing w:before="117" w:after="52" w:line="240" w:lineRule="auto"/>
            </w:pPr>
            <w:r w:rsidRPr="00217D07">
              <w:rPr>
                <w:i/>
                <w:sz w:val="20"/>
              </w:rPr>
              <w:t>Federal Register</w:t>
            </w:r>
            <w:r w:rsidRPr="00217D07">
              <w:rPr>
                <w:sz w:val="20"/>
              </w:rPr>
              <w:t xml:space="preserve"> notice for the </w:t>
            </w:r>
            <w:r>
              <w:rPr>
                <w:sz w:val="20"/>
              </w:rPr>
              <w:t>final</w:t>
            </w:r>
            <w:r w:rsidRPr="00217D07">
              <w:rPr>
                <w:sz w:val="20"/>
              </w:rPr>
              <w:t xml:space="preserve"> rule</w:t>
            </w:r>
          </w:p>
        </w:tc>
      </w:tr>
      <w:tr w:rsidRPr="00AE758F" w:rsidR="00A96BAB" w:rsidTr="00382B4A" w14:paraId="43BC3B35" w14:textId="77777777">
        <w:trPr>
          <w:cantSplit/>
        </w:trPr>
        <w:tc>
          <w:tcPr>
            <w:tcW w:w="998" w:type="pct"/>
          </w:tcPr>
          <w:p w:rsidRPr="00AE758F" w:rsidR="00A96BAB" w:rsidP="00A96BAB" w:rsidRDefault="00A96BAB" w14:paraId="6758D5E2" w14:textId="4E220D73">
            <w:pPr>
              <w:numPr>
                <w:ilvl w:val="12"/>
                <w:numId w:val="0"/>
              </w:numPr>
              <w:tabs>
                <w:tab w:val="left" w:pos="0"/>
                <w:tab w:val="left" w:pos="720"/>
              </w:tabs>
              <w:spacing w:before="117" w:after="52" w:line="240" w:lineRule="auto"/>
            </w:pPr>
            <w:r w:rsidRPr="00217D07">
              <w:rPr>
                <w:sz w:val="20"/>
              </w:rPr>
              <w:t xml:space="preserve">Appendix </w:t>
            </w:r>
            <w:r>
              <w:rPr>
                <w:sz w:val="20"/>
              </w:rPr>
              <w:t>B</w:t>
            </w:r>
            <w:r w:rsidRPr="00217D07">
              <w:rPr>
                <w:sz w:val="20"/>
              </w:rPr>
              <w:t>, (iii)</w:t>
            </w:r>
          </w:p>
        </w:tc>
        <w:tc>
          <w:tcPr>
            <w:tcW w:w="2704" w:type="pct"/>
          </w:tcPr>
          <w:p w:rsidRPr="00AE758F" w:rsidR="00A96BAB" w:rsidP="000A382E" w:rsidRDefault="00A96BAB" w14:paraId="561239C2" w14:textId="6DB67BEA">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sidRPr="00217D07">
              <w:rPr>
                <w:sz w:val="20"/>
              </w:rPr>
              <w:t>The sponsoring office</w:t>
            </w:r>
            <w:r>
              <w:rPr>
                <w:sz w:val="20"/>
              </w:rPr>
              <w:t>’</w:t>
            </w:r>
            <w:r w:rsidRPr="00217D07">
              <w:rPr>
                <w:sz w:val="20"/>
              </w:rPr>
              <w:t xml:space="preserve">s position on </w:t>
            </w:r>
            <w:r w:rsidR="000A382E">
              <w:rPr>
                <w:sz w:val="20"/>
              </w:rPr>
              <w:t xml:space="preserve">whether </w:t>
            </w:r>
            <w:r w:rsidRPr="00217D07">
              <w:rPr>
                <w:sz w:val="20"/>
              </w:rPr>
              <w:t>each requirement or staff position would modify, implement, relax</w:t>
            </w:r>
            <w:r>
              <w:rPr>
                <w:sz w:val="20"/>
              </w:rPr>
              <w:t>,</w:t>
            </w:r>
            <w:r w:rsidRPr="00217D07">
              <w:rPr>
                <w:sz w:val="20"/>
              </w:rPr>
              <w:t xml:space="preserve"> or reduce existing requirements or staff positions</w:t>
            </w:r>
          </w:p>
        </w:tc>
        <w:tc>
          <w:tcPr>
            <w:tcW w:w="1298" w:type="pct"/>
          </w:tcPr>
          <w:p w:rsidRPr="00AE758F" w:rsidR="00A96BAB" w:rsidP="00254B58" w:rsidRDefault="00A96BAB" w14:paraId="143EAE95" w14:textId="0CBCBC9E">
            <w:pPr>
              <w:numPr>
                <w:ilvl w:val="12"/>
                <w:numId w:val="0"/>
              </w:numPr>
              <w:tabs>
                <w:tab w:val="left" w:pos="0"/>
                <w:tab w:val="left" w:pos="720"/>
                <w:tab w:val="left" w:pos="1440"/>
                <w:tab w:val="left" w:pos="2160"/>
                <w:tab w:val="left" w:pos="2880"/>
              </w:tabs>
              <w:spacing w:before="117" w:after="52" w:line="240" w:lineRule="auto"/>
            </w:pPr>
            <w:r w:rsidRPr="00270E10">
              <w:rPr>
                <w:sz w:val="20"/>
              </w:rPr>
              <w:t xml:space="preserve">Regulatory Analysis, Section 5, and </w:t>
            </w:r>
            <w:r w:rsidR="00254B58">
              <w:rPr>
                <w:sz w:val="20"/>
              </w:rPr>
              <w:t>Section XIII, “</w:t>
            </w:r>
            <w:r w:rsidRPr="00270E10">
              <w:rPr>
                <w:sz w:val="20"/>
              </w:rPr>
              <w:t>Backfitting and Issue Finality,</w:t>
            </w:r>
            <w:r w:rsidR="00254B58">
              <w:rPr>
                <w:sz w:val="20"/>
              </w:rPr>
              <w:t>”</w:t>
            </w:r>
            <w:r w:rsidRPr="00270E10">
              <w:rPr>
                <w:sz w:val="20"/>
              </w:rPr>
              <w:t xml:space="preserve"> </w:t>
            </w:r>
            <w:r w:rsidR="00254B58">
              <w:rPr>
                <w:sz w:val="20"/>
              </w:rPr>
              <w:t xml:space="preserve">of </w:t>
            </w:r>
            <w:r w:rsidRPr="00270E10">
              <w:rPr>
                <w:i/>
                <w:sz w:val="20"/>
              </w:rPr>
              <w:t xml:space="preserve">Federal Register </w:t>
            </w:r>
            <w:r w:rsidRPr="00270E10">
              <w:rPr>
                <w:sz w:val="20"/>
              </w:rPr>
              <w:t xml:space="preserve">notice for the </w:t>
            </w:r>
            <w:r>
              <w:rPr>
                <w:sz w:val="20"/>
              </w:rPr>
              <w:t>final</w:t>
            </w:r>
            <w:r w:rsidRPr="00270E10">
              <w:rPr>
                <w:sz w:val="20"/>
              </w:rPr>
              <w:t xml:space="preserve"> rule</w:t>
            </w:r>
          </w:p>
        </w:tc>
      </w:tr>
      <w:tr w:rsidRPr="00AE758F" w:rsidR="00A96BAB" w:rsidTr="00382B4A" w14:paraId="5E910B6E" w14:textId="77777777">
        <w:trPr>
          <w:cantSplit/>
        </w:trPr>
        <w:tc>
          <w:tcPr>
            <w:tcW w:w="998" w:type="pct"/>
          </w:tcPr>
          <w:p w:rsidRPr="00AE758F" w:rsidR="00A96BAB" w:rsidP="00A96BAB" w:rsidRDefault="00A96BAB" w14:paraId="2738391F" w14:textId="6AB9222A">
            <w:pPr>
              <w:numPr>
                <w:ilvl w:val="12"/>
                <w:numId w:val="0"/>
              </w:numPr>
              <w:tabs>
                <w:tab w:val="left" w:pos="0"/>
                <w:tab w:val="left" w:pos="720"/>
              </w:tabs>
              <w:spacing w:before="117" w:after="52" w:line="240" w:lineRule="auto"/>
            </w:pPr>
            <w:r w:rsidRPr="00217D07">
              <w:rPr>
                <w:sz w:val="20"/>
              </w:rPr>
              <w:t xml:space="preserve">Appendix </w:t>
            </w:r>
            <w:r>
              <w:rPr>
                <w:sz w:val="20"/>
              </w:rPr>
              <w:t>B</w:t>
            </w:r>
            <w:r w:rsidRPr="00217D07">
              <w:rPr>
                <w:sz w:val="20"/>
              </w:rPr>
              <w:t>, (iv)</w:t>
            </w:r>
          </w:p>
        </w:tc>
        <w:tc>
          <w:tcPr>
            <w:tcW w:w="2704" w:type="pct"/>
          </w:tcPr>
          <w:p w:rsidRPr="00AE758F" w:rsidR="00A96BAB" w:rsidP="00A96BAB" w:rsidRDefault="00A96BAB" w14:paraId="32F41E13" w14:textId="251D3886">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sidRPr="00217D07">
              <w:rPr>
                <w:sz w:val="20"/>
              </w:rPr>
              <w:t>The method of implementation</w:t>
            </w:r>
          </w:p>
        </w:tc>
        <w:tc>
          <w:tcPr>
            <w:tcW w:w="1298" w:type="pct"/>
          </w:tcPr>
          <w:p w:rsidRPr="00AE758F" w:rsidR="00A96BAB" w:rsidP="00A96BAB" w:rsidRDefault="00A96BAB" w14:paraId="5A328123" w14:textId="567DBBF4">
            <w:pPr>
              <w:numPr>
                <w:ilvl w:val="12"/>
                <w:numId w:val="0"/>
              </w:numPr>
              <w:tabs>
                <w:tab w:val="left" w:pos="0"/>
                <w:tab w:val="left" w:pos="720"/>
                <w:tab w:val="left" w:pos="1440"/>
                <w:tab w:val="left" w:pos="2160"/>
                <w:tab w:val="left" w:pos="2880"/>
              </w:tabs>
              <w:spacing w:before="117" w:after="52" w:line="240" w:lineRule="auto"/>
            </w:pPr>
            <w:r w:rsidRPr="00217D07">
              <w:rPr>
                <w:sz w:val="20"/>
              </w:rPr>
              <w:t>Regulatory Analysis, Section 7</w:t>
            </w:r>
          </w:p>
        </w:tc>
      </w:tr>
      <w:tr w:rsidRPr="00AE758F" w:rsidR="00A96BAB" w:rsidTr="00382B4A" w14:paraId="7FB1713E" w14:textId="77777777">
        <w:trPr>
          <w:cantSplit/>
        </w:trPr>
        <w:tc>
          <w:tcPr>
            <w:tcW w:w="998" w:type="pct"/>
          </w:tcPr>
          <w:p w:rsidRPr="00AE758F" w:rsidR="00A96BAB" w:rsidP="00A96BAB" w:rsidRDefault="00A96BAB" w14:paraId="7D70747E" w14:textId="15FF6E0B">
            <w:pPr>
              <w:numPr>
                <w:ilvl w:val="12"/>
                <w:numId w:val="0"/>
              </w:numPr>
              <w:tabs>
                <w:tab w:val="left" w:pos="0"/>
                <w:tab w:val="left" w:pos="720"/>
              </w:tabs>
              <w:spacing w:before="117" w:line="240" w:lineRule="auto"/>
            </w:pPr>
            <w:r w:rsidRPr="00217D07">
              <w:rPr>
                <w:sz w:val="20"/>
              </w:rPr>
              <w:t xml:space="preserve">Appendix </w:t>
            </w:r>
            <w:r>
              <w:rPr>
                <w:sz w:val="20"/>
              </w:rPr>
              <w:t>B</w:t>
            </w:r>
            <w:r w:rsidRPr="00217D07">
              <w:rPr>
                <w:sz w:val="20"/>
              </w:rPr>
              <w:t>, (vi)</w:t>
            </w:r>
          </w:p>
        </w:tc>
        <w:tc>
          <w:tcPr>
            <w:tcW w:w="2704" w:type="pct"/>
          </w:tcPr>
          <w:p w:rsidRPr="00AE758F" w:rsidR="00A96BAB" w:rsidP="006E2975" w:rsidRDefault="006E2975" w14:paraId="5E31F770" w14:textId="3F9CAF92">
            <w:pPr>
              <w:numPr>
                <w:ilvl w:val="12"/>
                <w:numId w:val="0"/>
              </w:numPr>
              <w:tabs>
                <w:tab w:val="left" w:pos="0"/>
                <w:tab w:val="left" w:pos="720"/>
                <w:tab w:val="left" w:pos="1440"/>
                <w:tab w:val="left" w:pos="2160"/>
                <w:tab w:val="left" w:pos="2880"/>
                <w:tab w:val="left" w:pos="3600"/>
                <w:tab w:val="left" w:pos="4320"/>
                <w:tab w:val="left" w:pos="5040"/>
              </w:tabs>
              <w:spacing w:before="117" w:after="120" w:line="240" w:lineRule="auto"/>
            </w:pPr>
            <w:r>
              <w:rPr>
                <w:sz w:val="20"/>
              </w:rPr>
              <w:t>T</w:t>
            </w:r>
            <w:r w:rsidRPr="00217D07" w:rsidR="00A96BAB">
              <w:rPr>
                <w:sz w:val="20"/>
              </w:rPr>
              <w:t xml:space="preserve">he category of power reactors, new reactors, or nuclear materials facilities or activities to which the generic requirement or staff position </w:t>
            </w:r>
            <w:r w:rsidR="00A96BAB">
              <w:rPr>
                <w:sz w:val="20"/>
              </w:rPr>
              <w:t>applies</w:t>
            </w:r>
          </w:p>
        </w:tc>
        <w:tc>
          <w:tcPr>
            <w:tcW w:w="1298" w:type="pct"/>
          </w:tcPr>
          <w:p w:rsidRPr="00AE758F" w:rsidR="00A96BAB" w:rsidP="00A96BAB" w:rsidRDefault="00A96BAB" w14:paraId="3DEE72A8" w14:textId="298EAA70">
            <w:pPr>
              <w:numPr>
                <w:ilvl w:val="12"/>
                <w:numId w:val="0"/>
              </w:numPr>
              <w:tabs>
                <w:tab w:val="left" w:pos="0"/>
                <w:tab w:val="left" w:pos="720"/>
                <w:tab w:val="left" w:pos="1440"/>
                <w:tab w:val="left" w:pos="2160"/>
                <w:tab w:val="left" w:pos="2880"/>
              </w:tabs>
              <w:spacing w:before="117" w:after="52" w:line="240" w:lineRule="auto"/>
            </w:pPr>
            <w:r w:rsidRPr="00217D07">
              <w:rPr>
                <w:sz w:val="20"/>
              </w:rPr>
              <w:t>Regulatory Analysis, Section 4.2.2</w:t>
            </w:r>
          </w:p>
        </w:tc>
      </w:tr>
      <w:tr w:rsidRPr="00AE758F" w:rsidR="00A96BAB" w:rsidTr="00382B4A" w14:paraId="4765CC7E" w14:textId="77777777">
        <w:trPr>
          <w:cantSplit/>
        </w:trPr>
        <w:tc>
          <w:tcPr>
            <w:tcW w:w="998" w:type="pct"/>
          </w:tcPr>
          <w:p w:rsidRPr="00AE758F" w:rsidR="00A96BAB" w:rsidP="00A96BAB" w:rsidRDefault="00A96BAB" w14:paraId="55524C09" w14:textId="2442CE8E">
            <w:pPr>
              <w:numPr>
                <w:ilvl w:val="12"/>
                <w:numId w:val="0"/>
              </w:numPr>
              <w:tabs>
                <w:tab w:val="left" w:pos="0"/>
                <w:tab w:val="left" w:pos="720"/>
              </w:tabs>
              <w:spacing w:before="117" w:after="52" w:line="240" w:lineRule="auto"/>
            </w:pPr>
            <w:r w:rsidRPr="00217D07">
              <w:rPr>
                <w:sz w:val="20"/>
              </w:rPr>
              <w:t xml:space="preserve">Appendix </w:t>
            </w:r>
            <w:r>
              <w:rPr>
                <w:sz w:val="20"/>
              </w:rPr>
              <w:t>B</w:t>
            </w:r>
            <w:r w:rsidRPr="00217D07">
              <w:rPr>
                <w:sz w:val="20"/>
              </w:rPr>
              <w:t>,</w:t>
            </w:r>
            <w:r w:rsidRPr="00217D07">
              <w:rPr>
                <w:sz w:val="20"/>
              </w:rPr>
              <w:br/>
              <w:t>(vii)–(viii)</w:t>
            </w:r>
          </w:p>
        </w:tc>
        <w:tc>
          <w:tcPr>
            <w:tcW w:w="2704" w:type="pct"/>
          </w:tcPr>
          <w:p w:rsidRPr="00AE758F" w:rsidR="00A96BAB" w:rsidP="006E2975" w:rsidRDefault="006E2975" w14:paraId="513BE07E" w14:textId="50808CD0">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Pr>
                <w:sz w:val="20"/>
              </w:rPr>
              <w:t>T</w:t>
            </w:r>
            <w:r w:rsidRPr="00932CD6" w:rsidR="00A96BAB">
              <w:rPr>
                <w:sz w:val="20"/>
                <w:szCs w:val="20"/>
              </w:rPr>
              <w:t>he items required at 10 CFR 50.109(c) and the required rationale at 10 </w:t>
            </w:r>
            <w:r w:rsidRPr="006E7EA9" w:rsidR="00A96BAB">
              <w:rPr>
                <w:sz w:val="20"/>
                <w:szCs w:val="20"/>
              </w:rPr>
              <w:t>CFR 50</w:t>
            </w:r>
            <w:r w:rsidRPr="00932CD6" w:rsidR="00A96BAB">
              <w:rPr>
                <w:sz w:val="20"/>
                <w:szCs w:val="20"/>
              </w:rPr>
              <w:t>.109(a)(3)</w:t>
            </w:r>
            <w:r>
              <w:rPr>
                <w:sz w:val="20"/>
                <w:szCs w:val="20"/>
              </w:rPr>
              <w:t xml:space="preserve"> i</w:t>
            </w:r>
            <w:r w:rsidRPr="00217D07">
              <w:rPr>
                <w:sz w:val="20"/>
              </w:rPr>
              <w:t xml:space="preserve">f the action involves a power reactor backfit and the </w:t>
            </w:r>
            <w:r w:rsidRPr="00932CD6">
              <w:rPr>
                <w:sz w:val="20"/>
                <w:szCs w:val="20"/>
              </w:rPr>
              <w:t>exceptions at 10 CFR 50.109(a)(4) are not applicable</w:t>
            </w:r>
          </w:p>
        </w:tc>
        <w:tc>
          <w:tcPr>
            <w:tcW w:w="1298" w:type="pct"/>
          </w:tcPr>
          <w:p w:rsidRPr="00AE758F" w:rsidR="00A96BAB" w:rsidP="00254B58" w:rsidRDefault="00254B58" w14:paraId="012018D8" w14:textId="6EA6E359">
            <w:pPr>
              <w:numPr>
                <w:ilvl w:val="12"/>
                <w:numId w:val="0"/>
              </w:numPr>
              <w:tabs>
                <w:tab w:val="left" w:pos="0"/>
                <w:tab w:val="left" w:pos="720"/>
                <w:tab w:val="left" w:pos="1440"/>
                <w:tab w:val="left" w:pos="2160"/>
                <w:tab w:val="left" w:pos="2880"/>
              </w:tabs>
              <w:spacing w:before="117" w:after="52" w:line="240" w:lineRule="auto"/>
            </w:pPr>
            <w:r>
              <w:rPr>
                <w:sz w:val="20"/>
              </w:rPr>
              <w:t>Section XIII, “</w:t>
            </w:r>
            <w:r w:rsidRPr="00A779A7" w:rsidR="00A96BAB">
              <w:rPr>
                <w:sz w:val="20"/>
              </w:rPr>
              <w:t>Backfitting and Issue Finality,</w:t>
            </w:r>
            <w:r>
              <w:rPr>
                <w:sz w:val="20"/>
              </w:rPr>
              <w:t>”</w:t>
            </w:r>
            <w:r w:rsidRPr="00A779A7" w:rsidR="00A96BAB">
              <w:rPr>
                <w:sz w:val="20"/>
              </w:rPr>
              <w:t xml:space="preserve"> </w:t>
            </w:r>
            <w:r>
              <w:rPr>
                <w:sz w:val="20"/>
              </w:rPr>
              <w:t xml:space="preserve">of </w:t>
            </w:r>
            <w:r w:rsidRPr="00A779A7" w:rsidR="00A96BAB">
              <w:rPr>
                <w:i/>
                <w:sz w:val="20"/>
              </w:rPr>
              <w:t xml:space="preserve">Federal Register </w:t>
            </w:r>
            <w:r w:rsidRPr="00A779A7" w:rsidR="00A96BAB">
              <w:rPr>
                <w:sz w:val="20"/>
              </w:rPr>
              <w:t>notice</w:t>
            </w:r>
            <w:r w:rsidRPr="00217D07" w:rsidR="00A96BAB">
              <w:rPr>
                <w:sz w:val="20"/>
              </w:rPr>
              <w:t xml:space="preserve"> for the </w:t>
            </w:r>
            <w:r w:rsidR="00A96BAB">
              <w:rPr>
                <w:sz w:val="20"/>
              </w:rPr>
              <w:t>final</w:t>
            </w:r>
            <w:r w:rsidRPr="00217D07" w:rsidR="00A96BAB">
              <w:rPr>
                <w:sz w:val="20"/>
              </w:rPr>
              <w:t xml:space="preserve"> rule</w:t>
            </w:r>
          </w:p>
        </w:tc>
      </w:tr>
      <w:tr w:rsidRPr="00AE758F" w:rsidR="00A96BAB" w:rsidTr="00382B4A" w14:paraId="0F606F17" w14:textId="77777777">
        <w:trPr>
          <w:cantSplit/>
        </w:trPr>
        <w:tc>
          <w:tcPr>
            <w:tcW w:w="998" w:type="pct"/>
          </w:tcPr>
          <w:p w:rsidRPr="00AE758F" w:rsidR="00A96BAB" w:rsidP="00A96BAB" w:rsidRDefault="00A96BAB" w14:paraId="2762D631" w14:textId="27D52305">
            <w:pPr>
              <w:numPr>
                <w:ilvl w:val="12"/>
                <w:numId w:val="0"/>
              </w:numPr>
              <w:tabs>
                <w:tab w:val="left" w:pos="0"/>
                <w:tab w:val="left" w:pos="720"/>
              </w:tabs>
              <w:spacing w:before="117" w:after="52" w:line="240" w:lineRule="auto"/>
            </w:pPr>
            <w:r w:rsidRPr="00217D07">
              <w:rPr>
                <w:sz w:val="20"/>
              </w:rPr>
              <w:t xml:space="preserve">Appendix </w:t>
            </w:r>
            <w:r>
              <w:rPr>
                <w:sz w:val="20"/>
              </w:rPr>
              <w:t>B</w:t>
            </w:r>
            <w:r w:rsidRPr="00217D07">
              <w:rPr>
                <w:sz w:val="20"/>
              </w:rPr>
              <w:t>, (x</w:t>
            </w:r>
            <w:r>
              <w:rPr>
                <w:sz w:val="20"/>
              </w:rPr>
              <w:t>v</w:t>
            </w:r>
            <w:r w:rsidRPr="00217D07">
              <w:rPr>
                <w:sz w:val="20"/>
              </w:rPr>
              <w:t>i)</w:t>
            </w:r>
          </w:p>
        </w:tc>
        <w:tc>
          <w:tcPr>
            <w:tcW w:w="2704" w:type="pct"/>
          </w:tcPr>
          <w:p w:rsidRPr="00AE758F" w:rsidR="00A96BAB" w:rsidP="00A96BAB" w:rsidRDefault="00A96BAB" w14:paraId="15BFE1A2" w14:textId="60CE2373">
            <w:pPr>
              <w:numPr>
                <w:ilvl w:val="12"/>
                <w:numId w:val="0"/>
              </w:numPr>
              <w:tabs>
                <w:tab w:val="left" w:pos="0"/>
                <w:tab w:val="left" w:pos="720"/>
                <w:tab w:val="left" w:pos="1440"/>
                <w:tab w:val="left" w:pos="2160"/>
                <w:tab w:val="left" w:pos="2880"/>
                <w:tab w:val="left" w:pos="3600"/>
                <w:tab w:val="left" w:pos="4320"/>
                <w:tab w:val="left" w:pos="5040"/>
              </w:tabs>
              <w:spacing w:before="117" w:after="52" w:line="240" w:lineRule="auto"/>
            </w:pPr>
            <w:r>
              <w:rPr>
                <w:sz w:val="20"/>
              </w:rPr>
              <w:t>A</w:t>
            </w:r>
            <w:r w:rsidRPr="00217D07">
              <w:rPr>
                <w:sz w:val="20"/>
              </w:rPr>
              <w:t>n assessment of how the action relates to the Commission’</w:t>
            </w:r>
            <w:r>
              <w:rPr>
                <w:sz w:val="20"/>
              </w:rPr>
              <w:t>s Safety Goal Policy Statement</w:t>
            </w:r>
          </w:p>
        </w:tc>
        <w:tc>
          <w:tcPr>
            <w:tcW w:w="1298" w:type="pct"/>
          </w:tcPr>
          <w:p w:rsidRPr="00AE758F" w:rsidR="00A96BAB" w:rsidP="00A96BAB" w:rsidRDefault="00A96BAB" w14:paraId="7D3FB06E" w14:textId="3CE8E3AA">
            <w:pPr>
              <w:numPr>
                <w:ilvl w:val="12"/>
                <w:numId w:val="0"/>
              </w:numPr>
              <w:tabs>
                <w:tab w:val="left" w:pos="0"/>
                <w:tab w:val="left" w:pos="720"/>
                <w:tab w:val="left" w:pos="1440"/>
                <w:tab w:val="left" w:pos="2160"/>
                <w:tab w:val="left" w:pos="2880"/>
              </w:tabs>
              <w:spacing w:before="117" w:after="52" w:line="240" w:lineRule="auto"/>
            </w:pPr>
            <w:r w:rsidRPr="00217D07">
              <w:rPr>
                <w:sz w:val="20"/>
              </w:rPr>
              <w:t>Regulatory Analysis, Section 5.1</w:t>
            </w:r>
            <w:r>
              <w:rPr>
                <w:sz w:val="20"/>
              </w:rPr>
              <w:t>5</w:t>
            </w:r>
          </w:p>
        </w:tc>
      </w:tr>
    </w:tbl>
    <w:p w:rsidRPr="00AE758F" w:rsidR="00C8101A" w:rsidP="007936BF" w:rsidRDefault="00C8101A" w14:paraId="0192740A" w14:textId="77777777">
      <w:pPr>
        <w:spacing w:line="240" w:lineRule="auto"/>
      </w:pPr>
    </w:p>
    <w:p w:rsidRPr="00AE758F" w:rsidR="00C8101A" w:rsidP="00977776" w:rsidRDefault="00C8101A" w14:paraId="6A7A5D53" w14:textId="4084E856">
      <w:pPr>
        <w:pStyle w:val="Heading1"/>
        <w:numPr>
          <w:ilvl w:val="0"/>
          <w:numId w:val="10"/>
        </w:numPr>
        <w:spacing w:line="240" w:lineRule="auto"/>
        <w:ind w:left="270" w:hanging="270"/>
      </w:pPr>
      <w:bookmarkStart w:name="_Toc456098363" w:id="406"/>
      <w:bookmarkStart w:name="_Toc457827376" w:id="407"/>
      <w:bookmarkStart w:name="_Toc521577271" w:id="408"/>
      <w:bookmarkStart w:name="_Toc7512454" w:id="409"/>
      <w:bookmarkStart w:name="_Toc81309151" w:id="410"/>
      <w:r w:rsidRPr="00AE758F">
        <w:rPr>
          <w:szCs w:val="22"/>
        </w:rPr>
        <w:t>Decision</w:t>
      </w:r>
      <w:r w:rsidRPr="00AE758F">
        <w:t xml:space="preserve"> Rationale</w:t>
      </w:r>
      <w:bookmarkEnd w:id="406"/>
      <w:bookmarkEnd w:id="407"/>
      <w:bookmarkEnd w:id="408"/>
      <w:bookmarkEnd w:id="409"/>
      <w:bookmarkEnd w:id="410"/>
    </w:p>
    <w:p w:rsidRPr="00AE758F" w:rsidR="00C8101A" w:rsidP="007936BF" w:rsidRDefault="00C8101A" w14:paraId="735B341C" w14:textId="77777777">
      <w:pPr>
        <w:spacing w:line="240" w:lineRule="auto"/>
      </w:pPr>
    </w:p>
    <w:p w:rsidRPr="00AE758F" w:rsidR="00C8101A" w:rsidP="007936BF" w:rsidRDefault="00C8101A" w14:paraId="0CEAFE40" w14:textId="7260A098">
      <w:pPr>
        <w:spacing w:line="240" w:lineRule="auto"/>
      </w:pPr>
      <w:r w:rsidRPr="00343099">
        <w:fldChar w:fldCharType="begin"/>
      </w:r>
      <w:r w:rsidRPr="00AE758F">
        <w:instrText xml:space="preserve"> REF _Ref393461649 \h  \* MERGEFORMAT </w:instrText>
      </w:r>
      <w:r w:rsidRPr="00343099">
        <w:fldChar w:fldCharType="separate"/>
      </w:r>
      <w:r w:rsidRPr="006A41A8" w:rsidR="006A41A8">
        <w:t>Table 17</w:t>
      </w:r>
      <w:r w:rsidRPr="00343099">
        <w:fldChar w:fldCharType="end"/>
      </w:r>
      <w:r w:rsidRPr="00AE758F">
        <w:t xml:space="preserve"> provides the quanti</w:t>
      </w:r>
      <w:r w:rsidR="008D7600">
        <w:t>tative</w:t>
      </w:r>
      <w:r w:rsidRPr="00AE758F">
        <w:t xml:space="preserve"> and </w:t>
      </w:r>
      <w:r w:rsidR="006E2975">
        <w:t>qualitative</w:t>
      </w:r>
      <w:r w:rsidRPr="00AE758F" w:rsidR="006E2975">
        <w:t xml:space="preserve"> </w:t>
      </w:r>
      <w:r w:rsidRPr="00AE758F">
        <w:t>costs and benefits for Alternative 2.  The</w:t>
      </w:r>
      <w:r w:rsidR="007049DC">
        <w:t> </w:t>
      </w:r>
      <w:r w:rsidRPr="00AE758F">
        <w:t>quantitative analysis used best</w:t>
      </w:r>
      <w:r w:rsidRPr="00AE758F" w:rsidR="009F440C">
        <w:t xml:space="preserve"> </w:t>
      </w:r>
      <w:r w:rsidRPr="00AE758F">
        <w:t>estimate values.</w:t>
      </w:r>
    </w:p>
    <w:p w:rsidRPr="00AE758F" w:rsidR="00CD6028" w:rsidP="007936BF" w:rsidRDefault="00CD6028" w14:paraId="54207604" w14:textId="77777777">
      <w:pPr>
        <w:spacing w:line="240" w:lineRule="auto"/>
      </w:pPr>
    </w:p>
    <w:p w:rsidRPr="00AE758F" w:rsidR="00C8101A" w:rsidP="00382B4A" w:rsidRDefault="00C8101A" w14:paraId="66FFAD53" w14:textId="4E3DC607">
      <w:pPr>
        <w:pStyle w:val="Caption"/>
        <w:spacing w:line="240" w:lineRule="auto"/>
        <w:ind w:left="1440" w:hanging="1440"/>
        <w:jc w:val="center"/>
        <w:rPr>
          <w:b/>
          <w:bCs w:val="0"/>
        </w:rPr>
      </w:pPr>
      <w:bookmarkStart w:name="_Ref393461649" w:id="411"/>
      <w:bookmarkStart w:name="_Toc393790948" w:id="412"/>
      <w:bookmarkStart w:name="_Toc393791082" w:id="413"/>
      <w:bookmarkStart w:name="_Toc454442510" w:id="414"/>
      <w:bookmarkStart w:name="_Toc457827430" w:id="415"/>
      <w:bookmarkStart w:name="_Toc7512491" w:id="416"/>
      <w:bookmarkStart w:name="_Toc81309693" w:id="417"/>
      <w:r w:rsidRPr="00AE758F">
        <w:rPr>
          <w:b/>
          <w:bCs w:val="0"/>
        </w:rPr>
        <w:t>Table </w:t>
      </w:r>
      <w:r w:rsidRPr="00343099">
        <w:rPr>
          <w:b/>
          <w:bCs w:val="0"/>
          <w:noProof/>
        </w:rPr>
        <w:fldChar w:fldCharType="begin"/>
      </w:r>
      <w:r w:rsidRPr="00AE758F">
        <w:rPr>
          <w:b/>
          <w:bCs w:val="0"/>
          <w:noProof/>
        </w:rPr>
        <w:instrText xml:space="preserve"> SEQ Table \* ARABIC </w:instrText>
      </w:r>
      <w:r w:rsidRPr="00343099">
        <w:rPr>
          <w:b/>
          <w:bCs w:val="0"/>
          <w:noProof/>
        </w:rPr>
        <w:fldChar w:fldCharType="separate"/>
      </w:r>
      <w:r w:rsidR="006A41A8">
        <w:rPr>
          <w:b/>
          <w:bCs w:val="0"/>
          <w:noProof/>
        </w:rPr>
        <w:t>17</w:t>
      </w:r>
      <w:r w:rsidRPr="00343099">
        <w:rPr>
          <w:b/>
          <w:bCs w:val="0"/>
          <w:noProof/>
        </w:rPr>
        <w:fldChar w:fldCharType="end"/>
      </w:r>
      <w:bookmarkEnd w:id="411"/>
      <w:r w:rsidRPr="00AE758F" w:rsidR="0037779C">
        <w:rPr>
          <w:b/>
          <w:bCs w:val="0"/>
          <w:noProof/>
        </w:rPr>
        <w:t xml:space="preserve">  </w:t>
      </w:r>
      <w:r w:rsidRPr="00AE758F">
        <w:rPr>
          <w:b/>
          <w:bCs w:val="0"/>
        </w:rPr>
        <w:t xml:space="preserve">Summary of </w:t>
      </w:r>
      <w:r w:rsidR="00396945">
        <w:rPr>
          <w:b/>
          <w:bCs w:val="0"/>
        </w:rPr>
        <w:t>Cost</w:t>
      </w:r>
      <w:r w:rsidRPr="00AE758F">
        <w:rPr>
          <w:b/>
          <w:bCs w:val="0"/>
        </w:rPr>
        <w:t>s</w:t>
      </w:r>
      <w:bookmarkEnd w:id="412"/>
      <w:bookmarkEnd w:id="413"/>
      <w:bookmarkEnd w:id="414"/>
      <w:bookmarkEnd w:id="415"/>
      <w:bookmarkEnd w:id="416"/>
      <w:r w:rsidR="00396945">
        <w:rPr>
          <w:b/>
          <w:bCs w:val="0"/>
        </w:rPr>
        <w:t xml:space="preserve"> and Benefits</w:t>
      </w:r>
      <w:bookmarkEnd w:id="417"/>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9"/>
        <w:gridCol w:w="5041"/>
      </w:tblGrid>
      <w:tr w:rsidRPr="00AE758F" w:rsidR="00C8101A" w:rsidTr="00382B4A" w14:paraId="02AEDB87" w14:textId="77777777">
        <w:trPr>
          <w:tblHeader/>
        </w:trPr>
        <w:tc>
          <w:tcPr>
            <w:tcW w:w="4310" w:type="dxa"/>
            <w:vAlign w:val="center"/>
          </w:tcPr>
          <w:p w:rsidRPr="00AE758F" w:rsidR="00C8101A" w:rsidP="006E2975" w:rsidRDefault="00C8101A" w14:paraId="79A93412" w14:textId="2155556C">
            <w:pPr>
              <w:keepNext/>
              <w:spacing w:line="240" w:lineRule="auto"/>
              <w:jc w:val="center"/>
              <w:rPr>
                <w:b/>
                <w:sz w:val="20"/>
                <w:szCs w:val="20"/>
              </w:rPr>
            </w:pPr>
            <w:r w:rsidRPr="00AE758F">
              <w:rPr>
                <w:b/>
                <w:sz w:val="20"/>
                <w:szCs w:val="20"/>
              </w:rPr>
              <w:t>Net Monetary Savings (Costs)—</w:t>
            </w:r>
            <w:r w:rsidR="008D7600">
              <w:rPr>
                <w:b/>
                <w:sz w:val="20"/>
                <w:szCs w:val="20"/>
              </w:rPr>
              <w:t>NPV</w:t>
            </w:r>
          </w:p>
        </w:tc>
        <w:tc>
          <w:tcPr>
            <w:tcW w:w="5030" w:type="dxa"/>
            <w:vAlign w:val="center"/>
          </w:tcPr>
          <w:p w:rsidRPr="00AE758F" w:rsidR="00C8101A" w:rsidP="006E2975" w:rsidRDefault="00C8101A" w14:paraId="6B3F9E75" w14:textId="61BAD9E3">
            <w:pPr>
              <w:keepNext/>
              <w:spacing w:line="240" w:lineRule="auto"/>
              <w:jc w:val="center"/>
              <w:rPr>
                <w:b/>
                <w:sz w:val="20"/>
                <w:szCs w:val="20"/>
              </w:rPr>
            </w:pPr>
            <w:proofErr w:type="spellStart"/>
            <w:r w:rsidRPr="00AE758F">
              <w:rPr>
                <w:b/>
                <w:sz w:val="20"/>
                <w:szCs w:val="20"/>
              </w:rPr>
              <w:t>Nonquantified</w:t>
            </w:r>
            <w:proofErr w:type="spellEnd"/>
            <w:r w:rsidRPr="00AE758F">
              <w:rPr>
                <w:b/>
                <w:sz w:val="20"/>
                <w:szCs w:val="20"/>
              </w:rPr>
              <w:t xml:space="preserve"> Benefits (Costs)</w:t>
            </w:r>
          </w:p>
        </w:tc>
      </w:tr>
      <w:tr w:rsidRPr="00AE758F" w:rsidR="00C8101A" w:rsidTr="00382B4A" w14:paraId="55ACA8F4" w14:textId="77777777">
        <w:tc>
          <w:tcPr>
            <w:tcW w:w="4310" w:type="dxa"/>
          </w:tcPr>
          <w:p w:rsidRPr="00AE758F" w:rsidR="00C8101A" w:rsidP="007936BF" w:rsidRDefault="00C8101A" w14:paraId="0928889D" w14:textId="082A046A">
            <w:pPr>
              <w:keepNext/>
              <w:spacing w:line="240" w:lineRule="auto"/>
              <w:rPr>
                <w:sz w:val="20"/>
                <w:szCs w:val="20"/>
              </w:rPr>
            </w:pPr>
            <w:r w:rsidRPr="00AE758F">
              <w:rPr>
                <w:b/>
                <w:sz w:val="20"/>
                <w:szCs w:val="20"/>
              </w:rPr>
              <w:t>Alternative 1:</w:t>
            </w:r>
            <w:r w:rsidRPr="00AE758F">
              <w:rPr>
                <w:sz w:val="20"/>
                <w:szCs w:val="20"/>
              </w:rPr>
              <w:t xml:space="preserve">  No</w:t>
            </w:r>
            <w:r w:rsidR="006E2975">
              <w:rPr>
                <w:sz w:val="20"/>
                <w:szCs w:val="20"/>
              </w:rPr>
              <w:t xml:space="preserve"> a</w:t>
            </w:r>
            <w:r w:rsidRPr="00AE758F">
              <w:rPr>
                <w:sz w:val="20"/>
                <w:szCs w:val="20"/>
              </w:rPr>
              <w:t>ction</w:t>
            </w:r>
          </w:p>
          <w:p w:rsidRPr="00AE758F" w:rsidR="00C8101A" w:rsidP="007936BF" w:rsidRDefault="00C8101A" w14:paraId="730D95D9" w14:textId="77777777">
            <w:pPr>
              <w:keepNext/>
              <w:spacing w:line="240" w:lineRule="auto"/>
              <w:rPr>
                <w:sz w:val="20"/>
                <w:szCs w:val="20"/>
              </w:rPr>
            </w:pPr>
            <w:r w:rsidRPr="00AE758F">
              <w:rPr>
                <w:sz w:val="20"/>
                <w:szCs w:val="20"/>
              </w:rPr>
              <w:t>$0</w:t>
            </w:r>
          </w:p>
        </w:tc>
        <w:tc>
          <w:tcPr>
            <w:tcW w:w="5030" w:type="dxa"/>
          </w:tcPr>
          <w:p w:rsidRPr="00AE758F" w:rsidR="00C8101A" w:rsidP="007936BF" w:rsidRDefault="00C8101A" w14:paraId="6B3A9A1C" w14:textId="77777777">
            <w:pPr>
              <w:keepNext/>
              <w:spacing w:line="240" w:lineRule="auto"/>
              <w:rPr>
                <w:sz w:val="20"/>
                <w:szCs w:val="20"/>
              </w:rPr>
            </w:pPr>
          </w:p>
          <w:p w:rsidRPr="00AE758F" w:rsidR="00C8101A" w:rsidP="007936BF" w:rsidRDefault="00C8101A" w14:paraId="423711A4" w14:textId="77777777">
            <w:pPr>
              <w:keepNext/>
              <w:spacing w:line="240" w:lineRule="auto"/>
              <w:rPr>
                <w:sz w:val="20"/>
                <w:szCs w:val="20"/>
              </w:rPr>
            </w:pPr>
            <w:r w:rsidRPr="00AE758F">
              <w:rPr>
                <w:sz w:val="20"/>
                <w:szCs w:val="20"/>
              </w:rPr>
              <w:t>None</w:t>
            </w:r>
          </w:p>
        </w:tc>
      </w:tr>
      <w:tr w:rsidRPr="00AE758F" w:rsidR="00C8101A" w:rsidTr="00382B4A" w14:paraId="040803CC" w14:textId="77777777">
        <w:tc>
          <w:tcPr>
            <w:tcW w:w="4310" w:type="dxa"/>
          </w:tcPr>
          <w:p w:rsidRPr="00AE758F" w:rsidR="00C8101A" w:rsidP="007936BF" w:rsidRDefault="00C8101A" w14:paraId="5BDA7374" w14:textId="0BFF88AF">
            <w:pPr>
              <w:spacing w:line="240" w:lineRule="auto"/>
              <w:rPr>
                <w:b/>
                <w:sz w:val="20"/>
                <w:szCs w:val="20"/>
              </w:rPr>
            </w:pPr>
            <w:r w:rsidRPr="00AE758F">
              <w:rPr>
                <w:b/>
                <w:sz w:val="20"/>
                <w:szCs w:val="20"/>
              </w:rPr>
              <w:t xml:space="preserve">Alternative 2:  </w:t>
            </w:r>
            <w:r w:rsidRPr="00AE758F">
              <w:rPr>
                <w:sz w:val="20"/>
                <w:szCs w:val="20"/>
              </w:rPr>
              <w:t xml:space="preserve">Incorporate by </w:t>
            </w:r>
            <w:r w:rsidRPr="00AE758F" w:rsidR="0037779C">
              <w:rPr>
                <w:sz w:val="20"/>
                <w:szCs w:val="20"/>
              </w:rPr>
              <w:t>r</w:t>
            </w:r>
            <w:r w:rsidRPr="00AE758F">
              <w:rPr>
                <w:sz w:val="20"/>
                <w:szCs w:val="20"/>
              </w:rPr>
              <w:t>eference ASME BPV Code 201</w:t>
            </w:r>
            <w:r w:rsidRPr="00AE758F" w:rsidR="002A6C8C">
              <w:rPr>
                <w:sz w:val="20"/>
                <w:szCs w:val="20"/>
              </w:rPr>
              <w:t>9</w:t>
            </w:r>
            <w:r w:rsidRPr="00AE758F">
              <w:rPr>
                <w:sz w:val="20"/>
                <w:szCs w:val="20"/>
              </w:rPr>
              <w:t xml:space="preserve"> Editions and </w:t>
            </w:r>
            <w:r w:rsidRPr="00AE758F" w:rsidR="0037779C">
              <w:rPr>
                <w:sz w:val="20"/>
                <w:szCs w:val="20"/>
              </w:rPr>
              <w:t xml:space="preserve">ASME </w:t>
            </w:r>
            <w:r w:rsidRPr="00AE758F">
              <w:rPr>
                <w:sz w:val="20"/>
                <w:szCs w:val="20"/>
              </w:rPr>
              <w:t>OM Code 20</w:t>
            </w:r>
            <w:r w:rsidRPr="00AE758F" w:rsidR="002A6C8C">
              <w:rPr>
                <w:sz w:val="20"/>
                <w:szCs w:val="20"/>
              </w:rPr>
              <w:t>20</w:t>
            </w:r>
            <w:r w:rsidRPr="00AE758F">
              <w:rPr>
                <w:sz w:val="20"/>
                <w:szCs w:val="20"/>
              </w:rPr>
              <w:t xml:space="preserve"> Editions, with </w:t>
            </w:r>
            <w:r w:rsidRPr="00AE758F" w:rsidR="0037779C">
              <w:rPr>
                <w:sz w:val="20"/>
                <w:szCs w:val="20"/>
              </w:rPr>
              <w:t>c</w:t>
            </w:r>
            <w:r w:rsidRPr="00AE758F">
              <w:rPr>
                <w:sz w:val="20"/>
                <w:szCs w:val="20"/>
              </w:rPr>
              <w:t>onditions</w:t>
            </w:r>
          </w:p>
          <w:p w:rsidRPr="00AE758F" w:rsidR="00C8101A" w:rsidP="007936BF" w:rsidRDefault="00C8101A" w14:paraId="668C08AC" w14:textId="77777777">
            <w:pPr>
              <w:spacing w:line="240" w:lineRule="auto"/>
              <w:rPr>
                <w:sz w:val="20"/>
                <w:szCs w:val="20"/>
              </w:rPr>
            </w:pPr>
          </w:p>
          <w:p w:rsidRPr="00AE758F" w:rsidR="00C8101A" w:rsidP="007936BF" w:rsidRDefault="00C8101A" w14:paraId="25359F07" w14:textId="1E0BC99E">
            <w:pPr>
              <w:spacing w:line="240" w:lineRule="auto"/>
              <w:rPr>
                <w:sz w:val="20"/>
                <w:szCs w:val="20"/>
              </w:rPr>
            </w:pPr>
            <w:r w:rsidRPr="00AE758F">
              <w:rPr>
                <w:sz w:val="20"/>
                <w:szCs w:val="20"/>
              </w:rPr>
              <w:t>Industry (all provisions)</w:t>
            </w:r>
            <w:r w:rsidR="006E2975">
              <w:rPr>
                <w:sz w:val="20"/>
                <w:szCs w:val="20"/>
              </w:rPr>
              <w:t>:</w:t>
            </w:r>
          </w:p>
          <w:p w:rsidRPr="00AE758F" w:rsidR="00C8101A" w:rsidP="007936BF" w:rsidRDefault="00C8101A" w14:paraId="1522A2A4" w14:textId="188A7773">
            <w:pPr>
              <w:spacing w:line="240" w:lineRule="auto"/>
              <w:rPr>
                <w:sz w:val="20"/>
                <w:szCs w:val="20"/>
              </w:rPr>
            </w:pPr>
            <w:r w:rsidRPr="00AE758F">
              <w:rPr>
                <w:sz w:val="20"/>
                <w:szCs w:val="20"/>
              </w:rPr>
              <w:t>$</w:t>
            </w:r>
            <w:r w:rsidR="00CB69A8">
              <w:rPr>
                <w:sz w:val="20"/>
                <w:szCs w:val="20"/>
              </w:rPr>
              <w:t>10.2</w:t>
            </w:r>
            <w:r w:rsidRPr="00AE758F">
              <w:rPr>
                <w:sz w:val="20"/>
                <w:szCs w:val="20"/>
              </w:rPr>
              <w:t> million using a 7% discount rate</w:t>
            </w:r>
          </w:p>
          <w:p w:rsidRPr="00AE758F" w:rsidR="00C8101A" w:rsidP="007936BF" w:rsidRDefault="00C8101A" w14:paraId="6CC631E9" w14:textId="5DC44759">
            <w:pPr>
              <w:spacing w:line="240" w:lineRule="auto"/>
              <w:rPr>
                <w:sz w:val="20"/>
                <w:szCs w:val="20"/>
              </w:rPr>
            </w:pPr>
            <w:r w:rsidRPr="00AE758F">
              <w:rPr>
                <w:sz w:val="20"/>
                <w:szCs w:val="20"/>
              </w:rPr>
              <w:t>$</w:t>
            </w:r>
            <w:r w:rsidR="00CB69A8">
              <w:rPr>
                <w:sz w:val="20"/>
                <w:szCs w:val="20"/>
              </w:rPr>
              <w:t>11.0</w:t>
            </w:r>
            <w:r w:rsidRPr="00AE758F">
              <w:rPr>
                <w:sz w:val="20"/>
                <w:szCs w:val="20"/>
              </w:rPr>
              <w:t> million using a 3% discount rate</w:t>
            </w:r>
          </w:p>
          <w:p w:rsidRPr="00AE758F" w:rsidR="00C8101A" w:rsidP="007936BF" w:rsidRDefault="00C8101A" w14:paraId="0A75AAAA" w14:textId="77777777">
            <w:pPr>
              <w:spacing w:line="240" w:lineRule="auto"/>
              <w:rPr>
                <w:sz w:val="20"/>
                <w:szCs w:val="20"/>
              </w:rPr>
            </w:pPr>
          </w:p>
          <w:p w:rsidRPr="00AE758F" w:rsidR="00C8101A" w:rsidP="009824C2" w:rsidRDefault="00C8101A" w14:paraId="5F20E857" w14:textId="1A455582">
            <w:pPr>
              <w:keepNext/>
              <w:spacing w:line="240" w:lineRule="auto"/>
              <w:rPr>
                <w:sz w:val="20"/>
                <w:szCs w:val="20"/>
              </w:rPr>
            </w:pPr>
            <w:r w:rsidRPr="00AE758F">
              <w:rPr>
                <w:sz w:val="20"/>
                <w:szCs w:val="20"/>
              </w:rPr>
              <w:lastRenderedPageBreak/>
              <w:t>NRC (all provisions)</w:t>
            </w:r>
            <w:r w:rsidR="00926A18">
              <w:rPr>
                <w:sz w:val="20"/>
                <w:szCs w:val="20"/>
              </w:rPr>
              <w:t>:</w:t>
            </w:r>
          </w:p>
          <w:p w:rsidRPr="00AE758F" w:rsidR="00C8101A" w:rsidP="009824C2" w:rsidRDefault="00C8101A" w14:paraId="0C7E2E5F" w14:textId="518EC797">
            <w:pPr>
              <w:keepNext/>
              <w:spacing w:line="240" w:lineRule="auto"/>
              <w:rPr>
                <w:sz w:val="20"/>
                <w:szCs w:val="20"/>
              </w:rPr>
            </w:pPr>
            <w:r w:rsidRPr="00AE758F">
              <w:rPr>
                <w:sz w:val="20"/>
                <w:szCs w:val="20"/>
              </w:rPr>
              <w:t>$</w:t>
            </w:r>
            <w:r w:rsidRPr="00AE758F" w:rsidR="00375C8A">
              <w:rPr>
                <w:sz w:val="20"/>
                <w:szCs w:val="20"/>
              </w:rPr>
              <w:t>0.</w:t>
            </w:r>
            <w:r w:rsidR="00CB69A8">
              <w:rPr>
                <w:sz w:val="20"/>
                <w:szCs w:val="20"/>
              </w:rPr>
              <w:t>91</w:t>
            </w:r>
            <w:r w:rsidRPr="00AE758F">
              <w:rPr>
                <w:sz w:val="20"/>
                <w:szCs w:val="20"/>
              </w:rPr>
              <w:t> million using a 7% discount rate</w:t>
            </w:r>
          </w:p>
          <w:p w:rsidRPr="00AE758F" w:rsidR="00C8101A" w:rsidP="007936BF" w:rsidRDefault="00C8101A" w14:paraId="5FC5A10A" w14:textId="11E511EC">
            <w:pPr>
              <w:spacing w:line="240" w:lineRule="auto"/>
              <w:rPr>
                <w:sz w:val="20"/>
                <w:szCs w:val="20"/>
              </w:rPr>
            </w:pPr>
            <w:r w:rsidRPr="00AE758F">
              <w:rPr>
                <w:sz w:val="20"/>
                <w:szCs w:val="20"/>
              </w:rPr>
              <w:t>$</w:t>
            </w:r>
            <w:r w:rsidRPr="00AE758F" w:rsidR="00375C8A">
              <w:rPr>
                <w:sz w:val="20"/>
                <w:szCs w:val="20"/>
              </w:rPr>
              <w:t>0.</w:t>
            </w:r>
            <w:r w:rsidR="00CB69A8">
              <w:rPr>
                <w:sz w:val="20"/>
                <w:szCs w:val="20"/>
              </w:rPr>
              <w:t>99</w:t>
            </w:r>
            <w:r w:rsidRPr="00AE758F">
              <w:rPr>
                <w:sz w:val="20"/>
                <w:szCs w:val="20"/>
              </w:rPr>
              <w:t> million using a 3% discount rate</w:t>
            </w:r>
          </w:p>
          <w:p w:rsidRPr="00AE758F" w:rsidR="00C8101A" w:rsidP="007936BF" w:rsidRDefault="00C8101A" w14:paraId="3BBFF51E" w14:textId="77777777">
            <w:pPr>
              <w:spacing w:line="240" w:lineRule="auto"/>
              <w:rPr>
                <w:sz w:val="20"/>
                <w:szCs w:val="20"/>
              </w:rPr>
            </w:pPr>
          </w:p>
          <w:p w:rsidRPr="00AE758F" w:rsidR="00C8101A" w:rsidP="007936BF" w:rsidRDefault="00C8101A" w14:paraId="4E2B5CBC" w14:textId="4F3C4F7E">
            <w:pPr>
              <w:spacing w:line="240" w:lineRule="auto"/>
              <w:rPr>
                <w:sz w:val="20"/>
                <w:szCs w:val="20"/>
              </w:rPr>
            </w:pPr>
            <w:r w:rsidRPr="00AE758F">
              <w:rPr>
                <w:sz w:val="20"/>
                <w:szCs w:val="20"/>
              </w:rPr>
              <w:t xml:space="preserve">Net </w:t>
            </w:r>
            <w:r w:rsidR="00926A18">
              <w:rPr>
                <w:sz w:val="20"/>
                <w:szCs w:val="20"/>
              </w:rPr>
              <w:t>b</w:t>
            </w:r>
            <w:r w:rsidRPr="00AE758F">
              <w:rPr>
                <w:sz w:val="20"/>
                <w:szCs w:val="20"/>
              </w:rPr>
              <w:t>enefit (</w:t>
            </w:r>
            <w:r w:rsidR="00926A18">
              <w:rPr>
                <w:sz w:val="20"/>
                <w:szCs w:val="20"/>
              </w:rPr>
              <w:t>c</w:t>
            </w:r>
            <w:r w:rsidRPr="00AE758F">
              <w:rPr>
                <w:sz w:val="20"/>
                <w:szCs w:val="20"/>
              </w:rPr>
              <w:t>ost) (all provisions)</w:t>
            </w:r>
            <w:r w:rsidR="00926A18">
              <w:rPr>
                <w:sz w:val="20"/>
                <w:szCs w:val="20"/>
              </w:rPr>
              <w:t>:</w:t>
            </w:r>
          </w:p>
          <w:p w:rsidRPr="00AE758F" w:rsidR="00C8101A" w:rsidP="007936BF" w:rsidRDefault="00C8101A" w14:paraId="70917428" w14:textId="70318363">
            <w:pPr>
              <w:spacing w:line="240" w:lineRule="auto"/>
              <w:rPr>
                <w:sz w:val="20"/>
                <w:szCs w:val="20"/>
              </w:rPr>
            </w:pPr>
            <w:r w:rsidRPr="00AE758F">
              <w:rPr>
                <w:sz w:val="20"/>
                <w:szCs w:val="20"/>
              </w:rPr>
              <w:t>$</w:t>
            </w:r>
            <w:r w:rsidR="00ED284C">
              <w:rPr>
                <w:sz w:val="20"/>
                <w:szCs w:val="20"/>
              </w:rPr>
              <w:t>11.1</w:t>
            </w:r>
            <w:r w:rsidRPr="00AE758F">
              <w:rPr>
                <w:sz w:val="20"/>
                <w:szCs w:val="20"/>
              </w:rPr>
              <w:t> million using a 7% discount rate</w:t>
            </w:r>
          </w:p>
          <w:p w:rsidRPr="00AE758F" w:rsidR="00C8101A" w:rsidP="007936BF" w:rsidRDefault="00C8101A" w14:paraId="76366551" w14:textId="518F2B8B">
            <w:pPr>
              <w:spacing w:line="240" w:lineRule="auto"/>
              <w:rPr>
                <w:b/>
                <w:sz w:val="20"/>
                <w:szCs w:val="20"/>
              </w:rPr>
            </w:pPr>
            <w:r w:rsidRPr="00AE758F">
              <w:rPr>
                <w:sz w:val="20"/>
                <w:szCs w:val="20"/>
              </w:rPr>
              <w:t>$</w:t>
            </w:r>
            <w:r w:rsidR="00ED284C">
              <w:rPr>
                <w:sz w:val="20"/>
                <w:szCs w:val="20"/>
              </w:rPr>
              <w:t>12.0</w:t>
            </w:r>
            <w:r w:rsidRPr="00AE758F">
              <w:rPr>
                <w:sz w:val="20"/>
                <w:szCs w:val="20"/>
              </w:rPr>
              <w:t> million using a 3% discount rate</w:t>
            </w:r>
          </w:p>
        </w:tc>
        <w:tc>
          <w:tcPr>
            <w:tcW w:w="5030" w:type="dxa"/>
          </w:tcPr>
          <w:p w:rsidRPr="00AE758F" w:rsidR="00C8101A" w:rsidP="007936BF" w:rsidRDefault="00C8101A" w14:paraId="1FD9C771" w14:textId="77777777">
            <w:pPr>
              <w:spacing w:line="240" w:lineRule="auto"/>
              <w:rPr>
                <w:sz w:val="20"/>
                <w:szCs w:val="20"/>
              </w:rPr>
            </w:pPr>
            <w:r w:rsidRPr="00AE758F">
              <w:rPr>
                <w:sz w:val="20"/>
                <w:szCs w:val="20"/>
              </w:rPr>
              <w:lastRenderedPageBreak/>
              <w:t>Benefits:</w:t>
            </w:r>
          </w:p>
          <w:p w:rsidRPr="00AE758F" w:rsidR="00C8101A" w:rsidP="00977776" w:rsidRDefault="00C8101A" w14:paraId="00C50D00" w14:textId="70EE28CD">
            <w:pPr>
              <w:pStyle w:val="ListParagraph"/>
              <w:widowControl w:val="0"/>
              <w:numPr>
                <w:ilvl w:val="0"/>
                <w:numId w:val="3"/>
              </w:numPr>
              <w:spacing w:line="240" w:lineRule="auto"/>
              <w:ind w:left="360"/>
              <w:contextualSpacing w:val="0"/>
              <w:rPr>
                <w:sz w:val="20"/>
                <w:szCs w:val="20"/>
              </w:rPr>
            </w:pPr>
            <w:r w:rsidRPr="00AE758F">
              <w:rPr>
                <w:b/>
                <w:sz w:val="20"/>
                <w:szCs w:val="20"/>
              </w:rPr>
              <w:t>Advances in ISI and IST:</w:t>
            </w:r>
            <w:r w:rsidRPr="00AE758F">
              <w:rPr>
                <w:bCs/>
                <w:sz w:val="20"/>
                <w:szCs w:val="20"/>
              </w:rPr>
              <w:t xml:space="preserve">  </w:t>
            </w:r>
            <w:r w:rsidRPr="00AE758F">
              <w:rPr>
                <w:sz w:val="20"/>
                <w:szCs w:val="20"/>
              </w:rPr>
              <w:t xml:space="preserve">May incrementally decrease the likelihood of a radiological accident, the likelihood of </w:t>
            </w:r>
            <w:proofErr w:type="spellStart"/>
            <w:r w:rsidRPr="00AE758F">
              <w:rPr>
                <w:sz w:val="20"/>
                <w:szCs w:val="20"/>
              </w:rPr>
              <w:t>postaccident</w:t>
            </w:r>
            <w:proofErr w:type="spellEnd"/>
            <w:r w:rsidRPr="00AE758F">
              <w:rPr>
                <w:sz w:val="20"/>
                <w:szCs w:val="20"/>
              </w:rPr>
              <w:t xml:space="preserve"> plant worker exposure, and the level of plant worker radiological exposures during routine inspections or testing.</w:t>
            </w:r>
          </w:p>
          <w:p w:rsidRPr="00AE758F" w:rsidR="00C8101A" w:rsidP="007936BF" w:rsidRDefault="00C8101A" w14:paraId="22906F66" w14:textId="77777777">
            <w:pPr>
              <w:pStyle w:val="ListParagraph"/>
              <w:widowControl w:val="0"/>
              <w:spacing w:line="240" w:lineRule="auto"/>
              <w:ind w:left="360"/>
              <w:contextualSpacing w:val="0"/>
              <w:rPr>
                <w:sz w:val="20"/>
                <w:szCs w:val="20"/>
              </w:rPr>
            </w:pPr>
          </w:p>
          <w:p w:rsidRPr="00AE758F" w:rsidR="00C8101A" w:rsidP="00977776" w:rsidRDefault="00C8101A" w14:paraId="1A0E70F4" w14:textId="00086ECA">
            <w:pPr>
              <w:pStyle w:val="ListParagraph"/>
              <w:numPr>
                <w:ilvl w:val="0"/>
                <w:numId w:val="3"/>
              </w:numPr>
              <w:spacing w:line="240" w:lineRule="auto"/>
              <w:ind w:left="361"/>
              <w:contextualSpacing w:val="0"/>
              <w:rPr>
                <w:sz w:val="20"/>
                <w:szCs w:val="20"/>
              </w:rPr>
            </w:pPr>
            <w:r w:rsidRPr="00AE758F">
              <w:rPr>
                <w:b/>
                <w:sz w:val="20"/>
                <w:szCs w:val="20"/>
              </w:rPr>
              <w:lastRenderedPageBreak/>
              <w:t>Public Health (Accident):</w:t>
            </w:r>
            <w:r w:rsidRPr="00AE758F">
              <w:rPr>
                <w:bCs/>
                <w:sz w:val="20"/>
                <w:szCs w:val="20"/>
              </w:rPr>
              <w:t xml:space="preserve">  </w:t>
            </w:r>
            <w:r w:rsidRPr="00AE758F">
              <w:rPr>
                <w:sz w:val="20"/>
                <w:szCs w:val="20"/>
              </w:rPr>
              <w:t>May incrementally reduce the likelihood of a radiological accident</w:t>
            </w:r>
            <w:r w:rsidR="00B3669E">
              <w:rPr>
                <w:sz w:val="20"/>
                <w:szCs w:val="20"/>
              </w:rPr>
              <w:t>,</w:t>
            </w:r>
            <w:r w:rsidRPr="00AE758F">
              <w:rPr>
                <w:sz w:val="20"/>
                <w:szCs w:val="20"/>
              </w:rPr>
              <w:t xml:space="preserve"> </w:t>
            </w:r>
            <w:r w:rsidR="00B3669E">
              <w:rPr>
                <w:sz w:val="20"/>
                <w:szCs w:val="20"/>
              </w:rPr>
              <w:t xml:space="preserve">although </w:t>
            </w:r>
            <w:r w:rsidRPr="00AE758F">
              <w:rPr>
                <w:sz w:val="20"/>
                <w:szCs w:val="20"/>
              </w:rPr>
              <w:t xml:space="preserve">not </w:t>
            </w:r>
            <w:r w:rsidR="00B3669E">
              <w:rPr>
                <w:sz w:val="20"/>
                <w:szCs w:val="20"/>
              </w:rPr>
              <w:t xml:space="preserve">in an </w:t>
            </w:r>
            <w:r w:rsidRPr="00AE758F">
              <w:rPr>
                <w:sz w:val="20"/>
                <w:szCs w:val="20"/>
              </w:rPr>
              <w:t xml:space="preserve">easily quantifiable manner.  Pursuing Alternative 2 would </w:t>
            </w:r>
            <w:r w:rsidR="009766C2">
              <w:rPr>
                <w:sz w:val="20"/>
                <w:szCs w:val="20"/>
              </w:rPr>
              <w:t xml:space="preserve">continue to uphold </w:t>
            </w:r>
            <w:r w:rsidRPr="00AE758F">
              <w:rPr>
                <w:sz w:val="20"/>
                <w:szCs w:val="20"/>
              </w:rPr>
              <w:t>the NRC</w:t>
            </w:r>
            <w:r w:rsidR="009766C2">
              <w:rPr>
                <w:sz w:val="20"/>
                <w:szCs w:val="20"/>
              </w:rPr>
              <w:t>’s</w:t>
            </w:r>
            <w:r w:rsidRPr="00AE758F">
              <w:rPr>
                <w:sz w:val="20"/>
                <w:szCs w:val="20"/>
              </w:rPr>
              <w:t xml:space="preserve"> goal of maintaining safety by </w:t>
            </w:r>
            <w:r w:rsidR="009766C2">
              <w:rPr>
                <w:sz w:val="20"/>
                <w:szCs w:val="20"/>
              </w:rPr>
              <w:t xml:space="preserve">approving </w:t>
            </w:r>
            <w:r w:rsidR="000843A1">
              <w:rPr>
                <w:sz w:val="20"/>
                <w:szCs w:val="20"/>
              </w:rPr>
              <w:t>current</w:t>
            </w:r>
            <w:r w:rsidRPr="00AE758F" w:rsidR="000843A1">
              <w:rPr>
                <w:sz w:val="20"/>
                <w:szCs w:val="20"/>
              </w:rPr>
              <w:t xml:space="preserve"> </w:t>
            </w:r>
            <w:r w:rsidR="006164F5">
              <w:rPr>
                <w:sz w:val="20"/>
                <w:szCs w:val="20"/>
              </w:rPr>
              <w:t xml:space="preserve">ASME Code </w:t>
            </w:r>
            <w:r w:rsidRPr="00AE758F">
              <w:rPr>
                <w:sz w:val="20"/>
                <w:szCs w:val="20"/>
              </w:rPr>
              <w:t>editions and addenda to permit licensees to use advances in ISI and IST; provid</w:t>
            </w:r>
            <w:r w:rsidR="009766C2">
              <w:rPr>
                <w:sz w:val="20"/>
                <w:szCs w:val="20"/>
              </w:rPr>
              <w:t>ing</w:t>
            </w:r>
            <w:r w:rsidRPr="00AE758F">
              <w:rPr>
                <w:sz w:val="20"/>
                <w:szCs w:val="20"/>
              </w:rPr>
              <w:t xml:space="preserve"> alternative examinations for older plants; respond</w:t>
            </w:r>
            <w:r w:rsidR="009766C2">
              <w:rPr>
                <w:sz w:val="20"/>
                <w:szCs w:val="20"/>
              </w:rPr>
              <w:t>ing</w:t>
            </w:r>
            <w:r w:rsidRPr="00AE758F">
              <w:rPr>
                <w:sz w:val="20"/>
                <w:szCs w:val="20"/>
              </w:rPr>
              <w:t xml:space="preserve"> expeditiously to user needs; and provid</w:t>
            </w:r>
            <w:r w:rsidR="009766C2">
              <w:rPr>
                <w:sz w:val="20"/>
                <w:szCs w:val="20"/>
              </w:rPr>
              <w:t>ing</w:t>
            </w:r>
            <w:r w:rsidRPr="00AE758F">
              <w:rPr>
                <w:sz w:val="20"/>
                <w:szCs w:val="20"/>
              </w:rPr>
              <w:t xml:space="preserve"> limited, clearly focused alternative</w:t>
            </w:r>
            <w:r w:rsidR="009766C2">
              <w:rPr>
                <w:sz w:val="20"/>
                <w:szCs w:val="20"/>
              </w:rPr>
              <w:t>s</w:t>
            </w:r>
            <w:r w:rsidRPr="00AE758F">
              <w:rPr>
                <w:sz w:val="20"/>
                <w:szCs w:val="20"/>
              </w:rPr>
              <w:t xml:space="preserve"> to specific ASME Code provisions.  Improvements in ISI and IST may also lead to earlier identification of material degradation that, if undetected, could eventually cause a plant transient.  Thus, </w:t>
            </w:r>
            <w:r w:rsidRPr="00AE758F" w:rsidR="009766C2">
              <w:rPr>
                <w:sz w:val="20"/>
                <w:szCs w:val="20"/>
              </w:rPr>
              <w:t>compared to the regulatory baseline</w:t>
            </w:r>
            <w:r w:rsidR="009766C2">
              <w:rPr>
                <w:sz w:val="20"/>
                <w:szCs w:val="20"/>
              </w:rPr>
              <w:t>,</w:t>
            </w:r>
            <w:r w:rsidRPr="00AE758F" w:rsidR="009766C2">
              <w:rPr>
                <w:sz w:val="20"/>
                <w:szCs w:val="20"/>
              </w:rPr>
              <w:t xml:space="preserve"> </w:t>
            </w:r>
            <w:r w:rsidRPr="00AE758F">
              <w:rPr>
                <w:sz w:val="20"/>
                <w:szCs w:val="20"/>
              </w:rPr>
              <w:t xml:space="preserve">Alternative 2 would </w:t>
            </w:r>
            <w:r w:rsidR="009766C2">
              <w:rPr>
                <w:sz w:val="20"/>
                <w:szCs w:val="20"/>
              </w:rPr>
              <w:t xml:space="preserve">either </w:t>
            </w:r>
            <w:r w:rsidRPr="00AE758F">
              <w:rPr>
                <w:sz w:val="20"/>
                <w:szCs w:val="20"/>
              </w:rPr>
              <w:t>maintain the</w:t>
            </w:r>
            <w:r w:rsidR="006C66E5">
              <w:rPr>
                <w:sz w:val="20"/>
                <w:szCs w:val="20"/>
              </w:rPr>
              <w:t> </w:t>
            </w:r>
            <w:r w:rsidRPr="00AE758F">
              <w:rPr>
                <w:sz w:val="20"/>
                <w:szCs w:val="20"/>
              </w:rPr>
              <w:t>same level of safety or provide an</w:t>
            </w:r>
            <w:r w:rsidR="006C66E5">
              <w:rPr>
                <w:sz w:val="20"/>
                <w:szCs w:val="20"/>
              </w:rPr>
              <w:t> </w:t>
            </w:r>
            <w:r w:rsidRPr="00AE758F">
              <w:rPr>
                <w:sz w:val="20"/>
                <w:szCs w:val="20"/>
              </w:rPr>
              <w:t xml:space="preserve">incremental improvement in safety, which </w:t>
            </w:r>
            <w:r w:rsidR="009766C2">
              <w:rPr>
                <w:sz w:val="20"/>
                <w:szCs w:val="20"/>
              </w:rPr>
              <w:t>could</w:t>
            </w:r>
            <w:r w:rsidRPr="00AE758F" w:rsidR="009766C2">
              <w:rPr>
                <w:sz w:val="20"/>
                <w:szCs w:val="20"/>
              </w:rPr>
              <w:t xml:space="preserve"> </w:t>
            </w:r>
            <w:r w:rsidRPr="00AE758F">
              <w:rPr>
                <w:sz w:val="20"/>
                <w:szCs w:val="20"/>
              </w:rPr>
              <w:t>incremental</w:t>
            </w:r>
            <w:r w:rsidR="00607212">
              <w:rPr>
                <w:sz w:val="20"/>
                <w:szCs w:val="20"/>
              </w:rPr>
              <w:t>ly</w:t>
            </w:r>
            <w:r w:rsidRPr="00AE758F">
              <w:rPr>
                <w:sz w:val="20"/>
                <w:szCs w:val="20"/>
              </w:rPr>
              <w:t xml:space="preserve"> decrease public radiation exposures.</w:t>
            </w:r>
          </w:p>
          <w:p w:rsidRPr="00AE758F" w:rsidR="00C8101A" w:rsidP="007936BF" w:rsidRDefault="00C8101A" w14:paraId="370FF7E7" w14:textId="77777777">
            <w:pPr>
              <w:spacing w:line="240" w:lineRule="auto"/>
              <w:rPr>
                <w:sz w:val="20"/>
                <w:szCs w:val="20"/>
              </w:rPr>
            </w:pPr>
          </w:p>
          <w:p w:rsidRPr="00AE758F" w:rsidR="00C8101A" w:rsidP="00977776" w:rsidRDefault="00C8101A" w14:paraId="7AA61E09" w14:textId="1F287E84">
            <w:pPr>
              <w:pStyle w:val="ListParagraph"/>
              <w:numPr>
                <w:ilvl w:val="0"/>
                <w:numId w:val="3"/>
              </w:numPr>
              <w:spacing w:line="240" w:lineRule="auto"/>
              <w:ind w:left="361"/>
              <w:rPr>
                <w:sz w:val="20"/>
                <w:szCs w:val="20"/>
              </w:rPr>
            </w:pPr>
            <w:r w:rsidRPr="00AE758F">
              <w:rPr>
                <w:b/>
                <w:sz w:val="20"/>
                <w:szCs w:val="20"/>
              </w:rPr>
              <w:t>Occupational Health (Accident</w:t>
            </w:r>
            <w:r w:rsidR="00005973">
              <w:rPr>
                <w:b/>
                <w:sz w:val="20"/>
                <w:szCs w:val="20"/>
              </w:rPr>
              <w:t xml:space="preserve"> and Routine</w:t>
            </w:r>
            <w:r w:rsidRPr="00AE758F">
              <w:rPr>
                <w:b/>
                <w:sz w:val="20"/>
                <w:szCs w:val="20"/>
              </w:rPr>
              <w:t>):</w:t>
            </w:r>
            <w:r w:rsidRPr="00AE758F">
              <w:rPr>
                <w:sz w:val="20"/>
                <w:szCs w:val="20"/>
              </w:rPr>
              <w:t xml:space="preserve">  The use of </w:t>
            </w:r>
            <w:r w:rsidR="000843A1">
              <w:rPr>
                <w:sz w:val="20"/>
                <w:szCs w:val="20"/>
              </w:rPr>
              <w:t>current</w:t>
            </w:r>
            <w:r w:rsidRPr="00AE758F" w:rsidR="000843A1">
              <w:rPr>
                <w:sz w:val="20"/>
                <w:szCs w:val="20"/>
              </w:rPr>
              <w:t xml:space="preserve"> </w:t>
            </w:r>
            <w:r w:rsidR="006164F5">
              <w:rPr>
                <w:sz w:val="20"/>
                <w:szCs w:val="20"/>
              </w:rPr>
              <w:t xml:space="preserve">ASME Code </w:t>
            </w:r>
            <w:r w:rsidRPr="00AE758F">
              <w:rPr>
                <w:sz w:val="20"/>
                <w:szCs w:val="20"/>
              </w:rPr>
              <w:t xml:space="preserve">editions and addenda may reduce </w:t>
            </w:r>
            <w:proofErr w:type="spellStart"/>
            <w:r w:rsidRPr="00AE758F">
              <w:rPr>
                <w:sz w:val="20"/>
                <w:szCs w:val="20"/>
              </w:rPr>
              <w:t>postaccident</w:t>
            </w:r>
            <w:proofErr w:type="spellEnd"/>
            <w:r w:rsidRPr="00AE758F">
              <w:rPr>
                <w:sz w:val="20"/>
                <w:szCs w:val="20"/>
              </w:rPr>
              <w:t xml:space="preserve"> occupational radiation exposures</w:t>
            </w:r>
            <w:r w:rsidR="00B3669E">
              <w:rPr>
                <w:sz w:val="20"/>
                <w:szCs w:val="20"/>
              </w:rPr>
              <w:t>,</w:t>
            </w:r>
            <w:r w:rsidRPr="00AE758F">
              <w:rPr>
                <w:sz w:val="20"/>
                <w:szCs w:val="20"/>
              </w:rPr>
              <w:t xml:space="preserve"> </w:t>
            </w:r>
            <w:r w:rsidR="00B3669E">
              <w:rPr>
                <w:sz w:val="20"/>
                <w:szCs w:val="20"/>
              </w:rPr>
              <w:t xml:space="preserve">although </w:t>
            </w:r>
            <w:r w:rsidRPr="00AE758F">
              <w:rPr>
                <w:sz w:val="20"/>
                <w:szCs w:val="20"/>
              </w:rPr>
              <w:t xml:space="preserve">not </w:t>
            </w:r>
            <w:r w:rsidR="00B3669E">
              <w:rPr>
                <w:sz w:val="20"/>
                <w:szCs w:val="20"/>
              </w:rPr>
              <w:t xml:space="preserve">in an </w:t>
            </w:r>
            <w:r w:rsidRPr="00AE758F">
              <w:rPr>
                <w:sz w:val="20"/>
                <w:szCs w:val="20"/>
              </w:rPr>
              <w:t xml:space="preserve">easily quantifiable manner.  </w:t>
            </w:r>
            <w:r w:rsidR="001E4B87">
              <w:rPr>
                <w:sz w:val="20"/>
                <w:szCs w:val="20"/>
              </w:rPr>
              <w:t>A</w:t>
            </w:r>
            <w:r w:rsidRPr="00AE758F">
              <w:rPr>
                <w:sz w:val="20"/>
                <w:szCs w:val="20"/>
              </w:rPr>
              <w:t>dvances in ISI and IST may incremental</w:t>
            </w:r>
            <w:r w:rsidR="00607212">
              <w:rPr>
                <w:sz w:val="20"/>
                <w:szCs w:val="20"/>
              </w:rPr>
              <w:t>ly</w:t>
            </w:r>
            <w:r w:rsidRPr="00AE758F">
              <w:rPr>
                <w:sz w:val="20"/>
                <w:szCs w:val="20"/>
              </w:rPr>
              <w:t xml:space="preserve"> decrease the likelihood of an</w:t>
            </w:r>
            <w:r w:rsidR="006C66E5">
              <w:rPr>
                <w:sz w:val="20"/>
                <w:szCs w:val="20"/>
              </w:rPr>
              <w:t> </w:t>
            </w:r>
            <w:r w:rsidRPr="00AE758F">
              <w:rPr>
                <w:sz w:val="20"/>
                <w:szCs w:val="20"/>
              </w:rPr>
              <w:t>accident resulting in worker exposure</w:t>
            </w:r>
            <w:r w:rsidR="00607212">
              <w:rPr>
                <w:sz w:val="20"/>
                <w:szCs w:val="20"/>
              </w:rPr>
              <w:t>,</w:t>
            </w:r>
            <w:r w:rsidRPr="00AE758F">
              <w:rPr>
                <w:sz w:val="20"/>
                <w:szCs w:val="20"/>
              </w:rPr>
              <w:t xml:space="preserve"> compared to the regulatory baseline.</w:t>
            </w:r>
          </w:p>
          <w:p w:rsidRPr="00AE758F" w:rsidR="00C8101A" w:rsidP="007936BF" w:rsidRDefault="00C8101A" w14:paraId="51DB41F2" w14:textId="77777777">
            <w:pPr>
              <w:spacing w:line="240" w:lineRule="auto"/>
              <w:rPr>
                <w:sz w:val="20"/>
                <w:szCs w:val="20"/>
              </w:rPr>
            </w:pPr>
          </w:p>
          <w:p w:rsidRPr="00AE758F" w:rsidR="00C8101A" w:rsidP="00977776" w:rsidRDefault="00C8101A" w14:paraId="637DB25C" w14:textId="7C8664B6">
            <w:pPr>
              <w:pStyle w:val="ListParagraph"/>
              <w:numPr>
                <w:ilvl w:val="0"/>
                <w:numId w:val="3"/>
              </w:numPr>
              <w:spacing w:line="240" w:lineRule="auto"/>
              <w:ind w:left="361"/>
              <w:rPr>
                <w:sz w:val="20"/>
                <w:szCs w:val="20"/>
              </w:rPr>
            </w:pPr>
            <w:r w:rsidRPr="00AE758F">
              <w:rPr>
                <w:b/>
                <w:sz w:val="20"/>
                <w:szCs w:val="20"/>
              </w:rPr>
              <w:t>Improvements in ISI and IST Knowledge:</w:t>
            </w:r>
            <w:r w:rsidRPr="00AE758F">
              <w:rPr>
                <w:sz w:val="20"/>
                <w:szCs w:val="20"/>
              </w:rPr>
              <w:t xml:space="preserve">  </w:t>
            </w:r>
            <w:r w:rsidR="00F60158">
              <w:rPr>
                <w:sz w:val="20"/>
                <w:szCs w:val="20"/>
              </w:rPr>
              <w:t>The s</w:t>
            </w:r>
            <w:r w:rsidRPr="00AE758F">
              <w:rPr>
                <w:sz w:val="20"/>
                <w:szCs w:val="20"/>
              </w:rPr>
              <w:t xml:space="preserve">taff </w:t>
            </w:r>
            <w:r w:rsidR="00F60158">
              <w:rPr>
                <w:sz w:val="20"/>
                <w:szCs w:val="20"/>
              </w:rPr>
              <w:t xml:space="preserve">and the industry </w:t>
            </w:r>
            <w:r w:rsidRPr="00AE758F">
              <w:rPr>
                <w:sz w:val="20"/>
                <w:szCs w:val="20"/>
              </w:rPr>
              <w:t xml:space="preserve">would gain experience with new technology and </w:t>
            </w:r>
            <w:r w:rsidR="00F60158">
              <w:rPr>
                <w:sz w:val="20"/>
                <w:szCs w:val="20"/>
              </w:rPr>
              <w:t xml:space="preserve">advances in </w:t>
            </w:r>
            <w:r w:rsidRPr="00AE758F">
              <w:rPr>
                <w:sz w:val="20"/>
                <w:szCs w:val="20"/>
              </w:rPr>
              <w:t>ISI and IST.</w:t>
            </w:r>
          </w:p>
          <w:p w:rsidRPr="00AE758F" w:rsidR="00C8101A" w:rsidP="007936BF" w:rsidRDefault="00C8101A" w14:paraId="68305E44" w14:textId="77777777">
            <w:pPr>
              <w:pStyle w:val="ListParagraph"/>
              <w:spacing w:line="240" w:lineRule="auto"/>
              <w:rPr>
                <w:sz w:val="20"/>
                <w:szCs w:val="20"/>
              </w:rPr>
            </w:pPr>
          </w:p>
          <w:p w:rsidRPr="00AE758F" w:rsidR="00C8101A" w:rsidP="00977776" w:rsidRDefault="00C8101A" w14:paraId="229D57A8" w14:textId="55823F09">
            <w:pPr>
              <w:pStyle w:val="ListParagraph"/>
              <w:numPr>
                <w:ilvl w:val="0"/>
                <w:numId w:val="3"/>
              </w:numPr>
              <w:spacing w:line="240" w:lineRule="auto"/>
              <w:ind w:left="361"/>
              <w:rPr>
                <w:sz w:val="20"/>
                <w:szCs w:val="20"/>
              </w:rPr>
            </w:pPr>
            <w:r w:rsidRPr="00AE758F">
              <w:rPr>
                <w:b/>
                <w:sz w:val="20"/>
                <w:szCs w:val="20"/>
              </w:rPr>
              <w:t>Consisten</w:t>
            </w:r>
            <w:r w:rsidR="00F60158">
              <w:rPr>
                <w:b/>
                <w:sz w:val="20"/>
                <w:szCs w:val="20"/>
              </w:rPr>
              <w:t>cy</w:t>
            </w:r>
            <w:r w:rsidRPr="00AE758F">
              <w:rPr>
                <w:b/>
                <w:sz w:val="20"/>
                <w:szCs w:val="20"/>
              </w:rPr>
              <w:t xml:space="preserve"> with NTTAA and Implementing Guidance:</w:t>
            </w:r>
            <w:r w:rsidRPr="00AE758F">
              <w:rPr>
                <w:bCs/>
                <w:sz w:val="20"/>
                <w:szCs w:val="20"/>
              </w:rPr>
              <w:t xml:space="preserve">  </w:t>
            </w:r>
            <w:r w:rsidRPr="00AE758F">
              <w:rPr>
                <w:sz w:val="20"/>
                <w:szCs w:val="20"/>
              </w:rPr>
              <w:t xml:space="preserve">Alternative 2 is consistent with the provisions of the NTTAA and </w:t>
            </w:r>
            <w:r w:rsidR="00492A13">
              <w:rPr>
                <w:sz w:val="20"/>
                <w:szCs w:val="20"/>
              </w:rPr>
              <w:t xml:space="preserve">the </w:t>
            </w:r>
            <w:r w:rsidRPr="00AE758F">
              <w:rPr>
                <w:sz w:val="20"/>
                <w:szCs w:val="20"/>
              </w:rPr>
              <w:t>implementing guidance in OMB Circular A</w:t>
            </w:r>
            <w:r w:rsidRPr="00AE758F">
              <w:rPr>
                <w:sz w:val="20"/>
                <w:szCs w:val="20"/>
              </w:rPr>
              <w:noBreakHyphen/>
              <w:t xml:space="preserve">119, which encourage Federal regulatory agencies to adopt voluntary consensus standards as an alternative to </w:t>
            </w:r>
            <w:r w:rsidRPr="006E4FB2">
              <w:rPr>
                <w:sz w:val="20"/>
                <w:szCs w:val="20"/>
              </w:rPr>
              <w:t>de novo</w:t>
            </w:r>
            <w:r w:rsidRPr="00AE758F">
              <w:rPr>
                <w:i/>
                <w:sz w:val="20"/>
                <w:szCs w:val="20"/>
              </w:rPr>
              <w:t xml:space="preserve"> </w:t>
            </w:r>
            <w:r w:rsidRPr="00AE758F">
              <w:rPr>
                <w:sz w:val="20"/>
                <w:szCs w:val="20"/>
              </w:rPr>
              <w:t>agency development of standards affecting an industry.  Furthermore, the ASME Code consensus process is an</w:t>
            </w:r>
            <w:r w:rsidR="006C66E5">
              <w:rPr>
                <w:sz w:val="20"/>
                <w:szCs w:val="20"/>
              </w:rPr>
              <w:t> </w:t>
            </w:r>
            <w:r w:rsidRPr="00AE758F">
              <w:rPr>
                <w:sz w:val="20"/>
                <w:szCs w:val="20"/>
              </w:rPr>
              <w:t>important part of the regulatory framework.</w:t>
            </w:r>
          </w:p>
          <w:p w:rsidRPr="00AE758F" w:rsidR="00C8101A" w:rsidP="007936BF" w:rsidRDefault="00C8101A" w14:paraId="093892AA" w14:textId="77777777">
            <w:pPr>
              <w:pStyle w:val="ListParagraph"/>
              <w:spacing w:line="240" w:lineRule="auto"/>
              <w:ind w:left="361"/>
              <w:rPr>
                <w:sz w:val="20"/>
                <w:szCs w:val="20"/>
              </w:rPr>
            </w:pPr>
          </w:p>
          <w:p w:rsidRPr="00AE758F" w:rsidR="00C8101A" w:rsidP="007936BF" w:rsidRDefault="00C8101A" w14:paraId="5A5F33EF" w14:textId="129848FE">
            <w:pPr>
              <w:spacing w:line="240" w:lineRule="auto"/>
              <w:rPr>
                <w:sz w:val="20"/>
                <w:szCs w:val="20"/>
              </w:rPr>
            </w:pPr>
            <w:r w:rsidRPr="00AE758F">
              <w:rPr>
                <w:sz w:val="20"/>
                <w:szCs w:val="20"/>
              </w:rPr>
              <w:t>Costs:</w:t>
            </w:r>
          </w:p>
          <w:p w:rsidRPr="00AE758F" w:rsidR="00C8101A" w:rsidP="00C40F56" w:rsidRDefault="00C8101A" w14:paraId="1158502A" w14:textId="577F21DE">
            <w:pPr>
              <w:pStyle w:val="ListParagraph"/>
              <w:numPr>
                <w:ilvl w:val="0"/>
                <w:numId w:val="3"/>
              </w:numPr>
              <w:spacing w:line="240" w:lineRule="auto"/>
              <w:ind w:left="361"/>
              <w:rPr>
                <w:sz w:val="20"/>
                <w:szCs w:val="20"/>
              </w:rPr>
            </w:pPr>
            <w:proofErr w:type="spellStart"/>
            <w:r w:rsidRPr="00AE758F">
              <w:rPr>
                <w:b/>
                <w:sz w:val="20"/>
                <w:szCs w:val="20"/>
              </w:rPr>
              <w:t>Nonquantified</w:t>
            </w:r>
            <w:proofErr w:type="spellEnd"/>
            <w:r w:rsidRPr="00AE758F">
              <w:rPr>
                <w:b/>
                <w:sz w:val="20"/>
                <w:szCs w:val="20"/>
              </w:rPr>
              <w:t xml:space="preserve"> Costs:</w:t>
            </w:r>
            <w:r w:rsidRPr="00AE758F">
              <w:rPr>
                <w:bCs/>
                <w:sz w:val="20"/>
                <w:szCs w:val="20"/>
              </w:rPr>
              <w:t xml:space="preserve">  </w:t>
            </w:r>
            <w:r w:rsidRPr="00AE758F">
              <w:rPr>
                <w:sz w:val="20"/>
                <w:szCs w:val="20"/>
              </w:rPr>
              <w:t xml:space="preserve">If the staff has </w:t>
            </w:r>
            <w:r w:rsidRPr="00AE758F" w:rsidR="00BB6A0B">
              <w:rPr>
                <w:sz w:val="20"/>
                <w:szCs w:val="20"/>
              </w:rPr>
              <w:t>overestimated</w:t>
            </w:r>
            <w:r w:rsidRPr="00AE758F">
              <w:rPr>
                <w:sz w:val="20"/>
                <w:szCs w:val="20"/>
              </w:rPr>
              <w:t xml:space="preserve"> the number or the complexity of </w:t>
            </w:r>
            <w:r w:rsidR="001E5CD5">
              <w:rPr>
                <w:sz w:val="20"/>
                <w:szCs w:val="20"/>
              </w:rPr>
              <w:t xml:space="preserve">the </w:t>
            </w:r>
            <w:r w:rsidRPr="00AE758F">
              <w:rPr>
                <w:sz w:val="20"/>
                <w:szCs w:val="20"/>
              </w:rPr>
              <w:t>submittals</w:t>
            </w:r>
            <w:r w:rsidR="001E5CD5">
              <w:rPr>
                <w:sz w:val="20"/>
                <w:szCs w:val="20"/>
              </w:rPr>
              <w:t xml:space="preserve"> eliminated under Alternative 2</w:t>
            </w:r>
            <w:r w:rsidRPr="00AE758F">
              <w:rPr>
                <w:sz w:val="20"/>
                <w:szCs w:val="20"/>
              </w:rPr>
              <w:t xml:space="preserve">, then the averted costs </w:t>
            </w:r>
            <w:r w:rsidR="001E5CD5">
              <w:rPr>
                <w:sz w:val="20"/>
                <w:szCs w:val="20"/>
              </w:rPr>
              <w:t xml:space="preserve">will </w:t>
            </w:r>
            <w:r w:rsidRPr="00AE758F" w:rsidR="003C2FF7">
              <w:rPr>
                <w:sz w:val="20"/>
                <w:szCs w:val="20"/>
              </w:rPr>
              <w:t>decrease</w:t>
            </w:r>
            <w:r w:rsidRPr="00AE758F">
              <w:rPr>
                <w:sz w:val="20"/>
                <w:szCs w:val="20"/>
              </w:rPr>
              <w:t xml:space="preserve"> </w:t>
            </w:r>
            <w:r w:rsidR="001E5CD5">
              <w:rPr>
                <w:sz w:val="20"/>
                <w:szCs w:val="20"/>
              </w:rPr>
              <w:t>accordingly</w:t>
            </w:r>
            <w:r w:rsidRPr="00AE758F">
              <w:rPr>
                <w:sz w:val="20"/>
                <w:szCs w:val="20"/>
              </w:rPr>
              <w:t>, causing the</w:t>
            </w:r>
            <w:r w:rsidR="006C66E5">
              <w:rPr>
                <w:sz w:val="20"/>
                <w:szCs w:val="20"/>
              </w:rPr>
              <w:t> </w:t>
            </w:r>
            <w:r w:rsidRPr="00AE758F">
              <w:rPr>
                <w:sz w:val="20"/>
                <w:szCs w:val="20"/>
              </w:rPr>
              <w:t xml:space="preserve">quantified net costs of Alternative 2 to </w:t>
            </w:r>
            <w:r w:rsidRPr="00AE758F" w:rsidR="00E43F35">
              <w:rPr>
                <w:sz w:val="20"/>
                <w:szCs w:val="20"/>
              </w:rPr>
              <w:t>increase</w:t>
            </w:r>
            <w:r w:rsidRPr="00AE758F">
              <w:rPr>
                <w:sz w:val="20"/>
                <w:szCs w:val="20"/>
              </w:rPr>
              <w:t>.</w:t>
            </w:r>
          </w:p>
        </w:tc>
      </w:tr>
    </w:tbl>
    <w:p w:rsidRPr="00AE758F" w:rsidR="00C8101A" w:rsidP="007936BF" w:rsidRDefault="00C8101A" w14:paraId="428666DA" w14:textId="77777777">
      <w:pPr>
        <w:spacing w:line="240" w:lineRule="auto"/>
      </w:pPr>
    </w:p>
    <w:p w:rsidRPr="00AE758F" w:rsidR="00EA4E23" w:rsidP="009824C2" w:rsidRDefault="00C8101A" w14:paraId="716F8F03" w14:textId="3C97E690">
      <w:pPr>
        <w:keepNext/>
        <w:spacing w:line="240" w:lineRule="auto"/>
      </w:pPr>
      <w:r w:rsidRPr="00AE758F">
        <w:lastRenderedPageBreak/>
        <w:t xml:space="preserve">The industry and the NRC would benefit from </w:t>
      </w:r>
      <w:r w:rsidRPr="00AE758F" w:rsidR="001D5C4E">
        <w:t>the following cost savings</w:t>
      </w:r>
      <w:r w:rsidR="003C4C12">
        <w:t xml:space="preserve"> under </w:t>
      </w:r>
      <w:r w:rsidRPr="00AE758F" w:rsidR="003C4C12">
        <w:t>Alternative 2</w:t>
      </w:r>
      <w:r w:rsidRPr="00AE758F" w:rsidR="00EA4E23">
        <w:t>:</w:t>
      </w:r>
    </w:p>
    <w:p w:rsidRPr="00AE758F" w:rsidR="00EA4E23" w:rsidP="009824C2" w:rsidRDefault="00EA4E23" w14:paraId="08FE220A" w14:textId="77777777">
      <w:pPr>
        <w:keepNext/>
        <w:spacing w:line="240" w:lineRule="auto"/>
      </w:pPr>
    </w:p>
    <w:p w:rsidRPr="00AE758F" w:rsidR="00EA4E23" w:rsidP="00977776" w:rsidRDefault="001D5C4E" w14:paraId="20DC7A6E" w14:textId="6379072B">
      <w:pPr>
        <w:pStyle w:val="ListParagraph"/>
        <w:numPr>
          <w:ilvl w:val="0"/>
          <w:numId w:val="3"/>
        </w:numPr>
        <w:spacing w:after="220" w:line="240" w:lineRule="auto"/>
        <w:ind w:hanging="720"/>
        <w:contextualSpacing w:val="0"/>
      </w:pPr>
      <w:r w:rsidRPr="00AE758F">
        <w:t>C</w:t>
      </w:r>
      <w:r w:rsidRPr="00AE758F" w:rsidR="00C8101A">
        <w:t xml:space="preserve">osts </w:t>
      </w:r>
      <w:r w:rsidR="003C4C12">
        <w:t xml:space="preserve">to licensees </w:t>
      </w:r>
      <w:r w:rsidR="00B952A7">
        <w:t xml:space="preserve">and the NRC </w:t>
      </w:r>
      <w:r w:rsidRPr="00AE758F">
        <w:t xml:space="preserve">will be </w:t>
      </w:r>
      <w:r w:rsidRPr="00AE758F" w:rsidR="00C8101A">
        <w:t xml:space="preserve">averted </w:t>
      </w:r>
      <w:r w:rsidRPr="00AE758F" w:rsidR="00EA4E23">
        <w:t xml:space="preserve">because </w:t>
      </w:r>
      <w:r w:rsidR="00B952A7">
        <w:t>licensees</w:t>
      </w:r>
      <w:r w:rsidR="003C4C12">
        <w:t xml:space="preserve"> will not have to submit as many </w:t>
      </w:r>
      <w:r w:rsidRPr="00AE758F" w:rsidR="00EA4E23">
        <w:t>ASME</w:t>
      </w:r>
      <w:r w:rsidRPr="00AE758F" w:rsidR="00C8101A">
        <w:t xml:space="preserve"> Code alternative requests on a plant</w:t>
      </w:r>
      <w:r w:rsidRPr="00AE758F" w:rsidR="00C8101A">
        <w:noBreakHyphen/>
        <w:t>specific basis under 10 CFR 50.55a(z)</w:t>
      </w:r>
      <w:r w:rsidR="00B952A7">
        <w:t>, and the NRC will not have to review those requests</w:t>
      </w:r>
      <w:r w:rsidRPr="00AE758F" w:rsidR="009F77DE">
        <w:t>.</w:t>
      </w:r>
    </w:p>
    <w:p w:rsidRPr="00AE758F" w:rsidR="00EA4E23" w:rsidP="00977776" w:rsidRDefault="001D5C4E" w14:paraId="27F4431C" w14:textId="24F1F626">
      <w:pPr>
        <w:pStyle w:val="ListParagraph"/>
        <w:numPr>
          <w:ilvl w:val="0"/>
          <w:numId w:val="3"/>
        </w:numPr>
        <w:spacing w:after="220" w:line="240" w:lineRule="auto"/>
        <w:ind w:hanging="720"/>
        <w:contextualSpacing w:val="0"/>
      </w:pPr>
      <w:r w:rsidRPr="00AE758F">
        <w:t>C</w:t>
      </w:r>
      <w:r w:rsidRPr="00AE758F" w:rsidR="00EA4E23">
        <w:t xml:space="preserve">osts </w:t>
      </w:r>
      <w:r w:rsidR="00963672">
        <w:t xml:space="preserve">to licensees </w:t>
      </w:r>
      <w:r w:rsidRPr="00AE758F">
        <w:t xml:space="preserve">will be </w:t>
      </w:r>
      <w:r w:rsidRPr="00AE758F" w:rsidR="00EA4E23">
        <w:t xml:space="preserve">averted because personnel </w:t>
      </w:r>
      <w:r w:rsidR="00963672">
        <w:t xml:space="preserve">will need less time </w:t>
      </w:r>
      <w:r w:rsidRPr="00AE758F" w:rsidR="00EA4E23">
        <w:t>to complete their ultrasonic examination certifications</w:t>
      </w:r>
      <w:r w:rsidRPr="00AE758F" w:rsidR="009F77DE">
        <w:t>.</w:t>
      </w:r>
    </w:p>
    <w:p w:rsidRPr="00AE758F" w:rsidR="001D5C4E" w:rsidP="00977776" w:rsidRDefault="001D5C4E" w14:paraId="2E4B6872" w14:textId="5E24EB20">
      <w:pPr>
        <w:pStyle w:val="ListParagraph"/>
        <w:numPr>
          <w:ilvl w:val="0"/>
          <w:numId w:val="3"/>
        </w:numPr>
        <w:spacing w:after="220" w:line="240" w:lineRule="auto"/>
        <w:ind w:hanging="720"/>
        <w:contextualSpacing w:val="0"/>
      </w:pPr>
      <w:r w:rsidRPr="00AE758F">
        <w:t xml:space="preserve">Costs </w:t>
      </w:r>
      <w:r w:rsidR="00687C76">
        <w:t xml:space="preserve">to licensees </w:t>
      </w:r>
      <w:r w:rsidRPr="00AE758F">
        <w:t xml:space="preserve">will be averted because </w:t>
      </w:r>
      <w:r w:rsidR="00687C76">
        <w:t xml:space="preserve">they will be able to </w:t>
      </w:r>
      <w:r w:rsidRPr="00AE758F" w:rsidR="009F2E2E">
        <w:t xml:space="preserve">measure loss of material rates at different locations with </w:t>
      </w:r>
      <w:r w:rsidR="00687C76">
        <w:t xml:space="preserve">similar </w:t>
      </w:r>
      <w:r w:rsidRPr="00AE758F" w:rsidR="009F2E2E">
        <w:t>corrosion conditions and flow characteristics</w:t>
      </w:r>
      <w:r w:rsidR="00687C76">
        <w:t xml:space="preserve">, which </w:t>
      </w:r>
      <w:r w:rsidR="002420F2">
        <w:t xml:space="preserve">reduces the </w:t>
      </w:r>
      <w:r w:rsidR="00687C76">
        <w:t xml:space="preserve">time </w:t>
      </w:r>
      <w:r w:rsidR="002420F2">
        <w:t>needed for these measurements</w:t>
      </w:r>
      <w:r w:rsidRPr="00AE758F" w:rsidR="009F77DE">
        <w:t>.</w:t>
      </w:r>
    </w:p>
    <w:p w:rsidRPr="006C66E5" w:rsidR="00256D24" w:rsidP="00977776" w:rsidRDefault="00256D24" w14:paraId="1CC8366B" w14:textId="3B9BAA69">
      <w:pPr>
        <w:pStyle w:val="ListParagraph"/>
        <w:numPr>
          <w:ilvl w:val="0"/>
          <w:numId w:val="3"/>
        </w:numPr>
        <w:spacing w:after="220" w:line="240" w:lineRule="auto"/>
        <w:ind w:hanging="720"/>
        <w:contextualSpacing w:val="0"/>
      </w:pPr>
      <w:r w:rsidRPr="006C66E5">
        <w:t xml:space="preserve">Costs </w:t>
      </w:r>
      <w:r w:rsidR="00072B16">
        <w:t xml:space="preserve">to licensees </w:t>
      </w:r>
      <w:r w:rsidRPr="006C66E5">
        <w:t>will</w:t>
      </w:r>
      <w:r w:rsidRPr="006C66E5" w:rsidR="000574C7">
        <w:t xml:space="preserve"> be averted </w:t>
      </w:r>
      <w:r w:rsidR="00072B16">
        <w:t xml:space="preserve">because they will be able to </w:t>
      </w:r>
      <w:r w:rsidRPr="00072B16" w:rsidR="00072B16">
        <w:t>increase the ISTC</w:t>
      </w:r>
      <w:r w:rsidRPr="00072B16" w:rsidR="00072B16">
        <w:noBreakHyphen/>
        <w:t xml:space="preserve">3700 valve testing interval from 2 years to 12 years </w:t>
      </w:r>
      <w:r w:rsidRPr="006C66E5" w:rsidR="005E532C">
        <w:t xml:space="preserve">if they can show that the valves are not susceptible to </w:t>
      </w:r>
      <w:r w:rsidR="00F60158">
        <w:t>stem</w:t>
      </w:r>
      <w:r w:rsidR="00F60158">
        <w:noBreakHyphen/>
        <w:t xml:space="preserve">disk </w:t>
      </w:r>
      <w:r w:rsidRPr="006C66E5" w:rsidR="005E532C">
        <w:t>separation.</w:t>
      </w:r>
    </w:p>
    <w:p w:rsidRPr="00AE758F" w:rsidR="00C8101A" w:rsidP="007936BF" w:rsidRDefault="008638A1" w14:paraId="369B264F" w14:textId="02EEF7E9">
      <w:pPr>
        <w:spacing w:line="240" w:lineRule="auto"/>
      </w:pPr>
      <w:r>
        <w:t xml:space="preserve">Furthermore, </w:t>
      </w:r>
      <w:r w:rsidRPr="00AE758F" w:rsidR="00C8101A">
        <w:t xml:space="preserve">Alternative 2 would have the qualitative benefit of </w:t>
      </w:r>
      <w:r w:rsidR="00336887">
        <w:t xml:space="preserve">upholding </w:t>
      </w:r>
      <w:r w:rsidRPr="00AE758F" w:rsidR="00C8101A">
        <w:t>the NRC</w:t>
      </w:r>
      <w:r w:rsidRPr="00AE758F" w:rsidR="008E4904">
        <w:t>’s</w:t>
      </w:r>
      <w:r w:rsidRPr="00AE758F" w:rsidR="00C8101A">
        <w:t xml:space="preserve"> goal of </w:t>
      </w:r>
      <w:r w:rsidR="00A4098C">
        <w:t xml:space="preserve">protecting </w:t>
      </w:r>
      <w:r w:rsidRPr="00AE758F" w:rsidR="00C8101A">
        <w:t xml:space="preserve">public health and safety and the environment </w:t>
      </w:r>
      <w:r w:rsidR="00A4098C">
        <w:t xml:space="preserve">by approving </w:t>
      </w:r>
      <w:r w:rsidRPr="00AE758F" w:rsidR="00C8101A">
        <w:t xml:space="preserve">the use of </w:t>
      </w:r>
      <w:r w:rsidR="000843A1">
        <w:t>current</w:t>
      </w:r>
      <w:r w:rsidRPr="00AE758F" w:rsidR="000843A1">
        <w:t xml:space="preserve"> </w:t>
      </w:r>
      <w:r w:rsidR="006164F5">
        <w:t xml:space="preserve">ASME Code </w:t>
      </w:r>
      <w:r w:rsidRPr="00AE758F" w:rsidR="00C8101A">
        <w:t>editions and addenda</w:t>
      </w:r>
      <w:r>
        <w:t xml:space="preserve">, </w:t>
      </w:r>
      <w:r w:rsidRPr="00AE758F" w:rsidR="00C8101A">
        <w:t>allow</w:t>
      </w:r>
      <w:r>
        <w:t>ing</w:t>
      </w:r>
      <w:r w:rsidRPr="00AE758F" w:rsidR="00C8101A">
        <w:t xml:space="preserve"> </w:t>
      </w:r>
      <w:r>
        <w:t xml:space="preserve">licensees to use </w:t>
      </w:r>
      <w:r w:rsidRPr="00AE758F" w:rsidR="00C8101A">
        <w:t xml:space="preserve">the most current methods and technology.  </w:t>
      </w:r>
      <w:r w:rsidRPr="00AE758F" w:rsidR="008E4904">
        <w:t>A</w:t>
      </w:r>
      <w:r w:rsidRPr="00AE758F" w:rsidR="00C8101A">
        <w:t>lternative</w:t>
      </w:r>
      <w:r w:rsidRPr="00AE758F" w:rsidR="008E4904">
        <w:t> 2</w:t>
      </w:r>
      <w:r w:rsidRPr="00AE758F" w:rsidR="00C8101A">
        <w:t xml:space="preserve"> would also support the NRC’s goal of maintaining an open regulatory process because approving ASME Code editions demonstrate</w:t>
      </w:r>
      <w:r w:rsidR="001C0195">
        <w:t>s</w:t>
      </w:r>
      <w:r w:rsidRPr="00AE758F" w:rsidR="00C8101A">
        <w:t xml:space="preserve"> the agency’s commitment to participating in the national consensus standards process</w:t>
      </w:r>
      <w:r w:rsidR="001C0195">
        <w:t>.  This would help</w:t>
      </w:r>
      <w:r w:rsidRPr="00AE758F" w:rsidR="00C8101A">
        <w:t xml:space="preserve"> maintain the NRC’s role as an effective regulator.</w:t>
      </w:r>
    </w:p>
    <w:p w:rsidRPr="00AE758F" w:rsidR="00C8101A" w:rsidP="007936BF" w:rsidRDefault="00C8101A" w14:paraId="791980B5" w14:textId="77777777">
      <w:pPr>
        <w:spacing w:line="240" w:lineRule="auto"/>
      </w:pPr>
    </w:p>
    <w:p w:rsidRPr="00AE758F" w:rsidR="00C8101A" w:rsidP="007936BF" w:rsidRDefault="00C8101A" w14:paraId="626BA20D" w14:textId="67385715">
      <w:pPr>
        <w:spacing w:after="220" w:line="240" w:lineRule="auto"/>
      </w:pPr>
      <w:r w:rsidRPr="00AE758F">
        <w:t xml:space="preserve">The NRC has had a </w:t>
      </w:r>
      <w:proofErr w:type="gramStart"/>
      <w:r w:rsidRPr="00AE758F">
        <w:t>decades</w:t>
      </w:r>
      <w:proofErr w:type="gramEnd"/>
      <w:r w:rsidRPr="00AE758F" w:rsidR="008E4904">
        <w:noBreakHyphen/>
      </w:r>
      <w:r w:rsidRPr="00AE758F">
        <w:t>long practice of approving or mandating, or both, the use of certain parts of editions</w:t>
      </w:r>
      <w:r w:rsidRPr="00AE758F" w:rsidR="008E4904">
        <w:t xml:space="preserve"> of</w:t>
      </w:r>
      <w:r w:rsidRPr="00AE758F">
        <w:t xml:space="preserve"> and addenda </w:t>
      </w:r>
      <w:r w:rsidRPr="00AE758F" w:rsidR="008E4904">
        <w:t>to</w:t>
      </w:r>
      <w:r w:rsidRPr="00AE758F">
        <w:t xml:space="preserve"> the ASME Codes in 10 CFR 50.55a through the</w:t>
      </w:r>
      <w:r w:rsidR="006C66E5">
        <w:t> </w:t>
      </w:r>
      <w:r w:rsidRPr="00AE758F">
        <w:t xml:space="preserve">rulemaking process of </w:t>
      </w:r>
      <w:r w:rsidR="006164F5">
        <w:t>IBR.</w:t>
      </w:r>
      <w:r w:rsidRPr="00AE758F">
        <w:t xml:space="preserve">  Retaining </w:t>
      </w:r>
      <w:r w:rsidR="001C0195">
        <w:t xml:space="preserve">this </w:t>
      </w:r>
      <w:r w:rsidRPr="00AE758F">
        <w:t xml:space="preserve">practice would </w:t>
      </w:r>
      <w:r w:rsidR="001C0195">
        <w:t xml:space="preserve">ensure </w:t>
      </w:r>
      <w:r w:rsidRPr="00AE758F">
        <w:t>regulatory stability and predictability</w:t>
      </w:r>
      <w:r w:rsidR="001C0195">
        <w:t>, as well as</w:t>
      </w:r>
      <w:r w:rsidRPr="00AE758F">
        <w:t xml:space="preserve"> consistency across the</w:t>
      </w:r>
      <w:r w:rsidR="001C0195">
        <w:t xml:space="preserve"> </w:t>
      </w:r>
      <w:r w:rsidRPr="00AE758F">
        <w:t>industry</w:t>
      </w:r>
      <w:r w:rsidR="001C0195">
        <w:t>.  It would</w:t>
      </w:r>
      <w:r w:rsidRPr="00AE758F">
        <w:t xml:space="preserve"> assure the industry and the public that the NRC support</w:t>
      </w:r>
      <w:r w:rsidR="001C0195">
        <w:t>s</w:t>
      </w:r>
      <w:r w:rsidRPr="00AE758F">
        <w:t xml:space="preserve"> the use of the most </w:t>
      </w:r>
      <w:r w:rsidR="00E70564">
        <w:t>up</w:t>
      </w:r>
      <w:r w:rsidR="00E70564">
        <w:noBreakHyphen/>
        <w:t>to</w:t>
      </w:r>
      <w:r w:rsidR="00E70564">
        <w:noBreakHyphen/>
        <w:t xml:space="preserve">date </w:t>
      </w:r>
      <w:r w:rsidRPr="00AE758F">
        <w:t xml:space="preserve">and technically sound </w:t>
      </w:r>
      <w:r w:rsidR="001C0195">
        <w:t xml:space="preserve">methods </w:t>
      </w:r>
      <w:r w:rsidRPr="00AE758F">
        <w:t xml:space="preserve">developed by ASME to adequately protect the public.  </w:t>
      </w:r>
      <w:r w:rsidR="002136D5">
        <w:t xml:space="preserve">The </w:t>
      </w:r>
      <w:r w:rsidRPr="00AE758F">
        <w:t xml:space="preserve">ASME Codes are voluntary consensus standards developed by participants with broad and varied interests, and </w:t>
      </w:r>
      <w:r w:rsidR="002136D5">
        <w:t xml:space="preserve">they </w:t>
      </w:r>
      <w:r w:rsidRPr="00AE758F">
        <w:t xml:space="preserve">have already undergone extensive external review before </w:t>
      </w:r>
      <w:r w:rsidR="00D54D86">
        <w:t xml:space="preserve">the </w:t>
      </w:r>
      <w:r w:rsidRPr="00AE758F" w:rsidR="008E4904">
        <w:t>NRC</w:t>
      </w:r>
      <w:r w:rsidR="00D54D86">
        <w:t>’s</w:t>
      </w:r>
      <w:r w:rsidRPr="00AE758F">
        <w:t xml:space="preserve"> review.  Finally, the NRC’s use of the ASME Codes is consistent with the NTTAA, which directs Federal agencies to adopt voluntary consensus standards instead of developing “</w:t>
      </w:r>
      <w:r w:rsidR="00D529A8">
        <w:t>G</w:t>
      </w:r>
      <w:r w:rsidRPr="00AE758F">
        <w:t>overnment-unique” (i.e., agency</w:t>
      </w:r>
      <w:r w:rsidRPr="00AE758F">
        <w:noBreakHyphen/>
        <w:t xml:space="preserve">developed) standards, unless </w:t>
      </w:r>
      <w:r w:rsidR="0020389B">
        <w:t xml:space="preserve">this is </w:t>
      </w:r>
      <w:r w:rsidRPr="00AE758F">
        <w:t>inconsistent with applicable law or otherwise impractical.</w:t>
      </w:r>
    </w:p>
    <w:p w:rsidRPr="00AE758F" w:rsidR="00C8101A" w:rsidP="007936BF" w:rsidRDefault="00C8101A" w14:paraId="74CCF2F3" w14:textId="594D7F9C">
      <w:pPr>
        <w:spacing w:line="240" w:lineRule="auto"/>
      </w:pPr>
      <w:r w:rsidRPr="00AE758F">
        <w:t>Based solely on quantified costs and benefits, th</w:t>
      </w:r>
      <w:r w:rsidRPr="00AE758F" w:rsidR="008E4904">
        <w:t>is</w:t>
      </w:r>
      <w:r w:rsidRPr="00AE758F">
        <w:t xml:space="preserve"> regulatory analysis shows that the</w:t>
      </w:r>
      <w:r w:rsidR="006C66E5">
        <w:t> </w:t>
      </w:r>
      <w:r w:rsidRPr="00AE758F">
        <w:t xml:space="preserve">rulemaking is justified because the </w:t>
      </w:r>
      <w:r w:rsidR="00396945">
        <w:t>net</w:t>
      </w:r>
      <w:r w:rsidRPr="00AE758F">
        <w:t xml:space="preserve"> quantified benefits of the regulatory action would exceed </w:t>
      </w:r>
      <w:r w:rsidR="00FF657A">
        <w:t xml:space="preserve">its </w:t>
      </w:r>
      <w:r w:rsidRPr="00AE758F">
        <w:t>costs at a 7</w:t>
      </w:r>
      <w:r w:rsidRPr="00AE758F">
        <w:noBreakHyphen/>
        <w:t>percent discount rate.</w:t>
      </w:r>
      <w:r w:rsidRPr="00AE758F" w:rsidR="00040B84">
        <w:t xml:space="preserve">  </w:t>
      </w:r>
      <w:r w:rsidRPr="00AE758F">
        <w:t>The uncertainty analysis shows a</w:t>
      </w:r>
      <w:r w:rsidR="006C66E5">
        <w:t> </w:t>
      </w:r>
      <w:r w:rsidRPr="00AE758F">
        <w:t xml:space="preserve">net benefit (averted cost) for all simulations, with </w:t>
      </w:r>
      <w:r w:rsidR="00FF657A">
        <w:t xml:space="preserve">the </w:t>
      </w:r>
      <w:r w:rsidRPr="00AE758F">
        <w:t xml:space="preserve">averted cost </w:t>
      </w:r>
      <w:r w:rsidR="00FF657A">
        <w:t xml:space="preserve">ranging </w:t>
      </w:r>
      <w:r w:rsidRPr="00AE758F">
        <w:t>from $</w:t>
      </w:r>
      <w:r w:rsidRPr="00AE758F" w:rsidR="005B1E52">
        <w:t>4.49</w:t>
      </w:r>
      <w:r w:rsidRPr="00AE758F">
        <w:t> million to $</w:t>
      </w:r>
      <w:r w:rsidRPr="00AE758F" w:rsidR="005B1E52">
        <w:t>9.11</w:t>
      </w:r>
      <w:r w:rsidRPr="00AE758F">
        <w:t> million (using a 7</w:t>
      </w:r>
      <w:r w:rsidRPr="00AE758F">
        <w:noBreakHyphen/>
        <w:t>percent NPV).</w:t>
      </w:r>
    </w:p>
    <w:p w:rsidRPr="00AE758F" w:rsidR="00C8101A" w:rsidP="00977776" w:rsidRDefault="00C8101A" w14:paraId="4F40FE7A" w14:textId="0215E640">
      <w:pPr>
        <w:pStyle w:val="Heading1"/>
        <w:numPr>
          <w:ilvl w:val="0"/>
          <w:numId w:val="10"/>
        </w:numPr>
        <w:spacing w:line="240" w:lineRule="auto"/>
        <w:ind w:left="270" w:hanging="270"/>
      </w:pPr>
      <w:bookmarkStart w:name="_Toc456098364" w:id="418"/>
      <w:bookmarkStart w:name="_Toc457827377" w:id="419"/>
      <w:bookmarkStart w:name="_Ref511728841" w:id="420"/>
      <w:bookmarkStart w:name="_Toc521577272" w:id="421"/>
      <w:bookmarkStart w:name="_Toc7512455" w:id="422"/>
      <w:bookmarkStart w:name="_Toc81309152" w:id="423"/>
      <w:r w:rsidRPr="00AE758F">
        <w:t>Schedule</w:t>
      </w:r>
      <w:bookmarkEnd w:id="418"/>
      <w:bookmarkEnd w:id="419"/>
      <w:bookmarkEnd w:id="420"/>
      <w:bookmarkEnd w:id="421"/>
      <w:bookmarkEnd w:id="422"/>
      <w:bookmarkEnd w:id="423"/>
    </w:p>
    <w:p w:rsidRPr="00AE758F" w:rsidR="00C8101A" w:rsidP="007936BF" w:rsidRDefault="00C8101A" w14:paraId="0B6F7161" w14:textId="77777777">
      <w:pPr>
        <w:keepNext/>
        <w:spacing w:line="240" w:lineRule="auto"/>
      </w:pPr>
    </w:p>
    <w:p w:rsidRPr="00AE758F" w:rsidR="00C8101A" w:rsidP="007936BF" w:rsidRDefault="001C288F" w14:paraId="4D5D4EA9" w14:textId="79D35444">
      <w:pPr>
        <w:spacing w:line="240" w:lineRule="auto"/>
      </w:pPr>
      <w:r>
        <w:t xml:space="preserve">This rule </w:t>
      </w:r>
      <w:r w:rsidRPr="00273771">
        <w:t xml:space="preserve">will become effective </w:t>
      </w:r>
      <w:r w:rsidRPr="00D96F01">
        <w:t>30</w:t>
      </w:r>
      <w:r>
        <w:t> </w:t>
      </w:r>
      <w:r w:rsidRPr="00D96F01">
        <w:t>days</w:t>
      </w:r>
      <w:r w:rsidRPr="00273771">
        <w:t xml:space="preserve"> after </w:t>
      </w:r>
      <w:r>
        <w:t>the</w:t>
      </w:r>
      <w:r w:rsidRPr="00273771">
        <w:t xml:space="preserve"> publication </w:t>
      </w:r>
      <w:r>
        <w:t xml:space="preserve">of the final rule </w:t>
      </w:r>
      <w:r w:rsidRPr="00273771">
        <w:t xml:space="preserve">in the </w:t>
      </w:r>
      <w:r w:rsidRPr="00273771">
        <w:rPr>
          <w:i/>
        </w:rPr>
        <w:t>Federal Register</w:t>
      </w:r>
      <w:r w:rsidRPr="00273771">
        <w:t>.</w:t>
      </w:r>
    </w:p>
    <w:p w:rsidRPr="00AE758F" w:rsidR="00C8101A" w:rsidP="00977776" w:rsidRDefault="00C8101A" w14:paraId="0F9F7A9F" w14:textId="6AD8078F">
      <w:pPr>
        <w:pStyle w:val="Heading1"/>
        <w:numPr>
          <w:ilvl w:val="0"/>
          <w:numId w:val="10"/>
        </w:numPr>
        <w:spacing w:line="240" w:lineRule="auto"/>
        <w:ind w:left="270" w:hanging="270"/>
      </w:pPr>
      <w:bookmarkStart w:name="_Toc456098365" w:id="424"/>
      <w:bookmarkStart w:name="_Toc457827378" w:id="425"/>
      <w:bookmarkStart w:name="_Toc521577273" w:id="426"/>
      <w:bookmarkStart w:name="_Toc7512456" w:id="427"/>
      <w:bookmarkStart w:name="_Toc81309153" w:id="428"/>
      <w:r w:rsidRPr="00AE758F">
        <w:lastRenderedPageBreak/>
        <w:t>References</w:t>
      </w:r>
      <w:bookmarkEnd w:id="424"/>
      <w:bookmarkEnd w:id="425"/>
      <w:bookmarkEnd w:id="426"/>
      <w:bookmarkEnd w:id="427"/>
      <w:bookmarkEnd w:id="428"/>
    </w:p>
    <w:p w:rsidRPr="00AE758F" w:rsidR="00C8101A" w:rsidP="007936BF" w:rsidRDefault="00C8101A" w14:paraId="742FD557" w14:textId="3711DE37">
      <w:pPr>
        <w:keepNext/>
        <w:spacing w:line="240" w:lineRule="auto"/>
      </w:pPr>
    </w:p>
    <w:p w:rsidRPr="00AE758F" w:rsidR="004D5D3F" w:rsidP="004D5D3F" w:rsidRDefault="004D5D3F" w14:paraId="1753D6FD" w14:textId="0974179C">
      <w:pPr>
        <w:keepNext/>
        <w:spacing w:line="240" w:lineRule="auto"/>
      </w:pPr>
      <w:r w:rsidRPr="00AE758F">
        <w:t>Bureau of Labor Statistics (BLS</w:t>
      </w:r>
      <w:r>
        <w:t>)</w:t>
      </w:r>
      <w:r w:rsidRPr="00AE758F">
        <w:t xml:space="preserve">.  “Historical CPI-U, April 2020,” </w:t>
      </w:r>
      <w:r>
        <w:t xml:space="preserve">U.S. Department of Labor, </w:t>
      </w:r>
      <w:r w:rsidRPr="00AE758F">
        <w:t>April 2020</w:t>
      </w:r>
      <w:r w:rsidR="0042594E">
        <w:t xml:space="preserve"> (2020a)</w:t>
      </w:r>
      <w:r w:rsidRPr="00AE758F">
        <w:t xml:space="preserve">.  Available at </w:t>
      </w:r>
      <w:hyperlink w:history="1" r:id="rId30">
        <w:r w:rsidRPr="00AE758F">
          <w:rPr>
            <w:rStyle w:val="Hyperlink"/>
          </w:rPr>
          <w:t>https://www.bls.gov/cpi/tables/supplemental-files/home.htm</w:t>
        </w:r>
      </w:hyperlink>
      <w:r w:rsidRPr="00AE758F">
        <w:t>; last accessed on June 1, 2020.</w:t>
      </w:r>
    </w:p>
    <w:p w:rsidR="004D5D3F" w:rsidP="00AD4A37" w:rsidRDefault="004D5D3F" w14:paraId="60D973BD" w14:textId="77777777">
      <w:pPr>
        <w:keepNext/>
        <w:spacing w:line="240" w:lineRule="auto"/>
      </w:pPr>
    </w:p>
    <w:p w:rsidR="00AD4A37" w:rsidP="00AD4A37" w:rsidRDefault="00AD4A37" w14:paraId="56A0D5A0" w14:textId="4F1C6958">
      <w:pPr>
        <w:keepNext/>
        <w:spacing w:line="240" w:lineRule="auto"/>
      </w:pPr>
      <w:r w:rsidRPr="00AE758F">
        <w:t>BLS.  “</w:t>
      </w:r>
      <w:r w:rsidRPr="00EC6265" w:rsidR="00EC6265">
        <w:t>May 2020 National Industry-Specific Occupational Employment and Wage Estimates</w:t>
      </w:r>
      <w:r w:rsidRPr="00AE758F">
        <w:t>,” U.S. Department of Labor, May 20</w:t>
      </w:r>
      <w:r w:rsidR="00B370B3">
        <w:t>20</w:t>
      </w:r>
      <w:r w:rsidR="0042594E">
        <w:t xml:space="preserve"> (2020b)</w:t>
      </w:r>
      <w:r w:rsidRPr="00AE758F">
        <w:t xml:space="preserve">.  Available at </w:t>
      </w:r>
      <w:hyperlink w:history="1" r:id="rId31">
        <w:r w:rsidRPr="00D1181C" w:rsidR="00EC6265">
          <w:rPr>
            <w:rStyle w:val="Hyperlink"/>
          </w:rPr>
          <w:t>https://www.bls.gov/oes/2020/may/naics5_221113.htm</w:t>
        </w:r>
      </w:hyperlink>
      <w:r w:rsidRPr="00AE758F">
        <w:t xml:space="preserve">; last accessed on </w:t>
      </w:r>
      <w:r w:rsidR="002C4C22">
        <w:t>August</w:t>
      </w:r>
      <w:r w:rsidRPr="00AE758F">
        <w:t> </w:t>
      </w:r>
      <w:r w:rsidR="002C4C22">
        <w:t>9</w:t>
      </w:r>
      <w:r w:rsidRPr="00AE758F">
        <w:t>, 202</w:t>
      </w:r>
      <w:r w:rsidR="002C4C22">
        <w:t>1</w:t>
      </w:r>
      <w:r w:rsidRPr="00AE758F">
        <w:t>.</w:t>
      </w:r>
    </w:p>
    <w:p w:rsidRPr="00AE758F" w:rsidR="00AD4A37" w:rsidP="00AD4A37" w:rsidRDefault="00AD4A37" w14:paraId="3964AD21" w14:textId="665290D2">
      <w:pPr>
        <w:keepNext/>
        <w:spacing w:line="240" w:lineRule="auto"/>
      </w:pPr>
    </w:p>
    <w:p w:rsidR="003B3889" w:rsidP="00AD4A37" w:rsidRDefault="003B3889" w14:paraId="3AB1CBDF" w14:textId="557C4BFE">
      <w:pPr>
        <w:keepNext/>
        <w:spacing w:line="240" w:lineRule="auto"/>
      </w:pPr>
      <w:bookmarkStart w:name="_Ref395020097" w:id="429"/>
      <w:bookmarkStart w:name="_Ref411496111" w:id="430"/>
      <w:bookmarkStart w:name="_Ref393453849" w:id="431"/>
      <w:bookmarkStart w:name="_Ref453656185" w:id="432"/>
      <w:bookmarkStart w:name="_Ref395251238" w:id="433"/>
      <w:r w:rsidRPr="007A56C3">
        <w:t>U.S. Nuclear Regulatory Commission (NRC), NUREG/CR</w:t>
      </w:r>
      <w:r>
        <w:noBreakHyphen/>
      </w:r>
      <w:r w:rsidRPr="007A56C3">
        <w:t>3568, “A Handbook for Value-Impact Assessment,” December 1983 (ADAMS Accession No.</w:t>
      </w:r>
      <w:r>
        <w:t> </w:t>
      </w:r>
      <w:r w:rsidRPr="007A56C3">
        <w:t>ML062830096).</w:t>
      </w:r>
    </w:p>
    <w:p w:rsidR="003B3889" w:rsidP="00AD4A37" w:rsidRDefault="003B3889" w14:paraId="27ADE6CF" w14:textId="77777777">
      <w:pPr>
        <w:keepNext/>
        <w:spacing w:line="240" w:lineRule="auto"/>
      </w:pPr>
    </w:p>
    <w:p w:rsidRPr="00AE758F" w:rsidR="00AD4A37" w:rsidP="00AD4A37" w:rsidRDefault="00AD4A37" w14:paraId="225A7541" w14:textId="399960D6">
      <w:pPr>
        <w:keepNext/>
        <w:spacing w:line="240" w:lineRule="auto"/>
      </w:pPr>
      <w:r w:rsidRPr="00AE758F">
        <w:t>NRC.  Regulatory Issue Summary 2004-12, “Clarification on Use of Later Editions and Addenda to the ASME OM Code and Section XI,” July 28, 2004 (</w:t>
      </w:r>
      <w:r w:rsidR="00EF2F7C">
        <w:t>Agencywide Documents Access and Management System (</w:t>
      </w:r>
      <w:r w:rsidRPr="00AE758F">
        <w:t>ADAMS</w:t>
      </w:r>
      <w:r w:rsidR="00EF2F7C">
        <w:t>)</w:t>
      </w:r>
      <w:r w:rsidRPr="00AE758F">
        <w:t xml:space="preserve"> Accession No.</w:t>
      </w:r>
      <w:bookmarkEnd w:id="429"/>
      <w:r w:rsidRPr="00AE758F">
        <w:t> ML042090436)</w:t>
      </w:r>
      <w:bookmarkEnd w:id="430"/>
      <w:r w:rsidRPr="00AE758F">
        <w:t>.</w:t>
      </w:r>
    </w:p>
    <w:p w:rsidRPr="00AE758F" w:rsidR="00AD4A37" w:rsidP="00AD4A37" w:rsidRDefault="00AD4A37" w14:paraId="0350F7B6" w14:textId="77777777">
      <w:pPr>
        <w:keepNext/>
        <w:spacing w:line="240" w:lineRule="auto"/>
      </w:pPr>
      <w:bookmarkStart w:name="_Ref393454273" w:id="434"/>
      <w:bookmarkStart w:name="_Ref393452071" w:id="435"/>
      <w:bookmarkEnd w:id="431"/>
    </w:p>
    <w:p w:rsidRPr="00AE758F" w:rsidR="00AD4A37" w:rsidP="00AD4A37" w:rsidRDefault="00607E4F" w14:paraId="543BC454" w14:textId="3190EF6C">
      <w:pPr>
        <w:keepNext/>
        <w:spacing w:line="240" w:lineRule="auto"/>
      </w:pPr>
      <w:r w:rsidRPr="007A56C3">
        <w:t>NRC</w:t>
      </w:r>
      <w:r w:rsidR="00D87472">
        <w:t>.</w:t>
      </w:r>
      <w:r w:rsidRPr="007A56C3">
        <w:t xml:space="preserve"> </w:t>
      </w:r>
      <w:r w:rsidR="00D87472">
        <w:t xml:space="preserve"> </w:t>
      </w:r>
      <w:r w:rsidRPr="007A56C3">
        <w:t>“Committee to Review Generic Requirements</w:t>
      </w:r>
      <w:r>
        <w:t xml:space="preserve"> Procedures and Internal Administrative Process</w:t>
      </w:r>
      <w:r w:rsidRPr="007A56C3">
        <w:t>,” June 2018</w:t>
      </w:r>
      <w:r w:rsidR="00CA74F5">
        <w:t xml:space="preserve"> </w:t>
      </w:r>
      <w:r w:rsidRPr="007A56C3">
        <w:t>(ADAMS Accession No.</w:t>
      </w:r>
      <w:r>
        <w:t> </w:t>
      </w:r>
      <w:r w:rsidRPr="00F55A22">
        <w:t>ML17355A533</w:t>
      </w:r>
      <w:r>
        <w:t>).</w:t>
      </w:r>
    </w:p>
    <w:p w:rsidRPr="00AE758F" w:rsidR="00AD4A37" w:rsidP="00AD4A37" w:rsidRDefault="00AD4A37" w14:paraId="13E7A1BD" w14:textId="77777777">
      <w:pPr>
        <w:keepNext/>
        <w:spacing w:line="240" w:lineRule="auto"/>
      </w:pPr>
    </w:p>
    <w:bookmarkEnd w:id="432"/>
    <w:bookmarkEnd w:id="433"/>
    <w:bookmarkEnd w:id="434"/>
    <w:bookmarkEnd w:id="435"/>
    <w:p w:rsidRPr="00AE758F" w:rsidR="00AD4A37" w:rsidP="00AD4A37" w:rsidRDefault="00AD4A37" w14:paraId="381D8EB7" w14:textId="41A033BE">
      <w:pPr>
        <w:keepNext/>
        <w:spacing w:line="240" w:lineRule="auto"/>
      </w:pPr>
      <w:r w:rsidRPr="00AE758F">
        <w:t>NRC.  NUREG/BR-0058, “Regulatory Analysis Guidelines of the U.S. Nuclear Regulatory Commission,” Revision 5</w:t>
      </w:r>
      <w:r w:rsidR="00CD2B51">
        <w:t xml:space="preserve"> (draft</w:t>
      </w:r>
      <w:r w:rsidR="00CE0406">
        <w:t xml:space="preserve"> final</w:t>
      </w:r>
      <w:r w:rsidR="00CD2B51">
        <w:t>)</w:t>
      </w:r>
      <w:r w:rsidRPr="00AE758F">
        <w:t xml:space="preserve">, </w:t>
      </w:r>
      <w:r w:rsidR="00A5466F">
        <w:t>January</w:t>
      </w:r>
      <w:r w:rsidRPr="00AE758F">
        <w:t> 2020 (ADAMS Accession No. </w:t>
      </w:r>
      <w:r w:rsidRPr="00AE758F">
        <w:rPr>
          <w:lang w:val="en"/>
        </w:rPr>
        <w:t>ML19261A277</w:t>
      </w:r>
      <w:r w:rsidRPr="00AE758F">
        <w:t>).</w:t>
      </w:r>
    </w:p>
    <w:p w:rsidRPr="00AE758F" w:rsidR="00AD4A37" w:rsidP="007936BF" w:rsidRDefault="00AD4A37" w14:paraId="4DDD1F98" w14:textId="77777777">
      <w:pPr>
        <w:spacing w:line="240" w:lineRule="auto"/>
      </w:pPr>
      <w:bookmarkStart w:name="_Ref393450492" w:id="436"/>
      <w:bookmarkStart w:name="_Ref393453347" w:id="437"/>
      <w:bookmarkStart w:name="_Ref411496168" w:id="438"/>
      <w:bookmarkStart w:name="_Ref470010158" w:id="439"/>
    </w:p>
    <w:p w:rsidRPr="00AE758F" w:rsidR="003F66B7" w:rsidP="007936BF" w:rsidRDefault="003F66B7" w14:paraId="1F8B2C31" w14:textId="774FA7FC">
      <w:pPr>
        <w:spacing w:line="240" w:lineRule="auto"/>
        <w:rPr>
          <w:rStyle w:val="Hyperlink"/>
          <w:color w:val="auto"/>
        </w:rPr>
      </w:pPr>
      <w:r w:rsidRPr="00307727">
        <w:t>Office of Management and Budget (OMB).  Circular A</w:t>
      </w:r>
      <w:r w:rsidRPr="00AE758F">
        <w:noBreakHyphen/>
        <w:t>4, “Regulatory Analysis,” October</w:t>
      </w:r>
      <w:r w:rsidR="00833545">
        <w:t> 9, </w:t>
      </w:r>
      <w:r w:rsidRPr="00AE758F">
        <w:t xml:space="preserve">2003.  Available at </w:t>
      </w:r>
      <w:hyperlink w:history="1" r:id="rId32">
        <w:r w:rsidRPr="00AE758F">
          <w:rPr>
            <w:rStyle w:val="Hyperlink"/>
          </w:rPr>
          <w:t>https://www.federalregister.gov/documents/2003/10/09/03-25606/circular-a-4-regulatory-analysis</w:t>
        </w:r>
      </w:hyperlink>
      <w:r w:rsidRPr="00AE758F">
        <w:t>.</w:t>
      </w:r>
    </w:p>
    <w:p w:rsidRPr="00AE758F" w:rsidR="003F66B7" w:rsidP="007936BF" w:rsidRDefault="003F66B7" w14:paraId="392B081A" w14:textId="77777777">
      <w:pPr>
        <w:spacing w:line="240" w:lineRule="auto"/>
        <w:rPr>
          <w:rStyle w:val="Hyperlink"/>
          <w:color w:val="auto"/>
        </w:rPr>
      </w:pPr>
    </w:p>
    <w:p w:rsidRPr="00AE758F" w:rsidR="003F66B7" w:rsidP="007936BF" w:rsidRDefault="003F66B7" w14:paraId="42E29F0B" w14:textId="45EC6BE7">
      <w:pPr>
        <w:spacing w:line="240" w:lineRule="auto"/>
      </w:pPr>
      <w:r w:rsidRPr="00307727">
        <w:t xml:space="preserve">OMB.  Circular A-119, “Federal Participation in the Development and Use of Voluntary Consensus Standards and in Conformity Assessment Activities,” January 27, 2016.  Available at </w:t>
      </w:r>
      <w:hyperlink w:history="1" r:id="rId33">
        <w:r w:rsidRPr="00AE758F">
          <w:rPr>
            <w:rStyle w:val="Hyperlink"/>
          </w:rPr>
          <w:t>https://www.federalregister.gov/documents/2016/01/27/2016-01606/revision-of-omb-circular-no-a-119-federal-participation-in-the-development-and-use-of-voluntary</w:t>
        </w:r>
      </w:hyperlink>
      <w:r w:rsidRPr="00AE758F">
        <w:t>.</w:t>
      </w:r>
    </w:p>
    <w:p w:rsidRPr="00AE758F" w:rsidR="003F66B7" w:rsidP="007936BF" w:rsidRDefault="003F66B7" w14:paraId="09804A39" w14:textId="77777777">
      <w:pPr>
        <w:spacing w:line="240" w:lineRule="auto"/>
      </w:pPr>
    </w:p>
    <w:p w:rsidRPr="00AE758F" w:rsidR="00C8101A" w:rsidP="007936BF" w:rsidRDefault="00C8101A" w14:paraId="78507095" w14:textId="31ADC755">
      <w:pPr>
        <w:spacing w:line="240" w:lineRule="auto"/>
      </w:pPr>
      <w:r w:rsidRPr="00AE758F">
        <w:t xml:space="preserve">Public Law 104-113, </w:t>
      </w:r>
      <w:r w:rsidRPr="00AE758F" w:rsidR="0097758D">
        <w:t>“</w:t>
      </w:r>
      <w:r w:rsidRPr="00AE758F">
        <w:t>National Technology Transfer and Advancement Act of 1995, as amended</w:t>
      </w:r>
      <w:r w:rsidRPr="00AE758F" w:rsidR="00DB7743">
        <w:t>.</w:t>
      </w:r>
      <w:r w:rsidRPr="00AE758F" w:rsidR="0097758D">
        <w:t xml:space="preserve">” </w:t>
      </w:r>
      <w:r w:rsidRPr="00AE758F">
        <w:t xml:space="preserve"> </w:t>
      </w:r>
      <w:r w:rsidRPr="00AE758F" w:rsidR="0097758D">
        <w:t>A</w:t>
      </w:r>
      <w:r w:rsidRPr="00AE758F" w:rsidR="00DB7743">
        <w:t>vailable</w:t>
      </w:r>
      <w:r w:rsidRPr="00AE758F">
        <w:t xml:space="preserve"> at </w:t>
      </w:r>
      <w:hyperlink w:history="1" r:id="rId34">
        <w:r w:rsidRPr="00AE758F">
          <w:rPr>
            <w:rStyle w:val="Hyperlink"/>
          </w:rPr>
          <w:t>http://www.gpo.gov/fdsys/pkg/PLAW-104publ113/pdf/PLAW-104publ113.pdf</w:t>
        </w:r>
      </w:hyperlink>
      <w:r w:rsidRPr="00AE758F">
        <w:t>.</w:t>
      </w:r>
    </w:p>
    <w:p w:rsidRPr="00AE758F" w:rsidR="00C8101A" w:rsidP="007936BF" w:rsidRDefault="00C8101A" w14:paraId="40FC0322" w14:textId="77777777">
      <w:pPr>
        <w:spacing w:line="240" w:lineRule="auto"/>
      </w:pPr>
      <w:bookmarkStart w:name="_Ref418690787" w:id="440"/>
    </w:p>
    <w:bookmarkEnd w:id="440"/>
    <w:p w:rsidRPr="00AE758F" w:rsidR="006C02F3" w:rsidP="007936BF" w:rsidRDefault="006C02F3" w14:paraId="72C8CBA5" w14:textId="259C315F">
      <w:pPr>
        <w:spacing w:line="240" w:lineRule="auto"/>
      </w:pPr>
      <w:r w:rsidRPr="00AE758F">
        <w:rPr>
          <w:i/>
        </w:rPr>
        <w:t>U.S. Code of Federal Regulations</w:t>
      </w:r>
      <w:r w:rsidRPr="00AE758F">
        <w:t xml:space="preserve">, “Domestic </w:t>
      </w:r>
      <w:r w:rsidRPr="00AE758F" w:rsidR="008740B1">
        <w:t>l</w:t>
      </w:r>
      <w:r w:rsidRPr="00AE758F">
        <w:t xml:space="preserve">icensing of </w:t>
      </w:r>
      <w:r w:rsidRPr="00AE758F" w:rsidR="008740B1">
        <w:t>p</w:t>
      </w:r>
      <w:r w:rsidRPr="00AE758F">
        <w:t xml:space="preserve">roduction and </w:t>
      </w:r>
      <w:r w:rsidRPr="00AE758F" w:rsidR="008740B1">
        <w:t>u</w:t>
      </w:r>
      <w:r w:rsidRPr="00AE758F">
        <w:t xml:space="preserve">tilization </w:t>
      </w:r>
      <w:r w:rsidRPr="00AE758F" w:rsidR="008740B1">
        <w:t>f</w:t>
      </w:r>
      <w:r w:rsidRPr="00AE758F">
        <w:t>acilities,” Part</w:t>
      </w:r>
      <w:r w:rsidRPr="00AE758F" w:rsidR="00A135D8">
        <w:t> </w:t>
      </w:r>
      <w:r w:rsidRPr="00AE758F">
        <w:t xml:space="preserve">50, </w:t>
      </w:r>
      <w:r w:rsidRPr="00AE758F" w:rsidR="00A135D8">
        <w:t xml:space="preserve">Chapter 1, </w:t>
      </w:r>
      <w:r w:rsidRPr="00AE758F">
        <w:t>Title</w:t>
      </w:r>
      <w:r w:rsidRPr="00AE758F" w:rsidR="00A135D8">
        <w:t> </w:t>
      </w:r>
      <w:r w:rsidRPr="00AE758F">
        <w:t xml:space="preserve">10, </w:t>
      </w:r>
      <w:r w:rsidRPr="00AE758F" w:rsidR="00A135D8">
        <w:t>“</w:t>
      </w:r>
      <w:r w:rsidRPr="00AE758F">
        <w:rPr>
          <w:iCs/>
        </w:rPr>
        <w:t>Energy</w:t>
      </w:r>
      <w:r w:rsidRPr="00AE758F">
        <w:rPr>
          <w:i/>
        </w:rPr>
        <w:t>.</w:t>
      </w:r>
      <w:r w:rsidRPr="00AE758F" w:rsidR="00A135D8">
        <w:rPr>
          <w:i/>
        </w:rPr>
        <w:t>”</w:t>
      </w:r>
    </w:p>
    <w:p w:rsidR="006C02F3" w:rsidP="007936BF" w:rsidRDefault="006C02F3" w14:paraId="1C396045" w14:textId="42C54092">
      <w:pPr>
        <w:spacing w:line="240" w:lineRule="auto"/>
      </w:pPr>
    </w:p>
    <w:p w:rsidRPr="00AE758F" w:rsidR="00D13336" w:rsidP="00D13336" w:rsidRDefault="00D13336" w14:paraId="762D3256" w14:textId="0C0B41F4">
      <w:pPr>
        <w:spacing w:line="240" w:lineRule="auto"/>
      </w:pPr>
      <w:r w:rsidRPr="00AE758F">
        <w:rPr>
          <w:i/>
        </w:rPr>
        <w:t>U.S. Code of Federal Regulations</w:t>
      </w:r>
      <w:r w:rsidRPr="00AE758F">
        <w:t>, “</w:t>
      </w:r>
      <w:r w:rsidR="005E1F35">
        <w:t>Licenses, certifications, and approvals for nuclear power plants</w:t>
      </w:r>
      <w:r w:rsidRPr="00AE758F">
        <w:t>,” Part </w:t>
      </w:r>
      <w:r>
        <w:t>52</w:t>
      </w:r>
      <w:r w:rsidRPr="00AE758F">
        <w:t>, Chapter 1, Title 10, “</w:t>
      </w:r>
      <w:r w:rsidRPr="00AE758F">
        <w:rPr>
          <w:iCs/>
        </w:rPr>
        <w:t>Energy</w:t>
      </w:r>
      <w:r w:rsidRPr="00AE758F">
        <w:rPr>
          <w:i/>
        </w:rPr>
        <w:t>.”</w:t>
      </w:r>
    </w:p>
    <w:p w:rsidR="00D13336" w:rsidP="007936BF" w:rsidRDefault="00D13336" w14:paraId="74028FDD" w14:textId="77777777">
      <w:pPr>
        <w:spacing w:line="240" w:lineRule="auto"/>
      </w:pPr>
    </w:p>
    <w:p w:rsidRPr="00AE758F" w:rsidR="00D13336" w:rsidP="00D13336" w:rsidRDefault="00D13336" w14:paraId="50251733" w14:textId="22416748">
      <w:pPr>
        <w:spacing w:line="240" w:lineRule="auto"/>
      </w:pPr>
      <w:r w:rsidRPr="00AE758F">
        <w:rPr>
          <w:i/>
        </w:rPr>
        <w:t>U.S. Code of Federal Regulations</w:t>
      </w:r>
      <w:r w:rsidRPr="00AE758F">
        <w:t>, “</w:t>
      </w:r>
      <w:r w:rsidRPr="005E1F35" w:rsidR="005E1F35">
        <w:t>Fees for facilities, materials, import and export licenses, and other regulatory services under the Atomic Energy Act of 1954, as amended</w:t>
      </w:r>
      <w:r w:rsidRPr="00AE758F">
        <w:t>,” Part </w:t>
      </w:r>
      <w:r>
        <w:t>170</w:t>
      </w:r>
      <w:r w:rsidRPr="00AE758F">
        <w:t>, Chapter 1, Title 10, “</w:t>
      </w:r>
      <w:r w:rsidRPr="00AE758F">
        <w:rPr>
          <w:iCs/>
        </w:rPr>
        <w:t>Energy</w:t>
      </w:r>
      <w:r w:rsidRPr="00AE758F">
        <w:rPr>
          <w:i/>
        </w:rPr>
        <w:t>.”</w:t>
      </w:r>
    </w:p>
    <w:p w:rsidRPr="00AE758F" w:rsidR="00D13336" w:rsidP="007936BF" w:rsidRDefault="00D13336" w14:paraId="706AF424" w14:textId="77777777">
      <w:pPr>
        <w:spacing w:line="240" w:lineRule="auto"/>
      </w:pPr>
    </w:p>
    <w:bookmarkEnd w:id="436"/>
    <w:p w:rsidRPr="00AE758F" w:rsidR="00C8101A" w:rsidP="007936BF" w:rsidRDefault="00C8101A" w14:paraId="497E2EDF" w14:textId="52C0C7C9">
      <w:pPr>
        <w:spacing w:line="240" w:lineRule="auto"/>
      </w:pPr>
    </w:p>
    <w:p w:rsidRPr="00AE758F" w:rsidR="00CE439A" w:rsidP="007936BF" w:rsidRDefault="00CE439A" w14:paraId="7D85D9F4" w14:textId="77777777">
      <w:pPr>
        <w:spacing w:line="240" w:lineRule="auto"/>
      </w:pPr>
      <w:bookmarkStart w:name="_Toc456098367" w:id="441"/>
      <w:bookmarkStart w:name="_Ref448385102" w:id="442"/>
      <w:bookmarkStart w:name="_Ref448385111" w:id="443"/>
      <w:bookmarkStart w:name="_Ref448385113" w:id="444"/>
      <w:bookmarkStart w:name="_Ref448385138" w:id="445"/>
      <w:bookmarkStart w:name="_Toc457827380" w:id="446"/>
      <w:bookmarkEnd w:id="437"/>
      <w:bookmarkEnd w:id="438"/>
      <w:bookmarkEnd w:id="439"/>
    </w:p>
    <w:p w:rsidRPr="00AE758F" w:rsidR="00C8101A" w:rsidP="007936BF" w:rsidRDefault="00C8101A" w14:paraId="7FD8FF91" w14:textId="77777777">
      <w:pPr>
        <w:autoSpaceDE/>
        <w:autoSpaceDN/>
        <w:adjustRightInd/>
        <w:spacing w:line="240" w:lineRule="auto"/>
        <w:sectPr w:rsidRPr="00AE758F" w:rsidR="00C8101A" w:rsidSect="00E13439">
          <w:headerReference w:type="default" r:id="rId35"/>
          <w:footerReference w:type="default" r:id="rId36"/>
          <w:pgSz w:w="12240" w:h="15840"/>
          <w:pgMar w:top="1440" w:right="1440" w:bottom="1440" w:left="1440" w:header="720" w:footer="720" w:gutter="0"/>
          <w:pgNumType w:start="1"/>
          <w:cols w:space="720"/>
          <w:docGrid w:linePitch="360"/>
        </w:sectPr>
      </w:pPr>
    </w:p>
    <w:p w:rsidRPr="00AE758F" w:rsidR="00C8101A" w:rsidP="00382B4A" w:rsidRDefault="00C8101A" w14:paraId="42D1636C" w14:textId="77777777">
      <w:pPr>
        <w:pStyle w:val="Heading1"/>
        <w:spacing w:before="0" w:line="240" w:lineRule="auto"/>
        <w:jc w:val="center"/>
      </w:pPr>
      <w:bookmarkStart w:name="_Toc81309154" w:id="447"/>
      <w:r w:rsidRPr="00AE758F">
        <w:lastRenderedPageBreak/>
        <w:t>Appendix A</w:t>
      </w:r>
      <w:r w:rsidRPr="00AE758F">
        <w:tab/>
        <w:t xml:space="preserve">Major Assumptions and </w:t>
      </w:r>
      <w:bookmarkEnd w:id="441"/>
      <w:r w:rsidRPr="00AE758F">
        <w:t>Input Data</w:t>
      </w:r>
      <w:bookmarkEnd w:id="442"/>
      <w:bookmarkEnd w:id="443"/>
      <w:bookmarkEnd w:id="444"/>
      <w:bookmarkEnd w:id="445"/>
      <w:bookmarkEnd w:id="446"/>
      <w:bookmarkEnd w:id="447"/>
    </w:p>
    <w:p w:rsidRPr="00AE758F" w:rsidR="00C8101A" w:rsidP="007936BF" w:rsidRDefault="00C8101A" w14:paraId="75E008E9" w14:textId="77777777">
      <w:pPr>
        <w:spacing w:line="240" w:lineRule="auto"/>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05"/>
        <w:gridCol w:w="1170"/>
        <w:gridCol w:w="1800"/>
        <w:gridCol w:w="6475"/>
      </w:tblGrid>
      <w:tr w:rsidRPr="00AE758F" w:rsidR="00C8101A" w:rsidTr="00382B4A" w14:paraId="3CD6D18E" w14:textId="77777777">
        <w:trPr>
          <w:trHeight w:val="288"/>
          <w:tblHeader/>
        </w:trPr>
        <w:tc>
          <w:tcPr>
            <w:tcW w:w="3505" w:type="dxa"/>
            <w:noWrap/>
            <w:vAlign w:val="center"/>
            <w:hideMark/>
          </w:tcPr>
          <w:p w:rsidRPr="00AE758F" w:rsidR="00C8101A" w:rsidP="00382B4A" w:rsidRDefault="00C8101A" w14:paraId="2EC2DB51" w14:textId="77777777">
            <w:pPr>
              <w:spacing w:line="240" w:lineRule="auto"/>
              <w:jc w:val="center"/>
              <w:rPr>
                <w:b/>
              </w:rPr>
            </w:pPr>
            <w:r w:rsidRPr="00AE758F">
              <w:rPr>
                <w:b/>
              </w:rPr>
              <w:t>Data Element</w:t>
            </w:r>
          </w:p>
        </w:tc>
        <w:tc>
          <w:tcPr>
            <w:tcW w:w="1170" w:type="dxa"/>
            <w:vAlign w:val="center"/>
            <w:hideMark/>
          </w:tcPr>
          <w:p w:rsidRPr="00AE758F" w:rsidR="00C8101A" w:rsidP="00382B4A" w:rsidRDefault="00C8101A" w14:paraId="046471E5" w14:textId="77777777">
            <w:pPr>
              <w:spacing w:line="240" w:lineRule="auto"/>
              <w:jc w:val="center"/>
              <w:rPr>
                <w:b/>
              </w:rPr>
            </w:pPr>
            <w:r w:rsidRPr="00AE758F">
              <w:rPr>
                <w:b/>
              </w:rPr>
              <w:t>Best Estimate</w:t>
            </w:r>
          </w:p>
        </w:tc>
        <w:tc>
          <w:tcPr>
            <w:tcW w:w="1800" w:type="dxa"/>
            <w:vAlign w:val="center"/>
            <w:hideMark/>
          </w:tcPr>
          <w:p w:rsidRPr="00AE758F" w:rsidR="00C8101A" w:rsidP="00382B4A" w:rsidRDefault="00C8101A" w14:paraId="1C720BE6" w14:textId="77777777">
            <w:pPr>
              <w:spacing w:line="240" w:lineRule="auto"/>
              <w:jc w:val="center"/>
              <w:rPr>
                <w:b/>
              </w:rPr>
            </w:pPr>
            <w:r w:rsidRPr="00AE758F">
              <w:rPr>
                <w:b/>
              </w:rPr>
              <w:t>Unit</w:t>
            </w:r>
          </w:p>
        </w:tc>
        <w:tc>
          <w:tcPr>
            <w:tcW w:w="6475" w:type="dxa"/>
            <w:noWrap/>
            <w:vAlign w:val="center"/>
            <w:hideMark/>
          </w:tcPr>
          <w:p w:rsidRPr="00AE758F" w:rsidR="00C8101A" w:rsidP="00382B4A" w:rsidRDefault="00C8101A" w14:paraId="5E3F48C0" w14:textId="77777777">
            <w:pPr>
              <w:spacing w:line="240" w:lineRule="auto"/>
              <w:jc w:val="center"/>
              <w:rPr>
                <w:b/>
              </w:rPr>
            </w:pPr>
            <w:r w:rsidRPr="00AE758F">
              <w:rPr>
                <w:b/>
              </w:rPr>
              <w:t>Source or Basis of Estimate</w:t>
            </w:r>
          </w:p>
        </w:tc>
      </w:tr>
      <w:tr w:rsidRPr="00AE758F" w:rsidR="00C8101A" w:rsidTr="00B62830" w14:paraId="530FC0E4" w14:textId="77777777">
        <w:trPr>
          <w:trHeight w:val="288"/>
        </w:trPr>
        <w:tc>
          <w:tcPr>
            <w:tcW w:w="12950" w:type="dxa"/>
            <w:gridSpan w:val="4"/>
            <w:noWrap/>
            <w:vAlign w:val="center"/>
            <w:hideMark/>
          </w:tcPr>
          <w:p w:rsidRPr="00AE758F" w:rsidR="00C8101A" w:rsidP="007936BF" w:rsidRDefault="00C8101A" w14:paraId="18320C54" w14:textId="53A77A00">
            <w:pPr>
              <w:spacing w:line="240" w:lineRule="auto"/>
            </w:pPr>
            <w:r w:rsidRPr="00AE758F">
              <w:t xml:space="preserve">Key </w:t>
            </w:r>
            <w:r w:rsidRPr="00AE758F" w:rsidR="00C25061">
              <w:t>Years</w:t>
            </w:r>
          </w:p>
        </w:tc>
      </w:tr>
      <w:tr w:rsidRPr="00AE758F" w:rsidR="00C8101A" w:rsidTr="00B62830" w14:paraId="18CAFC91" w14:textId="77777777">
        <w:trPr>
          <w:trHeight w:val="288"/>
        </w:trPr>
        <w:tc>
          <w:tcPr>
            <w:tcW w:w="3505" w:type="dxa"/>
            <w:noWrap/>
            <w:vAlign w:val="center"/>
            <w:hideMark/>
          </w:tcPr>
          <w:p w:rsidRPr="00AE758F" w:rsidR="00C8101A" w:rsidP="007936BF" w:rsidRDefault="001656F5" w14:paraId="1E67C485" w14:textId="199BFDDB">
            <w:pPr>
              <w:spacing w:line="240" w:lineRule="auto"/>
            </w:pPr>
            <w:r>
              <w:t>Final</w:t>
            </w:r>
            <w:r w:rsidRPr="00AE758F" w:rsidR="00C8101A">
              <w:t xml:space="preserve"> rule effective date</w:t>
            </w:r>
          </w:p>
        </w:tc>
        <w:tc>
          <w:tcPr>
            <w:tcW w:w="1170" w:type="dxa"/>
            <w:vAlign w:val="center"/>
            <w:hideMark/>
          </w:tcPr>
          <w:p w:rsidRPr="00AE758F" w:rsidR="00C8101A" w:rsidP="007936BF" w:rsidRDefault="00C8101A" w14:paraId="0DEAE60E" w14:textId="48BFB117">
            <w:pPr>
              <w:spacing w:line="240" w:lineRule="auto"/>
            </w:pPr>
            <w:r w:rsidRPr="00AE758F">
              <w:t>202</w:t>
            </w:r>
            <w:r w:rsidR="001656F5">
              <w:t>2</w:t>
            </w:r>
          </w:p>
        </w:tc>
        <w:tc>
          <w:tcPr>
            <w:tcW w:w="1800" w:type="dxa"/>
            <w:vAlign w:val="center"/>
            <w:hideMark/>
          </w:tcPr>
          <w:p w:rsidRPr="00AE758F" w:rsidR="00C8101A" w:rsidP="007936BF" w:rsidRDefault="00C8101A" w14:paraId="0788625C" w14:textId="77777777">
            <w:pPr>
              <w:spacing w:line="240" w:lineRule="auto"/>
            </w:pPr>
            <w:r w:rsidRPr="00AE758F">
              <w:t>year</w:t>
            </w:r>
          </w:p>
        </w:tc>
        <w:tc>
          <w:tcPr>
            <w:tcW w:w="6475" w:type="dxa"/>
            <w:noWrap/>
            <w:vAlign w:val="center"/>
            <w:hideMark/>
          </w:tcPr>
          <w:p w:rsidRPr="00AE758F" w:rsidR="00C8101A" w:rsidP="007936BF" w:rsidRDefault="00C8101A" w14:paraId="16320A8A" w14:textId="08CF6447">
            <w:pPr>
              <w:spacing w:line="240" w:lineRule="auto"/>
            </w:pPr>
            <w:r w:rsidRPr="00AE758F">
              <w:t>U.S. Nuclear Regulatory Commission (NRC) input</w:t>
            </w:r>
            <w:r w:rsidRPr="00AE758F" w:rsidR="00F355ED">
              <w:t>.</w:t>
            </w:r>
          </w:p>
        </w:tc>
      </w:tr>
      <w:tr w:rsidRPr="00AE758F" w:rsidR="00C8101A" w:rsidTr="00B62830" w14:paraId="62760AF6" w14:textId="77777777">
        <w:trPr>
          <w:trHeight w:val="288"/>
        </w:trPr>
        <w:tc>
          <w:tcPr>
            <w:tcW w:w="3505" w:type="dxa"/>
            <w:noWrap/>
            <w:vAlign w:val="center"/>
            <w:hideMark/>
          </w:tcPr>
          <w:p w:rsidRPr="00AE758F" w:rsidR="00C8101A" w:rsidP="007936BF" w:rsidRDefault="00C8101A" w14:paraId="3E481580" w14:textId="77777777">
            <w:pPr>
              <w:spacing w:line="240" w:lineRule="auto"/>
            </w:pPr>
            <w:r w:rsidRPr="00AE758F">
              <w:t>Analysis base year</w:t>
            </w:r>
          </w:p>
        </w:tc>
        <w:tc>
          <w:tcPr>
            <w:tcW w:w="1170" w:type="dxa"/>
            <w:noWrap/>
            <w:vAlign w:val="center"/>
            <w:hideMark/>
          </w:tcPr>
          <w:p w:rsidRPr="00AE758F" w:rsidR="00C8101A" w:rsidP="007936BF" w:rsidRDefault="00C8101A" w14:paraId="6E6DACA2" w14:textId="0FDB54CE">
            <w:pPr>
              <w:spacing w:line="240" w:lineRule="auto"/>
            </w:pPr>
            <w:r w:rsidRPr="00AE758F">
              <w:t>202</w:t>
            </w:r>
            <w:r w:rsidR="001656F5">
              <w:t>1</w:t>
            </w:r>
          </w:p>
        </w:tc>
        <w:tc>
          <w:tcPr>
            <w:tcW w:w="1800" w:type="dxa"/>
            <w:noWrap/>
            <w:vAlign w:val="center"/>
            <w:hideMark/>
          </w:tcPr>
          <w:p w:rsidRPr="00AE758F" w:rsidR="00C8101A" w:rsidP="007936BF" w:rsidRDefault="00C8101A" w14:paraId="0084BA97" w14:textId="77777777">
            <w:pPr>
              <w:spacing w:line="240" w:lineRule="auto"/>
            </w:pPr>
            <w:r w:rsidRPr="00AE758F">
              <w:t>year</w:t>
            </w:r>
          </w:p>
        </w:tc>
        <w:tc>
          <w:tcPr>
            <w:tcW w:w="6475" w:type="dxa"/>
            <w:noWrap/>
            <w:vAlign w:val="center"/>
            <w:hideMark/>
          </w:tcPr>
          <w:p w:rsidRPr="00AE758F" w:rsidR="00C8101A" w:rsidP="007936BF" w:rsidRDefault="00C8101A" w14:paraId="7EF6F085" w14:textId="1746BDC7">
            <w:pPr>
              <w:spacing w:line="240" w:lineRule="auto"/>
            </w:pPr>
            <w:r w:rsidRPr="00AE758F">
              <w:t>NRC input</w:t>
            </w:r>
            <w:r w:rsidRPr="00AE758F" w:rsidR="00F355ED">
              <w:t>.</w:t>
            </w:r>
          </w:p>
        </w:tc>
      </w:tr>
      <w:tr w:rsidRPr="00AE758F" w:rsidR="00C8101A" w:rsidTr="00B62830" w14:paraId="740C0452" w14:textId="77777777">
        <w:trPr>
          <w:trHeight w:val="288"/>
        </w:trPr>
        <w:tc>
          <w:tcPr>
            <w:tcW w:w="12950" w:type="dxa"/>
            <w:gridSpan w:val="4"/>
            <w:noWrap/>
            <w:vAlign w:val="center"/>
            <w:hideMark/>
          </w:tcPr>
          <w:p w:rsidRPr="00AE758F" w:rsidR="00C8101A" w:rsidP="007936BF" w:rsidRDefault="00C25061" w14:paraId="2A9D6A84" w14:textId="62FB5C75">
            <w:pPr>
              <w:spacing w:line="240" w:lineRule="auto"/>
            </w:pPr>
            <w:r w:rsidRPr="00AE758F">
              <w:t>Number of Reactor Units</w:t>
            </w:r>
          </w:p>
        </w:tc>
      </w:tr>
      <w:tr w:rsidRPr="00AE758F" w:rsidR="00C25061" w:rsidTr="00C25061" w14:paraId="4FB662BD" w14:textId="77777777">
        <w:trPr>
          <w:trHeight w:val="710"/>
        </w:trPr>
        <w:tc>
          <w:tcPr>
            <w:tcW w:w="3505" w:type="dxa"/>
            <w:noWrap/>
            <w:vAlign w:val="center"/>
          </w:tcPr>
          <w:p w:rsidRPr="00AE758F" w:rsidR="00C25061" w:rsidP="00D96B0C" w:rsidRDefault="00C25061" w14:paraId="59C4E4EF" w14:textId="75B2FCE7">
            <w:pPr>
              <w:spacing w:line="240" w:lineRule="auto"/>
            </w:pPr>
            <w:r w:rsidRPr="00AE758F">
              <w:t xml:space="preserve">Number of operating reactor units </w:t>
            </w:r>
            <w:r w:rsidR="00D96B0C">
              <w:t xml:space="preserve">forecast </w:t>
            </w:r>
            <w:r w:rsidRPr="00AE758F">
              <w:t>in</w:t>
            </w:r>
            <w:r w:rsidR="003F090D">
              <w:t xml:space="preserve"> 2022</w:t>
            </w:r>
          </w:p>
        </w:tc>
        <w:tc>
          <w:tcPr>
            <w:tcW w:w="1170" w:type="dxa"/>
            <w:noWrap/>
            <w:vAlign w:val="center"/>
          </w:tcPr>
          <w:p w:rsidRPr="00AE758F" w:rsidR="00C25061" w:rsidP="007936BF" w:rsidRDefault="00C25061" w14:paraId="718F942A" w14:textId="31C8D25F">
            <w:pPr>
              <w:spacing w:line="240" w:lineRule="auto"/>
            </w:pPr>
            <w:r w:rsidRPr="00AE758F">
              <w:t>9</w:t>
            </w:r>
            <w:r w:rsidR="003101FD">
              <w:t>2</w:t>
            </w:r>
          </w:p>
        </w:tc>
        <w:tc>
          <w:tcPr>
            <w:tcW w:w="1800" w:type="dxa"/>
            <w:noWrap/>
            <w:vAlign w:val="center"/>
          </w:tcPr>
          <w:p w:rsidRPr="00AE758F" w:rsidR="00C25061" w:rsidP="007936BF" w:rsidRDefault="00C25061" w14:paraId="2C340C51" w14:textId="493EEA63">
            <w:pPr>
              <w:spacing w:line="240" w:lineRule="auto"/>
            </w:pPr>
            <w:r w:rsidRPr="00AE758F">
              <w:t>units</w:t>
            </w:r>
          </w:p>
        </w:tc>
        <w:tc>
          <w:tcPr>
            <w:tcW w:w="6475" w:type="dxa"/>
            <w:vAlign w:val="center"/>
          </w:tcPr>
          <w:p w:rsidRPr="00AE758F" w:rsidR="00C25061" w:rsidP="009E36CE" w:rsidRDefault="00C25061" w14:paraId="0948FA48" w14:textId="185C81BA">
            <w:pPr>
              <w:spacing w:line="240" w:lineRule="auto"/>
            </w:pPr>
            <w:r w:rsidRPr="00AE758F">
              <w:t xml:space="preserve">Based on NUREG-1350, </w:t>
            </w:r>
            <w:r w:rsidR="009E36CE">
              <w:t xml:space="preserve">“Information Digest,” </w:t>
            </w:r>
            <w:r w:rsidRPr="00AE758F">
              <w:t>Volume</w:t>
            </w:r>
            <w:r w:rsidRPr="00AE758F" w:rsidR="00F355ED">
              <w:t> </w:t>
            </w:r>
            <w:r w:rsidRPr="00AE758F">
              <w:t>3</w:t>
            </w:r>
            <w:r w:rsidR="00C02603">
              <w:t>2</w:t>
            </w:r>
            <w:r w:rsidRPr="00AE758F">
              <w:t>, Appendix A</w:t>
            </w:r>
            <w:r w:rsidR="009E36CE">
              <w:t>, issued September 20</w:t>
            </w:r>
            <w:r w:rsidR="00C02603">
              <w:t>20</w:t>
            </w:r>
            <w:r w:rsidRPr="00AE758F">
              <w:t xml:space="preserve">. </w:t>
            </w:r>
            <w:r w:rsidRPr="00AE758F" w:rsidR="00F355ED">
              <w:t xml:space="preserve"> </w:t>
            </w:r>
            <w:r w:rsidRPr="00AE758F" w:rsidR="00603628">
              <w:t>Units 3 and 4</w:t>
            </w:r>
            <w:r w:rsidR="00603628">
              <w:t xml:space="preserve"> of the </w:t>
            </w:r>
            <w:r w:rsidRPr="00AE758F">
              <w:t xml:space="preserve">Vogtle Electric Generating Plant </w:t>
            </w:r>
            <w:r w:rsidR="00603628">
              <w:t xml:space="preserve">are </w:t>
            </w:r>
            <w:r w:rsidRPr="00AE758F" w:rsidR="004C2816">
              <w:t xml:space="preserve">expected to </w:t>
            </w:r>
            <w:r w:rsidRPr="00AE758F">
              <w:t>begin operation in 202</w:t>
            </w:r>
            <w:r w:rsidR="00341FFA">
              <w:t>2</w:t>
            </w:r>
            <w:r w:rsidRPr="00AE758F">
              <w:t xml:space="preserve"> and 202</w:t>
            </w:r>
            <w:r w:rsidR="00341FFA">
              <w:t>3</w:t>
            </w:r>
            <w:r w:rsidRPr="00AE758F" w:rsidR="00D53D96">
              <w:t>,</w:t>
            </w:r>
            <w:r w:rsidRPr="00AE758F" w:rsidR="00761023">
              <w:t xml:space="preserve"> respectively</w:t>
            </w:r>
            <w:r w:rsidRPr="00AE758F" w:rsidR="004620E7">
              <w:t>.</w:t>
            </w:r>
          </w:p>
        </w:tc>
      </w:tr>
      <w:tr w:rsidRPr="00AE758F" w:rsidR="00512121" w:rsidTr="00C25061" w14:paraId="65E051BA" w14:textId="77777777">
        <w:trPr>
          <w:trHeight w:val="710"/>
        </w:trPr>
        <w:tc>
          <w:tcPr>
            <w:tcW w:w="3505" w:type="dxa"/>
            <w:noWrap/>
            <w:vAlign w:val="center"/>
          </w:tcPr>
          <w:p w:rsidRPr="00AE758F" w:rsidR="00512121" w:rsidP="00D96B0C" w:rsidRDefault="00512121" w14:paraId="0A4A691E" w14:textId="0C650B80">
            <w:pPr>
              <w:spacing w:line="240" w:lineRule="auto"/>
            </w:pPr>
            <w:r w:rsidRPr="00AE758F">
              <w:t xml:space="preserve">Number of operating reactor units </w:t>
            </w:r>
            <w:r w:rsidR="00D96B0C">
              <w:t xml:space="preserve">forecast </w:t>
            </w:r>
            <w:r w:rsidRPr="00AE758F">
              <w:t>in</w:t>
            </w:r>
            <w:r>
              <w:t xml:space="preserve"> 2023</w:t>
            </w:r>
            <w:r w:rsidR="00D96B0C">
              <w:t>–</w:t>
            </w:r>
            <w:r w:rsidRPr="00AE758F">
              <w:t>2024</w:t>
            </w:r>
          </w:p>
        </w:tc>
        <w:tc>
          <w:tcPr>
            <w:tcW w:w="1170" w:type="dxa"/>
            <w:noWrap/>
            <w:vAlign w:val="center"/>
          </w:tcPr>
          <w:p w:rsidRPr="00AE758F" w:rsidR="00512121" w:rsidP="00512121" w:rsidRDefault="00512121" w14:paraId="63AF63A9" w14:textId="73BCC043">
            <w:pPr>
              <w:spacing w:line="240" w:lineRule="auto"/>
            </w:pPr>
            <w:r w:rsidRPr="00AE758F">
              <w:t>9</w:t>
            </w:r>
            <w:r>
              <w:t>1</w:t>
            </w:r>
          </w:p>
        </w:tc>
        <w:tc>
          <w:tcPr>
            <w:tcW w:w="1800" w:type="dxa"/>
            <w:noWrap/>
            <w:vAlign w:val="center"/>
          </w:tcPr>
          <w:p w:rsidRPr="00AE758F" w:rsidR="00512121" w:rsidP="00512121" w:rsidRDefault="00512121" w14:paraId="5A8F3A56" w14:textId="1C03D86B">
            <w:pPr>
              <w:spacing w:line="240" w:lineRule="auto"/>
            </w:pPr>
            <w:r w:rsidRPr="00AE758F">
              <w:t>units</w:t>
            </w:r>
          </w:p>
        </w:tc>
        <w:tc>
          <w:tcPr>
            <w:tcW w:w="6475" w:type="dxa"/>
            <w:vAlign w:val="center"/>
          </w:tcPr>
          <w:p w:rsidRPr="00AE758F" w:rsidR="00512121" w:rsidP="009E36CE" w:rsidRDefault="00512121" w14:paraId="43BDDD51" w14:textId="2B53B8D3">
            <w:pPr>
              <w:spacing w:line="240" w:lineRule="auto"/>
            </w:pPr>
            <w:r w:rsidRPr="00AE758F">
              <w:t xml:space="preserve">Based on NUREG-1350, Volume 31, Appendix A.  </w:t>
            </w:r>
            <w:r w:rsidR="00F01D22">
              <w:t xml:space="preserve">Units 3 and 4 of the </w:t>
            </w:r>
            <w:r w:rsidRPr="00AE758F">
              <w:t>Vogtle Electric Generating Plant</w:t>
            </w:r>
            <w:r w:rsidR="00F01D22">
              <w:t xml:space="preserve"> are </w:t>
            </w:r>
            <w:r w:rsidRPr="00AE758F">
              <w:t>expected to begin operation in 202</w:t>
            </w:r>
            <w:r w:rsidR="00A51E26">
              <w:t>2</w:t>
            </w:r>
            <w:r w:rsidRPr="00AE758F">
              <w:t xml:space="preserve"> and 202</w:t>
            </w:r>
            <w:r w:rsidR="00A51E26">
              <w:t>3</w:t>
            </w:r>
            <w:r w:rsidRPr="00AE758F">
              <w:t>, respectively.</w:t>
            </w:r>
          </w:p>
        </w:tc>
      </w:tr>
      <w:tr w:rsidRPr="00AE758F" w:rsidR="00512121" w:rsidTr="00B62830" w14:paraId="3161435D" w14:textId="77777777">
        <w:trPr>
          <w:trHeight w:val="288"/>
        </w:trPr>
        <w:tc>
          <w:tcPr>
            <w:tcW w:w="12950" w:type="dxa"/>
            <w:gridSpan w:val="4"/>
            <w:noWrap/>
            <w:vAlign w:val="center"/>
            <w:hideMark/>
          </w:tcPr>
          <w:p w:rsidRPr="00AE758F" w:rsidR="00512121" w:rsidP="00512121" w:rsidRDefault="00512121" w14:paraId="14704059" w14:textId="1FA0F030">
            <w:pPr>
              <w:spacing w:line="240" w:lineRule="auto"/>
            </w:pPr>
            <w:r w:rsidRPr="00AE758F">
              <w:t>Number of Sites</w:t>
            </w:r>
          </w:p>
        </w:tc>
      </w:tr>
      <w:tr w:rsidRPr="00AE758F" w:rsidR="0084315D" w:rsidTr="00C25061" w14:paraId="5D669470" w14:textId="77777777">
        <w:trPr>
          <w:trHeight w:val="864"/>
        </w:trPr>
        <w:tc>
          <w:tcPr>
            <w:tcW w:w="3505" w:type="dxa"/>
            <w:noWrap/>
            <w:vAlign w:val="center"/>
          </w:tcPr>
          <w:p w:rsidRPr="00AE758F" w:rsidR="0084315D" w:rsidP="00D96B0C" w:rsidRDefault="0084315D" w14:paraId="6F709A45" w14:textId="0DF9EA12">
            <w:pPr>
              <w:spacing w:line="240" w:lineRule="auto"/>
            </w:pPr>
            <w:r w:rsidRPr="00AE758F">
              <w:t xml:space="preserve">Number of sites with operating reactors </w:t>
            </w:r>
            <w:r w:rsidR="00D96B0C">
              <w:t xml:space="preserve">forecast </w:t>
            </w:r>
            <w:r w:rsidRPr="00AE758F">
              <w:t>in 20</w:t>
            </w:r>
            <w:r>
              <w:t>22</w:t>
            </w:r>
          </w:p>
        </w:tc>
        <w:tc>
          <w:tcPr>
            <w:tcW w:w="1170" w:type="dxa"/>
            <w:noWrap/>
            <w:vAlign w:val="center"/>
          </w:tcPr>
          <w:p w:rsidRPr="00AE758F" w:rsidR="0084315D" w:rsidP="0084315D" w:rsidRDefault="0084315D" w14:paraId="4DDB2C92" w14:textId="07972607">
            <w:pPr>
              <w:spacing w:line="240" w:lineRule="auto"/>
            </w:pPr>
            <w:r w:rsidRPr="00AE758F">
              <w:t>5</w:t>
            </w:r>
            <w:r>
              <w:t>2</w:t>
            </w:r>
          </w:p>
        </w:tc>
        <w:tc>
          <w:tcPr>
            <w:tcW w:w="1800" w:type="dxa"/>
            <w:noWrap/>
            <w:vAlign w:val="center"/>
          </w:tcPr>
          <w:p w:rsidRPr="00AE758F" w:rsidR="0084315D" w:rsidP="0084315D" w:rsidRDefault="0084315D" w14:paraId="6C49BF45" w14:textId="02C6CF13">
            <w:pPr>
              <w:spacing w:line="240" w:lineRule="auto"/>
            </w:pPr>
            <w:r w:rsidRPr="00AE758F">
              <w:t>sites</w:t>
            </w:r>
          </w:p>
        </w:tc>
        <w:tc>
          <w:tcPr>
            <w:tcW w:w="6475" w:type="dxa"/>
            <w:vAlign w:val="center"/>
          </w:tcPr>
          <w:p w:rsidRPr="00AE758F" w:rsidR="0084315D" w:rsidP="006F0A11" w:rsidRDefault="001B51CF" w14:paraId="643B98EC" w14:textId="10AB14B8">
            <w:pPr>
              <w:spacing w:line="240" w:lineRule="auto"/>
            </w:pPr>
            <w:r>
              <w:rPr>
                <w:rStyle w:val="normaltextrun"/>
                <w:color w:val="000000"/>
              </w:rPr>
              <w:t>O</w:t>
            </w:r>
            <w:r w:rsidR="0084315D">
              <w:rPr>
                <w:rStyle w:val="normaltextrun"/>
                <w:color w:val="000000"/>
              </w:rPr>
              <w:t>btained from the NRC’s “Operating Nuclear Power Reactors (by Location or Name)”</w:t>
            </w:r>
            <w:r w:rsidR="006F0A11">
              <w:rPr>
                <w:rStyle w:val="normaltextrun"/>
                <w:color w:val="000000"/>
              </w:rPr>
              <w:t xml:space="preserve"> </w:t>
            </w:r>
            <w:r w:rsidR="0084315D">
              <w:rPr>
                <w:rStyle w:val="normaltextrun"/>
                <w:color w:val="000000"/>
              </w:rPr>
              <w:t>at </w:t>
            </w:r>
            <w:hyperlink w:tgtFrame="_blank" w:history="1" r:id="rId37">
              <w:r w:rsidR="0084315D">
                <w:rPr>
                  <w:rStyle w:val="normaltextrun"/>
                  <w:color w:val="0000FF"/>
                  <w:u w:val="single"/>
                </w:rPr>
                <w:t>https://www.nrc.gov/info-finder/reactors/</w:t>
              </w:r>
            </w:hyperlink>
            <w:r w:rsidR="0084315D">
              <w:rPr>
                <w:rStyle w:val="normaltextrun"/>
                <w:color w:val="000000"/>
              </w:rPr>
              <w:t> with data current as of</w:t>
            </w:r>
            <w:r w:rsidR="006F0A11">
              <w:rPr>
                <w:rStyle w:val="normaltextrun"/>
                <w:color w:val="000000"/>
              </w:rPr>
              <w:t xml:space="preserve"> </w:t>
            </w:r>
            <w:r w:rsidR="0084315D">
              <w:rPr>
                <w:rStyle w:val="normaltextrun"/>
                <w:color w:val="000000"/>
              </w:rPr>
              <w:t>March</w:t>
            </w:r>
            <w:r w:rsidR="006F0A11">
              <w:rPr>
                <w:rStyle w:val="normaltextrun"/>
                <w:color w:val="000000"/>
              </w:rPr>
              <w:t> </w:t>
            </w:r>
            <w:r w:rsidR="0084315D">
              <w:rPr>
                <w:rStyle w:val="normaltextrun"/>
                <w:color w:val="000000"/>
              </w:rPr>
              <w:t>24,</w:t>
            </w:r>
            <w:r w:rsidR="006F0A11">
              <w:rPr>
                <w:rStyle w:val="normaltextrun"/>
                <w:color w:val="000000"/>
              </w:rPr>
              <w:t> </w:t>
            </w:r>
            <w:r w:rsidR="0084315D">
              <w:rPr>
                <w:rStyle w:val="normaltextrun"/>
                <w:color w:val="000000"/>
              </w:rPr>
              <w:t>2021</w:t>
            </w:r>
            <w:r w:rsidR="006F0A11">
              <w:rPr>
                <w:rStyle w:val="normaltextrun"/>
                <w:color w:val="000000"/>
              </w:rPr>
              <w:t xml:space="preserve"> </w:t>
            </w:r>
            <w:r w:rsidR="0084315D">
              <w:rPr>
                <w:rStyle w:val="normaltextrun"/>
                <w:color w:val="000000"/>
              </w:rPr>
              <w:t>(last accessed on</w:t>
            </w:r>
            <w:r w:rsidR="006F0A11">
              <w:rPr>
                <w:rStyle w:val="normaltextrun"/>
                <w:color w:val="000000"/>
              </w:rPr>
              <w:t xml:space="preserve"> </w:t>
            </w:r>
            <w:r w:rsidR="0084315D">
              <w:rPr>
                <w:rStyle w:val="normaltextrun"/>
                <w:color w:val="000000"/>
              </w:rPr>
              <w:t>April</w:t>
            </w:r>
            <w:r w:rsidR="006F0A11">
              <w:rPr>
                <w:rStyle w:val="normaltextrun"/>
                <w:color w:val="000000"/>
              </w:rPr>
              <w:t> </w:t>
            </w:r>
            <w:r w:rsidR="0084315D">
              <w:rPr>
                <w:rStyle w:val="normaltextrun"/>
                <w:color w:val="000000"/>
              </w:rPr>
              <w:t>15,</w:t>
            </w:r>
            <w:r w:rsidR="006F0A11">
              <w:rPr>
                <w:rStyle w:val="normaltextrun"/>
                <w:color w:val="000000"/>
              </w:rPr>
              <w:t> </w:t>
            </w:r>
            <w:r w:rsidR="0084315D">
              <w:rPr>
                <w:rStyle w:val="normaltextrun"/>
                <w:color w:val="000000"/>
              </w:rPr>
              <w:t>2021).</w:t>
            </w:r>
            <w:r w:rsidR="0084315D">
              <w:rPr>
                <w:rStyle w:val="eop"/>
                <w:color w:val="000000"/>
              </w:rPr>
              <w:t> </w:t>
            </w:r>
          </w:p>
        </w:tc>
      </w:tr>
      <w:tr w:rsidRPr="00AE758F" w:rsidR="0084315D" w:rsidTr="00C25061" w14:paraId="36B101D6" w14:textId="77777777">
        <w:trPr>
          <w:trHeight w:val="864"/>
        </w:trPr>
        <w:tc>
          <w:tcPr>
            <w:tcW w:w="3505" w:type="dxa"/>
            <w:noWrap/>
            <w:vAlign w:val="center"/>
          </w:tcPr>
          <w:p w:rsidRPr="00AE758F" w:rsidR="0084315D" w:rsidP="00D96B0C" w:rsidRDefault="0084315D" w14:paraId="7BE21EE3" w14:textId="6A9CCD31">
            <w:pPr>
              <w:spacing w:line="240" w:lineRule="auto"/>
            </w:pPr>
            <w:r w:rsidRPr="00AE758F">
              <w:t xml:space="preserve">Number of sites with operating reactors </w:t>
            </w:r>
            <w:r w:rsidR="00D96B0C">
              <w:t xml:space="preserve">forecast </w:t>
            </w:r>
            <w:r w:rsidRPr="00AE758F">
              <w:t>in 20</w:t>
            </w:r>
            <w:r>
              <w:t>23</w:t>
            </w:r>
            <w:r w:rsidR="00D96B0C">
              <w:t>–</w:t>
            </w:r>
            <w:r>
              <w:t>20</w:t>
            </w:r>
            <w:r w:rsidRPr="00AE758F">
              <w:t>24</w:t>
            </w:r>
          </w:p>
        </w:tc>
        <w:tc>
          <w:tcPr>
            <w:tcW w:w="1170" w:type="dxa"/>
            <w:noWrap/>
            <w:vAlign w:val="center"/>
          </w:tcPr>
          <w:p w:rsidRPr="00AE758F" w:rsidR="0084315D" w:rsidP="0084315D" w:rsidRDefault="0084315D" w14:paraId="2CC7F037" w14:textId="5EA7059B">
            <w:pPr>
              <w:spacing w:line="240" w:lineRule="auto"/>
            </w:pPr>
            <w:r w:rsidRPr="00AE758F">
              <w:t>5</w:t>
            </w:r>
            <w:r>
              <w:t>1</w:t>
            </w:r>
          </w:p>
        </w:tc>
        <w:tc>
          <w:tcPr>
            <w:tcW w:w="1800" w:type="dxa"/>
            <w:noWrap/>
            <w:vAlign w:val="center"/>
          </w:tcPr>
          <w:p w:rsidRPr="00AE758F" w:rsidR="0084315D" w:rsidP="0084315D" w:rsidRDefault="0084315D" w14:paraId="0D572A4D" w14:textId="5E45A7EC">
            <w:pPr>
              <w:spacing w:line="240" w:lineRule="auto"/>
            </w:pPr>
            <w:r w:rsidRPr="00AE758F">
              <w:t>sites</w:t>
            </w:r>
          </w:p>
        </w:tc>
        <w:tc>
          <w:tcPr>
            <w:tcW w:w="6475" w:type="dxa"/>
            <w:vAlign w:val="center"/>
          </w:tcPr>
          <w:p w:rsidRPr="00AE758F" w:rsidR="0084315D" w:rsidP="006F0A11" w:rsidRDefault="0084315D" w14:paraId="63FE87EA" w14:textId="0307CE8B">
            <w:pPr>
              <w:spacing w:line="240" w:lineRule="auto"/>
            </w:pPr>
            <w:r>
              <w:rPr>
                <w:rStyle w:val="normaltextrun"/>
                <w:color w:val="000000"/>
              </w:rPr>
              <w:t>Calculation</w:t>
            </w:r>
            <w:proofErr w:type="gramStart"/>
            <w:r>
              <w:rPr>
                <w:rStyle w:val="normaltextrun"/>
                <w:color w:val="000000"/>
              </w:rPr>
              <w:t>:</w:t>
            </w:r>
            <w:r w:rsidR="006F0A11">
              <w:rPr>
                <w:rStyle w:val="normaltextrun"/>
                <w:color w:val="000000"/>
              </w:rPr>
              <w:t xml:space="preserve">  </w:t>
            </w:r>
            <w:r>
              <w:rPr>
                <w:rStyle w:val="normaltextrun"/>
                <w:color w:val="000000"/>
              </w:rPr>
              <w:t>[</w:t>
            </w:r>
            <w:proofErr w:type="gramEnd"/>
            <w:r>
              <w:rPr>
                <w:rStyle w:val="normaltextrun"/>
                <w:color w:val="000000"/>
              </w:rPr>
              <w:t>total number of sites with operating reactors] + [</w:t>
            </w:r>
            <w:r w:rsidR="00A60988">
              <w:rPr>
                <w:rStyle w:val="normaltextrun"/>
                <w:color w:val="000000"/>
              </w:rPr>
              <w:t xml:space="preserve">number of </w:t>
            </w:r>
            <w:r>
              <w:rPr>
                <w:rStyle w:val="normaltextrun"/>
                <w:color w:val="000000"/>
              </w:rPr>
              <w:t>sites with construction completed in years 2020</w:t>
            </w:r>
            <w:r w:rsidR="006F0A11">
              <w:rPr>
                <w:rStyle w:val="normaltextrun"/>
                <w:color w:val="000000"/>
              </w:rPr>
              <w:t>–</w:t>
            </w:r>
            <w:r>
              <w:rPr>
                <w:rStyle w:val="normaltextrun"/>
                <w:color w:val="000000"/>
              </w:rPr>
              <w:t>2024] - [</w:t>
            </w:r>
            <w:r w:rsidR="00A60988">
              <w:rPr>
                <w:rStyle w:val="normaltextrun"/>
                <w:color w:val="000000"/>
              </w:rPr>
              <w:t xml:space="preserve">number of </w:t>
            </w:r>
            <w:r>
              <w:rPr>
                <w:rStyle w:val="normaltextrun"/>
                <w:color w:val="000000"/>
              </w:rPr>
              <w:t>sites with</w:t>
            </w:r>
            <w:r w:rsidR="006F0A11">
              <w:rPr>
                <w:rStyle w:val="normaltextrun"/>
                <w:color w:val="000000"/>
              </w:rPr>
              <w:t xml:space="preserve"> </w:t>
            </w:r>
            <w:r>
              <w:rPr>
                <w:rStyle w:val="normaltextrun"/>
                <w:color w:val="000000"/>
              </w:rPr>
              <w:t>all</w:t>
            </w:r>
            <w:r w:rsidR="006F0A11">
              <w:rPr>
                <w:rStyle w:val="normaltextrun"/>
                <w:color w:val="000000"/>
              </w:rPr>
              <w:t xml:space="preserve"> </w:t>
            </w:r>
            <w:r>
              <w:rPr>
                <w:rStyle w:val="normaltextrun"/>
                <w:color w:val="000000"/>
              </w:rPr>
              <w:t>units closed in years 2020</w:t>
            </w:r>
            <w:r w:rsidR="006F0A11">
              <w:rPr>
                <w:rStyle w:val="normaltextrun"/>
                <w:color w:val="000000"/>
              </w:rPr>
              <w:t>–</w:t>
            </w:r>
            <w:r>
              <w:rPr>
                <w:rStyle w:val="normaltextrun"/>
                <w:color w:val="000000"/>
              </w:rPr>
              <w:t>2024].</w:t>
            </w:r>
            <w:r w:rsidR="006F0A11">
              <w:rPr>
                <w:rStyle w:val="normaltextrun"/>
                <w:color w:val="000000"/>
              </w:rPr>
              <w:t xml:space="preserve"> </w:t>
            </w:r>
            <w:r>
              <w:rPr>
                <w:rStyle w:val="normaltextrun"/>
                <w:color w:val="000000"/>
              </w:rPr>
              <w:t xml:space="preserve"> Information was obtained from</w:t>
            </w:r>
            <w:r w:rsidR="006F0A11">
              <w:rPr>
                <w:rStyle w:val="normaltextrun"/>
                <w:color w:val="000000"/>
              </w:rPr>
              <w:t xml:space="preserve"> </w:t>
            </w:r>
            <w:r>
              <w:rPr>
                <w:rStyle w:val="normaltextrun"/>
                <w:color w:val="000000"/>
              </w:rPr>
              <w:t>the</w:t>
            </w:r>
            <w:r w:rsidR="006F0A11">
              <w:rPr>
                <w:rStyle w:val="normaltextrun"/>
                <w:color w:val="000000"/>
              </w:rPr>
              <w:t xml:space="preserve"> </w:t>
            </w:r>
            <w:r>
              <w:rPr>
                <w:rStyle w:val="normaltextrun"/>
                <w:color w:val="000000"/>
              </w:rPr>
              <w:t>NRC’s</w:t>
            </w:r>
            <w:r w:rsidR="006F0A11">
              <w:rPr>
                <w:rStyle w:val="normaltextrun"/>
                <w:color w:val="000000"/>
              </w:rPr>
              <w:t xml:space="preserve"> </w:t>
            </w:r>
            <w:r>
              <w:rPr>
                <w:rStyle w:val="normaltextrun"/>
                <w:color w:val="000000"/>
              </w:rPr>
              <w:t>“Operating Nuclear Power Reactors (by Location or Name)”</w:t>
            </w:r>
            <w:r w:rsidR="006F0A11">
              <w:rPr>
                <w:rStyle w:val="normaltextrun"/>
                <w:color w:val="000000"/>
              </w:rPr>
              <w:t xml:space="preserve"> at </w:t>
            </w:r>
            <w:hyperlink w:tgtFrame="_blank" w:history="1" r:id="rId38">
              <w:r>
                <w:rPr>
                  <w:rStyle w:val="normaltextrun"/>
                  <w:color w:val="0000FF"/>
                  <w:u w:val="single"/>
                </w:rPr>
                <w:t>https://www.nrc.gov/info-finder/reactors/</w:t>
              </w:r>
            </w:hyperlink>
            <w:r>
              <w:rPr>
                <w:rStyle w:val="normaltextrun"/>
                <w:color w:val="000000"/>
              </w:rPr>
              <w:t> with data current as of</w:t>
            </w:r>
            <w:r w:rsidR="006F0A11">
              <w:rPr>
                <w:rStyle w:val="normaltextrun"/>
                <w:color w:val="000000"/>
              </w:rPr>
              <w:t xml:space="preserve"> </w:t>
            </w:r>
            <w:r>
              <w:rPr>
                <w:rStyle w:val="normaltextrun"/>
                <w:color w:val="000000"/>
              </w:rPr>
              <w:t>March</w:t>
            </w:r>
            <w:r w:rsidR="006F0A11">
              <w:rPr>
                <w:rStyle w:val="normaltextrun"/>
                <w:color w:val="000000"/>
              </w:rPr>
              <w:t> </w:t>
            </w:r>
            <w:r>
              <w:rPr>
                <w:rStyle w:val="normaltextrun"/>
                <w:color w:val="000000"/>
              </w:rPr>
              <w:t>24,</w:t>
            </w:r>
            <w:r w:rsidR="006F0A11">
              <w:rPr>
                <w:rStyle w:val="normaltextrun"/>
                <w:color w:val="000000"/>
              </w:rPr>
              <w:t> </w:t>
            </w:r>
            <w:r>
              <w:rPr>
                <w:rStyle w:val="normaltextrun"/>
                <w:color w:val="000000"/>
              </w:rPr>
              <w:t>2021</w:t>
            </w:r>
            <w:r w:rsidR="006F0A11">
              <w:rPr>
                <w:rStyle w:val="normaltextrun"/>
                <w:color w:val="000000"/>
              </w:rPr>
              <w:t xml:space="preserve"> </w:t>
            </w:r>
            <w:r>
              <w:rPr>
                <w:rStyle w:val="normaltextrun"/>
                <w:color w:val="000000"/>
              </w:rPr>
              <w:t>(last accessed on April</w:t>
            </w:r>
            <w:r w:rsidR="009D2516">
              <w:rPr>
                <w:rStyle w:val="normaltextrun"/>
                <w:color w:val="000000"/>
              </w:rPr>
              <w:t> </w:t>
            </w:r>
            <w:r>
              <w:rPr>
                <w:rStyle w:val="normaltextrun"/>
                <w:color w:val="000000"/>
              </w:rPr>
              <w:t>15,</w:t>
            </w:r>
            <w:r w:rsidR="009D2516">
              <w:rPr>
                <w:rStyle w:val="normaltextrun"/>
                <w:color w:val="000000"/>
              </w:rPr>
              <w:t> </w:t>
            </w:r>
            <w:r>
              <w:rPr>
                <w:rStyle w:val="normaltextrun"/>
                <w:color w:val="000000"/>
              </w:rPr>
              <w:t>2021).</w:t>
            </w:r>
            <w:r>
              <w:rPr>
                <w:rStyle w:val="eop"/>
                <w:color w:val="000000"/>
              </w:rPr>
              <w:t> </w:t>
            </w:r>
          </w:p>
        </w:tc>
      </w:tr>
      <w:tr w:rsidRPr="00AE758F" w:rsidR="00FA567A" w:rsidTr="00B62830" w14:paraId="58A2307F" w14:textId="77777777">
        <w:trPr>
          <w:trHeight w:val="288"/>
        </w:trPr>
        <w:tc>
          <w:tcPr>
            <w:tcW w:w="12950" w:type="dxa"/>
            <w:gridSpan w:val="4"/>
            <w:noWrap/>
            <w:vAlign w:val="center"/>
            <w:hideMark/>
          </w:tcPr>
          <w:p w:rsidRPr="00AE758F" w:rsidR="00FA567A" w:rsidP="00FA567A" w:rsidRDefault="00FA567A" w14:paraId="43596C72" w14:textId="5914CDCD">
            <w:pPr>
              <w:pageBreakBefore/>
              <w:spacing w:line="240" w:lineRule="auto"/>
            </w:pPr>
            <w:r w:rsidRPr="00AE758F">
              <w:lastRenderedPageBreak/>
              <w:t>Applicability Period (Years)</w:t>
            </w:r>
          </w:p>
        </w:tc>
      </w:tr>
      <w:tr w:rsidRPr="00AE758F" w:rsidR="00FA567A" w:rsidTr="00B62830" w14:paraId="366607A2" w14:textId="77777777">
        <w:trPr>
          <w:trHeight w:val="737"/>
        </w:trPr>
        <w:tc>
          <w:tcPr>
            <w:tcW w:w="3505" w:type="dxa"/>
            <w:noWrap/>
            <w:vAlign w:val="center"/>
            <w:hideMark/>
          </w:tcPr>
          <w:p w:rsidRPr="00AE758F" w:rsidR="00FA567A" w:rsidP="00FA567A" w:rsidRDefault="00FA567A" w14:paraId="612B653B" w14:textId="3BB7D1F1">
            <w:pPr>
              <w:spacing w:line="240" w:lineRule="auto"/>
            </w:pPr>
            <w:r w:rsidRPr="00AE758F">
              <w:t>Rule applicability term</w:t>
            </w:r>
          </w:p>
        </w:tc>
        <w:tc>
          <w:tcPr>
            <w:tcW w:w="1170" w:type="dxa"/>
            <w:noWrap/>
            <w:vAlign w:val="center"/>
            <w:hideMark/>
          </w:tcPr>
          <w:p w:rsidRPr="00AE758F" w:rsidR="00FA567A" w:rsidP="00FA567A" w:rsidRDefault="00FA567A" w14:paraId="58D77441" w14:textId="2BF0DD08">
            <w:pPr>
              <w:spacing w:line="240" w:lineRule="auto"/>
            </w:pPr>
            <w:r w:rsidRPr="00AE758F">
              <w:t>3</w:t>
            </w:r>
          </w:p>
        </w:tc>
        <w:tc>
          <w:tcPr>
            <w:tcW w:w="1800" w:type="dxa"/>
            <w:noWrap/>
            <w:vAlign w:val="center"/>
            <w:hideMark/>
          </w:tcPr>
          <w:p w:rsidRPr="00AE758F" w:rsidR="00FA567A" w:rsidP="00FA567A" w:rsidRDefault="00FA567A" w14:paraId="5C93CA10" w14:textId="77777777">
            <w:pPr>
              <w:spacing w:line="240" w:lineRule="auto"/>
            </w:pPr>
            <w:r w:rsidRPr="00AE758F">
              <w:t>years</w:t>
            </w:r>
          </w:p>
        </w:tc>
        <w:tc>
          <w:tcPr>
            <w:tcW w:w="6475" w:type="dxa"/>
            <w:vAlign w:val="center"/>
            <w:hideMark/>
          </w:tcPr>
          <w:p w:rsidRPr="00AE758F" w:rsidR="00FA567A" w:rsidP="00FA567A" w:rsidRDefault="000B09AC" w14:paraId="2CBBA998" w14:textId="45A12DA3">
            <w:pPr>
              <w:spacing w:line="240" w:lineRule="auto"/>
            </w:pPr>
            <w:r>
              <w:t>The staff</w:t>
            </w:r>
            <w:r w:rsidRPr="00AE758F" w:rsidR="00FA567A">
              <w:t xml:space="preserve"> assume</w:t>
            </w:r>
            <w:r>
              <w:t>s</w:t>
            </w:r>
            <w:r w:rsidRPr="00AE758F" w:rsidR="00FA567A">
              <w:t xml:space="preserve"> that the final rule will be published in the </w:t>
            </w:r>
            <w:r w:rsidRPr="00C16A0D" w:rsidR="00FA567A">
              <w:rPr>
                <w:i/>
                <w:iCs/>
              </w:rPr>
              <w:t>Federal Register</w:t>
            </w:r>
            <w:r w:rsidRPr="00AE758F" w:rsidR="00FA567A">
              <w:t xml:space="preserve"> </w:t>
            </w:r>
            <w:r w:rsidR="00160F11">
              <w:t xml:space="preserve">at the </w:t>
            </w:r>
            <w:r w:rsidRPr="00AE758F" w:rsidR="00FA567A">
              <w:t>beginning of 2022</w:t>
            </w:r>
            <w:r w:rsidR="00160F11">
              <w:t>,</w:t>
            </w:r>
            <w:r w:rsidRPr="00AE758F" w:rsidR="00FA567A">
              <w:t xml:space="preserve"> and the next Code Editions final rule will be published by the end of 2024. </w:t>
            </w:r>
          </w:p>
        </w:tc>
      </w:tr>
      <w:tr w:rsidRPr="00AE758F" w:rsidR="00FA567A" w:rsidTr="00B62830" w14:paraId="3A60115B" w14:textId="77777777">
        <w:trPr>
          <w:trHeight w:val="288"/>
        </w:trPr>
        <w:tc>
          <w:tcPr>
            <w:tcW w:w="12950" w:type="dxa"/>
            <w:gridSpan w:val="4"/>
            <w:noWrap/>
            <w:vAlign w:val="center"/>
          </w:tcPr>
          <w:p w:rsidRPr="00AE758F" w:rsidR="00FA567A" w:rsidP="00FA567A" w:rsidRDefault="00FA567A" w14:paraId="033F9C69" w14:textId="15FDEAE9">
            <w:pPr>
              <w:spacing w:line="240" w:lineRule="auto"/>
            </w:pPr>
            <w:r w:rsidRPr="00AE758F">
              <w:t>Labor Rates</w:t>
            </w:r>
          </w:p>
        </w:tc>
      </w:tr>
      <w:tr w:rsidRPr="00AE758F" w:rsidR="00FA567A" w:rsidTr="00C16A0D" w14:paraId="577AAB45" w14:textId="77777777">
        <w:trPr>
          <w:trHeight w:val="288"/>
        </w:trPr>
        <w:tc>
          <w:tcPr>
            <w:tcW w:w="3505" w:type="dxa"/>
            <w:noWrap/>
            <w:vAlign w:val="center"/>
          </w:tcPr>
          <w:p w:rsidRPr="00AE758F" w:rsidR="00FA567A" w:rsidP="00FA567A" w:rsidRDefault="00FA567A" w14:paraId="1286A628" w14:textId="2F8D74AD">
            <w:pPr>
              <w:spacing w:line="240" w:lineRule="auto"/>
            </w:pPr>
            <w:r w:rsidRPr="00AE758F">
              <w:t>Executive</w:t>
            </w:r>
            <w:r w:rsidR="009D2516">
              <w:t>s</w:t>
            </w:r>
          </w:p>
        </w:tc>
        <w:tc>
          <w:tcPr>
            <w:tcW w:w="1170" w:type="dxa"/>
            <w:noWrap/>
            <w:vAlign w:val="center"/>
          </w:tcPr>
          <w:p w:rsidRPr="00AE758F" w:rsidR="00FA567A" w:rsidP="00603628" w:rsidRDefault="00FA567A" w14:paraId="52A10BB2" w14:textId="114B0997">
            <w:pPr>
              <w:spacing w:line="240" w:lineRule="auto"/>
            </w:pPr>
            <w:r w:rsidRPr="00AE758F">
              <w:t>$2</w:t>
            </w:r>
            <w:r w:rsidR="00E23153">
              <w:t>29</w:t>
            </w:r>
          </w:p>
        </w:tc>
        <w:tc>
          <w:tcPr>
            <w:tcW w:w="1800" w:type="dxa"/>
            <w:noWrap/>
            <w:vAlign w:val="center"/>
          </w:tcPr>
          <w:p w:rsidRPr="00AE758F" w:rsidR="00FA567A" w:rsidP="00FA567A" w:rsidRDefault="00603628" w14:paraId="074A8A3A" w14:textId="5360A466">
            <w:pPr>
              <w:spacing w:line="240" w:lineRule="auto"/>
            </w:pPr>
            <w:r>
              <w:t>d</w:t>
            </w:r>
            <w:r w:rsidRPr="00AE758F" w:rsidR="00FA567A">
              <w:t>ollars per hour</w:t>
            </w:r>
          </w:p>
        </w:tc>
        <w:tc>
          <w:tcPr>
            <w:tcW w:w="6475" w:type="dxa"/>
            <w:vAlign w:val="center"/>
          </w:tcPr>
          <w:p w:rsidRPr="00AE758F" w:rsidR="00FA567A" w:rsidP="009D2516" w:rsidRDefault="00141C57" w14:paraId="51A58F63" w14:textId="04479293">
            <w:pPr>
              <w:spacing w:line="240" w:lineRule="auto"/>
            </w:pPr>
            <w:r>
              <w:rPr>
                <w:rStyle w:val="normaltextrun"/>
                <w:color w:val="000000"/>
              </w:rPr>
              <w:t>Labor rates used are from the Bureau of Labor Statistics (BLS)</w:t>
            </w:r>
            <w:r w:rsidR="009D2516">
              <w:rPr>
                <w:rStyle w:val="normaltextrun"/>
                <w:color w:val="000000"/>
              </w:rPr>
              <w:t xml:space="preserve"> </w:t>
            </w:r>
            <w:r>
              <w:rPr>
                <w:rStyle w:val="normaltextrun"/>
                <w:color w:val="000000"/>
              </w:rPr>
              <w:t>Employer Costs for National Compensation Survey dataset, 2020</w:t>
            </w:r>
            <w:r w:rsidR="009D2516">
              <w:rPr>
                <w:rStyle w:val="normaltextrun"/>
                <w:color w:val="000000"/>
              </w:rPr>
              <w:t xml:space="preserve"> </w:t>
            </w:r>
            <w:r>
              <w:rPr>
                <w:rStyle w:val="normaltextrun"/>
                <w:color w:val="000000"/>
              </w:rPr>
              <w:t>values.  These hourly rates were inflated to 2021 dollars using the Consumer Price Index for All Urban Consumers.  A multiplier of 2.4</w:t>
            </w:r>
            <w:r w:rsidR="009D2516">
              <w:rPr>
                <w:rStyle w:val="normaltextrun"/>
                <w:color w:val="000000"/>
              </w:rPr>
              <w:t xml:space="preserve"> to cover </w:t>
            </w:r>
            <w:r>
              <w:rPr>
                <w:rStyle w:val="normaltextrun"/>
                <w:color w:val="000000"/>
              </w:rPr>
              <w:t>fringe and indirect management costs was then applied</w:t>
            </w:r>
            <w:r w:rsidR="009D2516">
              <w:rPr>
                <w:rStyle w:val="normaltextrun"/>
                <w:color w:val="000000"/>
              </w:rPr>
              <w:t>,</w:t>
            </w:r>
            <w:r>
              <w:rPr>
                <w:rStyle w:val="normaltextrun"/>
                <w:color w:val="000000"/>
              </w:rPr>
              <w:t xml:space="preserve"> </w:t>
            </w:r>
            <w:r w:rsidR="009D2516">
              <w:rPr>
                <w:rStyle w:val="normaltextrun"/>
                <w:color w:val="000000"/>
              </w:rPr>
              <w:t xml:space="preserve">producing </w:t>
            </w:r>
            <w:r>
              <w:rPr>
                <w:rStyle w:val="normaltextrun"/>
                <w:color w:val="000000"/>
              </w:rPr>
              <w:t>the displayed labor rates.</w:t>
            </w:r>
            <w:r>
              <w:rPr>
                <w:rStyle w:val="eop"/>
                <w:color w:val="000000"/>
              </w:rPr>
              <w:t> </w:t>
            </w:r>
          </w:p>
        </w:tc>
      </w:tr>
      <w:tr w:rsidRPr="00AE758F" w:rsidR="00FA567A" w:rsidTr="00D63FF9" w14:paraId="549B7E24" w14:textId="77777777">
        <w:trPr>
          <w:trHeight w:val="288"/>
        </w:trPr>
        <w:tc>
          <w:tcPr>
            <w:tcW w:w="3505" w:type="dxa"/>
            <w:noWrap/>
            <w:vAlign w:val="center"/>
          </w:tcPr>
          <w:p w:rsidRPr="00AE758F" w:rsidR="00FA567A" w:rsidP="00FA567A" w:rsidRDefault="00FA567A" w14:paraId="18095BE6" w14:textId="29AC36D2">
            <w:pPr>
              <w:spacing w:line="240" w:lineRule="auto"/>
            </w:pPr>
            <w:r w:rsidRPr="00AE758F">
              <w:t>Managers</w:t>
            </w:r>
          </w:p>
        </w:tc>
        <w:tc>
          <w:tcPr>
            <w:tcW w:w="1170" w:type="dxa"/>
            <w:noWrap/>
          </w:tcPr>
          <w:p w:rsidRPr="00AE758F" w:rsidR="00FA567A" w:rsidP="00FA567A" w:rsidRDefault="00FA567A" w14:paraId="3A173443" w14:textId="60EE87D1">
            <w:pPr>
              <w:spacing w:line="240" w:lineRule="auto"/>
            </w:pPr>
            <w:r w:rsidRPr="00AE758F">
              <w:t>$1</w:t>
            </w:r>
            <w:r w:rsidR="00141C57">
              <w:t>44</w:t>
            </w:r>
          </w:p>
        </w:tc>
        <w:tc>
          <w:tcPr>
            <w:tcW w:w="1800" w:type="dxa"/>
            <w:noWrap/>
            <w:vAlign w:val="center"/>
          </w:tcPr>
          <w:p w:rsidRPr="00AE758F" w:rsidR="00FA567A" w:rsidP="00FA567A" w:rsidRDefault="00603628" w14:paraId="273CC08A" w14:textId="48CECE18">
            <w:pPr>
              <w:spacing w:line="240" w:lineRule="auto"/>
            </w:pPr>
            <w:r>
              <w:t>d</w:t>
            </w:r>
            <w:r w:rsidRPr="00AE758F" w:rsidR="00FA567A">
              <w:t>ollars per hour</w:t>
            </w:r>
          </w:p>
        </w:tc>
        <w:tc>
          <w:tcPr>
            <w:tcW w:w="6475" w:type="dxa"/>
            <w:vAlign w:val="center"/>
          </w:tcPr>
          <w:p w:rsidRPr="00AE758F" w:rsidR="00FA567A" w:rsidP="00FA567A" w:rsidRDefault="00FA567A" w14:paraId="60B32B93" w14:textId="2030E597">
            <w:pPr>
              <w:spacing w:line="240" w:lineRule="auto"/>
            </w:pPr>
            <w:r w:rsidRPr="00AE758F">
              <w:t>BLS tables.</w:t>
            </w:r>
          </w:p>
        </w:tc>
      </w:tr>
      <w:tr w:rsidRPr="00AE758F" w:rsidR="00FA567A" w:rsidTr="00D63FF9" w14:paraId="4EBA4EEA" w14:textId="77777777">
        <w:trPr>
          <w:trHeight w:val="288"/>
        </w:trPr>
        <w:tc>
          <w:tcPr>
            <w:tcW w:w="3505" w:type="dxa"/>
            <w:noWrap/>
            <w:vAlign w:val="center"/>
          </w:tcPr>
          <w:p w:rsidRPr="00AE758F" w:rsidR="00FA567A" w:rsidP="00FA567A" w:rsidRDefault="00FA567A" w14:paraId="6C431FD0" w14:textId="24EE11F9">
            <w:pPr>
              <w:spacing w:line="240" w:lineRule="auto"/>
            </w:pPr>
            <w:r w:rsidRPr="00AE758F">
              <w:t>Technical staff</w:t>
            </w:r>
          </w:p>
        </w:tc>
        <w:tc>
          <w:tcPr>
            <w:tcW w:w="1170" w:type="dxa"/>
            <w:noWrap/>
          </w:tcPr>
          <w:p w:rsidRPr="00AE758F" w:rsidR="00FA567A" w:rsidP="00FA567A" w:rsidRDefault="00FA567A" w14:paraId="66286E9D" w14:textId="696432C4">
            <w:pPr>
              <w:spacing w:line="240" w:lineRule="auto"/>
            </w:pPr>
            <w:r w:rsidRPr="00AE758F">
              <w:t>$11</w:t>
            </w:r>
            <w:r w:rsidR="00141C57">
              <w:t>9</w:t>
            </w:r>
          </w:p>
        </w:tc>
        <w:tc>
          <w:tcPr>
            <w:tcW w:w="1800" w:type="dxa"/>
            <w:noWrap/>
            <w:vAlign w:val="center"/>
          </w:tcPr>
          <w:p w:rsidRPr="00AE758F" w:rsidR="00FA567A" w:rsidP="00FA567A" w:rsidRDefault="00603628" w14:paraId="38286736" w14:textId="40C54D81">
            <w:pPr>
              <w:spacing w:line="240" w:lineRule="auto"/>
            </w:pPr>
            <w:r>
              <w:t>d</w:t>
            </w:r>
            <w:r w:rsidRPr="00AE758F" w:rsidR="00FA567A">
              <w:t>ollars per hour</w:t>
            </w:r>
          </w:p>
        </w:tc>
        <w:tc>
          <w:tcPr>
            <w:tcW w:w="6475" w:type="dxa"/>
            <w:vAlign w:val="center"/>
          </w:tcPr>
          <w:p w:rsidRPr="00AE758F" w:rsidR="00FA567A" w:rsidP="00FA567A" w:rsidRDefault="00FA567A" w14:paraId="010C44DC" w14:textId="0EE48CFA">
            <w:pPr>
              <w:spacing w:line="240" w:lineRule="auto"/>
            </w:pPr>
            <w:r w:rsidRPr="00AE758F">
              <w:t>BLS tables.</w:t>
            </w:r>
          </w:p>
        </w:tc>
      </w:tr>
      <w:tr w:rsidRPr="00AE758F" w:rsidR="00FA567A" w:rsidTr="00D63FF9" w14:paraId="1C039E0B" w14:textId="77777777">
        <w:trPr>
          <w:trHeight w:val="288"/>
        </w:trPr>
        <w:tc>
          <w:tcPr>
            <w:tcW w:w="3505" w:type="dxa"/>
            <w:noWrap/>
            <w:vAlign w:val="center"/>
          </w:tcPr>
          <w:p w:rsidRPr="00AE758F" w:rsidR="00FA567A" w:rsidP="00FA567A" w:rsidRDefault="00FA567A" w14:paraId="5C723A2E" w14:textId="3A61A61E">
            <w:pPr>
              <w:spacing w:line="240" w:lineRule="auto"/>
            </w:pPr>
            <w:r w:rsidRPr="00AE758F">
              <w:t>Administrative staff</w:t>
            </w:r>
          </w:p>
        </w:tc>
        <w:tc>
          <w:tcPr>
            <w:tcW w:w="1170" w:type="dxa"/>
            <w:noWrap/>
          </w:tcPr>
          <w:p w:rsidRPr="00AE758F" w:rsidR="00FA567A" w:rsidP="00FA567A" w:rsidRDefault="00FA567A" w14:paraId="252ECD7B" w14:textId="54AAE11D">
            <w:pPr>
              <w:spacing w:line="240" w:lineRule="auto"/>
            </w:pPr>
            <w:r w:rsidRPr="00AE758F">
              <w:t>$</w:t>
            </w:r>
            <w:r w:rsidR="00C92696">
              <w:t>76</w:t>
            </w:r>
          </w:p>
        </w:tc>
        <w:tc>
          <w:tcPr>
            <w:tcW w:w="1800" w:type="dxa"/>
            <w:noWrap/>
            <w:vAlign w:val="center"/>
          </w:tcPr>
          <w:p w:rsidRPr="00AE758F" w:rsidR="00FA567A" w:rsidP="00FA567A" w:rsidRDefault="00603628" w14:paraId="0F8DA833" w14:textId="6C3B1F15">
            <w:pPr>
              <w:spacing w:line="240" w:lineRule="auto"/>
            </w:pPr>
            <w:r>
              <w:t>d</w:t>
            </w:r>
            <w:r w:rsidRPr="00AE758F" w:rsidR="00FA567A">
              <w:t>ollars per hour</w:t>
            </w:r>
          </w:p>
        </w:tc>
        <w:tc>
          <w:tcPr>
            <w:tcW w:w="6475" w:type="dxa"/>
            <w:vAlign w:val="center"/>
          </w:tcPr>
          <w:p w:rsidRPr="00AE758F" w:rsidR="00FA567A" w:rsidP="00FA567A" w:rsidRDefault="00FA567A" w14:paraId="487A6F10" w14:textId="7101125B">
            <w:pPr>
              <w:spacing w:line="240" w:lineRule="auto"/>
            </w:pPr>
            <w:r w:rsidRPr="00AE758F">
              <w:t>BLS tables.</w:t>
            </w:r>
          </w:p>
        </w:tc>
      </w:tr>
      <w:tr w:rsidRPr="00AE758F" w:rsidR="00FA567A" w:rsidTr="00D63FF9" w14:paraId="7D971763" w14:textId="77777777">
        <w:trPr>
          <w:trHeight w:val="288"/>
        </w:trPr>
        <w:tc>
          <w:tcPr>
            <w:tcW w:w="3505" w:type="dxa"/>
            <w:noWrap/>
            <w:vAlign w:val="center"/>
          </w:tcPr>
          <w:p w:rsidRPr="00AE758F" w:rsidR="00FA567A" w:rsidP="00FA567A" w:rsidRDefault="00FA567A" w14:paraId="51D2CEAE" w14:textId="24308DA6">
            <w:pPr>
              <w:spacing w:line="240" w:lineRule="auto"/>
            </w:pPr>
            <w:r w:rsidRPr="00AE758F">
              <w:t>Licensing staff</w:t>
            </w:r>
          </w:p>
        </w:tc>
        <w:tc>
          <w:tcPr>
            <w:tcW w:w="1170" w:type="dxa"/>
            <w:noWrap/>
          </w:tcPr>
          <w:p w:rsidRPr="00AE758F" w:rsidR="00FA567A" w:rsidP="00FA567A" w:rsidRDefault="00FA567A" w14:paraId="1F4FDC61" w14:textId="47F14830">
            <w:pPr>
              <w:spacing w:line="240" w:lineRule="auto"/>
            </w:pPr>
            <w:r w:rsidRPr="00AE758F">
              <w:t>$1</w:t>
            </w:r>
            <w:r w:rsidR="00C92696">
              <w:t>38</w:t>
            </w:r>
          </w:p>
        </w:tc>
        <w:tc>
          <w:tcPr>
            <w:tcW w:w="1800" w:type="dxa"/>
            <w:noWrap/>
            <w:vAlign w:val="center"/>
          </w:tcPr>
          <w:p w:rsidRPr="00AE758F" w:rsidR="00FA567A" w:rsidP="00FA567A" w:rsidRDefault="00603628" w14:paraId="55C62FAE" w14:textId="332464F0">
            <w:pPr>
              <w:spacing w:line="240" w:lineRule="auto"/>
            </w:pPr>
            <w:r>
              <w:t>d</w:t>
            </w:r>
            <w:r w:rsidRPr="00AE758F" w:rsidR="00FA567A">
              <w:t>ollars per hour</w:t>
            </w:r>
          </w:p>
        </w:tc>
        <w:tc>
          <w:tcPr>
            <w:tcW w:w="6475" w:type="dxa"/>
            <w:vAlign w:val="center"/>
          </w:tcPr>
          <w:p w:rsidRPr="00AE758F" w:rsidR="00FA567A" w:rsidP="00FA567A" w:rsidRDefault="00FA567A" w14:paraId="2F201A20" w14:textId="512A2E76">
            <w:pPr>
              <w:spacing w:line="240" w:lineRule="auto"/>
            </w:pPr>
            <w:r w:rsidRPr="00AE758F">
              <w:t>BLS tables.</w:t>
            </w:r>
          </w:p>
        </w:tc>
      </w:tr>
      <w:tr w:rsidRPr="00AE758F" w:rsidR="00FA567A" w:rsidTr="00B62830" w14:paraId="7C401F77" w14:textId="77777777">
        <w:trPr>
          <w:trHeight w:val="288"/>
        </w:trPr>
        <w:tc>
          <w:tcPr>
            <w:tcW w:w="3505" w:type="dxa"/>
            <w:noWrap/>
            <w:vAlign w:val="center"/>
          </w:tcPr>
          <w:p w:rsidRPr="00AE758F" w:rsidR="00FA567A" w:rsidP="00FA567A" w:rsidRDefault="00C92696" w14:paraId="28692209" w14:textId="7038F7FF">
            <w:pPr>
              <w:spacing w:line="240" w:lineRule="auto"/>
            </w:pPr>
            <w:r>
              <w:t>Nuclear</w:t>
            </w:r>
            <w:r w:rsidRPr="00AE758F" w:rsidR="00FA567A">
              <w:t xml:space="preserve"> technician</w:t>
            </w:r>
            <w:r w:rsidR="009D2516">
              <w:t>s</w:t>
            </w:r>
          </w:p>
        </w:tc>
        <w:tc>
          <w:tcPr>
            <w:tcW w:w="1170" w:type="dxa"/>
            <w:noWrap/>
            <w:vAlign w:val="center"/>
          </w:tcPr>
          <w:p w:rsidRPr="00AE758F" w:rsidR="00FA567A" w:rsidP="00FA567A" w:rsidRDefault="00FA567A" w14:paraId="644B6A7D" w14:textId="41A0BC35">
            <w:pPr>
              <w:spacing w:line="240" w:lineRule="auto"/>
            </w:pPr>
            <w:r w:rsidRPr="00AE758F">
              <w:t>$10</w:t>
            </w:r>
            <w:r w:rsidR="00C92696">
              <w:t>7</w:t>
            </w:r>
          </w:p>
        </w:tc>
        <w:tc>
          <w:tcPr>
            <w:tcW w:w="1800" w:type="dxa"/>
            <w:noWrap/>
            <w:vAlign w:val="center"/>
          </w:tcPr>
          <w:p w:rsidRPr="00AE758F" w:rsidR="00FA567A" w:rsidP="00FA567A" w:rsidRDefault="00603628" w14:paraId="3C413898" w14:textId="16410BDA">
            <w:pPr>
              <w:spacing w:line="240" w:lineRule="auto"/>
            </w:pPr>
            <w:r>
              <w:t>d</w:t>
            </w:r>
            <w:r w:rsidRPr="00AE758F" w:rsidR="00FA567A">
              <w:t>ollars per hour</w:t>
            </w:r>
          </w:p>
        </w:tc>
        <w:tc>
          <w:tcPr>
            <w:tcW w:w="6475" w:type="dxa"/>
            <w:vAlign w:val="center"/>
          </w:tcPr>
          <w:p w:rsidRPr="00AE758F" w:rsidR="00FA567A" w:rsidP="00FA567A" w:rsidRDefault="00FA567A" w14:paraId="2D24EA60" w14:textId="5A453304">
            <w:pPr>
              <w:spacing w:line="240" w:lineRule="auto"/>
            </w:pPr>
            <w:r w:rsidRPr="00AE758F">
              <w:t>BLS tables.</w:t>
            </w:r>
          </w:p>
        </w:tc>
      </w:tr>
      <w:tr w:rsidRPr="00AE758F" w:rsidR="00662702" w:rsidTr="00B62830" w14:paraId="523CACE0" w14:textId="77777777">
        <w:trPr>
          <w:trHeight w:val="288"/>
        </w:trPr>
        <w:tc>
          <w:tcPr>
            <w:tcW w:w="3505" w:type="dxa"/>
            <w:noWrap/>
            <w:vAlign w:val="center"/>
          </w:tcPr>
          <w:p w:rsidRPr="00AE758F" w:rsidR="00662702" w:rsidP="00662702" w:rsidRDefault="00662702" w14:paraId="5C041A5B" w14:textId="40E6905E">
            <w:pPr>
              <w:spacing w:line="240" w:lineRule="auto"/>
            </w:pPr>
            <w:r>
              <w:t>Nuclear</w:t>
            </w:r>
            <w:r w:rsidRPr="00AE758F">
              <w:t xml:space="preserve"> </w:t>
            </w:r>
            <w:r>
              <w:t>engineer</w:t>
            </w:r>
            <w:r w:rsidR="009D2516">
              <w:t>s</w:t>
            </w:r>
          </w:p>
        </w:tc>
        <w:tc>
          <w:tcPr>
            <w:tcW w:w="1170" w:type="dxa"/>
            <w:noWrap/>
            <w:vAlign w:val="center"/>
          </w:tcPr>
          <w:p w:rsidRPr="00AE758F" w:rsidR="00662702" w:rsidP="00662702" w:rsidRDefault="00662702" w14:paraId="24740EF8" w14:textId="178F8BD3">
            <w:pPr>
              <w:spacing w:line="240" w:lineRule="auto"/>
            </w:pPr>
            <w:r w:rsidRPr="00AE758F">
              <w:t>$1</w:t>
            </w:r>
            <w:r>
              <w:t>53</w:t>
            </w:r>
          </w:p>
        </w:tc>
        <w:tc>
          <w:tcPr>
            <w:tcW w:w="1800" w:type="dxa"/>
            <w:noWrap/>
            <w:vAlign w:val="center"/>
          </w:tcPr>
          <w:p w:rsidRPr="00AE758F" w:rsidR="00662702" w:rsidP="00662702" w:rsidRDefault="00603628" w14:paraId="136F07E1" w14:textId="58707AAB">
            <w:pPr>
              <w:spacing w:line="240" w:lineRule="auto"/>
            </w:pPr>
            <w:r>
              <w:t>d</w:t>
            </w:r>
            <w:r w:rsidRPr="00AE758F" w:rsidR="00662702">
              <w:t>ollars per hour</w:t>
            </w:r>
          </w:p>
        </w:tc>
        <w:tc>
          <w:tcPr>
            <w:tcW w:w="6475" w:type="dxa"/>
            <w:vAlign w:val="center"/>
          </w:tcPr>
          <w:p w:rsidRPr="00AE758F" w:rsidR="00662702" w:rsidP="00662702" w:rsidRDefault="00662702" w14:paraId="258DF6AA" w14:textId="2239E128">
            <w:pPr>
              <w:spacing w:line="240" w:lineRule="auto"/>
            </w:pPr>
            <w:r w:rsidRPr="00AE758F">
              <w:t>BLS tables.</w:t>
            </w:r>
          </w:p>
        </w:tc>
      </w:tr>
      <w:tr w:rsidRPr="00AE758F" w:rsidR="00662702" w:rsidTr="00B62830" w14:paraId="3EFFBCA4" w14:textId="77777777">
        <w:trPr>
          <w:trHeight w:val="288"/>
        </w:trPr>
        <w:tc>
          <w:tcPr>
            <w:tcW w:w="3505" w:type="dxa"/>
            <w:noWrap/>
            <w:vAlign w:val="center"/>
          </w:tcPr>
          <w:p w:rsidRPr="00AE758F" w:rsidR="00662702" w:rsidP="00662702" w:rsidRDefault="00662702" w14:paraId="43041A15" w14:textId="60CE265C">
            <w:pPr>
              <w:spacing w:line="240" w:lineRule="auto"/>
            </w:pPr>
            <w:r w:rsidRPr="00AE758F">
              <w:t>NRC staff</w:t>
            </w:r>
          </w:p>
        </w:tc>
        <w:tc>
          <w:tcPr>
            <w:tcW w:w="1170" w:type="dxa"/>
            <w:noWrap/>
            <w:vAlign w:val="center"/>
          </w:tcPr>
          <w:p w:rsidRPr="00AE758F" w:rsidR="00662702" w:rsidP="00662702" w:rsidRDefault="00662702" w14:paraId="0F69693B" w14:textId="3D6E27DE">
            <w:pPr>
              <w:spacing w:line="240" w:lineRule="auto"/>
            </w:pPr>
            <w:r w:rsidRPr="00AE758F">
              <w:t>$13</w:t>
            </w:r>
            <w:r>
              <w:t>7</w:t>
            </w:r>
          </w:p>
        </w:tc>
        <w:tc>
          <w:tcPr>
            <w:tcW w:w="1800" w:type="dxa"/>
            <w:noWrap/>
            <w:vAlign w:val="center"/>
          </w:tcPr>
          <w:p w:rsidRPr="00AE758F" w:rsidR="00662702" w:rsidP="00662702" w:rsidRDefault="00603628" w14:paraId="59F6A87D" w14:textId="6E1ECF1B">
            <w:pPr>
              <w:spacing w:line="240" w:lineRule="auto"/>
            </w:pPr>
            <w:r>
              <w:t>d</w:t>
            </w:r>
            <w:r w:rsidRPr="00AE758F" w:rsidR="00662702">
              <w:t>ollars per hour</w:t>
            </w:r>
          </w:p>
        </w:tc>
        <w:tc>
          <w:tcPr>
            <w:tcW w:w="6475" w:type="dxa"/>
            <w:vAlign w:val="center"/>
          </w:tcPr>
          <w:p w:rsidRPr="00AE758F" w:rsidR="00662702" w:rsidP="00662702" w:rsidRDefault="00662702" w14:paraId="66AABC1E" w14:textId="5D70FCF1">
            <w:pPr>
              <w:spacing w:line="240" w:lineRule="auto"/>
            </w:pPr>
            <w:r>
              <w:rPr>
                <w:rStyle w:val="normaltextrun"/>
                <w:color w:val="000000"/>
              </w:rPr>
              <w:t>NRC calculation, 2021.</w:t>
            </w:r>
            <w:r>
              <w:rPr>
                <w:rStyle w:val="eop"/>
                <w:color w:val="000000"/>
              </w:rPr>
              <w:t> </w:t>
            </w:r>
          </w:p>
        </w:tc>
      </w:tr>
    </w:tbl>
    <w:p w:rsidRPr="00AE758F" w:rsidR="00C8101A" w:rsidP="007936BF" w:rsidRDefault="00C8101A" w14:paraId="73F4AF13" w14:textId="77777777">
      <w:pPr>
        <w:spacing w:line="240" w:lineRule="auto"/>
      </w:pPr>
    </w:p>
    <w:p w:rsidRPr="00AE758F" w:rsidR="00D64A54" w:rsidP="007936BF" w:rsidRDefault="00D64A54" w14:paraId="108D6B8E" w14:textId="77777777">
      <w:pPr>
        <w:autoSpaceDE/>
        <w:autoSpaceDN/>
        <w:adjustRightInd/>
        <w:spacing w:line="240" w:lineRule="auto"/>
        <w:rPr>
          <w:b/>
          <w:u w:val="single"/>
        </w:rPr>
        <w:sectPr w:rsidRPr="00AE758F" w:rsidR="00D64A54" w:rsidSect="00F622A9">
          <w:footerReference w:type="default" r:id="rId39"/>
          <w:type w:val="continuous"/>
          <w:pgSz w:w="15840" w:h="12240" w:orient="landscape"/>
          <w:pgMar w:top="1440" w:right="1440" w:bottom="1440" w:left="1440" w:header="720" w:footer="720" w:gutter="0"/>
          <w:pgNumType w:start="1"/>
          <w:cols w:space="720"/>
          <w:docGrid w:linePitch="360"/>
        </w:sectPr>
      </w:pPr>
    </w:p>
    <w:p w:rsidRPr="00AE758F" w:rsidR="00C8101A" w:rsidP="007936BF" w:rsidRDefault="00C8101A" w14:paraId="19E5A322" w14:textId="77777777">
      <w:pPr>
        <w:spacing w:line="240" w:lineRule="auto"/>
      </w:pPr>
    </w:p>
    <w:p w:rsidRPr="00AE758F" w:rsidR="00C8101A" w:rsidP="007936BF" w:rsidRDefault="00C8101A" w14:paraId="19B01FFA" w14:textId="77777777">
      <w:pPr>
        <w:spacing w:line="240" w:lineRule="auto"/>
        <w:rPr>
          <w:sz w:val="20"/>
        </w:rPr>
      </w:pPr>
    </w:p>
    <w:p w:rsidRPr="00AE758F" w:rsidR="00C8101A" w:rsidP="007936BF" w:rsidRDefault="00C8101A" w14:paraId="14C77E62" w14:textId="77777777">
      <w:pPr>
        <w:spacing w:line="240" w:lineRule="auto"/>
        <w:rPr>
          <w:sz w:val="20"/>
        </w:rPr>
      </w:pPr>
    </w:p>
    <w:p w:rsidRPr="00AE758F" w:rsidR="00C8101A" w:rsidP="007936BF" w:rsidRDefault="00C8101A" w14:paraId="444830CC" w14:textId="77777777">
      <w:pPr>
        <w:spacing w:line="240" w:lineRule="auto"/>
        <w:rPr>
          <w:sz w:val="20"/>
        </w:rPr>
      </w:pPr>
    </w:p>
    <w:p w:rsidRPr="00AE758F" w:rsidR="00C8101A" w:rsidP="007936BF" w:rsidRDefault="00C8101A" w14:paraId="2084C89F" w14:textId="77777777">
      <w:pPr>
        <w:spacing w:line="240" w:lineRule="auto"/>
        <w:rPr>
          <w:sz w:val="20"/>
        </w:rPr>
      </w:pPr>
    </w:p>
    <w:p w:rsidRPr="00AE758F" w:rsidR="00C8101A" w:rsidP="007936BF" w:rsidRDefault="00C8101A" w14:paraId="21112C51" w14:textId="77777777">
      <w:pPr>
        <w:spacing w:line="240" w:lineRule="auto"/>
        <w:rPr>
          <w:sz w:val="20"/>
        </w:rPr>
      </w:pPr>
    </w:p>
    <w:p w:rsidRPr="00AE758F" w:rsidR="00C8101A" w:rsidP="007936BF" w:rsidRDefault="00C8101A" w14:paraId="2ADDEDE1" w14:textId="77777777">
      <w:pPr>
        <w:spacing w:line="240" w:lineRule="auto"/>
        <w:rPr>
          <w:sz w:val="20"/>
        </w:rPr>
      </w:pPr>
    </w:p>
    <w:p w:rsidRPr="00AE758F" w:rsidR="00C8101A" w:rsidP="007936BF" w:rsidRDefault="00C8101A" w14:paraId="1EFB8B09" w14:textId="77777777">
      <w:pPr>
        <w:spacing w:line="240" w:lineRule="auto"/>
        <w:rPr>
          <w:sz w:val="20"/>
        </w:rPr>
      </w:pPr>
    </w:p>
    <w:p w:rsidRPr="00AE758F" w:rsidR="00C8101A" w:rsidP="007936BF" w:rsidRDefault="00C8101A" w14:paraId="331197E3" w14:textId="77777777">
      <w:pPr>
        <w:spacing w:line="240" w:lineRule="auto"/>
        <w:rPr>
          <w:sz w:val="20"/>
        </w:rPr>
      </w:pPr>
    </w:p>
    <w:p w:rsidRPr="00AE758F" w:rsidR="00C8101A" w:rsidP="007936BF" w:rsidRDefault="00C8101A" w14:paraId="44FC9B1C" w14:textId="77777777">
      <w:pPr>
        <w:spacing w:line="240" w:lineRule="auto"/>
        <w:rPr>
          <w:sz w:val="20"/>
        </w:rPr>
      </w:pPr>
    </w:p>
    <w:p w:rsidRPr="00AE758F" w:rsidR="00C8101A" w:rsidP="007936BF" w:rsidRDefault="00C8101A" w14:paraId="29D74B21" w14:textId="77777777">
      <w:pPr>
        <w:spacing w:line="240" w:lineRule="auto"/>
        <w:rPr>
          <w:sz w:val="20"/>
        </w:rPr>
      </w:pPr>
    </w:p>
    <w:p w:rsidRPr="00AE758F" w:rsidR="00C8101A" w:rsidP="007936BF" w:rsidRDefault="00C8101A" w14:paraId="4369EF2E" w14:textId="77777777">
      <w:pPr>
        <w:spacing w:line="240" w:lineRule="auto"/>
        <w:rPr>
          <w:sz w:val="20"/>
        </w:rPr>
      </w:pPr>
    </w:p>
    <w:p w:rsidRPr="00AE758F" w:rsidR="00C8101A" w:rsidP="007936BF" w:rsidRDefault="00C8101A" w14:paraId="52098868" w14:textId="77777777">
      <w:pPr>
        <w:spacing w:line="240" w:lineRule="auto"/>
        <w:rPr>
          <w:sz w:val="20"/>
        </w:rPr>
      </w:pPr>
    </w:p>
    <w:p w:rsidRPr="00AE758F" w:rsidR="00C8101A" w:rsidP="007936BF" w:rsidRDefault="00C8101A" w14:paraId="52C2EFAC" w14:textId="77777777">
      <w:pPr>
        <w:spacing w:line="240" w:lineRule="auto"/>
        <w:rPr>
          <w:sz w:val="20"/>
        </w:rPr>
      </w:pPr>
    </w:p>
    <w:p w:rsidRPr="00AE758F" w:rsidR="00C8101A" w:rsidP="007936BF" w:rsidRDefault="00C8101A" w14:paraId="1B7176EC" w14:textId="77777777">
      <w:pPr>
        <w:spacing w:line="240" w:lineRule="auto"/>
        <w:rPr>
          <w:sz w:val="20"/>
        </w:rPr>
      </w:pPr>
    </w:p>
    <w:p w:rsidRPr="00AE758F" w:rsidR="00C8101A" w:rsidP="007936BF" w:rsidRDefault="00C8101A" w14:paraId="6AEC029D" w14:textId="77777777">
      <w:pPr>
        <w:spacing w:line="240" w:lineRule="auto"/>
        <w:rPr>
          <w:sz w:val="20"/>
        </w:rPr>
      </w:pPr>
    </w:p>
    <w:p w:rsidRPr="00AE758F" w:rsidR="00C8101A" w:rsidP="007936BF" w:rsidRDefault="00C8101A" w14:paraId="7B2D3ACA" w14:textId="77777777">
      <w:pPr>
        <w:spacing w:line="240" w:lineRule="auto"/>
        <w:rPr>
          <w:sz w:val="20"/>
        </w:rPr>
      </w:pPr>
    </w:p>
    <w:p w:rsidRPr="00AE758F" w:rsidR="00C8101A" w:rsidP="007936BF" w:rsidRDefault="00C8101A" w14:paraId="11355E08" w14:textId="77777777">
      <w:pPr>
        <w:spacing w:line="240" w:lineRule="auto"/>
        <w:rPr>
          <w:sz w:val="20"/>
        </w:rPr>
      </w:pPr>
    </w:p>
    <w:p w:rsidRPr="00AE758F" w:rsidR="00C8101A" w:rsidP="007936BF" w:rsidRDefault="00C8101A" w14:paraId="47651C1E" w14:textId="77777777">
      <w:pPr>
        <w:spacing w:line="240" w:lineRule="auto"/>
        <w:rPr>
          <w:sz w:val="20"/>
        </w:rPr>
      </w:pPr>
    </w:p>
    <w:p w:rsidRPr="00AE758F" w:rsidR="00C8101A" w:rsidP="007936BF" w:rsidRDefault="00C8101A" w14:paraId="0CF4821E" w14:textId="77777777">
      <w:pPr>
        <w:spacing w:line="240" w:lineRule="auto"/>
        <w:rPr>
          <w:sz w:val="20"/>
        </w:rPr>
      </w:pPr>
    </w:p>
    <w:p w:rsidRPr="00AE758F" w:rsidR="00C8101A" w:rsidP="007936BF" w:rsidRDefault="00C8101A" w14:paraId="1B307CDC" w14:textId="77777777">
      <w:pPr>
        <w:spacing w:line="240" w:lineRule="auto"/>
        <w:rPr>
          <w:sz w:val="20"/>
        </w:rPr>
      </w:pPr>
    </w:p>
    <w:p w:rsidRPr="00AE758F" w:rsidR="00C8101A" w:rsidP="007936BF" w:rsidRDefault="00C8101A" w14:paraId="2E32D419" w14:textId="77777777">
      <w:pPr>
        <w:spacing w:line="240" w:lineRule="auto"/>
        <w:rPr>
          <w:sz w:val="20"/>
        </w:rPr>
      </w:pPr>
    </w:p>
    <w:p w:rsidRPr="00AE758F" w:rsidR="00C8101A" w:rsidP="007936BF" w:rsidRDefault="00C8101A" w14:paraId="6EFF8431" w14:textId="77777777">
      <w:pPr>
        <w:spacing w:line="240" w:lineRule="auto"/>
        <w:rPr>
          <w:sz w:val="20"/>
        </w:rPr>
      </w:pPr>
    </w:p>
    <w:p w:rsidRPr="00AE758F" w:rsidR="00C8101A" w:rsidP="007936BF" w:rsidRDefault="00C8101A" w14:paraId="5B7F4615" w14:textId="77777777">
      <w:pPr>
        <w:spacing w:line="240" w:lineRule="auto"/>
        <w:rPr>
          <w:sz w:val="20"/>
        </w:rPr>
      </w:pPr>
    </w:p>
    <w:p w:rsidRPr="00AE758F" w:rsidR="00C8101A" w:rsidP="007936BF" w:rsidRDefault="00C8101A" w14:paraId="3CB07E41" w14:textId="77777777">
      <w:pPr>
        <w:spacing w:line="240" w:lineRule="auto"/>
        <w:rPr>
          <w:sz w:val="20"/>
        </w:rPr>
      </w:pPr>
    </w:p>
    <w:p w:rsidRPr="00AE758F" w:rsidR="00C8101A" w:rsidP="007936BF" w:rsidRDefault="00C8101A" w14:paraId="59E8494C" w14:textId="77777777">
      <w:pPr>
        <w:spacing w:line="240" w:lineRule="auto"/>
        <w:rPr>
          <w:sz w:val="20"/>
        </w:rPr>
      </w:pPr>
    </w:p>
    <w:p w:rsidRPr="00AE758F" w:rsidR="00C8101A" w:rsidP="007936BF" w:rsidRDefault="00C8101A" w14:paraId="3F50BF9A" w14:textId="77777777">
      <w:pPr>
        <w:spacing w:line="240" w:lineRule="auto"/>
        <w:rPr>
          <w:sz w:val="20"/>
        </w:rPr>
      </w:pPr>
    </w:p>
    <w:p w:rsidRPr="00AE758F" w:rsidR="00C8101A" w:rsidP="007936BF" w:rsidRDefault="00C8101A" w14:paraId="17D34C5E" w14:textId="77777777">
      <w:pPr>
        <w:spacing w:line="240" w:lineRule="auto"/>
        <w:rPr>
          <w:sz w:val="20"/>
        </w:rPr>
      </w:pPr>
    </w:p>
    <w:p w:rsidRPr="00AE758F" w:rsidR="00C8101A" w:rsidP="007936BF" w:rsidRDefault="00C8101A" w14:paraId="20256853" w14:textId="77777777">
      <w:pPr>
        <w:spacing w:line="240" w:lineRule="auto"/>
        <w:rPr>
          <w:sz w:val="20"/>
        </w:rPr>
      </w:pPr>
    </w:p>
    <w:p w:rsidRPr="00AE758F" w:rsidR="00C8101A" w:rsidP="007936BF" w:rsidRDefault="00C8101A" w14:paraId="561FF824" w14:textId="77777777">
      <w:pPr>
        <w:spacing w:line="240" w:lineRule="auto"/>
        <w:rPr>
          <w:sz w:val="20"/>
        </w:rPr>
      </w:pPr>
    </w:p>
    <w:p w:rsidRPr="00AE758F" w:rsidR="00C8101A" w:rsidP="007936BF" w:rsidRDefault="00C8101A" w14:paraId="237F5B91" w14:textId="77777777">
      <w:pPr>
        <w:spacing w:line="240" w:lineRule="auto"/>
        <w:rPr>
          <w:sz w:val="20"/>
        </w:rPr>
      </w:pPr>
    </w:p>
    <w:p w:rsidRPr="00AE758F" w:rsidR="00C8101A" w:rsidP="007936BF" w:rsidRDefault="00C8101A" w14:paraId="67E87F06" w14:textId="77777777">
      <w:pPr>
        <w:spacing w:line="240" w:lineRule="auto"/>
        <w:rPr>
          <w:sz w:val="20"/>
        </w:rPr>
      </w:pPr>
    </w:p>
    <w:p w:rsidRPr="00AE758F" w:rsidR="00C8101A" w:rsidP="007936BF" w:rsidRDefault="00C8101A" w14:paraId="5D5DEF9B" w14:textId="77777777">
      <w:pPr>
        <w:spacing w:line="240" w:lineRule="auto"/>
        <w:rPr>
          <w:sz w:val="20"/>
        </w:rPr>
      </w:pPr>
    </w:p>
    <w:p w:rsidRPr="00AE758F" w:rsidR="00C8101A" w:rsidP="007936BF" w:rsidRDefault="00C8101A" w14:paraId="77BDF2C2" w14:textId="77777777">
      <w:pPr>
        <w:spacing w:line="240" w:lineRule="auto"/>
        <w:rPr>
          <w:sz w:val="20"/>
        </w:rPr>
      </w:pPr>
    </w:p>
    <w:p w:rsidRPr="00AE758F" w:rsidR="00C8101A" w:rsidP="007936BF" w:rsidRDefault="00C8101A" w14:paraId="4D16FA6E" w14:textId="77777777">
      <w:pPr>
        <w:spacing w:line="240" w:lineRule="auto"/>
        <w:rPr>
          <w:sz w:val="20"/>
        </w:rPr>
      </w:pPr>
    </w:p>
    <w:p w:rsidRPr="00AE758F" w:rsidR="00C8101A" w:rsidP="007936BF" w:rsidRDefault="00C8101A" w14:paraId="059234D7" w14:textId="77777777">
      <w:pPr>
        <w:spacing w:line="240" w:lineRule="auto"/>
        <w:rPr>
          <w:sz w:val="20"/>
        </w:rPr>
      </w:pPr>
    </w:p>
    <w:p w:rsidRPr="00AE758F" w:rsidR="00C8101A" w:rsidP="007936BF" w:rsidRDefault="00C8101A" w14:paraId="5501DEA4" w14:textId="77777777">
      <w:pPr>
        <w:spacing w:line="240" w:lineRule="auto"/>
        <w:rPr>
          <w:sz w:val="20"/>
        </w:rPr>
      </w:pPr>
    </w:p>
    <w:p w:rsidRPr="00AE758F" w:rsidR="00C8101A" w:rsidP="007936BF" w:rsidRDefault="00C8101A" w14:paraId="43C71ECE" w14:textId="77777777">
      <w:pPr>
        <w:spacing w:line="240" w:lineRule="auto"/>
        <w:rPr>
          <w:sz w:val="20"/>
        </w:rPr>
      </w:pPr>
    </w:p>
    <w:p w:rsidRPr="00AE758F" w:rsidR="00C8101A" w:rsidP="007936BF" w:rsidRDefault="00C8101A" w14:paraId="48F5ADE3" w14:textId="77777777">
      <w:pPr>
        <w:spacing w:line="240" w:lineRule="auto"/>
        <w:rPr>
          <w:sz w:val="20"/>
        </w:rPr>
      </w:pPr>
    </w:p>
    <w:p w:rsidRPr="00AE758F" w:rsidR="00C8101A" w:rsidP="007936BF" w:rsidRDefault="00C8101A" w14:paraId="141CAA45" w14:textId="77777777">
      <w:pPr>
        <w:spacing w:line="240" w:lineRule="auto"/>
        <w:rPr>
          <w:sz w:val="20"/>
          <w:u w:val="single"/>
        </w:rPr>
      </w:pPr>
      <w:r w:rsidRPr="00AE758F">
        <w:rPr>
          <w:sz w:val="20"/>
          <w:u w:val="single"/>
        </w:rPr>
        <w:t>DISTRIBUTION: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37"/>
        <w:gridCol w:w="2337"/>
        <w:gridCol w:w="2338"/>
        <w:gridCol w:w="2338"/>
      </w:tblGrid>
      <w:tr w:rsidRPr="00AE758F" w:rsidR="00C8101A" w:rsidTr="00B62830" w14:paraId="4211767F" w14:textId="77777777">
        <w:tc>
          <w:tcPr>
            <w:tcW w:w="2337" w:type="dxa"/>
          </w:tcPr>
          <w:p w:rsidRPr="00AE758F" w:rsidR="00C8101A" w:rsidP="007936BF" w:rsidRDefault="00D87FC5" w14:paraId="2ABCD383" w14:textId="321AF6E0">
            <w:pPr>
              <w:rPr>
                <w:sz w:val="20"/>
              </w:rPr>
            </w:pPr>
            <w:proofErr w:type="spellStart"/>
            <w:r>
              <w:rPr>
                <w:sz w:val="20"/>
              </w:rPr>
              <w:t>ASanders</w:t>
            </w:r>
            <w:proofErr w:type="spellEnd"/>
            <w:r w:rsidRPr="00AE758F" w:rsidR="00C8101A">
              <w:rPr>
                <w:sz w:val="20"/>
              </w:rPr>
              <w:t>, NMSS</w:t>
            </w:r>
          </w:p>
        </w:tc>
        <w:tc>
          <w:tcPr>
            <w:tcW w:w="2337" w:type="dxa"/>
          </w:tcPr>
          <w:p w:rsidRPr="00AE758F" w:rsidR="00C8101A" w:rsidP="007936BF" w:rsidRDefault="00C8101A" w14:paraId="290B1624" w14:textId="77777777">
            <w:pPr>
              <w:rPr>
                <w:sz w:val="20"/>
              </w:rPr>
            </w:pPr>
            <w:proofErr w:type="spellStart"/>
            <w:r w:rsidRPr="00AE758F">
              <w:rPr>
                <w:sz w:val="20"/>
              </w:rPr>
              <w:t>FSchofer</w:t>
            </w:r>
            <w:proofErr w:type="spellEnd"/>
            <w:r w:rsidRPr="00AE758F">
              <w:rPr>
                <w:sz w:val="20"/>
              </w:rPr>
              <w:t>, NMSS</w:t>
            </w:r>
          </w:p>
        </w:tc>
        <w:tc>
          <w:tcPr>
            <w:tcW w:w="2338" w:type="dxa"/>
          </w:tcPr>
          <w:p w:rsidRPr="00AE758F" w:rsidR="00C8101A" w:rsidP="007936BF" w:rsidRDefault="00773273" w14:paraId="295D3CD8" w14:textId="4B31884D">
            <w:pPr>
              <w:rPr>
                <w:sz w:val="20"/>
              </w:rPr>
            </w:pPr>
            <w:proofErr w:type="spellStart"/>
            <w:r w:rsidRPr="00AE758F">
              <w:rPr>
                <w:sz w:val="20"/>
              </w:rPr>
              <w:t>JTappert</w:t>
            </w:r>
            <w:proofErr w:type="spellEnd"/>
            <w:r w:rsidRPr="00AE758F" w:rsidR="00C8101A">
              <w:rPr>
                <w:sz w:val="20"/>
              </w:rPr>
              <w:t>, NMSS</w:t>
            </w:r>
          </w:p>
        </w:tc>
        <w:tc>
          <w:tcPr>
            <w:tcW w:w="2338" w:type="dxa"/>
          </w:tcPr>
          <w:p w:rsidRPr="00AE758F" w:rsidR="00C8101A" w:rsidP="007936BF" w:rsidRDefault="004B4901" w14:paraId="78F3F52B" w14:textId="477CDB08">
            <w:pPr>
              <w:rPr>
                <w:sz w:val="20"/>
              </w:rPr>
            </w:pPr>
            <w:proofErr w:type="spellStart"/>
            <w:r w:rsidRPr="00AE758F">
              <w:rPr>
                <w:sz w:val="20"/>
              </w:rPr>
              <w:t>GLappert</w:t>
            </w:r>
            <w:proofErr w:type="spellEnd"/>
            <w:r w:rsidRPr="00AE758F">
              <w:rPr>
                <w:sz w:val="20"/>
              </w:rPr>
              <w:t>, NMSS</w:t>
            </w:r>
          </w:p>
        </w:tc>
      </w:tr>
    </w:tbl>
    <w:p w:rsidRPr="00AE758F" w:rsidR="00C8101A" w:rsidP="007936BF" w:rsidRDefault="00C8101A" w14:paraId="32FBB3FD" w14:textId="0707DDCF">
      <w:pPr>
        <w:spacing w:line="240" w:lineRule="auto"/>
        <w:rPr>
          <w:sz w:val="20"/>
        </w:rPr>
      </w:pPr>
    </w:p>
    <w:p w:rsidRPr="00AE758F" w:rsidR="00C8101A" w:rsidP="007936BF" w:rsidRDefault="00C8101A" w14:paraId="7D34C02E" w14:textId="77777777">
      <w:pPr>
        <w:spacing w:line="240" w:lineRule="auto"/>
        <w:rPr>
          <w:sz w:val="20"/>
        </w:rPr>
      </w:pPr>
    </w:p>
    <w:p w:rsidRPr="00AE758F" w:rsidR="00C8101A" w:rsidP="007936BF" w:rsidRDefault="00C8101A" w14:paraId="6BBDABA8" w14:textId="7937B985">
      <w:pPr>
        <w:tabs>
          <w:tab w:val="right" w:pos="11520"/>
        </w:tabs>
        <w:spacing w:line="240" w:lineRule="auto"/>
        <w:rPr>
          <w:sz w:val="20"/>
        </w:rPr>
      </w:pPr>
      <w:r w:rsidRPr="00AE758F">
        <w:rPr>
          <w:b/>
          <w:sz w:val="20"/>
        </w:rPr>
        <w:t>ADAMS Accession No</w:t>
      </w:r>
      <w:r w:rsidRPr="00AE758F">
        <w:rPr>
          <w:sz w:val="20"/>
        </w:rPr>
        <w:t xml:space="preserve">:  </w:t>
      </w:r>
      <w:r w:rsidRPr="00AE758F">
        <w:rPr>
          <w:b/>
          <w:sz w:val="20"/>
        </w:rPr>
        <w:t>PKG</w:t>
      </w:r>
      <w:r w:rsidRPr="00AE758F">
        <w:rPr>
          <w:sz w:val="20"/>
        </w:rPr>
        <w:t xml:space="preserve">:  </w:t>
      </w:r>
      <w:r w:rsidRPr="008C6BE3" w:rsidR="00743F67">
        <w:rPr>
          <w:b/>
          <w:sz w:val="20"/>
        </w:rPr>
        <w:t>ML</w:t>
      </w:r>
      <w:r w:rsidR="00E90709">
        <w:rPr>
          <w:b/>
          <w:sz w:val="20"/>
        </w:rPr>
        <w:t>XXXXXXXX</w:t>
      </w:r>
      <w:r w:rsidRPr="008C6BE3">
        <w:rPr>
          <w:b/>
          <w:sz w:val="20"/>
        </w:rPr>
        <w:t>;</w:t>
      </w:r>
      <w:r w:rsidRPr="008C6BE3">
        <w:rPr>
          <w:sz w:val="20"/>
        </w:rPr>
        <w:t xml:space="preserve"> </w:t>
      </w:r>
      <w:r w:rsidRPr="008C6BE3">
        <w:rPr>
          <w:b/>
          <w:sz w:val="20"/>
        </w:rPr>
        <w:t>RA:</w:t>
      </w:r>
      <w:r w:rsidRPr="008C6BE3">
        <w:rPr>
          <w:sz w:val="20"/>
        </w:rPr>
        <w:t xml:space="preserve"> </w:t>
      </w:r>
      <w:r w:rsidRPr="008C6BE3" w:rsidR="00743F67">
        <w:rPr>
          <w:b/>
          <w:sz w:val="20"/>
        </w:rPr>
        <w:t>ML</w:t>
      </w:r>
      <w:r w:rsidR="00E90709">
        <w:rPr>
          <w:b/>
          <w:sz w:val="20"/>
        </w:rPr>
        <w:t>XXXXXXXX</w:t>
      </w:r>
      <w:r w:rsidRPr="00AE758F">
        <w:rPr>
          <w:sz w:val="20"/>
        </w:rPr>
        <w:tab/>
      </w:r>
      <w:bookmarkStart w:name="_Hlk14444809" w:id="448"/>
      <w:r w:rsidRPr="00AE758F">
        <w:rPr>
          <w:sz w:val="20"/>
        </w:rPr>
        <w:t>*concurred via email</w:t>
      </w:r>
      <w:bookmarkEnd w:id="448"/>
    </w:p>
    <w:tbl>
      <w:tblPr>
        <w:tblW w:w="10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
        <w:gridCol w:w="1875"/>
        <w:gridCol w:w="1260"/>
        <w:gridCol w:w="2250"/>
        <w:gridCol w:w="2070"/>
        <w:gridCol w:w="2070"/>
      </w:tblGrid>
      <w:tr w:rsidRPr="00AE758F" w:rsidR="00C8101A" w:rsidTr="00B76C8A" w14:paraId="4C60B8BE" w14:textId="77777777">
        <w:trPr>
          <w:trHeight w:val="288"/>
          <w:jc w:val="center"/>
        </w:trPr>
        <w:tc>
          <w:tcPr>
            <w:tcW w:w="900" w:type="dxa"/>
            <w:tcBorders>
              <w:top w:val="double" w:color="auto" w:sz="4" w:space="0"/>
              <w:left w:val="double" w:color="auto" w:sz="4" w:space="0"/>
            </w:tcBorders>
            <w:vAlign w:val="center"/>
          </w:tcPr>
          <w:p w:rsidRPr="00AE758F" w:rsidR="00C8101A" w:rsidP="007936BF" w:rsidRDefault="00C8101A" w14:paraId="666F2B1D" w14:textId="77777777">
            <w:pPr>
              <w:spacing w:line="240" w:lineRule="auto"/>
              <w:jc w:val="center"/>
              <w:rPr>
                <w:sz w:val="18"/>
                <w:szCs w:val="18"/>
              </w:rPr>
            </w:pPr>
            <w:r w:rsidRPr="00AE758F">
              <w:rPr>
                <w:sz w:val="18"/>
                <w:szCs w:val="18"/>
              </w:rPr>
              <w:t>OFFICE</w:t>
            </w:r>
          </w:p>
        </w:tc>
        <w:tc>
          <w:tcPr>
            <w:tcW w:w="1875" w:type="dxa"/>
            <w:tcBorders>
              <w:top w:val="double" w:color="auto" w:sz="4" w:space="0"/>
            </w:tcBorders>
            <w:vAlign w:val="center"/>
          </w:tcPr>
          <w:p w:rsidRPr="00AE758F" w:rsidR="00C8101A" w:rsidP="007936BF" w:rsidRDefault="00C8101A" w14:paraId="51D5E4B4" w14:textId="1485EC32">
            <w:pPr>
              <w:spacing w:line="240" w:lineRule="auto"/>
              <w:jc w:val="center"/>
              <w:rPr>
                <w:sz w:val="18"/>
                <w:szCs w:val="18"/>
              </w:rPr>
            </w:pPr>
            <w:r w:rsidRPr="00AE758F">
              <w:rPr>
                <w:sz w:val="18"/>
                <w:szCs w:val="18"/>
              </w:rPr>
              <w:t>NMSS/</w:t>
            </w:r>
            <w:r w:rsidRPr="00AE758F" w:rsidR="006809AB">
              <w:rPr>
                <w:sz w:val="18"/>
                <w:szCs w:val="18"/>
              </w:rPr>
              <w:t>REFS</w:t>
            </w:r>
            <w:r w:rsidRPr="00AE758F">
              <w:rPr>
                <w:sz w:val="18"/>
                <w:szCs w:val="18"/>
              </w:rPr>
              <w:t>/RASB</w:t>
            </w:r>
          </w:p>
        </w:tc>
        <w:tc>
          <w:tcPr>
            <w:tcW w:w="1260" w:type="dxa"/>
            <w:tcBorders>
              <w:top w:val="double" w:color="auto" w:sz="4" w:space="0"/>
            </w:tcBorders>
            <w:vAlign w:val="center"/>
          </w:tcPr>
          <w:p w:rsidRPr="00AE758F" w:rsidR="00C8101A" w:rsidP="007936BF" w:rsidRDefault="00C8101A" w14:paraId="15B3C02F" w14:textId="018DD978">
            <w:pPr>
              <w:spacing w:line="240" w:lineRule="auto"/>
              <w:jc w:val="center"/>
              <w:rPr>
                <w:sz w:val="18"/>
                <w:szCs w:val="18"/>
              </w:rPr>
            </w:pPr>
            <w:r w:rsidRPr="00AE758F">
              <w:rPr>
                <w:sz w:val="18"/>
                <w:szCs w:val="18"/>
              </w:rPr>
              <w:t>QTE</w:t>
            </w:r>
          </w:p>
        </w:tc>
        <w:tc>
          <w:tcPr>
            <w:tcW w:w="2250" w:type="dxa"/>
            <w:tcBorders>
              <w:top w:val="double" w:color="auto" w:sz="4" w:space="0"/>
            </w:tcBorders>
            <w:vAlign w:val="center"/>
          </w:tcPr>
          <w:p w:rsidRPr="00AE758F" w:rsidR="00C8101A" w:rsidP="007936BF" w:rsidRDefault="00C8101A" w14:paraId="2BE0890B" w14:textId="39DC84AB">
            <w:pPr>
              <w:spacing w:line="240" w:lineRule="auto"/>
              <w:jc w:val="center"/>
              <w:rPr>
                <w:sz w:val="18"/>
                <w:szCs w:val="18"/>
              </w:rPr>
            </w:pPr>
            <w:r w:rsidRPr="00AE758F">
              <w:rPr>
                <w:sz w:val="18"/>
                <w:szCs w:val="18"/>
              </w:rPr>
              <w:t>NMSS/</w:t>
            </w:r>
            <w:r w:rsidRPr="00AE758F" w:rsidR="00244F0D">
              <w:rPr>
                <w:sz w:val="18"/>
                <w:szCs w:val="18"/>
              </w:rPr>
              <w:t>REFS</w:t>
            </w:r>
            <w:r w:rsidRPr="00AE758F">
              <w:rPr>
                <w:sz w:val="18"/>
                <w:szCs w:val="18"/>
              </w:rPr>
              <w:t>/RASB/RAT</w:t>
            </w:r>
          </w:p>
        </w:tc>
        <w:tc>
          <w:tcPr>
            <w:tcW w:w="2070" w:type="dxa"/>
            <w:tcBorders>
              <w:top w:val="double" w:color="auto" w:sz="4" w:space="0"/>
            </w:tcBorders>
            <w:vAlign w:val="center"/>
          </w:tcPr>
          <w:p w:rsidRPr="00AE758F" w:rsidR="00C8101A" w:rsidP="007936BF" w:rsidRDefault="00C8101A" w14:paraId="5FF626CA" w14:textId="2E4CEFC4">
            <w:pPr>
              <w:spacing w:line="240" w:lineRule="auto"/>
              <w:jc w:val="center"/>
              <w:rPr>
                <w:sz w:val="18"/>
                <w:szCs w:val="18"/>
              </w:rPr>
            </w:pPr>
            <w:r w:rsidRPr="00AE758F">
              <w:rPr>
                <w:sz w:val="18"/>
                <w:szCs w:val="18"/>
              </w:rPr>
              <w:t>NMSS/</w:t>
            </w:r>
            <w:r w:rsidR="00367667">
              <w:rPr>
                <w:sz w:val="18"/>
                <w:szCs w:val="18"/>
              </w:rPr>
              <w:t>REFS</w:t>
            </w:r>
            <w:r w:rsidRPr="00AE758F">
              <w:rPr>
                <w:sz w:val="18"/>
                <w:szCs w:val="18"/>
              </w:rPr>
              <w:t>/RASB/BC</w:t>
            </w:r>
          </w:p>
        </w:tc>
        <w:tc>
          <w:tcPr>
            <w:tcW w:w="2070" w:type="dxa"/>
            <w:tcBorders>
              <w:top w:val="double" w:color="auto" w:sz="4" w:space="0"/>
              <w:right w:val="double" w:color="auto" w:sz="4" w:space="0"/>
            </w:tcBorders>
            <w:vAlign w:val="center"/>
          </w:tcPr>
          <w:p w:rsidRPr="00AE758F" w:rsidR="00C8101A" w:rsidP="007936BF" w:rsidRDefault="00C8101A" w14:paraId="013AEB47" w14:textId="58970BF7">
            <w:pPr>
              <w:spacing w:line="240" w:lineRule="auto"/>
              <w:jc w:val="center"/>
              <w:rPr>
                <w:sz w:val="18"/>
                <w:szCs w:val="18"/>
              </w:rPr>
            </w:pPr>
            <w:r w:rsidRPr="00AE758F">
              <w:rPr>
                <w:sz w:val="18"/>
                <w:szCs w:val="18"/>
              </w:rPr>
              <w:t>NMSS/</w:t>
            </w:r>
            <w:r w:rsidR="00367667">
              <w:rPr>
                <w:sz w:val="18"/>
                <w:szCs w:val="18"/>
              </w:rPr>
              <w:t>REFS</w:t>
            </w:r>
            <w:r w:rsidRPr="00AE758F">
              <w:rPr>
                <w:sz w:val="18"/>
                <w:szCs w:val="18"/>
              </w:rPr>
              <w:t>/RRPB/BC</w:t>
            </w:r>
          </w:p>
        </w:tc>
      </w:tr>
      <w:tr w:rsidRPr="00AE758F" w:rsidR="00C8101A" w:rsidTr="00B76C8A" w14:paraId="17C1B337" w14:textId="77777777">
        <w:trPr>
          <w:trHeight w:val="288"/>
          <w:jc w:val="center"/>
        </w:trPr>
        <w:tc>
          <w:tcPr>
            <w:tcW w:w="900" w:type="dxa"/>
            <w:tcBorders>
              <w:left w:val="double" w:color="auto" w:sz="4" w:space="0"/>
            </w:tcBorders>
            <w:vAlign w:val="center"/>
          </w:tcPr>
          <w:p w:rsidRPr="00AE758F" w:rsidR="00C8101A" w:rsidP="007936BF" w:rsidRDefault="00C8101A" w14:paraId="359C2279" w14:textId="77777777">
            <w:pPr>
              <w:spacing w:line="240" w:lineRule="auto"/>
              <w:jc w:val="center"/>
              <w:rPr>
                <w:sz w:val="18"/>
                <w:szCs w:val="18"/>
              </w:rPr>
            </w:pPr>
            <w:r w:rsidRPr="00AE758F">
              <w:rPr>
                <w:sz w:val="18"/>
                <w:szCs w:val="18"/>
              </w:rPr>
              <w:t>NAME</w:t>
            </w:r>
          </w:p>
        </w:tc>
        <w:tc>
          <w:tcPr>
            <w:tcW w:w="1875" w:type="dxa"/>
            <w:vAlign w:val="center"/>
          </w:tcPr>
          <w:p w:rsidRPr="00AE758F" w:rsidR="00C8101A" w:rsidP="007936BF" w:rsidRDefault="00E90709" w14:paraId="41E34BE8" w14:textId="06664729">
            <w:pPr>
              <w:spacing w:line="240" w:lineRule="auto"/>
              <w:jc w:val="center"/>
              <w:rPr>
                <w:sz w:val="18"/>
                <w:szCs w:val="18"/>
              </w:rPr>
            </w:pPr>
            <w:proofErr w:type="spellStart"/>
            <w:r>
              <w:rPr>
                <w:sz w:val="18"/>
                <w:szCs w:val="18"/>
              </w:rPr>
              <w:t>AS</w:t>
            </w:r>
            <w:r w:rsidR="00B5181D">
              <w:rPr>
                <w:sz w:val="18"/>
                <w:szCs w:val="18"/>
              </w:rPr>
              <w:t>ander</w:t>
            </w:r>
            <w:r w:rsidRPr="00AE758F" w:rsidR="00244F0D">
              <w:rPr>
                <w:sz w:val="18"/>
                <w:szCs w:val="18"/>
              </w:rPr>
              <w:t>s</w:t>
            </w:r>
            <w:proofErr w:type="spellEnd"/>
            <w:r w:rsidRPr="00AE758F" w:rsidR="0001041F">
              <w:rPr>
                <w:sz w:val="18"/>
                <w:szCs w:val="18"/>
              </w:rPr>
              <w:t>*</w:t>
            </w:r>
          </w:p>
        </w:tc>
        <w:tc>
          <w:tcPr>
            <w:tcW w:w="1260" w:type="dxa"/>
            <w:vAlign w:val="center"/>
          </w:tcPr>
          <w:p w:rsidRPr="00AE758F" w:rsidR="00C8101A" w:rsidP="007936BF" w:rsidRDefault="00AC6344" w14:paraId="47E3D5DA" w14:textId="2172D42D">
            <w:pPr>
              <w:spacing w:line="240" w:lineRule="auto"/>
              <w:jc w:val="center"/>
              <w:rPr>
                <w:sz w:val="18"/>
                <w:szCs w:val="18"/>
              </w:rPr>
            </w:pPr>
            <w:proofErr w:type="spellStart"/>
            <w:r>
              <w:rPr>
                <w:sz w:val="18"/>
                <w:szCs w:val="18"/>
              </w:rPr>
              <w:t>KAzariah-Kribbs</w:t>
            </w:r>
            <w:proofErr w:type="spellEnd"/>
            <w:r w:rsidRPr="00AE758F" w:rsidR="005E2761">
              <w:rPr>
                <w:sz w:val="18"/>
                <w:szCs w:val="18"/>
              </w:rPr>
              <w:t>*</w:t>
            </w:r>
          </w:p>
        </w:tc>
        <w:tc>
          <w:tcPr>
            <w:tcW w:w="2250" w:type="dxa"/>
            <w:vAlign w:val="center"/>
          </w:tcPr>
          <w:p w:rsidRPr="00AE758F" w:rsidR="00C8101A" w:rsidP="007936BF" w:rsidRDefault="00C8101A" w14:paraId="0A8FEC7B" w14:textId="29D214BA">
            <w:pPr>
              <w:spacing w:line="240" w:lineRule="auto"/>
              <w:jc w:val="center"/>
              <w:rPr>
                <w:sz w:val="18"/>
                <w:szCs w:val="18"/>
              </w:rPr>
            </w:pPr>
            <w:proofErr w:type="spellStart"/>
            <w:r w:rsidRPr="00AE758F">
              <w:rPr>
                <w:sz w:val="18"/>
                <w:szCs w:val="18"/>
              </w:rPr>
              <w:t>FSchofer</w:t>
            </w:r>
            <w:proofErr w:type="spellEnd"/>
            <w:r w:rsidRPr="00AE758F" w:rsidR="002B153F">
              <w:rPr>
                <w:sz w:val="18"/>
                <w:szCs w:val="18"/>
              </w:rPr>
              <w:t>*</w:t>
            </w:r>
          </w:p>
        </w:tc>
        <w:tc>
          <w:tcPr>
            <w:tcW w:w="2070" w:type="dxa"/>
            <w:vAlign w:val="center"/>
          </w:tcPr>
          <w:p w:rsidRPr="00AE758F" w:rsidR="00C8101A" w:rsidP="007936BF" w:rsidRDefault="00C8101A" w14:paraId="4E6FEDD2" w14:textId="5472E1B8">
            <w:pPr>
              <w:spacing w:line="240" w:lineRule="auto"/>
              <w:jc w:val="center"/>
              <w:rPr>
                <w:sz w:val="18"/>
                <w:szCs w:val="18"/>
              </w:rPr>
            </w:pPr>
            <w:proofErr w:type="spellStart"/>
            <w:r w:rsidRPr="00AE758F">
              <w:rPr>
                <w:sz w:val="18"/>
                <w:szCs w:val="18"/>
              </w:rPr>
              <w:t>CBladey</w:t>
            </w:r>
            <w:proofErr w:type="spellEnd"/>
          </w:p>
        </w:tc>
        <w:tc>
          <w:tcPr>
            <w:tcW w:w="2070" w:type="dxa"/>
            <w:tcBorders>
              <w:right w:val="double" w:color="auto" w:sz="4" w:space="0"/>
            </w:tcBorders>
            <w:vAlign w:val="center"/>
          </w:tcPr>
          <w:p w:rsidRPr="00AE758F" w:rsidR="00C8101A" w:rsidP="007936BF" w:rsidRDefault="00947352" w14:paraId="3703618A" w14:textId="564A44CE">
            <w:pPr>
              <w:spacing w:line="240" w:lineRule="auto"/>
              <w:jc w:val="center"/>
              <w:rPr>
                <w:sz w:val="18"/>
                <w:szCs w:val="18"/>
              </w:rPr>
            </w:pPr>
            <w:proofErr w:type="spellStart"/>
            <w:r w:rsidRPr="00AE758F">
              <w:rPr>
                <w:sz w:val="18"/>
                <w:szCs w:val="18"/>
              </w:rPr>
              <w:t>IBerrios</w:t>
            </w:r>
            <w:proofErr w:type="spellEnd"/>
          </w:p>
        </w:tc>
      </w:tr>
      <w:tr w:rsidRPr="00AE758F" w:rsidR="00C8101A" w:rsidTr="00B76C8A" w14:paraId="789B160E" w14:textId="77777777">
        <w:trPr>
          <w:trHeight w:val="288"/>
          <w:jc w:val="center"/>
        </w:trPr>
        <w:tc>
          <w:tcPr>
            <w:tcW w:w="900" w:type="dxa"/>
            <w:tcBorders>
              <w:left w:val="double" w:color="auto" w:sz="4" w:space="0"/>
              <w:bottom w:val="double" w:color="auto" w:sz="4" w:space="0"/>
            </w:tcBorders>
            <w:vAlign w:val="center"/>
          </w:tcPr>
          <w:p w:rsidRPr="00AE758F" w:rsidR="00C8101A" w:rsidP="007936BF" w:rsidRDefault="00C8101A" w14:paraId="7D0514C7" w14:textId="77777777">
            <w:pPr>
              <w:spacing w:line="240" w:lineRule="auto"/>
              <w:jc w:val="center"/>
              <w:rPr>
                <w:sz w:val="18"/>
                <w:szCs w:val="18"/>
              </w:rPr>
            </w:pPr>
            <w:r w:rsidRPr="00AE758F">
              <w:rPr>
                <w:sz w:val="18"/>
                <w:szCs w:val="18"/>
              </w:rPr>
              <w:t>DATE</w:t>
            </w:r>
          </w:p>
        </w:tc>
        <w:tc>
          <w:tcPr>
            <w:tcW w:w="1875" w:type="dxa"/>
            <w:tcBorders>
              <w:bottom w:val="double" w:color="auto" w:sz="4" w:space="0"/>
            </w:tcBorders>
            <w:vAlign w:val="center"/>
          </w:tcPr>
          <w:p w:rsidRPr="00AE758F" w:rsidR="00C8101A" w:rsidP="007936BF" w:rsidRDefault="00330E7C" w14:paraId="46FB014A" w14:textId="0D0A6AA9">
            <w:pPr>
              <w:spacing w:line="240" w:lineRule="auto"/>
              <w:jc w:val="center"/>
              <w:rPr>
                <w:sz w:val="18"/>
                <w:szCs w:val="18"/>
              </w:rPr>
            </w:pPr>
            <w:r>
              <w:rPr>
                <w:sz w:val="18"/>
                <w:szCs w:val="18"/>
              </w:rPr>
              <w:t>8/</w:t>
            </w:r>
            <w:r w:rsidR="00AC6344">
              <w:rPr>
                <w:sz w:val="18"/>
                <w:szCs w:val="18"/>
              </w:rPr>
              <w:t>6</w:t>
            </w:r>
            <w:r>
              <w:rPr>
                <w:sz w:val="18"/>
                <w:szCs w:val="18"/>
              </w:rPr>
              <w:t>/21</w:t>
            </w:r>
          </w:p>
        </w:tc>
        <w:tc>
          <w:tcPr>
            <w:tcW w:w="1260" w:type="dxa"/>
            <w:tcBorders>
              <w:bottom w:val="double" w:color="auto" w:sz="4" w:space="0"/>
            </w:tcBorders>
            <w:vAlign w:val="center"/>
          </w:tcPr>
          <w:p w:rsidRPr="00AE758F" w:rsidR="00C8101A" w:rsidP="007936BF" w:rsidRDefault="001D5B5E" w14:paraId="266D5C69" w14:textId="54285F96">
            <w:pPr>
              <w:spacing w:line="240" w:lineRule="auto"/>
              <w:jc w:val="center"/>
              <w:rPr>
                <w:sz w:val="18"/>
                <w:szCs w:val="18"/>
              </w:rPr>
            </w:pPr>
            <w:r>
              <w:rPr>
                <w:sz w:val="18"/>
                <w:szCs w:val="18"/>
              </w:rPr>
              <w:t>8/13/21</w:t>
            </w:r>
          </w:p>
        </w:tc>
        <w:tc>
          <w:tcPr>
            <w:tcW w:w="2250" w:type="dxa"/>
            <w:tcBorders>
              <w:bottom w:val="double" w:color="auto" w:sz="4" w:space="0"/>
            </w:tcBorders>
            <w:vAlign w:val="center"/>
          </w:tcPr>
          <w:p w:rsidRPr="00AE758F" w:rsidR="00C8101A" w:rsidP="007936BF" w:rsidRDefault="00330E7C" w14:paraId="4C7EEA88" w14:textId="48B74D76">
            <w:pPr>
              <w:spacing w:line="240" w:lineRule="auto"/>
              <w:jc w:val="center"/>
              <w:rPr>
                <w:sz w:val="18"/>
                <w:szCs w:val="18"/>
              </w:rPr>
            </w:pPr>
            <w:r>
              <w:rPr>
                <w:sz w:val="18"/>
                <w:szCs w:val="18"/>
              </w:rPr>
              <w:t>8/31/21</w:t>
            </w:r>
          </w:p>
        </w:tc>
        <w:tc>
          <w:tcPr>
            <w:tcW w:w="2070" w:type="dxa"/>
            <w:tcBorders>
              <w:bottom w:val="double" w:color="auto" w:sz="4" w:space="0"/>
            </w:tcBorders>
            <w:vAlign w:val="center"/>
          </w:tcPr>
          <w:p w:rsidRPr="00AE758F" w:rsidR="00C8101A" w:rsidP="007936BF" w:rsidRDefault="0070600F" w14:paraId="3BF83AB3" w14:textId="7F157089">
            <w:pPr>
              <w:spacing w:line="240" w:lineRule="auto"/>
              <w:jc w:val="center"/>
              <w:rPr>
                <w:sz w:val="18"/>
                <w:szCs w:val="18"/>
              </w:rPr>
            </w:pPr>
            <w:r>
              <w:rPr>
                <w:sz w:val="18"/>
                <w:szCs w:val="18"/>
              </w:rPr>
              <w:t>12/10/2021</w:t>
            </w:r>
          </w:p>
        </w:tc>
        <w:tc>
          <w:tcPr>
            <w:tcW w:w="2070" w:type="dxa"/>
            <w:tcBorders>
              <w:bottom w:val="double" w:color="auto" w:sz="4" w:space="0"/>
              <w:right w:val="double" w:color="auto" w:sz="4" w:space="0"/>
            </w:tcBorders>
            <w:vAlign w:val="center"/>
          </w:tcPr>
          <w:p w:rsidRPr="00AE758F" w:rsidR="00C8101A" w:rsidP="007936BF" w:rsidRDefault="00C8101A" w14:paraId="3CF0AFF5" w14:textId="3F3154F4">
            <w:pPr>
              <w:spacing w:line="240" w:lineRule="auto"/>
              <w:jc w:val="center"/>
              <w:rPr>
                <w:sz w:val="18"/>
                <w:szCs w:val="18"/>
              </w:rPr>
            </w:pPr>
          </w:p>
        </w:tc>
      </w:tr>
      <w:tr w:rsidRPr="00AE758F" w:rsidR="00C8101A" w:rsidTr="00B76C8A" w14:paraId="46E2D975" w14:textId="77777777">
        <w:trPr>
          <w:trHeight w:val="288"/>
          <w:jc w:val="center"/>
        </w:trPr>
        <w:tc>
          <w:tcPr>
            <w:tcW w:w="900" w:type="dxa"/>
            <w:tcBorders>
              <w:top w:val="double" w:color="auto" w:sz="4" w:space="0"/>
              <w:left w:val="double" w:color="auto" w:sz="4" w:space="0"/>
            </w:tcBorders>
            <w:vAlign w:val="center"/>
          </w:tcPr>
          <w:p w:rsidRPr="00AE758F" w:rsidR="00C8101A" w:rsidP="007936BF" w:rsidRDefault="00C8101A" w14:paraId="70A9FEEF" w14:textId="77777777">
            <w:pPr>
              <w:spacing w:line="240" w:lineRule="auto"/>
              <w:jc w:val="center"/>
              <w:rPr>
                <w:sz w:val="18"/>
                <w:szCs w:val="18"/>
              </w:rPr>
            </w:pPr>
            <w:r w:rsidRPr="00AE758F">
              <w:rPr>
                <w:sz w:val="18"/>
                <w:szCs w:val="18"/>
              </w:rPr>
              <w:t>OFFICE</w:t>
            </w:r>
          </w:p>
        </w:tc>
        <w:tc>
          <w:tcPr>
            <w:tcW w:w="1875" w:type="dxa"/>
            <w:tcBorders>
              <w:top w:val="double" w:color="auto" w:sz="4" w:space="0"/>
            </w:tcBorders>
            <w:vAlign w:val="center"/>
          </w:tcPr>
          <w:p w:rsidRPr="00AE758F" w:rsidR="00C8101A" w:rsidP="007936BF" w:rsidRDefault="00C8101A" w14:paraId="44A60DBC" w14:textId="44CFFB06">
            <w:pPr>
              <w:spacing w:line="240" w:lineRule="auto"/>
              <w:jc w:val="center"/>
              <w:rPr>
                <w:sz w:val="18"/>
                <w:szCs w:val="18"/>
              </w:rPr>
            </w:pPr>
            <w:r w:rsidRPr="00AE758F">
              <w:rPr>
                <w:sz w:val="18"/>
                <w:szCs w:val="18"/>
              </w:rPr>
              <w:t>NMSS/</w:t>
            </w:r>
            <w:r w:rsidRPr="00AE758F" w:rsidR="00244F0D">
              <w:rPr>
                <w:sz w:val="18"/>
                <w:szCs w:val="18"/>
              </w:rPr>
              <w:t>REFS</w:t>
            </w:r>
            <w:r w:rsidRPr="00AE758F">
              <w:rPr>
                <w:sz w:val="18"/>
                <w:szCs w:val="18"/>
              </w:rPr>
              <w:t>/D</w:t>
            </w:r>
          </w:p>
        </w:tc>
        <w:tc>
          <w:tcPr>
            <w:tcW w:w="1260" w:type="dxa"/>
            <w:tcBorders>
              <w:top w:val="double" w:color="auto" w:sz="4" w:space="0"/>
            </w:tcBorders>
            <w:vAlign w:val="center"/>
          </w:tcPr>
          <w:p w:rsidRPr="00AE758F" w:rsidR="00C8101A" w:rsidP="007936BF" w:rsidRDefault="00C8101A" w14:paraId="3169C954" w14:textId="0D9A2DCA">
            <w:pPr>
              <w:spacing w:line="240" w:lineRule="auto"/>
              <w:jc w:val="center"/>
              <w:rPr>
                <w:sz w:val="18"/>
                <w:szCs w:val="18"/>
              </w:rPr>
            </w:pPr>
            <w:r w:rsidRPr="00AE758F">
              <w:rPr>
                <w:sz w:val="18"/>
                <w:szCs w:val="18"/>
              </w:rPr>
              <w:t>OGC</w:t>
            </w:r>
          </w:p>
        </w:tc>
        <w:tc>
          <w:tcPr>
            <w:tcW w:w="2250" w:type="dxa"/>
            <w:tcBorders>
              <w:top w:val="double" w:color="auto" w:sz="4" w:space="0"/>
            </w:tcBorders>
            <w:vAlign w:val="center"/>
          </w:tcPr>
          <w:p w:rsidRPr="00AE758F" w:rsidR="00C8101A" w:rsidP="007936BF" w:rsidRDefault="00C8101A" w14:paraId="425D61CC" w14:textId="6490B589">
            <w:pPr>
              <w:spacing w:line="240" w:lineRule="auto"/>
              <w:ind w:left="720"/>
              <w:rPr>
                <w:sz w:val="18"/>
                <w:szCs w:val="18"/>
              </w:rPr>
            </w:pPr>
            <w:r w:rsidRPr="00AE758F">
              <w:rPr>
                <w:sz w:val="18"/>
                <w:szCs w:val="18"/>
              </w:rPr>
              <w:t>NRR/D</w:t>
            </w:r>
          </w:p>
        </w:tc>
        <w:tc>
          <w:tcPr>
            <w:tcW w:w="2070" w:type="dxa"/>
            <w:tcBorders>
              <w:top w:val="double" w:color="auto" w:sz="4" w:space="0"/>
              <w:tr2bl w:val="single" w:color="auto" w:sz="4" w:space="0"/>
            </w:tcBorders>
            <w:vAlign w:val="center"/>
          </w:tcPr>
          <w:p w:rsidRPr="00AE758F" w:rsidR="00C8101A" w:rsidP="007936BF" w:rsidRDefault="00C8101A" w14:paraId="137DB77D" w14:textId="77777777">
            <w:pPr>
              <w:spacing w:line="240" w:lineRule="auto"/>
              <w:jc w:val="center"/>
              <w:rPr>
                <w:sz w:val="18"/>
                <w:szCs w:val="18"/>
              </w:rPr>
            </w:pPr>
          </w:p>
        </w:tc>
        <w:tc>
          <w:tcPr>
            <w:tcW w:w="2070" w:type="dxa"/>
            <w:tcBorders>
              <w:top w:val="double" w:color="auto" w:sz="4" w:space="0"/>
              <w:right w:val="double" w:color="auto" w:sz="4" w:space="0"/>
              <w:tr2bl w:val="single" w:color="auto" w:sz="4" w:space="0"/>
            </w:tcBorders>
            <w:vAlign w:val="center"/>
          </w:tcPr>
          <w:p w:rsidRPr="00AE758F" w:rsidR="00C8101A" w:rsidP="007936BF" w:rsidRDefault="00C8101A" w14:paraId="58F4EADC" w14:textId="77777777">
            <w:pPr>
              <w:spacing w:line="240" w:lineRule="auto"/>
              <w:jc w:val="center"/>
              <w:rPr>
                <w:sz w:val="18"/>
                <w:szCs w:val="18"/>
              </w:rPr>
            </w:pPr>
          </w:p>
        </w:tc>
      </w:tr>
      <w:tr w:rsidRPr="00AE758F" w:rsidR="00C8101A" w:rsidTr="00B76C8A" w14:paraId="0F0C0F90" w14:textId="77777777">
        <w:trPr>
          <w:trHeight w:val="288"/>
          <w:jc w:val="center"/>
        </w:trPr>
        <w:tc>
          <w:tcPr>
            <w:tcW w:w="900" w:type="dxa"/>
            <w:tcBorders>
              <w:left w:val="double" w:color="auto" w:sz="4" w:space="0"/>
            </w:tcBorders>
            <w:vAlign w:val="center"/>
          </w:tcPr>
          <w:p w:rsidRPr="00AE758F" w:rsidR="00C8101A" w:rsidP="007936BF" w:rsidRDefault="00C8101A" w14:paraId="07BD27B0" w14:textId="77777777">
            <w:pPr>
              <w:spacing w:line="240" w:lineRule="auto"/>
              <w:jc w:val="center"/>
              <w:rPr>
                <w:sz w:val="18"/>
                <w:szCs w:val="18"/>
              </w:rPr>
            </w:pPr>
            <w:r w:rsidRPr="00AE758F">
              <w:rPr>
                <w:sz w:val="18"/>
                <w:szCs w:val="18"/>
              </w:rPr>
              <w:t>NAME</w:t>
            </w:r>
          </w:p>
        </w:tc>
        <w:tc>
          <w:tcPr>
            <w:tcW w:w="1875" w:type="dxa"/>
            <w:vAlign w:val="center"/>
          </w:tcPr>
          <w:p w:rsidRPr="00AE758F" w:rsidR="00C8101A" w:rsidP="007936BF" w:rsidRDefault="00441CF9" w14:paraId="7EA837AB" w14:textId="457DE7E4">
            <w:pPr>
              <w:spacing w:line="240" w:lineRule="auto"/>
              <w:jc w:val="center"/>
              <w:rPr>
                <w:sz w:val="18"/>
                <w:szCs w:val="18"/>
              </w:rPr>
            </w:pPr>
            <w:proofErr w:type="spellStart"/>
            <w:r>
              <w:rPr>
                <w:sz w:val="18"/>
                <w:szCs w:val="18"/>
              </w:rPr>
              <w:t>KCoyne</w:t>
            </w:r>
            <w:proofErr w:type="spellEnd"/>
            <w:r>
              <w:rPr>
                <w:sz w:val="18"/>
                <w:szCs w:val="18"/>
              </w:rPr>
              <w:t xml:space="preserve"> for </w:t>
            </w:r>
            <w:proofErr w:type="spellStart"/>
            <w:r w:rsidRPr="00AE758F" w:rsidR="00D7614D">
              <w:rPr>
                <w:sz w:val="18"/>
                <w:szCs w:val="18"/>
              </w:rPr>
              <w:t>JTappert</w:t>
            </w:r>
            <w:proofErr w:type="spellEnd"/>
          </w:p>
        </w:tc>
        <w:tc>
          <w:tcPr>
            <w:tcW w:w="1260" w:type="dxa"/>
            <w:tcBorders>
              <w:top w:val="single" w:color="auto" w:sz="4" w:space="0"/>
              <w:left w:val="single" w:color="auto" w:sz="4" w:space="0"/>
              <w:bottom w:val="single" w:color="auto" w:sz="4" w:space="0"/>
              <w:right w:val="single" w:color="auto" w:sz="4" w:space="0"/>
            </w:tcBorders>
            <w:vAlign w:val="center"/>
          </w:tcPr>
          <w:p w:rsidRPr="00AE758F" w:rsidR="00C8101A" w:rsidP="007936BF" w:rsidRDefault="000C3C65" w14:paraId="166C85D2" w14:textId="0A35EA6D">
            <w:pPr>
              <w:spacing w:line="240" w:lineRule="auto"/>
              <w:jc w:val="center"/>
              <w:rPr>
                <w:sz w:val="18"/>
                <w:szCs w:val="18"/>
              </w:rPr>
            </w:pPr>
            <w:proofErr w:type="spellStart"/>
            <w:r>
              <w:rPr>
                <w:sz w:val="18"/>
                <w:szCs w:val="18"/>
              </w:rPr>
              <w:t>SClark</w:t>
            </w:r>
            <w:proofErr w:type="spellEnd"/>
          </w:p>
        </w:tc>
        <w:tc>
          <w:tcPr>
            <w:tcW w:w="2250" w:type="dxa"/>
            <w:tcBorders>
              <w:top w:val="single" w:color="auto" w:sz="4" w:space="0"/>
              <w:left w:val="single" w:color="auto" w:sz="4" w:space="0"/>
              <w:bottom w:val="single" w:color="auto" w:sz="4" w:space="0"/>
              <w:right w:val="single" w:color="auto" w:sz="4" w:space="0"/>
            </w:tcBorders>
            <w:vAlign w:val="center"/>
          </w:tcPr>
          <w:p w:rsidRPr="00AE758F" w:rsidR="00C8101A" w:rsidP="007936BF" w:rsidRDefault="00807DAE" w14:paraId="5C5695F0" w14:textId="516F0DD8">
            <w:pPr>
              <w:spacing w:line="240" w:lineRule="auto"/>
              <w:jc w:val="center"/>
              <w:rPr>
                <w:sz w:val="18"/>
                <w:szCs w:val="18"/>
              </w:rPr>
            </w:pPr>
            <w:proofErr w:type="spellStart"/>
            <w:r>
              <w:rPr>
                <w:color w:val="auto"/>
                <w:sz w:val="18"/>
                <w:szCs w:val="18"/>
              </w:rPr>
              <w:t>AVeil</w:t>
            </w:r>
            <w:proofErr w:type="spellEnd"/>
          </w:p>
        </w:tc>
        <w:tc>
          <w:tcPr>
            <w:tcW w:w="2070" w:type="dxa"/>
            <w:tcBorders>
              <w:top w:val="single" w:color="auto" w:sz="4" w:space="0"/>
              <w:left w:val="single" w:color="auto" w:sz="4" w:space="0"/>
              <w:bottom w:val="single" w:color="auto" w:sz="4" w:space="0"/>
              <w:right w:val="single" w:color="auto" w:sz="4" w:space="0"/>
              <w:tr2bl w:val="single" w:color="auto" w:sz="4" w:space="0"/>
            </w:tcBorders>
            <w:vAlign w:val="center"/>
          </w:tcPr>
          <w:p w:rsidRPr="00AE758F" w:rsidR="00C8101A" w:rsidP="007936BF" w:rsidRDefault="00C8101A" w14:paraId="00C3116D" w14:textId="77777777">
            <w:pPr>
              <w:spacing w:line="240" w:lineRule="auto"/>
              <w:jc w:val="center"/>
              <w:rPr>
                <w:sz w:val="18"/>
                <w:szCs w:val="18"/>
              </w:rPr>
            </w:pPr>
          </w:p>
        </w:tc>
        <w:tc>
          <w:tcPr>
            <w:tcW w:w="2070" w:type="dxa"/>
            <w:tcBorders>
              <w:right w:val="double" w:color="auto" w:sz="4" w:space="0"/>
              <w:tr2bl w:val="single" w:color="auto" w:sz="4" w:space="0"/>
            </w:tcBorders>
            <w:vAlign w:val="center"/>
          </w:tcPr>
          <w:p w:rsidRPr="00AE758F" w:rsidR="00C8101A" w:rsidP="007936BF" w:rsidRDefault="00C8101A" w14:paraId="56803207" w14:textId="77777777">
            <w:pPr>
              <w:spacing w:line="240" w:lineRule="auto"/>
              <w:jc w:val="center"/>
              <w:rPr>
                <w:sz w:val="18"/>
                <w:szCs w:val="18"/>
              </w:rPr>
            </w:pPr>
          </w:p>
        </w:tc>
      </w:tr>
      <w:tr w:rsidRPr="00AE758F" w:rsidR="00C8101A" w:rsidTr="00B76C8A" w14:paraId="7C953737" w14:textId="77777777">
        <w:trPr>
          <w:trHeight w:val="288"/>
          <w:jc w:val="center"/>
        </w:trPr>
        <w:tc>
          <w:tcPr>
            <w:tcW w:w="900" w:type="dxa"/>
            <w:tcBorders>
              <w:left w:val="double" w:color="auto" w:sz="4" w:space="0"/>
              <w:bottom w:val="double" w:color="auto" w:sz="4" w:space="0"/>
            </w:tcBorders>
            <w:vAlign w:val="center"/>
          </w:tcPr>
          <w:p w:rsidRPr="00AE758F" w:rsidR="00C8101A" w:rsidP="007936BF" w:rsidRDefault="00C8101A" w14:paraId="5CBDBE29" w14:textId="77777777">
            <w:pPr>
              <w:spacing w:line="240" w:lineRule="auto"/>
              <w:jc w:val="center"/>
              <w:rPr>
                <w:sz w:val="18"/>
                <w:szCs w:val="18"/>
              </w:rPr>
            </w:pPr>
            <w:r w:rsidRPr="00AE758F">
              <w:rPr>
                <w:sz w:val="18"/>
                <w:szCs w:val="18"/>
              </w:rPr>
              <w:t>DATE</w:t>
            </w:r>
          </w:p>
        </w:tc>
        <w:tc>
          <w:tcPr>
            <w:tcW w:w="1875" w:type="dxa"/>
            <w:tcBorders>
              <w:bottom w:val="double" w:color="auto" w:sz="4" w:space="0"/>
            </w:tcBorders>
            <w:vAlign w:val="center"/>
          </w:tcPr>
          <w:p w:rsidRPr="00AE758F" w:rsidR="00C8101A" w:rsidP="007936BF" w:rsidRDefault="00C8101A" w14:paraId="7635033B" w14:textId="6294DF7E">
            <w:pPr>
              <w:spacing w:line="240" w:lineRule="auto"/>
              <w:jc w:val="center"/>
              <w:rPr>
                <w:sz w:val="18"/>
                <w:szCs w:val="18"/>
              </w:rPr>
            </w:pPr>
          </w:p>
        </w:tc>
        <w:tc>
          <w:tcPr>
            <w:tcW w:w="1260" w:type="dxa"/>
            <w:tcBorders>
              <w:top w:val="single" w:color="auto" w:sz="4" w:space="0"/>
              <w:left w:val="single" w:color="auto" w:sz="4" w:space="0"/>
              <w:bottom w:val="double" w:color="auto" w:sz="4" w:space="0"/>
              <w:right w:val="single" w:color="auto" w:sz="4" w:space="0"/>
            </w:tcBorders>
            <w:vAlign w:val="center"/>
          </w:tcPr>
          <w:p w:rsidRPr="00AE758F" w:rsidR="00C8101A" w:rsidP="007936BF" w:rsidRDefault="00C8101A" w14:paraId="6AC9F48E" w14:textId="044ED039">
            <w:pPr>
              <w:spacing w:line="240" w:lineRule="auto"/>
              <w:jc w:val="center"/>
              <w:rPr>
                <w:sz w:val="18"/>
                <w:szCs w:val="18"/>
              </w:rPr>
            </w:pPr>
          </w:p>
        </w:tc>
        <w:tc>
          <w:tcPr>
            <w:tcW w:w="2250" w:type="dxa"/>
            <w:tcBorders>
              <w:top w:val="single" w:color="auto" w:sz="4" w:space="0"/>
              <w:left w:val="single" w:color="auto" w:sz="4" w:space="0"/>
              <w:bottom w:val="double" w:color="auto" w:sz="4" w:space="0"/>
              <w:right w:val="single" w:color="auto" w:sz="4" w:space="0"/>
            </w:tcBorders>
            <w:vAlign w:val="center"/>
          </w:tcPr>
          <w:p w:rsidRPr="00AE758F" w:rsidR="00C8101A" w:rsidP="007936BF" w:rsidRDefault="00C8101A" w14:paraId="60B7CAD1" w14:textId="5E96E050">
            <w:pPr>
              <w:spacing w:line="240" w:lineRule="auto"/>
              <w:jc w:val="center"/>
              <w:rPr>
                <w:sz w:val="18"/>
                <w:szCs w:val="18"/>
              </w:rPr>
            </w:pPr>
          </w:p>
        </w:tc>
        <w:tc>
          <w:tcPr>
            <w:tcW w:w="2070" w:type="dxa"/>
            <w:tcBorders>
              <w:top w:val="single" w:color="auto" w:sz="4" w:space="0"/>
              <w:left w:val="single" w:color="auto" w:sz="4" w:space="0"/>
              <w:bottom w:val="double" w:color="auto" w:sz="4" w:space="0"/>
              <w:right w:val="single" w:color="auto" w:sz="4" w:space="0"/>
              <w:tr2bl w:val="single" w:color="auto" w:sz="4" w:space="0"/>
            </w:tcBorders>
            <w:vAlign w:val="center"/>
          </w:tcPr>
          <w:p w:rsidRPr="00AE758F" w:rsidR="00C8101A" w:rsidP="007936BF" w:rsidRDefault="00C8101A" w14:paraId="05ECAF09" w14:textId="77777777">
            <w:pPr>
              <w:spacing w:line="240" w:lineRule="auto"/>
              <w:jc w:val="center"/>
              <w:rPr>
                <w:sz w:val="18"/>
                <w:szCs w:val="18"/>
              </w:rPr>
            </w:pPr>
          </w:p>
        </w:tc>
        <w:tc>
          <w:tcPr>
            <w:tcW w:w="2070" w:type="dxa"/>
            <w:tcBorders>
              <w:bottom w:val="double" w:color="auto" w:sz="4" w:space="0"/>
              <w:right w:val="double" w:color="auto" w:sz="4" w:space="0"/>
              <w:tr2bl w:val="single" w:color="auto" w:sz="4" w:space="0"/>
            </w:tcBorders>
            <w:vAlign w:val="center"/>
          </w:tcPr>
          <w:p w:rsidRPr="00AE758F" w:rsidR="00C8101A" w:rsidP="007936BF" w:rsidRDefault="00C8101A" w14:paraId="6403B074" w14:textId="77777777">
            <w:pPr>
              <w:spacing w:line="240" w:lineRule="auto"/>
              <w:jc w:val="center"/>
              <w:rPr>
                <w:sz w:val="18"/>
                <w:szCs w:val="18"/>
              </w:rPr>
            </w:pPr>
          </w:p>
        </w:tc>
      </w:tr>
    </w:tbl>
    <w:p w:rsidRPr="00C8101A" w:rsidR="00AF669C" w:rsidP="007936BF" w:rsidRDefault="00C8101A" w14:paraId="264FC6D1" w14:textId="449E63FF">
      <w:pPr>
        <w:spacing w:line="240" w:lineRule="auto"/>
        <w:jc w:val="center"/>
      </w:pPr>
      <w:r w:rsidRPr="00AE758F">
        <w:rPr>
          <w:b/>
          <w:sz w:val="20"/>
        </w:rPr>
        <w:t>OFFICIAL RECORD COPY</w:t>
      </w:r>
    </w:p>
    <w:sectPr w:rsidRPr="00C8101A" w:rsidR="00AF669C" w:rsidSect="00D64A54">
      <w:footerReference w:type="defaul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6760" w14:textId="77777777" w:rsidR="0057134D" w:rsidRDefault="0057134D" w:rsidP="00891C71">
      <w:r>
        <w:separator/>
      </w:r>
    </w:p>
  </w:endnote>
  <w:endnote w:type="continuationSeparator" w:id="0">
    <w:p w14:paraId="07A9D563" w14:textId="77777777" w:rsidR="0057134D" w:rsidRDefault="0057134D" w:rsidP="00891C71">
      <w:r>
        <w:continuationSeparator/>
      </w:r>
    </w:p>
  </w:endnote>
  <w:endnote w:type="continuationNotice" w:id="1">
    <w:p w14:paraId="5A7B54D4" w14:textId="77777777" w:rsidR="0057134D" w:rsidRDefault="0057134D" w:rsidP="00891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A21C" w14:textId="77777777" w:rsidR="00166B5D" w:rsidRPr="0075644E" w:rsidRDefault="00166B5D" w:rsidP="00615B30">
    <w:pPr>
      <w:pStyle w:val="Footer"/>
    </w:pPr>
    <w:r>
      <w:tab/>
    </w:r>
    <w:r>
      <w:fldChar w:fldCharType="begin"/>
    </w:r>
    <w:r>
      <w:instrText xml:space="preserve"> PAGE   \* MERGEFORMAT </w:instrText>
    </w:r>
    <w:r>
      <w:fldChar w:fldCharType="separate"/>
    </w:r>
    <w:r>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1690" w14:textId="77777777" w:rsidR="00166B5D" w:rsidRPr="00892A3E" w:rsidRDefault="00166B5D" w:rsidP="00F44845">
    <w:pPr>
      <w:pStyle w:val="Footer"/>
      <w:tabs>
        <w:tab w:val="clear" w:pos="4680"/>
        <w:tab w:val="center" w:pos="6480"/>
      </w:tabs>
      <w:jc w:val="center"/>
    </w:pPr>
    <w:r>
      <w:fldChar w:fldCharType="begin"/>
    </w:r>
    <w:r>
      <w:instrText xml:space="preserve"> PAGE  \* Arabic  \* MERGEFORMAT</w:instrText>
    </w:r>
    <w:r>
      <w:fldChar w:fldCharType="separate"/>
    </w:r>
    <w:r>
      <w:rPr>
        <w:noProof/>
      </w:rPr>
      <w:t>31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93307"/>
      <w:docPartObj>
        <w:docPartGallery w:val="Page Numbers (Bottom of Page)"/>
        <w:docPartUnique/>
      </w:docPartObj>
    </w:sdtPr>
    <w:sdtEndPr>
      <w:rPr>
        <w:noProof/>
      </w:rPr>
    </w:sdtEndPr>
    <w:sdtContent>
      <w:p w14:paraId="40C93F41" w14:textId="30062BD4" w:rsidR="00166B5D" w:rsidRPr="00892A3E" w:rsidRDefault="00166B5D" w:rsidP="00591DC7">
        <w:pPr>
          <w:pStyle w:val="Footer"/>
          <w:jc w:val="center"/>
        </w:pPr>
        <w:r>
          <w:t>A-</w:t>
        </w: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A4D9" w14:textId="7011C347" w:rsidR="00166B5D" w:rsidRDefault="00166B5D">
    <w:pPr>
      <w:pStyle w:val="Footer"/>
      <w:jc w:val="center"/>
    </w:pPr>
  </w:p>
  <w:p w14:paraId="7A5AD8F8" w14:textId="77777777" w:rsidR="00166B5D" w:rsidRPr="00892A3E" w:rsidRDefault="00166B5D" w:rsidP="00F44845">
    <w:pPr>
      <w:pStyle w:val="Footer"/>
      <w:tabs>
        <w:tab w:val="clear" w:pos="4680"/>
        <w:tab w:val="center" w:pos="657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B353" w14:textId="77777777" w:rsidR="0057134D" w:rsidRDefault="0057134D" w:rsidP="00891C71">
      <w:r>
        <w:separator/>
      </w:r>
    </w:p>
  </w:footnote>
  <w:footnote w:type="continuationSeparator" w:id="0">
    <w:p w14:paraId="0C384F2D" w14:textId="77777777" w:rsidR="0057134D" w:rsidRDefault="0057134D" w:rsidP="00891C71">
      <w:r>
        <w:continuationSeparator/>
      </w:r>
    </w:p>
  </w:footnote>
  <w:footnote w:type="continuationNotice" w:id="1">
    <w:p w14:paraId="711272BC" w14:textId="77777777" w:rsidR="0057134D" w:rsidRDefault="0057134D" w:rsidP="00891C71"/>
  </w:footnote>
  <w:footnote w:id="2">
    <w:p w14:paraId="14FF9A5A" w14:textId="2EFC289C" w:rsidR="00166B5D" w:rsidRDefault="00166B5D" w:rsidP="00382B4A">
      <w:pPr>
        <w:pStyle w:val="FootnoteText"/>
        <w:spacing w:line="240" w:lineRule="auto"/>
        <w:ind w:left="720" w:hanging="720"/>
      </w:pPr>
      <w:r w:rsidRPr="00675482">
        <w:rPr>
          <w:rStyle w:val="FootnoteReference"/>
          <w:rFonts w:eastAsiaTheme="majorEastAsia"/>
          <w:vertAlign w:val="superscript"/>
        </w:rPr>
        <w:footnoteRef/>
      </w:r>
      <w:r>
        <w:t xml:space="preserve"> </w:t>
      </w:r>
      <w:r>
        <w:tab/>
      </w:r>
      <w:r w:rsidRPr="006A065D">
        <w:rPr>
          <w:sz w:val="18"/>
          <w:szCs w:val="18"/>
        </w:rPr>
        <w:t>The 2014 Edition of the OM Code was delayed and was designated the 2015 Edition.  Similarly, the 2016 Edition of the OM Code was delayed and was designated the 2017 Edition.</w:t>
      </w:r>
    </w:p>
  </w:footnote>
  <w:footnote w:id="3">
    <w:p w14:paraId="6C5A0AB7" w14:textId="4CABD425" w:rsidR="00166B5D" w:rsidRPr="000F1A68" w:rsidRDefault="00166B5D" w:rsidP="004A136B">
      <w:pPr>
        <w:pStyle w:val="FootnoteText"/>
        <w:spacing w:line="240" w:lineRule="auto"/>
        <w:ind w:left="720" w:hanging="720"/>
        <w:rPr>
          <w:sz w:val="18"/>
          <w:szCs w:val="18"/>
        </w:rPr>
      </w:pPr>
      <w:r w:rsidRPr="00A05161">
        <w:rPr>
          <w:rStyle w:val="FootnoteReference"/>
          <w:sz w:val="18"/>
          <w:szCs w:val="18"/>
          <w:vertAlign w:val="superscript"/>
        </w:rPr>
        <w:footnoteRef/>
      </w:r>
      <w:r w:rsidRPr="00A05161">
        <w:rPr>
          <w:rStyle w:val="FootnoteReference"/>
          <w:sz w:val="18"/>
          <w:szCs w:val="18"/>
          <w:vertAlign w:val="superscript"/>
        </w:rPr>
        <w:t xml:space="preserve"> </w:t>
      </w:r>
      <w:r>
        <w:rPr>
          <w:sz w:val="18"/>
          <w:szCs w:val="18"/>
          <w:vertAlign w:val="superscript"/>
        </w:rPr>
        <w:tab/>
      </w:r>
      <w:r w:rsidRPr="000F1A68">
        <w:rPr>
          <w:sz w:val="18"/>
          <w:szCs w:val="18"/>
        </w:rPr>
        <w:t>The</w:t>
      </w:r>
      <w:r w:rsidRPr="000F1A68">
        <w:rPr>
          <w:i/>
          <w:sz w:val="18"/>
          <w:szCs w:val="18"/>
        </w:rPr>
        <w:t xml:space="preserve"> </w:t>
      </w:r>
      <w:r w:rsidRPr="000F1A68">
        <w:rPr>
          <w:sz w:val="18"/>
          <w:szCs w:val="18"/>
        </w:rPr>
        <w:t xml:space="preserve">social rate of time preference </w:t>
      </w:r>
      <w:r>
        <w:rPr>
          <w:sz w:val="18"/>
          <w:szCs w:val="18"/>
        </w:rPr>
        <w:t xml:space="preserve">is </w:t>
      </w:r>
      <w:r w:rsidRPr="000F1A68">
        <w:rPr>
          <w:sz w:val="18"/>
          <w:szCs w:val="18"/>
        </w:rPr>
        <w:t>the rate at which society is willing to postpone a marginal unit of current consumption in exchange for more future consumption.</w:t>
      </w:r>
    </w:p>
  </w:footnote>
  <w:footnote w:id="4">
    <w:p w14:paraId="785A1F1E" w14:textId="11E570F6" w:rsidR="00166B5D" w:rsidRPr="000F1A68" w:rsidRDefault="00166B5D" w:rsidP="00382B4A">
      <w:pPr>
        <w:pStyle w:val="FootnoteText"/>
        <w:spacing w:line="240" w:lineRule="auto"/>
        <w:ind w:left="720" w:hanging="720"/>
        <w:rPr>
          <w:sz w:val="18"/>
          <w:szCs w:val="18"/>
        </w:rPr>
      </w:pPr>
      <w:r w:rsidRPr="000F1A68">
        <w:rPr>
          <w:rStyle w:val="FootnoteReference"/>
          <w:sz w:val="18"/>
          <w:szCs w:val="18"/>
          <w:vertAlign w:val="superscript"/>
        </w:rPr>
        <w:footnoteRef/>
      </w:r>
      <w:r w:rsidRPr="000F1A68">
        <w:rPr>
          <w:sz w:val="18"/>
          <w:szCs w:val="18"/>
        </w:rPr>
        <w:tab/>
      </w:r>
      <w:r>
        <w:rPr>
          <w:sz w:val="18"/>
          <w:szCs w:val="18"/>
        </w:rPr>
        <w:t>An o</w:t>
      </w:r>
      <w:r w:rsidRPr="000F1A68">
        <w:rPr>
          <w:sz w:val="18"/>
          <w:szCs w:val="18"/>
        </w:rPr>
        <w:t xml:space="preserve">pportunity cost </w:t>
      </w:r>
      <w:r>
        <w:rPr>
          <w:sz w:val="18"/>
          <w:szCs w:val="18"/>
        </w:rPr>
        <w:t xml:space="preserve">is </w:t>
      </w:r>
      <w:r w:rsidRPr="000F1A68">
        <w:rPr>
          <w:sz w:val="18"/>
          <w:szCs w:val="18"/>
        </w:rPr>
        <w:t>what is forgone by undertaking a given action.  If the licensee personnel were not engaged in revising procedures, they would be occupied by other work activities.  Throughout the</w:t>
      </w:r>
      <w:r>
        <w:rPr>
          <w:sz w:val="18"/>
          <w:szCs w:val="18"/>
        </w:rPr>
        <w:t> </w:t>
      </w:r>
      <w:r w:rsidRPr="000F1A68">
        <w:rPr>
          <w:sz w:val="18"/>
          <w:szCs w:val="18"/>
        </w:rPr>
        <w:t xml:space="preserve">analysis, the NRC estimates the opportunity cost of performing these incremental tasks as the industry personnel’s pay for the designated </w:t>
      </w:r>
      <w:r>
        <w:rPr>
          <w:sz w:val="18"/>
          <w:szCs w:val="18"/>
        </w:rPr>
        <w:t xml:space="preserve">amount </w:t>
      </w:r>
      <w:r w:rsidRPr="000F1A68">
        <w:rPr>
          <w:sz w:val="18"/>
          <w:szCs w:val="18"/>
        </w:rPr>
        <w:t>of time.</w:t>
      </w:r>
    </w:p>
  </w:footnote>
  <w:footnote w:id="5">
    <w:p w14:paraId="30C8DE55" w14:textId="2A6FF5FC" w:rsidR="00166B5D" w:rsidRPr="000F1A68" w:rsidRDefault="00166B5D" w:rsidP="00382B4A">
      <w:pPr>
        <w:spacing w:line="240" w:lineRule="auto"/>
        <w:ind w:left="720" w:hanging="720"/>
        <w:rPr>
          <w:sz w:val="18"/>
          <w:szCs w:val="18"/>
        </w:rPr>
      </w:pPr>
      <w:r w:rsidRPr="00EB7FA7">
        <w:rPr>
          <w:rStyle w:val="FootnoteReference"/>
          <w:sz w:val="18"/>
          <w:szCs w:val="18"/>
          <w:vertAlign w:val="superscript"/>
        </w:rPr>
        <w:footnoteRef/>
      </w:r>
      <w:r w:rsidRPr="00150095">
        <w:rPr>
          <w:sz w:val="18"/>
          <w:szCs w:val="18"/>
          <w:vertAlign w:val="superscript"/>
        </w:rPr>
        <w:t xml:space="preserve"> </w:t>
      </w:r>
      <w:r w:rsidRPr="00150095">
        <w:rPr>
          <w:sz w:val="18"/>
          <w:szCs w:val="18"/>
        </w:rPr>
        <w:tab/>
      </w:r>
      <w:r w:rsidRPr="000F1A68">
        <w:rPr>
          <w:sz w:val="18"/>
          <w:szCs w:val="18"/>
        </w:rPr>
        <w:t>The</w:t>
      </w:r>
      <w:r>
        <w:rPr>
          <w:sz w:val="18"/>
          <w:szCs w:val="18"/>
        </w:rPr>
        <w:t>se</w:t>
      </w:r>
      <w:r w:rsidRPr="000F1A68">
        <w:rPr>
          <w:sz w:val="18"/>
          <w:szCs w:val="18"/>
        </w:rPr>
        <w:t xml:space="preserve"> NRC labor rates differ from those developed under the NRC’s license fee recovery program (10 CFR Part 170, “Fees for </w:t>
      </w:r>
      <w:r>
        <w:rPr>
          <w:sz w:val="18"/>
          <w:szCs w:val="18"/>
        </w:rPr>
        <w:t>f</w:t>
      </w:r>
      <w:r w:rsidRPr="000F1A68">
        <w:rPr>
          <w:sz w:val="18"/>
          <w:szCs w:val="18"/>
        </w:rPr>
        <w:t xml:space="preserve">acilities, </w:t>
      </w:r>
      <w:r>
        <w:rPr>
          <w:sz w:val="18"/>
          <w:szCs w:val="18"/>
        </w:rPr>
        <w:t>m</w:t>
      </w:r>
      <w:r w:rsidRPr="000F1A68">
        <w:rPr>
          <w:sz w:val="18"/>
          <w:szCs w:val="18"/>
        </w:rPr>
        <w:t xml:space="preserve">aterials, </w:t>
      </w:r>
      <w:r>
        <w:rPr>
          <w:sz w:val="18"/>
          <w:szCs w:val="18"/>
        </w:rPr>
        <w:t>i</w:t>
      </w:r>
      <w:r w:rsidRPr="000F1A68">
        <w:rPr>
          <w:sz w:val="18"/>
          <w:szCs w:val="18"/>
        </w:rPr>
        <w:t xml:space="preserve">mport and </w:t>
      </w:r>
      <w:r>
        <w:rPr>
          <w:sz w:val="18"/>
          <w:szCs w:val="18"/>
        </w:rPr>
        <w:t>e</w:t>
      </w:r>
      <w:r w:rsidRPr="000F1A68">
        <w:rPr>
          <w:sz w:val="18"/>
          <w:szCs w:val="18"/>
        </w:rPr>
        <w:t xml:space="preserve">xport </w:t>
      </w:r>
      <w:r>
        <w:rPr>
          <w:sz w:val="18"/>
          <w:szCs w:val="18"/>
        </w:rPr>
        <w:t>l</w:t>
      </w:r>
      <w:r w:rsidRPr="000F1A68">
        <w:rPr>
          <w:sz w:val="18"/>
          <w:szCs w:val="18"/>
        </w:rPr>
        <w:t xml:space="preserve">icenses, and </w:t>
      </w:r>
      <w:r>
        <w:rPr>
          <w:sz w:val="18"/>
          <w:szCs w:val="18"/>
        </w:rPr>
        <w:t>o</w:t>
      </w:r>
      <w:r w:rsidRPr="000F1A68">
        <w:rPr>
          <w:sz w:val="18"/>
          <w:szCs w:val="18"/>
        </w:rPr>
        <w:t xml:space="preserve">ther </w:t>
      </w:r>
      <w:r>
        <w:rPr>
          <w:sz w:val="18"/>
          <w:szCs w:val="18"/>
        </w:rPr>
        <w:t>r</w:t>
      </w:r>
      <w:r w:rsidRPr="000F1A68">
        <w:rPr>
          <w:sz w:val="18"/>
          <w:szCs w:val="18"/>
        </w:rPr>
        <w:t xml:space="preserve">egulatory </w:t>
      </w:r>
      <w:r>
        <w:rPr>
          <w:sz w:val="18"/>
          <w:szCs w:val="18"/>
        </w:rPr>
        <w:t>s</w:t>
      </w:r>
      <w:r w:rsidRPr="000F1A68">
        <w:rPr>
          <w:sz w:val="18"/>
          <w:szCs w:val="18"/>
        </w:rPr>
        <w:t xml:space="preserve">ervices under the Atomic Energy Act of 1954, as </w:t>
      </w:r>
      <w:r>
        <w:rPr>
          <w:sz w:val="18"/>
          <w:szCs w:val="18"/>
        </w:rPr>
        <w:t>a</w:t>
      </w:r>
      <w:r w:rsidRPr="000F1A68">
        <w:rPr>
          <w:sz w:val="18"/>
          <w:szCs w:val="18"/>
        </w:rPr>
        <w:t>mended”).  NRC labor rates for fee recovery purposes are appropriately designed for full</w:t>
      </w:r>
      <w:r>
        <w:rPr>
          <w:sz w:val="18"/>
          <w:szCs w:val="18"/>
        </w:rPr>
        <w:noBreakHyphen/>
      </w:r>
      <w:r w:rsidRPr="000F1A68">
        <w:rPr>
          <w:sz w:val="18"/>
          <w:szCs w:val="18"/>
        </w:rPr>
        <w:t>cost recovery of the services rendered and thus include nonincremental costs (e.g., overhead, administrative, and logistical support costs).</w:t>
      </w:r>
    </w:p>
  </w:footnote>
  <w:footnote w:id="6">
    <w:p w14:paraId="76BC8568" w14:textId="2949EACF" w:rsidR="00166B5D" w:rsidRPr="00DC08A0" w:rsidRDefault="00166B5D" w:rsidP="00382B4A">
      <w:pPr>
        <w:pStyle w:val="FootnoteText"/>
        <w:spacing w:line="240" w:lineRule="auto"/>
        <w:ind w:left="720" w:hanging="720"/>
        <w:rPr>
          <w:sz w:val="18"/>
        </w:rPr>
      </w:pPr>
      <w:r w:rsidRPr="009634AB">
        <w:rPr>
          <w:rStyle w:val="FootnoteReference"/>
          <w:sz w:val="18"/>
          <w:szCs w:val="18"/>
          <w:vertAlign w:val="superscript"/>
        </w:rPr>
        <w:footnoteRef/>
      </w:r>
      <w:r w:rsidRPr="00DC08A0">
        <w:rPr>
          <w:sz w:val="18"/>
          <w:vertAlign w:val="superscript"/>
        </w:rPr>
        <w:t xml:space="preserve"> </w:t>
      </w:r>
      <w:r w:rsidRPr="00DC08A0">
        <w:rPr>
          <w:sz w:val="18"/>
          <w:vertAlign w:val="superscript"/>
        </w:rPr>
        <w:tab/>
      </w:r>
      <w:r w:rsidRPr="00DC08A0">
        <w:rPr>
          <w:sz w:val="18"/>
        </w:rPr>
        <w:t xml:space="preserve">An </w:t>
      </w:r>
      <w:r w:rsidRPr="0087299F">
        <w:rPr>
          <w:sz w:val="18"/>
        </w:rPr>
        <w:t>ex ante</w:t>
      </w:r>
      <w:r w:rsidRPr="00FB0A7E">
        <w:rPr>
          <w:sz w:val="18"/>
        </w:rPr>
        <w:t xml:space="preserve"> cost-benefit analysis</w:t>
      </w:r>
      <w:r w:rsidRPr="00DC08A0">
        <w:rPr>
          <w:sz w:val="18"/>
        </w:rPr>
        <w:t xml:space="preserve"> is </w:t>
      </w:r>
      <w:r>
        <w:rPr>
          <w:sz w:val="18"/>
        </w:rPr>
        <w:t xml:space="preserve">one that is </w:t>
      </w:r>
      <w:r w:rsidRPr="00DC08A0">
        <w:rPr>
          <w:sz w:val="18"/>
        </w:rPr>
        <w:t>prepared before a policy</w:t>
      </w:r>
      <w:r>
        <w:rPr>
          <w:sz w:val="18"/>
        </w:rPr>
        <w:t>,</w:t>
      </w:r>
      <w:r w:rsidRPr="00DC08A0">
        <w:rPr>
          <w:sz w:val="18"/>
        </w:rPr>
        <w:t xml:space="preserve"> program</w:t>
      </w:r>
      <w:r>
        <w:rPr>
          <w:sz w:val="18"/>
        </w:rPr>
        <w:t>,</w:t>
      </w:r>
      <w:r w:rsidRPr="00DC08A0">
        <w:rPr>
          <w:sz w:val="18"/>
        </w:rPr>
        <w:t xml:space="preserve"> or alternative is in place</w:t>
      </w:r>
      <w:r>
        <w:rPr>
          <w:sz w:val="18"/>
        </w:rPr>
        <w:t>.</w:t>
      </w:r>
      <w:r w:rsidRPr="00DC08A0">
        <w:rPr>
          <w:sz w:val="18"/>
        </w:rPr>
        <w:t xml:space="preserve"> </w:t>
      </w:r>
      <w:r>
        <w:rPr>
          <w:sz w:val="18"/>
        </w:rPr>
        <w:t xml:space="preserve"> It </w:t>
      </w:r>
      <w:r w:rsidRPr="00DC08A0">
        <w:rPr>
          <w:sz w:val="18"/>
        </w:rPr>
        <w:t xml:space="preserve">can </w:t>
      </w:r>
      <w:r>
        <w:rPr>
          <w:sz w:val="18"/>
        </w:rPr>
        <w:t xml:space="preserve">help an organization decide </w:t>
      </w:r>
      <w:r w:rsidRPr="00DC08A0">
        <w:rPr>
          <w:sz w:val="18"/>
        </w:rPr>
        <w:t xml:space="preserve">whether </w:t>
      </w:r>
      <w:r>
        <w:rPr>
          <w:sz w:val="18"/>
        </w:rPr>
        <w:t xml:space="preserve">to allocate </w:t>
      </w:r>
      <w:r w:rsidRPr="00DC08A0">
        <w:rPr>
          <w:sz w:val="18"/>
        </w:rPr>
        <w:t xml:space="preserve">resources to that </w:t>
      </w:r>
      <w:r>
        <w:rPr>
          <w:sz w:val="18"/>
        </w:rPr>
        <w:t>policy, program, or</w:t>
      </w:r>
      <w:r w:rsidRPr="00DC08A0">
        <w:rPr>
          <w:sz w:val="18"/>
        </w:rPr>
        <w:t xml:space="preserve"> alternative.</w:t>
      </w:r>
    </w:p>
  </w:footnote>
  <w:footnote w:id="7">
    <w:p w14:paraId="29787851" w14:textId="3EAA43E2" w:rsidR="00166B5D" w:rsidRPr="007A5336" w:rsidRDefault="00166B5D" w:rsidP="00CC6553">
      <w:pPr>
        <w:pStyle w:val="FootnoteText"/>
        <w:spacing w:line="240" w:lineRule="auto"/>
        <w:ind w:left="720" w:hanging="720"/>
      </w:pPr>
      <w:r w:rsidRPr="007A5336">
        <w:rPr>
          <w:rStyle w:val="FootnoteReference"/>
          <w:sz w:val="18"/>
          <w:szCs w:val="18"/>
          <w:vertAlign w:val="superscript"/>
        </w:rPr>
        <w:footnoteRef/>
      </w:r>
      <w:r w:rsidRPr="007A5336">
        <w:rPr>
          <w:vertAlign w:val="superscript"/>
        </w:rPr>
        <w:t xml:space="preserve"> </w:t>
      </w:r>
      <w:r w:rsidRPr="007A5336">
        <w:tab/>
      </w:r>
      <w:r w:rsidRPr="00DC08A0">
        <w:rPr>
          <w:sz w:val="18"/>
        </w:rPr>
        <w:t>Regulations in 10 CFR</w:t>
      </w:r>
      <w:r>
        <w:rPr>
          <w:sz w:val="18"/>
        </w:rPr>
        <w:t> </w:t>
      </w:r>
      <w:r w:rsidRPr="00DC08A0">
        <w:rPr>
          <w:sz w:val="18"/>
        </w:rPr>
        <w:t xml:space="preserve">50.55a(f)(4) and (g)(4) establish the effective ASME Code edition and addenda </w:t>
      </w:r>
      <w:r>
        <w:rPr>
          <w:sz w:val="18"/>
        </w:rPr>
        <w:t xml:space="preserve">for </w:t>
      </w:r>
      <w:r w:rsidRPr="00DC08A0">
        <w:rPr>
          <w:sz w:val="18"/>
        </w:rPr>
        <w:t xml:space="preserve">licensees </w:t>
      </w:r>
      <w:r>
        <w:rPr>
          <w:sz w:val="18"/>
        </w:rPr>
        <w:t xml:space="preserve">to use </w:t>
      </w:r>
      <w:r w:rsidRPr="00DC08A0">
        <w:rPr>
          <w:sz w:val="18"/>
        </w:rPr>
        <w:t>in performing IST of pumps and valves and ISI of components (including supports)</w:t>
      </w:r>
      <w:r>
        <w:rPr>
          <w:sz w:val="18"/>
        </w:rPr>
        <w:t>,</w:t>
      </w:r>
      <w:r w:rsidRPr="00DC08A0">
        <w:rPr>
          <w:sz w:val="18"/>
        </w:rPr>
        <w:t xml:space="preserve"> respectively.  </w:t>
      </w:r>
      <w:r>
        <w:rPr>
          <w:sz w:val="18"/>
          <w:szCs w:val="18"/>
        </w:rPr>
        <w:t>R</w:t>
      </w:r>
      <w:r w:rsidRPr="00AD3DA5">
        <w:rPr>
          <w:sz w:val="18"/>
          <w:szCs w:val="18"/>
        </w:rPr>
        <w:t xml:space="preserve">egulatory </w:t>
      </w:r>
      <w:r>
        <w:rPr>
          <w:sz w:val="18"/>
          <w:szCs w:val="18"/>
        </w:rPr>
        <w:t>I</w:t>
      </w:r>
      <w:r w:rsidRPr="00AD3DA5">
        <w:rPr>
          <w:sz w:val="18"/>
          <w:szCs w:val="18"/>
        </w:rPr>
        <w:t xml:space="preserve">ssue </w:t>
      </w:r>
      <w:r>
        <w:rPr>
          <w:sz w:val="18"/>
          <w:szCs w:val="18"/>
        </w:rPr>
        <w:t>S</w:t>
      </w:r>
      <w:r w:rsidRPr="00AD3DA5">
        <w:rPr>
          <w:sz w:val="18"/>
          <w:szCs w:val="18"/>
        </w:rPr>
        <w:t>ummary</w:t>
      </w:r>
      <w:r>
        <w:rPr>
          <w:sz w:val="18"/>
          <w:szCs w:val="18"/>
        </w:rPr>
        <w:t> </w:t>
      </w:r>
      <w:r w:rsidRPr="00DC08A0">
        <w:rPr>
          <w:sz w:val="18"/>
        </w:rPr>
        <w:t>2004-12</w:t>
      </w:r>
      <w:r>
        <w:rPr>
          <w:sz w:val="18"/>
          <w:szCs w:val="18"/>
        </w:rPr>
        <w:t>, “Clarification on Use of Later Editions and Addenda to the ASME OM Code and Section XI,” dated July 28, 2004</w:t>
      </w:r>
      <w:r w:rsidRPr="00DC08A0">
        <w:rPr>
          <w:sz w:val="18"/>
        </w:rPr>
        <w:t xml:space="preserve"> (</w:t>
      </w:r>
      <w:r>
        <w:rPr>
          <w:sz w:val="18"/>
        </w:rPr>
        <w:t>NRC, 2004</w:t>
      </w:r>
      <w:r w:rsidRPr="00AD3DA5">
        <w:rPr>
          <w:sz w:val="18"/>
          <w:szCs w:val="18"/>
        </w:rPr>
        <w:t>)</w:t>
      </w:r>
      <w:r>
        <w:rPr>
          <w:sz w:val="18"/>
          <w:szCs w:val="18"/>
        </w:rPr>
        <w:t>,</w:t>
      </w:r>
      <w:r w:rsidRPr="00DC08A0">
        <w:rPr>
          <w:sz w:val="18"/>
        </w:rPr>
        <w:t xml:space="preserve"> clarified the requirements for </w:t>
      </w:r>
      <w:r>
        <w:rPr>
          <w:sz w:val="18"/>
        </w:rPr>
        <w:t xml:space="preserve">licensees wishing to update their </w:t>
      </w:r>
      <w:r w:rsidRPr="00DC08A0">
        <w:rPr>
          <w:sz w:val="18"/>
        </w:rPr>
        <w:t xml:space="preserve">IST and ISI programs </w:t>
      </w:r>
      <w:r>
        <w:rPr>
          <w:sz w:val="18"/>
        </w:rPr>
        <w:t>early to</w:t>
      </w:r>
      <w:r w:rsidRPr="00DC08A0">
        <w:rPr>
          <w:sz w:val="18"/>
        </w:rPr>
        <w:t xml:space="preserve"> later editions </w:t>
      </w:r>
      <w:r>
        <w:rPr>
          <w:sz w:val="18"/>
        </w:rPr>
        <w:t xml:space="preserve">of </w:t>
      </w:r>
      <w:r w:rsidRPr="00DC08A0">
        <w:rPr>
          <w:sz w:val="18"/>
        </w:rPr>
        <w:t xml:space="preserve">and addenda </w:t>
      </w:r>
      <w:r>
        <w:rPr>
          <w:sz w:val="18"/>
        </w:rPr>
        <w:t>to</w:t>
      </w:r>
      <w:r w:rsidRPr="00DC08A0">
        <w:rPr>
          <w:sz w:val="18"/>
        </w:rPr>
        <w:t xml:space="preserve"> the ASME </w:t>
      </w:r>
      <w:r>
        <w:rPr>
          <w:sz w:val="18"/>
          <w:szCs w:val="18"/>
        </w:rPr>
        <w:t xml:space="preserve">OM </w:t>
      </w:r>
      <w:r w:rsidRPr="00DC08A0">
        <w:rPr>
          <w:sz w:val="18"/>
        </w:rPr>
        <w:t>Code.</w:t>
      </w:r>
    </w:p>
  </w:footnote>
  <w:footnote w:id="8">
    <w:p w14:paraId="0A68669E" w14:textId="0C7EF3E7" w:rsidR="00166B5D" w:rsidRPr="00F82519" w:rsidRDefault="00166B5D" w:rsidP="00382B4A">
      <w:pPr>
        <w:pStyle w:val="FootnoteText"/>
        <w:spacing w:line="240" w:lineRule="auto"/>
        <w:ind w:left="720" w:hanging="720"/>
        <w:rPr>
          <w:sz w:val="18"/>
          <w:szCs w:val="18"/>
        </w:rPr>
      </w:pPr>
      <w:r w:rsidRPr="00F82519">
        <w:rPr>
          <w:rStyle w:val="FootnoteReference"/>
          <w:sz w:val="18"/>
          <w:szCs w:val="18"/>
          <w:vertAlign w:val="superscript"/>
        </w:rPr>
        <w:footnoteRef/>
      </w:r>
      <w:r w:rsidRPr="00382B4A">
        <w:rPr>
          <w:sz w:val="18"/>
          <w:szCs w:val="18"/>
        </w:rPr>
        <w:t xml:space="preserve"> </w:t>
      </w:r>
      <w:r w:rsidRPr="00382B4A">
        <w:rPr>
          <w:sz w:val="18"/>
          <w:szCs w:val="18"/>
        </w:rPr>
        <w:tab/>
      </w:r>
      <w:r w:rsidRPr="00F82519">
        <w:rPr>
          <w:sz w:val="18"/>
          <w:szCs w:val="18"/>
        </w:rPr>
        <w:t xml:space="preserve">Information about this software is available at </w:t>
      </w:r>
      <w:hyperlink r:id="rId1" w:history="1">
        <w:r w:rsidRPr="00F82519">
          <w:rPr>
            <w:rStyle w:val="Hyperlink"/>
            <w:sz w:val="18"/>
            <w:szCs w:val="18"/>
          </w:rPr>
          <w:t>http://www.palisade.com</w:t>
        </w:r>
      </w:hyperlink>
      <w:r w:rsidRPr="00F82519">
        <w:rPr>
          <w:sz w:val="18"/>
          <w:szCs w:val="18"/>
        </w:rPr>
        <w:t>.</w:t>
      </w:r>
    </w:p>
  </w:footnote>
  <w:footnote w:id="9">
    <w:p w14:paraId="6235771D" w14:textId="50227215" w:rsidR="00166B5D" w:rsidRPr="00DC08A0" w:rsidRDefault="00166B5D" w:rsidP="00382B4A">
      <w:pPr>
        <w:pStyle w:val="FootnoteText"/>
        <w:spacing w:line="240" w:lineRule="auto"/>
        <w:ind w:left="720" w:hanging="720"/>
        <w:rPr>
          <w:sz w:val="18"/>
        </w:rPr>
      </w:pPr>
      <w:r w:rsidRPr="00F82519">
        <w:rPr>
          <w:rStyle w:val="FootnoteReference"/>
          <w:rFonts w:eastAsiaTheme="majorEastAsia"/>
          <w:sz w:val="18"/>
          <w:szCs w:val="18"/>
          <w:vertAlign w:val="superscript"/>
        </w:rPr>
        <w:footnoteRef/>
      </w:r>
      <w:r w:rsidRPr="00F82519">
        <w:rPr>
          <w:sz w:val="18"/>
          <w:szCs w:val="18"/>
        </w:rPr>
        <w:tab/>
        <w:t xml:space="preserve">A PERT distribution is a special form of the beta distribution with </w:t>
      </w:r>
      <w:r w:rsidRPr="00F82519">
        <w:rPr>
          <w:rFonts w:cs="Arial"/>
          <w:sz w:val="18"/>
          <w:szCs w:val="18"/>
        </w:rPr>
        <w:t>specified</w:t>
      </w:r>
      <w:r w:rsidRPr="00F82519">
        <w:rPr>
          <w:sz w:val="18"/>
          <w:szCs w:val="18"/>
        </w:rPr>
        <w:t xml:space="preserve"> minimum and maximum </w:t>
      </w:r>
      <w:r w:rsidRPr="00F82519">
        <w:rPr>
          <w:rFonts w:cs="Arial"/>
          <w:sz w:val="18"/>
          <w:szCs w:val="18"/>
        </w:rPr>
        <w:t>values</w:t>
      </w:r>
      <w:r w:rsidRPr="00F82519">
        <w:rPr>
          <w:sz w:val="18"/>
          <w:szCs w:val="18"/>
        </w:rPr>
        <w:t xml:space="preserve">.  The shape parameter is calculated from the defined </w:t>
      </w:r>
      <w:r w:rsidRPr="00F82519">
        <w:rPr>
          <w:i/>
          <w:sz w:val="18"/>
          <w:szCs w:val="18"/>
        </w:rPr>
        <w:t xml:space="preserve">most likely </w:t>
      </w:r>
      <w:r w:rsidRPr="00F82519">
        <w:rPr>
          <w:sz w:val="18"/>
          <w:szCs w:val="18"/>
        </w:rPr>
        <w:t>value.  The PERT distribution is similar to a</w:t>
      </w:r>
      <w:r>
        <w:rPr>
          <w:sz w:val="18"/>
          <w:szCs w:val="18"/>
        </w:rPr>
        <w:t> </w:t>
      </w:r>
      <w:r w:rsidRPr="00F82519">
        <w:rPr>
          <w:sz w:val="18"/>
          <w:szCs w:val="18"/>
        </w:rPr>
        <w:t>triangular distribution, in that it has the same set of three parameters.  Technically, it is a special case of a</w:t>
      </w:r>
      <w:r>
        <w:rPr>
          <w:sz w:val="18"/>
          <w:szCs w:val="18"/>
        </w:rPr>
        <w:t> </w:t>
      </w:r>
      <w:r w:rsidRPr="00F82519">
        <w:rPr>
          <w:sz w:val="18"/>
          <w:szCs w:val="18"/>
        </w:rPr>
        <w:t>scaled beta (or beta general) distribution.  The PERT distribution is generally considered superior to the</w:t>
      </w:r>
      <w:r>
        <w:rPr>
          <w:sz w:val="18"/>
          <w:szCs w:val="18"/>
        </w:rPr>
        <w:t> </w:t>
      </w:r>
      <w:r w:rsidRPr="00F82519">
        <w:rPr>
          <w:sz w:val="18"/>
          <w:szCs w:val="18"/>
        </w:rPr>
        <w:t xml:space="preserve">triangular distribution when the parameters result in a skewed distribution, as the smooth shape of the curve places less emphasis in the direction of skew.  </w:t>
      </w:r>
      <w:r>
        <w:rPr>
          <w:sz w:val="18"/>
          <w:szCs w:val="18"/>
        </w:rPr>
        <w:t xml:space="preserve">Like </w:t>
      </w:r>
      <w:r w:rsidRPr="00F82519">
        <w:rPr>
          <w:sz w:val="18"/>
          <w:szCs w:val="18"/>
        </w:rPr>
        <w:t xml:space="preserve">the triangular distribution, the PERT distribution is bounded on both sides and therefore may not be adequate for modeling </w:t>
      </w:r>
      <w:r w:rsidRPr="00F82519">
        <w:rPr>
          <w:rFonts w:cs="Arial"/>
          <w:sz w:val="18"/>
          <w:szCs w:val="18"/>
        </w:rPr>
        <w:t>that need</w:t>
      </w:r>
      <w:r>
        <w:rPr>
          <w:rFonts w:cs="Arial"/>
          <w:sz w:val="18"/>
          <w:szCs w:val="18"/>
        </w:rPr>
        <w:t>s</w:t>
      </w:r>
      <w:r w:rsidRPr="00F82519">
        <w:rPr>
          <w:sz w:val="18"/>
          <w:szCs w:val="18"/>
        </w:rPr>
        <w:t xml:space="preserve"> to capture tail or extreme events.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7E29" w14:textId="77777777" w:rsidR="00166B5D" w:rsidRDefault="0057134D" w:rsidP="00891C71">
    <w:pPr>
      <w:pStyle w:val="Header"/>
    </w:pPr>
    <w:r>
      <w:rPr>
        <w:noProof/>
      </w:rPr>
      <w:pict w14:anchorId="38278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4" o:spid="_x0000_s2055" type="#_x0000_t136" style="position:absolute;margin-left:0;margin-top:0;width:471.3pt;height:188.5pt;rotation:315;z-index:-251658239;mso-position-horizontal:center;mso-position-horizontal-relative:margin;mso-position-vertical:center;mso-position-vertical-relative:margin" o:allowincell="f" fillcolor="#bfbfbf"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8356" w14:textId="77777777" w:rsidR="00166B5D" w:rsidRDefault="0057134D" w:rsidP="00182A6D">
    <w:pPr>
      <w:pStyle w:val="Header"/>
    </w:pPr>
    <w:r>
      <w:rPr>
        <w:noProof/>
      </w:rPr>
      <w:pict w14:anchorId="60057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248043" o:spid="_x0000_s2054" type="#_x0000_t136" style="position:absolute;margin-left:0;margin-top:0;width:471.3pt;height:188.5pt;rotation:315;z-index:-251658238;mso-position-horizontal:center;mso-position-horizontal-relative:margin;mso-position-vertical:center;mso-position-vertical-relative:margin" o:allowincell="f" fillcolor="#bfbfbf" stroked="f">
          <v:textpath style="font-family:&quot;Arial&quot;;font-size:1pt" string="DRAFT"/>
          <w10:wrap anchorx="margin" anchory="margin"/>
        </v:shape>
      </w:pict>
    </w:r>
    <w:r w:rsidR="00166B5D">
      <w:rPr>
        <w:noProof/>
      </w:rPr>
      <mc:AlternateContent>
        <mc:Choice Requires="wps">
          <w:drawing>
            <wp:anchor distT="0" distB="0" distL="114300" distR="114300" simplePos="0" relativeHeight="251658240" behindDoc="1" locked="0" layoutInCell="0" allowOverlap="1" wp14:anchorId="1253E8BC" wp14:editId="38143363">
              <wp:simplePos x="0" y="0"/>
              <wp:positionH relativeFrom="margin">
                <wp:align>center</wp:align>
              </wp:positionH>
              <wp:positionV relativeFrom="margin">
                <wp:align>center</wp:align>
              </wp:positionV>
              <wp:extent cx="5985510" cy="2393950"/>
              <wp:effectExtent l="0" t="1619250" r="0" b="1311275"/>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41DC47" w14:textId="77777777" w:rsidR="00166B5D" w:rsidRDefault="00166B5D" w:rsidP="00182A6D">
                          <w:pPr>
                            <w:pStyle w:val="NormalWeb"/>
                          </w:pPr>
                          <w: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53E8BC" id="_x0000_t202" coordsize="21600,21600" o:spt="202" path="m,l,21600r21600,l21600,xe">
              <v:stroke joinstyle="miter"/>
              <v:path gradientshapeok="t" o:connecttype="rect"/>
            </v:shapetype>
            <v:shape id="WordArt 1" o:spid="_x0000_s1026"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" o:allowincell="f" filled="f" stroked="f">
              <v:stroke joinstyle="round"/>
              <o:lock v:ext="edit" shapetype="t"/>
              <v:textbox style="mso-fit-shape-to-text:t">
                <w:txbxContent>
                  <w:p w14:paraId="4D41DC47" w14:textId="77777777" w:rsidR="00166B5D" w:rsidRDefault="00166B5D" w:rsidP="00182A6D">
                    <w:pPr>
                      <w:pStyle w:val="NormalWeb"/>
                    </w:pPr>
                    <w: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201" w14:textId="77777777" w:rsidR="00166B5D" w:rsidRPr="0075644E" w:rsidRDefault="00166B5D" w:rsidP="00891C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FB39" w14:textId="77777777" w:rsidR="00166B5D" w:rsidRPr="006F5D5E" w:rsidRDefault="00166B5D" w:rsidP="006F5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995456"/>
    <w:multiLevelType w:val="multilevel"/>
    <w:tmpl w:val="6936B91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13599"/>
    <w:multiLevelType w:val="hybridMultilevel"/>
    <w:tmpl w:val="C232A28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 w15:restartNumberingAfterBreak="0">
    <w:nsid w:val="0D372657"/>
    <w:multiLevelType w:val="hybridMultilevel"/>
    <w:tmpl w:val="1C46ED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14DB"/>
    <w:multiLevelType w:val="hybridMultilevel"/>
    <w:tmpl w:val="9780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E4C09"/>
    <w:multiLevelType w:val="hybridMultilevel"/>
    <w:tmpl w:val="30D8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B6916"/>
    <w:multiLevelType w:val="hybridMultilevel"/>
    <w:tmpl w:val="7270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A56B0"/>
    <w:multiLevelType w:val="hybridMultilevel"/>
    <w:tmpl w:val="D9485884"/>
    <w:lvl w:ilvl="0" w:tplc="87F09920">
      <w:start w:val="1"/>
      <w:numFmt w:val="decimal"/>
      <w:lvlText w:val="(%1)"/>
      <w:lvlJc w:val="left"/>
      <w:pPr>
        <w:ind w:left="720" w:hanging="360"/>
      </w:pPr>
      <w:rPr>
        <w:rFonts w:hint="default"/>
      </w:rPr>
    </w:lvl>
    <w:lvl w:ilvl="1" w:tplc="50DEE0E4">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F552A"/>
    <w:multiLevelType w:val="hybridMultilevel"/>
    <w:tmpl w:val="3DB4A08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A765937"/>
    <w:multiLevelType w:val="hybridMultilevel"/>
    <w:tmpl w:val="CB3C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05D10"/>
    <w:multiLevelType w:val="hybridMultilevel"/>
    <w:tmpl w:val="F654A982"/>
    <w:lvl w:ilvl="0" w:tplc="18783082">
      <w:start w:val="1"/>
      <w:numFmt w:val="decimal"/>
      <w:lvlText w:val="(%1)"/>
      <w:lvlJc w:val="left"/>
      <w:pPr>
        <w:ind w:left="720" w:hanging="360"/>
      </w:pPr>
      <w:rPr>
        <w:rFonts w:ascii="Arial" w:hAnsi="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241D7"/>
    <w:multiLevelType w:val="hybridMultilevel"/>
    <w:tmpl w:val="3E8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2434A1"/>
    <w:multiLevelType w:val="hybridMultilevel"/>
    <w:tmpl w:val="9AC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3D76E1"/>
    <w:multiLevelType w:val="hybridMultilevel"/>
    <w:tmpl w:val="BD1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C35E9"/>
    <w:multiLevelType w:val="hybridMultilevel"/>
    <w:tmpl w:val="B27AA7C4"/>
    <w:lvl w:ilvl="0" w:tplc="04090001">
      <w:start w:val="1"/>
      <w:numFmt w:val="bullet"/>
      <w:lvlText w:val=""/>
      <w:lvlJc w:val="left"/>
      <w:pPr>
        <w:tabs>
          <w:tab w:val="num" w:pos="720"/>
        </w:tabs>
        <w:ind w:left="720" w:hanging="360"/>
      </w:pPr>
      <w:rPr>
        <w:rFonts w:ascii="Symbol" w:hAnsi="Symbol" w:hint="default"/>
      </w:rPr>
    </w:lvl>
    <w:lvl w:ilvl="1" w:tplc="111A81B8">
      <w:start w:val="2514"/>
      <w:numFmt w:val="bullet"/>
      <w:lvlText w:val="–"/>
      <w:lvlJc w:val="left"/>
      <w:pPr>
        <w:tabs>
          <w:tab w:val="num" w:pos="1440"/>
        </w:tabs>
        <w:ind w:left="1440" w:hanging="360"/>
      </w:pPr>
      <w:rPr>
        <w:rFonts w:ascii="Times New Roman" w:hAnsi="Times New Roman" w:hint="default"/>
      </w:rPr>
    </w:lvl>
    <w:lvl w:ilvl="2" w:tplc="EDA688DC" w:tentative="1">
      <w:start w:val="1"/>
      <w:numFmt w:val="bullet"/>
      <w:lvlText w:val="•"/>
      <w:lvlJc w:val="left"/>
      <w:pPr>
        <w:tabs>
          <w:tab w:val="num" w:pos="2160"/>
        </w:tabs>
        <w:ind w:left="2160" w:hanging="360"/>
      </w:pPr>
      <w:rPr>
        <w:rFonts w:ascii="Times New Roman" w:hAnsi="Times New Roman" w:hint="default"/>
      </w:rPr>
    </w:lvl>
    <w:lvl w:ilvl="3" w:tplc="E5D80C3C" w:tentative="1">
      <w:start w:val="1"/>
      <w:numFmt w:val="bullet"/>
      <w:lvlText w:val="•"/>
      <w:lvlJc w:val="left"/>
      <w:pPr>
        <w:tabs>
          <w:tab w:val="num" w:pos="2880"/>
        </w:tabs>
        <w:ind w:left="2880" w:hanging="360"/>
      </w:pPr>
      <w:rPr>
        <w:rFonts w:ascii="Times New Roman" w:hAnsi="Times New Roman" w:hint="default"/>
      </w:rPr>
    </w:lvl>
    <w:lvl w:ilvl="4" w:tplc="CBA8966C" w:tentative="1">
      <w:start w:val="1"/>
      <w:numFmt w:val="bullet"/>
      <w:lvlText w:val="•"/>
      <w:lvlJc w:val="left"/>
      <w:pPr>
        <w:tabs>
          <w:tab w:val="num" w:pos="3600"/>
        </w:tabs>
        <w:ind w:left="3600" w:hanging="360"/>
      </w:pPr>
      <w:rPr>
        <w:rFonts w:ascii="Times New Roman" w:hAnsi="Times New Roman" w:hint="default"/>
      </w:rPr>
    </w:lvl>
    <w:lvl w:ilvl="5" w:tplc="2536D6EE" w:tentative="1">
      <w:start w:val="1"/>
      <w:numFmt w:val="bullet"/>
      <w:lvlText w:val="•"/>
      <w:lvlJc w:val="left"/>
      <w:pPr>
        <w:tabs>
          <w:tab w:val="num" w:pos="4320"/>
        </w:tabs>
        <w:ind w:left="4320" w:hanging="360"/>
      </w:pPr>
      <w:rPr>
        <w:rFonts w:ascii="Times New Roman" w:hAnsi="Times New Roman" w:hint="default"/>
      </w:rPr>
    </w:lvl>
    <w:lvl w:ilvl="6" w:tplc="FC968A52" w:tentative="1">
      <w:start w:val="1"/>
      <w:numFmt w:val="bullet"/>
      <w:lvlText w:val="•"/>
      <w:lvlJc w:val="left"/>
      <w:pPr>
        <w:tabs>
          <w:tab w:val="num" w:pos="5040"/>
        </w:tabs>
        <w:ind w:left="5040" w:hanging="360"/>
      </w:pPr>
      <w:rPr>
        <w:rFonts w:ascii="Times New Roman" w:hAnsi="Times New Roman" w:hint="default"/>
      </w:rPr>
    </w:lvl>
    <w:lvl w:ilvl="7" w:tplc="EF7266B6" w:tentative="1">
      <w:start w:val="1"/>
      <w:numFmt w:val="bullet"/>
      <w:lvlText w:val="•"/>
      <w:lvlJc w:val="left"/>
      <w:pPr>
        <w:tabs>
          <w:tab w:val="num" w:pos="5760"/>
        </w:tabs>
        <w:ind w:left="5760" w:hanging="360"/>
      </w:pPr>
      <w:rPr>
        <w:rFonts w:ascii="Times New Roman" w:hAnsi="Times New Roman" w:hint="default"/>
      </w:rPr>
    </w:lvl>
    <w:lvl w:ilvl="8" w:tplc="B3204D6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0FD1B63"/>
    <w:multiLevelType w:val="multilevel"/>
    <w:tmpl w:val="70B8D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63E772DD"/>
    <w:multiLevelType w:val="hybridMultilevel"/>
    <w:tmpl w:val="8EFE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E74622"/>
    <w:multiLevelType w:val="hybridMultilevel"/>
    <w:tmpl w:val="B78C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A42584"/>
    <w:multiLevelType w:val="hybridMultilevel"/>
    <w:tmpl w:val="FBA4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02D42"/>
    <w:multiLevelType w:val="hybridMultilevel"/>
    <w:tmpl w:val="0CCE9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5"/>
  </w:num>
  <w:num w:numId="4">
    <w:abstractNumId w:val="15"/>
  </w:num>
  <w:num w:numId="5">
    <w:abstractNumId w:val="17"/>
  </w:num>
  <w:num w:numId="6">
    <w:abstractNumId w:val="7"/>
  </w:num>
  <w:num w:numId="7">
    <w:abstractNumId w:val="9"/>
  </w:num>
  <w:num w:numId="8">
    <w:abstractNumId w:val="4"/>
  </w:num>
  <w:num w:numId="9">
    <w:abstractNumId w:val="16"/>
  </w:num>
  <w:num w:numId="10">
    <w:abstractNumId w:val="1"/>
  </w:num>
  <w:num w:numId="11">
    <w:abstractNumId w:val="3"/>
  </w:num>
  <w:num w:numId="12">
    <w:abstractNumId w:val="13"/>
  </w:num>
  <w:num w:numId="13">
    <w:abstractNumId w:val="6"/>
  </w:num>
  <w:num w:numId="14">
    <w:abstractNumId w:val="12"/>
  </w:num>
  <w:num w:numId="15">
    <w:abstractNumId w:val="19"/>
  </w:num>
  <w:num w:numId="16">
    <w:abstractNumId w:val="18"/>
  </w:num>
  <w:num w:numId="17">
    <w:abstractNumId w:val="10"/>
  </w:num>
  <w:num w:numId="18">
    <w:abstractNumId w:val="2"/>
  </w:num>
  <w:num w:numId="19">
    <w:abstractNumId w:val="8"/>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nny, Caylee">
    <w15:presenceInfo w15:providerId="AD" w15:userId="S::CRJ2@nrc.gov::37f40764-572b-4aa3-9f9a-e780e30d3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0" w:nlCheck="1" w:checkStyle="0"/>
  <w:activeWritingStyle w:appName="MSWord" w:lang="en-US"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CA" w:vendorID="64" w:dllVersion="0" w:nlCheck="1" w:checkStyle="0"/>
  <w:proofState w:spelling="clean" w:grammar="clean"/>
  <w:trackRevisions/>
  <w:defaultTabStop w:val="720"/>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A58"/>
    <w:rsid w:val="0000099B"/>
    <w:rsid w:val="00000F88"/>
    <w:rsid w:val="00000FB1"/>
    <w:rsid w:val="00001690"/>
    <w:rsid w:val="000016AA"/>
    <w:rsid w:val="00001AC8"/>
    <w:rsid w:val="00001F5D"/>
    <w:rsid w:val="000028B2"/>
    <w:rsid w:val="00002C01"/>
    <w:rsid w:val="00002C38"/>
    <w:rsid w:val="0000355F"/>
    <w:rsid w:val="00004699"/>
    <w:rsid w:val="00004B7A"/>
    <w:rsid w:val="00004EF3"/>
    <w:rsid w:val="000050E6"/>
    <w:rsid w:val="00005973"/>
    <w:rsid w:val="00005A4D"/>
    <w:rsid w:val="00005C2E"/>
    <w:rsid w:val="00005DC5"/>
    <w:rsid w:val="00006558"/>
    <w:rsid w:val="00006DF8"/>
    <w:rsid w:val="00006F4A"/>
    <w:rsid w:val="000076D4"/>
    <w:rsid w:val="0000774F"/>
    <w:rsid w:val="000102CB"/>
    <w:rsid w:val="0001041F"/>
    <w:rsid w:val="0001063B"/>
    <w:rsid w:val="000108A0"/>
    <w:rsid w:val="000108B4"/>
    <w:rsid w:val="0001096C"/>
    <w:rsid w:val="0001117C"/>
    <w:rsid w:val="0001127A"/>
    <w:rsid w:val="000112E8"/>
    <w:rsid w:val="000117DC"/>
    <w:rsid w:val="00011A59"/>
    <w:rsid w:val="00011E45"/>
    <w:rsid w:val="00012C3C"/>
    <w:rsid w:val="00012EB5"/>
    <w:rsid w:val="00013148"/>
    <w:rsid w:val="00013C49"/>
    <w:rsid w:val="00013D4F"/>
    <w:rsid w:val="000143A2"/>
    <w:rsid w:val="0001476C"/>
    <w:rsid w:val="0001537D"/>
    <w:rsid w:val="0001567D"/>
    <w:rsid w:val="0001575D"/>
    <w:rsid w:val="00016CEC"/>
    <w:rsid w:val="000172DC"/>
    <w:rsid w:val="00017918"/>
    <w:rsid w:val="0001799F"/>
    <w:rsid w:val="000206C7"/>
    <w:rsid w:val="000208ED"/>
    <w:rsid w:val="00021480"/>
    <w:rsid w:val="00021BE3"/>
    <w:rsid w:val="00022C73"/>
    <w:rsid w:val="00022E77"/>
    <w:rsid w:val="0002303A"/>
    <w:rsid w:val="00023947"/>
    <w:rsid w:val="000241FB"/>
    <w:rsid w:val="000244DF"/>
    <w:rsid w:val="00024D4D"/>
    <w:rsid w:val="0002547F"/>
    <w:rsid w:val="00025579"/>
    <w:rsid w:val="00025D52"/>
    <w:rsid w:val="000261D1"/>
    <w:rsid w:val="0002622A"/>
    <w:rsid w:val="000276F3"/>
    <w:rsid w:val="00027A8A"/>
    <w:rsid w:val="0003007E"/>
    <w:rsid w:val="000302EA"/>
    <w:rsid w:val="0003046C"/>
    <w:rsid w:val="00030C66"/>
    <w:rsid w:val="00031538"/>
    <w:rsid w:val="00031A87"/>
    <w:rsid w:val="00031DB4"/>
    <w:rsid w:val="00032075"/>
    <w:rsid w:val="0003224A"/>
    <w:rsid w:val="00032302"/>
    <w:rsid w:val="000328B5"/>
    <w:rsid w:val="00032B55"/>
    <w:rsid w:val="00033D22"/>
    <w:rsid w:val="00034C27"/>
    <w:rsid w:val="0003558B"/>
    <w:rsid w:val="000368E4"/>
    <w:rsid w:val="0003752F"/>
    <w:rsid w:val="00037BCE"/>
    <w:rsid w:val="0004011B"/>
    <w:rsid w:val="000409ED"/>
    <w:rsid w:val="00040B84"/>
    <w:rsid w:val="00040C60"/>
    <w:rsid w:val="000413EC"/>
    <w:rsid w:val="000418A9"/>
    <w:rsid w:val="00041A9C"/>
    <w:rsid w:val="000423A5"/>
    <w:rsid w:val="00043B27"/>
    <w:rsid w:val="00044329"/>
    <w:rsid w:val="00044B76"/>
    <w:rsid w:val="000452D0"/>
    <w:rsid w:val="00045CB8"/>
    <w:rsid w:val="00046BA2"/>
    <w:rsid w:val="00047050"/>
    <w:rsid w:val="000475B8"/>
    <w:rsid w:val="00047A51"/>
    <w:rsid w:val="00047EE2"/>
    <w:rsid w:val="0005148F"/>
    <w:rsid w:val="00051A03"/>
    <w:rsid w:val="00051B70"/>
    <w:rsid w:val="00051BE7"/>
    <w:rsid w:val="0005367C"/>
    <w:rsid w:val="00053A28"/>
    <w:rsid w:val="00053A53"/>
    <w:rsid w:val="00053D9F"/>
    <w:rsid w:val="00053DAD"/>
    <w:rsid w:val="000544CB"/>
    <w:rsid w:val="00054907"/>
    <w:rsid w:val="00054E67"/>
    <w:rsid w:val="00055883"/>
    <w:rsid w:val="0005588F"/>
    <w:rsid w:val="00055E2B"/>
    <w:rsid w:val="000566C4"/>
    <w:rsid w:val="00056A9A"/>
    <w:rsid w:val="00056C1D"/>
    <w:rsid w:val="000574C7"/>
    <w:rsid w:val="00057943"/>
    <w:rsid w:val="0005797B"/>
    <w:rsid w:val="00057F68"/>
    <w:rsid w:val="00061924"/>
    <w:rsid w:val="00061C6D"/>
    <w:rsid w:val="00061C74"/>
    <w:rsid w:val="00061C8B"/>
    <w:rsid w:val="00061D35"/>
    <w:rsid w:val="000621C9"/>
    <w:rsid w:val="00062280"/>
    <w:rsid w:val="000638B2"/>
    <w:rsid w:val="00063B9F"/>
    <w:rsid w:val="000642C7"/>
    <w:rsid w:val="00064736"/>
    <w:rsid w:val="00064B41"/>
    <w:rsid w:val="000661AE"/>
    <w:rsid w:val="00066AD8"/>
    <w:rsid w:val="0006748D"/>
    <w:rsid w:val="00067DAC"/>
    <w:rsid w:val="00067EC4"/>
    <w:rsid w:val="00070123"/>
    <w:rsid w:val="00070636"/>
    <w:rsid w:val="00071546"/>
    <w:rsid w:val="0007193E"/>
    <w:rsid w:val="0007274A"/>
    <w:rsid w:val="00072934"/>
    <w:rsid w:val="00072B16"/>
    <w:rsid w:val="00072C8D"/>
    <w:rsid w:val="000731E0"/>
    <w:rsid w:val="00073378"/>
    <w:rsid w:val="00073384"/>
    <w:rsid w:val="00073A07"/>
    <w:rsid w:val="00073C97"/>
    <w:rsid w:val="00073DC4"/>
    <w:rsid w:val="000748E9"/>
    <w:rsid w:val="00074C5A"/>
    <w:rsid w:val="00075129"/>
    <w:rsid w:val="00075193"/>
    <w:rsid w:val="00075AC2"/>
    <w:rsid w:val="000765CD"/>
    <w:rsid w:val="00077016"/>
    <w:rsid w:val="00077B6A"/>
    <w:rsid w:val="00081223"/>
    <w:rsid w:val="00084268"/>
    <w:rsid w:val="000843A1"/>
    <w:rsid w:val="00085469"/>
    <w:rsid w:val="00085A3A"/>
    <w:rsid w:val="0008614B"/>
    <w:rsid w:val="000861BC"/>
    <w:rsid w:val="00086A09"/>
    <w:rsid w:val="00086D07"/>
    <w:rsid w:val="00086DF0"/>
    <w:rsid w:val="0008729E"/>
    <w:rsid w:val="000872BD"/>
    <w:rsid w:val="000904E5"/>
    <w:rsid w:val="0009065D"/>
    <w:rsid w:val="000906F1"/>
    <w:rsid w:val="000911A4"/>
    <w:rsid w:val="00091558"/>
    <w:rsid w:val="0009155D"/>
    <w:rsid w:val="00091F6F"/>
    <w:rsid w:val="00092667"/>
    <w:rsid w:val="00092B00"/>
    <w:rsid w:val="00093328"/>
    <w:rsid w:val="000933FD"/>
    <w:rsid w:val="00093EA7"/>
    <w:rsid w:val="00094460"/>
    <w:rsid w:val="00094603"/>
    <w:rsid w:val="00095290"/>
    <w:rsid w:val="000955B5"/>
    <w:rsid w:val="00095EEA"/>
    <w:rsid w:val="0009643F"/>
    <w:rsid w:val="00096851"/>
    <w:rsid w:val="00096B39"/>
    <w:rsid w:val="00096C57"/>
    <w:rsid w:val="00097271"/>
    <w:rsid w:val="00097572"/>
    <w:rsid w:val="000A00B1"/>
    <w:rsid w:val="000A073E"/>
    <w:rsid w:val="000A0E03"/>
    <w:rsid w:val="000A2672"/>
    <w:rsid w:val="000A2CEA"/>
    <w:rsid w:val="000A3336"/>
    <w:rsid w:val="000A3709"/>
    <w:rsid w:val="000A382E"/>
    <w:rsid w:val="000A38CC"/>
    <w:rsid w:val="000A42B7"/>
    <w:rsid w:val="000A44A5"/>
    <w:rsid w:val="000A4C67"/>
    <w:rsid w:val="000A5B4F"/>
    <w:rsid w:val="000A5DE1"/>
    <w:rsid w:val="000A617F"/>
    <w:rsid w:val="000A6710"/>
    <w:rsid w:val="000A67C8"/>
    <w:rsid w:val="000A6E38"/>
    <w:rsid w:val="000A786B"/>
    <w:rsid w:val="000B004C"/>
    <w:rsid w:val="000B022F"/>
    <w:rsid w:val="000B0673"/>
    <w:rsid w:val="000B095B"/>
    <w:rsid w:val="000B09AC"/>
    <w:rsid w:val="000B111E"/>
    <w:rsid w:val="000B1369"/>
    <w:rsid w:val="000B1BDF"/>
    <w:rsid w:val="000B1F9D"/>
    <w:rsid w:val="000B2068"/>
    <w:rsid w:val="000B255F"/>
    <w:rsid w:val="000B27F8"/>
    <w:rsid w:val="000B296A"/>
    <w:rsid w:val="000B2B54"/>
    <w:rsid w:val="000B2FD1"/>
    <w:rsid w:val="000B3198"/>
    <w:rsid w:val="000B37F7"/>
    <w:rsid w:val="000B398A"/>
    <w:rsid w:val="000B46B7"/>
    <w:rsid w:val="000B4EC0"/>
    <w:rsid w:val="000B53EE"/>
    <w:rsid w:val="000B5455"/>
    <w:rsid w:val="000B5F75"/>
    <w:rsid w:val="000B73B6"/>
    <w:rsid w:val="000B78F4"/>
    <w:rsid w:val="000B79B8"/>
    <w:rsid w:val="000C0640"/>
    <w:rsid w:val="000C1588"/>
    <w:rsid w:val="000C1FF8"/>
    <w:rsid w:val="000C2B07"/>
    <w:rsid w:val="000C37C3"/>
    <w:rsid w:val="000C3A9C"/>
    <w:rsid w:val="000C3C65"/>
    <w:rsid w:val="000C3E82"/>
    <w:rsid w:val="000C41B3"/>
    <w:rsid w:val="000C49B7"/>
    <w:rsid w:val="000C4CF6"/>
    <w:rsid w:val="000C50AA"/>
    <w:rsid w:val="000C50B5"/>
    <w:rsid w:val="000C52E1"/>
    <w:rsid w:val="000C5636"/>
    <w:rsid w:val="000C59CA"/>
    <w:rsid w:val="000C5F59"/>
    <w:rsid w:val="000C6094"/>
    <w:rsid w:val="000C6F40"/>
    <w:rsid w:val="000D089C"/>
    <w:rsid w:val="000D0ED7"/>
    <w:rsid w:val="000D135C"/>
    <w:rsid w:val="000D137E"/>
    <w:rsid w:val="000D1C6A"/>
    <w:rsid w:val="000D20DA"/>
    <w:rsid w:val="000D2397"/>
    <w:rsid w:val="000D2565"/>
    <w:rsid w:val="000D374F"/>
    <w:rsid w:val="000D3E2D"/>
    <w:rsid w:val="000D4006"/>
    <w:rsid w:val="000D45CE"/>
    <w:rsid w:val="000D4825"/>
    <w:rsid w:val="000D52D1"/>
    <w:rsid w:val="000D56B1"/>
    <w:rsid w:val="000D6993"/>
    <w:rsid w:val="000D73A4"/>
    <w:rsid w:val="000D7952"/>
    <w:rsid w:val="000D7AB7"/>
    <w:rsid w:val="000E077E"/>
    <w:rsid w:val="000E0845"/>
    <w:rsid w:val="000E1816"/>
    <w:rsid w:val="000E1DD6"/>
    <w:rsid w:val="000E22DD"/>
    <w:rsid w:val="000E2D56"/>
    <w:rsid w:val="000E38E9"/>
    <w:rsid w:val="000E3E46"/>
    <w:rsid w:val="000E4B69"/>
    <w:rsid w:val="000E5543"/>
    <w:rsid w:val="000E7477"/>
    <w:rsid w:val="000E7844"/>
    <w:rsid w:val="000E7AD3"/>
    <w:rsid w:val="000E7E18"/>
    <w:rsid w:val="000F03AF"/>
    <w:rsid w:val="000F03CE"/>
    <w:rsid w:val="000F1374"/>
    <w:rsid w:val="000F15E5"/>
    <w:rsid w:val="000F1A68"/>
    <w:rsid w:val="000F3945"/>
    <w:rsid w:val="000F3E5E"/>
    <w:rsid w:val="000F3F39"/>
    <w:rsid w:val="000F4643"/>
    <w:rsid w:val="000F4C92"/>
    <w:rsid w:val="000F4E44"/>
    <w:rsid w:val="000F5249"/>
    <w:rsid w:val="000F5598"/>
    <w:rsid w:val="000F5820"/>
    <w:rsid w:val="000F5942"/>
    <w:rsid w:val="000F5D3D"/>
    <w:rsid w:val="000F64D1"/>
    <w:rsid w:val="000F6504"/>
    <w:rsid w:val="000F6A7F"/>
    <w:rsid w:val="000F71DF"/>
    <w:rsid w:val="000F734F"/>
    <w:rsid w:val="000F76CD"/>
    <w:rsid w:val="00100435"/>
    <w:rsid w:val="001009DC"/>
    <w:rsid w:val="00101045"/>
    <w:rsid w:val="001013FE"/>
    <w:rsid w:val="00103319"/>
    <w:rsid w:val="00104B98"/>
    <w:rsid w:val="00104FC1"/>
    <w:rsid w:val="001053EF"/>
    <w:rsid w:val="001066B7"/>
    <w:rsid w:val="00106CC2"/>
    <w:rsid w:val="00107097"/>
    <w:rsid w:val="00107422"/>
    <w:rsid w:val="00107471"/>
    <w:rsid w:val="00107B2B"/>
    <w:rsid w:val="00107EA6"/>
    <w:rsid w:val="00110198"/>
    <w:rsid w:val="001105AE"/>
    <w:rsid w:val="00110B08"/>
    <w:rsid w:val="00110C40"/>
    <w:rsid w:val="00110D7B"/>
    <w:rsid w:val="0011107F"/>
    <w:rsid w:val="001119B9"/>
    <w:rsid w:val="001124FA"/>
    <w:rsid w:val="001127CC"/>
    <w:rsid w:val="001134A2"/>
    <w:rsid w:val="0011378A"/>
    <w:rsid w:val="00113964"/>
    <w:rsid w:val="00113E15"/>
    <w:rsid w:val="00114BF1"/>
    <w:rsid w:val="00114EF7"/>
    <w:rsid w:val="00114F14"/>
    <w:rsid w:val="00115095"/>
    <w:rsid w:val="0011575B"/>
    <w:rsid w:val="00117D20"/>
    <w:rsid w:val="00117EB1"/>
    <w:rsid w:val="0012003C"/>
    <w:rsid w:val="00120188"/>
    <w:rsid w:val="00120697"/>
    <w:rsid w:val="0012164D"/>
    <w:rsid w:val="00121A86"/>
    <w:rsid w:val="00121C2D"/>
    <w:rsid w:val="00121D81"/>
    <w:rsid w:val="0012255B"/>
    <w:rsid w:val="00122A75"/>
    <w:rsid w:val="00122DAE"/>
    <w:rsid w:val="00123462"/>
    <w:rsid w:val="00123B56"/>
    <w:rsid w:val="00123D14"/>
    <w:rsid w:val="001245DE"/>
    <w:rsid w:val="00124D1E"/>
    <w:rsid w:val="00124D6C"/>
    <w:rsid w:val="00125296"/>
    <w:rsid w:val="001252E2"/>
    <w:rsid w:val="00126AD3"/>
    <w:rsid w:val="00127013"/>
    <w:rsid w:val="00130702"/>
    <w:rsid w:val="00130BC3"/>
    <w:rsid w:val="00130C89"/>
    <w:rsid w:val="001311D0"/>
    <w:rsid w:val="00131FC9"/>
    <w:rsid w:val="00132082"/>
    <w:rsid w:val="001327F4"/>
    <w:rsid w:val="00132B0B"/>
    <w:rsid w:val="00132E7F"/>
    <w:rsid w:val="00132F98"/>
    <w:rsid w:val="00133A7F"/>
    <w:rsid w:val="0013443C"/>
    <w:rsid w:val="00135322"/>
    <w:rsid w:val="00135820"/>
    <w:rsid w:val="00135864"/>
    <w:rsid w:val="00135C3D"/>
    <w:rsid w:val="0013658F"/>
    <w:rsid w:val="00136638"/>
    <w:rsid w:val="00136DDC"/>
    <w:rsid w:val="00137189"/>
    <w:rsid w:val="00137504"/>
    <w:rsid w:val="00137B24"/>
    <w:rsid w:val="001409FC"/>
    <w:rsid w:val="00140A50"/>
    <w:rsid w:val="0014158F"/>
    <w:rsid w:val="00141C57"/>
    <w:rsid w:val="00141FA3"/>
    <w:rsid w:val="0014227F"/>
    <w:rsid w:val="00143764"/>
    <w:rsid w:val="001438D3"/>
    <w:rsid w:val="0014392F"/>
    <w:rsid w:val="00144202"/>
    <w:rsid w:val="001444E3"/>
    <w:rsid w:val="001446E1"/>
    <w:rsid w:val="00144C17"/>
    <w:rsid w:val="00145066"/>
    <w:rsid w:val="00146181"/>
    <w:rsid w:val="00146215"/>
    <w:rsid w:val="00146552"/>
    <w:rsid w:val="00146753"/>
    <w:rsid w:val="00146B20"/>
    <w:rsid w:val="00146D4B"/>
    <w:rsid w:val="00146FE6"/>
    <w:rsid w:val="00147832"/>
    <w:rsid w:val="00150095"/>
    <w:rsid w:val="00150099"/>
    <w:rsid w:val="00150285"/>
    <w:rsid w:val="0015082A"/>
    <w:rsid w:val="00150D72"/>
    <w:rsid w:val="00151190"/>
    <w:rsid w:val="00151330"/>
    <w:rsid w:val="00152057"/>
    <w:rsid w:val="0015479B"/>
    <w:rsid w:val="00154B9A"/>
    <w:rsid w:val="001552FB"/>
    <w:rsid w:val="0015543A"/>
    <w:rsid w:val="00155842"/>
    <w:rsid w:val="00155E65"/>
    <w:rsid w:val="00156373"/>
    <w:rsid w:val="001566A1"/>
    <w:rsid w:val="0015694A"/>
    <w:rsid w:val="00156D99"/>
    <w:rsid w:val="00156DCD"/>
    <w:rsid w:val="00157CC1"/>
    <w:rsid w:val="001608CA"/>
    <w:rsid w:val="00160F11"/>
    <w:rsid w:val="00160F30"/>
    <w:rsid w:val="0016139B"/>
    <w:rsid w:val="00161646"/>
    <w:rsid w:val="00161FDA"/>
    <w:rsid w:val="00162525"/>
    <w:rsid w:val="001628C2"/>
    <w:rsid w:val="00162AB6"/>
    <w:rsid w:val="00162C7C"/>
    <w:rsid w:val="00162C82"/>
    <w:rsid w:val="00163308"/>
    <w:rsid w:val="001638F5"/>
    <w:rsid w:val="00163D07"/>
    <w:rsid w:val="00164568"/>
    <w:rsid w:val="00164CF8"/>
    <w:rsid w:val="0016521C"/>
    <w:rsid w:val="001656F5"/>
    <w:rsid w:val="001660CE"/>
    <w:rsid w:val="00166B5D"/>
    <w:rsid w:val="0016703E"/>
    <w:rsid w:val="00167281"/>
    <w:rsid w:val="0016786E"/>
    <w:rsid w:val="001678D7"/>
    <w:rsid w:val="00167C41"/>
    <w:rsid w:val="00170231"/>
    <w:rsid w:val="00170417"/>
    <w:rsid w:val="00170DD5"/>
    <w:rsid w:val="00170F17"/>
    <w:rsid w:val="00171162"/>
    <w:rsid w:val="001715E3"/>
    <w:rsid w:val="00171643"/>
    <w:rsid w:val="00171FAF"/>
    <w:rsid w:val="00171FE6"/>
    <w:rsid w:val="001720EC"/>
    <w:rsid w:val="00172409"/>
    <w:rsid w:val="00173124"/>
    <w:rsid w:val="00173972"/>
    <w:rsid w:val="00173C69"/>
    <w:rsid w:val="00174122"/>
    <w:rsid w:val="0017412A"/>
    <w:rsid w:val="00174F78"/>
    <w:rsid w:val="00174F80"/>
    <w:rsid w:val="001759FC"/>
    <w:rsid w:val="00175AB1"/>
    <w:rsid w:val="00175C81"/>
    <w:rsid w:val="001760C8"/>
    <w:rsid w:val="00176178"/>
    <w:rsid w:val="001769FC"/>
    <w:rsid w:val="00176A79"/>
    <w:rsid w:val="00176E25"/>
    <w:rsid w:val="00177438"/>
    <w:rsid w:val="0017747B"/>
    <w:rsid w:val="001777B0"/>
    <w:rsid w:val="001778A3"/>
    <w:rsid w:val="00177A02"/>
    <w:rsid w:val="001803D7"/>
    <w:rsid w:val="00180750"/>
    <w:rsid w:val="001808C5"/>
    <w:rsid w:val="0018149A"/>
    <w:rsid w:val="0018161F"/>
    <w:rsid w:val="00181F20"/>
    <w:rsid w:val="00182390"/>
    <w:rsid w:val="00182A6D"/>
    <w:rsid w:val="00182B55"/>
    <w:rsid w:val="001832D1"/>
    <w:rsid w:val="00183D15"/>
    <w:rsid w:val="001846DF"/>
    <w:rsid w:val="001847B5"/>
    <w:rsid w:val="00184E2A"/>
    <w:rsid w:val="001858F2"/>
    <w:rsid w:val="00185BB7"/>
    <w:rsid w:val="001862AC"/>
    <w:rsid w:val="001869BE"/>
    <w:rsid w:val="00186F47"/>
    <w:rsid w:val="001876E7"/>
    <w:rsid w:val="00187DAA"/>
    <w:rsid w:val="00187FBA"/>
    <w:rsid w:val="00190F4A"/>
    <w:rsid w:val="001910EA"/>
    <w:rsid w:val="00191133"/>
    <w:rsid w:val="001917FF"/>
    <w:rsid w:val="00191BA7"/>
    <w:rsid w:val="00192F27"/>
    <w:rsid w:val="00193B7B"/>
    <w:rsid w:val="0019497A"/>
    <w:rsid w:val="00194BF8"/>
    <w:rsid w:val="001957D3"/>
    <w:rsid w:val="0019597B"/>
    <w:rsid w:val="00195E5E"/>
    <w:rsid w:val="00195F19"/>
    <w:rsid w:val="00196858"/>
    <w:rsid w:val="00196BA9"/>
    <w:rsid w:val="00196F09"/>
    <w:rsid w:val="00196F43"/>
    <w:rsid w:val="0019789F"/>
    <w:rsid w:val="001978E7"/>
    <w:rsid w:val="00197EA9"/>
    <w:rsid w:val="001A0C34"/>
    <w:rsid w:val="001A1405"/>
    <w:rsid w:val="001A17A9"/>
    <w:rsid w:val="001A1F84"/>
    <w:rsid w:val="001A245B"/>
    <w:rsid w:val="001A27C5"/>
    <w:rsid w:val="001A2CF2"/>
    <w:rsid w:val="001A2D2E"/>
    <w:rsid w:val="001A2DAD"/>
    <w:rsid w:val="001A35F6"/>
    <w:rsid w:val="001A3C88"/>
    <w:rsid w:val="001A3FC1"/>
    <w:rsid w:val="001A4A39"/>
    <w:rsid w:val="001A4ACF"/>
    <w:rsid w:val="001A4CC5"/>
    <w:rsid w:val="001A4D0F"/>
    <w:rsid w:val="001A516E"/>
    <w:rsid w:val="001A5235"/>
    <w:rsid w:val="001A58DB"/>
    <w:rsid w:val="001A60EC"/>
    <w:rsid w:val="001A6C7D"/>
    <w:rsid w:val="001A721F"/>
    <w:rsid w:val="001A79BE"/>
    <w:rsid w:val="001A7A44"/>
    <w:rsid w:val="001B03AB"/>
    <w:rsid w:val="001B04DB"/>
    <w:rsid w:val="001B0991"/>
    <w:rsid w:val="001B0BB0"/>
    <w:rsid w:val="001B1C82"/>
    <w:rsid w:val="001B1F0A"/>
    <w:rsid w:val="001B209F"/>
    <w:rsid w:val="001B2887"/>
    <w:rsid w:val="001B38D8"/>
    <w:rsid w:val="001B4134"/>
    <w:rsid w:val="001B4315"/>
    <w:rsid w:val="001B475F"/>
    <w:rsid w:val="001B51CF"/>
    <w:rsid w:val="001B5266"/>
    <w:rsid w:val="001B6213"/>
    <w:rsid w:val="001B6380"/>
    <w:rsid w:val="001B6E94"/>
    <w:rsid w:val="001B78E1"/>
    <w:rsid w:val="001B7961"/>
    <w:rsid w:val="001C0034"/>
    <w:rsid w:val="001C0195"/>
    <w:rsid w:val="001C15A2"/>
    <w:rsid w:val="001C1669"/>
    <w:rsid w:val="001C1B27"/>
    <w:rsid w:val="001C1B99"/>
    <w:rsid w:val="001C1F3D"/>
    <w:rsid w:val="001C1F48"/>
    <w:rsid w:val="001C22C4"/>
    <w:rsid w:val="001C2510"/>
    <w:rsid w:val="001C276D"/>
    <w:rsid w:val="001C288F"/>
    <w:rsid w:val="001C28CF"/>
    <w:rsid w:val="001C290D"/>
    <w:rsid w:val="001C386C"/>
    <w:rsid w:val="001C3B9D"/>
    <w:rsid w:val="001C3C2C"/>
    <w:rsid w:val="001C405C"/>
    <w:rsid w:val="001C4A8F"/>
    <w:rsid w:val="001C4B1B"/>
    <w:rsid w:val="001C4BFE"/>
    <w:rsid w:val="001C4D4D"/>
    <w:rsid w:val="001C4DF5"/>
    <w:rsid w:val="001C5258"/>
    <w:rsid w:val="001C561F"/>
    <w:rsid w:val="001C5655"/>
    <w:rsid w:val="001C57C6"/>
    <w:rsid w:val="001C69A1"/>
    <w:rsid w:val="001C6B9C"/>
    <w:rsid w:val="001C6C0E"/>
    <w:rsid w:val="001C6C69"/>
    <w:rsid w:val="001C70AC"/>
    <w:rsid w:val="001C7812"/>
    <w:rsid w:val="001D0820"/>
    <w:rsid w:val="001D0878"/>
    <w:rsid w:val="001D09E8"/>
    <w:rsid w:val="001D0D5C"/>
    <w:rsid w:val="001D0EAE"/>
    <w:rsid w:val="001D1986"/>
    <w:rsid w:val="001D2480"/>
    <w:rsid w:val="001D2AA1"/>
    <w:rsid w:val="001D2F45"/>
    <w:rsid w:val="001D3315"/>
    <w:rsid w:val="001D49CC"/>
    <w:rsid w:val="001D5252"/>
    <w:rsid w:val="001D5484"/>
    <w:rsid w:val="001D5B5E"/>
    <w:rsid w:val="001D5BCE"/>
    <w:rsid w:val="001D5C4E"/>
    <w:rsid w:val="001D5C53"/>
    <w:rsid w:val="001D5DC2"/>
    <w:rsid w:val="001D6112"/>
    <w:rsid w:val="001D647F"/>
    <w:rsid w:val="001D66F2"/>
    <w:rsid w:val="001D726F"/>
    <w:rsid w:val="001D73A4"/>
    <w:rsid w:val="001D7879"/>
    <w:rsid w:val="001D7FF2"/>
    <w:rsid w:val="001E09C0"/>
    <w:rsid w:val="001E0D87"/>
    <w:rsid w:val="001E0F6D"/>
    <w:rsid w:val="001E11C1"/>
    <w:rsid w:val="001E235C"/>
    <w:rsid w:val="001E3263"/>
    <w:rsid w:val="001E3BD3"/>
    <w:rsid w:val="001E4B87"/>
    <w:rsid w:val="001E4F01"/>
    <w:rsid w:val="001E4F06"/>
    <w:rsid w:val="001E50EA"/>
    <w:rsid w:val="001E5A45"/>
    <w:rsid w:val="001E5CD5"/>
    <w:rsid w:val="001E5FF3"/>
    <w:rsid w:val="001E62E1"/>
    <w:rsid w:val="001E67E1"/>
    <w:rsid w:val="001E70A7"/>
    <w:rsid w:val="001F0C4D"/>
    <w:rsid w:val="001F13D6"/>
    <w:rsid w:val="001F17C9"/>
    <w:rsid w:val="001F1B24"/>
    <w:rsid w:val="001F1EB9"/>
    <w:rsid w:val="001F1F85"/>
    <w:rsid w:val="001F2107"/>
    <w:rsid w:val="001F28F0"/>
    <w:rsid w:val="001F3799"/>
    <w:rsid w:val="001F3A4E"/>
    <w:rsid w:val="001F3BB3"/>
    <w:rsid w:val="001F3D12"/>
    <w:rsid w:val="001F3DC2"/>
    <w:rsid w:val="001F3F50"/>
    <w:rsid w:val="001F4055"/>
    <w:rsid w:val="001F4AF1"/>
    <w:rsid w:val="001F585B"/>
    <w:rsid w:val="001F5D9B"/>
    <w:rsid w:val="001F5DE9"/>
    <w:rsid w:val="002001DF"/>
    <w:rsid w:val="00200349"/>
    <w:rsid w:val="00200EA0"/>
    <w:rsid w:val="00200EDC"/>
    <w:rsid w:val="00201DBC"/>
    <w:rsid w:val="00201F8F"/>
    <w:rsid w:val="00202306"/>
    <w:rsid w:val="002032D4"/>
    <w:rsid w:val="002032F1"/>
    <w:rsid w:val="002035EF"/>
    <w:rsid w:val="0020389B"/>
    <w:rsid w:val="00203A52"/>
    <w:rsid w:val="00204596"/>
    <w:rsid w:val="002048D7"/>
    <w:rsid w:val="002048E4"/>
    <w:rsid w:val="002068C1"/>
    <w:rsid w:val="00206A83"/>
    <w:rsid w:val="00206DB9"/>
    <w:rsid w:val="00207254"/>
    <w:rsid w:val="00207F42"/>
    <w:rsid w:val="00210BDD"/>
    <w:rsid w:val="00211814"/>
    <w:rsid w:val="00211D94"/>
    <w:rsid w:val="00211E05"/>
    <w:rsid w:val="0021224F"/>
    <w:rsid w:val="00212489"/>
    <w:rsid w:val="002124CB"/>
    <w:rsid w:val="002129DD"/>
    <w:rsid w:val="00212DA9"/>
    <w:rsid w:val="002136D5"/>
    <w:rsid w:val="0021397C"/>
    <w:rsid w:val="00213A7D"/>
    <w:rsid w:val="00213D84"/>
    <w:rsid w:val="00214575"/>
    <w:rsid w:val="002146EC"/>
    <w:rsid w:val="00215213"/>
    <w:rsid w:val="002156E1"/>
    <w:rsid w:val="00215AEA"/>
    <w:rsid w:val="00216894"/>
    <w:rsid w:val="002169BD"/>
    <w:rsid w:val="00217D07"/>
    <w:rsid w:val="00220794"/>
    <w:rsid w:val="002209C2"/>
    <w:rsid w:val="00220C15"/>
    <w:rsid w:val="0022139A"/>
    <w:rsid w:val="00222C80"/>
    <w:rsid w:val="00223AEE"/>
    <w:rsid w:val="00224D94"/>
    <w:rsid w:val="00224FA6"/>
    <w:rsid w:val="00225CE1"/>
    <w:rsid w:val="002261D6"/>
    <w:rsid w:val="002266C5"/>
    <w:rsid w:val="00227801"/>
    <w:rsid w:val="00227896"/>
    <w:rsid w:val="00227989"/>
    <w:rsid w:val="00227A3A"/>
    <w:rsid w:val="00227B0D"/>
    <w:rsid w:val="00227F40"/>
    <w:rsid w:val="00230188"/>
    <w:rsid w:val="002301B2"/>
    <w:rsid w:val="002303B1"/>
    <w:rsid w:val="00230DB1"/>
    <w:rsid w:val="00231383"/>
    <w:rsid w:val="0023148A"/>
    <w:rsid w:val="00231CD9"/>
    <w:rsid w:val="00232C9C"/>
    <w:rsid w:val="00232ECB"/>
    <w:rsid w:val="0023322A"/>
    <w:rsid w:val="002335E6"/>
    <w:rsid w:val="002336D4"/>
    <w:rsid w:val="002338D1"/>
    <w:rsid w:val="002339F7"/>
    <w:rsid w:val="00233A29"/>
    <w:rsid w:val="00233AF2"/>
    <w:rsid w:val="00233B00"/>
    <w:rsid w:val="00233F90"/>
    <w:rsid w:val="00233FC5"/>
    <w:rsid w:val="002341EF"/>
    <w:rsid w:val="00234A2D"/>
    <w:rsid w:val="00235B12"/>
    <w:rsid w:val="002368AF"/>
    <w:rsid w:val="002370A8"/>
    <w:rsid w:val="002375AD"/>
    <w:rsid w:val="00240618"/>
    <w:rsid w:val="00240C3D"/>
    <w:rsid w:val="00240C42"/>
    <w:rsid w:val="00240D3F"/>
    <w:rsid w:val="00240F2C"/>
    <w:rsid w:val="002410E6"/>
    <w:rsid w:val="00241B3F"/>
    <w:rsid w:val="002420F2"/>
    <w:rsid w:val="00242B47"/>
    <w:rsid w:val="00242C4F"/>
    <w:rsid w:val="002431EA"/>
    <w:rsid w:val="002438DB"/>
    <w:rsid w:val="00244E5A"/>
    <w:rsid w:val="00244F0D"/>
    <w:rsid w:val="00245840"/>
    <w:rsid w:val="00245927"/>
    <w:rsid w:val="00245C32"/>
    <w:rsid w:val="002464C5"/>
    <w:rsid w:val="00246DF6"/>
    <w:rsid w:val="00250015"/>
    <w:rsid w:val="00251347"/>
    <w:rsid w:val="00251C83"/>
    <w:rsid w:val="00252AF0"/>
    <w:rsid w:val="00252E1F"/>
    <w:rsid w:val="00254A7C"/>
    <w:rsid w:val="00254B58"/>
    <w:rsid w:val="00255407"/>
    <w:rsid w:val="002554C0"/>
    <w:rsid w:val="00255538"/>
    <w:rsid w:val="00255801"/>
    <w:rsid w:val="0025582C"/>
    <w:rsid w:val="002563E0"/>
    <w:rsid w:val="002567C2"/>
    <w:rsid w:val="00256D24"/>
    <w:rsid w:val="00256FEC"/>
    <w:rsid w:val="00257AEC"/>
    <w:rsid w:val="00257F6F"/>
    <w:rsid w:val="00260250"/>
    <w:rsid w:val="002605E6"/>
    <w:rsid w:val="00260D19"/>
    <w:rsid w:val="00261249"/>
    <w:rsid w:val="00261D75"/>
    <w:rsid w:val="002620E6"/>
    <w:rsid w:val="00262A5D"/>
    <w:rsid w:val="002630CA"/>
    <w:rsid w:val="002632A8"/>
    <w:rsid w:val="002634AD"/>
    <w:rsid w:val="0026367C"/>
    <w:rsid w:val="00264880"/>
    <w:rsid w:val="00264A56"/>
    <w:rsid w:val="00264E53"/>
    <w:rsid w:val="00264F4C"/>
    <w:rsid w:val="002650BB"/>
    <w:rsid w:val="0026549A"/>
    <w:rsid w:val="002654D3"/>
    <w:rsid w:val="0026556F"/>
    <w:rsid w:val="0026574B"/>
    <w:rsid w:val="00265905"/>
    <w:rsid w:val="00266402"/>
    <w:rsid w:val="00266F58"/>
    <w:rsid w:val="0026718E"/>
    <w:rsid w:val="00267CF0"/>
    <w:rsid w:val="00270331"/>
    <w:rsid w:val="0027038B"/>
    <w:rsid w:val="00270651"/>
    <w:rsid w:val="00270CBB"/>
    <w:rsid w:val="00270F6D"/>
    <w:rsid w:val="002712E2"/>
    <w:rsid w:val="00271D0A"/>
    <w:rsid w:val="00271D65"/>
    <w:rsid w:val="002731FD"/>
    <w:rsid w:val="002732D8"/>
    <w:rsid w:val="0027340E"/>
    <w:rsid w:val="0027345D"/>
    <w:rsid w:val="00273771"/>
    <w:rsid w:val="002738B6"/>
    <w:rsid w:val="00273CCB"/>
    <w:rsid w:val="002749F6"/>
    <w:rsid w:val="00274BB8"/>
    <w:rsid w:val="00274CCB"/>
    <w:rsid w:val="002768E0"/>
    <w:rsid w:val="00276ED1"/>
    <w:rsid w:val="00277393"/>
    <w:rsid w:val="00277960"/>
    <w:rsid w:val="002809A5"/>
    <w:rsid w:val="00280A8B"/>
    <w:rsid w:val="00280E8B"/>
    <w:rsid w:val="00281398"/>
    <w:rsid w:val="002818A0"/>
    <w:rsid w:val="002819CD"/>
    <w:rsid w:val="00281F34"/>
    <w:rsid w:val="00282083"/>
    <w:rsid w:val="00282239"/>
    <w:rsid w:val="002826DE"/>
    <w:rsid w:val="00282881"/>
    <w:rsid w:val="002828CB"/>
    <w:rsid w:val="0028294D"/>
    <w:rsid w:val="00282E3E"/>
    <w:rsid w:val="00284BED"/>
    <w:rsid w:val="00284F76"/>
    <w:rsid w:val="0028546C"/>
    <w:rsid w:val="00285F96"/>
    <w:rsid w:val="002861D6"/>
    <w:rsid w:val="00286CFF"/>
    <w:rsid w:val="00286F61"/>
    <w:rsid w:val="0028727D"/>
    <w:rsid w:val="00287A02"/>
    <w:rsid w:val="00287A70"/>
    <w:rsid w:val="00287D89"/>
    <w:rsid w:val="00287E98"/>
    <w:rsid w:val="00290325"/>
    <w:rsid w:val="00290567"/>
    <w:rsid w:val="00290ADF"/>
    <w:rsid w:val="002918B8"/>
    <w:rsid w:val="00291A05"/>
    <w:rsid w:val="00291AB7"/>
    <w:rsid w:val="00292D77"/>
    <w:rsid w:val="00292DB6"/>
    <w:rsid w:val="00292E37"/>
    <w:rsid w:val="00292EFB"/>
    <w:rsid w:val="00293075"/>
    <w:rsid w:val="00293359"/>
    <w:rsid w:val="00293A42"/>
    <w:rsid w:val="00294034"/>
    <w:rsid w:val="002946CB"/>
    <w:rsid w:val="0029475A"/>
    <w:rsid w:val="00294C6C"/>
    <w:rsid w:val="00295027"/>
    <w:rsid w:val="0029510E"/>
    <w:rsid w:val="00295184"/>
    <w:rsid w:val="00295295"/>
    <w:rsid w:val="00295E17"/>
    <w:rsid w:val="00296451"/>
    <w:rsid w:val="002969A2"/>
    <w:rsid w:val="00296A02"/>
    <w:rsid w:val="00296AFD"/>
    <w:rsid w:val="00296BF3"/>
    <w:rsid w:val="00296C27"/>
    <w:rsid w:val="00296E57"/>
    <w:rsid w:val="00297272"/>
    <w:rsid w:val="00297744"/>
    <w:rsid w:val="0029777D"/>
    <w:rsid w:val="00297FE6"/>
    <w:rsid w:val="002A039F"/>
    <w:rsid w:val="002A0401"/>
    <w:rsid w:val="002A06C1"/>
    <w:rsid w:val="002A087F"/>
    <w:rsid w:val="002A0B9F"/>
    <w:rsid w:val="002A1042"/>
    <w:rsid w:val="002A1319"/>
    <w:rsid w:val="002A15BF"/>
    <w:rsid w:val="002A1638"/>
    <w:rsid w:val="002A1798"/>
    <w:rsid w:val="002A2AF6"/>
    <w:rsid w:val="002A2D17"/>
    <w:rsid w:val="002A2D18"/>
    <w:rsid w:val="002A3407"/>
    <w:rsid w:val="002A3FD1"/>
    <w:rsid w:val="002A420B"/>
    <w:rsid w:val="002A4B2B"/>
    <w:rsid w:val="002A5221"/>
    <w:rsid w:val="002A530E"/>
    <w:rsid w:val="002A53C6"/>
    <w:rsid w:val="002A591C"/>
    <w:rsid w:val="002A61DC"/>
    <w:rsid w:val="002A63A5"/>
    <w:rsid w:val="002A6A4E"/>
    <w:rsid w:val="002A6AF0"/>
    <w:rsid w:val="002A6C8C"/>
    <w:rsid w:val="002A70CD"/>
    <w:rsid w:val="002A7E19"/>
    <w:rsid w:val="002B0397"/>
    <w:rsid w:val="002B0AE9"/>
    <w:rsid w:val="002B0EC2"/>
    <w:rsid w:val="002B153F"/>
    <w:rsid w:val="002B1608"/>
    <w:rsid w:val="002B18F6"/>
    <w:rsid w:val="002B1D36"/>
    <w:rsid w:val="002B24C3"/>
    <w:rsid w:val="002B2B70"/>
    <w:rsid w:val="002B2D83"/>
    <w:rsid w:val="002B2E4B"/>
    <w:rsid w:val="002B2E8F"/>
    <w:rsid w:val="002B2F30"/>
    <w:rsid w:val="002B3140"/>
    <w:rsid w:val="002B33A4"/>
    <w:rsid w:val="002B35BB"/>
    <w:rsid w:val="002B3C33"/>
    <w:rsid w:val="002B40F1"/>
    <w:rsid w:val="002B417D"/>
    <w:rsid w:val="002B45A9"/>
    <w:rsid w:val="002B5AAD"/>
    <w:rsid w:val="002B5D26"/>
    <w:rsid w:val="002B5DB0"/>
    <w:rsid w:val="002B6B50"/>
    <w:rsid w:val="002B7A39"/>
    <w:rsid w:val="002B7B55"/>
    <w:rsid w:val="002B7BC0"/>
    <w:rsid w:val="002C03B6"/>
    <w:rsid w:val="002C03F2"/>
    <w:rsid w:val="002C0DE8"/>
    <w:rsid w:val="002C1018"/>
    <w:rsid w:val="002C14A7"/>
    <w:rsid w:val="002C1EE8"/>
    <w:rsid w:val="002C2776"/>
    <w:rsid w:val="002C30EA"/>
    <w:rsid w:val="002C3EDD"/>
    <w:rsid w:val="002C3F00"/>
    <w:rsid w:val="002C466C"/>
    <w:rsid w:val="002C4723"/>
    <w:rsid w:val="002C480F"/>
    <w:rsid w:val="002C4C22"/>
    <w:rsid w:val="002C5253"/>
    <w:rsid w:val="002C6516"/>
    <w:rsid w:val="002C6680"/>
    <w:rsid w:val="002C68BF"/>
    <w:rsid w:val="002C693C"/>
    <w:rsid w:val="002C6ECC"/>
    <w:rsid w:val="002D0425"/>
    <w:rsid w:val="002D0903"/>
    <w:rsid w:val="002D0942"/>
    <w:rsid w:val="002D0B3F"/>
    <w:rsid w:val="002D0B8E"/>
    <w:rsid w:val="002D0E25"/>
    <w:rsid w:val="002D1080"/>
    <w:rsid w:val="002D22BB"/>
    <w:rsid w:val="002D2BEC"/>
    <w:rsid w:val="002D313E"/>
    <w:rsid w:val="002D319D"/>
    <w:rsid w:val="002D3552"/>
    <w:rsid w:val="002D3556"/>
    <w:rsid w:val="002D42BA"/>
    <w:rsid w:val="002D4443"/>
    <w:rsid w:val="002D4FFF"/>
    <w:rsid w:val="002D592C"/>
    <w:rsid w:val="002D59FE"/>
    <w:rsid w:val="002D6060"/>
    <w:rsid w:val="002D68A6"/>
    <w:rsid w:val="002D6B8A"/>
    <w:rsid w:val="002D6C95"/>
    <w:rsid w:val="002D6E95"/>
    <w:rsid w:val="002D726F"/>
    <w:rsid w:val="002D7D89"/>
    <w:rsid w:val="002E0141"/>
    <w:rsid w:val="002E0216"/>
    <w:rsid w:val="002E0B24"/>
    <w:rsid w:val="002E0C00"/>
    <w:rsid w:val="002E16D2"/>
    <w:rsid w:val="002E182E"/>
    <w:rsid w:val="002E1B0A"/>
    <w:rsid w:val="002E24DD"/>
    <w:rsid w:val="002E2ED7"/>
    <w:rsid w:val="002E36FF"/>
    <w:rsid w:val="002E3CCC"/>
    <w:rsid w:val="002E4395"/>
    <w:rsid w:val="002E4966"/>
    <w:rsid w:val="002E4A0B"/>
    <w:rsid w:val="002E4BF3"/>
    <w:rsid w:val="002E55B0"/>
    <w:rsid w:val="002E5698"/>
    <w:rsid w:val="002E5876"/>
    <w:rsid w:val="002E5C28"/>
    <w:rsid w:val="002E60D5"/>
    <w:rsid w:val="002E61C1"/>
    <w:rsid w:val="002E6561"/>
    <w:rsid w:val="002E6C7E"/>
    <w:rsid w:val="002E70D2"/>
    <w:rsid w:val="002E78FE"/>
    <w:rsid w:val="002F0082"/>
    <w:rsid w:val="002F0953"/>
    <w:rsid w:val="002F1068"/>
    <w:rsid w:val="002F13E7"/>
    <w:rsid w:val="002F29BA"/>
    <w:rsid w:val="002F2BB9"/>
    <w:rsid w:val="002F3418"/>
    <w:rsid w:val="002F3842"/>
    <w:rsid w:val="002F3AEB"/>
    <w:rsid w:val="002F3F2C"/>
    <w:rsid w:val="002F41A0"/>
    <w:rsid w:val="002F43E3"/>
    <w:rsid w:val="002F4431"/>
    <w:rsid w:val="002F4B62"/>
    <w:rsid w:val="002F4E31"/>
    <w:rsid w:val="002F50CE"/>
    <w:rsid w:val="002F55B5"/>
    <w:rsid w:val="002F5CD0"/>
    <w:rsid w:val="002F5E84"/>
    <w:rsid w:val="002F60EF"/>
    <w:rsid w:val="002F7426"/>
    <w:rsid w:val="002F7479"/>
    <w:rsid w:val="002F7E5B"/>
    <w:rsid w:val="003002BA"/>
    <w:rsid w:val="00300F85"/>
    <w:rsid w:val="00301420"/>
    <w:rsid w:val="00301AF2"/>
    <w:rsid w:val="00302304"/>
    <w:rsid w:val="0030296B"/>
    <w:rsid w:val="00302ACB"/>
    <w:rsid w:val="00302F3F"/>
    <w:rsid w:val="003033E9"/>
    <w:rsid w:val="003040A9"/>
    <w:rsid w:val="003044DC"/>
    <w:rsid w:val="00304623"/>
    <w:rsid w:val="003046AB"/>
    <w:rsid w:val="00304863"/>
    <w:rsid w:val="0030502B"/>
    <w:rsid w:val="00305A3A"/>
    <w:rsid w:val="00305F28"/>
    <w:rsid w:val="00306131"/>
    <w:rsid w:val="00306773"/>
    <w:rsid w:val="0030682B"/>
    <w:rsid w:val="003070AC"/>
    <w:rsid w:val="0030728E"/>
    <w:rsid w:val="003073FA"/>
    <w:rsid w:val="0030750B"/>
    <w:rsid w:val="00307727"/>
    <w:rsid w:val="003101FD"/>
    <w:rsid w:val="003106CC"/>
    <w:rsid w:val="00310F7B"/>
    <w:rsid w:val="003110F5"/>
    <w:rsid w:val="003117C7"/>
    <w:rsid w:val="00311A22"/>
    <w:rsid w:val="00312023"/>
    <w:rsid w:val="00313C83"/>
    <w:rsid w:val="00314135"/>
    <w:rsid w:val="00314D36"/>
    <w:rsid w:val="00314DFC"/>
    <w:rsid w:val="0031560C"/>
    <w:rsid w:val="0031640C"/>
    <w:rsid w:val="00316953"/>
    <w:rsid w:val="003170AA"/>
    <w:rsid w:val="00317822"/>
    <w:rsid w:val="0031786D"/>
    <w:rsid w:val="00317A46"/>
    <w:rsid w:val="00320182"/>
    <w:rsid w:val="00320456"/>
    <w:rsid w:val="00320FB4"/>
    <w:rsid w:val="00321586"/>
    <w:rsid w:val="0032174A"/>
    <w:rsid w:val="00321D05"/>
    <w:rsid w:val="00321ED6"/>
    <w:rsid w:val="00322132"/>
    <w:rsid w:val="0032256C"/>
    <w:rsid w:val="00323279"/>
    <w:rsid w:val="00323710"/>
    <w:rsid w:val="003246A4"/>
    <w:rsid w:val="00324F2C"/>
    <w:rsid w:val="00325690"/>
    <w:rsid w:val="00325A54"/>
    <w:rsid w:val="00326DB9"/>
    <w:rsid w:val="00326E9C"/>
    <w:rsid w:val="00327550"/>
    <w:rsid w:val="00327596"/>
    <w:rsid w:val="00327B37"/>
    <w:rsid w:val="00327BF3"/>
    <w:rsid w:val="00330260"/>
    <w:rsid w:val="00330774"/>
    <w:rsid w:val="00330D10"/>
    <w:rsid w:val="00330E7C"/>
    <w:rsid w:val="003317FF"/>
    <w:rsid w:val="00331CC5"/>
    <w:rsid w:val="00332860"/>
    <w:rsid w:val="0033428A"/>
    <w:rsid w:val="003342D3"/>
    <w:rsid w:val="003350F0"/>
    <w:rsid w:val="00335166"/>
    <w:rsid w:val="0033518C"/>
    <w:rsid w:val="003356F3"/>
    <w:rsid w:val="00335B67"/>
    <w:rsid w:val="00335CF9"/>
    <w:rsid w:val="00336887"/>
    <w:rsid w:val="00336936"/>
    <w:rsid w:val="00336AA9"/>
    <w:rsid w:val="003375BA"/>
    <w:rsid w:val="003379FA"/>
    <w:rsid w:val="00337A82"/>
    <w:rsid w:val="00337CB2"/>
    <w:rsid w:val="00340170"/>
    <w:rsid w:val="0034043D"/>
    <w:rsid w:val="003406FD"/>
    <w:rsid w:val="00340721"/>
    <w:rsid w:val="00340B9F"/>
    <w:rsid w:val="003410A2"/>
    <w:rsid w:val="00341600"/>
    <w:rsid w:val="003416F1"/>
    <w:rsid w:val="00341F5A"/>
    <w:rsid w:val="00341FFA"/>
    <w:rsid w:val="00342365"/>
    <w:rsid w:val="0034282B"/>
    <w:rsid w:val="00342D06"/>
    <w:rsid w:val="00342F2B"/>
    <w:rsid w:val="00343099"/>
    <w:rsid w:val="00343B0B"/>
    <w:rsid w:val="00344756"/>
    <w:rsid w:val="00344BBC"/>
    <w:rsid w:val="00344F9B"/>
    <w:rsid w:val="00345528"/>
    <w:rsid w:val="00345B23"/>
    <w:rsid w:val="00346AAC"/>
    <w:rsid w:val="003475BC"/>
    <w:rsid w:val="0035004C"/>
    <w:rsid w:val="00352DA6"/>
    <w:rsid w:val="00352E5D"/>
    <w:rsid w:val="00352F57"/>
    <w:rsid w:val="003532B7"/>
    <w:rsid w:val="0035420A"/>
    <w:rsid w:val="00354C23"/>
    <w:rsid w:val="00354F98"/>
    <w:rsid w:val="003559AB"/>
    <w:rsid w:val="00355A9E"/>
    <w:rsid w:val="00356116"/>
    <w:rsid w:val="003562B3"/>
    <w:rsid w:val="00356C46"/>
    <w:rsid w:val="00357030"/>
    <w:rsid w:val="003610FF"/>
    <w:rsid w:val="00361C29"/>
    <w:rsid w:val="003623CF"/>
    <w:rsid w:val="00362F8C"/>
    <w:rsid w:val="00363360"/>
    <w:rsid w:val="003633F3"/>
    <w:rsid w:val="00363548"/>
    <w:rsid w:val="00363985"/>
    <w:rsid w:val="00363ADA"/>
    <w:rsid w:val="00363D39"/>
    <w:rsid w:val="00365449"/>
    <w:rsid w:val="0036585B"/>
    <w:rsid w:val="003658F5"/>
    <w:rsid w:val="0036597D"/>
    <w:rsid w:val="00365B1E"/>
    <w:rsid w:val="00365DEB"/>
    <w:rsid w:val="00366596"/>
    <w:rsid w:val="00366792"/>
    <w:rsid w:val="00366B90"/>
    <w:rsid w:val="00366C04"/>
    <w:rsid w:val="00366CAD"/>
    <w:rsid w:val="003670CE"/>
    <w:rsid w:val="00367667"/>
    <w:rsid w:val="0036799F"/>
    <w:rsid w:val="00370377"/>
    <w:rsid w:val="00370514"/>
    <w:rsid w:val="003712F9"/>
    <w:rsid w:val="00372D2B"/>
    <w:rsid w:val="00372F0E"/>
    <w:rsid w:val="0037302D"/>
    <w:rsid w:val="00374629"/>
    <w:rsid w:val="00374908"/>
    <w:rsid w:val="00374AB7"/>
    <w:rsid w:val="00375C8A"/>
    <w:rsid w:val="003762E5"/>
    <w:rsid w:val="0037681A"/>
    <w:rsid w:val="00376A37"/>
    <w:rsid w:val="00376B6A"/>
    <w:rsid w:val="00377028"/>
    <w:rsid w:val="0037779C"/>
    <w:rsid w:val="00377974"/>
    <w:rsid w:val="0038014A"/>
    <w:rsid w:val="00380855"/>
    <w:rsid w:val="00381058"/>
    <w:rsid w:val="0038147B"/>
    <w:rsid w:val="00381505"/>
    <w:rsid w:val="00381679"/>
    <w:rsid w:val="00382768"/>
    <w:rsid w:val="00382B4A"/>
    <w:rsid w:val="00382DEE"/>
    <w:rsid w:val="003832ED"/>
    <w:rsid w:val="00383D29"/>
    <w:rsid w:val="00383E9B"/>
    <w:rsid w:val="0038418D"/>
    <w:rsid w:val="00384727"/>
    <w:rsid w:val="00384DE7"/>
    <w:rsid w:val="0038524D"/>
    <w:rsid w:val="00385362"/>
    <w:rsid w:val="0038576A"/>
    <w:rsid w:val="00385AD0"/>
    <w:rsid w:val="0038610D"/>
    <w:rsid w:val="00386110"/>
    <w:rsid w:val="003863FE"/>
    <w:rsid w:val="00386DD7"/>
    <w:rsid w:val="003874CF"/>
    <w:rsid w:val="003877AA"/>
    <w:rsid w:val="003877FE"/>
    <w:rsid w:val="003879EB"/>
    <w:rsid w:val="003903E4"/>
    <w:rsid w:val="003904F0"/>
    <w:rsid w:val="00392236"/>
    <w:rsid w:val="003925C8"/>
    <w:rsid w:val="00392783"/>
    <w:rsid w:val="00392A4B"/>
    <w:rsid w:val="00392E34"/>
    <w:rsid w:val="00392E51"/>
    <w:rsid w:val="00393696"/>
    <w:rsid w:val="00393853"/>
    <w:rsid w:val="00393A08"/>
    <w:rsid w:val="00393B05"/>
    <w:rsid w:val="00393EE8"/>
    <w:rsid w:val="00394291"/>
    <w:rsid w:val="003945A3"/>
    <w:rsid w:val="0039498F"/>
    <w:rsid w:val="003949A1"/>
    <w:rsid w:val="00395085"/>
    <w:rsid w:val="0039594D"/>
    <w:rsid w:val="003959CE"/>
    <w:rsid w:val="003964FE"/>
    <w:rsid w:val="00396945"/>
    <w:rsid w:val="00396956"/>
    <w:rsid w:val="00396CCE"/>
    <w:rsid w:val="003970B2"/>
    <w:rsid w:val="003979D8"/>
    <w:rsid w:val="003A015E"/>
    <w:rsid w:val="003A0512"/>
    <w:rsid w:val="003A1C0D"/>
    <w:rsid w:val="003A1FB6"/>
    <w:rsid w:val="003A2C7A"/>
    <w:rsid w:val="003A2FC8"/>
    <w:rsid w:val="003A3FB1"/>
    <w:rsid w:val="003A41E2"/>
    <w:rsid w:val="003A45F5"/>
    <w:rsid w:val="003A4DBB"/>
    <w:rsid w:val="003A5142"/>
    <w:rsid w:val="003A55EA"/>
    <w:rsid w:val="003A5A75"/>
    <w:rsid w:val="003A60F9"/>
    <w:rsid w:val="003A675D"/>
    <w:rsid w:val="003A693C"/>
    <w:rsid w:val="003A6DF1"/>
    <w:rsid w:val="003A7547"/>
    <w:rsid w:val="003A75EF"/>
    <w:rsid w:val="003A78F3"/>
    <w:rsid w:val="003A7A91"/>
    <w:rsid w:val="003A7BC4"/>
    <w:rsid w:val="003A7DF5"/>
    <w:rsid w:val="003B01CC"/>
    <w:rsid w:val="003B0392"/>
    <w:rsid w:val="003B093C"/>
    <w:rsid w:val="003B0FB5"/>
    <w:rsid w:val="003B126B"/>
    <w:rsid w:val="003B21AE"/>
    <w:rsid w:val="003B3677"/>
    <w:rsid w:val="003B3889"/>
    <w:rsid w:val="003B38E5"/>
    <w:rsid w:val="003B42E9"/>
    <w:rsid w:val="003B442C"/>
    <w:rsid w:val="003B4B77"/>
    <w:rsid w:val="003B57AD"/>
    <w:rsid w:val="003B5C85"/>
    <w:rsid w:val="003B5CD8"/>
    <w:rsid w:val="003B5DB0"/>
    <w:rsid w:val="003B6DAC"/>
    <w:rsid w:val="003B792D"/>
    <w:rsid w:val="003B79AD"/>
    <w:rsid w:val="003B79FF"/>
    <w:rsid w:val="003C015F"/>
    <w:rsid w:val="003C0478"/>
    <w:rsid w:val="003C04A1"/>
    <w:rsid w:val="003C0B0B"/>
    <w:rsid w:val="003C1875"/>
    <w:rsid w:val="003C2141"/>
    <w:rsid w:val="003C2378"/>
    <w:rsid w:val="003C2B35"/>
    <w:rsid w:val="003C2CEA"/>
    <w:rsid w:val="003C2FF7"/>
    <w:rsid w:val="003C39F5"/>
    <w:rsid w:val="003C3A04"/>
    <w:rsid w:val="003C4445"/>
    <w:rsid w:val="003C49E5"/>
    <w:rsid w:val="003C4C12"/>
    <w:rsid w:val="003C510D"/>
    <w:rsid w:val="003C72C7"/>
    <w:rsid w:val="003C7B8C"/>
    <w:rsid w:val="003D10FC"/>
    <w:rsid w:val="003D1FCE"/>
    <w:rsid w:val="003D22E1"/>
    <w:rsid w:val="003D250A"/>
    <w:rsid w:val="003D2689"/>
    <w:rsid w:val="003D27B2"/>
    <w:rsid w:val="003D27DE"/>
    <w:rsid w:val="003D2A84"/>
    <w:rsid w:val="003D2C32"/>
    <w:rsid w:val="003D2D26"/>
    <w:rsid w:val="003D32AF"/>
    <w:rsid w:val="003D3BFE"/>
    <w:rsid w:val="003D3C70"/>
    <w:rsid w:val="003D4480"/>
    <w:rsid w:val="003D53E3"/>
    <w:rsid w:val="003D55EC"/>
    <w:rsid w:val="003D5D76"/>
    <w:rsid w:val="003D6A19"/>
    <w:rsid w:val="003D6C66"/>
    <w:rsid w:val="003D772F"/>
    <w:rsid w:val="003D7F27"/>
    <w:rsid w:val="003E0170"/>
    <w:rsid w:val="003E12C1"/>
    <w:rsid w:val="003E1811"/>
    <w:rsid w:val="003E321D"/>
    <w:rsid w:val="003E3F73"/>
    <w:rsid w:val="003E416F"/>
    <w:rsid w:val="003E4286"/>
    <w:rsid w:val="003E42A3"/>
    <w:rsid w:val="003E4CF7"/>
    <w:rsid w:val="003E4E42"/>
    <w:rsid w:val="003E544E"/>
    <w:rsid w:val="003E5467"/>
    <w:rsid w:val="003E56A9"/>
    <w:rsid w:val="003E5ABD"/>
    <w:rsid w:val="003E61B3"/>
    <w:rsid w:val="003E62DE"/>
    <w:rsid w:val="003E6513"/>
    <w:rsid w:val="003E6C86"/>
    <w:rsid w:val="003E742C"/>
    <w:rsid w:val="003E79B4"/>
    <w:rsid w:val="003E7ABB"/>
    <w:rsid w:val="003E7BF3"/>
    <w:rsid w:val="003E7C46"/>
    <w:rsid w:val="003F02A0"/>
    <w:rsid w:val="003F079C"/>
    <w:rsid w:val="003F090D"/>
    <w:rsid w:val="003F094D"/>
    <w:rsid w:val="003F0EB7"/>
    <w:rsid w:val="003F14DD"/>
    <w:rsid w:val="003F1BF6"/>
    <w:rsid w:val="003F240F"/>
    <w:rsid w:val="003F338D"/>
    <w:rsid w:val="003F4BB0"/>
    <w:rsid w:val="003F4E4E"/>
    <w:rsid w:val="003F5062"/>
    <w:rsid w:val="003F5C48"/>
    <w:rsid w:val="003F654F"/>
    <w:rsid w:val="003F66B7"/>
    <w:rsid w:val="003F6C4D"/>
    <w:rsid w:val="003F767B"/>
    <w:rsid w:val="00400B02"/>
    <w:rsid w:val="0040106A"/>
    <w:rsid w:val="00401690"/>
    <w:rsid w:val="00401F9B"/>
    <w:rsid w:val="0040215C"/>
    <w:rsid w:val="0040238E"/>
    <w:rsid w:val="00402B95"/>
    <w:rsid w:val="00402EE8"/>
    <w:rsid w:val="004033C4"/>
    <w:rsid w:val="00403512"/>
    <w:rsid w:val="0040385C"/>
    <w:rsid w:val="004038B4"/>
    <w:rsid w:val="00403EFA"/>
    <w:rsid w:val="004047AA"/>
    <w:rsid w:val="00405098"/>
    <w:rsid w:val="00405F7A"/>
    <w:rsid w:val="00406056"/>
    <w:rsid w:val="00406087"/>
    <w:rsid w:val="00406500"/>
    <w:rsid w:val="00406626"/>
    <w:rsid w:val="00406D1A"/>
    <w:rsid w:val="0041023F"/>
    <w:rsid w:val="00410933"/>
    <w:rsid w:val="00411736"/>
    <w:rsid w:val="0041217D"/>
    <w:rsid w:val="00412424"/>
    <w:rsid w:val="0041287B"/>
    <w:rsid w:val="004133B0"/>
    <w:rsid w:val="00413556"/>
    <w:rsid w:val="0041370D"/>
    <w:rsid w:val="0041375B"/>
    <w:rsid w:val="00414A60"/>
    <w:rsid w:val="0041527B"/>
    <w:rsid w:val="00415C47"/>
    <w:rsid w:val="00415E56"/>
    <w:rsid w:val="00415F03"/>
    <w:rsid w:val="00416240"/>
    <w:rsid w:val="00416275"/>
    <w:rsid w:val="00416396"/>
    <w:rsid w:val="0041725B"/>
    <w:rsid w:val="0041751F"/>
    <w:rsid w:val="004175EF"/>
    <w:rsid w:val="004203EB"/>
    <w:rsid w:val="004204DF"/>
    <w:rsid w:val="00421B4F"/>
    <w:rsid w:val="00421DA6"/>
    <w:rsid w:val="00422127"/>
    <w:rsid w:val="004224C9"/>
    <w:rsid w:val="00422A35"/>
    <w:rsid w:val="004239F9"/>
    <w:rsid w:val="00423A5D"/>
    <w:rsid w:val="00423E4B"/>
    <w:rsid w:val="00424188"/>
    <w:rsid w:val="0042441C"/>
    <w:rsid w:val="00425242"/>
    <w:rsid w:val="00425754"/>
    <w:rsid w:val="0042594E"/>
    <w:rsid w:val="0042682B"/>
    <w:rsid w:val="00426ACC"/>
    <w:rsid w:val="00426FF4"/>
    <w:rsid w:val="00427103"/>
    <w:rsid w:val="0042718B"/>
    <w:rsid w:val="004278A7"/>
    <w:rsid w:val="00427D41"/>
    <w:rsid w:val="00427E6D"/>
    <w:rsid w:val="00430376"/>
    <w:rsid w:val="00430CA5"/>
    <w:rsid w:val="004311FB"/>
    <w:rsid w:val="00431C77"/>
    <w:rsid w:val="00431D76"/>
    <w:rsid w:val="00432F66"/>
    <w:rsid w:val="00433377"/>
    <w:rsid w:val="0043439F"/>
    <w:rsid w:val="00434582"/>
    <w:rsid w:val="0043492B"/>
    <w:rsid w:val="004349BE"/>
    <w:rsid w:val="00435AD2"/>
    <w:rsid w:val="00435CA8"/>
    <w:rsid w:val="0043602B"/>
    <w:rsid w:val="004362DA"/>
    <w:rsid w:val="004368A3"/>
    <w:rsid w:val="0043692F"/>
    <w:rsid w:val="00436930"/>
    <w:rsid w:val="00436CB5"/>
    <w:rsid w:val="00436E99"/>
    <w:rsid w:val="004373DB"/>
    <w:rsid w:val="00437456"/>
    <w:rsid w:val="00437B1F"/>
    <w:rsid w:val="00437BB9"/>
    <w:rsid w:val="00437DE9"/>
    <w:rsid w:val="00440558"/>
    <w:rsid w:val="00440E72"/>
    <w:rsid w:val="004412B2"/>
    <w:rsid w:val="00441A06"/>
    <w:rsid w:val="00441CF9"/>
    <w:rsid w:val="00442034"/>
    <w:rsid w:val="00442289"/>
    <w:rsid w:val="004426E1"/>
    <w:rsid w:val="00442818"/>
    <w:rsid w:val="004432E0"/>
    <w:rsid w:val="0044344C"/>
    <w:rsid w:val="00443BB8"/>
    <w:rsid w:val="004449E6"/>
    <w:rsid w:val="004449F2"/>
    <w:rsid w:val="00444D75"/>
    <w:rsid w:val="00445147"/>
    <w:rsid w:val="0044540A"/>
    <w:rsid w:val="0044547C"/>
    <w:rsid w:val="00445A04"/>
    <w:rsid w:val="00445A94"/>
    <w:rsid w:val="00445B4E"/>
    <w:rsid w:val="00446EE1"/>
    <w:rsid w:val="00447970"/>
    <w:rsid w:val="00447B55"/>
    <w:rsid w:val="004508A5"/>
    <w:rsid w:val="00451980"/>
    <w:rsid w:val="00451CF9"/>
    <w:rsid w:val="00451DE0"/>
    <w:rsid w:val="00452B24"/>
    <w:rsid w:val="004536EC"/>
    <w:rsid w:val="00453C7E"/>
    <w:rsid w:val="0045420C"/>
    <w:rsid w:val="00454D1D"/>
    <w:rsid w:val="00454FC9"/>
    <w:rsid w:val="004554BD"/>
    <w:rsid w:val="004555B0"/>
    <w:rsid w:val="00455B92"/>
    <w:rsid w:val="00455C0D"/>
    <w:rsid w:val="00455ECB"/>
    <w:rsid w:val="00456C9F"/>
    <w:rsid w:val="00457255"/>
    <w:rsid w:val="00457516"/>
    <w:rsid w:val="0046029E"/>
    <w:rsid w:val="00461295"/>
    <w:rsid w:val="004613ED"/>
    <w:rsid w:val="0046194A"/>
    <w:rsid w:val="00462016"/>
    <w:rsid w:val="004620E7"/>
    <w:rsid w:val="004622DD"/>
    <w:rsid w:val="00462587"/>
    <w:rsid w:val="00462EF2"/>
    <w:rsid w:val="00463294"/>
    <w:rsid w:val="004639A8"/>
    <w:rsid w:val="00463A83"/>
    <w:rsid w:val="004649E0"/>
    <w:rsid w:val="004659FF"/>
    <w:rsid w:val="00465DA7"/>
    <w:rsid w:val="004661DA"/>
    <w:rsid w:val="00466233"/>
    <w:rsid w:val="004662E6"/>
    <w:rsid w:val="00466E1F"/>
    <w:rsid w:val="004678FD"/>
    <w:rsid w:val="00467EA3"/>
    <w:rsid w:val="004704E8"/>
    <w:rsid w:val="00470A89"/>
    <w:rsid w:val="00471126"/>
    <w:rsid w:val="0047114E"/>
    <w:rsid w:val="004716D2"/>
    <w:rsid w:val="00471EE0"/>
    <w:rsid w:val="004721F2"/>
    <w:rsid w:val="0047241C"/>
    <w:rsid w:val="00472577"/>
    <w:rsid w:val="00472831"/>
    <w:rsid w:val="0047284A"/>
    <w:rsid w:val="0047302C"/>
    <w:rsid w:val="0047330A"/>
    <w:rsid w:val="00473423"/>
    <w:rsid w:val="004737BB"/>
    <w:rsid w:val="00474199"/>
    <w:rsid w:val="004743FF"/>
    <w:rsid w:val="004746D0"/>
    <w:rsid w:val="0047544D"/>
    <w:rsid w:val="00475509"/>
    <w:rsid w:val="004755FE"/>
    <w:rsid w:val="00475679"/>
    <w:rsid w:val="00475D67"/>
    <w:rsid w:val="00476F03"/>
    <w:rsid w:val="004773C9"/>
    <w:rsid w:val="004774C6"/>
    <w:rsid w:val="004779B8"/>
    <w:rsid w:val="00477EA2"/>
    <w:rsid w:val="0048089E"/>
    <w:rsid w:val="00480925"/>
    <w:rsid w:val="00480BB7"/>
    <w:rsid w:val="0048173C"/>
    <w:rsid w:val="00481A2B"/>
    <w:rsid w:val="00481BE6"/>
    <w:rsid w:val="00481CFA"/>
    <w:rsid w:val="00482275"/>
    <w:rsid w:val="00482B79"/>
    <w:rsid w:val="004840D2"/>
    <w:rsid w:val="00484739"/>
    <w:rsid w:val="00484D38"/>
    <w:rsid w:val="00484E05"/>
    <w:rsid w:val="00485790"/>
    <w:rsid w:val="00485BB1"/>
    <w:rsid w:val="00485D4D"/>
    <w:rsid w:val="00485F2A"/>
    <w:rsid w:val="00486F82"/>
    <w:rsid w:val="004873D2"/>
    <w:rsid w:val="004875FE"/>
    <w:rsid w:val="0048772C"/>
    <w:rsid w:val="00487965"/>
    <w:rsid w:val="00487AE7"/>
    <w:rsid w:val="004908F0"/>
    <w:rsid w:val="00490AFA"/>
    <w:rsid w:val="00490BAD"/>
    <w:rsid w:val="00490F9F"/>
    <w:rsid w:val="00491B93"/>
    <w:rsid w:val="00492693"/>
    <w:rsid w:val="00492A13"/>
    <w:rsid w:val="004933D4"/>
    <w:rsid w:val="00494390"/>
    <w:rsid w:val="0049484B"/>
    <w:rsid w:val="00494856"/>
    <w:rsid w:val="00494A04"/>
    <w:rsid w:val="00494DFE"/>
    <w:rsid w:val="00494E84"/>
    <w:rsid w:val="00495208"/>
    <w:rsid w:val="00495653"/>
    <w:rsid w:val="00496FEC"/>
    <w:rsid w:val="004971A5"/>
    <w:rsid w:val="004976E0"/>
    <w:rsid w:val="0049788E"/>
    <w:rsid w:val="004A07C6"/>
    <w:rsid w:val="004A0809"/>
    <w:rsid w:val="004A0891"/>
    <w:rsid w:val="004A0955"/>
    <w:rsid w:val="004A0AC1"/>
    <w:rsid w:val="004A0B2E"/>
    <w:rsid w:val="004A11F4"/>
    <w:rsid w:val="004A136B"/>
    <w:rsid w:val="004A2367"/>
    <w:rsid w:val="004A2C16"/>
    <w:rsid w:val="004A2FD1"/>
    <w:rsid w:val="004A32C8"/>
    <w:rsid w:val="004A3B4B"/>
    <w:rsid w:val="004A55A6"/>
    <w:rsid w:val="004A55C0"/>
    <w:rsid w:val="004A5699"/>
    <w:rsid w:val="004A57B8"/>
    <w:rsid w:val="004A57D3"/>
    <w:rsid w:val="004A5A16"/>
    <w:rsid w:val="004A5C59"/>
    <w:rsid w:val="004A6080"/>
    <w:rsid w:val="004A612A"/>
    <w:rsid w:val="004A61B6"/>
    <w:rsid w:val="004A6477"/>
    <w:rsid w:val="004A6E23"/>
    <w:rsid w:val="004A75FD"/>
    <w:rsid w:val="004A7A81"/>
    <w:rsid w:val="004B0360"/>
    <w:rsid w:val="004B05C7"/>
    <w:rsid w:val="004B06CF"/>
    <w:rsid w:val="004B0A79"/>
    <w:rsid w:val="004B0E54"/>
    <w:rsid w:val="004B1B57"/>
    <w:rsid w:val="004B2E6E"/>
    <w:rsid w:val="004B2F3E"/>
    <w:rsid w:val="004B3074"/>
    <w:rsid w:val="004B3206"/>
    <w:rsid w:val="004B4501"/>
    <w:rsid w:val="004B4502"/>
    <w:rsid w:val="004B462A"/>
    <w:rsid w:val="004B464A"/>
    <w:rsid w:val="004B4897"/>
    <w:rsid w:val="004B4901"/>
    <w:rsid w:val="004B4BCF"/>
    <w:rsid w:val="004B4E2F"/>
    <w:rsid w:val="004B4F88"/>
    <w:rsid w:val="004B62E5"/>
    <w:rsid w:val="004B769A"/>
    <w:rsid w:val="004C0C9A"/>
    <w:rsid w:val="004C0CB8"/>
    <w:rsid w:val="004C0EB9"/>
    <w:rsid w:val="004C1CF3"/>
    <w:rsid w:val="004C2816"/>
    <w:rsid w:val="004C3A40"/>
    <w:rsid w:val="004C3E4C"/>
    <w:rsid w:val="004C4006"/>
    <w:rsid w:val="004C4330"/>
    <w:rsid w:val="004C43EC"/>
    <w:rsid w:val="004C4838"/>
    <w:rsid w:val="004C4B9D"/>
    <w:rsid w:val="004C516C"/>
    <w:rsid w:val="004C52C4"/>
    <w:rsid w:val="004C52DE"/>
    <w:rsid w:val="004C54AE"/>
    <w:rsid w:val="004C57DE"/>
    <w:rsid w:val="004C590E"/>
    <w:rsid w:val="004C604E"/>
    <w:rsid w:val="004C697A"/>
    <w:rsid w:val="004C764B"/>
    <w:rsid w:val="004C798A"/>
    <w:rsid w:val="004C7D6C"/>
    <w:rsid w:val="004D016C"/>
    <w:rsid w:val="004D09FB"/>
    <w:rsid w:val="004D0C3A"/>
    <w:rsid w:val="004D0E32"/>
    <w:rsid w:val="004D1436"/>
    <w:rsid w:val="004D1E3B"/>
    <w:rsid w:val="004D20DF"/>
    <w:rsid w:val="004D27F5"/>
    <w:rsid w:val="004D2B90"/>
    <w:rsid w:val="004D33A7"/>
    <w:rsid w:val="004D3BE5"/>
    <w:rsid w:val="004D4510"/>
    <w:rsid w:val="004D4F6E"/>
    <w:rsid w:val="004D5822"/>
    <w:rsid w:val="004D5891"/>
    <w:rsid w:val="004D5AD9"/>
    <w:rsid w:val="004D5D3F"/>
    <w:rsid w:val="004D66B8"/>
    <w:rsid w:val="004D711A"/>
    <w:rsid w:val="004D7AC2"/>
    <w:rsid w:val="004E0501"/>
    <w:rsid w:val="004E17B3"/>
    <w:rsid w:val="004E183C"/>
    <w:rsid w:val="004E23E5"/>
    <w:rsid w:val="004E34A6"/>
    <w:rsid w:val="004E36F9"/>
    <w:rsid w:val="004E377C"/>
    <w:rsid w:val="004E3C37"/>
    <w:rsid w:val="004E46D7"/>
    <w:rsid w:val="004E5A2F"/>
    <w:rsid w:val="004E60F6"/>
    <w:rsid w:val="004E64CA"/>
    <w:rsid w:val="004E6EA6"/>
    <w:rsid w:val="004E7459"/>
    <w:rsid w:val="004E757D"/>
    <w:rsid w:val="004F06C9"/>
    <w:rsid w:val="004F078E"/>
    <w:rsid w:val="004F0C61"/>
    <w:rsid w:val="004F1150"/>
    <w:rsid w:val="004F2D5E"/>
    <w:rsid w:val="004F3069"/>
    <w:rsid w:val="004F333F"/>
    <w:rsid w:val="004F3A08"/>
    <w:rsid w:val="004F3B5F"/>
    <w:rsid w:val="004F3C21"/>
    <w:rsid w:val="004F3CDA"/>
    <w:rsid w:val="004F3F15"/>
    <w:rsid w:val="004F429F"/>
    <w:rsid w:val="004F463A"/>
    <w:rsid w:val="004F4ABD"/>
    <w:rsid w:val="004F5AEB"/>
    <w:rsid w:val="004F685B"/>
    <w:rsid w:val="004F6B8B"/>
    <w:rsid w:val="004F738C"/>
    <w:rsid w:val="004F752D"/>
    <w:rsid w:val="00500171"/>
    <w:rsid w:val="005001FB"/>
    <w:rsid w:val="00500267"/>
    <w:rsid w:val="00500BBD"/>
    <w:rsid w:val="00500C06"/>
    <w:rsid w:val="00501209"/>
    <w:rsid w:val="005026FF"/>
    <w:rsid w:val="00502900"/>
    <w:rsid w:val="00502914"/>
    <w:rsid w:val="00503A0B"/>
    <w:rsid w:val="00503F0E"/>
    <w:rsid w:val="005040C6"/>
    <w:rsid w:val="005041A6"/>
    <w:rsid w:val="00504422"/>
    <w:rsid w:val="00504CB5"/>
    <w:rsid w:val="0050572C"/>
    <w:rsid w:val="00505F5E"/>
    <w:rsid w:val="00506D46"/>
    <w:rsid w:val="005076C6"/>
    <w:rsid w:val="00507DC8"/>
    <w:rsid w:val="0051061F"/>
    <w:rsid w:val="0051066D"/>
    <w:rsid w:val="00510AB1"/>
    <w:rsid w:val="00510D34"/>
    <w:rsid w:val="00512121"/>
    <w:rsid w:val="00512F8A"/>
    <w:rsid w:val="005143C9"/>
    <w:rsid w:val="00514AC5"/>
    <w:rsid w:val="00514B88"/>
    <w:rsid w:val="00514C3C"/>
    <w:rsid w:val="00515DFC"/>
    <w:rsid w:val="00516431"/>
    <w:rsid w:val="005165DC"/>
    <w:rsid w:val="00516BA5"/>
    <w:rsid w:val="00517049"/>
    <w:rsid w:val="00517498"/>
    <w:rsid w:val="00517507"/>
    <w:rsid w:val="00517E36"/>
    <w:rsid w:val="00520358"/>
    <w:rsid w:val="0052082A"/>
    <w:rsid w:val="00520A20"/>
    <w:rsid w:val="00520AA4"/>
    <w:rsid w:val="005211A2"/>
    <w:rsid w:val="00521D7F"/>
    <w:rsid w:val="00521E88"/>
    <w:rsid w:val="00522C03"/>
    <w:rsid w:val="0052311A"/>
    <w:rsid w:val="005243E7"/>
    <w:rsid w:val="005244D4"/>
    <w:rsid w:val="005245B6"/>
    <w:rsid w:val="00524A3B"/>
    <w:rsid w:val="0052543B"/>
    <w:rsid w:val="00525B1C"/>
    <w:rsid w:val="00525F56"/>
    <w:rsid w:val="005264E2"/>
    <w:rsid w:val="00526798"/>
    <w:rsid w:val="0052679F"/>
    <w:rsid w:val="005267DE"/>
    <w:rsid w:val="0052715B"/>
    <w:rsid w:val="00527553"/>
    <w:rsid w:val="0052756D"/>
    <w:rsid w:val="00527FB5"/>
    <w:rsid w:val="00527FC4"/>
    <w:rsid w:val="005304E6"/>
    <w:rsid w:val="0053067C"/>
    <w:rsid w:val="00530734"/>
    <w:rsid w:val="005307EA"/>
    <w:rsid w:val="005314D0"/>
    <w:rsid w:val="00531C1D"/>
    <w:rsid w:val="00531D48"/>
    <w:rsid w:val="005334CD"/>
    <w:rsid w:val="00533627"/>
    <w:rsid w:val="00533753"/>
    <w:rsid w:val="005342AD"/>
    <w:rsid w:val="005346AE"/>
    <w:rsid w:val="0053471E"/>
    <w:rsid w:val="005351AE"/>
    <w:rsid w:val="00535F44"/>
    <w:rsid w:val="00536677"/>
    <w:rsid w:val="0053749F"/>
    <w:rsid w:val="005375E2"/>
    <w:rsid w:val="00537B63"/>
    <w:rsid w:val="0054018F"/>
    <w:rsid w:val="00540974"/>
    <w:rsid w:val="0054136F"/>
    <w:rsid w:val="005421A4"/>
    <w:rsid w:val="005424AD"/>
    <w:rsid w:val="005428FE"/>
    <w:rsid w:val="005429C2"/>
    <w:rsid w:val="005438D6"/>
    <w:rsid w:val="00543DD9"/>
    <w:rsid w:val="00544292"/>
    <w:rsid w:val="00544813"/>
    <w:rsid w:val="00544CDC"/>
    <w:rsid w:val="0054575D"/>
    <w:rsid w:val="00545FC2"/>
    <w:rsid w:val="005462B8"/>
    <w:rsid w:val="00546393"/>
    <w:rsid w:val="0054670F"/>
    <w:rsid w:val="0054765F"/>
    <w:rsid w:val="0055109E"/>
    <w:rsid w:val="005512F4"/>
    <w:rsid w:val="0055136D"/>
    <w:rsid w:val="00551B6E"/>
    <w:rsid w:val="00551DAE"/>
    <w:rsid w:val="00552270"/>
    <w:rsid w:val="00553028"/>
    <w:rsid w:val="00553F08"/>
    <w:rsid w:val="00553F42"/>
    <w:rsid w:val="00554067"/>
    <w:rsid w:val="00554078"/>
    <w:rsid w:val="00554337"/>
    <w:rsid w:val="0055550B"/>
    <w:rsid w:val="0055557B"/>
    <w:rsid w:val="005568A7"/>
    <w:rsid w:val="00556CEA"/>
    <w:rsid w:val="00557FC2"/>
    <w:rsid w:val="005606B8"/>
    <w:rsid w:val="00560A71"/>
    <w:rsid w:val="00561069"/>
    <w:rsid w:val="0056124A"/>
    <w:rsid w:val="00562020"/>
    <w:rsid w:val="005622F1"/>
    <w:rsid w:val="005627F0"/>
    <w:rsid w:val="00562B00"/>
    <w:rsid w:val="00563095"/>
    <w:rsid w:val="00563693"/>
    <w:rsid w:val="005637A8"/>
    <w:rsid w:val="00563EB5"/>
    <w:rsid w:val="00564179"/>
    <w:rsid w:val="0056446F"/>
    <w:rsid w:val="00565A64"/>
    <w:rsid w:val="00566046"/>
    <w:rsid w:val="00566EEC"/>
    <w:rsid w:val="005672EB"/>
    <w:rsid w:val="0057013A"/>
    <w:rsid w:val="00570530"/>
    <w:rsid w:val="00570684"/>
    <w:rsid w:val="00570ADB"/>
    <w:rsid w:val="00570C05"/>
    <w:rsid w:val="005712D5"/>
    <w:rsid w:val="0057134D"/>
    <w:rsid w:val="00571C02"/>
    <w:rsid w:val="00572937"/>
    <w:rsid w:val="00572A1D"/>
    <w:rsid w:val="00572BDB"/>
    <w:rsid w:val="00572E99"/>
    <w:rsid w:val="005736A1"/>
    <w:rsid w:val="00573CA5"/>
    <w:rsid w:val="00574044"/>
    <w:rsid w:val="00574244"/>
    <w:rsid w:val="00574437"/>
    <w:rsid w:val="0057467D"/>
    <w:rsid w:val="005753EC"/>
    <w:rsid w:val="00575417"/>
    <w:rsid w:val="005754F8"/>
    <w:rsid w:val="00575A1F"/>
    <w:rsid w:val="00575B50"/>
    <w:rsid w:val="00576537"/>
    <w:rsid w:val="00577DBB"/>
    <w:rsid w:val="00577F10"/>
    <w:rsid w:val="00580140"/>
    <w:rsid w:val="00580299"/>
    <w:rsid w:val="00580D71"/>
    <w:rsid w:val="005814CB"/>
    <w:rsid w:val="00581507"/>
    <w:rsid w:val="0058164C"/>
    <w:rsid w:val="005817E2"/>
    <w:rsid w:val="00581D32"/>
    <w:rsid w:val="005829F1"/>
    <w:rsid w:val="005840CA"/>
    <w:rsid w:val="005843F1"/>
    <w:rsid w:val="00584855"/>
    <w:rsid w:val="00585102"/>
    <w:rsid w:val="00585E19"/>
    <w:rsid w:val="00585E5B"/>
    <w:rsid w:val="00586218"/>
    <w:rsid w:val="00586BBF"/>
    <w:rsid w:val="00587027"/>
    <w:rsid w:val="0058705E"/>
    <w:rsid w:val="005877EB"/>
    <w:rsid w:val="00587860"/>
    <w:rsid w:val="00587C9F"/>
    <w:rsid w:val="00590541"/>
    <w:rsid w:val="00591866"/>
    <w:rsid w:val="00591DC7"/>
    <w:rsid w:val="005920E6"/>
    <w:rsid w:val="00592704"/>
    <w:rsid w:val="00592C3A"/>
    <w:rsid w:val="00592F4D"/>
    <w:rsid w:val="005934B4"/>
    <w:rsid w:val="0059364E"/>
    <w:rsid w:val="0059365A"/>
    <w:rsid w:val="0059446B"/>
    <w:rsid w:val="00594C56"/>
    <w:rsid w:val="00594D5C"/>
    <w:rsid w:val="0059548B"/>
    <w:rsid w:val="00595887"/>
    <w:rsid w:val="0059592A"/>
    <w:rsid w:val="00595B48"/>
    <w:rsid w:val="00595B6B"/>
    <w:rsid w:val="00596BAA"/>
    <w:rsid w:val="00597988"/>
    <w:rsid w:val="005A047F"/>
    <w:rsid w:val="005A10E6"/>
    <w:rsid w:val="005A11D3"/>
    <w:rsid w:val="005A1652"/>
    <w:rsid w:val="005A1D08"/>
    <w:rsid w:val="005A1F57"/>
    <w:rsid w:val="005A2E0F"/>
    <w:rsid w:val="005A42AB"/>
    <w:rsid w:val="005A47F5"/>
    <w:rsid w:val="005A4801"/>
    <w:rsid w:val="005A49FB"/>
    <w:rsid w:val="005A4C70"/>
    <w:rsid w:val="005A4CEC"/>
    <w:rsid w:val="005A53F5"/>
    <w:rsid w:val="005A5856"/>
    <w:rsid w:val="005A6889"/>
    <w:rsid w:val="005A6A8F"/>
    <w:rsid w:val="005A6D9A"/>
    <w:rsid w:val="005A6F22"/>
    <w:rsid w:val="005B0322"/>
    <w:rsid w:val="005B03C7"/>
    <w:rsid w:val="005B1143"/>
    <w:rsid w:val="005B1775"/>
    <w:rsid w:val="005B1E52"/>
    <w:rsid w:val="005B230D"/>
    <w:rsid w:val="005B2853"/>
    <w:rsid w:val="005B2A7A"/>
    <w:rsid w:val="005B2FC2"/>
    <w:rsid w:val="005B3593"/>
    <w:rsid w:val="005B550E"/>
    <w:rsid w:val="005B5894"/>
    <w:rsid w:val="005B5ACC"/>
    <w:rsid w:val="005B665C"/>
    <w:rsid w:val="005B673B"/>
    <w:rsid w:val="005C00C2"/>
    <w:rsid w:val="005C0423"/>
    <w:rsid w:val="005C089F"/>
    <w:rsid w:val="005C0F9F"/>
    <w:rsid w:val="005C23B7"/>
    <w:rsid w:val="005C25E3"/>
    <w:rsid w:val="005C2EF0"/>
    <w:rsid w:val="005C303A"/>
    <w:rsid w:val="005C38DE"/>
    <w:rsid w:val="005C495F"/>
    <w:rsid w:val="005C5640"/>
    <w:rsid w:val="005C5A7B"/>
    <w:rsid w:val="005C5E20"/>
    <w:rsid w:val="005C5EF4"/>
    <w:rsid w:val="005C5FCC"/>
    <w:rsid w:val="005C6646"/>
    <w:rsid w:val="005C6D9E"/>
    <w:rsid w:val="005C70A0"/>
    <w:rsid w:val="005C7B9A"/>
    <w:rsid w:val="005D004D"/>
    <w:rsid w:val="005D01B3"/>
    <w:rsid w:val="005D05F5"/>
    <w:rsid w:val="005D0C30"/>
    <w:rsid w:val="005D103C"/>
    <w:rsid w:val="005D1A28"/>
    <w:rsid w:val="005D1F2A"/>
    <w:rsid w:val="005D2B23"/>
    <w:rsid w:val="005D32A5"/>
    <w:rsid w:val="005D3B75"/>
    <w:rsid w:val="005D3C95"/>
    <w:rsid w:val="005D451F"/>
    <w:rsid w:val="005D4C3F"/>
    <w:rsid w:val="005D57DE"/>
    <w:rsid w:val="005D5CC0"/>
    <w:rsid w:val="005D5F6B"/>
    <w:rsid w:val="005D6302"/>
    <w:rsid w:val="005D650F"/>
    <w:rsid w:val="005D73DD"/>
    <w:rsid w:val="005D7768"/>
    <w:rsid w:val="005D7F95"/>
    <w:rsid w:val="005D7F9A"/>
    <w:rsid w:val="005E0302"/>
    <w:rsid w:val="005E093F"/>
    <w:rsid w:val="005E098C"/>
    <w:rsid w:val="005E0AD5"/>
    <w:rsid w:val="005E0B0B"/>
    <w:rsid w:val="005E0D3C"/>
    <w:rsid w:val="005E11FE"/>
    <w:rsid w:val="005E1F35"/>
    <w:rsid w:val="005E2082"/>
    <w:rsid w:val="005E2184"/>
    <w:rsid w:val="005E23D3"/>
    <w:rsid w:val="005E2668"/>
    <w:rsid w:val="005E2761"/>
    <w:rsid w:val="005E4042"/>
    <w:rsid w:val="005E49DC"/>
    <w:rsid w:val="005E4FE3"/>
    <w:rsid w:val="005E532C"/>
    <w:rsid w:val="005E5B57"/>
    <w:rsid w:val="005E5B9F"/>
    <w:rsid w:val="005E6879"/>
    <w:rsid w:val="005E69D7"/>
    <w:rsid w:val="005E7100"/>
    <w:rsid w:val="005E7E39"/>
    <w:rsid w:val="005F01FD"/>
    <w:rsid w:val="005F05F1"/>
    <w:rsid w:val="005F086B"/>
    <w:rsid w:val="005F0A22"/>
    <w:rsid w:val="005F123C"/>
    <w:rsid w:val="005F1BAA"/>
    <w:rsid w:val="005F1FED"/>
    <w:rsid w:val="005F22FD"/>
    <w:rsid w:val="005F2DDD"/>
    <w:rsid w:val="005F33AD"/>
    <w:rsid w:val="005F349E"/>
    <w:rsid w:val="005F3637"/>
    <w:rsid w:val="005F3726"/>
    <w:rsid w:val="005F3817"/>
    <w:rsid w:val="005F3D56"/>
    <w:rsid w:val="005F3FAF"/>
    <w:rsid w:val="005F4157"/>
    <w:rsid w:val="005F4677"/>
    <w:rsid w:val="005F4B8F"/>
    <w:rsid w:val="005F51DE"/>
    <w:rsid w:val="005F53CA"/>
    <w:rsid w:val="005F658A"/>
    <w:rsid w:val="005F68B2"/>
    <w:rsid w:val="005F6BEB"/>
    <w:rsid w:val="005F7153"/>
    <w:rsid w:val="005F744B"/>
    <w:rsid w:val="005F74A3"/>
    <w:rsid w:val="005F7724"/>
    <w:rsid w:val="005F7865"/>
    <w:rsid w:val="005F789B"/>
    <w:rsid w:val="005F7B00"/>
    <w:rsid w:val="005F7CDF"/>
    <w:rsid w:val="005F7D31"/>
    <w:rsid w:val="005F7DE0"/>
    <w:rsid w:val="00600361"/>
    <w:rsid w:val="006003AF"/>
    <w:rsid w:val="0060052F"/>
    <w:rsid w:val="00601715"/>
    <w:rsid w:val="006019D2"/>
    <w:rsid w:val="0060225C"/>
    <w:rsid w:val="0060257C"/>
    <w:rsid w:val="00602CE1"/>
    <w:rsid w:val="00603568"/>
    <w:rsid w:val="00603628"/>
    <w:rsid w:val="00603850"/>
    <w:rsid w:val="00604BB5"/>
    <w:rsid w:val="00604FD0"/>
    <w:rsid w:val="00605499"/>
    <w:rsid w:val="00606686"/>
    <w:rsid w:val="006066F3"/>
    <w:rsid w:val="00607212"/>
    <w:rsid w:val="006079C9"/>
    <w:rsid w:val="00607AC6"/>
    <w:rsid w:val="00607E4F"/>
    <w:rsid w:val="00607E57"/>
    <w:rsid w:val="0061054E"/>
    <w:rsid w:val="006106D3"/>
    <w:rsid w:val="00610B3A"/>
    <w:rsid w:val="00611703"/>
    <w:rsid w:val="006118DA"/>
    <w:rsid w:val="00612EDE"/>
    <w:rsid w:val="0061457F"/>
    <w:rsid w:val="00615284"/>
    <w:rsid w:val="00615B30"/>
    <w:rsid w:val="006164A8"/>
    <w:rsid w:val="006164F5"/>
    <w:rsid w:val="006167E9"/>
    <w:rsid w:val="00616DC0"/>
    <w:rsid w:val="006177CC"/>
    <w:rsid w:val="00617ED2"/>
    <w:rsid w:val="0062002F"/>
    <w:rsid w:val="0062030F"/>
    <w:rsid w:val="00621213"/>
    <w:rsid w:val="006231FE"/>
    <w:rsid w:val="00623422"/>
    <w:rsid w:val="006236DA"/>
    <w:rsid w:val="00623CC1"/>
    <w:rsid w:val="0062454C"/>
    <w:rsid w:val="006249F2"/>
    <w:rsid w:val="00624ACB"/>
    <w:rsid w:val="00624DD3"/>
    <w:rsid w:val="00624F07"/>
    <w:rsid w:val="00625054"/>
    <w:rsid w:val="0062505C"/>
    <w:rsid w:val="00625098"/>
    <w:rsid w:val="00625149"/>
    <w:rsid w:val="00625242"/>
    <w:rsid w:val="00625B8A"/>
    <w:rsid w:val="006263E7"/>
    <w:rsid w:val="00626B3D"/>
    <w:rsid w:val="00627485"/>
    <w:rsid w:val="0063092E"/>
    <w:rsid w:val="00630A02"/>
    <w:rsid w:val="00630B40"/>
    <w:rsid w:val="006310BF"/>
    <w:rsid w:val="006315C2"/>
    <w:rsid w:val="00631F43"/>
    <w:rsid w:val="0063213E"/>
    <w:rsid w:val="00632A0F"/>
    <w:rsid w:val="00632E3A"/>
    <w:rsid w:val="00634802"/>
    <w:rsid w:val="00634C57"/>
    <w:rsid w:val="00634F13"/>
    <w:rsid w:val="00635525"/>
    <w:rsid w:val="00635720"/>
    <w:rsid w:val="006358B4"/>
    <w:rsid w:val="00635FFC"/>
    <w:rsid w:val="006362F8"/>
    <w:rsid w:val="00636352"/>
    <w:rsid w:val="00636481"/>
    <w:rsid w:val="0063652C"/>
    <w:rsid w:val="006368D6"/>
    <w:rsid w:val="00636954"/>
    <w:rsid w:val="00636F89"/>
    <w:rsid w:val="00637035"/>
    <w:rsid w:val="00637350"/>
    <w:rsid w:val="0063754C"/>
    <w:rsid w:val="006376B0"/>
    <w:rsid w:val="00637919"/>
    <w:rsid w:val="00637EB0"/>
    <w:rsid w:val="0064030B"/>
    <w:rsid w:val="0064032D"/>
    <w:rsid w:val="00640577"/>
    <w:rsid w:val="00640BEC"/>
    <w:rsid w:val="0064126B"/>
    <w:rsid w:val="00641C8C"/>
    <w:rsid w:val="0064221C"/>
    <w:rsid w:val="0064247A"/>
    <w:rsid w:val="006430D4"/>
    <w:rsid w:val="0064396E"/>
    <w:rsid w:val="006439E7"/>
    <w:rsid w:val="00643F74"/>
    <w:rsid w:val="006450EF"/>
    <w:rsid w:val="00645246"/>
    <w:rsid w:val="0064580F"/>
    <w:rsid w:val="00645899"/>
    <w:rsid w:val="0064596A"/>
    <w:rsid w:val="00646882"/>
    <w:rsid w:val="00646D36"/>
    <w:rsid w:val="00646DE2"/>
    <w:rsid w:val="00647015"/>
    <w:rsid w:val="0064754D"/>
    <w:rsid w:val="006478E5"/>
    <w:rsid w:val="00650F10"/>
    <w:rsid w:val="00651580"/>
    <w:rsid w:val="006516C5"/>
    <w:rsid w:val="006526AB"/>
    <w:rsid w:val="00652C89"/>
    <w:rsid w:val="0065422C"/>
    <w:rsid w:val="006544AD"/>
    <w:rsid w:val="00654649"/>
    <w:rsid w:val="00655106"/>
    <w:rsid w:val="006553ED"/>
    <w:rsid w:val="0065555D"/>
    <w:rsid w:val="0065578D"/>
    <w:rsid w:val="0065675E"/>
    <w:rsid w:val="00656AF9"/>
    <w:rsid w:val="00657F08"/>
    <w:rsid w:val="0066004C"/>
    <w:rsid w:val="00660216"/>
    <w:rsid w:val="00660E61"/>
    <w:rsid w:val="006617E7"/>
    <w:rsid w:val="00661B2E"/>
    <w:rsid w:val="00662327"/>
    <w:rsid w:val="00662702"/>
    <w:rsid w:val="00662796"/>
    <w:rsid w:val="0066288C"/>
    <w:rsid w:val="0066307A"/>
    <w:rsid w:val="00663464"/>
    <w:rsid w:val="00663937"/>
    <w:rsid w:val="00663C8B"/>
    <w:rsid w:val="006647C5"/>
    <w:rsid w:val="00664956"/>
    <w:rsid w:val="00665D61"/>
    <w:rsid w:val="00666584"/>
    <w:rsid w:val="006672A7"/>
    <w:rsid w:val="00667FC5"/>
    <w:rsid w:val="00670B1A"/>
    <w:rsid w:val="006710A3"/>
    <w:rsid w:val="0067121C"/>
    <w:rsid w:val="006713E8"/>
    <w:rsid w:val="00671669"/>
    <w:rsid w:val="00671979"/>
    <w:rsid w:val="00671AE3"/>
    <w:rsid w:val="0067255C"/>
    <w:rsid w:val="00672D2C"/>
    <w:rsid w:val="006731A9"/>
    <w:rsid w:val="0067375C"/>
    <w:rsid w:val="00673779"/>
    <w:rsid w:val="00673BC8"/>
    <w:rsid w:val="006756F1"/>
    <w:rsid w:val="006758A4"/>
    <w:rsid w:val="0067597D"/>
    <w:rsid w:val="00675A1F"/>
    <w:rsid w:val="00675A67"/>
    <w:rsid w:val="00675C38"/>
    <w:rsid w:val="00675D57"/>
    <w:rsid w:val="006775D2"/>
    <w:rsid w:val="006802C1"/>
    <w:rsid w:val="006809AB"/>
    <w:rsid w:val="00681A62"/>
    <w:rsid w:val="006826D2"/>
    <w:rsid w:val="006835F7"/>
    <w:rsid w:val="00683751"/>
    <w:rsid w:val="0068469F"/>
    <w:rsid w:val="006857B7"/>
    <w:rsid w:val="0068589E"/>
    <w:rsid w:val="00685EA4"/>
    <w:rsid w:val="006866B1"/>
    <w:rsid w:val="00686A93"/>
    <w:rsid w:val="00686F1B"/>
    <w:rsid w:val="006871F6"/>
    <w:rsid w:val="00687775"/>
    <w:rsid w:val="00687C76"/>
    <w:rsid w:val="00687FAC"/>
    <w:rsid w:val="006904A0"/>
    <w:rsid w:val="0069063D"/>
    <w:rsid w:val="0069065E"/>
    <w:rsid w:val="00690A7C"/>
    <w:rsid w:val="00690EF1"/>
    <w:rsid w:val="0069157B"/>
    <w:rsid w:val="00691675"/>
    <w:rsid w:val="00692664"/>
    <w:rsid w:val="006927CF"/>
    <w:rsid w:val="00692858"/>
    <w:rsid w:val="00693497"/>
    <w:rsid w:val="00693CBF"/>
    <w:rsid w:val="00693F32"/>
    <w:rsid w:val="006944A5"/>
    <w:rsid w:val="0069461F"/>
    <w:rsid w:val="006949B0"/>
    <w:rsid w:val="00694BE3"/>
    <w:rsid w:val="00694D79"/>
    <w:rsid w:val="00695770"/>
    <w:rsid w:val="00696348"/>
    <w:rsid w:val="006963ED"/>
    <w:rsid w:val="00696E0F"/>
    <w:rsid w:val="00696F99"/>
    <w:rsid w:val="00696FA9"/>
    <w:rsid w:val="00696FED"/>
    <w:rsid w:val="006973AA"/>
    <w:rsid w:val="00697794"/>
    <w:rsid w:val="006A0A65"/>
    <w:rsid w:val="006A1CC1"/>
    <w:rsid w:val="006A1CE3"/>
    <w:rsid w:val="006A2566"/>
    <w:rsid w:val="006A2B4D"/>
    <w:rsid w:val="006A3083"/>
    <w:rsid w:val="006A3136"/>
    <w:rsid w:val="006A314B"/>
    <w:rsid w:val="006A3606"/>
    <w:rsid w:val="006A4007"/>
    <w:rsid w:val="006A419D"/>
    <w:rsid w:val="006A41A8"/>
    <w:rsid w:val="006A49B8"/>
    <w:rsid w:val="006A4AB2"/>
    <w:rsid w:val="006A4EAD"/>
    <w:rsid w:val="006A54EB"/>
    <w:rsid w:val="006A5503"/>
    <w:rsid w:val="006A5588"/>
    <w:rsid w:val="006A63A9"/>
    <w:rsid w:val="006A652F"/>
    <w:rsid w:val="006A68FE"/>
    <w:rsid w:val="006A6A7F"/>
    <w:rsid w:val="006A7C4F"/>
    <w:rsid w:val="006B086B"/>
    <w:rsid w:val="006B123A"/>
    <w:rsid w:val="006B1253"/>
    <w:rsid w:val="006B226E"/>
    <w:rsid w:val="006B27DA"/>
    <w:rsid w:val="006B2D53"/>
    <w:rsid w:val="006B316A"/>
    <w:rsid w:val="006B3326"/>
    <w:rsid w:val="006B3B7C"/>
    <w:rsid w:val="006B3D8D"/>
    <w:rsid w:val="006B3E91"/>
    <w:rsid w:val="006B4621"/>
    <w:rsid w:val="006B46C5"/>
    <w:rsid w:val="006B50F1"/>
    <w:rsid w:val="006B559F"/>
    <w:rsid w:val="006B60E6"/>
    <w:rsid w:val="006B645B"/>
    <w:rsid w:val="006B6637"/>
    <w:rsid w:val="006B71D4"/>
    <w:rsid w:val="006B7602"/>
    <w:rsid w:val="006B7B28"/>
    <w:rsid w:val="006C02F3"/>
    <w:rsid w:val="006C11AF"/>
    <w:rsid w:val="006C12E3"/>
    <w:rsid w:val="006C1561"/>
    <w:rsid w:val="006C1811"/>
    <w:rsid w:val="006C1878"/>
    <w:rsid w:val="006C18F7"/>
    <w:rsid w:val="006C19A8"/>
    <w:rsid w:val="006C1EA6"/>
    <w:rsid w:val="006C27F6"/>
    <w:rsid w:val="006C327E"/>
    <w:rsid w:val="006C357D"/>
    <w:rsid w:val="006C3D28"/>
    <w:rsid w:val="006C3F3B"/>
    <w:rsid w:val="006C3FEC"/>
    <w:rsid w:val="006C434B"/>
    <w:rsid w:val="006C43C9"/>
    <w:rsid w:val="006C43F1"/>
    <w:rsid w:val="006C46D2"/>
    <w:rsid w:val="006C49F7"/>
    <w:rsid w:val="006C4C36"/>
    <w:rsid w:val="006C5D6E"/>
    <w:rsid w:val="006C668A"/>
    <w:rsid w:val="006C66E5"/>
    <w:rsid w:val="006C680D"/>
    <w:rsid w:val="006C696A"/>
    <w:rsid w:val="006C69C8"/>
    <w:rsid w:val="006C6CD7"/>
    <w:rsid w:val="006C6CF7"/>
    <w:rsid w:val="006C7505"/>
    <w:rsid w:val="006C7675"/>
    <w:rsid w:val="006C7A73"/>
    <w:rsid w:val="006C7BDF"/>
    <w:rsid w:val="006D01FE"/>
    <w:rsid w:val="006D05A3"/>
    <w:rsid w:val="006D070F"/>
    <w:rsid w:val="006D0A08"/>
    <w:rsid w:val="006D10ED"/>
    <w:rsid w:val="006D12D6"/>
    <w:rsid w:val="006D14B6"/>
    <w:rsid w:val="006D159A"/>
    <w:rsid w:val="006D1AF2"/>
    <w:rsid w:val="006D1D56"/>
    <w:rsid w:val="006D2468"/>
    <w:rsid w:val="006D25BB"/>
    <w:rsid w:val="006D28BD"/>
    <w:rsid w:val="006D33A5"/>
    <w:rsid w:val="006D39D6"/>
    <w:rsid w:val="006D43FC"/>
    <w:rsid w:val="006D5073"/>
    <w:rsid w:val="006D58DB"/>
    <w:rsid w:val="006D5AFD"/>
    <w:rsid w:val="006D5DB0"/>
    <w:rsid w:val="006D5E59"/>
    <w:rsid w:val="006D61A5"/>
    <w:rsid w:val="006D6A60"/>
    <w:rsid w:val="006D6D39"/>
    <w:rsid w:val="006D7C60"/>
    <w:rsid w:val="006D7D55"/>
    <w:rsid w:val="006E0234"/>
    <w:rsid w:val="006E025C"/>
    <w:rsid w:val="006E028E"/>
    <w:rsid w:val="006E0923"/>
    <w:rsid w:val="006E0EDF"/>
    <w:rsid w:val="006E13BE"/>
    <w:rsid w:val="006E1561"/>
    <w:rsid w:val="006E17F1"/>
    <w:rsid w:val="006E1917"/>
    <w:rsid w:val="006E1C18"/>
    <w:rsid w:val="006E2975"/>
    <w:rsid w:val="006E3729"/>
    <w:rsid w:val="006E3A91"/>
    <w:rsid w:val="006E3B2F"/>
    <w:rsid w:val="006E4499"/>
    <w:rsid w:val="006E49F3"/>
    <w:rsid w:val="006E4C95"/>
    <w:rsid w:val="006E4FB2"/>
    <w:rsid w:val="006E5135"/>
    <w:rsid w:val="006E53F3"/>
    <w:rsid w:val="006E5709"/>
    <w:rsid w:val="006E5751"/>
    <w:rsid w:val="006E6365"/>
    <w:rsid w:val="006E69BE"/>
    <w:rsid w:val="006E6B34"/>
    <w:rsid w:val="006E6FBE"/>
    <w:rsid w:val="006F00C8"/>
    <w:rsid w:val="006F0534"/>
    <w:rsid w:val="006F05B2"/>
    <w:rsid w:val="006F0A11"/>
    <w:rsid w:val="006F0A68"/>
    <w:rsid w:val="006F1964"/>
    <w:rsid w:val="006F19D6"/>
    <w:rsid w:val="006F2277"/>
    <w:rsid w:val="006F22FA"/>
    <w:rsid w:val="006F26BC"/>
    <w:rsid w:val="006F32B2"/>
    <w:rsid w:val="006F3501"/>
    <w:rsid w:val="006F3A71"/>
    <w:rsid w:val="006F467E"/>
    <w:rsid w:val="006F53C2"/>
    <w:rsid w:val="006F5763"/>
    <w:rsid w:val="006F57EA"/>
    <w:rsid w:val="006F5A14"/>
    <w:rsid w:val="006F5C89"/>
    <w:rsid w:val="006F5D5E"/>
    <w:rsid w:val="006F61CD"/>
    <w:rsid w:val="006F61EC"/>
    <w:rsid w:val="006F6FA8"/>
    <w:rsid w:val="006F7112"/>
    <w:rsid w:val="006F75ED"/>
    <w:rsid w:val="006F7AC1"/>
    <w:rsid w:val="006F7BFB"/>
    <w:rsid w:val="00700379"/>
    <w:rsid w:val="00700A73"/>
    <w:rsid w:val="0070145E"/>
    <w:rsid w:val="00701584"/>
    <w:rsid w:val="0070171A"/>
    <w:rsid w:val="00701BAB"/>
    <w:rsid w:val="00701DB4"/>
    <w:rsid w:val="0070209F"/>
    <w:rsid w:val="00702101"/>
    <w:rsid w:val="007028AC"/>
    <w:rsid w:val="007031FE"/>
    <w:rsid w:val="00703D73"/>
    <w:rsid w:val="007049DC"/>
    <w:rsid w:val="0070504F"/>
    <w:rsid w:val="00705773"/>
    <w:rsid w:val="007057A6"/>
    <w:rsid w:val="00705946"/>
    <w:rsid w:val="00705AF8"/>
    <w:rsid w:val="00705D19"/>
    <w:rsid w:val="00705DA7"/>
    <w:rsid w:val="0070600F"/>
    <w:rsid w:val="00706460"/>
    <w:rsid w:val="00706921"/>
    <w:rsid w:val="00706C8A"/>
    <w:rsid w:val="00707B8E"/>
    <w:rsid w:val="00707CDD"/>
    <w:rsid w:val="0071068D"/>
    <w:rsid w:val="007106B0"/>
    <w:rsid w:val="0071146A"/>
    <w:rsid w:val="00711657"/>
    <w:rsid w:val="007118F6"/>
    <w:rsid w:val="00713160"/>
    <w:rsid w:val="0071323B"/>
    <w:rsid w:val="00714BFC"/>
    <w:rsid w:val="00714EA8"/>
    <w:rsid w:val="00715123"/>
    <w:rsid w:val="00715A58"/>
    <w:rsid w:val="007164D2"/>
    <w:rsid w:val="00716A97"/>
    <w:rsid w:val="00716B22"/>
    <w:rsid w:val="007175D7"/>
    <w:rsid w:val="007178DA"/>
    <w:rsid w:val="007178F8"/>
    <w:rsid w:val="007179EF"/>
    <w:rsid w:val="00717CA0"/>
    <w:rsid w:val="00720573"/>
    <w:rsid w:val="007205F7"/>
    <w:rsid w:val="00720A98"/>
    <w:rsid w:val="00720CB6"/>
    <w:rsid w:val="00720D7D"/>
    <w:rsid w:val="007210CB"/>
    <w:rsid w:val="007211E4"/>
    <w:rsid w:val="0072166F"/>
    <w:rsid w:val="00721AD3"/>
    <w:rsid w:val="00721BB5"/>
    <w:rsid w:val="00721F74"/>
    <w:rsid w:val="007223F2"/>
    <w:rsid w:val="00722C7B"/>
    <w:rsid w:val="00723EAC"/>
    <w:rsid w:val="0072429A"/>
    <w:rsid w:val="007242E1"/>
    <w:rsid w:val="00724404"/>
    <w:rsid w:val="007254AE"/>
    <w:rsid w:val="00725A12"/>
    <w:rsid w:val="0072637D"/>
    <w:rsid w:val="00726724"/>
    <w:rsid w:val="0072697C"/>
    <w:rsid w:val="00726A5E"/>
    <w:rsid w:val="00727726"/>
    <w:rsid w:val="00727AC9"/>
    <w:rsid w:val="007304DE"/>
    <w:rsid w:val="00730956"/>
    <w:rsid w:val="00731055"/>
    <w:rsid w:val="007310C6"/>
    <w:rsid w:val="007318DD"/>
    <w:rsid w:val="0073207B"/>
    <w:rsid w:val="007326B4"/>
    <w:rsid w:val="0073282E"/>
    <w:rsid w:val="00732F64"/>
    <w:rsid w:val="00733BF7"/>
    <w:rsid w:val="00734115"/>
    <w:rsid w:val="00734FD6"/>
    <w:rsid w:val="00735583"/>
    <w:rsid w:val="00735D9C"/>
    <w:rsid w:val="0073624A"/>
    <w:rsid w:val="00736251"/>
    <w:rsid w:val="007372FF"/>
    <w:rsid w:val="00737ECC"/>
    <w:rsid w:val="00740229"/>
    <w:rsid w:val="00740B08"/>
    <w:rsid w:val="007414DC"/>
    <w:rsid w:val="0074203E"/>
    <w:rsid w:val="0074211C"/>
    <w:rsid w:val="007425A5"/>
    <w:rsid w:val="00742625"/>
    <w:rsid w:val="00742D06"/>
    <w:rsid w:val="00742EBA"/>
    <w:rsid w:val="00743D26"/>
    <w:rsid w:val="00743F67"/>
    <w:rsid w:val="00744628"/>
    <w:rsid w:val="0074464E"/>
    <w:rsid w:val="007456FE"/>
    <w:rsid w:val="00745E12"/>
    <w:rsid w:val="00745EBE"/>
    <w:rsid w:val="00745F0C"/>
    <w:rsid w:val="007464BB"/>
    <w:rsid w:val="007469F5"/>
    <w:rsid w:val="00746FC6"/>
    <w:rsid w:val="0074713C"/>
    <w:rsid w:val="007476F0"/>
    <w:rsid w:val="007477C5"/>
    <w:rsid w:val="00750262"/>
    <w:rsid w:val="00750404"/>
    <w:rsid w:val="0075055D"/>
    <w:rsid w:val="0075096C"/>
    <w:rsid w:val="00750F39"/>
    <w:rsid w:val="007525BB"/>
    <w:rsid w:val="007527FA"/>
    <w:rsid w:val="00752983"/>
    <w:rsid w:val="007536F0"/>
    <w:rsid w:val="00753FDF"/>
    <w:rsid w:val="00754922"/>
    <w:rsid w:val="00754DDF"/>
    <w:rsid w:val="007553A2"/>
    <w:rsid w:val="00755830"/>
    <w:rsid w:val="00755B67"/>
    <w:rsid w:val="007562A0"/>
    <w:rsid w:val="0075644E"/>
    <w:rsid w:val="00756579"/>
    <w:rsid w:val="00756CA5"/>
    <w:rsid w:val="00757AB5"/>
    <w:rsid w:val="00757F8C"/>
    <w:rsid w:val="007600B0"/>
    <w:rsid w:val="007603BA"/>
    <w:rsid w:val="007608A6"/>
    <w:rsid w:val="00761023"/>
    <w:rsid w:val="00761056"/>
    <w:rsid w:val="00761866"/>
    <w:rsid w:val="00761AAD"/>
    <w:rsid w:val="00761F94"/>
    <w:rsid w:val="00762181"/>
    <w:rsid w:val="00762301"/>
    <w:rsid w:val="0076267D"/>
    <w:rsid w:val="007626B0"/>
    <w:rsid w:val="0076338C"/>
    <w:rsid w:val="0076349B"/>
    <w:rsid w:val="0076368C"/>
    <w:rsid w:val="0076424B"/>
    <w:rsid w:val="00764737"/>
    <w:rsid w:val="0076499B"/>
    <w:rsid w:val="00764C80"/>
    <w:rsid w:val="00764DF1"/>
    <w:rsid w:val="00765645"/>
    <w:rsid w:val="00766166"/>
    <w:rsid w:val="00766626"/>
    <w:rsid w:val="00766757"/>
    <w:rsid w:val="0076776F"/>
    <w:rsid w:val="00767970"/>
    <w:rsid w:val="00767A18"/>
    <w:rsid w:val="00770004"/>
    <w:rsid w:val="0077102D"/>
    <w:rsid w:val="00771A76"/>
    <w:rsid w:val="00771C8F"/>
    <w:rsid w:val="00771E37"/>
    <w:rsid w:val="007722EB"/>
    <w:rsid w:val="007726BC"/>
    <w:rsid w:val="00772C49"/>
    <w:rsid w:val="00772D42"/>
    <w:rsid w:val="00772D54"/>
    <w:rsid w:val="00772DDF"/>
    <w:rsid w:val="00773273"/>
    <w:rsid w:val="007740E1"/>
    <w:rsid w:val="00774BEF"/>
    <w:rsid w:val="00774D9D"/>
    <w:rsid w:val="0077559D"/>
    <w:rsid w:val="0077597C"/>
    <w:rsid w:val="00775BFE"/>
    <w:rsid w:val="00775F1E"/>
    <w:rsid w:val="00776080"/>
    <w:rsid w:val="00776125"/>
    <w:rsid w:val="00776B8B"/>
    <w:rsid w:val="00776E5D"/>
    <w:rsid w:val="007770A9"/>
    <w:rsid w:val="007770AD"/>
    <w:rsid w:val="0077773C"/>
    <w:rsid w:val="00777D11"/>
    <w:rsid w:val="0078081A"/>
    <w:rsid w:val="00780BF6"/>
    <w:rsid w:val="00780F91"/>
    <w:rsid w:val="00781290"/>
    <w:rsid w:val="00781388"/>
    <w:rsid w:val="0078171C"/>
    <w:rsid w:val="00781C17"/>
    <w:rsid w:val="00781C69"/>
    <w:rsid w:val="00782571"/>
    <w:rsid w:val="00783040"/>
    <w:rsid w:val="00783150"/>
    <w:rsid w:val="007835CC"/>
    <w:rsid w:val="00783D72"/>
    <w:rsid w:val="00783F68"/>
    <w:rsid w:val="0078520C"/>
    <w:rsid w:val="00785A7C"/>
    <w:rsid w:val="007869DB"/>
    <w:rsid w:val="007876A6"/>
    <w:rsid w:val="0079098F"/>
    <w:rsid w:val="00791C98"/>
    <w:rsid w:val="00791F79"/>
    <w:rsid w:val="0079252B"/>
    <w:rsid w:val="0079287F"/>
    <w:rsid w:val="00793027"/>
    <w:rsid w:val="00793243"/>
    <w:rsid w:val="007933AB"/>
    <w:rsid w:val="007936BF"/>
    <w:rsid w:val="00793779"/>
    <w:rsid w:val="00793E69"/>
    <w:rsid w:val="0079421F"/>
    <w:rsid w:val="007943EF"/>
    <w:rsid w:val="00794BA3"/>
    <w:rsid w:val="00794D1A"/>
    <w:rsid w:val="00794D3B"/>
    <w:rsid w:val="00794F7A"/>
    <w:rsid w:val="007953A1"/>
    <w:rsid w:val="007955A5"/>
    <w:rsid w:val="00795F36"/>
    <w:rsid w:val="0079633C"/>
    <w:rsid w:val="00796DF7"/>
    <w:rsid w:val="00797987"/>
    <w:rsid w:val="00797F7B"/>
    <w:rsid w:val="007A08BB"/>
    <w:rsid w:val="007A0BAF"/>
    <w:rsid w:val="007A1103"/>
    <w:rsid w:val="007A3036"/>
    <w:rsid w:val="007A323C"/>
    <w:rsid w:val="007A3278"/>
    <w:rsid w:val="007A401E"/>
    <w:rsid w:val="007A4174"/>
    <w:rsid w:val="007A42E3"/>
    <w:rsid w:val="007A4AB2"/>
    <w:rsid w:val="007A51D0"/>
    <w:rsid w:val="007A5336"/>
    <w:rsid w:val="007A666D"/>
    <w:rsid w:val="007A6682"/>
    <w:rsid w:val="007A6B33"/>
    <w:rsid w:val="007A7552"/>
    <w:rsid w:val="007A78A7"/>
    <w:rsid w:val="007A7B7F"/>
    <w:rsid w:val="007A7FFA"/>
    <w:rsid w:val="007B010F"/>
    <w:rsid w:val="007B0F0B"/>
    <w:rsid w:val="007B140B"/>
    <w:rsid w:val="007B151F"/>
    <w:rsid w:val="007B17D4"/>
    <w:rsid w:val="007B1BEE"/>
    <w:rsid w:val="007B20E0"/>
    <w:rsid w:val="007B2169"/>
    <w:rsid w:val="007B2C29"/>
    <w:rsid w:val="007B2D7D"/>
    <w:rsid w:val="007B2E2C"/>
    <w:rsid w:val="007B302A"/>
    <w:rsid w:val="007B41B0"/>
    <w:rsid w:val="007B4894"/>
    <w:rsid w:val="007B49BC"/>
    <w:rsid w:val="007B4CC3"/>
    <w:rsid w:val="007B51B4"/>
    <w:rsid w:val="007B5717"/>
    <w:rsid w:val="007B5FEB"/>
    <w:rsid w:val="007B5FEF"/>
    <w:rsid w:val="007B5FF5"/>
    <w:rsid w:val="007B6878"/>
    <w:rsid w:val="007B72AC"/>
    <w:rsid w:val="007B75DE"/>
    <w:rsid w:val="007B7D44"/>
    <w:rsid w:val="007C04BD"/>
    <w:rsid w:val="007C095E"/>
    <w:rsid w:val="007C1049"/>
    <w:rsid w:val="007C23AF"/>
    <w:rsid w:val="007C2D1F"/>
    <w:rsid w:val="007C3413"/>
    <w:rsid w:val="007C35B3"/>
    <w:rsid w:val="007C37AA"/>
    <w:rsid w:val="007C47EB"/>
    <w:rsid w:val="007C7289"/>
    <w:rsid w:val="007C741B"/>
    <w:rsid w:val="007C7886"/>
    <w:rsid w:val="007C7E35"/>
    <w:rsid w:val="007D0AE6"/>
    <w:rsid w:val="007D120F"/>
    <w:rsid w:val="007D160E"/>
    <w:rsid w:val="007D1A7A"/>
    <w:rsid w:val="007D1FCA"/>
    <w:rsid w:val="007D28A4"/>
    <w:rsid w:val="007D3E67"/>
    <w:rsid w:val="007D4408"/>
    <w:rsid w:val="007D44CB"/>
    <w:rsid w:val="007D47F4"/>
    <w:rsid w:val="007D4A18"/>
    <w:rsid w:val="007D5447"/>
    <w:rsid w:val="007D5634"/>
    <w:rsid w:val="007D5E58"/>
    <w:rsid w:val="007D645D"/>
    <w:rsid w:val="007D679E"/>
    <w:rsid w:val="007D6F1E"/>
    <w:rsid w:val="007D763B"/>
    <w:rsid w:val="007D7DAF"/>
    <w:rsid w:val="007D7F74"/>
    <w:rsid w:val="007E0530"/>
    <w:rsid w:val="007E1819"/>
    <w:rsid w:val="007E2C49"/>
    <w:rsid w:val="007E2D93"/>
    <w:rsid w:val="007E3655"/>
    <w:rsid w:val="007E418E"/>
    <w:rsid w:val="007E4C83"/>
    <w:rsid w:val="007E51F4"/>
    <w:rsid w:val="007E5405"/>
    <w:rsid w:val="007E61D7"/>
    <w:rsid w:val="007E66F1"/>
    <w:rsid w:val="007E67E7"/>
    <w:rsid w:val="007E6E69"/>
    <w:rsid w:val="007E75D6"/>
    <w:rsid w:val="007E77F5"/>
    <w:rsid w:val="007E7B15"/>
    <w:rsid w:val="007F0D00"/>
    <w:rsid w:val="007F14B0"/>
    <w:rsid w:val="007F162C"/>
    <w:rsid w:val="007F1E65"/>
    <w:rsid w:val="007F277F"/>
    <w:rsid w:val="007F289F"/>
    <w:rsid w:val="007F293D"/>
    <w:rsid w:val="007F2FEF"/>
    <w:rsid w:val="007F31FA"/>
    <w:rsid w:val="007F429A"/>
    <w:rsid w:val="007F4470"/>
    <w:rsid w:val="007F46F7"/>
    <w:rsid w:val="007F4AC9"/>
    <w:rsid w:val="007F5270"/>
    <w:rsid w:val="007F5281"/>
    <w:rsid w:val="007F5DE7"/>
    <w:rsid w:val="007F5E92"/>
    <w:rsid w:val="007F6A97"/>
    <w:rsid w:val="007F6EAE"/>
    <w:rsid w:val="007F7774"/>
    <w:rsid w:val="007F7981"/>
    <w:rsid w:val="0080005C"/>
    <w:rsid w:val="008009D7"/>
    <w:rsid w:val="00801551"/>
    <w:rsid w:val="00801BB4"/>
    <w:rsid w:val="00802E75"/>
    <w:rsid w:val="00803DCC"/>
    <w:rsid w:val="00803F9D"/>
    <w:rsid w:val="00804C92"/>
    <w:rsid w:val="00804EBC"/>
    <w:rsid w:val="00805E74"/>
    <w:rsid w:val="00807658"/>
    <w:rsid w:val="00807BF4"/>
    <w:rsid w:val="00807DAE"/>
    <w:rsid w:val="0081011F"/>
    <w:rsid w:val="0081093D"/>
    <w:rsid w:val="00810B70"/>
    <w:rsid w:val="00810DCF"/>
    <w:rsid w:val="00811548"/>
    <w:rsid w:val="0081251E"/>
    <w:rsid w:val="00812BE1"/>
    <w:rsid w:val="008131A6"/>
    <w:rsid w:val="00813367"/>
    <w:rsid w:val="00813368"/>
    <w:rsid w:val="00814215"/>
    <w:rsid w:val="008143B7"/>
    <w:rsid w:val="008148CA"/>
    <w:rsid w:val="008149A5"/>
    <w:rsid w:val="00814E76"/>
    <w:rsid w:val="00815263"/>
    <w:rsid w:val="00815501"/>
    <w:rsid w:val="00815AA7"/>
    <w:rsid w:val="00817166"/>
    <w:rsid w:val="00817173"/>
    <w:rsid w:val="00817CAB"/>
    <w:rsid w:val="00817D11"/>
    <w:rsid w:val="00817FA9"/>
    <w:rsid w:val="008200B6"/>
    <w:rsid w:val="00820D31"/>
    <w:rsid w:val="00820E5B"/>
    <w:rsid w:val="00820E65"/>
    <w:rsid w:val="00821409"/>
    <w:rsid w:val="0082152B"/>
    <w:rsid w:val="0082154F"/>
    <w:rsid w:val="00821750"/>
    <w:rsid w:val="0082194F"/>
    <w:rsid w:val="00821C76"/>
    <w:rsid w:val="00822AE8"/>
    <w:rsid w:val="00822ECA"/>
    <w:rsid w:val="00823EEB"/>
    <w:rsid w:val="008247EC"/>
    <w:rsid w:val="0082547F"/>
    <w:rsid w:val="008259FC"/>
    <w:rsid w:val="00825CE6"/>
    <w:rsid w:val="00825DC4"/>
    <w:rsid w:val="00825ECF"/>
    <w:rsid w:val="00825FB6"/>
    <w:rsid w:val="00826C4C"/>
    <w:rsid w:val="008271E1"/>
    <w:rsid w:val="0082780A"/>
    <w:rsid w:val="00830508"/>
    <w:rsid w:val="008306F8"/>
    <w:rsid w:val="00830D24"/>
    <w:rsid w:val="0083188C"/>
    <w:rsid w:val="00831BF5"/>
    <w:rsid w:val="00831D50"/>
    <w:rsid w:val="0083209A"/>
    <w:rsid w:val="0083314E"/>
    <w:rsid w:val="008331D7"/>
    <w:rsid w:val="0083346A"/>
    <w:rsid w:val="00833480"/>
    <w:rsid w:val="00833545"/>
    <w:rsid w:val="00833613"/>
    <w:rsid w:val="008337DA"/>
    <w:rsid w:val="00833840"/>
    <w:rsid w:val="00833F32"/>
    <w:rsid w:val="00834530"/>
    <w:rsid w:val="008350E1"/>
    <w:rsid w:val="008351AF"/>
    <w:rsid w:val="0083574A"/>
    <w:rsid w:val="00835A58"/>
    <w:rsid w:val="00835C93"/>
    <w:rsid w:val="00837018"/>
    <w:rsid w:val="00837501"/>
    <w:rsid w:val="00837D71"/>
    <w:rsid w:val="008402E3"/>
    <w:rsid w:val="00840863"/>
    <w:rsid w:val="0084112C"/>
    <w:rsid w:val="008412E4"/>
    <w:rsid w:val="00841BCA"/>
    <w:rsid w:val="0084315D"/>
    <w:rsid w:val="0084352E"/>
    <w:rsid w:val="00843767"/>
    <w:rsid w:val="00843907"/>
    <w:rsid w:val="008440DF"/>
    <w:rsid w:val="00844449"/>
    <w:rsid w:val="00844BB5"/>
    <w:rsid w:val="00844BFC"/>
    <w:rsid w:val="008469EC"/>
    <w:rsid w:val="00846A91"/>
    <w:rsid w:val="00846AD1"/>
    <w:rsid w:val="008471CF"/>
    <w:rsid w:val="008472C3"/>
    <w:rsid w:val="00847661"/>
    <w:rsid w:val="00847E7F"/>
    <w:rsid w:val="00850EBD"/>
    <w:rsid w:val="00851906"/>
    <w:rsid w:val="00851E38"/>
    <w:rsid w:val="00852A1B"/>
    <w:rsid w:val="00852AD9"/>
    <w:rsid w:val="008543C4"/>
    <w:rsid w:val="0085472B"/>
    <w:rsid w:val="00854759"/>
    <w:rsid w:val="008550B5"/>
    <w:rsid w:val="0085585D"/>
    <w:rsid w:val="00856835"/>
    <w:rsid w:val="00856BE7"/>
    <w:rsid w:val="00857396"/>
    <w:rsid w:val="00857B94"/>
    <w:rsid w:val="00861D46"/>
    <w:rsid w:val="00861DB0"/>
    <w:rsid w:val="00862597"/>
    <w:rsid w:val="00862601"/>
    <w:rsid w:val="008627FE"/>
    <w:rsid w:val="00863031"/>
    <w:rsid w:val="008630A3"/>
    <w:rsid w:val="008638A1"/>
    <w:rsid w:val="00863A71"/>
    <w:rsid w:val="00863B21"/>
    <w:rsid w:val="00863CB6"/>
    <w:rsid w:val="0086430F"/>
    <w:rsid w:val="00864D64"/>
    <w:rsid w:val="00865897"/>
    <w:rsid w:val="008659D0"/>
    <w:rsid w:val="008669FB"/>
    <w:rsid w:val="00867172"/>
    <w:rsid w:val="0086733C"/>
    <w:rsid w:val="00867A59"/>
    <w:rsid w:val="00867A6D"/>
    <w:rsid w:val="00870274"/>
    <w:rsid w:val="0087043F"/>
    <w:rsid w:val="00870863"/>
    <w:rsid w:val="00871695"/>
    <w:rsid w:val="00871FBE"/>
    <w:rsid w:val="00872042"/>
    <w:rsid w:val="00872121"/>
    <w:rsid w:val="008728A4"/>
    <w:rsid w:val="0087299F"/>
    <w:rsid w:val="00872AC3"/>
    <w:rsid w:val="00872B2C"/>
    <w:rsid w:val="00872CBF"/>
    <w:rsid w:val="00872E76"/>
    <w:rsid w:val="00873082"/>
    <w:rsid w:val="008737A6"/>
    <w:rsid w:val="00873998"/>
    <w:rsid w:val="008739A4"/>
    <w:rsid w:val="008739C0"/>
    <w:rsid w:val="00873C6B"/>
    <w:rsid w:val="008740B1"/>
    <w:rsid w:val="008740F6"/>
    <w:rsid w:val="00874436"/>
    <w:rsid w:val="00874DE8"/>
    <w:rsid w:val="00874F08"/>
    <w:rsid w:val="00875DDD"/>
    <w:rsid w:val="00876051"/>
    <w:rsid w:val="00876261"/>
    <w:rsid w:val="008764DB"/>
    <w:rsid w:val="00876549"/>
    <w:rsid w:val="00876D64"/>
    <w:rsid w:val="00876E15"/>
    <w:rsid w:val="00876E45"/>
    <w:rsid w:val="00876F17"/>
    <w:rsid w:val="008773B4"/>
    <w:rsid w:val="008802CE"/>
    <w:rsid w:val="0088092B"/>
    <w:rsid w:val="00880A37"/>
    <w:rsid w:val="00880E7F"/>
    <w:rsid w:val="00881777"/>
    <w:rsid w:val="00881B61"/>
    <w:rsid w:val="00882190"/>
    <w:rsid w:val="00882454"/>
    <w:rsid w:val="0088359C"/>
    <w:rsid w:val="008835A8"/>
    <w:rsid w:val="008838D8"/>
    <w:rsid w:val="00883AF4"/>
    <w:rsid w:val="0088411C"/>
    <w:rsid w:val="00884674"/>
    <w:rsid w:val="0088473F"/>
    <w:rsid w:val="00884BDE"/>
    <w:rsid w:val="00884F9E"/>
    <w:rsid w:val="008854B1"/>
    <w:rsid w:val="008869EB"/>
    <w:rsid w:val="00886A35"/>
    <w:rsid w:val="00886B20"/>
    <w:rsid w:val="00886BD1"/>
    <w:rsid w:val="00890583"/>
    <w:rsid w:val="008910C3"/>
    <w:rsid w:val="00891664"/>
    <w:rsid w:val="00891C71"/>
    <w:rsid w:val="00891DEE"/>
    <w:rsid w:val="00891E06"/>
    <w:rsid w:val="008920D2"/>
    <w:rsid w:val="00892A3E"/>
    <w:rsid w:val="0089349B"/>
    <w:rsid w:val="0089351C"/>
    <w:rsid w:val="00893AFF"/>
    <w:rsid w:val="0089425A"/>
    <w:rsid w:val="00894286"/>
    <w:rsid w:val="00895902"/>
    <w:rsid w:val="008959C5"/>
    <w:rsid w:val="008962CA"/>
    <w:rsid w:val="00896E93"/>
    <w:rsid w:val="00897A39"/>
    <w:rsid w:val="00897EE1"/>
    <w:rsid w:val="008A00F5"/>
    <w:rsid w:val="008A0DBF"/>
    <w:rsid w:val="008A0ED0"/>
    <w:rsid w:val="008A1158"/>
    <w:rsid w:val="008A12EC"/>
    <w:rsid w:val="008A187B"/>
    <w:rsid w:val="008A1C69"/>
    <w:rsid w:val="008A1CBD"/>
    <w:rsid w:val="008A22DF"/>
    <w:rsid w:val="008A2362"/>
    <w:rsid w:val="008A2731"/>
    <w:rsid w:val="008A2783"/>
    <w:rsid w:val="008A2900"/>
    <w:rsid w:val="008A2E38"/>
    <w:rsid w:val="008A4D91"/>
    <w:rsid w:val="008A5800"/>
    <w:rsid w:val="008A5CB3"/>
    <w:rsid w:val="008A5CB6"/>
    <w:rsid w:val="008A5F40"/>
    <w:rsid w:val="008A6375"/>
    <w:rsid w:val="008A7402"/>
    <w:rsid w:val="008A7907"/>
    <w:rsid w:val="008A7988"/>
    <w:rsid w:val="008A79C0"/>
    <w:rsid w:val="008B0E25"/>
    <w:rsid w:val="008B10A6"/>
    <w:rsid w:val="008B1337"/>
    <w:rsid w:val="008B1591"/>
    <w:rsid w:val="008B20F7"/>
    <w:rsid w:val="008B2C9A"/>
    <w:rsid w:val="008B2DF8"/>
    <w:rsid w:val="008B3389"/>
    <w:rsid w:val="008B3E38"/>
    <w:rsid w:val="008B3F2D"/>
    <w:rsid w:val="008B44A6"/>
    <w:rsid w:val="008B4569"/>
    <w:rsid w:val="008B49D2"/>
    <w:rsid w:val="008B5335"/>
    <w:rsid w:val="008B5678"/>
    <w:rsid w:val="008B57A3"/>
    <w:rsid w:val="008B5AA4"/>
    <w:rsid w:val="008B624D"/>
    <w:rsid w:val="008B770C"/>
    <w:rsid w:val="008B7C91"/>
    <w:rsid w:val="008B7F2D"/>
    <w:rsid w:val="008C0555"/>
    <w:rsid w:val="008C09FB"/>
    <w:rsid w:val="008C11A5"/>
    <w:rsid w:val="008C196A"/>
    <w:rsid w:val="008C19D1"/>
    <w:rsid w:val="008C23D2"/>
    <w:rsid w:val="008C25C6"/>
    <w:rsid w:val="008C3348"/>
    <w:rsid w:val="008C36F9"/>
    <w:rsid w:val="008C375E"/>
    <w:rsid w:val="008C445A"/>
    <w:rsid w:val="008C544C"/>
    <w:rsid w:val="008C6793"/>
    <w:rsid w:val="008C6BE3"/>
    <w:rsid w:val="008D0977"/>
    <w:rsid w:val="008D1C2F"/>
    <w:rsid w:val="008D1D45"/>
    <w:rsid w:val="008D2153"/>
    <w:rsid w:val="008D2185"/>
    <w:rsid w:val="008D2BBC"/>
    <w:rsid w:val="008D4092"/>
    <w:rsid w:val="008D4255"/>
    <w:rsid w:val="008D4526"/>
    <w:rsid w:val="008D4F33"/>
    <w:rsid w:val="008D5139"/>
    <w:rsid w:val="008D556D"/>
    <w:rsid w:val="008D5BFC"/>
    <w:rsid w:val="008D5CC4"/>
    <w:rsid w:val="008D6F11"/>
    <w:rsid w:val="008D7600"/>
    <w:rsid w:val="008D79C6"/>
    <w:rsid w:val="008E01A1"/>
    <w:rsid w:val="008E0530"/>
    <w:rsid w:val="008E092D"/>
    <w:rsid w:val="008E0CE7"/>
    <w:rsid w:val="008E12C0"/>
    <w:rsid w:val="008E13AF"/>
    <w:rsid w:val="008E13CD"/>
    <w:rsid w:val="008E13F4"/>
    <w:rsid w:val="008E1B24"/>
    <w:rsid w:val="008E1D2B"/>
    <w:rsid w:val="008E2441"/>
    <w:rsid w:val="008E2466"/>
    <w:rsid w:val="008E2682"/>
    <w:rsid w:val="008E3153"/>
    <w:rsid w:val="008E48F8"/>
    <w:rsid w:val="008E4904"/>
    <w:rsid w:val="008E49A5"/>
    <w:rsid w:val="008E58B9"/>
    <w:rsid w:val="008E611A"/>
    <w:rsid w:val="008E627E"/>
    <w:rsid w:val="008E655E"/>
    <w:rsid w:val="008E6FBB"/>
    <w:rsid w:val="008E7197"/>
    <w:rsid w:val="008E77A5"/>
    <w:rsid w:val="008E7D43"/>
    <w:rsid w:val="008E7D8B"/>
    <w:rsid w:val="008F0951"/>
    <w:rsid w:val="008F0A84"/>
    <w:rsid w:val="008F0D91"/>
    <w:rsid w:val="008F107B"/>
    <w:rsid w:val="008F1153"/>
    <w:rsid w:val="008F1397"/>
    <w:rsid w:val="008F18CD"/>
    <w:rsid w:val="008F1A17"/>
    <w:rsid w:val="008F1C33"/>
    <w:rsid w:val="008F2677"/>
    <w:rsid w:val="008F2F18"/>
    <w:rsid w:val="008F45B7"/>
    <w:rsid w:val="008F4EE2"/>
    <w:rsid w:val="008F51F2"/>
    <w:rsid w:val="008F59EE"/>
    <w:rsid w:val="008F5F23"/>
    <w:rsid w:val="008F5F4C"/>
    <w:rsid w:val="008F685F"/>
    <w:rsid w:val="008F6865"/>
    <w:rsid w:val="008F6C96"/>
    <w:rsid w:val="008F71AC"/>
    <w:rsid w:val="008F788C"/>
    <w:rsid w:val="008F7A15"/>
    <w:rsid w:val="008F7BC1"/>
    <w:rsid w:val="008F7F7A"/>
    <w:rsid w:val="009002F3"/>
    <w:rsid w:val="0090031E"/>
    <w:rsid w:val="009005C2"/>
    <w:rsid w:val="00900E22"/>
    <w:rsid w:val="00901157"/>
    <w:rsid w:val="009015C8"/>
    <w:rsid w:val="00901795"/>
    <w:rsid w:val="00902485"/>
    <w:rsid w:val="00902BE6"/>
    <w:rsid w:val="00902C71"/>
    <w:rsid w:val="009032A4"/>
    <w:rsid w:val="009037B6"/>
    <w:rsid w:val="009038CB"/>
    <w:rsid w:val="00904083"/>
    <w:rsid w:val="009046DA"/>
    <w:rsid w:val="0090471C"/>
    <w:rsid w:val="00904BE5"/>
    <w:rsid w:val="00904C43"/>
    <w:rsid w:val="00904D26"/>
    <w:rsid w:val="00904E69"/>
    <w:rsid w:val="009054D2"/>
    <w:rsid w:val="009055FA"/>
    <w:rsid w:val="009067DD"/>
    <w:rsid w:val="00906A80"/>
    <w:rsid w:val="00906B37"/>
    <w:rsid w:val="0090710C"/>
    <w:rsid w:val="0090780C"/>
    <w:rsid w:val="009104C7"/>
    <w:rsid w:val="009110F1"/>
    <w:rsid w:val="00911139"/>
    <w:rsid w:val="00911E93"/>
    <w:rsid w:val="0091225B"/>
    <w:rsid w:val="009129A1"/>
    <w:rsid w:val="00912CA5"/>
    <w:rsid w:val="00913B85"/>
    <w:rsid w:val="0091419C"/>
    <w:rsid w:val="00915D56"/>
    <w:rsid w:val="00916CC7"/>
    <w:rsid w:val="00920E24"/>
    <w:rsid w:val="0092105C"/>
    <w:rsid w:val="009216A3"/>
    <w:rsid w:val="00922467"/>
    <w:rsid w:val="00922BE1"/>
    <w:rsid w:val="00922F25"/>
    <w:rsid w:val="00923114"/>
    <w:rsid w:val="0092348E"/>
    <w:rsid w:val="009234AA"/>
    <w:rsid w:val="00923591"/>
    <w:rsid w:val="009242A6"/>
    <w:rsid w:val="009257E7"/>
    <w:rsid w:val="009258EA"/>
    <w:rsid w:val="00926369"/>
    <w:rsid w:val="009264F6"/>
    <w:rsid w:val="00926858"/>
    <w:rsid w:val="00926A18"/>
    <w:rsid w:val="00926CEA"/>
    <w:rsid w:val="009270EE"/>
    <w:rsid w:val="00927186"/>
    <w:rsid w:val="009275F3"/>
    <w:rsid w:val="0093039B"/>
    <w:rsid w:val="009304D5"/>
    <w:rsid w:val="0093065F"/>
    <w:rsid w:val="009307A0"/>
    <w:rsid w:val="009309F5"/>
    <w:rsid w:val="00930A70"/>
    <w:rsid w:val="00930CDB"/>
    <w:rsid w:val="009310EA"/>
    <w:rsid w:val="00931502"/>
    <w:rsid w:val="009316B8"/>
    <w:rsid w:val="00932436"/>
    <w:rsid w:val="00933952"/>
    <w:rsid w:val="009340D1"/>
    <w:rsid w:val="0093426B"/>
    <w:rsid w:val="00934C82"/>
    <w:rsid w:val="009360E5"/>
    <w:rsid w:val="00936240"/>
    <w:rsid w:val="009363DE"/>
    <w:rsid w:val="009365D5"/>
    <w:rsid w:val="009376F8"/>
    <w:rsid w:val="0093786F"/>
    <w:rsid w:val="00937AB6"/>
    <w:rsid w:val="0094049F"/>
    <w:rsid w:val="00940C5A"/>
    <w:rsid w:val="00940DB5"/>
    <w:rsid w:val="00942A7E"/>
    <w:rsid w:val="00942F1E"/>
    <w:rsid w:val="00942F31"/>
    <w:rsid w:val="009431CD"/>
    <w:rsid w:val="0094345D"/>
    <w:rsid w:val="009439D1"/>
    <w:rsid w:val="009441D4"/>
    <w:rsid w:val="0094455A"/>
    <w:rsid w:val="0094469D"/>
    <w:rsid w:val="00944E6F"/>
    <w:rsid w:val="00945129"/>
    <w:rsid w:val="00945B1B"/>
    <w:rsid w:val="009464ED"/>
    <w:rsid w:val="0094656C"/>
    <w:rsid w:val="009470D3"/>
    <w:rsid w:val="009470DF"/>
    <w:rsid w:val="00947352"/>
    <w:rsid w:val="00947832"/>
    <w:rsid w:val="009502B8"/>
    <w:rsid w:val="0095091A"/>
    <w:rsid w:val="00950BCC"/>
    <w:rsid w:val="00950BDB"/>
    <w:rsid w:val="00950D42"/>
    <w:rsid w:val="0095101A"/>
    <w:rsid w:val="00951C09"/>
    <w:rsid w:val="00951D39"/>
    <w:rsid w:val="0095254C"/>
    <w:rsid w:val="009526CB"/>
    <w:rsid w:val="0095283D"/>
    <w:rsid w:val="009529BB"/>
    <w:rsid w:val="00952F4C"/>
    <w:rsid w:val="00953D2F"/>
    <w:rsid w:val="0095430F"/>
    <w:rsid w:val="00954496"/>
    <w:rsid w:val="009548B0"/>
    <w:rsid w:val="00954A5C"/>
    <w:rsid w:val="00954C14"/>
    <w:rsid w:val="00955183"/>
    <w:rsid w:val="00955DF9"/>
    <w:rsid w:val="00956554"/>
    <w:rsid w:val="009567A9"/>
    <w:rsid w:val="00956BC5"/>
    <w:rsid w:val="00956FAE"/>
    <w:rsid w:val="009570DC"/>
    <w:rsid w:val="009574CD"/>
    <w:rsid w:val="009574D2"/>
    <w:rsid w:val="009577C7"/>
    <w:rsid w:val="009579D7"/>
    <w:rsid w:val="00957B1C"/>
    <w:rsid w:val="009607B8"/>
    <w:rsid w:val="009609A2"/>
    <w:rsid w:val="00960A59"/>
    <w:rsid w:val="00960E6B"/>
    <w:rsid w:val="00960ECE"/>
    <w:rsid w:val="0096100E"/>
    <w:rsid w:val="009610FF"/>
    <w:rsid w:val="00962968"/>
    <w:rsid w:val="009634AB"/>
    <w:rsid w:val="00963672"/>
    <w:rsid w:val="009637EA"/>
    <w:rsid w:val="00963C5C"/>
    <w:rsid w:val="00963D16"/>
    <w:rsid w:val="00963D26"/>
    <w:rsid w:val="009648DD"/>
    <w:rsid w:val="00964A7C"/>
    <w:rsid w:val="00965136"/>
    <w:rsid w:val="009657C6"/>
    <w:rsid w:val="0096587D"/>
    <w:rsid w:val="00965AFF"/>
    <w:rsid w:val="00965C9E"/>
    <w:rsid w:val="00966AA5"/>
    <w:rsid w:val="00966B0E"/>
    <w:rsid w:val="0096708B"/>
    <w:rsid w:val="009711E9"/>
    <w:rsid w:val="00971B7C"/>
    <w:rsid w:val="009722E2"/>
    <w:rsid w:val="0097230F"/>
    <w:rsid w:val="009725F8"/>
    <w:rsid w:val="009726A7"/>
    <w:rsid w:val="00972998"/>
    <w:rsid w:val="009729BF"/>
    <w:rsid w:val="009733F4"/>
    <w:rsid w:val="00973847"/>
    <w:rsid w:val="00973EE5"/>
    <w:rsid w:val="00974296"/>
    <w:rsid w:val="00974DFB"/>
    <w:rsid w:val="00975525"/>
    <w:rsid w:val="0097586A"/>
    <w:rsid w:val="00975B8A"/>
    <w:rsid w:val="0097648B"/>
    <w:rsid w:val="009766C2"/>
    <w:rsid w:val="00976A87"/>
    <w:rsid w:val="0097758D"/>
    <w:rsid w:val="00977608"/>
    <w:rsid w:val="00977776"/>
    <w:rsid w:val="009804C9"/>
    <w:rsid w:val="0098182B"/>
    <w:rsid w:val="00981981"/>
    <w:rsid w:val="00981E37"/>
    <w:rsid w:val="00981E86"/>
    <w:rsid w:val="00981E9D"/>
    <w:rsid w:val="00981F6B"/>
    <w:rsid w:val="009824C2"/>
    <w:rsid w:val="00982B60"/>
    <w:rsid w:val="00982C2C"/>
    <w:rsid w:val="0098343A"/>
    <w:rsid w:val="00983CBD"/>
    <w:rsid w:val="00983CE5"/>
    <w:rsid w:val="009847DD"/>
    <w:rsid w:val="0098483D"/>
    <w:rsid w:val="00984DB1"/>
    <w:rsid w:val="00985473"/>
    <w:rsid w:val="00985500"/>
    <w:rsid w:val="00985EDF"/>
    <w:rsid w:val="009863E6"/>
    <w:rsid w:val="00986590"/>
    <w:rsid w:val="00986B40"/>
    <w:rsid w:val="00986F0B"/>
    <w:rsid w:val="00986F49"/>
    <w:rsid w:val="00986F50"/>
    <w:rsid w:val="0098782D"/>
    <w:rsid w:val="009878B7"/>
    <w:rsid w:val="009879EB"/>
    <w:rsid w:val="0099083A"/>
    <w:rsid w:val="00990876"/>
    <w:rsid w:val="00990A9C"/>
    <w:rsid w:val="00990B11"/>
    <w:rsid w:val="00991087"/>
    <w:rsid w:val="00991265"/>
    <w:rsid w:val="009916E1"/>
    <w:rsid w:val="009917FD"/>
    <w:rsid w:val="00991B3D"/>
    <w:rsid w:val="00991C26"/>
    <w:rsid w:val="00991FC5"/>
    <w:rsid w:val="00992324"/>
    <w:rsid w:val="00992DA9"/>
    <w:rsid w:val="00993730"/>
    <w:rsid w:val="00993AF0"/>
    <w:rsid w:val="00994235"/>
    <w:rsid w:val="00994752"/>
    <w:rsid w:val="00995F97"/>
    <w:rsid w:val="00996274"/>
    <w:rsid w:val="009966CA"/>
    <w:rsid w:val="00996987"/>
    <w:rsid w:val="00996F10"/>
    <w:rsid w:val="00997485"/>
    <w:rsid w:val="00997AEB"/>
    <w:rsid w:val="009A03A3"/>
    <w:rsid w:val="009A047D"/>
    <w:rsid w:val="009A079A"/>
    <w:rsid w:val="009A0BE2"/>
    <w:rsid w:val="009A0CE5"/>
    <w:rsid w:val="009A0F27"/>
    <w:rsid w:val="009A11B6"/>
    <w:rsid w:val="009A1CB4"/>
    <w:rsid w:val="009A1EDA"/>
    <w:rsid w:val="009A1F85"/>
    <w:rsid w:val="009A2310"/>
    <w:rsid w:val="009A28EF"/>
    <w:rsid w:val="009A2BAC"/>
    <w:rsid w:val="009A3151"/>
    <w:rsid w:val="009A3346"/>
    <w:rsid w:val="009A35B5"/>
    <w:rsid w:val="009A473A"/>
    <w:rsid w:val="009A48CD"/>
    <w:rsid w:val="009A5790"/>
    <w:rsid w:val="009A5D4A"/>
    <w:rsid w:val="009A5DDF"/>
    <w:rsid w:val="009A5FE3"/>
    <w:rsid w:val="009A6283"/>
    <w:rsid w:val="009A64E5"/>
    <w:rsid w:val="009A68A4"/>
    <w:rsid w:val="009A6AFA"/>
    <w:rsid w:val="009A6BA7"/>
    <w:rsid w:val="009A71D0"/>
    <w:rsid w:val="009B0603"/>
    <w:rsid w:val="009B0CF0"/>
    <w:rsid w:val="009B1571"/>
    <w:rsid w:val="009B17BC"/>
    <w:rsid w:val="009B17D0"/>
    <w:rsid w:val="009B1A5F"/>
    <w:rsid w:val="009B1B5E"/>
    <w:rsid w:val="009B248A"/>
    <w:rsid w:val="009B28E9"/>
    <w:rsid w:val="009B2B25"/>
    <w:rsid w:val="009B2F68"/>
    <w:rsid w:val="009B315B"/>
    <w:rsid w:val="009B45C6"/>
    <w:rsid w:val="009B4600"/>
    <w:rsid w:val="009B4693"/>
    <w:rsid w:val="009B49A2"/>
    <w:rsid w:val="009B4AD2"/>
    <w:rsid w:val="009B4D9C"/>
    <w:rsid w:val="009B546A"/>
    <w:rsid w:val="009B6338"/>
    <w:rsid w:val="009B63F1"/>
    <w:rsid w:val="009B6739"/>
    <w:rsid w:val="009B68BB"/>
    <w:rsid w:val="009B75C3"/>
    <w:rsid w:val="009B7E08"/>
    <w:rsid w:val="009C0051"/>
    <w:rsid w:val="009C017A"/>
    <w:rsid w:val="009C134F"/>
    <w:rsid w:val="009C1371"/>
    <w:rsid w:val="009C1F73"/>
    <w:rsid w:val="009C2949"/>
    <w:rsid w:val="009C3487"/>
    <w:rsid w:val="009C424C"/>
    <w:rsid w:val="009C4682"/>
    <w:rsid w:val="009C50B8"/>
    <w:rsid w:val="009C54DC"/>
    <w:rsid w:val="009C6509"/>
    <w:rsid w:val="009C65FD"/>
    <w:rsid w:val="009C7195"/>
    <w:rsid w:val="009C7447"/>
    <w:rsid w:val="009C7525"/>
    <w:rsid w:val="009C79BF"/>
    <w:rsid w:val="009C7FEA"/>
    <w:rsid w:val="009D0533"/>
    <w:rsid w:val="009D05EA"/>
    <w:rsid w:val="009D0C20"/>
    <w:rsid w:val="009D101E"/>
    <w:rsid w:val="009D12A1"/>
    <w:rsid w:val="009D1554"/>
    <w:rsid w:val="009D1B0C"/>
    <w:rsid w:val="009D2516"/>
    <w:rsid w:val="009D25BE"/>
    <w:rsid w:val="009D285B"/>
    <w:rsid w:val="009D2946"/>
    <w:rsid w:val="009D3211"/>
    <w:rsid w:val="009D3CF6"/>
    <w:rsid w:val="009D3D9E"/>
    <w:rsid w:val="009D3FB1"/>
    <w:rsid w:val="009D4168"/>
    <w:rsid w:val="009D52B2"/>
    <w:rsid w:val="009D5C39"/>
    <w:rsid w:val="009D6232"/>
    <w:rsid w:val="009D631F"/>
    <w:rsid w:val="009D64F6"/>
    <w:rsid w:val="009D7219"/>
    <w:rsid w:val="009D742A"/>
    <w:rsid w:val="009D7A5F"/>
    <w:rsid w:val="009E0B21"/>
    <w:rsid w:val="009E1E90"/>
    <w:rsid w:val="009E2327"/>
    <w:rsid w:val="009E23AC"/>
    <w:rsid w:val="009E2A18"/>
    <w:rsid w:val="009E36CE"/>
    <w:rsid w:val="009E394C"/>
    <w:rsid w:val="009E4663"/>
    <w:rsid w:val="009E46B1"/>
    <w:rsid w:val="009E486A"/>
    <w:rsid w:val="009E49C8"/>
    <w:rsid w:val="009E5202"/>
    <w:rsid w:val="009E56A5"/>
    <w:rsid w:val="009E5B50"/>
    <w:rsid w:val="009E68AA"/>
    <w:rsid w:val="009E6BB0"/>
    <w:rsid w:val="009E7381"/>
    <w:rsid w:val="009E7470"/>
    <w:rsid w:val="009E7555"/>
    <w:rsid w:val="009E790F"/>
    <w:rsid w:val="009E797D"/>
    <w:rsid w:val="009F0698"/>
    <w:rsid w:val="009F0D26"/>
    <w:rsid w:val="009F0EA1"/>
    <w:rsid w:val="009F11AF"/>
    <w:rsid w:val="009F1BFE"/>
    <w:rsid w:val="009F29FC"/>
    <w:rsid w:val="009F2E2E"/>
    <w:rsid w:val="009F2E9E"/>
    <w:rsid w:val="009F39A4"/>
    <w:rsid w:val="009F3E17"/>
    <w:rsid w:val="009F433F"/>
    <w:rsid w:val="009F440C"/>
    <w:rsid w:val="009F48E0"/>
    <w:rsid w:val="009F4EE0"/>
    <w:rsid w:val="009F503E"/>
    <w:rsid w:val="009F59E8"/>
    <w:rsid w:val="009F6E8F"/>
    <w:rsid w:val="009F70C1"/>
    <w:rsid w:val="009F7415"/>
    <w:rsid w:val="009F77DE"/>
    <w:rsid w:val="009F7CA6"/>
    <w:rsid w:val="00A00191"/>
    <w:rsid w:val="00A004FD"/>
    <w:rsid w:val="00A00B41"/>
    <w:rsid w:val="00A011D3"/>
    <w:rsid w:val="00A01837"/>
    <w:rsid w:val="00A01A73"/>
    <w:rsid w:val="00A01C12"/>
    <w:rsid w:val="00A02374"/>
    <w:rsid w:val="00A0257D"/>
    <w:rsid w:val="00A02697"/>
    <w:rsid w:val="00A0287C"/>
    <w:rsid w:val="00A03298"/>
    <w:rsid w:val="00A038F0"/>
    <w:rsid w:val="00A0396B"/>
    <w:rsid w:val="00A03BB5"/>
    <w:rsid w:val="00A045AE"/>
    <w:rsid w:val="00A05161"/>
    <w:rsid w:val="00A05E8F"/>
    <w:rsid w:val="00A060D7"/>
    <w:rsid w:val="00A06CD1"/>
    <w:rsid w:val="00A06F1B"/>
    <w:rsid w:val="00A07047"/>
    <w:rsid w:val="00A1063C"/>
    <w:rsid w:val="00A10981"/>
    <w:rsid w:val="00A10A9D"/>
    <w:rsid w:val="00A1114B"/>
    <w:rsid w:val="00A11332"/>
    <w:rsid w:val="00A114CB"/>
    <w:rsid w:val="00A12079"/>
    <w:rsid w:val="00A12937"/>
    <w:rsid w:val="00A12A7B"/>
    <w:rsid w:val="00A12B44"/>
    <w:rsid w:val="00A12CD2"/>
    <w:rsid w:val="00A12EDD"/>
    <w:rsid w:val="00A13163"/>
    <w:rsid w:val="00A13235"/>
    <w:rsid w:val="00A13326"/>
    <w:rsid w:val="00A13406"/>
    <w:rsid w:val="00A1342D"/>
    <w:rsid w:val="00A135D8"/>
    <w:rsid w:val="00A13679"/>
    <w:rsid w:val="00A13D98"/>
    <w:rsid w:val="00A1433B"/>
    <w:rsid w:val="00A14714"/>
    <w:rsid w:val="00A1488A"/>
    <w:rsid w:val="00A15796"/>
    <w:rsid w:val="00A15C08"/>
    <w:rsid w:val="00A16171"/>
    <w:rsid w:val="00A16947"/>
    <w:rsid w:val="00A16A8B"/>
    <w:rsid w:val="00A20156"/>
    <w:rsid w:val="00A208CD"/>
    <w:rsid w:val="00A213D6"/>
    <w:rsid w:val="00A22C2D"/>
    <w:rsid w:val="00A239C1"/>
    <w:rsid w:val="00A239EC"/>
    <w:rsid w:val="00A24097"/>
    <w:rsid w:val="00A248D9"/>
    <w:rsid w:val="00A25B39"/>
    <w:rsid w:val="00A25E9A"/>
    <w:rsid w:val="00A262D7"/>
    <w:rsid w:val="00A26D0E"/>
    <w:rsid w:val="00A270C9"/>
    <w:rsid w:val="00A271E2"/>
    <w:rsid w:val="00A274AD"/>
    <w:rsid w:val="00A27904"/>
    <w:rsid w:val="00A30C48"/>
    <w:rsid w:val="00A31C88"/>
    <w:rsid w:val="00A32693"/>
    <w:rsid w:val="00A326B4"/>
    <w:rsid w:val="00A32D19"/>
    <w:rsid w:val="00A32D2F"/>
    <w:rsid w:val="00A32E4A"/>
    <w:rsid w:val="00A335DD"/>
    <w:rsid w:val="00A3377F"/>
    <w:rsid w:val="00A33BB5"/>
    <w:rsid w:val="00A33EEE"/>
    <w:rsid w:val="00A359E1"/>
    <w:rsid w:val="00A35CBA"/>
    <w:rsid w:val="00A3669B"/>
    <w:rsid w:val="00A37A3C"/>
    <w:rsid w:val="00A37C40"/>
    <w:rsid w:val="00A37FD1"/>
    <w:rsid w:val="00A4098C"/>
    <w:rsid w:val="00A42129"/>
    <w:rsid w:val="00A42FD2"/>
    <w:rsid w:val="00A4356B"/>
    <w:rsid w:val="00A43C1A"/>
    <w:rsid w:val="00A4454E"/>
    <w:rsid w:val="00A44997"/>
    <w:rsid w:val="00A44EEA"/>
    <w:rsid w:val="00A44FC6"/>
    <w:rsid w:val="00A450B0"/>
    <w:rsid w:val="00A45B22"/>
    <w:rsid w:val="00A45E39"/>
    <w:rsid w:val="00A46363"/>
    <w:rsid w:val="00A46704"/>
    <w:rsid w:val="00A46A2D"/>
    <w:rsid w:val="00A46CFE"/>
    <w:rsid w:val="00A46DBA"/>
    <w:rsid w:val="00A46F4C"/>
    <w:rsid w:val="00A46FBE"/>
    <w:rsid w:val="00A472F6"/>
    <w:rsid w:val="00A47504"/>
    <w:rsid w:val="00A506A8"/>
    <w:rsid w:val="00A50B62"/>
    <w:rsid w:val="00A50BC8"/>
    <w:rsid w:val="00A513D7"/>
    <w:rsid w:val="00A51E26"/>
    <w:rsid w:val="00A5284B"/>
    <w:rsid w:val="00A52A5D"/>
    <w:rsid w:val="00A53477"/>
    <w:rsid w:val="00A53D6C"/>
    <w:rsid w:val="00A53DB3"/>
    <w:rsid w:val="00A5466F"/>
    <w:rsid w:val="00A554A5"/>
    <w:rsid w:val="00A55507"/>
    <w:rsid w:val="00A55A51"/>
    <w:rsid w:val="00A56540"/>
    <w:rsid w:val="00A56600"/>
    <w:rsid w:val="00A57096"/>
    <w:rsid w:val="00A602D3"/>
    <w:rsid w:val="00A60911"/>
    <w:rsid w:val="00A60988"/>
    <w:rsid w:val="00A60F6C"/>
    <w:rsid w:val="00A613FA"/>
    <w:rsid w:val="00A61B03"/>
    <w:rsid w:val="00A61F66"/>
    <w:rsid w:val="00A629DC"/>
    <w:rsid w:val="00A62ADE"/>
    <w:rsid w:val="00A63803"/>
    <w:rsid w:val="00A6395B"/>
    <w:rsid w:val="00A64394"/>
    <w:rsid w:val="00A64973"/>
    <w:rsid w:val="00A64A4D"/>
    <w:rsid w:val="00A6526B"/>
    <w:rsid w:val="00A6665A"/>
    <w:rsid w:val="00A66671"/>
    <w:rsid w:val="00A66E24"/>
    <w:rsid w:val="00A672EB"/>
    <w:rsid w:val="00A70AE9"/>
    <w:rsid w:val="00A71C59"/>
    <w:rsid w:val="00A72469"/>
    <w:rsid w:val="00A72EF6"/>
    <w:rsid w:val="00A73821"/>
    <w:rsid w:val="00A7386A"/>
    <w:rsid w:val="00A74100"/>
    <w:rsid w:val="00A74872"/>
    <w:rsid w:val="00A7552C"/>
    <w:rsid w:val="00A756E0"/>
    <w:rsid w:val="00A7629F"/>
    <w:rsid w:val="00A7647A"/>
    <w:rsid w:val="00A77566"/>
    <w:rsid w:val="00A77714"/>
    <w:rsid w:val="00A77CB1"/>
    <w:rsid w:val="00A80171"/>
    <w:rsid w:val="00A80222"/>
    <w:rsid w:val="00A80EFC"/>
    <w:rsid w:val="00A81320"/>
    <w:rsid w:val="00A817EA"/>
    <w:rsid w:val="00A81F3F"/>
    <w:rsid w:val="00A8289B"/>
    <w:rsid w:val="00A82955"/>
    <w:rsid w:val="00A83E4F"/>
    <w:rsid w:val="00A84424"/>
    <w:rsid w:val="00A84E18"/>
    <w:rsid w:val="00A84F1E"/>
    <w:rsid w:val="00A8564F"/>
    <w:rsid w:val="00A85836"/>
    <w:rsid w:val="00A85D08"/>
    <w:rsid w:val="00A85FE2"/>
    <w:rsid w:val="00A86B35"/>
    <w:rsid w:val="00A86E2D"/>
    <w:rsid w:val="00A87942"/>
    <w:rsid w:val="00A87B11"/>
    <w:rsid w:val="00A87F05"/>
    <w:rsid w:val="00A900B2"/>
    <w:rsid w:val="00A90869"/>
    <w:rsid w:val="00A909BA"/>
    <w:rsid w:val="00A90C6D"/>
    <w:rsid w:val="00A91117"/>
    <w:rsid w:val="00A920B3"/>
    <w:rsid w:val="00A92270"/>
    <w:rsid w:val="00A92420"/>
    <w:rsid w:val="00A92E1B"/>
    <w:rsid w:val="00A934C2"/>
    <w:rsid w:val="00A938B4"/>
    <w:rsid w:val="00A93CE1"/>
    <w:rsid w:val="00A95124"/>
    <w:rsid w:val="00A96086"/>
    <w:rsid w:val="00A96BAB"/>
    <w:rsid w:val="00A96E64"/>
    <w:rsid w:val="00A97279"/>
    <w:rsid w:val="00A972FF"/>
    <w:rsid w:val="00A97ADC"/>
    <w:rsid w:val="00A97D72"/>
    <w:rsid w:val="00AA01EF"/>
    <w:rsid w:val="00AA0C4A"/>
    <w:rsid w:val="00AA117C"/>
    <w:rsid w:val="00AA16AE"/>
    <w:rsid w:val="00AA1897"/>
    <w:rsid w:val="00AA2559"/>
    <w:rsid w:val="00AA25B9"/>
    <w:rsid w:val="00AA2B9D"/>
    <w:rsid w:val="00AA2F30"/>
    <w:rsid w:val="00AA33D2"/>
    <w:rsid w:val="00AA3555"/>
    <w:rsid w:val="00AA35E3"/>
    <w:rsid w:val="00AA3862"/>
    <w:rsid w:val="00AA479C"/>
    <w:rsid w:val="00AA4E18"/>
    <w:rsid w:val="00AA5222"/>
    <w:rsid w:val="00AA5302"/>
    <w:rsid w:val="00AA54AD"/>
    <w:rsid w:val="00AA5596"/>
    <w:rsid w:val="00AA6066"/>
    <w:rsid w:val="00AA6F19"/>
    <w:rsid w:val="00AA6FF4"/>
    <w:rsid w:val="00AA75DA"/>
    <w:rsid w:val="00AA763C"/>
    <w:rsid w:val="00AA767E"/>
    <w:rsid w:val="00AA7773"/>
    <w:rsid w:val="00AA7B04"/>
    <w:rsid w:val="00AB02A0"/>
    <w:rsid w:val="00AB0E80"/>
    <w:rsid w:val="00AB157A"/>
    <w:rsid w:val="00AB19E5"/>
    <w:rsid w:val="00AB209D"/>
    <w:rsid w:val="00AB22F2"/>
    <w:rsid w:val="00AB258F"/>
    <w:rsid w:val="00AB2F4B"/>
    <w:rsid w:val="00AB3A8B"/>
    <w:rsid w:val="00AB4248"/>
    <w:rsid w:val="00AB45FF"/>
    <w:rsid w:val="00AB4F22"/>
    <w:rsid w:val="00AB5345"/>
    <w:rsid w:val="00AB5BD6"/>
    <w:rsid w:val="00AB602B"/>
    <w:rsid w:val="00AB60A5"/>
    <w:rsid w:val="00AB79FA"/>
    <w:rsid w:val="00AC017B"/>
    <w:rsid w:val="00AC0AA4"/>
    <w:rsid w:val="00AC0D5B"/>
    <w:rsid w:val="00AC0E27"/>
    <w:rsid w:val="00AC0EE7"/>
    <w:rsid w:val="00AC15DA"/>
    <w:rsid w:val="00AC1741"/>
    <w:rsid w:val="00AC1EA2"/>
    <w:rsid w:val="00AC25D8"/>
    <w:rsid w:val="00AC28B0"/>
    <w:rsid w:val="00AC28BB"/>
    <w:rsid w:val="00AC2F80"/>
    <w:rsid w:val="00AC3828"/>
    <w:rsid w:val="00AC4B19"/>
    <w:rsid w:val="00AC4C87"/>
    <w:rsid w:val="00AC4F3B"/>
    <w:rsid w:val="00AC562C"/>
    <w:rsid w:val="00AC5A37"/>
    <w:rsid w:val="00AC6318"/>
    <w:rsid w:val="00AC6344"/>
    <w:rsid w:val="00AC78A8"/>
    <w:rsid w:val="00AC7D0E"/>
    <w:rsid w:val="00AC7E3B"/>
    <w:rsid w:val="00AD0139"/>
    <w:rsid w:val="00AD06D9"/>
    <w:rsid w:val="00AD0E26"/>
    <w:rsid w:val="00AD141F"/>
    <w:rsid w:val="00AD16D8"/>
    <w:rsid w:val="00AD174C"/>
    <w:rsid w:val="00AD196A"/>
    <w:rsid w:val="00AD1ADA"/>
    <w:rsid w:val="00AD1ECD"/>
    <w:rsid w:val="00AD2180"/>
    <w:rsid w:val="00AD238E"/>
    <w:rsid w:val="00AD290F"/>
    <w:rsid w:val="00AD2C98"/>
    <w:rsid w:val="00AD32E2"/>
    <w:rsid w:val="00AD3DA5"/>
    <w:rsid w:val="00AD48E6"/>
    <w:rsid w:val="00AD4A37"/>
    <w:rsid w:val="00AD5265"/>
    <w:rsid w:val="00AD5295"/>
    <w:rsid w:val="00AD57AD"/>
    <w:rsid w:val="00AD5930"/>
    <w:rsid w:val="00AD6716"/>
    <w:rsid w:val="00AD6AE0"/>
    <w:rsid w:val="00AD74CA"/>
    <w:rsid w:val="00AD7631"/>
    <w:rsid w:val="00AD7CA9"/>
    <w:rsid w:val="00AE0F91"/>
    <w:rsid w:val="00AE1956"/>
    <w:rsid w:val="00AE1C61"/>
    <w:rsid w:val="00AE299E"/>
    <w:rsid w:val="00AE2BCF"/>
    <w:rsid w:val="00AE2F3D"/>
    <w:rsid w:val="00AE33C1"/>
    <w:rsid w:val="00AE3592"/>
    <w:rsid w:val="00AE35CA"/>
    <w:rsid w:val="00AE4257"/>
    <w:rsid w:val="00AE499C"/>
    <w:rsid w:val="00AE5B50"/>
    <w:rsid w:val="00AE5DC2"/>
    <w:rsid w:val="00AE5F0C"/>
    <w:rsid w:val="00AE6C26"/>
    <w:rsid w:val="00AE6E94"/>
    <w:rsid w:val="00AE6F2A"/>
    <w:rsid w:val="00AE7148"/>
    <w:rsid w:val="00AE731F"/>
    <w:rsid w:val="00AE758F"/>
    <w:rsid w:val="00AE776C"/>
    <w:rsid w:val="00AF0385"/>
    <w:rsid w:val="00AF03A2"/>
    <w:rsid w:val="00AF0635"/>
    <w:rsid w:val="00AF16EF"/>
    <w:rsid w:val="00AF327F"/>
    <w:rsid w:val="00AF3347"/>
    <w:rsid w:val="00AF33BF"/>
    <w:rsid w:val="00AF35BF"/>
    <w:rsid w:val="00AF3676"/>
    <w:rsid w:val="00AF3EDD"/>
    <w:rsid w:val="00AF4822"/>
    <w:rsid w:val="00AF4B54"/>
    <w:rsid w:val="00AF4DB3"/>
    <w:rsid w:val="00AF58C9"/>
    <w:rsid w:val="00AF5AD5"/>
    <w:rsid w:val="00AF5D92"/>
    <w:rsid w:val="00AF5FA7"/>
    <w:rsid w:val="00AF669C"/>
    <w:rsid w:val="00AF6F95"/>
    <w:rsid w:val="00AF7764"/>
    <w:rsid w:val="00AF78F5"/>
    <w:rsid w:val="00AF7C65"/>
    <w:rsid w:val="00B002AD"/>
    <w:rsid w:val="00B00DC9"/>
    <w:rsid w:val="00B01368"/>
    <w:rsid w:val="00B017BB"/>
    <w:rsid w:val="00B01B10"/>
    <w:rsid w:val="00B01B35"/>
    <w:rsid w:val="00B01F2C"/>
    <w:rsid w:val="00B02158"/>
    <w:rsid w:val="00B02738"/>
    <w:rsid w:val="00B044F7"/>
    <w:rsid w:val="00B04D87"/>
    <w:rsid w:val="00B04F60"/>
    <w:rsid w:val="00B054D8"/>
    <w:rsid w:val="00B0556D"/>
    <w:rsid w:val="00B05B35"/>
    <w:rsid w:val="00B05E07"/>
    <w:rsid w:val="00B06209"/>
    <w:rsid w:val="00B07957"/>
    <w:rsid w:val="00B1071D"/>
    <w:rsid w:val="00B107DE"/>
    <w:rsid w:val="00B1111B"/>
    <w:rsid w:val="00B11999"/>
    <w:rsid w:val="00B11AD1"/>
    <w:rsid w:val="00B11DF1"/>
    <w:rsid w:val="00B12BE9"/>
    <w:rsid w:val="00B12D4A"/>
    <w:rsid w:val="00B12D88"/>
    <w:rsid w:val="00B13C20"/>
    <w:rsid w:val="00B14531"/>
    <w:rsid w:val="00B148A2"/>
    <w:rsid w:val="00B14EC9"/>
    <w:rsid w:val="00B1568C"/>
    <w:rsid w:val="00B15A1D"/>
    <w:rsid w:val="00B15CA6"/>
    <w:rsid w:val="00B15F5E"/>
    <w:rsid w:val="00B15FD4"/>
    <w:rsid w:val="00B167CE"/>
    <w:rsid w:val="00B17043"/>
    <w:rsid w:val="00B17117"/>
    <w:rsid w:val="00B17134"/>
    <w:rsid w:val="00B173F3"/>
    <w:rsid w:val="00B176E5"/>
    <w:rsid w:val="00B179A4"/>
    <w:rsid w:val="00B17F7F"/>
    <w:rsid w:val="00B17FB6"/>
    <w:rsid w:val="00B2000D"/>
    <w:rsid w:val="00B203AE"/>
    <w:rsid w:val="00B2084C"/>
    <w:rsid w:val="00B20AA0"/>
    <w:rsid w:val="00B20CA9"/>
    <w:rsid w:val="00B21250"/>
    <w:rsid w:val="00B216AD"/>
    <w:rsid w:val="00B2177C"/>
    <w:rsid w:val="00B22193"/>
    <w:rsid w:val="00B22448"/>
    <w:rsid w:val="00B22456"/>
    <w:rsid w:val="00B228E0"/>
    <w:rsid w:val="00B22CCA"/>
    <w:rsid w:val="00B22D18"/>
    <w:rsid w:val="00B237B9"/>
    <w:rsid w:val="00B23FC6"/>
    <w:rsid w:val="00B255B3"/>
    <w:rsid w:val="00B26B30"/>
    <w:rsid w:val="00B279F3"/>
    <w:rsid w:val="00B27A7E"/>
    <w:rsid w:val="00B30308"/>
    <w:rsid w:val="00B309D0"/>
    <w:rsid w:val="00B310D7"/>
    <w:rsid w:val="00B31185"/>
    <w:rsid w:val="00B31348"/>
    <w:rsid w:val="00B313E0"/>
    <w:rsid w:val="00B31724"/>
    <w:rsid w:val="00B3238F"/>
    <w:rsid w:val="00B323D5"/>
    <w:rsid w:val="00B32423"/>
    <w:rsid w:val="00B3246B"/>
    <w:rsid w:val="00B3270E"/>
    <w:rsid w:val="00B32A14"/>
    <w:rsid w:val="00B32BDD"/>
    <w:rsid w:val="00B33377"/>
    <w:rsid w:val="00B346E1"/>
    <w:rsid w:val="00B346EA"/>
    <w:rsid w:val="00B347C8"/>
    <w:rsid w:val="00B34839"/>
    <w:rsid w:val="00B35C9C"/>
    <w:rsid w:val="00B35FF8"/>
    <w:rsid w:val="00B3669E"/>
    <w:rsid w:val="00B367D9"/>
    <w:rsid w:val="00B36A17"/>
    <w:rsid w:val="00B370B3"/>
    <w:rsid w:val="00B371EF"/>
    <w:rsid w:val="00B37D36"/>
    <w:rsid w:val="00B37ECE"/>
    <w:rsid w:val="00B37FC8"/>
    <w:rsid w:val="00B40A8A"/>
    <w:rsid w:val="00B42228"/>
    <w:rsid w:val="00B42277"/>
    <w:rsid w:val="00B4261F"/>
    <w:rsid w:val="00B426CB"/>
    <w:rsid w:val="00B42729"/>
    <w:rsid w:val="00B43209"/>
    <w:rsid w:val="00B438BD"/>
    <w:rsid w:val="00B43D16"/>
    <w:rsid w:val="00B44092"/>
    <w:rsid w:val="00B4455E"/>
    <w:rsid w:val="00B44C1A"/>
    <w:rsid w:val="00B45547"/>
    <w:rsid w:val="00B45574"/>
    <w:rsid w:val="00B45C2C"/>
    <w:rsid w:val="00B45E00"/>
    <w:rsid w:val="00B46AEF"/>
    <w:rsid w:val="00B47165"/>
    <w:rsid w:val="00B476FE"/>
    <w:rsid w:val="00B50652"/>
    <w:rsid w:val="00B515CC"/>
    <w:rsid w:val="00B5181D"/>
    <w:rsid w:val="00B51F1B"/>
    <w:rsid w:val="00B52008"/>
    <w:rsid w:val="00B524D0"/>
    <w:rsid w:val="00B5288B"/>
    <w:rsid w:val="00B53BCA"/>
    <w:rsid w:val="00B53E6D"/>
    <w:rsid w:val="00B54418"/>
    <w:rsid w:val="00B54656"/>
    <w:rsid w:val="00B55A5F"/>
    <w:rsid w:val="00B56300"/>
    <w:rsid w:val="00B56500"/>
    <w:rsid w:val="00B571F0"/>
    <w:rsid w:val="00B57CFB"/>
    <w:rsid w:val="00B57E0F"/>
    <w:rsid w:val="00B6018A"/>
    <w:rsid w:val="00B602F5"/>
    <w:rsid w:val="00B618FD"/>
    <w:rsid w:val="00B619B8"/>
    <w:rsid w:val="00B62830"/>
    <w:rsid w:val="00B628D6"/>
    <w:rsid w:val="00B651DC"/>
    <w:rsid w:val="00B65355"/>
    <w:rsid w:val="00B65966"/>
    <w:rsid w:val="00B660B7"/>
    <w:rsid w:val="00B6646E"/>
    <w:rsid w:val="00B66A33"/>
    <w:rsid w:val="00B67188"/>
    <w:rsid w:val="00B67B44"/>
    <w:rsid w:val="00B67BC2"/>
    <w:rsid w:val="00B67D70"/>
    <w:rsid w:val="00B67F88"/>
    <w:rsid w:val="00B67FB4"/>
    <w:rsid w:val="00B706C7"/>
    <w:rsid w:val="00B7077D"/>
    <w:rsid w:val="00B70B79"/>
    <w:rsid w:val="00B7143D"/>
    <w:rsid w:val="00B71E32"/>
    <w:rsid w:val="00B71FC3"/>
    <w:rsid w:val="00B71FF5"/>
    <w:rsid w:val="00B72143"/>
    <w:rsid w:val="00B72E98"/>
    <w:rsid w:val="00B73DEB"/>
    <w:rsid w:val="00B742D8"/>
    <w:rsid w:val="00B7470A"/>
    <w:rsid w:val="00B747AC"/>
    <w:rsid w:val="00B74846"/>
    <w:rsid w:val="00B74DAD"/>
    <w:rsid w:val="00B756B5"/>
    <w:rsid w:val="00B76161"/>
    <w:rsid w:val="00B761B2"/>
    <w:rsid w:val="00B76A2F"/>
    <w:rsid w:val="00B76C8A"/>
    <w:rsid w:val="00B80647"/>
    <w:rsid w:val="00B809B6"/>
    <w:rsid w:val="00B80BDF"/>
    <w:rsid w:val="00B81175"/>
    <w:rsid w:val="00B812DC"/>
    <w:rsid w:val="00B8145D"/>
    <w:rsid w:val="00B82271"/>
    <w:rsid w:val="00B8271A"/>
    <w:rsid w:val="00B82A9B"/>
    <w:rsid w:val="00B8363A"/>
    <w:rsid w:val="00B83678"/>
    <w:rsid w:val="00B83AD2"/>
    <w:rsid w:val="00B83C38"/>
    <w:rsid w:val="00B83C99"/>
    <w:rsid w:val="00B83C9A"/>
    <w:rsid w:val="00B845CC"/>
    <w:rsid w:val="00B85E76"/>
    <w:rsid w:val="00B863BC"/>
    <w:rsid w:val="00B865D3"/>
    <w:rsid w:val="00B87F4C"/>
    <w:rsid w:val="00B90132"/>
    <w:rsid w:val="00B90153"/>
    <w:rsid w:val="00B91616"/>
    <w:rsid w:val="00B918DF"/>
    <w:rsid w:val="00B92322"/>
    <w:rsid w:val="00B92651"/>
    <w:rsid w:val="00B92A95"/>
    <w:rsid w:val="00B930F9"/>
    <w:rsid w:val="00B93653"/>
    <w:rsid w:val="00B93817"/>
    <w:rsid w:val="00B93B04"/>
    <w:rsid w:val="00B93DBC"/>
    <w:rsid w:val="00B9425B"/>
    <w:rsid w:val="00B947D2"/>
    <w:rsid w:val="00B949F8"/>
    <w:rsid w:val="00B94BAC"/>
    <w:rsid w:val="00B94C3D"/>
    <w:rsid w:val="00B9529C"/>
    <w:rsid w:val="00B952A7"/>
    <w:rsid w:val="00B967F2"/>
    <w:rsid w:val="00B975BB"/>
    <w:rsid w:val="00B97A79"/>
    <w:rsid w:val="00B97FF9"/>
    <w:rsid w:val="00BA0164"/>
    <w:rsid w:val="00BA01C8"/>
    <w:rsid w:val="00BA0206"/>
    <w:rsid w:val="00BA0A5C"/>
    <w:rsid w:val="00BA0A65"/>
    <w:rsid w:val="00BA0CC5"/>
    <w:rsid w:val="00BA0E73"/>
    <w:rsid w:val="00BA1294"/>
    <w:rsid w:val="00BA169A"/>
    <w:rsid w:val="00BA1E49"/>
    <w:rsid w:val="00BA1F45"/>
    <w:rsid w:val="00BA2127"/>
    <w:rsid w:val="00BA23AC"/>
    <w:rsid w:val="00BA2533"/>
    <w:rsid w:val="00BA2853"/>
    <w:rsid w:val="00BA4152"/>
    <w:rsid w:val="00BA457A"/>
    <w:rsid w:val="00BA58BB"/>
    <w:rsid w:val="00BA5BBD"/>
    <w:rsid w:val="00BA63A3"/>
    <w:rsid w:val="00BA67F8"/>
    <w:rsid w:val="00BA6838"/>
    <w:rsid w:val="00BA6D14"/>
    <w:rsid w:val="00BA70A3"/>
    <w:rsid w:val="00BA70B4"/>
    <w:rsid w:val="00BA7939"/>
    <w:rsid w:val="00BB0148"/>
    <w:rsid w:val="00BB03A4"/>
    <w:rsid w:val="00BB11EE"/>
    <w:rsid w:val="00BB1EF4"/>
    <w:rsid w:val="00BB27F9"/>
    <w:rsid w:val="00BB2FE5"/>
    <w:rsid w:val="00BB331B"/>
    <w:rsid w:val="00BB3BDD"/>
    <w:rsid w:val="00BB3D9B"/>
    <w:rsid w:val="00BB46F7"/>
    <w:rsid w:val="00BB54B2"/>
    <w:rsid w:val="00BB6400"/>
    <w:rsid w:val="00BB65C6"/>
    <w:rsid w:val="00BB6878"/>
    <w:rsid w:val="00BB68BD"/>
    <w:rsid w:val="00BB6A0B"/>
    <w:rsid w:val="00BB6DA9"/>
    <w:rsid w:val="00BB70C0"/>
    <w:rsid w:val="00BB774B"/>
    <w:rsid w:val="00BB781C"/>
    <w:rsid w:val="00BB7CC0"/>
    <w:rsid w:val="00BC0251"/>
    <w:rsid w:val="00BC0255"/>
    <w:rsid w:val="00BC0451"/>
    <w:rsid w:val="00BC0978"/>
    <w:rsid w:val="00BC135F"/>
    <w:rsid w:val="00BC14FB"/>
    <w:rsid w:val="00BC1C3B"/>
    <w:rsid w:val="00BC1D01"/>
    <w:rsid w:val="00BC1E37"/>
    <w:rsid w:val="00BC2914"/>
    <w:rsid w:val="00BC2C94"/>
    <w:rsid w:val="00BC2D9D"/>
    <w:rsid w:val="00BC2DB2"/>
    <w:rsid w:val="00BC2FA4"/>
    <w:rsid w:val="00BC33F1"/>
    <w:rsid w:val="00BC3406"/>
    <w:rsid w:val="00BC4277"/>
    <w:rsid w:val="00BC4C1E"/>
    <w:rsid w:val="00BC4C8A"/>
    <w:rsid w:val="00BC4CA2"/>
    <w:rsid w:val="00BC510D"/>
    <w:rsid w:val="00BC58A7"/>
    <w:rsid w:val="00BC6193"/>
    <w:rsid w:val="00BC6797"/>
    <w:rsid w:val="00BC698C"/>
    <w:rsid w:val="00BC6E82"/>
    <w:rsid w:val="00BC75CF"/>
    <w:rsid w:val="00BD0566"/>
    <w:rsid w:val="00BD08B6"/>
    <w:rsid w:val="00BD09A8"/>
    <w:rsid w:val="00BD0B0C"/>
    <w:rsid w:val="00BD0D67"/>
    <w:rsid w:val="00BD11F5"/>
    <w:rsid w:val="00BD1564"/>
    <w:rsid w:val="00BD21FB"/>
    <w:rsid w:val="00BD2487"/>
    <w:rsid w:val="00BD2E30"/>
    <w:rsid w:val="00BD2E41"/>
    <w:rsid w:val="00BD3549"/>
    <w:rsid w:val="00BD38B2"/>
    <w:rsid w:val="00BD42CC"/>
    <w:rsid w:val="00BD4398"/>
    <w:rsid w:val="00BD4520"/>
    <w:rsid w:val="00BD4699"/>
    <w:rsid w:val="00BD584D"/>
    <w:rsid w:val="00BD5AA3"/>
    <w:rsid w:val="00BD6274"/>
    <w:rsid w:val="00BD681D"/>
    <w:rsid w:val="00BD7372"/>
    <w:rsid w:val="00BD75C9"/>
    <w:rsid w:val="00BE05C2"/>
    <w:rsid w:val="00BE0A2B"/>
    <w:rsid w:val="00BE0E15"/>
    <w:rsid w:val="00BE1A4C"/>
    <w:rsid w:val="00BE1CAD"/>
    <w:rsid w:val="00BE20D5"/>
    <w:rsid w:val="00BE2167"/>
    <w:rsid w:val="00BE234A"/>
    <w:rsid w:val="00BE2472"/>
    <w:rsid w:val="00BE2936"/>
    <w:rsid w:val="00BE29D9"/>
    <w:rsid w:val="00BE2DE9"/>
    <w:rsid w:val="00BE2E7D"/>
    <w:rsid w:val="00BE347C"/>
    <w:rsid w:val="00BE35EF"/>
    <w:rsid w:val="00BE4069"/>
    <w:rsid w:val="00BE4276"/>
    <w:rsid w:val="00BE4D2E"/>
    <w:rsid w:val="00BE563A"/>
    <w:rsid w:val="00BE5F2F"/>
    <w:rsid w:val="00BE671A"/>
    <w:rsid w:val="00BE69EE"/>
    <w:rsid w:val="00BE6F7A"/>
    <w:rsid w:val="00BE6FB6"/>
    <w:rsid w:val="00BE70A1"/>
    <w:rsid w:val="00BE72C7"/>
    <w:rsid w:val="00BE7E13"/>
    <w:rsid w:val="00BF0F20"/>
    <w:rsid w:val="00BF1F40"/>
    <w:rsid w:val="00BF216B"/>
    <w:rsid w:val="00BF2525"/>
    <w:rsid w:val="00BF295E"/>
    <w:rsid w:val="00BF30D4"/>
    <w:rsid w:val="00BF368B"/>
    <w:rsid w:val="00BF40A0"/>
    <w:rsid w:val="00BF5737"/>
    <w:rsid w:val="00BF57F5"/>
    <w:rsid w:val="00BF6832"/>
    <w:rsid w:val="00BF6D41"/>
    <w:rsid w:val="00BF7342"/>
    <w:rsid w:val="00BF7576"/>
    <w:rsid w:val="00C001D5"/>
    <w:rsid w:val="00C00F46"/>
    <w:rsid w:val="00C0147C"/>
    <w:rsid w:val="00C01FA8"/>
    <w:rsid w:val="00C0227C"/>
    <w:rsid w:val="00C02603"/>
    <w:rsid w:val="00C027C6"/>
    <w:rsid w:val="00C040A9"/>
    <w:rsid w:val="00C0490B"/>
    <w:rsid w:val="00C04A7C"/>
    <w:rsid w:val="00C04B48"/>
    <w:rsid w:val="00C04C03"/>
    <w:rsid w:val="00C05618"/>
    <w:rsid w:val="00C06DE4"/>
    <w:rsid w:val="00C070B8"/>
    <w:rsid w:val="00C07A98"/>
    <w:rsid w:val="00C108D5"/>
    <w:rsid w:val="00C10CB8"/>
    <w:rsid w:val="00C10D60"/>
    <w:rsid w:val="00C118D5"/>
    <w:rsid w:val="00C11C78"/>
    <w:rsid w:val="00C123B4"/>
    <w:rsid w:val="00C12414"/>
    <w:rsid w:val="00C12663"/>
    <w:rsid w:val="00C12683"/>
    <w:rsid w:val="00C12ABF"/>
    <w:rsid w:val="00C12E72"/>
    <w:rsid w:val="00C13354"/>
    <w:rsid w:val="00C13819"/>
    <w:rsid w:val="00C13A8B"/>
    <w:rsid w:val="00C13D2C"/>
    <w:rsid w:val="00C14057"/>
    <w:rsid w:val="00C14208"/>
    <w:rsid w:val="00C143D1"/>
    <w:rsid w:val="00C1566B"/>
    <w:rsid w:val="00C159F6"/>
    <w:rsid w:val="00C15E48"/>
    <w:rsid w:val="00C16A0D"/>
    <w:rsid w:val="00C16EBF"/>
    <w:rsid w:val="00C16F8A"/>
    <w:rsid w:val="00C17D13"/>
    <w:rsid w:val="00C17FB3"/>
    <w:rsid w:val="00C2000E"/>
    <w:rsid w:val="00C20550"/>
    <w:rsid w:val="00C20687"/>
    <w:rsid w:val="00C21739"/>
    <w:rsid w:val="00C218A0"/>
    <w:rsid w:val="00C23112"/>
    <w:rsid w:val="00C2365E"/>
    <w:rsid w:val="00C2379B"/>
    <w:rsid w:val="00C23B33"/>
    <w:rsid w:val="00C23BCA"/>
    <w:rsid w:val="00C23F6B"/>
    <w:rsid w:val="00C23FF4"/>
    <w:rsid w:val="00C24081"/>
    <w:rsid w:val="00C2459D"/>
    <w:rsid w:val="00C245ED"/>
    <w:rsid w:val="00C2477A"/>
    <w:rsid w:val="00C25061"/>
    <w:rsid w:val="00C252A1"/>
    <w:rsid w:val="00C253C2"/>
    <w:rsid w:val="00C25AE7"/>
    <w:rsid w:val="00C25D88"/>
    <w:rsid w:val="00C2648F"/>
    <w:rsid w:val="00C267C2"/>
    <w:rsid w:val="00C26FE0"/>
    <w:rsid w:val="00C2704A"/>
    <w:rsid w:val="00C27217"/>
    <w:rsid w:val="00C301BE"/>
    <w:rsid w:val="00C3032F"/>
    <w:rsid w:val="00C30BE5"/>
    <w:rsid w:val="00C30EB4"/>
    <w:rsid w:val="00C31005"/>
    <w:rsid w:val="00C321BA"/>
    <w:rsid w:val="00C3285F"/>
    <w:rsid w:val="00C32C0C"/>
    <w:rsid w:val="00C32E79"/>
    <w:rsid w:val="00C33002"/>
    <w:rsid w:val="00C34635"/>
    <w:rsid w:val="00C34E43"/>
    <w:rsid w:val="00C355AF"/>
    <w:rsid w:val="00C35DA2"/>
    <w:rsid w:val="00C35F2E"/>
    <w:rsid w:val="00C3646E"/>
    <w:rsid w:val="00C36ED9"/>
    <w:rsid w:val="00C4029E"/>
    <w:rsid w:val="00C404A3"/>
    <w:rsid w:val="00C406D4"/>
    <w:rsid w:val="00C40846"/>
    <w:rsid w:val="00C40C37"/>
    <w:rsid w:val="00C40EB0"/>
    <w:rsid w:val="00C40F56"/>
    <w:rsid w:val="00C41340"/>
    <w:rsid w:val="00C41BE1"/>
    <w:rsid w:val="00C423B8"/>
    <w:rsid w:val="00C424F4"/>
    <w:rsid w:val="00C42AAF"/>
    <w:rsid w:val="00C42E0D"/>
    <w:rsid w:val="00C43120"/>
    <w:rsid w:val="00C435E6"/>
    <w:rsid w:val="00C43680"/>
    <w:rsid w:val="00C43A80"/>
    <w:rsid w:val="00C4446C"/>
    <w:rsid w:val="00C445E8"/>
    <w:rsid w:val="00C44833"/>
    <w:rsid w:val="00C45296"/>
    <w:rsid w:val="00C45841"/>
    <w:rsid w:val="00C458DD"/>
    <w:rsid w:val="00C45E9F"/>
    <w:rsid w:val="00C46279"/>
    <w:rsid w:val="00C463D3"/>
    <w:rsid w:val="00C46617"/>
    <w:rsid w:val="00C46779"/>
    <w:rsid w:val="00C46F59"/>
    <w:rsid w:val="00C50076"/>
    <w:rsid w:val="00C50155"/>
    <w:rsid w:val="00C50242"/>
    <w:rsid w:val="00C502C0"/>
    <w:rsid w:val="00C50597"/>
    <w:rsid w:val="00C50B57"/>
    <w:rsid w:val="00C52EF0"/>
    <w:rsid w:val="00C53273"/>
    <w:rsid w:val="00C5343E"/>
    <w:rsid w:val="00C53B6B"/>
    <w:rsid w:val="00C53F3B"/>
    <w:rsid w:val="00C54892"/>
    <w:rsid w:val="00C54B8F"/>
    <w:rsid w:val="00C54CEB"/>
    <w:rsid w:val="00C54EF5"/>
    <w:rsid w:val="00C5545C"/>
    <w:rsid w:val="00C55609"/>
    <w:rsid w:val="00C55891"/>
    <w:rsid w:val="00C5614B"/>
    <w:rsid w:val="00C566DC"/>
    <w:rsid w:val="00C56E0F"/>
    <w:rsid w:val="00C5703E"/>
    <w:rsid w:val="00C5783E"/>
    <w:rsid w:val="00C60C6D"/>
    <w:rsid w:val="00C60FFF"/>
    <w:rsid w:val="00C61B44"/>
    <w:rsid w:val="00C61CDF"/>
    <w:rsid w:val="00C61D5A"/>
    <w:rsid w:val="00C62A2D"/>
    <w:rsid w:val="00C646E9"/>
    <w:rsid w:val="00C64821"/>
    <w:rsid w:val="00C65896"/>
    <w:rsid w:val="00C65C20"/>
    <w:rsid w:val="00C65F03"/>
    <w:rsid w:val="00C66610"/>
    <w:rsid w:val="00C6729D"/>
    <w:rsid w:val="00C677BF"/>
    <w:rsid w:val="00C67A42"/>
    <w:rsid w:val="00C70529"/>
    <w:rsid w:val="00C7075F"/>
    <w:rsid w:val="00C70A22"/>
    <w:rsid w:val="00C71748"/>
    <w:rsid w:val="00C71C31"/>
    <w:rsid w:val="00C71EE2"/>
    <w:rsid w:val="00C732E4"/>
    <w:rsid w:val="00C73319"/>
    <w:rsid w:val="00C7430B"/>
    <w:rsid w:val="00C74368"/>
    <w:rsid w:val="00C753E6"/>
    <w:rsid w:val="00C755B0"/>
    <w:rsid w:val="00C75E2D"/>
    <w:rsid w:val="00C76374"/>
    <w:rsid w:val="00C7692E"/>
    <w:rsid w:val="00C76AB4"/>
    <w:rsid w:val="00C76EF3"/>
    <w:rsid w:val="00C76FE8"/>
    <w:rsid w:val="00C77619"/>
    <w:rsid w:val="00C80243"/>
    <w:rsid w:val="00C80751"/>
    <w:rsid w:val="00C80FA2"/>
    <w:rsid w:val="00C8101A"/>
    <w:rsid w:val="00C815BE"/>
    <w:rsid w:val="00C81DA3"/>
    <w:rsid w:val="00C82418"/>
    <w:rsid w:val="00C82898"/>
    <w:rsid w:val="00C82EE1"/>
    <w:rsid w:val="00C8385A"/>
    <w:rsid w:val="00C83AEE"/>
    <w:rsid w:val="00C846B1"/>
    <w:rsid w:val="00C84EB3"/>
    <w:rsid w:val="00C85274"/>
    <w:rsid w:val="00C8533A"/>
    <w:rsid w:val="00C85B79"/>
    <w:rsid w:val="00C8647A"/>
    <w:rsid w:val="00C86687"/>
    <w:rsid w:val="00C873FB"/>
    <w:rsid w:val="00C87518"/>
    <w:rsid w:val="00C87625"/>
    <w:rsid w:val="00C87769"/>
    <w:rsid w:val="00C879A2"/>
    <w:rsid w:val="00C87AB2"/>
    <w:rsid w:val="00C87B61"/>
    <w:rsid w:val="00C9086F"/>
    <w:rsid w:val="00C90BAF"/>
    <w:rsid w:val="00C911CA"/>
    <w:rsid w:val="00C917F4"/>
    <w:rsid w:val="00C91C7C"/>
    <w:rsid w:val="00C92696"/>
    <w:rsid w:val="00C926B7"/>
    <w:rsid w:val="00C92E77"/>
    <w:rsid w:val="00C9301A"/>
    <w:rsid w:val="00C93325"/>
    <w:rsid w:val="00C934D3"/>
    <w:rsid w:val="00C9398A"/>
    <w:rsid w:val="00C9472E"/>
    <w:rsid w:val="00C94A65"/>
    <w:rsid w:val="00C94D7F"/>
    <w:rsid w:val="00C95575"/>
    <w:rsid w:val="00C958A2"/>
    <w:rsid w:val="00C95C6E"/>
    <w:rsid w:val="00C96044"/>
    <w:rsid w:val="00C96273"/>
    <w:rsid w:val="00C96422"/>
    <w:rsid w:val="00C96833"/>
    <w:rsid w:val="00C96870"/>
    <w:rsid w:val="00C97A4B"/>
    <w:rsid w:val="00C97B56"/>
    <w:rsid w:val="00CA050D"/>
    <w:rsid w:val="00CA0AC4"/>
    <w:rsid w:val="00CA150E"/>
    <w:rsid w:val="00CA224F"/>
    <w:rsid w:val="00CA2651"/>
    <w:rsid w:val="00CA3202"/>
    <w:rsid w:val="00CA3290"/>
    <w:rsid w:val="00CA37A6"/>
    <w:rsid w:val="00CA3B71"/>
    <w:rsid w:val="00CA3C96"/>
    <w:rsid w:val="00CA3FCD"/>
    <w:rsid w:val="00CA4745"/>
    <w:rsid w:val="00CA497A"/>
    <w:rsid w:val="00CA4C1A"/>
    <w:rsid w:val="00CA52D8"/>
    <w:rsid w:val="00CA5688"/>
    <w:rsid w:val="00CA5B5F"/>
    <w:rsid w:val="00CA5D73"/>
    <w:rsid w:val="00CA5E9E"/>
    <w:rsid w:val="00CA5F67"/>
    <w:rsid w:val="00CA6285"/>
    <w:rsid w:val="00CA6E8E"/>
    <w:rsid w:val="00CA74F5"/>
    <w:rsid w:val="00CA7C7A"/>
    <w:rsid w:val="00CB0240"/>
    <w:rsid w:val="00CB0796"/>
    <w:rsid w:val="00CB0DF8"/>
    <w:rsid w:val="00CB182D"/>
    <w:rsid w:val="00CB1C1A"/>
    <w:rsid w:val="00CB1FE0"/>
    <w:rsid w:val="00CB2374"/>
    <w:rsid w:val="00CB26DE"/>
    <w:rsid w:val="00CB26F8"/>
    <w:rsid w:val="00CB2A91"/>
    <w:rsid w:val="00CB2BE0"/>
    <w:rsid w:val="00CB2E09"/>
    <w:rsid w:val="00CB37C4"/>
    <w:rsid w:val="00CB3E80"/>
    <w:rsid w:val="00CB4A54"/>
    <w:rsid w:val="00CB4E5D"/>
    <w:rsid w:val="00CB520C"/>
    <w:rsid w:val="00CB566D"/>
    <w:rsid w:val="00CB5E4A"/>
    <w:rsid w:val="00CB69A8"/>
    <w:rsid w:val="00CC0E63"/>
    <w:rsid w:val="00CC17AF"/>
    <w:rsid w:val="00CC1965"/>
    <w:rsid w:val="00CC1F4A"/>
    <w:rsid w:val="00CC295F"/>
    <w:rsid w:val="00CC2A84"/>
    <w:rsid w:val="00CC30A5"/>
    <w:rsid w:val="00CC3E88"/>
    <w:rsid w:val="00CC409D"/>
    <w:rsid w:val="00CC432B"/>
    <w:rsid w:val="00CC4446"/>
    <w:rsid w:val="00CC5F88"/>
    <w:rsid w:val="00CC617B"/>
    <w:rsid w:val="00CC62BC"/>
    <w:rsid w:val="00CC6553"/>
    <w:rsid w:val="00CC6605"/>
    <w:rsid w:val="00CC6BC3"/>
    <w:rsid w:val="00CC6CE1"/>
    <w:rsid w:val="00CC6E1B"/>
    <w:rsid w:val="00CC7022"/>
    <w:rsid w:val="00CC765D"/>
    <w:rsid w:val="00CD027E"/>
    <w:rsid w:val="00CD0729"/>
    <w:rsid w:val="00CD0C68"/>
    <w:rsid w:val="00CD0CFE"/>
    <w:rsid w:val="00CD129E"/>
    <w:rsid w:val="00CD1907"/>
    <w:rsid w:val="00CD1EC1"/>
    <w:rsid w:val="00CD2B51"/>
    <w:rsid w:val="00CD2F00"/>
    <w:rsid w:val="00CD34AE"/>
    <w:rsid w:val="00CD4384"/>
    <w:rsid w:val="00CD44E0"/>
    <w:rsid w:val="00CD44E8"/>
    <w:rsid w:val="00CD5272"/>
    <w:rsid w:val="00CD6028"/>
    <w:rsid w:val="00CD610C"/>
    <w:rsid w:val="00CD6305"/>
    <w:rsid w:val="00CD6612"/>
    <w:rsid w:val="00CD6654"/>
    <w:rsid w:val="00CD69BF"/>
    <w:rsid w:val="00CD6B6C"/>
    <w:rsid w:val="00CD70F9"/>
    <w:rsid w:val="00CD7C5C"/>
    <w:rsid w:val="00CE01CA"/>
    <w:rsid w:val="00CE0406"/>
    <w:rsid w:val="00CE062D"/>
    <w:rsid w:val="00CE0835"/>
    <w:rsid w:val="00CE10F0"/>
    <w:rsid w:val="00CE1718"/>
    <w:rsid w:val="00CE1919"/>
    <w:rsid w:val="00CE213B"/>
    <w:rsid w:val="00CE37E5"/>
    <w:rsid w:val="00CE3C19"/>
    <w:rsid w:val="00CE4051"/>
    <w:rsid w:val="00CE439A"/>
    <w:rsid w:val="00CE4717"/>
    <w:rsid w:val="00CE4B50"/>
    <w:rsid w:val="00CE50C7"/>
    <w:rsid w:val="00CE5256"/>
    <w:rsid w:val="00CE6017"/>
    <w:rsid w:val="00CE6962"/>
    <w:rsid w:val="00CE6BC7"/>
    <w:rsid w:val="00CE70CB"/>
    <w:rsid w:val="00CE74CC"/>
    <w:rsid w:val="00CE7A19"/>
    <w:rsid w:val="00CE7DEB"/>
    <w:rsid w:val="00CF08B8"/>
    <w:rsid w:val="00CF183A"/>
    <w:rsid w:val="00CF224A"/>
    <w:rsid w:val="00CF31BE"/>
    <w:rsid w:val="00CF335D"/>
    <w:rsid w:val="00CF3ACC"/>
    <w:rsid w:val="00CF3AFF"/>
    <w:rsid w:val="00CF5613"/>
    <w:rsid w:val="00CF6AB7"/>
    <w:rsid w:val="00CF7618"/>
    <w:rsid w:val="00CF76A0"/>
    <w:rsid w:val="00CF7882"/>
    <w:rsid w:val="00CF7D89"/>
    <w:rsid w:val="00CF7FEB"/>
    <w:rsid w:val="00D000A4"/>
    <w:rsid w:val="00D013D2"/>
    <w:rsid w:val="00D01C64"/>
    <w:rsid w:val="00D01C7A"/>
    <w:rsid w:val="00D01E03"/>
    <w:rsid w:val="00D02F65"/>
    <w:rsid w:val="00D0313A"/>
    <w:rsid w:val="00D037F1"/>
    <w:rsid w:val="00D038DA"/>
    <w:rsid w:val="00D038FE"/>
    <w:rsid w:val="00D03B0E"/>
    <w:rsid w:val="00D04C66"/>
    <w:rsid w:val="00D053E4"/>
    <w:rsid w:val="00D057ED"/>
    <w:rsid w:val="00D05F52"/>
    <w:rsid w:val="00D061E0"/>
    <w:rsid w:val="00D06516"/>
    <w:rsid w:val="00D06615"/>
    <w:rsid w:val="00D06B02"/>
    <w:rsid w:val="00D06FF8"/>
    <w:rsid w:val="00D07194"/>
    <w:rsid w:val="00D07319"/>
    <w:rsid w:val="00D0751B"/>
    <w:rsid w:val="00D07760"/>
    <w:rsid w:val="00D07DFA"/>
    <w:rsid w:val="00D103EE"/>
    <w:rsid w:val="00D10E78"/>
    <w:rsid w:val="00D1114B"/>
    <w:rsid w:val="00D1137C"/>
    <w:rsid w:val="00D116BB"/>
    <w:rsid w:val="00D11A03"/>
    <w:rsid w:val="00D11DC4"/>
    <w:rsid w:val="00D11EC8"/>
    <w:rsid w:val="00D12448"/>
    <w:rsid w:val="00D12C82"/>
    <w:rsid w:val="00D13336"/>
    <w:rsid w:val="00D13629"/>
    <w:rsid w:val="00D13747"/>
    <w:rsid w:val="00D13AAF"/>
    <w:rsid w:val="00D146B4"/>
    <w:rsid w:val="00D146BB"/>
    <w:rsid w:val="00D149A9"/>
    <w:rsid w:val="00D14C79"/>
    <w:rsid w:val="00D151A7"/>
    <w:rsid w:val="00D156FD"/>
    <w:rsid w:val="00D1571D"/>
    <w:rsid w:val="00D1623D"/>
    <w:rsid w:val="00D1663E"/>
    <w:rsid w:val="00D16FB5"/>
    <w:rsid w:val="00D17A7B"/>
    <w:rsid w:val="00D17C22"/>
    <w:rsid w:val="00D17EE8"/>
    <w:rsid w:val="00D20758"/>
    <w:rsid w:val="00D20D0A"/>
    <w:rsid w:val="00D20E47"/>
    <w:rsid w:val="00D20F20"/>
    <w:rsid w:val="00D211D3"/>
    <w:rsid w:val="00D212AF"/>
    <w:rsid w:val="00D214D3"/>
    <w:rsid w:val="00D21961"/>
    <w:rsid w:val="00D22F8A"/>
    <w:rsid w:val="00D232D0"/>
    <w:rsid w:val="00D2377B"/>
    <w:rsid w:val="00D2428F"/>
    <w:rsid w:val="00D24655"/>
    <w:rsid w:val="00D24A4C"/>
    <w:rsid w:val="00D24B94"/>
    <w:rsid w:val="00D24DC4"/>
    <w:rsid w:val="00D2553E"/>
    <w:rsid w:val="00D25E1A"/>
    <w:rsid w:val="00D26204"/>
    <w:rsid w:val="00D26939"/>
    <w:rsid w:val="00D26D52"/>
    <w:rsid w:val="00D26E0C"/>
    <w:rsid w:val="00D3038E"/>
    <w:rsid w:val="00D30B09"/>
    <w:rsid w:val="00D3117C"/>
    <w:rsid w:val="00D314BC"/>
    <w:rsid w:val="00D314FD"/>
    <w:rsid w:val="00D3212A"/>
    <w:rsid w:val="00D325B6"/>
    <w:rsid w:val="00D32861"/>
    <w:rsid w:val="00D328AE"/>
    <w:rsid w:val="00D32B36"/>
    <w:rsid w:val="00D3314A"/>
    <w:rsid w:val="00D33468"/>
    <w:rsid w:val="00D33E96"/>
    <w:rsid w:val="00D34524"/>
    <w:rsid w:val="00D345AA"/>
    <w:rsid w:val="00D35681"/>
    <w:rsid w:val="00D3571F"/>
    <w:rsid w:val="00D35CEB"/>
    <w:rsid w:val="00D36141"/>
    <w:rsid w:val="00D36455"/>
    <w:rsid w:val="00D377FC"/>
    <w:rsid w:val="00D403AC"/>
    <w:rsid w:val="00D409D8"/>
    <w:rsid w:val="00D40E0F"/>
    <w:rsid w:val="00D40EF1"/>
    <w:rsid w:val="00D4172E"/>
    <w:rsid w:val="00D41A7E"/>
    <w:rsid w:val="00D42D14"/>
    <w:rsid w:val="00D432D7"/>
    <w:rsid w:val="00D438E8"/>
    <w:rsid w:val="00D43CD4"/>
    <w:rsid w:val="00D43DFE"/>
    <w:rsid w:val="00D44115"/>
    <w:rsid w:val="00D442DC"/>
    <w:rsid w:val="00D44566"/>
    <w:rsid w:val="00D44675"/>
    <w:rsid w:val="00D450EE"/>
    <w:rsid w:val="00D4519C"/>
    <w:rsid w:val="00D454BA"/>
    <w:rsid w:val="00D45572"/>
    <w:rsid w:val="00D45B67"/>
    <w:rsid w:val="00D461EE"/>
    <w:rsid w:val="00D461F8"/>
    <w:rsid w:val="00D46841"/>
    <w:rsid w:val="00D4717A"/>
    <w:rsid w:val="00D5024E"/>
    <w:rsid w:val="00D5077D"/>
    <w:rsid w:val="00D508F6"/>
    <w:rsid w:val="00D50E31"/>
    <w:rsid w:val="00D5133E"/>
    <w:rsid w:val="00D51C5E"/>
    <w:rsid w:val="00D529A8"/>
    <w:rsid w:val="00D52F4C"/>
    <w:rsid w:val="00D52FF1"/>
    <w:rsid w:val="00D531AB"/>
    <w:rsid w:val="00D53593"/>
    <w:rsid w:val="00D5381B"/>
    <w:rsid w:val="00D53C31"/>
    <w:rsid w:val="00D53D96"/>
    <w:rsid w:val="00D54719"/>
    <w:rsid w:val="00D54B90"/>
    <w:rsid w:val="00D54D86"/>
    <w:rsid w:val="00D54EB3"/>
    <w:rsid w:val="00D54EF4"/>
    <w:rsid w:val="00D5512E"/>
    <w:rsid w:val="00D551BC"/>
    <w:rsid w:val="00D5520D"/>
    <w:rsid w:val="00D55C1C"/>
    <w:rsid w:val="00D55D6C"/>
    <w:rsid w:val="00D5645D"/>
    <w:rsid w:val="00D564FB"/>
    <w:rsid w:val="00D56AAE"/>
    <w:rsid w:val="00D57076"/>
    <w:rsid w:val="00D578B7"/>
    <w:rsid w:val="00D6028E"/>
    <w:rsid w:val="00D604A3"/>
    <w:rsid w:val="00D607F4"/>
    <w:rsid w:val="00D60C85"/>
    <w:rsid w:val="00D61758"/>
    <w:rsid w:val="00D630ED"/>
    <w:rsid w:val="00D63507"/>
    <w:rsid w:val="00D63676"/>
    <w:rsid w:val="00D63A1D"/>
    <w:rsid w:val="00D63FF9"/>
    <w:rsid w:val="00D64A54"/>
    <w:rsid w:val="00D64D86"/>
    <w:rsid w:val="00D6566F"/>
    <w:rsid w:val="00D6646F"/>
    <w:rsid w:val="00D67485"/>
    <w:rsid w:val="00D67AE1"/>
    <w:rsid w:val="00D67B90"/>
    <w:rsid w:val="00D70322"/>
    <w:rsid w:val="00D703DA"/>
    <w:rsid w:val="00D70B4D"/>
    <w:rsid w:val="00D7106B"/>
    <w:rsid w:val="00D71D2D"/>
    <w:rsid w:val="00D7206C"/>
    <w:rsid w:val="00D72546"/>
    <w:rsid w:val="00D72A21"/>
    <w:rsid w:val="00D72AB9"/>
    <w:rsid w:val="00D72EFF"/>
    <w:rsid w:val="00D72F3F"/>
    <w:rsid w:val="00D7380B"/>
    <w:rsid w:val="00D7396B"/>
    <w:rsid w:val="00D73BBC"/>
    <w:rsid w:val="00D740CE"/>
    <w:rsid w:val="00D7475A"/>
    <w:rsid w:val="00D75EA0"/>
    <w:rsid w:val="00D7614D"/>
    <w:rsid w:val="00D768F2"/>
    <w:rsid w:val="00D76E21"/>
    <w:rsid w:val="00D76E73"/>
    <w:rsid w:val="00D770E4"/>
    <w:rsid w:val="00D77434"/>
    <w:rsid w:val="00D77940"/>
    <w:rsid w:val="00D77D23"/>
    <w:rsid w:val="00D80117"/>
    <w:rsid w:val="00D804DC"/>
    <w:rsid w:val="00D807DF"/>
    <w:rsid w:val="00D80814"/>
    <w:rsid w:val="00D8086C"/>
    <w:rsid w:val="00D808FC"/>
    <w:rsid w:val="00D80F27"/>
    <w:rsid w:val="00D812DE"/>
    <w:rsid w:val="00D813F6"/>
    <w:rsid w:val="00D81602"/>
    <w:rsid w:val="00D820C7"/>
    <w:rsid w:val="00D82986"/>
    <w:rsid w:val="00D82FE4"/>
    <w:rsid w:val="00D8306E"/>
    <w:rsid w:val="00D8356B"/>
    <w:rsid w:val="00D83727"/>
    <w:rsid w:val="00D83A74"/>
    <w:rsid w:val="00D8515D"/>
    <w:rsid w:val="00D85529"/>
    <w:rsid w:val="00D85C3C"/>
    <w:rsid w:val="00D86A9B"/>
    <w:rsid w:val="00D86B78"/>
    <w:rsid w:val="00D86F6E"/>
    <w:rsid w:val="00D870F8"/>
    <w:rsid w:val="00D871EC"/>
    <w:rsid w:val="00D87472"/>
    <w:rsid w:val="00D87E15"/>
    <w:rsid w:val="00D87F16"/>
    <w:rsid w:val="00D87F85"/>
    <w:rsid w:val="00D87FC5"/>
    <w:rsid w:val="00D90562"/>
    <w:rsid w:val="00D91C8C"/>
    <w:rsid w:val="00D9261A"/>
    <w:rsid w:val="00D93B1C"/>
    <w:rsid w:val="00D93B97"/>
    <w:rsid w:val="00D94E72"/>
    <w:rsid w:val="00D95464"/>
    <w:rsid w:val="00D96B0C"/>
    <w:rsid w:val="00D96F01"/>
    <w:rsid w:val="00D9710D"/>
    <w:rsid w:val="00DA0252"/>
    <w:rsid w:val="00DA0FA4"/>
    <w:rsid w:val="00DA1DC4"/>
    <w:rsid w:val="00DA3840"/>
    <w:rsid w:val="00DA3CE9"/>
    <w:rsid w:val="00DA4067"/>
    <w:rsid w:val="00DA459A"/>
    <w:rsid w:val="00DA4692"/>
    <w:rsid w:val="00DA4A91"/>
    <w:rsid w:val="00DA5025"/>
    <w:rsid w:val="00DA528E"/>
    <w:rsid w:val="00DA6E0C"/>
    <w:rsid w:val="00DA6EFE"/>
    <w:rsid w:val="00DA6F64"/>
    <w:rsid w:val="00DA7583"/>
    <w:rsid w:val="00DA7BC6"/>
    <w:rsid w:val="00DB0A79"/>
    <w:rsid w:val="00DB0CFD"/>
    <w:rsid w:val="00DB0E28"/>
    <w:rsid w:val="00DB0F3F"/>
    <w:rsid w:val="00DB11B0"/>
    <w:rsid w:val="00DB1810"/>
    <w:rsid w:val="00DB264E"/>
    <w:rsid w:val="00DB2D55"/>
    <w:rsid w:val="00DB3847"/>
    <w:rsid w:val="00DB429D"/>
    <w:rsid w:val="00DB4364"/>
    <w:rsid w:val="00DB4850"/>
    <w:rsid w:val="00DB49F8"/>
    <w:rsid w:val="00DB6606"/>
    <w:rsid w:val="00DB67B2"/>
    <w:rsid w:val="00DB6829"/>
    <w:rsid w:val="00DB7347"/>
    <w:rsid w:val="00DB7621"/>
    <w:rsid w:val="00DB7743"/>
    <w:rsid w:val="00DB777D"/>
    <w:rsid w:val="00DB781C"/>
    <w:rsid w:val="00DB7E9C"/>
    <w:rsid w:val="00DC08A0"/>
    <w:rsid w:val="00DC08FE"/>
    <w:rsid w:val="00DC144F"/>
    <w:rsid w:val="00DC1980"/>
    <w:rsid w:val="00DC2AF9"/>
    <w:rsid w:val="00DC350A"/>
    <w:rsid w:val="00DC3C2A"/>
    <w:rsid w:val="00DC4336"/>
    <w:rsid w:val="00DC4987"/>
    <w:rsid w:val="00DC4B70"/>
    <w:rsid w:val="00DC4CD3"/>
    <w:rsid w:val="00DC5315"/>
    <w:rsid w:val="00DC545D"/>
    <w:rsid w:val="00DC64EE"/>
    <w:rsid w:val="00DC683D"/>
    <w:rsid w:val="00DC747A"/>
    <w:rsid w:val="00DC7DF0"/>
    <w:rsid w:val="00DC7EC1"/>
    <w:rsid w:val="00DD0531"/>
    <w:rsid w:val="00DD2207"/>
    <w:rsid w:val="00DD2ECC"/>
    <w:rsid w:val="00DD3084"/>
    <w:rsid w:val="00DD3211"/>
    <w:rsid w:val="00DD3370"/>
    <w:rsid w:val="00DD3900"/>
    <w:rsid w:val="00DD40F5"/>
    <w:rsid w:val="00DD42CC"/>
    <w:rsid w:val="00DD4328"/>
    <w:rsid w:val="00DD48D3"/>
    <w:rsid w:val="00DD4AD1"/>
    <w:rsid w:val="00DD4E63"/>
    <w:rsid w:val="00DD58A9"/>
    <w:rsid w:val="00DD5FCD"/>
    <w:rsid w:val="00DD64D7"/>
    <w:rsid w:val="00DD71BF"/>
    <w:rsid w:val="00DD727E"/>
    <w:rsid w:val="00DD791D"/>
    <w:rsid w:val="00DD7BE8"/>
    <w:rsid w:val="00DE0EC6"/>
    <w:rsid w:val="00DE17B2"/>
    <w:rsid w:val="00DE1D37"/>
    <w:rsid w:val="00DE3E60"/>
    <w:rsid w:val="00DE3EF0"/>
    <w:rsid w:val="00DE4308"/>
    <w:rsid w:val="00DE4B23"/>
    <w:rsid w:val="00DE54AC"/>
    <w:rsid w:val="00DE5E77"/>
    <w:rsid w:val="00DE6013"/>
    <w:rsid w:val="00DE6578"/>
    <w:rsid w:val="00DE6B09"/>
    <w:rsid w:val="00DE6BEA"/>
    <w:rsid w:val="00DE714A"/>
    <w:rsid w:val="00DE75D0"/>
    <w:rsid w:val="00DE75EF"/>
    <w:rsid w:val="00DF006F"/>
    <w:rsid w:val="00DF1C42"/>
    <w:rsid w:val="00DF21F6"/>
    <w:rsid w:val="00DF251B"/>
    <w:rsid w:val="00DF2971"/>
    <w:rsid w:val="00DF2F1B"/>
    <w:rsid w:val="00DF371F"/>
    <w:rsid w:val="00DF3825"/>
    <w:rsid w:val="00DF4345"/>
    <w:rsid w:val="00DF4E47"/>
    <w:rsid w:val="00DF5571"/>
    <w:rsid w:val="00DF5B81"/>
    <w:rsid w:val="00DF5C6B"/>
    <w:rsid w:val="00DF6E97"/>
    <w:rsid w:val="00DF7138"/>
    <w:rsid w:val="00DF71F9"/>
    <w:rsid w:val="00DF7634"/>
    <w:rsid w:val="00DF77FB"/>
    <w:rsid w:val="00DF7AB4"/>
    <w:rsid w:val="00E00A6B"/>
    <w:rsid w:val="00E00B43"/>
    <w:rsid w:val="00E00FAF"/>
    <w:rsid w:val="00E011D8"/>
    <w:rsid w:val="00E01F71"/>
    <w:rsid w:val="00E02064"/>
    <w:rsid w:val="00E02147"/>
    <w:rsid w:val="00E025CC"/>
    <w:rsid w:val="00E0327F"/>
    <w:rsid w:val="00E03B8F"/>
    <w:rsid w:val="00E03C5A"/>
    <w:rsid w:val="00E03E20"/>
    <w:rsid w:val="00E03F95"/>
    <w:rsid w:val="00E040BE"/>
    <w:rsid w:val="00E04C28"/>
    <w:rsid w:val="00E04E7D"/>
    <w:rsid w:val="00E05A1C"/>
    <w:rsid w:val="00E05B30"/>
    <w:rsid w:val="00E06FA4"/>
    <w:rsid w:val="00E07208"/>
    <w:rsid w:val="00E07DFC"/>
    <w:rsid w:val="00E07E60"/>
    <w:rsid w:val="00E10046"/>
    <w:rsid w:val="00E1056C"/>
    <w:rsid w:val="00E10D36"/>
    <w:rsid w:val="00E11505"/>
    <w:rsid w:val="00E11DE8"/>
    <w:rsid w:val="00E11EF1"/>
    <w:rsid w:val="00E123B3"/>
    <w:rsid w:val="00E124CA"/>
    <w:rsid w:val="00E1256C"/>
    <w:rsid w:val="00E126AF"/>
    <w:rsid w:val="00E130F4"/>
    <w:rsid w:val="00E13439"/>
    <w:rsid w:val="00E1388B"/>
    <w:rsid w:val="00E13C6C"/>
    <w:rsid w:val="00E13E5B"/>
    <w:rsid w:val="00E14738"/>
    <w:rsid w:val="00E14B7C"/>
    <w:rsid w:val="00E14D01"/>
    <w:rsid w:val="00E1602E"/>
    <w:rsid w:val="00E162F1"/>
    <w:rsid w:val="00E162F7"/>
    <w:rsid w:val="00E16554"/>
    <w:rsid w:val="00E167C6"/>
    <w:rsid w:val="00E174E4"/>
    <w:rsid w:val="00E176D1"/>
    <w:rsid w:val="00E17FF3"/>
    <w:rsid w:val="00E218A5"/>
    <w:rsid w:val="00E21E49"/>
    <w:rsid w:val="00E2214A"/>
    <w:rsid w:val="00E23153"/>
    <w:rsid w:val="00E23652"/>
    <w:rsid w:val="00E23CDB"/>
    <w:rsid w:val="00E23E03"/>
    <w:rsid w:val="00E24787"/>
    <w:rsid w:val="00E24BBA"/>
    <w:rsid w:val="00E24EC7"/>
    <w:rsid w:val="00E25CDB"/>
    <w:rsid w:val="00E26565"/>
    <w:rsid w:val="00E2662F"/>
    <w:rsid w:val="00E26BD5"/>
    <w:rsid w:val="00E276BC"/>
    <w:rsid w:val="00E27842"/>
    <w:rsid w:val="00E27E68"/>
    <w:rsid w:val="00E3118A"/>
    <w:rsid w:val="00E3149C"/>
    <w:rsid w:val="00E314FB"/>
    <w:rsid w:val="00E31676"/>
    <w:rsid w:val="00E317A5"/>
    <w:rsid w:val="00E31CB4"/>
    <w:rsid w:val="00E325C9"/>
    <w:rsid w:val="00E3271D"/>
    <w:rsid w:val="00E34130"/>
    <w:rsid w:val="00E347D6"/>
    <w:rsid w:val="00E34CD8"/>
    <w:rsid w:val="00E35C2D"/>
    <w:rsid w:val="00E36013"/>
    <w:rsid w:val="00E374E3"/>
    <w:rsid w:val="00E37688"/>
    <w:rsid w:val="00E377A9"/>
    <w:rsid w:val="00E378AC"/>
    <w:rsid w:val="00E40127"/>
    <w:rsid w:val="00E40189"/>
    <w:rsid w:val="00E40531"/>
    <w:rsid w:val="00E40895"/>
    <w:rsid w:val="00E415E8"/>
    <w:rsid w:val="00E41657"/>
    <w:rsid w:val="00E421FB"/>
    <w:rsid w:val="00E424A2"/>
    <w:rsid w:val="00E42C11"/>
    <w:rsid w:val="00E42C8B"/>
    <w:rsid w:val="00E43AC5"/>
    <w:rsid w:val="00E43EB0"/>
    <w:rsid w:val="00E43F35"/>
    <w:rsid w:val="00E44B41"/>
    <w:rsid w:val="00E44BDC"/>
    <w:rsid w:val="00E44DB1"/>
    <w:rsid w:val="00E4573C"/>
    <w:rsid w:val="00E45C00"/>
    <w:rsid w:val="00E45C08"/>
    <w:rsid w:val="00E45EF0"/>
    <w:rsid w:val="00E45F0F"/>
    <w:rsid w:val="00E462B1"/>
    <w:rsid w:val="00E47BEB"/>
    <w:rsid w:val="00E5029D"/>
    <w:rsid w:val="00E5033F"/>
    <w:rsid w:val="00E5080B"/>
    <w:rsid w:val="00E50F4F"/>
    <w:rsid w:val="00E51A84"/>
    <w:rsid w:val="00E52AAF"/>
    <w:rsid w:val="00E5314B"/>
    <w:rsid w:val="00E53412"/>
    <w:rsid w:val="00E53AC2"/>
    <w:rsid w:val="00E5406E"/>
    <w:rsid w:val="00E55F52"/>
    <w:rsid w:val="00E56C5B"/>
    <w:rsid w:val="00E57342"/>
    <w:rsid w:val="00E57C28"/>
    <w:rsid w:val="00E6031A"/>
    <w:rsid w:val="00E6088E"/>
    <w:rsid w:val="00E61002"/>
    <w:rsid w:val="00E6112F"/>
    <w:rsid w:val="00E6185C"/>
    <w:rsid w:val="00E61902"/>
    <w:rsid w:val="00E61D8E"/>
    <w:rsid w:val="00E621B5"/>
    <w:rsid w:val="00E621B8"/>
    <w:rsid w:val="00E62F99"/>
    <w:rsid w:val="00E63175"/>
    <w:rsid w:val="00E63413"/>
    <w:rsid w:val="00E63660"/>
    <w:rsid w:val="00E63B8C"/>
    <w:rsid w:val="00E63D54"/>
    <w:rsid w:val="00E63F84"/>
    <w:rsid w:val="00E647ED"/>
    <w:rsid w:val="00E660D0"/>
    <w:rsid w:val="00E6650C"/>
    <w:rsid w:val="00E6726A"/>
    <w:rsid w:val="00E67E5B"/>
    <w:rsid w:val="00E67FB6"/>
    <w:rsid w:val="00E70564"/>
    <w:rsid w:val="00E707B3"/>
    <w:rsid w:val="00E70A2B"/>
    <w:rsid w:val="00E70E6C"/>
    <w:rsid w:val="00E717AA"/>
    <w:rsid w:val="00E71F1D"/>
    <w:rsid w:val="00E72AA1"/>
    <w:rsid w:val="00E73146"/>
    <w:rsid w:val="00E73AB0"/>
    <w:rsid w:val="00E74A0C"/>
    <w:rsid w:val="00E74AAE"/>
    <w:rsid w:val="00E750E1"/>
    <w:rsid w:val="00E75B6D"/>
    <w:rsid w:val="00E76206"/>
    <w:rsid w:val="00E772AE"/>
    <w:rsid w:val="00E77BB9"/>
    <w:rsid w:val="00E77ED5"/>
    <w:rsid w:val="00E77F62"/>
    <w:rsid w:val="00E8018D"/>
    <w:rsid w:val="00E804A8"/>
    <w:rsid w:val="00E8133B"/>
    <w:rsid w:val="00E81537"/>
    <w:rsid w:val="00E81EA7"/>
    <w:rsid w:val="00E82517"/>
    <w:rsid w:val="00E8255E"/>
    <w:rsid w:val="00E83DBD"/>
    <w:rsid w:val="00E83FAB"/>
    <w:rsid w:val="00E844AF"/>
    <w:rsid w:val="00E8474E"/>
    <w:rsid w:val="00E8491D"/>
    <w:rsid w:val="00E85234"/>
    <w:rsid w:val="00E856D5"/>
    <w:rsid w:val="00E85C9E"/>
    <w:rsid w:val="00E85D7C"/>
    <w:rsid w:val="00E860D7"/>
    <w:rsid w:val="00E86420"/>
    <w:rsid w:val="00E87779"/>
    <w:rsid w:val="00E879A2"/>
    <w:rsid w:val="00E879AB"/>
    <w:rsid w:val="00E87A92"/>
    <w:rsid w:val="00E903D6"/>
    <w:rsid w:val="00E90709"/>
    <w:rsid w:val="00E90887"/>
    <w:rsid w:val="00E90993"/>
    <w:rsid w:val="00E909C8"/>
    <w:rsid w:val="00E90DEB"/>
    <w:rsid w:val="00E92722"/>
    <w:rsid w:val="00E92B77"/>
    <w:rsid w:val="00E93AB6"/>
    <w:rsid w:val="00E940F3"/>
    <w:rsid w:val="00E94693"/>
    <w:rsid w:val="00E947C1"/>
    <w:rsid w:val="00E958CC"/>
    <w:rsid w:val="00E959FD"/>
    <w:rsid w:val="00E96077"/>
    <w:rsid w:val="00E96110"/>
    <w:rsid w:val="00E963A5"/>
    <w:rsid w:val="00E9646B"/>
    <w:rsid w:val="00E96811"/>
    <w:rsid w:val="00E96C8B"/>
    <w:rsid w:val="00E979B7"/>
    <w:rsid w:val="00E97CD2"/>
    <w:rsid w:val="00EA0571"/>
    <w:rsid w:val="00EA0759"/>
    <w:rsid w:val="00EA10E8"/>
    <w:rsid w:val="00EA1545"/>
    <w:rsid w:val="00EA4326"/>
    <w:rsid w:val="00EA456A"/>
    <w:rsid w:val="00EA4E23"/>
    <w:rsid w:val="00EA53DE"/>
    <w:rsid w:val="00EA5417"/>
    <w:rsid w:val="00EA54DD"/>
    <w:rsid w:val="00EA54EC"/>
    <w:rsid w:val="00EA68CD"/>
    <w:rsid w:val="00EA6ABC"/>
    <w:rsid w:val="00EA7291"/>
    <w:rsid w:val="00EA72EB"/>
    <w:rsid w:val="00EA76D3"/>
    <w:rsid w:val="00EA7AC0"/>
    <w:rsid w:val="00EB0100"/>
    <w:rsid w:val="00EB0302"/>
    <w:rsid w:val="00EB0537"/>
    <w:rsid w:val="00EB10AB"/>
    <w:rsid w:val="00EB1B47"/>
    <w:rsid w:val="00EB1DAC"/>
    <w:rsid w:val="00EB1F7B"/>
    <w:rsid w:val="00EB20C3"/>
    <w:rsid w:val="00EB28FE"/>
    <w:rsid w:val="00EB2999"/>
    <w:rsid w:val="00EB2C05"/>
    <w:rsid w:val="00EB33B6"/>
    <w:rsid w:val="00EB3616"/>
    <w:rsid w:val="00EB3864"/>
    <w:rsid w:val="00EB40F6"/>
    <w:rsid w:val="00EB420F"/>
    <w:rsid w:val="00EB4876"/>
    <w:rsid w:val="00EB4B2E"/>
    <w:rsid w:val="00EB5082"/>
    <w:rsid w:val="00EB5AF1"/>
    <w:rsid w:val="00EB5DF6"/>
    <w:rsid w:val="00EB61C2"/>
    <w:rsid w:val="00EB6CA6"/>
    <w:rsid w:val="00EB6EB0"/>
    <w:rsid w:val="00EB6F39"/>
    <w:rsid w:val="00EB7136"/>
    <w:rsid w:val="00EB7525"/>
    <w:rsid w:val="00EB7CF8"/>
    <w:rsid w:val="00EB7FA7"/>
    <w:rsid w:val="00EC0082"/>
    <w:rsid w:val="00EC059B"/>
    <w:rsid w:val="00EC0981"/>
    <w:rsid w:val="00EC0F7B"/>
    <w:rsid w:val="00EC194E"/>
    <w:rsid w:val="00EC1BF7"/>
    <w:rsid w:val="00EC226F"/>
    <w:rsid w:val="00EC23D0"/>
    <w:rsid w:val="00EC25F2"/>
    <w:rsid w:val="00EC2BCB"/>
    <w:rsid w:val="00EC3365"/>
    <w:rsid w:val="00EC351E"/>
    <w:rsid w:val="00EC36EF"/>
    <w:rsid w:val="00EC3A42"/>
    <w:rsid w:val="00EC42E1"/>
    <w:rsid w:val="00EC5166"/>
    <w:rsid w:val="00EC54B2"/>
    <w:rsid w:val="00EC5528"/>
    <w:rsid w:val="00EC5938"/>
    <w:rsid w:val="00EC6265"/>
    <w:rsid w:val="00EC6BE4"/>
    <w:rsid w:val="00EC77CD"/>
    <w:rsid w:val="00ED0123"/>
    <w:rsid w:val="00ED0868"/>
    <w:rsid w:val="00ED1553"/>
    <w:rsid w:val="00ED1D86"/>
    <w:rsid w:val="00ED27C3"/>
    <w:rsid w:val="00ED284C"/>
    <w:rsid w:val="00ED315B"/>
    <w:rsid w:val="00ED3C34"/>
    <w:rsid w:val="00ED4590"/>
    <w:rsid w:val="00ED4D8E"/>
    <w:rsid w:val="00ED56FC"/>
    <w:rsid w:val="00ED5B0E"/>
    <w:rsid w:val="00ED5C21"/>
    <w:rsid w:val="00ED5CBD"/>
    <w:rsid w:val="00ED5E42"/>
    <w:rsid w:val="00ED651A"/>
    <w:rsid w:val="00ED7C40"/>
    <w:rsid w:val="00EE031B"/>
    <w:rsid w:val="00EE0725"/>
    <w:rsid w:val="00EE0761"/>
    <w:rsid w:val="00EE0847"/>
    <w:rsid w:val="00EE0BF4"/>
    <w:rsid w:val="00EE111D"/>
    <w:rsid w:val="00EE2AEA"/>
    <w:rsid w:val="00EE2ECB"/>
    <w:rsid w:val="00EE35D7"/>
    <w:rsid w:val="00EE3B4E"/>
    <w:rsid w:val="00EE4BD9"/>
    <w:rsid w:val="00EE53FC"/>
    <w:rsid w:val="00EE5750"/>
    <w:rsid w:val="00EE5A17"/>
    <w:rsid w:val="00EE5C01"/>
    <w:rsid w:val="00EE60C6"/>
    <w:rsid w:val="00EE73C5"/>
    <w:rsid w:val="00EE77FD"/>
    <w:rsid w:val="00EF080D"/>
    <w:rsid w:val="00EF0E35"/>
    <w:rsid w:val="00EF1368"/>
    <w:rsid w:val="00EF1C4A"/>
    <w:rsid w:val="00EF1D3B"/>
    <w:rsid w:val="00EF2371"/>
    <w:rsid w:val="00EF276F"/>
    <w:rsid w:val="00EF2CAA"/>
    <w:rsid w:val="00EF2F7C"/>
    <w:rsid w:val="00EF3837"/>
    <w:rsid w:val="00EF3BA5"/>
    <w:rsid w:val="00EF3CAD"/>
    <w:rsid w:val="00EF4760"/>
    <w:rsid w:val="00EF49AE"/>
    <w:rsid w:val="00EF4C1F"/>
    <w:rsid w:val="00EF5BF4"/>
    <w:rsid w:val="00EF673A"/>
    <w:rsid w:val="00EF7032"/>
    <w:rsid w:val="00EF731F"/>
    <w:rsid w:val="00EF7518"/>
    <w:rsid w:val="00EF754A"/>
    <w:rsid w:val="00EF77CB"/>
    <w:rsid w:val="00EF798F"/>
    <w:rsid w:val="00F00347"/>
    <w:rsid w:val="00F00464"/>
    <w:rsid w:val="00F005D0"/>
    <w:rsid w:val="00F00E33"/>
    <w:rsid w:val="00F00E40"/>
    <w:rsid w:val="00F01044"/>
    <w:rsid w:val="00F01D22"/>
    <w:rsid w:val="00F01EA6"/>
    <w:rsid w:val="00F03730"/>
    <w:rsid w:val="00F0438D"/>
    <w:rsid w:val="00F04636"/>
    <w:rsid w:val="00F06168"/>
    <w:rsid w:val="00F06641"/>
    <w:rsid w:val="00F066E2"/>
    <w:rsid w:val="00F073EE"/>
    <w:rsid w:val="00F07CC8"/>
    <w:rsid w:val="00F10082"/>
    <w:rsid w:val="00F101B2"/>
    <w:rsid w:val="00F10A4B"/>
    <w:rsid w:val="00F10AC0"/>
    <w:rsid w:val="00F11AE4"/>
    <w:rsid w:val="00F126F9"/>
    <w:rsid w:val="00F128D8"/>
    <w:rsid w:val="00F1291F"/>
    <w:rsid w:val="00F12A38"/>
    <w:rsid w:val="00F12BBB"/>
    <w:rsid w:val="00F13405"/>
    <w:rsid w:val="00F13B5A"/>
    <w:rsid w:val="00F14737"/>
    <w:rsid w:val="00F14782"/>
    <w:rsid w:val="00F14EBA"/>
    <w:rsid w:val="00F1579E"/>
    <w:rsid w:val="00F1683A"/>
    <w:rsid w:val="00F16996"/>
    <w:rsid w:val="00F169A1"/>
    <w:rsid w:val="00F16AD4"/>
    <w:rsid w:val="00F16D46"/>
    <w:rsid w:val="00F1727C"/>
    <w:rsid w:val="00F17737"/>
    <w:rsid w:val="00F201B6"/>
    <w:rsid w:val="00F20741"/>
    <w:rsid w:val="00F20DA1"/>
    <w:rsid w:val="00F2133D"/>
    <w:rsid w:val="00F2147B"/>
    <w:rsid w:val="00F21C7B"/>
    <w:rsid w:val="00F21C94"/>
    <w:rsid w:val="00F22111"/>
    <w:rsid w:val="00F222E1"/>
    <w:rsid w:val="00F22895"/>
    <w:rsid w:val="00F2392E"/>
    <w:rsid w:val="00F23A72"/>
    <w:rsid w:val="00F23CE3"/>
    <w:rsid w:val="00F24638"/>
    <w:rsid w:val="00F247B7"/>
    <w:rsid w:val="00F24B00"/>
    <w:rsid w:val="00F26AA0"/>
    <w:rsid w:val="00F2714D"/>
    <w:rsid w:val="00F27FA9"/>
    <w:rsid w:val="00F30291"/>
    <w:rsid w:val="00F30CAF"/>
    <w:rsid w:val="00F30D6D"/>
    <w:rsid w:val="00F30FF6"/>
    <w:rsid w:val="00F31E18"/>
    <w:rsid w:val="00F32AC6"/>
    <w:rsid w:val="00F33BF4"/>
    <w:rsid w:val="00F342BA"/>
    <w:rsid w:val="00F34720"/>
    <w:rsid w:val="00F34AFD"/>
    <w:rsid w:val="00F3501B"/>
    <w:rsid w:val="00F355ED"/>
    <w:rsid w:val="00F36387"/>
    <w:rsid w:val="00F366EA"/>
    <w:rsid w:val="00F366EE"/>
    <w:rsid w:val="00F36C87"/>
    <w:rsid w:val="00F36F3C"/>
    <w:rsid w:val="00F36FBB"/>
    <w:rsid w:val="00F37DAD"/>
    <w:rsid w:val="00F406A4"/>
    <w:rsid w:val="00F41738"/>
    <w:rsid w:val="00F42107"/>
    <w:rsid w:val="00F42E5A"/>
    <w:rsid w:val="00F42EB0"/>
    <w:rsid w:val="00F4301F"/>
    <w:rsid w:val="00F43255"/>
    <w:rsid w:val="00F4362C"/>
    <w:rsid w:val="00F43B17"/>
    <w:rsid w:val="00F43BB2"/>
    <w:rsid w:val="00F44845"/>
    <w:rsid w:val="00F44C43"/>
    <w:rsid w:val="00F44C90"/>
    <w:rsid w:val="00F452AD"/>
    <w:rsid w:val="00F45B53"/>
    <w:rsid w:val="00F45E58"/>
    <w:rsid w:val="00F46949"/>
    <w:rsid w:val="00F47029"/>
    <w:rsid w:val="00F471E2"/>
    <w:rsid w:val="00F505C7"/>
    <w:rsid w:val="00F50622"/>
    <w:rsid w:val="00F50DEE"/>
    <w:rsid w:val="00F51111"/>
    <w:rsid w:val="00F51157"/>
    <w:rsid w:val="00F51335"/>
    <w:rsid w:val="00F516A3"/>
    <w:rsid w:val="00F52528"/>
    <w:rsid w:val="00F526BC"/>
    <w:rsid w:val="00F52893"/>
    <w:rsid w:val="00F53331"/>
    <w:rsid w:val="00F53C3E"/>
    <w:rsid w:val="00F54A10"/>
    <w:rsid w:val="00F54C7D"/>
    <w:rsid w:val="00F5541D"/>
    <w:rsid w:val="00F557AB"/>
    <w:rsid w:val="00F5586A"/>
    <w:rsid w:val="00F55ED7"/>
    <w:rsid w:val="00F56066"/>
    <w:rsid w:val="00F5665A"/>
    <w:rsid w:val="00F56953"/>
    <w:rsid w:val="00F575AB"/>
    <w:rsid w:val="00F57AA7"/>
    <w:rsid w:val="00F57BD7"/>
    <w:rsid w:val="00F60158"/>
    <w:rsid w:val="00F6028A"/>
    <w:rsid w:val="00F60333"/>
    <w:rsid w:val="00F604D7"/>
    <w:rsid w:val="00F6070A"/>
    <w:rsid w:val="00F60C76"/>
    <w:rsid w:val="00F61C95"/>
    <w:rsid w:val="00F61CAC"/>
    <w:rsid w:val="00F62196"/>
    <w:rsid w:val="00F622A9"/>
    <w:rsid w:val="00F6286C"/>
    <w:rsid w:val="00F629DB"/>
    <w:rsid w:val="00F62F0A"/>
    <w:rsid w:val="00F635C5"/>
    <w:rsid w:val="00F64712"/>
    <w:rsid w:val="00F64B40"/>
    <w:rsid w:val="00F64CF6"/>
    <w:rsid w:val="00F65EE1"/>
    <w:rsid w:val="00F6640B"/>
    <w:rsid w:val="00F6675C"/>
    <w:rsid w:val="00F66916"/>
    <w:rsid w:val="00F66F4E"/>
    <w:rsid w:val="00F679A0"/>
    <w:rsid w:val="00F67F2F"/>
    <w:rsid w:val="00F709B1"/>
    <w:rsid w:val="00F7159C"/>
    <w:rsid w:val="00F715EC"/>
    <w:rsid w:val="00F722BD"/>
    <w:rsid w:val="00F72816"/>
    <w:rsid w:val="00F72B42"/>
    <w:rsid w:val="00F72B84"/>
    <w:rsid w:val="00F72DBD"/>
    <w:rsid w:val="00F7309D"/>
    <w:rsid w:val="00F73417"/>
    <w:rsid w:val="00F735D9"/>
    <w:rsid w:val="00F7441C"/>
    <w:rsid w:val="00F74DDC"/>
    <w:rsid w:val="00F751A4"/>
    <w:rsid w:val="00F7547D"/>
    <w:rsid w:val="00F75A58"/>
    <w:rsid w:val="00F75E6D"/>
    <w:rsid w:val="00F765DD"/>
    <w:rsid w:val="00F76F99"/>
    <w:rsid w:val="00F77827"/>
    <w:rsid w:val="00F77A62"/>
    <w:rsid w:val="00F77B74"/>
    <w:rsid w:val="00F77C65"/>
    <w:rsid w:val="00F80077"/>
    <w:rsid w:val="00F801D3"/>
    <w:rsid w:val="00F82048"/>
    <w:rsid w:val="00F822CB"/>
    <w:rsid w:val="00F82519"/>
    <w:rsid w:val="00F828DD"/>
    <w:rsid w:val="00F82D7E"/>
    <w:rsid w:val="00F83170"/>
    <w:rsid w:val="00F83203"/>
    <w:rsid w:val="00F83FC2"/>
    <w:rsid w:val="00F84644"/>
    <w:rsid w:val="00F84924"/>
    <w:rsid w:val="00F84E34"/>
    <w:rsid w:val="00F861E1"/>
    <w:rsid w:val="00F87387"/>
    <w:rsid w:val="00F8767D"/>
    <w:rsid w:val="00F878A2"/>
    <w:rsid w:val="00F87A16"/>
    <w:rsid w:val="00F90540"/>
    <w:rsid w:val="00F90745"/>
    <w:rsid w:val="00F910D0"/>
    <w:rsid w:val="00F917EA"/>
    <w:rsid w:val="00F91AB1"/>
    <w:rsid w:val="00F91B49"/>
    <w:rsid w:val="00F91D45"/>
    <w:rsid w:val="00F91DCA"/>
    <w:rsid w:val="00F91F9F"/>
    <w:rsid w:val="00F92C78"/>
    <w:rsid w:val="00F92D8C"/>
    <w:rsid w:val="00F933C3"/>
    <w:rsid w:val="00F940B9"/>
    <w:rsid w:val="00F944ED"/>
    <w:rsid w:val="00F94D9F"/>
    <w:rsid w:val="00F955C6"/>
    <w:rsid w:val="00F956B9"/>
    <w:rsid w:val="00F96429"/>
    <w:rsid w:val="00F9689C"/>
    <w:rsid w:val="00F97154"/>
    <w:rsid w:val="00F971DF"/>
    <w:rsid w:val="00F973DD"/>
    <w:rsid w:val="00F97C76"/>
    <w:rsid w:val="00F97E05"/>
    <w:rsid w:val="00FA0BAE"/>
    <w:rsid w:val="00FA1550"/>
    <w:rsid w:val="00FA1685"/>
    <w:rsid w:val="00FA1724"/>
    <w:rsid w:val="00FA193C"/>
    <w:rsid w:val="00FA1A6D"/>
    <w:rsid w:val="00FA1A94"/>
    <w:rsid w:val="00FA1E87"/>
    <w:rsid w:val="00FA2488"/>
    <w:rsid w:val="00FA2560"/>
    <w:rsid w:val="00FA2668"/>
    <w:rsid w:val="00FA2670"/>
    <w:rsid w:val="00FA2C35"/>
    <w:rsid w:val="00FA2D35"/>
    <w:rsid w:val="00FA2FD8"/>
    <w:rsid w:val="00FA3346"/>
    <w:rsid w:val="00FA3F0A"/>
    <w:rsid w:val="00FA4100"/>
    <w:rsid w:val="00FA42A9"/>
    <w:rsid w:val="00FA49C6"/>
    <w:rsid w:val="00FA567A"/>
    <w:rsid w:val="00FA6106"/>
    <w:rsid w:val="00FA740B"/>
    <w:rsid w:val="00FA77A9"/>
    <w:rsid w:val="00FB0127"/>
    <w:rsid w:val="00FB0A7E"/>
    <w:rsid w:val="00FB1134"/>
    <w:rsid w:val="00FB14C2"/>
    <w:rsid w:val="00FB1511"/>
    <w:rsid w:val="00FB17FE"/>
    <w:rsid w:val="00FB1998"/>
    <w:rsid w:val="00FB27F1"/>
    <w:rsid w:val="00FB2EB1"/>
    <w:rsid w:val="00FB378D"/>
    <w:rsid w:val="00FB37CB"/>
    <w:rsid w:val="00FB40DF"/>
    <w:rsid w:val="00FB415D"/>
    <w:rsid w:val="00FB4250"/>
    <w:rsid w:val="00FB437F"/>
    <w:rsid w:val="00FB552B"/>
    <w:rsid w:val="00FB5DEE"/>
    <w:rsid w:val="00FB62BB"/>
    <w:rsid w:val="00FB652B"/>
    <w:rsid w:val="00FB67C5"/>
    <w:rsid w:val="00FB69CA"/>
    <w:rsid w:val="00FB6D07"/>
    <w:rsid w:val="00FB6E4B"/>
    <w:rsid w:val="00FB7AE3"/>
    <w:rsid w:val="00FB7F6A"/>
    <w:rsid w:val="00FC10D5"/>
    <w:rsid w:val="00FC1444"/>
    <w:rsid w:val="00FC1542"/>
    <w:rsid w:val="00FC20FA"/>
    <w:rsid w:val="00FC2790"/>
    <w:rsid w:val="00FC2B5D"/>
    <w:rsid w:val="00FC39BE"/>
    <w:rsid w:val="00FC426E"/>
    <w:rsid w:val="00FC4B72"/>
    <w:rsid w:val="00FC51F8"/>
    <w:rsid w:val="00FC54EF"/>
    <w:rsid w:val="00FC5CC2"/>
    <w:rsid w:val="00FC6017"/>
    <w:rsid w:val="00FC70C5"/>
    <w:rsid w:val="00FC7851"/>
    <w:rsid w:val="00FC7CB9"/>
    <w:rsid w:val="00FC7DB5"/>
    <w:rsid w:val="00FD0087"/>
    <w:rsid w:val="00FD04D0"/>
    <w:rsid w:val="00FD07E4"/>
    <w:rsid w:val="00FD0BF8"/>
    <w:rsid w:val="00FD0FA5"/>
    <w:rsid w:val="00FD1097"/>
    <w:rsid w:val="00FD1107"/>
    <w:rsid w:val="00FD163F"/>
    <w:rsid w:val="00FD1BFE"/>
    <w:rsid w:val="00FD1C8D"/>
    <w:rsid w:val="00FD1D4B"/>
    <w:rsid w:val="00FD201B"/>
    <w:rsid w:val="00FD298E"/>
    <w:rsid w:val="00FD2A38"/>
    <w:rsid w:val="00FD2E88"/>
    <w:rsid w:val="00FD47C7"/>
    <w:rsid w:val="00FD4878"/>
    <w:rsid w:val="00FD4F62"/>
    <w:rsid w:val="00FD5A63"/>
    <w:rsid w:val="00FD6075"/>
    <w:rsid w:val="00FD610D"/>
    <w:rsid w:val="00FD63D4"/>
    <w:rsid w:val="00FD663A"/>
    <w:rsid w:val="00FD6F0A"/>
    <w:rsid w:val="00FD6F2B"/>
    <w:rsid w:val="00FD7DDB"/>
    <w:rsid w:val="00FD7F8C"/>
    <w:rsid w:val="00FE0FB6"/>
    <w:rsid w:val="00FE1BB1"/>
    <w:rsid w:val="00FE2707"/>
    <w:rsid w:val="00FE32CC"/>
    <w:rsid w:val="00FE359C"/>
    <w:rsid w:val="00FE39E7"/>
    <w:rsid w:val="00FE406C"/>
    <w:rsid w:val="00FE43B5"/>
    <w:rsid w:val="00FE49F0"/>
    <w:rsid w:val="00FE57E7"/>
    <w:rsid w:val="00FE5914"/>
    <w:rsid w:val="00FE5AA5"/>
    <w:rsid w:val="00FE6930"/>
    <w:rsid w:val="00FE72AA"/>
    <w:rsid w:val="00FE74BF"/>
    <w:rsid w:val="00FE7AF5"/>
    <w:rsid w:val="00FE7DD7"/>
    <w:rsid w:val="00FE7EFF"/>
    <w:rsid w:val="00FF05D1"/>
    <w:rsid w:val="00FF0AD3"/>
    <w:rsid w:val="00FF0D99"/>
    <w:rsid w:val="00FF11CE"/>
    <w:rsid w:val="00FF133B"/>
    <w:rsid w:val="00FF13B8"/>
    <w:rsid w:val="00FF1A56"/>
    <w:rsid w:val="00FF1B43"/>
    <w:rsid w:val="00FF1D91"/>
    <w:rsid w:val="00FF1F68"/>
    <w:rsid w:val="00FF2909"/>
    <w:rsid w:val="00FF35BC"/>
    <w:rsid w:val="00FF3A71"/>
    <w:rsid w:val="00FF4435"/>
    <w:rsid w:val="00FF4B82"/>
    <w:rsid w:val="00FF4EE4"/>
    <w:rsid w:val="00FF546D"/>
    <w:rsid w:val="00FF5B60"/>
    <w:rsid w:val="00FF5D80"/>
    <w:rsid w:val="00FF62C2"/>
    <w:rsid w:val="00FF657A"/>
    <w:rsid w:val="00FF65CA"/>
    <w:rsid w:val="00FF6D42"/>
    <w:rsid w:val="00FF713B"/>
    <w:rsid w:val="21811457"/>
    <w:rsid w:val="3F69DE66"/>
    <w:rsid w:val="4C362ED5"/>
    <w:rsid w:val="4FA6A686"/>
    <w:rsid w:val="538B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8697F1D"/>
  <w15:docId w15:val="{522610E1-F4A1-489C-AD7D-EE36E45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34"/>
    <w:pPr>
      <w:autoSpaceDE w:val="0"/>
      <w:autoSpaceDN w:val="0"/>
      <w:adjustRightInd w:val="0"/>
    </w:pPr>
    <w:rPr>
      <w:color w:val="000000" w:themeColor="text1"/>
    </w:rPr>
  </w:style>
  <w:style w:type="paragraph" w:styleId="Heading1">
    <w:name w:val="heading 1"/>
    <w:basedOn w:val="Normal"/>
    <w:next w:val="Normal"/>
    <w:link w:val="Heading1Char"/>
    <w:uiPriority w:val="9"/>
    <w:qFormat/>
    <w:rsid w:val="002303B1"/>
    <w:pPr>
      <w:keepNext/>
      <w:keepLines/>
      <w:spacing w:before="240"/>
      <w:outlineLvl w:val="0"/>
    </w:pPr>
    <w:rPr>
      <w:rFonts w:eastAsiaTheme="majorEastAsia"/>
      <w:b/>
      <w:bCs/>
      <w:szCs w:val="28"/>
    </w:rPr>
  </w:style>
  <w:style w:type="paragraph" w:styleId="Heading2">
    <w:name w:val="heading 2"/>
    <w:basedOn w:val="Heading1"/>
    <w:next w:val="Normal"/>
    <w:link w:val="Heading2Char"/>
    <w:uiPriority w:val="9"/>
    <w:unhideWhenUsed/>
    <w:qFormat/>
    <w:rsid w:val="007B151F"/>
    <w:pPr>
      <w:numPr>
        <w:ilvl w:val="1"/>
      </w:numPr>
      <w:spacing w:before="0"/>
      <w:ind w:left="1080" w:hanging="720"/>
      <w:outlineLvl w:val="1"/>
    </w:pPr>
    <w:rPr>
      <w:b w:val="0"/>
    </w:rPr>
  </w:style>
  <w:style w:type="paragraph" w:styleId="Heading3">
    <w:name w:val="heading 3"/>
    <w:basedOn w:val="Heading2"/>
    <w:next w:val="Normal"/>
    <w:link w:val="Heading3Char"/>
    <w:uiPriority w:val="9"/>
    <w:unhideWhenUsed/>
    <w:qFormat/>
    <w:rsid w:val="007B151F"/>
    <w:pPr>
      <w:keepLines w:val="0"/>
      <w:numPr>
        <w:ilvl w:val="2"/>
      </w:numPr>
      <w:ind w:left="1260" w:hanging="900"/>
      <w:outlineLvl w:val="2"/>
    </w:pPr>
    <w:rPr>
      <w:i/>
      <w:szCs w:val="24"/>
    </w:rPr>
  </w:style>
  <w:style w:type="paragraph" w:styleId="Heading4">
    <w:name w:val="heading 4"/>
    <w:basedOn w:val="Heading3"/>
    <w:next w:val="Normal"/>
    <w:link w:val="Heading4Char"/>
    <w:uiPriority w:val="9"/>
    <w:unhideWhenUsed/>
    <w:qFormat/>
    <w:rsid w:val="00771E37"/>
    <w:pPr>
      <w:numPr>
        <w:ilvl w:val="3"/>
      </w:numPr>
      <w:ind w:left="2160" w:hanging="1080"/>
      <w:outlineLvl w:val="3"/>
    </w:pPr>
  </w:style>
  <w:style w:type="paragraph" w:styleId="Heading5">
    <w:name w:val="heading 5"/>
    <w:basedOn w:val="Normal"/>
    <w:next w:val="Normal"/>
    <w:link w:val="Heading5Char"/>
    <w:uiPriority w:val="9"/>
    <w:semiHidden/>
    <w:unhideWhenUsed/>
    <w:qFormat/>
    <w:rsid w:val="003C2CEA"/>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2CEA"/>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C2CEA"/>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Appendix H1"/>
    <w:basedOn w:val="Normal"/>
    <w:next w:val="Normal"/>
    <w:link w:val="Heading8Char"/>
    <w:uiPriority w:val="9"/>
    <w:unhideWhenUsed/>
    <w:qFormat/>
    <w:rsid w:val="003C2CEA"/>
    <w:pPr>
      <w:keepNext/>
      <w:keepLines/>
      <w:numPr>
        <w:ilvl w:val="7"/>
        <w:numId w:val="4"/>
      </w:numPr>
      <w:spacing w:before="200"/>
      <w:outlineLvl w:val="7"/>
    </w:pPr>
    <w:rPr>
      <w:rFonts w:eastAsiaTheme="majorEastAsia"/>
      <w:color w:val="404040" w:themeColor="text1" w:themeTint="BF"/>
    </w:rPr>
  </w:style>
  <w:style w:type="paragraph" w:styleId="Heading9">
    <w:name w:val="heading 9"/>
    <w:aliases w:val="Appendix H2"/>
    <w:basedOn w:val="Normal"/>
    <w:next w:val="Normal"/>
    <w:link w:val="Heading9Char"/>
    <w:uiPriority w:val="9"/>
    <w:unhideWhenUsed/>
    <w:qFormat/>
    <w:rsid w:val="003C2CEA"/>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6B7"/>
    <w:rPr>
      <w:rFonts w:eastAsiaTheme="majorEastAsia"/>
      <w:b/>
      <w:bCs/>
      <w:color w:val="000000" w:themeColor="text1"/>
      <w:szCs w:val="28"/>
    </w:rPr>
  </w:style>
  <w:style w:type="character" w:customStyle="1" w:styleId="Heading2Char">
    <w:name w:val="Heading 2 Char"/>
    <w:basedOn w:val="DefaultParagraphFont"/>
    <w:link w:val="Heading2"/>
    <w:uiPriority w:val="9"/>
    <w:rsid w:val="007B151F"/>
    <w:rPr>
      <w:rFonts w:eastAsiaTheme="majorEastAsia"/>
      <w:bCs/>
      <w:color w:val="000000" w:themeColor="text1"/>
      <w:szCs w:val="28"/>
    </w:rPr>
  </w:style>
  <w:style w:type="character" w:customStyle="1" w:styleId="Heading3Char">
    <w:name w:val="Heading 3 Char"/>
    <w:basedOn w:val="DefaultParagraphFont"/>
    <w:link w:val="Heading3"/>
    <w:uiPriority w:val="9"/>
    <w:rsid w:val="007B151F"/>
    <w:rPr>
      <w:rFonts w:eastAsiaTheme="majorEastAsia"/>
      <w:bCs/>
      <w:i/>
      <w:color w:val="000000" w:themeColor="text1"/>
      <w:szCs w:val="24"/>
    </w:rPr>
  </w:style>
  <w:style w:type="character" w:customStyle="1" w:styleId="Heading4Char">
    <w:name w:val="Heading 4 Char"/>
    <w:basedOn w:val="DefaultParagraphFont"/>
    <w:link w:val="Heading4"/>
    <w:uiPriority w:val="9"/>
    <w:rsid w:val="00771E37"/>
    <w:rPr>
      <w:rFonts w:eastAsiaTheme="majorEastAsia"/>
      <w:bCs/>
      <w:i/>
      <w:color w:val="000000" w:themeColor="text1"/>
      <w:szCs w:val="24"/>
    </w:rPr>
  </w:style>
  <w:style w:type="character" w:customStyle="1" w:styleId="Heading5Char">
    <w:name w:val="Heading 5 Char"/>
    <w:basedOn w:val="DefaultParagraphFont"/>
    <w:link w:val="Heading5"/>
    <w:uiPriority w:val="9"/>
    <w:semiHidden/>
    <w:rsid w:val="003C2C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2C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C2CEA"/>
    <w:rPr>
      <w:rFonts w:asciiTheme="majorHAnsi" w:eastAsiaTheme="majorEastAsia" w:hAnsiTheme="majorHAnsi" w:cstheme="majorBidi"/>
      <w:i/>
      <w:iCs/>
      <w:color w:val="404040" w:themeColor="text1" w:themeTint="BF"/>
    </w:rPr>
  </w:style>
  <w:style w:type="character" w:customStyle="1" w:styleId="Heading8Char">
    <w:name w:val="Heading 8 Char"/>
    <w:aliases w:val="Appendix H1 Char"/>
    <w:basedOn w:val="DefaultParagraphFont"/>
    <w:link w:val="Heading8"/>
    <w:uiPriority w:val="9"/>
    <w:rsid w:val="003C2CEA"/>
    <w:rPr>
      <w:rFonts w:eastAsiaTheme="majorEastAsia"/>
      <w:color w:val="404040" w:themeColor="text1" w:themeTint="BF"/>
    </w:rPr>
  </w:style>
  <w:style w:type="character" w:customStyle="1" w:styleId="Heading9Char">
    <w:name w:val="Heading 9 Char"/>
    <w:aliases w:val="Appendix H2 Char"/>
    <w:basedOn w:val="DefaultParagraphFont"/>
    <w:link w:val="Heading9"/>
    <w:uiPriority w:val="9"/>
    <w:rsid w:val="003C2CEA"/>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C424F4"/>
    <w:pPr>
      <w:ind w:left="720"/>
      <w:contextualSpacing/>
    </w:pPr>
  </w:style>
  <w:style w:type="character" w:customStyle="1" w:styleId="ListParagraphChar">
    <w:name w:val="List Paragraph Char"/>
    <w:basedOn w:val="DefaultParagraphFont"/>
    <w:link w:val="ListParagraph"/>
    <w:uiPriority w:val="34"/>
    <w:rsid w:val="00BC1D01"/>
  </w:style>
  <w:style w:type="paragraph" w:styleId="Header">
    <w:name w:val="header"/>
    <w:basedOn w:val="Normal"/>
    <w:link w:val="HeaderChar"/>
    <w:uiPriority w:val="99"/>
    <w:unhideWhenUsed/>
    <w:rsid w:val="007D4408"/>
    <w:pPr>
      <w:tabs>
        <w:tab w:val="center" w:pos="4680"/>
        <w:tab w:val="right" w:pos="9360"/>
      </w:tabs>
    </w:pPr>
  </w:style>
  <w:style w:type="character" w:customStyle="1" w:styleId="HeaderChar">
    <w:name w:val="Header Char"/>
    <w:basedOn w:val="DefaultParagraphFont"/>
    <w:link w:val="Header"/>
    <w:uiPriority w:val="99"/>
    <w:rsid w:val="007D4408"/>
  </w:style>
  <w:style w:type="paragraph" w:styleId="Footer">
    <w:name w:val="footer"/>
    <w:basedOn w:val="Normal"/>
    <w:link w:val="FooterChar"/>
    <w:uiPriority w:val="99"/>
    <w:unhideWhenUsed/>
    <w:rsid w:val="007D4408"/>
    <w:pPr>
      <w:tabs>
        <w:tab w:val="center" w:pos="4680"/>
        <w:tab w:val="right" w:pos="9360"/>
      </w:tabs>
    </w:pPr>
  </w:style>
  <w:style w:type="character" w:customStyle="1" w:styleId="FooterChar">
    <w:name w:val="Footer Char"/>
    <w:basedOn w:val="DefaultParagraphFont"/>
    <w:link w:val="Footer"/>
    <w:uiPriority w:val="99"/>
    <w:rsid w:val="007D4408"/>
  </w:style>
  <w:style w:type="paragraph" w:styleId="BalloonText">
    <w:name w:val="Balloon Text"/>
    <w:basedOn w:val="Normal"/>
    <w:link w:val="BalloonTextChar"/>
    <w:uiPriority w:val="99"/>
    <w:semiHidden/>
    <w:unhideWhenUsed/>
    <w:rsid w:val="00B515CC"/>
    <w:rPr>
      <w:rFonts w:ascii="Tahoma" w:hAnsi="Tahoma" w:cs="Tahoma"/>
      <w:sz w:val="16"/>
      <w:szCs w:val="16"/>
    </w:rPr>
  </w:style>
  <w:style w:type="character" w:customStyle="1" w:styleId="BalloonTextChar">
    <w:name w:val="Balloon Text Char"/>
    <w:basedOn w:val="DefaultParagraphFont"/>
    <w:link w:val="BalloonText"/>
    <w:uiPriority w:val="99"/>
    <w:semiHidden/>
    <w:rsid w:val="00B515CC"/>
    <w:rPr>
      <w:rFonts w:ascii="Tahoma" w:hAnsi="Tahoma" w:cs="Tahoma"/>
      <w:sz w:val="16"/>
      <w:szCs w:val="16"/>
    </w:rPr>
  </w:style>
  <w:style w:type="paragraph" w:styleId="FootnoteText">
    <w:name w:val="footnote text"/>
    <w:basedOn w:val="Normal"/>
    <w:link w:val="FootnoteTextChar"/>
    <w:uiPriority w:val="99"/>
    <w:unhideWhenUsed/>
    <w:rsid w:val="00AF5D92"/>
    <w:rPr>
      <w:rFonts w:eastAsia="Times New Roman" w:cs="Times New Roman"/>
      <w:sz w:val="20"/>
      <w:szCs w:val="20"/>
    </w:rPr>
  </w:style>
  <w:style w:type="character" w:customStyle="1" w:styleId="FootnoteTextChar">
    <w:name w:val="Footnote Text Char"/>
    <w:basedOn w:val="DefaultParagraphFont"/>
    <w:link w:val="FootnoteText"/>
    <w:uiPriority w:val="99"/>
    <w:rsid w:val="00AF5D92"/>
    <w:rPr>
      <w:rFonts w:eastAsia="Times New Roman" w:cs="Times New Roman"/>
      <w:sz w:val="20"/>
      <w:szCs w:val="20"/>
    </w:rPr>
  </w:style>
  <w:style w:type="character" w:styleId="FootnoteReference">
    <w:name w:val="footnote reference"/>
    <w:basedOn w:val="DefaultParagraphFont"/>
    <w:unhideWhenUsed/>
    <w:rsid w:val="00AF5D92"/>
  </w:style>
  <w:style w:type="paragraph" w:styleId="Caption">
    <w:name w:val="caption"/>
    <w:basedOn w:val="Normal"/>
    <w:next w:val="Normal"/>
    <w:uiPriority w:val="35"/>
    <w:unhideWhenUsed/>
    <w:qFormat/>
    <w:rsid w:val="00E1388B"/>
    <w:pPr>
      <w:keepNext/>
      <w:spacing w:after="200"/>
    </w:pPr>
    <w:rPr>
      <w:bCs/>
    </w:rPr>
  </w:style>
  <w:style w:type="character" w:styleId="Hyperlink">
    <w:name w:val="Hyperlink"/>
    <w:basedOn w:val="DefaultParagraphFont"/>
    <w:uiPriority w:val="99"/>
    <w:unhideWhenUsed/>
    <w:rsid w:val="00123B56"/>
    <w:rPr>
      <w:color w:val="0000FF"/>
      <w:u w:val="single"/>
    </w:rPr>
  </w:style>
  <w:style w:type="table" w:styleId="TableGrid">
    <w:name w:val="Table Grid"/>
    <w:basedOn w:val="TableNormal"/>
    <w:uiPriority w:val="59"/>
    <w:rsid w:val="004E37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D3549"/>
    <w:rPr>
      <w:sz w:val="16"/>
      <w:szCs w:val="16"/>
    </w:rPr>
  </w:style>
  <w:style w:type="paragraph" w:styleId="CommentText">
    <w:name w:val="annotation text"/>
    <w:basedOn w:val="Normal"/>
    <w:link w:val="CommentTextChar"/>
    <w:uiPriority w:val="99"/>
    <w:rsid w:val="00BD3549"/>
    <w:pPr>
      <w:widowControl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BD3549"/>
    <w:rPr>
      <w:rFonts w:ascii="Times New Roman" w:eastAsia="Times New Roman" w:hAnsi="Times New Roman" w:cs="Times New Roman"/>
      <w:sz w:val="20"/>
      <w:szCs w:val="20"/>
    </w:rPr>
  </w:style>
  <w:style w:type="paragraph" w:styleId="TOC1">
    <w:name w:val="toc 1"/>
    <w:basedOn w:val="Normal"/>
    <w:next w:val="Normal"/>
    <w:autoRedefine/>
    <w:uiPriority w:val="39"/>
    <w:rsid w:val="00D870F8"/>
    <w:pPr>
      <w:tabs>
        <w:tab w:val="left" w:pos="1350"/>
        <w:tab w:val="right" w:leader="dot" w:pos="9350"/>
      </w:tabs>
      <w:spacing w:before="120" w:after="120"/>
    </w:pPr>
    <w:rPr>
      <w:b/>
      <w:bCs/>
      <w:szCs w:val="20"/>
    </w:rPr>
  </w:style>
  <w:style w:type="paragraph" w:styleId="TOC2">
    <w:name w:val="toc 2"/>
    <w:basedOn w:val="Normal"/>
    <w:next w:val="Normal"/>
    <w:autoRedefine/>
    <w:uiPriority w:val="39"/>
    <w:rsid w:val="003D22E1"/>
    <w:pPr>
      <w:ind w:left="220"/>
    </w:pPr>
    <w:rPr>
      <w:szCs w:val="20"/>
    </w:rPr>
  </w:style>
  <w:style w:type="character" w:styleId="PageNumber">
    <w:name w:val="page number"/>
    <w:basedOn w:val="DefaultParagraphFont"/>
    <w:rsid w:val="00780F91"/>
  </w:style>
  <w:style w:type="paragraph" w:styleId="TOC3">
    <w:name w:val="toc 3"/>
    <w:basedOn w:val="Normal"/>
    <w:next w:val="Normal"/>
    <w:autoRedefine/>
    <w:uiPriority w:val="39"/>
    <w:rsid w:val="00D870F8"/>
    <w:pPr>
      <w:tabs>
        <w:tab w:val="left" w:pos="1320"/>
        <w:tab w:val="right" w:leader="dot" w:pos="9350"/>
      </w:tabs>
      <w:ind w:left="1350" w:hanging="910"/>
    </w:pPr>
    <w:rPr>
      <w:iCs/>
      <w:szCs w:val="20"/>
    </w:rPr>
  </w:style>
  <w:style w:type="character" w:customStyle="1" w:styleId="QuickFormat1">
    <w:name w:val="QuickFormat1"/>
    <w:uiPriority w:val="99"/>
    <w:rsid w:val="003C2CEA"/>
    <w:rPr>
      <w:rFonts w:ascii="Arial" w:hAnsi="Arial" w:cs="Arial"/>
      <w:b/>
      <w:bCs/>
      <w:color w:val="000000"/>
      <w:sz w:val="22"/>
      <w:szCs w:val="22"/>
    </w:rPr>
  </w:style>
  <w:style w:type="character" w:styleId="PlaceholderText">
    <w:name w:val="Placeholder Text"/>
    <w:basedOn w:val="DefaultParagraphFont"/>
    <w:uiPriority w:val="99"/>
    <w:semiHidden/>
    <w:rsid w:val="00E27842"/>
    <w:rPr>
      <w:color w:val="808080"/>
    </w:rPr>
  </w:style>
  <w:style w:type="character" w:styleId="Emphasis">
    <w:name w:val="Emphasis"/>
    <w:uiPriority w:val="20"/>
    <w:qFormat/>
    <w:rsid w:val="00942F1E"/>
    <w:rPr>
      <w:i/>
      <w:iCs/>
    </w:rPr>
  </w:style>
  <w:style w:type="paragraph" w:customStyle="1" w:styleId="indentfirstline05">
    <w:name w:val="indent first line 0.5"/>
    <w:basedOn w:val="Normal"/>
    <w:link w:val="indentfirstline05Char"/>
    <w:qFormat/>
    <w:rsid w:val="00500171"/>
    <w:pPr>
      <w:widowControl w:val="0"/>
      <w:spacing w:line="480" w:lineRule="auto"/>
      <w:ind w:firstLine="720"/>
    </w:pPr>
    <w:rPr>
      <w:rFonts w:eastAsia="Times New Roman"/>
    </w:rPr>
  </w:style>
  <w:style w:type="character" w:customStyle="1" w:styleId="indentfirstline05Char">
    <w:name w:val="indent first line 0.5 Char"/>
    <w:basedOn w:val="DefaultParagraphFont"/>
    <w:link w:val="indentfirstline05"/>
    <w:rsid w:val="00500171"/>
    <w:rPr>
      <w:rFonts w:eastAsia="Times New Roman"/>
    </w:rPr>
  </w:style>
  <w:style w:type="paragraph" w:customStyle="1" w:styleId="Default">
    <w:name w:val="Default"/>
    <w:rsid w:val="001245DE"/>
    <w:pPr>
      <w:autoSpaceDE w:val="0"/>
      <w:autoSpaceDN w:val="0"/>
      <w:adjustRightInd w:val="0"/>
      <w:spacing w:line="240" w:lineRule="auto"/>
    </w:pPr>
    <w:rPr>
      <w:rFonts w:ascii="Adobe Garamond Pro" w:hAnsi="Adobe Garamond Pro" w:cs="Adobe Garamond Pro"/>
      <w:color w:val="000000"/>
      <w:sz w:val="24"/>
      <w:szCs w:val="24"/>
    </w:rPr>
  </w:style>
  <w:style w:type="paragraph" w:styleId="TOC4">
    <w:name w:val="toc 4"/>
    <w:basedOn w:val="Normal"/>
    <w:next w:val="Normal"/>
    <w:autoRedefine/>
    <w:uiPriority w:val="39"/>
    <w:unhideWhenUsed/>
    <w:rsid w:val="00D870F8"/>
    <w:pPr>
      <w:ind w:left="660"/>
    </w:pPr>
    <w:rPr>
      <w:sz w:val="20"/>
      <w:szCs w:val="18"/>
    </w:rPr>
  </w:style>
  <w:style w:type="paragraph" w:styleId="TOC5">
    <w:name w:val="toc 5"/>
    <w:basedOn w:val="Normal"/>
    <w:next w:val="Normal"/>
    <w:autoRedefine/>
    <w:uiPriority w:val="39"/>
    <w:unhideWhenUsed/>
    <w:rsid w:val="00352DA6"/>
    <w:pPr>
      <w:ind w:left="880"/>
    </w:pPr>
    <w:rPr>
      <w:rFonts w:asciiTheme="minorHAnsi" w:hAnsiTheme="minorHAnsi"/>
      <w:sz w:val="18"/>
      <w:szCs w:val="18"/>
    </w:rPr>
  </w:style>
  <w:style w:type="paragraph" w:styleId="TOC6">
    <w:name w:val="toc 6"/>
    <w:basedOn w:val="Normal"/>
    <w:next w:val="Normal"/>
    <w:autoRedefine/>
    <w:uiPriority w:val="39"/>
    <w:unhideWhenUsed/>
    <w:rsid w:val="00352DA6"/>
    <w:pPr>
      <w:ind w:left="1100"/>
    </w:pPr>
    <w:rPr>
      <w:rFonts w:asciiTheme="minorHAnsi" w:hAnsiTheme="minorHAnsi"/>
      <w:sz w:val="18"/>
      <w:szCs w:val="18"/>
    </w:rPr>
  </w:style>
  <w:style w:type="paragraph" w:styleId="TOC7">
    <w:name w:val="toc 7"/>
    <w:basedOn w:val="Normal"/>
    <w:next w:val="Normal"/>
    <w:autoRedefine/>
    <w:uiPriority w:val="39"/>
    <w:unhideWhenUsed/>
    <w:rsid w:val="00352DA6"/>
    <w:pPr>
      <w:ind w:left="1320"/>
    </w:pPr>
    <w:rPr>
      <w:rFonts w:asciiTheme="minorHAnsi" w:hAnsiTheme="minorHAnsi"/>
      <w:sz w:val="18"/>
      <w:szCs w:val="18"/>
    </w:rPr>
  </w:style>
  <w:style w:type="paragraph" w:styleId="TOC8">
    <w:name w:val="toc 8"/>
    <w:basedOn w:val="Normal"/>
    <w:next w:val="Normal"/>
    <w:autoRedefine/>
    <w:uiPriority w:val="39"/>
    <w:unhideWhenUsed/>
    <w:rsid w:val="00352DA6"/>
    <w:pPr>
      <w:ind w:left="1540"/>
    </w:pPr>
    <w:rPr>
      <w:rFonts w:asciiTheme="minorHAnsi" w:hAnsiTheme="minorHAnsi"/>
      <w:sz w:val="18"/>
      <w:szCs w:val="18"/>
    </w:rPr>
  </w:style>
  <w:style w:type="paragraph" w:styleId="TOC9">
    <w:name w:val="toc 9"/>
    <w:basedOn w:val="Normal"/>
    <w:next w:val="Normal"/>
    <w:autoRedefine/>
    <w:uiPriority w:val="39"/>
    <w:unhideWhenUsed/>
    <w:rsid w:val="00352DA6"/>
    <w:pPr>
      <w:ind w:left="1760"/>
    </w:pPr>
    <w:rPr>
      <w:rFonts w:asciiTheme="minorHAnsi" w:hAnsiTheme="minorHAnsi"/>
      <w:sz w:val="18"/>
      <w:szCs w:val="18"/>
    </w:rPr>
  </w:style>
  <w:style w:type="character" w:styleId="HTMLCite">
    <w:name w:val="HTML Cite"/>
    <w:basedOn w:val="DefaultParagraphFont"/>
    <w:uiPriority w:val="99"/>
    <w:semiHidden/>
    <w:unhideWhenUsed/>
    <w:rsid w:val="002A3407"/>
    <w:rPr>
      <w:i w:val="0"/>
      <w:iCs w:val="0"/>
      <w:color w:val="006621"/>
    </w:rPr>
  </w:style>
  <w:style w:type="paragraph" w:styleId="NormalWeb">
    <w:name w:val="Normal (Web)"/>
    <w:basedOn w:val="Normal"/>
    <w:uiPriority w:val="99"/>
    <w:unhideWhenUsed/>
    <w:rsid w:val="000F4643"/>
    <w:pPr>
      <w:autoSpaceDE/>
      <w:autoSpaceDN/>
      <w:adjustRightInd/>
      <w:spacing w:after="300" w:line="240" w:lineRule="auto"/>
    </w:pPr>
    <w:rPr>
      <w:rFonts w:ascii="Times New Roman" w:eastAsia="Times New Roman" w:hAnsi="Times New Roman" w:cs="Times New Roman"/>
      <w:sz w:val="24"/>
      <w:szCs w:val="24"/>
    </w:rPr>
  </w:style>
  <w:style w:type="paragraph" w:styleId="TableofFigures">
    <w:name w:val="table of figures"/>
    <w:basedOn w:val="Normal"/>
    <w:next w:val="Normal"/>
    <w:uiPriority w:val="99"/>
    <w:unhideWhenUsed/>
    <w:rsid w:val="0065422C"/>
  </w:style>
  <w:style w:type="paragraph" w:styleId="CommentSubject">
    <w:name w:val="annotation subject"/>
    <w:basedOn w:val="CommentText"/>
    <w:next w:val="CommentText"/>
    <w:link w:val="CommentSubjectChar"/>
    <w:uiPriority w:val="99"/>
    <w:semiHidden/>
    <w:unhideWhenUsed/>
    <w:rsid w:val="002C5253"/>
    <w:pPr>
      <w:widowControl/>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2C5253"/>
    <w:rPr>
      <w:rFonts w:ascii="Times New Roman" w:eastAsia="Times New Roman" w:hAnsi="Times New Roman" w:cs="Times New Roman"/>
      <w:b/>
      <w:bCs/>
      <w:sz w:val="20"/>
      <w:szCs w:val="20"/>
    </w:rPr>
  </w:style>
  <w:style w:type="paragraph" w:customStyle="1" w:styleId="headinglineafter">
    <w:name w:val="heading line after"/>
    <w:qFormat/>
    <w:rsid w:val="00830D24"/>
    <w:pPr>
      <w:keepNext/>
      <w:spacing w:line="240" w:lineRule="auto"/>
    </w:pPr>
    <w:rPr>
      <w:rFonts w:eastAsia="Times New Roman"/>
    </w:rPr>
  </w:style>
  <w:style w:type="paragraph" w:styleId="Revision">
    <w:name w:val="Revision"/>
    <w:hidden/>
    <w:uiPriority w:val="99"/>
    <w:semiHidden/>
    <w:rsid w:val="00891C71"/>
    <w:pPr>
      <w:spacing w:line="240" w:lineRule="auto"/>
    </w:pPr>
  </w:style>
  <w:style w:type="character" w:styleId="FollowedHyperlink">
    <w:name w:val="FollowedHyperlink"/>
    <w:basedOn w:val="DefaultParagraphFont"/>
    <w:uiPriority w:val="99"/>
    <w:semiHidden/>
    <w:unhideWhenUsed/>
    <w:rsid w:val="00754922"/>
    <w:rPr>
      <w:color w:val="800080" w:themeColor="followedHyperlink"/>
      <w:u w:val="single"/>
    </w:rPr>
  </w:style>
  <w:style w:type="paragraph" w:styleId="HTMLPreformatted">
    <w:name w:val="HTML Preformatted"/>
    <w:basedOn w:val="Normal"/>
    <w:link w:val="HTMLPreformattedChar"/>
    <w:uiPriority w:val="99"/>
    <w:semiHidden/>
    <w:unhideWhenUsed/>
    <w:rsid w:val="00C7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C70A22"/>
    <w:rPr>
      <w:rFonts w:ascii="Courier New" w:eastAsia="Times New Roman" w:hAnsi="Courier New" w:cs="Courier New"/>
      <w:sz w:val="20"/>
      <w:szCs w:val="20"/>
    </w:rPr>
  </w:style>
  <w:style w:type="numbering" w:customStyle="1" w:styleId="NoList1">
    <w:name w:val="No List1"/>
    <w:next w:val="NoList"/>
    <w:uiPriority w:val="99"/>
    <w:semiHidden/>
    <w:unhideWhenUsed/>
    <w:rsid w:val="006C27F6"/>
  </w:style>
  <w:style w:type="paragraph" w:customStyle="1" w:styleId="xl74">
    <w:name w:val="xl74"/>
    <w:basedOn w:val="Normal"/>
    <w:rsid w:val="006C27F6"/>
    <w:pPr>
      <w:autoSpaceDE/>
      <w:autoSpaceDN/>
      <w:adjustRightInd/>
      <w:spacing w:before="100" w:beforeAutospacing="1" w:after="100" w:afterAutospacing="1" w:line="240" w:lineRule="auto"/>
    </w:pPr>
    <w:rPr>
      <w:rFonts w:eastAsia="Times New Roman"/>
      <w:color w:val="auto"/>
      <w:sz w:val="20"/>
      <w:szCs w:val="20"/>
    </w:rPr>
  </w:style>
  <w:style w:type="paragraph" w:customStyle="1" w:styleId="xl75">
    <w:name w:val="xl75"/>
    <w:basedOn w:val="Normal"/>
    <w:rsid w:val="006C27F6"/>
    <w:pPr>
      <w:shd w:val="clear" w:color="000000" w:fill="FFFF00"/>
      <w:autoSpaceDE/>
      <w:autoSpaceDN/>
      <w:adjustRightInd/>
      <w:spacing w:before="100" w:beforeAutospacing="1" w:after="100" w:afterAutospacing="1" w:line="240" w:lineRule="auto"/>
    </w:pPr>
    <w:rPr>
      <w:rFonts w:eastAsia="Times New Roman"/>
      <w:color w:val="auto"/>
      <w:sz w:val="20"/>
      <w:szCs w:val="20"/>
    </w:rPr>
  </w:style>
  <w:style w:type="paragraph" w:customStyle="1" w:styleId="xl76">
    <w:name w:val="xl7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7">
    <w:name w:val="xl7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78">
    <w:name w:val="xl78"/>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79">
    <w:name w:val="xl79"/>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0">
    <w:name w:val="xl80"/>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1">
    <w:name w:val="xl81"/>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2">
    <w:name w:val="xl82"/>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3">
    <w:name w:val="xl83"/>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4">
    <w:name w:val="xl84"/>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5">
    <w:name w:val="xl85"/>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6">
    <w:name w:val="xl86"/>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87">
    <w:name w:val="xl87"/>
    <w:basedOn w:val="Normal"/>
    <w:rsid w:val="006C27F6"/>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numbering" w:customStyle="1" w:styleId="NoList2">
    <w:name w:val="No List2"/>
    <w:next w:val="NoList"/>
    <w:uiPriority w:val="99"/>
    <w:semiHidden/>
    <w:unhideWhenUsed/>
    <w:rsid w:val="000D374F"/>
  </w:style>
  <w:style w:type="paragraph" w:customStyle="1" w:styleId="xl88">
    <w:name w:val="xl88"/>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89">
    <w:name w:val="xl89"/>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90">
    <w:name w:val="xl90"/>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1">
    <w:name w:val="xl91"/>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2">
    <w:name w:val="xl9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3">
    <w:name w:val="xl93"/>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4">
    <w:name w:val="xl94"/>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5">
    <w:name w:val="xl95"/>
    <w:basedOn w:val="Normal"/>
    <w:rsid w:val="000D374F"/>
    <w:pPr>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6">
    <w:name w:val="xl96"/>
    <w:basedOn w:val="Normal"/>
    <w:rsid w:val="000D374F"/>
    <w:pPr>
      <w:pBdr>
        <w:top w:val="single" w:sz="8" w:space="0" w:color="auto"/>
        <w:left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7">
    <w:name w:val="xl97"/>
    <w:basedOn w:val="Normal"/>
    <w:rsid w:val="000D374F"/>
    <w:pPr>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8">
    <w:name w:val="xl98"/>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99">
    <w:name w:val="xl99"/>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0">
    <w:name w:val="xl100"/>
    <w:basedOn w:val="Normal"/>
    <w:rsid w:val="000D374F"/>
    <w:pPr>
      <w:pBdr>
        <w:top w:val="single" w:sz="8"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1">
    <w:name w:val="xl101"/>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102">
    <w:name w:val="xl102"/>
    <w:basedOn w:val="Normal"/>
    <w:rsid w:val="000D374F"/>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3">
    <w:name w:val="xl103"/>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4">
    <w:name w:val="xl104"/>
    <w:basedOn w:val="Normal"/>
    <w:rsid w:val="000D374F"/>
    <w:pPr>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5">
    <w:name w:val="xl105"/>
    <w:basedOn w:val="Normal"/>
    <w:rsid w:val="000D374F"/>
    <w:pPr>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6">
    <w:name w:val="xl106"/>
    <w:basedOn w:val="Normal"/>
    <w:rsid w:val="000D374F"/>
    <w:pPr>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paragraph" w:customStyle="1" w:styleId="xl107">
    <w:name w:val="xl107"/>
    <w:basedOn w:val="Normal"/>
    <w:rsid w:val="000D374F"/>
    <w:pPr>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jc w:val="center"/>
    </w:pPr>
    <w:rPr>
      <w:rFonts w:ascii="Times New Roman" w:eastAsia="Times New Roman" w:hAnsi="Times New Roman" w:cs="Times New Roman"/>
      <w:color w:val="auto"/>
      <w:sz w:val="20"/>
      <w:szCs w:val="20"/>
    </w:rPr>
  </w:style>
  <w:style w:type="paragraph" w:customStyle="1" w:styleId="xl108">
    <w:name w:val="xl108"/>
    <w:basedOn w:val="Normal"/>
    <w:rsid w:val="000D374F"/>
    <w:pPr>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jc w:val="center"/>
      <w:textAlignment w:val="center"/>
    </w:pPr>
    <w:rPr>
      <w:rFonts w:ascii="Times New Roman" w:eastAsia="Times New Roman" w:hAnsi="Times New Roman" w:cs="Times New Roman"/>
      <w:color w:val="auto"/>
      <w:sz w:val="20"/>
      <w:szCs w:val="20"/>
    </w:rPr>
  </w:style>
  <w:style w:type="character" w:customStyle="1" w:styleId="UnresolvedMention1">
    <w:name w:val="Unresolved Mention1"/>
    <w:basedOn w:val="DefaultParagraphFont"/>
    <w:uiPriority w:val="99"/>
    <w:semiHidden/>
    <w:unhideWhenUsed/>
    <w:rsid w:val="00B2000D"/>
    <w:rPr>
      <w:color w:val="605E5C"/>
      <w:shd w:val="clear" w:color="auto" w:fill="E1DFDD"/>
    </w:rPr>
  </w:style>
  <w:style w:type="character" w:customStyle="1" w:styleId="UnresolvedMention2">
    <w:name w:val="Unresolved Mention2"/>
    <w:basedOn w:val="DefaultParagraphFont"/>
    <w:uiPriority w:val="99"/>
    <w:unhideWhenUsed/>
    <w:rsid w:val="00C8101A"/>
    <w:rPr>
      <w:color w:val="605E5C"/>
      <w:shd w:val="clear" w:color="auto" w:fill="E1DFDD"/>
    </w:rPr>
  </w:style>
  <w:style w:type="paragraph" w:styleId="TOCHeading">
    <w:name w:val="TOC Heading"/>
    <w:basedOn w:val="Heading1"/>
    <w:next w:val="Normal"/>
    <w:uiPriority w:val="39"/>
    <w:unhideWhenUsed/>
    <w:qFormat/>
    <w:rsid w:val="00624ACB"/>
    <w:pPr>
      <w:autoSpaceDE/>
      <w:autoSpaceDN/>
      <w:adjustRightInd/>
      <w:spacing w:line="259" w:lineRule="auto"/>
      <w:outlineLvl w:val="9"/>
    </w:pPr>
    <w:rPr>
      <w:rFonts w:asciiTheme="majorHAnsi" w:hAnsiTheme="majorHAnsi" w:cstheme="majorBidi"/>
      <w:b w:val="0"/>
      <w:bCs w:val="0"/>
      <w:color w:val="365F91" w:themeColor="accent1" w:themeShade="BF"/>
      <w:sz w:val="32"/>
      <w:szCs w:val="32"/>
    </w:rPr>
  </w:style>
  <w:style w:type="character" w:customStyle="1" w:styleId="Mention1">
    <w:name w:val="Mention1"/>
    <w:basedOn w:val="DefaultParagraphFont"/>
    <w:uiPriority w:val="99"/>
    <w:unhideWhenUsed/>
    <w:rsid w:val="005F01FD"/>
    <w:rPr>
      <w:color w:val="2B579A"/>
      <w:shd w:val="clear" w:color="auto" w:fill="E1DFDD"/>
    </w:rPr>
  </w:style>
  <w:style w:type="character" w:customStyle="1" w:styleId="normaltextrun">
    <w:name w:val="normaltextrun"/>
    <w:basedOn w:val="DefaultParagraphFont"/>
    <w:rsid w:val="0084315D"/>
  </w:style>
  <w:style w:type="character" w:customStyle="1" w:styleId="eop">
    <w:name w:val="eop"/>
    <w:basedOn w:val="DefaultParagraphFont"/>
    <w:rsid w:val="0084315D"/>
  </w:style>
  <w:style w:type="character" w:customStyle="1" w:styleId="findhit">
    <w:name w:val="findhit"/>
    <w:basedOn w:val="DefaultParagraphFont"/>
    <w:rsid w:val="00876261"/>
  </w:style>
  <w:style w:type="character" w:styleId="UnresolvedMention">
    <w:name w:val="Unresolved Mention"/>
    <w:basedOn w:val="DefaultParagraphFont"/>
    <w:uiPriority w:val="99"/>
    <w:unhideWhenUsed/>
    <w:rsid w:val="00EC6265"/>
    <w:rPr>
      <w:color w:val="605E5C"/>
      <w:shd w:val="clear" w:color="auto" w:fill="E1DFDD"/>
    </w:rPr>
  </w:style>
  <w:style w:type="character" w:styleId="Mention">
    <w:name w:val="Mention"/>
    <w:basedOn w:val="DefaultParagraphFont"/>
    <w:uiPriority w:val="99"/>
    <w:unhideWhenUsed/>
    <w:rsid w:val="000D23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953">
      <w:bodyDiv w:val="1"/>
      <w:marLeft w:val="0"/>
      <w:marRight w:val="0"/>
      <w:marTop w:val="0"/>
      <w:marBottom w:val="0"/>
      <w:divBdr>
        <w:top w:val="none" w:sz="0" w:space="0" w:color="auto"/>
        <w:left w:val="none" w:sz="0" w:space="0" w:color="auto"/>
        <w:bottom w:val="none" w:sz="0" w:space="0" w:color="auto"/>
        <w:right w:val="none" w:sz="0" w:space="0" w:color="auto"/>
      </w:divBdr>
    </w:div>
    <w:div w:id="31157082">
      <w:bodyDiv w:val="1"/>
      <w:marLeft w:val="0"/>
      <w:marRight w:val="0"/>
      <w:marTop w:val="0"/>
      <w:marBottom w:val="0"/>
      <w:divBdr>
        <w:top w:val="none" w:sz="0" w:space="0" w:color="auto"/>
        <w:left w:val="none" w:sz="0" w:space="0" w:color="auto"/>
        <w:bottom w:val="none" w:sz="0" w:space="0" w:color="auto"/>
        <w:right w:val="none" w:sz="0" w:space="0" w:color="auto"/>
      </w:divBdr>
    </w:div>
    <w:div w:id="81150166">
      <w:bodyDiv w:val="1"/>
      <w:marLeft w:val="0"/>
      <w:marRight w:val="0"/>
      <w:marTop w:val="0"/>
      <w:marBottom w:val="0"/>
      <w:divBdr>
        <w:top w:val="none" w:sz="0" w:space="0" w:color="auto"/>
        <w:left w:val="none" w:sz="0" w:space="0" w:color="auto"/>
        <w:bottom w:val="none" w:sz="0" w:space="0" w:color="auto"/>
        <w:right w:val="none" w:sz="0" w:space="0" w:color="auto"/>
      </w:divBdr>
    </w:div>
    <w:div w:id="85005519">
      <w:bodyDiv w:val="1"/>
      <w:marLeft w:val="0"/>
      <w:marRight w:val="0"/>
      <w:marTop w:val="0"/>
      <w:marBottom w:val="0"/>
      <w:divBdr>
        <w:top w:val="none" w:sz="0" w:space="0" w:color="auto"/>
        <w:left w:val="none" w:sz="0" w:space="0" w:color="auto"/>
        <w:bottom w:val="none" w:sz="0" w:space="0" w:color="auto"/>
        <w:right w:val="none" w:sz="0" w:space="0" w:color="auto"/>
      </w:divBdr>
    </w:div>
    <w:div w:id="90395536">
      <w:bodyDiv w:val="1"/>
      <w:marLeft w:val="0"/>
      <w:marRight w:val="0"/>
      <w:marTop w:val="0"/>
      <w:marBottom w:val="0"/>
      <w:divBdr>
        <w:top w:val="none" w:sz="0" w:space="0" w:color="auto"/>
        <w:left w:val="none" w:sz="0" w:space="0" w:color="auto"/>
        <w:bottom w:val="none" w:sz="0" w:space="0" w:color="auto"/>
        <w:right w:val="none" w:sz="0" w:space="0" w:color="auto"/>
      </w:divBdr>
    </w:div>
    <w:div w:id="92170293">
      <w:bodyDiv w:val="1"/>
      <w:marLeft w:val="0"/>
      <w:marRight w:val="0"/>
      <w:marTop w:val="0"/>
      <w:marBottom w:val="0"/>
      <w:divBdr>
        <w:top w:val="none" w:sz="0" w:space="0" w:color="auto"/>
        <w:left w:val="none" w:sz="0" w:space="0" w:color="auto"/>
        <w:bottom w:val="none" w:sz="0" w:space="0" w:color="auto"/>
        <w:right w:val="none" w:sz="0" w:space="0" w:color="auto"/>
      </w:divBdr>
    </w:div>
    <w:div w:id="116149938">
      <w:bodyDiv w:val="1"/>
      <w:marLeft w:val="0"/>
      <w:marRight w:val="0"/>
      <w:marTop w:val="0"/>
      <w:marBottom w:val="0"/>
      <w:divBdr>
        <w:top w:val="none" w:sz="0" w:space="0" w:color="auto"/>
        <w:left w:val="none" w:sz="0" w:space="0" w:color="auto"/>
        <w:bottom w:val="none" w:sz="0" w:space="0" w:color="auto"/>
        <w:right w:val="none" w:sz="0" w:space="0" w:color="auto"/>
      </w:divBdr>
    </w:div>
    <w:div w:id="127672260">
      <w:bodyDiv w:val="1"/>
      <w:marLeft w:val="0"/>
      <w:marRight w:val="0"/>
      <w:marTop w:val="0"/>
      <w:marBottom w:val="0"/>
      <w:divBdr>
        <w:top w:val="none" w:sz="0" w:space="0" w:color="auto"/>
        <w:left w:val="none" w:sz="0" w:space="0" w:color="auto"/>
        <w:bottom w:val="none" w:sz="0" w:space="0" w:color="auto"/>
        <w:right w:val="none" w:sz="0" w:space="0" w:color="auto"/>
      </w:divBdr>
    </w:div>
    <w:div w:id="148525482">
      <w:bodyDiv w:val="1"/>
      <w:marLeft w:val="0"/>
      <w:marRight w:val="0"/>
      <w:marTop w:val="0"/>
      <w:marBottom w:val="0"/>
      <w:divBdr>
        <w:top w:val="none" w:sz="0" w:space="0" w:color="auto"/>
        <w:left w:val="none" w:sz="0" w:space="0" w:color="auto"/>
        <w:bottom w:val="none" w:sz="0" w:space="0" w:color="auto"/>
        <w:right w:val="none" w:sz="0" w:space="0" w:color="auto"/>
      </w:divBdr>
    </w:div>
    <w:div w:id="199325820">
      <w:bodyDiv w:val="1"/>
      <w:marLeft w:val="0"/>
      <w:marRight w:val="0"/>
      <w:marTop w:val="0"/>
      <w:marBottom w:val="0"/>
      <w:divBdr>
        <w:top w:val="none" w:sz="0" w:space="0" w:color="auto"/>
        <w:left w:val="none" w:sz="0" w:space="0" w:color="auto"/>
        <w:bottom w:val="none" w:sz="0" w:space="0" w:color="auto"/>
        <w:right w:val="none" w:sz="0" w:space="0" w:color="auto"/>
      </w:divBdr>
    </w:div>
    <w:div w:id="201677485">
      <w:bodyDiv w:val="1"/>
      <w:marLeft w:val="0"/>
      <w:marRight w:val="0"/>
      <w:marTop w:val="0"/>
      <w:marBottom w:val="0"/>
      <w:divBdr>
        <w:top w:val="none" w:sz="0" w:space="0" w:color="auto"/>
        <w:left w:val="none" w:sz="0" w:space="0" w:color="auto"/>
        <w:bottom w:val="none" w:sz="0" w:space="0" w:color="auto"/>
        <w:right w:val="none" w:sz="0" w:space="0" w:color="auto"/>
      </w:divBdr>
      <w:divsChild>
        <w:div w:id="1092899359">
          <w:marLeft w:val="0"/>
          <w:marRight w:val="0"/>
          <w:marTop w:val="0"/>
          <w:marBottom w:val="0"/>
          <w:divBdr>
            <w:top w:val="none" w:sz="0" w:space="0" w:color="auto"/>
            <w:left w:val="none" w:sz="0" w:space="0" w:color="auto"/>
            <w:bottom w:val="none" w:sz="0" w:space="0" w:color="auto"/>
            <w:right w:val="none" w:sz="0" w:space="0" w:color="auto"/>
          </w:divBdr>
          <w:divsChild>
            <w:div w:id="1347712023">
              <w:marLeft w:val="0"/>
              <w:marRight w:val="0"/>
              <w:marTop w:val="0"/>
              <w:marBottom w:val="0"/>
              <w:divBdr>
                <w:top w:val="none" w:sz="0" w:space="0" w:color="auto"/>
                <w:left w:val="none" w:sz="0" w:space="0" w:color="auto"/>
                <w:bottom w:val="none" w:sz="0" w:space="0" w:color="auto"/>
                <w:right w:val="none" w:sz="0" w:space="0" w:color="auto"/>
              </w:divBdr>
              <w:divsChild>
                <w:div w:id="545261924">
                  <w:marLeft w:val="0"/>
                  <w:marRight w:val="0"/>
                  <w:marTop w:val="0"/>
                  <w:marBottom w:val="0"/>
                  <w:divBdr>
                    <w:top w:val="none" w:sz="0" w:space="0" w:color="auto"/>
                    <w:left w:val="none" w:sz="0" w:space="0" w:color="auto"/>
                    <w:bottom w:val="none" w:sz="0" w:space="0" w:color="auto"/>
                    <w:right w:val="none" w:sz="0" w:space="0" w:color="auto"/>
                  </w:divBdr>
                  <w:divsChild>
                    <w:div w:id="639968589">
                      <w:marLeft w:val="0"/>
                      <w:marRight w:val="0"/>
                      <w:marTop w:val="0"/>
                      <w:marBottom w:val="0"/>
                      <w:divBdr>
                        <w:top w:val="none" w:sz="0" w:space="0" w:color="auto"/>
                        <w:left w:val="none" w:sz="0" w:space="0" w:color="auto"/>
                        <w:bottom w:val="none" w:sz="0" w:space="0" w:color="auto"/>
                        <w:right w:val="none" w:sz="0" w:space="0" w:color="auto"/>
                      </w:divBdr>
                      <w:divsChild>
                        <w:div w:id="1575623726">
                          <w:marLeft w:val="0"/>
                          <w:marRight w:val="0"/>
                          <w:marTop w:val="0"/>
                          <w:marBottom w:val="0"/>
                          <w:divBdr>
                            <w:top w:val="none" w:sz="0" w:space="0" w:color="auto"/>
                            <w:left w:val="none" w:sz="0" w:space="0" w:color="auto"/>
                            <w:bottom w:val="none" w:sz="0" w:space="0" w:color="auto"/>
                            <w:right w:val="none" w:sz="0" w:space="0" w:color="auto"/>
                          </w:divBdr>
                          <w:divsChild>
                            <w:div w:id="19026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512788">
      <w:bodyDiv w:val="1"/>
      <w:marLeft w:val="0"/>
      <w:marRight w:val="0"/>
      <w:marTop w:val="0"/>
      <w:marBottom w:val="0"/>
      <w:divBdr>
        <w:top w:val="none" w:sz="0" w:space="0" w:color="auto"/>
        <w:left w:val="none" w:sz="0" w:space="0" w:color="auto"/>
        <w:bottom w:val="none" w:sz="0" w:space="0" w:color="auto"/>
        <w:right w:val="none" w:sz="0" w:space="0" w:color="auto"/>
      </w:divBdr>
    </w:div>
    <w:div w:id="292098275">
      <w:bodyDiv w:val="1"/>
      <w:marLeft w:val="0"/>
      <w:marRight w:val="0"/>
      <w:marTop w:val="0"/>
      <w:marBottom w:val="0"/>
      <w:divBdr>
        <w:top w:val="none" w:sz="0" w:space="0" w:color="auto"/>
        <w:left w:val="none" w:sz="0" w:space="0" w:color="auto"/>
        <w:bottom w:val="none" w:sz="0" w:space="0" w:color="auto"/>
        <w:right w:val="none" w:sz="0" w:space="0" w:color="auto"/>
      </w:divBdr>
    </w:div>
    <w:div w:id="296028380">
      <w:bodyDiv w:val="1"/>
      <w:marLeft w:val="0"/>
      <w:marRight w:val="0"/>
      <w:marTop w:val="0"/>
      <w:marBottom w:val="0"/>
      <w:divBdr>
        <w:top w:val="none" w:sz="0" w:space="0" w:color="auto"/>
        <w:left w:val="none" w:sz="0" w:space="0" w:color="auto"/>
        <w:bottom w:val="none" w:sz="0" w:space="0" w:color="auto"/>
        <w:right w:val="none" w:sz="0" w:space="0" w:color="auto"/>
      </w:divBdr>
    </w:div>
    <w:div w:id="306590999">
      <w:bodyDiv w:val="1"/>
      <w:marLeft w:val="0"/>
      <w:marRight w:val="0"/>
      <w:marTop w:val="0"/>
      <w:marBottom w:val="0"/>
      <w:divBdr>
        <w:top w:val="none" w:sz="0" w:space="0" w:color="auto"/>
        <w:left w:val="none" w:sz="0" w:space="0" w:color="auto"/>
        <w:bottom w:val="none" w:sz="0" w:space="0" w:color="auto"/>
        <w:right w:val="none" w:sz="0" w:space="0" w:color="auto"/>
      </w:divBdr>
    </w:div>
    <w:div w:id="308291562">
      <w:bodyDiv w:val="1"/>
      <w:marLeft w:val="0"/>
      <w:marRight w:val="0"/>
      <w:marTop w:val="0"/>
      <w:marBottom w:val="0"/>
      <w:divBdr>
        <w:top w:val="none" w:sz="0" w:space="0" w:color="auto"/>
        <w:left w:val="none" w:sz="0" w:space="0" w:color="auto"/>
        <w:bottom w:val="none" w:sz="0" w:space="0" w:color="auto"/>
        <w:right w:val="none" w:sz="0" w:space="0" w:color="auto"/>
      </w:divBdr>
    </w:div>
    <w:div w:id="318115028">
      <w:bodyDiv w:val="1"/>
      <w:marLeft w:val="0"/>
      <w:marRight w:val="0"/>
      <w:marTop w:val="0"/>
      <w:marBottom w:val="0"/>
      <w:divBdr>
        <w:top w:val="none" w:sz="0" w:space="0" w:color="auto"/>
        <w:left w:val="none" w:sz="0" w:space="0" w:color="auto"/>
        <w:bottom w:val="none" w:sz="0" w:space="0" w:color="auto"/>
        <w:right w:val="none" w:sz="0" w:space="0" w:color="auto"/>
      </w:divBdr>
    </w:div>
    <w:div w:id="322900335">
      <w:bodyDiv w:val="1"/>
      <w:marLeft w:val="0"/>
      <w:marRight w:val="0"/>
      <w:marTop w:val="0"/>
      <w:marBottom w:val="0"/>
      <w:divBdr>
        <w:top w:val="none" w:sz="0" w:space="0" w:color="auto"/>
        <w:left w:val="none" w:sz="0" w:space="0" w:color="auto"/>
        <w:bottom w:val="none" w:sz="0" w:space="0" w:color="auto"/>
        <w:right w:val="none" w:sz="0" w:space="0" w:color="auto"/>
      </w:divBdr>
    </w:div>
    <w:div w:id="326249632">
      <w:bodyDiv w:val="1"/>
      <w:marLeft w:val="0"/>
      <w:marRight w:val="0"/>
      <w:marTop w:val="0"/>
      <w:marBottom w:val="0"/>
      <w:divBdr>
        <w:top w:val="none" w:sz="0" w:space="0" w:color="auto"/>
        <w:left w:val="none" w:sz="0" w:space="0" w:color="auto"/>
        <w:bottom w:val="none" w:sz="0" w:space="0" w:color="auto"/>
        <w:right w:val="none" w:sz="0" w:space="0" w:color="auto"/>
      </w:divBdr>
    </w:div>
    <w:div w:id="399671213">
      <w:bodyDiv w:val="1"/>
      <w:marLeft w:val="0"/>
      <w:marRight w:val="0"/>
      <w:marTop w:val="0"/>
      <w:marBottom w:val="0"/>
      <w:divBdr>
        <w:top w:val="none" w:sz="0" w:space="0" w:color="auto"/>
        <w:left w:val="none" w:sz="0" w:space="0" w:color="auto"/>
        <w:bottom w:val="none" w:sz="0" w:space="0" w:color="auto"/>
        <w:right w:val="none" w:sz="0" w:space="0" w:color="auto"/>
      </w:divBdr>
    </w:div>
    <w:div w:id="404454746">
      <w:bodyDiv w:val="1"/>
      <w:marLeft w:val="0"/>
      <w:marRight w:val="0"/>
      <w:marTop w:val="0"/>
      <w:marBottom w:val="0"/>
      <w:divBdr>
        <w:top w:val="none" w:sz="0" w:space="0" w:color="auto"/>
        <w:left w:val="none" w:sz="0" w:space="0" w:color="auto"/>
        <w:bottom w:val="none" w:sz="0" w:space="0" w:color="auto"/>
        <w:right w:val="none" w:sz="0" w:space="0" w:color="auto"/>
      </w:divBdr>
    </w:div>
    <w:div w:id="422262806">
      <w:bodyDiv w:val="1"/>
      <w:marLeft w:val="0"/>
      <w:marRight w:val="0"/>
      <w:marTop w:val="0"/>
      <w:marBottom w:val="0"/>
      <w:divBdr>
        <w:top w:val="none" w:sz="0" w:space="0" w:color="auto"/>
        <w:left w:val="none" w:sz="0" w:space="0" w:color="auto"/>
        <w:bottom w:val="none" w:sz="0" w:space="0" w:color="auto"/>
        <w:right w:val="none" w:sz="0" w:space="0" w:color="auto"/>
      </w:divBdr>
    </w:div>
    <w:div w:id="442499305">
      <w:bodyDiv w:val="1"/>
      <w:marLeft w:val="0"/>
      <w:marRight w:val="0"/>
      <w:marTop w:val="0"/>
      <w:marBottom w:val="0"/>
      <w:divBdr>
        <w:top w:val="none" w:sz="0" w:space="0" w:color="auto"/>
        <w:left w:val="none" w:sz="0" w:space="0" w:color="auto"/>
        <w:bottom w:val="none" w:sz="0" w:space="0" w:color="auto"/>
        <w:right w:val="none" w:sz="0" w:space="0" w:color="auto"/>
      </w:divBdr>
    </w:div>
    <w:div w:id="571743672">
      <w:bodyDiv w:val="1"/>
      <w:marLeft w:val="0"/>
      <w:marRight w:val="0"/>
      <w:marTop w:val="0"/>
      <w:marBottom w:val="0"/>
      <w:divBdr>
        <w:top w:val="none" w:sz="0" w:space="0" w:color="auto"/>
        <w:left w:val="none" w:sz="0" w:space="0" w:color="auto"/>
        <w:bottom w:val="none" w:sz="0" w:space="0" w:color="auto"/>
        <w:right w:val="none" w:sz="0" w:space="0" w:color="auto"/>
      </w:divBdr>
    </w:div>
    <w:div w:id="671833845">
      <w:bodyDiv w:val="1"/>
      <w:marLeft w:val="0"/>
      <w:marRight w:val="0"/>
      <w:marTop w:val="0"/>
      <w:marBottom w:val="0"/>
      <w:divBdr>
        <w:top w:val="none" w:sz="0" w:space="0" w:color="auto"/>
        <w:left w:val="none" w:sz="0" w:space="0" w:color="auto"/>
        <w:bottom w:val="none" w:sz="0" w:space="0" w:color="auto"/>
        <w:right w:val="none" w:sz="0" w:space="0" w:color="auto"/>
      </w:divBdr>
    </w:div>
    <w:div w:id="715549582">
      <w:bodyDiv w:val="1"/>
      <w:marLeft w:val="0"/>
      <w:marRight w:val="0"/>
      <w:marTop w:val="0"/>
      <w:marBottom w:val="0"/>
      <w:divBdr>
        <w:top w:val="none" w:sz="0" w:space="0" w:color="auto"/>
        <w:left w:val="none" w:sz="0" w:space="0" w:color="auto"/>
        <w:bottom w:val="none" w:sz="0" w:space="0" w:color="auto"/>
        <w:right w:val="none" w:sz="0" w:space="0" w:color="auto"/>
      </w:divBdr>
    </w:div>
    <w:div w:id="761950382">
      <w:bodyDiv w:val="1"/>
      <w:marLeft w:val="0"/>
      <w:marRight w:val="0"/>
      <w:marTop w:val="0"/>
      <w:marBottom w:val="0"/>
      <w:divBdr>
        <w:top w:val="none" w:sz="0" w:space="0" w:color="auto"/>
        <w:left w:val="none" w:sz="0" w:space="0" w:color="auto"/>
        <w:bottom w:val="none" w:sz="0" w:space="0" w:color="auto"/>
        <w:right w:val="none" w:sz="0" w:space="0" w:color="auto"/>
      </w:divBdr>
    </w:div>
    <w:div w:id="769201803">
      <w:bodyDiv w:val="1"/>
      <w:marLeft w:val="0"/>
      <w:marRight w:val="0"/>
      <w:marTop w:val="0"/>
      <w:marBottom w:val="0"/>
      <w:divBdr>
        <w:top w:val="none" w:sz="0" w:space="0" w:color="auto"/>
        <w:left w:val="none" w:sz="0" w:space="0" w:color="auto"/>
        <w:bottom w:val="none" w:sz="0" w:space="0" w:color="auto"/>
        <w:right w:val="none" w:sz="0" w:space="0" w:color="auto"/>
      </w:divBdr>
    </w:div>
    <w:div w:id="780303684">
      <w:bodyDiv w:val="1"/>
      <w:marLeft w:val="0"/>
      <w:marRight w:val="0"/>
      <w:marTop w:val="0"/>
      <w:marBottom w:val="0"/>
      <w:divBdr>
        <w:top w:val="none" w:sz="0" w:space="0" w:color="auto"/>
        <w:left w:val="none" w:sz="0" w:space="0" w:color="auto"/>
        <w:bottom w:val="none" w:sz="0" w:space="0" w:color="auto"/>
        <w:right w:val="none" w:sz="0" w:space="0" w:color="auto"/>
      </w:divBdr>
    </w:div>
    <w:div w:id="791825716">
      <w:bodyDiv w:val="1"/>
      <w:marLeft w:val="0"/>
      <w:marRight w:val="0"/>
      <w:marTop w:val="0"/>
      <w:marBottom w:val="0"/>
      <w:divBdr>
        <w:top w:val="none" w:sz="0" w:space="0" w:color="auto"/>
        <w:left w:val="none" w:sz="0" w:space="0" w:color="auto"/>
        <w:bottom w:val="none" w:sz="0" w:space="0" w:color="auto"/>
        <w:right w:val="none" w:sz="0" w:space="0" w:color="auto"/>
      </w:divBdr>
    </w:div>
    <w:div w:id="870339301">
      <w:bodyDiv w:val="1"/>
      <w:marLeft w:val="0"/>
      <w:marRight w:val="0"/>
      <w:marTop w:val="0"/>
      <w:marBottom w:val="0"/>
      <w:divBdr>
        <w:top w:val="none" w:sz="0" w:space="0" w:color="auto"/>
        <w:left w:val="none" w:sz="0" w:space="0" w:color="auto"/>
        <w:bottom w:val="none" w:sz="0" w:space="0" w:color="auto"/>
        <w:right w:val="none" w:sz="0" w:space="0" w:color="auto"/>
      </w:divBdr>
    </w:div>
    <w:div w:id="898393910">
      <w:bodyDiv w:val="1"/>
      <w:marLeft w:val="0"/>
      <w:marRight w:val="0"/>
      <w:marTop w:val="0"/>
      <w:marBottom w:val="0"/>
      <w:divBdr>
        <w:top w:val="none" w:sz="0" w:space="0" w:color="auto"/>
        <w:left w:val="none" w:sz="0" w:space="0" w:color="auto"/>
        <w:bottom w:val="none" w:sz="0" w:space="0" w:color="auto"/>
        <w:right w:val="none" w:sz="0" w:space="0" w:color="auto"/>
      </w:divBdr>
    </w:div>
    <w:div w:id="956063274">
      <w:bodyDiv w:val="1"/>
      <w:marLeft w:val="0"/>
      <w:marRight w:val="0"/>
      <w:marTop w:val="0"/>
      <w:marBottom w:val="0"/>
      <w:divBdr>
        <w:top w:val="none" w:sz="0" w:space="0" w:color="auto"/>
        <w:left w:val="none" w:sz="0" w:space="0" w:color="auto"/>
        <w:bottom w:val="none" w:sz="0" w:space="0" w:color="auto"/>
        <w:right w:val="none" w:sz="0" w:space="0" w:color="auto"/>
      </w:divBdr>
    </w:div>
    <w:div w:id="978876185">
      <w:bodyDiv w:val="1"/>
      <w:marLeft w:val="0"/>
      <w:marRight w:val="0"/>
      <w:marTop w:val="0"/>
      <w:marBottom w:val="0"/>
      <w:divBdr>
        <w:top w:val="none" w:sz="0" w:space="0" w:color="auto"/>
        <w:left w:val="none" w:sz="0" w:space="0" w:color="auto"/>
        <w:bottom w:val="none" w:sz="0" w:space="0" w:color="auto"/>
        <w:right w:val="none" w:sz="0" w:space="0" w:color="auto"/>
      </w:divBdr>
    </w:div>
    <w:div w:id="996953094">
      <w:bodyDiv w:val="1"/>
      <w:marLeft w:val="0"/>
      <w:marRight w:val="0"/>
      <w:marTop w:val="0"/>
      <w:marBottom w:val="0"/>
      <w:divBdr>
        <w:top w:val="none" w:sz="0" w:space="0" w:color="auto"/>
        <w:left w:val="none" w:sz="0" w:space="0" w:color="auto"/>
        <w:bottom w:val="none" w:sz="0" w:space="0" w:color="auto"/>
        <w:right w:val="none" w:sz="0" w:space="0" w:color="auto"/>
      </w:divBdr>
    </w:div>
    <w:div w:id="998656971">
      <w:bodyDiv w:val="1"/>
      <w:marLeft w:val="0"/>
      <w:marRight w:val="0"/>
      <w:marTop w:val="0"/>
      <w:marBottom w:val="0"/>
      <w:divBdr>
        <w:top w:val="none" w:sz="0" w:space="0" w:color="auto"/>
        <w:left w:val="none" w:sz="0" w:space="0" w:color="auto"/>
        <w:bottom w:val="none" w:sz="0" w:space="0" w:color="auto"/>
        <w:right w:val="none" w:sz="0" w:space="0" w:color="auto"/>
      </w:divBdr>
    </w:div>
    <w:div w:id="1018434277">
      <w:bodyDiv w:val="1"/>
      <w:marLeft w:val="0"/>
      <w:marRight w:val="0"/>
      <w:marTop w:val="0"/>
      <w:marBottom w:val="0"/>
      <w:divBdr>
        <w:top w:val="none" w:sz="0" w:space="0" w:color="auto"/>
        <w:left w:val="none" w:sz="0" w:space="0" w:color="auto"/>
        <w:bottom w:val="none" w:sz="0" w:space="0" w:color="auto"/>
        <w:right w:val="none" w:sz="0" w:space="0" w:color="auto"/>
      </w:divBdr>
    </w:div>
    <w:div w:id="1043553926">
      <w:bodyDiv w:val="1"/>
      <w:marLeft w:val="0"/>
      <w:marRight w:val="0"/>
      <w:marTop w:val="0"/>
      <w:marBottom w:val="0"/>
      <w:divBdr>
        <w:top w:val="none" w:sz="0" w:space="0" w:color="auto"/>
        <w:left w:val="none" w:sz="0" w:space="0" w:color="auto"/>
        <w:bottom w:val="none" w:sz="0" w:space="0" w:color="auto"/>
        <w:right w:val="none" w:sz="0" w:space="0" w:color="auto"/>
      </w:divBdr>
    </w:div>
    <w:div w:id="1100680424">
      <w:bodyDiv w:val="1"/>
      <w:marLeft w:val="0"/>
      <w:marRight w:val="0"/>
      <w:marTop w:val="0"/>
      <w:marBottom w:val="0"/>
      <w:divBdr>
        <w:top w:val="none" w:sz="0" w:space="0" w:color="auto"/>
        <w:left w:val="none" w:sz="0" w:space="0" w:color="auto"/>
        <w:bottom w:val="none" w:sz="0" w:space="0" w:color="auto"/>
        <w:right w:val="none" w:sz="0" w:space="0" w:color="auto"/>
      </w:divBdr>
    </w:div>
    <w:div w:id="1123501063">
      <w:bodyDiv w:val="1"/>
      <w:marLeft w:val="0"/>
      <w:marRight w:val="0"/>
      <w:marTop w:val="0"/>
      <w:marBottom w:val="0"/>
      <w:divBdr>
        <w:top w:val="none" w:sz="0" w:space="0" w:color="auto"/>
        <w:left w:val="none" w:sz="0" w:space="0" w:color="auto"/>
        <w:bottom w:val="none" w:sz="0" w:space="0" w:color="auto"/>
        <w:right w:val="none" w:sz="0" w:space="0" w:color="auto"/>
      </w:divBdr>
    </w:div>
    <w:div w:id="1179462425">
      <w:bodyDiv w:val="1"/>
      <w:marLeft w:val="0"/>
      <w:marRight w:val="0"/>
      <w:marTop w:val="0"/>
      <w:marBottom w:val="0"/>
      <w:divBdr>
        <w:top w:val="none" w:sz="0" w:space="0" w:color="auto"/>
        <w:left w:val="none" w:sz="0" w:space="0" w:color="auto"/>
        <w:bottom w:val="none" w:sz="0" w:space="0" w:color="auto"/>
        <w:right w:val="none" w:sz="0" w:space="0" w:color="auto"/>
      </w:divBdr>
    </w:div>
    <w:div w:id="1180196252">
      <w:bodyDiv w:val="1"/>
      <w:marLeft w:val="0"/>
      <w:marRight w:val="0"/>
      <w:marTop w:val="0"/>
      <w:marBottom w:val="0"/>
      <w:divBdr>
        <w:top w:val="none" w:sz="0" w:space="0" w:color="auto"/>
        <w:left w:val="none" w:sz="0" w:space="0" w:color="auto"/>
        <w:bottom w:val="none" w:sz="0" w:space="0" w:color="auto"/>
        <w:right w:val="none" w:sz="0" w:space="0" w:color="auto"/>
      </w:divBdr>
    </w:div>
    <w:div w:id="1230775129">
      <w:bodyDiv w:val="1"/>
      <w:marLeft w:val="0"/>
      <w:marRight w:val="0"/>
      <w:marTop w:val="0"/>
      <w:marBottom w:val="0"/>
      <w:divBdr>
        <w:top w:val="none" w:sz="0" w:space="0" w:color="auto"/>
        <w:left w:val="none" w:sz="0" w:space="0" w:color="auto"/>
        <w:bottom w:val="none" w:sz="0" w:space="0" w:color="auto"/>
        <w:right w:val="none" w:sz="0" w:space="0" w:color="auto"/>
      </w:divBdr>
    </w:div>
    <w:div w:id="1231423945">
      <w:bodyDiv w:val="1"/>
      <w:marLeft w:val="0"/>
      <w:marRight w:val="0"/>
      <w:marTop w:val="0"/>
      <w:marBottom w:val="0"/>
      <w:divBdr>
        <w:top w:val="none" w:sz="0" w:space="0" w:color="auto"/>
        <w:left w:val="none" w:sz="0" w:space="0" w:color="auto"/>
        <w:bottom w:val="none" w:sz="0" w:space="0" w:color="auto"/>
        <w:right w:val="none" w:sz="0" w:space="0" w:color="auto"/>
      </w:divBdr>
    </w:div>
    <w:div w:id="1246257771">
      <w:bodyDiv w:val="1"/>
      <w:marLeft w:val="0"/>
      <w:marRight w:val="0"/>
      <w:marTop w:val="0"/>
      <w:marBottom w:val="0"/>
      <w:divBdr>
        <w:top w:val="none" w:sz="0" w:space="0" w:color="auto"/>
        <w:left w:val="none" w:sz="0" w:space="0" w:color="auto"/>
        <w:bottom w:val="none" w:sz="0" w:space="0" w:color="auto"/>
        <w:right w:val="none" w:sz="0" w:space="0" w:color="auto"/>
      </w:divBdr>
    </w:div>
    <w:div w:id="1279794242">
      <w:bodyDiv w:val="1"/>
      <w:marLeft w:val="0"/>
      <w:marRight w:val="0"/>
      <w:marTop w:val="0"/>
      <w:marBottom w:val="0"/>
      <w:divBdr>
        <w:top w:val="none" w:sz="0" w:space="0" w:color="auto"/>
        <w:left w:val="none" w:sz="0" w:space="0" w:color="auto"/>
        <w:bottom w:val="none" w:sz="0" w:space="0" w:color="auto"/>
        <w:right w:val="none" w:sz="0" w:space="0" w:color="auto"/>
      </w:divBdr>
    </w:div>
    <w:div w:id="1309823076">
      <w:bodyDiv w:val="1"/>
      <w:marLeft w:val="0"/>
      <w:marRight w:val="0"/>
      <w:marTop w:val="0"/>
      <w:marBottom w:val="0"/>
      <w:divBdr>
        <w:top w:val="none" w:sz="0" w:space="0" w:color="auto"/>
        <w:left w:val="none" w:sz="0" w:space="0" w:color="auto"/>
        <w:bottom w:val="none" w:sz="0" w:space="0" w:color="auto"/>
        <w:right w:val="none" w:sz="0" w:space="0" w:color="auto"/>
      </w:divBdr>
    </w:div>
    <w:div w:id="1312948347">
      <w:bodyDiv w:val="1"/>
      <w:marLeft w:val="0"/>
      <w:marRight w:val="0"/>
      <w:marTop w:val="0"/>
      <w:marBottom w:val="0"/>
      <w:divBdr>
        <w:top w:val="none" w:sz="0" w:space="0" w:color="auto"/>
        <w:left w:val="none" w:sz="0" w:space="0" w:color="auto"/>
        <w:bottom w:val="none" w:sz="0" w:space="0" w:color="auto"/>
        <w:right w:val="none" w:sz="0" w:space="0" w:color="auto"/>
      </w:divBdr>
    </w:div>
    <w:div w:id="1337464044">
      <w:bodyDiv w:val="1"/>
      <w:marLeft w:val="0"/>
      <w:marRight w:val="0"/>
      <w:marTop w:val="0"/>
      <w:marBottom w:val="0"/>
      <w:divBdr>
        <w:top w:val="none" w:sz="0" w:space="0" w:color="auto"/>
        <w:left w:val="none" w:sz="0" w:space="0" w:color="auto"/>
        <w:bottom w:val="none" w:sz="0" w:space="0" w:color="auto"/>
        <w:right w:val="none" w:sz="0" w:space="0" w:color="auto"/>
      </w:divBdr>
    </w:div>
    <w:div w:id="1404832844">
      <w:bodyDiv w:val="1"/>
      <w:marLeft w:val="0"/>
      <w:marRight w:val="0"/>
      <w:marTop w:val="0"/>
      <w:marBottom w:val="0"/>
      <w:divBdr>
        <w:top w:val="none" w:sz="0" w:space="0" w:color="auto"/>
        <w:left w:val="none" w:sz="0" w:space="0" w:color="auto"/>
        <w:bottom w:val="none" w:sz="0" w:space="0" w:color="auto"/>
        <w:right w:val="none" w:sz="0" w:space="0" w:color="auto"/>
      </w:divBdr>
    </w:div>
    <w:div w:id="1419523944">
      <w:bodyDiv w:val="1"/>
      <w:marLeft w:val="0"/>
      <w:marRight w:val="0"/>
      <w:marTop w:val="0"/>
      <w:marBottom w:val="0"/>
      <w:divBdr>
        <w:top w:val="none" w:sz="0" w:space="0" w:color="auto"/>
        <w:left w:val="none" w:sz="0" w:space="0" w:color="auto"/>
        <w:bottom w:val="none" w:sz="0" w:space="0" w:color="auto"/>
        <w:right w:val="none" w:sz="0" w:space="0" w:color="auto"/>
      </w:divBdr>
    </w:div>
    <w:div w:id="1431076170">
      <w:bodyDiv w:val="1"/>
      <w:marLeft w:val="0"/>
      <w:marRight w:val="0"/>
      <w:marTop w:val="0"/>
      <w:marBottom w:val="0"/>
      <w:divBdr>
        <w:top w:val="none" w:sz="0" w:space="0" w:color="auto"/>
        <w:left w:val="none" w:sz="0" w:space="0" w:color="auto"/>
        <w:bottom w:val="none" w:sz="0" w:space="0" w:color="auto"/>
        <w:right w:val="none" w:sz="0" w:space="0" w:color="auto"/>
      </w:divBdr>
    </w:div>
    <w:div w:id="1457528626">
      <w:bodyDiv w:val="1"/>
      <w:marLeft w:val="0"/>
      <w:marRight w:val="0"/>
      <w:marTop w:val="0"/>
      <w:marBottom w:val="0"/>
      <w:divBdr>
        <w:top w:val="none" w:sz="0" w:space="0" w:color="auto"/>
        <w:left w:val="none" w:sz="0" w:space="0" w:color="auto"/>
        <w:bottom w:val="none" w:sz="0" w:space="0" w:color="auto"/>
        <w:right w:val="none" w:sz="0" w:space="0" w:color="auto"/>
      </w:divBdr>
    </w:div>
    <w:div w:id="1468350422">
      <w:bodyDiv w:val="1"/>
      <w:marLeft w:val="0"/>
      <w:marRight w:val="0"/>
      <w:marTop w:val="0"/>
      <w:marBottom w:val="0"/>
      <w:divBdr>
        <w:top w:val="none" w:sz="0" w:space="0" w:color="auto"/>
        <w:left w:val="none" w:sz="0" w:space="0" w:color="auto"/>
        <w:bottom w:val="none" w:sz="0" w:space="0" w:color="auto"/>
        <w:right w:val="none" w:sz="0" w:space="0" w:color="auto"/>
      </w:divBdr>
    </w:div>
    <w:div w:id="1476146520">
      <w:bodyDiv w:val="1"/>
      <w:marLeft w:val="0"/>
      <w:marRight w:val="0"/>
      <w:marTop w:val="0"/>
      <w:marBottom w:val="0"/>
      <w:divBdr>
        <w:top w:val="none" w:sz="0" w:space="0" w:color="auto"/>
        <w:left w:val="none" w:sz="0" w:space="0" w:color="auto"/>
        <w:bottom w:val="none" w:sz="0" w:space="0" w:color="auto"/>
        <w:right w:val="none" w:sz="0" w:space="0" w:color="auto"/>
      </w:divBdr>
    </w:div>
    <w:div w:id="1524249154">
      <w:bodyDiv w:val="1"/>
      <w:marLeft w:val="0"/>
      <w:marRight w:val="0"/>
      <w:marTop w:val="0"/>
      <w:marBottom w:val="0"/>
      <w:divBdr>
        <w:top w:val="none" w:sz="0" w:space="0" w:color="auto"/>
        <w:left w:val="none" w:sz="0" w:space="0" w:color="auto"/>
        <w:bottom w:val="none" w:sz="0" w:space="0" w:color="auto"/>
        <w:right w:val="none" w:sz="0" w:space="0" w:color="auto"/>
      </w:divBdr>
    </w:div>
    <w:div w:id="1557157847">
      <w:bodyDiv w:val="1"/>
      <w:marLeft w:val="0"/>
      <w:marRight w:val="0"/>
      <w:marTop w:val="0"/>
      <w:marBottom w:val="0"/>
      <w:divBdr>
        <w:top w:val="none" w:sz="0" w:space="0" w:color="auto"/>
        <w:left w:val="none" w:sz="0" w:space="0" w:color="auto"/>
        <w:bottom w:val="none" w:sz="0" w:space="0" w:color="auto"/>
        <w:right w:val="none" w:sz="0" w:space="0" w:color="auto"/>
      </w:divBdr>
    </w:div>
    <w:div w:id="1565293974">
      <w:bodyDiv w:val="1"/>
      <w:marLeft w:val="0"/>
      <w:marRight w:val="0"/>
      <w:marTop w:val="0"/>
      <w:marBottom w:val="0"/>
      <w:divBdr>
        <w:top w:val="none" w:sz="0" w:space="0" w:color="auto"/>
        <w:left w:val="none" w:sz="0" w:space="0" w:color="auto"/>
        <w:bottom w:val="none" w:sz="0" w:space="0" w:color="auto"/>
        <w:right w:val="none" w:sz="0" w:space="0" w:color="auto"/>
      </w:divBdr>
    </w:div>
    <w:div w:id="1588952541">
      <w:bodyDiv w:val="1"/>
      <w:marLeft w:val="0"/>
      <w:marRight w:val="0"/>
      <w:marTop w:val="0"/>
      <w:marBottom w:val="0"/>
      <w:divBdr>
        <w:top w:val="none" w:sz="0" w:space="0" w:color="auto"/>
        <w:left w:val="none" w:sz="0" w:space="0" w:color="auto"/>
        <w:bottom w:val="none" w:sz="0" w:space="0" w:color="auto"/>
        <w:right w:val="none" w:sz="0" w:space="0" w:color="auto"/>
      </w:divBdr>
    </w:div>
    <w:div w:id="1614558240">
      <w:bodyDiv w:val="1"/>
      <w:marLeft w:val="0"/>
      <w:marRight w:val="0"/>
      <w:marTop w:val="0"/>
      <w:marBottom w:val="0"/>
      <w:divBdr>
        <w:top w:val="none" w:sz="0" w:space="0" w:color="auto"/>
        <w:left w:val="none" w:sz="0" w:space="0" w:color="auto"/>
        <w:bottom w:val="none" w:sz="0" w:space="0" w:color="auto"/>
        <w:right w:val="none" w:sz="0" w:space="0" w:color="auto"/>
      </w:divBdr>
    </w:div>
    <w:div w:id="1659651035">
      <w:bodyDiv w:val="1"/>
      <w:marLeft w:val="0"/>
      <w:marRight w:val="0"/>
      <w:marTop w:val="0"/>
      <w:marBottom w:val="0"/>
      <w:divBdr>
        <w:top w:val="none" w:sz="0" w:space="0" w:color="auto"/>
        <w:left w:val="none" w:sz="0" w:space="0" w:color="auto"/>
        <w:bottom w:val="none" w:sz="0" w:space="0" w:color="auto"/>
        <w:right w:val="none" w:sz="0" w:space="0" w:color="auto"/>
      </w:divBdr>
    </w:div>
    <w:div w:id="1675916287">
      <w:bodyDiv w:val="1"/>
      <w:marLeft w:val="0"/>
      <w:marRight w:val="0"/>
      <w:marTop w:val="0"/>
      <w:marBottom w:val="0"/>
      <w:divBdr>
        <w:top w:val="none" w:sz="0" w:space="0" w:color="auto"/>
        <w:left w:val="none" w:sz="0" w:space="0" w:color="auto"/>
        <w:bottom w:val="none" w:sz="0" w:space="0" w:color="auto"/>
        <w:right w:val="none" w:sz="0" w:space="0" w:color="auto"/>
      </w:divBdr>
    </w:div>
    <w:div w:id="1686516913">
      <w:bodyDiv w:val="1"/>
      <w:marLeft w:val="0"/>
      <w:marRight w:val="0"/>
      <w:marTop w:val="0"/>
      <w:marBottom w:val="0"/>
      <w:divBdr>
        <w:top w:val="none" w:sz="0" w:space="0" w:color="auto"/>
        <w:left w:val="none" w:sz="0" w:space="0" w:color="auto"/>
        <w:bottom w:val="none" w:sz="0" w:space="0" w:color="auto"/>
        <w:right w:val="none" w:sz="0" w:space="0" w:color="auto"/>
      </w:divBdr>
    </w:div>
    <w:div w:id="1689452836">
      <w:bodyDiv w:val="1"/>
      <w:marLeft w:val="0"/>
      <w:marRight w:val="0"/>
      <w:marTop w:val="0"/>
      <w:marBottom w:val="0"/>
      <w:divBdr>
        <w:top w:val="none" w:sz="0" w:space="0" w:color="auto"/>
        <w:left w:val="none" w:sz="0" w:space="0" w:color="auto"/>
        <w:bottom w:val="none" w:sz="0" w:space="0" w:color="auto"/>
        <w:right w:val="none" w:sz="0" w:space="0" w:color="auto"/>
      </w:divBdr>
    </w:div>
    <w:div w:id="1749383415">
      <w:bodyDiv w:val="1"/>
      <w:marLeft w:val="0"/>
      <w:marRight w:val="0"/>
      <w:marTop w:val="0"/>
      <w:marBottom w:val="0"/>
      <w:divBdr>
        <w:top w:val="none" w:sz="0" w:space="0" w:color="auto"/>
        <w:left w:val="none" w:sz="0" w:space="0" w:color="auto"/>
        <w:bottom w:val="none" w:sz="0" w:space="0" w:color="auto"/>
        <w:right w:val="none" w:sz="0" w:space="0" w:color="auto"/>
      </w:divBdr>
    </w:div>
    <w:div w:id="1760983113">
      <w:bodyDiv w:val="1"/>
      <w:marLeft w:val="0"/>
      <w:marRight w:val="0"/>
      <w:marTop w:val="0"/>
      <w:marBottom w:val="0"/>
      <w:divBdr>
        <w:top w:val="none" w:sz="0" w:space="0" w:color="auto"/>
        <w:left w:val="none" w:sz="0" w:space="0" w:color="auto"/>
        <w:bottom w:val="none" w:sz="0" w:space="0" w:color="auto"/>
        <w:right w:val="none" w:sz="0" w:space="0" w:color="auto"/>
      </w:divBdr>
    </w:div>
    <w:div w:id="1807121512">
      <w:bodyDiv w:val="1"/>
      <w:marLeft w:val="0"/>
      <w:marRight w:val="0"/>
      <w:marTop w:val="0"/>
      <w:marBottom w:val="0"/>
      <w:divBdr>
        <w:top w:val="none" w:sz="0" w:space="0" w:color="auto"/>
        <w:left w:val="none" w:sz="0" w:space="0" w:color="auto"/>
        <w:bottom w:val="none" w:sz="0" w:space="0" w:color="auto"/>
        <w:right w:val="none" w:sz="0" w:space="0" w:color="auto"/>
      </w:divBdr>
    </w:div>
    <w:div w:id="1811436731">
      <w:bodyDiv w:val="1"/>
      <w:marLeft w:val="0"/>
      <w:marRight w:val="0"/>
      <w:marTop w:val="0"/>
      <w:marBottom w:val="0"/>
      <w:divBdr>
        <w:top w:val="none" w:sz="0" w:space="0" w:color="auto"/>
        <w:left w:val="none" w:sz="0" w:space="0" w:color="auto"/>
        <w:bottom w:val="none" w:sz="0" w:space="0" w:color="auto"/>
        <w:right w:val="none" w:sz="0" w:space="0" w:color="auto"/>
      </w:divBdr>
    </w:div>
    <w:div w:id="1813518824">
      <w:bodyDiv w:val="1"/>
      <w:marLeft w:val="0"/>
      <w:marRight w:val="0"/>
      <w:marTop w:val="0"/>
      <w:marBottom w:val="0"/>
      <w:divBdr>
        <w:top w:val="none" w:sz="0" w:space="0" w:color="auto"/>
        <w:left w:val="none" w:sz="0" w:space="0" w:color="auto"/>
        <w:bottom w:val="none" w:sz="0" w:space="0" w:color="auto"/>
        <w:right w:val="none" w:sz="0" w:space="0" w:color="auto"/>
      </w:divBdr>
    </w:div>
    <w:div w:id="1862864020">
      <w:bodyDiv w:val="1"/>
      <w:marLeft w:val="0"/>
      <w:marRight w:val="0"/>
      <w:marTop w:val="0"/>
      <w:marBottom w:val="0"/>
      <w:divBdr>
        <w:top w:val="none" w:sz="0" w:space="0" w:color="auto"/>
        <w:left w:val="none" w:sz="0" w:space="0" w:color="auto"/>
        <w:bottom w:val="none" w:sz="0" w:space="0" w:color="auto"/>
        <w:right w:val="none" w:sz="0" w:space="0" w:color="auto"/>
      </w:divBdr>
    </w:div>
    <w:div w:id="1890651432">
      <w:bodyDiv w:val="1"/>
      <w:marLeft w:val="0"/>
      <w:marRight w:val="0"/>
      <w:marTop w:val="0"/>
      <w:marBottom w:val="0"/>
      <w:divBdr>
        <w:top w:val="none" w:sz="0" w:space="0" w:color="auto"/>
        <w:left w:val="none" w:sz="0" w:space="0" w:color="auto"/>
        <w:bottom w:val="none" w:sz="0" w:space="0" w:color="auto"/>
        <w:right w:val="none" w:sz="0" w:space="0" w:color="auto"/>
      </w:divBdr>
    </w:div>
    <w:div w:id="1994606013">
      <w:bodyDiv w:val="1"/>
      <w:marLeft w:val="0"/>
      <w:marRight w:val="0"/>
      <w:marTop w:val="0"/>
      <w:marBottom w:val="0"/>
      <w:divBdr>
        <w:top w:val="none" w:sz="0" w:space="0" w:color="auto"/>
        <w:left w:val="none" w:sz="0" w:space="0" w:color="auto"/>
        <w:bottom w:val="none" w:sz="0" w:space="0" w:color="auto"/>
        <w:right w:val="none" w:sz="0" w:space="0" w:color="auto"/>
      </w:divBdr>
    </w:div>
    <w:div w:id="1996369625">
      <w:bodyDiv w:val="1"/>
      <w:marLeft w:val="0"/>
      <w:marRight w:val="0"/>
      <w:marTop w:val="0"/>
      <w:marBottom w:val="0"/>
      <w:divBdr>
        <w:top w:val="none" w:sz="0" w:space="0" w:color="auto"/>
        <w:left w:val="none" w:sz="0" w:space="0" w:color="auto"/>
        <w:bottom w:val="none" w:sz="0" w:space="0" w:color="auto"/>
        <w:right w:val="none" w:sz="0" w:space="0" w:color="auto"/>
      </w:divBdr>
    </w:div>
    <w:div w:id="1998922211">
      <w:bodyDiv w:val="1"/>
      <w:marLeft w:val="0"/>
      <w:marRight w:val="0"/>
      <w:marTop w:val="0"/>
      <w:marBottom w:val="0"/>
      <w:divBdr>
        <w:top w:val="none" w:sz="0" w:space="0" w:color="auto"/>
        <w:left w:val="none" w:sz="0" w:space="0" w:color="auto"/>
        <w:bottom w:val="none" w:sz="0" w:space="0" w:color="auto"/>
        <w:right w:val="none" w:sz="0" w:space="0" w:color="auto"/>
      </w:divBdr>
    </w:div>
    <w:div w:id="2007131678">
      <w:bodyDiv w:val="1"/>
      <w:marLeft w:val="0"/>
      <w:marRight w:val="0"/>
      <w:marTop w:val="0"/>
      <w:marBottom w:val="0"/>
      <w:divBdr>
        <w:top w:val="none" w:sz="0" w:space="0" w:color="auto"/>
        <w:left w:val="none" w:sz="0" w:space="0" w:color="auto"/>
        <w:bottom w:val="none" w:sz="0" w:space="0" w:color="auto"/>
        <w:right w:val="none" w:sz="0" w:space="0" w:color="auto"/>
      </w:divBdr>
    </w:div>
    <w:div w:id="2055689025">
      <w:bodyDiv w:val="1"/>
      <w:marLeft w:val="0"/>
      <w:marRight w:val="0"/>
      <w:marTop w:val="0"/>
      <w:marBottom w:val="0"/>
      <w:divBdr>
        <w:top w:val="none" w:sz="0" w:space="0" w:color="auto"/>
        <w:left w:val="none" w:sz="0" w:space="0" w:color="auto"/>
        <w:bottom w:val="none" w:sz="0" w:space="0" w:color="auto"/>
        <w:right w:val="none" w:sz="0" w:space="0" w:color="auto"/>
      </w:divBdr>
    </w:div>
    <w:div w:id="2089224918">
      <w:bodyDiv w:val="1"/>
      <w:marLeft w:val="0"/>
      <w:marRight w:val="0"/>
      <w:marTop w:val="0"/>
      <w:marBottom w:val="0"/>
      <w:divBdr>
        <w:top w:val="none" w:sz="0" w:space="0" w:color="auto"/>
        <w:left w:val="none" w:sz="0" w:space="0" w:color="auto"/>
        <w:bottom w:val="none" w:sz="0" w:space="0" w:color="auto"/>
        <w:right w:val="none" w:sz="0" w:space="0" w:color="auto"/>
      </w:divBdr>
    </w:div>
    <w:div w:id="2117169002">
      <w:bodyDiv w:val="1"/>
      <w:marLeft w:val="0"/>
      <w:marRight w:val="0"/>
      <w:marTop w:val="0"/>
      <w:marBottom w:val="0"/>
      <w:divBdr>
        <w:top w:val="none" w:sz="0" w:space="0" w:color="auto"/>
        <w:left w:val="none" w:sz="0" w:space="0" w:color="auto"/>
        <w:bottom w:val="none" w:sz="0" w:space="0" w:color="auto"/>
        <w:right w:val="none" w:sz="0" w:space="0" w:color="auto"/>
      </w:divBdr>
    </w:div>
    <w:div w:id="2135949623">
      <w:bodyDiv w:val="1"/>
      <w:marLeft w:val="0"/>
      <w:marRight w:val="0"/>
      <w:marTop w:val="0"/>
      <w:marBottom w:val="0"/>
      <w:divBdr>
        <w:top w:val="none" w:sz="0" w:space="0" w:color="auto"/>
        <w:left w:val="none" w:sz="0" w:space="0" w:color="auto"/>
        <w:bottom w:val="none" w:sz="0" w:space="0" w:color="auto"/>
        <w:right w:val="none" w:sz="0" w:space="0" w:color="auto"/>
      </w:divBdr>
    </w:div>
    <w:div w:id="2141454601">
      <w:bodyDiv w:val="1"/>
      <w:marLeft w:val="0"/>
      <w:marRight w:val="0"/>
      <w:marTop w:val="0"/>
      <w:marBottom w:val="0"/>
      <w:divBdr>
        <w:top w:val="none" w:sz="0" w:space="0" w:color="auto"/>
        <w:left w:val="none" w:sz="0" w:space="0" w:color="auto"/>
        <w:bottom w:val="none" w:sz="0" w:space="0" w:color="auto"/>
        <w:right w:val="none" w:sz="0" w:space="0" w:color="auto"/>
      </w:divBdr>
    </w:div>
    <w:div w:id="2142646662">
      <w:bodyDiv w:val="1"/>
      <w:marLeft w:val="0"/>
      <w:marRight w:val="0"/>
      <w:marTop w:val="0"/>
      <w:marBottom w:val="0"/>
      <w:divBdr>
        <w:top w:val="none" w:sz="0" w:space="0" w:color="auto"/>
        <w:left w:val="none" w:sz="0" w:space="0" w:color="auto"/>
        <w:bottom w:val="none" w:sz="0" w:space="0" w:color="auto"/>
        <w:right w:val="none" w:sz="0" w:space="0" w:color="auto"/>
      </w:divBdr>
    </w:div>
    <w:div w:id="214723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emf"/><Relationship Id="rId26" Type="http://schemas.openxmlformats.org/officeDocument/2006/relationships/image" Target="media/image12.emf"/><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yperlink" Target="http://www.gpo.gov/fdsys/pkg/PLAW-104publ113/pdf/PLAW-104publ113.pdf"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hyperlink" Target="https://www.federalregister.gov/documents/2016/01/27/2016-01606/revision-of-omb-circular-no-a-119-federal-participation-in-the-development-and-use-of-voluntary" TargetMode="External"/><Relationship Id="rId38" Type="http://schemas.openxmlformats.org/officeDocument/2006/relationships/hyperlink" Target="https://www.nrc.gov/info-finder/reactor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6.emf"/><Relationship Id="rId29" Type="http://schemas.openxmlformats.org/officeDocument/2006/relationships/image" Target="media/image15.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emf"/><Relationship Id="rId32" Type="http://schemas.openxmlformats.org/officeDocument/2006/relationships/hyperlink" Target="https://www.federalregister.gov/documents/2003/10/09/03-25606/circular-a-4-regulatory-analysis" TargetMode="External"/><Relationship Id="rId37" Type="http://schemas.openxmlformats.org/officeDocument/2006/relationships/hyperlink" Target="https://www.nrc.gov/info-finder/reactors/"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hyperlink" Target="https://www.bls.gov/oes/2020/may/naics5_221113.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yperlink" Target="https://www.bls.gov/cpi/tables/supplemental-files/home.htm" TargetMode="External"/><Relationship Id="rId35" Type="http://schemas.openxmlformats.org/officeDocument/2006/relationships/header" Target="header4.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84bbf4-67d2-42b5-ad0b-bbb3e8240277">
      <UserInfo>
        <DisplayName>Green, Natalee</DisplayName>
        <AccountId>47</AccountId>
        <AccountType/>
      </UserInfo>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Gunasekera, Manjula</DisplayName>
        <AccountId>21</AccountId>
        <AccountType/>
      </UserInfo>
      <UserInfo>
        <DisplayName>Huckabay, Victoria</DisplayName>
        <AccountId>241</AccountId>
        <AccountType/>
      </UserInfo>
      <UserInfo>
        <DisplayName>Lappert, Glenna</DisplayName>
        <AccountId>242</AccountId>
        <AccountType/>
      </UserInfo>
      <UserInfo>
        <DisplayName>Thieneman, Kristopher</DisplayName>
        <AccountId>13</AccountId>
        <AccountType/>
      </UserInfo>
      <UserInfo>
        <DisplayName>Chang, Helen</DisplayName>
        <AccountId>203</AccountId>
        <AccountType/>
      </UserInfo>
      <UserInfo>
        <DisplayName>Love Blair, Angella</DisplayName>
        <AccountId>103</AccountId>
        <AccountType/>
      </UserInfo>
      <UserInfo>
        <DisplayName>Iyengar, Raj</DisplayName>
        <AccountId>246</AccountId>
        <AccountType/>
      </UserInfo>
      <UserInfo>
        <DisplayName>Kavanagh, Kerri</DisplayName>
        <AccountId>247</AccountId>
        <AccountType/>
      </UserInfo>
      <UserInfo>
        <DisplayName>Colaccino, Joseph</DisplayName>
        <AccountId>1100</AccountId>
        <AccountType/>
      </UserInfo>
      <UserInfo>
        <DisplayName>Mitchell, Matthew</DisplayName>
        <AccountId>266</AccountId>
        <AccountType/>
      </UserInfo>
      <UserInfo>
        <DisplayName>Berrios, Ilka</DisplayName>
        <AccountId>129</AccountId>
        <AccountType/>
      </UserInfo>
      <UserInfo>
        <DisplayName>Bloom, Steven</DisplayName>
        <AccountId>1101</AccountId>
        <AccountType/>
      </UserInfo>
      <UserInfo>
        <DisplayName>Tseng, Ian</DisplayName>
        <AccountId>598</AccountId>
        <AccountType/>
      </UserInfo>
      <UserInfo>
        <DisplayName>Cullison, David</DisplayName>
        <AccountId>68</AccountId>
        <AccountType/>
      </UserInfo>
      <UserInfo>
        <DisplayName>Lund, Louise</DisplayName>
        <AccountId>316</AccountId>
        <AccountType/>
      </UserInfo>
      <UserInfo>
        <DisplayName>Benner, Eric</DisplayName>
        <AccountId>144</AccountId>
        <AccountType/>
      </UserInfo>
      <UserInfo>
        <DisplayName>Tappert, John</DisplayName>
        <AccountId>80</AccountId>
        <AccountType/>
      </UserInfo>
      <UserInfo>
        <DisplayName>Coyne, Kevin</DisplayName>
        <AccountId>96</AccountId>
        <AccountType/>
      </UserInfo>
      <UserInfo>
        <DisplayName>Smith, Brian</DisplayName>
        <AccountId>722</AccountId>
        <AccountType/>
      </UserInfo>
      <UserInfo>
        <DisplayName>Caldwell, Bob</DisplayName>
        <AccountId>330</AccountId>
        <AccountType/>
      </UserInfo>
      <UserInfo>
        <DisplayName>Regan, Christopher</DisplayName>
        <AccountId>181</AccountId>
        <AccountType/>
      </UserInfo>
      <UserInfo>
        <DisplayName>Felts, Russell</DisplayName>
        <AccountId>1102</AccountId>
        <AccountType/>
      </UserInfo>
      <UserInfo>
        <DisplayName>Morgan-Butler, Kimyata</DisplayName>
        <AccountId>382</AccountId>
        <AccountType/>
      </UserInfo>
      <UserInfo>
        <DisplayName>Furstenau, Raymond</DisplayName>
        <AccountId>217</AccountId>
        <AccountType/>
      </UserInfo>
      <UserInfo>
        <DisplayName>Coffin, Stephanie</DisplayName>
        <AccountId>188</AccountId>
        <AccountType/>
      </UserInfo>
      <UserInfo>
        <DisplayName>Lombard, Mark</DisplayName>
        <AccountId>222</AccountId>
        <AccountType/>
      </UserInfo>
      <UserInfo>
        <DisplayName>Martinez Navedo, Tania</DisplayName>
        <AccountId>167</AccountId>
        <AccountType/>
      </UserInfo>
      <UserInfo>
        <DisplayName>Bladey, Cindy</DisplayName>
        <AccountId>67</AccountId>
        <AccountType/>
      </UserInfo>
      <UserInfo>
        <DisplayName>Clark, Sheldon</DisplayName>
        <AccountId>322</AccountId>
        <AccountType/>
      </UserInfo>
      <UserInfo>
        <DisplayName>de Messieres, Candace</DisplayName>
        <AccountId>219</AccountId>
        <AccountType/>
      </UserInfo>
      <UserInfo>
        <DisplayName>Taylor, Robert</DisplayName>
        <AccountId>410</AccountId>
        <AccountType/>
      </UserInfo>
      <UserInfo>
        <DisplayName>Kock, Andrea</DisplayName>
        <AccountId>141</AccountId>
        <AccountType/>
      </UserInfo>
      <UserInfo>
        <DisplayName>Veil, Andrea</DisplayName>
        <AccountId>132</AccountId>
        <AccountType/>
      </UserInfo>
      <UserInfo>
        <DisplayName>Kenny, Caylee</DisplayName>
        <AccountId>62</AccountId>
        <AccountType/>
      </UserInfo>
      <UserInfo>
        <DisplayName>Miles, Brenda</DisplayName>
        <AccountId>908</AccountId>
        <AccountType/>
      </UserInfo>
      <UserInfo>
        <DisplayName>Bowen, Jeremy</DisplayName>
        <AccountId>317</AccountId>
        <AccountType/>
      </UserInfo>
      <UserInfo>
        <DisplayName>Whitaker, Scheera</DisplayName>
        <AccountId>109</AccountId>
        <AccountType/>
      </UserInfo>
      <UserInfo>
        <DisplayName>Inverso, Tara</DisplayName>
        <AccountId>1783</AccountId>
        <AccountType/>
      </UserInfo>
      <UserInfo>
        <DisplayName>Correa, Yessie</DisplayName>
        <AccountId>218</AccountId>
        <AccountType/>
      </UserInfo>
      <UserInfo>
        <DisplayName>Rankin, Jennie</DisplayName>
        <AccountId>671</AccountId>
        <AccountType/>
      </UserInfo>
      <UserInfo>
        <DisplayName>Betancourt-Roldan, Diana</DisplayName>
        <AccountId>1025</AccountId>
        <AccountType/>
      </UserInfo>
      <UserInfo>
        <DisplayName>Siwy, Andrew</DisplayName>
        <AccountId>1630</AccountId>
        <AccountType/>
      </UserInfo>
    </SharedWithUsers>
    <Originating_x0020_Office xmlns="ab88f1b7-a21f-483b-a912-730cef2de80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5DD5D-48F4-4D4E-BC8B-E8F14580D4E6}">
  <ds:schemaRefs>
    <ds:schemaRef ds:uri="http://schemas.microsoft.com/sharepoint/v3/contenttype/forms"/>
  </ds:schemaRefs>
</ds:datastoreItem>
</file>

<file path=customXml/itemProps2.xml><?xml version="1.0" encoding="utf-8"?>
<ds:datastoreItem xmlns:ds="http://schemas.openxmlformats.org/officeDocument/2006/customXml" ds:itemID="{04605047-705A-41B2-B85A-C203D4C7F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E9F509-9398-4FED-9938-8B74DC4845A9}">
  <ds:schemaRefs>
    <ds:schemaRef ds:uri="http://schemas.microsoft.com/office/2006/metadata/properties"/>
    <ds:schemaRef ds:uri="http://schemas.microsoft.com/office/infopath/2007/PartnerControls"/>
    <ds:schemaRef ds:uri="d084bbf4-67d2-42b5-ad0b-bbb3e8240277"/>
    <ds:schemaRef ds:uri="ab88f1b7-a21f-483b-a912-730cef2de801"/>
  </ds:schemaRefs>
</ds:datastoreItem>
</file>

<file path=customXml/itemProps4.xml><?xml version="1.0" encoding="utf-8"?>
<ds:datastoreItem xmlns:ds="http://schemas.openxmlformats.org/officeDocument/2006/customXml" ds:itemID="{8F88152E-59AD-4859-83FB-86D321A3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15529</Words>
  <Characters>88520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ASME 09-13 draft final RA</vt:lpstr>
    </vt:vector>
  </TitlesOfParts>
  <Company>Nuclear Regulatory Commission</Company>
  <LinksUpToDate>false</LinksUpToDate>
  <CharactersWithSpaces>103842</CharactersWithSpaces>
  <SharedDoc>false</SharedDoc>
  <HLinks>
    <vt:vector size="612" baseType="variant">
      <vt:variant>
        <vt:i4>851988</vt:i4>
      </vt:variant>
      <vt:variant>
        <vt:i4>666</vt:i4>
      </vt:variant>
      <vt:variant>
        <vt:i4>0</vt:i4>
      </vt:variant>
      <vt:variant>
        <vt:i4>5</vt:i4>
      </vt:variant>
      <vt:variant>
        <vt:lpwstr>https://www.nrc.gov/info-finder/reactors/</vt:lpwstr>
      </vt:variant>
      <vt:variant>
        <vt:lpwstr/>
      </vt:variant>
      <vt:variant>
        <vt:i4>851988</vt:i4>
      </vt:variant>
      <vt:variant>
        <vt:i4>663</vt:i4>
      </vt:variant>
      <vt:variant>
        <vt:i4>0</vt:i4>
      </vt:variant>
      <vt:variant>
        <vt:i4>5</vt:i4>
      </vt:variant>
      <vt:variant>
        <vt:lpwstr>https://www.nrc.gov/info-finder/reactors/</vt:lpwstr>
      </vt:variant>
      <vt:variant>
        <vt:lpwstr/>
      </vt:variant>
      <vt:variant>
        <vt:i4>4390934</vt:i4>
      </vt:variant>
      <vt:variant>
        <vt:i4>660</vt:i4>
      </vt:variant>
      <vt:variant>
        <vt:i4>0</vt:i4>
      </vt:variant>
      <vt:variant>
        <vt:i4>5</vt:i4>
      </vt:variant>
      <vt:variant>
        <vt:lpwstr>http://www.gpo.gov/fdsys/pkg/PLAW-104publ113/pdf/PLAW-104publ113.pdf</vt:lpwstr>
      </vt:variant>
      <vt:variant>
        <vt:lpwstr/>
      </vt:variant>
      <vt:variant>
        <vt:i4>7733280</vt:i4>
      </vt:variant>
      <vt:variant>
        <vt:i4>657</vt:i4>
      </vt:variant>
      <vt:variant>
        <vt:i4>0</vt:i4>
      </vt:variant>
      <vt:variant>
        <vt:i4>5</vt:i4>
      </vt:variant>
      <vt:variant>
        <vt:lpwstr>https://www.federalregister.gov/documents/2016/01/27/2016-01606/revision-of-omb-circular-no-a-119-federal-participation-in-the-development-and-use-of-voluntary</vt:lpwstr>
      </vt:variant>
      <vt:variant>
        <vt:lpwstr/>
      </vt:variant>
      <vt:variant>
        <vt:i4>6422636</vt:i4>
      </vt:variant>
      <vt:variant>
        <vt:i4>654</vt:i4>
      </vt:variant>
      <vt:variant>
        <vt:i4>0</vt:i4>
      </vt:variant>
      <vt:variant>
        <vt:i4>5</vt:i4>
      </vt:variant>
      <vt:variant>
        <vt:lpwstr>https://www.federalregister.gov/documents/2003/10/09/03-25606/circular-a-4-regulatory-analysis</vt:lpwstr>
      </vt:variant>
      <vt:variant>
        <vt:lpwstr/>
      </vt:variant>
      <vt:variant>
        <vt:i4>655458</vt:i4>
      </vt:variant>
      <vt:variant>
        <vt:i4>651</vt:i4>
      </vt:variant>
      <vt:variant>
        <vt:i4>0</vt:i4>
      </vt:variant>
      <vt:variant>
        <vt:i4>5</vt:i4>
      </vt:variant>
      <vt:variant>
        <vt:lpwstr>https://www.bls.gov/oes/2020/may/naics5_221113.htm</vt:lpwstr>
      </vt:variant>
      <vt:variant>
        <vt:lpwstr/>
      </vt:variant>
      <vt:variant>
        <vt:i4>6750253</vt:i4>
      </vt:variant>
      <vt:variant>
        <vt:i4>648</vt:i4>
      </vt:variant>
      <vt:variant>
        <vt:i4>0</vt:i4>
      </vt:variant>
      <vt:variant>
        <vt:i4>5</vt:i4>
      </vt:variant>
      <vt:variant>
        <vt:lpwstr>https://www.bls.gov/cpi/tables/supplemental-files/home.htm</vt:lpwstr>
      </vt:variant>
      <vt:variant>
        <vt:lpwstr/>
      </vt:variant>
      <vt:variant>
        <vt:i4>1245243</vt:i4>
      </vt:variant>
      <vt:variant>
        <vt:i4>512</vt:i4>
      </vt:variant>
      <vt:variant>
        <vt:i4>0</vt:i4>
      </vt:variant>
      <vt:variant>
        <vt:i4>5</vt:i4>
      </vt:variant>
      <vt:variant>
        <vt:lpwstr/>
      </vt:variant>
      <vt:variant>
        <vt:lpwstr>_Toc81309693</vt:lpwstr>
      </vt:variant>
      <vt:variant>
        <vt:i4>1179707</vt:i4>
      </vt:variant>
      <vt:variant>
        <vt:i4>506</vt:i4>
      </vt:variant>
      <vt:variant>
        <vt:i4>0</vt:i4>
      </vt:variant>
      <vt:variant>
        <vt:i4>5</vt:i4>
      </vt:variant>
      <vt:variant>
        <vt:lpwstr/>
      </vt:variant>
      <vt:variant>
        <vt:lpwstr>_Toc81309692</vt:lpwstr>
      </vt:variant>
      <vt:variant>
        <vt:i4>1114171</vt:i4>
      </vt:variant>
      <vt:variant>
        <vt:i4>500</vt:i4>
      </vt:variant>
      <vt:variant>
        <vt:i4>0</vt:i4>
      </vt:variant>
      <vt:variant>
        <vt:i4>5</vt:i4>
      </vt:variant>
      <vt:variant>
        <vt:lpwstr/>
      </vt:variant>
      <vt:variant>
        <vt:lpwstr>_Toc81309691</vt:lpwstr>
      </vt:variant>
      <vt:variant>
        <vt:i4>1048635</vt:i4>
      </vt:variant>
      <vt:variant>
        <vt:i4>494</vt:i4>
      </vt:variant>
      <vt:variant>
        <vt:i4>0</vt:i4>
      </vt:variant>
      <vt:variant>
        <vt:i4>5</vt:i4>
      </vt:variant>
      <vt:variant>
        <vt:lpwstr/>
      </vt:variant>
      <vt:variant>
        <vt:lpwstr>_Toc81309690</vt:lpwstr>
      </vt:variant>
      <vt:variant>
        <vt:i4>1638458</vt:i4>
      </vt:variant>
      <vt:variant>
        <vt:i4>488</vt:i4>
      </vt:variant>
      <vt:variant>
        <vt:i4>0</vt:i4>
      </vt:variant>
      <vt:variant>
        <vt:i4>5</vt:i4>
      </vt:variant>
      <vt:variant>
        <vt:lpwstr/>
      </vt:variant>
      <vt:variant>
        <vt:lpwstr>_Toc81309689</vt:lpwstr>
      </vt:variant>
      <vt:variant>
        <vt:i4>1572922</vt:i4>
      </vt:variant>
      <vt:variant>
        <vt:i4>482</vt:i4>
      </vt:variant>
      <vt:variant>
        <vt:i4>0</vt:i4>
      </vt:variant>
      <vt:variant>
        <vt:i4>5</vt:i4>
      </vt:variant>
      <vt:variant>
        <vt:lpwstr/>
      </vt:variant>
      <vt:variant>
        <vt:lpwstr>_Toc81309688</vt:lpwstr>
      </vt:variant>
      <vt:variant>
        <vt:i4>1507386</vt:i4>
      </vt:variant>
      <vt:variant>
        <vt:i4>476</vt:i4>
      </vt:variant>
      <vt:variant>
        <vt:i4>0</vt:i4>
      </vt:variant>
      <vt:variant>
        <vt:i4>5</vt:i4>
      </vt:variant>
      <vt:variant>
        <vt:lpwstr/>
      </vt:variant>
      <vt:variant>
        <vt:lpwstr>_Toc81309687</vt:lpwstr>
      </vt:variant>
      <vt:variant>
        <vt:i4>1441850</vt:i4>
      </vt:variant>
      <vt:variant>
        <vt:i4>470</vt:i4>
      </vt:variant>
      <vt:variant>
        <vt:i4>0</vt:i4>
      </vt:variant>
      <vt:variant>
        <vt:i4>5</vt:i4>
      </vt:variant>
      <vt:variant>
        <vt:lpwstr/>
      </vt:variant>
      <vt:variant>
        <vt:lpwstr>_Toc81309686</vt:lpwstr>
      </vt:variant>
      <vt:variant>
        <vt:i4>1376314</vt:i4>
      </vt:variant>
      <vt:variant>
        <vt:i4>464</vt:i4>
      </vt:variant>
      <vt:variant>
        <vt:i4>0</vt:i4>
      </vt:variant>
      <vt:variant>
        <vt:i4>5</vt:i4>
      </vt:variant>
      <vt:variant>
        <vt:lpwstr/>
      </vt:variant>
      <vt:variant>
        <vt:lpwstr>_Toc81309685</vt:lpwstr>
      </vt:variant>
      <vt:variant>
        <vt:i4>1310778</vt:i4>
      </vt:variant>
      <vt:variant>
        <vt:i4>458</vt:i4>
      </vt:variant>
      <vt:variant>
        <vt:i4>0</vt:i4>
      </vt:variant>
      <vt:variant>
        <vt:i4>5</vt:i4>
      </vt:variant>
      <vt:variant>
        <vt:lpwstr/>
      </vt:variant>
      <vt:variant>
        <vt:lpwstr>_Toc81309684</vt:lpwstr>
      </vt:variant>
      <vt:variant>
        <vt:i4>1245242</vt:i4>
      </vt:variant>
      <vt:variant>
        <vt:i4>452</vt:i4>
      </vt:variant>
      <vt:variant>
        <vt:i4>0</vt:i4>
      </vt:variant>
      <vt:variant>
        <vt:i4>5</vt:i4>
      </vt:variant>
      <vt:variant>
        <vt:lpwstr/>
      </vt:variant>
      <vt:variant>
        <vt:lpwstr>_Toc81309683</vt:lpwstr>
      </vt:variant>
      <vt:variant>
        <vt:i4>1179706</vt:i4>
      </vt:variant>
      <vt:variant>
        <vt:i4>446</vt:i4>
      </vt:variant>
      <vt:variant>
        <vt:i4>0</vt:i4>
      </vt:variant>
      <vt:variant>
        <vt:i4>5</vt:i4>
      </vt:variant>
      <vt:variant>
        <vt:lpwstr/>
      </vt:variant>
      <vt:variant>
        <vt:lpwstr>_Toc81309682</vt:lpwstr>
      </vt:variant>
      <vt:variant>
        <vt:i4>1114170</vt:i4>
      </vt:variant>
      <vt:variant>
        <vt:i4>440</vt:i4>
      </vt:variant>
      <vt:variant>
        <vt:i4>0</vt:i4>
      </vt:variant>
      <vt:variant>
        <vt:i4>5</vt:i4>
      </vt:variant>
      <vt:variant>
        <vt:lpwstr/>
      </vt:variant>
      <vt:variant>
        <vt:lpwstr>_Toc81309681</vt:lpwstr>
      </vt:variant>
      <vt:variant>
        <vt:i4>1048634</vt:i4>
      </vt:variant>
      <vt:variant>
        <vt:i4>434</vt:i4>
      </vt:variant>
      <vt:variant>
        <vt:i4>0</vt:i4>
      </vt:variant>
      <vt:variant>
        <vt:i4>5</vt:i4>
      </vt:variant>
      <vt:variant>
        <vt:lpwstr/>
      </vt:variant>
      <vt:variant>
        <vt:lpwstr>_Toc81309680</vt:lpwstr>
      </vt:variant>
      <vt:variant>
        <vt:i4>1638453</vt:i4>
      </vt:variant>
      <vt:variant>
        <vt:i4>428</vt:i4>
      </vt:variant>
      <vt:variant>
        <vt:i4>0</vt:i4>
      </vt:variant>
      <vt:variant>
        <vt:i4>5</vt:i4>
      </vt:variant>
      <vt:variant>
        <vt:lpwstr/>
      </vt:variant>
      <vt:variant>
        <vt:lpwstr>_Toc81309679</vt:lpwstr>
      </vt:variant>
      <vt:variant>
        <vt:i4>1572917</vt:i4>
      </vt:variant>
      <vt:variant>
        <vt:i4>422</vt:i4>
      </vt:variant>
      <vt:variant>
        <vt:i4>0</vt:i4>
      </vt:variant>
      <vt:variant>
        <vt:i4>5</vt:i4>
      </vt:variant>
      <vt:variant>
        <vt:lpwstr/>
      </vt:variant>
      <vt:variant>
        <vt:lpwstr>_Toc81309678</vt:lpwstr>
      </vt:variant>
      <vt:variant>
        <vt:i4>1507381</vt:i4>
      </vt:variant>
      <vt:variant>
        <vt:i4>416</vt:i4>
      </vt:variant>
      <vt:variant>
        <vt:i4>0</vt:i4>
      </vt:variant>
      <vt:variant>
        <vt:i4>5</vt:i4>
      </vt:variant>
      <vt:variant>
        <vt:lpwstr/>
      </vt:variant>
      <vt:variant>
        <vt:lpwstr>_Toc81309677</vt:lpwstr>
      </vt:variant>
      <vt:variant>
        <vt:i4>1441845</vt:i4>
      </vt:variant>
      <vt:variant>
        <vt:i4>410</vt:i4>
      </vt:variant>
      <vt:variant>
        <vt:i4>0</vt:i4>
      </vt:variant>
      <vt:variant>
        <vt:i4>5</vt:i4>
      </vt:variant>
      <vt:variant>
        <vt:lpwstr/>
      </vt:variant>
      <vt:variant>
        <vt:lpwstr>_Toc81309676</vt:lpwstr>
      </vt:variant>
      <vt:variant>
        <vt:i4>1835057</vt:i4>
      </vt:variant>
      <vt:variant>
        <vt:i4>401</vt:i4>
      </vt:variant>
      <vt:variant>
        <vt:i4>0</vt:i4>
      </vt:variant>
      <vt:variant>
        <vt:i4>5</vt:i4>
      </vt:variant>
      <vt:variant>
        <vt:lpwstr/>
      </vt:variant>
      <vt:variant>
        <vt:lpwstr>_Toc79410122</vt:lpwstr>
      </vt:variant>
      <vt:variant>
        <vt:i4>2031665</vt:i4>
      </vt:variant>
      <vt:variant>
        <vt:i4>395</vt:i4>
      </vt:variant>
      <vt:variant>
        <vt:i4>0</vt:i4>
      </vt:variant>
      <vt:variant>
        <vt:i4>5</vt:i4>
      </vt:variant>
      <vt:variant>
        <vt:lpwstr/>
      </vt:variant>
      <vt:variant>
        <vt:lpwstr>_Toc79410121</vt:lpwstr>
      </vt:variant>
      <vt:variant>
        <vt:i4>1966129</vt:i4>
      </vt:variant>
      <vt:variant>
        <vt:i4>389</vt:i4>
      </vt:variant>
      <vt:variant>
        <vt:i4>0</vt:i4>
      </vt:variant>
      <vt:variant>
        <vt:i4>5</vt:i4>
      </vt:variant>
      <vt:variant>
        <vt:lpwstr/>
      </vt:variant>
      <vt:variant>
        <vt:lpwstr>_Toc79410120</vt:lpwstr>
      </vt:variant>
      <vt:variant>
        <vt:i4>1507378</vt:i4>
      </vt:variant>
      <vt:variant>
        <vt:i4>383</vt:i4>
      </vt:variant>
      <vt:variant>
        <vt:i4>0</vt:i4>
      </vt:variant>
      <vt:variant>
        <vt:i4>5</vt:i4>
      </vt:variant>
      <vt:variant>
        <vt:lpwstr/>
      </vt:variant>
      <vt:variant>
        <vt:lpwstr>_Toc79410119</vt:lpwstr>
      </vt:variant>
      <vt:variant>
        <vt:i4>1245239</vt:i4>
      </vt:variant>
      <vt:variant>
        <vt:i4>374</vt:i4>
      </vt:variant>
      <vt:variant>
        <vt:i4>0</vt:i4>
      </vt:variant>
      <vt:variant>
        <vt:i4>5</vt:i4>
      </vt:variant>
      <vt:variant>
        <vt:lpwstr/>
      </vt:variant>
      <vt:variant>
        <vt:lpwstr>_Toc81309154</vt:lpwstr>
      </vt:variant>
      <vt:variant>
        <vt:i4>1310775</vt:i4>
      </vt:variant>
      <vt:variant>
        <vt:i4>368</vt:i4>
      </vt:variant>
      <vt:variant>
        <vt:i4>0</vt:i4>
      </vt:variant>
      <vt:variant>
        <vt:i4>5</vt:i4>
      </vt:variant>
      <vt:variant>
        <vt:lpwstr/>
      </vt:variant>
      <vt:variant>
        <vt:lpwstr>_Toc81309153</vt:lpwstr>
      </vt:variant>
      <vt:variant>
        <vt:i4>1376311</vt:i4>
      </vt:variant>
      <vt:variant>
        <vt:i4>362</vt:i4>
      </vt:variant>
      <vt:variant>
        <vt:i4>0</vt:i4>
      </vt:variant>
      <vt:variant>
        <vt:i4>5</vt:i4>
      </vt:variant>
      <vt:variant>
        <vt:lpwstr/>
      </vt:variant>
      <vt:variant>
        <vt:lpwstr>_Toc81309152</vt:lpwstr>
      </vt:variant>
      <vt:variant>
        <vt:i4>1441847</vt:i4>
      </vt:variant>
      <vt:variant>
        <vt:i4>356</vt:i4>
      </vt:variant>
      <vt:variant>
        <vt:i4>0</vt:i4>
      </vt:variant>
      <vt:variant>
        <vt:i4>5</vt:i4>
      </vt:variant>
      <vt:variant>
        <vt:lpwstr/>
      </vt:variant>
      <vt:variant>
        <vt:lpwstr>_Toc81309151</vt:lpwstr>
      </vt:variant>
      <vt:variant>
        <vt:i4>1507383</vt:i4>
      </vt:variant>
      <vt:variant>
        <vt:i4>350</vt:i4>
      </vt:variant>
      <vt:variant>
        <vt:i4>0</vt:i4>
      </vt:variant>
      <vt:variant>
        <vt:i4>5</vt:i4>
      </vt:variant>
      <vt:variant>
        <vt:lpwstr/>
      </vt:variant>
      <vt:variant>
        <vt:lpwstr>_Toc81309150</vt:lpwstr>
      </vt:variant>
      <vt:variant>
        <vt:i4>1966134</vt:i4>
      </vt:variant>
      <vt:variant>
        <vt:i4>344</vt:i4>
      </vt:variant>
      <vt:variant>
        <vt:i4>0</vt:i4>
      </vt:variant>
      <vt:variant>
        <vt:i4>5</vt:i4>
      </vt:variant>
      <vt:variant>
        <vt:lpwstr/>
      </vt:variant>
      <vt:variant>
        <vt:lpwstr>_Toc81309149</vt:lpwstr>
      </vt:variant>
      <vt:variant>
        <vt:i4>2031670</vt:i4>
      </vt:variant>
      <vt:variant>
        <vt:i4>338</vt:i4>
      </vt:variant>
      <vt:variant>
        <vt:i4>0</vt:i4>
      </vt:variant>
      <vt:variant>
        <vt:i4>5</vt:i4>
      </vt:variant>
      <vt:variant>
        <vt:lpwstr/>
      </vt:variant>
      <vt:variant>
        <vt:lpwstr>_Toc81309148</vt:lpwstr>
      </vt:variant>
      <vt:variant>
        <vt:i4>1048630</vt:i4>
      </vt:variant>
      <vt:variant>
        <vt:i4>332</vt:i4>
      </vt:variant>
      <vt:variant>
        <vt:i4>0</vt:i4>
      </vt:variant>
      <vt:variant>
        <vt:i4>5</vt:i4>
      </vt:variant>
      <vt:variant>
        <vt:lpwstr/>
      </vt:variant>
      <vt:variant>
        <vt:lpwstr>_Toc81309147</vt:lpwstr>
      </vt:variant>
      <vt:variant>
        <vt:i4>1114166</vt:i4>
      </vt:variant>
      <vt:variant>
        <vt:i4>326</vt:i4>
      </vt:variant>
      <vt:variant>
        <vt:i4>0</vt:i4>
      </vt:variant>
      <vt:variant>
        <vt:i4>5</vt:i4>
      </vt:variant>
      <vt:variant>
        <vt:lpwstr/>
      </vt:variant>
      <vt:variant>
        <vt:lpwstr>_Toc81309146</vt:lpwstr>
      </vt:variant>
      <vt:variant>
        <vt:i4>1179702</vt:i4>
      </vt:variant>
      <vt:variant>
        <vt:i4>320</vt:i4>
      </vt:variant>
      <vt:variant>
        <vt:i4>0</vt:i4>
      </vt:variant>
      <vt:variant>
        <vt:i4>5</vt:i4>
      </vt:variant>
      <vt:variant>
        <vt:lpwstr/>
      </vt:variant>
      <vt:variant>
        <vt:lpwstr>_Toc81309145</vt:lpwstr>
      </vt:variant>
      <vt:variant>
        <vt:i4>1245238</vt:i4>
      </vt:variant>
      <vt:variant>
        <vt:i4>314</vt:i4>
      </vt:variant>
      <vt:variant>
        <vt:i4>0</vt:i4>
      </vt:variant>
      <vt:variant>
        <vt:i4>5</vt:i4>
      </vt:variant>
      <vt:variant>
        <vt:lpwstr/>
      </vt:variant>
      <vt:variant>
        <vt:lpwstr>_Toc81309144</vt:lpwstr>
      </vt:variant>
      <vt:variant>
        <vt:i4>1310774</vt:i4>
      </vt:variant>
      <vt:variant>
        <vt:i4>308</vt:i4>
      </vt:variant>
      <vt:variant>
        <vt:i4>0</vt:i4>
      </vt:variant>
      <vt:variant>
        <vt:i4>5</vt:i4>
      </vt:variant>
      <vt:variant>
        <vt:lpwstr/>
      </vt:variant>
      <vt:variant>
        <vt:lpwstr>_Toc81309143</vt:lpwstr>
      </vt:variant>
      <vt:variant>
        <vt:i4>1376310</vt:i4>
      </vt:variant>
      <vt:variant>
        <vt:i4>302</vt:i4>
      </vt:variant>
      <vt:variant>
        <vt:i4>0</vt:i4>
      </vt:variant>
      <vt:variant>
        <vt:i4>5</vt:i4>
      </vt:variant>
      <vt:variant>
        <vt:lpwstr/>
      </vt:variant>
      <vt:variant>
        <vt:lpwstr>_Toc81309142</vt:lpwstr>
      </vt:variant>
      <vt:variant>
        <vt:i4>1441846</vt:i4>
      </vt:variant>
      <vt:variant>
        <vt:i4>296</vt:i4>
      </vt:variant>
      <vt:variant>
        <vt:i4>0</vt:i4>
      </vt:variant>
      <vt:variant>
        <vt:i4>5</vt:i4>
      </vt:variant>
      <vt:variant>
        <vt:lpwstr/>
      </vt:variant>
      <vt:variant>
        <vt:lpwstr>_Toc81309141</vt:lpwstr>
      </vt:variant>
      <vt:variant>
        <vt:i4>1507382</vt:i4>
      </vt:variant>
      <vt:variant>
        <vt:i4>290</vt:i4>
      </vt:variant>
      <vt:variant>
        <vt:i4>0</vt:i4>
      </vt:variant>
      <vt:variant>
        <vt:i4>5</vt:i4>
      </vt:variant>
      <vt:variant>
        <vt:lpwstr/>
      </vt:variant>
      <vt:variant>
        <vt:lpwstr>_Toc81309140</vt:lpwstr>
      </vt:variant>
      <vt:variant>
        <vt:i4>1966129</vt:i4>
      </vt:variant>
      <vt:variant>
        <vt:i4>284</vt:i4>
      </vt:variant>
      <vt:variant>
        <vt:i4>0</vt:i4>
      </vt:variant>
      <vt:variant>
        <vt:i4>5</vt:i4>
      </vt:variant>
      <vt:variant>
        <vt:lpwstr/>
      </vt:variant>
      <vt:variant>
        <vt:lpwstr>_Toc81309139</vt:lpwstr>
      </vt:variant>
      <vt:variant>
        <vt:i4>2031665</vt:i4>
      </vt:variant>
      <vt:variant>
        <vt:i4>278</vt:i4>
      </vt:variant>
      <vt:variant>
        <vt:i4>0</vt:i4>
      </vt:variant>
      <vt:variant>
        <vt:i4>5</vt:i4>
      </vt:variant>
      <vt:variant>
        <vt:lpwstr/>
      </vt:variant>
      <vt:variant>
        <vt:lpwstr>_Toc81309138</vt:lpwstr>
      </vt:variant>
      <vt:variant>
        <vt:i4>1048625</vt:i4>
      </vt:variant>
      <vt:variant>
        <vt:i4>272</vt:i4>
      </vt:variant>
      <vt:variant>
        <vt:i4>0</vt:i4>
      </vt:variant>
      <vt:variant>
        <vt:i4>5</vt:i4>
      </vt:variant>
      <vt:variant>
        <vt:lpwstr/>
      </vt:variant>
      <vt:variant>
        <vt:lpwstr>_Toc81309137</vt:lpwstr>
      </vt:variant>
      <vt:variant>
        <vt:i4>1114161</vt:i4>
      </vt:variant>
      <vt:variant>
        <vt:i4>266</vt:i4>
      </vt:variant>
      <vt:variant>
        <vt:i4>0</vt:i4>
      </vt:variant>
      <vt:variant>
        <vt:i4>5</vt:i4>
      </vt:variant>
      <vt:variant>
        <vt:lpwstr/>
      </vt:variant>
      <vt:variant>
        <vt:lpwstr>_Toc81309136</vt:lpwstr>
      </vt:variant>
      <vt:variant>
        <vt:i4>1179697</vt:i4>
      </vt:variant>
      <vt:variant>
        <vt:i4>260</vt:i4>
      </vt:variant>
      <vt:variant>
        <vt:i4>0</vt:i4>
      </vt:variant>
      <vt:variant>
        <vt:i4>5</vt:i4>
      </vt:variant>
      <vt:variant>
        <vt:lpwstr/>
      </vt:variant>
      <vt:variant>
        <vt:lpwstr>_Toc81309135</vt:lpwstr>
      </vt:variant>
      <vt:variant>
        <vt:i4>1245233</vt:i4>
      </vt:variant>
      <vt:variant>
        <vt:i4>254</vt:i4>
      </vt:variant>
      <vt:variant>
        <vt:i4>0</vt:i4>
      </vt:variant>
      <vt:variant>
        <vt:i4>5</vt:i4>
      </vt:variant>
      <vt:variant>
        <vt:lpwstr/>
      </vt:variant>
      <vt:variant>
        <vt:lpwstr>_Toc81309134</vt:lpwstr>
      </vt:variant>
      <vt:variant>
        <vt:i4>1310769</vt:i4>
      </vt:variant>
      <vt:variant>
        <vt:i4>248</vt:i4>
      </vt:variant>
      <vt:variant>
        <vt:i4>0</vt:i4>
      </vt:variant>
      <vt:variant>
        <vt:i4>5</vt:i4>
      </vt:variant>
      <vt:variant>
        <vt:lpwstr/>
      </vt:variant>
      <vt:variant>
        <vt:lpwstr>_Toc81309133</vt:lpwstr>
      </vt:variant>
      <vt:variant>
        <vt:i4>1376305</vt:i4>
      </vt:variant>
      <vt:variant>
        <vt:i4>242</vt:i4>
      </vt:variant>
      <vt:variant>
        <vt:i4>0</vt:i4>
      </vt:variant>
      <vt:variant>
        <vt:i4>5</vt:i4>
      </vt:variant>
      <vt:variant>
        <vt:lpwstr/>
      </vt:variant>
      <vt:variant>
        <vt:lpwstr>_Toc81309132</vt:lpwstr>
      </vt:variant>
      <vt:variant>
        <vt:i4>1441841</vt:i4>
      </vt:variant>
      <vt:variant>
        <vt:i4>236</vt:i4>
      </vt:variant>
      <vt:variant>
        <vt:i4>0</vt:i4>
      </vt:variant>
      <vt:variant>
        <vt:i4>5</vt:i4>
      </vt:variant>
      <vt:variant>
        <vt:lpwstr/>
      </vt:variant>
      <vt:variant>
        <vt:lpwstr>_Toc81309131</vt:lpwstr>
      </vt:variant>
      <vt:variant>
        <vt:i4>1507377</vt:i4>
      </vt:variant>
      <vt:variant>
        <vt:i4>230</vt:i4>
      </vt:variant>
      <vt:variant>
        <vt:i4>0</vt:i4>
      </vt:variant>
      <vt:variant>
        <vt:i4>5</vt:i4>
      </vt:variant>
      <vt:variant>
        <vt:lpwstr/>
      </vt:variant>
      <vt:variant>
        <vt:lpwstr>_Toc81309130</vt:lpwstr>
      </vt:variant>
      <vt:variant>
        <vt:i4>1966128</vt:i4>
      </vt:variant>
      <vt:variant>
        <vt:i4>224</vt:i4>
      </vt:variant>
      <vt:variant>
        <vt:i4>0</vt:i4>
      </vt:variant>
      <vt:variant>
        <vt:i4>5</vt:i4>
      </vt:variant>
      <vt:variant>
        <vt:lpwstr/>
      </vt:variant>
      <vt:variant>
        <vt:lpwstr>_Toc81309129</vt:lpwstr>
      </vt:variant>
      <vt:variant>
        <vt:i4>2031664</vt:i4>
      </vt:variant>
      <vt:variant>
        <vt:i4>218</vt:i4>
      </vt:variant>
      <vt:variant>
        <vt:i4>0</vt:i4>
      </vt:variant>
      <vt:variant>
        <vt:i4>5</vt:i4>
      </vt:variant>
      <vt:variant>
        <vt:lpwstr/>
      </vt:variant>
      <vt:variant>
        <vt:lpwstr>_Toc81309128</vt:lpwstr>
      </vt:variant>
      <vt:variant>
        <vt:i4>1048624</vt:i4>
      </vt:variant>
      <vt:variant>
        <vt:i4>212</vt:i4>
      </vt:variant>
      <vt:variant>
        <vt:i4>0</vt:i4>
      </vt:variant>
      <vt:variant>
        <vt:i4>5</vt:i4>
      </vt:variant>
      <vt:variant>
        <vt:lpwstr/>
      </vt:variant>
      <vt:variant>
        <vt:lpwstr>_Toc81309127</vt:lpwstr>
      </vt:variant>
      <vt:variant>
        <vt:i4>1114160</vt:i4>
      </vt:variant>
      <vt:variant>
        <vt:i4>206</vt:i4>
      </vt:variant>
      <vt:variant>
        <vt:i4>0</vt:i4>
      </vt:variant>
      <vt:variant>
        <vt:i4>5</vt:i4>
      </vt:variant>
      <vt:variant>
        <vt:lpwstr/>
      </vt:variant>
      <vt:variant>
        <vt:lpwstr>_Toc81309126</vt:lpwstr>
      </vt:variant>
      <vt:variant>
        <vt:i4>1179696</vt:i4>
      </vt:variant>
      <vt:variant>
        <vt:i4>200</vt:i4>
      </vt:variant>
      <vt:variant>
        <vt:i4>0</vt:i4>
      </vt:variant>
      <vt:variant>
        <vt:i4>5</vt:i4>
      </vt:variant>
      <vt:variant>
        <vt:lpwstr/>
      </vt:variant>
      <vt:variant>
        <vt:lpwstr>_Toc81309125</vt:lpwstr>
      </vt:variant>
      <vt:variant>
        <vt:i4>1245232</vt:i4>
      </vt:variant>
      <vt:variant>
        <vt:i4>194</vt:i4>
      </vt:variant>
      <vt:variant>
        <vt:i4>0</vt:i4>
      </vt:variant>
      <vt:variant>
        <vt:i4>5</vt:i4>
      </vt:variant>
      <vt:variant>
        <vt:lpwstr/>
      </vt:variant>
      <vt:variant>
        <vt:lpwstr>_Toc81309124</vt:lpwstr>
      </vt:variant>
      <vt:variant>
        <vt:i4>1310768</vt:i4>
      </vt:variant>
      <vt:variant>
        <vt:i4>188</vt:i4>
      </vt:variant>
      <vt:variant>
        <vt:i4>0</vt:i4>
      </vt:variant>
      <vt:variant>
        <vt:i4>5</vt:i4>
      </vt:variant>
      <vt:variant>
        <vt:lpwstr/>
      </vt:variant>
      <vt:variant>
        <vt:lpwstr>_Toc81309123</vt:lpwstr>
      </vt:variant>
      <vt:variant>
        <vt:i4>1376304</vt:i4>
      </vt:variant>
      <vt:variant>
        <vt:i4>182</vt:i4>
      </vt:variant>
      <vt:variant>
        <vt:i4>0</vt:i4>
      </vt:variant>
      <vt:variant>
        <vt:i4>5</vt:i4>
      </vt:variant>
      <vt:variant>
        <vt:lpwstr/>
      </vt:variant>
      <vt:variant>
        <vt:lpwstr>_Toc81309122</vt:lpwstr>
      </vt:variant>
      <vt:variant>
        <vt:i4>1441840</vt:i4>
      </vt:variant>
      <vt:variant>
        <vt:i4>176</vt:i4>
      </vt:variant>
      <vt:variant>
        <vt:i4>0</vt:i4>
      </vt:variant>
      <vt:variant>
        <vt:i4>5</vt:i4>
      </vt:variant>
      <vt:variant>
        <vt:lpwstr/>
      </vt:variant>
      <vt:variant>
        <vt:lpwstr>_Toc81309121</vt:lpwstr>
      </vt:variant>
      <vt:variant>
        <vt:i4>1507376</vt:i4>
      </vt:variant>
      <vt:variant>
        <vt:i4>170</vt:i4>
      </vt:variant>
      <vt:variant>
        <vt:i4>0</vt:i4>
      </vt:variant>
      <vt:variant>
        <vt:i4>5</vt:i4>
      </vt:variant>
      <vt:variant>
        <vt:lpwstr/>
      </vt:variant>
      <vt:variant>
        <vt:lpwstr>_Toc81309120</vt:lpwstr>
      </vt:variant>
      <vt:variant>
        <vt:i4>1966131</vt:i4>
      </vt:variant>
      <vt:variant>
        <vt:i4>164</vt:i4>
      </vt:variant>
      <vt:variant>
        <vt:i4>0</vt:i4>
      </vt:variant>
      <vt:variant>
        <vt:i4>5</vt:i4>
      </vt:variant>
      <vt:variant>
        <vt:lpwstr/>
      </vt:variant>
      <vt:variant>
        <vt:lpwstr>_Toc81309119</vt:lpwstr>
      </vt:variant>
      <vt:variant>
        <vt:i4>2031667</vt:i4>
      </vt:variant>
      <vt:variant>
        <vt:i4>158</vt:i4>
      </vt:variant>
      <vt:variant>
        <vt:i4>0</vt:i4>
      </vt:variant>
      <vt:variant>
        <vt:i4>5</vt:i4>
      </vt:variant>
      <vt:variant>
        <vt:lpwstr/>
      </vt:variant>
      <vt:variant>
        <vt:lpwstr>_Toc81309118</vt:lpwstr>
      </vt:variant>
      <vt:variant>
        <vt:i4>1048627</vt:i4>
      </vt:variant>
      <vt:variant>
        <vt:i4>152</vt:i4>
      </vt:variant>
      <vt:variant>
        <vt:i4>0</vt:i4>
      </vt:variant>
      <vt:variant>
        <vt:i4>5</vt:i4>
      </vt:variant>
      <vt:variant>
        <vt:lpwstr/>
      </vt:variant>
      <vt:variant>
        <vt:lpwstr>_Toc81309117</vt:lpwstr>
      </vt:variant>
      <vt:variant>
        <vt:i4>1114163</vt:i4>
      </vt:variant>
      <vt:variant>
        <vt:i4>146</vt:i4>
      </vt:variant>
      <vt:variant>
        <vt:i4>0</vt:i4>
      </vt:variant>
      <vt:variant>
        <vt:i4>5</vt:i4>
      </vt:variant>
      <vt:variant>
        <vt:lpwstr/>
      </vt:variant>
      <vt:variant>
        <vt:lpwstr>_Toc81309116</vt:lpwstr>
      </vt:variant>
      <vt:variant>
        <vt:i4>1179699</vt:i4>
      </vt:variant>
      <vt:variant>
        <vt:i4>140</vt:i4>
      </vt:variant>
      <vt:variant>
        <vt:i4>0</vt:i4>
      </vt:variant>
      <vt:variant>
        <vt:i4>5</vt:i4>
      </vt:variant>
      <vt:variant>
        <vt:lpwstr/>
      </vt:variant>
      <vt:variant>
        <vt:lpwstr>_Toc81309115</vt:lpwstr>
      </vt:variant>
      <vt:variant>
        <vt:i4>1245235</vt:i4>
      </vt:variant>
      <vt:variant>
        <vt:i4>134</vt:i4>
      </vt:variant>
      <vt:variant>
        <vt:i4>0</vt:i4>
      </vt:variant>
      <vt:variant>
        <vt:i4>5</vt:i4>
      </vt:variant>
      <vt:variant>
        <vt:lpwstr/>
      </vt:variant>
      <vt:variant>
        <vt:lpwstr>_Toc81309114</vt:lpwstr>
      </vt:variant>
      <vt:variant>
        <vt:i4>1310771</vt:i4>
      </vt:variant>
      <vt:variant>
        <vt:i4>128</vt:i4>
      </vt:variant>
      <vt:variant>
        <vt:i4>0</vt:i4>
      </vt:variant>
      <vt:variant>
        <vt:i4>5</vt:i4>
      </vt:variant>
      <vt:variant>
        <vt:lpwstr/>
      </vt:variant>
      <vt:variant>
        <vt:lpwstr>_Toc81309113</vt:lpwstr>
      </vt:variant>
      <vt:variant>
        <vt:i4>1376307</vt:i4>
      </vt:variant>
      <vt:variant>
        <vt:i4>122</vt:i4>
      </vt:variant>
      <vt:variant>
        <vt:i4>0</vt:i4>
      </vt:variant>
      <vt:variant>
        <vt:i4>5</vt:i4>
      </vt:variant>
      <vt:variant>
        <vt:lpwstr/>
      </vt:variant>
      <vt:variant>
        <vt:lpwstr>_Toc81309112</vt:lpwstr>
      </vt:variant>
      <vt:variant>
        <vt:i4>1441843</vt:i4>
      </vt:variant>
      <vt:variant>
        <vt:i4>116</vt:i4>
      </vt:variant>
      <vt:variant>
        <vt:i4>0</vt:i4>
      </vt:variant>
      <vt:variant>
        <vt:i4>5</vt:i4>
      </vt:variant>
      <vt:variant>
        <vt:lpwstr/>
      </vt:variant>
      <vt:variant>
        <vt:lpwstr>_Toc81309111</vt:lpwstr>
      </vt:variant>
      <vt:variant>
        <vt:i4>1507379</vt:i4>
      </vt:variant>
      <vt:variant>
        <vt:i4>110</vt:i4>
      </vt:variant>
      <vt:variant>
        <vt:i4>0</vt:i4>
      </vt:variant>
      <vt:variant>
        <vt:i4>5</vt:i4>
      </vt:variant>
      <vt:variant>
        <vt:lpwstr/>
      </vt:variant>
      <vt:variant>
        <vt:lpwstr>_Toc81309110</vt:lpwstr>
      </vt:variant>
      <vt:variant>
        <vt:i4>1966130</vt:i4>
      </vt:variant>
      <vt:variant>
        <vt:i4>104</vt:i4>
      </vt:variant>
      <vt:variant>
        <vt:i4>0</vt:i4>
      </vt:variant>
      <vt:variant>
        <vt:i4>5</vt:i4>
      </vt:variant>
      <vt:variant>
        <vt:lpwstr/>
      </vt:variant>
      <vt:variant>
        <vt:lpwstr>_Toc81309109</vt:lpwstr>
      </vt:variant>
      <vt:variant>
        <vt:i4>2031666</vt:i4>
      </vt:variant>
      <vt:variant>
        <vt:i4>98</vt:i4>
      </vt:variant>
      <vt:variant>
        <vt:i4>0</vt:i4>
      </vt:variant>
      <vt:variant>
        <vt:i4>5</vt:i4>
      </vt:variant>
      <vt:variant>
        <vt:lpwstr/>
      </vt:variant>
      <vt:variant>
        <vt:lpwstr>_Toc81309108</vt:lpwstr>
      </vt:variant>
      <vt:variant>
        <vt:i4>1048626</vt:i4>
      </vt:variant>
      <vt:variant>
        <vt:i4>92</vt:i4>
      </vt:variant>
      <vt:variant>
        <vt:i4>0</vt:i4>
      </vt:variant>
      <vt:variant>
        <vt:i4>5</vt:i4>
      </vt:variant>
      <vt:variant>
        <vt:lpwstr/>
      </vt:variant>
      <vt:variant>
        <vt:lpwstr>_Toc81309107</vt:lpwstr>
      </vt:variant>
      <vt:variant>
        <vt:i4>1114162</vt:i4>
      </vt:variant>
      <vt:variant>
        <vt:i4>86</vt:i4>
      </vt:variant>
      <vt:variant>
        <vt:i4>0</vt:i4>
      </vt:variant>
      <vt:variant>
        <vt:i4>5</vt:i4>
      </vt:variant>
      <vt:variant>
        <vt:lpwstr/>
      </vt:variant>
      <vt:variant>
        <vt:lpwstr>_Toc81309106</vt:lpwstr>
      </vt:variant>
      <vt:variant>
        <vt:i4>1179698</vt:i4>
      </vt:variant>
      <vt:variant>
        <vt:i4>80</vt:i4>
      </vt:variant>
      <vt:variant>
        <vt:i4>0</vt:i4>
      </vt:variant>
      <vt:variant>
        <vt:i4>5</vt:i4>
      </vt:variant>
      <vt:variant>
        <vt:lpwstr/>
      </vt:variant>
      <vt:variant>
        <vt:lpwstr>_Toc81309105</vt:lpwstr>
      </vt:variant>
      <vt:variant>
        <vt:i4>1245234</vt:i4>
      </vt:variant>
      <vt:variant>
        <vt:i4>74</vt:i4>
      </vt:variant>
      <vt:variant>
        <vt:i4>0</vt:i4>
      </vt:variant>
      <vt:variant>
        <vt:i4>5</vt:i4>
      </vt:variant>
      <vt:variant>
        <vt:lpwstr/>
      </vt:variant>
      <vt:variant>
        <vt:lpwstr>_Toc81309104</vt:lpwstr>
      </vt:variant>
      <vt:variant>
        <vt:i4>1310770</vt:i4>
      </vt:variant>
      <vt:variant>
        <vt:i4>68</vt:i4>
      </vt:variant>
      <vt:variant>
        <vt:i4>0</vt:i4>
      </vt:variant>
      <vt:variant>
        <vt:i4>5</vt:i4>
      </vt:variant>
      <vt:variant>
        <vt:lpwstr/>
      </vt:variant>
      <vt:variant>
        <vt:lpwstr>_Toc81309103</vt:lpwstr>
      </vt:variant>
      <vt:variant>
        <vt:i4>1376306</vt:i4>
      </vt:variant>
      <vt:variant>
        <vt:i4>62</vt:i4>
      </vt:variant>
      <vt:variant>
        <vt:i4>0</vt:i4>
      </vt:variant>
      <vt:variant>
        <vt:i4>5</vt:i4>
      </vt:variant>
      <vt:variant>
        <vt:lpwstr/>
      </vt:variant>
      <vt:variant>
        <vt:lpwstr>_Toc81309102</vt:lpwstr>
      </vt:variant>
      <vt:variant>
        <vt:i4>1441842</vt:i4>
      </vt:variant>
      <vt:variant>
        <vt:i4>56</vt:i4>
      </vt:variant>
      <vt:variant>
        <vt:i4>0</vt:i4>
      </vt:variant>
      <vt:variant>
        <vt:i4>5</vt:i4>
      </vt:variant>
      <vt:variant>
        <vt:lpwstr/>
      </vt:variant>
      <vt:variant>
        <vt:lpwstr>_Toc81309101</vt:lpwstr>
      </vt:variant>
      <vt:variant>
        <vt:i4>1507378</vt:i4>
      </vt:variant>
      <vt:variant>
        <vt:i4>50</vt:i4>
      </vt:variant>
      <vt:variant>
        <vt:i4>0</vt:i4>
      </vt:variant>
      <vt:variant>
        <vt:i4>5</vt:i4>
      </vt:variant>
      <vt:variant>
        <vt:lpwstr/>
      </vt:variant>
      <vt:variant>
        <vt:lpwstr>_Toc81309100</vt:lpwstr>
      </vt:variant>
      <vt:variant>
        <vt:i4>2031675</vt:i4>
      </vt:variant>
      <vt:variant>
        <vt:i4>44</vt:i4>
      </vt:variant>
      <vt:variant>
        <vt:i4>0</vt:i4>
      </vt:variant>
      <vt:variant>
        <vt:i4>5</vt:i4>
      </vt:variant>
      <vt:variant>
        <vt:lpwstr/>
      </vt:variant>
      <vt:variant>
        <vt:lpwstr>_Toc81309099</vt:lpwstr>
      </vt:variant>
      <vt:variant>
        <vt:i4>1966139</vt:i4>
      </vt:variant>
      <vt:variant>
        <vt:i4>38</vt:i4>
      </vt:variant>
      <vt:variant>
        <vt:i4>0</vt:i4>
      </vt:variant>
      <vt:variant>
        <vt:i4>5</vt:i4>
      </vt:variant>
      <vt:variant>
        <vt:lpwstr/>
      </vt:variant>
      <vt:variant>
        <vt:lpwstr>_Toc81309098</vt:lpwstr>
      </vt:variant>
      <vt:variant>
        <vt:i4>1114171</vt:i4>
      </vt:variant>
      <vt:variant>
        <vt:i4>32</vt:i4>
      </vt:variant>
      <vt:variant>
        <vt:i4>0</vt:i4>
      </vt:variant>
      <vt:variant>
        <vt:i4>5</vt:i4>
      </vt:variant>
      <vt:variant>
        <vt:lpwstr/>
      </vt:variant>
      <vt:variant>
        <vt:lpwstr>_Toc81309097</vt:lpwstr>
      </vt:variant>
      <vt:variant>
        <vt:i4>1048635</vt:i4>
      </vt:variant>
      <vt:variant>
        <vt:i4>26</vt:i4>
      </vt:variant>
      <vt:variant>
        <vt:i4>0</vt:i4>
      </vt:variant>
      <vt:variant>
        <vt:i4>5</vt:i4>
      </vt:variant>
      <vt:variant>
        <vt:lpwstr/>
      </vt:variant>
      <vt:variant>
        <vt:lpwstr>_Toc81309096</vt:lpwstr>
      </vt:variant>
      <vt:variant>
        <vt:i4>1245243</vt:i4>
      </vt:variant>
      <vt:variant>
        <vt:i4>20</vt:i4>
      </vt:variant>
      <vt:variant>
        <vt:i4>0</vt:i4>
      </vt:variant>
      <vt:variant>
        <vt:i4>5</vt:i4>
      </vt:variant>
      <vt:variant>
        <vt:lpwstr/>
      </vt:variant>
      <vt:variant>
        <vt:lpwstr>_Toc81309095</vt:lpwstr>
      </vt:variant>
      <vt:variant>
        <vt:i4>1179707</vt:i4>
      </vt:variant>
      <vt:variant>
        <vt:i4>14</vt:i4>
      </vt:variant>
      <vt:variant>
        <vt:i4>0</vt:i4>
      </vt:variant>
      <vt:variant>
        <vt:i4>5</vt:i4>
      </vt:variant>
      <vt:variant>
        <vt:lpwstr/>
      </vt:variant>
      <vt:variant>
        <vt:lpwstr>_Toc81309094</vt:lpwstr>
      </vt:variant>
      <vt:variant>
        <vt:i4>1376315</vt:i4>
      </vt:variant>
      <vt:variant>
        <vt:i4>8</vt:i4>
      </vt:variant>
      <vt:variant>
        <vt:i4>0</vt:i4>
      </vt:variant>
      <vt:variant>
        <vt:i4>5</vt:i4>
      </vt:variant>
      <vt:variant>
        <vt:lpwstr/>
      </vt:variant>
      <vt:variant>
        <vt:lpwstr>_Toc81309093</vt:lpwstr>
      </vt:variant>
      <vt:variant>
        <vt:i4>1310779</vt:i4>
      </vt:variant>
      <vt:variant>
        <vt:i4>2</vt:i4>
      </vt:variant>
      <vt:variant>
        <vt:i4>0</vt:i4>
      </vt:variant>
      <vt:variant>
        <vt:i4>5</vt:i4>
      </vt:variant>
      <vt:variant>
        <vt:lpwstr/>
      </vt:variant>
      <vt:variant>
        <vt:lpwstr>_Toc81309092</vt:lpwstr>
      </vt:variant>
      <vt:variant>
        <vt:i4>5111890</vt:i4>
      </vt:variant>
      <vt:variant>
        <vt:i4>0</vt:i4>
      </vt:variant>
      <vt:variant>
        <vt:i4>0</vt:i4>
      </vt:variant>
      <vt:variant>
        <vt:i4>5</vt:i4>
      </vt:variant>
      <vt:variant>
        <vt:lpwstr>http://www.palisade.com/</vt:lpwstr>
      </vt:variant>
      <vt:variant>
        <vt:lpwstr/>
      </vt:variant>
      <vt:variant>
        <vt:i4>983143</vt:i4>
      </vt:variant>
      <vt:variant>
        <vt:i4>24</vt:i4>
      </vt:variant>
      <vt:variant>
        <vt:i4>0</vt:i4>
      </vt:variant>
      <vt:variant>
        <vt:i4>5</vt:i4>
      </vt:variant>
      <vt:variant>
        <vt:lpwstr>mailto:VVH1@nrc.gov</vt:lpwstr>
      </vt:variant>
      <vt:variant>
        <vt:lpwstr/>
      </vt:variant>
      <vt:variant>
        <vt:i4>7929950</vt:i4>
      </vt:variant>
      <vt:variant>
        <vt:i4>21</vt:i4>
      </vt:variant>
      <vt:variant>
        <vt:i4>0</vt:i4>
      </vt:variant>
      <vt:variant>
        <vt:i4>5</vt:i4>
      </vt:variant>
      <vt:variant>
        <vt:lpwstr>mailto:TGS@NRC.GOV</vt:lpwstr>
      </vt:variant>
      <vt:variant>
        <vt:lpwstr/>
      </vt:variant>
      <vt:variant>
        <vt:i4>5505079</vt:i4>
      </vt:variant>
      <vt:variant>
        <vt:i4>18</vt:i4>
      </vt:variant>
      <vt:variant>
        <vt:i4>0</vt:i4>
      </vt:variant>
      <vt:variant>
        <vt:i4>5</vt:i4>
      </vt:variant>
      <vt:variant>
        <vt:lpwstr>mailto:Thomas.Scarbrough@nrc.gov</vt:lpwstr>
      </vt:variant>
      <vt:variant>
        <vt:lpwstr/>
      </vt:variant>
      <vt:variant>
        <vt:i4>3997781</vt:i4>
      </vt:variant>
      <vt:variant>
        <vt:i4>15</vt:i4>
      </vt:variant>
      <vt:variant>
        <vt:i4>0</vt:i4>
      </vt:variant>
      <vt:variant>
        <vt:i4>5</vt:i4>
      </vt:variant>
      <vt:variant>
        <vt:lpwstr>mailto:Robert.Wolfgang@nrc.gov</vt:lpwstr>
      </vt:variant>
      <vt:variant>
        <vt:lpwstr/>
      </vt:variant>
      <vt:variant>
        <vt:i4>524398</vt:i4>
      </vt:variant>
      <vt:variant>
        <vt:i4>12</vt:i4>
      </vt:variant>
      <vt:variant>
        <vt:i4>0</vt:i4>
      </vt:variant>
      <vt:variant>
        <vt:i4>5</vt:i4>
      </vt:variant>
      <vt:variant>
        <vt:lpwstr>mailto:Aaron.Sanders@nrc.gov</vt:lpwstr>
      </vt:variant>
      <vt:variant>
        <vt:lpwstr/>
      </vt:variant>
      <vt:variant>
        <vt:i4>983143</vt:i4>
      </vt:variant>
      <vt:variant>
        <vt:i4>9</vt:i4>
      </vt:variant>
      <vt:variant>
        <vt:i4>0</vt:i4>
      </vt:variant>
      <vt:variant>
        <vt:i4>5</vt:i4>
      </vt:variant>
      <vt:variant>
        <vt:lpwstr>mailto:VVH1@nrc.gov</vt:lpwstr>
      </vt:variant>
      <vt:variant>
        <vt:lpwstr/>
      </vt:variant>
      <vt:variant>
        <vt:i4>7929950</vt:i4>
      </vt:variant>
      <vt:variant>
        <vt:i4>6</vt:i4>
      </vt:variant>
      <vt:variant>
        <vt:i4>0</vt:i4>
      </vt:variant>
      <vt:variant>
        <vt:i4>5</vt:i4>
      </vt:variant>
      <vt:variant>
        <vt:lpwstr>mailto:TGS@NRC.GOV</vt:lpwstr>
      </vt:variant>
      <vt:variant>
        <vt:lpwstr/>
      </vt:variant>
      <vt:variant>
        <vt:i4>3997781</vt:i4>
      </vt:variant>
      <vt:variant>
        <vt:i4>3</vt:i4>
      </vt:variant>
      <vt:variant>
        <vt:i4>0</vt:i4>
      </vt:variant>
      <vt:variant>
        <vt:i4>5</vt:i4>
      </vt:variant>
      <vt:variant>
        <vt:lpwstr>mailto:Robert.Wolfgang@nrc.gov</vt:lpwstr>
      </vt:variant>
      <vt:variant>
        <vt:lpwstr/>
      </vt:variant>
      <vt:variant>
        <vt:i4>5505079</vt:i4>
      </vt:variant>
      <vt:variant>
        <vt:i4>0</vt:i4>
      </vt:variant>
      <vt:variant>
        <vt:i4>0</vt:i4>
      </vt:variant>
      <vt:variant>
        <vt:i4>5</vt:i4>
      </vt:variant>
      <vt:variant>
        <vt:lpwstr>mailto:Thomas.Scarbrough@nrc.gov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ASME 09-13 draft final RA</dc:title>
  <dc:subject/>
  <dc:creator>TGS</dc:creator>
  <cp:keywords/>
  <dc:description/>
  <cp:lastModifiedBy>Kenny, Caylee</cp:lastModifiedBy>
  <cp:revision>8</cp:revision>
  <cp:lastPrinted>2020-02-07T17:09:00Z</cp:lastPrinted>
  <dcterms:created xsi:type="dcterms:W3CDTF">2022-02-23T21:50:00Z</dcterms:created>
  <dcterms:modified xsi:type="dcterms:W3CDTF">2022-04-08T12:51:00Z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y fmtid="{D5CDD505-2E9C-101B-9397-08002B2CF9AE}" pid="3" name="_dlc_DocIdItemGuid">
    <vt:lpwstr>4eebb92a-a88a-4c92-9080-aea2d45860bb</vt:lpwstr>
  </property>
</Properties>
</file>