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3DB" w:rsidRPr="00951975" w14:paraId="02F05FCB" w14:textId="77777777">
      <w:pPr>
        <w:pStyle w:val="Title"/>
        <w:tabs>
          <w:tab w:val="center" w:pos="5148"/>
        </w:tabs>
        <w:rPr>
          <w:rFonts w:ascii="Times New Roman" w:hAnsi="Times New Roman"/>
          <w:sz w:val="24"/>
          <w:szCs w:val="24"/>
        </w:rPr>
      </w:pPr>
      <w:r w:rsidRPr="00951975">
        <w:rPr>
          <w:rFonts w:ascii="Times New Roman" w:hAnsi="Times New Roman"/>
          <w:sz w:val="24"/>
          <w:szCs w:val="24"/>
        </w:rPr>
        <w:t>Supporting Statement for Paperwork Reduction Act Submissions</w:t>
      </w:r>
    </w:p>
    <w:p w:rsidR="00DA53DB" w:rsidRPr="00951975" w14:paraId="5A97A644" w14:textId="77777777">
      <w:pPr>
        <w:tabs>
          <w:tab w:val="center" w:pos="5148"/>
        </w:tabs>
        <w:suppressAutoHyphens/>
        <w:jc w:val="center"/>
        <w:rPr>
          <w:b/>
          <w:sz w:val="24"/>
          <w:szCs w:val="24"/>
        </w:rPr>
      </w:pPr>
      <w:r w:rsidRPr="00951975">
        <w:rPr>
          <w:b/>
          <w:sz w:val="24"/>
          <w:szCs w:val="24"/>
        </w:rPr>
        <w:t>Information Collection:</w:t>
      </w:r>
      <w:r w:rsidRPr="00951975" w:rsidR="0073153D">
        <w:rPr>
          <w:b/>
          <w:sz w:val="24"/>
          <w:szCs w:val="24"/>
        </w:rPr>
        <w:fldChar w:fldCharType="begin"/>
      </w:r>
      <w:r w:rsidRPr="00951975">
        <w:rPr>
          <w:b/>
          <w:sz w:val="24"/>
          <w:szCs w:val="24"/>
        </w:rPr>
        <w:instrText xml:space="preserve"> </w:instrText>
      </w:r>
      <w:r w:rsidRPr="00951975" w:rsidR="0073153D">
        <w:rPr>
          <w:b/>
          <w:sz w:val="24"/>
          <w:szCs w:val="24"/>
        </w:rPr>
        <w:fldChar w:fldCharType="end"/>
      </w:r>
    </w:p>
    <w:p w:rsidR="00DA53DB" w:rsidP="57DB3786" w14:paraId="06D26F67" w14:textId="77777777">
      <w:pPr>
        <w:tabs>
          <w:tab w:val="center" w:pos="5148"/>
        </w:tabs>
        <w:suppressAutoHyphens/>
        <w:jc w:val="center"/>
        <w:rPr>
          <w:b/>
          <w:bCs/>
          <w:sz w:val="24"/>
          <w:szCs w:val="24"/>
        </w:rPr>
      </w:pPr>
      <w:bookmarkStart w:id="0" w:name="_Hlk105700260"/>
      <w:r w:rsidRPr="57DB3786">
        <w:rPr>
          <w:b/>
          <w:bCs/>
          <w:sz w:val="24"/>
          <w:szCs w:val="24"/>
        </w:rPr>
        <w:t>Promise Zone</w:t>
      </w:r>
      <w:r w:rsidRPr="57DB3786" w:rsidR="30813B2A">
        <w:rPr>
          <w:b/>
          <w:bCs/>
          <w:sz w:val="24"/>
          <w:szCs w:val="24"/>
        </w:rPr>
        <w:t xml:space="preserve"> Certification </w:t>
      </w:r>
      <w:bookmarkEnd w:id="0"/>
      <w:r w:rsidRPr="57DB3786" w:rsidR="30813B2A">
        <w:rPr>
          <w:b/>
          <w:bCs/>
          <w:sz w:val="24"/>
          <w:szCs w:val="24"/>
        </w:rPr>
        <w:t>Form</w:t>
      </w:r>
      <w:r w:rsidRPr="57DB3786" w:rsidR="518AA0CC">
        <w:rPr>
          <w:b/>
          <w:bCs/>
          <w:sz w:val="24"/>
          <w:szCs w:val="24"/>
        </w:rPr>
        <w:t xml:space="preserve"> 50153</w:t>
      </w:r>
    </w:p>
    <w:p w:rsidR="002751A0" w:rsidP="57DB3786" w14:paraId="52086DBA" w14:textId="77777777">
      <w:pPr>
        <w:tabs>
          <w:tab w:val="center" w:pos="5148"/>
        </w:tabs>
        <w:suppressAutoHyphens/>
        <w:jc w:val="center"/>
        <w:rPr>
          <w:b/>
          <w:bCs/>
          <w:sz w:val="24"/>
          <w:szCs w:val="24"/>
        </w:rPr>
      </w:pPr>
      <w:r w:rsidRPr="57DB3786">
        <w:rPr>
          <w:b/>
          <w:bCs/>
          <w:sz w:val="24"/>
          <w:szCs w:val="24"/>
        </w:rPr>
        <w:t>OMB Number 2501-003</w:t>
      </w:r>
      <w:r w:rsidRPr="57DB3786" w:rsidR="6AD34464">
        <w:rPr>
          <w:b/>
          <w:bCs/>
          <w:sz w:val="24"/>
          <w:szCs w:val="24"/>
        </w:rPr>
        <w:t>3</w:t>
      </w:r>
    </w:p>
    <w:p w:rsidR="00300B70" w:rsidRPr="00951975" w:rsidP="57DB3786" w14:paraId="286651F6" w14:textId="77777777">
      <w:pPr>
        <w:tabs>
          <w:tab w:val="center" w:pos="5148"/>
        </w:tabs>
        <w:suppressAutoHyphens/>
        <w:jc w:val="center"/>
        <w:rPr>
          <w:b/>
          <w:bCs/>
          <w:sz w:val="24"/>
          <w:szCs w:val="24"/>
        </w:rPr>
      </w:pPr>
    </w:p>
    <w:p w:rsidR="00DA53DB" w:rsidRPr="00300B70" w14:paraId="78631897" w14:textId="77777777">
      <w:pPr>
        <w:tabs>
          <w:tab w:val="center" w:pos="5148"/>
        </w:tabs>
        <w:suppressAutoHyphens/>
        <w:jc w:val="center"/>
        <w:rPr>
          <w:bCs/>
          <w:sz w:val="24"/>
          <w:szCs w:val="24"/>
        </w:rPr>
      </w:pPr>
    </w:p>
    <w:p w:rsidR="00DA53DB" w:rsidRPr="00300B70" w14:paraId="0CB34AFA" w14:textId="77777777">
      <w:pPr>
        <w:pStyle w:val="BodyTextIndent2"/>
        <w:tabs>
          <w:tab w:val="clear" w:pos="0"/>
          <w:tab w:val="left" w:pos="360"/>
        </w:tabs>
        <w:spacing w:after="120" w:line="240" w:lineRule="auto"/>
        <w:ind w:hanging="360"/>
        <w:rPr>
          <w:bCs/>
          <w:szCs w:val="24"/>
        </w:rPr>
      </w:pPr>
      <w:r w:rsidRPr="00300B70">
        <w:rPr>
          <w:bCs/>
          <w:szCs w:val="24"/>
        </w:rPr>
        <w:t>A.</w:t>
      </w:r>
      <w:r w:rsidRPr="00300B70">
        <w:rPr>
          <w:bCs/>
          <w:szCs w:val="24"/>
        </w:rPr>
        <w:tab/>
        <w:t>Justification</w:t>
      </w:r>
    </w:p>
    <w:p w:rsidR="000A5631" w:rsidRPr="00300B70" w:rsidP="009A3689" w14:paraId="554FFE82" w14:textId="77777777">
      <w:pPr>
        <w:pStyle w:val="ListParagraph"/>
        <w:numPr>
          <w:ilvl w:val="0"/>
          <w:numId w:val="22"/>
        </w:numPr>
        <w:spacing w:line="240" w:lineRule="auto"/>
        <w:rPr>
          <w:rFonts w:ascii="Times New Roman" w:hAnsi="Times New Roman" w:cs="Times New Roman"/>
          <w:bCs/>
          <w:sz w:val="24"/>
          <w:szCs w:val="24"/>
        </w:rPr>
      </w:pPr>
      <w:r w:rsidRPr="00300B70">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00B70">
        <w:rPr>
          <w:rFonts w:ascii="Times New Roman" w:hAnsi="Times New Roman" w:cs="Times New Roman"/>
          <w:bCs/>
          <w:sz w:val="24"/>
          <w:szCs w:val="24"/>
        </w:rPr>
        <w:t>.</w:t>
      </w:r>
    </w:p>
    <w:p w:rsidR="766109E6" w:rsidRPr="00300B70" w:rsidP="766109E6" w14:paraId="78E3A913" w14:textId="77777777">
      <w:pPr>
        <w:spacing w:line="259" w:lineRule="auto"/>
        <w:ind w:left="360"/>
        <w:rPr>
          <w:bCs/>
          <w:sz w:val="24"/>
          <w:szCs w:val="24"/>
        </w:rPr>
      </w:pPr>
    </w:p>
    <w:p w:rsidR="000A5631" w:rsidRPr="00300B70" w:rsidP="000A5631" w14:paraId="50DA34AA" w14:textId="77777777">
      <w:pPr>
        <w:ind w:left="360"/>
        <w:rPr>
          <w:bCs/>
          <w:sz w:val="24"/>
          <w:szCs w:val="24"/>
        </w:rPr>
      </w:pPr>
      <w:r w:rsidRPr="00300B70">
        <w:rPr>
          <w:bCs/>
          <w:sz w:val="24"/>
          <w:szCs w:val="24"/>
        </w:rPr>
        <w:t>Under the Promise Zones initiative, the federal government invest</w:t>
      </w:r>
      <w:r w:rsidRPr="00300B70" w:rsidR="002368BF">
        <w:rPr>
          <w:bCs/>
          <w:sz w:val="24"/>
          <w:szCs w:val="24"/>
        </w:rPr>
        <w:t>s</w:t>
      </w:r>
      <w:r w:rsidRPr="00300B70" w:rsidR="00BA2E4A">
        <w:rPr>
          <w:bCs/>
          <w:sz w:val="24"/>
          <w:szCs w:val="24"/>
        </w:rPr>
        <w:t xml:space="preserve"> in</w:t>
      </w:r>
      <w:r w:rsidRPr="00300B70">
        <w:rPr>
          <w:bCs/>
          <w:sz w:val="24"/>
          <w:szCs w:val="24"/>
        </w:rPr>
        <w:t xml:space="preserve"> and partner</w:t>
      </w:r>
      <w:r w:rsidRPr="00300B70" w:rsidR="00BA2E4A">
        <w:rPr>
          <w:bCs/>
          <w:sz w:val="24"/>
          <w:szCs w:val="24"/>
        </w:rPr>
        <w:t>s</w:t>
      </w:r>
      <w:r w:rsidRPr="00300B70">
        <w:rPr>
          <w:bCs/>
          <w:sz w:val="24"/>
          <w:szCs w:val="24"/>
        </w:rPr>
        <w:t xml:space="preserve"> with high-poverty urban, rural, and tribal communities to create jobs, increase economic activity, improve educational opportunities, leverage private investment, and reduce violent crime. Additional information about the Promise Zones initiative can be found at </w:t>
      </w:r>
      <w:hyperlink r:id="rId9" w:history="1">
        <w:r w:rsidRPr="00300B70" w:rsidR="00064F59">
          <w:rPr>
            <w:rStyle w:val="Hyperlink"/>
            <w:bCs/>
            <w:sz w:val="24"/>
            <w:szCs w:val="24"/>
          </w:rPr>
          <w:t>https://www.hudexchange.info/programs/promise-zones/</w:t>
        </w:r>
      </w:hyperlink>
      <w:r w:rsidRPr="00300B70">
        <w:rPr>
          <w:bCs/>
          <w:sz w:val="24"/>
          <w:szCs w:val="24"/>
        </w:rPr>
        <w:t>, and questions can be addressed to </w:t>
      </w:r>
      <w:hyperlink r:id="rId10" w:history="1">
        <w:r w:rsidRPr="00300B70" w:rsidR="00064F59">
          <w:rPr>
            <w:rStyle w:val="Hyperlink"/>
            <w:bCs/>
            <w:i/>
            <w:iCs/>
            <w:sz w:val="24"/>
            <w:szCs w:val="24"/>
          </w:rPr>
          <w:t>promisezone@hud.gov</w:t>
        </w:r>
      </w:hyperlink>
      <w:r w:rsidRPr="00300B70">
        <w:rPr>
          <w:bCs/>
          <w:i/>
          <w:iCs/>
          <w:sz w:val="24"/>
          <w:szCs w:val="24"/>
        </w:rPr>
        <w:t>.</w:t>
      </w:r>
      <w:r w:rsidRPr="00300B70">
        <w:rPr>
          <w:bCs/>
          <w:sz w:val="24"/>
          <w:szCs w:val="24"/>
        </w:rPr>
        <w:t xml:space="preserve">  </w:t>
      </w:r>
    </w:p>
    <w:p w:rsidR="000A5631" w:rsidRPr="00300B70" w:rsidP="000A5631" w14:paraId="5E2333D9" w14:textId="77777777">
      <w:pPr>
        <w:ind w:left="360"/>
        <w:rPr>
          <w:bCs/>
          <w:sz w:val="24"/>
          <w:szCs w:val="24"/>
        </w:rPr>
      </w:pPr>
    </w:p>
    <w:p w:rsidR="000A5631" w:rsidRPr="00300B70" w:rsidP="000A5631" w14:paraId="078900B9" w14:textId="77777777">
      <w:pPr>
        <w:ind w:left="360"/>
        <w:rPr>
          <w:bCs/>
          <w:sz w:val="24"/>
          <w:szCs w:val="24"/>
        </w:rPr>
      </w:pPr>
      <w:r w:rsidRPr="00300B70">
        <w:rPr>
          <w:bCs/>
          <w:sz w:val="24"/>
          <w:szCs w:val="24"/>
        </w:rPr>
        <w:t xml:space="preserve">The federal administrative duties pertaining to these designations shall be managed and executed by HUD for </w:t>
      </w:r>
      <w:r w:rsidRPr="00300B70" w:rsidR="00282D2D">
        <w:rPr>
          <w:bCs/>
          <w:sz w:val="24"/>
          <w:szCs w:val="24"/>
        </w:rPr>
        <w:t>ten</w:t>
      </w:r>
      <w:r w:rsidRPr="00300B70">
        <w:rPr>
          <w:bCs/>
          <w:sz w:val="24"/>
          <w:szCs w:val="24"/>
        </w:rPr>
        <w:t xml:space="preserve"> years from the designation dates pursuant </w:t>
      </w:r>
      <w:r w:rsidRPr="00300B70" w:rsidR="008A68FC">
        <w:rPr>
          <w:bCs/>
          <w:sz w:val="24"/>
          <w:szCs w:val="24"/>
        </w:rPr>
        <w:t xml:space="preserve">to </w:t>
      </w:r>
      <w:r w:rsidRPr="00300B70">
        <w:rPr>
          <w:bCs/>
          <w:sz w:val="24"/>
          <w:szCs w:val="24"/>
        </w:rPr>
        <w:t>sections 2 and 3 of the HUD Act, 42 U.S.C. §</w:t>
      </w:r>
      <w:r w:rsidRPr="00300B70" w:rsidR="00D9688D">
        <w:rPr>
          <w:bCs/>
          <w:sz w:val="24"/>
          <w:szCs w:val="24"/>
        </w:rPr>
        <w:t>§</w:t>
      </w:r>
      <w:r w:rsidRPr="00300B70">
        <w:rPr>
          <w:bCs/>
          <w:sz w:val="24"/>
          <w:szCs w:val="24"/>
        </w:rPr>
        <w:t xml:space="preserve"> 3531-32</w:t>
      </w:r>
      <w:r>
        <w:rPr>
          <w:rStyle w:val="FootnoteReference"/>
          <w:bCs/>
          <w:sz w:val="24"/>
          <w:szCs w:val="24"/>
        </w:rPr>
        <w:footnoteReference w:id="3"/>
      </w:r>
      <w:r w:rsidRPr="00300B70">
        <w:rPr>
          <w:bCs/>
          <w:sz w:val="24"/>
          <w:szCs w:val="24"/>
        </w:rPr>
        <w:t>, to assist the President in achieving maximum coordination of the various federal activities which have a major effect upon urban community, suburban, or metropolitan development; to develop and recommend the President policies for fostering orderly growth and development of the Nation’s urban areas; and to exercise leadership, at the direction of the President, in coordinating federal activities affecting housing and urban development.</w:t>
      </w:r>
    </w:p>
    <w:p w:rsidR="766109E6" w:rsidRPr="00300B70" w:rsidP="766109E6" w14:paraId="2DED7A79" w14:textId="77777777">
      <w:pPr>
        <w:ind w:left="360"/>
        <w:rPr>
          <w:bCs/>
          <w:sz w:val="24"/>
          <w:szCs w:val="24"/>
        </w:rPr>
      </w:pPr>
    </w:p>
    <w:p w:rsidR="00615B36" w:rsidRPr="00300B70" w:rsidP="00E34DD0" w14:paraId="0A802F74" w14:textId="77777777">
      <w:pPr>
        <w:pStyle w:val="ListParagraph"/>
        <w:numPr>
          <w:ilvl w:val="0"/>
          <w:numId w:val="22"/>
        </w:numPr>
        <w:spacing w:after="0" w:line="240" w:lineRule="auto"/>
        <w:textAlignment w:val="baseline"/>
        <w:rPr>
          <w:rFonts w:ascii="Segoe UI" w:hAnsi="Segoe UI" w:cs="Segoe UI"/>
          <w:b/>
        </w:rPr>
      </w:pPr>
      <w:r w:rsidRPr="00300B70">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300B70" w:rsidR="00917055">
        <w:rPr>
          <w:rFonts w:ascii="Times New Roman" w:hAnsi="Times New Roman" w:cs="Times New Roman"/>
          <w:b/>
          <w:sz w:val="24"/>
          <w:szCs w:val="24"/>
        </w:rPr>
        <w:t xml:space="preserve"> </w:t>
      </w:r>
    </w:p>
    <w:p w:rsidR="00917055" w:rsidRPr="00300B70" w:rsidP="00917055" w14:paraId="72A93128" w14:textId="77777777">
      <w:pPr>
        <w:rPr>
          <w:rFonts w:ascii="Segoe UI" w:hAnsi="Segoe UI" w:cs="Segoe UI"/>
          <w:bCs/>
        </w:rPr>
      </w:pPr>
    </w:p>
    <w:p w:rsidR="002B4AD8" w:rsidP="002B4AD8" w14:paraId="2C57A540" w14:textId="056D2B16">
      <w:pPr>
        <w:pStyle w:val="paragraph"/>
        <w:spacing w:before="0" w:beforeAutospacing="0" w:after="0" w:afterAutospacing="0"/>
        <w:ind w:left="360"/>
        <w:textAlignment w:val="baseline"/>
        <w:rPr>
          <w:bCs/>
          <w:color w:val="000000" w:themeColor="text1"/>
        </w:rPr>
      </w:pPr>
      <w:r w:rsidRPr="00300B70">
        <w:rPr>
          <w:bCs/>
          <w:color w:val="000000" w:themeColor="text1"/>
        </w:rPr>
        <w:t xml:space="preserve">This collection is a </w:t>
      </w:r>
      <w:r w:rsidRPr="00300B70">
        <w:rPr>
          <w:bCs/>
          <w:color w:val="000000" w:themeColor="text1"/>
        </w:rPr>
        <w:t>re</w:t>
      </w:r>
      <w:r>
        <w:rPr>
          <w:bCs/>
          <w:color w:val="000000" w:themeColor="text1"/>
        </w:rPr>
        <w:t>instatement with change</w:t>
      </w:r>
      <w:r w:rsidRPr="00300B70">
        <w:rPr>
          <w:bCs/>
          <w:color w:val="000000" w:themeColor="text1"/>
        </w:rPr>
        <w:t xml:space="preserve"> in which federal agencies will collect information for preference points, where available, in competitive federal grants and technical assistance applications. </w:t>
      </w:r>
    </w:p>
    <w:p w:rsidR="002B4AD8" w:rsidP="002B4AD8" w14:paraId="66686BFE" w14:textId="77777777">
      <w:pPr>
        <w:pStyle w:val="paragraph"/>
        <w:spacing w:before="0" w:beforeAutospacing="0" w:after="0" w:afterAutospacing="0"/>
        <w:ind w:left="360"/>
        <w:textAlignment w:val="baseline"/>
        <w:rPr>
          <w:bCs/>
          <w:color w:val="000000" w:themeColor="text1"/>
        </w:rPr>
      </w:pPr>
    </w:p>
    <w:p w:rsidR="002B4AD8" w:rsidRPr="002B4AD8" w:rsidP="002B4AD8" w14:paraId="1F81268C" w14:textId="396B59FF">
      <w:pPr>
        <w:pStyle w:val="paragraph"/>
        <w:spacing w:before="0" w:beforeAutospacing="0" w:after="0" w:afterAutospacing="0"/>
        <w:ind w:left="360"/>
        <w:textAlignment w:val="baseline"/>
        <w:rPr>
          <w:bCs/>
          <w:color w:val="000000" w:themeColor="text1"/>
        </w:rPr>
      </w:pPr>
      <w:r w:rsidRPr="002B4AD8">
        <w:rPr>
          <w:rStyle w:val="normaltextrun"/>
          <w:bCs/>
        </w:rPr>
        <w:t>Form 50153 is used by federal agencies to document that an application or proposal should receive preference points or priority consideration for certain competitive federal programs and technical assistance. The Certification Form is submitted by organizations applying for federal assistance with the rest of their proposal package, typically through the Grants.gov application portal. </w:t>
      </w:r>
      <w:r w:rsidRPr="002B4AD8">
        <w:rPr>
          <w:rStyle w:val="eop"/>
          <w:bCs/>
        </w:rPr>
        <w:t> </w:t>
      </w:r>
      <w:r w:rsidRPr="002B4AD8">
        <w:rPr>
          <w:rStyle w:val="cf01"/>
          <w:rFonts w:ascii="Times New Roman" w:hAnsi="Times New Roman" w:cs="Times New Roman"/>
          <w:sz w:val="24"/>
          <w:szCs w:val="24"/>
        </w:rPr>
        <w:t>The form is intended for any Federal NOFO that offers preference points to Promise Zone designees.  The burden calculation applies only when Promise Zone designees apply to NOFOs offering Preference Points</w:t>
      </w:r>
    </w:p>
    <w:p w:rsidR="00917055" w:rsidRPr="002B4AD8" w:rsidP="00917055" w14:paraId="156C2DCE" w14:textId="38B09330">
      <w:pPr>
        <w:pStyle w:val="paragraph"/>
        <w:spacing w:before="0" w:beforeAutospacing="0" w:after="0" w:afterAutospacing="0"/>
        <w:ind w:left="360"/>
        <w:textAlignment w:val="baseline"/>
        <w:rPr>
          <w:bCs/>
        </w:rPr>
      </w:pPr>
    </w:p>
    <w:p w:rsidR="00917055" w:rsidRPr="00300B70" w:rsidP="00917055" w14:paraId="7225F1C1" w14:textId="77777777">
      <w:pPr>
        <w:pStyle w:val="paragraph"/>
        <w:spacing w:before="0" w:beforeAutospacing="0" w:after="0" w:afterAutospacing="0"/>
        <w:ind w:firstLine="720"/>
        <w:textAlignment w:val="baseline"/>
        <w:rPr>
          <w:rFonts w:ascii="Segoe UI" w:hAnsi="Segoe UI" w:cs="Segoe UI"/>
          <w:bCs/>
          <w:sz w:val="18"/>
          <w:szCs w:val="18"/>
        </w:rPr>
      </w:pPr>
      <w:r w:rsidRPr="00300B70">
        <w:rPr>
          <w:rStyle w:val="eop"/>
          <w:bCs/>
        </w:rPr>
        <w:t> </w:t>
      </w:r>
    </w:p>
    <w:p w:rsidR="00917055" w:rsidRPr="00300B70" w:rsidP="00917055" w14:paraId="34B8629D" w14:textId="77777777">
      <w:pPr>
        <w:pStyle w:val="paragraph"/>
        <w:spacing w:before="0" w:beforeAutospacing="0" w:after="0" w:afterAutospacing="0"/>
        <w:ind w:left="360"/>
        <w:textAlignment w:val="baseline"/>
        <w:rPr>
          <w:rFonts w:ascii="Segoe UI" w:hAnsi="Segoe UI" w:cs="Segoe UI"/>
          <w:bCs/>
          <w:sz w:val="18"/>
          <w:szCs w:val="18"/>
        </w:rPr>
      </w:pPr>
      <w:r w:rsidRPr="00300B70">
        <w:rPr>
          <w:bCs/>
        </w:rPr>
        <w:t>An authorized </w:t>
      </w:r>
      <w:hyperlink r:id="rId11" w:anchor="urban-designees-contact-information" w:tgtFrame="_blank" w:history="1">
        <w:r w:rsidRPr="00300B70">
          <w:rPr>
            <w:rStyle w:val="Hyperlink"/>
            <w:bCs/>
            <w:color w:val="auto"/>
            <w:u w:val="none"/>
          </w:rPr>
          <w:t>signatory</w:t>
        </w:r>
      </w:hyperlink>
      <w:r w:rsidRPr="00300B70">
        <w:rPr>
          <w:bCs/>
        </w:rPr>
        <w:t> within the</w:t>
      </w:r>
      <w:r w:rsidRPr="00300B70">
        <w:rPr>
          <w:rStyle w:val="normaltextrun"/>
          <w:bCs/>
        </w:rPr>
        <w:t> Promise Zone lead agency signs the form to certify that the grant proposal will advance the work of the Promise Zone towards its goals. The goal of the form is to prevent organizations who are not involved with their local Promise Zone from benefitting from preference points/priority consideration that are not meant for them. </w:t>
      </w:r>
      <w:r w:rsidRPr="00300B70">
        <w:rPr>
          <w:rStyle w:val="eop"/>
          <w:bCs/>
        </w:rPr>
        <w:t> </w:t>
      </w:r>
    </w:p>
    <w:p w:rsidR="00444EC9" w:rsidRPr="00300B70" w:rsidP="77A7F6B5" w14:paraId="20ABF149" w14:textId="77777777">
      <w:pPr>
        <w:pStyle w:val="paragraph"/>
        <w:spacing w:before="0" w:beforeAutospacing="0" w:after="0" w:afterAutospacing="0"/>
        <w:ind w:left="360"/>
        <w:textAlignment w:val="baseline"/>
        <w:rPr>
          <w:bCs/>
          <w:color w:val="000000" w:themeColor="text1"/>
        </w:rPr>
      </w:pPr>
    </w:p>
    <w:p w:rsidR="00615B36" w:rsidRPr="00300B70" w:rsidP="77A7F6B5" w14:paraId="7F544599" w14:textId="77777777">
      <w:pPr>
        <w:pStyle w:val="paragraph"/>
        <w:spacing w:before="0" w:beforeAutospacing="0" w:after="0" w:afterAutospacing="0"/>
        <w:ind w:left="360"/>
        <w:textAlignment w:val="baseline"/>
        <w:rPr>
          <w:rStyle w:val="normaltextrun"/>
          <w:bCs/>
        </w:rPr>
      </w:pPr>
      <w:r w:rsidRPr="00300B70">
        <w:rPr>
          <w:bCs/>
          <w:color w:val="000000" w:themeColor="text1"/>
        </w:rPr>
        <w:t>T</w:t>
      </w:r>
      <w:r w:rsidRPr="00300B70" w:rsidR="00F54B1A">
        <w:rPr>
          <w:bCs/>
          <w:color w:val="000000" w:themeColor="text1"/>
        </w:rPr>
        <w:t xml:space="preserve">he revisions to the form include the addition of a Paperwork Reduction Act burden statement; the addition of drop-down options to two of the information fields in the form, which will result in less typing for the applicant and fewer typos; the addition of HUD’s agency name to the top of the form; and the addition of descriptions to </w:t>
      </w:r>
      <w:bookmarkStart w:id="1" w:name="_Hlk105416718"/>
      <w:r w:rsidRPr="00300B70" w:rsidR="00F54B1A">
        <w:rPr>
          <w:bCs/>
          <w:color w:val="000000" w:themeColor="text1"/>
        </w:rPr>
        <w:t xml:space="preserve">interactive fields to ensure 508 compliance. </w:t>
      </w:r>
    </w:p>
    <w:bookmarkEnd w:id="1"/>
    <w:p w:rsidR="009A3689" w:rsidRPr="00300B70" w:rsidP="000A7D9C" w14:paraId="5EFEF4BE" w14:textId="77777777">
      <w:pPr>
        <w:pStyle w:val="BodyTextIndent2"/>
        <w:tabs>
          <w:tab w:val="clear" w:pos="0"/>
          <w:tab w:val="left" w:pos="360"/>
        </w:tabs>
        <w:spacing w:after="120" w:line="240" w:lineRule="auto"/>
        <w:rPr>
          <w:bCs/>
          <w:szCs w:val="24"/>
        </w:rPr>
      </w:pPr>
    </w:p>
    <w:p w:rsidR="000A5631" w:rsidRPr="00300B70" w:rsidP="009A3689" w14:paraId="76000818" w14:textId="77777777">
      <w:pPr>
        <w:pStyle w:val="BodyTextIndent2"/>
        <w:numPr>
          <w:ilvl w:val="0"/>
          <w:numId w:val="22"/>
        </w:numPr>
        <w:tabs>
          <w:tab w:val="clear" w:pos="0"/>
          <w:tab w:val="left" w:pos="360"/>
        </w:tabs>
        <w:spacing w:after="120" w:line="240" w:lineRule="auto"/>
        <w:rPr>
          <w:b/>
          <w:szCs w:val="24"/>
        </w:rPr>
      </w:pPr>
      <w:r w:rsidRPr="00300B70">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760D" w:rsidRPr="00300B70" w:rsidP="00E41C36" w14:paraId="7A437035" w14:textId="77777777">
      <w:pPr>
        <w:pStyle w:val="BodyTextIndent2"/>
        <w:tabs>
          <w:tab w:val="clear" w:pos="0"/>
          <w:tab w:val="left" w:pos="360"/>
        </w:tabs>
        <w:spacing w:after="120" w:line="240" w:lineRule="auto"/>
        <w:rPr>
          <w:bCs/>
          <w:szCs w:val="24"/>
        </w:rPr>
      </w:pPr>
      <w:r w:rsidRPr="00300B70">
        <w:rPr>
          <w:bCs/>
          <w:szCs w:val="24"/>
        </w:rPr>
        <w:t xml:space="preserve">The response has been streamlined </w:t>
      </w:r>
      <w:r w:rsidRPr="00300B70" w:rsidR="00AF57B5">
        <w:rPr>
          <w:bCs/>
          <w:szCs w:val="24"/>
        </w:rPr>
        <w:t>for respondents a</w:t>
      </w:r>
      <w:r w:rsidRPr="00300B70" w:rsidR="00666F7B">
        <w:rPr>
          <w:bCs/>
          <w:szCs w:val="24"/>
        </w:rPr>
        <w:t xml:space="preserve">nd </w:t>
      </w:r>
      <w:r w:rsidRPr="00300B70" w:rsidR="004560FC">
        <w:rPr>
          <w:bCs/>
          <w:szCs w:val="24"/>
        </w:rPr>
        <w:t xml:space="preserve">the </w:t>
      </w:r>
      <w:r w:rsidRPr="00300B70" w:rsidR="00666F7B">
        <w:rPr>
          <w:bCs/>
          <w:szCs w:val="24"/>
        </w:rPr>
        <w:t>receiving age</w:t>
      </w:r>
      <w:r w:rsidRPr="00300B70" w:rsidR="004560FC">
        <w:rPr>
          <w:bCs/>
          <w:szCs w:val="24"/>
        </w:rPr>
        <w:t xml:space="preserve">ncy </w:t>
      </w:r>
      <w:r w:rsidRPr="00300B70" w:rsidR="00D6512D">
        <w:rPr>
          <w:bCs/>
          <w:szCs w:val="24"/>
        </w:rPr>
        <w:t xml:space="preserve">by adding </w:t>
      </w:r>
      <w:r w:rsidRPr="00300B70" w:rsidR="00302D0C">
        <w:rPr>
          <w:bCs/>
          <w:szCs w:val="24"/>
        </w:rPr>
        <w:t>d</w:t>
      </w:r>
      <w:r w:rsidRPr="00300B70" w:rsidR="004E43D0">
        <w:rPr>
          <w:bCs/>
          <w:szCs w:val="24"/>
        </w:rPr>
        <w:t>rop down menus to two fields of information in the form. This will reduce</w:t>
      </w:r>
      <w:r w:rsidRPr="00300B70" w:rsidR="00F00DCA">
        <w:rPr>
          <w:bCs/>
          <w:szCs w:val="24"/>
        </w:rPr>
        <w:t xml:space="preserve"> time for the </w:t>
      </w:r>
      <w:r w:rsidRPr="00300B70" w:rsidR="00A313DA">
        <w:rPr>
          <w:bCs/>
          <w:szCs w:val="24"/>
        </w:rPr>
        <w:t xml:space="preserve">respondent </w:t>
      </w:r>
      <w:r w:rsidRPr="00300B70" w:rsidR="00574975">
        <w:rPr>
          <w:bCs/>
          <w:szCs w:val="24"/>
        </w:rPr>
        <w:t xml:space="preserve">by offering a </w:t>
      </w:r>
      <w:r w:rsidRPr="00300B70" w:rsidR="00BF4FFE">
        <w:rPr>
          <w:bCs/>
          <w:szCs w:val="24"/>
        </w:rPr>
        <w:t>list of options</w:t>
      </w:r>
      <w:r w:rsidRPr="00300B70" w:rsidR="00B05E61">
        <w:rPr>
          <w:bCs/>
          <w:szCs w:val="24"/>
        </w:rPr>
        <w:t xml:space="preserve"> and, </w:t>
      </w:r>
      <w:r w:rsidRPr="00300B70" w:rsidR="00934ED1">
        <w:rPr>
          <w:bCs/>
          <w:szCs w:val="24"/>
        </w:rPr>
        <w:t xml:space="preserve">by eliminating </w:t>
      </w:r>
      <w:r w:rsidRPr="00300B70" w:rsidR="004E43D0">
        <w:rPr>
          <w:bCs/>
          <w:szCs w:val="24"/>
        </w:rPr>
        <w:t xml:space="preserve">variation in </w:t>
      </w:r>
      <w:r w:rsidRPr="00300B70" w:rsidR="007B6916">
        <w:rPr>
          <w:bCs/>
          <w:szCs w:val="24"/>
        </w:rPr>
        <w:t>resp</w:t>
      </w:r>
      <w:r w:rsidRPr="00300B70" w:rsidR="00EC7491">
        <w:rPr>
          <w:bCs/>
          <w:szCs w:val="24"/>
        </w:rPr>
        <w:t>onses</w:t>
      </w:r>
      <w:r w:rsidRPr="00300B70" w:rsidR="00294E68">
        <w:rPr>
          <w:bCs/>
          <w:szCs w:val="24"/>
        </w:rPr>
        <w:t xml:space="preserve">, save time for the </w:t>
      </w:r>
      <w:r w:rsidRPr="00300B70" w:rsidR="00EA1B00">
        <w:rPr>
          <w:bCs/>
          <w:szCs w:val="24"/>
        </w:rPr>
        <w:t>agency employee re</w:t>
      </w:r>
      <w:r w:rsidRPr="00300B70" w:rsidR="0075099D">
        <w:rPr>
          <w:bCs/>
          <w:szCs w:val="24"/>
        </w:rPr>
        <w:t xml:space="preserve">ceiving the form. </w:t>
      </w:r>
      <w:r w:rsidRPr="00300B70" w:rsidR="00184717">
        <w:rPr>
          <w:bCs/>
          <w:szCs w:val="24"/>
        </w:rPr>
        <w:br/>
      </w:r>
    </w:p>
    <w:p w:rsidR="00300B70" w:rsidP="00200999" w14:paraId="0834AC40" w14:textId="77777777">
      <w:pPr>
        <w:pStyle w:val="BodyTextIndent2"/>
        <w:numPr>
          <w:ilvl w:val="0"/>
          <w:numId w:val="22"/>
        </w:numPr>
        <w:tabs>
          <w:tab w:val="clear" w:pos="0"/>
          <w:tab w:val="left" w:pos="360"/>
        </w:tabs>
        <w:spacing w:after="120" w:line="240" w:lineRule="auto"/>
        <w:rPr>
          <w:bCs/>
          <w:szCs w:val="24"/>
        </w:rPr>
      </w:pPr>
      <w:r w:rsidRPr="00300B70">
        <w:rPr>
          <w:b/>
          <w:szCs w:val="24"/>
        </w:rPr>
        <w:t>Duplication of Effort:</w:t>
      </w:r>
      <w:r w:rsidRPr="00300B70">
        <w:rPr>
          <w:bCs/>
          <w:szCs w:val="24"/>
        </w:rPr>
        <w:t xml:space="preserve"> </w:t>
      </w:r>
    </w:p>
    <w:p w:rsidR="00DA53DB" w:rsidRPr="00300B70" w:rsidP="00300B70" w14:paraId="67C0C4A0" w14:textId="77777777">
      <w:pPr>
        <w:pStyle w:val="BodyTextIndent2"/>
        <w:tabs>
          <w:tab w:val="clear" w:pos="0"/>
          <w:tab w:val="left" w:pos="360"/>
        </w:tabs>
        <w:spacing w:after="120" w:line="240" w:lineRule="auto"/>
        <w:rPr>
          <w:bCs/>
          <w:szCs w:val="24"/>
        </w:rPr>
      </w:pPr>
      <w:r w:rsidRPr="00300B70">
        <w:rPr>
          <w:bCs/>
          <w:szCs w:val="24"/>
        </w:rPr>
        <w:t>There is no duplication of effort.  Information collected is unique to each type of collection and does not duplicate any information or method.</w:t>
      </w:r>
      <w:r w:rsidRPr="00300B70" w:rsidR="00396844">
        <w:rPr>
          <w:bCs/>
          <w:szCs w:val="24"/>
        </w:rPr>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w:t>
      </w:r>
      <w:r w:rsidRPr="00300B70" w:rsidR="004D5F17">
        <w:rPr>
          <w:bCs/>
          <w:szCs w:val="24"/>
        </w:rPr>
        <w:t>,</w:t>
      </w:r>
      <w:r w:rsidRPr="00300B70" w:rsidR="00396844">
        <w:rPr>
          <w:bCs/>
          <w:szCs w:val="24"/>
        </w:rPr>
        <w:t xml:space="preserve"> and Rural Development programs.  </w:t>
      </w:r>
    </w:p>
    <w:p w:rsidR="00300B70" w:rsidP="00200999" w14:paraId="694422DC" w14:textId="77777777">
      <w:pPr>
        <w:pStyle w:val="BodyTextIndent2"/>
        <w:numPr>
          <w:ilvl w:val="0"/>
          <w:numId w:val="22"/>
        </w:numPr>
        <w:tabs>
          <w:tab w:val="clear" w:pos="0"/>
          <w:tab w:val="left" w:pos="360"/>
        </w:tabs>
        <w:spacing w:after="120" w:line="240" w:lineRule="auto"/>
        <w:rPr>
          <w:bCs/>
          <w:szCs w:val="24"/>
        </w:rPr>
      </w:pPr>
      <w:r w:rsidRPr="00300B70">
        <w:rPr>
          <w:b/>
          <w:szCs w:val="24"/>
        </w:rPr>
        <w:t>Impact on Small Business and Small Entities</w:t>
      </w:r>
      <w:r w:rsidRPr="00300B70">
        <w:rPr>
          <w:bCs/>
          <w:szCs w:val="24"/>
        </w:rPr>
        <w:t xml:space="preserve">:  </w:t>
      </w:r>
    </w:p>
    <w:p w:rsidR="00DA53DB" w:rsidRPr="00300B70" w:rsidP="00300B70" w14:paraId="75FA51F9" w14:textId="77777777">
      <w:pPr>
        <w:pStyle w:val="BodyTextIndent2"/>
        <w:tabs>
          <w:tab w:val="clear" w:pos="0"/>
          <w:tab w:val="left" w:pos="360"/>
        </w:tabs>
        <w:spacing w:after="120" w:line="240" w:lineRule="auto"/>
        <w:rPr>
          <w:bCs/>
          <w:szCs w:val="24"/>
        </w:rPr>
      </w:pPr>
      <w:r w:rsidRPr="00300B70">
        <w:rPr>
          <w:bCs/>
          <w:szCs w:val="24"/>
        </w:rPr>
        <w:t>These information collections have no impact on small businesses or other entities.</w:t>
      </w:r>
    </w:p>
    <w:p w:rsidR="00300B70" w:rsidRPr="00300B70" w:rsidP="77A7F6B5" w14:paraId="1F27A78F" w14:textId="77777777">
      <w:pPr>
        <w:pStyle w:val="BodyTextIndent2"/>
        <w:numPr>
          <w:ilvl w:val="0"/>
          <w:numId w:val="22"/>
        </w:numPr>
        <w:tabs>
          <w:tab w:val="left" w:pos="360"/>
        </w:tabs>
        <w:spacing w:after="120" w:line="240" w:lineRule="auto"/>
        <w:rPr>
          <w:bCs/>
          <w:color w:val="000000" w:themeColor="text1"/>
        </w:rPr>
      </w:pPr>
      <w:r w:rsidRPr="00300B70">
        <w:rPr>
          <w:b/>
        </w:rPr>
        <w:t>Consequence of Less Frequent Collection:</w:t>
      </w:r>
      <w:r w:rsidRPr="00300B70">
        <w:rPr>
          <w:bCs/>
        </w:rPr>
        <w:t xml:space="preserve">  </w:t>
      </w:r>
    </w:p>
    <w:p w:rsidR="00DA53DB" w:rsidP="00300B70" w14:paraId="4F53D438" w14:textId="631CD8D0">
      <w:pPr>
        <w:pStyle w:val="BodyTextIndent2"/>
        <w:tabs>
          <w:tab w:val="left" w:pos="360"/>
        </w:tabs>
        <w:spacing w:after="120" w:line="240" w:lineRule="auto"/>
        <w:rPr>
          <w:bCs/>
        </w:rPr>
      </w:pPr>
      <w:r w:rsidRPr="00300B70">
        <w:rPr>
          <w:bCs/>
        </w:rPr>
        <w:t xml:space="preserve">There is no set frequency of submissions for this form. It is only submitted when a </w:t>
      </w:r>
      <w:r w:rsidRPr="00300B70" w:rsidR="720F3E66">
        <w:rPr>
          <w:bCs/>
        </w:rPr>
        <w:t>designated</w:t>
      </w:r>
      <w:r w:rsidRPr="00300B70">
        <w:rPr>
          <w:bCs/>
        </w:rPr>
        <w:t xml:space="preserve"> community is applying for a federal grant/program with preference</w:t>
      </w:r>
      <w:r w:rsidRPr="00300B70" w:rsidR="157CBA16">
        <w:rPr>
          <w:bCs/>
        </w:rPr>
        <w:t xml:space="preserve"> </w:t>
      </w:r>
      <w:r w:rsidRPr="00300B70">
        <w:rPr>
          <w:bCs/>
        </w:rPr>
        <w:t>points</w:t>
      </w:r>
      <w:r w:rsidRPr="00300B70" w:rsidR="24F752C7">
        <w:rPr>
          <w:bCs/>
        </w:rPr>
        <w:t>/priority</w:t>
      </w:r>
      <w:r w:rsidRPr="00300B70" w:rsidR="4518B659">
        <w:rPr>
          <w:bCs/>
        </w:rPr>
        <w:t xml:space="preserve"> consideration</w:t>
      </w:r>
      <w:r w:rsidRPr="00300B70" w:rsidR="24F752C7">
        <w:rPr>
          <w:bCs/>
        </w:rPr>
        <w:t xml:space="preserve"> for Promise Zones.</w:t>
      </w:r>
      <w:r w:rsidRPr="00300B70">
        <w:rPr>
          <w:bCs/>
        </w:rPr>
        <w:t xml:space="preserve"> </w:t>
      </w:r>
      <w:r w:rsidRPr="00300B70" w:rsidR="00F73ADF">
        <w:rPr>
          <w:bCs/>
        </w:rPr>
        <w:t xml:space="preserve">The designated communities will benefit from the frequency because the </w:t>
      </w:r>
      <w:r w:rsidRPr="00300B70" w:rsidR="3E89C09F">
        <w:rPr>
          <w:bCs/>
        </w:rPr>
        <w:t>form is only submitted when</w:t>
      </w:r>
      <w:r w:rsidRPr="00300B70" w:rsidR="00F73ADF">
        <w:rPr>
          <w:bCs/>
        </w:rPr>
        <w:t xml:space="preserve"> the </w:t>
      </w:r>
      <w:r w:rsidRPr="00300B70" w:rsidR="3E89C09F">
        <w:rPr>
          <w:bCs/>
        </w:rPr>
        <w:t xml:space="preserve">designated community decides to </w:t>
      </w:r>
      <w:r w:rsidRPr="00300B70" w:rsidR="6B900EC1">
        <w:rPr>
          <w:bCs/>
        </w:rPr>
        <w:t xml:space="preserve">submit it. </w:t>
      </w:r>
    </w:p>
    <w:p w:rsidR="002B4AD8" w:rsidP="00300B70" w14:paraId="64B6868A" w14:textId="49545A50">
      <w:pPr>
        <w:pStyle w:val="BodyTextIndent2"/>
        <w:tabs>
          <w:tab w:val="left" w:pos="360"/>
        </w:tabs>
        <w:spacing w:after="120" w:line="240" w:lineRule="auto"/>
        <w:rPr>
          <w:bCs/>
        </w:rPr>
      </w:pPr>
    </w:p>
    <w:p w:rsidR="002B4AD8" w:rsidP="00300B70" w14:paraId="44198468" w14:textId="61D2E2E2">
      <w:pPr>
        <w:pStyle w:val="BodyTextIndent2"/>
        <w:tabs>
          <w:tab w:val="left" w:pos="360"/>
        </w:tabs>
        <w:spacing w:after="120" w:line="240" w:lineRule="auto"/>
        <w:rPr>
          <w:bCs/>
        </w:rPr>
      </w:pPr>
    </w:p>
    <w:p w:rsidR="002B4AD8" w:rsidP="00300B70" w14:paraId="7256F082" w14:textId="0C55A776">
      <w:pPr>
        <w:pStyle w:val="BodyTextIndent2"/>
        <w:tabs>
          <w:tab w:val="left" w:pos="360"/>
        </w:tabs>
        <w:spacing w:after="120" w:line="240" w:lineRule="auto"/>
        <w:rPr>
          <w:bCs/>
        </w:rPr>
      </w:pPr>
    </w:p>
    <w:p w:rsidR="002B4AD8" w:rsidRPr="00300B70" w:rsidP="00300B70" w14:paraId="4D0613A3" w14:textId="77777777">
      <w:pPr>
        <w:pStyle w:val="BodyTextIndent2"/>
        <w:tabs>
          <w:tab w:val="left" w:pos="360"/>
        </w:tabs>
        <w:spacing w:after="120" w:line="240" w:lineRule="auto"/>
        <w:rPr>
          <w:bCs/>
          <w:color w:val="000000" w:themeColor="text1"/>
        </w:rPr>
      </w:pPr>
    </w:p>
    <w:p w:rsidR="00DA53DB" w:rsidRPr="00300B70" w:rsidP="00200999" w14:paraId="5E0135D1" w14:textId="77777777">
      <w:pPr>
        <w:pStyle w:val="BodyTextIndent2"/>
        <w:numPr>
          <w:ilvl w:val="0"/>
          <w:numId w:val="22"/>
        </w:numPr>
        <w:tabs>
          <w:tab w:val="clear" w:pos="0"/>
          <w:tab w:val="left" w:pos="360"/>
        </w:tabs>
        <w:spacing w:after="120" w:line="240" w:lineRule="auto"/>
        <w:rPr>
          <w:b/>
          <w:szCs w:val="24"/>
        </w:rPr>
      </w:pPr>
      <w:r w:rsidRPr="00300B70">
        <w:rPr>
          <w:b/>
          <w:szCs w:val="24"/>
        </w:rPr>
        <w:t xml:space="preserve">Explain any special circumstances that would cause an information collection to be conducted in a manner: </w:t>
      </w:r>
    </w:p>
    <w:p w:rsidR="007831C8" w:rsidRPr="00CB0FAA" w:rsidP="003D1333" w14:paraId="6F7A8C15" w14:textId="77777777">
      <w:pPr>
        <w:numPr>
          <w:ilvl w:val="0"/>
          <w:numId w:val="20"/>
        </w:numPr>
        <w:overflowPunct/>
        <w:autoSpaceDE/>
        <w:autoSpaceDN/>
        <w:adjustRightInd/>
        <w:textAlignment w:val="auto"/>
        <w:rPr>
          <w:b/>
          <w:sz w:val="24"/>
          <w:szCs w:val="24"/>
        </w:rPr>
      </w:pPr>
      <w:r w:rsidRPr="00300B70">
        <w:rPr>
          <w:bCs/>
          <w:sz w:val="24"/>
          <w:szCs w:val="24"/>
        </w:rPr>
        <w:t>requiring respondents to report information to the agency more often than quarterly;</w:t>
      </w:r>
      <w:r w:rsidRPr="00300B70" w:rsidR="7995F16C">
        <w:rPr>
          <w:bCs/>
          <w:sz w:val="24"/>
          <w:szCs w:val="24"/>
        </w:rPr>
        <w:t xml:space="preserve"> </w:t>
      </w:r>
      <w:r w:rsidRPr="00CB0FAA" w:rsidR="7995F16C">
        <w:rPr>
          <w:b/>
          <w:sz w:val="24"/>
          <w:szCs w:val="24"/>
        </w:rPr>
        <w:t>Not applicable</w:t>
      </w:r>
    </w:p>
    <w:p w:rsidR="007831C8" w:rsidRPr="00300B70" w:rsidP="003D1333" w14:paraId="4B5CF6D1" w14:textId="77777777">
      <w:pPr>
        <w:numPr>
          <w:ilvl w:val="0"/>
          <w:numId w:val="20"/>
        </w:numPr>
        <w:overflowPunct/>
        <w:autoSpaceDE/>
        <w:autoSpaceDN/>
        <w:adjustRightInd/>
        <w:textAlignment w:val="auto"/>
        <w:rPr>
          <w:bCs/>
          <w:sz w:val="24"/>
          <w:szCs w:val="24"/>
        </w:rPr>
      </w:pPr>
      <w:r w:rsidRPr="00300B70">
        <w:rPr>
          <w:bCs/>
          <w:sz w:val="24"/>
          <w:szCs w:val="24"/>
        </w:rPr>
        <w:t>requiring respondents to prepare a written response to a collection of information in fewer than 30 days after receipt of it;</w:t>
      </w:r>
      <w:r w:rsidRPr="00300B70" w:rsidR="0093316F">
        <w:rPr>
          <w:bCs/>
          <w:sz w:val="24"/>
          <w:szCs w:val="24"/>
        </w:rPr>
        <w:t xml:space="preserve"> </w:t>
      </w:r>
      <w:r w:rsidRPr="00CB0FAA" w:rsidR="001511A2">
        <w:rPr>
          <w:b/>
          <w:sz w:val="24"/>
          <w:szCs w:val="24"/>
        </w:rPr>
        <w:t>Not applicable</w:t>
      </w:r>
    </w:p>
    <w:p w:rsidR="007831C8" w:rsidRPr="00300B70" w:rsidP="003D1333" w14:paraId="48758D10" w14:textId="77777777">
      <w:pPr>
        <w:numPr>
          <w:ilvl w:val="0"/>
          <w:numId w:val="20"/>
        </w:numPr>
        <w:overflowPunct/>
        <w:autoSpaceDE/>
        <w:autoSpaceDN/>
        <w:adjustRightInd/>
        <w:textAlignment w:val="auto"/>
        <w:rPr>
          <w:bCs/>
          <w:sz w:val="24"/>
          <w:szCs w:val="24"/>
        </w:rPr>
      </w:pPr>
      <w:r w:rsidRPr="00300B70">
        <w:rPr>
          <w:bCs/>
          <w:sz w:val="24"/>
          <w:szCs w:val="24"/>
        </w:rPr>
        <w:t>requiring respondents to submit more than an original and two copies of any document;</w:t>
      </w:r>
      <w:r w:rsidRPr="00300B70" w:rsidR="005917FB">
        <w:rPr>
          <w:bCs/>
          <w:sz w:val="24"/>
          <w:szCs w:val="24"/>
        </w:rPr>
        <w:t xml:space="preserve"> </w:t>
      </w:r>
      <w:r w:rsidRPr="00CB0FAA" w:rsidR="001511A2">
        <w:rPr>
          <w:b/>
          <w:sz w:val="24"/>
          <w:szCs w:val="24"/>
        </w:rPr>
        <w:t>Not applicable</w:t>
      </w:r>
    </w:p>
    <w:p w:rsidR="001511A2" w:rsidRPr="00300B70" w:rsidP="003D1333" w14:paraId="60B1702F" w14:textId="77777777">
      <w:pPr>
        <w:numPr>
          <w:ilvl w:val="0"/>
          <w:numId w:val="20"/>
        </w:numPr>
        <w:overflowPunct/>
        <w:autoSpaceDE/>
        <w:autoSpaceDN/>
        <w:adjustRightInd/>
        <w:textAlignment w:val="auto"/>
        <w:rPr>
          <w:bCs/>
          <w:sz w:val="24"/>
          <w:szCs w:val="24"/>
        </w:rPr>
      </w:pPr>
      <w:r w:rsidRPr="00300B70">
        <w:rPr>
          <w:bCs/>
          <w:sz w:val="24"/>
          <w:szCs w:val="24"/>
        </w:rPr>
        <w:t>requiring respondents to retain records, other than health, medical, government contract, grant-in-aid, or tax records, for more than three years;</w:t>
      </w:r>
      <w:r w:rsidRPr="00300B70" w:rsidR="005917FB">
        <w:rPr>
          <w:bCs/>
          <w:sz w:val="24"/>
          <w:szCs w:val="24"/>
        </w:rPr>
        <w:t xml:space="preserve"> </w:t>
      </w:r>
      <w:r w:rsidRPr="00CB0FAA">
        <w:rPr>
          <w:b/>
          <w:sz w:val="24"/>
          <w:szCs w:val="24"/>
        </w:rPr>
        <w:t>Not applicable</w:t>
      </w:r>
    </w:p>
    <w:p w:rsidR="001511A2" w:rsidRPr="00300B70" w:rsidP="003D1333" w14:paraId="12299EF5" w14:textId="77777777">
      <w:pPr>
        <w:numPr>
          <w:ilvl w:val="0"/>
          <w:numId w:val="20"/>
        </w:numPr>
        <w:overflowPunct/>
        <w:autoSpaceDE/>
        <w:autoSpaceDN/>
        <w:adjustRightInd/>
        <w:textAlignment w:val="auto"/>
        <w:rPr>
          <w:bCs/>
          <w:sz w:val="24"/>
          <w:szCs w:val="24"/>
        </w:rPr>
      </w:pPr>
      <w:r w:rsidRPr="00300B70">
        <w:rPr>
          <w:bCs/>
          <w:sz w:val="24"/>
          <w:szCs w:val="24"/>
        </w:rPr>
        <w:t>in connection with a statistical survey, that is not designed to produce valid and reliable results that can be generalized to the universe of study;</w:t>
      </w:r>
      <w:r w:rsidRPr="00300B70" w:rsidR="005917FB">
        <w:rPr>
          <w:bCs/>
          <w:sz w:val="24"/>
          <w:szCs w:val="24"/>
        </w:rPr>
        <w:t xml:space="preserve"> </w:t>
      </w:r>
      <w:r w:rsidRPr="00CB0FAA">
        <w:rPr>
          <w:b/>
          <w:sz w:val="24"/>
          <w:szCs w:val="24"/>
        </w:rPr>
        <w:t>Not applicable</w:t>
      </w:r>
    </w:p>
    <w:p w:rsidR="001511A2" w:rsidRPr="00300B70" w:rsidP="003D1333" w14:paraId="61C3D559" w14:textId="77777777">
      <w:pPr>
        <w:numPr>
          <w:ilvl w:val="0"/>
          <w:numId w:val="20"/>
        </w:numPr>
        <w:overflowPunct/>
        <w:autoSpaceDE/>
        <w:autoSpaceDN/>
        <w:adjustRightInd/>
        <w:textAlignment w:val="auto"/>
        <w:rPr>
          <w:bCs/>
          <w:sz w:val="24"/>
          <w:szCs w:val="24"/>
        </w:rPr>
      </w:pPr>
      <w:r w:rsidRPr="00300B70">
        <w:rPr>
          <w:bCs/>
          <w:sz w:val="24"/>
          <w:szCs w:val="24"/>
        </w:rPr>
        <w:t>requiring the use of a statistical data classification that has not been reviewed and approved by OMB;</w:t>
      </w:r>
      <w:r w:rsidRPr="00300B70" w:rsidR="005917FB">
        <w:rPr>
          <w:bCs/>
          <w:sz w:val="24"/>
          <w:szCs w:val="24"/>
        </w:rPr>
        <w:t xml:space="preserve"> </w:t>
      </w:r>
      <w:r w:rsidRPr="00CB0FAA">
        <w:rPr>
          <w:b/>
          <w:sz w:val="24"/>
          <w:szCs w:val="24"/>
        </w:rPr>
        <w:t>Not applicable</w:t>
      </w:r>
    </w:p>
    <w:p w:rsidR="00F73ADF" w:rsidRPr="00300B70" w:rsidP="00F73ADF" w14:paraId="30DCA7F3" w14:textId="77777777">
      <w:pPr>
        <w:numPr>
          <w:ilvl w:val="0"/>
          <w:numId w:val="20"/>
        </w:numPr>
        <w:overflowPunct/>
        <w:autoSpaceDE/>
        <w:autoSpaceDN/>
        <w:adjustRightInd/>
        <w:textAlignment w:val="auto"/>
        <w:rPr>
          <w:bCs/>
          <w:sz w:val="24"/>
          <w:szCs w:val="24"/>
        </w:rPr>
      </w:pPr>
      <w:r w:rsidRPr="00300B70">
        <w:rPr>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11A2" w:rsidRPr="00CB0FAA" w:rsidP="001511A2" w14:paraId="1C23EF58" w14:textId="77777777">
      <w:pPr>
        <w:overflowPunct/>
        <w:autoSpaceDE/>
        <w:autoSpaceDN/>
        <w:adjustRightInd/>
        <w:ind w:left="765"/>
        <w:textAlignment w:val="auto"/>
        <w:rPr>
          <w:b/>
          <w:sz w:val="24"/>
          <w:szCs w:val="24"/>
        </w:rPr>
      </w:pPr>
      <w:r w:rsidRPr="00CB0FAA">
        <w:rPr>
          <w:b/>
          <w:sz w:val="24"/>
          <w:szCs w:val="24"/>
        </w:rPr>
        <w:t>Not applicable</w:t>
      </w:r>
    </w:p>
    <w:p w:rsidR="00F73ADF" w:rsidRPr="00300B70" w:rsidP="00F73ADF" w14:paraId="29A1C32F" w14:textId="77777777">
      <w:pPr>
        <w:numPr>
          <w:ilvl w:val="0"/>
          <w:numId w:val="20"/>
        </w:numPr>
        <w:overflowPunct/>
        <w:autoSpaceDE/>
        <w:autoSpaceDN/>
        <w:adjustRightInd/>
        <w:textAlignment w:val="auto"/>
        <w:rPr>
          <w:bCs/>
          <w:sz w:val="24"/>
          <w:szCs w:val="24"/>
        </w:rPr>
      </w:pPr>
      <w:r w:rsidRPr="00300B70">
        <w:rPr>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1511A2" w:rsidRPr="00CB0FAA" w:rsidP="001511A2" w14:paraId="3DC9AF1A" w14:textId="77777777">
      <w:pPr>
        <w:overflowPunct/>
        <w:autoSpaceDE/>
        <w:autoSpaceDN/>
        <w:adjustRightInd/>
        <w:ind w:left="765"/>
        <w:textAlignment w:val="auto"/>
        <w:rPr>
          <w:b/>
          <w:sz w:val="24"/>
          <w:szCs w:val="24"/>
        </w:rPr>
      </w:pPr>
      <w:r w:rsidRPr="00CB0FAA">
        <w:rPr>
          <w:b/>
          <w:sz w:val="24"/>
          <w:szCs w:val="24"/>
        </w:rPr>
        <w:t>Not applicable</w:t>
      </w:r>
    </w:p>
    <w:p w:rsidR="000A7D9C" w:rsidRPr="00300B70" w:rsidP="000A7D9C" w14:paraId="7D4F47CA" w14:textId="77777777">
      <w:pPr>
        <w:pStyle w:val="NoSpacing"/>
        <w:ind w:left="360"/>
        <w:rPr>
          <w:rFonts w:ascii="Times New Roman" w:eastAsia="Times New Roman" w:hAnsi="Times New Roman" w:cs="Times New Roman"/>
          <w:bCs/>
          <w:sz w:val="24"/>
          <w:szCs w:val="24"/>
        </w:rPr>
      </w:pPr>
    </w:p>
    <w:p w:rsidR="001511A2" w:rsidRPr="00CB0FAA" w:rsidP="008E1A70" w14:paraId="65821E4C" w14:textId="77777777">
      <w:pPr>
        <w:pStyle w:val="NoSpacing"/>
        <w:numPr>
          <w:ilvl w:val="0"/>
          <w:numId w:val="22"/>
        </w:numPr>
        <w:rPr>
          <w:rFonts w:ascii="Times New Roman" w:eastAsia="Times New Roman" w:hAnsi="Times New Roman" w:cs="Times New Roman"/>
          <w:b/>
          <w:sz w:val="24"/>
          <w:szCs w:val="24"/>
        </w:rPr>
      </w:pPr>
      <w:r w:rsidRPr="00CB0FAA">
        <w:rPr>
          <w:rFonts w:ascii="Times New Roman" w:eastAsia="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1511A2" w:rsidRPr="00CB0FAA" w:rsidP="000A7D9C" w14:paraId="4BD124A6" w14:textId="77777777">
      <w:pPr>
        <w:pStyle w:val="NoSpacing"/>
        <w:rPr>
          <w:rFonts w:ascii="Times New Roman" w:eastAsia="Times New Roman" w:hAnsi="Times New Roman" w:cs="Times New Roman"/>
          <w:b/>
          <w:sz w:val="24"/>
          <w:szCs w:val="24"/>
        </w:rPr>
      </w:pPr>
    </w:p>
    <w:p w:rsidR="001511A2" w:rsidRPr="00CB0FAA" w:rsidP="000A7D9C" w14:paraId="3177C262" w14:textId="77777777">
      <w:pPr>
        <w:pStyle w:val="ListParagraph"/>
        <w:numPr>
          <w:ilvl w:val="0"/>
          <w:numId w:val="26"/>
        </w:numPr>
        <w:spacing w:line="240" w:lineRule="auto"/>
        <w:rPr>
          <w:rFonts w:ascii="Times New Roman" w:hAnsi="Times New Roman" w:cs="Times New Roman"/>
          <w:b/>
          <w:sz w:val="24"/>
          <w:szCs w:val="24"/>
        </w:rPr>
      </w:pPr>
      <w:r w:rsidRPr="00CB0FAA">
        <w:rPr>
          <w:rFonts w:ascii="Times New Roman" w:hAnsi="Times New Roman" w:cs="Times New Roman"/>
          <w:b/>
          <w:sz w:val="24"/>
          <w:szCs w:val="24"/>
        </w:rPr>
        <w:t xml:space="preserve">Specifically address comments received on cost and hour burden. </w:t>
      </w:r>
    </w:p>
    <w:p w:rsidR="002246F9" w:rsidRPr="00CB0FAA" w:rsidP="000A7D9C" w14:paraId="5A68E76B" w14:textId="77777777">
      <w:pPr>
        <w:pStyle w:val="ListParagraph"/>
        <w:numPr>
          <w:ilvl w:val="0"/>
          <w:numId w:val="26"/>
        </w:numPr>
        <w:spacing w:after="120" w:line="240" w:lineRule="auto"/>
        <w:rPr>
          <w:rFonts w:ascii="Times New Roman" w:hAnsi="Times New Roman" w:cs="Times New Roman"/>
          <w:b/>
          <w:sz w:val="24"/>
          <w:szCs w:val="24"/>
        </w:rPr>
      </w:pPr>
      <w:r w:rsidRPr="00CB0FAA">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7046" w:rsidRPr="00CB0FAA" w:rsidP="000A7D9C" w14:paraId="0582C818" w14:textId="77777777">
      <w:pPr>
        <w:pStyle w:val="ListParagraph"/>
        <w:numPr>
          <w:ilvl w:val="0"/>
          <w:numId w:val="26"/>
        </w:numPr>
        <w:spacing w:after="120" w:line="240" w:lineRule="auto"/>
        <w:rPr>
          <w:rFonts w:ascii="Times New Roman" w:hAnsi="Times New Roman" w:cs="Times New Roman"/>
          <w:b/>
          <w:sz w:val="24"/>
          <w:szCs w:val="24"/>
        </w:rPr>
      </w:pPr>
      <w:r w:rsidRPr="00CB0FAA">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CB0FAA" w:rsidR="002246F9">
        <w:rPr>
          <w:rFonts w:ascii="Times New Roman" w:hAnsi="Times New Roman" w:cs="Times New Roman"/>
          <w:b/>
          <w:sz w:val="24"/>
          <w:szCs w:val="24"/>
        </w:rPr>
        <w:t xml:space="preserve"> </w:t>
      </w:r>
      <w:r w:rsidRPr="00CB0FAA" w:rsidR="00DA53DB">
        <w:rPr>
          <w:rFonts w:ascii="Times New Roman" w:hAnsi="Times New Roman" w:cs="Times New Roman"/>
          <w:b/>
          <w:sz w:val="24"/>
          <w:szCs w:val="24"/>
        </w:rPr>
        <w:t xml:space="preserve">Federal Register Notice and Public Comments: </w:t>
      </w:r>
      <w:r w:rsidRPr="00CB0FAA" w:rsidR="00653F5B">
        <w:rPr>
          <w:rFonts w:ascii="Times New Roman" w:hAnsi="Times New Roman" w:cs="Times New Roman"/>
          <w:b/>
          <w:sz w:val="24"/>
          <w:szCs w:val="24"/>
        </w:rPr>
        <w:t xml:space="preserve"> </w:t>
      </w:r>
    </w:p>
    <w:p w:rsidR="00107046" w:rsidP="1BD95EB1" w14:paraId="0542FA7E" w14:textId="2331BDC9">
      <w:pPr>
        <w:pStyle w:val="BodyTextIndent2"/>
        <w:tabs>
          <w:tab w:val="left" w:pos="360"/>
        </w:tabs>
        <w:spacing w:after="120" w:line="240" w:lineRule="auto"/>
        <w:ind w:hanging="360"/>
        <w:rPr>
          <w:bCs/>
        </w:rPr>
      </w:pPr>
      <w:r w:rsidRPr="00300B70">
        <w:rPr>
          <w:bCs/>
          <w:szCs w:val="24"/>
        </w:rPr>
        <w:tab/>
      </w:r>
      <w:r w:rsidRPr="00300B70">
        <w:rPr>
          <w:bCs/>
        </w:rPr>
        <w:t xml:space="preserve">HUD published a </w:t>
      </w:r>
      <w:r w:rsidRPr="00300B70" w:rsidR="00673EC3">
        <w:rPr>
          <w:bCs/>
        </w:rPr>
        <w:t xml:space="preserve">60-day </w:t>
      </w:r>
      <w:r w:rsidRPr="00300B70">
        <w:rPr>
          <w:bCs/>
        </w:rPr>
        <w:t>Notice of Proposed Information Collection for Pub</w:t>
      </w:r>
      <w:r w:rsidRPr="00300B70" w:rsidR="00673EC3">
        <w:rPr>
          <w:bCs/>
        </w:rPr>
        <w:t xml:space="preserve">lic Comments in the </w:t>
      </w:r>
      <w:r w:rsidRPr="00300B70">
        <w:rPr>
          <w:bCs/>
          <w:i/>
        </w:rPr>
        <w:t>Federal Register,</w:t>
      </w:r>
      <w:r w:rsidRPr="00300B70">
        <w:rPr>
          <w:bCs/>
        </w:rPr>
        <w:t xml:space="preserve"> on</w:t>
      </w:r>
      <w:r w:rsidRPr="00300B70" w:rsidR="00673EC3">
        <w:rPr>
          <w:bCs/>
        </w:rPr>
        <w:t xml:space="preserve"> </w:t>
      </w:r>
      <w:hyperlink r:id="rId12" w:history="1">
        <w:r w:rsidRPr="00CD0C4A" w:rsidR="008A38C9">
          <w:rPr>
            <w:rStyle w:val="Hyperlink"/>
            <w:bCs/>
            <w:color w:val="auto"/>
          </w:rPr>
          <w:t>05/</w:t>
        </w:r>
        <w:r w:rsidRPr="00CD0C4A" w:rsidR="0018736A">
          <w:rPr>
            <w:rStyle w:val="Hyperlink"/>
            <w:bCs/>
            <w:color w:val="auto"/>
          </w:rPr>
          <w:t>23</w:t>
        </w:r>
        <w:r w:rsidRPr="00CD0C4A" w:rsidR="008A38C9">
          <w:rPr>
            <w:rStyle w:val="Hyperlink"/>
            <w:bCs/>
            <w:color w:val="auto"/>
          </w:rPr>
          <w:t>/2022</w:t>
        </w:r>
      </w:hyperlink>
      <w:r w:rsidRPr="0020191B" w:rsidR="0020191B">
        <w:t xml:space="preserve"> </w:t>
      </w:r>
      <w:r w:rsidRPr="0020191B" w:rsidR="0020191B">
        <w:rPr>
          <w:rStyle w:val="Hyperlink"/>
          <w:bCs/>
          <w:color w:val="auto"/>
          <w:u w:val="none"/>
        </w:rPr>
        <w:t>at 87 FR 31258</w:t>
      </w:r>
      <w:r w:rsidR="0020191B">
        <w:rPr>
          <w:rStyle w:val="Hyperlink"/>
          <w:bCs/>
          <w:color w:val="auto"/>
          <w:u w:val="none"/>
        </w:rPr>
        <w:t xml:space="preserve"> </w:t>
      </w:r>
      <w:r w:rsidRPr="00CD0C4A">
        <w:rPr>
          <w:bCs/>
        </w:rPr>
        <w:t>.</w:t>
      </w:r>
      <w:r w:rsidRPr="00CD0C4A" w:rsidR="008B7CA1">
        <w:rPr>
          <w:bCs/>
        </w:rPr>
        <w:t xml:space="preserve"> </w:t>
      </w:r>
    </w:p>
    <w:p w:rsidR="002B4AD8" w:rsidP="1BD95EB1" w14:paraId="464A8F6D" w14:textId="356D2669">
      <w:pPr>
        <w:pStyle w:val="BodyTextIndent2"/>
        <w:tabs>
          <w:tab w:val="left" w:pos="360"/>
        </w:tabs>
        <w:spacing w:after="120" w:line="240" w:lineRule="auto"/>
        <w:ind w:hanging="360"/>
        <w:rPr>
          <w:bCs/>
        </w:rPr>
      </w:pPr>
    </w:p>
    <w:p w:rsidR="002B4AD8" w:rsidRPr="00300B70" w:rsidP="1BD95EB1" w14:paraId="37674D82" w14:textId="77777777">
      <w:pPr>
        <w:pStyle w:val="BodyTextIndent2"/>
        <w:tabs>
          <w:tab w:val="left" w:pos="360"/>
        </w:tabs>
        <w:spacing w:after="120" w:line="240" w:lineRule="auto"/>
        <w:ind w:hanging="360"/>
        <w:rPr>
          <w:bCs/>
        </w:rPr>
      </w:pPr>
    </w:p>
    <w:p w:rsidR="00CB0FAA" w:rsidP="00200999" w14:paraId="759068F8" w14:textId="77777777">
      <w:pPr>
        <w:pStyle w:val="BodyTextIndent2"/>
        <w:numPr>
          <w:ilvl w:val="0"/>
          <w:numId w:val="22"/>
        </w:numPr>
        <w:tabs>
          <w:tab w:val="clear" w:pos="0"/>
          <w:tab w:val="left" w:pos="360"/>
        </w:tabs>
        <w:spacing w:after="120" w:line="240" w:lineRule="auto"/>
        <w:rPr>
          <w:bCs/>
          <w:szCs w:val="24"/>
        </w:rPr>
      </w:pPr>
      <w:r w:rsidRPr="00CB0FAA">
        <w:rPr>
          <w:b/>
          <w:szCs w:val="24"/>
        </w:rPr>
        <w:t>Payment/Gifts to Respondents:</w:t>
      </w:r>
      <w:r w:rsidRPr="00300B70">
        <w:rPr>
          <w:bCs/>
          <w:szCs w:val="24"/>
        </w:rPr>
        <w:t xml:space="preserve">  </w:t>
      </w:r>
    </w:p>
    <w:p w:rsidR="00DA53DB" w:rsidP="00CB0FAA" w14:paraId="4017F0F3" w14:textId="77777777">
      <w:pPr>
        <w:pStyle w:val="BodyTextIndent2"/>
        <w:tabs>
          <w:tab w:val="clear" w:pos="0"/>
          <w:tab w:val="left" w:pos="360"/>
        </w:tabs>
        <w:spacing w:after="120" w:line="240" w:lineRule="auto"/>
        <w:rPr>
          <w:bCs/>
          <w:szCs w:val="24"/>
        </w:rPr>
      </w:pPr>
      <w:r w:rsidRPr="00300B70">
        <w:rPr>
          <w:bCs/>
          <w:szCs w:val="24"/>
        </w:rPr>
        <w:t>No payments or gifts are provided to respondents for any of these information collections.</w:t>
      </w:r>
    </w:p>
    <w:p w:rsidR="007B6731" w:rsidRPr="00300B70" w:rsidP="007B6731" w14:paraId="718361AE" w14:textId="77777777">
      <w:pPr>
        <w:pStyle w:val="NoSpacing"/>
      </w:pPr>
    </w:p>
    <w:p w:rsidR="00CB0FAA" w:rsidP="00CB0FAA" w14:paraId="58475462" w14:textId="77777777">
      <w:pPr>
        <w:pStyle w:val="BodyTextIndent2"/>
        <w:numPr>
          <w:ilvl w:val="0"/>
          <w:numId w:val="22"/>
        </w:numPr>
        <w:tabs>
          <w:tab w:val="clear" w:pos="0"/>
          <w:tab w:val="left" w:pos="360"/>
        </w:tabs>
        <w:spacing w:after="120" w:line="240" w:lineRule="auto"/>
        <w:rPr>
          <w:bCs/>
          <w:szCs w:val="24"/>
        </w:rPr>
      </w:pPr>
      <w:r w:rsidRPr="00CB0FAA">
        <w:rPr>
          <w:b/>
          <w:szCs w:val="24"/>
        </w:rPr>
        <w:t xml:space="preserve">Assurances of Confidentiality: </w:t>
      </w:r>
    </w:p>
    <w:p w:rsidR="00DA53DB" w:rsidRPr="00300B70" w:rsidP="00CB0FAA" w14:paraId="437D1D53" w14:textId="77777777">
      <w:pPr>
        <w:pStyle w:val="BodyTextIndent2"/>
        <w:tabs>
          <w:tab w:val="clear" w:pos="0"/>
          <w:tab w:val="left" w:pos="360"/>
        </w:tabs>
        <w:spacing w:after="120" w:line="240" w:lineRule="auto"/>
        <w:rPr>
          <w:bCs/>
          <w:szCs w:val="24"/>
        </w:rPr>
      </w:pPr>
      <w:r w:rsidRPr="00300B70">
        <w:rPr>
          <w:bCs/>
          <w:szCs w:val="24"/>
        </w:rPr>
        <w:t xml:space="preserve">The information requested under this collection is protected and held private in accordance with 5 U.S.C.552 (Freedom of Information Act), 5 U.S.C. 552a (Privacy Act of 1974).  </w:t>
      </w:r>
    </w:p>
    <w:p w:rsidR="00CB0FAA" w:rsidRPr="00CB0FAA" w:rsidP="00CB0FAA" w14:paraId="31DADE4F" w14:textId="77777777">
      <w:pPr>
        <w:pStyle w:val="BodyTextIndent2"/>
        <w:numPr>
          <w:ilvl w:val="0"/>
          <w:numId w:val="22"/>
        </w:numPr>
        <w:tabs>
          <w:tab w:val="clear" w:pos="0"/>
          <w:tab w:val="left" w:pos="360"/>
        </w:tabs>
        <w:spacing w:after="120" w:line="240" w:lineRule="auto"/>
        <w:rPr>
          <w:b/>
          <w:szCs w:val="24"/>
        </w:rPr>
      </w:pPr>
      <w:r w:rsidRPr="00CB0FAA">
        <w:rPr>
          <w:b/>
          <w:szCs w:val="24"/>
        </w:rPr>
        <w:t xml:space="preserve">Questions of a Sensitive Nature:  </w:t>
      </w:r>
    </w:p>
    <w:p w:rsidR="000A7D9C" w:rsidRPr="00300B70" w:rsidP="00CB0FAA" w14:paraId="348F386B" w14:textId="77777777">
      <w:pPr>
        <w:pStyle w:val="BodyTextIndent2"/>
        <w:tabs>
          <w:tab w:val="clear" w:pos="0"/>
          <w:tab w:val="left" w:pos="360"/>
        </w:tabs>
        <w:spacing w:after="120" w:line="240" w:lineRule="auto"/>
        <w:rPr>
          <w:bCs/>
          <w:szCs w:val="24"/>
        </w:rPr>
      </w:pPr>
      <w:r w:rsidRPr="00300B70">
        <w:rPr>
          <w:bCs/>
          <w:szCs w:val="24"/>
        </w:rPr>
        <w:t>No sensitive questions are being asked for any of these information collections.</w:t>
      </w:r>
    </w:p>
    <w:p w:rsidR="002B4AD8" w:rsidP="00137C7B" w14:paraId="733B81EB" w14:textId="77777777">
      <w:pPr>
        <w:pStyle w:val="BodyTextIndent2"/>
        <w:keepNext/>
        <w:keepLines/>
        <w:tabs>
          <w:tab w:val="left" w:pos="360"/>
        </w:tabs>
        <w:spacing w:after="120" w:line="240" w:lineRule="auto"/>
        <w:ind w:hanging="360"/>
        <w:rPr>
          <w:bCs/>
        </w:rPr>
      </w:pPr>
    </w:p>
    <w:p w:rsidR="00102DC6" w:rsidRPr="00300B70" w:rsidP="00137C7B" w14:paraId="05A7192F" w14:textId="3D86B0DA">
      <w:pPr>
        <w:pStyle w:val="BodyTextIndent2"/>
        <w:keepNext/>
        <w:keepLines/>
        <w:tabs>
          <w:tab w:val="left" w:pos="360"/>
        </w:tabs>
        <w:spacing w:after="120" w:line="240" w:lineRule="auto"/>
        <w:ind w:hanging="360"/>
        <w:rPr>
          <w:bCs/>
          <w:color w:val="FF0000"/>
          <w:szCs w:val="24"/>
        </w:rPr>
      </w:pPr>
      <w:r w:rsidRPr="002B4AD8">
        <w:rPr>
          <w:b/>
        </w:rPr>
        <w:t>12.</w:t>
      </w:r>
      <w:r w:rsidRPr="002B4AD8">
        <w:rPr>
          <w:b/>
        </w:rPr>
        <w:tab/>
        <w:t>Estimate</w:t>
      </w:r>
      <w:r w:rsidRPr="00CB0FAA">
        <w:rPr>
          <w:b/>
        </w:rPr>
        <w:t xml:space="preserve"> of Annual Burden Hours for Information Collection:  </w:t>
      </w:r>
      <w:r w:rsidRPr="00CB0FAA" w:rsidR="003A0ED4">
        <w:rPr>
          <w:b/>
        </w:rPr>
        <w:t xml:space="preserve">The chart below outlines the burden associated with the form, Certification of Consistency with Promise Zone Goals and Implementation. For Promise Zones, the burden hours per response total 6 minutes. The total burden hours are estimated at </w:t>
      </w:r>
      <w:r w:rsidRPr="00CB0FAA" w:rsidR="001A70B5">
        <w:rPr>
          <w:b/>
        </w:rPr>
        <w:t>8.4</w:t>
      </w:r>
      <w:r w:rsidRPr="00CB0FAA" w:rsidR="003A0ED4">
        <w:rPr>
          <w:b/>
        </w:rPr>
        <w:t xml:space="preserve"> hours.</w:t>
      </w:r>
      <w:r w:rsidRPr="00CB0FAA" w:rsidR="00ED6B8D">
        <w:rPr>
          <w:b/>
        </w:rPr>
        <w:t xml:space="preserve"> </w:t>
      </w:r>
      <w:r w:rsidRPr="00CB0FAA" w:rsidR="00CE76FD">
        <w:rPr>
          <w:b/>
          <w:color w:val="000000" w:themeColor="text1"/>
        </w:rPr>
        <w:t>T</w:t>
      </w:r>
      <w:r w:rsidRPr="00CB0FAA" w:rsidR="00DC3C7D">
        <w:rPr>
          <w:b/>
          <w:color w:val="000000" w:themeColor="text1"/>
        </w:rPr>
        <w:t>he</w:t>
      </w:r>
      <w:r w:rsidRPr="00CB0FAA" w:rsidR="00CE76FD">
        <w:rPr>
          <w:b/>
          <w:color w:val="000000" w:themeColor="text1"/>
        </w:rPr>
        <w:t xml:space="preserve"> </w:t>
      </w:r>
      <w:r w:rsidRPr="00CB0FAA" w:rsidR="00DC3C7D">
        <w:rPr>
          <w:b/>
          <w:color w:val="000000" w:themeColor="text1"/>
        </w:rPr>
        <w:t xml:space="preserve">total annual cost is </w:t>
      </w:r>
      <w:r w:rsidRPr="00CB0FAA" w:rsidR="0040341E">
        <w:rPr>
          <w:b/>
          <w:color w:val="000000" w:themeColor="text1"/>
        </w:rPr>
        <w:t>$</w:t>
      </w:r>
      <w:r w:rsidRPr="00CB0FAA" w:rsidR="001A70B5">
        <w:rPr>
          <w:b/>
          <w:color w:val="000000" w:themeColor="text1"/>
        </w:rPr>
        <w:t>303.50</w:t>
      </w:r>
      <w:r w:rsidRPr="00CB0FAA" w:rsidR="002C7B2F">
        <w:rPr>
          <w:b/>
          <w:color w:val="000000" w:themeColor="text1"/>
        </w:rPr>
        <w:t>,</w:t>
      </w:r>
      <w:r w:rsidRPr="00CB0FAA" w:rsidR="00F81CF7">
        <w:rPr>
          <w:b/>
          <w:color w:val="FF0000"/>
        </w:rPr>
        <w:t xml:space="preserve"> </w:t>
      </w:r>
      <w:r w:rsidRPr="00CB0FAA" w:rsidR="00F81CF7">
        <w:rPr>
          <w:b/>
          <w:color w:val="000000" w:themeColor="text1"/>
        </w:rPr>
        <w:t>based on the hourly wage of Social and Community Service Managers</w:t>
      </w:r>
      <w:r w:rsidRPr="00CB0FAA" w:rsidR="00CB00B0">
        <w:rPr>
          <w:b/>
          <w:color w:val="000000" w:themeColor="text1"/>
        </w:rPr>
        <w:t xml:space="preserve"> -</w:t>
      </w:r>
      <w:r w:rsidRPr="00CB0FAA" w:rsidR="00F81CF7">
        <w:rPr>
          <w:b/>
          <w:color w:val="000000" w:themeColor="text1"/>
        </w:rPr>
        <w:t xml:space="preserve"> </w:t>
      </w:r>
      <w:r w:rsidRPr="00CB0FAA" w:rsidR="002D08B7">
        <w:rPr>
          <w:b/>
          <w:color w:val="000000" w:themeColor="text1"/>
          <w:szCs w:val="24"/>
        </w:rPr>
        <w:t>$3</w:t>
      </w:r>
      <w:r w:rsidRPr="00CB0FAA" w:rsidR="00F81CF7">
        <w:rPr>
          <w:b/>
          <w:color w:val="000000" w:themeColor="text1"/>
          <w:szCs w:val="24"/>
        </w:rPr>
        <w:t>6.13</w:t>
      </w:r>
      <w:r w:rsidRPr="00CB0FAA" w:rsidR="002D08B7">
        <w:rPr>
          <w:b/>
          <w:color w:val="000000" w:themeColor="text1"/>
          <w:szCs w:val="24"/>
        </w:rPr>
        <w:t xml:space="preserve"> per hour</w:t>
      </w:r>
      <w:r w:rsidRPr="00CB0FAA" w:rsidR="00D5766E">
        <w:rPr>
          <w:b/>
          <w:color w:val="000000" w:themeColor="text1"/>
          <w:szCs w:val="24"/>
        </w:rPr>
        <w:t>.</w:t>
      </w:r>
      <w:r>
        <w:rPr>
          <w:rStyle w:val="FootnoteReference"/>
          <w:b/>
          <w:color w:val="000000" w:themeColor="text1"/>
          <w:szCs w:val="24"/>
        </w:rPr>
        <w:footnoteReference w:id="4"/>
      </w:r>
      <w:r w:rsidRPr="00300B70" w:rsidR="006A5A17">
        <w:rPr>
          <w:bCs/>
          <w:color w:val="000000" w:themeColor="text1"/>
          <w:szCs w:val="24"/>
        </w:rPr>
        <w:t xml:space="preserve"> </w:t>
      </w: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25"/>
        <w:gridCol w:w="1011"/>
        <w:gridCol w:w="1154"/>
        <w:gridCol w:w="914"/>
        <w:gridCol w:w="886"/>
        <w:gridCol w:w="900"/>
        <w:gridCol w:w="990"/>
        <w:gridCol w:w="990"/>
      </w:tblGrid>
      <w:tr w14:paraId="02A1A076" w14:textId="77777777" w:rsidTr="002B4AD8">
        <w:tblPrEx>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10"/>
        </w:trPr>
        <w:tc>
          <w:tcPr>
            <w:tcW w:w="2425" w:type="dxa"/>
            <w:shd w:val="clear" w:color="auto" w:fill="auto"/>
            <w:tcMar>
              <w:top w:w="15" w:type="dxa"/>
              <w:left w:w="15" w:type="dxa"/>
              <w:bottom w:w="0" w:type="dxa"/>
              <w:right w:w="15" w:type="dxa"/>
            </w:tcMar>
            <w:vAlign w:val="center"/>
            <w:hideMark/>
          </w:tcPr>
          <w:p w:rsidR="00DC3C7D" w:rsidRPr="00CB0FAA" w:rsidP="00323ADB" w14:paraId="767DCADB" w14:textId="77777777">
            <w:pPr>
              <w:jc w:val="center"/>
              <w:rPr>
                <w:bCs/>
                <w:color w:val="000000" w:themeColor="text1"/>
                <w:sz w:val="18"/>
                <w:szCs w:val="18"/>
              </w:rPr>
            </w:pPr>
            <w:bookmarkStart w:id="2" w:name="_Hlk105417384"/>
            <w:r w:rsidRPr="00CB0FAA">
              <w:rPr>
                <w:bCs/>
                <w:color w:val="000000" w:themeColor="text1"/>
                <w:sz w:val="18"/>
                <w:szCs w:val="18"/>
              </w:rPr>
              <w:t>Information Collection</w:t>
            </w:r>
          </w:p>
        </w:tc>
        <w:tc>
          <w:tcPr>
            <w:tcW w:w="1011" w:type="dxa"/>
            <w:shd w:val="clear" w:color="auto" w:fill="auto"/>
            <w:tcMar>
              <w:top w:w="15" w:type="dxa"/>
              <w:left w:w="15" w:type="dxa"/>
              <w:bottom w:w="0" w:type="dxa"/>
              <w:right w:w="15" w:type="dxa"/>
            </w:tcMar>
            <w:vAlign w:val="center"/>
            <w:hideMark/>
          </w:tcPr>
          <w:p w:rsidR="00DC3C7D" w:rsidRPr="00CB0FAA" w:rsidP="00323ADB" w14:paraId="52DC28E5" w14:textId="77777777">
            <w:pPr>
              <w:jc w:val="center"/>
              <w:rPr>
                <w:bCs/>
                <w:color w:val="000000" w:themeColor="text1"/>
                <w:sz w:val="18"/>
                <w:szCs w:val="18"/>
              </w:rPr>
            </w:pPr>
            <w:r w:rsidRPr="00CB0FAA">
              <w:rPr>
                <w:bCs/>
                <w:color w:val="000000" w:themeColor="text1"/>
                <w:sz w:val="18"/>
                <w:szCs w:val="18"/>
              </w:rPr>
              <w:t>Number of Respondents</w:t>
            </w:r>
          </w:p>
        </w:tc>
        <w:tc>
          <w:tcPr>
            <w:tcW w:w="1154" w:type="dxa"/>
            <w:shd w:val="clear" w:color="auto" w:fill="auto"/>
            <w:tcMar>
              <w:top w:w="15" w:type="dxa"/>
              <w:left w:w="15" w:type="dxa"/>
              <w:bottom w:w="0" w:type="dxa"/>
              <w:right w:w="15" w:type="dxa"/>
            </w:tcMar>
            <w:vAlign w:val="center"/>
            <w:hideMark/>
          </w:tcPr>
          <w:p w:rsidR="00DC3C7D" w:rsidRPr="00CB0FAA" w:rsidP="00323ADB" w14:paraId="6319C469" w14:textId="77777777">
            <w:pPr>
              <w:jc w:val="center"/>
              <w:rPr>
                <w:bCs/>
                <w:color w:val="000000" w:themeColor="text1"/>
                <w:sz w:val="18"/>
                <w:szCs w:val="18"/>
              </w:rPr>
            </w:pPr>
            <w:r w:rsidRPr="00CB0FAA">
              <w:rPr>
                <w:bCs/>
                <w:color w:val="000000" w:themeColor="text1"/>
                <w:sz w:val="18"/>
                <w:szCs w:val="18"/>
              </w:rPr>
              <w:t>Frequency of Response</w:t>
            </w:r>
          </w:p>
        </w:tc>
        <w:tc>
          <w:tcPr>
            <w:tcW w:w="914" w:type="dxa"/>
            <w:shd w:val="clear" w:color="auto" w:fill="auto"/>
            <w:tcMar>
              <w:top w:w="15" w:type="dxa"/>
              <w:left w:w="15" w:type="dxa"/>
              <w:bottom w:w="0" w:type="dxa"/>
              <w:right w:w="15" w:type="dxa"/>
            </w:tcMar>
            <w:vAlign w:val="center"/>
            <w:hideMark/>
          </w:tcPr>
          <w:p w:rsidR="00DC3C7D" w:rsidRPr="00CB0FAA" w:rsidP="00323ADB" w14:paraId="6E90ED92" w14:textId="77777777">
            <w:pPr>
              <w:jc w:val="center"/>
              <w:rPr>
                <w:bCs/>
                <w:color w:val="000000" w:themeColor="text1"/>
                <w:sz w:val="18"/>
                <w:szCs w:val="18"/>
              </w:rPr>
            </w:pPr>
            <w:r w:rsidRPr="00CB0FAA">
              <w:rPr>
                <w:bCs/>
                <w:color w:val="000000" w:themeColor="text1"/>
                <w:sz w:val="18"/>
                <w:szCs w:val="18"/>
              </w:rPr>
              <w:t>Responses</w:t>
            </w:r>
          </w:p>
          <w:p w:rsidR="00DC3C7D" w:rsidRPr="00CB0FAA" w:rsidP="00323ADB" w14:paraId="48F6FCCA" w14:textId="77777777">
            <w:pPr>
              <w:jc w:val="center"/>
              <w:rPr>
                <w:bCs/>
                <w:color w:val="000000" w:themeColor="text1"/>
                <w:sz w:val="18"/>
                <w:szCs w:val="18"/>
              </w:rPr>
            </w:pPr>
            <w:r w:rsidRPr="00CB0FAA">
              <w:rPr>
                <w:bCs/>
                <w:color w:val="000000" w:themeColor="text1"/>
                <w:sz w:val="18"/>
                <w:szCs w:val="18"/>
              </w:rPr>
              <w:t>Per Annum</w:t>
            </w:r>
          </w:p>
        </w:tc>
        <w:tc>
          <w:tcPr>
            <w:tcW w:w="886" w:type="dxa"/>
            <w:shd w:val="clear" w:color="auto" w:fill="auto"/>
            <w:tcMar>
              <w:top w:w="15" w:type="dxa"/>
              <w:left w:w="15" w:type="dxa"/>
              <w:bottom w:w="0" w:type="dxa"/>
              <w:right w:w="15" w:type="dxa"/>
            </w:tcMar>
            <w:vAlign w:val="center"/>
            <w:hideMark/>
          </w:tcPr>
          <w:p w:rsidR="00DC3C7D" w:rsidRPr="00CB0FAA" w:rsidP="00323ADB" w14:paraId="464CA9E0" w14:textId="77777777">
            <w:pPr>
              <w:jc w:val="center"/>
              <w:rPr>
                <w:bCs/>
                <w:color w:val="000000" w:themeColor="text1"/>
                <w:sz w:val="18"/>
                <w:szCs w:val="18"/>
              </w:rPr>
            </w:pPr>
            <w:r w:rsidRPr="00CB0FAA">
              <w:rPr>
                <w:bCs/>
                <w:color w:val="000000" w:themeColor="text1"/>
                <w:sz w:val="18"/>
                <w:szCs w:val="18"/>
              </w:rPr>
              <w:t>Burden Hour Per Response</w:t>
            </w:r>
          </w:p>
        </w:tc>
        <w:tc>
          <w:tcPr>
            <w:tcW w:w="900" w:type="dxa"/>
            <w:shd w:val="clear" w:color="auto" w:fill="auto"/>
            <w:tcMar>
              <w:top w:w="15" w:type="dxa"/>
              <w:left w:w="15" w:type="dxa"/>
              <w:bottom w:w="0" w:type="dxa"/>
              <w:right w:w="15" w:type="dxa"/>
            </w:tcMar>
            <w:vAlign w:val="center"/>
            <w:hideMark/>
          </w:tcPr>
          <w:p w:rsidR="00DC3C7D" w:rsidRPr="00CB0FAA" w:rsidP="00323ADB" w14:paraId="061DBDB6" w14:textId="77777777">
            <w:pPr>
              <w:jc w:val="center"/>
              <w:rPr>
                <w:bCs/>
                <w:color w:val="000000" w:themeColor="text1"/>
                <w:sz w:val="18"/>
                <w:szCs w:val="18"/>
              </w:rPr>
            </w:pPr>
            <w:r w:rsidRPr="00CB0FAA">
              <w:rPr>
                <w:bCs/>
                <w:color w:val="000000" w:themeColor="text1"/>
                <w:sz w:val="18"/>
                <w:szCs w:val="18"/>
              </w:rPr>
              <w:t>Annual Burden Hours</w:t>
            </w:r>
          </w:p>
        </w:tc>
        <w:tc>
          <w:tcPr>
            <w:tcW w:w="990" w:type="dxa"/>
            <w:shd w:val="clear" w:color="auto" w:fill="auto"/>
            <w:tcMar>
              <w:top w:w="15" w:type="dxa"/>
              <w:left w:w="15" w:type="dxa"/>
              <w:bottom w:w="0" w:type="dxa"/>
              <w:right w:w="15" w:type="dxa"/>
            </w:tcMar>
            <w:vAlign w:val="center"/>
            <w:hideMark/>
          </w:tcPr>
          <w:p w:rsidR="00DC3C7D" w:rsidRPr="00CB0FAA" w:rsidP="00323ADB" w14:paraId="3E039F99" w14:textId="77777777">
            <w:pPr>
              <w:jc w:val="center"/>
              <w:rPr>
                <w:bCs/>
                <w:color w:val="000000" w:themeColor="text1"/>
                <w:sz w:val="18"/>
                <w:szCs w:val="18"/>
              </w:rPr>
            </w:pPr>
            <w:r w:rsidRPr="00CB0FAA">
              <w:rPr>
                <w:bCs/>
                <w:color w:val="000000" w:themeColor="text1"/>
                <w:sz w:val="18"/>
                <w:szCs w:val="18"/>
              </w:rPr>
              <w:t>Hourly Cost Per Response</w:t>
            </w:r>
          </w:p>
        </w:tc>
        <w:tc>
          <w:tcPr>
            <w:tcW w:w="990" w:type="dxa"/>
            <w:shd w:val="clear" w:color="auto" w:fill="auto"/>
            <w:tcMar>
              <w:top w:w="15" w:type="dxa"/>
              <w:left w:w="15" w:type="dxa"/>
              <w:bottom w:w="0" w:type="dxa"/>
              <w:right w:w="15" w:type="dxa"/>
            </w:tcMar>
            <w:vAlign w:val="center"/>
            <w:hideMark/>
          </w:tcPr>
          <w:p w:rsidR="00DC3C7D" w:rsidRPr="00CB0FAA" w:rsidP="00323ADB" w14:paraId="2C0E7811" w14:textId="77777777">
            <w:pPr>
              <w:jc w:val="center"/>
              <w:rPr>
                <w:bCs/>
                <w:color w:val="000000" w:themeColor="text1"/>
                <w:sz w:val="18"/>
                <w:szCs w:val="18"/>
              </w:rPr>
            </w:pPr>
            <w:r w:rsidRPr="00CB0FAA">
              <w:rPr>
                <w:bCs/>
                <w:color w:val="000000" w:themeColor="text1"/>
                <w:sz w:val="18"/>
                <w:szCs w:val="18"/>
              </w:rPr>
              <w:t>Annual Cost</w:t>
            </w:r>
          </w:p>
          <w:p w:rsidR="00DC3C7D" w:rsidRPr="00CB0FAA" w:rsidP="00323ADB" w14:paraId="4220E297" w14:textId="77777777">
            <w:pPr>
              <w:jc w:val="center"/>
              <w:rPr>
                <w:bCs/>
                <w:color w:val="000000" w:themeColor="text1"/>
                <w:sz w:val="18"/>
                <w:szCs w:val="18"/>
              </w:rPr>
            </w:pPr>
          </w:p>
        </w:tc>
      </w:tr>
      <w:tr w14:paraId="10BB160E" w14:textId="77777777" w:rsidTr="002B4AD8">
        <w:tblPrEx>
          <w:tblW w:w="9270" w:type="dxa"/>
          <w:tblInd w:w="-20" w:type="dxa"/>
          <w:tblCellMar>
            <w:left w:w="0" w:type="dxa"/>
            <w:right w:w="0" w:type="dxa"/>
          </w:tblCellMar>
          <w:tblLook w:val="04A0"/>
        </w:tblPrEx>
        <w:trPr>
          <w:trHeight w:val="510"/>
        </w:trPr>
        <w:tc>
          <w:tcPr>
            <w:tcW w:w="2425" w:type="dxa"/>
            <w:shd w:val="clear" w:color="auto" w:fill="auto"/>
            <w:tcMar>
              <w:top w:w="15" w:type="dxa"/>
              <w:left w:w="15" w:type="dxa"/>
              <w:bottom w:w="0" w:type="dxa"/>
              <w:right w:w="15" w:type="dxa"/>
            </w:tcMar>
            <w:vAlign w:val="center"/>
          </w:tcPr>
          <w:p w:rsidR="00A32B7A" w:rsidRPr="00CB0FAA" w:rsidP="00A32B7A" w14:paraId="0D958E09" w14:textId="77777777">
            <w:pPr>
              <w:jc w:val="center"/>
              <w:rPr>
                <w:bCs/>
                <w:color w:val="000000" w:themeColor="text1"/>
                <w:sz w:val="18"/>
                <w:szCs w:val="18"/>
              </w:rPr>
            </w:pPr>
            <w:r w:rsidRPr="00CB0FAA">
              <w:rPr>
                <w:bCs/>
                <w:color w:val="000000"/>
                <w:sz w:val="18"/>
                <w:szCs w:val="18"/>
              </w:rPr>
              <w:t xml:space="preserve">Certification of Consistency Form HUD – 50153 </w:t>
            </w:r>
          </w:p>
        </w:tc>
        <w:tc>
          <w:tcPr>
            <w:tcW w:w="1011" w:type="dxa"/>
            <w:shd w:val="clear" w:color="auto" w:fill="auto"/>
            <w:tcMar>
              <w:top w:w="15" w:type="dxa"/>
              <w:left w:w="15" w:type="dxa"/>
              <w:bottom w:w="0" w:type="dxa"/>
              <w:right w:w="15" w:type="dxa"/>
            </w:tcMar>
            <w:vAlign w:val="center"/>
          </w:tcPr>
          <w:p w:rsidR="00A32B7A" w:rsidRPr="00CB0FAA" w:rsidP="00A32B7A" w14:paraId="3D76A778" w14:textId="77777777">
            <w:pPr>
              <w:jc w:val="center"/>
              <w:rPr>
                <w:bCs/>
                <w:color w:val="000000" w:themeColor="text1"/>
                <w:sz w:val="18"/>
                <w:szCs w:val="18"/>
              </w:rPr>
            </w:pPr>
            <w:r w:rsidRPr="00CB0FAA">
              <w:rPr>
                <w:bCs/>
                <w:color w:val="000000" w:themeColor="text1"/>
                <w:sz w:val="18"/>
                <w:szCs w:val="18"/>
              </w:rPr>
              <w:t>14</w:t>
            </w:r>
          </w:p>
        </w:tc>
        <w:tc>
          <w:tcPr>
            <w:tcW w:w="1154" w:type="dxa"/>
            <w:shd w:val="clear" w:color="auto" w:fill="auto"/>
            <w:tcMar>
              <w:top w:w="15" w:type="dxa"/>
              <w:left w:w="15" w:type="dxa"/>
              <w:bottom w:w="0" w:type="dxa"/>
              <w:right w:w="15" w:type="dxa"/>
            </w:tcMar>
            <w:vAlign w:val="center"/>
          </w:tcPr>
          <w:p w:rsidR="00A32B7A" w:rsidRPr="00CB0FAA" w:rsidP="00A32B7A" w14:paraId="0C0379EB" w14:textId="77777777">
            <w:pPr>
              <w:jc w:val="center"/>
              <w:rPr>
                <w:bCs/>
                <w:color w:val="000000" w:themeColor="text1"/>
                <w:sz w:val="18"/>
                <w:szCs w:val="18"/>
              </w:rPr>
            </w:pPr>
            <w:r w:rsidRPr="00CB0FAA">
              <w:rPr>
                <w:bCs/>
                <w:color w:val="000000" w:themeColor="text1"/>
                <w:sz w:val="18"/>
                <w:szCs w:val="18"/>
              </w:rPr>
              <w:t>6</w:t>
            </w:r>
          </w:p>
        </w:tc>
        <w:tc>
          <w:tcPr>
            <w:tcW w:w="914" w:type="dxa"/>
            <w:shd w:val="clear" w:color="auto" w:fill="auto"/>
            <w:tcMar>
              <w:top w:w="15" w:type="dxa"/>
              <w:left w:w="15" w:type="dxa"/>
              <w:bottom w:w="0" w:type="dxa"/>
              <w:right w:w="15" w:type="dxa"/>
            </w:tcMar>
            <w:vAlign w:val="center"/>
          </w:tcPr>
          <w:p w:rsidR="00A32B7A" w:rsidRPr="00CB0FAA" w:rsidP="00A32B7A" w14:paraId="7C68DF3E" w14:textId="77777777">
            <w:pPr>
              <w:jc w:val="center"/>
              <w:rPr>
                <w:bCs/>
                <w:color w:val="000000" w:themeColor="text1"/>
                <w:sz w:val="18"/>
                <w:szCs w:val="18"/>
              </w:rPr>
            </w:pPr>
            <w:r w:rsidRPr="00CB0FAA">
              <w:rPr>
                <w:bCs/>
                <w:color w:val="000000" w:themeColor="text1"/>
                <w:sz w:val="18"/>
                <w:szCs w:val="18"/>
              </w:rPr>
              <w:t>84</w:t>
            </w:r>
          </w:p>
        </w:tc>
        <w:tc>
          <w:tcPr>
            <w:tcW w:w="886" w:type="dxa"/>
            <w:shd w:val="clear" w:color="auto" w:fill="auto"/>
            <w:tcMar>
              <w:top w:w="15" w:type="dxa"/>
              <w:left w:w="15" w:type="dxa"/>
              <w:bottom w:w="0" w:type="dxa"/>
              <w:right w:w="15" w:type="dxa"/>
            </w:tcMar>
            <w:vAlign w:val="center"/>
          </w:tcPr>
          <w:p w:rsidR="00A32B7A" w:rsidRPr="00CB0FAA" w:rsidP="00A32B7A" w14:paraId="5E495A89" w14:textId="77777777">
            <w:pPr>
              <w:jc w:val="center"/>
              <w:rPr>
                <w:bCs/>
                <w:color w:val="000000" w:themeColor="text1"/>
                <w:sz w:val="18"/>
                <w:szCs w:val="18"/>
              </w:rPr>
            </w:pPr>
            <w:r w:rsidRPr="00CB0FAA">
              <w:rPr>
                <w:bCs/>
                <w:color w:val="000000" w:themeColor="text1"/>
                <w:sz w:val="18"/>
                <w:szCs w:val="18"/>
              </w:rPr>
              <w:t>0.1</w:t>
            </w:r>
          </w:p>
        </w:tc>
        <w:tc>
          <w:tcPr>
            <w:tcW w:w="900" w:type="dxa"/>
            <w:shd w:val="clear" w:color="auto" w:fill="auto"/>
            <w:tcMar>
              <w:top w:w="15" w:type="dxa"/>
              <w:left w:w="15" w:type="dxa"/>
              <w:bottom w:w="0" w:type="dxa"/>
              <w:right w:w="15" w:type="dxa"/>
            </w:tcMar>
            <w:vAlign w:val="center"/>
          </w:tcPr>
          <w:p w:rsidR="00A32B7A" w:rsidRPr="00CB0FAA" w:rsidP="00A32B7A" w14:paraId="3F233447" w14:textId="77777777">
            <w:pPr>
              <w:jc w:val="center"/>
              <w:rPr>
                <w:bCs/>
                <w:color w:val="000000" w:themeColor="text1"/>
                <w:sz w:val="18"/>
                <w:szCs w:val="18"/>
              </w:rPr>
            </w:pPr>
            <w:r w:rsidRPr="00CB0FAA">
              <w:rPr>
                <w:bCs/>
                <w:color w:val="000000" w:themeColor="text1"/>
                <w:sz w:val="18"/>
                <w:szCs w:val="18"/>
              </w:rPr>
              <w:t>8</w:t>
            </w:r>
            <w:r w:rsidRPr="00CB0FAA" w:rsidR="00963B73">
              <w:rPr>
                <w:bCs/>
                <w:color w:val="000000" w:themeColor="text1"/>
                <w:sz w:val="18"/>
                <w:szCs w:val="18"/>
              </w:rPr>
              <w:t>.4</w:t>
            </w:r>
          </w:p>
        </w:tc>
        <w:tc>
          <w:tcPr>
            <w:tcW w:w="990" w:type="dxa"/>
            <w:shd w:val="clear" w:color="auto" w:fill="auto"/>
            <w:tcMar>
              <w:top w:w="15" w:type="dxa"/>
              <w:left w:w="15" w:type="dxa"/>
              <w:bottom w:w="0" w:type="dxa"/>
              <w:right w:w="15" w:type="dxa"/>
            </w:tcMar>
            <w:vAlign w:val="center"/>
          </w:tcPr>
          <w:p w:rsidR="00A32B7A" w:rsidRPr="00CB0FAA" w:rsidP="00A32B7A" w14:paraId="449960F5" w14:textId="77777777">
            <w:pPr>
              <w:jc w:val="center"/>
              <w:rPr>
                <w:bCs/>
                <w:color w:val="000000" w:themeColor="text1"/>
                <w:sz w:val="18"/>
                <w:szCs w:val="18"/>
              </w:rPr>
            </w:pPr>
            <w:r w:rsidRPr="00CB0FAA">
              <w:rPr>
                <w:bCs/>
                <w:color w:val="000000" w:themeColor="text1"/>
                <w:sz w:val="18"/>
                <w:szCs w:val="18"/>
              </w:rPr>
              <w:t>$36.13</w:t>
            </w:r>
          </w:p>
        </w:tc>
        <w:tc>
          <w:tcPr>
            <w:tcW w:w="990" w:type="dxa"/>
            <w:shd w:val="clear" w:color="auto" w:fill="auto"/>
            <w:tcMar>
              <w:top w:w="15" w:type="dxa"/>
              <w:left w:w="15" w:type="dxa"/>
              <w:bottom w:w="0" w:type="dxa"/>
              <w:right w:w="15" w:type="dxa"/>
            </w:tcMar>
            <w:vAlign w:val="center"/>
          </w:tcPr>
          <w:p w:rsidR="00A32B7A" w:rsidRPr="00CB0FAA" w:rsidP="00F81CF7" w14:paraId="4B2976B0" w14:textId="77777777">
            <w:pPr>
              <w:jc w:val="center"/>
              <w:rPr>
                <w:bCs/>
                <w:color w:val="000000" w:themeColor="text1"/>
                <w:sz w:val="18"/>
                <w:szCs w:val="18"/>
              </w:rPr>
            </w:pPr>
            <w:r w:rsidRPr="00CB0FAA">
              <w:rPr>
                <w:bCs/>
                <w:color w:val="000000" w:themeColor="text1"/>
                <w:sz w:val="18"/>
                <w:szCs w:val="18"/>
              </w:rPr>
              <w:t>$303</w:t>
            </w:r>
            <w:r w:rsidRPr="00CB0FAA" w:rsidR="00674985">
              <w:rPr>
                <w:bCs/>
                <w:color w:val="000000" w:themeColor="text1"/>
                <w:sz w:val="18"/>
                <w:szCs w:val="18"/>
              </w:rPr>
              <w:t>.50</w:t>
            </w:r>
          </w:p>
        </w:tc>
      </w:tr>
      <w:tr w14:paraId="675C3928" w14:textId="77777777" w:rsidTr="002B4AD8">
        <w:tblPrEx>
          <w:tblW w:w="9270" w:type="dxa"/>
          <w:tblInd w:w="-20" w:type="dxa"/>
          <w:tblCellMar>
            <w:left w:w="0" w:type="dxa"/>
            <w:right w:w="0" w:type="dxa"/>
          </w:tblCellMar>
          <w:tblLook w:val="04A0"/>
        </w:tblPrEx>
        <w:trPr>
          <w:trHeight w:val="353"/>
        </w:trPr>
        <w:tc>
          <w:tcPr>
            <w:tcW w:w="2425" w:type="dxa"/>
            <w:shd w:val="clear" w:color="auto" w:fill="auto"/>
            <w:tcMar>
              <w:top w:w="15" w:type="dxa"/>
              <w:left w:w="15" w:type="dxa"/>
              <w:bottom w:w="0" w:type="dxa"/>
              <w:right w:w="15" w:type="dxa"/>
            </w:tcMar>
            <w:vAlign w:val="center"/>
          </w:tcPr>
          <w:p w:rsidR="000D6CDC" w:rsidRPr="00CB0FAA" w:rsidP="000D6CDC" w14:paraId="7449E1F0" w14:textId="77777777">
            <w:pPr>
              <w:jc w:val="center"/>
              <w:rPr>
                <w:bCs/>
                <w:color w:val="000000" w:themeColor="text1"/>
                <w:sz w:val="18"/>
                <w:szCs w:val="18"/>
              </w:rPr>
            </w:pPr>
            <w:r w:rsidRPr="00CB0FAA">
              <w:rPr>
                <w:bCs/>
                <w:color w:val="000000" w:themeColor="text1"/>
                <w:sz w:val="18"/>
                <w:szCs w:val="18"/>
              </w:rPr>
              <w:t>Total</w:t>
            </w:r>
          </w:p>
        </w:tc>
        <w:tc>
          <w:tcPr>
            <w:tcW w:w="1011" w:type="dxa"/>
            <w:shd w:val="clear" w:color="auto" w:fill="auto"/>
            <w:tcMar>
              <w:top w:w="15" w:type="dxa"/>
              <w:left w:w="15" w:type="dxa"/>
              <w:bottom w:w="0" w:type="dxa"/>
              <w:right w:w="15" w:type="dxa"/>
            </w:tcMar>
            <w:vAlign w:val="center"/>
          </w:tcPr>
          <w:p w:rsidR="000D6CDC" w:rsidRPr="00CB0FAA" w:rsidP="000D6CDC" w14:paraId="516D9FA2" w14:textId="77777777">
            <w:pPr>
              <w:jc w:val="center"/>
              <w:rPr>
                <w:bCs/>
                <w:color w:val="000000" w:themeColor="text1"/>
                <w:sz w:val="18"/>
                <w:szCs w:val="18"/>
              </w:rPr>
            </w:pPr>
            <w:r w:rsidRPr="00CB0FAA">
              <w:rPr>
                <w:bCs/>
                <w:color w:val="000000" w:themeColor="text1"/>
                <w:sz w:val="18"/>
                <w:szCs w:val="18"/>
              </w:rPr>
              <w:t> </w:t>
            </w:r>
          </w:p>
        </w:tc>
        <w:tc>
          <w:tcPr>
            <w:tcW w:w="1154" w:type="dxa"/>
            <w:shd w:val="clear" w:color="auto" w:fill="auto"/>
            <w:tcMar>
              <w:top w:w="15" w:type="dxa"/>
              <w:left w:w="15" w:type="dxa"/>
              <w:bottom w:w="0" w:type="dxa"/>
              <w:right w:w="15" w:type="dxa"/>
            </w:tcMar>
            <w:vAlign w:val="center"/>
          </w:tcPr>
          <w:p w:rsidR="000D6CDC" w:rsidRPr="00CB0FAA" w:rsidP="000D6CDC" w14:paraId="7591F5F8" w14:textId="77777777">
            <w:pPr>
              <w:jc w:val="center"/>
              <w:rPr>
                <w:bCs/>
                <w:color w:val="000000" w:themeColor="text1"/>
                <w:sz w:val="18"/>
                <w:szCs w:val="18"/>
              </w:rPr>
            </w:pPr>
            <w:r w:rsidRPr="00CB0FAA">
              <w:rPr>
                <w:bCs/>
                <w:color w:val="000000" w:themeColor="text1"/>
                <w:sz w:val="18"/>
                <w:szCs w:val="18"/>
              </w:rPr>
              <w:t> </w:t>
            </w:r>
          </w:p>
        </w:tc>
        <w:tc>
          <w:tcPr>
            <w:tcW w:w="914" w:type="dxa"/>
            <w:shd w:val="clear" w:color="auto" w:fill="auto"/>
            <w:tcMar>
              <w:top w:w="15" w:type="dxa"/>
              <w:left w:w="15" w:type="dxa"/>
              <w:bottom w:w="0" w:type="dxa"/>
              <w:right w:w="15" w:type="dxa"/>
            </w:tcMar>
            <w:vAlign w:val="center"/>
          </w:tcPr>
          <w:p w:rsidR="000D6CDC" w:rsidRPr="00CB0FAA" w:rsidP="000D6CDC" w14:paraId="7B962F6A" w14:textId="77777777">
            <w:pPr>
              <w:jc w:val="center"/>
              <w:rPr>
                <w:bCs/>
                <w:color w:val="000000" w:themeColor="text1"/>
                <w:sz w:val="18"/>
                <w:szCs w:val="18"/>
              </w:rPr>
            </w:pPr>
            <w:r w:rsidRPr="00CB0FAA">
              <w:rPr>
                <w:bCs/>
                <w:color w:val="000000" w:themeColor="text1"/>
                <w:sz w:val="18"/>
                <w:szCs w:val="18"/>
              </w:rPr>
              <w:t> </w:t>
            </w:r>
          </w:p>
        </w:tc>
        <w:tc>
          <w:tcPr>
            <w:tcW w:w="886" w:type="dxa"/>
            <w:shd w:val="clear" w:color="auto" w:fill="auto"/>
            <w:tcMar>
              <w:top w:w="15" w:type="dxa"/>
              <w:left w:w="15" w:type="dxa"/>
              <w:bottom w:w="0" w:type="dxa"/>
              <w:right w:w="15" w:type="dxa"/>
            </w:tcMar>
            <w:vAlign w:val="center"/>
          </w:tcPr>
          <w:p w:rsidR="000D6CDC" w:rsidRPr="00CB0FAA" w:rsidP="000D6CDC" w14:paraId="4BA5ED51" w14:textId="77777777">
            <w:pPr>
              <w:jc w:val="center"/>
              <w:rPr>
                <w:bCs/>
                <w:color w:val="000000" w:themeColor="text1"/>
                <w:sz w:val="18"/>
                <w:szCs w:val="18"/>
              </w:rPr>
            </w:pPr>
            <w:r w:rsidRPr="00CB0FAA">
              <w:rPr>
                <w:bCs/>
                <w:color w:val="000000" w:themeColor="text1"/>
                <w:sz w:val="18"/>
                <w:szCs w:val="18"/>
              </w:rPr>
              <w:t> </w:t>
            </w:r>
          </w:p>
        </w:tc>
        <w:tc>
          <w:tcPr>
            <w:tcW w:w="900" w:type="dxa"/>
            <w:shd w:val="clear" w:color="auto" w:fill="auto"/>
            <w:tcMar>
              <w:top w:w="15" w:type="dxa"/>
              <w:left w:w="15" w:type="dxa"/>
              <w:bottom w:w="0" w:type="dxa"/>
              <w:right w:w="15" w:type="dxa"/>
            </w:tcMar>
            <w:vAlign w:val="center"/>
          </w:tcPr>
          <w:p w:rsidR="000D6CDC" w:rsidRPr="00CB0FAA" w:rsidP="000D6CDC" w14:paraId="378E2759" w14:textId="77777777">
            <w:pPr>
              <w:jc w:val="center"/>
              <w:rPr>
                <w:bCs/>
                <w:color w:val="000000" w:themeColor="text1"/>
                <w:sz w:val="18"/>
                <w:szCs w:val="18"/>
              </w:rPr>
            </w:pPr>
          </w:p>
        </w:tc>
        <w:tc>
          <w:tcPr>
            <w:tcW w:w="990" w:type="dxa"/>
            <w:shd w:val="clear" w:color="auto" w:fill="auto"/>
            <w:tcMar>
              <w:top w:w="15" w:type="dxa"/>
              <w:left w:w="15" w:type="dxa"/>
              <w:bottom w:w="0" w:type="dxa"/>
              <w:right w:w="15" w:type="dxa"/>
            </w:tcMar>
            <w:vAlign w:val="center"/>
          </w:tcPr>
          <w:p w:rsidR="000D6CDC" w:rsidRPr="00CB0FAA" w:rsidP="000D6CDC" w14:paraId="638862E3" w14:textId="77777777">
            <w:pPr>
              <w:jc w:val="center"/>
              <w:rPr>
                <w:bCs/>
                <w:color w:val="000000" w:themeColor="text1"/>
                <w:sz w:val="18"/>
                <w:szCs w:val="18"/>
              </w:rPr>
            </w:pPr>
            <w:r w:rsidRPr="00CB0FAA">
              <w:rPr>
                <w:bCs/>
                <w:color w:val="000000" w:themeColor="text1"/>
                <w:sz w:val="18"/>
                <w:szCs w:val="18"/>
              </w:rPr>
              <w:t> </w:t>
            </w:r>
          </w:p>
        </w:tc>
        <w:tc>
          <w:tcPr>
            <w:tcW w:w="990" w:type="dxa"/>
            <w:shd w:val="clear" w:color="auto" w:fill="auto"/>
            <w:tcMar>
              <w:top w:w="15" w:type="dxa"/>
              <w:left w:w="15" w:type="dxa"/>
              <w:bottom w:w="0" w:type="dxa"/>
              <w:right w:w="15" w:type="dxa"/>
            </w:tcMar>
            <w:vAlign w:val="center"/>
          </w:tcPr>
          <w:p w:rsidR="005D725F" w:rsidRPr="00CB0FAA" w:rsidP="005D725F" w14:paraId="02468B57" w14:textId="77777777">
            <w:pPr>
              <w:jc w:val="center"/>
              <w:rPr>
                <w:bCs/>
                <w:color w:val="000000" w:themeColor="text1"/>
                <w:sz w:val="18"/>
                <w:szCs w:val="18"/>
              </w:rPr>
            </w:pPr>
            <w:r w:rsidRPr="00CB0FAA">
              <w:rPr>
                <w:bCs/>
                <w:color w:val="000000" w:themeColor="text1"/>
                <w:sz w:val="18"/>
                <w:szCs w:val="18"/>
              </w:rPr>
              <w:t>$</w:t>
            </w:r>
            <w:r w:rsidRPr="00CB0FAA" w:rsidR="008600B1">
              <w:rPr>
                <w:bCs/>
                <w:color w:val="000000" w:themeColor="text1"/>
                <w:sz w:val="18"/>
                <w:szCs w:val="18"/>
              </w:rPr>
              <w:t>303.50</w:t>
            </w:r>
          </w:p>
        </w:tc>
      </w:tr>
      <w:bookmarkEnd w:id="2"/>
    </w:tbl>
    <w:p w:rsidR="00A137F6" w:rsidRPr="00300B70" w:rsidP="009A3689" w14:paraId="5809A858" w14:textId="77777777">
      <w:pPr>
        <w:rPr>
          <w:bCs/>
          <w:sz w:val="24"/>
          <w:szCs w:val="24"/>
        </w:rPr>
      </w:pPr>
    </w:p>
    <w:p w:rsidR="00F72AC8" w:rsidRPr="00CB0FAA" w:rsidP="009A3689" w14:paraId="058C2FA2" w14:textId="77777777">
      <w:pPr>
        <w:pStyle w:val="ListParagraph"/>
        <w:numPr>
          <w:ilvl w:val="0"/>
          <w:numId w:val="25"/>
        </w:numPr>
        <w:spacing w:line="240" w:lineRule="auto"/>
        <w:rPr>
          <w:rFonts w:ascii="Times New Roman" w:hAnsi="Times New Roman" w:cs="Times New Roman"/>
          <w:b/>
          <w:sz w:val="24"/>
          <w:szCs w:val="24"/>
        </w:rPr>
      </w:pPr>
      <w:r w:rsidRPr="00CB0FAA">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shown in Items 12 and 14).</w:t>
      </w:r>
      <w:r w:rsidRPr="00CB0FAA" w:rsidR="318561DF">
        <w:rPr>
          <w:rFonts w:ascii="Times New Roman" w:hAnsi="Times New Roman" w:cs="Times New Roman"/>
          <w:b/>
          <w:sz w:val="24"/>
          <w:szCs w:val="24"/>
        </w:rPr>
        <w:t xml:space="preserve"> </w:t>
      </w:r>
    </w:p>
    <w:p w:rsidR="00F72AC8" w:rsidRPr="00CB0FAA" w:rsidP="009A3689" w14:paraId="6E0C1066" w14:textId="77777777">
      <w:pPr>
        <w:numPr>
          <w:ilvl w:val="0"/>
          <w:numId w:val="21"/>
        </w:numPr>
        <w:overflowPunct/>
        <w:autoSpaceDE/>
        <w:autoSpaceDN/>
        <w:adjustRightInd/>
        <w:textAlignment w:val="auto"/>
        <w:rPr>
          <w:b/>
          <w:sz w:val="24"/>
          <w:szCs w:val="24"/>
        </w:rPr>
      </w:pPr>
      <w:r w:rsidRPr="00CB0FAA">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B0FAA" w:rsidR="00891E69">
        <w:rPr>
          <w:b/>
          <w:sz w:val="24"/>
          <w:szCs w:val="24"/>
        </w:rPr>
        <w:t>consider</w:t>
      </w:r>
      <w:r w:rsidRPr="00CB0FAA">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A3689" w:rsidRPr="00CB0FAA" w:rsidP="009A3689" w14:paraId="5FDDFBE2" w14:textId="77777777">
      <w:pPr>
        <w:overflowPunct/>
        <w:autoSpaceDE/>
        <w:autoSpaceDN/>
        <w:adjustRightInd/>
        <w:ind w:left="720"/>
        <w:textAlignment w:val="auto"/>
        <w:rPr>
          <w:b/>
          <w:sz w:val="24"/>
          <w:szCs w:val="24"/>
        </w:rPr>
      </w:pPr>
    </w:p>
    <w:p w:rsidR="009A3689" w:rsidRPr="00CB0FAA" w:rsidP="002D08B7" w14:paraId="6214FD6B" w14:textId="77777777">
      <w:pPr>
        <w:numPr>
          <w:ilvl w:val="0"/>
          <w:numId w:val="21"/>
        </w:numPr>
        <w:overflowPunct/>
        <w:autoSpaceDE/>
        <w:autoSpaceDN/>
        <w:adjustRightInd/>
        <w:textAlignment w:val="auto"/>
        <w:rPr>
          <w:b/>
          <w:sz w:val="24"/>
          <w:szCs w:val="24"/>
        </w:rPr>
      </w:pPr>
      <w:r w:rsidRPr="00CB0FAA">
        <w:rPr>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w:t>
      </w:r>
      <w:r w:rsidRPr="00CB0FAA">
        <w:rPr>
          <w:b/>
          <w:sz w:val="24"/>
          <w:szCs w:val="24"/>
        </w:rPr>
        <w:t>comment process and use existing economic or regulatory impact analysis associated with the rulemaking containing the information collection, as appropriate.</w:t>
      </w:r>
    </w:p>
    <w:p w:rsidR="00F72AC8" w:rsidRPr="00CB0FAA" w:rsidP="009A3689" w14:paraId="5A4AD66C" w14:textId="77777777">
      <w:pPr>
        <w:numPr>
          <w:ilvl w:val="0"/>
          <w:numId w:val="21"/>
        </w:numPr>
        <w:overflowPunct/>
        <w:autoSpaceDE/>
        <w:autoSpaceDN/>
        <w:adjustRightInd/>
        <w:textAlignment w:val="auto"/>
        <w:rPr>
          <w:b/>
          <w:sz w:val="24"/>
          <w:szCs w:val="24"/>
        </w:rPr>
      </w:pPr>
      <w:r w:rsidRPr="00CB0FAA">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2AC8" w:rsidRPr="00300B70" w:rsidP="009A3689" w14:paraId="0410E44D" w14:textId="77777777">
      <w:pPr>
        <w:overflowPunct/>
        <w:autoSpaceDE/>
        <w:autoSpaceDN/>
        <w:adjustRightInd/>
        <w:textAlignment w:val="auto"/>
        <w:rPr>
          <w:bCs/>
          <w:sz w:val="24"/>
          <w:szCs w:val="24"/>
        </w:rPr>
      </w:pPr>
    </w:p>
    <w:p w:rsidR="00CB0FAA" w:rsidP="00283AD0" w14:paraId="17130324" w14:textId="77777777">
      <w:pPr>
        <w:pStyle w:val="BodyTextIndent2"/>
        <w:tabs>
          <w:tab w:val="left" w:pos="360"/>
        </w:tabs>
        <w:spacing w:after="120" w:line="240" w:lineRule="auto"/>
        <w:ind w:left="336"/>
        <w:rPr>
          <w:bCs/>
          <w:szCs w:val="24"/>
        </w:rPr>
      </w:pPr>
      <w:r w:rsidRPr="00300B70">
        <w:rPr>
          <w:bCs/>
          <w:szCs w:val="24"/>
        </w:rPr>
        <w:t>T</w:t>
      </w:r>
      <w:r w:rsidRPr="00300B70" w:rsidR="009F4B77">
        <w:rPr>
          <w:bCs/>
          <w:szCs w:val="24"/>
        </w:rPr>
        <w:t xml:space="preserve">here are no start-up or additional costs to the respondents other than </w:t>
      </w:r>
      <w:r w:rsidRPr="00300B70">
        <w:rPr>
          <w:bCs/>
          <w:szCs w:val="24"/>
        </w:rPr>
        <w:t xml:space="preserve">those reported in Item 12 above </w:t>
      </w:r>
      <w:r w:rsidRPr="00300B70" w:rsidR="009F4B77">
        <w:rPr>
          <w:bCs/>
          <w:szCs w:val="24"/>
        </w:rPr>
        <w:t>in th</w:t>
      </w:r>
      <w:r w:rsidRPr="00300B70">
        <w:rPr>
          <w:bCs/>
          <w:szCs w:val="24"/>
        </w:rPr>
        <w:t>e Burden Cost Column.</w:t>
      </w:r>
    </w:p>
    <w:p w:rsidR="002246F9" w:rsidRPr="00300B70" w:rsidP="00283AD0" w14:paraId="4F6C3326" w14:textId="4AF13B49">
      <w:pPr>
        <w:pStyle w:val="BodyTextIndent2"/>
        <w:tabs>
          <w:tab w:val="left" w:pos="360"/>
        </w:tabs>
        <w:spacing w:after="120" w:line="240" w:lineRule="auto"/>
        <w:ind w:left="336"/>
        <w:rPr>
          <w:bCs/>
          <w:szCs w:val="24"/>
        </w:rPr>
      </w:pPr>
      <w:r w:rsidRPr="00300B70">
        <w:rPr>
          <w:bCs/>
          <w:szCs w:val="24"/>
        </w:rPr>
        <w:t xml:space="preserve"> </w:t>
      </w:r>
    </w:p>
    <w:p w:rsidR="00212123" w:rsidRPr="00CB0FAA" w:rsidP="00323ADB" w14:paraId="04F3260E" w14:textId="77777777">
      <w:pPr>
        <w:pStyle w:val="BodyTextIndent2"/>
        <w:numPr>
          <w:ilvl w:val="0"/>
          <w:numId w:val="25"/>
        </w:numPr>
        <w:tabs>
          <w:tab w:val="left" w:pos="360"/>
        </w:tabs>
        <w:overflowPunct/>
        <w:autoSpaceDE/>
        <w:autoSpaceDN/>
        <w:adjustRightInd/>
        <w:spacing w:after="120" w:line="240" w:lineRule="auto"/>
        <w:textAlignment w:val="auto"/>
        <w:rPr>
          <w:b/>
          <w:szCs w:val="24"/>
        </w:rPr>
      </w:pPr>
      <w:r w:rsidRPr="00CB0FAA">
        <w:rPr>
          <w:b/>
          <w:szCs w:val="24"/>
        </w:rPr>
        <w:t>Provide estimates of annualized costs to the Federal government. Also, provide a description of the method used to estimate cost, which should include quantification of hours, operational</w:t>
      </w:r>
      <w:r w:rsidRPr="00CB0FAA" w:rsidR="002246F9">
        <w:rPr>
          <w:b/>
          <w:szCs w:val="24"/>
        </w:rPr>
        <w:t xml:space="preserve"> </w:t>
      </w:r>
      <w:r w:rsidRPr="00CB0FAA">
        <w:rPr>
          <w:b/>
          <w:szCs w:val="24"/>
        </w:rPr>
        <w:t>expenses (such as equipment, overhead, printing, and support staff), and any other expense that</w:t>
      </w:r>
      <w:r w:rsidRPr="00CB0FAA" w:rsidR="002246F9">
        <w:rPr>
          <w:b/>
          <w:szCs w:val="24"/>
        </w:rPr>
        <w:t xml:space="preserve"> </w:t>
      </w:r>
      <w:r w:rsidRPr="00CB0FAA">
        <w:rPr>
          <w:b/>
          <w:szCs w:val="24"/>
        </w:rPr>
        <w:t>would not have been incurred without this collection of information. Agencies may also aggregate cost estimates from Items 12, 13, and 14 in a single table.</w:t>
      </w:r>
    </w:p>
    <w:p w:rsidR="007B5F75" w:rsidRPr="00300B70" w:rsidP="00B06B53" w14:paraId="7F07941D" w14:textId="77777777">
      <w:pPr>
        <w:pStyle w:val="BodyTextIndent2"/>
        <w:tabs>
          <w:tab w:val="left" w:pos="360"/>
        </w:tabs>
        <w:spacing w:line="240" w:lineRule="auto"/>
        <w:ind w:hanging="336"/>
        <w:rPr>
          <w:bCs/>
          <w:sz w:val="18"/>
          <w:szCs w:val="18"/>
        </w:rPr>
      </w:pPr>
      <w:r w:rsidRPr="00300B70">
        <w:rPr>
          <w:bCs/>
        </w:rPr>
        <w:tab/>
        <w:t xml:space="preserve">Review of information collected using this instrument will require 6 minutes of the federal agency receiving the form for the </w:t>
      </w:r>
      <w:r w:rsidRPr="00300B70" w:rsidR="00454CA7">
        <w:rPr>
          <w:bCs/>
        </w:rPr>
        <w:t>84</w:t>
      </w:r>
      <w:r w:rsidRPr="00300B70">
        <w:rPr>
          <w:bCs/>
        </w:rPr>
        <w:t xml:space="preserve"> submitted grant and technical assistance applications, typically at a GS-13</w:t>
      </w:r>
      <w:r>
        <w:rPr>
          <w:rStyle w:val="FootnoteReference"/>
          <w:bCs/>
        </w:rPr>
        <w:footnoteReference w:id="5"/>
      </w:r>
      <w:r w:rsidRPr="00300B70">
        <w:rPr>
          <w:bCs/>
        </w:rPr>
        <w:t xml:space="preserve"> step 1 level ($</w:t>
      </w:r>
      <w:r w:rsidRPr="00300B70" w:rsidR="00BA31F9">
        <w:rPr>
          <w:bCs/>
        </w:rPr>
        <w:t>5</w:t>
      </w:r>
      <w:r w:rsidRPr="00300B70">
        <w:rPr>
          <w:bCs/>
        </w:rPr>
        <w:t>1.1</w:t>
      </w:r>
      <w:r w:rsidRPr="00300B70" w:rsidR="00BA31F9">
        <w:rPr>
          <w:bCs/>
        </w:rPr>
        <w:t>8</w:t>
      </w:r>
      <w:r w:rsidRPr="00300B70">
        <w:rPr>
          <w:bCs/>
        </w:rPr>
        <w:t xml:space="preserve"> per hour). This level of effort is estimated to cost an average of $</w:t>
      </w:r>
      <w:r w:rsidRPr="00300B70" w:rsidR="00454CA7">
        <w:rPr>
          <w:bCs/>
        </w:rPr>
        <w:t>429</w:t>
      </w:r>
      <w:r w:rsidRPr="00300B70" w:rsidR="006B0F5C">
        <w:rPr>
          <w:bCs/>
        </w:rPr>
        <w:t>.91</w:t>
      </w:r>
      <w:r w:rsidRPr="00300B70">
        <w:rPr>
          <w:bCs/>
        </w:rPr>
        <w:t xml:space="preserve"> annually.</w:t>
      </w:r>
      <w:r w:rsidRPr="00300B70" w:rsidR="00B06B53">
        <w:rPr>
          <w:bCs/>
        </w:rPr>
        <w:t xml:space="preserve"> </w:t>
      </w:r>
    </w:p>
    <w:p w:rsidR="009B6B3C" w:rsidRPr="00300B70" w:rsidP="000A7D9C" w14:paraId="60CA231B" w14:textId="77777777">
      <w:pPr>
        <w:rPr>
          <w:bCs/>
          <w:sz w:val="18"/>
          <w:szCs w:val="18"/>
        </w:rPr>
      </w:pPr>
    </w:p>
    <w:p w:rsidR="00EE77F7" w:rsidRPr="00300B70" w:rsidP="000A7D9C" w14:paraId="45B1A557" w14:textId="77777777">
      <w:pPr>
        <w:rPr>
          <w:bCs/>
          <w:sz w:val="18"/>
          <w:szCs w:val="18"/>
        </w:rPr>
      </w:pP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25"/>
        <w:gridCol w:w="1011"/>
        <w:gridCol w:w="1154"/>
        <w:gridCol w:w="914"/>
        <w:gridCol w:w="886"/>
        <w:gridCol w:w="900"/>
        <w:gridCol w:w="990"/>
        <w:gridCol w:w="990"/>
      </w:tblGrid>
      <w:tr w14:paraId="5B9AC7F5" w14:textId="77777777" w:rsidTr="002B4AD8">
        <w:tblPrEx>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10"/>
        </w:trPr>
        <w:tc>
          <w:tcPr>
            <w:tcW w:w="2425" w:type="dxa"/>
            <w:shd w:val="clear" w:color="auto" w:fill="auto"/>
            <w:tcMar>
              <w:top w:w="15" w:type="dxa"/>
              <w:left w:w="15" w:type="dxa"/>
              <w:bottom w:w="0" w:type="dxa"/>
              <w:right w:w="15" w:type="dxa"/>
            </w:tcMar>
            <w:vAlign w:val="center"/>
            <w:hideMark/>
          </w:tcPr>
          <w:p w:rsidR="00EE77F7" w:rsidRPr="00300B70" w:rsidP="004D6C84" w14:paraId="4B20CEF9" w14:textId="77777777">
            <w:pPr>
              <w:jc w:val="center"/>
              <w:rPr>
                <w:bCs/>
                <w:color w:val="000000" w:themeColor="text1"/>
                <w:sz w:val="18"/>
                <w:szCs w:val="18"/>
              </w:rPr>
            </w:pPr>
            <w:r w:rsidRPr="00300B70">
              <w:rPr>
                <w:bCs/>
                <w:color w:val="000000" w:themeColor="text1"/>
                <w:sz w:val="18"/>
                <w:szCs w:val="18"/>
              </w:rPr>
              <w:t>Information Collection</w:t>
            </w:r>
          </w:p>
        </w:tc>
        <w:tc>
          <w:tcPr>
            <w:tcW w:w="1011" w:type="dxa"/>
            <w:shd w:val="clear" w:color="auto" w:fill="auto"/>
            <w:tcMar>
              <w:top w:w="15" w:type="dxa"/>
              <w:left w:w="15" w:type="dxa"/>
              <w:bottom w:w="0" w:type="dxa"/>
              <w:right w:w="15" w:type="dxa"/>
            </w:tcMar>
            <w:vAlign w:val="center"/>
            <w:hideMark/>
          </w:tcPr>
          <w:p w:rsidR="00EE77F7" w:rsidRPr="00300B70" w:rsidP="004D6C84" w14:paraId="44B11487" w14:textId="77777777">
            <w:pPr>
              <w:jc w:val="center"/>
              <w:rPr>
                <w:bCs/>
                <w:color w:val="000000" w:themeColor="text1"/>
                <w:sz w:val="18"/>
                <w:szCs w:val="18"/>
              </w:rPr>
            </w:pPr>
            <w:r w:rsidRPr="00300B70">
              <w:rPr>
                <w:bCs/>
                <w:color w:val="000000" w:themeColor="text1"/>
                <w:sz w:val="18"/>
                <w:szCs w:val="18"/>
              </w:rPr>
              <w:t>Number of Respondents</w:t>
            </w:r>
          </w:p>
        </w:tc>
        <w:tc>
          <w:tcPr>
            <w:tcW w:w="1154" w:type="dxa"/>
            <w:shd w:val="clear" w:color="auto" w:fill="auto"/>
            <w:tcMar>
              <w:top w:w="15" w:type="dxa"/>
              <w:left w:w="15" w:type="dxa"/>
              <w:bottom w:w="0" w:type="dxa"/>
              <w:right w:w="15" w:type="dxa"/>
            </w:tcMar>
            <w:vAlign w:val="center"/>
            <w:hideMark/>
          </w:tcPr>
          <w:p w:rsidR="00EE77F7" w:rsidRPr="00300B70" w:rsidP="004D6C84" w14:paraId="586D525D" w14:textId="77777777">
            <w:pPr>
              <w:jc w:val="center"/>
              <w:rPr>
                <w:bCs/>
                <w:color w:val="000000" w:themeColor="text1"/>
                <w:sz w:val="18"/>
                <w:szCs w:val="18"/>
              </w:rPr>
            </w:pPr>
            <w:r w:rsidRPr="00300B70">
              <w:rPr>
                <w:bCs/>
                <w:color w:val="000000" w:themeColor="text1"/>
                <w:sz w:val="18"/>
                <w:szCs w:val="18"/>
              </w:rPr>
              <w:t>Frequency of Response</w:t>
            </w:r>
          </w:p>
        </w:tc>
        <w:tc>
          <w:tcPr>
            <w:tcW w:w="914" w:type="dxa"/>
            <w:shd w:val="clear" w:color="auto" w:fill="auto"/>
            <w:tcMar>
              <w:top w:w="15" w:type="dxa"/>
              <w:left w:w="15" w:type="dxa"/>
              <w:bottom w:w="0" w:type="dxa"/>
              <w:right w:w="15" w:type="dxa"/>
            </w:tcMar>
            <w:vAlign w:val="center"/>
            <w:hideMark/>
          </w:tcPr>
          <w:p w:rsidR="00EE77F7" w:rsidRPr="00300B70" w:rsidP="004D6C84" w14:paraId="74FD9306" w14:textId="77777777">
            <w:pPr>
              <w:jc w:val="center"/>
              <w:rPr>
                <w:bCs/>
                <w:color w:val="000000" w:themeColor="text1"/>
                <w:sz w:val="18"/>
                <w:szCs w:val="18"/>
              </w:rPr>
            </w:pPr>
            <w:r w:rsidRPr="00300B70">
              <w:rPr>
                <w:bCs/>
                <w:color w:val="000000" w:themeColor="text1"/>
                <w:sz w:val="18"/>
                <w:szCs w:val="18"/>
              </w:rPr>
              <w:t>Responses</w:t>
            </w:r>
          </w:p>
          <w:p w:rsidR="00EE77F7" w:rsidRPr="00300B70" w:rsidP="004D6C84" w14:paraId="3EFE33D5" w14:textId="77777777">
            <w:pPr>
              <w:jc w:val="center"/>
              <w:rPr>
                <w:bCs/>
                <w:color w:val="000000" w:themeColor="text1"/>
                <w:sz w:val="18"/>
                <w:szCs w:val="18"/>
              </w:rPr>
            </w:pPr>
            <w:r w:rsidRPr="00300B70">
              <w:rPr>
                <w:bCs/>
                <w:color w:val="000000" w:themeColor="text1"/>
                <w:sz w:val="18"/>
                <w:szCs w:val="18"/>
              </w:rPr>
              <w:t>Per Annum</w:t>
            </w:r>
          </w:p>
        </w:tc>
        <w:tc>
          <w:tcPr>
            <w:tcW w:w="886" w:type="dxa"/>
            <w:shd w:val="clear" w:color="auto" w:fill="auto"/>
            <w:tcMar>
              <w:top w:w="15" w:type="dxa"/>
              <w:left w:w="15" w:type="dxa"/>
              <w:bottom w:w="0" w:type="dxa"/>
              <w:right w:w="15" w:type="dxa"/>
            </w:tcMar>
            <w:vAlign w:val="center"/>
            <w:hideMark/>
          </w:tcPr>
          <w:p w:rsidR="00EE77F7" w:rsidRPr="00300B70" w:rsidP="004D6C84" w14:paraId="39174686" w14:textId="77777777">
            <w:pPr>
              <w:jc w:val="center"/>
              <w:rPr>
                <w:bCs/>
                <w:color w:val="000000" w:themeColor="text1"/>
                <w:sz w:val="18"/>
                <w:szCs w:val="18"/>
              </w:rPr>
            </w:pPr>
            <w:r w:rsidRPr="00300B70">
              <w:rPr>
                <w:bCs/>
                <w:color w:val="000000" w:themeColor="text1"/>
                <w:sz w:val="18"/>
                <w:szCs w:val="18"/>
              </w:rPr>
              <w:t>Burden Hour Per Response</w:t>
            </w:r>
          </w:p>
        </w:tc>
        <w:tc>
          <w:tcPr>
            <w:tcW w:w="900" w:type="dxa"/>
            <w:shd w:val="clear" w:color="auto" w:fill="auto"/>
            <w:tcMar>
              <w:top w:w="15" w:type="dxa"/>
              <w:left w:w="15" w:type="dxa"/>
              <w:bottom w:w="0" w:type="dxa"/>
              <w:right w:w="15" w:type="dxa"/>
            </w:tcMar>
            <w:vAlign w:val="center"/>
            <w:hideMark/>
          </w:tcPr>
          <w:p w:rsidR="00EE77F7" w:rsidRPr="00300B70" w:rsidP="004D6C84" w14:paraId="4CF95BD8" w14:textId="77777777">
            <w:pPr>
              <w:jc w:val="center"/>
              <w:rPr>
                <w:bCs/>
                <w:color w:val="000000" w:themeColor="text1"/>
                <w:sz w:val="18"/>
                <w:szCs w:val="18"/>
              </w:rPr>
            </w:pPr>
            <w:r w:rsidRPr="00300B70">
              <w:rPr>
                <w:bCs/>
                <w:color w:val="000000" w:themeColor="text1"/>
                <w:sz w:val="18"/>
                <w:szCs w:val="18"/>
              </w:rPr>
              <w:t>Annual Burden Hours</w:t>
            </w:r>
          </w:p>
        </w:tc>
        <w:tc>
          <w:tcPr>
            <w:tcW w:w="990" w:type="dxa"/>
            <w:shd w:val="clear" w:color="auto" w:fill="auto"/>
            <w:tcMar>
              <w:top w:w="15" w:type="dxa"/>
              <w:left w:w="15" w:type="dxa"/>
              <w:bottom w:w="0" w:type="dxa"/>
              <w:right w:w="15" w:type="dxa"/>
            </w:tcMar>
            <w:vAlign w:val="center"/>
            <w:hideMark/>
          </w:tcPr>
          <w:p w:rsidR="00EE77F7" w:rsidRPr="00300B70" w:rsidP="004D6C84" w14:paraId="15454D28" w14:textId="77777777">
            <w:pPr>
              <w:jc w:val="center"/>
              <w:rPr>
                <w:bCs/>
                <w:color w:val="000000" w:themeColor="text1"/>
                <w:sz w:val="18"/>
                <w:szCs w:val="18"/>
              </w:rPr>
            </w:pPr>
            <w:r w:rsidRPr="00300B70">
              <w:rPr>
                <w:bCs/>
                <w:color w:val="000000" w:themeColor="text1"/>
                <w:sz w:val="18"/>
                <w:szCs w:val="18"/>
              </w:rPr>
              <w:t>Hourly Cost Per Response</w:t>
            </w:r>
          </w:p>
        </w:tc>
        <w:tc>
          <w:tcPr>
            <w:tcW w:w="990" w:type="dxa"/>
            <w:shd w:val="clear" w:color="auto" w:fill="auto"/>
            <w:tcMar>
              <w:top w:w="15" w:type="dxa"/>
              <w:left w:w="15" w:type="dxa"/>
              <w:bottom w:w="0" w:type="dxa"/>
              <w:right w:w="15" w:type="dxa"/>
            </w:tcMar>
            <w:vAlign w:val="center"/>
            <w:hideMark/>
          </w:tcPr>
          <w:p w:rsidR="00EE77F7" w:rsidRPr="00300B70" w:rsidP="004D6C84" w14:paraId="1EADA949" w14:textId="77777777">
            <w:pPr>
              <w:jc w:val="center"/>
              <w:rPr>
                <w:bCs/>
                <w:color w:val="000000" w:themeColor="text1"/>
                <w:sz w:val="18"/>
                <w:szCs w:val="18"/>
              </w:rPr>
            </w:pPr>
            <w:r w:rsidRPr="00300B70">
              <w:rPr>
                <w:bCs/>
                <w:color w:val="000000" w:themeColor="text1"/>
                <w:sz w:val="18"/>
                <w:szCs w:val="18"/>
              </w:rPr>
              <w:t>Annual Cost</w:t>
            </w:r>
          </w:p>
          <w:p w:rsidR="00EE77F7" w:rsidRPr="00300B70" w:rsidP="004D6C84" w14:paraId="07442060" w14:textId="77777777">
            <w:pPr>
              <w:jc w:val="center"/>
              <w:rPr>
                <w:bCs/>
                <w:color w:val="000000" w:themeColor="text1"/>
                <w:sz w:val="18"/>
                <w:szCs w:val="18"/>
              </w:rPr>
            </w:pPr>
          </w:p>
        </w:tc>
      </w:tr>
      <w:tr w14:paraId="53118257" w14:textId="77777777" w:rsidTr="002B4AD8">
        <w:tblPrEx>
          <w:tblW w:w="9270" w:type="dxa"/>
          <w:tblInd w:w="-20" w:type="dxa"/>
          <w:tblCellMar>
            <w:left w:w="0" w:type="dxa"/>
            <w:right w:w="0" w:type="dxa"/>
          </w:tblCellMar>
          <w:tblLook w:val="04A0"/>
        </w:tblPrEx>
        <w:trPr>
          <w:trHeight w:val="510"/>
        </w:trPr>
        <w:tc>
          <w:tcPr>
            <w:tcW w:w="2425" w:type="dxa"/>
            <w:shd w:val="clear" w:color="auto" w:fill="auto"/>
            <w:tcMar>
              <w:top w:w="15" w:type="dxa"/>
              <w:left w:w="15" w:type="dxa"/>
              <w:bottom w:w="0" w:type="dxa"/>
              <w:right w:w="15" w:type="dxa"/>
            </w:tcMar>
            <w:vAlign w:val="center"/>
          </w:tcPr>
          <w:p w:rsidR="00EE77F7" w:rsidRPr="00300B70" w:rsidP="004D6C84" w14:paraId="5BF5EDF9" w14:textId="77777777">
            <w:pPr>
              <w:jc w:val="center"/>
              <w:rPr>
                <w:bCs/>
                <w:color w:val="000000" w:themeColor="text1"/>
                <w:sz w:val="18"/>
                <w:szCs w:val="18"/>
              </w:rPr>
            </w:pPr>
            <w:r w:rsidRPr="00300B70">
              <w:rPr>
                <w:bCs/>
                <w:color w:val="000000" w:themeColor="text1"/>
                <w:sz w:val="18"/>
                <w:szCs w:val="18"/>
              </w:rPr>
              <w:t>Certification of Consistency Form HUD – 50153</w:t>
            </w:r>
          </w:p>
        </w:tc>
        <w:tc>
          <w:tcPr>
            <w:tcW w:w="1011" w:type="dxa"/>
            <w:shd w:val="clear" w:color="auto" w:fill="auto"/>
            <w:tcMar>
              <w:top w:w="15" w:type="dxa"/>
              <w:left w:w="15" w:type="dxa"/>
              <w:bottom w:w="0" w:type="dxa"/>
              <w:right w:w="15" w:type="dxa"/>
            </w:tcMar>
            <w:vAlign w:val="center"/>
          </w:tcPr>
          <w:p w:rsidR="00EE77F7" w:rsidRPr="00300B70" w:rsidP="004D6C84" w14:paraId="04B75FD9" w14:textId="77777777">
            <w:pPr>
              <w:jc w:val="center"/>
              <w:rPr>
                <w:bCs/>
                <w:color w:val="000000" w:themeColor="text1"/>
                <w:sz w:val="18"/>
                <w:szCs w:val="18"/>
              </w:rPr>
            </w:pPr>
            <w:r w:rsidRPr="00300B70">
              <w:rPr>
                <w:bCs/>
                <w:color w:val="000000" w:themeColor="text1"/>
                <w:sz w:val="18"/>
                <w:szCs w:val="18"/>
              </w:rPr>
              <w:t>14</w:t>
            </w:r>
          </w:p>
        </w:tc>
        <w:tc>
          <w:tcPr>
            <w:tcW w:w="1154" w:type="dxa"/>
            <w:shd w:val="clear" w:color="auto" w:fill="auto"/>
            <w:tcMar>
              <w:top w:w="15" w:type="dxa"/>
              <w:left w:w="15" w:type="dxa"/>
              <w:bottom w:w="0" w:type="dxa"/>
              <w:right w:w="15" w:type="dxa"/>
            </w:tcMar>
            <w:vAlign w:val="center"/>
          </w:tcPr>
          <w:p w:rsidR="00EE77F7" w:rsidRPr="00300B70" w:rsidP="004D6C84" w14:paraId="09E4BB03" w14:textId="77777777">
            <w:pPr>
              <w:jc w:val="center"/>
              <w:rPr>
                <w:bCs/>
                <w:color w:val="000000" w:themeColor="text1"/>
                <w:sz w:val="18"/>
                <w:szCs w:val="18"/>
              </w:rPr>
            </w:pPr>
            <w:r w:rsidRPr="00300B70">
              <w:rPr>
                <w:bCs/>
                <w:color w:val="000000" w:themeColor="text1"/>
                <w:sz w:val="18"/>
                <w:szCs w:val="18"/>
              </w:rPr>
              <w:t>6</w:t>
            </w:r>
          </w:p>
        </w:tc>
        <w:tc>
          <w:tcPr>
            <w:tcW w:w="914" w:type="dxa"/>
            <w:shd w:val="clear" w:color="auto" w:fill="auto"/>
            <w:tcMar>
              <w:top w:w="15" w:type="dxa"/>
              <w:left w:w="15" w:type="dxa"/>
              <w:bottom w:w="0" w:type="dxa"/>
              <w:right w:w="15" w:type="dxa"/>
            </w:tcMar>
            <w:vAlign w:val="center"/>
          </w:tcPr>
          <w:p w:rsidR="00EE77F7" w:rsidRPr="00300B70" w:rsidP="004D6C84" w14:paraId="26E717E4" w14:textId="77777777">
            <w:pPr>
              <w:jc w:val="center"/>
              <w:rPr>
                <w:bCs/>
                <w:color w:val="000000" w:themeColor="text1"/>
                <w:sz w:val="18"/>
                <w:szCs w:val="18"/>
              </w:rPr>
            </w:pPr>
            <w:r w:rsidRPr="00300B70">
              <w:rPr>
                <w:bCs/>
                <w:color w:val="000000" w:themeColor="text1"/>
                <w:sz w:val="18"/>
                <w:szCs w:val="18"/>
              </w:rPr>
              <w:t>84</w:t>
            </w:r>
          </w:p>
        </w:tc>
        <w:tc>
          <w:tcPr>
            <w:tcW w:w="886" w:type="dxa"/>
            <w:shd w:val="clear" w:color="auto" w:fill="auto"/>
            <w:tcMar>
              <w:top w:w="15" w:type="dxa"/>
              <w:left w:w="15" w:type="dxa"/>
              <w:bottom w:w="0" w:type="dxa"/>
              <w:right w:w="15" w:type="dxa"/>
            </w:tcMar>
            <w:vAlign w:val="center"/>
          </w:tcPr>
          <w:p w:rsidR="00EE77F7" w:rsidRPr="00300B70" w:rsidP="004D6C84" w14:paraId="0A8C4958" w14:textId="77777777">
            <w:pPr>
              <w:jc w:val="center"/>
              <w:rPr>
                <w:bCs/>
                <w:color w:val="000000" w:themeColor="text1"/>
                <w:sz w:val="18"/>
                <w:szCs w:val="18"/>
              </w:rPr>
            </w:pPr>
            <w:r w:rsidRPr="00300B70">
              <w:rPr>
                <w:bCs/>
                <w:color w:val="000000" w:themeColor="text1"/>
                <w:sz w:val="18"/>
                <w:szCs w:val="18"/>
              </w:rPr>
              <w:t>.01</w:t>
            </w:r>
          </w:p>
        </w:tc>
        <w:tc>
          <w:tcPr>
            <w:tcW w:w="900" w:type="dxa"/>
            <w:shd w:val="clear" w:color="auto" w:fill="auto"/>
            <w:tcMar>
              <w:top w:w="15" w:type="dxa"/>
              <w:left w:w="15" w:type="dxa"/>
              <w:bottom w:w="0" w:type="dxa"/>
              <w:right w:w="15" w:type="dxa"/>
            </w:tcMar>
            <w:vAlign w:val="center"/>
          </w:tcPr>
          <w:p w:rsidR="00EE77F7" w:rsidRPr="00300B70" w:rsidP="004D6C84" w14:paraId="42E65B55" w14:textId="77777777">
            <w:pPr>
              <w:jc w:val="center"/>
              <w:rPr>
                <w:bCs/>
                <w:color w:val="000000" w:themeColor="text1"/>
                <w:sz w:val="18"/>
                <w:szCs w:val="18"/>
              </w:rPr>
            </w:pPr>
            <w:r w:rsidRPr="00300B70">
              <w:rPr>
                <w:bCs/>
                <w:color w:val="000000" w:themeColor="text1"/>
                <w:sz w:val="18"/>
                <w:szCs w:val="18"/>
              </w:rPr>
              <w:t>8.4</w:t>
            </w:r>
          </w:p>
        </w:tc>
        <w:tc>
          <w:tcPr>
            <w:tcW w:w="990" w:type="dxa"/>
            <w:shd w:val="clear" w:color="auto" w:fill="auto"/>
            <w:tcMar>
              <w:top w:w="15" w:type="dxa"/>
              <w:left w:w="15" w:type="dxa"/>
              <w:bottom w:w="0" w:type="dxa"/>
              <w:right w:w="15" w:type="dxa"/>
            </w:tcMar>
            <w:vAlign w:val="center"/>
          </w:tcPr>
          <w:p w:rsidR="00EE77F7" w:rsidRPr="00300B70" w:rsidP="004D6C84" w14:paraId="1A4AA5B8" w14:textId="77777777">
            <w:pPr>
              <w:jc w:val="center"/>
              <w:rPr>
                <w:bCs/>
                <w:color w:val="000000" w:themeColor="text1"/>
                <w:sz w:val="18"/>
                <w:szCs w:val="18"/>
              </w:rPr>
            </w:pPr>
            <w:r w:rsidRPr="00300B70">
              <w:rPr>
                <w:bCs/>
                <w:color w:val="000000" w:themeColor="text1"/>
                <w:sz w:val="18"/>
                <w:szCs w:val="18"/>
              </w:rPr>
              <w:t>$51.18</w:t>
            </w:r>
          </w:p>
        </w:tc>
        <w:tc>
          <w:tcPr>
            <w:tcW w:w="990" w:type="dxa"/>
            <w:shd w:val="clear" w:color="auto" w:fill="auto"/>
            <w:tcMar>
              <w:top w:w="15" w:type="dxa"/>
              <w:left w:w="15" w:type="dxa"/>
              <w:bottom w:w="0" w:type="dxa"/>
              <w:right w:w="15" w:type="dxa"/>
            </w:tcMar>
            <w:vAlign w:val="center"/>
          </w:tcPr>
          <w:p w:rsidR="00EE77F7" w:rsidRPr="00300B70" w:rsidP="004D6C84" w14:paraId="3CC45584" w14:textId="77777777">
            <w:pPr>
              <w:jc w:val="center"/>
              <w:rPr>
                <w:bCs/>
                <w:color w:val="000000" w:themeColor="text1"/>
                <w:sz w:val="18"/>
                <w:szCs w:val="18"/>
              </w:rPr>
            </w:pPr>
            <w:r w:rsidRPr="00300B70">
              <w:rPr>
                <w:bCs/>
                <w:color w:val="000000" w:themeColor="text1"/>
                <w:sz w:val="18"/>
                <w:szCs w:val="18"/>
              </w:rPr>
              <w:t>$429</w:t>
            </w:r>
            <w:r w:rsidRPr="00300B70" w:rsidR="00F9726B">
              <w:rPr>
                <w:bCs/>
                <w:color w:val="000000" w:themeColor="text1"/>
                <w:sz w:val="18"/>
                <w:szCs w:val="18"/>
              </w:rPr>
              <w:t>.91</w:t>
            </w:r>
          </w:p>
        </w:tc>
      </w:tr>
      <w:tr w14:paraId="46F274C2" w14:textId="77777777" w:rsidTr="002B4AD8">
        <w:tblPrEx>
          <w:tblW w:w="9270" w:type="dxa"/>
          <w:tblInd w:w="-20" w:type="dxa"/>
          <w:tblCellMar>
            <w:left w:w="0" w:type="dxa"/>
            <w:right w:w="0" w:type="dxa"/>
          </w:tblCellMar>
          <w:tblLook w:val="04A0"/>
        </w:tblPrEx>
        <w:trPr>
          <w:trHeight w:val="380"/>
        </w:trPr>
        <w:tc>
          <w:tcPr>
            <w:tcW w:w="2425" w:type="dxa"/>
            <w:shd w:val="clear" w:color="auto" w:fill="auto"/>
            <w:tcMar>
              <w:top w:w="15" w:type="dxa"/>
              <w:left w:w="15" w:type="dxa"/>
              <w:bottom w:w="0" w:type="dxa"/>
              <w:right w:w="15" w:type="dxa"/>
            </w:tcMar>
            <w:vAlign w:val="center"/>
          </w:tcPr>
          <w:p w:rsidR="00EE77F7" w:rsidRPr="00300B70" w:rsidP="004D6C84" w14:paraId="61C23831" w14:textId="77777777">
            <w:pPr>
              <w:jc w:val="center"/>
              <w:rPr>
                <w:bCs/>
                <w:color w:val="000000" w:themeColor="text1"/>
                <w:sz w:val="18"/>
                <w:szCs w:val="18"/>
              </w:rPr>
            </w:pPr>
            <w:r w:rsidRPr="00300B70">
              <w:rPr>
                <w:bCs/>
                <w:color w:val="000000" w:themeColor="text1"/>
                <w:sz w:val="18"/>
                <w:szCs w:val="18"/>
              </w:rPr>
              <w:t>Total</w:t>
            </w:r>
          </w:p>
        </w:tc>
        <w:tc>
          <w:tcPr>
            <w:tcW w:w="1011" w:type="dxa"/>
            <w:shd w:val="clear" w:color="auto" w:fill="auto"/>
            <w:tcMar>
              <w:top w:w="15" w:type="dxa"/>
              <w:left w:w="15" w:type="dxa"/>
              <w:bottom w:w="0" w:type="dxa"/>
              <w:right w:w="15" w:type="dxa"/>
            </w:tcMar>
            <w:vAlign w:val="center"/>
          </w:tcPr>
          <w:p w:rsidR="00EE77F7" w:rsidRPr="00300B70" w:rsidP="004D6C84" w14:paraId="72F2A1EA" w14:textId="77777777">
            <w:pPr>
              <w:jc w:val="center"/>
              <w:rPr>
                <w:bCs/>
                <w:color w:val="000000" w:themeColor="text1"/>
                <w:sz w:val="18"/>
                <w:szCs w:val="18"/>
              </w:rPr>
            </w:pPr>
            <w:r w:rsidRPr="00300B70">
              <w:rPr>
                <w:bCs/>
                <w:color w:val="000000" w:themeColor="text1"/>
                <w:sz w:val="18"/>
                <w:szCs w:val="18"/>
              </w:rPr>
              <w:t> </w:t>
            </w:r>
          </w:p>
        </w:tc>
        <w:tc>
          <w:tcPr>
            <w:tcW w:w="1154" w:type="dxa"/>
            <w:shd w:val="clear" w:color="auto" w:fill="auto"/>
            <w:tcMar>
              <w:top w:w="15" w:type="dxa"/>
              <w:left w:w="15" w:type="dxa"/>
              <w:bottom w:w="0" w:type="dxa"/>
              <w:right w:w="15" w:type="dxa"/>
            </w:tcMar>
            <w:vAlign w:val="center"/>
          </w:tcPr>
          <w:p w:rsidR="00EE77F7" w:rsidRPr="00300B70" w:rsidP="004D6C84" w14:paraId="613A8059" w14:textId="77777777">
            <w:pPr>
              <w:jc w:val="center"/>
              <w:rPr>
                <w:bCs/>
                <w:color w:val="000000" w:themeColor="text1"/>
                <w:sz w:val="18"/>
                <w:szCs w:val="18"/>
              </w:rPr>
            </w:pPr>
            <w:r w:rsidRPr="00300B70">
              <w:rPr>
                <w:bCs/>
                <w:color w:val="000000" w:themeColor="text1"/>
                <w:sz w:val="18"/>
                <w:szCs w:val="18"/>
              </w:rPr>
              <w:t> </w:t>
            </w:r>
          </w:p>
        </w:tc>
        <w:tc>
          <w:tcPr>
            <w:tcW w:w="914" w:type="dxa"/>
            <w:shd w:val="clear" w:color="auto" w:fill="auto"/>
            <w:tcMar>
              <w:top w:w="15" w:type="dxa"/>
              <w:left w:w="15" w:type="dxa"/>
              <w:bottom w:w="0" w:type="dxa"/>
              <w:right w:w="15" w:type="dxa"/>
            </w:tcMar>
            <w:vAlign w:val="center"/>
          </w:tcPr>
          <w:p w:rsidR="00EE77F7" w:rsidRPr="00300B70" w:rsidP="004D6C84" w14:paraId="1C5AB75E" w14:textId="77777777">
            <w:pPr>
              <w:jc w:val="center"/>
              <w:rPr>
                <w:bCs/>
                <w:color w:val="000000" w:themeColor="text1"/>
                <w:sz w:val="18"/>
                <w:szCs w:val="18"/>
              </w:rPr>
            </w:pPr>
            <w:r w:rsidRPr="00300B70">
              <w:rPr>
                <w:bCs/>
                <w:color w:val="000000" w:themeColor="text1"/>
                <w:sz w:val="18"/>
                <w:szCs w:val="18"/>
              </w:rPr>
              <w:t> </w:t>
            </w:r>
          </w:p>
        </w:tc>
        <w:tc>
          <w:tcPr>
            <w:tcW w:w="886" w:type="dxa"/>
            <w:shd w:val="clear" w:color="auto" w:fill="auto"/>
            <w:tcMar>
              <w:top w:w="15" w:type="dxa"/>
              <w:left w:w="15" w:type="dxa"/>
              <w:bottom w:w="0" w:type="dxa"/>
              <w:right w:w="15" w:type="dxa"/>
            </w:tcMar>
            <w:vAlign w:val="center"/>
          </w:tcPr>
          <w:p w:rsidR="00EE77F7" w:rsidRPr="00300B70" w:rsidP="004D6C84" w14:paraId="5F394D3D" w14:textId="77777777">
            <w:pPr>
              <w:jc w:val="center"/>
              <w:rPr>
                <w:bCs/>
                <w:color w:val="000000" w:themeColor="text1"/>
                <w:sz w:val="18"/>
                <w:szCs w:val="18"/>
              </w:rPr>
            </w:pPr>
            <w:r w:rsidRPr="00300B70">
              <w:rPr>
                <w:bCs/>
                <w:color w:val="000000" w:themeColor="text1"/>
                <w:sz w:val="18"/>
                <w:szCs w:val="18"/>
              </w:rPr>
              <w:t> </w:t>
            </w:r>
          </w:p>
        </w:tc>
        <w:tc>
          <w:tcPr>
            <w:tcW w:w="900" w:type="dxa"/>
            <w:shd w:val="clear" w:color="auto" w:fill="auto"/>
            <w:tcMar>
              <w:top w:w="15" w:type="dxa"/>
              <w:left w:w="15" w:type="dxa"/>
              <w:bottom w:w="0" w:type="dxa"/>
              <w:right w:w="15" w:type="dxa"/>
            </w:tcMar>
            <w:vAlign w:val="center"/>
          </w:tcPr>
          <w:p w:rsidR="00EE77F7" w:rsidRPr="00300B70" w:rsidP="004D6C84" w14:paraId="345510ED" w14:textId="77777777">
            <w:pPr>
              <w:jc w:val="center"/>
              <w:rPr>
                <w:bCs/>
                <w:color w:val="000000" w:themeColor="text1"/>
                <w:sz w:val="18"/>
                <w:szCs w:val="18"/>
              </w:rPr>
            </w:pPr>
          </w:p>
        </w:tc>
        <w:tc>
          <w:tcPr>
            <w:tcW w:w="990" w:type="dxa"/>
            <w:shd w:val="clear" w:color="auto" w:fill="auto"/>
            <w:tcMar>
              <w:top w:w="15" w:type="dxa"/>
              <w:left w:w="15" w:type="dxa"/>
              <w:bottom w:w="0" w:type="dxa"/>
              <w:right w:w="15" w:type="dxa"/>
            </w:tcMar>
            <w:vAlign w:val="center"/>
          </w:tcPr>
          <w:p w:rsidR="00EE77F7" w:rsidRPr="00300B70" w:rsidP="004D6C84" w14:paraId="3E771FED" w14:textId="77777777">
            <w:pPr>
              <w:jc w:val="center"/>
              <w:rPr>
                <w:bCs/>
                <w:color w:val="000000" w:themeColor="text1"/>
                <w:sz w:val="18"/>
                <w:szCs w:val="18"/>
              </w:rPr>
            </w:pPr>
            <w:r w:rsidRPr="00300B70">
              <w:rPr>
                <w:bCs/>
                <w:color w:val="000000" w:themeColor="text1"/>
                <w:sz w:val="18"/>
                <w:szCs w:val="18"/>
              </w:rPr>
              <w:t> </w:t>
            </w:r>
          </w:p>
        </w:tc>
        <w:tc>
          <w:tcPr>
            <w:tcW w:w="990" w:type="dxa"/>
            <w:shd w:val="clear" w:color="auto" w:fill="auto"/>
            <w:tcMar>
              <w:top w:w="15" w:type="dxa"/>
              <w:left w:w="15" w:type="dxa"/>
              <w:bottom w:w="0" w:type="dxa"/>
              <w:right w:w="15" w:type="dxa"/>
            </w:tcMar>
            <w:vAlign w:val="center"/>
          </w:tcPr>
          <w:p w:rsidR="00EE77F7" w:rsidRPr="00300B70" w:rsidP="004D6C84" w14:paraId="7B109A0A" w14:textId="77777777">
            <w:pPr>
              <w:jc w:val="center"/>
              <w:rPr>
                <w:bCs/>
                <w:color w:val="000000" w:themeColor="text1"/>
                <w:sz w:val="18"/>
                <w:szCs w:val="18"/>
              </w:rPr>
            </w:pPr>
            <w:r w:rsidRPr="00300B70">
              <w:rPr>
                <w:bCs/>
                <w:color w:val="000000" w:themeColor="text1"/>
                <w:sz w:val="18"/>
                <w:szCs w:val="18"/>
              </w:rPr>
              <w:t>$</w:t>
            </w:r>
            <w:r w:rsidRPr="00300B70" w:rsidR="00087C15">
              <w:rPr>
                <w:bCs/>
                <w:color w:val="000000" w:themeColor="text1"/>
                <w:sz w:val="18"/>
                <w:szCs w:val="18"/>
              </w:rPr>
              <w:t>429.91</w:t>
            </w:r>
          </w:p>
        </w:tc>
      </w:tr>
    </w:tbl>
    <w:p w:rsidR="00EE77F7" w:rsidRPr="00300B70" w:rsidP="000A7D9C" w14:paraId="5E760B85" w14:textId="77777777">
      <w:pPr>
        <w:rPr>
          <w:bCs/>
          <w:sz w:val="18"/>
          <w:szCs w:val="18"/>
        </w:rPr>
      </w:pPr>
    </w:p>
    <w:p w:rsidR="009B6B3C" w:rsidRPr="00300B70" w:rsidP="000A7D9C" w14:paraId="71A4CD5F" w14:textId="77777777">
      <w:pPr>
        <w:rPr>
          <w:bCs/>
          <w:sz w:val="18"/>
          <w:szCs w:val="18"/>
        </w:rPr>
      </w:pPr>
    </w:p>
    <w:p w:rsidR="002246F9" w:rsidRPr="00CB0FAA" w:rsidP="000A7D9C" w14:paraId="5A67B078" w14:textId="77777777">
      <w:pPr>
        <w:pStyle w:val="ListParagraph"/>
        <w:numPr>
          <w:ilvl w:val="0"/>
          <w:numId w:val="25"/>
        </w:numPr>
        <w:rPr>
          <w:rFonts w:ascii="Times New Roman" w:hAnsi="Times New Roman" w:cs="Times New Roman"/>
          <w:b/>
          <w:color w:val="000000" w:themeColor="text1"/>
          <w:sz w:val="24"/>
          <w:szCs w:val="24"/>
        </w:rPr>
      </w:pPr>
      <w:r w:rsidRPr="00CB0FAA">
        <w:rPr>
          <w:rFonts w:ascii="Times New Roman" w:hAnsi="Times New Roman" w:cs="Times New Roman"/>
          <w:b/>
          <w:color w:val="000000" w:themeColor="text1"/>
          <w:sz w:val="24"/>
          <w:szCs w:val="24"/>
        </w:rPr>
        <w:t xml:space="preserve">Explain the reasons for any program changes or adjustments reported in Items 13 or 14 of the OMB Form 83-I. </w:t>
      </w:r>
    </w:p>
    <w:p w:rsidR="002246F9" w:rsidRPr="00300B70" w:rsidP="002246F9" w14:paraId="56E9C847" w14:textId="77777777">
      <w:pPr>
        <w:pStyle w:val="ListParagraph"/>
        <w:spacing w:line="240" w:lineRule="auto"/>
        <w:ind w:left="360"/>
        <w:rPr>
          <w:rFonts w:ascii="Times New Roman" w:hAnsi="Times New Roman" w:cs="Times New Roman"/>
          <w:bCs/>
          <w:color w:val="000000" w:themeColor="text1"/>
          <w:sz w:val="24"/>
          <w:szCs w:val="24"/>
        </w:rPr>
      </w:pPr>
    </w:p>
    <w:p w:rsidR="00D96DBC" w:rsidP="002B4AD8" w14:paraId="01683BE0" w14:textId="5FADE302">
      <w:pPr>
        <w:pStyle w:val="ListParagraph"/>
        <w:ind w:left="360"/>
        <w:rPr>
          <w:rFonts w:ascii="Times New Roman" w:hAnsi="Times New Roman" w:cs="Times New Roman"/>
          <w:bCs/>
          <w:color w:val="000000" w:themeColor="text1"/>
          <w:sz w:val="24"/>
          <w:szCs w:val="24"/>
        </w:rPr>
      </w:pPr>
      <w:r w:rsidRPr="00300B70">
        <w:rPr>
          <w:rFonts w:ascii="Times New Roman" w:hAnsi="Times New Roman" w:cs="Times New Roman"/>
          <w:bCs/>
          <w:color w:val="000000" w:themeColor="text1"/>
          <w:sz w:val="24"/>
          <w:szCs w:val="24"/>
        </w:rPr>
        <w:t>2022 OPM federal wage adjustments have been made. Also, there are fewer federal grants and programs that offer preference points/priority consideration to Promise Zones</w:t>
      </w:r>
      <w:r w:rsidRPr="00300B70" w:rsidR="00896CA5">
        <w:rPr>
          <w:rFonts w:ascii="Times New Roman" w:hAnsi="Times New Roman" w:cs="Times New Roman"/>
          <w:bCs/>
          <w:color w:val="000000" w:themeColor="text1"/>
          <w:sz w:val="24"/>
          <w:szCs w:val="24"/>
        </w:rPr>
        <w:t xml:space="preserve"> than there were in 2018</w:t>
      </w:r>
      <w:r w:rsidRPr="00300B70">
        <w:rPr>
          <w:rFonts w:ascii="Times New Roman" w:hAnsi="Times New Roman" w:cs="Times New Roman"/>
          <w:bCs/>
          <w:color w:val="000000" w:themeColor="text1"/>
          <w:sz w:val="24"/>
          <w:szCs w:val="24"/>
        </w:rPr>
        <w:t xml:space="preserve">, </w:t>
      </w:r>
      <w:r w:rsidRPr="00300B70" w:rsidR="00896CA5">
        <w:rPr>
          <w:rFonts w:ascii="Times New Roman" w:hAnsi="Times New Roman" w:cs="Times New Roman"/>
          <w:bCs/>
          <w:color w:val="000000" w:themeColor="text1"/>
          <w:sz w:val="24"/>
          <w:szCs w:val="24"/>
        </w:rPr>
        <w:t xml:space="preserve">so there will be fewer 50153 forms completed and submitted. </w:t>
      </w:r>
    </w:p>
    <w:p w:rsidR="002B4AD8" w:rsidRPr="00300B70" w:rsidP="002B4AD8" w14:paraId="2CEAA429" w14:textId="77777777">
      <w:pPr>
        <w:pStyle w:val="ListParagraph"/>
        <w:ind w:left="360"/>
        <w:rPr>
          <w:rFonts w:ascii="Times New Roman" w:hAnsi="Times New Roman" w:cs="Times New Roman"/>
          <w:bCs/>
          <w:color w:val="000000" w:themeColor="text1"/>
          <w:sz w:val="24"/>
          <w:szCs w:val="24"/>
        </w:rPr>
      </w:pPr>
    </w:p>
    <w:p w:rsidR="00C109C6" w:rsidP="002246F9" w14:paraId="16CDB67A" w14:textId="77777777">
      <w:pPr>
        <w:pStyle w:val="ListParagraph"/>
        <w:ind w:left="360"/>
        <w:rPr>
          <w:rFonts w:ascii="Times New Roman" w:hAnsi="Times New Roman" w:cs="Times New Roman"/>
          <w:bCs/>
          <w:color w:val="000000" w:themeColor="text1"/>
          <w:sz w:val="24"/>
          <w:szCs w:val="24"/>
        </w:rPr>
      </w:pPr>
      <w:r w:rsidRPr="00300B70">
        <w:rPr>
          <w:rFonts w:ascii="Times New Roman" w:hAnsi="Times New Roman" w:cs="Times New Roman"/>
          <w:bCs/>
          <w:color w:val="000000" w:themeColor="text1"/>
          <w:sz w:val="24"/>
          <w:szCs w:val="24"/>
        </w:rPr>
        <w:t>There are two minor revisions to the form</w:t>
      </w:r>
      <w:r w:rsidRPr="00300B70" w:rsidR="007B747F">
        <w:rPr>
          <w:rFonts w:ascii="Times New Roman" w:hAnsi="Times New Roman" w:cs="Times New Roman"/>
          <w:bCs/>
          <w:color w:val="000000" w:themeColor="text1"/>
          <w:sz w:val="24"/>
          <w:szCs w:val="24"/>
        </w:rPr>
        <w:t>, but no additional information is being requested of the respondent</w:t>
      </w:r>
      <w:r w:rsidRPr="00300B70" w:rsidR="007D1355">
        <w:rPr>
          <w:rFonts w:ascii="Times New Roman" w:hAnsi="Times New Roman" w:cs="Times New Roman"/>
          <w:bCs/>
          <w:color w:val="000000" w:themeColor="text1"/>
          <w:sz w:val="24"/>
          <w:szCs w:val="24"/>
        </w:rPr>
        <w:t>s. D</w:t>
      </w:r>
      <w:r w:rsidRPr="00300B70" w:rsidR="00BE26EC">
        <w:rPr>
          <w:rFonts w:ascii="Times New Roman" w:hAnsi="Times New Roman" w:cs="Times New Roman"/>
          <w:bCs/>
          <w:color w:val="000000" w:themeColor="text1"/>
          <w:sz w:val="24"/>
          <w:szCs w:val="24"/>
        </w:rPr>
        <w:t xml:space="preserve">rop down menus have been added to two fields of information in the form. This will reduce the respondent’s burden and will streamline the responses for the receiving agency, as there will be no variation in spelling among the forms submitted. </w:t>
      </w:r>
      <w:r w:rsidRPr="00300B70" w:rsidR="00C12008">
        <w:rPr>
          <w:rFonts w:ascii="Times New Roman" w:hAnsi="Times New Roman" w:cs="Times New Roman"/>
          <w:bCs/>
          <w:color w:val="000000" w:themeColor="text1"/>
          <w:sz w:val="24"/>
          <w:szCs w:val="24"/>
        </w:rPr>
        <w:t xml:space="preserve">Rather than typing out the response in the field, the respondent can select from a list of options. </w:t>
      </w:r>
    </w:p>
    <w:p w:rsidR="00FF207F" w:rsidRPr="007B6731" w:rsidP="00323ADB" w14:paraId="01B41A8A" w14:textId="77777777">
      <w:pPr>
        <w:pStyle w:val="ListParagraph"/>
        <w:numPr>
          <w:ilvl w:val="0"/>
          <w:numId w:val="25"/>
        </w:numPr>
        <w:spacing w:line="240" w:lineRule="auto"/>
        <w:rPr>
          <w:rFonts w:ascii="Times New Roman" w:hAnsi="Times New Roman" w:cs="Times New Roman"/>
          <w:b/>
          <w:sz w:val="24"/>
          <w:szCs w:val="24"/>
        </w:rPr>
      </w:pPr>
      <w:r w:rsidRPr="007B673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w:t>
      </w:r>
      <w:r w:rsidRPr="007B6731" w:rsidR="002246F9">
        <w:rPr>
          <w:rFonts w:ascii="Times New Roman" w:hAnsi="Times New Roman" w:cs="Times New Roman"/>
          <w:b/>
          <w:sz w:val="24"/>
          <w:szCs w:val="24"/>
        </w:rPr>
        <w:t xml:space="preserve"> </w:t>
      </w:r>
      <w:r w:rsidRPr="007B6731">
        <w:rPr>
          <w:rFonts w:ascii="Times New Roman" w:hAnsi="Times New Roman" w:cs="Times New Roman"/>
          <w:b/>
          <w:sz w:val="24"/>
          <w:szCs w:val="24"/>
        </w:rPr>
        <w:t>schedule for the entire project, including beginning and ending dates of the collection of information, completion of report, publication dates, and other actions.</w:t>
      </w:r>
    </w:p>
    <w:p w:rsidR="00C50EC2" w:rsidRPr="00300B70" w:rsidP="002246F9" w14:paraId="756AC8E4" w14:textId="77777777">
      <w:pPr>
        <w:ind w:left="360"/>
        <w:rPr>
          <w:bCs/>
          <w:sz w:val="24"/>
          <w:szCs w:val="24"/>
        </w:rPr>
      </w:pPr>
      <w:r w:rsidRPr="00300B70">
        <w:rPr>
          <w:bCs/>
          <w:sz w:val="24"/>
          <w:szCs w:val="24"/>
        </w:rPr>
        <w:t>G</w:t>
      </w:r>
      <w:r w:rsidRPr="00300B70" w:rsidR="00FF207F">
        <w:rPr>
          <w:bCs/>
          <w:sz w:val="24"/>
          <w:szCs w:val="24"/>
        </w:rPr>
        <w:t>uidance</w:t>
      </w:r>
      <w:r w:rsidRPr="00300B70">
        <w:rPr>
          <w:bCs/>
          <w:sz w:val="24"/>
          <w:szCs w:val="24"/>
        </w:rPr>
        <w:t xml:space="preserve"> has been </w:t>
      </w:r>
      <w:r w:rsidRPr="00300B70" w:rsidR="00FF207F">
        <w:rPr>
          <w:bCs/>
          <w:sz w:val="24"/>
          <w:szCs w:val="24"/>
        </w:rPr>
        <w:t>issued</w:t>
      </w:r>
      <w:r w:rsidRPr="00300B70">
        <w:rPr>
          <w:bCs/>
          <w:sz w:val="24"/>
          <w:szCs w:val="24"/>
        </w:rPr>
        <w:t xml:space="preserve"> </w:t>
      </w:r>
      <w:r w:rsidRPr="00300B70" w:rsidR="005E3D6F">
        <w:rPr>
          <w:bCs/>
          <w:sz w:val="24"/>
          <w:szCs w:val="24"/>
        </w:rPr>
        <w:t xml:space="preserve">to the </w:t>
      </w:r>
      <w:r w:rsidRPr="00300B70" w:rsidR="00BF0E2F">
        <w:rPr>
          <w:bCs/>
          <w:sz w:val="24"/>
          <w:szCs w:val="24"/>
        </w:rPr>
        <w:t>14</w:t>
      </w:r>
      <w:r w:rsidRPr="00300B70" w:rsidR="005E3D6F">
        <w:rPr>
          <w:bCs/>
          <w:sz w:val="24"/>
          <w:szCs w:val="24"/>
        </w:rPr>
        <w:t xml:space="preserve"> Promise Zone lead organizations </w:t>
      </w:r>
      <w:r w:rsidRPr="00300B70">
        <w:rPr>
          <w:bCs/>
          <w:sz w:val="24"/>
          <w:szCs w:val="24"/>
        </w:rPr>
        <w:t>and posted to</w:t>
      </w:r>
      <w:r w:rsidRPr="00300B70" w:rsidR="000E1936">
        <w:rPr>
          <w:bCs/>
          <w:sz w:val="24"/>
          <w:szCs w:val="24"/>
        </w:rPr>
        <w:t xml:space="preserve"> </w:t>
      </w:r>
      <w:r w:rsidRPr="00300B70" w:rsidR="004D072A">
        <w:rPr>
          <w:bCs/>
          <w:sz w:val="24"/>
          <w:szCs w:val="24"/>
        </w:rPr>
        <w:t>a public website (</w:t>
      </w:r>
      <w:hyperlink r:id="rId13" w:history="1">
        <w:r w:rsidRPr="00300B70" w:rsidR="00D37D5C">
          <w:rPr>
            <w:rStyle w:val="Hyperlink"/>
            <w:bCs/>
            <w:sz w:val="24"/>
            <w:szCs w:val="24"/>
          </w:rPr>
          <w:t>https://www.hudexchange.info/resource/4396/promise-zones-certification-form-and-guidance/</w:t>
        </w:r>
      </w:hyperlink>
      <w:r w:rsidRPr="00300B70" w:rsidR="004D072A">
        <w:rPr>
          <w:bCs/>
          <w:sz w:val="24"/>
          <w:szCs w:val="24"/>
        </w:rPr>
        <w:t>)</w:t>
      </w:r>
      <w:r w:rsidRPr="00300B70" w:rsidR="00FF207F">
        <w:rPr>
          <w:bCs/>
          <w:sz w:val="24"/>
          <w:szCs w:val="24"/>
        </w:rPr>
        <w:t xml:space="preserve">. The collection will take place over the course of the </w:t>
      </w:r>
      <w:r w:rsidRPr="00300B70" w:rsidR="00043CD5">
        <w:rPr>
          <w:bCs/>
          <w:sz w:val="24"/>
          <w:szCs w:val="24"/>
        </w:rPr>
        <w:t xml:space="preserve">Promise Zone 10-year </w:t>
      </w:r>
      <w:r w:rsidRPr="00300B70" w:rsidR="00FF207F">
        <w:rPr>
          <w:bCs/>
          <w:sz w:val="24"/>
          <w:szCs w:val="24"/>
        </w:rPr>
        <w:t>designation.</w:t>
      </w:r>
    </w:p>
    <w:p w:rsidR="00C50EC2" w:rsidRPr="00300B70" w:rsidP="002246F9" w14:paraId="1CA9CBD8" w14:textId="77777777">
      <w:pPr>
        <w:ind w:left="360"/>
        <w:rPr>
          <w:bCs/>
          <w:sz w:val="24"/>
          <w:szCs w:val="24"/>
        </w:rPr>
      </w:pPr>
    </w:p>
    <w:p w:rsidR="00C50EC2" w:rsidRPr="007B6731" w:rsidP="003D1333" w14:paraId="38FDCEFF" w14:textId="77777777">
      <w:pPr>
        <w:pStyle w:val="BodyTextIndent2"/>
        <w:numPr>
          <w:ilvl w:val="0"/>
          <w:numId w:val="25"/>
        </w:numPr>
        <w:tabs>
          <w:tab w:val="clear" w:pos="0"/>
          <w:tab w:val="left" w:pos="360"/>
        </w:tabs>
        <w:spacing w:after="120" w:line="240" w:lineRule="auto"/>
        <w:rPr>
          <w:b/>
          <w:strike/>
          <w:szCs w:val="24"/>
        </w:rPr>
      </w:pPr>
      <w:r w:rsidRPr="007B6731">
        <w:rPr>
          <w:b/>
          <w:szCs w:val="24"/>
        </w:rPr>
        <w:t>If seeking approval to not display the expiration date for OMB approval of the information collection, explain the reasons that display would be inappropriate</w:t>
      </w:r>
      <w:r w:rsidRPr="007B6731" w:rsidR="003D1333">
        <w:rPr>
          <w:b/>
          <w:szCs w:val="24"/>
        </w:rPr>
        <w:t>.</w:t>
      </w:r>
    </w:p>
    <w:p w:rsidR="00DA53DB" w:rsidRPr="00300B70" w:rsidP="003D1333" w14:paraId="7BFAE8F2" w14:textId="77777777">
      <w:pPr>
        <w:pStyle w:val="BodyTextIndent2"/>
        <w:tabs>
          <w:tab w:val="clear" w:pos="0"/>
          <w:tab w:val="left" w:pos="360"/>
        </w:tabs>
        <w:spacing w:after="120" w:line="240" w:lineRule="auto"/>
        <w:rPr>
          <w:bCs/>
          <w:szCs w:val="24"/>
        </w:rPr>
      </w:pPr>
      <w:r w:rsidRPr="00300B70">
        <w:rPr>
          <w:bCs/>
          <w:szCs w:val="24"/>
        </w:rPr>
        <w:t>Not applicable, as HUD is not seeking approval for this.</w:t>
      </w:r>
    </w:p>
    <w:p w:rsidR="003D1333" w:rsidRPr="007B6731" w:rsidP="003D1333" w14:paraId="63C783B9" w14:textId="77777777">
      <w:pPr>
        <w:pStyle w:val="BodyTextIndent2"/>
        <w:numPr>
          <w:ilvl w:val="0"/>
          <w:numId w:val="25"/>
        </w:numPr>
        <w:tabs>
          <w:tab w:val="clear" w:pos="0"/>
          <w:tab w:val="left" w:pos="360"/>
        </w:tabs>
        <w:spacing w:after="120" w:line="240" w:lineRule="auto"/>
        <w:rPr>
          <w:b/>
          <w:szCs w:val="24"/>
        </w:rPr>
      </w:pPr>
      <w:r w:rsidRPr="007B6731">
        <w:rPr>
          <w:b/>
          <w:szCs w:val="24"/>
        </w:rPr>
        <w:t xml:space="preserve">Exceptions to Certification Statement:  </w:t>
      </w:r>
    </w:p>
    <w:p w:rsidR="00DA53DB" w:rsidRPr="00300B70" w:rsidP="003D1333" w14:paraId="78153B20" w14:textId="77777777">
      <w:pPr>
        <w:pStyle w:val="BodyTextIndent2"/>
        <w:tabs>
          <w:tab w:val="clear" w:pos="0"/>
          <w:tab w:val="left" w:pos="360"/>
        </w:tabs>
        <w:spacing w:after="120" w:line="240" w:lineRule="auto"/>
        <w:rPr>
          <w:bCs/>
          <w:szCs w:val="24"/>
        </w:rPr>
      </w:pPr>
      <w:r w:rsidRPr="00300B70">
        <w:rPr>
          <w:bCs/>
          <w:szCs w:val="24"/>
        </w:rPr>
        <w:t>There are no exceptions to the certification statement.</w:t>
      </w:r>
      <w:r w:rsidRPr="00300B70" w:rsidR="00562276">
        <w:rPr>
          <w:bCs/>
          <w:szCs w:val="24"/>
        </w:rPr>
        <w:t xml:space="preserve"> </w:t>
      </w:r>
    </w:p>
    <w:p w:rsidR="00FF207F" w:rsidRPr="00300B70" w:rsidP="00FF207F" w14:paraId="618A428B" w14:textId="77777777">
      <w:pPr>
        <w:pStyle w:val="BodyTextIndent2"/>
        <w:pBdr>
          <w:bottom w:val="single" w:sz="4" w:space="1" w:color="auto"/>
        </w:pBdr>
        <w:tabs>
          <w:tab w:val="clear" w:pos="0"/>
          <w:tab w:val="left" w:pos="360"/>
        </w:tabs>
        <w:spacing w:after="120" w:line="240" w:lineRule="auto"/>
        <w:ind w:hanging="360"/>
        <w:rPr>
          <w:bCs/>
          <w:szCs w:val="24"/>
        </w:rPr>
      </w:pPr>
    </w:p>
    <w:p w:rsidR="00DA53DB" w:rsidRPr="007B6731" w14:paraId="1027BB85" w14:textId="77777777">
      <w:pPr>
        <w:tabs>
          <w:tab w:val="left" w:pos="360"/>
          <w:tab w:val="left" w:pos="720"/>
        </w:tabs>
        <w:ind w:left="360" w:hanging="360"/>
        <w:rPr>
          <w:b/>
          <w:sz w:val="24"/>
          <w:szCs w:val="24"/>
        </w:rPr>
      </w:pPr>
    </w:p>
    <w:p w:rsidR="007B6731" w:rsidP="007A6401" w14:paraId="5F519BCE" w14:textId="77777777">
      <w:pPr>
        <w:pStyle w:val="BodyTextIndent2"/>
        <w:tabs>
          <w:tab w:val="clear" w:pos="0"/>
          <w:tab w:val="left" w:pos="360"/>
        </w:tabs>
        <w:spacing w:after="120" w:line="240" w:lineRule="auto"/>
        <w:ind w:hanging="360"/>
        <w:rPr>
          <w:bCs/>
          <w:szCs w:val="24"/>
        </w:rPr>
      </w:pPr>
      <w:r w:rsidRPr="007B6731">
        <w:rPr>
          <w:b/>
          <w:szCs w:val="24"/>
        </w:rPr>
        <w:t xml:space="preserve">B. </w:t>
      </w:r>
      <w:r w:rsidRPr="007B6731">
        <w:rPr>
          <w:b/>
          <w:szCs w:val="24"/>
        </w:rPr>
        <w:tab/>
        <w:t>Collections of Information Employing S</w:t>
      </w:r>
      <w:r w:rsidRPr="007B6731" w:rsidR="00653F5B">
        <w:rPr>
          <w:b/>
          <w:szCs w:val="24"/>
        </w:rPr>
        <w:t>t</w:t>
      </w:r>
      <w:r w:rsidRPr="007B6731">
        <w:rPr>
          <w:b/>
          <w:szCs w:val="24"/>
        </w:rPr>
        <w:t>atistical Methods</w:t>
      </w:r>
      <w:r w:rsidRPr="007B6731" w:rsidR="00653F5B">
        <w:rPr>
          <w:b/>
          <w:szCs w:val="24"/>
        </w:rPr>
        <w:t>:</w:t>
      </w:r>
      <w:r w:rsidRPr="00300B70">
        <w:rPr>
          <w:bCs/>
          <w:szCs w:val="24"/>
        </w:rPr>
        <w:tab/>
      </w:r>
    </w:p>
    <w:p w:rsidR="00F72AC8" w:rsidRPr="00300B70" w:rsidP="007A6401" w14:paraId="58D31A68" w14:textId="77777777">
      <w:pPr>
        <w:pStyle w:val="BodyTextIndent2"/>
        <w:tabs>
          <w:tab w:val="clear" w:pos="0"/>
          <w:tab w:val="left" w:pos="360"/>
        </w:tabs>
        <w:spacing w:after="120" w:line="240" w:lineRule="auto"/>
        <w:ind w:hanging="360"/>
        <w:rPr>
          <w:bCs/>
          <w:szCs w:val="24"/>
        </w:rPr>
      </w:pPr>
      <w:r w:rsidRPr="00300B70">
        <w:rPr>
          <w:bCs/>
          <w:szCs w:val="24"/>
        </w:rPr>
        <w:t>There are no collections of information that employ statistical methods</w:t>
      </w:r>
      <w:r w:rsidRPr="00300B70" w:rsidR="007A6401">
        <w:rPr>
          <w:bCs/>
          <w:szCs w:val="24"/>
        </w:rPr>
        <w:t>.</w:t>
      </w:r>
    </w:p>
    <w:sectPr w:rsidSect="000A7D9C">
      <w:headerReference w:type="default" r:id="rId14"/>
      <w:footerReference w:type="default" r:id="rId15"/>
      <w:pgSz w:w="12240" w:h="15840"/>
      <w:pgMar w:top="1440" w:right="1440" w:bottom="1440" w:left="1440" w:header="720" w:footer="720"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1C8" w14:paraId="663EFBCE" w14:textId="77777777">
    <w:pPr>
      <w:pStyle w:val="Footer"/>
      <w:tabs>
        <w:tab w:val="clear" w:pos="4320"/>
        <w:tab w:val="clear" w:pos="8640"/>
        <w:tab w:val="right" w:pos="10920"/>
      </w:tabs>
      <w:spacing w:line="120" w:lineRule="exact"/>
      <w:ind w:left="-120" w:right="-120"/>
      <w:rPr>
        <w:rFonts w:ascii="Helvetica" w:hAnsi="Helvetica"/>
        <w:b/>
        <w:sz w:val="18"/>
      </w:rPr>
    </w:pPr>
  </w:p>
  <w:p w:rsidR="007831C8" w14:paraId="194F04C0" w14:textId="7777777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64E3" w14:paraId="16663F96" w14:textId="77777777">
      <w:r>
        <w:separator/>
      </w:r>
    </w:p>
  </w:footnote>
  <w:footnote w:type="continuationSeparator" w:id="1">
    <w:p w:rsidR="007C64E3" w14:paraId="4776DD78" w14:textId="77777777">
      <w:r>
        <w:continuationSeparator/>
      </w:r>
    </w:p>
  </w:footnote>
  <w:footnote w:type="continuationNotice" w:id="2">
    <w:p w:rsidR="007C64E3" w14:paraId="46B97909" w14:textId="77777777"/>
  </w:footnote>
  <w:footnote w:id="3">
    <w:p w:rsidR="009A5E8D" w14:paraId="5D1EE3DD" w14:textId="77777777">
      <w:pPr>
        <w:pStyle w:val="FootnoteText"/>
      </w:pPr>
      <w:r>
        <w:rPr>
          <w:rStyle w:val="FootnoteReference"/>
        </w:rPr>
        <w:footnoteRef/>
      </w:r>
      <w:r>
        <w:t xml:space="preserve"> Attachment 1 </w:t>
      </w:r>
      <w:r w:rsidR="007A2D9B">
        <w:t>–</w:t>
      </w:r>
      <w:r w:rsidR="001D69DD">
        <w:t xml:space="preserve"> </w:t>
      </w:r>
      <w:hyperlink r:id="rId1" w:history="1">
        <w:r w:rsidRPr="00547618" w:rsidR="007A2D9B">
          <w:rPr>
            <w:rStyle w:val="Hyperlink"/>
          </w:rPr>
          <w:t>US Code Title 42 Chapter 44</w:t>
        </w:r>
        <w:r w:rsidRPr="00547618" w:rsidR="00547618">
          <w:rPr>
            <w:rStyle w:val="Hyperlink"/>
          </w:rPr>
          <w:t xml:space="preserve"> Sec.3531</w:t>
        </w:r>
      </w:hyperlink>
      <w:r>
        <w:t xml:space="preserve"> </w:t>
      </w:r>
    </w:p>
  </w:footnote>
  <w:footnote w:id="4">
    <w:p w:rsidR="00655E35" w14:paraId="05187413" w14:textId="77777777">
      <w:pPr>
        <w:pStyle w:val="FootnoteText"/>
      </w:pPr>
      <w:r>
        <w:rPr>
          <w:rStyle w:val="FootnoteReference"/>
        </w:rPr>
        <w:footnoteRef/>
      </w:r>
      <w:r>
        <w:t xml:space="preserve"> </w:t>
      </w:r>
      <w:hyperlink r:id="rId2" w:anchor="11-0000" w:history="1">
        <w:r w:rsidRPr="000139DA" w:rsidR="00F81CF7">
          <w:rPr>
            <w:rStyle w:val="Hyperlink"/>
            <w:rFonts w:ascii="Times New Roman" w:hAnsi="Times New Roman" w:cs="Times New Roman"/>
          </w:rPr>
          <w:t>https://www.bls.gov/oes/current/oes_nat.htm#11-0000</w:t>
        </w:r>
      </w:hyperlink>
      <w:r w:rsidR="00F81CF7">
        <w:rPr>
          <w:rFonts w:ascii="Times New Roman" w:hAnsi="Times New Roman" w:cs="Times New Roman"/>
        </w:rPr>
        <w:t xml:space="preserve"> </w:t>
      </w:r>
    </w:p>
  </w:footnote>
  <w:footnote w:id="5">
    <w:p w:rsidR="00CD365D" w:rsidRPr="00CD365D" w:rsidP="00CD365D" w14:paraId="1629A7C4" w14:textId="77777777">
      <w:pPr>
        <w:rPr>
          <w:bCs/>
        </w:rPr>
      </w:pPr>
      <w:r>
        <w:rPr>
          <w:rStyle w:val="FootnoteReference"/>
        </w:rPr>
        <w:footnoteRef/>
      </w:r>
      <w:r>
        <w:t xml:space="preserve"> </w:t>
      </w:r>
      <w:hyperlink r:id="rId3" w:history="1">
        <w:r w:rsidRPr="00CD365D">
          <w:rPr>
            <w:rStyle w:val="Hyperlink"/>
            <w:bCs/>
          </w:rPr>
          <w:t>https://www.opm.gov/policy-data-oversight/pay-leave/salaries-wages/salary-tables/pdf/2022/DCB.pdf</w:t>
        </w:r>
      </w:hyperlink>
      <w:r w:rsidRPr="00CD365D">
        <w:rPr>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1C8" w14:paraId="4A5CB70A" w14:textId="77777777">
    <w:pPr>
      <w:suppressAutoHyphens/>
    </w:pPr>
    <w:r>
      <w:rPr>
        <w:noProof/>
      </w:rPr>
      <mc:AlternateContent>
        <mc:Choice Requires="wps">
          <w:drawing>
            <wp:anchor distT="0" distB="0" distL="114300" distR="114300" simplePos="0" relativeHeight="251658240"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3796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831C8" w14:textId="77777777">
                          <w:pPr>
                            <w:tabs>
                              <w:tab w:val="center" w:pos="5148"/>
                              <w:tab w:val="right" w:pos="10296"/>
                            </w:tabs>
                          </w:pPr>
                          <w:r>
                            <w:tab/>
                          </w:r>
                          <w:r>
                            <w:tab/>
                          </w:r>
                          <w:r>
                            <w:fldChar w:fldCharType="begin"/>
                          </w:r>
                          <w:r>
                            <w:instrText>page \* arabic</w:instrText>
                          </w:r>
                          <w:r>
                            <w:fldChar w:fldCharType="separate"/>
                          </w:r>
                          <w:r w:rsidR="00BB3E4F">
                            <w:rPr>
                              <w:noProof/>
                            </w:rPr>
                            <w:t>7</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14.8pt;height:12pt;margin-top:0;margin-left:43.2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831C8" w14:paraId="7785149B" w14:textId="77777777">
                    <w:pPr>
                      <w:tabs>
                        <w:tab w:val="center" w:pos="5148"/>
                        <w:tab w:val="right" w:pos="10296"/>
                      </w:tabs>
                    </w:pPr>
                    <w:r>
                      <w:tab/>
                    </w:r>
                    <w:r>
                      <w:tab/>
                    </w:r>
                    <w:r>
                      <w:fldChar w:fldCharType="begin"/>
                    </w:r>
                    <w:r>
                      <w:instrText>page \* arabic</w:instrText>
                    </w:r>
                    <w:r>
                      <w:fldChar w:fldCharType="separate"/>
                    </w:r>
                    <w:r w:rsidR="00BB3E4F">
                      <w:rPr>
                        <w:noProof/>
                      </w:rPr>
                      <w:t>7</w:t>
                    </w:r>
                    <w:r>
                      <w:rPr>
                        <w:noProof/>
                      </w:rPr>
                      <w:fldChar w:fldCharType="end"/>
                    </w:r>
                  </w:p>
                </w:txbxContent>
              </v:textbox>
            </v:rect>
          </w:pict>
        </mc:Fallback>
      </mc:AlternateContent>
    </w:r>
  </w:p>
  <w:p w:rsidR="007831C8" w14:paraId="61E6E448"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30EACE2"/>
    <w:lvl w:ilvl="0">
      <w:start w:val="0"/>
      <w:numFmt w:val="decimal"/>
      <w:lvlText w:val="*"/>
      <w:lvlJc w:val="left"/>
    </w:lvl>
  </w:abstractNum>
  <w:abstractNum w:abstractNumId="1">
    <w:nsid w:val="07725BAA"/>
    <w:multiLevelType w:val="hybridMultilevel"/>
    <w:tmpl w:val="2598AE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0E022E"/>
    <w:multiLevelType w:val="hybridMultilevel"/>
    <w:tmpl w:val="F64EA4E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20459E5"/>
    <w:multiLevelType w:val="hybridMultilevel"/>
    <w:tmpl w:val="D1FEB192"/>
    <w:lvl w:ilvl="0">
      <w:start w:val="1"/>
      <w:numFmt w:val="lowerRoman"/>
      <w:lvlText w:val="(%1) "/>
      <w:legacy w:legacy="1" w:legacySpace="0" w:legacyIndent="360"/>
      <w:lvlJc w:val="left"/>
      <w:pPr>
        <w:ind w:left="108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7E13BBE"/>
    <w:multiLevelType w:val="hybridMultilevel"/>
    <w:tmpl w:val="4F3E871C"/>
    <w:lvl w:ilvl="0">
      <w:start w:val="1"/>
      <w:numFmt w:val="decimal"/>
      <w:lvlText w:val="%1)"/>
      <w:lvlJc w:val="left"/>
      <w:pPr>
        <w:ind w:left="1980" w:hanging="360"/>
      </w:pPr>
      <w:rPr>
        <w:rFonts w:hint="default"/>
        <w:b w:val="0"/>
      </w:rPr>
    </w:lvl>
    <w:lvl w:ilvl="1">
      <w:start w:val="1"/>
      <w:numFmt w:val="lowerLetter"/>
      <w:lvlText w:val="%2."/>
      <w:lvlJc w:val="left"/>
      <w:pPr>
        <w:ind w:left="2700" w:hanging="360"/>
      </w:pPr>
    </w:lvl>
    <w:lvl w:ilvl="2">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5">
    <w:nsid w:val="186625B7"/>
    <w:multiLevelType w:val="hybridMulti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22190"/>
    <w:multiLevelType w:val="hybridMultilevel"/>
    <w:tmpl w:val="820EEB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8EC7FE0"/>
    <w:multiLevelType w:val="hybridMultilevel"/>
    <w:tmpl w:val="820EEB8E"/>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0734181"/>
    <w:multiLevelType w:val="hybridMultilevel"/>
    <w:tmpl w:val="F2960E96"/>
    <w:lvl w:ilvl="0">
      <w:start w:val="1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2A2B5B"/>
    <w:multiLevelType w:val="hybridMultilevel"/>
    <w:tmpl w:val="DB9A4D8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E4A2084"/>
    <w:multiLevelType w:val="hybridMultilevel"/>
    <w:tmpl w:val="348C6156"/>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2926638"/>
    <w:multiLevelType w:val="hybridMultilevel"/>
    <w:tmpl w:val="C97AE76A"/>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533861C3"/>
    <w:multiLevelType w:val="hybridMultilevel"/>
    <w:tmpl w:val="917CE552"/>
    <w:lvl w:ilvl="0">
      <w:start w:val="1"/>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6E440E3"/>
    <w:multiLevelType w:val="hybridMultilevel"/>
    <w:tmpl w:val="EC9835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8BE2D86"/>
    <w:multiLevelType w:val="hybridMulti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62080AF9"/>
    <w:multiLevelType w:val="hybridMultilevel"/>
    <w:tmpl w:val="C97AE76A"/>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63CA0B20"/>
    <w:multiLevelType w:val="hybridMultilevel"/>
    <w:tmpl w:val="D41AAB28"/>
    <w:lvl w:ilvl="0">
      <w:start w:val="1"/>
      <w:numFmt w:val="decimal"/>
      <w:lvlText w:val="%1."/>
      <w:lvlJc w:val="left"/>
      <w:pPr>
        <w:ind w:left="36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722B91"/>
    <w:multiLevelType w:val="hybridMultilevel"/>
    <w:tmpl w:val="123CEC7C"/>
    <w:lvl w:ilvl="0">
      <w:start w:val="1"/>
      <w:numFmt w:val="decimal"/>
      <w:lvlText w:val="%1."/>
      <w:legacy w:legacy="1" w:legacySpace="120" w:legacyIndent="360"/>
      <w:lvlJc w:val="left"/>
      <w:pPr>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4770610"/>
    <w:multiLevelType w:val="hybridMultilevel"/>
    <w:tmpl w:val="C97AE76A"/>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687055D2"/>
    <w:multiLevelType w:val="hybridMultilevel"/>
    <w:tmpl w:val="AA72678A"/>
    <w:lvl w:ilvl="0">
      <w:start w:val="1"/>
      <w:numFmt w:val="decimal"/>
      <w:lvlText w:val="%1."/>
      <w:lvlJc w:val="left"/>
      <w:pPr>
        <w:ind w:left="360" w:hanging="360"/>
      </w:pPr>
      <w:rPr>
        <w:rFonts w:hint="default"/>
      </w:rPr>
    </w:lvl>
    <w:lvl w:ilvl="1" w:tentative="1">
      <w:start w:val="1"/>
      <w:numFmt w:val="lowerLetter"/>
      <w:lvlText w:val="%2."/>
      <w:lvlJc w:val="left"/>
      <w:pPr>
        <w:ind w:left="1109" w:hanging="360"/>
      </w:pPr>
    </w:lvl>
    <w:lvl w:ilvl="2" w:tentative="1">
      <w:start w:val="1"/>
      <w:numFmt w:val="lowerRoman"/>
      <w:lvlText w:val="%3."/>
      <w:lvlJc w:val="right"/>
      <w:pPr>
        <w:ind w:left="1829" w:hanging="180"/>
      </w:pPr>
    </w:lvl>
    <w:lvl w:ilvl="3" w:tentative="1">
      <w:start w:val="1"/>
      <w:numFmt w:val="decimal"/>
      <w:lvlText w:val="%4."/>
      <w:lvlJc w:val="left"/>
      <w:pPr>
        <w:ind w:left="2549" w:hanging="360"/>
      </w:pPr>
    </w:lvl>
    <w:lvl w:ilvl="4" w:tentative="1">
      <w:start w:val="1"/>
      <w:numFmt w:val="lowerLetter"/>
      <w:lvlText w:val="%5."/>
      <w:lvlJc w:val="left"/>
      <w:pPr>
        <w:ind w:left="3269" w:hanging="360"/>
      </w:pPr>
    </w:lvl>
    <w:lvl w:ilvl="5" w:tentative="1">
      <w:start w:val="1"/>
      <w:numFmt w:val="lowerRoman"/>
      <w:lvlText w:val="%6."/>
      <w:lvlJc w:val="right"/>
      <w:pPr>
        <w:ind w:left="3989" w:hanging="180"/>
      </w:pPr>
    </w:lvl>
    <w:lvl w:ilvl="6" w:tentative="1">
      <w:start w:val="1"/>
      <w:numFmt w:val="decimal"/>
      <w:lvlText w:val="%7."/>
      <w:lvlJc w:val="left"/>
      <w:pPr>
        <w:ind w:left="4709" w:hanging="360"/>
      </w:pPr>
    </w:lvl>
    <w:lvl w:ilvl="7" w:tentative="1">
      <w:start w:val="1"/>
      <w:numFmt w:val="lowerLetter"/>
      <w:lvlText w:val="%8."/>
      <w:lvlJc w:val="left"/>
      <w:pPr>
        <w:ind w:left="5429" w:hanging="360"/>
      </w:pPr>
    </w:lvl>
    <w:lvl w:ilvl="8" w:tentative="1">
      <w:start w:val="1"/>
      <w:numFmt w:val="lowerRoman"/>
      <w:lvlText w:val="%9."/>
      <w:lvlJc w:val="right"/>
      <w:pPr>
        <w:ind w:left="6149" w:hanging="180"/>
      </w:pPr>
    </w:lvl>
  </w:abstractNum>
  <w:abstractNum w:abstractNumId="21">
    <w:nsid w:val="697B6330"/>
    <w:multiLevelType w:val="hybridMultilevel"/>
    <w:tmpl w:val="CAD030BA"/>
    <w:lvl w:ilvl="0">
      <w:start w:val="8"/>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A840B8A"/>
    <w:multiLevelType w:val="hybridMultilevel"/>
    <w:tmpl w:val="D94E0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987841"/>
    <w:multiLevelType w:val="hybridMultilevel"/>
    <w:tmpl w:val="DE9EF8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24">
    <w:nsid w:val="7ED50A33"/>
    <w:multiLevelType w:val="hybridMultilevel"/>
    <w:tmpl w:val="C3F89C3E"/>
    <w:lvl w:ilvl="0">
      <w:start w:val="1"/>
      <w:numFmt w:val="decimal"/>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77628735">
    <w:abstractNumId w:val="15"/>
  </w:num>
  <w:num w:numId="2" w16cid:durableId="264460180">
    <w:abstractNumId w:val="5"/>
  </w:num>
  <w:num w:numId="3" w16cid:durableId="1537546051">
    <w:abstractNumId w:val="13"/>
  </w:num>
  <w:num w:numId="4" w16cid:durableId="460659767">
    <w:abstractNumId w:val="3"/>
  </w:num>
  <w:num w:numId="5" w16cid:durableId="1376927449">
    <w:abstractNumId w:val="21"/>
  </w:num>
  <w:num w:numId="6" w16cid:durableId="1742799014">
    <w:abstractNumId w:val="21"/>
    <w:lvlOverride w:ilvl="0">
      <w:lvl w:ilvl="0">
        <w:start w:val="1"/>
        <w:numFmt w:val="lowerLetter"/>
        <w:lvlText w:val="(%1) "/>
        <w:legacy w:legacy="1" w:legacySpace="0" w:legacyIndent="360"/>
        <w:lvlJc w:val="left"/>
        <w:pPr>
          <w:ind w:left="720" w:hanging="360"/>
        </w:pPr>
        <w:rPr>
          <w:b w:val="0"/>
          <w:i w:val="0"/>
          <w:sz w:val="20"/>
        </w:rPr>
      </w:lvl>
    </w:lvlOverride>
  </w:num>
  <w:num w:numId="7" w16cid:durableId="756488703">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16cid:durableId="1966081265">
    <w:abstractNumId w:val="18"/>
  </w:num>
  <w:num w:numId="9" w16cid:durableId="679700309">
    <w:abstractNumId w:val="7"/>
  </w:num>
  <w:num w:numId="10" w16cid:durableId="1249191429">
    <w:abstractNumId w:val="8"/>
  </w:num>
  <w:num w:numId="11" w16cid:durableId="1279338137">
    <w:abstractNumId w:val="2"/>
  </w:num>
  <w:num w:numId="12" w16cid:durableId="2073233807">
    <w:abstractNumId w:val="10"/>
  </w:num>
  <w:num w:numId="13" w16cid:durableId="107703244">
    <w:abstractNumId w:val="20"/>
  </w:num>
  <w:num w:numId="14" w16cid:durableId="1369574035">
    <w:abstractNumId w:val="14"/>
  </w:num>
  <w:num w:numId="15" w16cid:durableId="1488090639">
    <w:abstractNumId w:val="4"/>
  </w:num>
  <w:num w:numId="16" w16cid:durableId="786894187">
    <w:abstractNumId w:val="16"/>
  </w:num>
  <w:num w:numId="17" w16cid:durableId="1367830464">
    <w:abstractNumId w:val="11"/>
  </w:num>
  <w:num w:numId="18" w16cid:durableId="1409159480">
    <w:abstractNumId w:val="12"/>
  </w:num>
  <w:num w:numId="19" w16cid:durableId="1992908241">
    <w:abstractNumId w:val="19"/>
  </w:num>
  <w:num w:numId="20" w16cid:durableId="458840559">
    <w:abstractNumId w:val="23"/>
  </w:num>
  <w:num w:numId="21" w16cid:durableId="1590501507">
    <w:abstractNumId w:val="6"/>
  </w:num>
  <w:num w:numId="22" w16cid:durableId="1053622630">
    <w:abstractNumId w:val="24"/>
  </w:num>
  <w:num w:numId="23" w16cid:durableId="467666685">
    <w:abstractNumId w:val="17"/>
  </w:num>
  <w:num w:numId="24" w16cid:durableId="1453282332">
    <w:abstractNumId w:val="1"/>
  </w:num>
  <w:num w:numId="25" w16cid:durableId="813059599">
    <w:abstractNumId w:val="9"/>
  </w:num>
  <w:num w:numId="26" w16cid:durableId="1708942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6E"/>
    <w:rsid w:val="00000BD3"/>
    <w:rsid w:val="00000EB6"/>
    <w:rsid w:val="00003CA1"/>
    <w:rsid w:val="000077DA"/>
    <w:rsid w:val="00007F7A"/>
    <w:rsid w:val="000139DA"/>
    <w:rsid w:val="00014425"/>
    <w:rsid w:val="00020C7B"/>
    <w:rsid w:val="000225EA"/>
    <w:rsid w:val="000235D5"/>
    <w:rsid w:val="00026A1E"/>
    <w:rsid w:val="0003096A"/>
    <w:rsid w:val="00031353"/>
    <w:rsid w:val="0003169D"/>
    <w:rsid w:val="00032777"/>
    <w:rsid w:val="00035901"/>
    <w:rsid w:val="00036153"/>
    <w:rsid w:val="000366B7"/>
    <w:rsid w:val="000409E8"/>
    <w:rsid w:val="00043CD5"/>
    <w:rsid w:val="000447EA"/>
    <w:rsid w:val="00044F5B"/>
    <w:rsid w:val="00053B93"/>
    <w:rsid w:val="00054309"/>
    <w:rsid w:val="00061D31"/>
    <w:rsid w:val="00062C79"/>
    <w:rsid w:val="00063372"/>
    <w:rsid w:val="000649E2"/>
    <w:rsid w:val="00064F59"/>
    <w:rsid w:val="000708A8"/>
    <w:rsid w:val="000718F7"/>
    <w:rsid w:val="00072906"/>
    <w:rsid w:val="00073230"/>
    <w:rsid w:val="000750F0"/>
    <w:rsid w:val="00075EC5"/>
    <w:rsid w:val="00076184"/>
    <w:rsid w:val="00076920"/>
    <w:rsid w:val="00083E30"/>
    <w:rsid w:val="00086629"/>
    <w:rsid w:val="0008785E"/>
    <w:rsid w:val="00087C15"/>
    <w:rsid w:val="00090581"/>
    <w:rsid w:val="000906CC"/>
    <w:rsid w:val="00091655"/>
    <w:rsid w:val="00093797"/>
    <w:rsid w:val="0009556E"/>
    <w:rsid w:val="000A05D6"/>
    <w:rsid w:val="000A5631"/>
    <w:rsid w:val="000A7D9C"/>
    <w:rsid w:val="000B01D8"/>
    <w:rsid w:val="000B2C84"/>
    <w:rsid w:val="000B2C9F"/>
    <w:rsid w:val="000B4FE4"/>
    <w:rsid w:val="000B7BA3"/>
    <w:rsid w:val="000C7730"/>
    <w:rsid w:val="000D11FB"/>
    <w:rsid w:val="000D1ABC"/>
    <w:rsid w:val="000D6CDC"/>
    <w:rsid w:val="000E1936"/>
    <w:rsid w:val="000F2E5B"/>
    <w:rsid w:val="000F737D"/>
    <w:rsid w:val="00102DC6"/>
    <w:rsid w:val="00107046"/>
    <w:rsid w:val="001108A2"/>
    <w:rsid w:val="00112D52"/>
    <w:rsid w:val="00121733"/>
    <w:rsid w:val="00122511"/>
    <w:rsid w:val="001240A4"/>
    <w:rsid w:val="00133830"/>
    <w:rsid w:val="00137C7B"/>
    <w:rsid w:val="00142AF1"/>
    <w:rsid w:val="00150DDA"/>
    <w:rsid w:val="001511A2"/>
    <w:rsid w:val="0015511C"/>
    <w:rsid w:val="00161BD6"/>
    <w:rsid w:val="00170E87"/>
    <w:rsid w:val="00175A34"/>
    <w:rsid w:val="0018289F"/>
    <w:rsid w:val="00184585"/>
    <w:rsid w:val="00184687"/>
    <w:rsid w:val="00184717"/>
    <w:rsid w:val="001859E2"/>
    <w:rsid w:val="0018736A"/>
    <w:rsid w:val="00193C8B"/>
    <w:rsid w:val="001A5864"/>
    <w:rsid w:val="001A6A62"/>
    <w:rsid w:val="001A70B5"/>
    <w:rsid w:val="001A7A6F"/>
    <w:rsid w:val="001B4602"/>
    <w:rsid w:val="001B6F86"/>
    <w:rsid w:val="001B70FC"/>
    <w:rsid w:val="001C3B41"/>
    <w:rsid w:val="001C58B1"/>
    <w:rsid w:val="001D1183"/>
    <w:rsid w:val="001D2C7D"/>
    <w:rsid w:val="001D2EEC"/>
    <w:rsid w:val="001D69DD"/>
    <w:rsid w:val="001E2EDF"/>
    <w:rsid w:val="001E4851"/>
    <w:rsid w:val="001E4DC6"/>
    <w:rsid w:val="001E5462"/>
    <w:rsid w:val="001E704D"/>
    <w:rsid w:val="001E7644"/>
    <w:rsid w:val="001F1298"/>
    <w:rsid w:val="001F1450"/>
    <w:rsid w:val="001F3412"/>
    <w:rsid w:val="001F5128"/>
    <w:rsid w:val="001F6B37"/>
    <w:rsid w:val="001F71B6"/>
    <w:rsid w:val="001F7447"/>
    <w:rsid w:val="00200999"/>
    <w:rsid w:val="0020186E"/>
    <w:rsid w:val="0020191B"/>
    <w:rsid w:val="002020D0"/>
    <w:rsid w:val="00206EB5"/>
    <w:rsid w:val="00212123"/>
    <w:rsid w:val="00212491"/>
    <w:rsid w:val="002136E7"/>
    <w:rsid w:val="00213A23"/>
    <w:rsid w:val="0021749E"/>
    <w:rsid w:val="00217C50"/>
    <w:rsid w:val="002246F9"/>
    <w:rsid w:val="002254E8"/>
    <w:rsid w:val="00227E8C"/>
    <w:rsid w:val="00230150"/>
    <w:rsid w:val="002368BF"/>
    <w:rsid w:val="00240F7F"/>
    <w:rsid w:val="00241907"/>
    <w:rsid w:val="0024777D"/>
    <w:rsid w:val="00251971"/>
    <w:rsid w:val="002613BD"/>
    <w:rsid w:val="00264D0A"/>
    <w:rsid w:val="00264D7F"/>
    <w:rsid w:val="00266F28"/>
    <w:rsid w:val="0027085B"/>
    <w:rsid w:val="002751A0"/>
    <w:rsid w:val="0027531D"/>
    <w:rsid w:val="00282D2D"/>
    <w:rsid w:val="002831D6"/>
    <w:rsid w:val="00283AD0"/>
    <w:rsid w:val="00294E68"/>
    <w:rsid w:val="00295D1D"/>
    <w:rsid w:val="002A15A8"/>
    <w:rsid w:val="002A4799"/>
    <w:rsid w:val="002A513C"/>
    <w:rsid w:val="002A7355"/>
    <w:rsid w:val="002B0E0F"/>
    <w:rsid w:val="002B4AD8"/>
    <w:rsid w:val="002B5B6A"/>
    <w:rsid w:val="002C0F37"/>
    <w:rsid w:val="002C36C8"/>
    <w:rsid w:val="002C51E8"/>
    <w:rsid w:val="002C7B2F"/>
    <w:rsid w:val="002D08B7"/>
    <w:rsid w:val="002D5E71"/>
    <w:rsid w:val="002D6802"/>
    <w:rsid w:val="002E6FAA"/>
    <w:rsid w:val="002E7494"/>
    <w:rsid w:val="002E7EB0"/>
    <w:rsid w:val="002F0218"/>
    <w:rsid w:val="002F0C04"/>
    <w:rsid w:val="002F5946"/>
    <w:rsid w:val="00300B70"/>
    <w:rsid w:val="00302D0C"/>
    <w:rsid w:val="003147DC"/>
    <w:rsid w:val="0032148B"/>
    <w:rsid w:val="0032314A"/>
    <w:rsid w:val="00323ADB"/>
    <w:rsid w:val="0032425B"/>
    <w:rsid w:val="003249FC"/>
    <w:rsid w:val="00327617"/>
    <w:rsid w:val="00331B3E"/>
    <w:rsid w:val="0033325D"/>
    <w:rsid w:val="003366E5"/>
    <w:rsid w:val="00336893"/>
    <w:rsid w:val="00341EC4"/>
    <w:rsid w:val="003451AD"/>
    <w:rsid w:val="00345882"/>
    <w:rsid w:val="00346A53"/>
    <w:rsid w:val="0035477E"/>
    <w:rsid w:val="003571E5"/>
    <w:rsid w:val="00360A96"/>
    <w:rsid w:val="00361512"/>
    <w:rsid w:val="00366728"/>
    <w:rsid w:val="003672B2"/>
    <w:rsid w:val="003679F0"/>
    <w:rsid w:val="00367E7F"/>
    <w:rsid w:val="003758AA"/>
    <w:rsid w:val="00375E2E"/>
    <w:rsid w:val="00380EAD"/>
    <w:rsid w:val="00382D19"/>
    <w:rsid w:val="003839DF"/>
    <w:rsid w:val="00384187"/>
    <w:rsid w:val="00396844"/>
    <w:rsid w:val="00396FEC"/>
    <w:rsid w:val="003A0ED4"/>
    <w:rsid w:val="003A14BC"/>
    <w:rsid w:val="003B362E"/>
    <w:rsid w:val="003C6855"/>
    <w:rsid w:val="003D014D"/>
    <w:rsid w:val="003D1333"/>
    <w:rsid w:val="003D5ED1"/>
    <w:rsid w:val="003E57EC"/>
    <w:rsid w:val="003F01B2"/>
    <w:rsid w:val="003F25FC"/>
    <w:rsid w:val="003F6EC7"/>
    <w:rsid w:val="0040341E"/>
    <w:rsid w:val="004044A0"/>
    <w:rsid w:val="00406851"/>
    <w:rsid w:val="004071EC"/>
    <w:rsid w:val="00416E09"/>
    <w:rsid w:val="00420A18"/>
    <w:rsid w:val="004258F6"/>
    <w:rsid w:val="00430B7C"/>
    <w:rsid w:val="004326FC"/>
    <w:rsid w:val="00435E2B"/>
    <w:rsid w:val="00437CD5"/>
    <w:rsid w:val="00444EC9"/>
    <w:rsid w:val="004456E6"/>
    <w:rsid w:val="0044603A"/>
    <w:rsid w:val="00446F73"/>
    <w:rsid w:val="00450995"/>
    <w:rsid w:val="00450F02"/>
    <w:rsid w:val="0045464F"/>
    <w:rsid w:val="00454CA7"/>
    <w:rsid w:val="004560FC"/>
    <w:rsid w:val="004578A6"/>
    <w:rsid w:val="004651A0"/>
    <w:rsid w:val="004710EC"/>
    <w:rsid w:val="004717A9"/>
    <w:rsid w:val="00472946"/>
    <w:rsid w:val="0047315A"/>
    <w:rsid w:val="00473350"/>
    <w:rsid w:val="00475CCE"/>
    <w:rsid w:val="004940BD"/>
    <w:rsid w:val="00497730"/>
    <w:rsid w:val="004A78C4"/>
    <w:rsid w:val="004B00BA"/>
    <w:rsid w:val="004B2F76"/>
    <w:rsid w:val="004B43BA"/>
    <w:rsid w:val="004B5F2D"/>
    <w:rsid w:val="004B61E9"/>
    <w:rsid w:val="004C3D5B"/>
    <w:rsid w:val="004D0425"/>
    <w:rsid w:val="004D072A"/>
    <w:rsid w:val="004D1C07"/>
    <w:rsid w:val="004D47B3"/>
    <w:rsid w:val="004D50F4"/>
    <w:rsid w:val="004D5F17"/>
    <w:rsid w:val="004D6C84"/>
    <w:rsid w:val="004D75D2"/>
    <w:rsid w:val="004E0AA3"/>
    <w:rsid w:val="004E1018"/>
    <w:rsid w:val="004E43D0"/>
    <w:rsid w:val="004E45CB"/>
    <w:rsid w:val="004E5832"/>
    <w:rsid w:val="004F1C13"/>
    <w:rsid w:val="004F3E8C"/>
    <w:rsid w:val="004F4C54"/>
    <w:rsid w:val="004F5ECE"/>
    <w:rsid w:val="004F712A"/>
    <w:rsid w:val="00500DA0"/>
    <w:rsid w:val="00501F30"/>
    <w:rsid w:val="005100B3"/>
    <w:rsid w:val="005128E5"/>
    <w:rsid w:val="00517B52"/>
    <w:rsid w:val="00520FE1"/>
    <w:rsid w:val="00522E96"/>
    <w:rsid w:val="005236F3"/>
    <w:rsid w:val="00526AF1"/>
    <w:rsid w:val="005364E5"/>
    <w:rsid w:val="00537867"/>
    <w:rsid w:val="005453AC"/>
    <w:rsid w:val="00546207"/>
    <w:rsid w:val="00547095"/>
    <w:rsid w:val="00547618"/>
    <w:rsid w:val="00547DD9"/>
    <w:rsid w:val="005509D3"/>
    <w:rsid w:val="00553AF3"/>
    <w:rsid w:val="00562276"/>
    <w:rsid w:val="00562DFD"/>
    <w:rsid w:val="0057035B"/>
    <w:rsid w:val="00574975"/>
    <w:rsid w:val="00576A03"/>
    <w:rsid w:val="00580014"/>
    <w:rsid w:val="005801C1"/>
    <w:rsid w:val="005815BF"/>
    <w:rsid w:val="00583B7D"/>
    <w:rsid w:val="005917FB"/>
    <w:rsid w:val="005A134F"/>
    <w:rsid w:val="005B4B78"/>
    <w:rsid w:val="005C5C02"/>
    <w:rsid w:val="005C6437"/>
    <w:rsid w:val="005D0E8F"/>
    <w:rsid w:val="005D3F43"/>
    <w:rsid w:val="005D48A4"/>
    <w:rsid w:val="005D5588"/>
    <w:rsid w:val="005D5E31"/>
    <w:rsid w:val="005D725F"/>
    <w:rsid w:val="005D7BEB"/>
    <w:rsid w:val="005E30D4"/>
    <w:rsid w:val="005E3D6F"/>
    <w:rsid w:val="005E4F59"/>
    <w:rsid w:val="005F34ED"/>
    <w:rsid w:val="005F40DD"/>
    <w:rsid w:val="005F7A68"/>
    <w:rsid w:val="00604050"/>
    <w:rsid w:val="006047B8"/>
    <w:rsid w:val="00605B60"/>
    <w:rsid w:val="00607E80"/>
    <w:rsid w:val="00615B36"/>
    <w:rsid w:val="00622A21"/>
    <w:rsid w:val="00623D40"/>
    <w:rsid w:val="00627D76"/>
    <w:rsid w:val="006308AC"/>
    <w:rsid w:val="00633E54"/>
    <w:rsid w:val="00634534"/>
    <w:rsid w:val="00637045"/>
    <w:rsid w:val="006418EF"/>
    <w:rsid w:val="006431ED"/>
    <w:rsid w:val="00643D2F"/>
    <w:rsid w:val="00643F1B"/>
    <w:rsid w:val="00647589"/>
    <w:rsid w:val="00651E65"/>
    <w:rsid w:val="00652BE0"/>
    <w:rsid w:val="00653F5B"/>
    <w:rsid w:val="00655449"/>
    <w:rsid w:val="0065566A"/>
    <w:rsid w:val="00655E35"/>
    <w:rsid w:val="00666F7B"/>
    <w:rsid w:val="006707AF"/>
    <w:rsid w:val="00671467"/>
    <w:rsid w:val="00672D35"/>
    <w:rsid w:val="00673EC3"/>
    <w:rsid w:val="00674985"/>
    <w:rsid w:val="006776CB"/>
    <w:rsid w:val="00685293"/>
    <w:rsid w:val="006901AD"/>
    <w:rsid w:val="00695C89"/>
    <w:rsid w:val="00696A24"/>
    <w:rsid w:val="006A114A"/>
    <w:rsid w:val="006A1452"/>
    <w:rsid w:val="006A1A09"/>
    <w:rsid w:val="006A2D2C"/>
    <w:rsid w:val="006A5A17"/>
    <w:rsid w:val="006B0F5C"/>
    <w:rsid w:val="006B7977"/>
    <w:rsid w:val="006C11AD"/>
    <w:rsid w:val="006C74B6"/>
    <w:rsid w:val="006D03EE"/>
    <w:rsid w:val="006D3637"/>
    <w:rsid w:val="006D43C1"/>
    <w:rsid w:val="006D5CDD"/>
    <w:rsid w:val="006E34C0"/>
    <w:rsid w:val="006F04DB"/>
    <w:rsid w:val="006F6099"/>
    <w:rsid w:val="006F7968"/>
    <w:rsid w:val="00702E7C"/>
    <w:rsid w:val="007040A4"/>
    <w:rsid w:val="00704865"/>
    <w:rsid w:val="007053E6"/>
    <w:rsid w:val="00706D8B"/>
    <w:rsid w:val="00707536"/>
    <w:rsid w:val="00710C0A"/>
    <w:rsid w:val="00713868"/>
    <w:rsid w:val="00714007"/>
    <w:rsid w:val="00716186"/>
    <w:rsid w:val="007259F1"/>
    <w:rsid w:val="00727353"/>
    <w:rsid w:val="0073153D"/>
    <w:rsid w:val="00737C7F"/>
    <w:rsid w:val="00744B93"/>
    <w:rsid w:val="0075099D"/>
    <w:rsid w:val="00750E09"/>
    <w:rsid w:val="00752075"/>
    <w:rsid w:val="007560A5"/>
    <w:rsid w:val="007600F5"/>
    <w:rsid w:val="0076269E"/>
    <w:rsid w:val="007630F7"/>
    <w:rsid w:val="007661A8"/>
    <w:rsid w:val="00766F81"/>
    <w:rsid w:val="0076781A"/>
    <w:rsid w:val="00770B1E"/>
    <w:rsid w:val="0077503A"/>
    <w:rsid w:val="007770EE"/>
    <w:rsid w:val="0077775D"/>
    <w:rsid w:val="00780195"/>
    <w:rsid w:val="007831C8"/>
    <w:rsid w:val="00786967"/>
    <w:rsid w:val="00786EEF"/>
    <w:rsid w:val="00795465"/>
    <w:rsid w:val="00796762"/>
    <w:rsid w:val="0079760D"/>
    <w:rsid w:val="007A2D9B"/>
    <w:rsid w:val="007A4D9D"/>
    <w:rsid w:val="007A6252"/>
    <w:rsid w:val="007A6401"/>
    <w:rsid w:val="007A6619"/>
    <w:rsid w:val="007B1E2A"/>
    <w:rsid w:val="007B1EF9"/>
    <w:rsid w:val="007B5F75"/>
    <w:rsid w:val="007B6731"/>
    <w:rsid w:val="007B6916"/>
    <w:rsid w:val="007B726B"/>
    <w:rsid w:val="007B747F"/>
    <w:rsid w:val="007C0AE2"/>
    <w:rsid w:val="007C2DD2"/>
    <w:rsid w:val="007C64E3"/>
    <w:rsid w:val="007D1161"/>
    <w:rsid w:val="007D1355"/>
    <w:rsid w:val="007D5324"/>
    <w:rsid w:val="007D60BA"/>
    <w:rsid w:val="007E061B"/>
    <w:rsid w:val="007E4462"/>
    <w:rsid w:val="007E4494"/>
    <w:rsid w:val="007E5CD9"/>
    <w:rsid w:val="007F172B"/>
    <w:rsid w:val="007F2D81"/>
    <w:rsid w:val="007F38B0"/>
    <w:rsid w:val="007F7629"/>
    <w:rsid w:val="00804137"/>
    <w:rsid w:val="0080517B"/>
    <w:rsid w:val="00805F61"/>
    <w:rsid w:val="008117E9"/>
    <w:rsid w:val="00814AD8"/>
    <w:rsid w:val="00815F29"/>
    <w:rsid w:val="00820F26"/>
    <w:rsid w:val="00821140"/>
    <w:rsid w:val="00827CAE"/>
    <w:rsid w:val="00840C58"/>
    <w:rsid w:val="008462DA"/>
    <w:rsid w:val="0085566A"/>
    <w:rsid w:val="00855A04"/>
    <w:rsid w:val="008571DD"/>
    <w:rsid w:val="008600B1"/>
    <w:rsid w:val="00860470"/>
    <w:rsid w:val="00861402"/>
    <w:rsid w:val="008650BE"/>
    <w:rsid w:val="00867297"/>
    <w:rsid w:val="0087073C"/>
    <w:rsid w:val="008819F9"/>
    <w:rsid w:val="00882698"/>
    <w:rsid w:val="008850A8"/>
    <w:rsid w:val="00886DEC"/>
    <w:rsid w:val="0088703C"/>
    <w:rsid w:val="00887BB1"/>
    <w:rsid w:val="00891E69"/>
    <w:rsid w:val="008922EC"/>
    <w:rsid w:val="00892A0E"/>
    <w:rsid w:val="008931B5"/>
    <w:rsid w:val="008965A0"/>
    <w:rsid w:val="00896CA5"/>
    <w:rsid w:val="008A021E"/>
    <w:rsid w:val="008A16BB"/>
    <w:rsid w:val="008A38C9"/>
    <w:rsid w:val="008A68FC"/>
    <w:rsid w:val="008B380A"/>
    <w:rsid w:val="008B42DD"/>
    <w:rsid w:val="008B7CA1"/>
    <w:rsid w:val="008C0244"/>
    <w:rsid w:val="008C572A"/>
    <w:rsid w:val="008C6355"/>
    <w:rsid w:val="008C753A"/>
    <w:rsid w:val="008D2505"/>
    <w:rsid w:val="008D25A0"/>
    <w:rsid w:val="008E1A70"/>
    <w:rsid w:val="008E25FE"/>
    <w:rsid w:val="008E2745"/>
    <w:rsid w:val="008F2724"/>
    <w:rsid w:val="008F2C46"/>
    <w:rsid w:val="008F7BC7"/>
    <w:rsid w:val="00900510"/>
    <w:rsid w:val="00901851"/>
    <w:rsid w:val="00902901"/>
    <w:rsid w:val="00906CA4"/>
    <w:rsid w:val="00917055"/>
    <w:rsid w:val="00924CE1"/>
    <w:rsid w:val="0092640F"/>
    <w:rsid w:val="00931121"/>
    <w:rsid w:val="00932020"/>
    <w:rsid w:val="0093316F"/>
    <w:rsid w:val="00934ED1"/>
    <w:rsid w:val="009352EE"/>
    <w:rsid w:val="0093538C"/>
    <w:rsid w:val="00947CAB"/>
    <w:rsid w:val="00951975"/>
    <w:rsid w:val="00951EBF"/>
    <w:rsid w:val="00955498"/>
    <w:rsid w:val="009576B6"/>
    <w:rsid w:val="00963B73"/>
    <w:rsid w:val="00966D5B"/>
    <w:rsid w:val="009671F0"/>
    <w:rsid w:val="0097110C"/>
    <w:rsid w:val="00973046"/>
    <w:rsid w:val="009744DE"/>
    <w:rsid w:val="00974CFD"/>
    <w:rsid w:val="0097534A"/>
    <w:rsid w:val="00977976"/>
    <w:rsid w:val="00977FB9"/>
    <w:rsid w:val="009835EE"/>
    <w:rsid w:val="00993770"/>
    <w:rsid w:val="009A005B"/>
    <w:rsid w:val="009A2F91"/>
    <w:rsid w:val="009A3689"/>
    <w:rsid w:val="009A454D"/>
    <w:rsid w:val="009A54C4"/>
    <w:rsid w:val="009A5E8D"/>
    <w:rsid w:val="009B2612"/>
    <w:rsid w:val="009B505C"/>
    <w:rsid w:val="009B6B3C"/>
    <w:rsid w:val="009B6EE7"/>
    <w:rsid w:val="009C077D"/>
    <w:rsid w:val="009D0499"/>
    <w:rsid w:val="009D06EC"/>
    <w:rsid w:val="009D7856"/>
    <w:rsid w:val="009E0214"/>
    <w:rsid w:val="009F294A"/>
    <w:rsid w:val="009F3405"/>
    <w:rsid w:val="009F3D36"/>
    <w:rsid w:val="009F4B77"/>
    <w:rsid w:val="009F6F6D"/>
    <w:rsid w:val="009F7D35"/>
    <w:rsid w:val="00A000F1"/>
    <w:rsid w:val="00A021BD"/>
    <w:rsid w:val="00A02F38"/>
    <w:rsid w:val="00A030D3"/>
    <w:rsid w:val="00A06230"/>
    <w:rsid w:val="00A06A82"/>
    <w:rsid w:val="00A078F0"/>
    <w:rsid w:val="00A137F6"/>
    <w:rsid w:val="00A1549B"/>
    <w:rsid w:val="00A1598E"/>
    <w:rsid w:val="00A20636"/>
    <w:rsid w:val="00A213B8"/>
    <w:rsid w:val="00A24C0D"/>
    <w:rsid w:val="00A26AE2"/>
    <w:rsid w:val="00A313DA"/>
    <w:rsid w:val="00A32B7A"/>
    <w:rsid w:val="00A353A3"/>
    <w:rsid w:val="00A409A5"/>
    <w:rsid w:val="00A43D34"/>
    <w:rsid w:val="00A44144"/>
    <w:rsid w:val="00A45CDA"/>
    <w:rsid w:val="00A47944"/>
    <w:rsid w:val="00A50322"/>
    <w:rsid w:val="00A5188F"/>
    <w:rsid w:val="00A51CF7"/>
    <w:rsid w:val="00A52836"/>
    <w:rsid w:val="00A57BD0"/>
    <w:rsid w:val="00A616B3"/>
    <w:rsid w:val="00A62C83"/>
    <w:rsid w:val="00A64459"/>
    <w:rsid w:val="00A65C6C"/>
    <w:rsid w:val="00A66B60"/>
    <w:rsid w:val="00A7105D"/>
    <w:rsid w:val="00A71F56"/>
    <w:rsid w:val="00A80FF1"/>
    <w:rsid w:val="00A85A08"/>
    <w:rsid w:val="00A85FBA"/>
    <w:rsid w:val="00A87F80"/>
    <w:rsid w:val="00AA66FB"/>
    <w:rsid w:val="00AA6A97"/>
    <w:rsid w:val="00AB034B"/>
    <w:rsid w:val="00AB1D07"/>
    <w:rsid w:val="00AB4195"/>
    <w:rsid w:val="00AB42D0"/>
    <w:rsid w:val="00AC17B3"/>
    <w:rsid w:val="00AC7950"/>
    <w:rsid w:val="00AD15AD"/>
    <w:rsid w:val="00AD4C22"/>
    <w:rsid w:val="00AD54A1"/>
    <w:rsid w:val="00AD79B4"/>
    <w:rsid w:val="00AE3228"/>
    <w:rsid w:val="00AE541D"/>
    <w:rsid w:val="00AF1E60"/>
    <w:rsid w:val="00AF2B3E"/>
    <w:rsid w:val="00AF57B5"/>
    <w:rsid w:val="00AF72DD"/>
    <w:rsid w:val="00B00B32"/>
    <w:rsid w:val="00B0106A"/>
    <w:rsid w:val="00B011BD"/>
    <w:rsid w:val="00B0339D"/>
    <w:rsid w:val="00B04AE3"/>
    <w:rsid w:val="00B04C82"/>
    <w:rsid w:val="00B05E61"/>
    <w:rsid w:val="00B05FF0"/>
    <w:rsid w:val="00B06B53"/>
    <w:rsid w:val="00B10918"/>
    <w:rsid w:val="00B10FB3"/>
    <w:rsid w:val="00B147EB"/>
    <w:rsid w:val="00B25491"/>
    <w:rsid w:val="00B275B8"/>
    <w:rsid w:val="00B277C0"/>
    <w:rsid w:val="00B27BAB"/>
    <w:rsid w:val="00B32F98"/>
    <w:rsid w:val="00B35EA6"/>
    <w:rsid w:val="00B37D6A"/>
    <w:rsid w:val="00B4252C"/>
    <w:rsid w:val="00B429C9"/>
    <w:rsid w:val="00B51FD2"/>
    <w:rsid w:val="00B54479"/>
    <w:rsid w:val="00B552DA"/>
    <w:rsid w:val="00B55790"/>
    <w:rsid w:val="00B557DD"/>
    <w:rsid w:val="00B562C0"/>
    <w:rsid w:val="00B57FBD"/>
    <w:rsid w:val="00B636EC"/>
    <w:rsid w:val="00B6499C"/>
    <w:rsid w:val="00B670F2"/>
    <w:rsid w:val="00B70076"/>
    <w:rsid w:val="00B710F4"/>
    <w:rsid w:val="00B763D6"/>
    <w:rsid w:val="00B77232"/>
    <w:rsid w:val="00B81F98"/>
    <w:rsid w:val="00B8422F"/>
    <w:rsid w:val="00B85E5A"/>
    <w:rsid w:val="00B9221F"/>
    <w:rsid w:val="00B93EA9"/>
    <w:rsid w:val="00BA0C1B"/>
    <w:rsid w:val="00BA2E4A"/>
    <w:rsid w:val="00BA31F9"/>
    <w:rsid w:val="00BA6CC4"/>
    <w:rsid w:val="00BA7A08"/>
    <w:rsid w:val="00BB3E4F"/>
    <w:rsid w:val="00BB62A2"/>
    <w:rsid w:val="00BC0AC0"/>
    <w:rsid w:val="00BC3064"/>
    <w:rsid w:val="00BC47A0"/>
    <w:rsid w:val="00BD2205"/>
    <w:rsid w:val="00BD6294"/>
    <w:rsid w:val="00BE0917"/>
    <w:rsid w:val="00BE15AA"/>
    <w:rsid w:val="00BE258B"/>
    <w:rsid w:val="00BE26EC"/>
    <w:rsid w:val="00BE2A72"/>
    <w:rsid w:val="00BE303A"/>
    <w:rsid w:val="00BE343A"/>
    <w:rsid w:val="00BF0E2F"/>
    <w:rsid w:val="00BF2061"/>
    <w:rsid w:val="00BF2569"/>
    <w:rsid w:val="00BF4523"/>
    <w:rsid w:val="00BF4FFE"/>
    <w:rsid w:val="00C02B28"/>
    <w:rsid w:val="00C0738F"/>
    <w:rsid w:val="00C10540"/>
    <w:rsid w:val="00C109C6"/>
    <w:rsid w:val="00C10D10"/>
    <w:rsid w:val="00C113B2"/>
    <w:rsid w:val="00C12008"/>
    <w:rsid w:val="00C137F0"/>
    <w:rsid w:val="00C13D1D"/>
    <w:rsid w:val="00C1705A"/>
    <w:rsid w:val="00C20128"/>
    <w:rsid w:val="00C30B48"/>
    <w:rsid w:val="00C30B4F"/>
    <w:rsid w:val="00C31019"/>
    <w:rsid w:val="00C345BD"/>
    <w:rsid w:val="00C35A3E"/>
    <w:rsid w:val="00C4171E"/>
    <w:rsid w:val="00C44264"/>
    <w:rsid w:val="00C46BE5"/>
    <w:rsid w:val="00C46C2E"/>
    <w:rsid w:val="00C50CF2"/>
    <w:rsid w:val="00C50EC2"/>
    <w:rsid w:val="00C51980"/>
    <w:rsid w:val="00C5231B"/>
    <w:rsid w:val="00C52774"/>
    <w:rsid w:val="00C64150"/>
    <w:rsid w:val="00C76F9B"/>
    <w:rsid w:val="00C80036"/>
    <w:rsid w:val="00C82D72"/>
    <w:rsid w:val="00C918C8"/>
    <w:rsid w:val="00C963E2"/>
    <w:rsid w:val="00C977D0"/>
    <w:rsid w:val="00CA0460"/>
    <w:rsid w:val="00CA0B93"/>
    <w:rsid w:val="00CA22F0"/>
    <w:rsid w:val="00CB00B0"/>
    <w:rsid w:val="00CB0212"/>
    <w:rsid w:val="00CB0FAA"/>
    <w:rsid w:val="00CB15C3"/>
    <w:rsid w:val="00CB3CD5"/>
    <w:rsid w:val="00CB3F62"/>
    <w:rsid w:val="00CB5AFB"/>
    <w:rsid w:val="00CC25A0"/>
    <w:rsid w:val="00CC3BD4"/>
    <w:rsid w:val="00CC513E"/>
    <w:rsid w:val="00CD0C4A"/>
    <w:rsid w:val="00CD365D"/>
    <w:rsid w:val="00CD5522"/>
    <w:rsid w:val="00CD5D8B"/>
    <w:rsid w:val="00CE10BE"/>
    <w:rsid w:val="00CE1388"/>
    <w:rsid w:val="00CE2F4F"/>
    <w:rsid w:val="00CE5601"/>
    <w:rsid w:val="00CE6645"/>
    <w:rsid w:val="00CE6699"/>
    <w:rsid w:val="00CE76FD"/>
    <w:rsid w:val="00CF0B3F"/>
    <w:rsid w:val="00CF16DD"/>
    <w:rsid w:val="00D016CD"/>
    <w:rsid w:val="00D07F51"/>
    <w:rsid w:val="00D210A4"/>
    <w:rsid w:val="00D216C0"/>
    <w:rsid w:val="00D221C2"/>
    <w:rsid w:val="00D2393D"/>
    <w:rsid w:val="00D264EB"/>
    <w:rsid w:val="00D32A25"/>
    <w:rsid w:val="00D32CCD"/>
    <w:rsid w:val="00D37D5C"/>
    <w:rsid w:val="00D41AE4"/>
    <w:rsid w:val="00D41CBC"/>
    <w:rsid w:val="00D42C06"/>
    <w:rsid w:val="00D46B81"/>
    <w:rsid w:val="00D47254"/>
    <w:rsid w:val="00D51F06"/>
    <w:rsid w:val="00D5220F"/>
    <w:rsid w:val="00D55D20"/>
    <w:rsid w:val="00D5766E"/>
    <w:rsid w:val="00D61990"/>
    <w:rsid w:val="00D63C6C"/>
    <w:rsid w:val="00D64559"/>
    <w:rsid w:val="00D64FDE"/>
    <w:rsid w:val="00D6512D"/>
    <w:rsid w:val="00D65C54"/>
    <w:rsid w:val="00D71EBA"/>
    <w:rsid w:val="00D747F2"/>
    <w:rsid w:val="00D75A8B"/>
    <w:rsid w:val="00D769E9"/>
    <w:rsid w:val="00D803A3"/>
    <w:rsid w:val="00D84E24"/>
    <w:rsid w:val="00D8592B"/>
    <w:rsid w:val="00D944D7"/>
    <w:rsid w:val="00D9688D"/>
    <w:rsid w:val="00D96DBC"/>
    <w:rsid w:val="00D975E9"/>
    <w:rsid w:val="00DA140D"/>
    <w:rsid w:val="00DA4C7D"/>
    <w:rsid w:val="00DA53DB"/>
    <w:rsid w:val="00DA554F"/>
    <w:rsid w:val="00DA7D08"/>
    <w:rsid w:val="00DB0D1A"/>
    <w:rsid w:val="00DB3482"/>
    <w:rsid w:val="00DB7B55"/>
    <w:rsid w:val="00DB7FE7"/>
    <w:rsid w:val="00DC087F"/>
    <w:rsid w:val="00DC2062"/>
    <w:rsid w:val="00DC3C7D"/>
    <w:rsid w:val="00DD22BC"/>
    <w:rsid w:val="00DD4247"/>
    <w:rsid w:val="00DD4EA1"/>
    <w:rsid w:val="00DE4EE4"/>
    <w:rsid w:val="00DE6A86"/>
    <w:rsid w:val="00DF15F2"/>
    <w:rsid w:val="00DF3FFC"/>
    <w:rsid w:val="00DF48EE"/>
    <w:rsid w:val="00DF4DBC"/>
    <w:rsid w:val="00DF6F80"/>
    <w:rsid w:val="00DF768F"/>
    <w:rsid w:val="00E03C09"/>
    <w:rsid w:val="00E07CAF"/>
    <w:rsid w:val="00E10DEA"/>
    <w:rsid w:val="00E11224"/>
    <w:rsid w:val="00E12465"/>
    <w:rsid w:val="00E14A7E"/>
    <w:rsid w:val="00E16F7E"/>
    <w:rsid w:val="00E17A2D"/>
    <w:rsid w:val="00E21D28"/>
    <w:rsid w:val="00E2364F"/>
    <w:rsid w:val="00E25CA3"/>
    <w:rsid w:val="00E26F9A"/>
    <w:rsid w:val="00E27720"/>
    <w:rsid w:val="00E31916"/>
    <w:rsid w:val="00E34DD0"/>
    <w:rsid w:val="00E41C36"/>
    <w:rsid w:val="00E47E12"/>
    <w:rsid w:val="00E509DA"/>
    <w:rsid w:val="00E5574F"/>
    <w:rsid w:val="00E63B32"/>
    <w:rsid w:val="00E64FC4"/>
    <w:rsid w:val="00E66868"/>
    <w:rsid w:val="00E73527"/>
    <w:rsid w:val="00E81DC0"/>
    <w:rsid w:val="00E834F6"/>
    <w:rsid w:val="00E845AF"/>
    <w:rsid w:val="00E86A23"/>
    <w:rsid w:val="00E920C0"/>
    <w:rsid w:val="00E924DE"/>
    <w:rsid w:val="00EA093C"/>
    <w:rsid w:val="00EA1B00"/>
    <w:rsid w:val="00EA1C25"/>
    <w:rsid w:val="00EA2294"/>
    <w:rsid w:val="00EA44C1"/>
    <w:rsid w:val="00EA7883"/>
    <w:rsid w:val="00EB1D6B"/>
    <w:rsid w:val="00EB47F7"/>
    <w:rsid w:val="00EB56F6"/>
    <w:rsid w:val="00EB7CA8"/>
    <w:rsid w:val="00EC42BB"/>
    <w:rsid w:val="00EC7491"/>
    <w:rsid w:val="00EC7C85"/>
    <w:rsid w:val="00ED0F4C"/>
    <w:rsid w:val="00ED1FBB"/>
    <w:rsid w:val="00ED6B8D"/>
    <w:rsid w:val="00ED72B9"/>
    <w:rsid w:val="00EE002B"/>
    <w:rsid w:val="00EE0710"/>
    <w:rsid w:val="00EE3ABE"/>
    <w:rsid w:val="00EE40FB"/>
    <w:rsid w:val="00EE4584"/>
    <w:rsid w:val="00EE5DFF"/>
    <w:rsid w:val="00EE6909"/>
    <w:rsid w:val="00EE69F6"/>
    <w:rsid w:val="00EE77F7"/>
    <w:rsid w:val="00EF2D1C"/>
    <w:rsid w:val="00EF56DA"/>
    <w:rsid w:val="00F00AA4"/>
    <w:rsid w:val="00F00DCA"/>
    <w:rsid w:val="00F01078"/>
    <w:rsid w:val="00F01609"/>
    <w:rsid w:val="00F0713B"/>
    <w:rsid w:val="00F1234A"/>
    <w:rsid w:val="00F127A0"/>
    <w:rsid w:val="00F178EB"/>
    <w:rsid w:val="00F17B23"/>
    <w:rsid w:val="00F20783"/>
    <w:rsid w:val="00F3260E"/>
    <w:rsid w:val="00F41DF2"/>
    <w:rsid w:val="00F54B1A"/>
    <w:rsid w:val="00F61840"/>
    <w:rsid w:val="00F62956"/>
    <w:rsid w:val="00F63D08"/>
    <w:rsid w:val="00F70670"/>
    <w:rsid w:val="00F72AC8"/>
    <w:rsid w:val="00F73ADF"/>
    <w:rsid w:val="00F81CF7"/>
    <w:rsid w:val="00F83BA1"/>
    <w:rsid w:val="00F924EC"/>
    <w:rsid w:val="00F964E7"/>
    <w:rsid w:val="00F965C6"/>
    <w:rsid w:val="00F9726B"/>
    <w:rsid w:val="00FA4733"/>
    <w:rsid w:val="00FA526A"/>
    <w:rsid w:val="00FB0D50"/>
    <w:rsid w:val="00FB51CF"/>
    <w:rsid w:val="00FB7700"/>
    <w:rsid w:val="00FC1592"/>
    <w:rsid w:val="00FC47FF"/>
    <w:rsid w:val="00FD08FB"/>
    <w:rsid w:val="00FD2F34"/>
    <w:rsid w:val="00FD54E7"/>
    <w:rsid w:val="00FD6209"/>
    <w:rsid w:val="00FE0B29"/>
    <w:rsid w:val="00FE570C"/>
    <w:rsid w:val="00FF207F"/>
    <w:rsid w:val="00FF2B4D"/>
    <w:rsid w:val="00FF2CE8"/>
    <w:rsid w:val="00FF4B36"/>
    <w:rsid w:val="0347A283"/>
    <w:rsid w:val="052CE86F"/>
    <w:rsid w:val="09712D92"/>
    <w:rsid w:val="0B41E3C7"/>
    <w:rsid w:val="0D1C3A55"/>
    <w:rsid w:val="10E039E7"/>
    <w:rsid w:val="114DD449"/>
    <w:rsid w:val="127C0A48"/>
    <w:rsid w:val="129E46B1"/>
    <w:rsid w:val="157CBA16"/>
    <w:rsid w:val="15B3AB0A"/>
    <w:rsid w:val="16C43AE9"/>
    <w:rsid w:val="175C57AA"/>
    <w:rsid w:val="1952C1BF"/>
    <w:rsid w:val="1B3DA8DB"/>
    <w:rsid w:val="1BD95EB1"/>
    <w:rsid w:val="1FFD0F0C"/>
    <w:rsid w:val="241867FF"/>
    <w:rsid w:val="24F752C7"/>
    <w:rsid w:val="25655439"/>
    <w:rsid w:val="27215E8F"/>
    <w:rsid w:val="28C89153"/>
    <w:rsid w:val="2C71C1BC"/>
    <w:rsid w:val="2CC3DB11"/>
    <w:rsid w:val="30813B2A"/>
    <w:rsid w:val="318561DF"/>
    <w:rsid w:val="321D0B8B"/>
    <w:rsid w:val="35B0EE3D"/>
    <w:rsid w:val="35B9F915"/>
    <w:rsid w:val="35C2AFE9"/>
    <w:rsid w:val="38CD0EE9"/>
    <w:rsid w:val="3AD9E90B"/>
    <w:rsid w:val="3AEC7B1A"/>
    <w:rsid w:val="3E89C09F"/>
    <w:rsid w:val="3FAD5A2E"/>
    <w:rsid w:val="41C7183D"/>
    <w:rsid w:val="438D9C49"/>
    <w:rsid w:val="4518B659"/>
    <w:rsid w:val="4C651DDC"/>
    <w:rsid w:val="4F6B0286"/>
    <w:rsid w:val="5007EE12"/>
    <w:rsid w:val="518AA0CC"/>
    <w:rsid w:val="5704A33E"/>
    <w:rsid w:val="57DB3786"/>
    <w:rsid w:val="58DD2F2B"/>
    <w:rsid w:val="58DDF978"/>
    <w:rsid w:val="5B00FDA6"/>
    <w:rsid w:val="5FD46EC9"/>
    <w:rsid w:val="5FDCAF20"/>
    <w:rsid w:val="5FF1DA08"/>
    <w:rsid w:val="603C422B"/>
    <w:rsid w:val="629A151B"/>
    <w:rsid w:val="63936A5D"/>
    <w:rsid w:val="63FC1071"/>
    <w:rsid w:val="6AD34464"/>
    <w:rsid w:val="6B900EC1"/>
    <w:rsid w:val="6FFFF234"/>
    <w:rsid w:val="720F3E66"/>
    <w:rsid w:val="766109E6"/>
    <w:rsid w:val="76668898"/>
    <w:rsid w:val="76D55142"/>
    <w:rsid w:val="77346EAD"/>
    <w:rsid w:val="77A7F6B5"/>
    <w:rsid w:val="792FC13E"/>
    <w:rsid w:val="7995F16C"/>
    <w:rsid w:val="7CFBA2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8D29D9"/>
  <w15:docId w15:val="{E75DF0DD-1D25-4305-B830-66CEB145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 w:type="paragraph" w:styleId="ListParagraph">
    <w:name w:val="List Paragraph"/>
    <w:basedOn w:val="Normal"/>
    <w:uiPriority w:val="34"/>
    <w:qFormat/>
    <w:rsid w:val="000A563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0A5631"/>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A563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A5631"/>
    <w:rPr>
      <w:vertAlign w:val="superscript"/>
    </w:rPr>
  </w:style>
  <w:style w:type="character" w:styleId="UnresolvedMention">
    <w:name w:val="Unresolved Mention"/>
    <w:basedOn w:val="DefaultParagraphFont"/>
    <w:uiPriority w:val="99"/>
    <w:semiHidden/>
    <w:unhideWhenUsed/>
    <w:rsid w:val="00064F59"/>
    <w:rPr>
      <w:color w:val="605E5C"/>
      <w:shd w:val="clear" w:color="auto" w:fill="E1DFDD"/>
    </w:rPr>
  </w:style>
  <w:style w:type="character" w:styleId="FollowedHyperlink">
    <w:name w:val="FollowedHyperlink"/>
    <w:basedOn w:val="DefaultParagraphFont"/>
    <w:semiHidden/>
    <w:unhideWhenUsed/>
    <w:rsid w:val="00627D76"/>
    <w:rPr>
      <w:color w:val="800080" w:themeColor="followedHyperlink"/>
      <w:u w:val="single"/>
    </w:rPr>
  </w:style>
  <w:style w:type="paragraph" w:styleId="EndnoteText">
    <w:name w:val="endnote text"/>
    <w:basedOn w:val="Normal"/>
    <w:link w:val="EndnoteTextChar"/>
    <w:semiHidden/>
    <w:unhideWhenUsed/>
    <w:rsid w:val="00655E35"/>
  </w:style>
  <w:style w:type="character" w:customStyle="1" w:styleId="EndnoteTextChar">
    <w:name w:val="Endnote Text Char"/>
    <w:basedOn w:val="DefaultParagraphFont"/>
    <w:link w:val="EndnoteText"/>
    <w:semiHidden/>
    <w:rsid w:val="00655E35"/>
  </w:style>
  <w:style w:type="character" w:styleId="EndnoteReference">
    <w:name w:val="endnote reference"/>
    <w:basedOn w:val="DefaultParagraphFont"/>
    <w:semiHidden/>
    <w:unhideWhenUsed/>
    <w:rsid w:val="00655E35"/>
    <w:rPr>
      <w:vertAlign w:val="superscript"/>
    </w:rPr>
  </w:style>
  <w:style w:type="paragraph" w:customStyle="1" w:styleId="paragraph">
    <w:name w:val="paragraph"/>
    <w:basedOn w:val="Normal"/>
    <w:rsid w:val="00615B3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15B36"/>
  </w:style>
  <w:style w:type="character" w:customStyle="1" w:styleId="eop">
    <w:name w:val="eop"/>
    <w:basedOn w:val="DefaultParagraphFont"/>
    <w:rsid w:val="00615B36"/>
  </w:style>
  <w:style w:type="paragraph" w:customStyle="1" w:styleId="pf0">
    <w:name w:val="pf0"/>
    <w:basedOn w:val="Normal"/>
    <w:rsid w:val="002B4AD8"/>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2B4A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omisezone@hud.gov" TargetMode="External" /><Relationship Id="rId11" Type="http://schemas.openxmlformats.org/officeDocument/2006/relationships/hyperlink" Target="https://www.hudexchange.info/programs/promise-zones/designee-contact-information/" TargetMode="External" /><Relationship Id="rId12" Type="http://schemas.openxmlformats.org/officeDocument/2006/relationships/hyperlink" Target="https://www.federalregister.gov/documents/2022/05/17/2022-10522/60-day-notice-of-proposed-information-collection-promise-zones-preference-point-certification-form" TargetMode="External" /><Relationship Id="rId13" Type="http://schemas.openxmlformats.org/officeDocument/2006/relationships/hyperlink" Target="https://www.hudexchange.info/resource/4396/promise-zones-certification-form-and-guidance/"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udexchange.info/programs/promise-zon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USCODE-2010-title42/pdf/USCODE-2010-title42-chap44-sec3531.pdf" TargetMode="External" /><Relationship Id="rId2" Type="http://schemas.openxmlformats.org/officeDocument/2006/relationships/hyperlink" Target="https://www.bls.gov/oes/current/oes_nat.htm" TargetMode="External" /><Relationship Id="rId3"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B6A159173A1459473F54603E67EF8" ma:contentTypeVersion="11" ma:contentTypeDescription="Create a new document." ma:contentTypeScope="" ma:versionID="33971c9314554d5f3ff95e1b9543655b">
  <xsd:schema xmlns:xsd="http://www.w3.org/2001/XMLSchema" xmlns:xs="http://www.w3.org/2001/XMLSchema" xmlns:p="http://schemas.microsoft.com/office/2006/metadata/properties" xmlns:ns2="b36330df-2217-47a0-b2ec-0733bbb60019" xmlns:ns3="b02c4b2b-4cbc-492a-8e9e-b30dbbcf84fe" targetNamespace="http://schemas.microsoft.com/office/2006/metadata/properties" ma:root="true" ma:fieldsID="b16bb99cd066c53c06ed8acc9dbf60b2" ns2:_="" ns3:_="">
    <xsd:import namespace="b36330df-2217-47a0-b2ec-0733bbb60019"/>
    <xsd:import namespace="b02c4b2b-4cbc-492a-8e9e-b30dbbcf84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30df-2217-47a0-b2ec-0733bbb600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c4b2b-4cbc-492a-8e9e-b30dbbcf84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36330df-2217-47a0-b2ec-0733bbb6001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D8DF-2C14-428A-8F43-8DA7358E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30df-2217-47a0-b2ec-0733bbb60019"/>
    <ds:schemaRef ds:uri="b02c4b2b-4cbc-492a-8e9e-b30dbbcf8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D5E11-368C-451D-A6DF-3DFE65AA15CF}">
  <ds:schemaRefs>
    <ds:schemaRef ds:uri="http://schemas.microsoft.com/sharepoint/v3/contenttype/forms"/>
  </ds:schemaRefs>
</ds:datastoreItem>
</file>

<file path=customXml/itemProps3.xml><?xml version="1.0" encoding="utf-8"?>
<ds:datastoreItem xmlns:ds="http://schemas.openxmlformats.org/officeDocument/2006/customXml" ds:itemID="{076E4BD5-FFC5-460F-9CCC-0343F630650D}">
  <ds:schemaRefs>
    <ds:schemaRef ds:uri="http://schemas.microsoft.com/office/2006/metadata/properties"/>
    <ds:schemaRef ds:uri="http://schemas.microsoft.com/office/infopath/2007/PartnerControls"/>
    <ds:schemaRef ds:uri="b36330df-2217-47a0-b2ec-0733bbb60019"/>
  </ds:schemaRefs>
</ds:datastoreItem>
</file>

<file path=customXml/itemProps4.xml><?xml version="1.0" encoding="utf-8"?>
<ds:datastoreItem xmlns:ds="http://schemas.openxmlformats.org/officeDocument/2006/customXml" ds:itemID="{6AFEC263-2D3C-4090-B211-2CF392EC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2092</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Guido, Anna P</cp:lastModifiedBy>
  <cp:revision>2</cp:revision>
  <cp:lastPrinted>2022-06-06T16:56:00Z</cp:lastPrinted>
  <dcterms:created xsi:type="dcterms:W3CDTF">2022-11-01T21:44:00Z</dcterms:created>
  <dcterms:modified xsi:type="dcterms:W3CDTF">2022-11-01T21:44:00Z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0x010100B61B6A159173A1459473F54603E67EF8</vt:lpwstr>
  </property>
  <property fmtid="{D5CDD505-2E9C-101B-9397-08002B2CF9AE}" pid="4" name="Order">
    <vt:r8>1301000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NewReviewCycle">
    <vt:lpwstr/>
  </property>
</Properties>
</file>