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2604E" w:rsidP="00A2604E" w14:paraId="39F14EF8" w14:textId="157B5BD0">
      <w:pPr>
        <w:jc w:val="center"/>
      </w:pPr>
      <w:r>
        <w:t>UNITED STATES OF AMERICA</w:t>
      </w:r>
    </w:p>
    <w:p w:rsidR="00A2604E" w:rsidP="00A2604E" w14:paraId="796F63BF" w14:textId="77777777">
      <w:pPr>
        <w:jc w:val="center"/>
      </w:pPr>
      <w:r>
        <w:t>FEDERAL ENERGY REGULATORY COMMISSION</w:t>
      </w:r>
    </w:p>
    <w:p w:rsidR="00A2604E" w:rsidP="00A2604E" w14:paraId="4152868E" w14:textId="77777777"/>
    <w:p w:rsidR="00A2604E" w:rsidP="00A2604E" w14:paraId="1600CC48" w14:textId="298B963A">
      <w:pPr>
        <w:jc w:val="center"/>
      </w:pPr>
      <w:r w:rsidRPr="00AC750B">
        <w:t>[</w:t>
      </w:r>
      <w:r w:rsidR="004E4EAD">
        <w:t xml:space="preserve">Docket No. </w:t>
      </w:r>
      <w:r w:rsidR="003062C2">
        <w:t>IC</w:t>
      </w:r>
      <w:r w:rsidR="00B257E5">
        <w:t>22-21</w:t>
      </w:r>
      <w:r w:rsidR="004E4EAD">
        <w:t>-000</w:t>
      </w:r>
      <w:r w:rsidRPr="00AC750B">
        <w:t>]</w:t>
      </w:r>
    </w:p>
    <w:p w:rsidR="00A2604E" w:rsidP="00A2604E" w14:paraId="37A99FB4" w14:textId="77777777"/>
    <w:p w:rsidR="005A7903" w:rsidRPr="00466D3F" w:rsidP="005A7903" w14:paraId="465B32C7" w14:textId="7692420B">
      <w:pPr>
        <w:jc w:val="center"/>
      </w:pPr>
      <w:r w:rsidRPr="00466D3F">
        <w:t>COMMISSION INFORMATION COLLECTION ACTIVITIES (FERC-</w:t>
      </w:r>
      <w:r w:rsidR="00B257E5">
        <w:t>555</w:t>
      </w:r>
      <w:r w:rsidRPr="00466D3F">
        <w:t>);</w:t>
      </w:r>
      <w:r>
        <w:t xml:space="preserve"> </w:t>
      </w:r>
      <w:r w:rsidRPr="00466D3F">
        <w:t>COMMENT REQUEST; EXTENSION</w:t>
      </w:r>
    </w:p>
    <w:p w:rsidR="00810D18" w:rsidP="00810D18" w14:paraId="6FC67CE5" w14:textId="1157AFF8"/>
    <w:p w:rsidR="007356B8" w:rsidP="009D331A" w14:paraId="1C382AA4" w14:textId="6E15D1F9">
      <w:pPr>
        <w:jc w:val="center"/>
      </w:pPr>
      <w:r w:rsidRPr="009D331A">
        <w:t>(January 3, 2023)</w:t>
      </w:r>
    </w:p>
    <w:p w:rsidR="009D331A" w:rsidRPr="009D331A" w:rsidP="009D331A" w14:paraId="56253CE9" w14:textId="77777777"/>
    <w:p w:rsidR="00A2604E" w:rsidP="00A2604E" w14:paraId="2B06BEDA" w14:textId="77777777">
      <w:r w:rsidRPr="00AB4DBF">
        <w:rPr>
          <w:b/>
        </w:rPr>
        <w:t>AGENCY:</w:t>
      </w:r>
      <w:r w:rsidRPr="00AB4DBF">
        <w:t xml:space="preserve">  Federal Energy Regulatory Commission.</w:t>
      </w:r>
    </w:p>
    <w:p w:rsidR="00A2604E" w:rsidRPr="00AB4DBF" w:rsidP="00A2604E" w14:paraId="3CD46B7D" w14:textId="77777777"/>
    <w:p w:rsidR="00A2604E" w:rsidP="00A2604E" w14:paraId="3C2C8063" w14:textId="77777777">
      <w:pPr>
        <w:spacing w:line="480" w:lineRule="auto"/>
      </w:pPr>
      <w:r w:rsidRPr="00CE64F2">
        <w:rPr>
          <w:b/>
        </w:rPr>
        <w:t>ACTION:</w:t>
      </w:r>
      <w:r>
        <w:t xml:space="preserve">  Notice of information collection and request for comments.</w:t>
      </w:r>
    </w:p>
    <w:p w:rsidR="00A2604E" w:rsidP="00F8646E" w14:paraId="124637F9" w14:textId="683836FC">
      <w:pPr>
        <w:spacing w:line="480" w:lineRule="auto"/>
      </w:pPr>
      <w:r w:rsidRPr="00CE64F2">
        <w:rPr>
          <w:b/>
        </w:rPr>
        <w:t>SUMMARY:</w:t>
      </w:r>
      <w:r>
        <w:t xml:space="preserve">  </w:t>
      </w:r>
      <w:r w:rsidRPr="005A7903" w:rsidR="005A7903">
        <w:t>In compliance with the requirements of the Paperwork Reduction Act of 1995, the Federal Energy Regulatory Commission (Commission or FERC) is soliciting public comment on the currently approved information collection, FERC-</w:t>
      </w:r>
      <w:r w:rsidR="005001BF">
        <w:t>555</w:t>
      </w:r>
      <w:r w:rsidRPr="005A7903" w:rsidR="005A7903">
        <w:t xml:space="preserve"> (</w:t>
      </w:r>
      <w:r w:rsidRPr="00812DF3" w:rsidR="00812DF3">
        <w:t>Preservation of Records for Public Utilities and Licensees, Natural Gas and Oil Pipeline Companies</w:t>
      </w:r>
      <w:r w:rsidRPr="005A7903" w:rsidR="005A7903">
        <w:t>) which will be submitted to the Office of Management and Budget (OMB) for a review of the information collection requirements.</w:t>
      </w:r>
    </w:p>
    <w:p w:rsidR="007C1916" w:rsidRPr="007C1916" w:rsidP="007C1916" w14:paraId="442CCE36" w14:textId="4EBC3054">
      <w:pPr>
        <w:spacing w:line="480" w:lineRule="auto"/>
      </w:pPr>
      <w:r w:rsidRPr="00CE64F2">
        <w:rPr>
          <w:b/>
        </w:rPr>
        <w:t>DATES:</w:t>
      </w:r>
      <w:r>
        <w:t xml:space="preserve">  Comments on the collection of information are due </w:t>
      </w:r>
      <w:bookmarkStart w:id="0" w:name="OLE_LINK1"/>
      <w:r w:rsidRPr="007C1916">
        <w:rPr>
          <w:b/>
        </w:rPr>
        <w:t>[</w:t>
      </w:r>
      <w:r w:rsidRPr="00F11631">
        <w:rPr>
          <w:b/>
          <w:caps/>
        </w:rPr>
        <w:t xml:space="preserve">Insert Date 30 days after </w:t>
      </w:r>
      <w:r w:rsidR="00B65A09">
        <w:rPr>
          <w:b/>
          <w:caps/>
        </w:rPr>
        <w:t xml:space="preserve">date of </w:t>
      </w:r>
      <w:r w:rsidRPr="00F11631">
        <w:rPr>
          <w:b/>
          <w:caps/>
        </w:rPr>
        <w:t>publication in the Federal Register]</w:t>
      </w:r>
      <w:r w:rsidRPr="00F11631" w:rsidR="00B65A09">
        <w:rPr>
          <w:b/>
          <w:caps/>
        </w:rPr>
        <w:t>.</w:t>
      </w:r>
      <w:r w:rsidRPr="00F11631" w:rsidR="00B65A09">
        <w:rPr>
          <w:caps/>
        </w:rPr>
        <w:t xml:space="preserve">  </w:t>
      </w:r>
    </w:p>
    <w:p w:rsidR="00343A03" w:rsidP="00D50830" w14:paraId="2AFF287E" w14:textId="5B03B643">
      <w:pPr>
        <w:spacing w:line="480" w:lineRule="auto"/>
      </w:pPr>
      <w:r w:rsidRPr="007C1916">
        <w:rPr>
          <w:b/>
        </w:rPr>
        <w:t>ADDRESSES:</w:t>
      </w:r>
      <w:r w:rsidRPr="007C1916">
        <w:t xml:space="preserve">  </w:t>
      </w:r>
      <w:r w:rsidRPr="00096CAD">
        <w:rPr>
          <w:iCs/>
          <w:szCs w:val="26"/>
        </w:rPr>
        <w:t xml:space="preserve">Send written comments on </w:t>
      </w:r>
      <w:r w:rsidR="00016EDB">
        <w:rPr>
          <w:iCs/>
          <w:szCs w:val="26"/>
        </w:rPr>
        <w:t>FERC-</w:t>
      </w:r>
      <w:r w:rsidR="00812DF3">
        <w:rPr>
          <w:iCs/>
          <w:szCs w:val="26"/>
        </w:rPr>
        <w:t>555</w:t>
      </w:r>
      <w:r w:rsidRPr="00096CAD">
        <w:rPr>
          <w:iCs/>
          <w:szCs w:val="26"/>
        </w:rPr>
        <w:t xml:space="preserve"> to OMB through </w:t>
      </w:r>
      <w:hyperlink r:id="rId10" w:history="1">
        <w:r w:rsidRPr="00096CAD">
          <w:rPr>
            <w:rStyle w:val="Hyperlink"/>
            <w:szCs w:val="26"/>
          </w:rPr>
          <w:t>www.reginfo.gov/public/do/PRAMain</w:t>
        </w:r>
      </w:hyperlink>
      <w:r w:rsidRPr="00096CAD">
        <w:rPr>
          <w:szCs w:val="26"/>
        </w:rPr>
        <w:t>,</w:t>
      </w:r>
      <w:r w:rsidRPr="00096CAD">
        <w:rPr>
          <w:iCs/>
          <w:szCs w:val="26"/>
        </w:rPr>
        <w:t xml:space="preserve"> Attention:  Federal Energy Regulatory Commission Desk Officer.  Please identify the OMB control number (</w:t>
      </w:r>
      <w:r w:rsidRPr="005A7903" w:rsidR="005A7903">
        <w:rPr>
          <w:iCs/>
          <w:szCs w:val="26"/>
        </w:rPr>
        <w:t>1902-</w:t>
      </w:r>
      <w:r w:rsidR="00812DF3">
        <w:rPr>
          <w:iCs/>
          <w:szCs w:val="26"/>
        </w:rPr>
        <w:t>0098</w:t>
      </w:r>
      <w:r w:rsidRPr="00096CAD">
        <w:rPr>
          <w:iCs/>
          <w:szCs w:val="26"/>
        </w:rPr>
        <w:t>) in the subject line</w:t>
      </w:r>
      <w:r>
        <w:rPr>
          <w:iCs/>
          <w:szCs w:val="26"/>
        </w:rPr>
        <w:t>.  Y</w:t>
      </w:r>
      <w:r w:rsidRPr="00096CAD">
        <w:rPr>
          <w:iCs/>
          <w:szCs w:val="26"/>
        </w:rPr>
        <w:t xml:space="preserve">our comments </w:t>
      </w:r>
      <w:r w:rsidRPr="00096CAD">
        <w:rPr>
          <w:szCs w:val="26"/>
        </w:rPr>
        <w:t xml:space="preserve">should be sent within 30 days of publication of this notice </w:t>
      </w:r>
      <w:r>
        <w:rPr>
          <w:szCs w:val="26"/>
        </w:rPr>
        <w:t>in the Federal Register.</w:t>
      </w:r>
    </w:p>
    <w:p w:rsidR="00D65D56" w:rsidP="00D65D56" w14:paraId="6073EEC6" w14:textId="68630968">
      <w:pPr>
        <w:spacing w:line="480" w:lineRule="auto"/>
      </w:pPr>
      <w:r>
        <w:t xml:space="preserve">Please submit copies of your comments </w:t>
      </w:r>
      <w:r>
        <w:t xml:space="preserve">(identified by Docket No. </w:t>
      </w:r>
      <w:r w:rsidR="00BE3392">
        <w:t>IC</w:t>
      </w:r>
      <w:r w:rsidR="00454780">
        <w:t>22-21</w:t>
      </w:r>
      <w:r>
        <w:t xml:space="preserve">-000) </w:t>
      </w:r>
      <w:r>
        <w:t>to the Commission as noted below</w:t>
      </w:r>
      <w:r>
        <w:t xml:space="preserve">.  Electronic filing through </w:t>
      </w:r>
      <w:hyperlink r:id="rId11" w:history="1">
        <w:r w:rsidRPr="00DD6298" w:rsidR="00BB679A">
          <w:rPr>
            <w:rStyle w:val="Hyperlink"/>
          </w:rPr>
          <w:t>https://www.ferc.gov</w:t>
        </w:r>
      </w:hyperlink>
      <w:r w:rsidR="00913234">
        <w:t xml:space="preserve"> </w:t>
      </w:r>
      <w:r>
        <w:t>is preferred.</w:t>
      </w:r>
    </w:p>
    <w:p w:rsidR="00D65D56" w:rsidP="0027045E" w14:paraId="5A9C0A3B" w14:textId="5B836784">
      <w:pPr>
        <w:pStyle w:val="ListParagraph"/>
        <w:numPr>
          <w:ilvl w:val="0"/>
          <w:numId w:val="6"/>
        </w:numPr>
        <w:spacing w:line="480" w:lineRule="auto"/>
      </w:pPr>
      <w:r>
        <w:t xml:space="preserve">Electronic Filing: Documents must be filed in acceptable native applications and print-to-PDF, but not in scanned or picture format. </w:t>
      </w:r>
    </w:p>
    <w:p w:rsidR="00D65D56" w:rsidP="0027045E" w14:paraId="2F414D48" w14:textId="221667DA">
      <w:pPr>
        <w:pStyle w:val="ListParagraph"/>
        <w:numPr>
          <w:ilvl w:val="0"/>
          <w:numId w:val="6"/>
        </w:numPr>
        <w:spacing w:line="480" w:lineRule="auto"/>
      </w:pPr>
      <w:r>
        <w:t>For those unable to file electronically, comments may be filed by USPS mail or by hand (including courier) delivery.</w:t>
      </w:r>
    </w:p>
    <w:p w:rsidR="00D65D56" w:rsidP="00BE3392" w14:paraId="773E8072" w14:textId="2034CC54">
      <w:pPr>
        <w:pStyle w:val="ListParagraph"/>
        <w:numPr>
          <w:ilvl w:val="1"/>
          <w:numId w:val="6"/>
        </w:numPr>
        <w:spacing w:line="480" w:lineRule="auto"/>
      </w:pPr>
      <w:r>
        <w:t>Mail via U.S. Postal Service Only: Addressed to: Federal Energy Regulatory Commission, Secretary of the Commission, 888 First Street, N.E., Washington, DC 20426.</w:t>
      </w:r>
    </w:p>
    <w:p w:rsidR="00D50830" w:rsidP="00BE3392" w14:paraId="40619756" w14:textId="759020BE">
      <w:pPr>
        <w:pStyle w:val="ListParagraph"/>
        <w:numPr>
          <w:ilvl w:val="1"/>
          <w:numId w:val="6"/>
        </w:numPr>
        <w:spacing w:line="480" w:lineRule="auto"/>
      </w:pPr>
      <w:r>
        <w:t xml:space="preserve">Hand (including courier) delivery: Deliver to: Federal Energy Regulatory Commission, 12225 Wilkins Avenue, Rockville, MD 20852. </w:t>
      </w:r>
    </w:p>
    <w:p w:rsidR="00310EFC" w:rsidRPr="00CB7448" w:rsidP="007C1916" w14:paraId="1D7D8F0D" w14:textId="77777777">
      <w:pPr>
        <w:spacing w:line="480" w:lineRule="auto"/>
        <w:rPr>
          <w:i/>
          <w:szCs w:val="26"/>
        </w:rPr>
      </w:pPr>
      <w:r w:rsidRPr="00CB7448">
        <w:rPr>
          <w:i/>
          <w:szCs w:val="26"/>
        </w:rPr>
        <w:t xml:space="preserve">Instructions: </w:t>
      </w:r>
    </w:p>
    <w:p w:rsidR="008E5123" w:rsidRPr="00CB7448" w:rsidP="008E5123" w14:paraId="2BAFDB88" w14:textId="77777777">
      <w:pPr>
        <w:spacing w:line="480" w:lineRule="auto"/>
        <w:rPr>
          <w:szCs w:val="26"/>
        </w:rPr>
      </w:pPr>
      <w:r w:rsidRPr="00CB7448">
        <w:rPr>
          <w:i/>
          <w:szCs w:val="26"/>
        </w:rPr>
        <w:t>OMB submissions</w:t>
      </w:r>
      <w:r w:rsidRPr="00096CAD">
        <w:rPr>
          <w:iCs/>
          <w:szCs w:val="26"/>
        </w:rPr>
        <w:t xml:space="preserve"> </w:t>
      </w:r>
      <w:r w:rsidRPr="00CB7448">
        <w:rPr>
          <w:szCs w:val="26"/>
        </w:rPr>
        <w:t>must be formatted and filed in accordance with submission guidelines at</w:t>
      </w:r>
      <w:r w:rsidRPr="00CB7448">
        <w:rPr>
          <w:i/>
          <w:szCs w:val="26"/>
        </w:rPr>
        <w:t xml:space="preserve"> </w:t>
      </w:r>
      <w:hyperlink r:id="rId10" w:history="1">
        <w:r w:rsidRPr="00096CAD">
          <w:rPr>
            <w:rStyle w:val="Hyperlink"/>
            <w:szCs w:val="26"/>
          </w:rPr>
          <w:t>www.reginfo.gov/public/do/PRAMain</w:t>
        </w:r>
      </w:hyperlink>
      <w:r w:rsidRPr="00096CAD">
        <w:rPr>
          <w:szCs w:val="26"/>
        </w:rPr>
        <w:t>;  Using the search function under the “Currently Under Review field</w:t>
      </w:r>
      <w:r>
        <w:rPr>
          <w:szCs w:val="26"/>
        </w:rPr>
        <w:t>,</w:t>
      </w:r>
      <w:r w:rsidRPr="00096CAD">
        <w:rPr>
          <w:szCs w:val="26"/>
        </w:rPr>
        <w:t>” select Federal Energy Regulatory Commission; click “submit” and select “comment” to the right of the subject collection.</w:t>
      </w:r>
      <w:r w:rsidRPr="00CB7448">
        <w:rPr>
          <w:szCs w:val="26"/>
        </w:rPr>
        <w:t xml:space="preserve"> </w:t>
      </w:r>
    </w:p>
    <w:p w:rsidR="00D50830" w:rsidRPr="00CB7447" w:rsidP="00D50830" w14:paraId="7554CFE1" w14:textId="04403D0E">
      <w:pPr>
        <w:spacing w:line="480" w:lineRule="auto"/>
        <w:rPr>
          <w:sz w:val="24"/>
        </w:rPr>
      </w:pPr>
      <w:r w:rsidRPr="0027045E">
        <w:t>FERC submissions must</w:t>
      </w:r>
      <w:r>
        <w:t xml:space="preserve"> be formatted and filed in accordance with submission guidelines at:</w:t>
      </w:r>
      <w:r w:rsidR="00D12811">
        <w:t xml:space="preserve"> </w:t>
      </w:r>
      <w:hyperlink r:id="rId11" w:history="1">
        <w:r w:rsidRPr="00DD6298" w:rsidR="00BB679A">
          <w:rPr>
            <w:rStyle w:val="Hyperlink"/>
          </w:rPr>
          <w:t>https://www.ferc.gov</w:t>
        </w:r>
      </w:hyperlink>
      <w:r w:rsidRPr="00BB679A" w:rsidR="00BB679A">
        <w:t>.</w:t>
      </w:r>
      <w:r w:rsidR="00C44372">
        <w:t xml:space="preserve"> </w:t>
      </w:r>
      <w:r w:rsidR="00431B43">
        <w:t xml:space="preserve"> </w:t>
      </w:r>
      <w:r>
        <w:t>For user assistance, contact FERC Online Support by e-mail at ferconlinesupport@ferc.gov, or by phone at: (866) 208-3676 (toll-free).</w:t>
      </w:r>
    </w:p>
    <w:p w:rsidR="00C44372" w:rsidP="00A2604E" w14:paraId="0A8B7F1C" w14:textId="586D5E51">
      <w:pPr>
        <w:spacing w:line="480" w:lineRule="auto"/>
      </w:pPr>
      <w:r>
        <w:rPr>
          <w:i/>
        </w:rPr>
        <w:t>Docket:</w:t>
      </w:r>
      <w:r>
        <w:t xml:space="preserve"> Users interested in receiving automatic notification of activity in this docket or in viewing/downloading comments and issuances in this docket may do so at</w:t>
      </w:r>
      <w:r w:rsidR="00431B43">
        <w:t>:</w:t>
      </w:r>
      <w:r>
        <w:t xml:space="preserve"> </w:t>
      </w:r>
      <w:bookmarkEnd w:id="0"/>
      <w:hyperlink r:id="rId11" w:history="1">
        <w:r w:rsidRPr="00BB679A" w:rsidR="00BB679A">
          <w:rPr>
            <w:rStyle w:val="Hyperlink"/>
          </w:rPr>
          <w:t>https://www.ferc.gov</w:t>
        </w:r>
      </w:hyperlink>
      <w:r w:rsidRPr="00BB679A" w:rsidR="00BB679A">
        <w:t>.</w:t>
      </w:r>
      <w:r>
        <w:t xml:space="preserve"> </w:t>
      </w:r>
    </w:p>
    <w:p w:rsidR="00A2604E" w:rsidP="00A2604E" w14:paraId="5D1F4BEC" w14:textId="684004F9">
      <w:pPr>
        <w:spacing w:line="480" w:lineRule="auto"/>
      </w:pPr>
      <w:r w:rsidRPr="00656DF0">
        <w:rPr>
          <w:b/>
        </w:rPr>
        <w:t>FOR FURTHER INFORMATION:</w:t>
      </w:r>
      <w:r>
        <w:t xml:space="preserve">  </w:t>
      </w:r>
      <w:r w:rsidRPr="007731D6">
        <w:t>Ellen Brown</w:t>
      </w:r>
      <w:r>
        <w:t xml:space="preserve"> may be reached by e-mail at </w:t>
      </w:r>
      <w:hyperlink r:id="rId12" w:history="1">
        <w:r w:rsidRPr="00006D4B">
          <w:rPr>
            <w:rStyle w:val="Hyperlink"/>
          </w:rPr>
          <w:t>DataClearance@FERC.gov</w:t>
        </w:r>
      </w:hyperlink>
      <w:r w:rsidR="00034C49">
        <w:t xml:space="preserve"> and</w:t>
      </w:r>
      <w:r>
        <w:t xml:space="preserve"> telephone at (202) 502-8663</w:t>
      </w:r>
      <w:r w:rsidR="00754526">
        <w:t>.</w:t>
      </w:r>
    </w:p>
    <w:p w:rsidR="00DF3EE4" w:rsidRPr="00DF3EE4" w:rsidP="00DF3EE4" w14:paraId="68D3265F" w14:textId="77777777">
      <w:pPr>
        <w:spacing w:line="480" w:lineRule="auto"/>
        <w:rPr>
          <w:b/>
        </w:rPr>
      </w:pPr>
      <w:r w:rsidRPr="00DF3EE4">
        <w:rPr>
          <w:b/>
        </w:rPr>
        <w:t xml:space="preserve">SUPPLEMENTARY INFORMATION:  </w:t>
      </w:r>
    </w:p>
    <w:p w:rsidR="00DF3EE4" w:rsidRPr="00DF3EE4" w:rsidP="00DF3EE4" w14:paraId="0773EF25" w14:textId="49DFFCA7">
      <w:pPr>
        <w:spacing w:line="480" w:lineRule="auto"/>
        <w:rPr>
          <w:b/>
        </w:rPr>
      </w:pPr>
      <w:r w:rsidRPr="00DF3EE4">
        <w:rPr>
          <w:b/>
          <w:bCs/>
          <w:i/>
          <w:iCs/>
        </w:rPr>
        <w:t>Type of Request</w:t>
      </w:r>
      <w:r w:rsidRPr="00DF3EE4">
        <w:t>:</w:t>
      </w:r>
      <w:r w:rsidRPr="00DF3EE4">
        <w:rPr>
          <w:i/>
          <w:iCs/>
        </w:rPr>
        <w:t xml:space="preserve"> </w:t>
      </w:r>
      <w:r w:rsidRPr="00DF3EE4">
        <w:t>Three-year extension of the information collection requirements with no changes to the current reporting requirements</w:t>
      </w:r>
      <w:r w:rsidR="00B97EBA">
        <w:t>.</w:t>
      </w:r>
    </w:p>
    <w:p w:rsidR="00DF3EE4" w:rsidRPr="00DF3EE4" w:rsidP="00DF3EE4" w14:paraId="05AA0FC0" w14:textId="7BD8DE95">
      <w:pPr>
        <w:spacing w:line="480" w:lineRule="auto"/>
        <w:rPr>
          <w:b/>
          <w:i/>
          <w:iCs/>
        </w:rPr>
      </w:pPr>
      <w:r w:rsidRPr="00DF3EE4">
        <w:rPr>
          <w:b/>
          <w:i/>
          <w:iCs/>
        </w:rPr>
        <w:t>Title</w:t>
      </w:r>
      <w:r w:rsidRPr="00DF3EE4">
        <w:rPr>
          <w:bCs/>
        </w:rPr>
        <w:t>: Preservation of Records for Public Utilities and Licensees, Natural Gas and Oil Pipeline Companies</w:t>
      </w:r>
      <w:r w:rsidR="00B97EBA">
        <w:rPr>
          <w:bCs/>
        </w:rPr>
        <w:t>.</w:t>
      </w:r>
    </w:p>
    <w:p w:rsidR="00DF3EE4" w:rsidRPr="00DF3EE4" w:rsidP="00DF3EE4" w14:paraId="682AD9CB" w14:textId="1728307D">
      <w:pPr>
        <w:spacing w:line="480" w:lineRule="auto"/>
        <w:rPr>
          <w:b/>
          <w:i/>
          <w:iCs/>
        </w:rPr>
      </w:pPr>
      <w:r w:rsidRPr="00DF3EE4">
        <w:rPr>
          <w:b/>
          <w:i/>
          <w:iCs/>
        </w:rPr>
        <w:t>OMB Control No</w:t>
      </w:r>
      <w:r w:rsidRPr="00DF3EE4">
        <w:rPr>
          <w:bCs/>
        </w:rPr>
        <w:t>.: 1902-0098</w:t>
      </w:r>
      <w:r w:rsidR="00B97EBA">
        <w:rPr>
          <w:bCs/>
        </w:rPr>
        <w:t>.</w:t>
      </w:r>
    </w:p>
    <w:p w:rsidR="00DF3EE4" w:rsidRPr="00DF3EE4" w:rsidP="00DF3EE4" w14:paraId="4EF21E8E" w14:textId="77777777">
      <w:pPr>
        <w:spacing w:line="480" w:lineRule="auto"/>
        <w:rPr>
          <w:bCs/>
          <w:i/>
          <w:iCs/>
        </w:rPr>
      </w:pPr>
      <w:r w:rsidRPr="00DF3EE4">
        <w:rPr>
          <w:b/>
          <w:i/>
          <w:iCs/>
        </w:rPr>
        <w:t>Abstract</w:t>
      </w:r>
      <w:r w:rsidRPr="00DF3EE4">
        <w:rPr>
          <w:bCs/>
        </w:rPr>
        <w:t>: The Commission collects the information to carry out its responsibilities described in sections 301, 304 and 309 of the Federal Power Act (FPA),</w:t>
      </w:r>
      <w:r>
        <w:rPr>
          <w:bCs/>
          <w:vertAlign w:val="superscript"/>
        </w:rPr>
        <w:footnoteReference w:id="3"/>
      </w:r>
      <w:r w:rsidRPr="00DF3EE4">
        <w:rPr>
          <w:bCs/>
        </w:rPr>
        <w:t xml:space="preserve"> sections 8, 10 and 16 of the Natural Gas Act (NGA),</w:t>
      </w:r>
      <w:r>
        <w:rPr>
          <w:bCs/>
          <w:vertAlign w:val="superscript"/>
        </w:rPr>
        <w:footnoteReference w:id="4"/>
      </w:r>
      <w:r w:rsidRPr="00DF3EE4">
        <w:rPr>
          <w:bCs/>
        </w:rPr>
        <w:t xml:space="preserve"> and in the Interstate Commerce Act (ICA).</w:t>
      </w:r>
      <w:r>
        <w:rPr>
          <w:bCs/>
          <w:vertAlign w:val="superscript"/>
        </w:rPr>
        <w:footnoteReference w:id="5"/>
      </w:r>
    </w:p>
    <w:p w:rsidR="00DF3EE4" w:rsidRPr="00DF3EE4" w:rsidP="00DF3EE4" w14:paraId="398B174F" w14:textId="77777777">
      <w:pPr>
        <w:spacing w:line="480" w:lineRule="auto"/>
        <w:rPr>
          <w:bCs/>
        </w:rPr>
      </w:pPr>
      <w:r w:rsidRPr="00DF3EE4">
        <w:rPr>
          <w:bCs/>
        </w:rPr>
        <w:t>The regulations for preservation of records at 18 CFR Parts 125, 225, and 356 establish retention periods and other requirements for applicable records.  These requirements apply to the public utilities, licensees, natural gas companies, and oil pipeline companies that are subject to the Commission’s jurisdiction.  Regulated entities use these records as the basis for required rate filings and reports to the Commission.  The Commission’s audit staff will use the records during compliance reviews, and the Commission’s enforcement staff will use the information during investigations.  In addition, the Commission’s staff may use the records for special analyses on subjects such as jurisdictional entities’ responses to extreme weather events.</w:t>
      </w:r>
    </w:p>
    <w:p w:rsidR="00DF3EE4" w:rsidRPr="00DF3EE4" w:rsidP="00DF3EE4" w14:paraId="280A16DB" w14:textId="77777777">
      <w:pPr>
        <w:spacing w:line="480" w:lineRule="auto"/>
        <w:rPr>
          <w:bCs/>
        </w:rPr>
      </w:pPr>
      <w:r w:rsidRPr="00DF3EE4">
        <w:rPr>
          <w:bCs/>
        </w:rPr>
        <w:t>On January 8, 1999 the Commission issued AI99-2-000, an Accounting Issuance providing guidance on records storage media.</w:t>
      </w:r>
      <w:r>
        <w:rPr>
          <w:bCs/>
          <w:vertAlign w:val="superscript"/>
        </w:rPr>
        <w:footnoteReference w:id="6"/>
      </w:r>
      <w:r w:rsidRPr="00DF3EE4">
        <w:rPr>
          <w:bCs/>
        </w:rPr>
        <w:t xml:space="preserve">  More specifically, the Commission gave each jurisdictional company the flexibility to select its own storage media.  The storage media selected must have a life expectancy equal to the applicable record period unless the quality of the data transferred from one media to another with no loss of data would exceed the record period.</w:t>
      </w:r>
    </w:p>
    <w:p w:rsidR="00DF3EE4" w:rsidRPr="00DF3EE4" w:rsidP="00DF3EE4" w14:paraId="261B8B47" w14:textId="77777777">
      <w:pPr>
        <w:spacing w:line="480" w:lineRule="auto"/>
        <w:rPr>
          <w:bCs/>
          <w:i/>
          <w:iCs/>
        </w:rPr>
      </w:pPr>
      <w:r w:rsidRPr="00DF3EE4">
        <w:rPr>
          <w:b/>
          <w:i/>
          <w:iCs/>
        </w:rPr>
        <w:t>Types of Respondents</w:t>
      </w:r>
      <w:r w:rsidRPr="00DF3EE4">
        <w:rPr>
          <w:bCs/>
        </w:rPr>
        <w:t>: Electric utilities, licensees, natural gas companies, and oil pipeline companies</w:t>
      </w:r>
    </w:p>
    <w:p w:rsidR="00DF3EE4" w:rsidRPr="00DF3EE4" w:rsidP="00DF3EE4" w14:paraId="09BAF3B8" w14:textId="4FDE42C2">
      <w:pPr>
        <w:spacing w:line="480" w:lineRule="auto"/>
        <w:rPr>
          <w:b/>
          <w:i/>
          <w:iCs/>
        </w:rPr>
      </w:pPr>
      <w:r w:rsidRPr="00DF3EE4">
        <w:rPr>
          <w:b/>
          <w:i/>
          <w:iCs/>
        </w:rPr>
        <w:t>Estimate of Annual Burden</w:t>
      </w:r>
      <w:r w:rsidRPr="00DF3EE4">
        <w:rPr>
          <w:bCs/>
        </w:rPr>
        <w:t xml:space="preserve">: The Commission estimates the annual public reporting </w:t>
      </w:r>
      <w:r w:rsidR="00970D57">
        <w:rPr>
          <w:bCs/>
        </w:rPr>
        <w:t xml:space="preserve">hour </w:t>
      </w:r>
      <w:r w:rsidRPr="00DF3EE4">
        <w:rPr>
          <w:bCs/>
        </w:rPr>
        <w:t>burden for the information collection as:</w:t>
      </w:r>
    </w:p>
    <w:tbl>
      <w:tblPr>
        <w:tblW w:w="5426"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95"/>
        <w:gridCol w:w="1902"/>
        <w:gridCol w:w="2159"/>
        <w:gridCol w:w="2251"/>
        <w:gridCol w:w="2340"/>
      </w:tblGrid>
      <w:tr w14:paraId="6A4B4914" w14:textId="77777777" w:rsidTr="002B6538">
        <w:tblPrEx>
          <w:tblW w:w="5426"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Pr>
        <w:tc>
          <w:tcPr>
            <w:tcW w:w="5000" w:type="pct"/>
            <w:gridSpan w:val="5"/>
            <w:tcBorders>
              <w:bottom w:val="single" w:sz="4" w:space="0" w:color="auto"/>
            </w:tcBorders>
            <w:shd w:val="clear" w:color="auto" w:fill="D9D9D9"/>
          </w:tcPr>
          <w:p w:rsidR="00DF3EE4" w:rsidRPr="00DF3EE4" w:rsidP="005B5863" w14:paraId="642493E9" w14:textId="3447AF9D">
            <w:pPr>
              <w:jc w:val="center"/>
              <w:rPr>
                <w:b/>
                <w:sz w:val="22"/>
              </w:rPr>
            </w:pPr>
            <w:r w:rsidRPr="00DF3EE4">
              <w:rPr>
                <w:b/>
                <w:sz w:val="22"/>
              </w:rPr>
              <w:t xml:space="preserve">FERC-555: Preservation of Records for Public Utilities and Licensees, Natural Gas </w:t>
            </w:r>
            <w:r w:rsidR="006E214B">
              <w:rPr>
                <w:b/>
                <w:sz w:val="22"/>
              </w:rPr>
              <w:t xml:space="preserve">Pipeline </w:t>
            </w:r>
            <w:r w:rsidRPr="00DF3EE4">
              <w:rPr>
                <w:b/>
                <w:sz w:val="22"/>
              </w:rPr>
              <w:t>Companies, and Oil Pipeline Companies</w:t>
            </w:r>
          </w:p>
        </w:tc>
      </w:tr>
      <w:tr w14:paraId="221F8FE2" w14:textId="77777777" w:rsidTr="005B5863">
        <w:tblPrEx>
          <w:tblW w:w="5426" w:type="pct"/>
          <w:tblInd w:w="-72" w:type="dxa"/>
          <w:tblLayout w:type="fixed"/>
          <w:tblLook w:val="01E0"/>
        </w:tblPrEx>
        <w:trPr>
          <w:cantSplit/>
        </w:trPr>
        <w:tc>
          <w:tcPr>
            <w:tcW w:w="737" w:type="pct"/>
            <w:shd w:val="clear" w:color="auto" w:fill="D9D9D9"/>
            <w:vAlign w:val="bottom"/>
          </w:tcPr>
          <w:p w:rsidR="00DF3EE4" w:rsidRPr="00DF3EE4" w:rsidP="005B5863" w14:paraId="653F72A2" w14:textId="77777777">
            <w:pPr>
              <w:jc w:val="center"/>
              <w:rPr>
                <w:b/>
                <w:sz w:val="22"/>
              </w:rPr>
            </w:pPr>
            <w:r w:rsidRPr="00DF3EE4">
              <w:rPr>
                <w:b/>
                <w:sz w:val="22"/>
              </w:rPr>
              <w:t>Number of Respondents</w:t>
            </w:r>
            <w:r w:rsidRPr="00DF3EE4">
              <w:rPr>
                <w:b/>
                <w:sz w:val="22"/>
              </w:rPr>
              <w:br/>
              <w:t>(1)</w:t>
            </w:r>
          </w:p>
        </w:tc>
        <w:tc>
          <w:tcPr>
            <w:tcW w:w="937" w:type="pct"/>
            <w:shd w:val="clear" w:color="auto" w:fill="D9D9D9"/>
            <w:vAlign w:val="bottom"/>
          </w:tcPr>
          <w:p w:rsidR="00DF3EE4" w:rsidRPr="00DF3EE4" w:rsidP="005B5863" w14:paraId="4E1DA00B" w14:textId="77777777">
            <w:pPr>
              <w:jc w:val="center"/>
              <w:rPr>
                <w:b/>
                <w:sz w:val="22"/>
              </w:rPr>
            </w:pPr>
            <w:r w:rsidRPr="00DF3EE4">
              <w:rPr>
                <w:b/>
                <w:sz w:val="22"/>
              </w:rPr>
              <w:t>Annual Number of Responses per Respondent</w:t>
            </w:r>
          </w:p>
          <w:p w:rsidR="00DF3EE4" w:rsidRPr="00DF3EE4" w:rsidP="005B5863" w14:paraId="6191B51D" w14:textId="77777777">
            <w:pPr>
              <w:jc w:val="center"/>
              <w:rPr>
                <w:b/>
                <w:sz w:val="22"/>
              </w:rPr>
            </w:pPr>
            <w:r w:rsidRPr="00DF3EE4">
              <w:rPr>
                <w:b/>
                <w:sz w:val="22"/>
              </w:rPr>
              <w:t>(2)</w:t>
            </w:r>
          </w:p>
        </w:tc>
        <w:tc>
          <w:tcPr>
            <w:tcW w:w="1064" w:type="pct"/>
            <w:shd w:val="clear" w:color="auto" w:fill="D9D9D9"/>
            <w:vAlign w:val="bottom"/>
          </w:tcPr>
          <w:p w:rsidR="00DF3EE4" w:rsidRPr="00DF3EE4" w:rsidP="005B5863" w14:paraId="2DDE01B0" w14:textId="77777777">
            <w:pPr>
              <w:jc w:val="center"/>
              <w:rPr>
                <w:b/>
                <w:sz w:val="22"/>
              </w:rPr>
            </w:pPr>
            <w:r w:rsidRPr="00DF3EE4">
              <w:rPr>
                <w:b/>
                <w:sz w:val="22"/>
              </w:rPr>
              <w:t>Total Number of Responses (1)*(2)=(3)</w:t>
            </w:r>
          </w:p>
        </w:tc>
        <w:tc>
          <w:tcPr>
            <w:tcW w:w="1109" w:type="pct"/>
            <w:shd w:val="clear" w:color="auto" w:fill="D9D9D9"/>
            <w:vAlign w:val="bottom"/>
          </w:tcPr>
          <w:p w:rsidR="00DF3EE4" w:rsidRPr="00DF3EE4" w:rsidP="005B5863" w14:paraId="38F382D9" w14:textId="77777777">
            <w:pPr>
              <w:jc w:val="center"/>
              <w:rPr>
                <w:b/>
                <w:sz w:val="22"/>
              </w:rPr>
            </w:pPr>
            <w:r w:rsidRPr="00DF3EE4">
              <w:rPr>
                <w:b/>
                <w:sz w:val="22"/>
              </w:rPr>
              <w:t>Average Burden Hrs. &amp; Cost Per Response</w:t>
            </w:r>
            <w:r>
              <w:rPr>
                <w:bCs/>
                <w:sz w:val="22"/>
                <w:vertAlign w:val="superscript"/>
              </w:rPr>
              <w:footnoteReference w:id="7"/>
            </w:r>
          </w:p>
          <w:p w:rsidR="00DF3EE4" w:rsidRPr="00DF3EE4" w:rsidP="005B5863" w14:paraId="70EF845D" w14:textId="77777777">
            <w:pPr>
              <w:jc w:val="center"/>
              <w:rPr>
                <w:b/>
                <w:sz w:val="22"/>
              </w:rPr>
            </w:pPr>
            <w:r w:rsidRPr="00DF3EE4">
              <w:rPr>
                <w:b/>
                <w:sz w:val="22"/>
              </w:rPr>
              <w:t>(4)</w:t>
            </w:r>
          </w:p>
        </w:tc>
        <w:tc>
          <w:tcPr>
            <w:tcW w:w="1153" w:type="pct"/>
            <w:shd w:val="clear" w:color="auto" w:fill="D9D9D9"/>
            <w:vAlign w:val="bottom"/>
          </w:tcPr>
          <w:p w:rsidR="00DF3EE4" w:rsidRPr="00DF3EE4" w:rsidP="005B5863" w14:paraId="2FB5D334" w14:textId="77777777">
            <w:pPr>
              <w:jc w:val="center"/>
              <w:rPr>
                <w:b/>
                <w:sz w:val="22"/>
              </w:rPr>
            </w:pPr>
            <w:r w:rsidRPr="00DF3EE4">
              <w:rPr>
                <w:b/>
                <w:sz w:val="22"/>
              </w:rPr>
              <w:t>Total Annual Burden Hours &amp; Total Annual Cost</w:t>
            </w:r>
          </w:p>
          <w:p w:rsidR="00DF3EE4" w:rsidRPr="00DF3EE4" w:rsidP="005B5863" w14:paraId="6D744FA0" w14:textId="77777777">
            <w:pPr>
              <w:jc w:val="center"/>
              <w:rPr>
                <w:b/>
                <w:sz w:val="22"/>
              </w:rPr>
            </w:pPr>
            <w:r w:rsidRPr="00DF3EE4">
              <w:rPr>
                <w:b/>
                <w:sz w:val="22"/>
              </w:rPr>
              <w:t>(3)*(4)=(5)</w:t>
            </w:r>
          </w:p>
        </w:tc>
      </w:tr>
      <w:tr w14:paraId="3BEC398D" w14:textId="77777777" w:rsidTr="005B5863">
        <w:tblPrEx>
          <w:tblW w:w="5426" w:type="pct"/>
          <w:tblInd w:w="-72" w:type="dxa"/>
          <w:tblLayout w:type="fixed"/>
          <w:tblLook w:val="01E0"/>
        </w:tblPrEx>
        <w:trPr>
          <w:cantSplit/>
        </w:trPr>
        <w:tc>
          <w:tcPr>
            <w:tcW w:w="737" w:type="pct"/>
            <w:vAlign w:val="bottom"/>
          </w:tcPr>
          <w:p w:rsidR="00DF3EE4" w:rsidRPr="00DF3EE4" w:rsidP="005B5863" w14:paraId="2FDF942A" w14:textId="77777777">
            <w:pPr>
              <w:jc w:val="right"/>
              <w:rPr>
                <w:bCs/>
                <w:sz w:val="22"/>
              </w:rPr>
            </w:pPr>
            <w:r w:rsidRPr="00DF3EE4">
              <w:rPr>
                <w:bCs/>
                <w:sz w:val="22"/>
              </w:rPr>
              <w:t>509</w:t>
            </w:r>
          </w:p>
        </w:tc>
        <w:tc>
          <w:tcPr>
            <w:tcW w:w="937" w:type="pct"/>
            <w:vAlign w:val="bottom"/>
          </w:tcPr>
          <w:p w:rsidR="00DF3EE4" w:rsidRPr="00DF3EE4" w:rsidP="005B5863" w14:paraId="2F43D88A" w14:textId="77777777">
            <w:pPr>
              <w:jc w:val="right"/>
              <w:rPr>
                <w:bCs/>
                <w:sz w:val="22"/>
              </w:rPr>
            </w:pPr>
            <w:r w:rsidRPr="00DF3EE4">
              <w:rPr>
                <w:bCs/>
                <w:sz w:val="22"/>
              </w:rPr>
              <w:t>1</w:t>
            </w:r>
          </w:p>
        </w:tc>
        <w:tc>
          <w:tcPr>
            <w:tcW w:w="1064" w:type="pct"/>
            <w:vAlign w:val="bottom"/>
          </w:tcPr>
          <w:p w:rsidR="00DF3EE4" w:rsidRPr="00DF3EE4" w:rsidP="005B5863" w14:paraId="58D6F255" w14:textId="77777777">
            <w:pPr>
              <w:jc w:val="right"/>
              <w:rPr>
                <w:bCs/>
                <w:sz w:val="22"/>
              </w:rPr>
            </w:pPr>
            <w:r w:rsidRPr="00DF3EE4">
              <w:rPr>
                <w:bCs/>
                <w:sz w:val="22"/>
              </w:rPr>
              <w:t>509</w:t>
            </w:r>
          </w:p>
        </w:tc>
        <w:tc>
          <w:tcPr>
            <w:tcW w:w="1109" w:type="pct"/>
            <w:vAlign w:val="bottom"/>
          </w:tcPr>
          <w:p w:rsidR="00DF3EE4" w:rsidRPr="00DF3EE4" w:rsidP="005B5863" w14:paraId="491B9CAA" w14:textId="77777777">
            <w:pPr>
              <w:jc w:val="right"/>
              <w:rPr>
                <w:bCs/>
                <w:sz w:val="22"/>
              </w:rPr>
            </w:pPr>
            <w:r w:rsidRPr="00DF3EE4">
              <w:rPr>
                <w:bCs/>
                <w:sz w:val="22"/>
              </w:rPr>
              <w:t>5,218 hrs.;</w:t>
            </w:r>
          </w:p>
          <w:p w:rsidR="00DF3EE4" w:rsidRPr="00DF3EE4" w:rsidP="005B5863" w14:paraId="43561447" w14:textId="77777777">
            <w:pPr>
              <w:jc w:val="right"/>
              <w:rPr>
                <w:bCs/>
                <w:sz w:val="22"/>
              </w:rPr>
            </w:pPr>
            <w:r w:rsidRPr="00DF3EE4">
              <w:rPr>
                <w:bCs/>
                <w:sz w:val="22"/>
              </w:rPr>
              <w:t>$453,966</w:t>
            </w:r>
          </w:p>
        </w:tc>
        <w:tc>
          <w:tcPr>
            <w:tcW w:w="1153" w:type="pct"/>
            <w:vAlign w:val="bottom"/>
          </w:tcPr>
          <w:p w:rsidR="00DF3EE4" w:rsidRPr="00DF3EE4" w:rsidP="005B5863" w14:paraId="5854BE8F" w14:textId="77777777">
            <w:pPr>
              <w:jc w:val="right"/>
              <w:rPr>
                <w:bCs/>
                <w:sz w:val="22"/>
              </w:rPr>
            </w:pPr>
            <w:r w:rsidRPr="00DF3EE4">
              <w:rPr>
                <w:bCs/>
                <w:sz w:val="22"/>
              </w:rPr>
              <w:t>2,655,962 hrs.;</w:t>
            </w:r>
          </w:p>
          <w:p w:rsidR="00DF3EE4" w:rsidRPr="00DF3EE4" w:rsidP="005B5863" w14:paraId="461F5AD3" w14:textId="77777777">
            <w:pPr>
              <w:jc w:val="right"/>
              <w:rPr>
                <w:bCs/>
                <w:sz w:val="22"/>
              </w:rPr>
            </w:pPr>
            <w:r w:rsidRPr="00DF3EE4">
              <w:rPr>
                <w:bCs/>
                <w:sz w:val="22"/>
              </w:rPr>
              <w:t>$231,068,694</w:t>
            </w:r>
          </w:p>
        </w:tc>
      </w:tr>
    </w:tbl>
    <w:p w:rsidR="00DF3EE4" w:rsidRPr="003B0C81" w:rsidP="00DF3EE4" w14:paraId="7068BB73" w14:textId="77777777">
      <w:pPr>
        <w:spacing w:line="480" w:lineRule="auto"/>
        <w:rPr>
          <w:bCs/>
        </w:rPr>
      </w:pPr>
    </w:p>
    <w:p w:rsidR="00970D57" w:rsidRPr="003B0C81" w:rsidP="00970D57" w14:paraId="5A7157D9" w14:textId="6BF0A716">
      <w:pPr>
        <w:spacing w:line="480" w:lineRule="auto"/>
        <w:rPr>
          <w:bCs/>
        </w:rPr>
      </w:pPr>
      <w:r w:rsidRPr="003B0C81">
        <w:rPr>
          <w:bCs/>
        </w:rPr>
        <w:t xml:space="preserve">FERC estimates that the annual total non-hour record storage cost is $78,243,220.  The average annual </w:t>
      </w:r>
      <w:r w:rsidRPr="003B0C81" w:rsidR="000D04A3">
        <w:rPr>
          <w:bCs/>
        </w:rPr>
        <w:t xml:space="preserve">rounded </w:t>
      </w:r>
      <w:r w:rsidRPr="003B0C81">
        <w:rPr>
          <w:bCs/>
        </w:rPr>
        <w:t>non-</w:t>
      </w:r>
      <w:r w:rsidRPr="003B0C81" w:rsidR="000D04A3">
        <w:rPr>
          <w:bCs/>
        </w:rPr>
        <w:t>hour</w:t>
      </w:r>
      <w:r w:rsidRPr="003B0C81">
        <w:rPr>
          <w:bCs/>
        </w:rPr>
        <w:t xml:space="preserve"> storage cost per company is $153,719 (or </w:t>
      </w:r>
      <w:r w:rsidRPr="003B0C81">
        <w:rPr>
          <w:bCs/>
        </w:rPr>
        <w:t xml:space="preserve">$78,243,220/509).  FERC </w:t>
      </w:r>
      <w:r w:rsidR="0010677E">
        <w:rPr>
          <w:bCs/>
        </w:rPr>
        <w:t xml:space="preserve">staff </w:t>
      </w:r>
      <w:r w:rsidRPr="003B0C81">
        <w:rPr>
          <w:bCs/>
        </w:rPr>
        <w:t>derived these estimates using cost information submitted by a few jurisdictional filers</w:t>
      </w:r>
      <w:r w:rsidRPr="003B0C81" w:rsidR="00561E0C">
        <w:rPr>
          <w:bCs/>
        </w:rPr>
        <w:t>.</w:t>
      </w:r>
    </w:p>
    <w:p w:rsidR="0084158A" w:rsidP="0084158A" w14:paraId="5CD9EA89" w14:textId="6A8DF319">
      <w:pPr>
        <w:spacing w:line="480" w:lineRule="auto"/>
      </w:pPr>
      <w:r>
        <w:t>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w:t>
      </w:r>
      <w:r w:rsidR="006D552E">
        <w:t xml:space="preserve"> </w:t>
      </w:r>
      <w:r>
        <w:t xml:space="preserve">of information, including the validity of the methodology and assumptions used; (3) ways to enhance the quality, utility and clarity of the information collection; and (4) ways to minimize the burden of the </w:t>
      </w:r>
    </w:p>
    <w:p w:rsidR="0084158A" w:rsidP="0084158A" w14:paraId="2F0771FF" w14:textId="05EF2273">
      <w:pPr>
        <w:spacing w:line="480" w:lineRule="auto"/>
      </w:pPr>
      <w:r>
        <w:t>collection of information on those who are to respond, including the use of automated collection techniques or other forms of information technology.</w:t>
      </w:r>
    </w:p>
    <w:p w:rsidR="005A7903" w:rsidP="005A7903" w14:paraId="18C61432" w14:textId="6495370D">
      <w:pPr>
        <w:rPr>
          <w:sz w:val="24"/>
        </w:rPr>
      </w:pPr>
    </w:p>
    <w:p w:rsidR="009D331A" w:rsidP="005A7903" w14:paraId="4B6DE66F" w14:textId="1DBBB4F4"/>
    <w:p w:rsidR="009D331A" w:rsidP="005A7903" w14:paraId="4519C749" w14:textId="0FC1488A"/>
    <w:p w:rsidR="009D331A" w:rsidP="005A7903" w14:paraId="05089AB2" w14:textId="6A6D8118"/>
    <w:p w:rsidR="009D331A" w:rsidRPr="009D331A" w:rsidP="009D331A" w14:paraId="05FE5BB3" w14:textId="4B3CA58F">
      <w:pPr>
        <w:ind w:firstLine="2606"/>
        <w:jc w:val="center"/>
      </w:pPr>
      <w:r w:rsidRPr="009D331A">
        <w:t>Debbie-Anne A. Reese,</w:t>
      </w:r>
    </w:p>
    <w:p w:rsidR="009D331A" w:rsidRPr="009D331A" w:rsidP="009D331A" w14:paraId="0EBC761B" w14:textId="70A82FCB">
      <w:pPr>
        <w:ind w:firstLine="2606"/>
        <w:jc w:val="center"/>
      </w:pPr>
      <w:r w:rsidRPr="009D331A">
        <w:t>Deputy Secretary.</w:t>
      </w:r>
    </w:p>
    <w:p w:rsidR="009D331A" w:rsidRPr="00466D3F" w:rsidP="005A7903" w14:paraId="5B521EE8" w14:textId="77777777"/>
    <w:p w:rsidR="005A7903" w:rsidRPr="00466D3F" w:rsidP="005A7903" w14:paraId="02017126" w14:textId="77777777">
      <w:pPr>
        <w:rPr>
          <w:sz w:val="24"/>
        </w:rPr>
      </w:pPr>
    </w:p>
    <w:p w:rsidR="005A7903" w:rsidRPr="00853ABC" w:rsidP="00C1124F" w14:paraId="03E58B77" w14:textId="77777777">
      <w:pPr>
        <w:tabs>
          <w:tab w:val="left" w:pos="7880"/>
        </w:tabs>
        <w:spacing w:line="480" w:lineRule="auto"/>
      </w:pPr>
    </w:p>
    <w:sectPr w:rsidSect="00BF2D74">
      <w:headerReference w:type="default" r:id="rId13"/>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F33E6F" w:rsidP="00B01B16" w14:paraId="72561AEC" w14:textId="77777777">
      <w:r>
        <w:separator/>
      </w:r>
    </w:p>
  </w:footnote>
  <w:footnote w:type="continuationSeparator" w:id="1">
    <w:p w:rsidR="00F33E6F" w:rsidP="00B01B16" w14:paraId="6493F06C" w14:textId="77777777">
      <w:r>
        <w:continuationSeparator/>
      </w:r>
    </w:p>
  </w:footnote>
  <w:footnote w:type="continuationNotice" w:id="2">
    <w:p w:rsidR="00F33E6F" w14:paraId="04B0DAEC" w14:textId="77777777"/>
  </w:footnote>
  <w:footnote w:id="3">
    <w:p w:rsidR="00DF3EE4" w:rsidRPr="00B329F5" w:rsidP="00DF3EE4" w14:paraId="07C178F9" w14:textId="77777777">
      <w:pPr>
        <w:pStyle w:val="FootnoteText"/>
        <w:rPr>
          <w:sz w:val="26"/>
        </w:rPr>
      </w:pPr>
      <w:r w:rsidRPr="00B97EBA">
        <w:rPr>
          <w:rStyle w:val="FootnoteReference"/>
          <w:b w:val="0"/>
        </w:rPr>
        <w:footnoteRef/>
      </w:r>
      <w:r w:rsidRPr="00B329F5">
        <w:rPr>
          <w:sz w:val="26"/>
        </w:rPr>
        <w:t xml:space="preserve"> 16 USC 825, 825c and 825h</w:t>
      </w:r>
    </w:p>
  </w:footnote>
  <w:footnote w:id="4">
    <w:p w:rsidR="00DF3EE4" w:rsidRPr="00A56950" w:rsidP="00DF3EE4" w14:paraId="244A8A8D" w14:textId="77777777">
      <w:pPr>
        <w:pStyle w:val="FootnoteText"/>
        <w:rPr>
          <w:sz w:val="26"/>
        </w:rPr>
      </w:pPr>
      <w:r w:rsidRPr="00B97EBA">
        <w:rPr>
          <w:rStyle w:val="FootnoteReference"/>
          <w:b w:val="0"/>
        </w:rPr>
        <w:footnoteRef/>
      </w:r>
      <w:r w:rsidRPr="00B329F5">
        <w:rPr>
          <w:b/>
          <w:sz w:val="26"/>
        </w:rPr>
        <w:t xml:space="preserve"> </w:t>
      </w:r>
      <w:r w:rsidRPr="00B329F5">
        <w:rPr>
          <w:sz w:val="26"/>
        </w:rPr>
        <w:t>15 U</w:t>
      </w:r>
      <w:r>
        <w:rPr>
          <w:sz w:val="26"/>
        </w:rPr>
        <w:t>.S.C. 717g, 717i, and 717</w:t>
      </w:r>
      <w:r>
        <w:rPr>
          <w:i/>
          <w:iCs/>
          <w:sz w:val="26"/>
        </w:rPr>
        <w:t>o</w:t>
      </w:r>
    </w:p>
  </w:footnote>
  <w:footnote w:id="5">
    <w:p w:rsidR="00DF3EE4" w:rsidRPr="00B329F5" w:rsidP="00DF3EE4" w14:paraId="5AB20F80" w14:textId="77777777">
      <w:pPr>
        <w:pStyle w:val="FootnoteText"/>
        <w:rPr>
          <w:sz w:val="26"/>
        </w:rPr>
      </w:pPr>
      <w:r w:rsidRPr="00B97EBA">
        <w:rPr>
          <w:rStyle w:val="FootnoteReference"/>
          <w:b w:val="0"/>
        </w:rPr>
        <w:footnoteRef/>
      </w:r>
      <w:r w:rsidRPr="00B329F5">
        <w:rPr>
          <w:sz w:val="26"/>
        </w:rPr>
        <w:t xml:space="preserve"> </w:t>
      </w:r>
      <w:r>
        <w:rPr>
          <w:sz w:val="26"/>
        </w:rPr>
        <w:t>49 U.S.C. 60502</w:t>
      </w:r>
    </w:p>
  </w:footnote>
  <w:footnote w:id="6">
    <w:p w:rsidR="00DF3EE4" w:rsidP="00DF3EE4" w14:paraId="1249503B" w14:textId="3C08E4EA">
      <w:pPr>
        <w:pStyle w:val="FootnoteText"/>
      </w:pPr>
      <w:r w:rsidRPr="00B97EBA">
        <w:rPr>
          <w:rStyle w:val="FootnoteReference"/>
          <w:b w:val="0"/>
        </w:rPr>
        <w:footnoteRef/>
      </w:r>
      <w:r w:rsidRPr="004C07D5">
        <w:rPr>
          <w:sz w:val="26"/>
        </w:rPr>
        <w:t xml:space="preserve"> The Accounting Issuance can be found in the FERC eLibrary by typing the docket number (i.e., AI99-2-000) in the eLibrary Search Form, </w:t>
      </w:r>
      <w:r>
        <w:rPr>
          <w:sz w:val="26"/>
        </w:rPr>
        <w:t>with</w:t>
      </w:r>
      <w:r w:rsidRPr="004C07D5">
        <w:rPr>
          <w:sz w:val="26"/>
        </w:rPr>
        <w:t>in the field labeled “Enter Docket Number.”</w:t>
      </w:r>
    </w:p>
  </w:footnote>
  <w:footnote w:id="7">
    <w:p w:rsidR="00DF3EE4" w:rsidRPr="00B329F5" w:rsidP="00DF3EE4" w14:paraId="21979837" w14:textId="64625E48">
      <w:pPr>
        <w:pStyle w:val="FootnoteText"/>
        <w:rPr>
          <w:sz w:val="26"/>
        </w:rPr>
      </w:pPr>
      <w:r w:rsidRPr="00B97EBA">
        <w:rPr>
          <w:rStyle w:val="FootnoteReference"/>
          <w:b w:val="0"/>
          <w:bCs/>
        </w:rPr>
        <w:footnoteRef/>
      </w:r>
      <w:r w:rsidRPr="00B329F5">
        <w:rPr>
          <w:b/>
          <w:sz w:val="26"/>
        </w:rPr>
        <w:t xml:space="preserve"> </w:t>
      </w:r>
      <w:r w:rsidRPr="00B329F5">
        <w:rPr>
          <w:sz w:val="26"/>
          <w:szCs w:val="26"/>
        </w:rPr>
        <w:t xml:space="preserve">Commission staff estimates that the average industry hourly cost for this information collection is approximated </w:t>
      </w:r>
      <w:r w:rsidR="0018119B">
        <w:rPr>
          <w:sz w:val="26"/>
          <w:szCs w:val="26"/>
        </w:rPr>
        <w:t xml:space="preserve">by </w:t>
      </w:r>
      <w:r w:rsidRPr="00B329F5">
        <w:rPr>
          <w:sz w:val="26"/>
          <w:szCs w:val="26"/>
        </w:rPr>
        <w:t>the FERC 2021 average hourly costs for wages and benefits, i.e., $87.00/hour.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43B63" w:rsidP="00810D18" w14:paraId="1230597F" w14:textId="36751959">
    <w:pPr>
      <w:pStyle w:val="Header"/>
    </w:pPr>
    <w:r>
      <w:t xml:space="preserve">Docket No. </w:t>
    </w:r>
    <w:r w:rsidR="00A8344E">
      <w:t>IC</w:t>
    </w:r>
    <w:r w:rsidR="00454780">
      <w:t>22-21</w:t>
    </w:r>
    <w:r>
      <w:t>-000</w:t>
    </w:r>
    <w:r>
      <w:tab/>
    </w:r>
    <w:sdt>
      <w:sdtPr>
        <w:id w:val="1515886245"/>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8</w:t>
        </w:r>
        <w:r>
          <w:rPr>
            <w:noProof/>
          </w:rPr>
          <w:fldChar w:fldCharType="end"/>
        </w:r>
      </w:sdtContent>
    </w:sdt>
  </w:p>
  <w:p w:rsidR="00D43B63" w14:paraId="10170C13" w14:textId="76D2DB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66F0CC7"/>
    <w:multiLevelType w:val="hybridMultilevel"/>
    <w:tmpl w:val="A6B62E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2D76AFC"/>
    <w:multiLevelType w:val="hybridMultilevel"/>
    <w:tmpl w:val="0B32E7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210F02A8"/>
    <w:multiLevelType w:val="hybridMultilevel"/>
    <w:tmpl w:val="1F3240CC"/>
    <w:lvl w:ilvl="0">
      <w:start w:val="1"/>
      <w:numFmt w:val="bullet"/>
      <w:lvlText w:val=""/>
      <w:lvlJc w:val="left"/>
      <w:pPr>
        <w:tabs>
          <w:tab w:val="num" w:pos="1500"/>
        </w:tabs>
        <w:ind w:left="1500" w:hanging="360"/>
      </w:pPr>
      <w:rPr>
        <w:rFonts w:ascii="Symbol" w:hAnsi="Symbol" w:hint="default"/>
        <w:color w:val="auto"/>
      </w:rPr>
    </w:lvl>
    <w:lvl w:ilvl="1">
      <w:start w:val="1"/>
      <w:numFmt w:val="bullet"/>
      <w:lvlText w:val="o"/>
      <w:lvlJc w:val="left"/>
      <w:pPr>
        <w:tabs>
          <w:tab w:val="num" w:pos="1500"/>
        </w:tabs>
        <w:ind w:left="1500" w:hanging="360"/>
      </w:pPr>
      <w:rPr>
        <w:rFonts w:ascii="Courier New" w:hAnsi="Courier New" w:cs="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cs="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cs="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3">
    <w:nsid w:val="33156D43"/>
    <w:multiLevelType w:val="multilevel"/>
    <w:tmpl w:val="B140707E"/>
    <w:lvl w:ilvl="0">
      <w:start w:val="1"/>
      <w:numFmt w:val="decimal"/>
      <w:pStyle w:val="ListContinue"/>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4">
    <w:nsid w:val="339764E2"/>
    <w:multiLevelType w:val="hybridMultilevel"/>
    <w:tmpl w:val="DC5672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0546A19"/>
    <w:multiLevelType w:val="hybridMultilevel"/>
    <w:tmpl w:val="308819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71A92585"/>
    <w:multiLevelType w:val="hybridMultilevel"/>
    <w:tmpl w:val="37181A6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2"/>
  </w:num>
  <w:num w:numId="4">
    <w:abstractNumId w:val="1"/>
  </w:num>
  <w:num w:numId="5">
    <w:abstractNumId w:val="6"/>
  </w:num>
  <w:num w:numId="6">
    <w:abstractNumId w:val="0"/>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B16"/>
    <w:rsid w:val="00006D4B"/>
    <w:rsid w:val="000122E1"/>
    <w:rsid w:val="00016EDB"/>
    <w:rsid w:val="00023EA9"/>
    <w:rsid w:val="000241AE"/>
    <w:rsid w:val="0003365C"/>
    <w:rsid w:val="00034C49"/>
    <w:rsid w:val="000459B6"/>
    <w:rsid w:val="00053B4B"/>
    <w:rsid w:val="00056C5D"/>
    <w:rsid w:val="00062427"/>
    <w:rsid w:val="000861D3"/>
    <w:rsid w:val="00096CAD"/>
    <w:rsid w:val="000A0250"/>
    <w:rsid w:val="000A7E68"/>
    <w:rsid w:val="000D04A3"/>
    <w:rsid w:val="000E2568"/>
    <w:rsid w:val="000F0B0E"/>
    <w:rsid w:val="0010087B"/>
    <w:rsid w:val="0010677E"/>
    <w:rsid w:val="00112C9F"/>
    <w:rsid w:val="00122CFF"/>
    <w:rsid w:val="001240C7"/>
    <w:rsid w:val="001479DF"/>
    <w:rsid w:val="0015578A"/>
    <w:rsid w:val="00155DE9"/>
    <w:rsid w:val="00156BBB"/>
    <w:rsid w:val="001600DF"/>
    <w:rsid w:val="00171725"/>
    <w:rsid w:val="0018119B"/>
    <w:rsid w:val="00181BF7"/>
    <w:rsid w:val="00191376"/>
    <w:rsid w:val="00194F90"/>
    <w:rsid w:val="001A6AD6"/>
    <w:rsid w:val="001B78B8"/>
    <w:rsid w:val="001E6510"/>
    <w:rsid w:val="00200437"/>
    <w:rsid w:val="002023A4"/>
    <w:rsid w:val="00224BF2"/>
    <w:rsid w:val="00254C99"/>
    <w:rsid w:val="00266F83"/>
    <w:rsid w:val="0027045E"/>
    <w:rsid w:val="00272361"/>
    <w:rsid w:val="0027452E"/>
    <w:rsid w:val="00293D56"/>
    <w:rsid w:val="002B531B"/>
    <w:rsid w:val="002B7AA8"/>
    <w:rsid w:val="002D5237"/>
    <w:rsid w:val="002E0351"/>
    <w:rsid w:val="002F24E8"/>
    <w:rsid w:val="002F3E94"/>
    <w:rsid w:val="002F697A"/>
    <w:rsid w:val="00302F75"/>
    <w:rsid w:val="00303717"/>
    <w:rsid w:val="003060F0"/>
    <w:rsid w:val="003062C2"/>
    <w:rsid w:val="00310EFC"/>
    <w:rsid w:val="00311D90"/>
    <w:rsid w:val="003149BC"/>
    <w:rsid w:val="003321DB"/>
    <w:rsid w:val="00334F14"/>
    <w:rsid w:val="00337BA7"/>
    <w:rsid w:val="0034195C"/>
    <w:rsid w:val="00343A03"/>
    <w:rsid w:val="00347056"/>
    <w:rsid w:val="00361371"/>
    <w:rsid w:val="00363638"/>
    <w:rsid w:val="00363F79"/>
    <w:rsid w:val="003673EC"/>
    <w:rsid w:val="00376525"/>
    <w:rsid w:val="0038431F"/>
    <w:rsid w:val="003960E0"/>
    <w:rsid w:val="003A1A72"/>
    <w:rsid w:val="003A3189"/>
    <w:rsid w:val="003B0C81"/>
    <w:rsid w:val="003C3E7A"/>
    <w:rsid w:val="003C5CBE"/>
    <w:rsid w:val="003C7BC3"/>
    <w:rsid w:val="003E44AD"/>
    <w:rsid w:val="003F5968"/>
    <w:rsid w:val="00406999"/>
    <w:rsid w:val="0040718A"/>
    <w:rsid w:val="00425DA2"/>
    <w:rsid w:val="00426898"/>
    <w:rsid w:val="00431B43"/>
    <w:rsid w:val="00443282"/>
    <w:rsid w:val="0044338D"/>
    <w:rsid w:val="00454780"/>
    <w:rsid w:val="0045734B"/>
    <w:rsid w:val="004609EE"/>
    <w:rsid w:val="00466D3F"/>
    <w:rsid w:val="00470B7D"/>
    <w:rsid w:val="004759C4"/>
    <w:rsid w:val="00485A51"/>
    <w:rsid w:val="004879AA"/>
    <w:rsid w:val="0049480F"/>
    <w:rsid w:val="004B7B57"/>
    <w:rsid w:val="004C07D5"/>
    <w:rsid w:val="004C70C8"/>
    <w:rsid w:val="004C77EF"/>
    <w:rsid w:val="004D27A2"/>
    <w:rsid w:val="004E4EAD"/>
    <w:rsid w:val="004F26DA"/>
    <w:rsid w:val="005001BF"/>
    <w:rsid w:val="00513DA8"/>
    <w:rsid w:val="00514B50"/>
    <w:rsid w:val="00516493"/>
    <w:rsid w:val="0054073B"/>
    <w:rsid w:val="0054746C"/>
    <w:rsid w:val="00561E0C"/>
    <w:rsid w:val="005648E2"/>
    <w:rsid w:val="00566C57"/>
    <w:rsid w:val="0058081B"/>
    <w:rsid w:val="00585F73"/>
    <w:rsid w:val="005A0148"/>
    <w:rsid w:val="005A2F24"/>
    <w:rsid w:val="005A3F56"/>
    <w:rsid w:val="005A7903"/>
    <w:rsid w:val="005A7C58"/>
    <w:rsid w:val="005B4DA4"/>
    <w:rsid w:val="005B5863"/>
    <w:rsid w:val="005C6D4E"/>
    <w:rsid w:val="005D16A1"/>
    <w:rsid w:val="005E2B73"/>
    <w:rsid w:val="005E6D8A"/>
    <w:rsid w:val="005F3DAA"/>
    <w:rsid w:val="005F726F"/>
    <w:rsid w:val="005F729D"/>
    <w:rsid w:val="006128A5"/>
    <w:rsid w:val="006144F3"/>
    <w:rsid w:val="0062085E"/>
    <w:rsid w:val="00634374"/>
    <w:rsid w:val="0063716C"/>
    <w:rsid w:val="006374BA"/>
    <w:rsid w:val="00637F43"/>
    <w:rsid w:val="00642602"/>
    <w:rsid w:val="00644A1B"/>
    <w:rsid w:val="00650FA1"/>
    <w:rsid w:val="006536D8"/>
    <w:rsid w:val="00654BA4"/>
    <w:rsid w:val="00656DF0"/>
    <w:rsid w:val="00666A01"/>
    <w:rsid w:val="00680D78"/>
    <w:rsid w:val="00692352"/>
    <w:rsid w:val="00695E65"/>
    <w:rsid w:val="006963BC"/>
    <w:rsid w:val="006A34AE"/>
    <w:rsid w:val="006A423E"/>
    <w:rsid w:val="006C5A79"/>
    <w:rsid w:val="006C6B0C"/>
    <w:rsid w:val="006D552E"/>
    <w:rsid w:val="006E10F4"/>
    <w:rsid w:val="006E214B"/>
    <w:rsid w:val="006E4CA8"/>
    <w:rsid w:val="006E75AA"/>
    <w:rsid w:val="006E7CBB"/>
    <w:rsid w:val="006F3647"/>
    <w:rsid w:val="006F4188"/>
    <w:rsid w:val="00714F57"/>
    <w:rsid w:val="00727594"/>
    <w:rsid w:val="00727C5E"/>
    <w:rsid w:val="007349A2"/>
    <w:rsid w:val="007356B8"/>
    <w:rsid w:val="00741C80"/>
    <w:rsid w:val="0074219E"/>
    <w:rsid w:val="007446E7"/>
    <w:rsid w:val="0075009F"/>
    <w:rsid w:val="00754526"/>
    <w:rsid w:val="007731D6"/>
    <w:rsid w:val="00777183"/>
    <w:rsid w:val="00782ACA"/>
    <w:rsid w:val="007B588C"/>
    <w:rsid w:val="007C1916"/>
    <w:rsid w:val="007C6AC2"/>
    <w:rsid w:val="007C729C"/>
    <w:rsid w:val="007E2F40"/>
    <w:rsid w:val="007F64F2"/>
    <w:rsid w:val="00803CA2"/>
    <w:rsid w:val="00807CAC"/>
    <w:rsid w:val="00810D18"/>
    <w:rsid w:val="008115BF"/>
    <w:rsid w:val="00812B30"/>
    <w:rsid w:val="00812DF3"/>
    <w:rsid w:val="00821DAB"/>
    <w:rsid w:val="00824D81"/>
    <w:rsid w:val="0083107B"/>
    <w:rsid w:val="00836DF9"/>
    <w:rsid w:val="0084158A"/>
    <w:rsid w:val="00847229"/>
    <w:rsid w:val="00853ABC"/>
    <w:rsid w:val="0085755E"/>
    <w:rsid w:val="00872AB9"/>
    <w:rsid w:val="00881405"/>
    <w:rsid w:val="0089069F"/>
    <w:rsid w:val="00895DA2"/>
    <w:rsid w:val="00897359"/>
    <w:rsid w:val="008A020E"/>
    <w:rsid w:val="008B6E06"/>
    <w:rsid w:val="008C572B"/>
    <w:rsid w:val="008D25B7"/>
    <w:rsid w:val="008D300A"/>
    <w:rsid w:val="008D5479"/>
    <w:rsid w:val="008D5932"/>
    <w:rsid w:val="008E0B8C"/>
    <w:rsid w:val="008E0DF5"/>
    <w:rsid w:val="008E3273"/>
    <w:rsid w:val="008E5123"/>
    <w:rsid w:val="008E7400"/>
    <w:rsid w:val="00901C05"/>
    <w:rsid w:val="00913234"/>
    <w:rsid w:val="009179E9"/>
    <w:rsid w:val="00937284"/>
    <w:rsid w:val="00940C0F"/>
    <w:rsid w:val="0095311D"/>
    <w:rsid w:val="00954CCB"/>
    <w:rsid w:val="00970D57"/>
    <w:rsid w:val="009744C8"/>
    <w:rsid w:val="00975C8A"/>
    <w:rsid w:val="00981886"/>
    <w:rsid w:val="00990FEC"/>
    <w:rsid w:val="009A1B08"/>
    <w:rsid w:val="009A6E91"/>
    <w:rsid w:val="009B4450"/>
    <w:rsid w:val="009B747B"/>
    <w:rsid w:val="009C25C4"/>
    <w:rsid w:val="009C4A13"/>
    <w:rsid w:val="009D331A"/>
    <w:rsid w:val="009E0F58"/>
    <w:rsid w:val="009E5557"/>
    <w:rsid w:val="009E66F8"/>
    <w:rsid w:val="009F7DE3"/>
    <w:rsid w:val="00A038F9"/>
    <w:rsid w:val="00A15605"/>
    <w:rsid w:val="00A1585A"/>
    <w:rsid w:val="00A2534D"/>
    <w:rsid w:val="00A2604E"/>
    <w:rsid w:val="00A43A4A"/>
    <w:rsid w:val="00A507F0"/>
    <w:rsid w:val="00A56950"/>
    <w:rsid w:val="00A664DF"/>
    <w:rsid w:val="00A713D0"/>
    <w:rsid w:val="00A72814"/>
    <w:rsid w:val="00A759B3"/>
    <w:rsid w:val="00A82A29"/>
    <w:rsid w:val="00A8344E"/>
    <w:rsid w:val="00A8690F"/>
    <w:rsid w:val="00A86D9E"/>
    <w:rsid w:val="00AA4050"/>
    <w:rsid w:val="00AA516A"/>
    <w:rsid w:val="00AA5B0E"/>
    <w:rsid w:val="00AB4DBF"/>
    <w:rsid w:val="00AC66FD"/>
    <w:rsid w:val="00AC750B"/>
    <w:rsid w:val="00AC77B8"/>
    <w:rsid w:val="00AD4128"/>
    <w:rsid w:val="00AE1F12"/>
    <w:rsid w:val="00AE3A78"/>
    <w:rsid w:val="00AE4155"/>
    <w:rsid w:val="00AE4B7C"/>
    <w:rsid w:val="00AF349B"/>
    <w:rsid w:val="00B01B16"/>
    <w:rsid w:val="00B13EE3"/>
    <w:rsid w:val="00B22DCB"/>
    <w:rsid w:val="00B2382E"/>
    <w:rsid w:val="00B257E5"/>
    <w:rsid w:val="00B329F5"/>
    <w:rsid w:val="00B34A0B"/>
    <w:rsid w:val="00B447D7"/>
    <w:rsid w:val="00B46E93"/>
    <w:rsid w:val="00B46F03"/>
    <w:rsid w:val="00B5066A"/>
    <w:rsid w:val="00B55B8C"/>
    <w:rsid w:val="00B56882"/>
    <w:rsid w:val="00B65A09"/>
    <w:rsid w:val="00B67EED"/>
    <w:rsid w:val="00B76A1F"/>
    <w:rsid w:val="00B82F8C"/>
    <w:rsid w:val="00B961C3"/>
    <w:rsid w:val="00B97EBA"/>
    <w:rsid w:val="00BA0FBC"/>
    <w:rsid w:val="00BA218C"/>
    <w:rsid w:val="00BA5479"/>
    <w:rsid w:val="00BB179A"/>
    <w:rsid w:val="00BB679A"/>
    <w:rsid w:val="00BB7D82"/>
    <w:rsid w:val="00BC200B"/>
    <w:rsid w:val="00BD74AE"/>
    <w:rsid w:val="00BE31A8"/>
    <w:rsid w:val="00BE3392"/>
    <w:rsid w:val="00BE3FE7"/>
    <w:rsid w:val="00BF29D8"/>
    <w:rsid w:val="00BF2D74"/>
    <w:rsid w:val="00BF38BC"/>
    <w:rsid w:val="00BF4CC8"/>
    <w:rsid w:val="00BF7AC7"/>
    <w:rsid w:val="00C1124F"/>
    <w:rsid w:val="00C37BFF"/>
    <w:rsid w:val="00C44372"/>
    <w:rsid w:val="00C511F5"/>
    <w:rsid w:val="00C51458"/>
    <w:rsid w:val="00C53580"/>
    <w:rsid w:val="00C55838"/>
    <w:rsid w:val="00C55F30"/>
    <w:rsid w:val="00C728C5"/>
    <w:rsid w:val="00C77EF7"/>
    <w:rsid w:val="00C81A97"/>
    <w:rsid w:val="00C820F1"/>
    <w:rsid w:val="00C91512"/>
    <w:rsid w:val="00CA6636"/>
    <w:rsid w:val="00CA6D76"/>
    <w:rsid w:val="00CB7447"/>
    <w:rsid w:val="00CB7448"/>
    <w:rsid w:val="00CB769C"/>
    <w:rsid w:val="00CC431F"/>
    <w:rsid w:val="00CD37C7"/>
    <w:rsid w:val="00CD57EB"/>
    <w:rsid w:val="00CD5C97"/>
    <w:rsid w:val="00CD786C"/>
    <w:rsid w:val="00CE3598"/>
    <w:rsid w:val="00CE64F2"/>
    <w:rsid w:val="00CF4753"/>
    <w:rsid w:val="00CF71E0"/>
    <w:rsid w:val="00D0083B"/>
    <w:rsid w:val="00D12811"/>
    <w:rsid w:val="00D42209"/>
    <w:rsid w:val="00D43B63"/>
    <w:rsid w:val="00D44183"/>
    <w:rsid w:val="00D50830"/>
    <w:rsid w:val="00D54A0A"/>
    <w:rsid w:val="00D65D56"/>
    <w:rsid w:val="00D9761F"/>
    <w:rsid w:val="00DA529F"/>
    <w:rsid w:val="00DB1DCB"/>
    <w:rsid w:val="00DC5017"/>
    <w:rsid w:val="00DD18FF"/>
    <w:rsid w:val="00DD2ED3"/>
    <w:rsid w:val="00DD3ADA"/>
    <w:rsid w:val="00DD6298"/>
    <w:rsid w:val="00DD7F1B"/>
    <w:rsid w:val="00DE09FF"/>
    <w:rsid w:val="00DE641E"/>
    <w:rsid w:val="00DF16DE"/>
    <w:rsid w:val="00DF3EE4"/>
    <w:rsid w:val="00E024B6"/>
    <w:rsid w:val="00E13A02"/>
    <w:rsid w:val="00E31680"/>
    <w:rsid w:val="00E34382"/>
    <w:rsid w:val="00E3662E"/>
    <w:rsid w:val="00E41DB9"/>
    <w:rsid w:val="00E655BE"/>
    <w:rsid w:val="00E75CE9"/>
    <w:rsid w:val="00E762BB"/>
    <w:rsid w:val="00E77B33"/>
    <w:rsid w:val="00E808B6"/>
    <w:rsid w:val="00E8661B"/>
    <w:rsid w:val="00E91FD5"/>
    <w:rsid w:val="00E92E09"/>
    <w:rsid w:val="00EA6337"/>
    <w:rsid w:val="00EA689F"/>
    <w:rsid w:val="00EB119D"/>
    <w:rsid w:val="00EB749E"/>
    <w:rsid w:val="00EF1D00"/>
    <w:rsid w:val="00EF2866"/>
    <w:rsid w:val="00EF33BE"/>
    <w:rsid w:val="00F0383C"/>
    <w:rsid w:val="00F05E8E"/>
    <w:rsid w:val="00F0669A"/>
    <w:rsid w:val="00F11631"/>
    <w:rsid w:val="00F12A43"/>
    <w:rsid w:val="00F24AB0"/>
    <w:rsid w:val="00F309CB"/>
    <w:rsid w:val="00F33E2E"/>
    <w:rsid w:val="00F33E6F"/>
    <w:rsid w:val="00F44A0E"/>
    <w:rsid w:val="00F60C79"/>
    <w:rsid w:val="00F62A51"/>
    <w:rsid w:val="00F8646E"/>
    <w:rsid w:val="00F9675E"/>
    <w:rsid w:val="00FC3F00"/>
    <w:rsid w:val="00FE4B8E"/>
    <w:rsid w:val="00FF1D71"/>
    <w:rsid w:val="00FF3FE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C239FB7"/>
  <w15:docId w15:val="{D22810CA-EDC0-4953-B099-061261069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1B16"/>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rsid w:val="00B01B16"/>
    <w:rPr>
      <w:rFonts w:ascii="Times New Roman" w:hAnsi="Times New Roman"/>
      <w:b/>
      <w:sz w:val="26"/>
      <w:szCs w:val="26"/>
      <w:vertAlign w:val="superscript"/>
    </w:rPr>
  </w:style>
  <w:style w:type="paragraph" w:styleId="FootnoteText">
    <w:name w:val="footnote text"/>
    <w:aliases w:val="Footnote Text Char Char,Footnote Text Char Char Char,Footnote Text Char1,Footnote Text Char1 Char,Footnote Text Char1 Char Char,Footnote Text Char1 Char1,Footnote Text Char2 Char,Footnote Text Char3,Footnote Text MRP,fn,fn1,fn3,fn4,ft"/>
    <w:basedOn w:val="Normal"/>
    <w:link w:val="FootnoteTextChar"/>
    <w:uiPriority w:val="99"/>
    <w:rsid w:val="00B01B16"/>
    <w:rPr>
      <w:sz w:val="22"/>
      <w:szCs w:val="20"/>
    </w:rPr>
  </w:style>
  <w:style w:type="character" w:customStyle="1" w:styleId="FootnoteTextChar">
    <w:name w:val="Footnote Text Char"/>
    <w:aliases w:val="Footnote Text Char Char Char Char,Footnote Text Char Char Char1,Footnote Text Char1 Char Char Char,Footnote Text Char1 Char Char1,Footnote Text Char1 Char1 Char,Footnote Text Char3 Char,Footnote Text MRP Char,fn Char,fn1 Char,ft Char"/>
    <w:basedOn w:val="DefaultParagraphFont"/>
    <w:link w:val="FootnoteText"/>
    <w:uiPriority w:val="99"/>
    <w:rsid w:val="00B01B16"/>
    <w:rPr>
      <w:rFonts w:ascii="Times New Roman" w:eastAsia="Times New Roman" w:hAnsi="Times New Roman" w:cs="Times New Roman"/>
      <w:szCs w:val="20"/>
    </w:rPr>
  </w:style>
  <w:style w:type="character" w:styleId="Hyperlink">
    <w:name w:val="Hyperlink"/>
    <w:rsid w:val="00B01B16"/>
    <w:rPr>
      <w:color w:val="0000FF"/>
      <w:u w:val="single"/>
    </w:rPr>
  </w:style>
  <w:style w:type="paragraph" w:styleId="ListContinue">
    <w:name w:val="List Continue"/>
    <w:basedOn w:val="Normal"/>
    <w:unhideWhenUsed/>
    <w:rsid w:val="00B01B16"/>
    <w:pPr>
      <w:numPr>
        <w:numId w:val="1"/>
      </w:numPr>
      <w:spacing w:after="120" w:line="480" w:lineRule="auto"/>
    </w:pPr>
  </w:style>
  <w:style w:type="paragraph" w:customStyle="1" w:styleId="LegalFormat">
    <w:name w:val="Legal Format"/>
    <w:basedOn w:val="ListContinue"/>
    <w:rsid w:val="00B01B16"/>
    <w:pPr>
      <w:spacing w:after="0"/>
      <w:ind w:left="0"/>
    </w:pPr>
    <w:rPr>
      <w:u w:val="single"/>
    </w:rPr>
  </w:style>
  <w:style w:type="character" w:styleId="CommentReference">
    <w:name w:val="annotation reference"/>
    <w:basedOn w:val="DefaultParagraphFont"/>
    <w:uiPriority w:val="99"/>
    <w:semiHidden/>
    <w:unhideWhenUsed/>
    <w:rsid w:val="00B01B16"/>
    <w:rPr>
      <w:sz w:val="16"/>
      <w:szCs w:val="16"/>
    </w:rPr>
  </w:style>
  <w:style w:type="paragraph" w:styleId="CommentText">
    <w:name w:val="annotation text"/>
    <w:basedOn w:val="Normal"/>
    <w:link w:val="CommentTextChar"/>
    <w:uiPriority w:val="99"/>
    <w:semiHidden/>
    <w:unhideWhenUsed/>
    <w:rsid w:val="00B01B16"/>
    <w:rPr>
      <w:sz w:val="20"/>
      <w:szCs w:val="20"/>
    </w:rPr>
  </w:style>
  <w:style w:type="character" w:customStyle="1" w:styleId="CommentTextChar">
    <w:name w:val="Comment Text Char"/>
    <w:basedOn w:val="DefaultParagraphFont"/>
    <w:link w:val="CommentText"/>
    <w:uiPriority w:val="99"/>
    <w:semiHidden/>
    <w:rsid w:val="00B01B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1B16"/>
    <w:rPr>
      <w:b/>
      <w:bCs/>
    </w:rPr>
  </w:style>
  <w:style w:type="character" w:customStyle="1" w:styleId="CommentSubjectChar">
    <w:name w:val="Comment Subject Char"/>
    <w:basedOn w:val="CommentTextChar"/>
    <w:link w:val="CommentSubject"/>
    <w:uiPriority w:val="99"/>
    <w:semiHidden/>
    <w:rsid w:val="00B01B1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01B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16"/>
    <w:rPr>
      <w:rFonts w:ascii="Segoe UI" w:eastAsia="Times New Roman" w:hAnsi="Segoe UI" w:cs="Segoe UI"/>
      <w:sz w:val="18"/>
      <w:szCs w:val="18"/>
    </w:rPr>
  </w:style>
  <w:style w:type="paragraph" w:styleId="Revision">
    <w:name w:val="Revision"/>
    <w:hidden/>
    <w:uiPriority w:val="99"/>
    <w:semiHidden/>
    <w:rsid w:val="0054746C"/>
    <w:pPr>
      <w:spacing w:after="0" w:line="240" w:lineRule="auto"/>
    </w:pPr>
    <w:rPr>
      <w:rFonts w:ascii="Times New Roman" w:eastAsia="Times New Roman" w:hAnsi="Times New Roman" w:cs="Times New Roman"/>
      <w:sz w:val="26"/>
      <w:szCs w:val="24"/>
    </w:rPr>
  </w:style>
  <w:style w:type="paragraph" w:styleId="Header">
    <w:name w:val="header"/>
    <w:basedOn w:val="Normal"/>
    <w:link w:val="HeaderChar"/>
    <w:uiPriority w:val="99"/>
    <w:unhideWhenUsed/>
    <w:rsid w:val="00BF2D74"/>
    <w:pPr>
      <w:tabs>
        <w:tab w:val="center" w:pos="4680"/>
        <w:tab w:val="right" w:pos="9360"/>
      </w:tabs>
    </w:pPr>
  </w:style>
  <w:style w:type="character" w:customStyle="1" w:styleId="HeaderChar">
    <w:name w:val="Header Char"/>
    <w:basedOn w:val="DefaultParagraphFont"/>
    <w:link w:val="Header"/>
    <w:uiPriority w:val="99"/>
    <w:rsid w:val="00BF2D74"/>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F2D74"/>
    <w:pPr>
      <w:tabs>
        <w:tab w:val="center" w:pos="4680"/>
        <w:tab w:val="right" w:pos="9360"/>
      </w:tabs>
    </w:pPr>
  </w:style>
  <w:style w:type="character" w:customStyle="1" w:styleId="FooterChar">
    <w:name w:val="Footer Char"/>
    <w:basedOn w:val="DefaultParagraphFont"/>
    <w:link w:val="Footer"/>
    <w:uiPriority w:val="99"/>
    <w:rsid w:val="00BF2D74"/>
    <w:rPr>
      <w:rFonts w:ascii="Times New Roman" w:eastAsia="Times New Roman" w:hAnsi="Times New Roman" w:cs="Times New Roman"/>
      <w:sz w:val="26"/>
      <w:szCs w:val="24"/>
    </w:rPr>
  </w:style>
  <w:style w:type="paragraph" w:styleId="NormalWeb">
    <w:name w:val="Normal (Web)"/>
    <w:basedOn w:val="Normal"/>
    <w:uiPriority w:val="99"/>
    <w:unhideWhenUsed/>
    <w:rsid w:val="00AE4155"/>
    <w:rPr>
      <w:rFonts w:eastAsiaTheme="minorHAnsi"/>
      <w:sz w:val="24"/>
    </w:rPr>
  </w:style>
  <w:style w:type="character" w:styleId="FollowedHyperlink">
    <w:name w:val="FollowedHyperlink"/>
    <w:basedOn w:val="DefaultParagraphFont"/>
    <w:uiPriority w:val="99"/>
    <w:semiHidden/>
    <w:unhideWhenUsed/>
    <w:rsid w:val="005D16A1"/>
    <w:rPr>
      <w:color w:val="954F72" w:themeColor="followedHyperlink"/>
      <w:u w:val="single"/>
    </w:rPr>
  </w:style>
  <w:style w:type="character" w:styleId="UnresolvedMention">
    <w:name w:val="Unresolved Mention"/>
    <w:basedOn w:val="DefaultParagraphFont"/>
    <w:uiPriority w:val="99"/>
    <w:semiHidden/>
    <w:unhideWhenUsed/>
    <w:rsid w:val="005F729D"/>
    <w:rPr>
      <w:color w:val="605E5C"/>
      <w:shd w:val="clear" w:color="auto" w:fill="E1DFDD"/>
    </w:rPr>
  </w:style>
  <w:style w:type="paragraph" w:styleId="ListParagraph">
    <w:name w:val="List Paragraph"/>
    <w:basedOn w:val="Normal"/>
    <w:uiPriority w:val="34"/>
    <w:qFormat/>
    <w:rsid w:val="00EB119D"/>
    <w:pPr>
      <w:ind w:left="720"/>
      <w:contextualSpacing/>
    </w:pPr>
  </w:style>
  <w:style w:type="table" w:customStyle="1" w:styleId="TableGrid1">
    <w:name w:val="Table Grid1"/>
    <w:basedOn w:val="TableNormal"/>
    <w:next w:val="TableGrid"/>
    <w:uiPriority w:val="39"/>
    <w:rsid w:val="00BE33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E33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reginfo.gov/public/do/PRAMain" TargetMode="External" /><Relationship Id="rId11" Type="http://schemas.openxmlformats.org/officeDocument/2006/relationships/hyperlink" Target="https://www.ferc.gov" TargetMode="External" /><Relationship Id="rId12" Type="http://schemas.openxmlformats.org/officeDocument/2006/relationships/hyperlink" Target="mailto:DataClearance@FERC.gov" TargetMode="External" /><Relationship Id="rId13" Type="http://schemas.openxmlformats.org/officeDocument/2006/relationships/header" Target="head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4.xml><?xml version="1.0" encoding="utf-8"?>
<?mso-contentType ?>
<SharedContentType xmlns="Microsoft.SharePoint.Taxonomy.ContentTypeSync" SourceId="74a4cd09-5f17-433b-814a-38e7e9115d16" ContentTypeId="0x01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F440FE-CFBB-44BF-AC44-BCFF88D207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4B2BA4-42E3-4037-8954-0F628E67BE67}">
  <ds:schemaRefs>
    <ds:schemaRef ds:uri="http://schemas.microsoft.com/sharepoint/v3/contenttype/forms"/>
  </ds:schemaRefs>
</ds:datastoreItem>
</file>

<file path=customXml/itemProps3.xml><?xml version="1.0" encoding="utf-8"?>
<ds:datastoreItem xmlns:ds="http://schemas.openxmlformats.org/officeDocument/2006/customXml" ds:itemID="{5BBB1DD4-8130-4FE7-964C-24C804F058DC}">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e8733a2-e908-454b-85cf-c9d17e1d0943"/>
    <ds:schemaRef ds:uri="http://www.w3.org/XML/1998/namespace"/>
    <ds:schemaRef ds:uri="http://purl.org/dc/dcmitype/"/>
  </ds:schemaRefs>
</ds:datastoreItem>
</file>

<file path=customXml/itemProps4.xml><?xml version="1.0" encoding="utf-8"?>
<ds:datastoreItem xmlns:ds="http://schemas.openxmlformats.org/officeDocument/2006/customXml" ds:itemID="{72B487C6-49A7-406C-AC48-82E610BFF05D}">
  <ds:schemaRefs>
    <ds:schemaRef ds:uri="Microsoft.SharePoint.Taxonomy.ContentTypeSync"/>
  </ds:schemaRefs>
</ds:datastoreItem>
</file>

<file path=customXml/itemProps5.xml><?xml version="1.0" encoding="utf-8"?>
<ds:datastoreItem xmlns:ds="http://schemas.openxmlformats.org/officeDocument/2006/customXml" ds:itemID="{D2AF1162-AD6A-4639-8A37-A26289CFA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4</TotalTime>
  <Pages>5</Pages>
  <Words>966</Words>
  <Characters>5509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lastPrinted>2016-12-20T13:40:00Z</cp:lastPrinted>
  <dcterms:created xsi:type="dcterms:W3CDTF">2023-01-03T20:37:00Z</dcterms:created>
  <dcterms:modified xsi:type="dcterms:W3CDTF">2023-01-03T20:51:00Z</dcterms:modified>
</cp:coreProperties>
</file>