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534" w:rsidRPr="00EE4534" w:rsidP="00EE4534">
      <w:pPr>
        <w:pStyle w:val="Header"/>
        <w:jc w:val="center"/>
        <w:rPr>
          <w:rFonts w:ascii="Times New Roman" w:hAnsi="Times New Roman" w:cs="Times New Roman"/>
          <w:b/>
          <w:sz w:val="24"/>
          <w:szCs w:val="24"/>
        </w:rPr>
      </w:pPr>
      <w:r w:rsidRPr="00EE4534">
        <w:rPr>
          <w:rFonts w:ascii="Times New Roman" w:hAnsi="Times New Roman" w:cs="Times New Roman"/>
          <w:b/>
          <w:sz w:val="24"/>
          <w:szCs w:val="24"/>
        </w:rPr>
        <w:t xml:space="preserve">Revisions to Form </w:t>
      </w:r>
      <w:r w:rsidR="00AD5BF0">
        <w:rPr>
          <w:rFonts w:ascii="Times New Roman" w:hAnsi="Times New Roman" w:cs="Times New Roman"/>
          <w:b/>
          <w:sz w:val="24"/>
          <w:szCs w:val="24"/>
        </w:rPr>
        <w:t>CMS 10797</w:t>
      </w:r>
      <w:r w:rsidR="006153D9">
        <w:rPr>
          <w:rFonts w:ascii="Times New Roman" w:hAnsi="Times New Roman" w:cs="Times New Roman"/>
          <w:b/>
          <w:sz w:val="24"/>
          <w:szCs w:val="24"/>
        </w:rPr>
        <w:t xml:space="preserve"> (OMB 0938-</w:t>
      </w:r>
      <w:r w:rsidR="00AD5BF0">
        <w:rPr>
          <w:rFonts w:ascii="Times New Roman" w:hAnsi="Times New Roman" w:cs="Times New Roman"/>
          <w:b/>
          <w:sz w:val="24"/>
          <w:szCs w:val="24"/>
        </w:rPr>
        <w:t>1426</w:t>
      </w:r>
      <w:r w:rsidR="006153D9">
        <w:rPr>
          <w:rFonts w:ascii="Times New Roman" w:hAnsi="Times New Roman" w:cs="Times New Roman"/>
          <w:b/>
          <w:sz w:val="24"/>
          <w:szCs w:val="24"/>
        </w:rPr>
        <w:t>)</w:t>
      </w:r>
      <w:r w:rsidR="00AD5BF0">
        <w:rPr>
          <w:rFonts w:ascii="Times New Roman" w:hAnsi="Times New Roman" w:cs="Times New Roman"/>
          <w:b/>
          <w:sz w:val="24"/>
          <w:szCs w:val="24"/>
        </w:rPr>
        <w:t xml:space="preserve"> Application for Medicare Part A and Part B – Special Enrollment Period (Exceptional Conditions)</w:t>
      </w:r>
    </w:p>
    <w:p w:rsidR="00EE4534" w:rsidRPr="00EE4534" w:rsidP="00EE4534">
      <w:pPr>
        <w:pStyle w:val="Header"/>
        <w:rPr>
          <w:rFonts w:ascii="Times New Roman" w:hAnsi="Times New Roman" w:cs="Times New Roman"/>
          <w:sz w:val="24"/>
          <w:szCs w:val="24"/>
        </w:rPr>
      </w:pPr>
    </w:p>
    <w:p w:rsidR="00EE4534" w:rsidRPr="00AD5BF0" w:rsidP="00EE4534">
      <w:pPr>
        <w:pStyle w:val="Header"/>
        <w:rPr>
          <w:rFonts w:ascii="Times New Roman" w:hAnsi="Times New Roman" w:cs="Times New Roman"/>
          <w:sz w:val="24"/>
          <w:szCs w:val="24"/>
        </w:rPr>
      </w:pPr>
      <w:r w:rsidRPr="00EE4534">
        <w:rPr>
          <w:rFonts w:ascii="Times New Roman" w:hAnsi="Times New Roman" w:cs="Times New Roman"/>
          <w:sz w:val="24"/>
          <w:szCs w:val="24"/>
        </w:rPr>
        <w:t>The form was updated to include instructions and to provide clarity. There were no statutory</w:t>
      </w:r>
      <w:r w:rsidR="00AD5BF0">
        <w:rPr>
          <w:rFonts w:ascii="Times New Roman" w:hAnsi="Times New Roman" w:cs="Times New Roman"/>
          <w:sz w:val="24"/>
          <w:szCs w:val="24"/>
        </w:rPr>
        <w:t xml:space="preserve"> changes and the</w:t>
      </w:r>
      <w:r w:rsidRPr="00EE4534">
        <w:rPr>
          <w:rFonts w:ascii="Times New Roman" w:hAnsi="Times New Roman" w:cs="Times New Roman"/>
          <w:sz w:val="24"/>
          <w:szCs w:val="24"/>
        </w:rPr>
        <w:t xml:space="preserve"> </w:t>
      </w:r>
      <w:r w:rsidR="00AD5BF0">
        <w:rPr>
          <w:rFonts w:ascii="Times New Roman" w:hAnsi="Times New Roman" w:cs="Times New Roman"/>
          <w:sz w:val="24"/>
          <w:szCs w:val="24"/>
        </w:rPr>
        <w:t>burden was not impacted. Regulatory changes are outlined in the attached Response to Comment document.</w:t>
      </w:r>
    </w:p>
    <w:tbl>
      <w:tblPr>
        <w:tblStyle w:val="TableGrid"/>
        <w:tblpPr w:leftFromText="180" w:rightFromText="180" w:vertAnchor="page" w:horzAnchor="margin" w:tblpY="4089"/>
        <w:tblW w:w="12505" w:type="dxa"/>
        <w:tblLook w:val="04A0"/>
      </w:tblPr>
      <w:tblGrid>
        <w:gridCol w:w="3138"/>
        <w:gridCol w:w="2412"/>
        <w:gridCol w:w="2378"/>
        <w:gridCol w:w="3241"/>
        <w:gridCol w:w="1336"/>
      </w:tblGrid>
      <w:tr w:rsidTr="006B7C99">
        <w:tblPrEx>
          <w:tblW w:w="12505" w:type="dxa"/>
          <w:tblLook w:val="04A0"/>
        </w:tblPrEx>
        <w:tc>
          <w:tcPr>
            <w:tcW w:w="3138" w:type="dxa"/>
          </w:tcPr>
          <w:p w:rsidR="00EE4534" w:rsidRPr="003C5704" w:rsidP="003517A9">
            <w:pPr>
              <w:rPr>
                <w:b/>
              </w:rPr>
            </w:pPr>
            <w:r>
              <w:rPr>
                <w:b/>
              </w:rPr>
              <w:t>Page Number</w:t>
            </w:r>
          </w:p>
        </w:tc>
        <w:tc>
          <w:tcPr>
            <w:tcW w:w="2412" w:type="dxa"/>
          </w:tcPr>
          <w:p w:rsidR="00EE4534" w:rsidRPr="003C5704" w:rsidP="003517A9">
            <w:pPr>
              <w:rPr>
                <w:b/>
              </w:rPr>
            </w:pPr>
            <w:r>
              <w:rPr>
                <w:b/>
              </w:rPr>
              <w:t>Original Form</w:t>
            </w:r>
          </w:p>
        </w:tc>
        <w:tc>
          <w:tcPr>
            <w:tcW w:w="2378" w:type="dxa"/>
          </w:tcPr>
          <w:p w:rsidR="00EE4534" w:rsidRPr="003C5704" w:rsidP="003517A9">
            <w:pPr>
              <w:rPr>
                <w:b/>
              </w:rPr>
            </w:pPr>
            <w:r>
              <w:rPr>
                <w:b/>
              </w:rPr>
              <w:t>Updated Form</w:t>
            </w:r>
          </w:p>
        </w:tc>
        <w:tc>
          <w:tcPr>
            <w:tcW w:w="3241" w:type="dxa"/>
          </w:tcPr>
          <w:p w:rsidR="00EE4534" w:rsidRPr="003C5704" w:rsidP="003517A9">
            <w:pPr>
              <w:rPr>
                <w:b/>
              </w:rPr>
            </w:pPr>
            <w:r>
              <w:rPr>
                <w:b/>
              </w:rPr>
              <w:t>Reason for Change</w:t>
            </w:r>
          </w:p>
        </w:tc>
        <w:tc>
          <w:tcPr>
            <w:tcW w:w="1336" w:type="dxa"/>
          </w:tcPr>
          <w:p w:rsidR="00EE4534" w:rsidRPr="003C5704" w:rsidP="003517A9">
            <w:pPr>
              <w:rPr>
                <w:b/>
              </w:rPr>
            </w:pPr>
            <w:r w:rsidRPr="003C5704">
              <w:rPr>
                <w:b/>
              </w:rPr>
              <w:t>Burden Effect</w:t>
            </w:r>
          </w:p>
        </w:tc>
      </w:tr>
      <w:tr w:rsidTr="006B7C99">
        <w:tblPrEx>
          <w:tblW w:w="12505" w:type="dxa"/>
          <w:tblLook w:val="04A0"/>
        </w:tblPrEx>
        <w:tc>
          <w:tcPr>
            <w:tcW w:w="3138" w:type="dxa"/>
          </w:tcPr>
          <w:p w:rsidR="006153D9" w:rsidP="003517A9">
            <w:r>
              <w:t xml:space="preserve">Page 1 </w:t>
            </w:r>
          </w:p>
        </w:tc>
        <w:tc>
          <w:tcPr>
            <w:tcW w:w="2412" w:type="dxa"/>
          </w:tcPr>
          <w:p w:rsidR="00780729" w:rsidRPr="0062613B" w:rsidP="003517A9">
            <w:pPr>
              <w:rPr>
                <w:b/>
              </w:rPr>
            </w:pPr>
            <w:r w:rsidRPr="0062613B">
              <w:rPr>
                <w:b/>
              </w:rPr>
              <w:t xml:space="preserve">Instructions </w:t>
            </w:r>
          </w:p>
          <w:p w:rsidR="0062613B" w:rsidP="003517A9">
            <w:pPr>
              <w:rPr>
                <w:b/>
              </w:rPr>
            </w:pPr>
          </w:p>
          <w:p w:rsidR="006153D9" w:rsidP="003517A9">
            <w:r w:rsidRPr="0062613B">
              <w:rPr>
                <w:b/>
              </w:rPr>
              <w:t>Tell Us About Yourself</w:t>
            </w:r>
            <w:r w:rsidR="0062613B">
              <w:rPr>
                <w:b/>
              </w:rPr>
              <w:t xml:space="preserve"> </w:t>
            </w:r>
            <w:r w:rsidR="00780729">
              <w:t xml:space="preserve">- Gather basic enrollment information. </w:t>
            </w:r>
          </w:p>
        </w:tc>
        <w:tc>
          <w:tcPr>
            <w:tcW w:w="2378" w:type="dxa"/>
          </w:tcPr>
          <w:p w:rsidR="006153D9" w:rsidP="003517A9">
            <w:r w:rsidRPr="0062613B">
              <w:rPr>
                <w:b/>
              </w:rPr>
              <w:t>Instructions</w:t>
            </w:r>
            <w:r>
              <w:t xml:space="preserve"> </w:t>
            </w:r>
          </w:p>
        </w:tc>
        <w:tc>
          <w:tcPr>
            <w:tcW w:w="3241" w:type="dxa"/>
          </w:tcPr>
          <w:p w:rsidR="006153D9" w:rsidP="003517A9">
            <w:r>
              <w:t>The information was moved to another page</w:t>
            </w:r>
            <w:r w:rsidR="00780729">
              <w:t xml:space="preserve"> </w:t>
            </w:r>
            <w:r w:rsidR="0062613B">
              <w:t xml:space="preserve">to make the form easier to navigate. </w:t>
            </w:r>
            <w:r w:rsidR="00780729">
              <w:t xml:space="preserve"> </w:t>
            </w:r>
          </w:p>
        </w:tc>
        <w:tc>
          <w:tcPr>
            <w:tcW w:w="1336" w:type="dxa"/>
          </w:tcPr>
          <w:p w:rsidR="006153D9" w:rsidP="003517A9">
            <w:r>
              <w:t>N/A</w:t>
            </w:r>
          </w:p>
        </w:tc>
      </w:tr>
      <w:tr w:rsidTr="006B7C99">
        <w:tblPrEx>
          <w:tblW w:w="12505" w:type="dxa"/>
          <w:tblLook w:val="04A0"/>
        </w:tblPrEx>
        <w:tc>
          <w:tcPr>
            <w:tcW w:w="3138" w:type="dxa"/>
          </w:tcPr>
          <w:p w:rsidR="00EE4534" w:rsidP="0051415D">
            <w:r>
              <w:t>Page 2</w:t>
            </w:r>
          </w:p>
          <w:p w:rsidR="00EE4534" w:rsidP="003517A9"/>
        </w:tc>
        <w:tc>
          <w:tcPr>
            <w:tcW w:w="2412" w:type="dxa"/>
          </w:tcPr>
          <w:p w:rsidR="00EE4534" w:rsidRPr="0062613B" w:rsidP="003517A9">
            <w:pPr>
              <w:rPr>
                <w:b/>
              </w:rPr>
            </w:pPr>
            <w:r w:rsidRPr="0062613B">
              <w:rPr>
                <w:b/>
              </w:rPr>
              <w:t>SEP  (Exceptional Conditions)</w:t>
            </w:r>
          </w:p>
          <w:p w:rsidR="00780729" w:rsidP="003517A9"/>
          <w:p w:rsidR="00780729" w:rsidP="003517A9"/>
          <w:p w:rsidR="00780729" w:rsidP="003517A9"/>
        </w:tc>
        <w:tc>
          <w:tcPr>
            <w:tcW w:w="2378" w:type="dxa"/>
          </w:tcPr>
          <w:p w:rsidR="00780729" w:rsidP="00780729">
            <w:r w:rsidRPr="0062613B">
              <w:rPr>
                <w:b/>
              </w:rPr>
              <w:t>Tell Us About Yourself</w:t>
            </w:r>
            <w:r>
              <w:t xml:space="preserve"> Gather information basic enrollment information. </w:t>
            </w:r>
          </w:p>
          <w:p w:rsidR="00780729" w:rsidP="00780729"/>
          <w:p w:rsidR="00780729" w:rsidRPr="0062613B" w:rsidP="00780729">
            <w:pPr>
              <w:rPr>
                <w:b/>
              </w:rPr>
            </w:pPr>
            <w:r w:rsidRPr="0062613B">
              <w:rPr>
                <w:b/>
              </w:rPr>
              <w:t>SEP  (Exceptional Conditions)</w:t>
            </w:r>
          </w:p>
          <w:p w:rsidR="00EE4534" w:rsidP="003517A9"/>
        </w:tc>
        <w:tc>
          <w:tcPr>
            <w:tcW w:w="3241" w:type="dxa"/>
          </w:tcPr>
          <w:p w:rsidR="00EE4534" w:rsidP="003517A9">
            <w:r>
              <w:t xml:space="preserve">Section 1 – “Tell Us About Yourself” was updated to remove grammatical errors. </w:t>
            </w:r>
          </w:p>
          <w:p w:rsidR="00780729" w:rsidP="003517A9"/>
          <w:p w:rsidR="00780729" w:rsidP="003517A9">
            <w:pPr>
              <w:rPr>
                <w:b/>
              </w:rPr>
            </w:pPr>
            <w:r w:rsidRPr="0062613B">
              <w:rPr>
                <w:b/>
              </w:rPr>
              <w:t>SEP (Exceptional Conditions)</w:t>
            </w:r>
          </w:p>
          <w:p w:rsidR="0062613B" w:rsidRPr="0062613B" w:rsidP="003517A9">
            <w:r>
              <w:t>Updates were made to reflect changes in the final rule.</w:t>
            </w:r>
          </w:p>
          <w:p w:rsidR="00780729" w:rsidP="003517A9"/>
          <w:p w:rsidR="00780729" w:rsidP="003517A9">
            <w:r w:rsidRPr="0062613B">
              <w:rPr>
                <w:b/>
              </w:rPr>
              <w:t>Emergency or Disaster</w:t>
            </w:r>
            <w:r>
              <w:t xml:space="preserve"> – Updated to </w:t>
            </w:r>
            <w:r w:rsidR="0062613B">
              <w:t xml:space="preserve">include authorized representatives as individuals who lived in a disaster area. </w:t>
            </w:r>
            <w:r w:rsidR="00AD5BF0">
              <w:t xml:space="preserve">Also updated to change the duration from 2 months to 6 months. </w:t>
            </w:r>
            <w:r w:rsidR="003318ED">
              <w:t>Updated to include onl</w:t>
            </w:r>
            <w:r w:rsidR="003318ED">
              <w:t xml:space="preserve">y Month and Year of the disaster. </w:t>
            </w:r>
            <w:r w:rsidR="003318ED">
              <w:t xml:space="preserve">Beneficiaries may also include a description of the event. </w:t>
            </w:r>
          </w:p>
          <w:p w:rsidR="00583D84" w:rsidP="003517A9"/>
          <w:p w:rsidR="0062613B" w:rsidP="003517A9">
            <w:r w:rsidRPr="00583D84">
              <w:rPr>
                <w:b/>
              </w:rPr>
              <w:t>GHP</w:t>
            </w:r>
            <w:r w:rsidRPr="00583D84" w:rsidR="00583D84">
              <w:rPr>
                <w:b/>
              </w:rPr>
              <w:t xml:space="preserve"> or Employer</w:t>
            </w:r>
            <w:r w:rsidRPr="00583D84">
              <w:rPr>
                <w:b/>
              </w:rPr>
              <w:t xml:space="preserve"> Misinformation</w:t>
            </w:r>
            <w:r>
              <w:t xml:space="preserve"> – Updated to be more prescriptive on when misinformation </w:t>
            </w:r>
            <w:r w:rsidR="00583D84">
              <w:t xml:space="preserve">must have been </w:t>
            </w:r>
            <w:r>
              <w:t xml:space="preserve">received. </w:t>
            </w:r>
            <w:r w:rsidR="00583D84">
              <w:t xml:space="preserve">Updated to include agents and brokers of health plans as entities that can provide misinformation. </w:t>
            </w:r>
            <w:r>
              <w:t>Also updated to include the opportunity for the applicant to attest to the misinformation</w:t>
            </w:r>
            <w:r w:rsidR="00D67733">
              <w:t xml:space="preserve"> if other evidence is not available</w:t>
            </w:r>
            <w:r>
              <w:t xml:space="preserve">.  </w:t>
            </w:r>
            <w:r w:rsidR="00AD5BF0">
              <w:t xml:space="preserve">Updated to change the duration from 2 months to 6 months. </w:t>
            </w:r>
          </w:p>
          <w:p w:rsidR="00583D84" w:rsidP="003517A9"/>
          <w:p w:rsidR="00583D84" w:rsidP="003517A9">
            <w:r w:rsidRPr="00583D84">
              <w:rPr>
                <w:b/>
              </w:rPr>
              <w:t>SEP to Coordinate with Termination of Medicare Coverage</w:t>
            </w:r>
            <w:r>
              <w:t xml:space="preserve"> – Title changed to “SEP for Termination of Medicaid Eligibility” for simplification. </w:t>
            </w:r>
            <w:r w:rsidR="00AD5BF0">
              <w:t>Updated to include an option for retroactive coverage beginning at the date of Medicaid termination after 1/1/23.</w:t>
            </w:r>
          </w:p>
          <w:p w:rsidR="00583D84" w:rsidP="003517A9"/>
          <w:p w:rsidR="00583D84" w:rsidRPr="00583D84" w:rsidP="003517A9">
            <w:r>
              <w:t xml:space="preserve"> </w:t>
            </w:r>
          </w:p>
          <w:p w:rsidR="00EE4534" w:rsidP="003517A9"/>
        </w:tc>
        <w:tc>
          <w:tcPr>
            <w:tcW w:w="1336" w:type="dxa"/>
          </w:tcPr>
          <w:p w:rsidR="00EE4534" w:rsidP="003517A9">
            <w:r>
              <w:t>N/A</w:t>
            </w:r>
          </w:p>
        </w:tc>
      </w:tr>
      <w:tr w:rsidTr="006B7C99">
        <w:tblPrEx>
          <w:tblW w:w="12505" w:type="dxa"/>
          <w:tblLook w:val="04A0"/>
        </w:tblPrEx>
        <w:tc>
          <w:tcPr>
            <w:tcW w:w="3138" w:type="dxa"/>
          </w:tcPr>
          <w:p w:rsidR="00286DDA" w:rsidP="00780729">
            <w:r>
              <w:t xml:space="preserve">Page 3 </w:t>
            </w:r>
          </w:p>
        </w:tc>
        <w:tc>
          <w:tcPr>
            <w:tcW w:w="2412" w:type="dxa"/>
          </w:tcPr>
          <w:p w:rsidR="00EE4534" w:rsidRPr="00D67733" w:rsidP="003517A9">
            <w:pPr>
              <w:rPr>
                <w:b/>
              </w:rPr>
            </w:pPr>
            <w:r w:rsidRPr="00D67733">
              <w:rPr>
                <w:b/>
              </w:rPr>
              <w:t xml:space="preserve">Signature </w:t>
            </w:r>
          </w:p>
        </w:tc>
        <w:tc>
          <w:tcPr>
            <w:tcW w:w="2378" w:type="dxa"/>
          </w:tcPr>
          <w:p w:rsidR="00780729" w:rsidP="00780729">
            <w:r w:rsidRPr="0062613B">
              <w:rPr>
                <w:b/>
              </w:rPr>
              <w:t>SEP (Exceptional Conditions)</w:t>
            </w:r>
            <w:r>
              <w:t xml:space="preserve"> cont..</w:t>
            </w:r>
          </w:p>
          <w:p w:rsidR="00EE4534" w:rsidRPr="00D67733" w:rsidP="003517A9">
            <w:pPr>
              <w:rPr>
                <w:b/>
              </w:rPr>
            </w:pPr>
          </w:p>
          <w:p w:rsidR="00D67733" w:rsidP="003517A9">
            <w:r w:rsidRPr="00D67733">
              <w:rPr>
                <w:b/>
              </w:rPr>
              <w:t>Signature</w:t>
            </w:r>
          </w:p>
        </w:tc>
        <w:tc>
          <w:tcPr>
            <w:tcW w:w="3241" w:type="dxa"/>
          </w:tcPr>
          <w:p w:rsidR="00EE4534" w:rsidP="003517A9">
            <w:r w:rsidRPr="00D67733">
              <w:rPr>
                <w:b/>
              </w:rPr>
              <w:t>SEP for Formerly Incarcerated Individuals</w:t>
            </w:r>
            <w:r>
              <w:t xml:space="preserve"> – </w:t>
            </w:r>
            <w:r w:rsidR="003318ED">
              <w:t>Updated to include on month and year of incarceratio</w:t>
            </w:r>
            <w:r w:rsidR="003318ED">
              <w:t xml:space="preserve">n and release. </w:t>
            </w:r>
            <w:bookmarkStart w:id="0" w:name="_GoBack"/>
            <w:bookmarkEnd w:id="0"/>
            <w:r>
              <w:t>Updated to increase the SEP timeframe from 3 months to 12 months. Allows the applicant to choose an effective date either retrospective or prospective.</w:t>
            </w:r>
            <w:r w:rsidR="00AD5BF0">
              <w:t xml:space="preserve"> Also updated to allow retroactive coverage back to the date of release, not to exceed 6 months. </w:t>
            </w:r>
          </w:p>
          <w:p w:rsidR="00583D84" w:rsidP="003517A9"/>
          <w:p w:rsidR="00583D84" w:rsidP="003517A9">
            <w:r w:rsidRPr="00D67733">
              <w:rPr>
                <w:b/>
              </w:rPr>
              <w:t xml:space="preserve">SEP for Other Exceptional </w:t>
            </w:r>
            <w:r w:rsidRPr="00D67733" w:rsidR="00D67733">
              <w:rPr>
                <w:b/>
              </w:rPr>
              <w:t>Conditions</w:t>
            </w:r>
            <w:r w:rsidR="00D67733">
              <w:t xml:space="preserve"> – Updated to include the opportunity to attest to the circumstance, if other evidence is not available. </w:t>
            </w:r>
            <w:r w:rsidR="00AD5BF0">
              <w:t xml:space="preserve">Updated to change the duration to a case-by-case basis, not less than 6 months. </w:t>
            </w:r>
          </w:p>
          <w:p w:rsidR="00D67733" w:rsidP="003517A9"/>
          <w:p w:rsidR="00D67733" w:rsidP="003517A9">
            <w:r w:rsidRPr="00D67733">
              <w:rPr>
                <w:b/>
              </w:rPr>
              <w:t>Signature</w:t>
            </w:r>
            <w:r>
              <w:t xml:space="preserve"> – Updated with CMS OGC approved language about the penalties of falsification. </w:t>
            </w:r>
          </w:p>
        </w:tc>
        <w:tc>
          <w:tcPr>
            <w:tcW w:w="1336" w:type="dxa"/>
          </w:tcPr>
          <w:p w:rsidR="00EE4534" w:rsidP="003517A9">
            <w:r>
              <w:t>N/A</w:t>
            </w:r>
          </w:p>
        </w:tc>
      </w:tr>
      <w:tr w:rsidTr="006B7C99">
        <w:tblPrEx>
          <w:tblW w:w="12505" w:type="dxa"/>
          <w:tblLook w:val="04A0"/>
        </w:tblPrEx>
        <w:tc>
          <w:tcPr>
            <w:tcW w:w="3138" w:type="dxa"/>
          </w:tcPr>
          <w:p w:rsidR="00D67733" w:rsidP="00780729">
            <w:r>
              <w:t>Page 4</w:t>
            </w:r>
          </w:p>
        </w:tc>
        <w:tc>
          <w:tcPr>
            <w:tcW w:w="2412" w:type="dxa"/>
          </w:tcPr>
          <w:p w:rsidR="00D67733" w:rsidP="003517A9">
            <w:r>
              <w:t>N/A</w:t>
            </w:r>
          </w:p>
        </w:tc>
        <w:tc>
          <w:tcPr>
            <w:tcW w:w="2378" w:type="dxa"/>
          </w:tcPr>
          <w:p w:rsidR="00D67733" w:rsidP="00780729">
            <w:pPr>
              <w:rPr>
                <w:b/>
              </w:rPr>
            </w:pPr>
            <w:r>
              <w:rPr>
                <w:b/>
              </w:rPr>
              <w:t>Privacy Notice</w:t>
            </w:r>
          </w:p>
          <w:p w:rsidR="00D67733" w:rsidP="00780729">
            <w:pPr>
              <w:rPr>
                <w:b/>
              </w:rPr>
            </w:pPr>
          </w:p>
          <w:p w:rsidR="00D67733" w:rsidRPr="0062613B" w:rsidP="00780729">
            <w:pPr>
              <w:rPr>
                <w:b/>
              </w:rPr>
            </w:pPr>
            <w:r>
              <w:rPr>
                <w:b/>
              </w:rPr>
              <w:t xml:space="preserve">PRA </w:t>
            </w:r>
            <w:r>
              <w:rPr>
                <w:b/>
              </w:rPr>
              <w:t>Disclsoure</w:t>
            </w:r>
          </w:p>
        </w:tc>
        <w:tc>
          <w:tcPr>
            <w:tcW w:w="3241" w:type="dxa"/>
          </w:tcPr>
          <w:p w:rsidR="00D67733" w:rsidRPr="00D67733" w:rsidP="003517A9">
            <w:r w:rsidRPr="00D67733">
              <w:t xml:space="preserve">The notices page was added to provide applicants with information related to this collection. </w:t>
            </w:r>
          </w:p>
        </w:tc>
        <w:tc>
          <w:tcPr>
            <w:tcW w:w="1336" w:type="dxa"/>
          </w:tcPr>
          <w:p w:rsidR="00D67733" w:rsidP="003517A9">
            <w:r>
              <w:t>N/A</w:t>
            </w:r>
          </w:p>
        </w:tc>
      </w:tr>
      <w:tr w:rsidTr="006B7C99">
        <w:tblPrEx>
          <w:tblW w:w="12505" w:type="dxa"/>
          <w:tblLook w:val="04A0"/>
        </w:tblPrEx>
        <w:tc>
          <w:tcPr>
            <w:tcW w:w="3138" w:type="dxa"/>
          </w:tcPr>
          <w:p w:rsidR="00D67733" w:rsidP="00780729">
            <w:r>
              <w:t>Page 5</w:t>
            </w:r>
          </w:p>
        </w:tc>
        <w:tc>
          <w:tcPr>
            <w:tcW w:w="2412" w:type="dxa"/>
          </w:tcPr>
          <w:p w:rsidR="00D67733" w:rsidP="003517A9">
            <w:r>
              <w:t>N/A</w:t>
            </w:r>
          </w:p>
        </w:tc>
        <w:tc>
          <w:tcPr>
            <w:tcW w:w="2378" w:type="dxa"/>
          </w:tcPr>
          <w:p w:rsidR="00D67733" w:rsidP="00780729">
            <w:pPr>
              <w:rPr>
                <w:b/>
              </w:rPr>
            </w:pPr>
            <w:r>
              <w:rPr>
                <w:b/>
              </w:rPr>
              <w:t>Attestation</w:t>
            </w:r>
          </w:p>
        </w:tc>
        <w:tc>
          <w:tcPr>
            <w:tcW w:w="3241" w:type="dxa"/>
          </w:tcPr>
          <w:p w:rsidR="00D67733" w:rsidRPr="00D67733" w:rsidP="003517A9">
            <w:r>
              <w:t xml:space="preserve">This page collects basic enrollment information again, in case the form is misplaced from the original application. This form also asks for detailed information related the GHP or Employer SEP and the SEP for Other Exceptional Circumstance. This includes, approximate dates, missed </w:t>
            </w:r>
            <w:r>
              <w:t xml:space="preserve">enrollment periods, </w:t>
            </w:r>
            <w:r w:rsidR="00D923AE">
              <w:t xml:space="preserve">and other involved parties. </w:t>
            </w:r>
          </w:p>
        </w:tc>
        <w:tc>
          <w:tcPr>
            <w:tcW w:w="1336" w:type="dxa"/>
          </w:tcPr>
          <w:p w:rsidR="00D67733" w:rsidP="003517A9">
            <w:r>
              <w:t>N/A</w:t>
            </w:r>
          </w:p>
        </w:tc>
      </w:tr>
      <w:tr w:rsidTr="006B7C99">
        <w:tblPrEx>
          <w:tblW w:w="12505" w:type="dxa"/>
          <w:tblLook w:val="04A0"/>
        </w:tblPrEx>
        <w:tc>
          <w:tcPr>
            <w:tcW w:w="3138" w:type="dxa"/>
          </w:tcPr>
          <w:p w:rsidR="00D67733" w:rsidP="00780729">
            <w:r>
              <w:t>Page 6</w:t>
            </w:r>
          </w:p>
        </w:tc>
        <w:tc>
          <w:tcPr>
            <w:tcW w:w="2412" w:type="dxa"/>
          </w:tcPr>
          <w:p w:rsidR="00D67733" w:rsidP="003517A9">
            <w:r>
              <w:t>N/A</w:t>
            </w:r>
          </w:p>
        </w:tc>
        <w:tc>
          <w:tcPr>
            <w:tcW w:w="2378" w:type="dxa"/>
          </w:tcPr>
          <w:p w:rsidR="00D67733" w:rsidP="00780729">
            <w:pPr>
              <w:rPr>
                <w:b/>
              </w:rPr>
            </w:pPr>
            <w:r>
              <w:rPr>
                <w:b/>
              </w:rPr>
              <w:t xml:space="preserve">Attestation </w:t>
            </w:r>
            <w:r w:rsidRPr="00D67733">
              <w:t>cont.</w:t>
            </w:r>
          </w:p>
        </w:tc>
        <w:tc>
          <w:tcPr>
            <w:tcW w:w="3241" w:type="dxa"/>
          </w:tcPr>
          <w:p w:rsidR="00D67733" w:rsidRPr="00D67733" w:rsidP="003517A9">
            <w:r>
              <w:t xml:space="preserve">This page provides a blank space for applicants to provide their detailed account of misinformation. </w:t>
            </w:r>
          </w:p>
        </w:tc>
        <w:tc>
          <w:tcPr>
            <w:tcW w:w="1336" w:type="dxa"/>
          </w:tcPr>
          <w:p w:rsidR="00D67733" w:rsidP="003517A9">
            <w:r>
              <w:t>N/A</w:t>
            </w:r>
          </w:p>
        </w:tc>
      </w:tr>
    </w:tbl>
    <w:p w:rsidR="00EE4534" w:rsidRPr="00EE4534" w:rsidP="00EE4534">
      <w:pPr>
        <w:pStyle w:val="Header"/>
        <w:rPr>
          <w:b/>
        </w:rPr>
      </w:pPr>
    </w:p>
    <w:p w:rsidR="00F65C5B"/>
    <w:sectPr w:rsidSect="00EE45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A0305"/>
    <w:multiLevelType w:val="hybridMultilevel"/>
    <w:tmpl w:val="12AEF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277F95"/>
    <w:multiLevelType w:val="hybridMultilevel"/>
    <w:tmpl w:val="8DDCB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Patterson, Carla (CMS/CM)">
    <w15:presenceInfo w15:providerId="AD" w15:userId="S-1-5-21-4095628063-3556742122-3606576086-152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34"/>
    <w:rsid w:val="00040770"/>
    <w:rsid w:val="00080F6D"/>
    <w:rsid w:val="00235A06"/>
    <w:rsid w:val="00286DDA"/>
    <w:rsid w:val="003318ED"/>
    <w:rsid w:val="003517A9"/>
    <w:rsid w:val="003C5704"/>
    <w:rsid w:val="004A72D5"/>
    <w:rsid w:val="004D29BE"/>
    <w:rsid w:val="0051415D"/>
    <w:rsid w:val="00583D84"/>
    <w:rsid w:val="006153D9"/>
    <w:rsid w:val="0062613B"/>
    <w:rsid w:val="006B7C99"/>
    <w:rsid w:val="006D4D36"/>
    <w:rsid w:val="00780729"/>
    <w:rsid w:val="007D1E9E"/>
    <w:rsid w:val="00887EEA"/>
    <w:rsid w:val="009C518B"/>
    <w:rsid w:val="00AD5BF0"/>
    <w:rsid w:val="00C50DF6"/>
    <w:rsid w:val="00C965C5"/>
    <w:rsid w:val="00CB3787"/>
    <w:rsid w:val="00D53840"/>
    <w:rsid w:val="00D67733"/>
    <w:rsid w:val="00D923AE"/>
    <w:rsid w:val="00E40783"/>
    <w:rsid w:val="00EE4534"/>
    <w:rsid w:val="00F060A2"/>
    <w:rsid w:val="00F65C5B"/>
    <w:rsid w:val="00FD0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DF6A39"/>
  <w15:chartTrackingRefBased/>
  <w15:docId w15:val="{99617BC4-FB1A-473D-8E83-8E130C21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34"/>
  </w:style>
  <w:style w:type="table" w:styleId="TableGrid">
    <w:name w:val="Table Grid"/>
    <w:basedOn w:val="TableNormal"/>
    <w:uiPriority w:val="39"/>
    <w:rsid w:val="00EE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Patterson</dc:creator>
  <cp:lastModifiedBy>Patterson, Carla (CMS/CM)</cp:lastModifiedBy>
  <cp:revision>2</cp:revision>
  <dcterms:created xsi:type="dcterms:W3CDTF">2022-11-08T17:58:00Z</dcterms:created>
  <dcterms:modified xsi:type="dcterms:W3CDTF">2022-11-08T17:58:00Z</dcterms:modified>
</cp:coreProperties>
</file>