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6178" w:rsidR="00826178" w:rsidP="0052752D" w:rsidRDefault="00826178">
      <w:pPr>
        <w:widowControl/>
        <w:autoSpaceDE/>
        <w:autoSpaceDN/>
        <w:adjustRightInd/>
        <w:jc w:val="center"/>
        <w:rPr>
          <w:u w:val="single"/>
        </w:rPr>
      </w:pPr>
      <w:r w:rsidRPr="00826178">
        <w:rPr>
          <w:u w:val="single"/>
        </w:rPr>
        <w:t>SUPPORTING STATEMENT</w:t>
      </w:r>
      <w:r w:rsidR="009364B7">
        <w:rPr>
          <w:u w:val="single"/>
        </w:rPr>
        <w:t xml:space="preserve"> – PART A</w:t>
      </w:r>
    </w:p>
    <w:p w:rsidRPr="00826178" w:rsidR="001D0CCE" w:rsidP="0052752D" w:rsidRDefault="0073469D">
      <w:pPr>
        <w:pStyle w:val="c2"/>
        <w:rPr>
          <w:bCs/>
          <w:u w:val="single"/>
        </w:rPr>
      </w:pPr>
      <w:r w:rsidRPr="00826178">
        <w:rPr>
          <w:bCs/>
          <w:u w:val="single"/>
        </w:rPr>
        <w:t xml:space="preserve">OMB </w:t>
      </w:r>
      <w:r w:rsidRPr="00826178" w:rsidR="00826178">
        <w:rPr>
          <w:bCs/>
          <w:u w:val="single"/>
        </w:rPr>
        <w:t xml:space="preserve">Control </w:t>
      </w:r>
      <w:r w:rsidRPr="00826178">
        <w:rPr>
          <w:bCs/>
          <w:u w:val="single"/>
        </w:rPr>
        <w:t>No. 07</w:t>
      </w:r>
      <w:r w:rsidR="00D57E34">
        <w:rPr>
          <w:bCs/>
          <w:u w:val="single"/>
        </w:rPr>
        <w:t>5</w:t>
      </w:r>
      <w:r w:rsidRPr="00826178">
        <w:rPr>
          <w:bCs/>
          <w:u w:val="single"/>
        </w:rPr>
        <w:t>0-0</w:t>
      </w:r>
      <w:r w:rsidR="00D45582">
        <w:rPr>
          <w:bCs/>
          <w:u w:val="single"/>
        </w:rPr>
        <w:t>XXX</w:t>
      </w:r>
      <w:r w:rsidRPr="00826178" w:rsidR="006F3E9C">
        <w:rPr>
          <w:bCs/>
          <w:u w:val="single"/>
        </w:rPr>
        <w:t xml:space="preserve"> </w:t>
      </w:r>
      <w:r w:rsidRPr="00826178" w:rsidR="00826178">
        <w:rPr>
          <w:bCs/>
          <w:u w:val="single"/>
        </w:rPr>
        <w:t>–</w:t>
      </w:r>
      <w:r w:rsidRPr="00826178" w:rsidR="006F3E9C">
        <w:rPr>
          <w:bCs/>
          <w:u w:val="single"/>
        </w:rPr>
        <w:t xml:space="preserve"> </w:t>
      </w:r>
      <w:r w:rsidRPr="00826178" w:rsidR="00924C88">
        <w:rPr>
          <w:bCs/>
          <w:u w:val="single"/>
        </w:rPr>
        <w:t>Defense Federal Acquisition Regulation Supplement (DFARS)</w:t>
      </w:r>
      <w:r w:rsidRPr="00826178" w:rsidR="0027160C">
        <w:rPr>
          <w:bCs/>
          <w:u w:val="single"/>
        </w:rPr>
        <w:t xml:space="preserve"> </w:t>
      </w:r>
      <w:r w:rsidR="00374435">
        <w:rPr>
          <w:bCs/>
          <w:u w:val="single"/>
        </w:rPr>
        <w:t>P</w:t>
      </w:r>
      <w:r w:rsidR="008A63FF">
        <w:rPr>
          <w:bCs/>
          <w:u w:val="single"/>
        </w:rPr>
        <w:t xml:space="preserve">art 237 </w:t>
      </w:r>
      <w:r w:rsidR="00A8733F">
        <w:rPr>
          <w:bCs/>
          <w:u w:val="single"/>
        </w:rPr>
        <w:t xml:space="preserve">and Associated </w:t>
      </w:r>
      <w:bookmarkStart w:name="_GoBack" w:id="0"/>
      <w:bookmarkEnd w:id="0"/>
      <w:r w:rsidRPr="00826178" w:rsidR="001D0CCE">
        <w:rPr>
          <w:bCs/>
          <w:u w:val="single"/>
        </w:rPr>
        <w:t>Clauses 252.237</w:t>
      </w:r>
      <w:r w:rsidR="00D57E34">
        <w:rPr>
          <w:bCs/>
          <w:u w:val="single"/>
        </w:rPr>
        <w:t>-</w:t>
      </w:r>
      <w:r w:rsidR="00D45582">
        <w:rPr>
          <w:bCs/>
          <w:u w:val="single"/>
        </w:rPr>
        <w:t>70</w:t>
      </w:r>
      <w:r w:rsidR="00D57E34">
        <w:rPr>
          <w:bCs/>
          <w:u w:val="single"/>
        </w:rPr>
        <w:t>25</w:t>
      </w:r>
      <w:r w:rsidR="00D45582">
        <w:rPr>
          <w:bCs/>
          <w:u w:val="single"/>
        </w:rPr>
        <w:t xml:space="preserve"> and 252.237-70</w:t>
      </w:r>
      <w:r w:rsidR="00D57E34">
        <w:rPr>
          <w:bCs/>
          <w:u w:val="single"/>
        </w:rPr>
        <w:t>26</w:t>
      </w:r>
    </w:p>
    <w:p w:rsidRPr="00647534" w:rsidR="001D0CCE" w:rsidP="0052752D" w:rsidRDefault="001D0CCE">
      <w:pPr>
        <w:pStyle w:val="c2"/>
        <w:jc w:val="left"/>
        <w:rPr>
          <w:bCs/>
        </w:rPr>
      </w:pPr>
    </w:p>
    <w:p w:rsidRPr="00647534" w:rsidR="0073469D" w:rsidP="0052752D" w:rsidRDefault="0073469D"/>
    <w:p w:rsidRPr="00647534" w:rsidR="00831864" w:rsidP="0052752D" w:rsidRDefault="00831864">
      <w:r w:rsidRPr="00647534">
        <w:t xml:space="preserve">1.  </w:t>
      </w:r>
      <w:r w:rsidRPr="00647534">
        <w:rPr>
          <w:u w:val="single"/>
        </w:rPr>
        <w:t>Need for the Information Collection</w:t>
      </w:r>
    </w:p>
    <w:p w:rsidR="0027160C" w:rsidP="0053470C" w:rsidRDefault="0027160C"/>
    <w:p w:rsidRPr="00647534" w:rsidR="00473C66" w:rsidP="0052752D" w:rsidRDefault="0052752D">
      <w:r>
        <w:tab/>
      </w:r>
      <w:r w:rsidRPr="00647534" w:rsidR="0073469D">
        <w:t xml:space="preserve">This </w:t>
      </w:r>
      <w:r w:rsidRPr="00647534" w:rsidR="00356A75">
        <w:t xml:space="preserve">supporting statement justifies the information collection requirements </w:t>
      </w:r>
      <w:r w:rsidRPr="00647534" w:rsidR="000959C1">
        <w:t xml:space="preserve">for </w:t>
      </w:r>
      <w:r w:rsidR="00D45582">
        <w:t>one</w:t>
      </w:r>
      <w:r w:rsidRPr="00647534" w:rsidR="007D369A">
        <w:t xml:space="preserve"> </w:t>
      </w:r>
      <w:r w:rsidRPr="00647534" w:rsidR="00A32C02">
        <w:t xml:space="preserve">DFARS </w:t>
      </w:r>
      <w:r w:rsidR="00D57E34">
        <w:t xml:space="preserve">solicitation </w:t>
      </w:r>
      <w:r w:rsidRPr="00647534" w:rsidR="00A32C02">
        <w:t xml:space="preserve">provision and </w:t>
      </w:r>
      <w:r w:rsidR="00D45582">
        <w:t>one</w:t>
      </w:r>
      <w:r w:rsidRPr="00647534" w:rsidR="0030321C">
        <w:t xml:space="preserve"> </w:t>
      </w:r>
      <w:r w:rsidRPr="00647534" w:rsidR="00356A75">
        <w:t xml:space="preserve">DFARS </w:t>
      </w:r>
      <w:r w:rsidR="00D57E34">
        <w:t xml:space="preserve">contract </w:t>
      </w:r>
      <w:r w:rsidRPr="00647534" w:rsidR="00356A75">
        <w:t>clause</w:t>
      </w:r>
      <w:r w:rsidR="0053470C">
        <w:t>.  This information collection is required to implement section 1006 of the National Defense Authorization Act (NDAA) for Fiscal Year (FY) 2019 (Pub. L. 115-232), as amended by section 1011 of the NDAA for FY 2020 (Pub. L. 116-92).  Section 1006 applies to accounting firms that provide financial statement auditing to DoD in support of the audit under 31 U.S.C. 3521 or audit remediation services in support of the Financial Improvement and Audit Remediation Plan described in 10 U.S.C. 240b.  Such firms, when responding to a solicitation or awarded a contract for the acquisition of covered services, must disclose to DoD before any contract action (including award, renewals, and amendments) the details of any disciplinary proceedings with respect to the account firm or its associated persons before any entity with the authority to enforce compliance with rules or laws applying to audit services offered by the accounting firm.  DoD, as a matter of policy to provide a level playing field between firms that provide audit services to support certain DoD audits, is extending this requirement to firms other than accounting firms that provide such services.  Section 1011 amended section 1006 to require disclosures to be treated as confidential to the extent required by the court or agency in which the proceeding occurred and to be treated in a manner consistent with any protections or privileges established by any other provision of Federal law.</w:t>
      </w:r>
    </w:p>
    <w:p w:rsidRPr="00647534" w:rsidR="002C4BCA" w:rsidP="0053470C" w:rsidRDefault="002C4BCA">
      <w:pPr>
        <w:pStyle w:val="p3"/>
        <w:tabs>
          <w:tab w:val="clear" w:pos="663"/>
        </w:tabs>
      </w:pPr>
    </w:p>
    <w:p w:rsidRPr="00647534" w:rsidR="002C4BCA" w:rsidP="0052752D" w:rsidRDefault="00473C66">
      <w:pPr>
        <w:pStyle w:val="p3"/>
        <w:tabs>
          <w:tab w:val="clear" w:pos="663"/>
        </w:tabs>
      </w:pPr>
      <w:r w:rsidRPr="00647534">
        <w:tab/>
      </w:r>
      <w:r w:rsidRPr="00647534" w:rsidR="0005401A">
        <w:t>a</w:t>
      </w:r>
      <w:r w:rsidRPr="00647534" w:rsidR="00860F2A">
        <w:t>.</w:t>
      </w:r>
      <w:r w:rsidRPr="00647534" w:rsidR="0005401A">
        <w:t xml:space="preserve"> </w:t>
      </w:r>
      <w:r w:rsidR="00D20E8D">
        <w:t xml:space="preserve"> </w:t>
      </w:r>
      <w:r w:rsidRPr="00647534" w:rsidR="00356A75">
        <w:t>DFARS</w:t>
      </w:r>
      <w:r w:rsidRPr="00647534" w:rsidR="00D63AE3">
        <w:t xml:space="preserve"> </w:t>
      </w:r>
      <w:r w:rsidR="000B52B7">
        <w:t>p</w:t>
      </w:r>
      <w:r w:rsidRPr="00647534" w:rsidR="00D63AE3">
        <w:t>rovision</w:t>
      </w:r>
      <w:r w:rsidRPr="00647534" w:rsidR="00356A75">
        <w:t xml:space="preserve"> 252.237-70</w:t>
      </w:r>
      <w:r w:rsidR="00D57E34">
        <w:t>25</w:t>
      </w:r>
      <w:r w:rsidR="00D45582">
        <w:t>, Preaward Transparency Requirements for Firms Offering to Support Department of Defense Audit</w:t>
      </w:r>
      <w:r w:rsidR="00F40397">
        <w:t>s—Representation and Disclosure</w:t>
      </w:r>
      <w:r w:rsidR="00BB282B">
        <w:t xml:space="preserve">, </w:t>
      </w:r>
      <w:r w:rsidR="00D45582">
        <w:t>as</w:t>
      </w:r>
      <w:r w:rsidRPr="00647534">
        <w:t xml:space="preserve"> prescribed at DFARS 237.270</w:t>
      </w:r>
      <w:r w:rsidR="00377D6A">
        <w:t xml:space="preserve">(e)(3), </w:t>
      </w:r>
      <w:r w:rsidR="00BB282B">
        <w:t>for use</w:t>
      </w:r>
      <w:r w:rsidRPr="00647534">
        <w:t xml:space="preserve"> </w:t>
      </w:r>
      <w:r w:rsidRPr="00647534" w:rsidR="002C4BCA">
        <w:t xml:space="preserve">in </w:t>
      </w:r>
      <w:r w:rsidRPr="00647534">
        <w:t>solicitations for</w:t>
      </w:r>
      <w:r w:rsidRPr="00647534" w:rsidR="002C4BCA">
        <w:t xml:space="preserve"> the acquisition</w:t>
      </w:r>
      <w:r w:rsidRPr="00647534">
        <w:t xml:space="preserve"> of </w:t>
      </w:r>
      <w:r w:rsidR="00D45582">
        <w:t>financial statement auditing or audit remediation services</w:t>
      </w:r>
      <w:r w:rsidRPr="00647534">
        <w:t>.</w:t>
      </w:r>
      <w:r w:rsidRPr="00741BD7" w:rsidR="00741BD7">
        <w:t xml:space="preserve">  This provision requires offerors to disclose to DoD, before contract award, the details of any disciplinary proceedings with respect to the accounting firm or its associated persons before any entity with the authority to enforce compliance with rules or laws applying to audit services offered by the accounting firm.</w:t>
      </w:r>
    </w:p>
    <w:p w:rsidRPr="00647534" w:rsidR="002C4BCA" w:rsidP="0052752D" w:rsidRDefault="002C4BCA">
      <w:pPr>
        <w:pStyle w:val="p3"/>
        <w:tabs>
          <w:tab w:val="clear" w:pos="663"/>
        </w:tabs>
      </w:pPr>
    </w:p>
    <w:p w:rsidRPr="00647534" w:rsidR="007238BF" w:rsidP="0052752D" w:rsidRDefault="00473C66">
      <w:pPr>
        <w:pStyle w:val="p3"/>
        <w:tabs>
          <w:tab w:val="clear" w:pos="663"/>
        </w:tabs>
      </w:pPr>
      <w:r w:rsidRPr="00647534">
        <w:tab/>
      </w:r>
      <w:r w:rsidRPr="00647534" w:rsidR="0005401A">
        <w:t>b</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w:t>
      </w:r>
      <w:r w:rsidR="00D57E34">
        <w:t>26</w:t>
      </w:r>
      <w:r w:rsidRPr="00647534" w:rsidR="003C5E4F">
        <w:t xml:space="preserve">, </w:t>
      </w:r>
      <w:r w:rsidR="00D45582">
        <w:t>Postaward Transparency Requirements for Firm</w:t>
      </w:r>
      <w:r w:rsidR="00D57E34">
        <w:t>s</w:t>
      </w:r>
      <w:r w:rsidR="00D45582">
        <w:t xml:space="preserve"> that Support Department of Defense Audit</w:t>
      </w:r>
      <w:r w:rsidR="00F40397">
        <w:t>s</w:t>
      </w:r>
      <w:r w:rsidR="00D45582">
        <w:t>, as prescribed at DFARS 237.270(e)(4),</w:t>
      </w:r>
      <w:r w:rsidR="00D57E34">
        <w:t xml:space="preserve"> </w:t>
      </w:r>
      <w:r w:rsidR="00BB282B">
        <w:t>for use</w:t>
      </w:r>
      <w:r w:rsidRPr="00647534" w:rsidR="000959C1">
        <w:t xml:space="preserve"> in </w:t>
      </w:r>
      <w:r w:rsidR="00D45582">
        <w:t>s</w:t>
      </w:r>
      <w:r w:rsidRPr="00647534" w:rsidR="000959C1">
        <w:t>olicitations and contracts</w:t>
      </w:r>
      <w:r w:rsidR="00D45582">
        <w:t xml:space="preserve"> </w:t>
      </w:r>
      <w:r w:rsidRPr="00647534" w:rsidR="00D45582">
        <w:t xml:space="preserve">for the acquisition of </w:t>
      </w:r>
      <w:r w:rsidR="00D45582">
        <w:t>financial statement auditing or audit remediation services</w:t>
      </w:r>
      <w:r w:rsidRPr="00647534" w:rsidR="000959C1">
        <w:t>.</w:t>
      </w:r>
      <w:r w:rsidRPr="00741BD7" w:rsidR="00741BD7">
        <w:t xml:space="preserve">  This clause requires contractors to disclose to DoD, before any postaward contract action (e.g., renewals or modifications) the details of any disciplinary proceedings with respect to the accounting firm or its associated persons before any entity with the authority to enforce compliance with rules or laws applying to audit services offered by the accounting firm.</w:t>
      </w:r>
    </w:p>
    <w:p w:rsidRPr="00647534" w:rsidR="0029244A" w:rsidP="0052752D" w:rsidRDefault="0029244A">
      <w:pPr>
        <w:pStyle w:val="p3"/>
        <w:tabs>
          <w:tab w:val="clear" w:pos="663"/>
        </w:tabs>
      </w:pPr>
    </w:p>
    <w:p w:rsidRPr="00647534" w:rsidR="00831864" w:rsidP="0052752D" w:rsidRDefault="00831864">
      <w:pPr>
        <w:pStyle w:val="p3"/>
        <w:tabs>
          <w:tab w:val="clear" w:pos="663"/>
        </w:tabs>
        <w:rPr>
          <w:u w:val="single"/>
        </w:rPr>
      </w:pPr>
      <w:r w:rsidRPr="00647534">
        <w:t xml:space="preserve">2. </w:t>
      </w:r>
      <w:r w:rsidR="00D20E8D">
        <w:t xml:space="preserve"> </w:t>
      </w:r>
      <w:r w:rsidRPr="00647534">
        <w:rPr>
          <w:u w:val="single"/>
        </w:rPr>
        <w:t>Use of the Information</w:t>
      </w:r>
    </w:p>
    <w:p w:rsidRPr="00647534" w:rsidR="00831864" w:rsidP="0052752D" w:rsidRDefault="00831864">
      <w:pPr>
        <w:pStyle w:val="p3"/>
        <w:tabs>
          <w:tab w:val="clear" w:pos="663"/>
        </w:tabs>
      </w:pPr>
    </w:p>
    <w:p w:rsidRPr="00647534" w:rsidR="0073469D" w:rsidP="0052752D" w:rsidRDefault="00831864">
      <w:pPr>
        <w:pStyle w:val="p3"/>
        <w:tabs>
          <w:tab w:val="clear" w:pos="663"/>
        </w:tabs>
      </w:pPr>
      <w:r w:rsidRPr="00647534">
        <w:tab/>
      </w:r>
      <w:r w:rsidRPr="00647534" w:rsidR="00534DFF">
        <w:t>T</w:t>
      </w:r>
      <w:r w:rsidRPr="00647534" w:rsidR="0073469D">
        <w:t xml:space="preserve">he information collected under this clearance </w:t>
      </w:r>
      <w:r w:rsidRPr="00647534" w:rsidR="00E601E6">
        <w:t>is used</w:t>
      </w:r>
      <w:r w:rsidR="000B52B7">
        <w:t xml:space="preserve"> as follows:</w:t>
      </w:r>
    </w:p>
    <w:p w:rsidRPr="00647534" w:rsidR="0073469D" w:rsidP="0052752D" w:rsidRDefault="0073469D">
      <w:pPr>
        <w:pStyle w:val="p3"/>
        <w:tabs>
          <w:tab w:val="clear" w:pos="663"/>
        </w:tabs>
      </w:pPr>
    </w:p>
    <w:p w:rsidRPr="00647534" w:rsidR="0073469D" w:rsidP="0052752D" w:rsidRDefault="00D20E8D">
      <w:pPr>
        <w:pStyle w:val="p3"/>
        <w:tabs>
          <w:tab w:val="clear" w:pos="663"/>
        </w:tabs>
      </w:pPr>
      <w:r>
        <w:tab/>
      </w:r>
      <w:r w:rsidRPr="00647534" w:rsidR="0073469D">
        <w:t>a</w:t>
      </w:r>
      <w:r w:rsidRPr="00647534" w:rsidR="00B6267F">
        <w:t>.</w:t>
      </w:r>
      <w:r w:rsidRPr="00647534" w:rsidR="00F13515">
        <w:t xml:space="preserve"> </w:t>
      </w:r>
      <w:r>
        <w:t xml:space="preserve"> </w:t>
      </w:r>
      <w:r w:rsidR="000B52B7">
        <w:t xml:space="preserve">DFARS </w:t>
      </w:r>
      <w:r w:rsidRPr="00647534" w:rsidR="00F3404A">
        <w:t>252.237-70</w:t>
      </w:r>
      <w:r w:rsidR="00D57E34">
        <w:t>25</w:t>
      </w:r>
      <w:r w:rsidRPr="00647534" w:rsidR="00F3404A">
        <w:t xml:space="preserve"> </w:t>
      </w:r>
      <w:r w:rsidRPr="00647534" w:rsidR="007F3F61">
        <w:t>–</w:t>
      </w:r>
      <w:r w:rsidR="00156E72">
        <w:t xml:space="preserve"> </w:t>
      </w:r>
      <w:r w:rsidR="00D57E34">
        <w:t xml:space="preserve">The </w:t>
      </w:r>
      <w:r w:rsidR="00156E72">
        <w:t>contracting officer evaluat</w:t>
      </w:r>
      <w:r w:rsidR="00D57E34">
        <w:t>es the information provided by the offeror</w:t>
      </w:r>
      <w:r w:rsidR="00870F8F">
        <w:t xml:space="preserve"> prior to contract award</w:t>
      </w:r>
      <w:r w:rsidR="000B52B7">
        <w:t>.</w:t>
      </w:r>
    </w:p>
    <w:p w:rsidRPr="00647534" w:rsidR="0073469D" w:rsidP="0052752D" w:rsidRDefault="0073469D">
      <w:pPr>
        <w:pStyle w:val="p3"/>
        <w:tabs>
          <w:tab w:val="clear" w:pos="663"/>
        </w:tabs>
      </w:pPr>
    </w:p>
    <w:p w:rsidR="00576E51" w:rsidP="0052752D" w:rsidRDefault="00EB3F6B">
      <w:pPr>
        <w:pStyle w:val="p3"/>
        <w:tabs>
          <w:tab w:val="clear" w:pos="663"/>
        </w:tabs>
      </w:pPr>
      <w:r w:rsidRPr="00647534">
        <w:tab/>
      </w:r>
      <w:r w:rsidRPr="00647534" w:rsidR="0073469D">
        <w:t>b</w:t>
      </w:r>
      <w:r w:rsidRPr="00647534" w:rsidR="00B6267F">
        <w:t>.</w:t>
      </w:r>
      <w:r w:rsidRPr="00647534" w:rsidR="0073469D">
        <w:t xml:space="preserve"> </w:t>
      </w:r>
      <w:r w:rsidR="00D20E8D">
        <w:t xml:space="preserve"> </w:t>
      </w:r>
      <w:r w:rsidR="000B52B7">
        <w:t xml:space="preserve">DFARS </w:t>
      </w:r>
      <w:r w:rsidRPr="00647534" w:rsidR="00F3404A">
        <w:t>252.237-70</w:t>
      </w:r>
      <w:r w:rsidR="00D57E34">
        <w:t>26</w:t>
      </w:r>
      <w:r w:rsidR="00870F8F">
        <w:t xml:space="preserve"> –  </w:t>
      </w:r>
      <w:r w:rsidR="00D57E34">
        <w:t xml:space="preserve">The </w:t>
      </w:r>
      <w:r w:rsidR="00870F8F">
        <w:t>contracting officer evaluat</w:t>
      </w:r>
      <w:r w:rsidR="00D57E34">
        <w:t>es the information provided by the contractor</w:t>
      </w:r>
      <w:r w:rsidR="00870F8F">
        <w:t xml:space="preserve"> throughout contract performance</w:t>
      </w:r>
      <w:r w:rsidR="0079324C">
        <w:t xml:space="preserve">, </w:t>
      </w:r>
      <w:r w:rsidR="00870F8F">
        <w:t xml:space="preserve">prior to renewal or </w:t>
      </w:r>
      <w:r w:rsidR="00D57E34">
        <w:t xml:space="preserve">modification </w:t>
      </w:r>
      <w:r w:rsidR="00870F8F">
        <w:t>of a contract</w:t>
      </w:r>
      <w:r w:rsidR="00D57E34">
        <w:t>.</w:t>
      </w:r>
    </w:p>
    <w:p w:rsidR="00870F8F" w:rsidP="0052752D" w:rsidRDefault="00870F8F">
      <w:pPr>
        <w:pStyle w:val="p3"/>
        <w:tabs>
          <w:tab w:val="clear" w:pos="663"/>
        </w:tabs>
      </w:pPr>
    </w:p>
    <w:p w:rsidRPr="0052752D" w:rsidR="00477EEC" w:rsidP="0052752D" w:rsidRDefault="00477EEC">
      <w:pPr>
        <w:pStyle w:val="p3"/>
        <w:tabs>
          <w:tab w:val="clear" w:pos="663"/>
        </w:tabs>
        <w:rPr>
          <w:bCs/>
        </w:rPr>
      </w:pPr>
      <w:r w:rsidRPr="00647534">
        <w:t xml:space="preserve">3.  </w:t>
      </w:r>
      <w:r w:rsidRPr="00647534">
        <w:rPr>
          <w:u w:val="single"/>
        </w:rPr>
        <w:t>Use of In</w:t>
      </w:r>
      <w:r w:rsidRPr="00647534">
        <w:rPr>
          <w:bCs/>
          <w:u w:val="single"/>
        </w:rPr>
        <w:t>formation T</w:t>
      </w:r>
      <w:r w:rsidRPr="00647534" w:rsidR="0073469D">
        <w:rPr>
          <w:bCs/>
          <w:u w:val="single"/>
        </w:rPr>
        <w:t>echnology</w:t>
      </w:r>
    </w:p>
    <w:p w:rsidRPr="0052752D" w:rsidR="00477EEC" w:rsidP="0052752D" w:rsidRDefault="00477EEC">
      <w:pPr>
        <w:pStyle w:val="p3"/>
        <w:tabs>
          <w:tab w:val="clear" w:pos="663"/>
        </w:tabs>
        <w:rPr>
          <w:bCs/>
        </w:rPr>
      </w:pPr>
    </w:p>
    <w:p w:rsidRPr="00647534" w:rsidR="0073469D" w:rsidP="0052752D" w:rsidRDefault="00477EEC">
      <w:pPr>
        <w:pStyle w:val="p3"/>
        <w:tabs>
          <w:tab w:val="clear" w:pos="663"/>
        </w:tabs>
      </w:pPr>
      <w:r w:rsidRPr="00647534">
        <w:tab/>
      </w:r>
      <w:r w:rsidR="00A757BD">
        <w:t>I</w:t>
      </w:r>
      <w:r w:rsidRPr="00647534" w:rsidR="00725D0F">
        <w:t xml:space="preserve">nformation </w:t>
      </w:r>
      <w:r w:rsidRPr="00647534" w:rsidR="0073469D">
        <w:t xml:space="preserve">technology is used to the maximum extent possible.  </w:t>
      </w:r>
      <w:r w:rsidRPr="00647534" w:rsidR="00725D0F">
        <w:t xml:space="preserve">Where both the Government and the offeror or contractor </w:t>
      </w:r>
      <w:r w:rsidRPr="00647534" w:rsidR="00F21471">
        <w:t>is</w:t>
      </w:r>
      <w:r w:rsidRPr="00647534" w:rsidR="00725D0F">
        <w:t xml:space="preserve"> capable of electronic interchange, the information collection requirements may be submitted electronically, and the usage of information technology is 100 percent</w:t>
      </w:r>
      <w:r w:rsidRPr="00647534" w:rsidR="0073469D">
        <w:t>.</w:t>
      </w:r>
    </w:p>
    <w:p w:rsidRPr="00647534" w:rsidR="0073469D" w:rsidP="0052752D" w:rsidRDefault="0073469D"/>
    <w:p w:rsidRPr="00647534" w:rsidR="00477EEC" w:rsidP="0052752D" w:rsidRDefault="0073469D">
      <w:pPr>
        <w:pStyle w:val="p3"/>
        <w:tabs>
          <w:tab w:val="clear" w:pos="663"/>
        </w:tabs>
      </w:pPr>
      <w:r w:rsidRPr="00647534">
        <w:t xml:space="preserve">4.  </w:t>
      </w:r>
      <w:r w:rsidRPr="00647534" w:rsidR="008F6D8F">
        <w:rPr>
          <w:u w:val="single"/>
        </w:rPr>
        <w:t>Non-d</w:t>
      </w:r>
      <w:r w:rsidRPr="00647534">
        <w:rPr>
          <w:u w:val="single"/>
        </w:rPr>
        <w:t>uplication</w:t>
      </w:r>
    </w:p>
    <w:p w:rsidRPr="00647534" w:rsidR="00477EEC" w:rsidP="0052752D" w:rsidRDefault="00477EEC">
      <w:pPr>
        <w:pStyle w:val="p3"/>
        <w:tabs>
          <w:tab w:val="clear" w:pos="663"/>
        </w:tabs>
      </w:pPr>
    </w:p>
    <w:p w:rsidRPr="00647534" w:rsidR="0073469D" w:rsidP="0052752D" w:rsidRDefault="00477EEC">
      <w:pPr>
        <w:pStyle w:val="p3"/>
        <w:tabs>
          <w:tab w:val="clear" w:pos="663"/>
        </w:tabs>
      </w:pPr>
      <w:r w:rsidRPr="00647534">
        <w:tab/>
      </w:r>
      <w:r w:rsidRPr="00647534" w:rsidR="0073469D">
        <w:t xml:space="preserve">As a matter of policy, DoD reviews the </w:t>
      </w:r>
      <w:r w:rsidR="007D0EA1">
        <w:t>Federal Acquisition Regulation (FAR) and DFARS</w:t>
      </w:r>
      <w:r w:rsidRPr="00647534" w:rsidR="007D0EA1">
        <w:t xml:space="preserve"> </w:t>
      </w:r>
      <w:r w:rsidRPr="00647534" w:rsidR="0073469D">
        <w:t xml:space="preserve">to eliminate unnecessary duplication.  This request for information applies solely to DoD and </w:t>
      </w:r>
      <w:r w:rsidRPr="00647534" w:rsidR="0073469D">
        <w:lastRenderedPageBreak/>
        <w:t xml:space="preserve">does not duplicate any other requirement in the </w:t>
      </w:r>
      <w:r w:rsidR="007D0EA1">
        <w:t>FAR</w:t>
      </w:r>
      <w:r w:rsidRPr="00647534" w:rsidR="0073469D">
        <w:t>.  Similar information is not readily available from any other source.</w:t>
      </w:r>
    </w:p>
    <w:p w:rsidRPr="00647534" w:rsidR="0073469D" w:rsidP="0052752D" w:rsidRDefault="0073469D"/>
    <w:p w:rsidRPr="00647534" w:rsidR="008F6D8F" w:rsidP="0052752D" w:rsidRDefault="0073469D">
      <w:pPr>
        <w:pStyle w:val="p3"/>
        <w:tabs>
          <w:tab w:val="clear" w:pos="663"/>
        </w:tabs>
        <w:rPr>
          <w:bCs/>
        </w:rPr>
      </w:pPr>
      <w:r w:rsidRPr="00647534">
        <w:rPr>
          <w:bCs/>
        </w:rPr>
        <w:t xml:space="preserve">5.  </w:t>
      </w:r>
      <w:r w:rsidRPr="00647534" w:rsidR="008F6D8F">
        <w:rPr>
          <w:bCs/>
          <w:u w:val="single"/>
        </w:rPr>
        <w:t>Burden on Small Business</w:t>
      </w:r>
      <w:r w:rsidR="009364B7">
        <w:rPr>
          <w:bCs/>
          <w:u w:val="single"/>
        </w:rPr>
        <w:t>es</w:t>
      </w:r>
    </w:p>
    <w:p w:rsidRPr="00647534" w:rsidR="008F6D8F" w:rsidP="0052752D" w:rsidRDefault="008F6D8F">
      <w:pPr>
        <w:pStyle w:val="p3"/>
        <w:tabs>
          <w:tab w:val="clear" w:pos="663"/>
        </w:tabs>
        <w:rPr>
          <w:bCs/>
        </w:rPr>
      </w:pPr>
    </w:p>
    <w:p w:rsidRPr="00647534" w:rsidR="008F6D8F" w:rsidP="0052752D" w:rsidRDefault="008F6D8F">
      <w:pPr>
        <w:pStyle w:val="p3"/>
        <w:tabs>
          <w:tab w:val="clear" w:pos="663"/>
        </w:tabs>
      </w:pPr>
      <w:r w:rsidRPr="00647534">
        <w:tab/>
      </w:r>
      <w:r w:rsidRPr="00647534" w:rsidR="0073469D">
        <w:t xml:space="preserve">The burden applied to small businesses is the minimum consistent with </w:t>
      </w:r>
      <w:r w:rsidRPr="00647534" w:rsidR="00B80256">
        <w:t>applicable laws, executive o</w:t>
      </w:r>
      <w:r w:rsidRPr="00647534" w:rsidR="0073469D">
        <w:t>rders, regulations</w:t>
      </w:r>
      <w:r w:rsidR="00C00BBC">
        <w:t>,</w:t>
      </w:r>
      <w:r w:rsidRPr="00647534" w:rsidR="0073469D">
        <w:t xml:space="preserve"> and prudent business practices.</w:t>
      </w:r>
    </w:p>
    <w:p w:rsidRPr="00647534" w:rsidR="008F6D8F" w:rsidP="0052752D" w:rsidRDefault="008F6D8F">
      <w:pPr>
        <w:pStyle w:val="p3"/>
        <w:tabs>
          <w:tab w:val="clear" w:pos="663"/>
        </w:tabs>
      </w:pPr>
    </w:p>
    <w:p w:rsidRPr="00647534" w:rsidR="008F6D8F" w:rsidP="0052752D" w:rsidRDefault="0073469D">
      <w:pPr>
        <w:pStyle w:val="p3"/>
        <w:tabs>
          <w:tab w:val="clear" w:pos="663"/>
        </w:tabs>
      </w:pPr>
      <w:r w:rsidRPr="00647534">
        <w:t xml:space="preserve">6.  </w:t>
      </w:r>
      <w:r w:rsidRPr="00647534" w:rsidR="009A620A">
        <w:rPr>
          <w:u w:val="single"/>
        </w:rPr>
        <w:t>Less Frequent C</w:t>
      </w:r>
      <w:r w:rsidRPr="00647534">
        <w:rPr>
          <w:u w:val="single"/>
        </w:rPr>
        <w:t>ollection</w:t>
      </w:r>
    </w:p>
    <w:p w:rsidRPr="00647534" w:rsidR="008F6D8F" w:rsidP="0052752D" w:rsidRDefault="008F6D8F">
      <w:pPr>
        <w:pStyle w:val="p3"/>
        <w:tabs>
          <w:tab w:val="clear" w:pos="663"/>
        </w:tabs>
      </w:pPr>
    </w:p>
    <w:p w:rsidRPr="00647534" w:rsidR="009C3DD0" w:rsidP="0052752D" w:rsidRDefault="008F6D8F">
      <w:pPr>
        <w:pStyle w:val="p3"/>
        <w:tabs>
          <w:tab w:val="clear" w:pos="663"/>
        </w:tabs>
      </w:pPr>
      <w:r w:rsidRPr="00647534">
        <w:tab/>
      </w:r>
      <w:r w:rsidR="00E262FA">
        <w:t xml:space="preserve">If the information is collected less frequently, then the contracting officer may not have information that is needed to make decisions with regard to contract award, renewal, or </w:t>
      </w:r>
      <w:r w:rsidR="009364B7">
        <w:t>modification</w:t>
      </w:r>
      <w:r w:rsidR="00E262FA">
        <w:t>.</w:t>
      </w:r>
    </w:p>
    <w:p w:rsidRPr="00647534" w:rsidR="009C3DD0" w:rsidP="0052752D" w:rsidRDefault="009C3DD0">
      <w:pPr>
        <w:pStyle w:val="p3"/>
        <w:tabs>
          <w:tab w:val="clear" w:pos="663"/>
        </w:tabs>
      </w:pPr>
    </w:p>
    <w:p w:rsidRPr="00647534" w:rsidR="00FC73AA" w:rsidP="0052752D" w:rsidRDefault="0073469D">
      <w:pPr>
        <w:pStyle w:val="p3"/>
        <w:tabs>
          <w:tab w:val="clear" w:pos="663"/>
        </w:tabs>
      </w:pPr>
      <w:r w:rsidRPr="00647534">
        <w:t xml:space="preserve">7. </w:t>
      </w:r>
      <w:r w:rsidRPr="00647534" w:rsidR="005D6BC6">
        <w:t xml:space="preserve"> </w:t>
      </w:r>
      <w:r w:rsidRPr="00647534" w:rsidR="00935A0B">
        <w:rPr>
          <w:u w:val="single"/>
        </w:rPr>
        <w:t>Paperwork Reduction Act Guidelines</w:t>
      </w:r>
    </w:p>
    <w:p w:rsidRPr="00647534" w:rsidR="00FC73AA" w:rsidP="0052752D" w:rsidRDefault="00FC73AA">
      <w:pPr>
        <w:pStyle w:val="p3"/>
        <w:tabs>
          <w:tab w:val="clear" w:pos="663"/>
        </w:tabs>
        <w:rPr>
          <w:b/>
        </w:rPr>
      </w:pPr>
    </w:p>
    <w:p w:rsidRPr="00647534" w:rsidR="00935A0B" w:rsidP="0052752D" w:rsidRDefault="00FC73AA">
      <w:pPr>
        <w:pStyle w:val="p3"/>
        <w:tabs>
          <w:tab w:val="clear" w:pos="663"/>
        </w:tabs>
      </w:pPr>
      <w:r w:rsidRPr="00647534">
        <w:tab/>
      </w:r>
      <w:r w:rsidR="009364B7">
        <w:t>This c</w:t>
      </w:r>
      <w:r w:rsidRPr="00647534" w:rsidR="0073469D">
        <w:t xml:space="preserve">ollection of information does not require </w:t>
      </w:r>
      <w:r w:rsidR="009364B7">
        <w:t xml:space="preserve">collection to be conducted in a manner inconsistent with the guidelines in </w:t>
      </w:r>
      <w:r w:rsidRPr="00647534" w:rsidR="0073469D">
        <w:t>5 CFR 1320.5(d)(2).</w:t>
      </w:r>
    </w:p>
    <w:p w:rsidRPr="00647534" w:rsidR="00935A0B" w:rsidP="0052752D" w:rsidRDefault="00935A0B">
      <w:pPr>
        <w:pStyle w:val="p3"/>
        <w:tabs>
          <w:tab w:val="clear" w:pos="663"/>
        </w:tabs>
      </w:pPr>
    </w:p>
    <w:p w:rsidRPr="00647534" w:rsidR="000938D6" w:rsidP="0052752D" w:rsidRDefault="0073469D">
      <w:pPr>
        <w:pStyle w:val="p3"/>
        <w:tabs>
          <w:tab w:val="clear" w:pos="663"/>
        </w:tabs>
        <w:rPr>
          <w:u w:val="single"/>
        </w:rPr>
      </w:pPr>
      <w:r w:rsidRPr="00647534">
        <w:t xml:space="preserve">8. </w:t>
      </w:r>
      <w:r w:rsidRPr="00647534" w:rsidR="005D6BC6">
        <w:t xml:space="preserve"> </w:t>
      </w:r>
      <w:r w:rsidRPr="00647534" w:rsidR="000938D6">
        <w:rPr>
          <w:u w:val="single"/>
        </w:rPr>
        <w:t>C</w:t>
      </w:r>
      <w:r w:rsidRPr="00647534">
        <w:rPr>
          <w:u w:val="single"/>
        </w:rPr>
        <w:t>onsultation</w:t>
      </w:r>
      <w:r w:rsidRPr="00647534" w:rsidR="000938D6">
        <w:rPr>
          <w:u w:val="single"/>
        </w:rPr>
        <w:t xml:space="preserve"> and Public Comments</w:t>
      </w:r>
    </w:p>
    <w:p w:rsidRPr="00647534" w:rsidR="000938D6" w:rsidP="0052752D" w:rsidRDefault="000938D6">
      <w:pPr>
        <w:pStyle w:val="p3"/>
        <w:tabs>
          <w:tab w:val="clear" w:pos="663"/>
        </w:tabs>
      </w:pPr>
    </w:p>
    <w:p w:rsidR="00157ED5" w:rsidP="0052752D" w:rsidRDefault="005D6BC6">
      <w:pPr>
        <w:pStyle w:val="p3"/>
        <w:tabs>
          <w:tab w:val="clear" w:pos="663"/>
        </w:tabs>
      </w:pPr>
      <w:r w:rsidRPr="00647534">
        <w:tab/>
      </w:r>
      <w:r w:rsidRPr="00647534" w:rsidR="000938D6">
        <w:t xml:space="preserve">a. </w:t>
      </w:r>
      <w:r w:rsidR="00D20E8D">
        <w:t xml:space="preserve"> </w:t>
      </w:r>
      <w:r w:rsidR="009364B7">
        <w:rPr>
          <w:u w:val="single"/>
        </w:rPr>
        <w:t>Public Notice</w:t>
      </w:r>
    </w:p>
    <w:p w:rsidR="0015454E" w:rsidP="0052752D" w:rsidRDefault="0015454E">
      <w:pPr>
        <w:pStyle w:val="p3"/>
        <w:tabs>
          <w:tab w:val="clear" w:pos="663"/>
        </w:tabs>
      </w:pPr>
    </w:p>
    <w:p w:rsidRPr="00634FA9" w:rsidR="00634FA9" w:rsidP="0052752D" w:rsidRDefault="00634FA9">
      <w:pPr>
        <w:widowControl/>
        <w:autoSpaceDE/>
        <w:autoSpaceDN/>
        <w:adjustRightInd/>
      </w:pPr>
      <w:r>
        <w:tab/>
      </w:r>
      <w:r w:rsidR="009364B7">
        <w:tab/>
        <w:t>i</w:t>
      </w:r>
      <w:r w:rsidRPr="00634FA9">
        <w:t xml:space="preserve">.  </w:t>
      </w:r>
      <w:r w:rsidR="009364B7">
        <w:t xml:space="preserve">A 60-day notice for the collection was published </w:t>
      </w:r>
      <w:r w:rsidRPr="00634FA9">
        <w:t xml:space="preserve">in the </w:t>
      </w:r>
      <w:r w:rsidRPr="0052752D">
        <w:rPr>
          <w:i/>
        </w:rPr>
        <w:t>Federal Register</w:t>
      </w:r>
      <w:r w:rsidRPr="00634FA9">
        <w:t xml:space="preserve"> on </w:t>
      </w:r>
      <w:r w:rsidR="00D56F8A">
        <w:t>October 29</w:t>
      </w:r>
      <w:r w:rsidRPr="00634FA9">
        <w:t xml:space="preserve">, </w:t>
      </w:r>
      <w:r w:rsidRPr="00D56F8A">
        <w:t>20</w:t>
      </w:r>
      <w:r w:rsidRPr="00D56F8A" w:rsidR="00D56F8A">
        <w:t>21</w:t>
      </w:r>
      <w:r w:rsidR="003B1A87">
        <w:t>,</w:t>
      </w:r>
      <w:r w:rsidRPr="00D56F8A">
        <w:t xml:space="preserve"> </w:t>
      </w:r>
      <w:r w:rsidR="009364B7">
        <w:t xml:space="preserve">at </w:t>
      </w:r>
      <w:hyperlink w:history="1" r:id="rId8">
        <w:r w:rsidRPr="001675E8" w:rsidR="00D56F8A">
          <w:rPr>
            <w:rStyle w:val="Hyperlink"/>
          </w:rPr>
          <w:t>86</w:t>
        </w:r>
        <w:r w:rsidRPr="001675E8" w:rsidR="00F155B5">
          <w:rPr>
            <w:rStyle w:val="Hyperlink"/>
          </w:rPr>
          <w:t xml:space="preserve"> FR </w:t>
        </w:r>
        <w:r w:rsidRPr="001675E8" w:rsidR="00D56F8A">
          <w:rPr>
            <w:rStyle w:val="Hyperlink"/>
          </w:rPr>
          <w:t>59947</w:t>
        </w:r>
      </w:hyperlink>
      <w:r w:rsidRPr="00634FA9">
        <w:t xml:space="preserve">.  </w:t>
      </w:r>
      <w:r w:rsidR="00D56F8A">
        <w:t>No</w:t>
      </w:r>
      <w:r w:rsidRPr="00634FA9">
        <w:t xml:space="preserve"> comments were received</w:t>
      </w:r>
      <w:r w:rsidR="009364B7">
        <w:t xml:space="preserve"> during the 60-day comment period</w:t>
      </w:r>
      <w:r w:rsidRPr="00634FA9">
        <w:t>.</w:t>
      </w:r>
    </w:p>
    <w:p w:rsidRPr="00634FA9" w:rsidR="00634FA9" w:rsidP="0052752D" w:rsidRDefault="00634FA9">
      <w:pPr>
        <w:widowControl/>
        <w:autoSpaceDE/>
        <w:autoSpaceDN/>
        <w:adjustRightInd/>
      </w:pPr>
    </w:p>
    <w:p w:rsidRPr="00634FA9" w:rsidR="00634FA9" w:rsidP="0052752D" w:rsidRDefault="00634FA9">
      <w:pPr>
        <w:widowControl/>
        <w:autoSpaceDE/>
        <w:autoSpaceDN/>
        <w:adjustRightInd/>
      </w:pPr>
      <w:r w:rsidRPr="00634FA9">
        <w:tab/>
      </w:r>
      <w:r w:rsidR="009364B7">
        <w:tab/>
        <w:t>ii</w:t>
      </w:r>
      <w:r w:rsidRPr="00634FA9">
        <w:t xml:space="preserve">.  A </w:t>
      </w:r>
      <w:r w:rsidR="009364B7">
        <w:t xml:space="preserve">30-day </w:t>
      </w:r>
      <w:r w:rsidRPr="00634FA9">
        <w:t xml:space="preserve">notice </w:t>
      </w:r>
      <w:r w:rsidR="009364B7">
        <w:t xml:space="preserve">for the </w:t>
      </w:r>
      <w:r w:rsidRPr="00634FA9">
        <w:t xml:space="preserve">collection was published in the </w:t>
      </w:r>
      <w:r w:rsidRPr="0052752D">
        <w:rPr>
          <w:i/>
        </w:rPr>
        <w:t>Federal Register</w:t>
      </w:r>
      <w:r w:rsidRPr="00634FA9">
        <w:t xml:space="preserve"> on </w:t>
      </w:r>
      <w:r w:rsidRPr="00F155B5">
        <w:rPr>
          <w:highlight w:val="yellow"/>
        </w:rPr>
        <w:t>xxx xx</w:t>
      </w:r>
      <w:r w:rsidRPr="00634FA9">
        <w:t>, 20</w:t>
      </w:r>
      <w:r w:rsidR="00F155B5">
        <w:t>2</w:t>
      </w:r>
      <w:r w:rsidR="007D0EA1">
        <w:t>2</w:t>
      </w:r>
      <w:r w:rsidRPr="00634FA9">
        <w:t xml:space="preserve"> </w:t>
      </w:r>
      <w:r w:rsidR="009364B7">
        <w:t xml:space="preserve">at </w:t>
      </w:r>
      <w:r w:rsidR="007D0EA1">
        <w:t>87</w:t>
      </w:r>
      <w:r w:rsidRPr="00634FA9" w:rsidR="007D0EA1">
        <w:t xml:space="preserve"> </w:t>
      </w:r>
      <w:r w:rsidRPr="00634FA9">
        <w:t xml:space="preserve">FR </w:t>
      </w:r>
      <w:r w:rsidRPr="00F155B5">
        <w:rPr>
          <w:highlight w:val="yellow"/>
        </w:rPr>
        <w:t>xxxx</w:t>
      </w:r>
      <w:r w:rsidRPr="00634FA9">
        <w:t>.</w:t>
      </w:r>
    </w:p>
    <w:p w:rsidRPr="00647534" w:rsidR="0015454E" w:rsidP="0052752D" w:rsidRDefault="0015454E">
      <w:pPr>
        <w:pStyle w:val="p3"/>
        <w:tabs>
          <w:tab w:val="clear" w:pos="663"/>
        </w:tabs>
      </w:pPr>
    </w:p>
    <w:p w:rsidR="009364B7" w:rsidP="0052752D" w:rsidRDefault="009364B7">
      <w:pPr>
        <w:pStyle w:val="p3"/>
        <w:tabs>
          <w:tab w:val="clear" w:pos="663"/>
        </w:tabs>
      </w:pPr>
      <w:r>
        <w:tab/>
        <w:t xml:space="preserve">b.  </w:t>
      </w:r>
      <w:r w:rsidRPr="0052752D">
        <w:rPr>
          <w:u w:val="single"/>
        </w:rPr>
        <w:t>Consultation</w:t>
      </w:r>
    </w:p>
    <w:p w:rsidR="009364B7" w:rsidP="0052752D" w:rsidRDefault="009364B7">
      <w:pPr>
        <w:pStyle w:val="p3"/>
        <w:tabs>
          <w:tab w:val="clear" w:pos="663"/>
        </w:tabs>
      </w:pPr>
    </w:p>
    <w:p w:rsidRPr="009364B7" w:rsidR="009364B7" w:rsidP="0052752D" w:rsidRDefault="009364B7">
      <w:pPr>
        <w:pStyle w:val="p3"/>
        <w:tabs>
          <w:tab w:val="clear" w:pos="663"/>
        </w:tabs>
      </w:pPr>
      <w:r>
        <w:tab/>
      </w:r>
      <w:r>
        <w:tab/>
        <w:t>The availability of requested information, frequency of collection, and other aspects of the information collection addressed in this supporting statement were discussed with subject matter experts, including the comptroller and the DoD Inspector General.</w:t>
      </w:r>
    </w:p>
    <w:p w:rsidR="009364B7" w:rsidP="0052752D" w:rsidRDefault="009364B7">
      <w:pPr>
        <w:pStyle w:val="p3"/>
        <w:tabs>
          <w:tab w:val="clear" w:pos="663"/>
        </w:tabs>
      </w:pPr>
    </w:p>
    <w:p w:rsidRPr="00647534" w:rsidR="00157ED5" w:rsidP="0052752D" w:rsidRDefault="0073469D">
      <w:pPr>
        <w:pStyle w:val="p3"/>
        <w:tabs>
          <w:tab w:val="clear" w:pos="663"/>
        </w:tabs>
      </w:pPr>
      <w:r w:rsidRPr="00647534">
        <w:t xml:space="preserve">9.  </w:t>
      </w:r>
      <w:r w:rsidRPr="00647534" w:rsidR="007E7CA8">
        <w:rPr>
          <w:u w:val="single"/>
        </w:rPr>
        <w:t xml:space="preserve">Gifts or </w:t>
      </w:r>
      <w:r w:rsidRPr="00647534">
        <w:rPr>
          <w:u w:val="single"/>
        </w:rPr>
        <w:t>Payment</w:t>
      </w:r>
    </w:p>
    <w:p w:rsidRPr="00647534" w:rsidR="00157ED5" w:rsidP="0052752D" w:rsidRDefault="00157ED5">
      <w:pPr>
        <w:pStyle w:val="p3"/>
        <w:tabs>
          <w:tab w:val="clear" w:pos="663"/>
        </w:tabs>
      </w:pPr>
    </w:p>
    <w:p w:rsidRPr="00647534" w:rsidR="00077501" w:rsidP="0052752D" w:rsidRDefault="00157ED5">
      <w:pPr>
        <w:pStyle w:val="p3"/>
        <w:tabs>
          <w:tab w:val="clear" w:pos="663"/>
        </w:tabs>
      </w:pPr>
      <w:r w:rsidRPr="00647534">
        <w:tab/>
      </w:r>
      <w:r w:rsidRPr="00647534" w:rsidR="0073469D">
        <w:t>No payment</w:t>
      </w:r>
      <w:r w:rsidR="009364B7">
        <w:t>s</w:t>
      </w:r>
      <w:r w:rsidRPr="00647534" w:rsidR="0073469D">
        <w:t xml:space="preserve"> or gift will be provided to respondents</w:t>
      </w:r>
      <w:r w:rsidR="009364B7">
        <w:t xml:space="preserve"> as an incentive to participate in the collection</w:t>
      </w:r>
      <w:r w:rsidRPr="00647534" w:rsidR="0073469D">
        <w:t>, other than remuneration of contractors under their contracts.</w:t>
      </w:r>
    </w:p>
    <w:p w:rsidRPr="00647534" w:rsidR="00077501" w:rsidP="0052752D" w:rsidRDefault="00077501">
      <w:pPr>
        <w:pStyle w:val="p3"/>
        <w:tabs>
          <w:tab w:val="clear" w:pos="663"/>
        </w:tabs>
      </w:pPr>
    </w:p>
    <w:p w:rsidRPr="00647534" w:rsidR="00C4732A" w:rsidP="0052752D" w:rsidRDefault="0073469D">
      <w:pPr>
        <w:pStyle w:val="p3"/>
        <w:tabs>
          <w:tab w:val="clear" w:pos="663"/>
        </w:tabs>
      </w:pPr>
      <w:r w:rsidRPr="00647534">
        <w:t xml:space="preserve">10.  </w:t>
      </w:r>
      <w:r w:rsidRPr="00647534">
        <w:rPr>
          <w:u w:val="single"/>
        </w:rPr>
        <w:t>Confidentiality</w:t>
      </w:r>
    </w:p>
    <w:p w:rsidRPr="00647534" w:rsidR="00C4732A" w:rsidP="0052752D" w:rsidRDefault="00C4732A">
      <w:pPr>
        <w:pStyle w:val="p3"/>
        <w:tabs>
          <w:tab w:val="clear" w:pos="663"/>
        </w:tabs>
      </w:pPr>
    </w:p>
    <w:p w:rsidRPr="00647534" w:rsidR="005E7E8E" w:rsidP="0052752D" w:rsidRDefault="00C4732A">
      <w:pPr>
        <w:pStyle w:val="p3"/>
        <w:tabs>
          <w:tab w:val="clear" w:pos="663"/>
        </w:tabs>
      </w:pPr>
      <w:r w:rsidRPr="00647534">
        <w:tab/>
      </w:r>
      <w:r w:rsidRPr="00647534" w:rsidR="0073469D">
        <w:t>This information is disclosed only to the extent consistent with prudent business practices, current regulations, and statutory requirements.</w:t>
      </w:r>
      <w:r w:rsidR="009364B7">
        <w:t xml:space="preserve">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w:t>
      </w:r>
      <w:r w:rsidR="00E66ACE">
        <w:t>by personally identifiable information (PII).  A Privacy Impact Assessment (PIA) is not required for this collection because PII is not being collected electronically.</w:t>
      </w:r>
    </w:p>
    <w:p w:rsidRPr="00647534" w:rsidR="005E7E8E" w:rsidP="0052752D" w:rsidRDefault="005E7E8E">
      <w:pPr>
        <w:pStyle w:val="p3"/>
        <w:tabs>
          <w:tab w:val="clear" w:pos="663"/>
        </w:tabs>
      </w:pPr>
    </w:p>
    <w:p w:rsidRPr="00647534" w:rsidR="005E7E8E" w:rsidP="0052752D" w:rsidRDefault="0073469D">
      <w:pPr>
        <w:pStyle w:val="p3"/>
        <w:tabs>
          <w:tab w:val="clear" w:pos="663"/>
        </w:tabs>
      </w:pPr>
      <w:r w:rsidRPr="00647534">
        <w:t xml:space="preserve">11.  </w:t>
      </w:r>
      <w:r w:rsidRPr="00647534" w:rsidR="005E7E8E">
        <w:rPr>
          <w:u w:val="single"/>
        </w:rPr>
        <w:t>Sensitive Q</w:t>
      </w:r>
      <w:r w:rsidRPr="00647534">
        <w:rPr>
          <w:u w:val="single"/>
        </w:rPr>
        <w:t>uestions</w:t>
      </w:r>
    </w:p>
    <w:p w:rsidRPr="00647534" w:rsidR="005E7E8E" w:rsidP="0052752D" w:rsidRDefault="005E7E8E">
      <w:pPr>
        <w:pStyle w:val="p3"/>
        <w:tabs>
          <w:tab w:val="clear" w:pos="663"/>
        </w:tabs>
      </w:pPr>
    </w:p>
    <w:p w:rsidRPr="00647534" w:rsidR="005E7E8E" w:rsidP="0052752D" w:rsidRDefault="005E7E8E">
      <w:pPr>
        <w:pStyle w:val="p3"/>
        <w:tabs>
          <w:tab w:val="clear" w:pos="663"/>
        </w:tabs>
      </w:pPr>
      <w:r w:rsidRPr="00647534">
        <w:tab/>
      </w:r>
      <w:r w:rsidRPr="00647534" w:rsidR="0073469D">
        <w:t>No sensitive questions are involved</w:t>
      </w:r>
      <w:r w:rsidR="00E66ACE">
        <w:t xml:space="preserve"> in this collection</w:t>
      </w:r>
      <w:r w:rsidRPr="00647534" w:rsidR="0073469D">
        <w:t>.</w:t>
      </w:r>
    </w:p>
    <w:p w:rsidRPr="00647534" w:rsidR="005E7E8E" w:rsidP="0052752D" w:rsidRDefault="005E7E8E">
      <w:pPr>
        <w:pStyle w:val="p3"/>
        <w:tabs>
          <w:tab w:val="clear" w:pos="663"/>
        </w:tabs>
      </w:pPr>
    </w:p>
    <w:p w:rsidRPr="00647534" w:rsidR="0073469D" w:rsidP="0052752D" w:rsidRDefault="0073469D">
      <w:pPr>
        <w:pStyle w:val="p3"/>
        <w:tabs>
          <w:tab w:val="clear" w:pos="663"/>
        </w:tabs>
      </w:pPr>
      <w:r w:rsidRPr="00647534">
        <w:t xml:space="preserve">12.  </w:t>
      </w:r>
      <w:r w:rsidR="007252ED">
        <w:rPr>
          <w:u w:val="single"/>
        </w:rPr>
        <w:t>Respondent B</w:t>
      </w:r>
      <w:r w:rsidRPr="00647534">
        <w:rPr>
          <w:u w:val="single"/>
        </w:rPr>
        <w:t>urden</w:t>
      </w:r>
      <w:r w:rsidR="007252ED">
        <w:rPr>
          <w:u w:val="single"/>
        </w:rPr>
        <w:t xml:space="preserve"> and Labor Costs</w:t>
      </w:r>
    </w:p>
    <w:p w:rsidRPr="0052752D" w:rsidR="0073469D" w:rsidP="0052752D" w:rsidRDefault="0073469D">
      <w:pPr>
        <w:pStyle w:val="p3"/>
        <w:tabs>
          <w:tab w:val="clear" w:pos="663"/>
        </w:tabs>
      </w:pPr>
    </w:p>
    <w:p w:rsidR="008E0F9D" w:rsidP="0052752D" w:rsidRDefault="0073469D">
      <w:pPr>
        <w:pStyle w:val="p3"/>
        <w:tabs>
          <w:tab w:val="clear" w:pos="663"/>
        </w:tabs>
        <w:spacing w:line="232" w:lineRule="auto"/>
      </w:pPr>
      <w:r w:rsidRPr="0052752D">
        <w:tab/>
      </w:r>
      <w:r w:rsidRPr="0052752D">
        <w:rPr>
          <w:u w:val="single"/>
        </w:rPr>
        <w:t>252.237-70</w:t>
      </w:r>
      <w:r w:rsidRPr="0052752D" w:rsidR="007D0EA1">
        <w:rPr>
          <w:u w:val="single"/>
        </w:rPr>
        <w:t>25</w:t>
      </w:r>
      <w:r w:rsidRPr="0052752D" w:rsidR="00E262FA">
        <w:rPr>
          <w:u w:val="single"/>
        </w:rPr>
        <w:t xml:space="preserve">, </w:t>
      </w:r>
      <w:r w:rsidRPr="0052752D" w:rsidR="00001B92">
        <w:rPr>
          <w:u w:val="single"/>
        </w:rPr>
        <w:t>Preaward Transparency Requirements for Firms Offering to Support Department of Defense Audit</w:t>
      </w:r>
      <w:r w:rsidRPr="0052752D" w:rsidR="00C76B2A">
        <w:rPr>
          <w:u w:val="single"/>
        </w:rPr>
        <w:t>—</w:t>
      </w:r>
      <w:r w:rsidRPr="0052752D" w:rsidR="00001B92">
        <w:rPr>
          <w:u w:val="single"/>
        </w:rPr>
        <w:t>Representation</w:t>
      </w:r>
      <w:r w:rsidRPr="0052752D" w:rsidR="00F40397">
        <w:rPr>
          <w:u w:val="single"/>
        </w:rPr>
        <w:t xml:space="preserve"> and Disclosure</w:t>
      </w:r>
      <w:r w:rsidRPr="0052752D" w:rsidR="00001B92">
        <w:rPr>
          <w:u w:val="single"/>
        </w:rPr>
        <w:t>, and 252.237-70</w:t>
      </w:r>
      <w:r w:rsidRPr="0052752D" w:rsidR="007D0EA1">
        <w:rPr>
          <w:u w:val="single"/>
        </w:rPr>
        <w:t>26</w:t>
      </w:r>
      <w:r w:rsidRPr="0052752D" w:rsidR="00001B92">
        <w:rPr>
          <w:u w:val="single"/>
        </w:rPr>
        <w:t xml:space="preserve">, Postaward Transparency Requirements for </w:t>
      </w:r>
      <w:r w:rsidRPr="0052752D" w:rsidR="00C76B2A">
        <w:rPr>
          <w:u w:val="single"/>
        </w:rPr>
        <w:t>F</w:t>
      </w:r>
      <w:r w:rsidRPr="0052752D" w:rsidR="00001B92">
        <w:rPr>
          <w:u w:val="single"/>
        </w:rPr>
        <w:t>irm</w:t>
      </w:r>
      <w:r w:rsidRPr="0052752D" w:rsidR="00C76B2A">
        <w:rPr>
          <w:u w:val="single"/>
        </w:rPr>
        <w:t>s</w:t>
      </w:r>
      <w:r w:rsidRPr="0052752D" w:rsidR="00001B92">
        <w:rPr>
          <w:u w:val="single"/>
        </w:rPr>
        <w:t xml:space="preserve"> that Support Department of Defense Audit</w:t>
      </w:r>
      <w:r w:rsidR="0075167E">
        <w:t>:</w:t>
      </w:r>
      <w:r w:rsidRPr="00982C19" w:rsidR="00001B92">
        <w:t xml:space="preserve">  </w:t>
      </w:r>
      <w:r w:rsidRPr="00982C19" w:rsidR="00982C19">
        <w:t>According to representative</w:t>
      </w:r>
      <w:r w:rsidR="00F155B5">
        <w:t>s</w:t>
      </w:r>
      <w:r w:rsidRPr="00982C19" w:rsidR="00982C19">
        <w:t xml:space="preserve"> from the Defense Finance and Accounting Service (DFAS), which contracts for about half of the contracts covered by this regulation, the Product Service Codes (</w:t>
      </w:r>
      <w:r w:rsidR="00982C19">
        <w:t>P</w:t>
      </w:r>
      <w:r w:rsidRPr="00982C19" w:rsidR="00982C19">
        <w:t>SCs) that may be used for audit support include R703</w:t>
      </w:r>
      <w:r w:rsidR="00982C19">
        <w:t xml:space="preserve"> (Support-Management: Accounting), R704 (Support-Management: Auditing), and R709 (Ongoing Audit Operations Support Services).  </w:t>
      </w:r>
      <w:r w:rsidRPr="00647534" w:rsidR="004C7C32">
        <w:t xml:space="preserve">Review of </w:t>
      </w:r>
      <w:r w:rsidR="007D0EA1">
        <w:t xml:space="preserve">data from the </w:t>
      </w:r>
      <w:r w:rsidRPr="00647534" w:rsidR="004C7C32">
        <w:t>F</w:t>
      </w:r>
      <w:r w:rsidR="00826178">
        <w:t>ederal Procurement Data System (F</w:t>
      </w:r>
      <w:r w:rsidRPr="00647534" w:rsidR="004C7C32">
        <w:t>PDS</w:t>
      </w:r>
      <w:r w:rsidR="00826178">
        <w:t>)</w:t>
      </w:r>
      <w:r w:rsidRPr="00647534" w:rsidR="004C7C32">
        <w:t xml:space="preserve"> obtained for </w:t>
      </w:r>
      <w:r w:rsidR="00D20E8D">
        <w:t>fiscal year (FY)</w:t>
      </w:r>
      <w:r w:rsidRPr="00647534" w:rsidR="004C7C32">
        <w:t xml:space="preserve"> 2015 </w:t>
      </w:r>
      <w:r w:rsidR="00001B92">
        <w:t xml:space="preserve">through </w:t>
      </w:r>
      <w:r w:rsidR="007D0EA1">
        <w:t xml:space="preserve">FY </w:t>
      </w:r>
      <w:r w:rsidR="00001B92">
        <w:t xml:space="preserve">2019 </w:t>
      </w:r>
      <w:r w:rsidRPr="00647534" w:rsidR="004C7C32">
        <w:t xml:space="preserve">reveals </w:t>
      </w:r>
      <w:r w:rsidR="00001B92">
        <w:t xml:space="preserve">that FY 2015 </w:t>
      </w:r>
      <w:r w:rsidRPr="008E0F9D" w:rsidR="00001B92">
        <w:t xml:space="preserve">represents the median number of awards </w:t>
      </w:r>
      <w:r w:rsidRPr="008E0F9D" w:rsidR="00982C19">
        <w:t>in these PSCs that are</w:t>
      </w:r>
      <w:r w:rsidRPr="008E0F9D" w:rsidR="00001B92">
        <w:t xml:space="preserve"> valued above $250,000</w:t>
      </w:r>
      <w:r w:rsidRPr="008E0F9D" w:rsidR="000B0B71">
        <w:t xml:space="preserve">.  In FY 2015 there were 30 awards to 13 unique </w:t>
      </w:r>
      <w:r w:rsidRPr="008E0F9D" w:rsidR="00F155B5">
        <w:t xml:space="preserve">other than small </w:t>
      </w:r>
      <w:r w:rsidRPr="008E0F9D" w:rsidR="000B0B71">
        <w:t xml:space="preserve">entities </w:t>
      </w:r>
      <w:r w:rsidRPr="008E0F9D" w:rsidR="00F155B5">
        <w:t xml:space="preserve">and </w:t>
      </w:r>
      <w:r w:rsidRPr="008E0F9D" w:rsidR="000B0B71">
        <w:t xml:space="preserve">19 awards to 17 small entities.  </w:t>
      </w:r>
      <w:r w:rsidRPr="008E0F9D" w:rsidR="00982C19">
        <w:t>However, not all of these awards are for contracts that meet the criteria</w:t>
      </w:r>
      <w:r w:rsidRPr="008E0F9D" w:rsidR="008E0F9D">
        <w:t xml:space="preserve"> </w:t>
      </w:r>
      <w:r w:rsidRPr="008E0F9D" w:rsidR="00F155B5">
        <w:t>o</w:t>
      </w:r>
      <w:r w:rsidRPr="008E0F9D" w:rsidR="00982C19">
        <w:t>f this regulation</w:t>
      </w:r>
      <w:r w:rsidR="007D0EA1">
        <w:t>.</w:t>
      </w:r>
      <w:r w:rsidRPr="008E0F9D" w:rsidR="008E0F9D">
        <w:t xml:space="preserve">  </w:t>
      </w:r>
      <w:r w:rsidR="007D0EA1">
        <w:t>T</w:t>
      </w:r>
      <w:r w:rsidRPr="008E0F9D" w:rsidR="008E0F9D">
        <w:t xml:space="preserve">his requirement applies </w:t>
      </w:r>
      <w:r w:rsidR="008E0F9D">
        <w:t xml:space="preserve">only </w:t>
      </w:r>
      <w:r w:rsidRPr="008E0F9D" w:rsidR="008E0F9D">
        <w:t>to solicitations and contracts for—</w:t>
      </w:r>
    </w:p>
    <w:p w:rsidRPr="008E0F9D" w:rsidR="007D0EA1" w:rsidP="0052752D" w:rsidRDefault="007D0EA1">
      <w:pPr>
        <w:pStyle w:val="p3"/>
        <w:tabs>
          <w:tab w:val="clear" w:pos="663"/>
        </w:tabs>
        <w:spacing w:line="232" w:lineRule="auto"/>
        <w:ind w:firstLine="720"/>
      </w:pPr>
    </w:p>
    <w:p w:rsidRPr="008E0F9D" w:rsidR="008E0F9D" w:rsidP="009364B7" w:rsidRDefault="007D0EA1">
      <w:pPr>
        <w:pStyle w:val="p3"/>
        <w:tabs>
          <w:tab w:val="clear" w:pos="663"/>
        </w:tabs>
        <w:spacing w:line="232" w:lineRule="auto"/>
      </w:pPr>
      <w:r>
        <w:tab/>
      </w:r>
      <w:r w:rsidRPr="008E0F9D" w:rsidR="008E0F9D">
        <w:tab/>
        <w:t>(i)  Financial statement auditing required under 31 U.S.C. 3521(e); or</w:t>
      </w:r>
    </w:p>
    <w:p w:rsidR="007D0EA1" w:rsidP="0052752D" w:rsidRDefault="007D0EA1">
      <w:pPr>
        <w:pStyle w:val="p3"/>
        <w:tabs>
          <w:tab w:val="clear" w:pos="663"/>
        </w:tabs>
      </w:pPr>
    </w:p>
    <w:p w:rsidR="008E0F9D" w:rsidP="0052752D" w:rsidRDefault="007D0EA1">
      <w:pPr>
        <w:pStyle w:val="p3"/>
        <w:tabs>
          <w:tab w:val="clear" w:pos="663"/>
        </w:tabs>
      </w:pPr>
      <w:r>
        <w:tab/>
      </w:r>
      <w:r w:rsidRPr="008E0F9D" w:rsidR="008E0F9D">
        <w:tab/>
        <w:t>(ii)  Audit remediation services in support of the Financial Improvement and Audit Remediation Plan described in 10 U.S.C. 240b</w:t>
      </w:r>
      <w:r w:rsidRPr="008E0F9D" w:rsidR="00982C19">
        <w:t>.</w:t>
      </w:r>
    </w:p>
    <w:p w:rsidR="007D0EA1" w:rsidP="0052752D" w:rsidRDefault="007D0EA1">
      <w:pPr>
        <w:pStyle w:val="p3"/>
        <w:tabs>
          <w:tab w:val="clear" w:pos="663"/>
        </w:tabs>
      </w:pPr>
    </w:p>
    <w:p w:rsidRPr="00647534" w:rsidR="00CF58E1" w:rsidP="009364B7" w:rsidRDefault="008E0F9D">
      <w:pPr>
        <w:pStyle w:val="p3"/>
        <w:tabs>
          <w:tab w:val="clear" w:pos="663"/>
        </w:tabs>
      </w:pPr>
      <w:r>
        <w:tab/>
      </w:r>
      <w:r w:rsidRPr="008E0F9D" w:rsidR="00DA7CCE">
        <w:t xml:space="preserve">According to DFAS, of the 32 active contracts that they have in these PSCs, only about half are covered by this regulation, of which 12 are awarded to </w:t>
      </w:r>
      <w:r w:rsidRPr="008E0F9D" w:rsidR="00E15A84">
        <w:t xml:space="preserve">entities that are </w:t>
      </w:r>
      <w:r w:rsidRPr="008E0F9D" w:rsidR="00DA7CCE">
        <w:t xml:space="preserve">other than small businesses and 3 </w:t>
      </w:r>
      <w:r>
        <w:t xml:space="preserve">are </w:t>
      </w:r>
      <w:r w:rsidR="007D0EA1">
        <w:t xml:space="preserve">awarded </w:t>
      </w:r>
      <w:r w:rsidRPr="008E0F9D" w:rsidR="00DA7CCE">
        <w:t xml:space="preserve">to one unique small entity.  Estimating the same number of </w:t>
      </w:r>
      <w:r>
        <w:t xml:space="preserve">applicable </w:t>
      </w:r>
      <w:r w:rsidRPr="008E0F9D" w:rsidR="00DA7CCE">
        <w:t>awards</w:t>
      </w:r>
      <w:r w:rsidR="00DA7CCE">
        <w:t xml:space="preserve"> by entities other than DFAS, </w:t>
      </w:r>
      <w:r w:rsidR="00E15A84">
        <w:t xml:space="preserve">and the same 3:1 ratio of total awards to unique entities </w:t>
      </w:r>
      <w:r>
        <w:t xml:space="preserve">for this type of contract </w:t>
      </w:r>
      <w:r w:rsidR="00DA7CCE">
        <w:t>results in an estimate of 24 awards t</w:t>
      </w:r>
      <w:r w:rsidR="00E15A84">
        <w:t xml:space="preserve">o approximately 8 </w:t>
      </w:r>
      <w:r w:rsidR="00DA7CCE">
        <w:t>large businesses</w:t>
      </w:r>
      <w:r w:rsidR="00E15A84">
        <w:t xml:space="preserve"> and 6 awards to 2 small entities.</w:t>
      </w:r>
      <w:r w:rsidR="00DA7CCE">
        <w:t xml:space="preserve"> </w:t>
      </w:r>
      <w:r w:rsidR="00E15A84">
        <w:t xml:space="preserve"> </w:t>
      </w:r>
      <w:r w:rsidR="006E42E3">
        <w:t xml:space="preserve">DoD estimates that 12 respondents </w:t>
      </w:r>
      <w:r>
        <w:t xml:space="preserve">(2 of which do not receive any award) </w:t>
      </w:r>
      <w:r w:rsidR="006E42E3">
        <w:t xml:space="preserve">each submit 5 offers </w:t>
      </w:r>
      <w:r w:rsidR="008C18AE">
        <w:t xml:space="preserve">for a total of 60 responses to </w:t>
      </w:r>
      <w:r w:rsidR="006E42E3">
        <w:t>30 solicitations</w:t>
      </w:r>
      <w:r w:rsidR="008C18AE">
        <w:t xml:space="preserve">, of which only one respondent </w:t>
      </w:r>
      <w:r>
        <w:t xml:space="preserve">(assumed to receive an award) </w:t>
      </w:r>
      <w:r w:rsidR="008C18AE">
        <w:t xml:space="preserve">will have a disciplinary proceeding to report.  After award, 10 respondents </w:t>
      </w:r>
      <w:r>
        <w:t xml:space="preserve">that received awards </w:t>
      </w:r>
      <w:r w:rsidR="008C18AE">
        <w:t xml:space="preserve">submit an average of </w:t>
      </w:r>
      <w:r w:rsidRPr="00CC0830" w:rsidR="008C18AE">
        <w:t>36 responses</w:t>
      </w:r>
      <w:r>
        <w:t xml:space="preserve"> per year.  For the respondents that do not have a disciplinary proceeding to report, the responses to both the solicitation and after contract award are estimated to average </w:t>
      </w:r>
      <w:r w:rsidR="007D0EA1">
        <w:t>0</w:t>
      </w:r>
      <w:r>
        <w:t>.05 hour per response.  For the respondent that has a disciplinary proceeding to report, the responses are estimate to take</w:t>
      </w:r>
      <w:r w:rsidR="007D0EA1">
        <w:t xml:space="preserve"> 0</w:t>
      </w:r>
      <w:r>
        <w:t>.5 hour per response.  The first response might take longer, but subsequent responses m</w:t>
      </w:r>
      <w:r w:rsidR="00C228A9">
        <w:t xml:space="preserve">ay take less time.  </w:t>
      </w:r>
      <w:r w:rsidRPr="00647534" w:rsidR="004C7C32">
        <w:t>Based on this information, the estimated annual public burden</w:t>
      </w:r>
      <w:r w:rsidRPr="00647534" w:rsidR="00F95CC0">
        <w:t xml:space="preserve"> associated with 252.237-70</w:t>
      </w:r>
      <w:r w:rsidR="007D0EA1">
        <w:t>25</w:t>
      </w:r>
      <w:r w:rsidR="00CC0830">
        <w:t xml:space="preserve"> and -70</w:t>
      </w:r>
      <w:r w:rsidR="007D0EA1">
        <w:t>26</w:t>
      </w:r>
      <w:r w:rsidRPr="00647534" w:rsidR="00F95CC0">
        <w:t xml:space="preserve"> is</w:t>
      </w:r>
      <w:r w:rsidR="00C22568">
        <w:t xml:space="preserve"> </w:t>
      </w:r>
      <w:r w:rsidR="0075167E">
        <w:t>shown in the tables below.</w:t>
      </w:r>
    </w:p>
    <w:p w:rsidR="00F47F38" w:rsidP="0052752D" w:rsidRDefault="00F47F38">
      <w:pPr>
        <w:pStyle w:val="p3"/>
        <w:tabs>
          <w:tab w:val="clear" w:pos="663"/>
        </w:tabs>
      </w:pPr>
    </w:p>
    <w:p w:rsidR="0075167E" w:rsidP="009364B7" w:rsidRDefault="0075167E">
      <w:pPr>
        <w:pStyle w:val="p3"/>
        <w:tabs>
          <w:tab w:val="clear" w:pos="663"/>
        </w:tabs>
      </w:pPr>
      <w:r>
        <w:tab/>
        <w:t xml:space="preserve">1.  </w:t>
      </w:r>
      <w:r w:rsidR="007252ED">
        <w:t xml:space="preserve">Estimation of </w:t>
      </w:r>
      <w:r>
        <w:t>Respondent Burden</w:t>
      </w:r>
    </w:p>
    <w:p w:rsidRPr="00647534" w:rsidR="0075167E" w:rsidP="0052752D" w:rsidRDefault="0075167E">
      <w:pPr>
        <w:pStyle w:val="p3"/>
        <w:tabs>
          <w:tab w:val="clear" w:pos="663"/>
        </w:tabs>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980"/>
      </w:tblGrid>
      <w:tr w:rsidRPr="00647534" w:rsidR="00CF58E1" w:rsidTr="00033F3A">
        <w:trPr>
          <w:trHeight w:val="360"/>
        </w:trPr>
        <w:tc>
          <w:tcPr>
            <w:tcW w:w="9000" w:type="dxa"/>
            <w:gridSpan w:val="2"/>
            <w:shd w:val="clear" w:color="auto" w:fill="auto"/>
            <w:vAlign w:val="center"/>
          </w:tcPr>
          <w:p w:rsidRPr="00647534" w:rsidR="00CF58E1" w:rsidP="009364B7" w:rsidRDefault="00CF58E1">
            <w:pPr>
              <w:pStyle w:val="NormalWeb"/>
              <w:spacing w:line="288" w:lineRule="atLeast"/>
              <w:jc w:val="center"/>
            </w:pPr>
            <w:r w:rsidRPr="00647534">
              <w:t>Estimation of Respondent Burden Hours: 252.2</w:t>
            </w:r>
            <w:r w:rsidRPr="00647534" w:rsidR="00F47F38">
              <w:t>37-70</w:t>
            </w:r>
            <w:r w:rsidR="007D0EA1">
              <w:t>25</w:t>
            </w:r>
            <w:r w:rsidR="00E262FA">
              <w:t xml:space="preserve"> and-70</w:t>
            </w:r>
            <w:r w:rsidR="007D0EA1">
              <w:t>26</w:t>
            </w:r>
          </w:p>
        </w:tc>
      </w:tr>
      <w:tr w:rsidRPr="00647534" w:rsidR="00CF58E1" w:rsidTr="00033F3A">
        <w:trPr>
          <w:trHeight w:val="360"/>
        </w:trPr>
        <w:tc>
          <w:tcPr>
            <w:tcW w:w="7020" w:type="dxa"/>
            <w:shd w:val="clear" w:color="auto" w:fill="auto"/>
            <w:vAlign w:val="center"/>
          </w:tcPr>
          <w:p w:rsidRPr="00647534" w:rsidR="00CF58E1" w:rsidP="0052752D" w:rsidRDefault="00CF58E1">
            <w:pPr>
              <w:rPr>
                <w:color w:val="000000"/>
              </w:rPr>
            </w:pPr>
            <w:bookmarkStart w:name="cp458" w:id="1"/>
            <w:r w:rsidRPr="00647534">
              <w:rPr>
                <w:color w:val="000000"/>
              </w:rPr>
              <w:t>Number of respondents</w:t>
            </w:r>
          </w:p>
        </w:tc>
        <w:tc>
          <w:tcPr>
            <w:tcW w:w="1980" w:type="dxa"/>
            <w:shd w:val="clear" w:color="auto" w:fill="auto"/>
            <w:vAlign w:val="center"/>
          </w:tcPr>
          <w:p w:rsidRPr="00647534" w:rsidR="00CF58E1" w:rsidP="009364B7" w:rsidRDefault="00E262FA">
            <w:pPr>
              <w:pStyle w:val="NormalWeb"/>
              <w:spacing w:before="0" w:beforeAutospacing="0" w:after="0" w:afterAutospacing="0"/>
              <w:jc w:val="right"/>
            </w:pPr>
            <w:r>
              <w:t>1</w:t>
            </w:r>
            <w:r w:rsidR="00B35905">
              <w:t>2</w:t>
            </w:r>
          </w:p>
        </w:tc>
      </w:tr>
      <w:tr w:rsidRPr="00647534" w:rsidR="00CF58E1" w:rsidTr="00033F3A">
        <w:trPr>
          <w:trHeight w:val="360"/>
        </w:trPr>
        <w:tc>
          <w:tcPr>
            <w:tcW w:w="7020" w:type="dxa"/>
            <w:shd w:val="clear" w:color="auto" w:fill="auto"/>
            <w:vAlign w:val="center"/>
          </w:tcPr>
          <w:p w:rsidRPr="00647534" w:rsidR="00CF58E1" w:rsidP="0052752D" w:rsidRDefault="0075167E">
            <w:pPr>
              <w:rPr>
                <w:color w:val="000000"/>
              </w:rPr>
            </w:pPr>
            <w:r>
              <w:rPr>
                <w:color w:val="000000"/>
              </w:rPr>
              <w:t>Number of r</w:t>
            </w:r>
            <w:r w:rsidRPr="00647534" w:rsidR="00CF58E1">
              <w:rPr>
                <w:color w:val="000000"/>
              </w:rPr>
              <w:t>esponses per respondent</w:t>
            </w:r>
          </w:p>
        </w:tc>
        <w:tc>
          <w:tcPr>
            <w:tcW w:w="1980" w:type="dxa"/>
            <w:shd w:val="clear" w:color="auto" w:fill="auto"/>
            <w:vAlign w:val="center"/>
          </w:tcPr>
          <w:p w:rsidRPr="00647534" w:rsidR="00CF58E1" w:rsidP="009364B7" w:rsidRDefault="00B35905">
            <w:pPr>
              <w:pStyle w:val="NormalWeb"/>
              <w:spacing w:before="0" w:beforeAutospacing="0" w:after="0" w:afterAutospacing="0"/>
              <w:contextualSpacing/>
              <w:jc w:val="right"/>
            </w:pPr>
            <w:r>
              <w:t>35</w:t>
            </w:r>
          </w:p>
        </w:tc>
      </w:tr>
      <w:tr w:rsidRPr="00647534" w:rsidR="00CF58E1" w:rsidTr="00033F3A">
        <w:trPr>
          <w:trHeight w:val="360"/>
        </w:trPr>
        <w:tc>
          <w:tcPr>
            <w:tcW w:w="7020" w:type="dxa"/>
            <w:shd w:val="clear" w:color="auto" w:fill="auto"/>
            <w:vAlign w:val="center"/>
          </w:tcPr>
          <w:p w:rsidRPr="00647534" w:rsidR="00CF58E1" w:rsidP="0052752D" w:rsidRDefault="00CF58E1">
            <w:pPr>
              <w:rPr>
                <w:color w:val="000000"/>
              </w:rPr>
            </w:pPr>
            <w:r w:rsidRPr="00647534">
              <w:rPr>
                <w:color w:val="000000"/>
              </w:rPr>
              <w:t xml:space="preserve">Number of </w:t>
            </w:r>
            <w:r w:rsidR="0075167E">
              <w:rPr>
                <w:color w:val="000000"/>
              </w:rPr>
              <w:t xml:space="preserve">total annual </w:t>
            </w:r>
            <w:r w:rsidRPr="00647534">
              <w:rPr>
                <w:color w:val="000000"/>
              </w:rPr>
              <w:t>responses</w:t>
            </w:r>
          </w:p>
        </w:tc>
        <w:tc>
          <w:tcPr>
            <w:tcW w:w="1980" w:type="dxa"/>
            <w:shd w:val="clear" w:color="auto" w:fill="auto"/>
            <w:vAlign w:val="center"/>
          </w:tcPr>
          <w:p w:rsidRPr="00647534" w:rsidR="00CF58E1" w:rsidP="009364B7" w:rsidRDefault="00B35905">
            <w:pPr>
              <w:pStyle w:val="NormalWeb"/>
              <w:spacing w:before="0" w:beforeAutospacing="0" w:after="0" w:afterAutospacing="0"/>
              <w:contextualSpacing/>
              <w:jc w:val="right"/>
            </w:pPr>
            <w:r>
              <w:t>4</w:t>
            </w:r>
            <w:r w:rsidRPr="00647534" w:rsidR="00CF58E1">
              <w:t>2</w:t>
            </w:r>
            <w:r>
              <w:t>0</w:t>
            </w:r>
          </w:p>
        </w:tc>
      </w:tr>
      <w:tr w:rsidRPr="00647534" w:rsidR="00CF58E1" w:rsidTr="00033F3A">
        <w:trPr>
          <w:trHeight w:val="360"/>
        </w:trPr>
        <w:tc>
          <w:tcPr>
            <w:tcW w:w="7020" w:type="dxa"/>
            <w:shd w:val="clear" w:color="auto" w:fill="auto"/>
            <w:vAlign w:val="center"/>
          </w:tcPr>
          <w:p w:rsidRPr="00647534" w:rsidR="00CF58E1" w:rsidP="0052752D" w:rsidRDefault="00CF58E1">
            <w:pPr>
              <w:rPr>
                <w:color w:val="000000"/>
              </w:rPr>
            </w:pPr>
            <w:r w:rsidRPr="00647534">
              <w:rPr>
                <w:color w:val="000000"/>
              </w:rPr>
              <w:t>Hours per response</w:t>
            </w:r>
          </w:p>
        </w:tc>
        <w:tc>
          <w:tcPr>
            <w:tcW w:w="1980" w:type="dxa"/>
            <w:shd w:val="clear" w:color="auto" w:fill="auto"/>
            <w:vAlign w:val="center"/>
          </w:tcPr>
          <w:p w:rsidRPr="00647534" w:rsidR="00CF58E1" w:rsidP="009364B7" w:rsidRDefault="007D0EA1">
            <w:pPr>
              <w:pStyle w:val="NormalWeb"/>
              <w:spacing w:before="0" w:beforeAutospacing="0" w:after="0" w:afterAutospacing="0"/>
              <w:contextualSpacing/>
              <w:jc w:val="right"/>
            </w:pPr>
            <w:r>
              <w:t>0</w:t>
            </w:r>
            <w:r w:rsidRPr="00647534" w:rsidR="00CF58E1">
              <w:t>.</w:t>
            </w:r>
            <w:r w:rsidR="00B35905">
              <w:t>06</w:t>
            </w:r>
            <w:r w:rsidR="002D66DE">
              <w:t>2</w:t>
            </w:r>
          </w:p>
        </w:tc>
      </w:tr>
      <w:tr w:rsidRPr="00647534" w:rsidR="00CF58E1" w:rsidTr="00033F3A">
        <w:trPr>
          <w:trHeight w:val="360"/>
        </w:trPr>
        <w:tc>
          <w:tcPr>
            <w:tcW w:w="7020" w:type="dxa"/>
            <w:shd w:val="clear" w:color="auto" w:fill="auto"/>
            <w:vAlign w:val="center"/>
          </w:tcPr>
          <w:p w:rsidRPr="00647534" w:rsidR="00CF58E1" w:rsidP="0052752D" w:rsidRDefault="00CF58E1">
            <w:pPr>
              <w:rPr>
                <w:color w:val="000000"/>
              </w:rPr>
            </w:pPr>
            <w:r w:rsidRPr="00647534">
              <w:rPr>
                <w:color w:val="000000"/>
              </w:rPr>
              <w:t xml:space="preserve">Annual </w:t>
            </w:r>
            <w:r w:rsidR="0075167E">
              <w:rPr>
                <w:color w:val="000000"/>
              </w:rPr>
              <w:t xml:space="preserve">respondent </w:t>
            </w:r>
            <w:r w:rsidRPr="00647534">
              <w:rPr>
                <w:color w:val="000000"/>
              </w:rPr>
              <w:t xml:space="preserve">burden </w:t>
            </w:r>
            <w:r w:rsidR="0075167E">
              <w:rPr>
                <w:color w:val="000000"/>
              </w:rPr>
              <w:t xml:space="preserve">hours </w:t>
            </w:r>
            <w:r w:rsidRPr="0052752D">
              <w:rPr>
                <w:i/>
                <w:color w:val="000000"/>
              </w:rPr>
              <w:t>(</w:t>
            </w:r>
            <w:r w:rsidRPr="0052752D" w:rsidR="0075167E">
              <w:rPr>
                <w:i/>
                <w:color w:val="000000"/>
              </w:rPr>
              <w:t>Total annual responses * hours per response</w:t>
            </w:r>
            <w:r w:rsidRPr="0052752D">
              <w:rPr>
                <w:i/>
                <w:color w:val="000000"/>
              </w:rPr>
              <w:t>)</w:t>
            </w:r>
          </w:p>
        </w:tc>
        <w:tc>
          <w:tcPr>
            <w:tcW w:w="1980" w:type="dxa"/>
            <w:shd w:val="clear" w:color="auto" w:fill="auto"/>
            <w:vAlign w:val="center"/>
          </w:tcPr>
          <w:p w:rsidRPr="00647534" w:rsidR="00CF58E1" w:rsidP="009364B7" w:rsidRDefault="0075167E">
            <w:pPr>
              <w:pStyle w:val="NormalWeb"/>
              <w:spacing w:before="0" w:beforeAutospacing="0" w:after="0" w:afterAutospacing="0"/>
              <w:contextualSpacing/>
              <w:jc w:val="right"/>
            </w:pPr>
            <w:r>
              <w:t>26</w:t>
            </w:r>
          </w:p>
        </w:tc>
      </w:tr>
      <w:bookmarkEnd w:id="1"/>
    </w:tbl>
    <w:p w:rsidR="00F74CD4" w:rsidP="0052752D" w:rsidRDefault="00F74CD4">
      <w:pPr>
        <w:pStyle w:val="NormalWeb"/>
        <w:spacing w:before="0" w:beforeAutospacing="0" w:after="0" w:afterAutospacing="0"/>
      </w:pPr>
    </w:p>
    <w:p w:rsidR="0075167E" w:rsidP="0052752D" w:rsidRDefault="0075167E">
      <w:pPr>
        <w:pStyle w:val="NormalWeb"/>
        <w:spacing w:before="0" w:beforeAutospacing="0" w:after="0" w:afterAutospacing="0"/>
      </w:pPr>
      <w:r>
        <w:tab/>
        <w:t>2.  Labor Cost of Respondent Burden</w:t>
      </w:r>
    </w:p>
    <w:p w:rsidR="0075167E" w:rsidP="0052752D" w:rsidRDefault="0075167E">
      <w:pPr>
        <w:pStyle w:val="NormalWeb"/>
        <w:spacing w:before="0" w:beforeAutospacing="0" w:after="0" w:afterAutospacing="0"/>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980"/>
      </w:tblGrid>
      <w:tr w:rsidRPr="00647534" w:rsidR="0075167E" w:rsidTr="00546F7B">
        <w:trPr>
          <w:trHeight w:val="360"/>
        </w:trPr>
        <w:tc>
          <w:tcPr>
            <w:tcW w:w="9000" w:type="dxa"/>
            <w:gridSpan w:val="2"/>
            <w:shd w:val="clear" w:color="auto" w:fill="auto"/>
            <w:vAlign w:val="center"/>
          </w:tcPr>
          <w:p w:rsidRPr="00647534" w:rsidR="0075167E" w:rsidP="009364B7" w:rsidRDefault="0075167E">
            <w:pPr>
              <w:pStyle w:val="NormalWeb"/>
              <w:spacing w:line="288" w:lineRule="atLeast"/>
              <w:jc w:val="center"/>
            </w:pPr>
            <w:r>
              <w:t xml:space="preserve">Labor Cost </w:t>
            </w:r>
            <w:r w:rsidRPr="00647534">
              <w:t>of Respondent Burden: 252.237-70</w:t>
            </w:r>
            <w:r>
              <w:t>25 and-7026</w:t>
            </w:r>
          </w:p>
        </w:tc>
      </w:tr>
      <w:tr w:rsidRPr="00647534" w:rsidR="0075167E" w:rsidTr="00546F7B">
        <w:trPr>
          <w:trHeight w:val="360"/>
        </w:trPr>
        <w:tc>
          <w:tcPr>
            <w:tcW w:w="7020" w:type="dxa"/>
            <w:shd w:val="clear" w:color="auto" w:fill="auto"/>
            <w:vAlign w:val="center"/>
          </w:tcPr>
          <w:p w:rsidRPr="00647534" w:rsidR="0075167E" w:rsidP="0052752D" w:rsidRDefault="0075167E">
            <w:pPr>
              <w:rPr>
                <w:color w:val="000000"/>
              </w:rPr>
            </w:pPr>
            <w:r w:rsidRPr="00647534">
              <w:rPr>
                <w:color w:val="000000"/>
              </w:rPr>
              <w:t xml:space="preserve">Number of </w:t>
            </w:r>
            <w:r>
              <w:rPr>
                <w:color w:val="000000"/>
              </w:rPr>
              <w:t xml:space="preserve">total annual </w:t>
            </w:r>
            <w:r w:rsidRPr="00647534">
              <w:rPr>
                <w:color w:val="000000"/>
              </w:rPr>
              <w:t>responses</w:t>
            </w:r>
          </w:p>
        </w:tc>
        <w:tc>
          <w:tcPr>
            <w:tcW w:w="1980" w:type="dxa"/>
            <w:shd w:val="clear" w:color="auto" w:fill="auto"/>
            <w:vAlign w:val="center"/>
          </w:tcPr>
          <w:p w:rsidRPr="00647534" w:rsidR="0075167E" w:rsidP="009364B7" w:rsidRDefault="0075167E">
            <w:pPr>
              <w:pStyle w:val="NormalWeb"/>
              <w:spacing w:before="0" w:beforeAutospacing="0" w:after="0" w:afterAutospacing="0"/>
              <w:contextualSpacing/>
              <w:jc w:val="right"/>
            </w:pPr>
            <w:r>
              <w:t>4</w:t>
            </w:r>
            <w:r w:rsidRPr="00647534">
              <w:t>2</w:t>
            </w:r>
            <w:r>
              <w:t>0</w:t>
            </w:r>
          </w:p>
        </w:tc>
      </w:tr>
      <w:tr w:rsidRPr="00647534" w:rsidR="0075167E" w:rsidTr="00546F7B">
        <w:trPr>
          <w:trHeight w:val="360"/>
        </w:trPr>
        <w:tc>
          <w:tcPr>
            <w:tcW w:w="7020" w:type="dxa"/>
            <w:shd w:val="clear" w:color="auto" w:fill="auto"/>
            <w:vAlign w:val="center"/>
          </w:tcPr>
          <w:p w:rsidRPr="00647534" w:rsidR="0075167E" w:rsidP="0052752D" w:rsidRDefault="0075167E">
            <w:pPr>
              <w:rPr>
                <w:color w:val="000000"/>
              </w:rPr>
            </w:pPr>
            <w:r w:rsidRPr="00647534">
              <w:rPr>
                <w:color w:val="000000"/>
              </w:rPr>
              <w:t>Hours per response</w:t>
            </w:r>
          </w:p>
        </w:tc>
        <w:tc>
          <w:tcPr>
            <w:tcW w:w="1980" w:type="dxa"/>
            <w:shd w:val="clear" w:color="auto" w:fill="auto"/>
            <w:vAlign w:val="center"/>
          </w:tcPr>
          <w:p w:rsidRPr="00647534" w:rsidR="0075167E" w:rsidP="009364B7" w:rsidRDefault="0075167E">
            <w:pPr>
              <w:pStyle w:val="NormalWeb"/>
              <w:spacing w:before="0" w:beforeAutospacing="0" w:after="0" w:afterAutospacing="0"/>
              <w:contextualSpacing/>
              <w:jc w:val="right"/>
            </w:pPr>
            <w:r>
              <w:t>0</w:t>
            </w:r>
            <w:r w:rsidRPr="00647534">
              <w:t>.</w:t>
            </w:r>
            <w:r>
              <w:t>062</w:t>
            </w:r>
          </w:p>
        </w:tc>
      </w:tr>
      <w:tr w:rsidRPr="00647534" w:rsidR="0075167E" w:rsidTr="00546F7B">
        <w:trPr>
          <w:trHeight w:val="360"/>
        </w:trPr>
        <w:tc>
          <w:tcPr>
            <w:tcW w:w="7020" w:type="dxa"/>
            <w:shd w:val="clear" w:color="auto" w:fill="auto"/>
            <w:vAlign w:val="center"/>
          </w:tcPr>
          <w:p w:rsidRPr="00647534" w:rsidR="0075167E" w:rsidP="0052752D" w:rsidRDefault="0075167E">
            <w:pPr>
              <w:rPr>
                <w:color w:val="000000"/>
              </w:rPr>
            </w:pPr>
            <w:r w:rsidRPr="00647534">
              <w:rPr>
                <w:color w:val="000000"/>
              </w:rPr>
              <w:t xml:space="preserve">Cost per hour (hourly </w:t>
            </w:r>
            <w:r>
              <w:rPr>
                <w:color w:val="000000"/>
              </w:rPr>
              <w:t>wage</w:t>
            </w:r>
            <w:r w:rsidRPr="00647534">
              <w:rPr>
                <w:color w:val="000000"/>
              </w:rPr>
              <w:t>)</w:t>
            </w:r>
            <w:r>
              <w:rPr>
                <w:color w:val="000000"/>
              </w:rPr>
              <w:t>*</w:t>
            </w:r>
          </w:p>
        </w:tc>
        <w:tc>
          <w:tcPr>
            <w:tcW w:w="1980" w:type="dxa"/>
            <w:shd w:val="clear" w:color="auto" w:fill="auto"/>
            <w:vAlign w:val="center"/>
          </w:tcPr>
          <w:p w:rsidRPr="00647534" w:rsidR="0075167E" w:rsidP="009364B7" w:rsidRDefault="0075167E">
            <w:pPr>
              <w:pStyle w:val="NormalWeb"/>
              <w:spacing w:before="0" w:beforeAutospacing="0" w:after="0" w:afterAutospacing="0"/>
              <w:contextualSpacing/>
              <w:jc w:val="right"/>
            </w:pPr>
            <w:r>
              <w:t>$</w:t>
            </w:r>
            <w:r w:rsidR="00C94040">
              <w:t>54.61</w:t>
            </w:r>
          </w:p>
        </w:tc>
      </w:tr>
      <w:tr w:rsidRPr="00647534" w:rsidR="0075167E" w:rsidTr="00546F7B">
        <w:trPr>
          <w:trHeight w:val="360"/>
        </w:trPr>
        <w:tc>
          <w:tcPr>
            <w:tcW w:w="7020" w:type="dxa"/>
            <w:shd w:val="clear" w:color="auto" w:fill="auto"/>
            <w:vAlign w:val="center"/>
          </w:tcPr>
          <w:p w:rsidRPr="00647534" w:rsidR="0075167E" w:rsidP="0052752D" w:rsidRDefault="0075167E">
            <w:pPr>
              <w:rPr>
                <w:color w:val="000000"/>
              </w:rPr>
            </w:pPr>
            <w:r>
              <w:rPr>
                <w:color w:val="000000"/>
              </w:rPr>
              <w:t xml:space="preserve">Labor burden per response </w:t>
            </w:r>
            <w:r w:rsidRPr="0052752D">
              <w:rPr>
                <w:i/>
                <w:color w:val="000000"/>
              </w:rPr>
              <w:t>(Hours per response * hourly wage)</w:t>
            </w:r>
          </w:p>
        </w:tc>
        <w:tc>
          <w:tcPr>
            <w:tcW w:w="1980" w:type="dxa"/>
            <w:shd w:val="clear" w:color="auto" w:fill="auto"/>
            <w:vAlign w:val="center"/>
          </w:tcPr>
          <w:p w:rsidRPr="00647534" w:rsidR="0075167E" w:rsidP="009364B7" w:rsidRDefault="0075167E">
            <w:pPr>
              <w:pStyle w:val="NormalWeb"/>
              <w:spacing w:before="0" w:beforeAutospacing="0" w:after="0" w:afterAutospacing="0"/>
              <w:contextualSpacing/>
              <w:jc w:val="right"/>
            </w:pPr>
            <w:r>
              <w:t>$</w:t>
            </w:r>
            <w:r w:rsidR="00C94040">
              <w:t>3.39</w:t>
            </w:r>
          </w:p>
        </w:tc>
      </w:tr>
      <w:tr w:rsidRPr="00647534" w:rsidR="0075167E" w:rsidTr="00546F7B">
        <w:trPr>
          <w:trHeight w:val="360"/>
        </w:trPr>
        <w:tc>
          <w:tcPr>
            <w:tcW w:w="7020" w:type="dxa"/>
            <w:shd w:val="clear" w:color="auto" w:fill="auto"/>
            <w:vAlign w:val="center"/>
          </w:tcPr>
          <w:p w:rsidRPr="00647534" w:rsidR="0075167E" w:rsidP="0052752D" w:rsidRDefault="0075167E">
            <w:pPr>
              <w:rPr>
                <w:color w:val="000000"/>
              </w:rPr>
            </w:pPr>
            <w:r w:rsidRPr="00647534">
              <w:rPr>
                <w:color w:val="000000"/>
              </w:rPr>
              <w:t xml:space="preserve">Annual </w:t>
            </w:r>
            <w:r>
              <w:rPr>
                <w:color w:val="000000"/>
              </w:rPr>
              <w:t>labor</w:t>
            </w:r>
            <w:r w:rsidRPr="00647534">
              <w:rPr>
                <w:color w:val="000000"/>
              </w:rPr>
              <w:t xml:space="preserve"> burden </w:t>
            </w:r>
            <w:r w:rsidRPr="0052752D">
              <w:rPr>
                <w:i/>
                <w:color w:val="000000"/>
              </w:rPr>
              <w:t>(</w:t>
            </w:r>
            <w:r>
              <w:rPr>
                <w:i/>
                <w:color w:val="000000"/>
              </w:rPr>
              <w:t>Total annual responses * hours per response * hourly wage</w:t>
            </w:r>
            <w:r w:rsidRPr="0052752D">
              <w:rPr>
                <w:i/>
                <w:color w:val="000000"/>
              </w:rPr>
              <w:t>)</w:t>
            </w:r>
          </w:p>
        </w:tc>
        <w:tc>
          <w:tcPr>
            <w:tcW w:w="1980" w:type="dxa"/>
            <w:shd w:val="clear" w:color="auto" w:fill="auto"/>
            <w:vAlign w:val="center"/>
          </w:tcPr>
          <w:p w:rsidRPr="00647534" w:rsidR="0075167E" w:rsidP="009364B7" w:rsidRDefault="0075167E">
            <w:pPr>
              <w:pStyle w:val="NormalWeb"/>
              <w:spacing w:before="0" w:beforeAutospacing="0" w:after="0" w:afterAutospacing="0"/>
              <w:contextualSpacing/>
              <w:jc w:val="right"/>
            </w:pPr>
            <w:r w:rsidRPr="00647534">
              <w:t>$</w:t>
            </w:r>
            <w:r>
              <w:t>1,</w:t>
            </w:r>
            <w:r w:rsidR="00C94040">
              <w:t>422</w:t>
            </w:r>
          </w:p>
        </w:tc>
      </w:tr>
    </w:tbl>
    <w:p w:rsidRPr="00647534" w:rsidR="0075167E" w:rsidP="0052752D" w:rsidRDefault="0075167E">
      <w:pPr>
        <w:pStyle w:val="NormalWeb"/>
        <w:spacing w:before="0" w:beforeAutospacing="0" w:after="0" w:afterAutospacing="0"/>
      </w:pPr>
    </w:p>
    <w:p w:rsidR="00F772C4" w:rsidP="0052752D" w:rsidRDefault="00F74CD4">
      <w:pPr>
        <w:pStyle w:val="p3"/>
        <w:tabs>
          <w:tab w:val="clear" w:pos="663"/>
        </w:tabs>
      </w:pPr>
      <w:r w:rsidRPr="00647534">
        <w:t>*The estimated cost per hour of $</w:t>
      </w:r>
      <w:r w:rsidR="00C94040">
        <w:t>54.61</w:t>
      </w:r>
      <w:r w:rsidR="00F772C4">
        <w:t xml:space="preserve"> is a composite rate, </w:t>
      </w:r>
      <w:r w:rsidRPr="00647534">
        <w:t>based on the 20</w:t>
      </w:r>
      <w:r w:rsidR="00C94040">
        <w:t>22</w:t>
      </w:r>
      <w:r w:rsidR="00F772C4">
        <w:t xml:space="preserve"> (rest of US):</w:t>
      </w:r>
    </w:p>
    <w:p w:rsidR="0073469D" w:rsidP="0052752D" w:rsidRDefault="00C94040">
      <w:pPr>
        <w:pStyle w:val="p3"/>
        <w:tabs>
          <w:tab w:val="clear" w:pos="663"/>
        </w:tabs>
      </w:pPr>
      <w:r>
        <w:tab/>
      </w:r>
      <w:r w:rsidR="00F772C4">
        <w:t xml:space="preserve">19 hours at </w:t>
      </w:r>
      <w:r w:rsidRPr="00647534" w:rsidR="00F74CD4">
        <w:t>G</w:t>
      </w:r>
      <w:r w:rsidRPr="00647534" w:rsidR="00F95CC0">
        <w:t>S-11</w:t>
      </w:r>
      <w:r w:rsidRPr="00647534" w:rsidR="00F74CD4">
        <w:t>/</w:t>
      </w:r>
      <w:r w:rsidRPr="00647534" w:rsidR="002C5A58">
        <w:t xml:space="preserve">Step </w:t>
      </w:r>
      <w:r w:rsidRPr="00647534" w:rsidR="00F74CD4">
        <w:t>5 base hou</w:t>
      </w:r>
      <w:r w:rsidR="00C228A9">
        <w:t>r</w:t>
      </w:r>
      <w:r w:rsidRPr="00647534" w:rsidR="00F74CD4">
        <w:t>ly rate of $</w:t>
      </w:r>
      <w:r>
        <w:t>35.96</w:t>
      </w:r>
      <w:r w:rsidRPr="00647534" w:rsidR="00F74CD4">
        <w:t xml:space="preserve"> plus 36.25 percent burden (</w:t>
      </w:r>
      <w:r w:rsidRPr="00647534" w:rsidR="002C5A58">
        <w:t xml:space="preserve">pursuant with OMB </w:t>
      </w:r>
      <w:r w:rsidRPr="00647534" w:rsidR="00F74CD4">
        <w:t xml:space="preserve">Memorandum M-08-13) </w:t>
      </w:r>
      <w:r w:rsidR="00F772C4">
        <w:t xml:space="preserve"> = $</w:t>
      </w:r>
      <w:r>
        <w:t>49.00</w:t>
      </w:r>
      <w:r w:rsidR="00F772C4">
        <w:t xml:space="preserve"> per hou</w:t>
      </w:r>
      <w:r w:rsidR="00D37BE3">
        <w:t>r;</w:t>
      </w:r>
      <w:r w:rsidR="00F772C4">
        <w:t xml:space="preserve"> and </w:t>
      </w:r>
    </w:p>
    <w:p w:rsidRPr="00647534" w:rsidR="00F772C4" w:rsidP="0052752D" w:rsidRDefault="00C94040">
      <w:pPr>
        <w:pStyle w:val="p3"/>
        <w:tabs>
          <w:tab w:val="clear" w:pos="663"/>
        </w:tabs>
      </w:pPr>
      <w:r>
        <w:tab/>
      </w:r>
      <w:r w:rsidR="00F772C4">
        <w:t>7 hours at GS-13/step 5 base hourly rate of $</w:t>
      </w:r>
      <w:r>
        <w:t>51.25</w:t>
      </w:r>
      <w:r w:rsidR="00F772C4">
        <w:t xml:space="preserve"> </w:t>
      </w:r>
      <w:r w:rsidR="002D66DE">
        <w:t xml:space="preserve">plus </w:t>
      </w:r>
      <w:r w:rsidR="00F772C4">
        <w:t xml:space="preserve">36.25 </w:t>
      </w:r>
      <w:r w:rsidR="002D66DE">
        <w:t xml:space="preserve">percent </w:t>
      </w:r>
      <w:r w:rsidR="00F772C4">
        <w:t>burden = $</w:t>
      </w:r>
      <w:r>
        <w:t>69.83</w:t>
      </w:r>
      <w:r w:rsidR="00F772C4">
        <w:t xml:space="preserve"> per hour</w:t>
      </w:r>
      <w:r w:rsidR="00C228A9">
        <w:t xml:space="preserve"> (for the entity reporting a disciplinary proceeding)</w:t>
      </w:r>
      <w:r w:rsidR="00F772C4">
        <w:t>.</w:t>
      </w:r>
    </w:p>
    <w:p w:rsidR="001C7D77" w:rsidP="0052752D" w:rsidRDefault="001C7D77">
      <w:pPr>
        <w:pStyle w:val="p3"/>
        <w:tabs>
          <w:tab w:val="clear" w:pos="663"/>
        </w:tabs>
      </w:pPr>
    </w:p>
    <w:p w:rsidRPr="00647534" w:rsidR="00713106" w:rsidP="0052752D" w:rsidRDefault="0073469D">
      <w:pPr>
        <w:pStyle w:val="p3"/>
        <w:tabs>
          <w:tab w:val="clear" w:pos="663"/>
        </w:tabs>
      </w:pPr>
      <w:r w:rsidRPr="00647534">
        <w:t xml:space="preserve">13.  </w:t>
      </w:r>
      <w:r w:rsidRPr="00647534" w:rsidR="00713106">
        <w:rPr>
          <w:u w:val="single"/>
        </w:rPr>
        <w:t>Respondent Costs Other Than Burden Hour Costs</w:t>
      </w:r>
    </w:p>
    <w:p w:rsidRPr="00647534" w:rsidR="00713106" w:rsidP="0052752D" w:rsidRDefault="00713106">
      <w:pPr>
        <w:pStyle w:val="p3"/>
        <w:tabs>
          <w:tab w:val="clear" w:pos="663"/>
        </w:tabs>
      </w:pPr>
    </w:p>
    <w:p w:rsidRPr="00647534" w:rsidR="00713106" w:rsidP="0052752D" w:rsidRDefault="00713106">
      <w:pPr>
        <w:pStyle w:val="p3"/>
        <w:tabs>
          <w:tab w:val="clear" w:pos="663"/>
        </w:tabs>
      </w:pPr>
      <w:r w:rsidRPr="00647534">
        <w:tab/>
        <w:t>There are no annualized costs to respondents, other than the burden costs addressed in Item 12</w:t>
      </w:r>
      <w:r w:rsidRPr="00647534" w:rsidR="0073469D">
        <w:t>.</w:t>
      </w:r>
    </w:p>
    <w:p w:rsidRPr="00647534" w:rsidR="00713106" w:rsidP="0052752D" w:rsidRDefault="00713106">
      <w:pPr>
        <w:pStyle w:val="p3"/>
        <w:tabs>
          <w:tab w:val="clear" w:pos="663"/>
        </w:tabs>
      </w:pPr>
    </w:p>
    <w:p w:rsidRPr="00647534" w:rsidR="0073469D" w:rsidP="0052752D" w:rsidRDefault="0073469D">
      <w:pPr>
        <w:pStyle w:val="p3"/>
        <w:tabs>
          <w:tab w:val="clear" w:pos="663"/>
        </w:tabs>
      </w:pPr>
      <w:r w:rsidRPr="00647534">
        <w:t xml:space="preserve">14.  </w:t>
      </w:r>
      <w:r w:rsidRPr="00647534" w:rsidR="001B2AAC">
        <w:rPr>
          <w:u w:val="single"/>
        </w:rPr>
        <w:t xml:space="preserve">Cost </w:t>
      </w:r>
      <w:r w:rsidR="005C5DA6">
        <w:rPr>
          <w:u w:val="single"/>
        </w:rPr>
        <w:t>t</w:t>
      </w:r>
      <w:r w:rsidRPr="00647534">
        <w:rPr>
          <w:u w:val="single"/>
        </w:rPr>
        <w:t xml:space="preserve">o </w:t>
      </w:r>
      <w:r w:rsidR="005C5DA6">
        <w:rPr>
          <w:u w:val="single"/>
        </w:rPr>
        <w:t xml:space="preserve">the Federal </w:t>
      </w:r>
      <w:r w:rsidRPr="00647534">
        <w:rPr>
          <w:u w:val="single"/>
        </w:rPr>
        <w:t>Government</w:t>
      </w:r>
    </w:p>
    <w:p w:rsidRPr="00647534" w:rsidR="0073469D" w:rsidP="0052752D" w:rsidRDefault="0073469D">
      <w:pPr>
        <w:pStyle w:val="p3"/>
        <w:tabs>
          <w:tab w:val="clear" w:pos="663"/>
        </w:tabs>
        <w:rPr>
          <w:b/>
        </w:rPr>
      </w:pPr>
    </w:p>
    <w:p w:rsidR="00001B92" w:rsidP="009364B7" w:rsidRDefault="00C228A9">
      <w:pPr>
        <w:autoSpaceDE/>
        <w:autoSpaceDN/>
        <w:adjustRightInd/>
      </w:pPr>
      <w:r>
        <w:rPr>
          <w:b/>
        </w:rPr>
        <w:tab/>
      </w:r>
      <w:r>
        <w:t xml:space="preserve">As estimated in the calculation of the public burden, the Government estimates receipt of 420 responses, of which 41 may include disclosure of a disciplinary proceeding.  The Government further estimates a review time of </w:t>
      </w:r>
      <w:r w:rsidR="005C5DA6">
        <w:t>0</w:t>
      </w:r>
      <w:r>
        <w:t xml:space="preserve">.05 hour per response, except for those responses reporting a disciplinary proceeding the review time is estimated at </w:t>
      </w:r>
      <w:r w:rsidR="001316C8">
        <w:t>5 hours for the initial 5 offers received from that affected entity.  Since these 5 offers will all be reporting the same disciplinary proceeding, the bulk of the 5 hours would relate to the first offer received from that entity.  For subsequent updates after contract award, the Government estimates a</w:t>
      </w:r>
      <w:r>
        <w:t xml:space="preserve"> review time of </w:t>
      </w:r>
      <w:r w:rsidR="005C5DA6">
        <w:t>0</w:t>
      </w:r>
      <w:r>
        <w:t xml:space="preserve">.2 </w:t>
      </w:r>
      <w:bookmarkStart w:name="OLE_LINK3" w:id="2"/>
      <w:bookmarkStart w:name="OLE_LINK4" w:id="3"/>
      <w:r w:rsidR="001316C8">
        <w:t>hour per response.  The composite rate of $</w:t>
      </w:r>
      <w:r w:rsidR="005C5DA6">
        <w:t>57.06</w:t>
      </w:r>
      <w:r w:rsidR="001316C8">
        <w:t xml:space="preserve"> is based on the same rates applied in calculation of the public cost, except that it is based on 19 hours at $</w:t>
      </w:r>
      <w:r w:rsidR="005C5DA6">
        <w:t>49.00</w:t>
      </w:r>
      <w:r w:rsidR="001316C8">
        <w:t xml:space="preserve"> and 12 hours at $</w:t>
      </w:r>
      <w:r w:rsidR="005C5DA6">
        <w:t>69.83</w:t>
      </w:r>
      <w:r w:rsidR="001316C8">
        <w:t>.</w:t>
      </w:r>
    </w:p>
    <w:p w:rsidR="00C228A9" w:rsidP="009364B7" w:rsidRDefault="00C228A9">
      <w:pPr>
        <w:autoSpaceDE/>
        <w:autoSpaceDN/>
        <w:adjustRightInd/>
      </w:pPr>
    </w:p>
    <w:p w:rsidR="005C5DA6" w:rsidP="0052752D" w:rsidRDefault="005C5DA6">
      <w:pPr>
        <w:autoSpaceDE/>
        <w:autoSpaceDN/>
        <w:adjustRightInd/>
      </w:pPr>
      <w:r>
        <w:tab/>
        <w:t xml:space="preserve">a.  </w:t>
      </w:r>
      <w:r>
        <w:rPr>
          <w:u w:val="single"/>
        </w:rPr>
        <w:t>Labor Cost to the Federal Government</w:t>
      </w:r>
    </w:p>
    <w:p w:rsidR="005C5DA6" w:rsidP="0052752D" w:rsidRDefault="005C5DA6">
      <w:pPr>
        <w:autoSpaceDE/>
        <w:autoSpaceDN/>
        <w:adjustRightInd/>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980"/>
      </w:tblGrid>
      <w:tr w:rsidRPr="00647534" w:rsidR="00001B92" w:rsidTr="00F31FAF">
        <w:trPr>
          <w:trHeight w:val="360"/>
        </w:trPr>
        <w:tc>
          <w:tcPr>
            <w:tcW w:w="9000" w:type="dxa"/>
            <w:gridSpan w:val="2"/>
            <w:shd w:val="clear" w:color="auto" w:fill="auto"/>
            <w:vAlign w:val="center"/>
          </w:tcPr>
          <w:p w:rsidRPr="00647534" w:rsidR="00001B92" w:rsidP="0052752D" w:rsidRDefault="005C5DA6">
            <w:pPr>
              <w:pStyle w:val="NormalWeb"/>
              <w:spacing w:line="288" w:lineRule="atLeast"/>
              <w:jc w:val="center"/>
            </w:pPr>
            <w:r>
              <w:t xml:space="preserve">Labor Cost to the Federal </w:t>
            </w:r>
            <w:r w:rsidR="00001B92">
              <w:t>Government</w:t>
            </w:r>
            <w:r w:rsidRPr="00647534" w:rsidR="00001B92">
              <w:t>: 252.237-70</w:t>
            </w:r>
            <w:r>
              <w:t>25</w:t>
            </w:r>
            <w:r w:rsidR="00001B92">
              <w:t xml:space="preserve"> and-70</w:t>
            </w:r>
            <w:r>
              <w:t>26</w:t>
            </w:r>
          </w:p>
        </w:tc>
      </w:tr>
      <w:tr w:rsidRPr="00647534" w:rsidR="00001B92" w:rsidTr="00F31FAF">
        <w:trPr>
          <w:trHeight w:val="360"/>
        </w:trPr>
        <w:tc>
          <w:tcPr>
            <w:tcW w:w="7020" w:type="dxa"/>
            <w:shd w:val="clear" w:color="auto" w:fill="auto"/>
            <w:vAlign w:val="center"/>
          </w:tcPr>
          <w:p w:rsidRPr="00647534" w:rsidR="00001B92" w:rsidP="0052752D" w:rsidRDefault="00001B92">
            <w:pPr>
              <w:rPr>
                <w:color w:val="000000"/>
              </w:rPr>
            </w:pPr>
            <w:r w:rsidRPr="00647534">
              <w:rPr>
                <w:color w:val="000000"/>
              </w:rPr>
              <w:t xml:space="preserve">Number of </w:t>
            </w:r>
            <w:r w:rsidR="005C5DA6">
              <w:rPr>
                <w:color w:val="000000"/>
              </w:rPr>
              <w:t xml:space="preserve">total annual </w:t>
            </w:r>
            <w:r w:rsidRPr="00647534">
              <w:rPr>
                <w:color w:val="000000"/>
              </w:rPr>
              <w:t>responses</w:t>
            </w:r>
          </w:p>
        </w:tc>
        <w:tc>
          <w:tcPr>
            <w:tcW w:w="1980" w:type="dxa"/>
            <w:shd w:val="clear" w:color="auto" w:fill="auto"/>
            <w:vAlign w:val="center"/>
          </w:tcPr>
          <w:p w:rsidRPr="00647534" w:rsidR="00001B92" w:rsidP="009364B7" w:rsidRDefault="00001B92">
            <w:pPr>
              <w:pStyle w:val="NormalWeb"/>
              <w:spacing w:before="0" w:beforeAutospacing="0" w:after="0" w:afterAutospacing="0"/>
              <w:contextualSpacing/>
              <w:jc w:val="right"/>
            </w:pPr>
            <w:r>
              <w:t>420</w:t>
            </w:r>
          </w:p>
        </w:tc>
      </w:tr>
      <w:tr w:rsidRPr="00647534" w:rsidR="00001B92" w:rsidTr="00F31FAF">
        <w:trPr>
          <w:trHeight w:val="360"/>
        </w:trPr>
        <w:tc>
          <w:tcPr>
            <w:tcW w:w="7020" w:type="dxa"/>
            <w:shd w:val="clear" w:color="auto" w:fill="auto"/>
            <w:vAlign w:val="center"/>
          </w:tcPr>
          <w:p w:rsidRPr="00647534" w:rsidR="00001B92" w:rsidP="0052752D" w:rsidRDefault="00001B92">
            <w:pPr>
              <w:rPr>
                <w:color w:val="000000"/>
              </w:rPr>
            </w:pPr>
            <w:r w:rsidRPr="00647534">
              <w:rPr>
                <w:color w:val="000000"/>
              </w:rPr>
              <w:t>Hours per response</w:t>
            </w:r>
          </w:p>
        </w:tc>
        <w:tc>
          <w:tcPr>
            <w:tcW w:w="1980" w:type="dxa"/>
            <w:shd w:val="clear" w:color="auto" w:fill="auto"/>
            <w:vAlign w:val="center"/>
          </w:tcPr>
          <w:p w:rsidRPr="00647534" w:rsidR="00001B92" w:rsidP="009364B7" w:rsidRDefault="005C5DA6">
            <w:pPr>
              <w:pStyle w:val="NormalWeb"/>
              <w:spacing w:before="0" w:beforeAutospacing="0" w:after="0" w:afterAutospacing="0"/>
              <w:contextualSpacing/>
              <w:jc w:val="right"/>
            </w:pPr>
            <w:r>
              <w:t>0</w:t>
            </w:r>
            <w:r w:rsidRPr="00647534" w:rsidR="00001B92">
              <w:t>.</w:t>
            </w:r>
            <w:r w:rsidR="00001B92">
              <w:t>074</w:t>
            </w:r>
          </w:p>
        </w:tc>
      </w:tr>
      <w:tr w:rsidRPr="00647534" w:rsidR="00001B92" w:rsidTr="00F31FAF">
        <w:trPr>
          <w:trHeight w:val="360"/>
        </w:trPr>
        <w:tc>
          <w:tcPr>
            <w:tcW w:w="7020" w:type="dxa"/>
            <w:shd w:val="clear" w:color="auto" w:fill="auto"/>
            <w:vAlign w:val="center"/>
          </w:tcPr>
          <w:p w:rsidRPr="00647534" w:rsidR="00001B92" w:rsidP="0052752D" w:rsidRDefault="00001B92">
            <w:pPr>
              <w:rPr>
                <w:color w:val="000000"/>
              </w:rPr>
            </w:pPr>
            <w:r w:rsidRPr="00647534">
              <w:rPr>
                <w:color w:val="000000"/>
              </w:rPr>
              <w:t xml:space="preserve">Cost per hour (hourly </w:t>
            </w:r>
            <w:r w:rsidR="00773309">
              <w:rPr>
                <w:color w:val="000000"/>
              </w:rPr>
              <w:t>wage</w:t>
            </w:r>
            <w:r w:rsidRPr="00647534">
              <w:rPr>
                <w:color w:val="000000"/>
              </w:rPr>
              <w:t>)</w:t>
            </w:r>
            <w:r>
              <w:rPr>
                <w:color w:val="000000"/>
              </w:rPr>
              <w:t>*</w:t>
            </w:r>
          </w:p>
        </w:tc>
        <w:tc>
          <w:tcPr>
            <w:tcW w:w="1980" w:type="dxa"/>
            <w:shd w:val="clear" w:color="auto" w:fill="auto"/>
            <w:vAlign w:val="center"/>
          </w:tcPr>
          <w:p w:rsidRPr="00647534" w:rsidR="00001B92" w:rsidP="009364B7" w:rsidRDefault="00001B92">
            <w:pPr>
              <w:pStyle w:val="NormalWeb"/>
              <w:spacing w:before="0" w:beforeAutospacing="0" w:after="0" w:afterAutospacing="0"/>
              <w:contextualSpacing/>
              <w:jc w:val="right"/>
            </w:pPr>
            <w:r>
              <w:t>$52.84</w:t>
            </w:r>
          </w:p>
        </w:tc>
      </w:tr>
      <w:tr w:rsidRPr="00647534" w:rsidR="00773309" w:rsidTr="00F31FAF">
        <w:trPr>
          <w:trHeight w:val="360"/>
        </w:trPr>
        <w:tc>
          <w:tcPr>
            <w:tcW w:w="7020" w:type="dxa"/>
            <w:shd w:val="clear" w:color="auto" w:fill="auto"/>
            <w:vAlign w:val="center"/>
          </w:tcPr>
          <w:p w:rsidRPr="00647534" w:rsidR="00773309" w:rsidP="0052752D" w:rsidRDefault="00773309">
            <w:pPr>
              <w:rPr>
                <w:color w:val="000000"/>
              </w:rPr>
            </w:pPr>
            <w:r>
              <w:rPr>
                <w:color w:val="000000"/>
              </w:rPr>
              <w:t>Cost per response</w:t>
            </w:r>
          </w:p>
        </w:tc>
        <w:tc>
          <w:tcPr>
            <w:tcW w:w="1980" w:type="dxa"/>
            <w:shd w:val="clear" w:color="auto" w:fill="auto"/>
            <w:vAlign w:val="center"/>
          </w:tcPr>
          <w:p w:rsidR="00773309" w:rsidP="009364B7" w:rsidRDefault="00773309">
            <w:pPr>
              <w:pStyle w:val="NormalWeb"/>
              <w:spacing w:before="0" w:beforeAutospacing="0" w:after="0" w:afterAutospacing="0"/>
              <w:contextualSpacing/>
              <w:jc w:val="right"/>
            </w:pPr>
          </w:p>
        </w:tc>
      </w:tr>
      <w:tr w:rsidRPr="00647534" w:rsidR="00001B92" w:rsidTr="00F31FAF">
        <w:trPr>
          <w:trHeight w:val="360"/>
        </w:trPr>
        <w:tc>
          <w:tcPr>
            <w:tcW w:w="7020" w:type="dxa"/>
            <w:shd w:val="clear" w:color="auto" w:fill="auto"/>
            <w:vAlign w:val="center"/>
          </w:tcPr>
          <w:p w:rsidRPr="00647534" w:rsidR="00001B92" w:rsidP="0052752D" w:rsidRDefault="00773309">
            <w:pPr>
              <w:rPr>
                <w:color w:val="000000"/>
              </w:rPr>
            </w:pPr>
            <w:r>
              <w:rPr>
                <w:color w:val="000000"/>
              </w:rPr>
              <w:t>Total cost</w:t>
            </w:r>
          </w:p>
        </w:tc>
        <w:tc>
          <w:tcPr>
            <w:tcW w:w="1980" w:type="dxa"/>
            <w:shd w:val="clear" w:color="auto" w:fill="auto"/>
            <w:vAlign w:val="center"/>
          </w:tcPr>
          <w:p w:rsidRPr="00647534" w:rsidR="00001B92" w:rsidP="009364B7" w:rsidRDefault="00001B92">
            <w:pPr>
              <w:pStyle w:val="NormalWeb"/>
              <w:spacing w:before="0" w:beforeAutospacing="0" w:after="0" w:afterAutospacing="0"/>
              <w:contextualSpacing/>
              <w:jc w:val="right"/>
            </w:pPr>
            <w:r w:rsidRPr="00647534">
              <w:t>$</w:t>
            </w:r>
            <w:r>
              <w:t>1,646</w:t>
            </w:r>
          </w:p>
        </w:tc>
      </w:tr>
    </w:tbl>
    <w:p w:rsidR="00001B92" w:rsidP="009364B7" w:rsidRDefault="00001B92">
      <w:pPr>
        <w:autoSpaceDE/>
        <w:autoSpaceDN/>
        <w:adjustRightInd/>
      </w:pPr>
    </w:p>
    <w:p w:rsidR="0086361A" w:rsidP="0052752D" w:rsidRDefault="0086361A">
      <w:pPr>
        <w:autoSpaceDE/>
        <w:autoSpaceDN/>
        <w:adjustRightInd/>
      </w:pPr>
      <w:r>
        <w:tab/>
        <w:t>b.  Operational and Maintenance Costs</w:t>
      </w:r>
    </w:p>
    <w:p w:rsidR="0086361A" w:rsidP="0052752D" w:rsidRDefault="0086361A">
      <w:pPr>
        <w:autoSpaceDE/>
        <w:autoSpaceDN/>
        <w:adjustRightInd/>
      </w:pPr>
    </w:p>
    <w:p w:rsidR="0086361A" w:rsidP="0052752D" w:rsidRDefault="0086361A">
      <w:pPr>
        <w:autoSpaceDE/>
        <w:autoSpaceDN/>
        <w:adjustRightInd/>
      </w:pPr>
      <w:r>
        <w:tab/>
      </w:r>
      <w:r>
        <w:tab/>
        <w:t>No operational and maintenance costs for the Federal Government are associated with this information collection.</w:t>
      </w:r>
    </w:p>
    <w:p w:rsidR="0086361A" w:rsidP="0052752D" w:rsidRDefault="0086361A">
      <w:pPr>
        <w:autoSpaceDE/>
        <w:autoSpaceDN/>
        <w:adjustRightInd/>
      </w:pPr>
    </w:p>
    <w:p w:rsidR="0086361A" w:rsidP="0052752D" w:rsidRDefault="0086361A">
      <w:pPr>
        <w:autoSpaceDE/>
        <w:autoSpaceDN/>
        <w:adjustRightInd/>
      </w:pPr>
      <w:r>
        <w:tab/>
        <w:t>c.  Total Cost to the Federal Government</w:t>
      </w:r>
    </w:p>
    <w:p w:rsidR="00995495" w:rsidP="0052752D" w:rsidRDefault="00995495">
      <w:pPr>
        <w:autoSpaceDE/>
        <w:autoSpaceDN/>
        <w:adjustRightInd/>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980"/>
      </w:tblGrid>
      <w:tr w:rsidRPr="00647534" w:rsidR="005C5DA6" w:rsidTr="00546F7B">
        <w:trPr>
          <w:trHeight w:val="360"/>
        </w:trPr>
        <w:tc>
          <w:tcPr>
            <w:tcW w:w="7020" w:type="dxa"/>
            <w:shd w:val="clear" w:color="auto" w:fill="auto"/>
            <w:vAlign w:val="center"/>
          </w:tcPr>
          <w:p w:rsidRPr="00647534" w:rsidR="005C5DA6" w:rsidP="0052752D" w:rsidRDefault="005C5DA6">
            <w:pPr>
              <w:rPr>
                <w:color w:val="000000"/>
              </w:rPr>
            </w:pPr>
            <w:r>
              <w:rPr>
                <w:color w:val="000000"/>
              </w:rPr>
              <w:t xml:space="preserve">Total </w:t>
            </w:r>
            <w:r w:rsidR="00995495">
              <w:rPr>
                <w:color w:val="000000"/>
              </w:rPr>
              <w:t>l</w:t>
            </w:r>
            <w:r>
              <w:rPr>
                <w:color w:val="000000"/>
              </w:rPr>
              <w:t xml:space="preserve">abor </w:t>
            </w:r>
            <w:r w:rsidR="00995495">
              <w:rPr>
                <w:color w:val="000000"/>
              </w:rPr>
              <w:t>b</w:t>
            </w:r>
            <w:r>
              <w:rPr>
                <w:color w:val="000000"/>
              </w:rPr>
              <w:t>urden</w:t>
            </w:r>
          </w:p>
        </w:tc>
        <w:tc>
          <w:tcPr>
            <w:tcW w:w="1980" w:type="dxa"/>
            <w:shd w:val="clear" w:color="auto" w:fill="auto"/>
            <w:vAlign w:val="center"/>
          </w:tcPr>
          <w:p w:rsidRPr="00647534" w:rsidR="005C5DA6" w:rsidP="009364B7" w:rsidRDefault="0086361A">
            <w:pPr>
              <w:pStyle w:val="NormalWeb"/>
              <w:spacing w:before="0" w:beforeAutospacing="0" w:after="0" w:afterAutospacing="0"/>
              <w:contextualSpacing/>
              <w:jc w:val="right"/>
            </w:pPr>
            <w:r>
              <w:t>$1,646</w:t>
            </w:r>
          </w:p>
        </w:tc>
      </w:tr>
      <w:tr w:rsidRPr="00647534" w:rsidR="005C5DA6" w:rsidTr="00546F7B">
        <w:trPr>
          <w:trHeight w:val="360"/>
        </w:trPr>
        <w:tc>
          <w:tcPr>
            <w:tcW w:w="7020" w:type="dxa"/>
            <w:shd w:val="clear" w:color="auto" w:fill="auto"/>
            <w:vAlign w:val="center"/>
          </w:tcPr>
          <w:p w:rsidRPr="00647534" w:rsidR="005C5DA6" w:rsidP="0052752D" w:rsidRDefault="00995495">
            <w:pPr>
              <w:rPr>
                <w:color w:val="000000"/>
              </w:rPr>
            </w:pPr>
            <w:r>
              <w:rPr>
                <w:color w:val="000000"/>
              </w:rPr>
              <w:t>Total operational and maintenance costs</w:t>
            </w:r>
          </w:p>
        </w:tc>
        <w:tc>
          <w:tcPr>
            <w:tcW w:w="1980" w:type="dxa"/>
            <w:shd w:val="clear" w:color="auto" w:fill="auto"/>
            <w:vAlign w:val="center"/>
          </w:tcPr>
          <w:p w:rsidRPr="00647534" w:rsidR="005C5DA6" w:rsidP="009364B7" w:rsidRDefault="00995495">
            <w:pPr>
              <w:pStyle w:val="NormalWeb"/>
              <w:spacing w:before="0" w:beforeAutospacing="0" w:after="0" w:afterAutospacing="0"/>
              <w:contextualSpacing/>
              <w:jc w:val="right"/>
            </w:pPr>
            <w:r>
              <w:t>$0</w:t>
            </w:r>
          </w:p>
        </w:tc>
      </w:tr>
      <w:tr w:rsidRPr="00647534" w:rsidR="005C5DA6" w:rsidTr="00546F7B">
        <w:trPr>
          <w:trHeight w:val="360"/>
        </w:trPr>
        <w:tc>
          <w:tcPr>
            <w:tcW w:w="7020" w:type="dxa"/>
            <w:shd w:val="clear" w:color="auto" w:fill="auto"/>
            <w:vAlign w:val="center"/>
          </w:tcPr>
          <w:p w:rsidRPr="00647534" w:rsidR="005C5DA6" w:rsidP="0052752D" w:rsidRDefault="00995495">
            <w:pPr>
              <w:rPr>
                <w:color w:val="000000"/>
              </w:rPr>
            </w:pPr>
            <w:r>
              <w:rPr>
                <w:color w:val="000000"/>
              </w:rPr>
              <w:t>Total cost to the Federal Government</w:t>
            </w:r>
          </w:p>
        </w:tc>
        <w:tc>
          <w:tcPr>
            <w:tcW w:w="1980" w:type="dxa"/>
            <w:shd w:val="clear" w:color="auto" w:fill="auto"/>
            <w:vAlign w:val="center"/>
          </w:tcPr>
          <w:p w:rsidRPr="00647534" w:rsidR="005C5DA6" w:rsidP="009364B7" w:rsidRDefault="005C5DA6">
            <w:pPr>
              <w:pStyle w:val="NormalWeb"/>
              <w:spacing w:before="0" w:beforeAutospacing="0" w:after="0" w:afterAutospacing="0"/>
              <w:contextualSpacing/>
              <w:jc w:val="right"/>
            </w:pPr>
            <w:r w:rsidRPr="00647534">
              <w:t>$</w:t>
            </w:r>
            <w:r>
              <w:t>1,646</w:t>
            </w:r>
          </w:p>
        </w:tc>
      </w:tr>
    </w:tbl>
    <w:p w:rsidR="005C5DA6" w:rsidP="009364B7" w:rsidRDefault="005C5DA6">
      <w:pPr>
        <w:autoSpaceDE/>
        <w:autoSpaceDN/>
        <w:adjustRightInd/>
      </w:pPr>
    </w:p>
    <w:bookmarkEnd w:id="2"/>
    <w:bookmarkEnd w:id="3"/>
    <w:p w:rsidRPr="00647534" w:rsidR="009248C3" w:rsidP="0052752D" w:rsidRDefault="0073469D">
      <w:pPr>
        <w:pStyle w:val="t9"/>
      </w:pPr>
      <w:r w:rsidRPr="00647534">
        <w:t>15.</w:t>
      </w:r>
      <w:r w:rsidRPr="00647534" w:rsidR="008C2EFD">
        <w:tab/>
      </w:r>
      <w:r w:rsidRPr="00647534" w:rsidR="009248C3">
        <w:rPr>
          <w:u w:val="single"/>
        </w:rPr>
        <w:t>Reasons for Change in Burden</w:t>
      </w:r>
    </w:p>
    <w:p w:rsidRPr="00647534" w:rsidR="009248C3" w:rsidP="0052752D" w:rsidRDefault="009248C3">
      <w:pPr>
        <w:pStyle w:val="t9"/>
      </w:pPr>
    </w:p>
    <w:p w:rsidR="0073469D" w:rsidP="0052752D" w:rsidRDefault="009B6FF6">
      <w:pPr>
        <w:pStyle w:val="t9"/>
      </w:pPr>
      <w:r>
        <w:tab/>
      </w:r>
      <w:r w:rsidR="00796D52">
        <w:t>Th</w:t>
      </w:r>
      <w:r w:rsidR="007252ED">
        <w:t>is</w:t>
      </w:r>
      <w:r w:rsidR="00796D52">
        <w:t xml:space="preserve"> is </w:t>
      </w:r>
      <w:r w:rsidR="009046A6">
        <w:t>a new collection</w:t>
      </w:r>
      <w:r w:rsidR="007252ED">
        <w:t xml:space="preserve"> with a new associated burden</w:t>
      </w:r>
      <w:r w:rsidR="009046A6">
        <w:t>.</w:t>
      </w:r>
    </w:p>
    <w:p w:rsidRPr="00647534" w:rsidR="00796D52" w:rsidP="0052752D" w:rsidRDefault="00796D52">
      <w:pPr>
        <w:pStyle w:val="t9"/>
      </w:pPr>
    </w:p>
    <w:p w:rsidRPr="00647534" w:rsidR="0044337E" w:rsidP="0052752D" w:rsidRDefault="0073469D">
      <w:pPr>
        <w:pStyle w:val="p6"/>
        <w:tabs>
          <w:tab w:val="clear" w:pos="204"/>
        </w:tabs>
      </w:pPr>
      <w:r w:rsidRPr="00647534">
        <w:t xml:space="preserve">16.  </w:t>
      </w:r>
      <w:r w:rsidRPr="00647534">
        <w:rPr>
          <w:u w:val="single"/>
        </w:rPr>
        <w:t>Publication</w:t>
      </w:r>
      <w:r w:rsidRPr="00647534" w:rsidR="0044337E">
        <w:rPr>
          <w:u w:val="single"/>
        </w:rPr>
        <w:t xml:space="preserve"> of Results</w:t>
      </w:r>
    </w:p>
    <w:p w:rsidRPr="00647534" w:rsidR="0044337E" w:rsidP="0052752D" w:rsidRDefault="0044337E">
      <w:pPr>
        <w:pStyle w:val="p6"/>
        <w:tabs>
          <w:tab w:val="clear" w:pos="204"/>
        </w:tabs>
      </w:pPr>
    </w:p>
    <w:p w:rsidR="002104EA" w:rsidP="0052752D" w:rsidRDefault="0044337E">
      <w:pPr>
        <w:pStyle w:val="p6"/>
        <w:tabs>
          <w:tab w:val="clear" w:pos="204"/>
        </w:tabs>
      </w:pPr>
      <w:r w:rsidRPr="00647534">
        <w:tab/>
      </w:r>
      <w:r w:rsidR="007252ED">
        <w:t>The r</w:t>
      </w:r>
      <w:r w:rsidRPr="00647534" w:rsidR="0073469D">
        <w:t>esults of this collection will not be published.</w:t>
      </w:r>
    </w:p>
    <w:p w:rsidRPr="00647534" w:rsidR="00C66208" w:rsidP="0052752D" w:rsidRDefault="00C66208">
      <w:pPr>
        <w:pStyle w:val="p6"/>
        <w:tabs>
          <w:tab w:val="clear" w:pos="204"/>
        </w:tabs>
      </w:pPr>
    </w:p>
    <w:p w:rsidRPr="00647534" w:rsidR="0044337E" w:rsidP="0052752D" w:rsidRDefault="0073469D">
      <w:pPr>
        <w:pStyle w:val="p6"/>
        <w:tabs>
          <w:tab w:val="clear" w:pos="204"/>
        </w:tabs>
        <w:rPr>
          <w:u w:val="single"/>
        </w:rPr>
      </w:pPr>
      <w:r w:rsidRPr="00647534">
        <w:t xml:space="preserve">17.  </w:t>
      </w:r>
      <w:r w:rsidRPr="00647534" w:rsidR="0044337E">
        <w:rPr>
          <w:u w:val="single"/>
        </w:rPr>
        <w:t>Non-Display of OMB Expiration D</w:t>
      </w:r>
      <w:r w:rsidRPr="00647534">
        <w:rPr>
          <w:u w:val="single"/>
        </w:rPr>
        <w:t>ate</w:t>
      </w:r>
    </w:p>
    <w:p w:rsidRPr="00647534" w:rsidR="0044337E" w:rsidP="0052752D" w:rsidRDefault="0044337E">
      <w:pPr>
        <w:pStyle w:val="p6"/>
        <w:tabs>
          <w:tab w:val="clear" w:pos="204"/>
        </w:tabs>
        <w:rPr>
          <w:u w:val="single"/>
        </w:rPr>
      </w:pPr>
    </w:p>
    <w:p w:rsidRPr="00647534" w:rsidR="002104EA" w:rsidP="0052752D" w:rsidRDefault="0044337E">
      <w:pPr>
        <w:pStyle w:val="p6"/>
        <w:tabs>
          <w:tab w:val="clear" w:pos="204"/>
        </w:tabs>
      </w:pPr>
      <w:r w:rsidRPr="00647534">
        <w:tab/>
      </w:r>
      <w:r w:rsidR="00995495">
        <w:t>DoD is</w:t>
      </w:r>
      <w:r w:rsidRPr="00647534" w:rsidR="0073469D">
        <w:t xml:space="preserve"> not seek</w:t>
      </w:r>
      <w:r w:rsidR="00995495">
        <w:t>ing</w:t>
      </w:r>
      <w:r w:rsidRPr="00647534" w:rsidR="0073469D">
        <w:t xml:space="preserve"> approval to </w:t>
      </w:r>
      <w:r w:rsidR="00995495">
        <w:t>omit the</w:t>
      </w:r>
      <w:r w:rsidRPr="00647534" w:rsidR="00995495">
        <w:t xml:space="preserve"> </w:t>
      </w:r>
      <w:r w:rsidRPr="00647534" w:rsidR="0073469D">
        <w:t>display the expiration date for OMB approval of the information collection.</w:t>
      </w:r>
    </w:p>
    <w:p w:rsidRPr="00647534" w:rsidR="002104EA" w:rsidP="0052752D" w:rsidRDefault="002104EA">
      <w:pPr>
        <w:pStyle w:val="p6"/>
        <w:tabs>
          <w:tab w:val="clear" w:pos="204"/>
        </w:tabs>
      </w:pPr>
    </w:p>
    <w:p w:rsidRPr="00647534" w:rsidR="0044337E" w:rsidP="0052752D" w:rsidRDefault="0073469D">
      <w:pPr>
        <w:pStyle w:val="p6"/>
        <w:tabs>
          <w:tab w:val="clear" w:pos="204"/>
        </w:tabs>
      </w:pPr>
      <w:r w:rsidRPr="00647534">
        <w:t>18.</w:t>
      </w:r>
      <w:r w:rsidRPr="00647534" w:rsidR="0044337E">
        <w:t xml:space="preserve">  </w:t>
      </w:r>
      <w:r w:rsidRPr="00647534" w:rsidR="0044337E">
        <w:rPr>
          <w:u w:val="single"/>
        </w:rPr>
        <w:t>Exceptions to “</w:t>
      </w:r>
      <w:r w:rsidRPr="00647534">
        <w:rPr>
          <w:u w:val="single"/>
        </w:rPr>
        <w:t>Certification</w:t>
      </w:r>
      <w:r w:rsidRPr="00647534" w:rsidR="0044337E">
        <w:rPr>
          <w:u w:val="single"/>
        </w:rPr>
        <w:t xml:space="preserve"> for Paperwork Reduction Submissions”</w:t>
      </w:r>
    </w:p>
    <w:p w:rsidRPr="00647534" w:rsidR="0044337E" w:rsidP="0052752D" w:rsidRDefault="0044337E">
      <w:pPr>
        <w:pStyle w:val="p6"/>
        <w:tabs>
          <w:tab w:val="clear" w:pos="204"/>
        </w:tabs>
      </w:pPr>
    </w:p>
    <w:p w:rsidRPr="00647534" w:rsidR="000C45FA" w:rsidP="0052752D" w:rsidRDefault="0044337E">
      <w:pPr>
        <w:pStyle w:val="p6"/>
        <w:tabs>
          <w:tab w:val="clear" w:pos="204"/>
        </w:tabs>
      </w:pPr>
      <w:r w:rsidRPr="00647534">
        <w:tab/>
      </w:r>
      <w:r w:rsidR="00995495">
        <w:t>DoD is not requesting any exemptions to the provisions stated in 5 CFR 1320.9.</w:t>
      </w:r>
    </w:p>
    <w:p w:rsidR="004A3D2F" w:rsidP="0052752D" w:rsidRDefault="004A3D2F">
      <w:pPr>
        <w:pStyle w:val="p6"/>
        <w:tabs>
          <w:tab w:val="clear" w:pos="204"/>
        </w:tabs>
      </w:pPr>
    </w:p>
    <w:sectPr w:rsidR="004A3D2F" w:rsidSect="0052752D">
      <w:footerReference w:type="default" r:id="rId9"/>
      <w:type w:val="continuous"/>
      <w:pgSz w:w="12240" w:h="15840" w:code="1"/>
      <w:pgMar w:top="1440" w:right="1440" w:bottom="117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CB8" w:rsidRDefault="00913CB8">
      <w:r>
        <w:separator/>
      </w:r>
    </w:p>
  </w:endnote>
  <w:endnote w:type="continuationSeparator" w:id="0">
    <w:p w:rsidR="00913CB8" w:rsidRDefault="0091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040372"/>
      <w:docPartObj>
        <w:docPartGallery w:val="Page Numbers (Bottom of Page)"/>
        <w:docPartUnique/>
      </w:docPartObj>
    </w:sdtPr>
    <w:sdtEndPr>
      <w:rPr>
        <w:noProof/>
      </w:rPr>
    </w:sdtEndPr>
    <w:sdtContent>
      <w:p w:rsidR="00913CB8" w:rsidRDefault="00913CB8">
        <w:pPr>
          <w:pStyle w:val="Footer"/>
          <w:jc w:val="center"/>
        </w:pPr>
        <w:r>
          <w:fldChar w:fldCharType="begin"/>
        </w:r>
        <w:r>
          <w:instrText xml:space="preserve"> PAGE   \* MERGEFORMAT </w:instrText>
        </w:r>
        <w:r>
          <w:fldChar w:fldCharType="separate"/>
        </w:r>
        <w:r w:rsidR="00A8733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CB8" w:rsidRDefault="00913CB8">
      <w:r>
        <w:separator/>
      </w:r>
    </w:p>
  </w:footnote>
  <w:footnote w:type="continuationSeparator" w:id="0">
    <w:p w:rsidR="00913CB8" w:rsidRDefault="0091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20C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CF73A4"/>
    <w:multiLevelType w:val="hybridMultilevel"/>
    <w:tmpl w:val="638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E7ABB"/>
    <w:multiLevelType w:val="hybridMultilevel"/>
    <w:tmpl w:val="4244B71A"/>
    <w:lvl w:ilvl="0" w:tplc="43243C5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BE2D3A"/>
    <w:multiLevelType w:val="hybridMultilevel"/>
    <w:tmpl w:val="9A5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4524D"/>
    <w:multiLevelType w:val="hybridMultilevel"/>
    <w:tmpl w:val="E788E612"/>
    <w:lvl w:ilvl="0" w:tplc="4532F3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DB2E64"/>
    <w:multiLevelType w:val="hybridMultilevel"/>
    <w:tmpl w:val="BDD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51265"/>
    <w:multiLevelType w:val="hybridMultilevel"/>
    <w:tmpl w:val="9E3CFAB0"/>
    <w:lvl w:ilvl="0" w:tplc="44A4CE52">
      <w:start w:val="1"/>
      <w:numFmt w:val="decimal"/>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33F568D"/>
    <w:multiLevelType w:val="hybridMultilevel"/>
    <w:tmpl w:val="AD38ADAA"/>
    <w:lvl w:ilvl="0" w:tplc="529E0EE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73257"/>
    <w:multiLevelType w:val="hybridMultilevel"/>
    <w:tmpl w:val="AB7ADDC8"/>
    <w:lvl w:ilvl="0" w:tplc="D1BA8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E12163"/>
    <w:multiLevelType w:val="hybridMultilevel"/>
    <w:tmpl w:val="F4B0A65A"/>
    <w:lvl w:ilvl="0" w:tplc="51245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025CC"/>
    <w:multiLevelType w:val="hybridMultilevel"/>
    <w:tmpl w:val="885A72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3" w15:restartNumberingAfterBreak="0">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6"/>
  </w:num>
  <w:num w:numId="3">
    <w:abstractNumId w:val="13"/>
  </w:num>
  <w:num w:numId="4">
    <w:abstractNumId w:val="12"/>
  </w:num>
  <w:num w:numId="5">
    <w:abstractNumId w:val="0"/>
  </w:num>
  <w:num w:numId="6">
    <w:abstractNumId w:val="1"/>
  </w:num>
  <w:num w:numId="7">
    <w:abstractNumId w:val="2"/>
  </w:num>
  <w:num w:numId="8">
    <w:abstractNumId w:val="3"/>
  </w:num>
  <w:num w:numId="9">
    <w:abstractNumId w:val="30"/>
  </w:num>
  <w:num w:numId="10">
    <w:abstractNumId w:val="34"/>
  </w:num>
  <w:num w:numId="11">
    <w:abstractNumId w:val="17"/>
  </w:num>
  <w:num w:numId="12">
    <w:abstractNumId w:val="25"/>
  </w:num>
  <w:num w:numId="13">
    <w:abstractNumId w:val="18"/>
  </w:num>
  <w:num w:numId="14">
    <w:abstractNumId w:val="29"/>
  </w:num>
  <w:num w:numId="15">
    <w:abstractNumId w:val="11"/>
  </w:num>
  <w:num w:numId="16">
    <w:abstractNumId w:val="9"/>
  </w:num>
  <w:num w:numId="17">
    <w:abstractNumId w:val="15"/>
  </w:num>
  <w:num w:numId="18">
    <w:abstractNumId w:val="33"/>
  </w:num>
  <w:num w:numId="19">
    <w:abstractNumId w:val="23"/>
  </w:num>
  <w:num w:numId="20">
    <w:abstractNumId w:val="28"/>
  </w:num>
  <w:num w:numId="21">
    <w:abstractNumId w:val="4"/>
  </w:num>
  <w:num w:numId="22">
    <w:abstractNumId w:val="5"/>
  </w:num>
  <w:num w:numId="23">
    <w:abstractNumId w:val="6"/>
  </w:num>
  <w:num w:numId="24">
    <w:abstractNumId w:val="7"/>
  </w:num>
  <w:num w:numId="25">
    <w:abstractNumId w:val="8"/>
  </w:num>
  <w:num w:numId="26">
    <w:abstractNumId w:val="22"/>
  </w:num>
  <w:num w:numId="27">
    <w:abstractNumId w:val="27"/>
  </w:num>
  <w:num w:numId="28">
    <w:abstractNumId w:val="14"/>
  </w:num>
  <w:num w:numId="29">
    <w:abstractNumId w:val="32"/>
  </w:num>
  <w:num w:numId="30">
    <w:abstractNumId w:val="10"/>
  </w:num>
  <w:num w:numId="31">
    <w:abstractNumId w:val="26"/>
  </w:num>
  <w:num w:numId="32">
    <w:abstractNumId w:val="19"/>
  </w:num>
  <w:num w:numId="33">
    <w:abstractNumId w:val="21"/>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00C04"/>
    <w:rsid w:val="00001B92"/>
    <w:rsid w:val="000042E5"/>
    <w:rsid w:val="00005183"/>
    <w:rsid w:val="00012A85"/>
    <w:rsid w:val="00012CBA"/>
    <w:rsid w:val="00030B80"/>
    <w:rsid w:val="00033F3A"/>
    <w:rsid w:val="00036C7B"/>
    <w:rsid w:val="00042CCC"/>
    <w:rsid w:val="00052755"/>
    <w:rsid w:val="000528A7"/>
    <w:rsid w:val="00053F50"/>
    <w:rsid w:val="0005401A"/>
    <w:rsid w:val="000668C5"/>
    <w:rsid w:val="00077501"/>
    <w:rsid w:val="00077EDB"/>
    <w:rsid w:val="000817CD"/>
    <w:rsid w:val="00083557"/>
    <w:rsid w:val="000839C0"/>
    <w:rsid w:val="000912D0"/>
    <w:rsid w:val="000930B6"/>
    <w:rsid w:val="000938D6"/>
    <w:rsid w:val="000959C1"/>
    <w:rsid w:val="000A1353"/>
    <w:rsid w:val="000A3906"/>
    <w:rsid w:val="000A65E6"/>
    <w:rsid w:val="000A66B6"/>
    <w:rsid w:val="000B0B71"/>
    <w:rsid w:val="000B0EFC"/>
    <w:rsid w:val="000B3461"/>
    <w:rsid w:val="000B52B7"/>
    <w:rsid w:val="000B6715"/>
    <w:rsid w:val="000C07B8"/>
    <w:rsid w:val="000C0D00"/>
    <w:rsid w:val="000C45FA"/>
    <w:rsid w:val="000C5F71"/>
    <w:rsid w:val="000D5175"/>
    <w:rsid w:val="000E5F99"/>
    <w:rsid w:val="000F23F4"/>
    <w:rsid w:val="00102741"/>
    <w:rsid w:val="00102B56"/>
    <w:rsid w:val="001064F9"/>
    <w:rsid w:val="00110D8A"/>
    <w:rsid w:val="00116AA1"/>
    <w:rsid w:val="00116DBA"/>
    <w:rsid w:val="0012439A"/>
    <w:rsid w:val="001316C8"/>
    <w:rsid w:val="001326C7"/>
    <w:rsid w:val="0014233D"/>
    <w:rsid w:val="00143411"/>
    <w:rsid w:val="00150EA4"/>
    <w:rsid w:val="0015454E"/>
    <w:rsid w:val="00156E72"/>
    <w:rsid w:val="00157ED5"/>
    <w:rsid w:val="001675E8"/>
    <w:rsid w:val="00180C6C"/>
    <w:rsid w:val="00183CAD"/>
    <w:rsid w:val="0018616B"/>
    <w:rsid w:val="00190CE3"/>
    <w:rsid w:val="00191B74"/>
    <w:rsid w:val="0019392D"/>
    <w:rsid w:val="00194A12"/>
    <w:rsid w:val="001A22D2"/>
    <w:rsid w:val="001A449D"/>
    <w:rsid w:val="001A5264"/>
    <w:rsid w:val="001B2AAC"/>
    <w:rsid w:val="001B4B69"/>
    <w:rsid w:val="001B5870"/>
    <w:rsid w:val="001B600C"/>
    <w:rsid w:val="001C074F"/>
    <w:rsid w:val="001C5626"/>
    <w:rsid w:val="001C7D77"/>
    <w:rsid w:val="001D0CCE"/>
    <w:rsid w:val="001E1FF0"/>
    <w:rsid w:val="001E260C"/>
    <w:rsid w:val="001F4EE0"/>
    <w:rsid w:val="001F587B"/>
    <w:rsid w:val="002104EA"/>
    <w:rsid w:val="00212A11"/>
    <w:rsid w:val="00212F3F"/>
    <w:rsid w:val="00217CA9"/>
    <w:rsid w:val="00221B44"/>
    <w:rsid w:val="00254130"/>
    <w:rsid w:val="00257B3A"/>
    <w:rsid w:val="00261CD5"/>
    <w:rsid w:val="00262BD5"/>
    <w:rsid w:val="00265EAF"/>
    <w:rsid w:val="00270052"/>
    <w:rsid w:val="0027160C"/>
    <w:rsid w:val="00274C48"/>
    <w:rsid w:val="002751BD"/>
    <w:rsid w:val="0027583C"/>
    <w:rsid w:val="00283494"/>
    <w:rsid w:val="0029244A"/>
    <w:rsid w:val="00292DB7"/>
    <w:rsid w:val="002961E0"/>
    <w:rsid w:val="002979B2"/>
    <w:rsid w:val="00297B71"/>
    <w:rsid w:val="002A0534"/>
    <w:rsid w:val="002A40FA"/>
    <w:rsid w:val="002B0717"/>
    <w:rsid w:val="002B5673"/>
    <w:rsid w:val="002B7E41"/>
    <w:rsid w:val="002C4BCA"/>
    <w:rsid w:val="002C5A58"/>
    <w:rsid w:val="002D66DE"/>
    <w:rsid w:val="002E5C25"/>
    <w:rsid w:val="002F0E68"/>
    <w:rsid w:val="002F2AE1"/>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5689"/>
    <w:rsid w:val="0035217A"/>
    <w:rsid w:val="00356157"/>
    <w:rsid w:val="00356A75"/>
    <w:rsid w:val="00357D59"/>
    <w:rsid w:val="00362CCF"/>
    <w:rsid w:val="00374435"/>
    <w:rsid w:val="00375519"/>
    <w:rsid w:val="00376F95"/>
    <w:rsid w:val="00377D6A"/>
    <w:rsid w:val="00380F57"/>
    <w:rsid w:val="00382AC0"/>
    <w:rsid w:val="00383053"/>
    <w:rsid w:val="003849D2"/>
    <w:rsid w:val="0039359D"/>
    <w:rsid w:val="00395BB5"/>
    <w:rsid w:val="00395E55"/>
    <w:rsid w:val="00395E89"/>
    <w:rsid w:val="0039684D"/>
    <w:rsid w:val="003A18F6"/>
    <w:rsid w:val="003A22A4"/>
    <w:rsid w:val="003A31C7"/>
    <w:rsid w:val="003A48EF"/>
    <w:rsid w:val="003A7ADB"/>
    <w:rsid w:val="003B134B"/>
    <w:rsid w:val="003B1A87"/>
    <w:rsid w:val="003B1DD3"/>
    <w:rsid w:val="003C3A99"/>
    <w:rsid w:val="003C5E4F"/>
    <w:rsid w:val="003D6040"/>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5C89"/>
    <w:rsid w:val="00427BD6"/>
    <w:rsid w:val="00433677"/>
    <w:rsid w:val="00443176"/>
    <w:rsid w:val="0044337E"/>
    <w:rsid w:val="00451E1C"/>
    <w:rsid w:val="00454D82"/>
    <w:rsid w:val="0045518E"/>
    <w:rsid w:val="004562E5"/>
    <w:rsid w:val="00463E85"/>
    <w:rsid w:val="00466A5A"/>
    <w:rsid w:val="00473C66"/>
    <w:rsid w:val="004746EE"/>
    <w:rsid w:val="00474B76"/>
    <w:rsid w:val="00477EEC"/>
    <w:rsid w:val="00490E20"/>
    <w:rsid w:val="004964B8"/>
    <w:rsid w:val="00497E24"/>
    <w:rsid w:val="004A2332"/>
    <w:rsid w:val="004A3D2F"/>
    <w:rsid w:val="004A452E"/>
    <w:rsid w:val="004B660D"/>
    <w:rsid w:val="004C17E3"/>
    <w:rsid w:val="004C2B9E"/>
    <w:rsid w:val="004C464B"/>
    <w:rsid w:val="004C6F94"/>
    <w:rsid w:val="004C7C32"/>
    <w:rsid w:val="004D2D5E"/>
    <w:rsid w:val="004D2E71"/>
    <w:rsid w:val="004D6C28"/>
    <w:rsid w:val="004E06FC"/>
    <w:rsid w:val="004E1E34"/>
    <w:rsid w:val="004E6AA1"/>
    <w:rsid w:val="004E780A"/>
    <w:rsid w:val="00501CA5"/>
    <w:rsid w:val="00501D73"/>
    <w:rsid w:val="005073F5"/>
    <w:rsid w:val="005116DB"/>
    <w:rsid w:val="00511A3E"/>
    <w:rsid w:val="005127EE"/>
    <w:rsid w:val="005153E1"/>
    <w:rsid w:val="00517151"/>
    <w:rsid w:val="00521F4C"/>
    <w:rsid w:val="00521F7E"/>
    <w:rsid w:val="0052752D"/>
    <w:rsid w:val="005276F0"/>
    <w:rsid w:val="0053470C"/>
    <w:rsid w:val="0053497E"/>
    <w:rsid w:val="00534DFF"/>
    <w:rsid w:val="0053534F"/>
    <w:rsid w:val="00537AC5"/>
    <w:rsid w:val="00542AA2"/>
    <w:rsid w:val="0054508E"/>
    <w:rsid w:val="00545681"/>
    <w:rsid w:val="00552EEF"/>
    <w:rsid w:val="00553F89"/>
    <w:rsid w:val="00555A49"/>
    <w:rsid w:val="00563724"/>
    <w:rsid w:val="0056532A"/>
    <w:rsid w:val="0056780D"/>
    <w:rsid w:val="005729B7"/>
    <w:rsid w:val="00576E51"/>
    <w:rsid w:val="0057784B"/>
    <w:rsid w:val="00584244"/>
    <w:rsid w:val="00586EF7"/>
    <w:rsid w:val="005948B7"/>
    <w:rsid w:val="00595EB8"/>
    <w:rsid w:val="005A12F7"/>
    <w:rsid w:val="005A1AB6"/>
    <w:rsid w:val="005A2242"/>
    <w:rsid w:val="005A3E19"/>
    <w:rsid w:val="005A499A"/>
    <w:rsid w:val="005A70F1"/>
    <w:rsid w:val="005B0941"/>
    <w:rsid w:val="005B1DD7"/>
    <w:rsid w:val="005B5026"/>
    <w:rsid w:val="005C3E0C"/>
    <w:rsid w:val="005C5A12"/>
    <w:rsid w:val="005C5DA6"/>
    <w:rsid w:val="005D17F0"/>
    <w:rsid w:val="005D6BC6"/>
    <w:rsid w:val="005D76C0"/>
    <w:rsid w:val="005E26C4"/>
    <w:rsid w:val="005E7E8E"/>
    <w:rsid w:val="005F3E56"/>
    <w:rsid w:val="005F43D4"/>
    <w:rsid w:val="005F7766"/>
    <w:rsid w:val="006017C3"/>
    <w:rsid w:val="00602C71"/>
    <w:rsid w:val="006124B0"/>
    <w:rsid w:val="006153A1"/>
    <w:rsid w:val="00616A20"/>
    <w:rsid w:val="00617DD8"/>
    <w:rsid w:val="0062455E"/>
    <w:rsid w:val="006252F0"/>
    <w:rsid w:val="00634FA9"/>
    <w:rsid w:val="006448D4"/>
    <w:rsid w:val="00647534"/>
    <w:rsid w:val="0065618E"/>
    <w:rsid w:val="00660C6F"/>
    <w:rsid w:val="00660EBD"/>
    <w:rsid w:val="0066171A"/>
    <w:rsid w:val="00665BB8"/>
    <w:rsid w:val="00666224"/>
    <w:rsid w:val="00667BE7"/>
    <w:rsid w:val="006753D7"/>
    <w:rsid w:val="00677DFB"/>
    <w:rsid w:val="00680652"/>
    <w:rsid w:val="00686CD0"/>
    <w:rsid w:val="006A14AD"/>
    <w:rsid w:val="006B1E0C"/>
    <w:rsid w:val="006B4F5A"/>
    <w:rsid w:val="006C2A15"/>
    <w:rsid w:val="006C398D"/>
    <w:rsid w:val="006C46A6"/>
    <w:rsid w:val="006C6AB5"/>
    <w:rsid w:val="006D0316"/>
    <w:rsid w:val="006D2F26"/>
    <w:rsid w:val="006D4197"/>
    <w:rsid w:val="006E0C01"/>
    <w:rsid w:val="006E42E3"/>
    <w:rsid w:val="006F1CD0"/>
    <w:rsid w:val="006F3E9C"/>
    <w:rsid w:val="006F56D2"/>
    <w:rsid w:val="006F5C25"/>
    <w:rsid w:val="0070517D"/>
    <w:rsid w:val="007102DF"/>
    <w:rsid w:val="00713106"/>
    <w:rsid w:val="007158E1"/>
    <w:rsid w:val="00716339"/>
    <w:rsid w:val="00716E27"/>
    <w:rsid w:val="007178AE"/>
    <w:rsid w:val="007206A6"/>
    <w:rsid w:val="00722C45"/>
    <w:rsid w:val="007238BF"/>
    <w:rsid w:val="00724CFD"/>
    <w:rsid w:val="007252ED"/>
    <w:rsid w:val="00725D0F"/>
    <w:rsid w:val="0073469D"/>
    <w:rsid w:val="0074010D"/>
    <w:rsid w:val="007407EF"/>
    <w:rsid w:val="00741BD7"/>
    <w:rsid w:val="00750191"/>
    <w:rsid w:val="0075167E"/>
    <w:rsid w:val="0075647C"/>
    <w:rsid w:val="0075774E"/>
    <w:rsid w:val="00764DDB"/>
    <w:rsid w:val="00770D19"/>
    <w:rsid w:val="0077288A"/>
    <w:rsid w:val="00773309"/>
    <w:rsid w:val="0077529C"/>
    <w:rsid w:val="007757DC"/>
    <w:rsid w:val="00782F67"/>
    <w:rsid w:val="00783453"/>
    <w:rsid w:val="007852B7"/>
    <w:rsid w:val="00787DDF"/>
    <w:rsid w:val="0079324C"/>
    <w:rsid w:val="00795BE1"/>
    <w:rsid w:val="00796D52"/>
    <w:rsid w:val="00797A14"/>
    <w:rsid w:val="007A1BCB"/>
    <w:rsid w:val="007A55D1"/>
    <w:rsid w:val="007B15B9"/>
    <w:rsid w:val="007B35E8"/>
    <w:rsid w:val="007B6CE5"/>
    <w:rsid w:val="007C0DE0"/>
    <w:rsid w:val="007D0EA1"/>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11B6E"/>
    <w:rsid w:val="00814E44"/>
    <w:rsid w:val="0081583F"/>
    <w:rsid w:val="0082354F"/>
    <w:rsid w:val="00826178"/>
    <w:rsid w:val="008263CE"/>
    <w:rsid w:val="00831864"/>
    <w:rsid w:val="0083280E"/>
    <w:rsid w:val="00840CBD"/>
    <w:rsid w:val="0084492D"/>
    <w:rsid w:val="00846D68"/>
    <w:rsid w:val="00847071"/>
    <w:rsid w:val="00847C52"/>
    <w:rsid w:val="0085783F"/>
    <w:rsid w:val="00857F8A"/>
    <w:rsid w:val="00860F2A"/>
    <w:rsid w:val="0086201E"/>
    <w:rsid w:val="008625D9"/>
    <w:rsid w:val="0086271C"/>
    <w:rsid w:val="0086361A"/>
    <w:rsid w:val="00863FCF"/>
    <w:rsid w:val="008641C5"/>
    <w:rsid w:val="00864963"/>
    <w:rsid w:val="00866F27"/>
    <w:rsid w:val="00870503"/>
    <w:rsid w:val="00870F8F"/>
    <w:rsid w:val="0087158A"/>
    <w:rsid w:val="00886327"/>
    <w:rsid w:val="00890B34"/>
    <w:rsid w:val="00891051"/>
    <w:rsid w:val="0089364B"/>
    <w:rsid w:val="008944EC"/>
    <w:rsid w:val="008A3267"/>
    <w:rsid w:val="008A63FF"/>
    <w:rsid w:val="008A6B3F"/>
    <w:rsid w:val="008B0228"/>
    <w:rsid w:val="008C1696"/>
    <w:rsid w:val="008C18AE"/>
    <w:rsid w:val="008C2EFD"/>
    <w:rsid w:val="008D0C5D"/>
    <w:rsid w:val="008D1708"/>
    <w:rsid w:val="008D4C69"/>
    <w:rsid w:val="008D714D"/>
    <w:rsid w:val="008E0F9D"/>
    <w:rsid w:val="008E1CB3"/>
    <w:rsid w:val="008E4671"/>
    <w:rsid w:val="008E5514"/>
    <w:rsid w:val="008F6A95"/>
    <w:rsid w:val="008F6D8F"/>
    <w:rsid w:val="00903510"/>
    <w:rsid w:val="00903E9D"/>
    <w:rsid w:val="009046A6"/>
    <w:rsid w:val="009074B5"/>
    <w:rsid w:val="00913CB8"/>
    <w:rsid w:val="00917EA8"/>
    <w:rsid w:val="0092043A"/>
    <w:rsid w:val="009248C3"/>
    <w:rsid w:val="00924C88"/>
    <w:rsid w:val="009269B8"/>
    <w:rsid w:val="00931A17"/>
    <w:rsid w:val="009328F1"/>
    <w:rsid w:val="00933774"/>
    <w:rsid w:val="00935A0B"/>
    <w:rsid w:val="009364B7"/>
    <w:rsid w:val="0093769C"/>
    <w:rsid w:val="00943BF8"/>
    <w:rsid w:val="00944BF1"/>
    <w:rsid w:val="00961A15"/>
    <w:rsid w:val="0096408A"/>
    <w:rsid w:val="00964F3B"/>
    <w:rsid w:val="00967224"/>
    <w:rsid w:val="009672B6"/>
    <w:rsid w:val="009674F6"/>
    <w:rsid w:val="00972A1D"/>
    <w:rsid w:val="0098005F"/>
    <w:rsid w:val="00982C19"/>
    <w:rsid w:val="0098302A"/>
    <w:rsid w:val="009901CA"/>
    <w:rsid w:val="0099240D"/>
    <w:rsid w:val="00992521"/>
    <w:rsid w:val="00994207"/>
    <w:rsid w:val="00995495"/>
    <w:rsid w:val="009A05D4"/>
    <w:rsid w:val="009A0D7B"/>
    <w:rsid w:val="009A620A"/>
    <w:rsid w:val="009A79FA"/>
    <w:rsid w:val="009B02E2"/>
    <w:rsid w:val="009B3AB0"/>
    <w:rsid w:val="009B66D4"/>
    <w:rsid w:val="009B6FF6"/>
    <w:rsid w:val="009C3A29"/>
    <w:rsid w:val="009C3DD0"/>
    <w:rsid w:val="009D012C"/>
    <w:rsid w:val="009D3965"/>
    <w:rsid w:val="009D4145"/>
    <w:rsid w:val="009D4975"/>
    <w:rsid w:val="009D67DB"/>
    <w:rsid w:val="009D73A2"/>
    <w:rsid w:val="009E1790"/>
    <w:rsid w:val="009F300F"/>
    <w:rsid w:val="009F6E9B"/>
    <w:rsid w:val="009F78FD"/>
    <w:rsid w:val="00A00E31"/>
    <w:rsid w:val="00A07EE7"/>
    <w:rsid w:val="00A11AD7"/>
    <w:rsid w:val="00A13B75"/>
    <w:rsid w:val="00A1714E"/>
    <w:rsid w:val="00A178B6"/>
    <w:rsid w:val="00A20746"/>
    <w:rsid w:val="00A31524"/>
    <w:rsid w:val="00A32C02"/>
    <w:rsid w:val="00A35A26"/>
    <w:rsid w:val="00A40AC2"/>
    <w:rsid w:val="00A4487F"/>
    <w:rsid w:val="00A53E7F"/>
    <w:rsid w:val="00A61901"/>
    <w:rsid w:val="00A757BD"/>
    <w:rsid w:val="00A8733F"/>
    <w:rsid w:val="00A87F71"/>
    <w:rsid w:val="00A94479"/>
    <w:rsid w:val="00A94AC0"/>
    <w:rsid w:val="00A94D54"/>
    <w:rsid w:val="00AA7A8D"/>
    <w:rsid w:val="00AB5E73"/>
    <w:rsid w:val="00AC2210"/>
    <w:rsid w:val="00AC3A91"/>
    <w:rsid w:val="00AC3F90"/>
    <w:rsid w:val="00AC475A"/>
    <w:rsid w:val="00AD2F1B"/>
    <w:rsid w:val="00AD35CE"/>
    <w:rsid w:val="00AE11C3"/>
    <w:rsid w:val="00AE399C"/>
    <w:rsid w:val="00AE5BD4"/>
    <w:rsid w:val="00AE6290"/>
    <w:rsid w:val="00AE68CE"/>
    <w:rsid w:val="00AF1DE0"/>
    <w:rsid w:val="00AF3F41"/>
    <w:rsid w:val="00AF618F"/>
    <w:rsid w:val="00AF7610"/>
    <w:rsid w:val="00B04124"/>
    <w:rsid w:val="00B04C1E"/>
    <w:rsid w:val="00B05CD0"/>
    <w:rsid w:val="00B060FA"/>
    <w:rsid w:val="00B10A5D"/>
    <w:rsid w:val="00B13D76"/>
    <w:rsid w:val="00B1443D"/>
    <w:rsid w:val="00B244AE"/>
    <w:rsid w:val="00B30FB0"/>
    <w:rsid w:val="00B31785"/>
    <w:rsid w:val="00B35905"/>
    <w:rsid w:val="00B40679"/>
    <w:rsid w:val="00B42EE1"/>
    <w:rsid w:val="00B46C4B"/>
    <w:rsid w:val="00B53812"/>
    <w:rsid w:val="00B55A7C"/>
    <w:rsid w:val="00B60E74"/>
    <w:rsid w:val="00B6267F"/>
    <w:rsid w:val="00B7391E"/>
    <w:rsid w:val="00B7660A"/>
    <w:rsid w:val="00B80256"/>
    <w:rsid w:val="00B811EE"/>
    <w:rsid w:val="00B81E9E"/>
    <w:rsid w:val="00B84D72"/>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C00AEA"/>
    <w:rsid w:val="00C00BBC"/>
    <w:rsid w:val="00C011AF"/>
    <w:rsid w:val="00C02ED1"/>
    <w:rsid w:val="00C04491"/>
    <w:rsid w:val="00C11C40"/>
    <w:rsid w:val="00C13A4A"/>
    <w:rsid w:val="00C22568"/>
    <w:rsid w:val="00C228A9"/>
    <w:rsid w:val="00C24CAE"/>
    <w:rsid w:val="00C2556D"/>
    <w:rsid w:val="00C26C87"/>
    <w:rsid w:val="00C3219D"/>
    <w:rsid w:val="00C402EA"/>
    <w:rsid w:val="00C41FB7"/>
    <w:rsid w:val="00C42503"/>
    <w:rsid w:val="00C431C8"/>
    <w:rsid w:val="00C437EA"/>
    <w:rsid w:val="00C4732A"/>
    <w:rsid w:val="00C66208"/>
    <w:rsid w:val="00C7468B"/>
    <w:rsid w:val="00C74710"/>
    <w:rsid w:val="00C76B2A"/>
    <w:rsid w:val="00C7769D"/>
    <w:rsid w:val="00C82DEE"/>
    <w:rsid w:val="00C8501D"/>
    <w:rsid w:val="00C85336"/>
    <w:rsid w:val="00C858F8"/>
    <w:rsid w:val="00C87722"/>
    <w:rsid w:val="00C9157F"/>
    <w:rsid w:val="00C94040"/>
    <w:rsid w:val="00C96D2D"/>
    <w:rsid w:val="00CA6E1E"/>
    <w:rsid w:val="00CB17C0"/>
    <w:rsid w:val="00CB6F5C"/>
    <w:rsid w:val="00CB73E6"/>
    <w:rsid w:val="00CC0282"/>
    <w:rsid w:val="00CC0389"/>
    <w:rsid w:val="00CC0830"/>
    <w:rsid w:val="00CC0B7E"/>
    <w:rsid w:val="00CC2AA4"/>
    <w:rsid w:val="00CC5A1E"/>
    <w:rsid w:val="00CC78D1"/>
    <w:rsid w:val="00CD41CF"/>
    <w:rsid w:val="00CD4BA7"/>
    <w:rsid w:val="00CD5E82"/>
    <w:rsid w:val="00CE037B"/>
    <w:rsid w:val="00CE0D1A"/>
    <w:rsid w:val="00CF22C5"/>
    <w:rsid w:val="00CF58E1"/>
    <w:rsid w:val="00D04ED8"/>
    <w:rsid w:val="00D05E18"/>
    <w:rsid w:val="00D05FC3"/>
    <w:rsid w:val="00D07C45"/>
    <w:rsid w:val="00D07DDB"/>
    <w:rsid w:val="00D10CF7"/>
    <w:rsid w:val="00D13593"/>
    <w:rsid w:val="00D139EB"/>
    <w:rsid w:val="00D20E8D"/>
    <w:rsid w:val="00D236DB"/>
    <w:rsid w:val="00D25CAE"/>
    <w:rsid w:val="00D318F3"/>
    <w:rsid w:val="00D31F14"/>
    <w:rsid w:val="00D37BE3"/>
    <w:rsid w:val="00D413AE"/>
    <w:rsid w:val="00D42B21"/>
    <w:rsid w:val="00D44ECD"/>
    <w:rsid w:val="00D454C3"/>
    <w:rsid w:val="00D45503"/>
    <w:rsid w:val="00D45582"/>
    <w:rsid w:val="00D526C5"/>
    <w:rsid w:val="00D56F8A"/>
    <w:rsid w:val="00D57E34"/>
    <w:rsid w:val="00D62D02"/>
    <w:rsid w:val="00D63AE3"/>
    <w:rsid w:val="00D70499"/>
    <w:rsid w:val="00D74598"/>
    <w:rsid w:val="00D7753B"/>
    <w:rsid w:val="00D802F9"/>
    <w:rsid w:val="00D80ECC"/>
    <w:rsid w:val="00D91902"/>
    <w:rsid w:val="00D93401"/>
    <w:rsid w:val="00D938E2"/>
    <w:rsid w:val="00D93B32"/>
    <w:rsid w:val="00D975A1"/>
    <w:rsid w:val="00DA40B5"/>
    <w:rsid w:val="00DA7CCE"/>
    <w:rsid w:val="00DB45EC"/>
    <w:rsid w:val="00DB4CA3"/>
    <w:rsid w:val="00DB4D19"/>
    <w:rsid w:val="00DB5C2E"/>
    <w:rsid w:val="00DC266A"/>
    <w:rsid w:val="00DC4023"/>
    <w:rsid w:val="00DC600C"/>
    <w:rsid w:val="00DC78E6"/>
    <w:rsid w:val="00DD4026"/>
    <w:rsid w:val="00DE6DD9"/>
    <w:rsid w:val="00DF18B2"/>
    <w:rsid w:val="00DF62B5"/>
    <w:rsid w:val="00E00025"/>
    <w:rsid w:val="00E02C6A"/>
    <w:rsid w:val="00E03188"/>
    <w:rsid w:val="00E059BD"/>
    <w:rsid w:val="00E114BA"/>
    <w:rsid w:val="00E11D7D"/>
    <w:rsid w:val="00E122C4"/>
    <w:rsid w:val="00E15A84"/>
    <w:rsid w:val="00E16746"/>
    <w:rsid w:val="00E17245"/>
    <w:rsid w:val="00E262FA"/>
    <w:rsid w:val="00E27AB2"/>
    <w:rsid w:val="00E33027"/>
    <w:rsid w:val="00E340F7"/>
    <w:rsid w:val="00E35C2F"/>
    <w:rsid w:val="00E37296"/>
    <w:rsid w:val="00E40F34"/>
    <w:rsid w:val="00E41440"/>
    <w:rsid w:val="00E414F5"/>
    <w:rsid w:val="00E432A2"/>
    <w:rsid w:val="00E47E8F"/>
    <w:rsid w:val="00E50D4F"/>
    <w:rsid w:val="00E511E7"/>
    <w:rsid w:val="00E52EC7"/>
    <w:rsid w:val="00E55A60"/>
    <w:rsid w:val="00E601E6"/>
    <w:rsid w:val="00E646A2"/>
    <w:rsid w:val="00E66ACE"/>
    <w:rsid w:val="00E66CB6"/>
    <w:rsid w:val="00E81055"/>
    <w:rsid w:val="00E82AA7"/>
    <w:rsid w:val="00E8521D"/>
    <w:rsid w:val="00E85F88"/>
    <w:rsid w:val="00E90F9C"/>
    <w:rsid w:val="00E928A0"/>
    <w:rsid w:val="00E9579B"/>
    <w:rsid w:val="00E95FD9"/>
    <w:rsid w:val="00EA394B"/>
    <w:rsid w:val="00EA3E7B"/>
    <w:rsid w:val="00EA4099"/>
    <w:rsid w:val="00EA71FC"/>
    <w:rsid w:val="00EB210C"/>
    <w:rsid w:val="00EB2EDC"/>
    <w:rsid w:val="00EB3F6B"/>
    <w:rsid w:val="00EB617F"/>
    <w:rsid w:val="00EC062D"/>
    <w:rsid w:val="00EC6651"/>
    <w:rsid w:val="00ED74EE"/>
    <w:rsid w:val="00ED7691"/>
    <w:rsid w:val="00EE0805"/>
    <w:rsid w:val="00F0047D"/>
    <w:rsid w:val="00F0758A"/>
    <w:rsid w:val="00F13515"/>
    <w:rsid w:val="00F155B5"/>
    <w:rsid w:val="00F21471"/>
    <w:rsid w:val="00F22AC7"/>
    <w:rsid w:val="00F254EA"/>
    <w:rsid w:val="00F269F2"/>
    <w:rsid w:val="00F32174"/>
    <w:rsid w:val="00F3404A"/>
    <w:rsid w:val="00F40397"/>
    <w:rsid w:val="00F47AC1"/>
    <w:rsid w:val="00F47F38"/>
    <w:rsid w:val="00F50330"/>
    <w:rsid w:val="00F65653"/>
    <w:rsid w:val="00F65AF9"/>
    <w:rsid w:val="00F663CA"/>
    <w:rsid w:val="00F74CD4"/>
    <w:rsid w:val="00F75C83"/>
    <w:rsid w:val="00F772C4"/>
    <w:rsid w:val="00F80F73"/>
    <w:rsid w:val="00F817E0"/>
    <w:rsid w:val="00F81A2E"/>
    <w:rsid w:val="00F81ABB"/>
    <w:rsid w:val="00F81F30"/>
    <w:rsid w:val="00F8779F"/>
    <w:rsid w:val="00F9354F"/>
    <w:rsid w:val="00F94A23"/>
    <w:rsid w:val="00F95CC0"/>
    <w:rsid w:val="00FA14F7"/>
    <w:rsid w:val="00FA5024"/>
    <w:rsid w:val="00FA6248"/>
    <w:rsid w:val="00FC158D"/>
    <w:rsid w:val="00FC454D"/>
    <w:rsid w:val="00FC73AA"/>
    <w:rsid w:val="00FC75FB"/>
    <w:rsid w:val="00FD052C"/>
    <w:rsid w:val="00FD2FB9"/>
    <w:rsid w:val="00FD6BF3"/>
    <w:rsid w:val="00FE22AA"/>
    <w:rsid w:val="00FE4FFB"/>
    <w:rsid w:val="00FE6837"/>
    <w:rsid w:val="00FE6FE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511271DC"/>
  <w15:docId w15:val="{9A33931E-6E80-4954-A541-47300DC1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 w:type="character" w:customStyle="1" w:styleId="HeaderChar">
    <w:name w:val="Header Char"/>
    <w:basedOn w:val="DefaultParagraphFont"/>
    <w:link w:val="Header"/>
    <w:uiPriority w:val="99"/>
    <w:rsid w:val="008E0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284">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613584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99553872">
      <w:bodyDiv w:val="1"/>
      <w:marLeft w:val="0"/>
      <w:marRight w:val="0"/>
      <w:marTop w:val="0"/>
      <w:marBottom w:val="0"/>
      <w:divBdr>
        <w:top w:val="none" w:sz="0" w:space="0" w:color="auto"/>
        <w:left w:val="none" w:sz="0" w:space="0" w:color="auto"/>
        <w:bottom w:val="none" w:sz="0" w:space="0" w:color="auto"/>
        <w:right w:val="none" w:sz="0" w:space="0" w:color="auto"/>
      </w:divBdr>
    </w:div>
    <w:div w:id="874346735">
      <w:bodyDiv w:val="1"/>
      <w:marLeft w:val="0"/>
      <w:marRight w:val="0"/>
      <w:marTop w:val="0"/>
      <w:marBottom w:val="0"/>
      <w:divBdr>
        <w:top w:val="none" w:sz="0" w:space="0" w:color="auto"/>
        <w:left w:val="none" w:sz="0" w:space="0" w:color="auto"/>
        <w:bottom w:val="none" w:sz="0" w:space="0" w:color="auto"/>
        <w:right w:val="none" w:sz="0" w:space="0" w:color="auto"/>
      </w:divBdr>
    </w:div>
    <w:div w:id="92603982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008631419">
      <w:bodyDiv w:val="1"/>
      <w:marLeft w:val="0"/>
      <w:marRight w:val="0"/>
      <w:marTop w:val="0"/>
      <w:marBottom w:val="0"/>
      <w:divBdr>
        <w:top w:val="none" w:sz="0" w:space="0" w:color="auto"/>
        <w:left w:val="none" w:sz="0" w:space="0" w:color="auto"/>
        <w:bottom w:val="none" w:sz="0" w:space="0" w:color="auto"/>
        <w:right w:val="none" w:sz="0" w:space="0" w:color="auto"/>
      </w:divBdr>
    </w:div>
    <w:div w:id="1065831474">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27632263">
      <w:bodyDiv w:val="1"/>
      <w:marLeft w:val="0"/>
      <w:marRight w:val="0"/>
      <w:marTop w:val="0"/>
      <w:marBottom w:val="0"/>
      <w:divBdr>
        <w:top w:val="none" w:sz="0" w:space="0" w:color="auto"/>
        <w:left w:val="none" w:sz="0" w:space="0" w:color="auto"/>
        <w:bottom w:val="none" w:sz="0" w:space="0" w:color="auto"/>
        <w:right w:val="none" w:sz="0" w:space="0" w:color="auto"/>
      </w:divBdr>
    </w:div>
    <w:div w:id="1402365783">
      <w:bodyDiv w:val="1"/>
      <w:marLeft w:val="0"/>
      <w:marRight w:val="0"/>
      <w:marTop w:val="0"/>
      <w:marBottom w:val="0"/>
      <w:divBdr>
        <w:top w:val="none" w:sz="0" w:space="0" w:color="auto"/>
        <w:left w:val="none" w:sz="0" w:space="0" w:color="auto"/>
        <w:bottom w:val="none" w:sz="0" w:space="0" w:color="auto"/>
        <w:right w:val="none" w:sz="0" w:space="0" w:color="auto"/>
      </w:divBdr>
    </w:div>
    <w:div w:id="1547911546">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63578550">
      <w:bodyDiv w:val="1"/>
      <w:marLeft w:val="720"/>
      <w:marRight w:val="0"/>
      <w:marTop w:val="0"/>
      <w:marBottom w:val="0"/>
      <w:divBdr>
        <w:top w:val="none" w:sz="0" w:space="0" w:color="auto"/>
        <w:left w:val="none" w:sz="0" w:space="0" w:color="auto"/>
        <w:bottom w:val="none" w:sz="0" w:space="0" w:color="auto"/>
        <w:right w:val="none" w:sz="0" w:space="0" w:color="auto"/>
      </w:divBdr>
    </w:div>
    <w:div w:id="1773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govinfo.gov/content/pkg/FR-2021-10-29/pdf/2021-2345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7E45-FE23-4878-9CBC-931DC109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1842</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4</cp:revision>
  <cp:lastPrinted>2020-02-13T20:35:00Z</cp:lastPrinted>
  <dcterms:created xsi:type="dcterms:W3CDTF">2022-07-14T12:38:00Z</dcterms:created>
  <dcterms:modified xsi:type="dcterms:W3CDTF">2022-07-14T12:47:00Z</dcterms:modified>
</cp:coreProperties>
</file>