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05A" w14:paraId="62620024" w14:textId="77777777">
      <w:pPr>
        <w:jc w:val="center"/>
      </w:pPr>
      <w:r>
        <w:t>179 FERC ¶ 61,187</w:t>
      </w:r>
    </w:p>
    <w:p w:rsidR="00885BF7" w:rsidRPr="00CD0B38" w:rsidP="00DE0DE1" w14:paraId="1B85B7F0" w14:textId="77777777">
      <w:pPr>
        <w:jc w:val="center"/>
      </w:pPr>
      <w:r w:rsidRPr="00CD0B38">
        <w:t>UNITED STATES OF AMERICA</w:t>
      </w:r>
    </w:p>
    <w:p w:rsidR="00885BF7" w:rsidRPr="00CD0B38" w:rsidP="00DE0DE1" w14:paraId="73EE3E29" w14:textId="77777777">
      <w:pPr>
        <w:jc w:val="center"/>
      </w:pPr>
      <w:r w:rsidRPr="00CD0B38">
        <w:t>FEDERAL ENERGY REGULATORY COMMISSION</w:t>
      </w:r>
    </w:p>
    <w:p w:rsidR="00885BF7" w:rsidRPr="00CD0B38" w:rsidP="00DE0DE1" w14:paraId="15D3B225" w14:textId="77777777"/>
    <w:p w:rsidR="00AD7A32" w:rsidRPr="006F0A11" w:rsidP="006F0A11" w14:paraId="69CAE79B" w14:textId="52BAC9DB">
      <w:pPr>
        <w:widowControl/>
      </w:pPr>
      <w:r w:rsidRPr="006F0A11">
        <w:t xml:space="preserve">Before Commissioners:  Richard Glick, </w:t>
      </w:r>
      <w:r w:rsidRPr="006F0A11">
        <w:t>Chairman;</w:t>
      </w:r>
    </w:p>
    <w:p w:rsidR="006F0A11" w:rsidRPr="006F0A11" w:rsidP="006F0A11" w14:paraId="62DEA6F4" w14:textId="325A3CBD">
      <w:pPr>
        <w:widowControl/>
      </w:pPr>
      <w:r w:rsidRPr="006F0A11">
        <w:t xml:space="preserve">                                        James P. </w:t>
      </w:r>
      <w:r w:rsidRPr="006F0A11">
        <w:t>Danly</w:t>
      </w:r>
      <w:r w:rsidRPr="006F0A11">
        <w:t>, Allison Clements,</w:t>
      </w:r>
    </w:p>
    <w:p w:rsidR="006F0A11" w:rsidRPr="00CD0B38" w:rsidP="006F0A11" w14:paraId="4AD8E40B" w14:textId="7DB15B79">
      <w:pPr>
        <w:widowControl/>
      </w:pPr>
      <w:r w:rsidRPr="006F0A11">
        <w:t xml:space="preserve">                                        Mark C. Christie, and Willie L. Phillips.</w:t>
      </w:r>
    </w:p>
    <w:p w:rsidR="00885BF7" w:rsidRPr="00CD0B38" w:rsidP="00DE0DE1" w14:paraId="60DC1A1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987"/>
        <w:gridCol w:w="1440"/>
      </w:tblGrid>
      <w:tr w14:paraId="128A9EDB" w14:textId="77777777" w:rsidTr="005B38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3" w:type="dxa"/>
            <w:shd w:val="clear" w:color="auto" w:fill="auto"/>
          </w:tcPr>
          <w:p w:rsidR="00885BF7" w:rsidRPr="00CD0B38" w:rsidP="00DE0DE1" w14:paraId="76E1F809" w14:textId="77777777">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987" w:type="dxa"/>
            <w:shd w:val="clear" w:color="auto" w:fill="auto"/>
          </w:tcPr>
          <w:p w:rsidR="00885BF7" w:rsidRPr="00CD0B38" w:rsidP="00DE0DE1" w14:paraId="55F571FF" w14:textId="0E182303">
            <w:pPr>
              <w:widowControl/>
              <w:autoSpaceDE/>
              <w:autoSpaceDN/>
              <w:adjustRightInd/>
              <w:rPr>
                <w:rFonts w:eastAsiaTheme="minorHAnsi" w:cstheme="minorBidi"/>
                <w:szCs w:val="22"/>
              </w:rPr>
            </w:pPr>
            <w:r>
              <w:rPr>
                <w:rFonts w:eastAsiaTheme="minorHAnsi" w:cstheme="minorBidi"/>
                <w:szCs w:val="22"/>
              </w:rPr>
              <w:t xml:space="preserve">         </w:t>
            </w:r>
            <w:r w:rsidR="005B38FB">
              <w:rPr>
                <w:rFonts w:eastAsiaTheme="minorHAnsi" w:cstheme="minorBidi"/>
                <w:szCs w:val="22"/>
              </w:rPr>
              <w:t xml:space="preserve">  </w:t>
            </w:r>
            <w:r>
              <w:rPr>
                <w:rFonts w:eastAsiaTheme="minorHAnsi" w:cstheme="minorBidi"/>
                <w:szCs w:val="22"/>
              </w:rPr>
              <w:t>Docket No.</w:t>
            </w:r>
          </w:p>
        </w:tc>
        <w:tc>
          <w:tcPr>
            <w:tcW w:w="1440" w:type="dxa"/>
            <w:shd w:val="clear" w:color="auto" w:fill="auto"/>
            <w:tcMar>
              <w:left w:w="144" w:type="dxa"/>
            </w:tcMar>
          </w:tcPr>
          <w:p w:rsidR="00885BF7" w:rsidRPr="00CD0B38" w:rsidP="005B38FB" w14:paraId="44231FE0" w14:textId="26C3056A">
            <w:pPr>
              <w:widowControl/>
              <w:autoSpaceDE/>
              <w:autoSpaceDN/>
              <w:adjustRightInd/>
              <w:ind w:hanging="144"/>
              <w:rPr>
                <w:rFonts w:eastAsiaTheme="minorHAnsi" w:cstheme="minorBidi"/>
                <w:szCs w:val="22"/>
              </w:rPr>
            </w:pPr>
            <w:r w:rsidRPr="002D7235">
              <w:rPr>
                <w:rFonts w:eastAsiaTheme="minorHAnsi" w:cstheme="minorBidi"/>
                <w:szCs w:val="22"/>
              </w:rPr>
              <w:t>RD22-3-000</w:t>
            </w:r>
          </w:p>
        </w:tc>
      </w:tr>
    </w:tbl>
    <w:p w:rsidR="00885BF7" w:rsidRPr="00CD0B38" w:rsidP="00DE0DE1" w14:paraId="6AFD0029" w14:textId="77777777">
      <w:pPr>
        <w:jc w:val="center"/>
      </w:pPr>
    </w:p>
    <w:p w:rsidR="00885BF7" w:rsidP="00DE0DE1" w14:paraId="1236611C" w14:textId="49E7DBF0">
      <w:pPr>
        <w:jc w:val="center"/>
      </w:pPr>
      <w:r>
        <w:t>ORDER APPROVING</w:t>
      </w:r>
      <w:r w:rsidR="00D645A5">
        <w:t xml:space="preserve"> </w:t>
      </w:r>
      <w:r w:rsidRPr="00D645A5" w:rsidR="00D645A5">
        <w:t>MODIFICATIONS TO THE COMPLIANCE SECTION OF RELIABILITY STANDARD CIP-014</w:t>
      </w:r>
    </w:p>
    <w:p w:rsidR="00885BF7" w:rsidRPr="00CD0B38" w:rsidP="00DE0DE1" w14:paraId="4B3833F5" w14:textId="77777777">
      <w:pPr>
        <w:jc w:val="center"/>
      </w:pPr>
    </w:p>
    <w:p w:rsidR="00885BF7" w:rsidP="006F0A11" w14:paraId="462E0E1A" w14:textId="5DB69D63">
      <w:pPr>
        <w:widowControl/>
        <w:jc w:val="center"/>
      </w:pPr>
      <w:r w:rsidRPr="006F0A11">
        <w:t>(Issued June 1</w:t>
      </w:r>
      <w:r>
        <w:t>6</w:t>
      </w:r>
      <w:r w:rsidRPr="006F0A11">
        <w:t>, 2022)</w:t>
      </w:r>
    </w:p>
    <w:p w:rsidR="006F0A11" w:rsidRPr="006F0A11" w:rsidP="006F0A11" w14:paraId="26B4A7E7" w14:textId="77777777">
      <w:pPr>
        <w:widowControl/>
      </w:pPr>
    </w:p>
    <w:p w:rsidR="00EC6BD5" w:rsidP="00CA2A42" w14:paraId="228B6E34" w14:textId="0317B8CF">
      <w:pPr>
        <w:pStyle w:val="FERCparanumber"/>
      </w:pPr>
      <w:bookmarkStart w:id="0" w:name="_Hlk78274143"/>
      <w:r w:rsidRPr="00FA6FA9">
        <w:t xml:space="preserve">On </w:t>
      </w:r>
      <w:r w:rsidR="0014118E">
        <w:t>February 1</w:t>
      </w:r>
      <w:r w:rsidR="00C715EE">
        <w:t>6</w:t>
      </w:r>
      <w:r w:rsidR="0014118E">
        <w:t>, 2022</w:t>
      </w:r>
      <w:r w:rsidRPr="00FA6FA9">
        <w:t>,</w:t>
      </w:r>
      <w:r>
        <w:t xml:space="preserve"> the</w:t>
      </w:r>
      <w:r w:rsidRPr="00FA6FA9">
        <w:t xml:space="preserve"> North American Electric Reliability Corporation </w:t>
      </w:r>
      <w:r>
        <w:t>(</w:t>
      </w:r>
      <w:r w:rsidRPr="00FA6FA9">
        <w:t>NERC</w:t>
      </w:r>
      <w:r>
        <w:t>)</w:t>
      </w:r>
      <w:r w:rsidRPr="00FA6FA9">
        <w:t>, the Commission-certified Electric Reliability Organization</w:t>
      </w:r>
      <w:r w:rsidR="00237F43">
        <w:t xml:space="preserve"> (ERO)</w:t>
      </w:r>
      <w:r w:rsidRPr="00FA6FA9">
        <w:t>,</w:t>
      </w:r>
      <w:r>
        <w:t xml:space="preserve"> submitted a petition seeking </w:t>
      </w:r>
      <w:r w:rsidRPr="00FA6FA9">
        <w:t xml:space="preserve">approval of </w:t>
      </w:r>
      <w:r w:rsidR="00881B45">
        <w:t>Reliability Standard CIP-014-3, which would modify</w:t>
      </w:r>
      <w:r w:rsidRPr="00AA1782" w:rsidR="00AA1782">
        <w:t xml:space="preserve"> the </w:t>
      </w:r>
      <w:r w:rsidR="001C6713">
        <w:t>c</w:t>
      </w:r>
      <w:r w:rsidRPr="00AA1782" w:rsidR="00AA1782">
        <w:t xml:space="preserve">ompliance </w:t>
      </w:r>
      <w:r w:rsidR="0021222D">
        <w:t>s</w:t>
      </w:r>
      <w:r w:rsidRPr="00AA1782" w:rsidR="00AA1782">
        <w:t>ection of Reliability Standard CIP-014</w:t>
      </w:r>
      <w:r w:rsidR="00881B45">
        <w:t>-2</w:t>
      </w:r>
      <w:r w:rsidR="00D31F09">
        <w:t xml:space="preserve"> </w:t>
      </w:r>
      <w:r w:rsidRPr="00523BF9" w:rsidR="00D31F09">
        <w:rPr>
          <w:szCs w:val="26"/>
        </w:rPr>
        <w:t>(Physical Security)</w:t>
      </w:r>
      <w:r w:rsidR="00881B45">
        <w:t xml:space="preserve">.  The proposed modification would eliminate </w:t>
      </w:r>
      <w:r w:rsidR="00F3389D">
        <w:t>a</w:t>
      </w:r>
      <w:r w:rsidR="00881B45">
        <w:t xml:space="preserve"> </w:t>
      </w:r>
      <w:r w:rsidR="006F5A0A">
        <w:t xml:space="preserve">provision </w:t>
      </w:r>
      <w:r w:rsidR="006E4C81">
        <w:t xml:space="preserve">requiring </w:t>
      </w:r>
      <w:r w:rsidR="006F5A0A">
        <w:t>that</w:t>
      </w:r>
      <w:r w:rsidRPr="00D30901" w:rsidR="00FC6D4B">
        <w:t xml:space="preserve"> all evidence demonstrating compliance with th</w:t>
      </w:r>
      <w:r w:rsidR="00845001">
        <w:t>is</w:t>
      </w:r>
      <w:r w:rsidRPr="00D30901" w:rsidR="00FC6D4B">
        <w:t xml:space="preserve"> </w:t>
      </w:r>
      <w:r w:rsidR="00FC6D4B">
        <w:t xml:space="preserve">Reliability Standard </w:t>
      </w:r>
      <w:r w:rsidR="006E4C81">
        <w:t xml:space="preserve">should </w:t>
      </w:r>
      <w:r w:rsidRPr="00D30901" w:rsidR="00FC6D4B">
        <w:t xml:space="preserve">be retained at the </w:t>
      </w:r>
      <w:r w:rsidR="001C6713">
        <w:t>t</w:t>
      </w:r>
      <w:r w:rsidRPr="00D30901" w:rsidR="00FC6D4B">
        <w:t xml:space="preserve">ransmission </w:t>
      </w:r>
      <w:r w:rsidR="001C6713">
        <w:t>o</w:t>
      </w:r>
      <w:r w:rsidRPr="00D30901" w:rsidR="00FC6D4B">
        <w:t xml:space="preserve">wner’s or </w:t>
      </w:r>
      <w:r w:rsidR="001C6713">
        <w:t>t</w:t>
      </w:r>
      <w:r w:rsidRPr="00D30901" w:rsidR="00FC6D4B">
        <w:t xml:space="preserve">ransmission </w:t>
      </w:r>
      <w:r w:rsidR="001C6713">
        <w:t>o</w:t>
      </w:r>
      <w:r w:rsidRPr="00D30901" w:rsidR="00FC6D4B">
        <w:t>perator’s facility</w:t>
      </w:r>
      <w:r w:rsidR="00FC6D4B">
        <w:t xml:space="preserve">. </w:t>
      </w:r>
      <w:r w:rsidR="00CA2A42">
        <w:t xml:space="preserve"> </w:t>
      </w:r>
      <w:r>
        <w:t>As discussed in this order, we</w:t>
      </w:r>
      <w:r w:rsidRPr="00FA6FA9">
        <w:t xml:space="preserve"> approve </w:t>
      </w:r>
      <w:bookmarkStart w:id="1" w:name="_Hlk77140430"/>
      <w:r w:rsidR="00CA2A42">
        <w:t>NERC’s petition</w:t>
      </w:r>
      <w:r w:rsidRPr="00FA6FA9">
        <w:t>.</w:t>
      </w:r>
      <w:bookmarkEnd w:id="1"/>
    </w:p>
    <w:bookmarkEnd w:id="0"/>
    <w:p w:rsidR="00FA6FA9" w:rsidP="00FA6FA9" w14:paraId="15153623" w14:textId="1B20EF09">
      <w:pPr>
        <w:pStyle w:val="Heading1"/>
      </w:pPr>
      <w:r>
        <w:t>Background</w:t>
      </w:r>
    </w:p>
    <w:p w:rsidR="00FA6FA9" w:rsidRPr="00FA6FA9" w:rsidP="00FA6FA9" w14:paraId="3B3BB200" w14:textId="77777777">
      <w:pPr>
        <w:pStyle w:val="Heading2"/>
      </w:pPr>
      <w:r w:rsidRPr="00FA6FA9">
        <w:t>Section 215 and Mandatory Reliability Standards</w:t>
      </w:r>
    </w:p>
    <w:p w:rsidR="00FA6FA9" w:rsidRPr="00FA6FA9" w:rsidP="001D384E" w14:paraId="7C2875D3" w14:textId="32918ECC">
      <w:pPr>
        <w:pStyle w:val="FERCparanumber"/>
      </w:pPr>
      <w:r w:rsidRPr="00FA6FA9">
        <w:t xml:space="preserve">Section 215 of the </w:t>
      </w:r>
      <w:r w:rsidR="00237F43">
        <w:t>Federal Power Act (</w:t>
      </w:r>
      <w:r w:rsidRPr="00FA6FA9">
        <w:t>FPA</w:t>
      </w:r>
      <w:r w:rsidR="00237F43">
        <w:t>)</w:t>
      </w:r>
      <w:r w:rsidRPr="00FA6FA9">
        <w:t xml:space="preserve"> requires a Commission-certified ERO to develop mandatory and enforceable Reliability Standards, subject to Commission review and approval. </w:t>
      </w:r>
      <w:r w:rsidR="00C01617">
        <w:t xml:space="preserve"> </w:t>
      </w:r>
      <w:r w:rsidR="0021222D">
        <w:t>T</w:t>
      </w:r>
      <w:r w:rsidRPr="00C01617" w:rsidR="00C01617">
        <w:t>he</w:t>
      </w:r>
      <w:r w:rsidR="00C01617">
        <w:t xml:space="preserve"> ERO</w:t>
      </w:r>
      <w:r w:rsidRPr="00C01617" w:rsidR="00C01617">
        <w:t> </w:t>
      </w:r>
      <w:r w:rsidR="00BF1B70">
        <w:t xml:space="preserve">is obligated to file </w:t>
      </w:r>
      <w:r w:rsidRPr="00C01617" w:rsidR="00C01617">
        <w:t>each</w:t>
      </w:r>
      <w:hyperlink r:id="rId11" w:history="1">
        <w:r w:rsidRPr="00C01617" w:rsidR="00C01617">
          <w:t> </w:t>
        </w:r>
        <w:r w:rsidR="008A010F">
          <w:t>R</w:t>
        </w:r>
        <w:r w:rsidRPr="00C01617" w:rsidR="00C01617">
          <w:t xml:space="preserve">eliability </w:t>
        </w:r>
        <w:r w:rsidR="008A010F">
          <w:t>S</w:t>
        </w:r>
        <w:r w:rsidRPr="00C01617" w:rsidR="00C01617">
          <w:t>tandard </w:t>
        </w:r>
      </w:hyperlink>
      <w:r w:rsidRPr="00C01617" w:rsidR="00C01617">
        <w:t>or modification to a</w:t>
      </w:r>
      <w:hyperlink r:id="rId11" w:history="1">
        <w:r w:rsidRPr="00C01617" w:rsidR="00C01617">
          <w:t> </w:t>
        </w:r>
        <w:r w:rsidR="001C6713">
          <w:t>R</w:t>
        </w:r>
        <w:r w:rsidRPr="00C01617" w:rsidR="00C01617">
          <w:t xml:space="preserve">eliability </w:t>
        </w:r>
        <w:r w:rsidR="001C6713">
          <w:t>S</w:t>
        </w:r>
        <w:r w:rsidRPr="00C01617" w:rsidR="00C01617">
          <w:t>tandard </w:t>
        </w:r>
      </w:hyperlink>
      <w:r w:rsidRPr="00C01617" w:rsidR="00C01617">
        <w:t>that it proposes to be made effective with the Commission.</w:t>
      </w:r>
      <w:r>
        <w:rPr>
          <w:rStyle w:val="FootnoteReference"/>
        </w:rPr>
        <w:footnoteReference w:id="3"/>
      </w:r>
      <w:r w:rsidR="00204707">
        <w:t xml:space="preserve"> </w:t>
      </w:r>
      <w:r w:rsidRPr="00FA6FA9">
        <w:t xml:space="preserve"> Reliability Standards may be enforced by the ERO, subject to Commission oversight, or by the Commission independently.</w:t>
      </w:r>
      <w:r>
        <w:rPr>
          <w:b/>
          <w:vertAlign w:val="superscript"/>
        </w:rPr>
        <w:footnoteReference w:id="4"/>
      </w:r>
      <w:r w:rsidRPr="00FA6FA9">
        <w:t xml:space="preserve">  Pursuant to section 215 of </w:t>
      </w:r>
      <w:r w:rsidRPr="00FA6FA9">
        <w:t>the FPA, the Commission established a process to select and certify an ERO,</w:t>
      </w:r>
      <w:r>
        <w:rPr>
          <w:b/>
          <w:vertAlign w:val="superscript"/>
        </w:rPr>
        <w:footnoteReference w:id="5"/>
      </w:r>
      <w:r w:rsidRPr="00FA6FA9">
        <w:t xml:space="preserve"> and subsequently certified NERC.</w:t>
      </w:r>
      <w:r>
        <w:rPr>
          <w:b/>
          <w:vertAlign w:val="superscript"/>
        </w:rPr>
        <w:footnoteReference w:id="6"/>
      </w:r>
    </w:p>
    <w:p w:rsidR="00995846" w:rsidP="00F50259" w14:paraId="1F98C73F" w14:textId="2A9AE3E2">
      <w:pPr>
        <w:pStyle w:val="Heading2"/>
      </w:pPr>
      <w:r>
        <w:t>Current</w:t>
      </w:r>
      <w:r w:rsidR="002041E0">
        <w:t>ly Effective</w:t>
      </w:r>
      <w:r w:rsidR="00190915">
        <w:t xml:space="preserve"> Reliability Standard </w:t>
      </w:r>
      <w:r>
        <w:t>CIP-014</w:t>
      </w:r>
      <w:r>
        <w:t>-2</w:t>
      </w:r>
    </w:p>
    <w:p w:rsidR="00006F5E" w:rsidP="001D073E" w14:paraId="5F8A7B0E" w14:textId="1A0769E2">
      <w:pPr>
        <w:pStyle w:val="FERCparanumber"/>
      </w:pPr>
      <w:r>
        <w:t xml:space="preserve">Reliability Standard </w:t>
      </w:r>
      <w:r w:rsidR="00021D18">
        <w:t>CIP-014-2, which applies to transmission o</w:t>
      </w:r>
      <w:r w:rsidR="00592FE5">
        <w:t>wners</w:t>
      </w:r>
      <w:r w:rsidR="00021D18">
        <w:t xml:space="preserve"> and transmission </w:t>
      </w:r>
      <w:r w:rsidR="00592FE5">
        <w:t>operators</w:t>
      </w:r>
      <w:r w:rsidR="00021D18">
        <w:t xml:space="preserve">, </w:t>
      </w:r>
      <w:r>
        <w:t>is designed to “</w:t>
      </w:r>
      <w:r w:rsidRPr="002041E0">
        <w:t>identify and protect Transmission stations and Transmission substations, and their associated primary control centers, that if rendered inoperable or damaged as a result of a physical attack could result in widespread instability, uncontrolled separation, or Cascading within an Interconnection.”</w:t>
      </w:r>
      <w:r>
        <w:rPr>
          <w:rStyle w:val="FootnoteReference"/>
        </w:rPr>
        <w:footnoteReference w:id="7"/>
      </w:r>
      <w:r>
        <w:t xml:space="preserve">  </w:t>
      </w:r>
      <w:r w:rsidR="00021D18">
        <w:t>Pursuant to t</w:t>
      </w:r>
      <w:r w:rsidR="00092EB1">
        <w:t>he</w:t>
      </w:r>
      <w:r w:rsidR="00021D18">
        <w:t xml:space="preserve"> Reliability</w:t>
      </w:r>
      <w:r w:rsidR="00092EB1">
        <w:t xml:space="preserve"> </w:t>
      </w:r>
      <w:r w:rsidR="00021D18">
        <w:t>S</w:t>
      </w:r>
      <w:r w:rsidR="00092EB1">
        <w:t>tandard</w:t>
      </w:r>
      <w:r w:rsidR="00021D18">
        <w:t>,</w:t>
      </w:r>
      <w:r w:rsidR="00092EB1">
        <w:t xml:space="preserve"> </w:t>
      </w:r>
      <w:r>
        <w:t>t</w:t>
      </w:r>
      <w:r w:rsidRPr="00006F5E">
        <w:t xml:space="preserve">ransmission </w:t>
      </w:r>
      <w:r>
        <w:t xml:space="preserve">owners </w:t>
      </w:r>
      <w:r w:rsidR="00021D18">
        <w:t>must</w:t>
      </w:r>
      <w:r w:rsidRPr="00021D18" w:rsidR="00021D18">
        <w:t xml:space="preserve"> perform a</w:t>
      </w:r>
      <w:r w:rsidR="00655BAA">
        <w:t>n initial and subsequent</w:t>
      </w:r>
      <w:r w:rsidRPr="00021D18" w:rsidR="00021D18">
        <w:t xml:space="preserve"> risk assessment</w:t>
      </w:r>
      <w:r w:rsidR="00655BAA">
        <w:t>s</w:t>
      </w:r>
      <w:r w:rsidR="00257AC8">
        <w:t xml:space="preserve"> to </w:t>
      </w:r>
      <w:r w:rsidRPr="00021D18" w:rsidR="00021D18">
        <w:t xml:space="preserve">identify the </w:t>
      </w:r>
      <w:r w:rsidR="00257AC8">
        <w:t>t</w:t>
      </w:r>
      <w:r w:rsidRPr="00021D18" w:rsidR="00021D18">
        <w:t>ransmission stations and substations that</w:t>
      </w:r>
      <w:r w:rsidR="00FB1D80">
        <w:t>,</w:t>
      </w:r>
      <w:r w:rsidRPr="00021D18" w:rsidR="00021D18">
        <w:t xml:space="preserve"> if rendered inoperable or damaged could result in instability, uncontrolled separation, or </w:t>
      </w:r>
      <w:r w:rsidR="00257AC8">
        <w:t>c</w:t>
      </w:r>
      <w:r w:rsidRPr="00021D18" w:rsidR="00021D18">
        <w:t>ascading within an Interconnection</w:t>
      </w:r>
      <w:r w:rsidR="003957AD">
        <w:t>,</w:t>
      </w:r>
      <w:r w:rsidR="00283BC9">
        <w:t xml:space="preserve"> and is</w:t>
      </w:r>
      <w:r w:rsidR="003957AD">
        <w:t xml:space="preserve"> subject to </w:t>
      </w:r>
      <w:r w:rsidR="00283BC9">
        <w:t xml:space="preserve">a </w:t>
      </w:r>
      <w:r w:rsidR="003957AD">
        <w:t>third party verification</w:t>
      </w:r>
      <w:r>
        <w:t>.</w:t>
      </w:r>
      <w:r w:rsidR="00257AC8">
        <w:t xml:space="preserve">  </w:t>
      </w:r>
      <w:r w:rsidRPr="00CE346E" w:rsidR="00CE346E">
        <w:t xml:space="preserve">Transmission </w:t>
      </w:r>
      <w:r w:rsidR="00CE346E">
        <w:t>o</w:t>
      </w:r>
      <w:r w:rsidRPr="00CE346E" w:rsidR="00CE346E">
        <w:t>wner</w:t>
      </w:r>
      <w:r w:rsidR="00CE346E">
        <w:t>s</w:t>
      </w:r>
      <w:r w:rsidRPr="00CE346E" w:rsidR="00CE346E">
        <w:t xml:space="preserve"> </w:t>
      </w:r>
      <w:r w:rsidR="00CE346E">
        <w:t xml:space="preserve">that control identified facilities must </w:t>
      </w:r>
      <w:r w:rsidRPr="00CE346E" w:rsidR="00CE346E">
        <w:t xml:space="preserve">conduct an evaluation of the potential threats and vulnerabilities of a physical attack to </w:t>
      </w:r>
      <w:r w:rsidR="00CE346E">
        <w:t>t</w:t>
      </w:r>
      <w:r w:rsidRPr="00CE346E" w:rsidR="00CE346E">
        <w:t>ransmission station</w:t>
      </w:r>
      <w:r w:rsidR="00CE346E">
        <w:t>s and substation, as well as</w:t>
      </w:r>
      <w:r w:rsidRPr="00CE346E" w:rsidR="00CE346E">
        <w:t xml:space="preserve"> primary control center</w:t>
      </w:r>
      <w:r w:rsidR="00CE346E">
        <w:t>s</w:t>
      </w:r>
      <w:r w:rsidR="00283BC9">
        <w:t xml:space="preserve">, </w:t>
      </w:r>
      <w:r w:rsidRPr="00CE346E" w:rsidR="00CE346E">
        <w:t>develop and implement a documented physical security plan</w:t>
      </w:r>
      <w:r w:rsidR="00283BC9">
        <w:t xml:space="preserve"> and have a</w:t>
      </w:r>
      <w:r w:rsidR="00673336">
        <w:t xml:space="preserve"> </w:t>
      </w:r>
      <w:r w:rsidR="0092021A">
        <w:t>third-party</w:t>
      </w:r>
      <w:r w:rsidR="00673336">
        <w:t xml:space="preserve"> review</w:t>
      </w:r>
      <w:r w:rsidR="00283BC9">
        <w:t xml:space="preserve"> of the evaluation</w:t>
      </w:r>
      <w:r w:rsidR="00673336">
        <w:t>.</w:t>
      </w:r>
    </w:p>
    <w:p w:rsidR="00FA6FA9" w:rsidRPr="00FA6FA9" w:rsidP="00FA6FA9" w14:paraId="373D18F6" w14:textId="5E93724A">
      <w:pPr>
        <w:pStyle w:val="Heading2"/>
      </w:pPr>
      <w:r w:rsidRPr="00FA6FA9">
        <w:t xml:space="preserve">NERC Petition </w:t>
      </w:r>
      <w:r w:rsidR="00204707">
        <w:t xml:space="preserve">for </w:t>
      </w:r>
      <w:r w:rsidRPr="00AA1782" w:rsidR="00204707">
        <w:t xml:space="preserve">Modifications </w:t>
      </w:r>
      <w:r w:rsidR="00204707">
        <w:t>t</w:t>
      </w:r>
      <w:r w:rsidRPr="00AA1782" w:rsidR="00204707">
        <w:t xml:space="preserve">o </w:t>
      </w:r>
      <w:r w:rsidR="00204707">
        <w:t>t</w:t>
      </w:r>
      <w:r w:rsidRPr="00AA1782" w:rsidR="00204707">
        <w:t xml:space="preserve">he Compliance Section </w:t>
      </w:r>
      <w:r w:rsidR="00204707">
        <w:t>o</w:t>
      </w:r>
      <w:r w:rsidRPr="00AA1782" w:rsidR="00204707">
        <w:t>f Reliability Standard CIP-014</w:t>
      </w:r>
    </w:p>
    <w:p w:rsidR="005B38FB" w:rsidP="001D384E" w14:paraId="63ADE5F5" w14:textId="77777777">
      <w:pPr>
        <w:pStyle w:val="FERCparanumber"/>
      </w:pPr>
      <w:bookmarkStart w:id="2" w:name="_Hlk79496218"/>
      <w:r w:rsidRPr="00523BF9">
        <w:rPr>
          <w:szCs w:val="26"/>
        </w:rPr>
        <w:t xml:space="preserve">NERC proposes to remove </w:t>
      </w:r>
      <w:r w:rsidR="001C6713">
        <w:rPr>
          <w:szCs w:val="26"/>
        </w:rPr>
        <w:t>s</w:t>
      </w:r>
      <w:r w:rsidRPr="00523BF9">
        <w:rPr>
          <w:szCs w:val="26"/>
        </w:rPr>
        <w:t>ection C.1.1.4.</w:t>
      </w:r>
      <w:r w:rsidR="0021222D">
        <w:rPr>
          <w:szCs w:val="26"/>
        </w:rPr>
        <w:t xml:space="preserve">, </w:t>
      </w:r>
      <w:r w:rsidRPr="00523BF9" w:rsidR="006A3537">
        <w:rPr>
          <w:szCs w:val="26"/>
        </w:rPr>
        <w:t>Additional Compliance Information</w:t>
      </w:r>
      <w:r w:rsidRPr="00523BF9">
        <w:rPr>
          <w:szCs w:val="26"/>
        </w:rPr>
        <w:t xml:space="preserve">, </w:t>
      </w:r>
      <w:r w:rsidRPr="00523BF9" w:rsidR="00241C44">
        <w:rPr>
          <w:szCs w:val="26"/>
        </w:rPr>
        <w:t xml:space="preserve">from the </w:t>
      </w:r>
      <w:r w:rsidR="001C6713">
        <w:rPr>
          <w:szCs w:val="26"/>
        </w:rPr>
        <w:t>c</w:t>
      </w:r>
      <w:r w:rsidRPr="00523BF9" w:rsidR="00241C44">
        <w:rPr>
          <w:szCs w:val="26"/>
        </w:rPr>
        <w:t xml:space="preserve">ompliance </w:t>
      </w:r>
      <w:r w:rsidR="0021222D">
        <w:rPr>
          <w:szCs w:val="26"/>
        </w:rPr>
        <w:t>s</w:t>
      </w:r>
      <w:r w:rsidRPr="00523BF9" w:rsidR="00241C44">
        <w:rPr>
          <w:szCs w:val="26"/>
        </w:rPr>
        <w:t>ection of the currently effective Reliability Standard CIP-014-2</w:t>
      </w:r>
      <w:r w:rsidRPr="00523BF9" w:rsidR="00C81804">
        <w:rPr>
          <w:szCs w:val="26"/>
        </w:rPr>
        <w:t xml:space="preserve"> (Physical Security)</w:t>
      </w:r>
      <w:r w:rsidRPr="00523BF9" w:rsidR="00241C44">
        <w:rPr>
          <w:szCs w:val="26"/>
        </w:rPr>
        <w:t xml:space="preserve"> </w:t>
      </w:r>
      <w:r w:rsidR="001C6713">
        <w:rPr>
          <w:szCs w:val="26"/>
        </w:rPr>
        <w:t xml:space="preserve">that </w:t>
      </w:r>
      <w:r w:rsidRPr="00D30901" w:rsidR="00523BF9">
        <w:t>requires all evidence demonstrating compliance with th</w:t>
      </w:r>
      <w:r w:rsidR="00523BF9">
        <w:t>is</w:t>
      </w:r>
      <w:r w:rsidRPr="00D30901" w:rsidR="00523BF9">
        <w:t xml:space="preserve"> </w:t>
      </w:r>
      <w:r w:rsidR="00523BF9">
        <w:t xml:space="preserve">Reliability Standard </w:t>
      </w:r>
      <w:r w:rsidRPr="00D30901" w:rsidR="00523BF9">
        <w:t xml:space="preserve">to be retained at the </w:t>
      </w:r>
      <w:r w:rsidR="001C6713">
        <w:t>t</w:t>
      </w:r>
      <w:r w:rsidRPr="00D30901" w:rsidR="00523BF9">
        <w:t xml:space="preserve">ransmission </w:t>
      </w:r>
      <w:r w:rsidR="001C6713">
        <w:t>o</w:t>
      </w:r>
      <w:r w:rsidRPr="00D30901" w:rsidR="00523BF9">
        <w:t xml:space="preserve">wner’s or </w:t>
      </w:r>
      <w:r w:rsidR="001C6713">
        <w:t>t</w:t>
      </w:r>
      <w:r w:rsidRPr="00D30901" w:rsidR="00523BF9">
        <w:t xml:space="preserve">ransmission </w:t>
      </w:r>
      <w:r w:rsidR="001C6713">
        <w:t>o</w:t>
      </w:r>
      <w:r w:rsidRPr="00D30901" w:rsidR="00523BF9">
        <w:t>perator’s</w:t>
      </w:r>
    </w:p>
    <w:p w:rsidR="005B38FB" w14:paraId="59561F8F" w14:textId="77777777">
      <w:pPr>
        <w:widowControl/>
        <w:spacing w:after="160" w:line="259" w:lineRule="auto"/>
      </w:pPr>
      <w:r>
        <w:br w:type="page"/>
      </w:r>
    </w:p>
    <w:p w:rsidR="00181EC4" w:rsidRPr="00523BF9" w:rsidP="005B38FB" w14:paraId="5296B3F5" w14:textId="01583EE3">
      <w:pPr>
        <w:pStyle w:val="FERCparanumber"/>
        <w:numPr>
          <w:ilvl w:val="0"/>
          <w:numId w:val="0"/>
        </w:numPr>
        <w:rPr>
          <w:szCs w:val="26"/>
        </w:rPr>
      </w:pPr>
      <w:r w:rsidRPr="00D30901">
        <w:t>facility</w:t>
      </w:r>
      <w:r w:rsidR="005025A9">
        <w:t xml:space="preserve"> in order to protect the </w:t>
      </w:r>
      <w:r w:rsidR="00B327E1">
        <w:t xml:space="preserve">entity’s </w:t>
      </w:r>
      <w:r w:rsidR="005025A9">
        <w:t>confidential information</w:t>
      </w:r>
      <w:r>
        <w:t>.</w:t>
      </w:r>
      <w:r>
        <w:rPr>
          <w:rStyle w:val="FootnoteReference"/>
          <w:szCs w:val="26"/>
        </w:rPr>
        <w:footnoteReference w:id="8"/>
      </w:r>
      <w:r w:rsidRPr="00523BF9">
        <w:rPr>
          <w:szCs w:val="26"/>
        </w:rPr>
        <w:t xml:space="preserve"> </w:t>
      </w:r>
      <w:r>
        <w:rPr>
          <w:szCs w:val="26"/>
        </w:rPr>
        <w:t xml:space="preserve"> </w:t>
      </w:r>
      <w:r w:rsidRPr="00523BF9">
        <w:rPr>
          <w:szCs w:val="26"/>
        </w:rPr>
        <w:t>NERC states that the proposed change applies only to the compliance section of Reliability Standard CIP-014-</w:t>
      </w:r>
      <w:r w:rsidRPr="00523BF9">
        <w:rPr>
          <w:szCs w:val="26"/>
        </w:rPr>
        <w:t>2, and</w:t>
      </w:r>
      <w:r w:rsidRPr="00523BF9">
        <w:rPr>
          <w:szCs w:val="26"/>
        </w:rPr>
        <w:t xml:space="preserve"> </w:t>
      </w:r>
      <w:r w:rsidR="005F3AAD">
        <w:rPr>
          <w:szCs w:val="26"/>
        </w:rPr>
        <w:t xml:space="preserve">proposes </w:t>
      </w:r>
      <w:r w:rsidRPr="00523BF9">
        <w:rPr>
          <w:szCs w:val="26"/>
        </w:rPr>
        <w:t>no changes in the mandatory and enforceable Requirements of Reliability Standard CIP-014-2.  According to NERC, the provision presents challenges to effective and efficient compliance monitoring and is not necessary to protect the confidentiality of Reliability Standard CIP-014-2 compliance evidence.</w:t>
      </w:r>
      <w:r>
        <w:rPr>
          <w:rStyle w:val="FootnoteReference"/>
          <w:szCs w:val="26"/>
        </w:rPr>
        <w:footnoteReference w:id="9"/>
      </w:r>
      <w:r w:rsidRPr="00523BF9">
        <w:rPr>
          <w:szCs w:val="26"/>
        </w:rPr>
        <w:t xml:space="preserve">  </w:t>
      </w:r>
    </w:p>
    <w:p w:rsidR="00301657" w:rsidRPr="004115A9" w:rsidP="004115A9" w14:paraId="127CF4BF" w14:textId="20AE7BB7">
      <w:pPr>
        <w:pStyle w:val="FERCparanumber"/>
        <w:rPr>
          <w:szCs w:val="26"/>
        </w:rPr>
      </w:pPr>
      <w:r w:rsidRPr="00301657">
        <w:rPr>
          <w:szCs w:val="26"/>
        </w:rPr>
        <w:t xml:space="preserve">NERC </w:t>
      </w:r>
      <w:r>
        <w:rPr>
          <w:szCs w:val="26"/>
        </w:rPr>
        <w:t>states that</w:t>
      </w:r>
      <w:r w:rsidR="0021222D">
        <w:rPr>
          <w:szCs w:val="26"/>
        </w:rPr>
        <w:t xml:space="preserve"> the </w:t>
      </w:r>
      <w:r w:rsidR="00576731">
        <w:rPr>
          <w:szCs w:val="26"/>
        </w:rPr>
        <w:t>“</w:t>
      </w:r>
      <w:r w:rsidRPr="00301657">
        <w:rPr>
          <w:szCs w:val="26"/>
        </w:rPr>
        <w:t xml:space="preserve">Additional Compliance Information” provision in the </w:t>
      </w:r>
      <w:r w:rsidR="005F3AAD">
        <w:rPr>
          <w:szCs w:val="26"/>
        </w:rPr>
        <w:t>c</w:t>
      </w:r>
      <w:r w:rsidRPr="00301657">
        <w:rPr>
          <w:szCs w:val="26"/>
        </w:rPr>
        <w:t>ompliance section of CIP-014</w:t>
      </w:r>
      <w:r w:rsidR="00576731">
        <w:rPr>
          <w:szCs w:val="26"/>
        </w:rPr>
        <w:t xml:space="preserve"> was added </w:t>
      </w:r>
      <w:r w:rsidRPr="00301657">
        <w:rPr>
          <w:szCs w:val="26"/>
        </w:rPr>
        <w:t>to address heightened concerns regarding the protection of CIP-014 evidence</w:t>
      </w:r>
      <w:r w:rsidR="00723636">
        <w:rPr>
          <w:szCs w:val="26"/>
        </w:rPr>
        <w:t xml:space="preserve">. </w:t>
      </w:r>
      <w:r w:rsidR="00CA5B7E">
        <w:rPr>
          <w:szCs w:val="26"/>
        </w:rPr>
        <w:t xml:space="preserve"> </w:t>
      </w:r>
      <w:r w:rsidR="00723636">
        <w:rPr>
          <w:szCs w:val="26"/>
        </w:rPr>
        <w:t>H</w:t>
      </w:r>
      <w:r w:rsidRPr="00301657">
        <w:rPr>
          <w:szCs w:val="26"/>
        </w:rPr>
        <w:t xml:space="preserve">owever, </w:t>
      </w:r>
      <w:r w:rsidR="00723636">
        <w:rPr>
          <w:szCs w:val="26"/>
        </w:rPr>
        <w:t xml:space="preserve">NERC has determined that </w:t>
      </w:r>
      <w:r w:rsidRPr="00301657">
        <w:rPr>
          <w:szCs w:val="26"/>
        </w:rPr>
        <w:t>it should no longer treat CIP-014 evidence any differently than other sensitive evidence it collects during its Compliance</w:t>
      </w:r>
      <w:r w:rsidR="00311B84">
        <w:rPr>
          <w:szCs w:val="26"/>
        </w:rPr>
        <w:t xml:space="preserve"> </w:t>
      </w:r>
      <w:r w:rsidRPr="00311B84" w:rsidR="00311B84">
        <w:rPr>
          <w:szCs w:val="26"/>
        </w:rPr>
        <w:t>Monitoring and Enforcement Program (CMEP) activities.</w:t>
      </w:r>
      <w:r>
        <w:rPr>
          <w:rStyle w:val="FootnoteReference"/>
          <w:szCs w:val="26"/>
        </w:rPr>
        <w:footnoteReference w:id="10"/>
      </w:r>
      <w:r w:rsidRPr="00311B84" w:rsidR="00311B84">
        <w:rPr>
          <w:szCs w:val="26"/>
        </w:rPr>
        <w:t xml:space="preserve"> </w:t>
      </w:r>
      <w:r w:rsidR="00CA5B7E">
        <w:rPr>
          <w:szCs w:val="26"/>
        </w:rPr>
        <w:t xml:space="preserve"> </w:t>
      </w:r>
      <w:r w:rsidRPr="00311B84" w:rsidR="00311B84">
        <w:rPr>
          <w:szCs w:val="26"/>
        </w:rPr>
        <w:t xml:space="preserve">With the advent of the ERO Secure Evidence Locker (SEL), NERC </w:t>
      </w:r>
      <w:r w:rsidR="003E7D83">
        <w:rPr>
          <w:szCs w:val="26"/>
        </w:rPr>
        <w:t>asserts</w:t>
      </w:r>
      <w:r w:rsidR="00CA5B7E">
        <w:rPr>
          <w:szCs w:val="26"/>
        </w:rPr>
        <w:t xml:space="preserve"> that it </w:t>
      </w:r>
      <w:r w:rsidRPr="00311B84" w:rsidR="00311B84">
        <w:rPr>
          <w:szCs w:val="26"/>
        </w:rPr>
        <w:t>has a secure means of collecting and analyzing CIP-014 evidence in the same manner as any other sensitive evidence collected as part of CMEP activities.</w:t>
      </w:r>
      <w:r w:rsidRPr="00CA5B7E" w:rsidR="00311B84">
        <w:rPr>
          <w:b/>
          <w:bCs/>
          <w:szCs w:val="26"/>
          <w:vertAlign w:val="superscript"/>
        </w:rPr>
        <w:t>14</w:t>
      </w:r>
    </w:p>
    <w:p w:rsidR="005F3AAD" w:rsidP="00A17331" w14:paraId="4026DC1A" w14:textId="041FB7A0">
      <w:pPr>
        <w:pStyle w:val="FERCparanumber"/>
        <w:rPr>
          <w:szCs w:val="26"/>
        </w:rPr>
      </w:pPr>
      <w:r>
        <w:rPr>
          <w:szCs w:val="26"/>
        </w:rPr>
        <w:t xml:space="preserve">NERC explains that if the change is approved, it will no </w:t>
      </w:r>
      <w:r w:rsidRPr="00A27782">
        <w:rPr>
          <w:szCs w:val="26"/>
        </w:rPr>
        <w:t xml:space="preserve">longer treat </w:t>
      </w:r>
      <w:r w:rsidRPr="00611BEA">
        <w:rPr>
          <w:szCs w:val="26"/>
        </w:rPr>
        <w:t>Reliability Standard</w:t>
      </w:r>
      <w:r w:rsidRPr="00A27782">
        <w:rPr>
          <w:szCs w:val="26"/>
        </w:rPr>
        <w:t xml:space="preserve"> CIP-014 evidence any differently than other sensitive evidence it collects during its </w:t>
      </w:r>
      <w:r>
        <w:rPr>
          <w:szCs w:val="26"/>
        </w:rPr>
        <w:t>compliance activities.</w:t>
      </w:r>
      <w:r>
        <w:rPr>
          <w:rStyle w:val="FootnoteReference"/>
          <w:szCs w:val="26"/>
        </w:rPr>
        <w:footnoteReference w:id="11"/>
      </w:r>
      <w:r>
        <w:rPr>
          <w:szCs w:val="26"/>
        </w:rPr>
        <w:t xml:space="preserve">  NERC plans to use its </w:t>
      </w:r>
      <w:r w:rsidRPr="003950EB">
        <w:rPr>
          <w:szCs w:val="26"/>
        </w:rPr>
        <w:t>SEL to support data and information handling</w:t>
      </w:r>
      <w:r>
        <w:rPr>
          <w:szCs w:val="26"/>
        </w:rPr>
        <w:t xml:space="preserve">, and </w:t>
      </w:r>
      <w:r w:rsidR="00B327E1">
        <w:rPr>
          <w:szCs w:val="26"/>
        </w:rPr>
        <w:t xml:space="preserve">it </w:t>
      </w:r>
      <w:r>
        <w:rPr>
          <w:szCs w:val="26"/>
        </w:rPr>
        <w:t xml:space="preserve">explains that it has </w:t>
      </w:r>
      <w:r w:rsidRPr="003950EB">
        <w:rPr>
          <w:szCs w:val="26"/>
        </w:rPr>
        <w:t>developed the SEL for temporary storage of all registered entity compliance evidence.</w:t>
      </w:r>
      <w:r>
        <w:rPr>
          <w:rStyle w:val="FootnoteReference"/>
          <w:szCs w:val="26"/>
        </w:rPr>
        <w:footnoteReference w:id="12"/>
      </w:r>
      <w:r>
        <w:rPr>
          <w:szCs w:val="26"/>
        </w:rPr>
        <w:t xml:space="preserve">  According to NERC, t</w:t>
      </w:r>
      <w:r w:rsidRPr="003950EB">
        <w:rPr>
          <w:szCs w:val="26"/>
        </w:rPr>
        <w:t xml:space="preserve">he </w:t>
      </w:r>
      <w:r>
        <w:rPr>
          <w:szCs w:val="26"/>
        </w:rPr>
        <w:t xml:space="preserve">SEL </w:t>
      </w:r>
      <w:r w:rsidRPr="003950EB">
        <w:rPr>
          <w:szCs w:val="26"/>
        </w:rPr>
        <w:t>enables a registered entity to securely submit evidence through an encrypted session</w:t>
      </w:r>
      <w:r>
        <w:rPr>
          <w:szCs w:val="26"/>
        </w:rPr>
        <w:t xml:space="preserve">; the evidence is </w:t>
      </w:r>
      <w:r w:rsidRPr="003950EB">
        <w:rPr>
          <w:szCs w:val="26"/>
        </w:rPr>
        <w:t>encrypted immediately upon submission, securely isolated per registered entity, never extracted, never backed up, and subject to proactive and disciplined destruction policies</w:t>
      </w:r>
      <w:r>
        <w:rPr>
          <w:szCs w:val="26"/>
        </w:rPr>
        <w:t xml:space="preserve">.  NERC submits that the SEL provides </w:t>
      </w:r>
      <w:r w:rsidRPr="003950EB">
        <w:rPr>
          <w:szCs w:val="26"/>
        </w:rPr>
        <w:t>security advantages to ensure proper protection and chain-of-custody management</w:t>
      </w:r>
      <w:r>
        <w:rPr>
          <w:szCs w:val="26"/>
        </w:rPr>
        <w:t xml:space="preserve"> of the submitted evidence for CIP-014 compliance.   </w:t>
      </w:r>
    </w:p>
    <w:p w:rsidR="00FF5BA6" w:rsidRPr="00FF5BA6" w14:paraId="08313949" w14:textId="1BE2F92B">
      <w:pPr>
        <w:pStyle w:val="FERCparanumber"/>
        <w:rPr>
          <w:szCs w:val="26"/>
        </w:rPr>
      </w:pPr>
      <w:r>
        <w:t xml:space="preserve">NERC requests that the modification </w:t>
      </w:r>
      <w:r w:rsidR="008D6BD3">
        <w:t xml:space="preserve">to the Reliability Standard </w:t>
      </w:r>
      <w:r>
        <w:t>become effective o</w:t>
      </w:r>
      <w:r w:rsidRPr="00FF5BA6">
        <w:rPr>
          <w:szCs w:val="26"/>
        </w:rPr>
        <w:t>n the date of Commission approval</w:t>
      </w:r>
      <w:r>
        <w:rPr>
          <w:szCs w:val="26"/>
        </w:rPr>
        <w:t xml:space="preserve">. </w:t>
      </w:r>
    </w:p>
    <w:p w:rsidR="00FA6FA9" w:rsidRPr="000D570C" w:rsidP="00FA6FA9" w14:paraId="7BB2B5B8" w14:textId="38FBB41A">
      <w:pPr>
        <w:pStyle w:val="Heading1"/>
      </w:pPr>
      <w:r w:rsidRPr="000D570C">
        <w:t xml:space="preserve">Notice </w:t>
      </w:r>
      <w:r w:rsidRPr="000D570C" w:rsidR="00EC6BD5">
        <w:t xml:space="preserve">of Filing </w:t>
      </w:r>
      <w:r w:rsidRPr="000D570C">
        <w:t xml:space="preserve">and Responsive Pleadings </w:t>
      </w:r>
    </w:p>
    <w:p w:rsidR="00602C3E" w:rsidP="00FA6FA9" w14:paraId="4222576D" w14:textId="6C976E7E">
      <w:pPr>
        <w:pStyle w:val="FERCparanumber"/>
      </w:pPr>
      <w:bookmarkStart w:id="3" w:name="_Hlk78274200"/>
      <w:r w:rsidRPr="006A099C">
        <w:t xml:space="preserve">Notice of NERC’s </w:t>
      </w:r>
      <w:r w:rsidR="00C53492">
        <w:t xml:space="preserve">February 16, </w:t>
      </w:r>
      <w:r w:rsidR="00C53492">
        <w:t>2022</w:t>
      </w:r>
      <w:r w:rsidR="00C53492">
        <w:t xml:space="preserve"> </w:t>
      </w:r>
      <w:r w:rsidRPr="006A099C" w:rsidR="00EC6BD5">
        <w:t>Petition</w:t>
      </w:r>
      <w:r w:rsidRPr="006A099C">
        <w:t xml:space="preserve"> was published in the </w:t>
      </w:r>
      <w:r w:rsidRPr="006A099C">
        <w:rPr>
          <w:i/>
          <w:iCs/>
        </w:rPr>
        <w:t>Federal Register</w:t>
      </w:r>
      <w:r w:rsidRPr="006A099C">
        <w:t xml:space="preserve">, </w:t>
      </w:r>
      <w:r w:rsidRPr="006A099C" w:rsidR="0002181D">
        <w:t>8</w:t>
      </w:r>
      <w:r>
        <w:t>7</w:t>
      </w:r>
      <w:r w:rsidRPr="006A099C">
        <w:t xml:space="preserve"> </w:t>
      </w:r>
      <w:r w:rsidRPr="006A099C" w:rsidR="00F9673E">
        <w:t>F</w:t>
      </w:r>
      <w:r w:rsidR="006F0A11">
        <w:t>R</w:t>
      </w:r>
      <w:r w:rsidRPr="006A099C">
        <w:t xml:space="preserve"> </w:t>
      </w:r>
      <w:r>
        <w:t>11061</w:t>
      </w:r>
      <w:r w:rsidRPr="006A099C">
        <w:t xml:space="preserve"> (</w:t>
      </w:r>
      <w:r w:rsidR="006F0A11">
        <w:t xml:space="preserve">Feb.28, </w:t>
      </w:r>
      <w:r w:rsidRPr="006A099C">
        <w:t>202</w:t>
      </w:r>
      <w:r>
        <w:t>2</w:t>
      </w:r>
      <w:r w:rsidRPr="006A099C">
        <w:t xml:space="preserve">), with </w:t>
      </w:r>
      <w:r w:rsidRPr="0085763E" w:rsidR="0085763E">
        <w:t>interventions and protests</w:t>
      </w:r>
      <w:r w:rsidRPr="006A099C">
        <w:t xml:space="preserve"> due </w:t>
      </w:r>
      <w:r w:rsidRPr="006A099C" w:rsidR="00F9673E">
        <w:t xml:space="preserve">on or </w:t>
      </w:r>
      <w:r w:rsidRPr="006A099C">
        <w:t xml:space="preserve">before </w:t>
      </w:r>
      <w:r>
        <w:t>March 15, 2022</w:t>
      </w:r>
      <w:r w:rsidRPr="006A099C">
        <w:t xml:space="preserve">.  </w:t>
      </w:r>
      <w:r w:rsidRPr="006A099C" w:rsidR="004939F3">
        <w:t>The Edison Electric Institute</w:t>
      </w:r>
      <w:r>
        <w:t xml:space="preserve"> (EEI)</w:t>
      </w:r>
      <w:r w:rsidRPr="006A099C" w:rsidR="004939F3">
        <w:t xml:space="preserve"> filed a timely motion to </w:t>
      </w:r>
      <w:r w:rsidRPr="006A099C" w:rsidR="00D35C1B">
        <w:t>intervene</w:t>
      </w:r>
      <w:r>
        <w:t xml:space="preserve"> and comments</w:t>
      </w:r>
      <w:r w:rsidR="00B327E1">
        <w:t>.</w:t>
      </w:r>
      <w:r>
        <w:t xml:space="preserve"> </w:t>
      </w:r>
      <w:r w:rsidR="00B327E1">
        <w:t xml:space="preserve"> O</w:t>
      </w:r>
      <w:r>
        <w:t>n March 21, 2022</w:t>
      </w:r>
      <w:r w:rsidR="005F44E5">
        <w:t>,</w:t>
      </w:r>
      <w:r>
        <w:t xml:space="preserve"> NERC submitted a request to submit reply comments and reply comments</w:t>
      </w:r>
      <w:r w:rsidR="00F35D36">
        <w:t xml:space="preserve"> (NERC Answer)</w:t>
      </w:r>
      <w:r>
        <w:t xml:space="preserve">.  </w:t>
      </w:r>
      <w:r w:rsidR="00400A88">
        <w:t xml:space="preserve">On </w:t>
      </w:r>
      <w:r w:rsidR="000D570C">
        <w:t>March</w:t>
      </w:r>
      <w:r w:rsidR="00400A88">
        <w:t xml:space="preserve"> 30, 2022, </w:t>
      </w:r>
      <w:r>
        <w:t xml:space="preserve">EEI </w:t>
      </w:r>
      <w:r w:rsidR="00400A88">
        <w:t xml:space="preserve">filed </w:t>
      </w:r>
      <w:r>
        <w:t>a motion for leave to answer and answer</w:t>
      </w:r>
      <w:r w:rsidR="00F35D36">
        <w:t xml:space="preserve"> (EEI Answer)</w:t>
      </w:r>
      <w:r>
        <w:t xml:space="preserve">. </w:t>
      </w:r>
    </w:p>
    <w:p w:rsidR="000D570C" w:rsidRPr="000D570C" w:rsidP="000D570C" w14:paraId="5E67A040" w14:textId="2377A70A">
      <w:pPr>
        <w:pStyle w:val="FERCparanumber"/>
      </w:pPr>
      <w:bookmarkStart w:id="4" w:name="_Hlk79496156"/>
      <w:bookmarkEnd w:id="2"/>
      <w:bookmarkEnd w:id="3"/>
      <w:r>
        <w:t xml:space="preserve">EEI opposes NERC’s petition and </w:t>
      </w:r>
      <w:r w:rsidRPr="000D570C">
        <w:t xml:space="preserve">maintains that Reliability Standard CIP-014 requires data collection for industry’s most sensitive assets and, therefore, the compliance provision should be retained so that NERC continues to review compliance evidence </w:t>
      </w:r>
      <w:r w:rsidR="00825A81">
        <w:t>f</w:t>
      </w:r>
      <w:r w:rsidR="006150AB">
        <w:t xml:space="preserve">or </w:t>
      </w:r>
      <w:r w:rsidR="00825A81">
        <w:t xml:space="preserve"> this Reliability Standard </w:t>
      </w:r>
      <w:r w:rsidRPr="000D570C">
        <w:t>only on</w:t>
      </w:r>
      <w:r w:rsidR="00EA1D2B">
        <w:t>-</w:t>
      </w:r>
      <w:r w:rsidRPr="000D570C">
        <w:t>site at the registered entities for the most sensitive data.</w:t>
      </w:r>
      <w:r>
        <w:rPr>
          <w:b/>
          <w:vertAlign w:val="superscript"/>
        </w:rPr>
        <w:footnoteReference w:id="13"/>
      </w:r>
      <w:r w:rsidRPr="000D570C">
        <w:t xml:space="preserve">  EEI explains that the information retained under this compliance requirement is of a critical and highly sensitive nature, and some information provided for</w:t>
      </w:r>
      <w:r>
        <w:t xml:space="preserve"> Reliability Standard </w:t>
      </w:r>
      <w:r w:rsidRPr="000D570C">
        <w:t>CIP-014 compliance is only available to a small set of personnel on a need-to-know basis within EEI member companies.</w:t>
      </w:r>
      <w:r>
        <w:rPr>
          <w:b/>
          <w:vertAlign w:val="superscript"/>
        </w:rPr>
        <w:footnoteReference w:id="14"/>
      </w:r>
      <w:r w:rsidRPr="000D570C">
        <w:t xml:space="preserve">  According to EEI, its members go to great lengths to protect the identity of the assets and other sensitive information by using alternative anonymous names both in internal and external discussions.  Further, EEI expresses security concerns related to the use of SEL, arguing that </w:t>
      </w:r>
      <w:r w:rsidR="00124320">
        <w:t xml:space="preserve">the </w:t>
      </w:r>
      <w:r w:rsidRPr="000D570C">
        <w:t>SEL increases the risk of aggregated industry information falling into the hands of a nation state or bad actor.</w:t>
      </w:r>
      <w:r>
        <w:rPr>
          <w:b/>
          <w:bCs/>
          <w:vertAlign w:val="superscript"/>
        </w:rPr>
        <w:footnoteReference w:id="15"/>
      </w:r>
      <w:r w:rsidRPr="000D570C">
        <w:t xml:space="preserve">  EEI argues that ease of access cannot take precedence over the safety, </w:t>
      </w:r>
      <w:r w:rsidRPr="000D570C" w:rsidR="00E44855">
        <w:t>security,</w:t>
      </w:r>
      <w:r w:rsidRPr="000D570C">
        <w:t xml:space="preserve"> and reliability of the electric grid.</w:t>
      </w:r>
    </w:p>
    <w:p w:rsidR="00EE1B9B" w:rsidP="00EE1B9B" w14:paraId="429016B1" w14:textId="31712BA9">
      <w:pPr>
        <w:pStyle w:val="FERCparanumber"/>
      </w:pPr>
      <w:r>
        <w:t xml:space="preserve">NERC </w:t>
      </w:r>
      <w:r w:rsidR="00B327E1">
        <w:t>asserts</w:t>
      </w:r>
      <w:r w:rsidR="00F35D36">
        <w:t xml:space="preserve"> in its answer</w:t>
      </w:r>
      <w:r>
        <w:t xml:space="preserve"> that the </w:t>
      </w:r>
      <w:r w:rsidRPr="00CA6DC5">
        <w:t xml:space="preserve">proposed modification would not decrease </w:t>
      </w:r>
      <w:r w:rsidR="005B38FB">
        <w:br/>
      </w:r>
      <w:r w:rsidRPr="00CA6DC5">
        <w:t>the protection of any highly sensitive compliance evidence,</w:t>
      </w:r>
      <w:r>
        <w:t xml:space="preserve"> but it is needed to ensure compliance monitoring with Reliability Standard CIP-014.</w:t>
      </w:r>
      <w:r>
        <w:rPr>
          <w:rStyle w:val="FootnoteReference"/>
          <w:szCs w:val="26"/>
        </w:rPr>
        <w:footnoteReference w:id="16"/>
      </w:r>
      <w:r>
        <w:t xml:space="preserve">  Among other arguments, NERC explains that </w:t>
      </w:r>
      <w:r w:rsidRPr="00547ACF">
        <w:t>there will be limited CIP-014 evidence aggregated in the SEL at any given time</w:t>
      </w:r>
      <w:r>
        <w:t>.</w:t>
      </w:r>
      <w:r>
        <w:rPr>
          <w:rStyle w:val="FootnoteReference"/>
          <w:szCs w:val="26"/>
        </w:rPr>
        <w:footnoteReference w:id="17"/>
      </w:r>
      <w:r>
        <w:t xml:space="preserve">  Further, NERC elaborates that a r</w:t>
      </w:r>
      <w:r w:rsidRPr="00275BCA">
        <w:t xml:space="preserve">egistered </w:t>
      </w:r>
      <w:r>
        <w:t>e</w:t>
      </w:r>
      <w:r w:rsidRPr="00275BCA">
        <w:t xml:space="preserve">ntity may choose to develop its own SEL rather than use </w:t>
      </w:r>
      <w:r>
        <w:t xml:space="preserve">NERC’s </w:t>
      </w:r>
      <w:r w:rsidRPr="00275BCA">
        <w:t>SEL</w:t>
      </w:r>
      <w:r>
        <w:t>, or use NERC’s exceptions process</w:t>
      </w:r>
      <w:r w:rsidR="00B327E1">
        <w:t>, which</w:t>
      </w:r>
      <w:r>
        <w:t xml:space="preserve"> allows </w:t>
      </w:r>
      <w:r>
        <w:t>registered entities to collaborate with the compliance authority on alternative submittal methods.</w:t>
      </w:r>
      <w:r w:rsidR="000905C2">
        <w:t xml:space="preserve"> </w:t>
      </w:r>
    </w:p>
    <w:p w:rsidR="000D570C" w:rsidP="00D932E2" w14:paraId="527FF269" w14:textId="7C678404">
      <w:pPr>
        <w:pStyle w:val="FERCparanumber"/>
      </w:pPr>
      <w:r>
        <w:t xml:space="preserve">Finally, </w:t>
      </w:r>
      <w:r w:rsidR="008E2B9D">
        <w:t>NERC</w:t>
      </w:r>
      <w:r>
        <w:t xml:space="preserve"> </w:t>
      </w:r>
      <w:r w:rsidR="00593114">
        <w:t>states that over the last two years, due to pandemic restrictions, in some instances registered entities refused on</w:t>
      </w:r>
      <w:r w:rsidR="00EA1D2B">
        <w:t>-</w:t>
      </w:r>
      <w:r w:rsidR="00593114">
        <w:t>site access for compliance monitoring.</w:t>
      </w:r>
      <w:r>
        <w:rPr>
          <w:rStyle w:val="FootnoteReference"/>
        </w:rPr>
        <w:footnoteReference w:id="18"/>
      </w:r>
      <w:r w:rsidR="00593114">
        <w:t xml:space="preserve">  </w:t>
      </w:r>
      <w:r w:rsidR="005B38FB">
        <w:br/>
      </w:r>
      <w:r w:rsidR="00593114">
        <w:t xml:space="preserve">In addition, certain entities also refused to allow a review of evidence using a secure videoconferencing platform.  NERC believes that “[t]he </w:t>
      </w:r>
      <w:r w:rsidR="00593114">
        <w:t>end</w:t>
      </w:r>
      <w:r w:rsidR="00593114">
        <w:t xml:space="preserve"> result was increased risk, in certain instances, because </w:t>
      </w:r>
      <w:r w:rsidR="00FF048A">
        <w:t>[</w:t>
      </w:r>
      <w:r w:rsidRPr="00FF048A" w:rsidR="00FF048A">
        <w:t>NERC and the Regional Entities</w:t>
      </w:r>
      <w:r w:rsidR="00FF048A">
        <w:t>]</w:t>
      </w:r>
      <w:r w:rsidRPr="00FF048A" w:rsidR="00FF048A">
        <w:t xml:space="preserve"> </w:t>
      </w:r>
      <w:r w:rsidR="00593114">
        <w:t>had no mechanism with which to monitor compliance with CIP-014 until the entity, at its own discretion, lifted its pandemic-related restriction.”</w:t>
      </w:r>
      <w:r>
        <w:rPr>
          <w:rStyle w:val="FootnoteReference"/>
        </w:rPr>
        <w:footnoteReference w:id="19"/>
      </w:r>
      <w:r w:rsidR="006F0F90">
        <w:t xml:space="preserve"> </w:t>
      </w:r>
      <w:r w:rsidR="007602DE">
        <w:t xml:space="preserve"> </w:t>
      </w:r>
      <w:r w:rsidR="00D932E2">
        <w:t xml:space="preserve"> </w:t>
      </w:r>
      <w:r w:rsidR="007602DE">
        <w:t xml:space="preserve"> </w:t>
      </w:r>
      <w:r w:rsidRPr="00EE1B9B" w:rsidR="00EE1B9B">
        <w:t xml:space="preserve">  </w:t>
      </w:r>
    </w:p>
    <w:p w:rsidR="007602DE" w:rsidRPr="00116D3E" w:rsidP="007602DE" w14:paraId="1D6816B7" w14:textId="27BDEA35">
      <w:pPr>
        <w:pStyle w:val="FERCparanumber"/>
        <w:rPr>
          <w:b/>
          <w:bCs/>
        </w:rPr>
      </w:pPr>
      <w:r>
        <w:t xml:space="preserve">In its </w:t>
      </w:r>
      <w:r w:rsidR="00F35D36">
        <w:t>answer</w:t>
      </w:r>
      <w:r>
        <w:t xml:space="preserve">, EEI argues that more flexibility should be given to registered entities to select the most secure methods for providing CIP-014 compliance data.  </w:t>
      </w:r>
      <w:r w:rsidR="002632DF">
        <w:t>In particular, EEI states that, if agreed to by</w:t>
      </w:r>
      <w:r w:rsidR="00FA3AB1">
        <w:t xml:space="preserve"> a registered entity’s Compliance Enforcement Authority, “secure videoconferencing is an attractive and equally effective and efficient alternative to using the ERO SEL and one that EEI members would welcome.”</w:t>
      </w:r>
      <w:r>
        <w:rPr>
          <w:rStyle w:val="FootnoteReference"/>
        </w:rPr>
        <w:footnoteReference w:id="20"/>
      </w:r>
      <w:r w:rsidR="00FA3AB1">
        <w:t xml:space="preserve"> </w:t>
      </w:r>
      <w:r w:rsidR="002632DF">
        <w:t xml:space="preserve"> </w:t>
      </w:r>
      <w:r w:rsidR="00FA3AB1">
        <w:t>EEI notes, however, that certain entities may prefer to use their own videoconferencing tools, as opposed to an ERO-based tool, “because in doing so they have an understanding of, and confidence in, the security measures that have been implemented.”</w:t>
      </w:r>
      <w:r>
        <w:rPr>
          <w:rStyle w:val="FootnoteReference"/>
        </w:rPr>
        <w:footnoteReference w:id="21"/>
      </w:r>
      <w:r w:rsidR="00FA3AB1">
        <w:t xml:space="preserve">  </w:t>
      </w:r>
      <w:r>
        <w:t xml:space="preserve">Further, because </w:t>
      </w:r>
      <w:r w:rsidRPr="00962532">
        <w:t xml:space="preserve">many registered entities’ </w:t>
      </w:r>
      <w:bookmarkStart w:id="5" w:name="_Hlk103685695"/>
      <w:r w:rsidRPr="00962532">
        <w:t xml:space="preserve">corporate security access management </w:t>
      </w:r>
      <w:r>
        <w:t xml:space="preserve">programs </w:t>
      </w:r>
      <w:bookmarkEnd w:id="5"/>
      <w:r w:rsidRPr="00962532">
        <w:t>require training, background checks, and monitoring of third-party acces</w:t>
      </w:r>
      <w:r>
        <w:t xml:space="preserve">s, EEI believes that </w:t>
      </w:r>
      <w:r w:rsidRPr="00EF281D">
        <w:t>some registered entit</w:t>
      </w:r>
      <w:r>
        <w:t>ies</w:t>
      </w:r>
      <w:r w:rsidRPr="00EF281D">
        <w:t xml:space="preserve"> may be unable to use their own SEL</w:t>
      </w:r>
      <w:r>
        <w:t xml:space="preserve"> to submit compliance information </w:t>
      </w:r>
      <w:r w:rsidRPr="00EF281D">
        <w:t>if</w:t>
      </w:r>
      <w:r>
        <w:t xml:space="preserve"> NERC or Regional Entity compliance personnel are unable</w:t>
      </w:r>
      <w:r w:rsidRPr="00EF281D">
        <w:t xml:space="preserve"> or unwilling </w:t>
      </w:r>
      <w:r w:rsidR="005B38FB">
        <w:br/>
      </w:r>
      <w:r w:rsidRPr="00EF281D">
        <w:t>to meet the</w:t>
      </w:r>
      <w:r w:rsidR="005F3AAD">
        <w:t>ir</w:t>
      </w:r>
      <w:r w:rsidRPr="00EF281D">
        <w:t xml:space="preserve"> </w:t>
      </w:r>
      <w:r w:rsidR="00BD00CC">
        <w:t xml:space="preserve">SEL </w:t>
      </w:r>
      <w:r w:rsidRPr="00EF281D">
        <w:t>security access requirements</w:t>
      </w:r>
      <w:r>
        <w:t>.</w:t>
      </w:r>
      <w:r>
        <w:rPr>
          <w:rStyle w:val="FootnoteReference"/>
          <w:szCs w:val="26"/>
        </w:rPr>
        <w:footnoteReference w:id="22"/>
      </w:r>
      <w:r>
        <w:t xml:space="preserve">  EEI also expresses concern with the length of time NERC will keep compliance information in the SEL, as entities have no way of verifying whether it has been deleted.</w:t>
      </w:r>
      <w:r w:rsidRPr="00116D3E">
        <w:rPr>
          <w:b/>
          <w:bCs/>
          <w:vertAlign w:val="superscript"/>
        </w:rPr>
        <w:t xml:space="preserve"> </w:t>
      </w:r>
      <w:r w:rsidRPr="00116D3E">
        <w:rPr>
          <w:b/>
          <w:bCs/>
          <w:vertAlign w:val="superscript"/>
        </w:rPr>
        <w:t xml:space="preserve"> </w:t>
      </w:r>
    </w:p>
    <w:p w:rsidR="00F9673E" w:rsidRPr="006A099C" w:rsidP="00F9673E" w14:paraId="3E5AB28C" w14:textId="11A21AD6">
      <w:pPr>
        <w:pStyle w:val="Heading1"/>
      </w:pPr>
      <w:r w:rsidRPr="006A099C">
        <w:t>D</w:t>
      </w:r>
      <w:r w:rsidRPr="006A099C" w:rsidR="004939F3">
        <w:t>etermination</w:t>
      </w:r>
    </w:p>
    <w:p w:rsidR="004939F3" w:rsidRPr="006A099C" w:rsidP="004939F3" w14:paraId="15338003" w14:textId="3CFABD91">
      <w:pPr>
        <w:pStyle w:val="Heading2"/>
      </w:pPr>
      <w:r w:rsidRPr="006A099C">
        <w:t>Procedural Matters</w:t>
      </w:r>
    </w:p>
    <w:p w:rsidR="001A7C28" w:rsidP="0089056D" w14:paraId="486DC955" w14:textId="2EDE2E7F">
      <w:pPr>
        <w:widowControl/>
        <w:numPr>
          <w:ilvl w:val="0"/>
          <w:numId w:val="11"/>
        </w:numPr>
        <w:tabs>
          <w:tab w:val="clear" w:pos="720"/>
        </w:tabs>
        <w:spacing w:after="260"/>
        <w:rPr>
          <w:szCs w:val="26"/>
        </w:rPr>
      </w:pPr>
      <w:r w:rsidRPr="007D7A50">
        <w:t xml:space="preserve">Pursuant to Rule 214 of the Commission’s Rules of Practice and Procedure, </w:t>
      </w:r>
      <w:r w:rsidRPr="007D7A50">
        <w:br/>
        <w:t xml:space="preserve">18 CFR § 385.214 (2021), </w:t>
      </w:r>
      <w:r>
        <w:t>EEI’s</w:t>
      </w:r>
      <w:r w:rsidRPr="007D7A50">
        <w:t xml:space="preserve"> timely, unopposed motion to intervene serve to make </w:t>
      </w:r>
      <w:r w:rsidR="005B38FB">
        <w:br/>
      </w:r>
      <w:r>
        <w:t>it a</w:t>
      </w:r>
      <w:r w:rsidRPr="007D7A50">
        <w:t xml:space="preserve"> part</w:t>
      </w:r>
      <w:r>
        <w:t>y</w:t>
      </w:r>
      <w:r w:rsidRPr="007D7A50">
        <w:t xml:space="preserve"> to this proceeding</w:t>
      </w:r>
      <w:r>
        <w:t>.</w:t>
      </w:r>
      <w:bookmarkStart w:id="6" w:name="_Hlk80623378"/>
    </w:p>
    <w:p w:rsidR="00F33301" w:rsidRPr="0089056D" w:rsidP="0089056D" w14:paraId="0E737C2D" w14:textId="0891748F">
      <w:pPr>
        <w:widowControl/>
        <w:numPr>
          <w:ilvl w:val="0"/>
          <w:numId w:val="11"/>
        </w:numPr>
        <w:tabs>
          <w:tab w:val="clear" w:pos="720"/>
        </w:tabs>
        <w:spacing w:after="260"/>
        <w:rPr>
          <w:szCs w:val="26"/>
        </w:rPr>
      </w:pPr>
      <w:r w:rsidRPr="001A7C28">
        <w:rPr>
          <w:szCs w:val="26"/>
        </w:rPr>
        <w:t>Rule 213(a)(2) of the Commission’s Rules of Practice and Procedure, 18 CFR</w:t>
      </w:r>
      <w:r w:rsidRPr="001A7C28">
        <w:rPr>
          <w:szCs w:val="26"/>
        </w:rPr>
        <w:br/>
        <w:t>§ 385.213(a)(2) (2021), prohibits an answer to a protest</w:t>
      </w:r>
      <w:r>
        <w:rPr>
          <w:szCs w:val="26"/>
        </w:rPr>
        <w:t xml:space="preserve"> or answer</w:t>
      </w:r>
      <w:r w:rsidRPr="001A7C28">
        <w:rPr>
          <w:szCs w:val="26"/>
        </w:rPr>
        <w:t xml:space="preserve"> unless otherwise ordered by the decisional authority.  We accept </w:t>
      </w:r>
      <w:r w:rsidRPr="0089056D">
        <w:rPr>
          <w:szCs w:val="26"/>
        </w:rPr>
        <w:t xml:space="preserve">NERC’s and EEI’s </w:t>
      </w:r>
      <w:r w:rsidRPr="001A7C28">
        <w:rPr>
          <w:szCs w:val="26"/>
        </w:rPr>
        <w:t>answer</w:t>
      </w:r>
      <w:r>
        <w:rPr>
          <w:szCs w:val="26"/>
        </w:rPr>
        <w:t>s</w:t>
      </w:r>
      <w:r w:rsidRPr="001A7C28">
        <w:rPr>
          <w:szCs w:val="26"/>
        </w:rPr>
        <w:t xml:space="preserve"> because </w:t>
      </w:r>
      <w:r w:rsidR="005B38FB">
        <w:rPr>
          <w:szCs w:val="26"/>
        </w:rPr>
        <w:br/>
      </w:r>
      <w:r>
        <w:rPr>
          <w:szCs w:val="26"/>
        </w:rPr>
        <w:t>they</w:t>
      </w:r>
      <w:r w:rsidRPr="001A7C28">
        <w:rPr>
          <w:szCs w:val="26"/>
        </w:rPr>
        <w:t xml:space="preserve"> ha</w:t>
      </w:r>
      <w:r>
        <w:rPr>
          <w:szCs w:val="26"/>
        </w:rPr>
        <w:t>ve</w:t>
      </w:r>
      <w:r w:rsidRPr="001A7C28">
        <w:rPr>
          <w:szCs w:val="26"/>
        </w:rPr>
        <w:t xml:space="preserve"> provided information that assisted us in our decision-making process.</w:t>
      </w:r>
      <w:bookmarkEnd w:id="6"/>
      <w:bookmarkEnd w:id="4"/>
    </w:p>
    <w:p w:rsidR="004939F3" w:rsidP="004939F3" w14:paraId="6C2CC32F" w14:textId="1CDB4EBB">
      <w:pPr>
        <w:pStyle w:val="Heading2"/>
      </w:pPr>
      <w:bookmarkStart w:id="7" w:name="_Hlk78274235"/>
      <w:r>
        <w:t>Substantive Matters</w:t>
      </w:r>
    </w:p>
    <w:p w:rsidR="00F736DB" w:rsidP="00EC09DB" w14:paraId="0E368B19" w14:textId="03A26391">
      <w:pPr>
        <w:pStyle w:val="FERCparanumber"/>
      </w:pPr>
      <w:r>
        <w:t>As discussed below, w</w:t>
      </w:r>
      <w:r>
        <w:t xml:space="preserve">e find that the proposed </w:t>
      </w:r>
      <w:r w:rsidRPr="00F736DB">
        <w:t xml:space="preserve">removal of the evidence retention provision in </w:t>
      </w:r>
      <w:r>
        <w:t>s</w:t>
      </w:r>
      <w:r w:rsidRPr="00F736DB">
        <w:t xml:space="preserve">ection C.1.1.4 of the </w:t>
      </w:r>
      <w:r>
        <w:t>c</w:t>
      </w:r>
      <w:r w:rsidRPr="00F736DB">
        <w:t xml:space="preserve">ompliance section of Reliability Standard CIP-014-2 </w:t>
      </w:r>
      <w:r w:rsidR="00F3389D">
        <w:t xml:space="preserve">is just, reasonable, not unduly </w:t>
      </w:r>
      <w:r w:rsidR="00F3389D">
        <w:t>discriminatory</w:t>
      </w:r>
      <w:r w:rsidR="00F3389D">
        <w:t xml:space="preserve"> or preferential, and in the public interest.  The modification</w:t>
      </w:r>
      <w:r w:rsidRPr="00F736DB" w:rsidR="00F3389D">
        <w:t xml:space="preserve"> </w:t>
      </w:r>
      <w:r w:rsidRPr="00F736DB">
        <w:t xml:space="preserve">will allow NERC to </w:t>
      </w:r>
      <w:r w:rsidRPr="00F736DB" w:rsidR="006A6F15">
        <w:t>monitor compliance more effectively</w:t>
      </w:r>
      <w:r w:rsidRPr="00F736DB">
        <w:t xml:space="preserve"> without compromising the confidentiality of sensitive information</w:t>
      </w:r>
      <w:r w:rsidR="00A51BAF">
        <w:t>.  Accordingly, we</w:t>
      </w:r>
      <w:r>
        <w:t xml:space="preserve"> approve NERC’s petition</w:t>
      </w:r>
      <w:r w:rsidRPr="00F736DB">
        <w:t xml:space="preserve">. </w:t>
      </w:r>
    </w:p>
    <w:p w:rsidR="00C56998" w:rsidRPr="00D34449" w:rsidP="00EC09DB" w14:paraId="374BB228" w14:textId="14717143">
      <w:pPr>
        <w:pStyle w:val="FERCparanumber"/>
      </w:pPr>
      <w:r w:rsidRPr="00D34449">
        <w:t>Reliability Standard CIP-014-2</w:t>
      </w:r>
      <w:r>
        <w:t>, compliance s</w:t>
      </w:r>
      <w:r w:rsidRPr="00D34449" w:rsidR="00D34449">
        <w:t>ection C.1.1.4., Additional Compliance Information</w:t>
      </w:r>
      <w:r w:rsidR="00D34449">
        <w:t xml:space="preserve">, </w:t>
      </w:r>
      <w:r>
        <w:t>currently requires</w:t>
      </w:r>
      <w:r w:rsidRPr="00D34449" w:rsidR="001028FD">
        <w:t xml:space="preserve"> </w:t>
      </w:r>
      <w:r w:rsidRPr="00D34449" w:rsidR="00EC09DB">
        <w:t xml:space="preserve">compliance personnel and auditors </w:t>
      </w:r>
      <w:r>
        <w:t xml:space="preserve">(and enforcement staff if a potential noncompliance is identified) to </w:t>
      </w:r>
      <w:r w:rsidRPr="00D34449" w:rsidR="00EC09DB">
        <w:t>be physically present at</w:t>
      </w:r>
      <w:r w:rsidR="000658BA">
        <w:t xml:space="preserve"> </w:t>
      </w:r>
      <w:r w:rsidR="00062817">
        <w:br/>
      </w:r>
      <w:r w:rsidR="005D3D33">
        <w:t>an entity’s</w:t>
      </w:r>
      <w:r w:rsidRPr="00D34449">
        <w:t xml:space="preserve"> </w:t>
      </w:r>
      <w:r w:rsidRPr="00D34449" w:rsidR="00EC09DB">
        <w:t>facility to review evidence</w:t>
      </w:r>
      <w:r>
        <w:t xml:space="preserve"> of compliance</w:t>
      </w:r>
      <w:r w:rsidRPr="00D34449" w:rsidR="00EC09DB">
        <w:t xml:space="preserve">. </w:t>
      </w:r>
      <w:r w:rsidRPr="00D34449">
        <w:t xml:space="preserve"> </w:t>
      </w:r>
      <w:r w:rsidRPr="00D34449" w:rsidR="00EC386F">
        <w:t xml:space="preserve">As </w:t>
      </w:r>
      <w:r w:rsidRPr="00D34449" w:rsidR="001028FD">
        <w:t>NERC</w:t>
      </w:r>
      <w:r w:rsidRPr="00D34449" w:rsidR="00836000">
        <w:t>’s petition</w:t>
      </w:r>
      <w:r w:rsidRPr="00D34449" w:rsidR="00EC386F">
        <w:t xml:space="preserve"> </w:t>
      </w:r>
      <w:r>
        <w:t>explains</w:t>
      </w:r>
      <w:r w:rsidRPr="00D34449" w:rsidR="001028FD">
        <w:t xml:space="preserve">, </w:t>
      </w:r>
      <w:r w:rsidR="00062817">
        <w:br/>
      </w:r>
      <w:r w:rsidRPr="00D34449" w:rsidR="001028FD">
        <w:t>th</w:t>
      </w:r>
      <w:r>
        <w:t>is</w:t>
      </w:r>
      <w:r w:rsidRPr="00D34449" w:rsidR="001028FD">
        <w:t xml:space="preserve"> requirement presented challenges during the pandemic, when auditors could not access </w:t>
      </w:r>
      <w:r w:rsidR="00266BF3">
        <w:t xml:space="preserve">certain </w:t>
      </w:r>
      <w:r w:rsidRPr="00D34449" w:rsidR="005F4F04">
        <w:t xml:space="preserve">entities’ </w:t>
      </w:r>
      <w:r w:rsidR="00266BF3">
        <w:t xml:space="preserve">facilities </w:t>
      </w:r>
      <w:r w:rsidRPr="00D34449" w:rsidR="001028FD">
        <w:t xml:space="preserve">in person and </w:t>
      </w:r>
      <w:r w:rsidR="00A82ABF">
        <w:t xml:space="preserve">in some instances were </w:t>
      </w:r>
      <w:r w:rsidRPr="00D34449" w:rsidR="001028FD">
        <w:t>prevented from reviewing the evidence remotely.</w:t>
      </w:r>
      <w:r>
        <w:rPr>
          <w:rStyle w:val="FootnoteReference"/>
        </w:rPr>
        <w:footnoteReference w:id="23"/>
      </w:r>
    </w:p>
    <w:p w:rsidR="00486C2F" w:rsidP="00486C2F" w14:paraId="74FDC6AA" w14:textId="5F12CB0A">
      <w:pPr>
        <w:pStyle w:val="FERCparanumber"/>
      </w:pPr>
      <w:r>
        <w:t xml:space="preserve">We recognize that </w:t>
      </w:r>
      <w:r w:rsidRPr="00486C2F">
        <w:t>Reliability Standard CIP-014-2 requires data collection for industry’s sensitive assets and</w:t>
      </w:r>
      <w:r w:rsidR="00BD00CC">
        <w:t xml:space="preserve"> that</w:t>
      </w:r>
      <w:r w:rsidRPr="00486C2F">
        <w:t xml:space="preserve"> therefore</w:t>
      </w:r>
      <w:r>
        <w:t xml:space="preserve"> the data should be handled in a secure manner.  However, w</w:t>
      </w:r>
      <w:r w:rsidR="00AD1500">
        <w:t xml:space="preserve">hile </w:t>
      </w:r>
      <w:r w:rsidR="00BD00CC">
        <w:t>s</w:t>
      </w:r>
      <w:r w:rsidRPr="00EA5CB5" w:rsidR="005F4F04">
        <w:t>ection C.1.1.4</w:t>
      </w:r>
      <w:r w:rsidR="005F4F04">
        <w:t xml:space="preserve"> </w:t>
      </w:r>
      <w:r w:rsidR="00AD1500">
        <w:t xml:space="preserve">may have provided </w:t>
      </w:r>
      <w:r w:rsidR="00BD00CC">
        <w:t xml:space="preserve">necessary </w:t>
      </w:r>
      <w:r w:rsidR="001D1E80">
        <w:t xml:space="preserve">protection </w:t>
      </w:r>
      <w:r w:rsidR="00AD1500">
        <w:t xml:space="preserve">in </w:t>
      </w:r>
      <w:r w:rsidR="00062817">
        <w:br/>
      </w:r>
      <w:r w:rsidR="00AD1500">
        <w:t xml:space="preserve">the past, we are persuaded by NERC’s </w:t>
      </w:r>
      <w:r w:rsidR="002E1631">
        <w:t>explanation</w:t>
      </w:r>
      <w:r w:rsidR="00AD1500">
        <w:t xml:space="preserve"> that </w:t>
      </w:r>
      <w:r w:rsidR="00124320">
        <w:t xml:space="preserve">its </w:t>
      </w:r>
      <w:r w:rsidR="00AD1500">
        <w:t xml:space="preserve">SEL </w:t>
      </w:r>
      <w:r w:rsidR="00C56998">
        <w:t xml:space="preserve">now </w:t>
      </w:r>
      <w:r w:rsidR="00AD1500">
        <w:t xml:space="preserve">offers a secure and more flexible alternative for </w:t>
      </w:r>
      <w:r w:rsidR="00164DEC">
        <w:t xml:space="preserve">compliance </w:t>
      </w:r>
      <w:r w:rsidR="00AD1500">
        <w:t xml:space="preserve">evidence </w:t>
      </w:r>
      <w:r w:rsidR="001D1E80">
        <w:t xml:space="preserve">collection and </w:t>
      </w:r>
      <w:r w:rsidR="00AD1500">
        <w:t>review</w:t>
      </w:r>
      <w:r w:rsidR="001028FD">
        <w:t xml:space="preserve"> for Reliability Standard </w:t>
      </w:r>
      <w:r w:rsidRPr="005D60DF" w:rsidR="001028FD">
        <w:t>CIP-014</w:t>
      </w:r>
      <w:r w:rsidR="001028FD">
        <w:t>-2</w:t>
      </w:r>
      <w:r w:rsidR="00605CBF">
        <w:t xml:space="preserve">.  </w:t>
      </w:r>
    </w:p>
    <w:p w:rsidR="00836000" w:rsidP="00486C2F" w14:paraId="546ECD9E" w14:textId="60266A4A">
      <w:pPr>
        <w:pStyle w:val="FERCparanumber"/>
      </w:pPr>
      <w:r>
        <w:t xml:space="preserve">Moreover, we are not persuaded by EEI’s comments seeking to retain the on-site viewing requirement.  First, </w:t>
      </w:r>
      <w:r w:rsidR="00124320">
        <w:t xml:space="preserve">contrary to EEI’s suggestion in its comments, </w:t>
      </w:r>
      <w:r w:rsidR="005025A9">
        <w:t>t</w:t>
      </w:r>
      <w:r w:rsidR="00605CBF">
        <w:t xml:space="preserve">he use of </w:t>
      </w:r>
      <w:r w:rsidR="00062817">
        <w:br/>
      </w:r>
      <w:r w:rsidR="00124320">
        <w:t xml:space="preserve">the </w:t>
      </w:r>
      <w:r w:rsidR="00605CBF">
        <w:t>SEL is not</w:t>
      </w:r>
      <w:r w:rsidR="00653FBD">
        <w:t xml:space="preserve"> novel and </w:t>
      </w:r>
      <w:r w:rsidR="00605CBF">
        <w:t xml:space="preserve">untested.  In </w:t>
      </w:r>
      <w:r w:rsidR="00124320">
        <w:t xml:space="preserve">NERC’s </w:t>
      </w:r>
      <w:r w:rsidR="00605CBF">
        <w:t>petition requesting funding for the SEL, which was filed in June 202</w:t>
      </w:r>
      <w:r w:rsidR="00DC6102">
        <w:t>0</w:t>
      </w:r>
      <w:r w:rsidR="00605CBF">
        <w:t xml:space="preserve">, NERC explained </w:t>
      </w:r>
      <w:r w:rsidR="00124320">
        <w:t xml:space="preserve">that the </w:t>
      </w:r>
      <w:r w:rsidR="00605CBF">
        <w:t>u</w:t>
      </w:r>
      <w:r w:rsidRPr="00605CBF" w:rsidR="00605CBF">
        <w:t xml:space="preserve">se of an evidence locker </w:t>
      </w:r>
      <w:r w:rsidR="00DC6102">
        <w:t>was</w:t>
      </w:r>
      <w:r w:rsidRPr="00605CBF" w:rsidR="00605CBF">
        <w:t xml:space="preserve"> a </w:t>
      </w:r>
      <w:r w:rsidRPr="00605CBF" w:rsidR="00605CBF">
        <w:t xml:space="preserve">practice already in place </w:t>
      </w:r>
      <w:r w:rsidR="00E32328">
        <w:t>for</w:t>
      </w:r>
      <w:r w:rsidRPr="00605CBF" w:rsidR="00605CBF">
        <w:t xml:space="preserve"> at least two </w:t>
      </w:r>
      <w:r w:rsidR="00E32328">
        <w:t>R</w:t>
      </w:r>
      <w:r w:rsidRPr="00605CBF" w:rsidR="00DC6102">
        <w:t xml:space="preserve">egional </w:t>
      </w:r>
      <w:r w:rsidR="00E32328">
        <w:t>E</w:t>
      </w:r>
      <w:r w:rsidRPr="00605CBF" w:rsidR="00DC6102">
        <w:t xml:space="preserve">ntities </w:t>
      </w:r>
      <w:r w:rsidRPr="00605CBF" w:rsidR="00605CBF">
        <w:t xml:space="preserve">to collect evidence associated with </w:t>
      </w:r>
      <w:r w:rsidRPr="00913AC4" w:rsidR="00913AC4">
        <w:t xml:space="preserve">Critical Infrastructure Protection </w:t>
      </w:r>
      <w:r w:rsidR="00913AC4">
        <w:t>(</w:t>
      </w:r>
      <w:r w:rsidR="00605CBF">
        <w:t>CIP</w:t>
      </w:r>
      <w:r w:rsidR="00913AC4">
        <w:t>)</w:t>
      </w:r>
      <w:r w:rsidRPr="00605CBF" w:rsidR="00605CBF">
        <w:t xml:space="preserve"> Reliability Standards.</w:t>
      </w:r>
      <w:r>
        <w:rPr>
          <w:rStyle w:val="FootnoteReference"/>
        </w:rPr>
        <w:footnoteReference w:id="24"/>
      </w:r>
      <w:r w:rsidR="00653FBD">
        <w:t xml:space="preserve">  </w:t>
      </w:r>
      <w:r w:rsidRPr="00D16985" w:rsidR="00653FBD">
        <w:t xml:space="preserve">Before deciding </w:t>
      </w:r>
      <w:r w:rsidR="00062817">
        <w:br/>
      </w:r>
      <w:r w:rsidRPr="00D16985" w:rsidR="00653FBD">
        <w:t xml:space="preserve">to implement </w:t>
      </w:r>
      <w:r w:rsidR="00263AF1">
        <w:t xml:space="preserve">the </w:t>
      </w:r>
      <w:r w:rsidRPr="00D16985" w:rsidR="00653FBD">
        <w:t xml:space="preserve">SEL, </w:t>
      </w:r>
      <w:r w:rsidR="00263AF1">
        <w:t>NERC</w:t>
      </w:r>
      <w:r w:rsidRPr="00D16985" w:rsidR="00653FBD">
        <w:t xml:space="preserve"> consulted with industry and discussed security concerns related </w:t>
      </w:r>
      <w:r w:rsidRPr="00D16985" w:rsidR="00A45FEB">
        <w:t xml:space="preserve">to </w:t>
      </w:r>
      <w:r w:rsidRPr="00D16985" w:rsidR="00653FBD">
        <w:t>evidence collection.</w:t>
      </w:r>
      <w:r>
        <w:rPr>
          <w:rStyle w:val="FootnoteReference"/>
        </w:rPr>
        <w:footnoteReference w:id="25"/>
      </w:r>
      <w:r w:rsidRPr="00D16985" w:rsidR="00653FBD">
        <w:t xml:space="preserve"> </w:t>
      </w:r>
      <w:r w:rsidRPr="00D16985" w:rsidR="00BD00CC">
        <w:t xml:space="preserve"> </w:t>
      </w:r>
      <w:r w:rsidRPr="00D16985" w:rsidR="00653FBD">
        <w:t xml:space="preserve">Also, NERC has been </w:t>
      </w:r>
      <w:r w:rsidRPr="00D16985" w:rsidR="00DC6102">
        <w:t xml:space="preserve">using </w:t>
      </w:r>
      <w:r w:rsidRPr="00D16985" w:rsidR="00A513D6">
        <w:t xml:space="preserve">the SEL </w:t>
      </w:r>
      <w:r w:rsidRPr="00D16985" w:rsidR="00DC6102">
        <w:t xml:space="preserve">to </w:t>
      </w:r>
      <w:r w:rsidRPr="00D16985" w:rsidR="006A7A35">
        <w:t>access</w:t>
      </w:r>
      <w:r w:rsidRPr="00D16985" w:rsidR="00DC6102">
        <w:t xml:space="preserve"> </w:t>
      </w:r>
      <w:r w:rsidRPr="00D16985" w:rsidR="00653FBD">
        <w:t xml:space="preserve">compliance evidence for the </w:t>
      </w:r>
      <w:r w:rsidRPr="00D16985" w:rsidR="00BD00CC">
        <w:t xml:space="preserve">other </w:t>
      </w:r>
      <w:r w:rsidRPr="00D16985" w:rsidR="00653FBD">
        <w:t>CIP Reliability Standard</w:t>
      </w:r>
      <w:r w:rsidRPr="00D16985" w:rsidR="00A45FEB">
        <w:t>s</w:t>
      </w:r>
      <w:r w:rsidRPr="00D16985">
        <w:t>, which indicates that</w:t>
      </w:r>
      <w:r>
        <w:t xml:space="preserve"> it is </w:t>
      </w:r>
      <w:r w:rsidR="00062817">
        <w:br/>
      </w:r>
      <w:r w:rsidR="00A45FEB">
        <w:t xml:space="preserve">a </w:t>
      </w:r>
      <w:r>
        <w:t xml:space="preserve">well-established and secure method of evidence </w:t>
      </w:r>
      <w:r w:rsidR="002924E1">
        <w:t>review</w:t>
      </w:r>
      <w:r>
        <w:t xml:space="preserve">. </w:t>
      </w:r>
      <w:r w:rsidR="00E32328">
        <w:t xml:space="preserve"> </w:t>
      </w:r>
      <w:r w:rsidR="00EC09DB">
        <w:t xml:space="preserve">Restricting auditor review to on-site only </w:t>
      </w:r>
      <w:r w:rsidR="00E32328">
        <w:t>when</w:t>
      </w:r>
      <w:r w:rsidR="00C56998">
        <w:t xml:space="preserve"> there is a secure alternative</w:t>
      </w:r>
      <w:r>
        <w:t xml:space="preserve"> impair</w:t>
      </w:r>
      <w:r w:rsidR="00E32328">
        <w:t>s</w:t>
      </w:r>
      <w:r>
        <w:t xml:space="preserve"> the auditor’s ability to perform in-depth review of the evidence and could result in increased risk due to lack of </w:t>
      </w:r>
      <w:r w:rsidR="00DC6102">
        <w:t xml:space="preserve">adequate or timely </w:t>
      </w:r>
      <w:r>
        <w:t xml:space="preserve">compliance monitoring. </w:t>
      </w:r>
    </w:p>
    <w:p w:rsidR="00435183" w:rsidP="00380EDA" w14:paraId="46A4FA15" w14:textId="3CC8806F">
      <w:pPr>
        <w:pStyle w:val="FERCparanumber"/>
      </w:pPr>
      <w:r>
        <w:t xml:space="preserve">Further, </w:t>
      </w:r>
      <w:r w:rsidR="00B119C0">
        <w:t xml:space="preserve">we are </w:t>
      </w:r>
      <w:r>
        <w:t xml:space="preserve">not persuaded by </w:t>
      </w:r>
      <w:r w:rsidR="006150AB">
        <w:t xml:space="preserve">EEI’s argument that </w:t>
      </w:r>
      <w:r w:rsidR="00263AF1">
        <w:t xml:space="preserve">the </w:t>
      </w:r>
      <w:r w:rsidRPr="000D570C" w:rsidR="006150AB">
        <w:t xml:space="preserve">SEL increases the risk </w:t>
      </w:r>
      <w:r w:rsidR="00062817">
        <w:br/>
      </w:r>
      <w:r w:rsidRPr="000D570C" w:rsidR="006150AB">
        <w:t>of aggregated industry information falling into the hands of a nation</w:t>
      </w:r>
      <w:r w:rsidR="00A45FEB">
        <w:t>-</w:t>
      </w:r>
      <w:r w:rsidRPr="000D570C" w:rsidR="006150AB">
        <w:t>state or bad actor.</w:t>
      </w:r>
      <w:r w:rsidR="00FF499E">
        <w:t xml:space="preserve"> </w:t>
      </w:r>
      <w:r w:rsidRPr="000D570C" w:rsidR="006150AB">
        <w:t xml:space="preserve"> </w:t>
      </w:r>
      <w:r w:rsidR="006150AB">
        <w:t>Once evidence is submitted through an SEL encrypted session, it is immediately encrypted and cannot be extracted, is not backed up, and is subject to proactive and disciplined destruction policies</w:t>
      </w:r>
      <w:r>
        <w:t>, as well as being separated by registered entity.</w:t>
      </w:r>
      <w:r>
        <w:rPr>
          <w:rStyle w:val="FootnoteReference"/>
          <w:szCs w:val="26"/>
        </w:rPr>
        <w:footnoteReference w:id="26"/>
      </w:r>
      <w:r w:rsidR="006150AB">
        <w:t xml:space="preserve">  NERC explained that it </w:t>
      </w:r>
      <w:r>
        <w:t xml:space="preserve">will remove the information from </w:t>
      </w:r>
      <w:r w:rsidR="00263AF1">
        <w:t xml:space="preserve">the </w:t>
      </w:r>
      <w:r>
        <w:t>SEL when the CMEP engagement conclude</w:t>
      </w:r>
      <w:r w:rsidR="00380EDA">
        <w:t>s</w:t>
      </w:r>
      <w:r>
        <w:t>.</w:t>
      </w:r>
      <w:r>
        <w:rPr>
          <w:rStyle w:val="FootnoteReference"/>
        </w:rPr>
        <w:footnoteReference w:id="27"/>
      </w:r>
      <w:r>
        <w:t xml:space="preserve"> </w:t>
      </w:r>
    </w:p>
    <w:p w:rsidR="006150AB" w:rsidP="00380EDA" w14:paraId="5EF94004" w14:textId="35C05652">
      <w:pPr>
        <w:pStyle w:val="FERCparanumber"/>
      </w:pPr>
      <w:r>
        <w:t xml:space="preserve">Finally, as stated by NERC, entities can structure their own SELs that adhere to their security measure requirements. </w:t>
      </w:r>
      <w:r w:rsidR="00BD00CC">
        <w:t xml:space="preserve"> </w:t>
      </w:r>
      <w:r>
        <w:t xml:space="preserve">EEI argues that </w:t>
      </w:r>
      <w:r w:rsidRPr="00EF281D">
        <w:t>some registered entit</w:t>
      </w:r>
      <w:r>
        <w:t>ies</w:t>
      </w:r>
      <w:r w:rsidRPr="00EF281D">
        <w:t xml:space="preserve"> may be unable to use their own SEL</w:t>
      </w:r>
      <w:r w:rsidR="001C31E0">
        <w:t>s</w:t>
      </w:r>
      <w:r>
        <w:t xml:space="preserve"> to submit compliance information </w:t>
      </w:r>
      <w:r w:rsidRPr="00EF281D">
        <w:t>if</w:t>
      </w:r>
      <w:r>
        <w:t xml:space="preserve"> NERC or Regional Entity compliance personnel are unable</w:t>
      </w:r>
      <w:r w:rsidRPr="00EF281D">
        <w:t xml:space="preserve"> or unwilling to meet the </w:t>
      </w:r>
      <w:r>
        <w:t>SEL</w:t>
      </w:r>
      <w:r w:rsidRPr="00EF281D">
        <w:t xml:space="preserve"> security access requirements</w:t>
      </w:r>
      <w:r>
        <w:t>.</w:t>
      </w:r>
      <w:r>
        <w:rPr>
          <w:rStyle w:val="FootnoteReference"/>
          <w:szCs w:val="26"/>
        </w:rPr>
        <w:footnoteReference w:id="28"/>
      </w:r>
      <w:r>
        <w:t xml:space="preserve">  </w:t>
      </w:r>
      <w:r w:rsidR="00DC6102">
        <w:t xml:space="preserve">However, EEI provides no specific evidence of such </w:t>
      </w:r>
      <w:r w:rsidR="002E1631">
        <w:t>situations</w:t>
      </w:r>
      <w:r w:rsidR="00DC6102">
        <w:t xml:space="preserve"> </w:t>
      </w:r>
      <w:r w:rsidR="00D54233">
        <w:t xml:space="preserve">for </w:t>
      </w:r>
      <w:r w:rsidR="00062817">
        <w:br/>
      </w:r>
      <w:r w:rsidR="00D54233">
        <w:t>other CIP compliance monitoring engagements or whether</w:t>
      </w:r>
      <w:r w:rsidR="00DC6102">
        <w:t xml:space="preserve"> they have led to increased </w:t>
      </w:r>
      <w:r w:rsidR="00062817">
        <w:br/>
      </w:r>
      <w:r w:rsidR="00DC6102">
        <w:t xml:space="preserve">risk of </w:t>
      </w:r>
      <w:r w:rsidR="008F769B">
        <w:t xml:space="preserve">evidence being compromised. </w:t>
      </w:r>
      <w:r w:rsidR="002E1631">
        <w:t xml:space="preserve"> </w:t>
      </w:r>
      <w:r w:rsidR="00BD7241">
        <w:t>W</w:t>
      </w:r>
      <w:r w:rsidR="002E1631">
        <w:t>e find unpersuasive EEI’s objections to NERC’s offering of a flexible approach to accommodate entities.</w:t>
      </w:r>
    </w:p>
    <w:p w:rsidR="00C56998" w14:paraId="1B52A885" w14:textId="72F3FD36">
      <w:pPr>
        <w:pStyle w:val="FERCparanumber"/>
      </w:pPr>
      <w:r>
        <w:t>Therefore, w</w:t>
      </w:r>
      <w:r>
        <w:t xml:space="preserve">e </w:t>
      </w:r>
      <w:r w:rsidR="00FF499E">
        <w:t xml:space="preserve">find </w:t>
      </w:r>
      <w:r w:rsidR="00D16985">
        <w:t xml:space="preserve">that </w:t>
      </w:r>
      <w:r w:rsidR="00D16985">
        <w:t>the</w:t>
      </w:r>
      <w:r w:rsidRPr="00BE0EDD">
        <w:t xml:space="preserve"> </w:t>
      </w:r>
      <w:bookmarkStart w:id="8" w:name="_Hlk103686157"/>
      <w:r w:rsidRPr="00BE0EDD">
        <w:t xml:space="preserve">removal </w:t>
      </w:r>
      <w:r>
        <w:t xml:space="preserve">of the evidence retention provision in </w:t>
      </w:r>
      <w:r w:rsidR="00062817">
        <w:br/>
      </w:r>
      <w:r w:rsidR="00D54233">
        <w:t>s</w:t>
      </w:r>
      <w:r w:rsidRPr="00EA5CB5">
        <w:t>ection C.1.1.4</w:t>
      </w:r>
      <w:r>
        <w:t xml:space="preserve"> of the </w:t>
      </w:r>
      <w:r w:rsidR="00D54233">
        <w:t>c</w:t>
      </w:r>
      <w:r w:rsidRPr="005D60DF">
        <w:t>ompliance section of Reliability Standard CIP-014</w:t>
      </w:r>
      <w:r>
        <w:t xml:space="preserve">-2 </w:t>
      </w:r>
      <w:r w:rsidR="00323E80">
        <w:t>will allow NER</w:t>
      </w:r>
      <w:r w:rsidR="00BE0EDD">
        <w:t>C</w:t>
      </w:r>
      <w:r>
        <w:t xml:space="preserve"> to </w:t>
      </w:r>
      <w:r w:rsidR="006A6F15">
        <w:t>monitor compliance more effectively</w:t>
      </w:r>
      <w:r>
        <w:t xml:space="preserve"> without compromising the confidentiality </w:t>
      </w:r>
      <w:r>
        <w:t>of sensitive information</w:t>
      </w:r>
      <w:r w:rsidR="002C6F39">
        <w:t xml:space="preserve">. </w:t>
      </w:r>
      <w:bookmarkEnd w:id="8"/>
      <w:r w:rsidR="00FF499E">
        <w:t xml:space="preserve"> Accordingly, we approve</w:t>
      </w:r>
      <w:r w:rsidRPr="00F9673E" w:rsidR="00FF499E">
        <w:t xml:space="preserve"> </w:t>
      </w:r>
      <w:r w:rsidR="00FF499E">
        <w:t>NERC’s petition and accept the proposed Reliability Standard CIP-014-3, to become effective on the date of issuance of this order.</w:t>
      </w:r>
    </w:p>
    <w:bookmarkEnd w:id="7"/>
    <w:p w:rsidR="00E33232" w:rsidP="00E33232" w14:paraId="35DCA10A" w14:textId="77777777">
      <w:pPr>
        <w:pStyle w:val="Heading1"/>
      </w:pPr>
      <w:r>
        <w:t>Information Collection Statement</w:t>
      </w:r>
    </w:p>
    <w:p w:rsidR="00E14FA9" w:rsidRPr="007C322D" w:rsidP="00E14FA9" w14:paraId="53B2DE88" w14:textId="5DC5D207">
      <w:pPr>
        <w:pStyle w:val="FERCparanumber"/>
      </w:pPr>
      <w:r w:rsidRPr="007C322D">
        <w:t xml:space="preserve">In compliance with the requirements of the Paperwork Reduction Act of 1995, </w:t>
      </w:r>
      <w:r>
        <w:br/>
      </w:r>
      <w:r w:rsidRPr="007C322D">
        <w:t xml:space="preserve">44 U.S.C. 3506(c)(2)(A), the Commission is soliciting public comment on revisions </w:t>
      </w:r>
      <w:r>
        <w:br/>
      </w:r>
      <w:r w:rsidRPr="007C322D">
        <w:t>to the information collection FERC-</w:t>
      </w:r>
      <w:r w:rsidRPr="00641CC4">
        <w:t>725U</w:t>
      </w:r>
      <w:r w:rsidRPr="007C322D">
        <w:t xml:space="preserve">, Mandatory Reliability Standards for the </w:t>
      </w:r>
      <w:r>
        <w:br/>
      </w:r>
      <w:r w:rsidRPr="007C322D">
        <w:t xml:space="preserve">Bulk Power System; </w:t>
      </w:r>
      <w:r>
        <w:t>CIP</w:t>
      </w:r>
      <w:r w:rsidRPr="007C322D">
        <w:t xml:space="preserve"> Reliability Standards; which will be submitted to the Office of Management and Budget (OMB) for a review of the information collection requirements.  Comments on the collection of information are due</w:t>
      </w:r>
      <w:r w:rsidRPr="007C322D">
        <w:rPr>
          <w:b/>
        </w:rPr>
        <w:t xml:space="preserve"> </w:t>
      </w:r>
      <w:r w:rsidRPr="007C322D">
        <w:t xml:space="preserve">within 60 days of the date this order is published in the </w:t>
      </w:r>
      <w:r w:rsidRPr="007C322D">
        <w:rPr>
          <w:i/>
        </w:rPr>
        <w:t>Federal Register</w:t>
      </w:r>
      <w:r w:rsidRPr="007C322D">
        <w:t xml:space="preserve">.  Respondents subject to the filing requirements of this order will not be penalized for failing to respond to these collections of information unless the collections of information display a valid </w:t>
      </w:r>
      <w:r>
        <w:t>OMB</w:t>
      </w:r>
      <w:r w:rsidRPr="007C322D">
        <w:t xml:space="preserve"> control number.  </w:t>
      </w:r>
    </w:p>
    <w:p w:rsidR="00E14FA9" w:rsidRPr="007C322D" w:rsidP="00E14FA9" w14:paraId="100FF448" w14:textId="77777777">
      <w:pPr>
        <w:pStyle w:val="FERCparanumber"/>
      </w:pPr>
      <w:r w:rsidRPr="007C322D">
        <w:t>The information collection requirements are subject to review by the OMB under section 3507(d) of the Paperwork Reduction Act of 1995.</w:t>
      </w:r>
      <w:r>
        <w:rPr>
          <w:b/>
          <w:vertAlign w:val="superscript"/>
        </w:rPr>
        <w:footnoteReference w:id="29"/>
      </w:r>
      <w:r w:rsidRPr="007C322D">
        <w:t xml:space="preserve">  OMB’s regulations require approval of certain information collection requirements imposed by agency rules.</w:t>
      </w:r>
      <w:r>
        <w:rPr>
          <w:b/>
          <w:vertAlign w:val="superscript"/>
        </w:rPr>
        <w:footnoteReference w:id="30"/>
      </w:r>
      <w:r w:rsidRPr="007C322D">
        <w:t xml:space="preserve">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E14FA9" w:rsidRPr="007C322D" w:rsidP="00E14FA9" w14:paraId="4F1B1EB6" w14:textId="77777777">
      <w:pPr>
        <w:pStyle w:val="FERCparanumber"/>
      </w:pPr>
      <w:r w:rsidRPr="007C322D">
        <w:t xml:space="preserve">The number of respondents below is based on an estimate of the NERC compliance registry for </w:t>
      </w:r>
      <w:r>
        <w:t xml:space="preserve">transmission owners and </w:t>
      </w:r>
      <w:r w:rsidRPr="007C322D">
        <w:t xml:space="preserve">transmission operator.  The Commission based its paperwork burden estimates on the NERC compliance registry as of </w:t>
      </w:r>
      <w:r>
        <w:t>May 6, 2022</w:t>
      </w:r>
      <w:r w:rsidRPr="007C322D">
        <w:t xml:space="preserve">.  According to the registry, there are </w:t>
      </w:r>
      <w:r>
        <w:t>326 transmission owners and 18</w:t>
      </w:r>
      <w:r w:rsidRPr="007C322D">
        <w:t xml:space="preserve"> transmission operators</w:t>
      </w:r>
      <w:r>
        <w:t xml:space="preserve"> not also registered as transmission owners</w:t>
      </w:r>
      <w:r w:rsidRPr="007C322D">
        <w:t>.  The estimate</w:t>
      </w:r>
      <w:r>
        <w:t xml:space="preserve"> is</w:t>
      </w:r>
      <w:r w:rsidRPr="007C322D">
        <w:t xml:space="preserve"> based on </w:t>
      </w:r>
      <w:r>
        <w:t xml:space="preserve">a zero </w:t>
      </w:r>
      <w:r w:rsidRPr="007C322D">
        <w:t>change in burden from the current standard</w:t>
      </w:r>
      <w:r>
        <w:t xml:space="preserve"> </w:t>
      </w:r>
      <w:r w:rsidRPr="007C322D">
        <w:t>to the standard approved in this Order.  The Commission based the burden estimate on staff experience, knowledge, and expertise.</w:t>
      </w:r>
    </w:p>
    <w:p w:rsidR="00730AE6" w:rsidP="00E14FA9" w14:paraId="5E75FA91" w14:textId="65A80714">
      <w:pPr>
        <w:pStyle w:val="FERCparanumber"/>
      </w:pPr>
      <w:r>
        <w:t xml:space="preserve">For the new </w:t>
      </w:r>
      <w:r w:rsidR="00881B45">
        <w:t xml:space="preserve">Reliability Standard </w:t>
      </w:r>
      <w:r>
        <w:t>CIP-014-3, the burden for entities remains the same as they will still need to provide the same evidence to demonstrate compliance whether it is kept on</w:t>
      </w:r>
      <w:r w:rsidR="00EA1D2B">
        <w:t>-</w:t>
      </w:r>
      <w:r>
        <w:t xml:space="preserve">site or loaded </w:t>
      </w:r>
      <w:r w:rsidR="00F23DB2">
        <w:t xml:space="preserve">electronically </w:t>
      </w:r>
      <w:r>
        <w:t>into the SEL.  No comments were received that expressed a change in the manhour burden associated with the use of SEL.</w:t>
      </w:r>
    </w:p>
    <w:p w:rsidR="00E14FA9" w:rsidP="00E14FA9" w14:paraId="6F1A6D55" w14:textId="31547547">
      <w:pPr>
        <w:pStyle w:val="FERCparanumber"/>
      </w:pPr>
      <w:r w:rsidRPr="007C322D">
        <w:t>Burden Estimates:  The Commission estimates the changes in the annual public reporting burden and cost</w:t>
      </w:r>
      <w:r>
        <w:rPr>
          <w:rStyle w:val="FootnoteReference"/>
        </w:rPr>
        <w:footnoteReference w:id="31"/>
      </w:r>
      <w:r w:rsidRPr="007C322D">
        <w:t xml:space="preserve"> as indicated below</w:t>
      </w:r>
      <w:r>
        <w:t>:</w:t>
      </w: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683"/>
        <w:gridCol w:w="1577"/>
        <w:gridCol w:w="1313"/>
        <w:gridCol w:w="1178"/>
        <w:gridCol w:w="1313"/>
        <w:gridCol w:w="1430"/>
      </w:tblGrid>
      <w:tr w14:paraId="7CB7BE7F" w14:textId="77777777" w:rsidTr="002E7D40">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E14FA9" w:rsidP="002E7D40" w14:paraId="63E13BDB" w14:textId="77777777">
            <w:pPr>
              <w:widowControl/>
              <w:jc w:val="center"/>
              <w:rPr>
                <w:rFonts w:eastAsia="Times New Roman"/>
                <w:b/>
                <w:bCs/>
                <w:color w:val="000000"/>
                <w:sz w:val="24"/>
                <w:szCs w:val="24"/>
              </w:rPr>
            </w:pPr>
            <w:r w:rsidRPr="0008186B">
              <w:rPr>
                <w:rFonts w:eastAsia="Calibri"/>
                <w:b/>
                <w:sz w:val="24"/>
                <w:szCs w:val="24"/>
              </w:rPr>
              <w:t>FERC-725U: (Mandatory Reliability Standards: Reliability Standard CIP-014</w:t>
            </w:r>
            <w:r w:rsidRPr="0008186B">
              <w:rPr>
                <w:rFonts w:eastAsia="Times New Roman"/>
                <w:b/>
                <w:bCs/>
                <w:color w:val="000000"/>
                <w:sz w:val="24"/>
                <w:szCs w:val="24"/>
              </w:rPr>
              <w:t>)</w:t>
            </w:r>
          </w:p>
          <w:p w:rsidR="00E14FA9" w:rsidRPr="0008186B" w:rsidP="002E7D40" w14:paraId="52C222A4" w14:textId="57AA1C8A">
            <w:pPr>
              <w:widowControl/>
              <w:jc w:val="center"/>
              <w:rPr>
                <w:rFonts w:eastAsia="Calibri"/>
                <w:b/>
                <w:sz w:val="24"/>
                <w:szCs w:val="24"/>
              </w:rPr>
            </w:pPr>
            <w:r>
              <w:rPr>
                <w:rFonts w:eastAsia="Times New Roman"/>
                <w:b/>
                <w:bCs/>
                <w:color w:val="000000"/>
                <w:sz w:val="24"/>
                <w:szCs w:val="24"/>
              </w:rPr>
              <w:t>Change in Burden</w:t>
            </w:r>
            <w:r w:rsidR="003C028F">
              <w:rPr>
                <w:rFonts w:eastAsia="Times New Roman"/>
                <w:b/>
                <w:bCs/>
                <w:color w:val="000000"/>
                <w:sz w:val="24"/>
                <w:szCs w:val="24"/>
              </w:rPr>
              <w:t xml:space="preserve"> </w:t>
            </w:r>
          </w:p>
        </w:tc>
      </w:tr>
      <w:tr w14:paraId="646737D9" w14:textId="77777777" w:rsidTr="00B66232">
        <w:tblPrEx>
          <w:tblW w:w="5435" w:type="pct"/>
          <w:tblInd w:w="-185" w:type="dxa"/>
          <w:tblLook w:val="01E0"/>
        </w:tblPrEx>
        <w:trPr>
          <w:cantSplit/>
          <w:trHeight w:val="1907"/>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301414EF" w14:textId="77777777">
            <w:pPr>
              <w:widowControl/>
              <w:jc w:val="center"/>
              <w:rPr>
                <w:rFonts w:eastAsia="Calibri"/>
                <w:b/>
                <w:bCs/>
                <w:sz w:val="24"/>
                <w:szCs w:val="24"/>
              </w:rPr>
            </w:pPr>
            <w:r w:rsidRPr="0008186B">
              <w:rPr>
                <w:rFonts w:eastAsia="Calibri"/>
                <w:sz w:val="24"/>
                <w:szCs w:val="24"/>
              </w:rPr>
              <w:br/>
            </w:r>
            <w:r w:rsidRPr="0008186B">
              <w:rPr>
                <w:rFonts w:eastAsia="Calibri"/>
                <w:sz w:val="24"/>
                <w:szCs w:val="24"/>
              </w:rPr>
              <w:br/>
            </w:r>
            <w:r w:rsidRPr="0008186B">
              <w:rPr>
                <w:rFonts w:eastAsia="Calibri"/>
                <w:sz w:val="24"/>
                <w:szCs w:val="24"/>
              </w:rPr>
              <w:br/>
            </w:r>
            <w:r w:rsidRPr="0008186B">
              <w:rPr>
                <w:rFonts w:eastAsia="Calibri"/>
                <w:sz w:val="24"/>
                <w:szCs w:val="24"/>
              </w:rPr>
              <w:br/>
            </w: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0D73E5FA" w14:textId="77777777">
            <w:pPr>
              <w:widowControl/>
              <w:jc w:val="center"/>
              <w:rPr>
                <w:rFonts w:eastAsia="Calibri"/>
                <w:b/>
                <w:sz w:val="24"/>
                <w:szCs w:val="24"/>
              </w:rPr>
            </w:pPr>
            <w:r w:rsidRPr="0008186B">
              <w:rPr>
                <w:rFonts w:eastAsia="Calibri"/>
                <w:b/>
                <w:sz w:val="24"/>
                <w:szCs w:val="24"/>
              </w:rPr>
              <w:t>Number of Respondents</w:t>
            </w:r>
            <w:r>
              <w:rPr>
                <w:rFonts w:eastAsia="Calibri"/>
                <w:b/>
                <w:sz w:val="24"/>
                <w:szCs w:val="24"/>
                <w:vertAlign w:val="superscript"/>
              </w:rPr>
              <w:footnoteReference w:id="32"/>
            </w:r>
            <w:r w:rsidRPr="0008186B">
              <w:rPr>
                <w:rFonts w:eastAsia="Calibri"/>
                <w:b/>
                <w:sz w:val="24"/>
                <w:szCs w:val="24"/>
              </w:rPr>
              <w:br/>
              <w:t>(1)</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324A506F" w14:textId="77777777">
            <w:pPr>
              <w:widowControl/>
              <w:jc w:val="center"/>
              <w:rPr>
                <w:rFonts w:eastAsia="Calibri"/>
                <w:b/>
                <w:sz w:val="24"/>
                <w:szCs w:val="24"/>
              </w:rPr>
            </w:pPr>
            <w:r w:rsidRPr="0008186B">
              <w:rPr>
                <w:rFonts w:eastAsia="Calibri"/>
                <w:b/>
                <w:sz w:val="24"/>
                <w:szCs w:val="24"/>
              </w:rPr>
              <w:t>Number of Responses per Respondent</w:t>
            </w:r>
          </w:p>
          <w:p w:rsidR="00E14FA9" w:rsidRPr="0008186B" w:rsidP="002E7D40" w14:paraId="67FC7708" w14:textId="77777777">
            <w:pPr>
              <w:widowControl/>
              <w:jc w:val="center"/>
              <w:rPr>
                <w:rFonts w:eastAsia="Calibri"/>
                <w:b/>
                <w:sz w:val="24"/>
                <w:szCs w:val="24"/>
              </w:rPr>
            </w:pPr>
            <w:r w:rsidRPr="0008186B">
              <w:rPr>
                <w:rFonts w:eastAsia="Calibri"/>
                <w:b/>
                <w:sz w:val="24"/>
                <w:szCs w:val="24"/>
              </w:rPr>
              <w:t>(2)</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B6F5D66" w14:textId="77777777">
            <w:pPr>
              <w:widowControl/>
              <w:jc w:val="center"/>
              <w:rPr>
                <w:rFonts w:eastAsia="Calibri"/>
                <w:b/>
                <w:sz w:val="24"/>
                <w:szCs w:val="24"/>
              </w:rPr>
            </w:pPr>
            <w:r w:rsidRPr="0008186B">
              <w:rPr>
                <w:rFonts w:eastAsia="Calibri"/>
                <w:b/>
                <w:sz w:val="24"/>
                <w:szCs w:val="24"/>
              </w:rPr>
              <w:t>Total Number of Responses (</w:t>
            </w:r>
            <w:r w:rsidRPr="0008186B">
              <w:rPr>
                <w:rFonts w:eastAsia="Calibri"/>
                <w:b/>
                <w:sz w:val="24"/>
                <w:szCs w:val="24"/>
              </w:rPr>
              <w:t>1)*</w:t>
            </w:r>
            <w:r w:rsidRPr="0008186B">
              <w:rPr>
                <w:rFonts w:eastAsia="Calibri"/>
                <w:b/>
                <w:sz w:val="24"/>
                <w:szCs w:val="24"/>
              </w:rPr>
              <w:t>(2)=(3)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A5EF6AF" w14:textId="77777777">
            <w:pPr>
              <w:widowControl/>
              <w:jc w:val="center"/>
              <w:rPr>
                <w:rFonts w:eastAsia="Calibri"/>
                <w:b/>
                <w:sz w:val="24"/>
                <w:szCs w:val="24"/>
              </w:rPr>
            </w:pPr>
            <w:r w:rsidRPr="0008186B">
              <w:rPr>
                <w:rFonts w:eastAsia="Calibri"/>
                <w:b/>
                <w:sz w:val="24"/>
                <w:szCs w:val="24"/>
              </w:rPr>
              <w:t>Average Burden Hours &amp; Cost Per Response</w:t>
            </w:r>
          </w:p>
          <w:p w:rsidR="00E14FA9" w:rsidRPr="0008186B" w:rsidP="002E7D40" w14:paraId="082A6F3E" w14:textId="77777777">
            <w:pPr>
              <w:widowControl/>
              <w:jc w:val="center"/>
              <w:rPr>
                <w:rFonts w:eastAsia="Calibri"/>
                <w:b/>
                <w:sz w:val="24"/>
                <w:szCs w:val="24"/>
              </w:rPr>
            </w:pPr>
            <w:r w:rsidRPr="0008186B">
              <w:rPr>
                <w:rFonts w:eastAsia="Calibri"/>
                <w:b/>
                <w:sz w:val="24"/>
                <w:szCs w:val="24"/>
              </w:rPr>
              <w:t>(4)</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EFA64EE" w14:textId="77777777">
            <w:pPr>
              <w:widowControl/>
              <w:jc w:val="center"/>
              <w:rPr>
                <w:rFonts w:eastAsia="Calibri"/>
                <w:b/>
                <w:sz w:val="24"/>
                <w:szCs w:val="24"/>
              </w:rPr>
            </w:pPr>
            <w:r w:rsidRPr="0008186B">
              <w:rPr>
                <w:rFonts w:eastAsia="Calibri"/>
                <w:b/>
                <w:sz w:val="24"/>
                <w:szCs w:val="24"/>
              </w:rPr>
              <w:t>Total Burden Hours &amp; Total Cost</w:t>
            </w:r>
          </w:p>
          <w:p w:rsidR="00E14FA9" w:rsidRPr="0008186B" w:rsidP="002E7D40" w14:paraId="46FEDC45" w14:textId="77777777">
            <w:pPr>
              <w:widowControl/>
              <w:jc w:val="center"/>
              <w:rPr>
                <w:rFonts w:eastAsia="Calibri"/>
                <w:b/>
                <w:sz w:val="24"/>
                <w:szCs w:val="24"/>
              </w:rPr>
            </w:pPr>
            <w:r w:rsidRPr="0008186B">
              <w:rPr>
                <w:rFonts w:eastAsia="Calibri"/>
                <w:b/>
                <w:sz w:val="24"/>
                <w:szCs w:val="24"/>
              </w:rPr>
              <w:t>(</w:t>
            </w:r>
            <w:r w:rsidRPr="0008186B">
              <w:rPr>
                <w:rFonts w:eastAsia="Calibri"/>
                <w:b/>
                <w:sz w:val="24"/>
                <w:szCs w:val="24"/>
              </w:rPr>
              <w:t>3)*</w:t>
            </w:r>
            <w:r w:rsidRPr="0008186B">
              <w:rPr>
                <w:rFonts w:eastAsia="Calibri"/>
                <w:b/>
                <w:sz w:val="24"/>
                <w:szCs w:val="24"/>
              </w:rPr>
              <w:t>(4)=(5)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3A552CCA" w14:textId="77777777">
            <w:pPr>
              <w:widowControl/>
              <w:jc w:val="center"/>
              <w:rPr>
                <w:rFonts w:eastAsia="Calibri"/>
                <w:b/>
                <w:sz w:val="24"/>
                <w:szCs w:val="24"/>
              </w:rPr>
            </w:pPr>
            <w:r w:rsidRPr="0008186B">
              <w:rPr>
                <w:rFonts w:eastAsia="Calibri"/>
                <w:b/>
                <w:sz w:val="24"/>
                <w:szCs w:val="24"/>
              </w:rPr>
              <w:t>Average Cost per Respondent</w:t>
            </w:r>
          </w:p>
          <w:p w:rsidR="00E14FA9" w:rsidRPr="0008186B" w:rsidP="002E7D40" w14:paraId="70A42689" w14:textId="77777777">
            <w:pPr>
              <w:widowControl/>
              <w:jc w:val="center"/>
              <w:rPr>
                <w:rFonts w:eastAsia="Calibri"/>
                <w:b/>
                <w:sz w:val="24"/>
                <w:szCs w:val="24"/>
              </w:rPr>
            </w:pPr>
            <w:r w:rsidRPr="0008186B">
              <w:rPr>
                <w:rFonts w:eastAsia="Calibri"/>
                <w:b/>
                <w:sz w:val="24"/>
                <w:szCs w:val="24"/>
              </w:rPr>
              <w:t>(</w:t>
            </w:r>
            <w:r w:rsidRPr="0008186B">
              <w:rPr>
                <w:rFonts w:eastAsia="Calibri"/>
                <w:b/>
                <w:sz w:val="24"/>
                <w:szCs w:val="24"/>
              </w:rPr>
              <w:t>5)÷</w:t>
            </w:r>
            <w:r w:rsidRPr="0008186B">
              <w:rPr>
                <w:rFonts w:eastAsia="Calibri"/>
                <w:b/>
                <w:sz w:val="24"/>
                <w:szCs w:val="24"/>
              </w:rPr>
              <w:t>(1)</w:t>
            </w:r>
          </w:p>
        </w:tc>
      </w:tr>
      <w:tr w14:paraId="34BAD45D" w14:textId="77777777" w:rsidTr="00B66232">
        <w:tblPrEx>
          <w:tblW w:w="5435" w:type="pct"/>
          <w:tblInd w:w="-185" w:type="dxa"/>
          <w:tblLook w:val="01E0"/>
        </w:tblPrEx>
        <w:trPr>
          <w:cantSplit/>
          <w:trHeight w:val="566"/>
        </w:trPr>
        <w:tc>
          <w:tcPr>
            <w:tcW w:w="835" w:type="pct"/>
            <w:tcBorders>
              <w:top w:val="single" w:sz="4" w:space="0" w:color="auto"/>
              <w:left w:val="single" w:sz="4" w:space="0" w:color="auto"/>
              <w:bottom w:val="single" w:sz="4" w:space="0" w:color="auto"/>
              <w:right w:val="single" w:sz="4" w:space="0" w:color="auto"/>
            </w:tcBorders>
          </w:tcPr>
          <w:p w:rsidR="00E14FA9" w:rsidRPr="0008186B" w:rsidP="002E7D40" w14:paraId="66D67731" w14:textId="702D595D">
            <w:pPr>
              <w:autoSpaceDE w:val="0"/>
              <w:autoSpaceDN w:val="0"/>
              <w:adjustRightInd w:val="0"/>
              <w:jc w:val="right"/>
              <w:rPr>
                <w:rFonts w:eastAsia="Times New Roman"/>
                <w:sz w:val="24"/>
                <w:szCs w:val="24"/>
              </w:rPr>
            </w:pPr>
            <w:r>
              <w:rPr>
                <w:rFonts w:eastAsia="Times New Roman"/>
                <w:sz w:val="24"/>
                <w:szCs w:val="24"/>
              </w:rPr>
              <w:t xml:space="preserve"> Change </w:t>
            </w:r>
            <w:r w:rsidRPr="0008186B">
              <w:rPr>
                <w:rFonts w:eastAsia="Times New Roman"/>
                <w:sz w:val="24"/>
                <w:szCs w:val="24"/>
              </w:rPr>
              <w:t xml:space="preserve">Annual Reporting and Recordkeeping </w:t>
            </w:r>
          </w:p>
        </w:tc>
        <w:tc>
          <w:tcPr>
            <w:tcW w:w="670" w:type="pct"/>
            <w:tcBorders>
              <w:top w:val="single" w:sz="4" w:space="0" w:color="auto"/>
              <w:left w:val="single" w:sz="4" w:space="0" w:color="auto"/>
              <w:bottom w:val="single" w:sz="4" w:space="0" w:color="auto"/>
              <w:right w:val="single" w:sz="4" w:space="0" w:color="auto"/>
            </w:tcBorders>
          </w:tcPr>
          <w:p w:rsidR="00E14FA9" w:rsidRPr="0008186B" w:rsidP="002E7D40" w14:paraId="4CA77A34" w14:textId="77777777">
            <w:pPr>
              <w:widowControl/>
              <w:jc w:val="right"/>
              <w:rPr>
                <w:rFonts w:eastAsia="Calibri"/>
                <w:sz w:val="24"/>
                <w:szCs w:val="24"/>
              </w:rPr>
            </w:pPr>
            <w:r>
              <w:rPr>
                <w:rFonts w:eastAsia="Calibri"/>
                <w:sz w:val="24"/>
                <w:szCs w:val="24"/>
              </w:rPr>
              <w:t>344</w:t>
            </w:r>
          </w:p>
          <w:p w:rsidR="00E14FA9" w:rsidRPr="0008186B" w:rsidP="002E7D40" w14:paraId="5007E9D7" w14:textId="77777777">
            <w:pPr>
              <w:autoSpaceDE w:val="0"/>
              <w:autoSpaceDN w:val="0"/>
              <w:adjustRightInd w:val="0"/>
              <w:jc w:val="right"/>
              <w:rPr>
                <w:rFonts w:eastAsia="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E14FA9" w:rsidRPr="0008186B" w:rsidP="002E7D40" w14:paraId="5AA2CBD9" w14:textId="77777777">
            <w:pPr>
              <w:autoSpaceDE w:val="0"/>
              <w:autoSpaceDN w:val="0"/>
              <w:adjustRightInd w:val="0"/>
              <w:jc w:val="right"/>
              <w:rPr>
                <w:rFonts w:eastAsia="Times New Roman"/>
                <w:sz w:val="24"/>
                <w:szCs w:val="24"/>
              </w:rPr>
            </w:pPr>
            <w:r w:rsidRPr="0008186B">
              <w:rPr>
                <w:rFonts w:eastAsia="Calibri"/>
                <w:sz w:val="24"/>
                <w:szCs w:val="24"/>
              </w:rPr>
              <w:t>1</w:t>
            </w:r>
          </w:p>
        </w:tc>
        <w:tc>
          <w:tcPr>
            <w:tcW w:w="646" w:type="pct"/>
            <w:tcBorders>
              <w:top w:val="single" w:sz="4" w:space="0" w:color="auto"/>
              <w:left w:val="single" w:sz="4" w:space="0" w:color="auto"/>
              <w:bottom w:val="single" w:sz="4" w:space="0" w:color="auto"/>
              <w:right w:val="single" w:sz="4" w:space="0" w:color="auto"/>
            </w:tcBorders>
          </w:tcPr>
          <w:p w:rsidR="00E14FA9" w:rsidRPr="0008186B" w:rsidP="002E7D40" w14:paraId="32732F81" w14:textId="77777777">
            <w:pPr>
              <w:autoSpaceDE w:val="0"/>
              <w:autoSpaceDN w:val="0"/>
              <w:adjustRightInd w:val="0"/>
              <w:jc w:val="right"/>
              <w:rPr>
                <w:rFonts w:eastAsia="Times New Roman"/>
                <w:sz w:val="24"/>
                <w:szCs w:val="24"/>
              </w:rPr>
            </w:pPr>
            <w:r>
              <w:rPr>
                <w:rFonts w:eastAsia="Times New Roman"/>
                <w:sz w:val="24"/>
                <w:szCs w:val="24"/>
              </w:rPr>
              <w:t>344</w:t>
            </w:r>
          </w:p>
        </w:tc>
        <w:tc>
          <w:tcPr>
            <w:tcW w:w="638" w:type="pct"/>
            <w:tcBorders>
              <w:top w:val="single" w:sz="4" w:space="0" w:color="auto"/>
              <w:left w:val="single" w:sz="4" w:space="0" w:color="auto"/>
              <w:bottom w:val="single" w:sz="4" w:space="0" w:color="auto"/>
              <w:right w:val="single" w:sz="4" w:space="0" w:color="auto"/>
            </w:tcBorders>
          </w:tcPr>
          <w:p w:rsidR="00E14FA9" w:rsidP="002E7D40" w14:paraId="07F24261" w14:textId="3E7206F2">
            <w:pPr>
              <w:autoSpaceDE w:val="0"/>
              <w:autoSpaceDN w:val="0"/>
              <w:adjustRightInd w:val="0"/>
              <w:jc w:val="center"/>
              <w:rPr>
                <w:rFonts w:eastAsia="Calibri"/>
                <w:sz w:val="24"/>
                <w:szCs w:val="24"/>
              </w:rPr>
            </w:pPr>
            <w:r>
              <w:rPr>
                <w:rFonts w:eastAsia="Calibri"/>
                <w:sz w:val="24"/>
                <w:szCs w:val="24"/>
              </w:rPr>
              <w:t>32.71</w:t>
            </w:r>
            <w:r w:rsidR="00DA3ADF">
              <w:rPr>
                <w:rFonts w:eastAsia="Calibri"/>
                <w:sz w:val="24"/>
                <w:szCs w:val="24"/>
              </w:rPr>
              <w:t xml:space="preserve"> </w:t>
            </w:r>
            <w:r>
              <w:rPr>
                <w:rFonts w:eastAsia="Calibri"/>
                <w:sz w:val="24"/>
                <w:szCs w:val="24"/>
              </w:rPr>
              <w:t>hrs</w:t>
            </w:r>
            <w:r w:rsidRPr="0008186B">
              <w:rPr>
                <w:rFonts w:eastAsia="Calibri"/>
                <w:sz w:val="24"/>
                <w:szCs w:val="24"/>
              </w:rPr>
              <w:t>.;</w:t>
            </w:r>
            <w:r w:rsidRPr="0008186B">
              <w:rPr>
                <w:rFonts w:eastAsia="Calibri"/>
                <w:sz w:val="24"/>
                <w:szCs w:val="24"/>
              </w:rPr>
              <w:t xml:space="preserve"> </w:t>
            </w:r>
          </w:p>
          <w:p w:rsidR="00E14FA9" w:rsidRPr="0008186B" w:rsidP="002E7D40" w14:paraId="73E946E5" w14:textId="378149E1">
            <w:pPr>
              <w:autoSpaceDE w:val="0"/>
              <w:autoSpaceDN w:val="0"/>
              <w:adjustRightInd w:val="0"/>
              <w:jc w:val="center"/>
              <w:rPr>
                <w:rFonts w:eastAsia="Times New Roman"/>
                <w:sz w:val="24"/>
                <w:szCs w:val="24"/>
              </w:rPr>
            </w:pPr>
            <w:r>
              <w:rPr>
                <w:rFonts w:eastAsia="Calibri"/>
                <w:sz w:val="24"/>
                <w:szCs w:val="24"/>
              </w:rPr>
              <w:t>$</w:t>
            </w:r>
            <w:r w:rsidR="00DA3ADF">
              <w:rPr>
                <w:rFonts w:eastAsia="Calibri"/>
                <w:sz w:val="24"/>
                <w:szCs w:val="24"/>
              </w:rPr>
              <w:t>2,845.77</w:t>
            </w:r>
          </w:p>
        </w:tc>
        <w:tc>
          <w:tcPr>
            <w:tcW w:w="646" w:type="pct"/>
            <w:tcBorders>
              <w:top w:val="single" w:sz="4" w:space="0" w:color="auto"/>
              <w:left w:val="single" w:sz="4" w:space="0" w:color="auto"/>
              <w:bottom w:val="single" w:sz="4" w:space="0" w:color="auto"/>
              <w:right w:val="single" w:sz="4" w:space="0" w:color="auto"/>
            </w:tcBorders>
          </w:tcPr>
          <w:p w:rsidR="00E14FA9" w:rsidP="002E7D40" w14:paraId="5751C038" w14:textId="1881A94E">
            <w:pPr>
              <w:autoSpaceDE w:val="0"/>
              <w:autoSpaceDN w:val="0"/>
              <w:adjustRightInd w:val="0"/>
              <w:ind w:left="-108"/>
              <w:jc w:val="right"/>
              <w:rPr>
                <w:rFonts w:eastAsia="Calibri"/>
                <w:sz w:val="24"/>
                <w:szCs w:val="24"/>
              </w:rPr>
            </w:pPr>
            <w:r>
              <w:rPr>
                <w:rFonts w:eastAsia="Calibri"/>
                <w:sz w:val="24"/>
                <w:szCs w:val="24"/>
              </w:rPr>
              <w:t>1</w:t>
            </w:r>
            <w:r w:rsidR="00E94363">
              <w:rPr>
                <w:rFonts w:eastAsia="Calibri"/>
                <w:sz w:val="24"/>
                <w:szCs w:val="24"/>
              </w:rPr>
              <w:t>1,252.24</w:t>
            </w:r>
            <w:r w:rsidRPr="0008186B">
              <w:rPr>
                <w:rFonts w:eastAsia="Calibri"/>
                <w:sz w:val="24"/>
                <w:szCs w:val="24"/>
              </w:rPr>
              <w:t xml:space="preserve"> </w:t>
            </w:r>
            <w:r w:rsidRPr="0008186B">
              <w:rPr>
                <w:rFonts w:eastAsia="Calibri"/>
                <w:sz w:val="24"/>
                <w:szCs w:val="24"/>
              </w:rPr>
              <w:t>hrs.;</w:t>
            </w:r>
          </w:p>
          <w:p w:rsidR="00E14FA9" w:rsidRPr="0008186B" w:rsidP="002E7D40" w14:paraId="7647F616" w14:textId="42E41029">
            <w:pPr>
              <w:autoSpaceDE w:val="0"/>
              <w:autoSpaceDN w:val="0"/>
              <w:adjustRightInd w:val="0"/>
              <w:ind w:left="-108"/>
              <w:jc w:val="right"/>
              <w:rPr>
                <w:rFonts w:eastAsia="Times New Roman"/>
                <w:sz w:val="24"/>
                <w:szCs w:val="24"/>
              </w:rPr>
            </w:pPr>
            <w:r w:rsidRPr="0008186B">
              <w:rPr>
                <w:rFonts w:eastAsia="Calibri"/>
                <w:sz w:val="24"/>
                <w:szCs w:val="24"/>
              </w:rPr>
              <w:t xml:space="preserve"> </w:t>
            </w:r>
            <w:r w:rsidRPr="0008186B">
              <w:rPr>
                <w:rFonts w:eastAsia="Times New Roman"/>
                <w:sz w:val="24"/>
                <w:szCs w:val="24"/>
              </w:rPr>
              <w:t>$</w:t>
            </w:r>
            <w:r w:rsidR="00DA3ADF">
              <w:rPr>
                <w:rFonts w:eastAsia="Times New Roman"/>
                <w:sz w:val="24"/>
                <w:szCs w:val="24"/>
              </w:rPr>
              <w:t>9</w:t>
            </w:r>
            <w:r w:rsidR="00E94363">
              <w:rPr>
                <w:rFonts w:eastAsia="Times New Roman"/>
                <w:sz w:val="24"/>
                <w:szCs w:val="24"/>
              </w:rPr>
              <w:t>78,944.88</w:t>
            </w:r>
            <w:r w:rsidR="00E94363">
              <w:rPr>
                <w:rFonts w:eastAsia="Times New Roman"/>
                <w:sz w:val="24"/>
                <w:szCs w:val="24"/>
              </w:rPr>
              <w:t xml:space="preserve"> </w:t>
            </w:r>
          </w:p>
        </w:tc>
        <w:tc>
          <w:tcPr>
            <w:tcW w:w="704" w:type="pct"/>
            <w:tcBorders>
              <w:top w:val="single" w:sz="4" w:space="0" w:color="auto"/>
              <w:left w:val="single" w:sz="4" w:space="0" w:color="auto"/>
              <w:bottom w:val="single" w:sz="4" w:space="0" w:color="auto"/>
              <w:right w:val="single" w:sz="4" w:space="0" w:color="auto"/>
            </w:tcBorders>
          </w:tcPr>
          <w:p w:rsidR="00E14FA9" w:rsidRPr="0008186B" w:rsidP="002E7D40" w14:paraId="41B8B0B7" w14:textId="424CCFDC">
            <w:pPr>
              <w:widowControl/>
              <w:jc w:val="right"/>
              <w:rPr>
                <w:rFonts w:eastAsia="Calibri"/>
                <w:sz w:val="24"/>
                <w:szCs w:val="24"/>
              </w:rPr>
            </w:pPr>
            <w:r w:rsidRPr="0008186B">
              <w:rPr>
                <w:rFonts w:eastAsia="Calibri"/>
                <w:sz w:val="24"/>
                <w:szCs w:val="24"/>
              </w:rPr>
              <w:t>$</w:t>
            </w:r>
            <w:r w:rsidR="00DA3ADF">
              <w:rPr>
                <w:rFonts w:eastAsia="Calibri"/>
                <w:sz w:val="24"/>
                <w:szCs w:val="24"/>
              </w:rPr>
              <w:t>2,845.77</w:t>
            </w:r>
            <w:r w:rsidRPr="0008186B">
              <w:rPr>
                <w:rFonts w:eastAsia="Calibri"/>
                <w:sz w:val="24"/>
                <w:szCs w:val="24"/>
              </w:rPr>
              <w:t xml:space="preserve"> </w:t>
            </w:r>
          </w:p>
          <w:p w:rsidR="00E14FA9" w:rsidRPr="0008186B" w:rsidP="002E7D40" w14:paraId="656026BC" w14:textId="77777777">
            <w:pPr>
              <w:autoSpaceDE w:val="0"/>
              <w:autoSpaceDN w:val="0"/>
              <w:adjustRightInd w:val="0"/>
              <w:ind w:left="-108"/>
              <w:jc w:val="right"/>
              <w:rPr>
                <w:rFonts w:eastAsia="Times New Roman"/>
                <w:sz w:val="24"/>
                <w:szCs w:val="24"/>
              </w:rPr>
            </w:pPr>
          </w:p>
        </w:tc>
      </w:tr>
      <w:tr w14:paraId="22F64649" w14:textId="77777777" w:rsidTr="00B66232">
        <w:tblPrEx>
          <w:tblW w:w="5435" w:type="pct"/>
          <w:tblInd w:w="-185" w:type="dxa"/>
          <w:tblLook w:val="01E0"/>
        </w:tblPrEx>
        <w:trPr>
          <w:cantSplit/>
          <w:trHeight w:val="890"/>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7E71B3FF" w14:textId="77777777">
            <w:pPr>
              <w:autoSpaceDE w:val="0"/>
              <w:autoSpaceDN w:val="0"/>
              <w:adjustRightInd w:val="0"/>
              <w:jc w:val="right"/>
              <w:rPr>
                <w:rFonts w:eastAsia="Times New Roman"/>
                <w:b/>
                <w:bCs/>
                <w:sz w:val="24"/>
                <w:szCs w:val="24"/>
              </w:rPr>
            </w:pPr>
            <w:r w:rsidRPr="0008186B">
              <w:rPr>
                <w:rFonts w:eastAsia="Times New Roman"/>
                <w:b/>
                <w:bCs/>
                <w:sz w:val="24"/>
                <w:szCs w:val="24"/>
              </w:rPr>
              <w:t>TOTAL FERC-725U</w:t>
            </w:r>
          </w:p>
          <w:p w:rsidR="00E14FA9" w:rsidRPr="0008186B" w:rsidP="002E7D40" w14:paraId="6B133106" w14:textId="77777777">
            <w:pPr>
              <w:autoSpaceDE w:val="0"/>
              <w:autoSpaceDN w:val="0"/>
              <w:adjustRightInd w:val="0"/>
              <w:jc w:val="right"/>
              <w:rPr>
                <w:rFonts w:eastAsia="Times New Roman"/>
                <w:b/>
                <w:bCs/>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5A4CA8E4" w14:textId="77777777">
            <w:pPr>
              <w:autoSpaceDE w:val="0"/>
              <w:autoSpaceDN w:val="0"/>
              <w:adjustRightInd w:val="0"/>
              <w:jc w:val="right"/>
              <w:rPr>
                <w:rFonts w:eastAsia="Times New Roman"/>
                <w:b/>
                <w:bCs/>
                <w:sz w:val="24"/>
                <w:szCs w:val="24"/>
              </w:rPr>
            </w:pPr>
            <w:r>
              <w:rPr>
                <w:rFonts w:eastAsia="Times New Roman"/>
                <w:b/>
                <w:bCs/>
                <w:sz w:val="24"/>
                <w:szCs w:val="24"/>
              </w:rPr>
              <w:t>344</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49F81A74" w14:textId="77777777">
            <w:pPr>
              <w:autoSpaceDE w:val="0"/>
              <w:autoSpaceDN w:val="0"/>
              <w:adjustRightInd w:val="0"/>
              <w:jc w:val="right"/>
              <w:rPr>
                <w:rFonts w:eastAsia="Times New Roman"/>
                <w:b/>
                <w:bCs/>
                <w:sz w:val="24"/>
                <w:szCs w:val="24"/>
              </w:rPr>
            </w:pPr>
            <w:r w:rsidRPr="0008186B">
              <w:rPr>
                <w:rFonts w:eastAsia="Times New Roman"/>
                <w:b/>
                <w:bCs/>
                <w:sz w:val="24"/>
                <w:szCs w:val="24"/>
              </w:rPr>
              <w:t>1</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4E1BB5FF" w14:textId="77777777">
            <w:pPr>
              <w:autoSpaceDE w:val="0"/>
              <w:autoSpaceDN w:val="0"/>
              <w:adjustRightInd w:val="0"/>
              <w:jc w:val="right"/>
              <w:rPr>
                <w:rFonts w:eastAsia="Times New Roman"/>
                <w:b/>
                <w:bCs/>
                <w:sz w:val="24"/>
                <w:szCs w:val="24"/>
              </w:rPr>
            </w:pPr>
            <w:r>
              <w:rPr>
                <w:rFonts w:eastAsia="Times New Roman"/>
                <w:b/>
                <w:bCs/>
                <w:sz w:val="24"/>
                <w:szCs w:val="24"/>
              </w:rPr>
              <w:t>344</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P="002E7D40" w14:paraId="1821DA05" w14:textId="17CEF208">
            <w:pPr>
              <w:autoSpaceDE w:val="0"/>
              <w:autoSpaceDN w:val="0"/>
              <w:adjustRightInd w:val="0"/>
              <w:jc w:val="right"/>
              <w:rPr>
                <w:rFonts w:eastAsia="Calibri"/>
                <w:b/>
                <w:bCs/>
                <w:sz w:val="24"/>
                <w:szCs w:val="24"/>
              </w:rPr>
            </w:pPr>
            <w:r>
              <w:rPr>
                <w:rFonts w:eastAsia="Calibri"/>
                <w:b/>
                <w:bCs/>
                <w:sz w:val="24"/>
                <w:szCs w:val="24"/>
              </w:rPr>
              <w:t>32.71</w:t>
            </w:r>
            <w:r w:rsidRPr="0008186B">
              <w:rPr>
                <w:rFonts w:eastAsia="Calibri"/>
                <w:b/>
                <w:bCs/>
                <w:sz w:val="24"/>
                <w:szCs w:val="24"/>
              </w:rPr>
              <w:t xml:space="preserve"> </w:t>
            </w:r>
            <w:r w:rsidRPr="0008186B">
              <w:rPr>
                <w:rFonts w:eastAsia="Calibri"/>
                <w:b/>
                <w:bCs/>
                <w:sz w:val="24"/>
                <w:szCs w:val="24"/>
              </w:rPr>
              <w:t>hrs.;</w:t>
            </w:r>
          </w:p>
          <w:p w:rsidR="00E14FA9" w:rsidRPr="0008186B" w:rsidP="002E7D40" w14:paraId="65B5B83F" w14:textId="7927DED7">
            <w:pPr>
              <w:autoSpaceDE w:val="0"/>
              <w:autoSpaceDN w:val="0"/>
              <w:adjustRightInd w:val="0"/>
              <w:jc w:val="right"/>
              <w:rPr>
                <w:rFonts w:eastAsia="Times New Roman"/>
                <w:b/>
                <w:bCs/>
                <w:sz w:val="24"/>
                <w:szCs w:val="24"/>
              </w:rPr>
            </w:pPr>
            <w:r w:rsidRPr="0008186B">
              <w:rPr>
                <w:rFonts w:eastAsia="Calibri"/>
                <w:b/>
                <w:bCs/>
                <w:sz w:val="24"/>
                <w:szCs w:val="24"/>
              </w:rPr>
              <w:t xml:space="preserve"> $</w:t>
            </w:r>
            <w:r w:rsidR="00DA3ADF">
              <w:rPr>
                <w:rFonts w:eastAsia="Calibri"/>
                <w:b/>
                <w:bCs/>
                <w:sz w:val="24"/>
                <w:szCs w:val="24"/>
              </w:rPr>
              <w:t>2,845.77</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P="002E7D40" w14:paraId="076A3F34" w14:textId="612358CA">
            <w:pPr>
              <w:autoSpaceDE w:val="0"/>
              <w:autoSpaceDN w:val="0"/>
              <w:adjustRightInd w:val="0"/>
              <w:ind w:left="-108"/>
              <w:jc w:val="right"/>
              <w:rPr>
                <w:rFonts w:eastAsia="Times New Roman"/>
                <w:b/>
                <w:bCs/>
                <w:sz w:val="24"/>
                <w:szCs w:val="24"/>
              </w:rPr>
            </w:pPr>
            <w:r>
              <w:rPr>
                <w:rFonts w:eastAsia="Times New Roman"/>
                <w:b/>
                <w:bCs/>
                <w:sz w:val="24"/>
                <w:szCs w:val="24"/>
              </w:rPr>
              <w:t>11,254.24</w:t>
            </w:r>
            <w:r w:rsidRPr="0008186B">
              <w:rPr>
                <w:rFonts w:eastAsia="Times New Roman"/>
                <w:b/>
                <w:bCs/>
                <w:sz w:val="24"/>
                <w:szCs w:val="24"/>
              </w:rPr>
              <w:t xml:space="preserve"> </w:t>
            </w:r>
            <w:r w:rsidRPr="0008186B">
              <w:rPr>
                <w:rFonts w:eastAsia="Times New Roman"/>
                <w:b/>
                <w:bCs/>
                <w:sz w:val="24"/>
                <w:szCs w:val="24"/>
              </w:rPr>
              <w:t>hrs.;</w:t>
            </w:r>
          </w:p>
          <w:p w:rsidR="00E14FA9" w:rsidRPr="0008186B" w:rsidP="002E7D40" w14:paraId="12075A1A" w14:textId="614098E0">
            <w:pPr>
              <w:autoSpaceDE w:val="0"/>
              <w:autoSpaceDN w:val="0"/>
              <w:adjustRightInd w:val="0"/>
              <w:ind w:left="-108"/>
              <w:jc w:val="right"/>
              <w:rPr>
                <w:rFonts w:eastAsia="Times New Roman"/>
                <w:b/>
                <w:bCs/>
                <w:sz w:val="24"/>
                <w:szCs w:val="24"/>
              </w:rPr>
            </w:pPr>
            <w:r w:rsidRPr="0008186B">
              <w:rPr>
                <w:rFonts w:eastAsia="Times New Roman"/>
                <w:b/>
                <w:bCs/>
                <w:sz w:val="24"/>
                <w:szCs w:val="24"/>
              </w:rPr>
              <w:t xml:space="preserve"> $</w:t>
            </w:r>
            <w:r w:rsidR="00DA3ADF">
              <w:rPr>
                <w:rFonts w:eastAsia="Times New Roman"/>
                <w:b/>
                <w:bCs/>
                <w:sz w:val="24"/>
                <w:szCs w:val="24"/>
              </w:rPr>
              <w:t>9</w:t>
            </w:r>
            <w:r w:rsidR="00E94363">
              <w:rPr>
                <w:rFonts w:eastAsia="Times New Roman"/>
                <w:b/>
                <w:bCs/>
                <w:sz w:val="24"/>
                <w:szCs w:val="24"/>
              </w:rPr>
              <w:t>78,944.88</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3F18515E" w14:textId="0635B700">
            <w:pPr>
              <w:autoSpaceDE w:val="0"/>
              <w:autoSpaceDN w:val="0"/>
              <w:adjustRightInd w:val="0"/>
              <w:ind w:left="-108"/>
              <w:jc w:val="right"/>
              <w:rPr>
                <w:rFonts w:eastAsia="Times New Roman"/>
                <w:b/>
                <w:bCs/>
                <w:sz w:val="24"/>
                <w:szCs w:val="24"/>
              </w:rPr>
            </w:pPr>
            <w:r w:rsidRPr="0008186B">
              <w:rPr>
                <w:rFonts w:eastAsia="Times New Roman"/>
                <w:b/>
                <w:bCs/>
                <w:sz w:val="24"/>
                <w:szCs w:val="24"/>
              </w:rPr>
              <w:t>$</w:t>
            </w:r>
            <w:r w:rsidR="00DA3ADF">
              <w:rPr>
                <w:rFonts w:eastAsia="Times New Roman"/>
                <w:b/>
                <w:bCs/>
                <w:sz w:val="24"/>
                <w:szCs w:val="24"/>
              </w:rPr>
              <w:t>2,845.77</w:t>
            </w:r>
          </w:p>
        </w:tc>
      </w:tr>
    </w:tbl>
    <w:p w:rsidR="002E7D40" w:rsidP="00E14FA9" w14:paraId="0B5A10B8" w14:textId="62686549">
      <w:pPr>
        <w:pStyle w:val="FERCparanumber"/>
        <w:numPr>
          <w:ilvl w:val="0"/>
          <w:numId w:val="0"/>
        </w:numPr>
        <w:rPr>
          <w:u w:val="single"/>
        </w:rPr>
      </w:pPr>
    </w:p>
    <w:p w:rsidR="00E14FA9" w:rsidRPr="007C322D" w:rsidP="00E14FA9" w14:paraId="785603A5" w14:textId="21F9CD08">
      <w:pPr>
        <w:pStyle w:val="FERCparanumber"/>
        <w:numPr>
          <w:ilvl w:val="0"/>
          <w:numId w:val="0"/>
        </w:numPr>
      </w:pPr>
      <w:r w:rsidRPr="007C322D">
        <w:rPr>
          <w:u w:val="single"/>
        </w:rPr>
        <w:t>Titles</w:t>
      </w:r>
      <w:r w:rsidRPr="007C322D">
        <w:t>:  FERC-725</w:t>
      </w:r>
      <w:r>
        <w:t>U</w:t>
      </w:r>
      <w:r w:rsidRPr="007C322D">
        <w:t xml:space="preserve">, Mandatory Reliability Standards for the Bulk Power System; </w:t>
      </w:r>
      <w:r>
        <w:t>CIP</w:t>
      </w:r>
      <w:r w:rsidRPr="007C322D">
        <w:t xml:space="preserve"> Reliability Standards.</w:t>
      </w:r>
    </w:p>
    <w:p w:rsidR="00E14FA9" w:rsidRPr="007C322D" w:rsidP="00E14FA9" w14:paraId="16D6C71B" w14:textId="3CAF13EA">
      <w:pPr>
        <w:pStyle w:val="FERCparanumber"/>
        <w:numPr>
          <w:ilvl w:val="0"/>
          <w:numId w:val="0"/>
        </w:numPr>
      </w:pPr>
      <w:r w:rsidRPr="007C322D">
        <w:rPr>
          <w:u w:val="single"/>
        </w:rPr>
        <w:t>Action</w:t>
      </w:r>
      <w:r w:rsidRPr="007C322D">
        <w:t>:</w:t>
      </w:r>
      <w:r w:rsidRPr="007C322D">
        <w:rPr>
          <w:i/>
        </w:rPr>
        <w:t xml:space="preserve"> </w:t>
      </w:r>
      <w:r w:rsidR="00475574">
        <w:rPr>
          <w:iCs/>
        </w:rPr>
        <w:t>Compliance update with</w:t>
      </w:r>
      <w:r w:rsidRPr="007C322D">
        <w:t xml:space="preserve"> </w:t>
      </w:r>
      <w:r w:rsidR="00475574">
        <w:t>no</w:t>
      </w:r>
      <w:r>
        <w:t xml:space="preserve"> change</w:t>
      </w:r>
      <w:r w:rsidR="00475574">
        <w:t>s</w:t>
      </w:r>
      <w:r w:rsidRPr="007C322D">
        <w:t xml:space="preserve"> to Existing Collections of Information</w:t>
      </w:r>
      <w:r w:rsidR="00475574">
        <w:t>,</w:t>
      </w:r>
      <w:r w:rsidRPr="007C322D">
        <w:t xml:space="preserve"> FERC-725</w:t>
      </w:r>
      <w:r>
        <w:t>U</w:t>
      </w:r>
      <w:r w:rsidRPr="007C322D">
        <w:t>.</w:t>
      </w:r>
    </w:p>
    <w:p w:rsidR="00E14FA9" w:rsidRPr="007C322D" w:rsidP="00E14FA9" w14:paraId="48A11B85" w14:textId="77777777">
      <w:pPr>
        <w:pStyle w:val="FERCparanumber"/>
        <w:numPr>
          <w:ilvl w:val="0"/>
          <w:numId w:val="0"/>
        </w:numPr>
      </w:pPr>
      <w:r w:rsidRPr="007C322D">
        <w:rPr>
          <w:u w:val="single"/>
        </w:rPr>
        <w:t>OMB Control Nos</w:t>
      </w:r>
      <w:r w:rsidRPr="007C322D">
        <w:t xml:space="preserve">: </w:t>
      </w:r>
      <w:r w:rsidRPr="00E86105">
        <w:t>1902-0274</w:t>
      </w:r>
      <w:r w:rsidRPr="007C322D">
        <w:t>(FERC-725</w:t>
      </w:r>
      <w:r>
        <w:t>U</w:t>
      </w:r>
      <w:r w:rsidRPr="007C322D">
        <w:t xml:space="preserve">). </w:t>
      </w:r>
    </w:p>
    <w:p w:rsidR="00E14FA9" w:rsidRPr="007C322D" w:rsidP="00E14FA9" w14:paraId="67A98672" w14:textId="77777777">
      <w:pPr>
        <w:pStyle w:val="FERCparanumber"/>
        <w:numPr>
          <w:ilvl w:val="0"/>
          <w:numId w:val="0"/>
        </w:numPr>
      </w:pPr>
      <w:r w:rsidRPr="007C322D">
        <w:rPr>
          <w:u w:val="single"/>
        </w:rPr>
        <w:t>Respondents</w:t>
      </w:r>
      <w:r w:rsidRPr="007C322D">
        <w:t>:</w:t>
      </w:r>
      <w:r w:rsidRPr="007C322D">
        <w:rPr>
          <w:i/>
        </w:rPr>
        <w:t xml:space="preserve">  </w:t>
      </w:r>
      <w:r w:rsidRPr="007C322D">
        <w:t>Business or other for profit, and not for profit institutions.</w:t>
      </w:r>
    </w:p>
    <w:p w:rsidR="00E14FA9" w:rsidRPr="007C322D" w:rsidP="00E14FA9" w14:paraId="6D97A80A" w14:textId="77777777">
      <w:pPr>
        <w:pStyle w:val="FERCparanumber"/>
        <w:numPr>
          <w:ilvl w:val="0"/>
          <w:numId w:val="0"/>
        </w:numPr>
      </w:pPr>
      <w:r w:rsidRPr="007C322D">
        <w:rPr>
          <w:u w:val="single"/>
        </w:rPr>
        <w:t>Frequency of Responses</w:t>
      </w:r>
      <w:r w:rsidRPr="007C322D">
        <w:t xml:space="preserve">:  On occasion. </w:t>
      </w:r>
    </w:p>
    <w:p w:rsidR="00E14FA9" w:rsidRPr="007C322D" w:rsidP="00E14FA9" w14:paraId="6E1685A9" w14:textId="5CEF4B82">
      <w:pPr>
        <w:pStyle w:val="FERCparanumber"/>
        <w:numPr>
          <w:ilvl w:val="0"/>
          <w:numId w:val="0"/>
        </w:numPr>
      </w:pPr>
      <w:r w:rsidRPr="007C322D">
        <w:rPr>
          <w:u w:val="single"/>
        </w:rPr>
        <w:t>Necessity of the Information</w:t>
      </w:r>
      <w:r w:rsidRPr="007C322D">
        <w:t>:</w:t>
      </w:r>
      <w:r w:rsidRPr="007C322D">
        <w:rPr>
          <w:i/>
        </w:rPr>
        <w:t xml:space="preserve"> </w:t>
      </w:r>
      <w:r>
        <w:rPr>
          <w:i/>
        </w:rPr>
        <w:t xml:space="preserve"> </w:t>
      </w:r>
      <w:r w:rsidRPr="007C322D">
        <w:rPr>
          <w:iCs/>
        </w:rPr>
        <w:t xml:space="preserve">Reliability Standard </w:t>
      </w:r>
      <w:r>
        <w:rPr>
          <w:iCs/>
        </w:rPr>
        <w:t>CIP-014-3 (Physical Security)</w:t>
      </w:r>
      <w:r w:rsidRPr="007C322D">
        <w:rPr>
          <w:iCs/>
        </w:rPr>
        <w:t xml:space="preserve"> </w:t>
      </w:r>
      <w:r w:rsidR="00E32328">
        <w:rPr>
          <w:iCs/>
        </w:rPr>
        <w:t>is</w:t>
      </w:r>
      <w:r w:rsidRPr="007C322D">
        <w:rPr>
          <w:iCs/>
        </w:rPr>
        <w:t xml:space="preserve"> part of the implementation of the Congressional mandate of the Energy Policy Act of 2005 to develop mandatory and enforceable Reliability Standards to better ensure the reliability of the nation’s Bulk Power system.  Specifically, the revised standard </w:t>
      </w:r>
      <w:r>
        <w:rPr>
          <w:iCs/>
        </w:rPr>
        <w:t>only changes the how the evidence is stored</w:t>
      </w:r>
      <w:r w:rsidRPr="007C322D">
        <w:rPr>
          <w:iCs/>
        </w:rPr>
        <w:t>.</w:t>
      </w:r>
      <w:r w:rsidRPr="007C322D">
        <w:t xml:space="preserve">   </w:t>
      </w:r>
    </w:p>
    <w:p w:rsidR="00E14FA9" w:rsidRPr="007C322D" w:rsidP="00E14FA9" w14:paraId="71129250" w14:textId="77777777">
      <w:pPr>
        <w:pStyle w:val="FERCparanumber"/>
        <w:numPr>
          <w:ilvl w:val="0"/>
          <w:numId w:val="0"/>
        </w:numPr>
      </w:pPr>
      <w:r w:rsidRPr="007C322D">
        <w:rPr>
          <w:u w:val="single"/>
        </w:rPr>
        <w:t>Internal review</w:t>
      </w:r>
      <w:r w:rsidRPr="007C322D">
        <w:t>:</w:t>
      </w:r>
      <w:r w:rsidRPr="007C322D">
        <w:rPr>
          <w:i/>
        </w:rPr>
        <w:t xml:space="preserve">  </w:t>
      </w:r>
      <w:r w:rsidRPr="007C322D">
        <w:t xml:space="preserve">The Commission has reviewed NERC’s proposal and determined that its action is necessary to implement section 215 of the FPA.  </w:t>
      </w:r>
    </w:p>
    <w:p w:rsidR="00E14FA9" w:rsidRPr="007C322D" w:rsidP="00E14FA9" w14:paraId="7083F2E2" w14:textId="77777777">
      <w:pPr>
        <w:pStyle w:val="FERCparanumber"/>
      </w:pPr>
      <w:r w:rsidRPr="007C322D">
        <w:t>Interested persons may obtain information on the reporting requirements by contacting the Federal Energy Regulatory Commission, Office of the Executive Director, 888 First Street, NE, Washington, DC 20426 [Attention: Ellen Brown, e-mail: DataClearance@ferc.gov, phone: (202) 502-8663].</w:t>
      </w:r>
    </w:p>
    <w:p w:rsidR="00E14FA9" w:rsidRPr="007C322D" w:rsidP="00E14FA9" w14:paraId="1109B0A1" w14:textId="0D79AC82">
      <w:pPr>
        <w:pStyle w:val="FERCparanumber"/>
      </w:pPr>
      <w:r w:rsidRPr="007C322D">
        <w:t xml:space="preserve">All submissions must be formatted and filed in accordance with submission guidelines at:  </w:t>
      </w:r>
      <w:r w:rsidRPr="00AD7A32">
        <w:t>http://www.ferc.gov</w:t>
      </w:r>
      <w:r w:rsidRPr="007C322D">
        <w:t>.  For user assistance, contact FERC Online Support by e-mail at ferconlinesupport@ferc.gov, or by phone at (866) 208-3676 (toll-free).</w:t>
      </w:r>
    </w:p>
    <w:p w:rsidR="00E14FA9" w:rsidRPr="007C322D" w:rsidP="00E14FA9" w14:paraId="3BC9D2F3" w14:textId="77777777">
      <w:pPr>
        <w:pStyle w:val="FERCparanumber"/>
      </w:pPr>
      <w:r w:rsidRPr="007C322D">
        <w:t xml:space="preserve">Comments concerning the information collections and requirements approved and associated burden estimates, should be sent to the Commission in this docket and may also be sent to the Office of Management and Budget, Office of Information and Regulatory Affairs [Attention:  Desk Officer for the Federal Energy Regulatory Commission].  </w:t>
      </w:r>
      <w:r w:rsidRPr="007C322D">
        <w:rPr>
          <w:iCs/>
        </w:rPr>
        <w:t xml:space="preserve">OMB submissions </w:t>
      </w:r>
      <w:r w:rsidRPr="007C322D">
        <w:t>must be formatted and filed in accordance with submission guidelines at</w:t>
      </w:r>
      <w:r w:rsidRPr="007C322D">
        <w:rPr>
          <w:i/>
        </w:rPr>
        <w:t xml:space="preserve"> </w:t>
      </w:r>
      <w:r w:rsidRPr="00AD7A32">
        <w:t>www.reginfo.gov/public/do/PRAMain</w:t>
      </w:r>
      <w:r w:rsidRPr="007C322D">
        <w:rPr>
          <w:u w:val="single"/>
        </w:rPr>
        <w:t>.</w:t>
      </w:r>
      <w:r w:rsidRPr="007C322D">
        <w:t xml:space="preserve">  Using the search function under the “Currently Under Review” field, select Federal Energy Regulatory Commission; click “submit,” and select “comment” to the right of the subject collection.</w:t>
      </w:r>
    </w:p>
    <w:p w:rsidR="00E14FA9" w:rsidRPr="007C322D" w:rsidP="00E14FA9" w14:paraId="48AE9289" w14:textId="77777777">
      <w:pPr>
        <w:pStyle w:val="FERCparanumber"/>
      </w:pPr>
      <w:r w:rsidRPr="007C322D">
        <w:t xml:space="preserve">Please refer to the appropriate OMB Control Number(s) </w:t>
      </w:r>
      <w:r w:rsidRPr="00E86105">
        <w:t>1902-0274</w:t>
      </w:r>
      <w:r w:rsidRPr="007C322D">
        <w:t>(FERC-725</w:t>
      </w:r>
      <w:r>
        <w:t>U</w:t>
      </w:r>
      <w:r w:rsidRPr="007C322D">
        <w:t>)</w:t>
      </w:r>
      <w:r>
        <w:t xml:space="preserve"> </w:t>
      </w:r>
      <w:r w:rsidRPr="007C322D">
        <w:t>in your submission.</w:t>
      </w:r>
    </w:p>
    <w:p w:rsidR="007C322D" w:rsidRPr="007C322D" w:rsidP="007C322D" w14:paraId="71E41CD1" w14:textId="7AB9CB90">
      <w:pPr>
        <w:pStyle w:val="Heading1"/>
      </w:pPr>
      <w:r w:rsidRPr="007C322D">
        <w:t>Document Availability</w:t>
      </w:r>
    </w:p>
    <w:p w:rsidR="007C322D" w:rsidRPr="007C322D" w:rsidP="007C322D" w14:paraId="63FB1833" w14:textId="794CFB79">
      <w:pPr>
        <w:pStyle w:val="FERCparanumber"/>
      </w:pPr>
      <w:r>
        <w:t xml:space="preserve"> </w:t>
      </w:r>
      <w:r w:rsidRPr="007C322D">
        <w:t xml:space="preserve">In addition to publishing the full text of this document in the Federal Register, </w:t>
      </w:r>
      <w:r w:rsidR="001C1F47">
        <w:br/>
      </w:r>
      <w:r w:rsidRPr="007C322D">
        <w:t xml:space="preserve">the Commission provides all interested persons an opportunity to view and/or print </w:t>
      </w:r>
      <w:r w:rsidR="001C1F47">
        <w:br/>
      </w:r>
      <w:r w:rsidRPr="007C322D">
        <w:t>the contents of this document via the Internet through the Commission's Home Page (</w:t>
      </w:r>
      <w:r w:rsidRPr="00AD7A32">
        <w:t>http://www.ferc.gov</w:t>
      </w:r>
      <w:r w:rsidRPr="007C322D">
        <w:t>) and in the Commission's Public Reference Room during normal business hours (8:30 a.m. to 5:00 p.m. Eastern time) at 888 First Street, NE, Room 2A, Washington, DC  20426.</w:t>
      </w:r>
    </w:p>
    <w:p w:rsidR="007C322D" w:rsidRPr="007C322D" w:rsidP="007C322D" w14:paraId="32DC4700" w14:textId="0FDBB280">
      <w:pPr>
        <w:pStyle w:val="FERCparanumber"/>
      </w:pPr>
      <w:r w:rsidRPr="007C322D">
        <w:t>From the Commission</w:t>
      </w:r>
      <w:r w:rsidR="00164446">
        <w:t>’</w:t>
      </w:r>
      <w:r w:rsidRPr="007C322D">
        <w:t xml:space="preserve">s Home Page on the Internet, this information is available on </w:t>
      </w:r>
      <w:r w:rsidRPr="007C322D">
        <w:t>eLibrary</w:t>
      </w:r>
      <w:r w:rsidRPr="007C322D">
        <w:t xml:space="preserve">.  The full text of this document is available on </w:t>
      </w:r>
      <w:r w:rsidRPr="007C322D">
        <w:t>eLibrary</w:t>
      </w:r>
      <w:r w:rsidRPr="007C322D">
        <w:t xml:space="preserve"> in PDF and Microsoft Word format for viewing, printing, and/or downloading.  To access this document in </w:t>
      </w:r>
      <w:r w:rsidRPr="007C322D">
        <w:t>eLibrary</w:t>
      </w:r>
      <w:r w:rsidRPr="007C322D">
        <w:t>, type the docket number excluding the last three digits of this document in the docket number field.</w:t>
      </w:r>
    </w:p>
    <w:p w:rsidR="00F67F1D" w:rsidRPr="00F67F1D" w:rsidP="007C322D" w14:paraId="65A99B5A" w14:textId="3B4E5121">
      <w:pPr>
        <w:pStyle w:val="FERCparanumber"/>
      </w:pPr>
      <w:r w:rsidRPr="007C322D">
        <w:t xml:space="preserve">User assistance is available for </w:t>
      </w:r>
      <w:r w:rsidRPr="007C322D">
        <w:t>eLibrary</w:t>
      </w:r>
      <w:r w:rsidRPr="007C322D">
        <w:t xml:space="preserve"> and the Commission’s website during normal business hours from the Commission’s Online Support at (202) 502-6652 (toll free at 1-866-208-3676) or email at </w:t>
      </w:r>
      <w:r w:rsidRPr="00AD7A32">
        <w:t>ferconlinesupport@ferc.gov</w:t>
      </w:r>
      <w:r w:rsidRPr="007C322D">
        <w:t xml:space="preserve">, or the Public Reference Room at (202) 502-8371, TTY (202) 502-8659.  E-mail the Public Reference Room at </w:t>
      </w:r>
      <w:r w:rsidRPr="00AD7A32">
        <w:t>public.referenceroom@ferc.gov</w:t>
      </w:r>
      <w:r w:rsidRPr="007C322D">
        <w:t>.</w:t>
      </w:r>
    </w:p>
    <w:p w:rsidR="00813C75" w:rsidP="00DE0DE1" w14:paraId="50F3DBCD" w14:textId="77777777">
      <w:r w:rsidRPr="00CD0B38">
        <w:rPr>
          <w:u w:val="single"/>
        </w:rPr>
        <w:t>The Commission orders</w:t>
      </w:r>
      <w:r w:rsidRPr="00CD0B38">
        <w:t>:</w:t>
      </w:r>
      <w:r w:rsidR="00F67F1D">
        <w:t xml:space="preserve">  </w:t>
      </w:r>
    </w:p>
    <w:p w:rsidR="00813C75" w:rsidP="00DE0DE1" w14:paraId="6E968D8B" w14:textId="77777777"/>
    <w:p w:rsidR="00885BF7" w:rsidRPr="00CD0B38" w:rsidP="006E7B05" w14:paraId="51FBB889" w14:textId="233B7CD5">
      <w:pPr>
        <w:ind w:firstLine="720"/>
      </w:pPr>
      <w:r>
        <w:t xml:space="preserve">Reliability Standard </w:t>
      </w:r>
      <w:r w:rsidR="0060657A">
        <w:t>CIP-014-3</w:t>
      </w:r>
      <w:r w:rsidR="00A870DD">
        <w:t xml:space="preserve"> is hereby approved</w:t>
      </w:r>
      <w:r w:rsidR="00F67F1D">
        <w:t>, as discussed in the body of this order.</w:t>
      </w:r>
    </w:p>
    <w:p w:rsidR="00885BF7" w:rsidRPr="00CD0B38" w:rsidP="00DE0DE1" w14:paraId="40E33005" w14:textId="77777777"/>
    <w:p w:rsidR="00885BF7" w:rsidP="00DE0DE1" w14:paraId="66B5F7E5" w14:textId="619FABCA">
      <w:r w:rsidRPr="00CD0B38">
        <w:t>By the Commission.</w:t>
      </w:r>
    </w:p>
    <w:p w:rsidR="00730AE6" w:rsidP="00DE0DE1" w14:paraId="458E4869" w14:textId="7E7CD0C9"/>
    <w:p w:rsidR="00730AE6" w:rsidP="00730AE6" w14:paraId="1562BDC3" w14:textId="65935449">
      <w:pPr>
        <w:widowControl/>
      </w:pPr>
      <w:r w:rsidRPr="00730AE6">
        <w:t>( S</w:t>
      </w:r>
      <w:r w:rsidRPr="00730AE6">
        <w:t xml:space="preserve"> E A L )</w:t>
      </w:r>
    </w:p>
    <w:p w:rsidR="00730AE6" w:rsidP="00730AE6" w14:paraId="601560F0" w14:textId="2F34D106">
      <w:pPr>
        <w:widowControl/>
      </w:pPr>
    </w:p>
    <w:p w:rsidR="00730AE6" w:rsidP="00730AE6" w14:paraId="184393FF" w14:textId="739155AE">
      <w:pPr>
        <w:widowControl/>
      </w:pPr>
    </w:p>
    <w:p w:rsidR="00730AE6" w:rsidP="00730AE6" w14:paraId="2990EF52" w14:textId="3839E10D">
      <w:pPr>
        <w:widowControl/>
      </w:pPr>
    </w:p>
    <w:p w:rsidR="00730AE6" w:rsidP="00730AE6" w14:paraId="1F7B7569" w14:textId="5E53EDC5">
      <w:pPr>
        <w:widowControl/>
      </w:pPr>
    </w:p>
    <w:p w:rsidR="00730AE6" w:rsidRPr="00730AE6" w:rsidP="00730AE6" w14:paraId="54D59A59" w14:textId="070D31E8">
      <w:pPr>
        <w:widowControl/>
        <w:ind w:firstLine="2606"/>
        <w:jc w:val="center"/>
      </w:pPr>
      <w:r w:rsidRPr="00730AE6">
        <w:t>Debbie-Anne A. Reese,</w:t>
      </w:r>
    </w:p>
    <w:p w:rsidR="00730AE6" w:rsidRPr="00730AE6" w:rsidP="00730AE6" w14:paraId="0B863F01" w14:textId="20405060">
      <w:pPr>
        <w:widowControl/>
        <w:ind w:firstLine="2606"/>
        <w:jc w:val="center"/>
      </w:pPr>
      <w:r w:rsidRPr="00730AE6">
        <w:t>Deputy Secretary.</w:t>
      </w:r>
    </w:p>
    <w:p w:rsidR="00730AE6" w:rsidRPr="00730AE6" w:rsidP="00730AE6" w14:paraId="01AA8DC3" w14:textId="77777777">
      <w:pPr>
        <w:widowControl/>
      </w:pPr>
    </w:p>
    <w:p w:rsidR="001C1F47" w:rsidP="00DE0DE1" w14:paraId="770026FC" w14:textId="5BE49139"/>
    <w:p w:rsidR="001C1F47" w:rsidP="001C1F47" w14:paraId="6AA42553" w14:textId="78F3AF59">
      <w:pPr>
        <w:widowControl/>
      </w:pPr>
    </w:p>
    <w:p w:rsidR="001C1F47" w:rsidP="001C1F47" w14:paraId="062DA8DE" w14:textId="36C002EA">
      <w:pPr>
        <w:widowControl/>
      </w:pPr>
    </w:p>
    <w:p w:rsidR="001C1F47" w:rsidP="001C1F47" w14:paraId="7F3CA7B1" w14:textId="54FA2597">
      <w:pPr>
        <w:widowControl/>
      </w:pPr>
    </w:p>
    <w:p w:rsidR="001C1F47" w:rsidP="001C1F47" w14:paraId="1B80E81A" w14:textId="3B54E38B">
      <w:pPr>
        <w:widowControl/>
      </w:pPr>
    </w:p>
    <w:p w:rsidR="001C1F47" w:rsidP="001C1F47" w14:paraId="42AA2AE1" w14:textId="153BDC59">
      <w:pPr>
        <w:widowControl/>
      </w:pPr>
    </w:p>
    <w:p w:rsidR="001C1F47" w:rsidRPr="001C1F47" w:rsidP="001C1F47" w14:paraId="3480F74F" w14:textId="379AD95A">
      <w:pPr>
        <w:widowControl/>
        <w:ind w:firstLine="2174"/>
        <w:jc w:val="center"/>
      </w:pPr>
    </w:p>
    <w:sectPr w:rsidSect="00885BF7">
      <w:headerReference w:type="even" r:id="rId12"/>
      <w:headerReference w:type="defaul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76007" w:rsidP="0048020B" w14:paraId="04D661A0" w14:textId="77777777">
      <w:r>
        <w:separator/>
      </w:r>
    </w:p>
  </w:endnote>
  <w:endnote w:type="continuationSeparator" w:id="1">
    <w:p w:rsidR="00B76007" w:rsidP="0048020B" w14:paraId="5AFF9D03" w14:textId="77777777">
      <w:r>
        <w:continuationSeparator/>
      </w:r>
    </w:p>
  </w:endnote>
  <w:endnote w:type="continuationNotice" w:id="2">
    <w:p w:rsidR="00B76007" w14:paraId="35F0D1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76007" w:rsidP="0048020B" w14:paraId="3FC7CECC" w14:textId="77777777">
      <w:r>
        <w:separator/>
      </w:r>
    </w:p>
  </w:footnote>
  <w:footnote w:type="continuationSeparator" w:id="1">
    <w:p w:rsidR="00B76007" w:rsidP="0048020B" w14:paraId="33AD8603" w14:textId="77777777">
      <w:r>
        <w:continuationSeparator/>
      </w:r>
    </w:p>
  </w:footnote>
  <w:footnote w:type="continuationNotice" w:id="2">
    <w:p w:rsidR="00B76007" w:rsidRPr="00BB69A5" w:rsidP="00BB69A5" w14:paraId="108D98BE" w14:textId="77777777">
      <w:pPr>
        <w:spacing w:line="20" w:lineRule="exact"/>
        <w:rPr>
          <w:sz w:val="2"/>
        </w:rPr>
      </w:pPr>
    </w:p>
  </w:footnote>
  <w:footnote w:id="3">
    <w:p w:rsidR="001D073E" w14:paraId="07B0ED5B" w14:textId="3305E633">
      <w:pPr>
        <w:pStyle w:val="FootnoteText"/>
      </w:pPr>
      <w:r>
        <w:rPr>
          <w:rStyle w:val="FootnoteReference"/>
        </w:rPr>
        <w:footnoteRef/>
      </w:r>
      <w:r>
        <w:t xml:space="preserve"> </w:t>
      </w:r>
      <w:r w:rsidRPr="00F4055A">
        <w:t>16 U.S.C. 824o(</w:t>
      </w:r>
      <w:r>
        <w:t>d)(1).</w:t>
      </w:r>
    </w:p>
  </w:footnote>
  <w:footnote w:id="4">
    <w:p w:rsidR="001D073E" w:rsidP="00FA6FA9" w14:paraId="281212BB" w14:textId="013D1D7D">
      <w:pPr>
        <w:pStyle w:val="FootnoteText"/>
      </w:pPr>
      <w:r>
        <w:rPr>
          <w:rStyle w:val="FootnoteReference"/>
        </w:rPr>
        <w:footnoteRef/>
      </w:r>
      <w:r>
        <w:t xml:space="preserve"> </w:t>
      </w:r>
      <w:r w:rsidRPr="001C7F30" w:rsidR="00EE36DF">
        <w:rPr>
          <w:i/>
          <w:iCs/>
        </w:rPr>
        <w:t>Id.</w:t>
      </w:r>
      <w:r w:rsidRPr="00F4055A">
        <w:t xml:space="preserve"> 824o(</w:t>
      </w:r>
      <w:r>
        <w:t>e)</w:t>
      </w:r>
      <w:r w:rsidRPr="00F4055A">
        <w:t>.</w:t>
      </w:r>
    </w:p>
  </w:footnote>
  <w:footnote w:id="5">
    <w:p w:rsidR="001D073E" w:rsidP="00FA6FA9" w14:paraId="58654954" w14:textId="73809843">
      <w:pPr>
        <w:pStyle w:val="FootnoteText"/>
      </w:pPr>
      <w:r>
        <w:rPr>
          <w:rStyle w:val="FootnoteReference"/>
        </w:rPr>
        <w:footnoteRef/>
      </w:r>
      <w:r>
        <w:t xml:space="preserve"> </w:t>
      </w:r>
      <w:r w:rsidR="006F0A11">
        <w:rPr>
          <w:i/>
          <w:iCs/>
        </w:rPr>
        <w:t xml:space="preserve">Rules Concerning Certification of the Elec. Reliability Org.; &amp; Procedures </w:t>
      </w:r>
      <w:r w:rsidR="006F0A11">
        <w:rPr>
          <w:i/>
          <w:iCs/>
        </w:rPr>
        <w:br/>
        <w:t>for the Establishment, Approval, &amp; Enforcement of Elec. Reliability Standards</w:t>
      </w:r>
      <w:r w:rsidR="006F0A11">
        <w:t xml:space="preserve">, Order </w:t>
      </w:r>
      <w:r w:rsidR="006F0A11">
        <w:br/>
        <w:t xml:space="preserve">No. 672, 114 FERC ¶ 61,104, </w:t>
      </w:r>
      <w:r w:rsidR="006F0A11">
        <w:rPr>
          <w:i/>
          <w:iCs/>
        </w:rPr>
        <w:t>order on reh’g</w:t>
      </w:r>
      <w:r w:rsidR="006F0A11">
        <w:t>, Order No. 672-A, 71 FR 19814 (April 18, 2006),114 FERC ¶ 61,328 (2006).</w:t>
      </w:r>
    </w:p>
  </w:footnote>
  <w:footnote w:id="6">
    <w:p w:rsidR="001D073E" w:rsidP="00FA6FA9" w14:paraId="40BAFA9A" w14:textId="23A1D1B2">
      <w:pPr>
        <w:pStyle w:val="FootnoteText"/>
      </w:pPr>
      <w:r>
        <w:rPr>
          <w:rStyle w:val="FootnoteReference"/>
        </w:rPr>
        <w:footnoteRef/>
      </w:r>
      <w:r>
        <w:t xml:space="preserve"> </w:t>
      </w:r>
      <w:r w:rsidRPr="00F4055A">
        <w:rPr>
          <w:i/>
          <w:iCs/>
        </w:rPr>
        <w:t>N</w:t>
      </w:r>
      <w:r w:rsidR="00EE36DF">
        <w:rPr>
          <w:i/>
          <w:iCs/>
        </w:rPr>
        <w:t>.</w:t>
      </w:r>
      <w:r w:rsidRPr="00F4055A">
        <w:rPr>
          <w:i/>
          <w:iCs/>
        </w:rPr>
        <w:t xml:space="preserve"> Am</w:t>
      </w:r>
      <w:r w:rsidR="00EE36DF">
        <w:rPr>
          <w:i/>
          <w:iCs/>
        </w:rPr>
        <w:t>.</w:t>
      </w:r>
      <w:r w:rsidRPr="00F4055A">
        <w:rPr>
          <w:i/>
          <w:iCs/>
        </w:rPr>
        <w:t xml:space="preserve"> Elec</w:t>
      </w:r>
      <w:r w:rsidR="00EE36DF">
        <w:rPr>
          <w:i/>
          <w:iCs/>
        </w:rPr>
        <w:t>.</w:t>
      </w:r>
      <w:r w:rsidRPr="00F4055A">
        <w:rPr>
          <w:i/>
          <w:iCs/>
        </w:rPr>
        <w:t xml:space="preserve"> Reliability Corp.</w:t>
      </w:r>
      <w:r w:rsidRPr="00F4055A">
        <w:t xml:space="preserve">, 116 FERC ¶ 61,062, </w:t>
      </w:r>
      <w:r w:rsidRPr="00F4055A">
        <w:rPr>
          <w:i/>
          <w:iCs/>
        </w:rPr>
        <w:t>order on reh’g and compliance</w:t>
      </w:r>
      <w:r w:rsidRPr="00F4055A">
        <w:t xml:space="preserve">, 117 FERC ¶ 61,126 (2006), </w:t>
      </w:r>
      <w:r w:rsidRPr="00F4055A">
        <w:rPr>
          <w:i/>
          <w:iCs/>
        </w:rPr>
        <w:t>aff’d sub nom. Alcoa, Inc. v. FERC</w:t>
      </w:r>
      <w:r w:rsidRPr="00F4055A">
        <w:t xml:space="preserve">, </w:t>
      </w:r>
      <w:r>
        <w:br/>
      </w:r>
      <w:r w:rsidRPr="00F4055A">
        <w:t>564 F.3d 1342 (D.C. Cir. 2009).</w:t>
      </w:r>
    </w:p>
  </w:footnote>
  <w:footnote w:id="7">
    <w:p w:rsidR="001D073E" w14:paraId="3DDF48EE" w14:textId="4A911A73">
      <w:pPr>
        <w:pStyle w:val="FootnoteText"/>
      </w:pPr>
      <w:r>
        <w:rPr>
          <w:rStyle w:val="FootnoteReference"/>
        </w:rPr>
        <w:footnoteRef/>
      </w:r>
      <w:r>
        <w:t xml:space="preserve"> NERC Reliability Standard CIP-014-2 (</w:t>
      </w:r>
      <w:r w:rsidRPr="00006F5E">
        <w:t>Physical Securit</w:t>
      </w:r>
      <w:r>
        <w:t xml:space="preserve">y), Purpose. </w:t>
      </w:r>
    </w:p>
  </w:footnote>
  <w:footnote w:id="8">
    <w:p w:rsidR="001D073E" w:rsidP="00523BF9" w14:paraId="15EB8ADA" w14:textId="16B870E9">
      <w:pPr>
        <w:pStyle w:val="FootnoteText"/>
      </w:pPr>
      <w:r>
        <w:rPr>
          <w:rStyle w:val="FootnoteReference"/>
        </w:rPr>
        <w:footnoteRef/>
      </w:r>
      <w:r>
        <w:t xml:space="preserve"> NERC Petition at 1. </w:t>
      </w:r>
      <w:r w:rsidR="00EE36DF">
        <w:t xml:space="preserve"> </w:t>
      </w:r>
      <w:r w:rsidRPr="000519AF">
        <w:t xml:space="preserve">Section C.1.1.4., Additional Compliance Information states: </w:t>
      </w:r>
      <w:r>
        <w:t xml:space="preserve"> </w:t>
      </w:r>
    </w:p>
    <w:p w:rsidR="001D073E" w:rsidP="001C7F30" w14:paraId="083A7882" w14:textId="77777777">
      <w:pPr>
        <w:pStyle w:val="FootnoteText"/>
        <w:ind w:left="1440" w:right="1440" w:firstLine="0"/>
      </w:pPr>
      <w:r w:rsidRPr="000519AF">
        <w:t>Confidentiality:  To protect the confidentiality and sensitive nature of the evidence for demonstrating compliance with this standard, all evidence will be retained at the Transmission Owner’s and Transmission Operator’s facilities.</w:t>
      </w:r>
    </w:p>
  </w:footnote>
  <w:footnote w:id="9">
    <w:p w:rsidR="001D073E" w:rsidRPr="003872AD" w:rsidP="00C81804" w14:paraId="10C8E9DD" w14:textId="2D76D059">
      <w:pPr>
        <w:pStyle w:val="FootnoteText"/>
        <w:ind w:firstLine="270"/>
        <w:rPr>
          <w:szCs w:val="26"/>
        </w:rPr>
      </w:pPr>
      <w:r w:rsidRPr="003872AD">
        <w:rPr>
          <w:szCs w:val="26"/>
        </w:rPr>
        <w:tab/>
      </w:r>
      <w:r w:rsidRPr="003872AD">
        <w:rPr>
          <w:rStyle w:val="FootnoteReference"/>
          <w:szCs w:val="26"/>
        </w:rPr>
        <w:footnoteRef/>
      </w:r>
      <w:r w:rsidRPr="003872AD">
        <w:rPr>
          <w:szCs w:val="26"/>
        </w:rPr>
        <w:t xml:space="preserve"> </w:t>
      </w:r>
      <w:r w:rsidRPr="00CA2B3C">
        <w:rPr>
          <w:szCs w:val="26"/>
        </w:rPr>
        <w:t>NERC Petition at 1</w:t>
      </w:r>
      <w:r w:rsidRPr="003872AD">
        <w:rPr>
          <w:i/>
          <w:iCs/>
          <w:szCs w:val="26"/>
        </w:rPr>
        <w:t>.</w:t>
      </w:r>
      <w:r w:rsidRPr="003872AD">
        <w:rPr>
          <w:szCs w:val="26"/>
        </w:rPr>
        <w:t xml:space="preserve"> </w:t>
      </w:r>
    </w:p>
  </w:footnote>
  <w:footnote w:id="10">
    <w:p w:rsidR="001D073E" w14:paraId="313AFBAD" w14:textId="6330ABE4">
      <w:pPr>
        <w:pStyle w:val="FootnoteText"/>
      </w:pPr>
      <w:r>
        <w:rPr>
          <w:rStyle w:val="FootnoteReference"/>
        </w:rPr>
        <w:footnoteRef/>
      </w:r>
      <w:r>
        <w:t xml:space="preserve"> </w:t>
      </w:r>
      <w:r>
        <w:rPr>
          <w:i/>
          <w:iCs/>
        </w:rPr>
        <w:t>Id.</w:t>
      </w:r>
      <w:r>
        <w:t xml:space="preserve"> at 5-6. </w:t>
      </w:r>
    </w:p>
  </w:footnote>
  <w:footnote w:id="11">
    <w:p w:rsidR="001D073E" w:rsidP="00730E3E" w14:paraId="230E6C31" w14:textId="260438E6">
      <w:pPr>
        <w:pStyle w:val="FootnoteText"/>
        <w:ind w:firstLine="270"/>
      </w:pPr>
      <w:r w:rsidRPr="003872AD">
        <w:rPr>
          <w:szCs w:val="26"/>
        </w:rPr>
        <w:tab/>
      </w:r>
      <w:r w:rsidRPr="003872AD">
        <w:rPr>
          <w:rStyle w:val="FootnoteReference"/>
          <w:szCs w:val="26"/>
        </w:rPr>
        <w:footnoteRef/>
      </w:r>
      <w:r w:rsidRPr="003872AD">
        <w:rPr>
          <w:szCs w:val="26"/>
        </w:rPr>
        <w:t xml:space="preserve"> </w:t>
      </w:r>
      <w:r w:rsidRPr="003872AD">
        <w:rPr>
          <w:i/>
          <w:iCs/>
          <w:szCs w:val="26"/>
        </w:rPr>
        <w:t>Id</w:t>
      </w:r>
      <w:r w:rsidRPr="001C7F30">
        <w:rPr>
          <w:i/>
          <w:iCs/>
          <w:szCs w:val="26"/>
        </w:rPr>
        <w:t>.</w:t>
      </w:r>
    </w:p>
  </w:footnote>
  <w:footnote w:id="12">
    <w:p w:rsidR="001D073E" w:rsidRPr="003872AD" w:rsidP="00730E3E" w14:paraId="2DB981D1" w14:textId="6794F4FB">
      <w:pPr>
        <w:pStyle w:val="FootnoteText"/>
        <w:ind w:firstLine="630"/>
        <w:rPr>
          <w:szCs w:val="26"/>
        </w:rPr>
      </w:pPr>
      <w:r w:rsidRPr="003872AD">
        <w:rPr>
          <w:szCs w:val="26"/>
        </w:rPr>
        <w:tab/>
      </w:r>
      <w:r w:rsidRPr="003872AD">
        <w:rPr>
          <w:rStyle w:val="FootnoteReference"/>
          <w:szCs w:val="26"/>
        </w:rPr>
        <w:footnoteRef/>
      </w:r>
      <w:r w:rsidRPr="003872AD">
        <w:rPr>
          <w:szCs w:val="26"/>
        </w:rPr>
        <w:t xml:space="preserve"> </w:t>
      </w:r>
      <w:r w:rsidRPr="000C3ED1">
        <w:rPr>
          <w:i/>
          <w:iCs/>
          <w:szCs w:val="26"/>
        </w:rPr>
        <w:t>Id.</w:t>
      </w:r>
      <w:r w:rsidRPr="000C3ED1">
        <w:rPr>
          <w:szCs w:val="26"/>
        </w:rPr>
        <w:t xml:space="preserve"> </w:t>
      </w:r>
      <w:r w:rsidRPr="003872AD">
        <w:rPr>
          <w:szCs w:val="26"/>
        </w:rPr>
        <w:t xml:space="preserve">at 6. </w:t>
      </w:r>
    </w:p>
  </w:footnote>
  <w:footnote w:id="13">
    <w:p w:rsidR="001D073E" w:rsidP="000D570C" w14:paraId="787D3D58" w14:textId="294CBF35">
      <w:pPr>
        <w:pStyle w:val="FootnoteText"/>
        <w:ind w:left="720" w:firstLine="0"/>
      </w:pPr>
      <w:r w:rsidRPr="000D570C">
        <w:rPr>
          <w:rStyle w:val="FootnoteReference"/>
          <w:szCs w:val="26"/>
        </w:rPr>
        <w:footnoteRef/>
      </w:r>
      <w:r w:rsidRPr="000D570C">
        <w:rPr>
          <w:szCs w:val="26"/>
        </w:rPr>
        <w:t xml:space="preserve"> EEI Comments at 1.  </w:t>
      </w:r>
    </w:p>
  </w:footnote>
  <w:footnote w:id="14">
    <w:p w:rsidR="001D073E" w:rsidRPr="003872AD" w:rsidP="000D570C" w14:paraId="69FADFF8" w14:textId="68C10CCE">
      <w:pPr>
        <w:pStyle w:val="FootnoteText"/>
        <w:ind w:left="720" w:firstLine="0"/>
        <w:rPr>
          <w:szCs w:val="26"/>
        </w:rPr>
      </w:pPr>
      <w:r w:rsidRPr="003872AD">
        <w:rPr>
          <w:rStyle w:val="FootnoteReference"/>
          <w:szCs w:val="26"/>
        </w:rPr>
        <w:footnoteRef/>
      </w:r>
      <w:r w:rsidRPr="003872AD">
        <w:rPr>
          <w:szCs w:val="26"/>
        </w:rPr>
        <w:t xml:space="preserve"> </w:t>
      </w:r>
      <w:r w:rsidRPr="003872AD">
        <w:rPr>
          <w:i/>
          <w:iCs/>
          <w:szCs w:val="26"/>
        </w:rPr>
        <w:t>Id.</w:t>
      </w:r>
      <w:r w:rsidRPr="003872AD">
        <w:rPr>
          <w:szCs w:val="26"/>
        </w:rPr>
        <w:t xml:space="preserve"> at 5. </w:t>
      </w:r>
    </w:p>
  </w:footnote>
  <w:footnote w:id="15">
    <w:p w:rsidR="001D073E" w:rsidRPr="003872AD" w:rsidP="000D570C" w14:paraId="55A37785" w14:textId="1C18F6F0">
      <w:pPr>
        <w:pStyle w:val="FootnoteText"/>
        <w:ind w:left="720" w:firstLine="0"/>
        <w:rPr>
          <w:szCs w:val="26"/>
        </w:rPr>
      </w:pPr>
      <w:r w:rsidRPr="003872AD">
        <w:rPr>
          <w:rStyle w:val="FootnoteReference"/>
          <w:szCs w:val="26"/>
        </w:rPr>
        <w:footnoteRef/>
      </w:r>
      <w:r w:rsidRPr="003872AD">
        <w:rPr>
          <w:szCs w:val="26"/>
        </w:rPr>
        <w:t xml:space="preserve"> </w:t>
      </w:r>
      <w:r w:rsidRPr="003872AD">
        <w:rPr>
          <w:i/>
          <w:iCs/>
          <w:szCs w:val="26"/>
        </w:rPr>
        <w:t>Id</w:t>
      </w:r>
      <w:r w:rsidRPr="003872AD">
        <w:rPr>
          <w:szCs w:val="26"/>
        </w:rPr>
        <w:t xml:space="preserve">. </w:t>
      </w:r>
    </w:p>
  </w:footnote>
  <w:footnote w:id="16">
    <w:p w:rsidR="001D073E" w:rsidRPr="0022700E" w:rsidP="00EE1B9B" w14:paraId="1DBB9E32" w14:textId="0B07A56D">
      <w:pPr>
        <w:pStyle w:val="FootnoteText"/>
        <w:tabs>
          <w:tab w:val="left" w:pos="6702"/>
        </w:tabs>
        <w:rPr>
          <w:rStyle w:val="FootnoteReference"/>
          <w:szCs w:val="26"/>
        </w:rPr>
      </w:pPr>
      <w:r w:rsidRPr="0022700E">
        <w:rPr>
          <w:rStyle w:val="FootnoteReference"/>
          <w:szCs w:val="26"/>
        </w:rPr>
        <w:footnoteRef/>
      </w:r>
      <w:r w:rsidRPr="0022700E">
        <w:rPr>
          <w:szCs w:val="26"/>
        </w:rPr>
        <w:t xml:space="preserve"> NERC </w:t>
      </w:r>
      <w:r w:rsidR="00F35D36">
        <w:rPr>
          <w:szCs w:val="26"/>
        </w:rPr>
        <w:t>Answer</w:t>
      </w:r>
      <w:r w:rsidRPr="0022700E">
        <w:rPr>
          <w:szCs w:val="26"/>
        </w:rPr>
        <w:t xml:space="preserve"> at 1. </w:t>
      </w:r>
      <w:r>
        <w:rPr>
          <w:szCs w:val="26"/>
        </w:rPr>
        <w:tab/>
        <w:t xml:space="preserve">  </w:t>
      </w:r>
    </w:p>
  </w:footnote>
  <w:footnote w:id="17">
    <w:p w:rsidR="001D073E" w:rsidRPr="0022700E" w:rsidP="0022700E" w14:paraId="3276550E" w14:textId="172F60B2">
      <w:pPr>
        <w:pStyle w:val="FootnoteText"/>
        <w:ind w:left="720" w:firstLine="0"/>
        <w:rPr>
          <w:rStyle w:val="FootnoteReference"/>
          <w:b w:val="0"/>
          <w:bCs/>
          <w:szCs w:val="26"/>
          <w:vertAlign w:val="baseline"/>
        </w:rPr>
      </w:pPr>
      <w:r w:rsidRPr="0022700E">
        <w:rPr>
          <w:rStyle w:val="FootnoteReference"/>
          <w:szCs w:val="26"/>
        </w:rPr>
        <w:footnoteRef/>
      </w:r>
      <w:r w:rsidRPr="0022700E">
        <w:rPr>
          <w:rStyle w:val="FootnoteReference"/>
          <w:szCs w:val="26"/>
          <w:vertAlign w:val="baseline"/>
        </w:rP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2-3. </w:t>
      </w:r>
    </w:p>
  </w:footnote>
  <w:footnote w:id="18">
    <w:p w:rsidR="001D073E" w14:paraId="554211F7" w14:textId="26755FCB">
      <w:pPr>
        <w:pStyle w:val="FootnoteText"/>
      </w:pPr>
      <w:r>
        <w:rPr>
          <w:rStyle w:val="FootnoteReference"/>
        </w:rPr>
        <w:footnoteRef/>
      </w:r>
      <w: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w:t>
      </w:r>
      <w:r>
        <w:rPr>
          <w:bCs/>
          <w:szCs w:val="26"/>
        </w:rPr>
        <w:t>3</w:t>
      </w:r>
      <w:r>
        <w:rPr>
          <w:rStyle w:val="FootnoteReference"/>
          <w:b w:val="0"/>
          <w:bCs/>
          <w:szCs w:val="26"/>
          <w:vertAlign w:val="baseline"/>
        </w:rPr>
        <w:t xml:space="preserve">-4. </w:t>
      </w:r>
    </w:p>
  </w:footnote>
  <w:footnote w:id="19">
    <w:p w:rsidR="001D073E" w14:paraId="7D1E99CF" w14:textId="7A97FC6C">
      <w:pPr>
        <w:pStyle w:val="FootnoteText"/>
      </w:pPr>
      <w:r>
        <w:rPr>
          <w:rStyle w:val="FootnoteReference"/>
        </w:rPr>
        <w:footnoteRef/>
      </w:r>
      <w: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w:t>
      </w:r>
      <w:r>
        <w:rPr>
          <w:bCs/>
          <w:szCs w:val="26"/>
        </w:rPr>
        <w:t xml:space="preserve">4. </w:t>
      </w:r>
    </w:p>
  </w:footnote>
  <w:footnote w:id="20">
    <w:p w:rsidR="001D073E" w14:paraId="148660E0" w14:textId="3F620038">
      <w:pPr>
        <w:pStyle w:val="FootnoteText"/>
      </w:pPr>
      <w:r>
        <w:rPr>
          <w:rStyle w:val="FootnoteReference"/>
        </w:rPr>
        <w:footnoteRef/>
      </w:r>
      <w:r>
        <w:t xml:space="preserve"> EEI </w:t>
      </w:r>
      <w:r w:rsidR="00F35D36">
        <w:t>Answer</w:t>
      </w:r>
      <w:r>
        <w:t xml:space="preserve"> at 2.</w:t>
      </w:r>
    </w:p>
  </w:footnote>
  <w:footnote w:id="21">
    <w:p w:rsidR="001D073E" w:rsidRPr="00F50259" w14:paraId="3963D08F" w14:textId="1044318B">
      <w:pPr>
        <w:pStyle w:val="FootnoteText"/>
        <w:rPr>
          <w:i/>
          <w:iCs/>
        </w:rPr>
      </w:pPr>
      <w:r>
        <w:rPr>
          <w:rStyle w:val="FootnoteReference"/>
        </w:rPr>
        <w:footnoteRef/>
      </w:r>
      <w:r>
        <w:t xml:space="preserve"> </w:t>
      </w:r>
      <w:r>
        <w:rPr>
          <w:i/>
          <w:iCs/>
        </w:rPr>
        <w:t>Id.</w:t>
      </w:r>
    </w:p>
  </w:footnote>
  <w:footnote w:id="22">
    <w:p w:rsidR="001D073E" w:rsidRPr="00942E65" w:rsidP="007602DE" w14:paraId="29E09F70" w14:textId="49374D23">
      <w:pPr>
        <w:pStyle w:val="FootnoteText"/>
        <w:ind w:left="720" w:firstLine="0"/>
        <w:rPr>
          <w:szCs w:val="26"/>
        </w:rPr>
      </w:pPr>
      <w:r w:rsidRPr="00942E65">
        <w:rPr>
          <w:rStyle w:val="FootnoteReference"/>
          <w:szCs w:val="26"/>
        </w:rPr>
        <w:footnoteRef/>
      </w:r>
      <w:r w:rsidRPr="00942E65">
        <w:rPr>
          <w:szCs w:val="26"/>
        </w:rPr>
        <w:t xml:space="preserve"> </w:t>
      </w:r>
      <w:r w:rsidRPr="00B60E1A">
        <w:rPr>
          <w:i/>
          <w:szCs w:val="26"/>
        </w:rPr>
        <w:t>Id.</w:t>
      </w:r>
      <w:r w:rsidRPr="00942E65">
        <w:rPr>
          <w:szCs w:val="26"/>
        </w:rPr>
        <w:t xml:space="preserve"> at 2-3. </w:t>
      </w:r>
    </w:p>
  </w:footnote>
  <w:footnote w:id="23">
    <w:p w:rsidR="001D073E" w14:paraId="04C03D6C" w14:textId="2DAF31F9">
      <w:pPr>
        <w:pStyle w:val="FootnoteText"/>
      </w:pPr>
      <w:r>
        <w:rPr>
          <w:rStyle w:val="FootnoteReference"/>
        </w:rPr>
        <w:footnoteRef/>
      </w:r>
      <w:r>
        <w:t xml:space="preserve">  </w:t>
      </w:r>
      <w:r w:rsidR="0045400D">
        <w:t xml:space="preserve">NERC </w:t>
      </w:r>
      <w:r>
        <w:t xml:space="preserve">Petition at 7; NERC </w:t>
      </w:r>
      <w:r w:rsidR="00F35D36">
        <w:t>Answer</w:t>
      </w:r>
      <w:r>
        <w:t xml:space="preserve"> at 3. </w:t>
      </w:r>
    </w:p>
  </w:footnote>
  <w:footnote w:id="24">
    <w:p w:rsidR="001D073E" w:rsidP="001740A9" w14:paraId="2A598CFC" w14:textId="741870C3">
      <w:pPr>
        <w:widowControl/>
        <w:rPr>
          <w:rFonts w:eastAsia="Times New Roman"/>
          <w:color w:val="212529"/>
          <w:szCs w:val="26"/>
        </w:rPr>
      </w:pPr>
      <w:r>
        <w:tab/>
      </w:r>
      <w:r w:rsidRPr="001740A9">
        <w:rPr>
          <w:rStyle w:val="FootnoteReference"/>
          <w:szCs w:val="26"/>
        </w:rPr>
        <w:footnoteRef/>
      </w:r>
      <w:r w:rsidRPr="001740A9">
        <w:rPr>
          <w:szCs w:val="26"/>
        </w:rPr>
        <w:t xml:space="preserve"> </w:t>
      </w:r>
      <w:r w:rsidRPr="005E7F9F">
        <w:rPr>
          <w:szCs w:val="26"/>
        </w:rPr>
        <w:t xml:space="preserve">NERC, </w:t>
      </w:r>
      <w:r w:rsidRPr="00062817">
        <w:rPr>
          <w:rFonts w:eastAsia="Times New Roman"/>
          <w:szCs w:val="26"/>
        </w:rPr>
        <w:t>Request of the North American Electric Reliability Corporation to expend funds to develop the ERO Enterprise Secure Evidence Locker</w:t>
      </w:r>
      <w:r w:rsidRPr="005E7F9F">
        <w:rPr>
          <w:rFonts w:eastAsia="Times New Roman"/>
          <w:szCs w:val="26"/>
        </w:rPr>
        <w:t>, Docket No. RR19-8-001, at 4 (</w:t>
      </w:r>
      <w:r>
        <w:rPr>
          <w:rFonts w:eastAsia="Times New Roman"/>
          <w:szCs w:val="26"/>
        </w:rPr>
        <w:t xml:space="preserve">filed </w:t>
      </w:r>
      <w:r w:rsidRPr="005E7F9F">
        <w:rPr>
          <w:rFonts w:eastAsia="Times New Roman"/>
          <w:szCs w:val="26"/>
        </w:rPr>
        <w:t>June 8, 2020)</w:t>
      </w:r>
      <w:r w:rsidR="005C31A4">
        <w:rPr>
          <w:rFonts w:eastAsia="Times New Roman"/>
          <w:szCs w:val="26"/>
        </w:rPr>
        <w:t xml:space="preserve"> (NERC 2020 Filing)</w:t>
      </w:r>
      <w:r>
        <w:rPr>
          <w:rFonts w:eastAsia="Times New Roman"/>
          <w:szCs w:val="26"/>
        </w:rPr>
        <w:t xml:space="preserve">; </w:t>
      </w:r>
      <w:r w:rsidRPr="005E7F9F">
        <w:rPr>
          <w:rFonts w:eastAsia="Times New Roman"/>
          <w:i/>
          <w:iCs/>
          <w:szCs w:val="26"/>
        </w:rPr>
        <w:t>N</w:t>
      </w:r>
      <w:r w:rsidR="005C31A4">
        <w:rPr>
          <w:rFonts w:eastAsia="Times New Roman"/>
          <w:i/>
          <w:iCs/>
          <w:szCs w:val="26"/>
        </w:rPr>
        <w:t>.</w:t>
      </w:r>
      <w:r w:rsidRPr="005E7F9F">
        <w:rPr>
          <w:rFonts w:eastAsia="Times New Roman"/>
          <w:i/>
          <w:iCs/>
          <w:szCs w:val="26"/>
        </w:rPr>
        <w:t xml:space="preserve"> Am</w:t>
      </w:r>
      <w:r w:rsidR="005C31A4">
        <w:rPr>
          <w:rFonts w:eastAsia="Times New Roman"/>
          <w:i/>
          <w:iCs/>
          <w:szCs w:val="26"/>
        </w:rPr>
        <w:t>.</w:t>
      </w:r>
      <w:r w:rsidRPr="005E7F9F">
        <w:rPr>
          <w:rFonts w:eastAsia="Times New Roman"/>
          <w:i/>
          <w:iCs/>
          <w:szCs w:val="26"/>
        </w:rPr>
        <w:t xml:space="preserve"> Elec</w:t>
      </w:r>
      <w:r w:rsidR="005C31A4">
        <w:rPr>
          <w:rFonts w:eastAsia="Times New Roman"/>
          <w:i/>
          <w:iCs/>
          <w:szCs w:val="26"/>
        </w:rPr>
        <w:t>.</w:t>
      </w:r>
      <w:r w:rsidRPr="005E7F9F">
        <w:rPr>
          <w:rFonts w:eastAsia="Times New Roman"/>
          <w:i/>
          <w:iCs/>
          <w:szCs w:val="26"/>
        </w:rPr>
        <w:t xml:space="preserve"> Reliability Corp</w:t>
      </w:r>
      <w:r w:rsidR="005C31A4">
        <w:rPr>
          <w:rFonts w:eastAsia="Times New Roman"/>
          <w:i/>
          <w:iCs/>
          <w:szCs w:val="26"/>
        </w:rPr>
        <w:t>.</w:t>
      </w:r>
      <w:r w:rsidRPr="005E7F9F">
        <w:rPr>
          <w:rFonts w:eastAsia="Times New Roman"/>
          <w:szCs w:val="26"/>
        </w:rPr>
        <w:t>, Docket No. RR19-8-001</w:t>
      </w:r>
      <w:r>
        <w:rPr>
          <w:rFonts w:eastAsia="Times New Roman"/>
          <w:szCs w:val="26"/>
        </w:rPr>
        <w:t xml:space="preserve"> (</w:t>
      </w:r>
      <w:r w:rsidRPr="008A2C94">
        <w:rPr>
          <w:rFonts w:eastAsia="Times New Roman"/>
          <w:szCs w:val="26"/>
        </w:rPr>
        <w:t>June 22, 2020</w:t>
      </w:r>
      <w:r>
        <w:rPr>
          <w:rFonts w:eastAsia="Times New Roman"/>
          <w:szCs w:val="26"/>
        </w:rPr>
        <w:t xml:space="preserve">) (delegated order). </w:t>
      </w:r>
    </w:p>
    <w:p w:rsidR="001D073E" w:rsidP="001740A9" w14:paraId="31E365AC" w14:textId="534572FF">
      <w:pPr>
        <w:widowControl/>
      </w:pPr>
      <w:r>
        <w:t xml:space="preserve"> </w:t>
      </w:r>
    </w:p>
  </w:footnote>
  <w:footnote w:id="25">
    <w:p w:rsidR="001D073E" w14:paraId="0123095D" w14:textId="01088DBF">
      <w:pPr>
        <w:pStyle w:val="FootnoteText"/>
      </w:pPr>
      <w:r>
        <w:rPr>
          <w:rStyle w:val="FootnoteReference"/>
        </w:rPr>
        <w:footnoteRef/>
      </w:r>
      <w:r>
        <w:t xml:space="preserve"> </w:t>
      </w:r>
      <w:r w:rsidR="005C31A4">
        <w:rPr>
          <w:rFonts w:eastAsia="Times New Roman"/>
          <w:szCs w:val="26"/>
        </w:rPr>
        <w:t>NERC 2020 Filing</w:t>
      </w:r>
      <w:r w:rsidRPr="001C7F30" w:rsidR="005C31A4">
        <w:t xml:space="preserve"> </w:t>
      </w:r>
      <w:r>
        <w:t xml:space="preserve">at 5. </w:t>
      </w:r>
    </w:p>
  </w:footnote>
  <w:footnote w:id="26">
    <w:p w:rsidR="001D073E" w:rsidRPr="00F26EB3" w:rsidP="006150AB" w14:paraId="05C9F9C9" w14:textId="403280B3">
      <w:pPr>
        <w:pStyle w:val="FootnoteText"/>
        <w:rPr>
          <w:szCs w:val="26"/>
        </w:rPr>
      </w:pPr>
      <w:r w:rsidRPr="00F26EB3">
        <w:rPr>
          <w:rStyle w:val="FootnoteReference"/>
          <w:szCs w:val="26"/>
        </w:rPr>
        <w:footnoteRef/>
      </w:r>
      <w:r w:rsidRPr="00F26EB3">
        <w:rPr>
          <w:szCs w:val="26"/>
        </w:rPr>
        <w:t xml:space="preserve"> </w:t>
      </w:r>
      <w:r>
        <w:rPr>
          <w:szCs w:val="26"/>
        </w:rPr>
        <w:t xml:space="preserve">NERC </w:t>
      </w:r>
      <w:r w:rsidR="00F35D36">
        <w:rPr>
          <w:szCs w:val="26"/>
        </w:rPr>
        <w:t>Answer</w:t>
      </w:r>
      <w:r>
        <w:rPr>
          <w:szCs w:val="26"/>
        </w:rPr>
        <w:t xml:space="preserve"> at 2. </w:t>
      </w:r>
    </w:p>
  </w:footnote>
  <w:footnote w:id="27">
    <w:p w:rsidR="001D073E" w14:paraId="193921E6" w14:textId="04FB8EEC">
      <w:pPr>
        <w:pStyle w:val="FootnoteText"/>
      </w:pPr>
      <w:r>
        <w:rPr>
          <w:rStyle w:val="FootnoteReference"/>
        </w:rPr>
        <w:footnoteRef/>
      </w:r>
      <w:r>
        <w:t xml:space="preserve"> </w:t>
      </w:r>
      <w:r>
        <w:rPr>
          <w:i/>
          <w:iCs/>
          <w:szCs w:val="26"/>
        </w:rPr>
        <w:t>Id.</w:t>
      </w:r>
      <w:r>
        <w:rPr>
          <w:szCs w:val="26"/>
        </w:rPr>
        <w:t xml:space="preserve"> at 2-3. </w:t>
      </w:r>
    </w:p>
  </w:footnote>
  <w:footnote w:id="28">
    <w:p w:rsidR="001D073E" w:rsidRPr="00942E65" w:rsidP="006150AB" w14:paraId="160C1C33" w14:textId="6C80223A">
      <w:pPr>
        <w:pStyle w:val="FootnoteText"/>
        <w:ind w:left="720" w:firstLine="0"/>
        <w:rPr>
          <w:szCs w:val="26"/>
        </w:rPr>
      </w:pPr>
      <w:r w:rsidRPr="00942E65">
        <w:rPr>
          <w:rStyle w:val="FootnoteReference"/>
          <w:szCs w:val="26"/>
        </w:rPr>
        <w:footnoteRef/>
      </w:r>
      <w:r w:rsidRPr="00942E65">
        <w:rPr>
          <w:szCs w:val="26"/>
        </w:rPr>
        <w:t xml:space="preserve"> </w:t>
      </w:r>
      <w:r w:rsidRPr="00B60E1A">
        <w:rPr>
          <w:i/>
          <w:szCs w:val="26"/>
        </w:rPr>
        <w:t>Id.</w:t>
      </w:r>
    </w:p>
  </w:footnote>
  <w:footnote w:id="29">
    <w:p w:rsidR="001D073E" w:rsidRPr="00841929" w:rsidP="00E14FA9" w14:paraId="6C387EF0" w14:textId="0876CF70">
      <w:pPr>
        <w:pStyle w:val="FootnoteText"/>
        <w:rPr>
          <w:szCs w:val="26"/>
        </w:rPr>
      </w:pPr>
      <w:r w:rsidRPr="00841929">
        <w:rPr>
          <w:rStyle w:val="FootnoteReference"/>
        </w:rPr>
        <w:footnoteRef/>
      </w:r>
      <w:r w:rsidRPr="00841929">
        <w:rPr>
          <w:b/>
          <w:szCs w:val="26"/>
        </w:rPr>
        <w:t xml:space="preserve"> </w:t>
      </w:r>
      <w:r w:rsidRPr="00841929">
        <w:rPr>
          <w:szCs w:val="26"/>
        </w:rPr>
        <w:t>44 U.S.C. 3507(d).</w:t>
      </w:r>
    </w:p>
  </w:footnote>
  <w:footnote w:id="30">
    <w:p w:rsidR="001D073E" w:rsidRPr="00841929" w:rsidP="00E14FA9" w14:paraId="4E6AAFFA" w14:textId="5100B24F">
      <w:pPr>
        <w:pStyle w:val="FootnoteText"/>
        <w:rPr>
          <w:szCs w:val="26"/>
        </w:rPr>
      </w:pPr>
      <w:r w:rsidRPr="00841929">
        <w:rPr>
          <w:rStyle w:val="FootnoteReference"/>
        </w:rPr>
        <w:footnoteRef/>
      </w:r>
      <w:r w:rsidRPr="00841929">
        <w:rPr>
          <w:szCs w:val="26"/>
        </w:rPr>
        <w:t xml:space="preserve"> 5 CFR</w:t>
      </w:r>
      <w:r>
        <w:rPr>
          <w:szCs w:val="26"/>
        </w:rPr>
        <w:t xml:space="preserve"> </w:t>
      </w:r>
      <w:r w:rsidRPr="00841929">
        <w:rPr>
          <w:szCs w:val="26"/>
        </w:rPr>
        <w:t>1320</w:t>
      </w:r>
      <w:r w:rsidR="00062817">
        <w:rPr>
          <w:szCs w:val="26"/>
        </w:rPr>
        <w:t xml:space="preserve"> (2021)</w:t>
      </w:r>
      <w:r w:rsidRPr="00841929">
        <w:rPr>
          <w:szCs w:val="26"/>
        </w:rPr>
        <w:t>.</w:t>
      </w:r>
    </w:p>
  </w:footnote>
  <w:footnote w:id="31">
    <w:p w:rsidR="001D073E" w14:paraId="1023E04A" w14:textId="009D3404">
      <w:pPr>
        <w:pStyle w:val="FootnoteText"/>
      </w:pPr>
      <w:r>
        <w:rPr>
          <w:rStyle w:val="FootnoteReference"/>
        </w:rPr>
        <w:footnoteRef/>
      </w:r>
      <w:r>
        <w:t xml:space="preserve"> </w:t>
      </w:r>
      <w:r w:rsidRPr="00DA3ADF">
        <w:t xml:space="preserve">FERC staff estimates that industry costs for salary plus benefits are </w:t>
      </w:r>
      <w:r w:rsidRPr="00DA3ADF">
        <w:t>similar to</w:t>
      </w:r>
      <w:r w:rsidRPr="00DA3ADF">
        <w:t xml:space="preserve"> Commission costs. The FERC 2021 average salary plus benefits for one FERC full-time equivalent (FTE) is $180,703/year (or $87.00/hour) posted by the Bureau of Labor Statistics for the Utilities sector (available at </w:t>
      </w:r>
      <w:r w:rsidRPr="00154A94">
        <w:t>https://www.bls.gov/oes/current/naics3_221000.htm</w:t>
      </w:r>
      <w:r w:rsidRPr="00DA3ADF">
        <w:t>)</w:t>
      </w:r>
      <w:r>
        <w:t>.</w:t>
      </w:r>
    </w:p>
  </w:footnote>
  <w:footnote w:id="32">
    <w:p w:rsidR="001D073E" w:rsidRPr="00641CC4" w:rsidP="00E14FA9" w14:paraId="6DEDEE26" w14:textId="186CCE80">
      <w:pPr>
        <w:pStyle w:val="FootnoteText"/>
        <w:rPr>
          <w:szCs w:val="26"/>
        </w:rPr>
      </w:pPr>
      <w:r w:rsidRPr="00641CC4">
        <w:rPr>
          <w:rStyle w:val="FootnoteReference"/>
          <w:szCs w:val="26"/>
        </w:rPr>
        <w:footnoteRef/>
      </w:r>
      <w:r w:rsidRPr="00641CC4">
        <w:rPr>
          <w:szCs w:val="26"/>
          <w:vertAlign w:val="superscript"/>
        </w:rPr>
        <w:t xml:space="preserve"> </w:t>
      </w:r>
      <w:r w:rsidRPr="00641CC4">
        <w:rPr>
          <w:szCs w:val="26"/>
        </w:rPr>
        <w:t xml:space="preserve">The total number (344) of transmission owners (326) plus transmission operators (18) not also registered as owners, this represents the unique US entities (taken from data as of May 6,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73E" w:rsidP="00407EE0" w14:paraId="5561D0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1D073E" w:rsidP="00407EE0" w14:paraId="247FD9A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73E" w:rsidP="00885BF7" w14:paraId="6B6ACAF2" w14:textId="4E2A03D9">
    <w:pPr>
      <w:pStyle w:val="Header"/>
      <w:tabs>
        <w:tab w:val="clear" w:pos="4680"/>
      </w:tabs>
      <w:spacing w:after="240"/>
    </w:pPr>
    <w:r>
      <w:t xml:space="preserve">Docket No. RD22-3-000 </w:t>
    </w:r>
    <w:r>
      <w:tab/>
    </w:r>
    <w:r>
      <w:fldChar w:fldCharType="begin"/>
    </w:r>
    <w:r>
      <w:instrText xml:space="preserve"> PAGE  \* MERGEFORMAT </w:instrText>
    </w:r>
    <w:r>
      <w:fldChar w:fldCharType="separate"/>
    </w:r>
    <w:r>
      <w:rPr>
        <w:noProof/>
      </w:rPr>
      <w:t>- 1 -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BA68AFA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FFBEDF4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 w:numId="23">
    <w:abstractNumId w:val="19"/>
    <w:lvlOverride w:ilvl="0">
      <w:startOverride w:val="1"/>
    </w:lvlOverride>
  </w:num>
  <w:num w:numId="24">
    <w:abstractNumId w:val="16"/>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F7"/>
    <w:rsid w:val="00001D08"/>
    <w:rsid w:val="00003340"/>
    <w:rsid w:val="00006F5E"/>
    <w:rsid w:val="0000731D"/>
    <w:rsid w:val="00010C17"/>
    <w:rsid w:val="00010FA6"/>
    <w:rsid w:val="000118C8"/>
    <w:rsid w:val="000143AA"/>
    <w:rsid w:val="00016F9F"/>
    <w:rsid w:val="0002042F"/>
    <w:rsid w:val="0002181D"/>
    <w:rsid w:val="00021D18"/>
    <w:rsid w:val="00022A33"/>
    <w:rsid w:val="00022FDF"/>
    <w:rsid w:val="0002355F"/>
    <w:rsid w:val="00024C99"/>
    <w:rsid w:val="00026815"/>
    <w:rsid w:val="00030CE6"/>
    <w:rsid w:val="000311A4"/>
    <w:rsid w:val="0003382F"/>
    <w:rsid w:val="00034308"/>
    <w:rsid w:val="000411FC"/>
    <w:rsid w:val="00041B93"/>
    <w:rsid w:val="000428C4"/>
    <w:rsid w:val="0004624A"/>
    <w:rsid w:val="0005135D"/>
    <w:rsid w:val="00051756"/>
    <w:rsid w:val="000519AF"/>
    <w:rsid w:val="0005241F"/>
    <w:rsid w:val="000550DC"/>
    <w:rsid w:val="00055F5F"/>
    <w:rsid w:val="0006117F"/>
    <w:rsid w:val="00062732"/>
    <w:rsid w:val="00062817"/>
    <w:rsid w:val="00062CF2"/>
    <w:rsid w:val="000658BA"/>
    <w:rsid w:val="000662E8"/>
    <w:rsid w:val="00067AF0"/>
    <w:rsid w:val="00070857"/>
    <w:rsid w:val="0007377C"/>
    <w:rsid w:val="000752F9"/>
    <w:rsid w:val="0007636C"/>
    <w:rsid w:val="00080B07"/>
    <w:rsid w:val="0008186B"/>
    <w:rsid w:val="0008478C"/>
    <w:rsid w:val="00084A31"/>
    <w:rsid w:val="00086C70"/>
    <w:rsid w:val="00086D98"/>
    <w:rsid w:val="0008778D"/>
    <w:rsid w:val="000905C2"/>
    <w:rsid w:val="00091098"/>
    <w:rsid w:val="00092634"/>
    <w:rsid w:val="00092EB1"/>
    <w:rsid w:val="000951FC"/>
    <w:rsid w:val="0009764E"/>
    <w:rsid w:val="00097C05"/>
    <w:rsid w:val="000A1AB9"/>
    <w:rsid w:val="000A3D2F"/>
    <w:rsid w:val="000A6835"/>
    <w:rsid w:val="000A7A07"/>
    <w:rsid w:val="000B3019"/>
    <w:rsid w:val="000B4124"/>
    <w:rsid w:val="000B72DC"/>
    <w:rsid w:val="000B7E62"/>
    <w:rsid w:val="000C0253"/>
    <w:rsid w:val="000C1FCA"/>
    <w:rsid w:val="000C30FB"/>
    <w:rsid w:val="000C38E5"/>
    <w:rsid w:val="000C3ED1"/>
    <w:rsid w:val="000C4A0B"/>
    <w:rsid w:val="000C6869"/>
    <w:rsid w:val="000D0EE6"/>
    <w:rsid w:val="000D1BA2"/>
    <w:rsid w:val="000D1D4B"/>
    <w:rsid w:val="000D1FB6"/>
    <w:rsid w:val="000D570C"/>
    <w:rsid w:val="000D696B"/>
    <w:rsid w:val="000D739B"/>
    <w:rsid w:val="000D7825"/>
    <w:rsid w:val="000D7DD4"/>
    <w:rsid w:val="000D7E96"/>
    <w:rsid w:val="000E065C"/>
    <w:rsid w:val="000E0857"/>
    <w:rsid w:val="000E1A02"/>
    <w:rsid w:val="000E2BFA"/>
    <w:rsid w:val="000E45C8"/>
    <w:rsid w:val="000F165C"/>
    <w:rsid w:val="000F1B80"/>
    <w:rsid w:val="000F2AF4"/>
    <w:rsid w:val="000F2DC1"/>
    <w:rsid w:val="000F316F"/>
    <w:rsid w:val="000F372C"/>
    <w:rsid w:val="000F603B"/>
    <w:rsid w:val="000F6403"/>
    <w:rsid w:val="000F6C7F"/>
    <w:rsid w:val="00100E1B"/>
    <w:rsid w:val="00101107"/>
    <w:rsid w:val="00102736"/>
    <w:rsid w:val="001028FD"/>
    <w:rsid w:val="0010290F"/>
    <w:rsid w:val="00104F76"/>
    <w:rsid w:val="00111465"/>
    <w:rsid w:val="00112E3F"/>
    <w:rsid w:val="00113A0B"/>
    <w:rsid w:val="00116D3E"/>
    <w:rsid w:val="0011708C"/>
    <w:rsid w:val="00117EA5"/>
    <w:rsid w:val="00120603"/>
    <w:rsid w:val="001209EF"/>
    <w:rsid w:val="001236E4"/>
    <w:rsid w:val="00124320"/>
    <w:rsid w:val="00124C66"/>
    <w:rsid w:val="0012713F"/>
    <w:rsid w:val="00127478"/>
    <w:rsid w:val="001279B9"/>
    <w:rsid w:val="00130CCE"/>
    <w:rsid w:val="00132D57"/>
    <w:rsid w:val="001347E1"/>
    <w:rsid w:val="00136368"/>
    <w:rsid w:val="0014118E"/>
    <w:rsid w:val="001421AA"/>
    <w:rsid w:val="00146074"/>
    <w:rsid w:val="00146A50"/>
    <w:rsid w:val="001520D4"/>
    <w:rsid w:val="001538DF"/>
    <w:rsid w:val="001548C8"/>
    <w:rsid w:val="001549DE"/>
    <w:rsid w:val="00154A94"/>
    <w:rsid w:val="00154C7A"/>
    <w:rsid w:val="00160002"/>
    <w:rsid w:val="00164446"/>
    <w:rsid w:val="00164DEC"/>
    <w:rsid w:val="0016531B"/>
    <w:rsid w:val="00165EE9"/>
    <w:rsid w:val="001740A9"/>
    <w:rsid w:val="00175B19"/>
    <w:rsid w:val="0017696A"/>
    <w:rsid w:val="0017701D"/>
    <w:rsid w:val="00181EC4"/>
    <w:rsid w:val="001823C5"/>
    <w:rsid w:val="0018758C"/>
    <w:rsid w:val="00190915"/>
    <w:rsid w:val="00191617"/>
    <w:rsid w:val="0019292E"/>
    <w:rsid w:val="00192F14"/>
    <w:rsid w:val="001951BE"/>
    <w:rsid w:val="001960DD"/>
    <w:rsid w:val="001978E2"/>
    <w:rsid w:val="001A0506"/>
    <w:rsid w:val="001A2AF1"/>
    <w:rsid w:val="001A33D6"/>
    <w:rsid w:val="001A563A"/>
    <w:rsid w:val="001A7C28"/>
    <w:rsid w:val="001B042B"/>
    <w:rsid w:val="001B1FE9"/>
    <w:rsid w:val="001B2C6D"/>
    <w:rsid w:val="001B2DF9"/>
    <w:rsid w:val="001B362D"/>
    <w:rsid w:val="001B4FB2"/>
    <w:rsid w:val="001B704A"/>
    <w:rsid w:val="001C1F47"/>
    <w:rsid w:val="001C2FBB"/>
    <w:rsid w:val="001C31E0"/>
    <w:rsid w:val="001C4EC7"/>
    <w:rsid w:val="001C6713"/>
    <w:rsid w:val="001C7F30"/>
    <w:rsid w:val="001D073E"/>
    <w:rsid w:val="001D174E"/>
    <w:rsid w:val="001D1E80"/>
    <w:rsid w:val="001D264B"/>
    <w:rsid w:val="001D384E"/>
    <w:rsid w:val="001D3B0D"/>
    <w:rsid w:val="001D7927"/>
    <w:rsid w:val="001E59F9"/>
    <w:rsid w:val="001E7A8F"/>
    <w:rsid w:val="001F51A0"/>
    <w:rsid w:val="001F5824"/>
    <w:rsid w:val="001F5CC6"/>
    <w:rsid w:val="001F5D17"/>
    <w:rsid w:val="001F60C7"/>
    <w:rsid w:val="001F78D5"/>
    <w:rsid w:val="002016D6"/>
    <w:rsid w:val="00202BC3"/>
    <w:rsid w:val="00203911"/>
    <w:rsid w:val="00203C1A"/>
    <w:rsid w:val="002041E0"/>
    <w:rsid w:val="00204707"/>
    <w:rsid w:val="00206764"/>
    <w:rsid w:val="002068EF"/>
    <w:rsid w:val="00207142"/>
    <w:rsid w:val="002072CF"/>
    <w:rsid w:val="00211765"/>
    <w:rsid w:val="0021222D"/>
    <w:rsid w:val="00212879"/>
    <w:rsid w:val="00212894"/>
    <w:rsid w:val="0021303C"/>
    <w:rsid w:val="002136E7"/>
    <w:rsid w:val="0021744D"/>
    <w:rsid w:val="002206DB"/>
    <w:rsid w:val="0022182D"/>
    <w:rsid w:val="00224859"/>
    <w:rsid w:val="002250BB"/>
    <w:rsid w:val="0022522F"/>
    <w:rsid w:val="00225A12"/>
    <w:rsid w:val="002261B3"/>
    <w:rsid w:val="0022700E"/>
    <w:rsid w:val="00227D72"/>
    <w:rsid w:val="002318B6"/>
    <w:rsid w:val="00233CEF"/>
    <w:rsid w:val="00233FD0"/>
    <w:rsid w:val="002352B0"/>
    <w:rsid w:val="002354E4"/>
    <w:rsid w:val="00237F43"/>
    <w:rsid w:val="00240493"/>
    <w:rsid w:val="00241C44"/>
    <w:rsid w:val="002439E0"/>
    <w:rsid w:val="002464E8"/>
    <w:rsid w:val="00253776"/>
    <w:rsid w:val="00255417"/>
    <w:rsid w:val="00257989"/>
    <w:rsid w:val="00257AC8"/>
    <w:rsid w:val="00260517"/>
    <w:rsid w:val="00260D25"/>
    <w:rsid w:val="00262FED"/>
    <w:rsid w:val="002632DF"/>
    <w:rsid w:val="00263AF1"/>
    <w:rsid w:val="00266A70"/>
    <w:rsid w:val="00266BF3"/>
    <w:rsid w:val="00267328"/>
    <w:rsid w:val="00274963"/>
    <w:rsid w:val="00275BCA"/>
    <w:rsid w:val="00276AEB"/>
    <w:rsid w:val="002817CE"/>
    <w:rsid w:val="00283AA6"/>
    <w:rsid w:val="00283BC9"/>
    <w:rsid w:val="0028432C"/>
    <w:rsid w:val="00284E46"/>
    <w:rsid w:val="00285652"/>
    <w:rsid w:val="002857E2"/>
    <w:rsid w:val="002870A9"/>
    <w:rsid w:val="00290ABD"/>
    <w:rsid w:val="002924E1"/>
    <w:rsid w:val="00293D46"/>
    <w:rsid w:val="00295640"/>
    <w:rsid w:val="00295DFE"/>
    <w:rsid w:val="00297034"/>
    <w:rsid w:val="002A0B4A"/>
    <w:rsid w:val="002A34C1"/>
    <w:rsid w:val="002A3FDE"/>
    <w:rsid w:val="002A5C43"/>
    <w:rsid w:val="002A729E"/>
    <w:rsid w:val="002A72B7"/>
    <w:rsid w:val="002A7FB5"/>
    <w:rsid w:val="002B262D"/>
    <w:rsid w:val="002B35F2"/>
    <w:rsid w:val="002B6125"/>
    <w:rsid w:val="002B7978"/>
    <w:rsid w:val="002C2816"/>
    <w:rsid w:val="002C2C88"/>
    <w:rsid w:val="002C3B13"/>
    <w:rsid w:val="002C57E5"/>
    <w:rsid w:val="002C6F39"/>
    <w:rsid w:val="002C7704"/>
    <w:rsid w:val="002D1528"/>
    <w:rsid w:val="002D206A"/>
    <w:rsid w:val="002D358E"/>
    <w:rsid w:val="002D65B3"/>
    <w:rsid w:val="002D7235"/>
    <w:rsid w:val="002D7D6B"/>
    <w:rsid w:val="002E1631"/>
    <w:rsid w:val="002E2D8D"/>
    <w:rsid w:val="002E4E8A"/>
    <w:rsid w:val="002E515D"/>
    <w:rsid w:val="002E5296"/>
    <w:rsid w:val="002E7D40"/>
    <w:rsid w:val="002E7FF8"/>
    <w:rsid w:val="002F1BD4"/>
    <w:rsid w:val="002F2E7A"/>
    <w:rsid w:val="002F52A9"/>
    <w:rsid w:val="002F59CF"/>
    <w:rsid w:val="002F6A89"/>
    <w:rsid w:val="002F7991"/>
    <w:rsid w:val="00301657"/>
    <w:rsid w:val="00301D68"/>
    <w:rsid w:val="003031DA"/>
    <w:rsid w:val="00304FD1"/>
    <w:rsid w:val="00311B84"/>
    <w:rsid w:val="00312651"/>
    <w:rsid w:val="00313634"/>
    <w:rsid w:val="00314141"/>
    <w:rsid w:val="00317D60"/>
    <w:rsid w:val="003224DF"/>
    <w:rsid w:val="00322F05"/>
    <w:rsid w:val="00323E80"/>
    <w:rsid w:val="00324F79"/>
    <w:rsid w:val="00327401"/>
    <w:rsid w:val="00331BB9"/>
    <w:rsid w:val="003346EB"/>
    <w:rsid w:val="00335933"/>
    <w:rsid w:val="003370E4"/>
    <w:rsid w:val="00341B5D"/>
    <w:rsid w:val="003437BD"/>
    <w:rsid w:val="00343D67"/>
    <w:rsid w:val="003478CF"/>
    <w:rsid w:val="00350E98"/>
    <w:rsid w:val="00350FC8"/>
    <w:rsid w:val="003520AD"/>
    <w:rsid w:val="00354780"/>
    <w:rsid w:val="00356733"/>
    <w:rsid w:val="00356DA4"/>
    <w:rsid w:val="003608E7"/>
    <w:rsid w:val="00360AA1"/>
    <w:rsid w:val="00364E6F"/>
    <w:rsid w:val="0036500A"/>
    <w:rsid w:val="00365555"/>
    <w:rsid w:val="00370009"/>
    <w:rsid w:val="00374532"/>
    <w:rsid w:val="00374868"/>
    <w:rsid w:val="00375DF4"/>
    <w:rsid w:val="00376313"/>
    <w:rsid w:val="00377D6A"/>
    <w:rsid w:val="00380EDA"/>
    <w:rsid w:val="00383004"/>
    <w:rsid w:val="003830CE"/>
    <w:rsid w:val="00383200"/>
    <w:rsid w:val="003853DE"/>
    <w:rsid w:val="00385E2D"/>
    <w:rsid w:val="003872AD"/>
    <w:rsid w:val="0039262E"/>
    <w:rsid w:val="003931C0"/>
    <w:rsid w:val="003937F3"/>
    <w:rsid w:val="003950EB"/>
    <w:rsid w:val="003957AD"/>
    <w:rsid w:val="003976E3"/>
    <w:rsid w:val="003A15D6"/>
    <w:rsid w:val="003A5145"/>
    <w:rsid w:val="003A70CD"/>
    <w:rsid w:val="003B2445"/>
    <w:rsid w:val="003B6A5F"/>
    <w:rsid w:val="003B7D94"/>
    <w:rsid w:val="003B7E9A"/>
    <w:rsid w:val="003B7F05"/>
    <w:rsid w:val="003C028F"/>
    <w:rsid w:val="003C1924"/>
    <w:rsid w:val="003C31A0"/>
    <w:rsid w:val="003C3A1E"/>
    <w:rsid w:val="003C4E78"/>
    <w:rsid w:val="003C505B"/>
    <w:rsid w:val="003C598E"/>
    <w:rsid w:val="003C6F0F"/>
    <w:rsid w:val="003C71CF"/>
    <w:rsid w:val="003C789D"/>
    <w:rsid w:val="003D4A56"/>
    <w:rsid w:val="003D5827"/>
    <w:rsid w:val="003D6552"/>
    <w:rsid w:val="003D7B2C"/>
    <w:rsid w:val="003E07FC"/>
    <w:rsid w:val="003E1917"/>
    <w:rsid w:val="003E21AC"/>
    <w:rsid w:val="003E259A"/>
    <w:rsid w:val="003E35E1"/>
    <w:rsid w:val="003E475E"/>
    <w:rsid w:val="003E5211"/>
    <w:rsid w:val="003E7D83"/>
    <w:rsid w:val="003F0754"/>
    <w:rsid w:val="003F31D2"/>
    <w:rsid w:val="003F3716"/>
    <w:rsid w:val="003F3DC0"/>
    <w:rsid w:val="003F4845"/>
    <w:rsid w:val="003F4DBE"/>
    <w:rsid w:val="003F557E"/>
    <w:rsid w:val="003F7CC5"/>
    <w:rsid w:val="00400A88"/>
    <w:rsid w:val="00400D68"/>
    <w:rsid w:val="00400FA0"/>
    <w:rsid w:val="00401A63"/>
    <w:rsid w:val="004027A3"/>
    <w:rsid w:val="004067AD"/>
    <w:rsid w:val="00407EE0"/>
    <w:rsid w:val="004115A9"/>
    <w:rsid w:val="00414806"/>
    <w:rsid w:val="00416C9B"/>
    <w:rsid w:val="004203D1"/>
    <w:rsid w:val="00422245"/>
    <w:rsid w:val="00424B78"/>
    <w:rsid w:val="004335E8"/>
    <w:rsid w:val="00435183"/>
    <w:rsid w:val="00436A3E"/>
    <w:rsid w:val="00440D78"/>
    <w:rsid w:val="00441A2A"/>
    <w:rsid w:val="00441CE6"/>
    <w:rsid w:val="004420F6"/>
    <w:rsid w:val="0044359A"/>
    <w:rsid w:val="00444F65"/>
    <w:rsid w:val="00445B8C"/>
    <w:rsid w:val="004476C6"/>
    <w:rsid w:val="0045130C"/>
    <w:rsid w:val="00453578"/>
    <w:rsid w:val="0045400D"/>
    <w:rsid w:val="00454A58"/>
    <w:rsid w:val="00455214"/>
    <w:rsid w:val="00456136"/>
    <w:rsid w:val="00456D5A"/>
    <w:rsid w:val="004612D9"/>
    <w:rsid w:val="0046133D"/>
    <w:rsid w:val="00467D00"/>
    <w:rsid w:val="00472C9B"/>
    <w:rsid w:val="00473A5E"/>
    <w:rsid w:val="00475574"/>
    <w:rsid w:val="004758A9"/>
    <w:rsid w:val="00475E2C"/>
    <w:rsid w:val="00476273"/>
    <w:rsid w:val="00476D53"/>
    <w:rsid w:val="00477399"/>
    <w:rsid w:val="0048020B"/>
    <w:rsid w:val="004864DA"/>
    <w:rsid w:val="00486C2F"/>
    <w:rsid w:val="004872BC"/>
    <w:rsid w:val="004874A4"/>
    <w:rsid w:val="00487854"/>
    <w:rsid w:val="004914FF"/>
    <w:rsid w:val="0049195E"/>
    <w:rsid w:val="004920B7"/>
    <w:rsid w:val="004939F3"/>
    <w:rsid w:val="00494355"/>
    <w:rsid w:val="00494945"/>
    <w:rsid w:val="00495E07"/>
    <w:rsid w:val="00497F70"/>
    <w:rsid w:val="004A03E5"/>
    <w:rsid w:val="004A3AA3"/>
    <w:rsid w:val="004A503D"/>
    <w:rsid w:val="004A727D"/>
    <w:rsid w:val="004B04B8"/>
    <w:rsid w:val="004B141F"/>
    <w:rsid w:val="004B4A8D"/>
    <w:rsid w:val="004B68F1"/>
    <w:rsid w:val="004C0E28"/>
    <w:rsid w:val="004C190E"/>
    <w:rsid w:val="004C456B"/>
    <w:rsid w:val="004C4D5F"/>
    <w:rsid w:val="004C75EE"/>
    <w:rsid w:val="004D35E8"/>
    <w:rsid w:val="004D4BC3"/>
    <w:rsid w:val="004D5269"/>
    <w:rsid w:val="004D614C"/>
    <w:rsid w:val="004D7390"/>
    <w:rsid w:val="004E1DAE"/>
    <w:rsid w:val="004E25A6"/>
    <w:rsid w:val="004F296D"/>
    <w:rsid w:val="004F5759"/>
    <w:rsid w:val="004F6475"/>
    <w:rsid w:val="0050001C"/>
    <w:rsid w:val="005025A9"/>
    <w:rsid w:val="005047DF"/>
    <w:rsid w:val="00513E14"/>
    <w:rsid w:val="0051475D"/>
    <w:rsid w:val="005154C1"/>
    <w:rsid w:val="005162AB"/>
    <w:rsid w:val="00517E32"/>
    <w:rsid w:val="00521122"/>
    <w:rsid w:val="005212E0"/>
    <w:rsid w:val="0052351B"/>
    <w:rsid w:val="00523BF9"/>
    <w:rsid w:val="005267BE"/>
    <w:rsid w:val="00531194"/>
    <w:rsid w:val="00534B8F"/>
    <w:rsid w:val="0053593F"/>
    <w:rsid w:val="005360F1"/>
    <w:rsid w:val="00536C47"/>
    <w:rsid w:val="00541146"/>
    <w:rsid w:val="00542814"/>
    <w:rsid w:val="00545CC2"/>
    <w:rsid w:val="00546238"/>
    <w:rsid w:val="00547534"/>
    <w:rsid w:val="00547ACF"/>
    <w:rsid w:val="00547D3F"/>
    <w:rsid w:val="005519C7"/>
    <w:rsid w:val="00552271"/>
    <w:rsid w:val="00552A11"/>
    <w:rsid w:val="005577D9"/>
    <w:rsid w:val="00561DA8"/>
    <w:rsid w:val="00562CB2"/>
    <w:rsid w:val="00564BFA"/>
    <w:rsid w:val="00567551"/>
    <w:rsid w:val="00571D6D"/>
    <w:rsid w:val="0057256D"/>
    <w:rsid w:val="00572F46"/>
    <w:rsid w:val="00574A02"/>
    <w:rsid w:val="00576731"/>
    <w:rsid w:val="00576A54"/>
    <w:rsid w:val="00577DC6"/>
    <w:rsid w:val="005816F4"/>
    <w:rsid w:val="00581BDF"/>
    <w:rsid w:val="00583257"/>
    <w:rsid w:val="00585174"/>
    <w:rsid w:val="00587B99"/>
    <w:rsid w:val="0059038C"/>
    <w:rsid w:val="00591D3D"/>
    <w:rsid w:val="005921E2"/>
    <w:rsid w:val="00592FE5"/>
    <w:rsid w:val="00593114"/>
    <w:rsid w:val="005941E5"/>
    <w:rsid w:val="00594DCD"/>
    <w:rsid w:val="00594E87"/>
    <w:rsid w:val="005950E5"/>
    <w:rsid w:val="00596395"/>
    <w:rsid w:val="00597309"/>
    <w:rsid w:val="005A1772"/>
    <w:rsid w:val="005A4CD3"/>
    <w:rsid w:val="005A6F7C"/>
    <w:rsid w:val="005B132F"/>
    <w:rsid w:val="005B15EB"/>
    <w:rsid w:val="005B18B2"/>
    <w:rsid w:val="005B38FB"/>
    <w:rsid w:val="005B40A6"/>
    <w:rsid w:val="005B6CDD"/>
    <w:rsid w:val="005C0180"/>
    <w:rsid w:val="005C01B7"/>
    <w:rsid w:val="005C31A4"/>
    <w:rsid w:val="005D003F"/>
    <w:rsid w:val="005D182D"/>
    <w:rsid w:val="005D2A79"/>
    <w:rsid w:val="005D3004"/>
    <w:rsid w:val="005D3D33"/>
    <w:rsid w:val="005D3D39"/>
    <w:rsid w:val="005D426C"/>
    <w:rsid w:val="005D5C85"/>
    <w:rsid w:val="005D5FAD"/>
    <w:rsid w:val="005D60DF"/>
    <w:rsid w:val="005D7507"/>
    <w:rsid w:val="005D787E"/>
    <w:rsid w:val="005D7C39"/>
    <w:rsid w:val="005D7EA9"/>
    <w:rsid w:val="005E13DF"/>
    <w:rsid w:val="005E34F1"/>
    <w:rsid w:val="005E387D"/>
    <w:rsid w:val="005E3B75"/>
    <w:rsid w:val="005E3D15"/>
    <w:rsid w:val="005E4C65"/>
    <w:rsid w:val="005E4DA4"/>
    <w:rsid w:val="005E6BB3"/>
    <w:rsid w:val="005E7F9F"/>
    <w:rsid w:val="005F2946"/>
    <w:rsid w:val="005F34C6"/>
    <w:rsid w:val="005F3AAD"/>
    <w:rsid w:val="005F4318"/>
    <w:rsid w:val="005F44E5"/>
    <w:rsid w:val="005F4B61"/>
    <w:rsid w:val="005F4F04"/>
    <w:rsid w:val="005F4F8E"/>
    <w:rsid w:val="005F54A4"/>
    <w:rsid w:val="005F71D1"/>
    <w:rsid w:val="0060035F"/>
    <w:rsid w:val="00602C3E"/>
    <w:rsid w:val="00605CBF"/>
    <w:rsid w:val="0060657A"/>
    <w:rsid w:val="00607205"/>
    <w:rsid w:val="006074E4"/>
    <w:rsid w:val="006112D1"/>
    <w:rsid w:val="006112FA"/>
    <w:rsid w:val="00611365"/>
    <w:rsid w:val="00611BEA"/>
    <w:rsid w:val="00612615"/>
    <w:rsid w:val="006146EA"/>
    <w:rsid w:val="006150AB"/>
    <w:rsid w:val="006177F8"/>
    <w:rsid w:val="00620205"/>
    <w:rsid w:val="00622D42"/>
    <w:rsid w:val="00622F63"/>
    <w:rsid w:val="00623402"/>
    <w:rsid w:val="00624B34"/>
    <w:rsid w:val="0062541C"/>
    <w:rsid w:val="00625B93"/>
    <w:rsid w:val="00626AD6"/>
    <w:rsid w:val="00627E09"/>
    <w:rsid w:val="006308E9"/>
    <w:rsid w:val="00632DA2"/>
    <w:rsid w:val="00633563"/>
    <w:rsid w:val="006335F2"/>
    <w:rsid w:val="00636271"/>
    <w:rsid w:val="00641CC4"/>
    <w:rsid w:val="00643C5A"/>
    <w:rsid w:val="0064499C"/>
    <w:rsid w:val="006502FA"/>
    <w:rsid w:val="006509C6"/>
    <w:rsid w:val="00653D8D"/>
    <w:rsid w:val="00653FBD"/>
    <w:rsid w:val="00655A79"/>
    <w:rsid w:val="00655BAA"/>
    <w:rsid w:val="00655D3F"/>
    <w:rsid w:val="00660A80"/>
    <w:rsid w:val="00665914"/>
    <w:rsid w:val="00667B22"/>
    <w:rsid w:val="006710C1"/>
    <w:rsid w:val="006728F2"/>
    <w:rsid w:val="0067304E"/>
    <w:rsid w:val="00673336"/>
    <w:rsid w:val="006745E5"/>
    <w:rsid w:val="00675B3F"/>
    <w:rsid w:val="006771BD"/>
    <w:rsid w:val="00677A0E"/>
    <w:rsid w:val="00681181"/>
    <w:rsid w:val="00682099"/>
    <w:rsid w:val="00685A22"/>
    <w:rsid w:val="00694F3D"/>
    <w:rsid w:val="006963A5"/>
    <w:rsid w:val="006A099C"/>
    <w:rsid w:val="006A18B6"/>
    <w:rsid w:val="006A1EDC"/>
    <w:rsid w:val="006A20A0"/>
    <w:rsid w:val="006A3537"/>
    <w:rsid w:val="006A4342"/>
    <w:rsid w:val="006A51E6"/>
    <w:rsid w:val="006A5B0F"/>
    <w:rsid w:val="006A5ED6"/>
    <w:rsid w:val="006A5FF3"/>
    <w:rsid w:val="006A6F15"/>
    <w:rsid w:val="006A7A35"/>
    <w:rsid w:val="006B20EE"/>
    <w:rsid w:val="006B4826"/>
    <w:rsid w:val="006B5B8D"/>
    <w:rsid w:val="006B6631"/>
    <w:rsid w:val="006C1614"/>
    <w:rsid w:val="006C1D8C"/>
    <w:rsid w:val="006C2954"/>
    <w:rsid w:val="006C51D5"/>
    <w:rsid w:val="006C719C"/>
    <w:rsid w:val="006D1E49"/>
    <w:rsid w:val="006D355D"/>
    <w:rsid w:val="006D432E"/>
    <w:rsid w:val="006D5B0E"/>
    <w:rsid w:val="006E0826"/>
    <w:rsid w:val="006E1CF4"/>
    <w:rsid w:val="006E4894"/>
    <w:rsid w:val="006E4C81"/>
    <w:rsid w:val="006E6044"/>
    <w:rsid w:val="006E7B05"/>
    <w:rsid w:val="006F0526"/>
    <w:rsid w:val="006F0A11"/>
    <w:rsid w:val="006F0AFA"/>
    <w:rsid w:val="006F0F90"/>
    <w:rsid w:val="006F1B52"/>
    <w:rsid w:val="006F27A6"/>
    <w:rsid w:val="006F39A4"/>
    <w:rsid w:val="006F42DE"/>
    <w:rsid w:val="006F5A0A"/>
    <w:rsid w:val="00701E64"/>
    <w:rsid w:val="00705B33"/>
    <w:rsid w:val="0070615E"/>
    <w:rsid w:val="00706C4B"/>
    <w:rsid w:val="00710A58"/>
    <w:rsid w:val="007116AC"/>
    <w:rsid w:val="007124A2"/>
    <w:rsid w:val="007133ED"/>
    <w:rsid w:val="00713D35"/>
    <w:rsid w:val="00715D4A"/>
    <w:rsid w:val="007230D6"/>
    <w:rsid w:val="00723636"/>
    <w:rsid w:val="00723E4B"/>
    <w:rsid w:val="00724553"/>
    <w:rsid w:val="0072563F"/>
    <w:rsid w:val="00730AE6"/>
    <w:rsid w:val="00730E3E"/>
    <w:rsid w:val="00732CFA"/>
    <w:rsid w:val="00732E2C"/>
    <w:rsid w:val="00733398"/>
    <w:rsid w:val="007333A6"/>
    <w:rsid w:val="00734468"/>
    <w:rsid w:val="00735ECF"/>
    <w:rsid w:val="007368A2"/>
    <w:rsid w:val="00736DE9"/>
    <w:rsid w:val="0074129E"/>
    <w:rsid w:val="00742439"/>
    <w:rsid w:val="00743A10"/>
    <w:rsid w:val="007465A9"/>
    <w:rsid w:val="00754A0D"/>
    <w:rsid w:val="007552C1"/>
    <w:rsid w:val="007562E2"/>
    <w:rsid w:val="007577C2"/>
    <w:rsid w:val="007602DE"/>
    <w:rsid w:val="00760A27"/>
    <w:rsid w:val="00762F2B"/>
    <w:rsid w:val="0076328E"/>
    <w:rsid w:val="0076561E"/>
    <w:rsid w:val="00765E1F"/>
    <w:rsid w:val="007661B0"/>
    <w:rsid w:val="00767DB4"/>
    <w:rsid w:val="00770A65"/>
    <w:rsid w:val="00773353"/>
    <w:rsid w:val="00780A45"/>
    <w:rsid w:val="00783842"/>
    <w:rsid w:val="007876E3"/>
    <w:rsid w:val="00790F91"/>
    <w:rsid w:val="007910CB"/>
    <w:rsid w:val="007928AD"/>
    <w:rsid w:val="00794724"/>
    <w:rsid w:val="00795314"/>
    <w:rsid w:val="007A0174"/>
    <w:rsid w:val="007A0686"/>
    <w:rsid w:val="007A0BB2"/>
    <w:rsid w:val="007A0DCA"/>
    <w:rsid w:val="007A5131"/>
    <w:rsid w:val="007A5EA6"/>
    <w:rsid w:val="007B4019"/>
    <w:rsid w:val="007B66A0"/>
    <w:rsid w:val="007B6E4E"/>
    <w:rsid w:val="007B6FCE"/>
    <w:rsid w:val="007B71E9"/>
    <w:rsid w:val="007C1702"/>
    <w:rsid w:val="007C322D"/>
    <w:rsid w:val="007C41D1"/>
    <w:rsid w:val="007C4498"/>
    <w:rsid w:val="007C48C7"/>
    <w:rsid w:val="007C4E83"/>
    <w:rsid w:val="007C69D6"/>
    <w:rsid w:val="007C7FAB"/>
    <w:rsid w:val="007D2CEB"/>
    <w:rsid w:val="007D3591"/>
    <w:rsid w:val="007D3B73"/>
    <w:rsid w:val="007D6683"/>
    <w:rsid w:val="007D7A50"/>
    <w:rsid w:val="007E2094"/>
    <w:rsid w:val="007E3800"/>
    <w:rsid w:val="007E5B24"/>
    <w:rsid w:val="007E6167"/>
    <w:rsid w:val="007E74C5"/>
    <w:rsid w:val="007F0025"/>
    <w:rsid w:val="007F0E34"/>
    <w:rsid w:val="007F14A0"/>
    <w:rsid w:val="007F32C6"/>
    <w:rsid w:val="007F4C9C"/>
    <w:rsid w:val="007F6368"/>
    <w:rsid w:val="007F7B7F"/>
    <w:rsid w:val="008017CB"/>
    <w:rsid w:val="00801AAC"/>
    <w:rsid w:val="008043DE"/>
    <w:rsid w:val="0080498D"/>
    <w:rsid w:val="0080606A"/>
    <w:rsid w:val="008065F0"/>
    <w:rsid w:val="00807A97"/>
    <w:rsid w:val="00807C2F"/>
    <w:rsid w:val="00810236"/>
    <w:rsid w:val="00810B67"/>
    <w:rsid w:val="008129C6"/>
    <w:rsid w:val="00812E0A"/>
    <w:rsid w:val="0081352B"/>
    <w:rsid w:val="00813C75"/>
    <w:rsid w:val="008140C1"/>
    <w:rsid w:val="00814514"/>
    <w:rsid w:val="0081767B"/>
    <w:rsid w:val="008217F4"/>
    <w:rsid w:val="008226E5"/>
    <w:rsid w:val="008237E2"/>
    <w:rsid w:val="008255E4"/>
    <w:rsid w:val="00825A81"/>
    <w:rsid w:val="00826CEC"/>
    <w:rsid w:val="00827BAD"/>
    <w:rsid w:val="00830639"/>
    <w:rsid w:val="008309C9"/>
    <w:rsid w:val="00830BC7"/>
    <w:rsid w:val="008333C5"/>
    <w:rsid w:val="008335E3"/>
    <w:rsid w:val="00833BCD"/>
    <w:rsid w:val="008346BB"/>
    <w:rsid w:val="00834DCB"/>
    <w:rsid w:val="00836000"/>
    <w:rsid w:val="00836673"/>
    <w:rsid w:val="00840C01"/>
    <w:rsid w:val="00840C42"/>
    <w:rsid w:val="0084167C"/>
    <w:rsid w:val="00841929"/>
    <w:rsid w:val="00841CFE"/>
    <w:rsid w:val="008424BE"/>
    <w:rsid w:val="00844F10"/>
    <w:rsid w:val="00845001"/>
    <w:rsid w:val="00845186"/>
    <w:rsid w:val="00845BBC"/>
    <w:rsid w:val="00846723"/>
    <w:rsid w:val="00847F2B"/>
    <w:rsid w:val="00850048"/>
    <w:rsid w:val="008513D8"/>
    <w:rsid w:val="00851EC5"/>
    <w:rsid w:val="00852C25"/>
    <w:rsid w:val="00855D43"/>
    <w:rsid w:val="008560DC"/>
    <w:rsid w:val="008561D7"/>
    <w:rsid w:val="0085763E"/>
    <w:rsid w:val="008607B4"/>
    <w:rsid w:val="00860B22"/>
    <w:rsid w:val="00861074"/>
    <w:rsid w:val="008636FC"/>
    <w:rsid w:val="00863DB6"/>
    <w:rsid w:val="00864B43"/>
    <w:rsid w:val="00870368"/>
    <w:rsid w:val="00871164"/>
    <w:rsid w:val="00873BC6"/>
    <w:rsid w:val="008743AB"/>
    <w:rsid w:val="00874FB1"/>
    <w:rsid w:val="008771F4"/>
    <w:rsid w:val="00880902"/>
    <w:rsid w:val="00881056"/>
    <w:rsid w:val="00881B45"/>
    <w:rsid w:val="00881E3C"/>
    <w:rsid w:val="00885470"/>
    <w:rsid w:val="00885BF7"/>
    <w:rsid w:val="0088740E"/>
    <w:rsid w:val="0089056D"/>
    <w:rsid w:val="00891234"/>
    <w:rsid w:val="00892512"/>
    <w:rsid w:val="00892A4E"/>
    <w:rsid w:val="00894A27"/>
    <w:rsid w:val="00895852"/>
    <w:rsid w:val="00896A4C"/>
    <w:rsid w:val="00896EBA"/>
    <w:rsid w:val="0089797F"/>
    <w:rsid w:val="008A010F"/>
    <w:rsid w:val="008A03CD"/>
    <w:rsid w:val="008A1C44"/>
    <w:rsid w:val="008A23C9"/>
    <w:rsid w:val="008A2C94"/>
    <w:rsid w:val="008A39F8"/>
    <w:rsid w:val="008B0B3A"/>
    <w:rsid w:val="008B19AC"/>
    <w:rsid w:val="008B32A9"/>
    <w:rsid w:val="008C0083"/>
    <w:rsid w:val="008C2EDB"/>
    <w:rsid w:val="008C4AC1"/>
    <w:rsid w:val="008C6C9A"/>
    <w:rsid w:val="008C701E"/>
    <w:rsid w:val="008D1553"/>
    <w:rsid w:val="008D1B64"/>
    <w:rsid w:val="008D4162"/>
    <w:rsid w:val="008D4E54"/>
    <w:rsid w:val="008D6BD3"/>
    <w:rsid w:val="008E0BAE"/>
    <w:rsid w:val="008E1AE9"/>
    <w:rsid w:val="008E2B9D"/>
    <w:rsid w:val="008E4C89"/>
    <w:rsid w:val="008E51AF"/>
    <w:rsid w:val="008E548A"/>
    <w:rsid w:val="008E5AB9"/>
    <w:rsid w:val="008E6C47"/>
    <w:rsid w:val="008E74A2"/>
    <w:rsid w:val="008F4B82"/>
    <w:rsid w:val="008F665D"/>
    <w:rsid w:val="008F769B"/>
    <w:rsid w:val="009006A6"/>
    <w:rsid w:val="00900C73"/>
    <w:rsid w:val="00902A22"/>
    <w:rsid w:val="00903AC3"/>
    <w:rsid w:val="0090412E"/>
    <w:rsid w:val="00904536"/>
    <w:rsid w:val="0090478A"/>
    <w:rsid w:val="009102A7"/>
    <w:rsid w:val="00910BB5"/>
    <w:rsid w:val="00911D86"/>
    <w:rsid w:val="00913AC4"/>
    <w:rsid w:val="009144B5"/>
    <w:rsid w:val="009146F6"/>
    <w:rsid w:val="00915863"/>
    <w:rsid w:val="00916ED7"/>
    <w:rsid w:val="0092021A"/>
    <w:rsid w:val="00922E70"/>
    <w:rsid w:val="00926E69"/>
    <w:rsid w:val="00930EF7"/>
    <w:rsid w:val="0093125C"/>
    <w:rsid w:val="009317B8"/>
    <w:rsid w:val="00932AA1"/>
    <w:rsid w:val="0093409B"/>
    <w:rsid w:val="009360D6"/>
    <w:rsid w:val="00936282"/>
    <w:rsid w:val="00936510"/>
    <w:rsid w:val="00941336"/>
    <w:rsid w:val="00942E65"/>
    <w:rsid w:val="00943950"/>
    <w:rsid w:val="00943AFB"/>
    <w:rsid w:val="00945E92"/>
    <w:rsid w:val="009466EE"/>
    <w:rsid w:val="0094698E"/>
    <w:rsid w:val="009575E1"/>
    <w:rsid w:val="009603DD"/>
    <w:rsid w:val="009609B6"/>
    <w:rsid w:val="00960BC7"/>
    <w:rsid w:val="00962129"/>
    <w:rsid w:val="00962532"/>
    <w:rsid w:val="009632C9"/>
    <w:rsid w:val="00964625"/>
    <w:rsid w:val="009667EE"/>
    <w:rsid w:val="009720B6"/>
    <w:rsid w:val="0097316B"/>
    <w:rsid w:val="0097354A"/>
    <w:rsid w:val="00974C90"/>
    <w:rsid w:val="00974FAA"/>
    <w:rsid w:val="00977184"/>
    <w:rsid w:val="0097718F"/>
    <w:rsid w:val="009802C9"/>
    <w:rsid w:val="00980AF0"/>
    <w:rsid w:val="00980C7C"/>
    <w:rsid w:val="00981BEF"/>
    <w:rsid w:val="00983B69"/>
    <w:rsid w:val="00985ABF"/>
    <w:rsid w:val="00991685"/>
    <w:rsid w:val="009927FA"/>
    <w:rsid w:val="00992D2A"/>
    <w:rsid w:val="00995846"/>
    <w:rsid w:val="009967F2"/>
    <w:rsid w:val="00997790"/>
    <w:rsid w:val="009A3C9A"/>
    <w:rsid w:val="009A4016"/>
    <w:rsid w:val="009A66D0"/>
    <w:rsid w:val="009B01FC"/>
    <w:rsid w:val="009B0D58"/>
    <w:rsid w:val="009B1BFE"/>
    <w:rsid w:val="009B7367"/>
    <w:rsid w:val="009C2999"/>
    <w:rsid w:val="009D3F76"/>
    <w:rsid w:val="009E0EA2"/>
    <w:rsid w:val="009E214D"/>
    <w:rsid w:val="009E28EC"/>
    <w:rsid w:val="009E315A"/>
    <w:rsid w:val="009E3BBE"/>
    <w:rsid w:val="009E4841"/>
    <w:rsid w:val="009E78E7"/>
    <w:rsid w:val="009E7983"/>
    <w:rsid w:val="009F15C8"/>
    <w:rsid w:val="009F264B"/>
    <w:rsid w:val="009F2E31"/>
    <w:rsid w:val="009F3F1F"/>
    <w:rsid w:val="009F4FB3"/>
    <w:rsid w:val="009F62A0"/>
    <w:rsid w:val="009F71D1"/>
    <w:rsid w:val="00A00DD6"/>
    <w:rsid w:val="00A017BA"/>
    <w:rsid w:val="00A01EFD"/>
    <w:rsid w:val="00A026DF"/>
    <w:rsid w:val="00A03A5F"/>
    <w:rsid w:val="00A03FDA"/>
    <w:rsid w:val="00A04100"/>
    <w:rsid w:val="00A0505A"/>
    <w:rsid w:val="00A06580"/>
    <w:rsid w:val="00A066DE"/>
    <w:rsid w:val="00A075C8"/>
    <w:rsid w:val="00A10B65"/>
    <w:rsid w:val="00A10BFD"/>
    <w:rsid w:val="00A141E5"/>
    <w:rsid w:val="00A14C2F"/>
    <w:rsid w:val="00A15581"/>
    <w:rsid w:val="00A1593F"/>
    <w:rsid w:val="00A15B57"/>
    <w:rsid w:val="00A17331"/>
    <w:rsid w:val="00A21512"/>
    <w:rsid w:val="00A21F92"/>
    <w:rsid w:val="00A2536F"/>
    <w:rsid w:val="00A263F4"/>
    <w:rsid w:val="00A26AF6"/>
    <w:rsid w:val="00A26FF9"/>
    <w:rsid w:val="00A27782"/>
    <w:rsid w:val="00A30AF9"/>
    <w:rsid w:val="00A30DB3"/>
    <w:rsid w:val="00A344A6"/>
    <w:rsid w:val="00A36CB2"/>
    <w:rsid w:val="00A37048"/>
    <w:rsid w:val="00A403E9"/>
    <w:rsid w:val="00A406DC"/>
    <w:rsid w:val="00A41119"/>
    <w:rsid w:val="00A4347E"/>
    <w:rsid w:val="00A4381E"/>
    <w:rsid w:val="00A444E2"/>
    <w:rsid w:val="00A45FEB"/>
    <w:rsid w:val="00A4630E"/>
    <w:rsid w:val="00A46716"/>
    <w:rsid w:val="00A47DE3"/>
    <w:rsid w:val="00A50C31"/>
    <w:rsid w:val="00A513D6"/>
    <w:rsid w:val="00A51BAF"/>
    <w:rsid w:val="00A5227A"/>
    <w:rsid w:val="00A55A52"/>
    <w:rsid w:val="00A55DE0"/>
    <w:rsid w:val="00A56089"/>
    <w:rsid w:val="00A57D42"/>
    <w:rsid w:val="00A60BBB"/>
    <w:rsid w:val="00A60C83"/>
    <w:rsid w:val="00A63A99"/>
    <w:rsid w:val="00A65F1E"/>
    <w:rsid w:val="00A716F5"/>
    <w:rsid w:val="00A739AD"/>
    <w:rsid w:val="00A80964"/>
    <w:rsid w:val="00A82ABF"/>
    <w:rsid w:val="00A83111"/>
    <w:rsid w:val="00A84047"/>
    <w:rsid w:val="00A84B13"/>
    <w:rsid w:val="00A855AA"/>
    <w:rsid w:val="00A855C4"/>
    <w:rsid w:val="00A85982"/>
    <w:rsid w:val="00A85E34"/>
    <w:rsid w:val="00A870DD"/>
    <w:rsid w:val="00A90123"/>
    <w:rsid w:val="00A934C1"/>
    <w:rsid w:val="00A972FF"/>
    <w:rsid w:val="00AA1782"/>
    <w:rsid w:val="00AA1F07"/>
    <w:rsid w:val="00AA22FC"/>
    <w:rsid w:val="00AA559F"/>
    <w:rsid w:val="00AB0683"/>
    <w:rsid w:val="00AB179B"/>
    <w:rsid w:val="00AB197C"/>
    <w:rsid w:val="00AB199E"/>
    <w:rsid w:val="00AB2DA9"/>
    <w:rsid w:val="00AB4403"/>
    <w:rsid w:val="00AB5052"/>
    <w:rsid w:val="00AB5560"/>
    <w:rsid w:val="00AC1F09"/>
    <w:rsid w:val="00AC58FC"/>
    <w:rsid w:val="00AD0C48"/>
    <w:rsid w:val="00AD1500"/>
    <w:rsid w:val="00AD48BE"/>
    <w:rsid w:val="00AD5E69"/>
    <w:rsid w:val="00AD6E5A"/>
    <w:rsid w:val="00AD7A32"/>
    <w:rsid w:val="00AD7AA1"/>
    <w:rsid w:val="00AE16EC"/>
    <w:rsid w:val="00AE555E"/>
    <w:rsid w:val="00AE74F2"/>
    <w:rsid w:val="00AE7B86"/>
    <w:rsid w:val="00AF1837"/>
    <w:rsid w:val="00AF2305"/>
    <w:rsid w:val="00AF2A93"/>
    <w:rsid w:val="00AF2EA3"/>
    <w:rsid w:val="00AF4658"/>
    <w:rsid w:val="00AF46AA"/>
    <w:rsid w:val="00AF5D98"/>
    <w:rsid w:val="00AF7307"/>
    <w:rsid w:val="00AF7635"/>
    <w:rsid w:val="00B005E0"/>
    <w:rsid w:val="00B02FBC"/>
    <w:rsid w:val="00B03294"/>
    <w:rsid w:val="00B03A57"/>
    <w:rsid w:val="00B044C6"/>
    <w:rsid w:val="00B05898"/>
    <w:rsid w:val="00B05E43"/>
    <w:rsid w:val="00B05F01"/>
    <w:rsid w:val="00B11750"/>
    <w:rsid w:val="00B119C0"/>
    <w:rsid w:val="00B11FF2"/>
    <w:rsid w:val="00B125E9"/>
    <w:rsid w:val="00B17CA6"/>
    <w:rsid w:val="00B2222C"/>
    <w:rsid w:val="00B26221"/>
    <w:rsid w:val="00B27196"/>
    <w:rsid w:val="00B27A34"/>
    <w:rsid w:val="00B311D4"/>
    <w:rsid w:val="00B31F37"/>
    <w:rsid w:val="00B327E1"/>
    <w:rsid w:val="00B3449F"/>
    <w:rsid w:val="00B34F63"/>
    <w:rsid w:val="00B35670"/>
    <w:rsid w:val="00B36B18"/>
    <w:rsid w:val="00B37F75"/>
    <w:rsid w:val="00B37F87"/>
    <w:rsid w:val="00B4012B"/>
    <w:rsid w:val="00B40EDB"/>
    <w:rsid w:val="00B43126"/>
    <w:rsid w:val="00B4456A"/>
    <w:rsid w:val="00B447CB"/>
    <w:rsid w:val="00B44F90"/>
    <w:rsid w:val="00B51801"/>
    <w:rsid w:val="00B5275C"/>
    <w:rsid w:val="00B53A21"/>
    <w:rsid w:val="00B53B49"/>
    <w:rsid w:val="00B548FA"/>
    <w:rsid w:val="00B54A0A"/>
    <w:rsid w:val="00B56576"/>
    <w:rsid w:val="00B56FF3"/>
    <w:rsid w:val="00B57AFD"/>
    <w:rsid w:val="00B57BA1"/>
    <w:rsid w:val="00B57EA9"/>
    <w:rsid w:val="00B60E1A"/>
    <w:rsid w:val="00B62333"/>
    <w:rsid w:val="00B641F8"/>
    <w:rsid w:val="00B64399"/>
    <w:rsid w:val="00B66232"/>
    <w:rsid w:val="00B7228A"/>
    <w:rsid w:val="00B76007"/>
    <w:rsid w:val="00B7662E"/>
    <w:rsid w:val="00B82086"/>
    <w:rsid w:val="00B82C71"/>
    <w:rsid w:val="00B833FA"/>
    <w:rsid w:val="00B86281"/>
    <w:rsid w:val="00B91263"/>
    <w:rsid w:val="00B927E5"/>
    <w:rsid w:val="00B975F3"/>
    <w:rsid w:val="00B97711"/>
    <w:rsid w:val="00BA04C0"/>
    <w:rsid w:val="00BA1E11"/>
    <w:rsid w:val="00BA49EE"/>
    <w:rsid w:val="00BA6B77"/>
    <w:rsid w:val="00BA739A"/>
    <w:rsid w:val="00BB09D5"/>
    <w:rsid w:val="00BB30DF"/>
    <w:rsid w:val="00BB3B42"/>
    <w:rsid w:val="00BB5D95"/>
    <w:rsid w:val="00BB69A5"/>
    <w:rsid w:val="00BC0EFB"/>
    <w:rsid w:val="00BC21EE"/>
    <w:rsid w:val="00BC28BA"/>
    <w:rsid w:val="00BC2C04"/>
    <w:rsid w:val="00BC65D8"/>
    <w:rsid w:val="00BD00CC"/>
    <w:rsid w:val="00BD1415"/>
    <w:rsid w:val="00BD2AEC"/>
    <w:rsid w:val="00BD316B"/>
    <w:rsid w:val="00BD4653"/>
    <w:rsid w:val="00BD560B"/>
    <w:rsid w:val="00BD6475"/>
    <w:rsid w:val="00BD7241"/>
    <w:rsid w:val="00BD72DB"/>
    <w:rsid w:val="00BE0EDD"/>
    <w:rsid w:val="00BE11F9"/>
    <w:rsid w:val="00BE2499"/>
    <w:rsid w:val="00BE29A9"/>
    <w:rsid w:val="00BE43AC"/>
    <w:rsid w:val="00BE6721"/>
    <w:rsid w:val="00BF0271"/>
    <w:rsid w:val="00BF06DD"/>
    <w:rsid w:val="00BF12C4"/>
    <w:rsid w:val="00BF1B70"/>
    <w:rsid w:val="00BF2C0E"/>
    <w:rsid w:val="00BF42FD"/>
    <w:rsid w:val="00BF559C"/>
    <w:rsid w:val="00BF5E81"/>
    <w:rsid w:val="00BF65CA"/>
    <w:rsid w:val="00C01123"/>
    <w:rsid w:val="00C01617"/>
    <w:rsid w:val="00C03A44"/>
    <w:rsid w:val="00C04CCB"/>
    <w:rsid w:val="00C06BC2"/>
    <w:rsid w:val="00C1110D"/>
    <w:rsid w:val="00C11A50"/>
    <w:rsid w:val="00C121EC"/>
    <w:rsid w:val="00C127B1"/>
    <w:rsid w:val="00C134B7"/>
    <w:rsid w:val="00C15E87"/>
    <w:rsid w:val="00C175D0"/>
    <w:rsid w:val="00C2096B"/>
    <w:rsid w:val="00C21A8D"/>
    <w:rsid w:val="00C21E2C"/>
    <w:rsid w:val="00C22D8B"/>
    <w:rsid w:val="00C24DB0"/>
    <w:rsid w:val="00C26B1C"/>
    <w:rsid w:val="00C27256"/>
    <w:rsid w:val="00C274AA"/>
    <w:rsid w:val="00C27CC7"/>
    <w:rsid w:val="00C27F19"/>
    <w:rsid w:val="00C312BC"/>
    <w:rsid w:val="00C32965"/>
    <w:rsid w:val="00C3426D"/>
    <w:rsid w:val="00C40AE3"/>
    <w:rsid w:val="00C43592"/>
    <w:rsid w:val="00C44ADA"/>
    <w:rsid w:val="00C45B9D"/>
    <w:rsid w:val="00C46060"/>
    <w:rsid w:val="00C504AE"/>
    <w:rsid w:val="00C50711"/>
    <w:rsid w:val="00C523C6"/>
    <w:rsid w:val="00C525BA"/>
    <w:rsid w:val="00C53065"/>
    <w:rsid w:val="00C53492"/>
    <w:rsid w:val="00C54204"/>
    <w:rsid w:val="00C555F7"/>
    <w:rsid w:val="00C55EF8"/>
    <w:rsid w:val="00C56446"/>
    <w:rsid w:val="00C56998"/>
    <w:rsid w:val="00C60863"/>
    <w:rsid w:val="00C6285D"/>
    <w:rsid w:val="00C639E3"/>
    <w:rsid w:val="00C70563"/>
    <w:rsid w:val="00C71292"/>
    <w:rsid w:val="00C71484"/>
    <w:rsid w:val="00C715EE"/>
    <w:rsid w:val="00C716CA"/>
    <w:rsid w:val="00C72305"/>
    <w:rsid w:val="00C735A7"/>
    <w:rsid w:val="00C74FC8"/>
    <w:rsid w:val="00C76FAC"/>
    <w:rsid w:val="00C81804"/>
    <w:rsid w:val="00C8566F"/>
    <w:rsid w:val="00C859AE"/>
    <w:rsid w:val="00C87C43"/>
    <w:rsid w:val="00C91C30"/>
    <w:rsid w:val="00C979D0"/>
    <w:rsid w:val="00CA1047"/>
    <w:rsid w:val="00CA296B"/>
    <w:rsid w:val="00CA2A42"/>
    <w:rsid w:val="00CA2B3C"/>
    <w:rsid w:val="00CA410E"/>
    <w:rsid w:val="00CA447E"/>
    <w:rsid w:val="00CA5B7E"/>
    <w:rsid w:val="00CA6DC5"/>
    <w:rsid w:val="00CB08BE"/>
    <w:rsid w:val="00CB0CDF"/>
    <w:rsid w:val="00CB0FE7"/>
    <w:rsid w:val="00CB1DDE"/>
    <w:rsid w:val="00CB27FD"/>
    <w:rsid w:val="00CB528D"/>
    <w:rsid w:val="00CB635C"/>
    <w:rsid w:val="00CB7321"/>
    <w:rsid w:val="00CB7E0A"/>
    <w:rsid w:val="00CC3027"/>
    <w:rsid w:val="00CC421B"/>
    <w:rsid w:val="00CD0B38"/>
    <w:rsid w:val="00CD1BC6"/>
    <w:rsid w:val="00CD2A22"/>
    <w:rsid w:val="00CD449F"/>
    <w:rsid w:val="00CD7BE9"/>
    <w:rsid w:val="00CE10BD"/>
    <w:rsid w:val="00CE1F17"/>
    <w:rsid w:val="00CE346E"/>
    <w:rsid w:val="00CE5DCB"/>
    <w:rsid w:val="00CE7C8C"/>
    <w:rsid w:val="00CE7F13"/>
    <w:rsid w:val="00CF26BF"/>
    <w:rsid w:val="00CF3FB2"/>
    <w:rsid w:val="00CF5ED1"/>
    <w:rsid w:val="00D004BE"/>
    <w:rsid w:val="00D00DBC"/>
    <w:rsid w:val="00D01F55"/>
    <w:rsid w:val="00D02BCF"/>
    <w:rsid w:val="00D03586"/>
    <w:rsid w:val="00D05726"/>
    <w:rsid w:val="00D075C6"/>
    <w:rsid w:val="00D130F5"/>
    <w:rsid w:val="00D14FB9"/>
    <w:rsid w:val="00D16541"/>
    <w:rsid w:val="00D16985"/>
    <w:rsid w:val="00D1729F"/>
    <w:rsid w:val="00D213E9"/>
    <w:rsid w:val="00D257F0"/>
    <w:rsid w:val="00D26767"/>
    <w:rsid w:val="00D27657"/>
    <w:rsid w:val="00D30901"/>
    <w:rsid w:val="00D30E72"/>
    <w:rsid w:val="00D31F09"/>
    <w:rsid w:val="00D33B6C"/>
    <w:rsid w:val="00D34449"/>
    <w:rsid w:val="00D3454C"/>
    <w:rsid w:val="00D3567D"/>
    <w:rsid w:val="00D35C1B"/>
    <w:rsid w:val="00D37F45"/>
    <w:rsid w:val="00D4105E"/>
    <w:rsid w:val="00D42E24"/>
    <w:rsid w:val="00D42F29"/>
    <w:rsid w:val="00D46107"/>
    <w:rsid w:val="00D50854"/>
    <w:rsid w:val="00D50899"/>
    <w:rsid w:val="00D54158"/>
    <w:rsid w:val="00D54233"/>
    <w:rsid w:val="00D5688B"/>
    <w:rsid w:val="00D57642"/>
    <w:rsid w:val="00D60DAA"/>
    <w:rsid w:val="00D63D53"/>
    <w:rsid w:val="00D645A5"/>
    <w:rsid w:val="00D6777F"/>
    <w:rsid w:val="00D679D0"/>
    <w:rsid w:val="00D72181"/>
    <w:rsid w:val="00D7396F"/>
    <w:rsid w:val="00D73FFE"/>
    <w:rsid w:val="00D7523E"/>
    <w:rsid w:val="00D76A33"/>
    <w:rsid w:val="00D81AF1"/>
    <w:rsid w:val="00D82566"/>
    <w:rsid w:val="00D84215"/>
    <w:rsid w:val="00D843D7"/>
    <w:rsid w:val="00D84E4B"/>
    <w:rsid w:val="00D90345"/>
    <w:rsid w:val="00D914E7"/>
    <w:rsid w:val="00D91C4F"/>
    <w:rsid w:val="00D92A4E"/>
    <w:rsid w:val="00D932E2"/>
    <w:rsid w:val="00D97C1C"/>
    <w:rsid w:val="00D97D5E"/>
    <w:rsid w:val="00DA3ADF"/>
    <w:rsid w:val="00DA3F91"/>
    <w:rsid w:val="00DA4017"/>
    <w:rsid w:val="00DA5B94"/>
    <w:rsid w:val="00DA72DC"/>
    <w:rsid w:val="00DA7D60"/>
    <w:rsid w:val="00DB16ED"/>
    <w:rsid w:val="00DB1786"/>
    <w:rsid w:val="00DB5C76"/>
    <w:rsid w:val="00DB6531"/>
    <w:rsid w:val="00DB6634"/>
    <w:rsid w:val="00DB7F17"/>
    <w:rsid w:val="00DC0159"/>
    <w:rsid w:val="00DC0500"/>
    <w:rsid w:val="00DC2A66"/>
    <w:rsid w:val="00DC4168"/>
    <w:rsid w:val="00DC4817"/>
    <w:rsid w:val="00DC5090"/>
    <w:rsid w:val="00DC6102"/>
    <w:rsid w:val="00DD1675"/>
    <w:rsid w:val="00DD1854"/>
    <w:rsid w:val="00DD2B27"/>
    <w:rsid w:val="00DD46EB"/>
    <w:rsid w:val="00DD6D90"/>
    <w:rsid w:val="00DD776A"/>
    <w:rsid w:val="00DE0DE1"/>
    <w:rsid w:val="00DE261E"/>
    <w:rsid w:val="00DE35DB"/>
    <w:rsid w:val="00DE4211"/>
    <w:rsid w:val="00DE7144"/>
    <w:rsid w:val="00DF16AD"/>
    <w:rsid w:val="00DF290E"/>
    <w:rsid w:val="00DF3569"/>
    <w:rsid w:val="00E125BD"/>
    <w:rsid w:val="00E13013"/>
    <w:rsid w:val="00E14FA9"/>
    <w:rsid w:val="00E1655A"/>
    <w:rsid w:val="00E172C9"/>
    <w:rsid w:val="00E17CE2"/>
    <w:rsid w:val="00E216A6"/>
    <w:rsid w:val="00E2180D"/>
    <w:rsid w:val="00E2222C"/>
    <w:rsid w:val="00E25060"/>
    <w:rsid w:val="00E2749E"/>
    <w:rsid w:val="00E32328"/>
    <w:rsid w:val="00E33232"/>
    <w:rsid w:val="00E332F7"/>
    <w:rsid w:val="00E35B18"/>
    <w:rsid w:val="00E36F79"/>
    <w:rsid w:val="00E374E0"/>
    <w:rsid w:val="00E432C0"/>
    <w:rsid w:val="00E44855"/>
    <w:rsid w:val="00E47430"/>
    <w:rsid w:val="00E4775F"/>
    <w:rsid w:val="00E50484"/>
    <w:rsid w:val="00E523F8"/>
    <w:rsid w:val="00E55359"/>
    <w:rsid w:val="00E61DF9"/>
    <w:rsid w:val="00E6233B"/>
    <w:rsid w:val="00E62A64"/>
    <w:rsid w:val="00E676E0"/>
    <w:rsid w:val="00E733FF"/>
    <w:rsid w:val="00E75CFB"/>
    <w:rsid w:val="00E814AC"/>
    <w:rsid w:val="00E81C52"/>
    <w:rsid w:val="00E82A7A"/>
    <w:rsid w:val="00E86105"/>
    <w:rsid w:val="00E867B4"/>
    <w:rsid w:val="00E86D74"/>
    <w:rsid w:val="00E87F29"/>
    <w:rsid w:val="00E917E1"/>
    <w:rsid w:val="00E9253B"/>
    <w:rsid w:val="00E92C22"/>
    <w:rsid w:val="00E92F00"/>
    <w:rsid w:val="00E94045"/>
    <w:rsid w:val="00E94363"/>
    <w:rsid w:val="00E950E7"/>
    <w:rsid w:val="00E9758C"/>
    <w:rsid w:val="00E97592"/>
    <w:rsid w:val="00E97F4A"/>
    <w:rsid w:val="00EA1D2B"/>
    <w:rsid w:val="00EA2A81"/>
    <w:rsid w:val="00EA35D6"/>
    <w:rsid w:val="00EA5609"/>
    <w:rsid w:val="00EA5CB5"/>
    <w:rsid w:val="00EA7477"/>
    <w:rsid w:val="00EA77F3"/>
    <w:rsid w:val="00EB5D6A"/>
    <w:rsid w:val="00EC09DB"/>
    <w:rsid w:val="00EC386F"/>
    <w:rsid w:val="00EC3F55"/>
    <w:rsid w:val="00EC5D8C"/>
    <w:rsid w:val="00EC6BD5"/>
    <w:rsid w:val="00ED0125"/>
    <w:rsid w:val="00EE1B9B"/>
    <w:rsid w:val="00EE26A3"/>
    <w:rsid w:val="00EE36DF"/>
    <w:rsid w:val="00EE3ED1"/>
    <w:rsid w:val="00EE5287"/>
    <w:rsid w:val="00EE56C9"/>
    <w:rsid w:val="00EE79C9"/>
    <w:rsid w:val="00EF281D"/>
    <w:rsid w:val="00EF6E86"/>
    <w:rsid w:val="00EF79C7"/>
    <w:rsid w:val="00F0000F"/>
    <w:rsid w:val="00F00AF7"/>
    <w:rsid w:val="00F01066"/>
    <w:rsid w:val="00F01B96"/>
    <w:rsid w:val="00F0263E"/>
    <w:rsid w:val="00F033E6"/>
    <w:rsid w:val="00F03476"/>
    <w:rsid w:val="00F05F9A"/>
    <w:rsid w:val="00F06E7A"/>
    <w:rsid w:val="00F07694"/>
    <w:rsid w:val="00F07BDD"/>
    <w:rsid w:val="00F12D19"/>
    <w:rsid w:val="00F13FF5"/>
    <w:rsid w:val="00F1412A"/>
    <w:rsid w:val="00F1588F"/>
    <w:rsid w:val="00F16FFF"/>
    <w:rsid w:val="00F171EE"/>
    <w:rsid w:val="00F17FC9"/>
    <w:rsid w:val="00F23DB2"/>
    <w:rsid w:val="00F26EB3"/>
    <w:rsid w:val="00F33301"/>
    <w:rsid w:val="00F3385A"/>
    <w:rsid w:val="00F3389D"/>
    <w:rsid w:val="00F3441B"/>
    <w:rsid w:val="00F35D36"/>
    <w:rsid w:val="00F35DC7"/>
    <w:rsid w:val="00F366EA"/>
    <w:rsid w:val="00F36E4A"/>
    <w:rsid w:val="00F4055A"/>
    <w:rsid w:val="00F41142"/>
    <w:rsid w:val="00F41C23"/>
    <w:rsid w:val="00F42328"/>
    <w:rsid w:val="00F42671"/>
    <w:rsid w:val="00F46E9A"/>
    <w:rsid w:val="00F50259"/>
    <w:rsid w:val="00F50CB0"/>
    <w:rsid w:val="00F53E92"/>
    <w:rsid w:val="00F54657"/>
    <w:rsid w:val="00F55496"/>
    <w:rsid w:val="00F55C29"/>
    <w:rsid w:val="00F566EB"/>
    <w:rsid w:val="00F56DC0"/>
    <w:rsid w:val="00F60452"/>
    <w:rsid w:val="00F612C8"/>
    <w:rsid w:val="00F61DE6"/>
    <w:rsid w:val="00F66FE7"/>
    <w:rsid w:val="00F671BE"/>
    <w:rsid w:val="00F67F1D"/>
    <w:rsid w:val="00F7000C"/>
    <w:rsid w:val="00F71008"/>
    <w:rsid w:val="00F736DB"/>
    <w:rsid w:val="00F75823"/>
    <w:rsid w:val="00F77233"/>
    <w:rsid w:val="00F77DC4"/>
    <w:rsid w:val="00F81978"/>
    <w:rsid w:val="00F84A29"/>
    <w:rsid w:val="00F91082"/>
    <w:rsid w:val="00F913C1"/>
    <w:rsid w:val="00F91475"/>
    <w:rsid w:val="00F91579"/>
    <w:rsid w:val="00F9673E"/>
    <w:rsid w:val="00F96BC9"/>
    <w:rsid w:val="00F970B9"/>
    <w:rsid w:val="00F97C2D"/>
    <w:rsid w:val="00FA0015"/>
    <w:rsid w:val="00FA0D47"/>
    <w:rsid w:val="00FA1048"/>
    <w:rsid w:val="00FA1AD7"/>
    <w:rsid w:val="00FA3AB1"/>
    <w:rsid w:val="00FA5090"/>
    <w:rsid w:val="00FA5A84"/>
    <w:rsid w:val="00FA6FA9"/>
    <w:rsid w:val="00FA72A2"/>
    <w:rsid w:val="00FB1D80"/>
    <w:rsid w:val="00FB421B"/>
    <w:rsid w:val="00FB48D4"/>
    <w:rsid w:val="00FB4D84"/>
    <w:rsid w:val="00FB65C9"/>
    <w:rsid w:val="00FC0437"/>
    <w:rsid w:val="00FC0871"/>
    <w:rsid w:val="00FC0EAE"/>
    <w:rsid w:val="00FC13CF"/>
    <w:rsid w:val="00FC2012"/>
    <w:rsid w:val="00FC27B2"/>
    <w:rsid w:val="00FC6D4B"/>
    <w:rsid w:val="00FC7C72"/>
    <w:rsid w:val="00FD3D3B"/>
    <w:rsid w:val="00FD4046"/>
    <w:rsid w:val="00FD503C"/>
    <w:rsid w:val="00FD6ACD"/>
    <w:rsid w:val="00FE4418"/>
    <w:rsid w:val="00FE519C"/>
    <w:rsid w:val="00FE57C2"/>
    <w:rsid w:val="00FE6CE9"/>
    <w:rsid w:val="00FF00BE"/>
    <w:rsid w:val="00FF048A"/>
    <w:rsid w:val="00FF32A1"/>
    <w:rsid w:val="00FF41BA"/>
    <w:rsid w:val="00FF458F"/>
    <w:rsid w:val="00FF499E"/>
    <w:rsid w:val="00FF4E89"/>
    <w:rsid w:val="00FF5606"/>
    <w:rsid w:val="00FF5A8E"/>
    <w:rsid w:val="00FF5BA6"/>
    <w:rsid w:val="00FF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F68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85BF7"/>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85BF7"/>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885BF7"/>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885BF7"/>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85BF7"/>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85BF7"/>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85BF7"/>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85BF7"/>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85BF7"/>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2068EF"/>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FA1AD7"/>
    <w:rPr>
      <w:color w:val="954F72" w:themeColor="followedHyperlink"/>
      <w:u w:val="single"/>
    </w:rPr>
  </w:style>
  <w:style w:type="table" w:customStyle="1" w:styleId="TableGrid1">
    <w:name w:val="Table Grid1"/>
    <w:basedOn w:val="TableNormal"/>
    <w:next w:val="TableGrid"/>
    <w:uiPriority w:val="39"/>
    <w:rsid w:val="007C322D"/>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E33232"/>
    <w:rPr>
      <w:rFonts w:ascii="Times New Roman" w:hAnsi="Times New Roman" w:cs="Times New Roman"/>
      <w:sz w:val="26"/>
      <w:szCs w:val="20"/>
    </w:rPr>
  </w:style>
  <w:style w:type="paragraph" w:customStyle="1" w:styleId="Default">
    <w:name w:val="Default"/>
    <w:rsid w:val="005931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aktext">
    <w:name w:val="breaktext"/>
    <w:basedOn w:val="DefaultParagraphFont"/>
    <w:rsid w:val="0017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law.cornell.edu/definitions/uscode.php?width=840&amp;height=800&amp;iframe=true&amp;def_id=16-USC-1543697379-1611114184&amp;term_occur=999&amp;term_src=title:16:chapter:12:subchapter:II:section:824o"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139E45CB-9BA2-4A52-BD34-0464B164C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5E6A5-7DDC-4750-8F31-C468A5C608A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3.xml><?xml version="1.0" encoding="utf-8"?>
<ds:datastoreItem xmlns:ds="http://schemas.openxmlformats.org/officeDocument/2006/customXml" ds:itemID="{942B8AC2-3F9B-4E1C-BADB-CBEEE431CF20}">
  <ds:schemaRefs>
    <ds:schemaRef ds:uri="http://schemas.microsoft.com/sharepoint/v3/contenttype/forms"/>
  </ds:schemaRefs>
</ds:datastoreItem>
</file>

<file path=customXml/itemProps4.xml><?xml version="1.0" encoding="utf-8"?>
<ds:datastoreItem xmlns:ds="http://schemas.openxmlformats.org/officeDocument/2006/customXml" ds:itemID="{91484E78-F741-45BD-BCF6-6DFED2C31BC4}">
  <ds:schemaRefs>
    <ds:schemaRef ds:uri="http://schemas.openxmlformats.org/officeDocument/2006/bibliography"/>
  </ds:schemaRefs>
</ds:datastoreItem>
</file>

<file path=customXml/itemProps5.xml><?xml version="1.0" encoding="utf-8"?>
<ds:datastoreItem xmlns:ds="http://schemas.openxmlformats.org/officeDocument/2006/customXml" ds:itemID="{9D08737F-9AEE-4CA5-9BE2-6C0F01A85A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2022-07-12T13:47:00Z</dcterms:created>
  <dcterms:modified xsi:type="dcterms:W3CDTF">2022-07-12T13:47:00Z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0ff3ab81-6eff-42e7-aae8-49a39869087f</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2022-07-12T13:47:27Z</vt:lpwstr>
  </property>
  <property fmtid="{D5CDD505-2E9C-101B-9397-08002B2CF9AE}" pid="8" name="MSIP_Label_6155a89b-0f08-4a93-8ea2-8a916d6643b5_SiteId">
    <vt:lpwstr>19caa9e9-04ff-43fa-885f-d77fac387903</vt:lpwstr>
  </property>
</Properties>
</file>