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55095" w:rsidP="00055095" w14:paraId="20FE5A09" w14:textId="77777777">
      <w:pPr>
        <w:suppressAutoHyphens/>
        <w:spacing w:after="0"/>
        <w:rPr>
          <w:rFonts w:cs="Calibri"/>
          <w:szCs w:val="24"/>
        </w:rPr>
      </w:pPr>
      <w:r w:rsidRPr="00055095">
        <w:rPr>
          <w:rFonts w:cs="Calibri"/>
          <w:szCs w:val="24"/>
        </w:rPr>
        <w:t>The Department of Education (the Department) amend</w:t>
      </w:r>
      <w:r w:rsidR="0004439B">
        <w:rPr>
          <w:rFonts w:cs="Calibri"/>
          <w:szCs w:val="24"/>
        </w:rPr>
        <w:t>s</w:t>
      </w:r>
      <w:r w:rsidRPr="00055095">
        <w:rPr>
          <w:rFonts w:cs="Calibri"/>
          <w:szCs w:val="24"/>
        </w:rPr>
        <w:t xml:space="preserve"> the Student Assistance General Provisions regulations issued under the Higher Education Act of 1965, as amended (HEA), to implement changes made to the Student Assistance General Provisions regulations – Subpart D – Institutional and Financial Assistance Information for §668.41 - Reporting and disclosure of information.  These </w:t>
      </w:r>
      <w:r w:rsidR="0004439B">
        <w:rPr>
          <w:rFonts w:cs="Calibri"/>
          <w:szCs w:val="24"/>
        </w:rPr>
        <w:t xml:space="preserve">final </w:t>
      </w:r>
      <w:r w:rsidRPr="00055095">
        <w:rPr>
          <w:rFonts w:cs="Calibri"/>
          <w:szCs w:val="24"/>
        </w:rPr>
        <w:t xml:space="preserve">regulations are a result of negotiated rulemaking and would delete requirements to the current regulations in §668.41(h).  </w:t>
      </w:r>
    </w:p>
    <w:p w:rsidR="007C5378" w:rsidRPr="00055095" w:rsidP="00055095" w14:paraId="58D0CE8E" w14:textId="77777777">
      <w:pPr>
        <w:suppressAutoHyphens/>
        <w:spacing w:after="0"/>
        <w:rPr>
          <w:rFonts w:cs="Calibri"/>
          <w:szCs w:val="24"/>
        </w:rPr>
      </w:pPr>
    </w:p>
    <w:p w:rsidR="00055095" w:rsidP="00055095" w14:paraId="5D90FBC5" w14:textId="77777777">
      <w:pPr>
        <w:tabs>
          <w:tab w:val="left" w:pos="0"/>
        </w:tabs>
        <w:suppressAutoHyphens/>
        <w:spacing w:after="0"/>
        <w:rPr>
          <w:rFonts w:cs="Calibri"/>
          <w:szCs w:val="24"/>
        </w:rPr>
      </w:pPr>
      <w:r w:rsidRPr="00055095">
        <w:rPr>
          <w:rFonts w:cs="Calibri"/>
          <w:szCs w:val="24"/>
        </w:rPr>
        <w:t xml:space="preserve">The current regulations in §668.41(h) require institutions that use pre-dispute arbitration agreements or class action waivers as a condition of enrollment disclose that information to students, prospective students, and the public in an easily accessible format.  The </w:t>
      </w:r>
      <w:r w:rsidR="0004439B">
        <w:rPr>
          <w:rFonts w:cs="Calibri"/>
          <w:szCs w:val="24"/>
        </w:rPr>
        <w:t xml:space="preserve">final </w:t>
      </w:r>
      <w:r w:rsidRPr="00055095">
        <w:rPr>
          <w:rFonts w:cs="Calibri"/>
          <w:szCs w:val="24"/>
        </w:rPr>
        <w:t>regulations in §685.300 contain provisions which replace those in current §668.41(h), rendering it unnecessary.</w:t>
      </w:r>
    </w:p>
    <w:p w:rsidR="0004439B" w:rsidRPr="00055095" w:rsidP="00055095" w14:paraId="1E179AC5" w14:textId="77777777">
      <w:pPr>
        <w:tabs>
          <w:tab w:val="left" w:pos="0"/>
        </w:tabs>
        <w:suppressAutoHyphens/>
        <w:spacing w:after="0"/>
        <w:rPr>
          <w:rFonts w:cs="Calibri"/>
          <w:szCs w:val="24"/>
        </w:rPr>
      </w:pPr>
    </w:p>
    <w:p w:rsidR="00055095" w:rsidRPr="00055095" w:rsidP="00055095" w14:paraId="0A99481E" w14:textId="77777777">
      <w:pPr>
        <w:tabs>
          <w:tab w:val="left" w:pos="0"/>
        </w:tabs>
        <w:suppressAutoHyphens/>
        <w:spacing w:after="0"/>
        <w:rPr>
          <w:rFonts w:cs="Calibri"/>
          <w:szCs w:val="24"/>
        </w:rPr>
      </w:pPr>
      <w:r w:rsidRPr="00055095">
        <w:rPr>
          <w:rFonts w:cs="Calibri"/>
          <w:szCs w:val="24"/>
        </w:rPr>
        <w:t xml:space="preserve">This </w:t>
      </w:r>
      <w:r w:rsidR="004C61C7">
        <w:rPr>
          <w:rFonts w:cs="Calibri"/>
          <w:szCs w:val="24"/>
        </w:rPr>
        <w:t>final rule</w:t>
      </w:r>
      <w:r w:rsidRPr="00055095">
        <w:rPr>
          <w:rFonts w:cs="Calibri"/>
          <w:szCs w:val="24"/>
        </w:rPr>
        <w:t xml:space="preserve"> remove</w:t>
      </w:r>
      <w:r w:rsidR="004C61C7">
        <w:rPr>
          <w:rFonts w:cs="Calibri"/>
          <w:szCs w:val="24"/>
        </w:rPr>
        <w:t>s</w:t>
      </w:r>
      <w:r w:rsidRPr="00055095">
        <w:rPr>
          <w:rFonts w:cs="Calibri"/>
          <w:szCs w:val="24"/>
        </w:rPr>
        <w:t xml:space="preserve"> from the current information collection the regulatory requirements, burden hours, and costs associated with the regulations in §668.41(h) while retaining the burden hours previously calculated for the remaining sections of §668.41.</w:t>
      </w:r>
    </w:p>
    <w:p w:rsidR="00680EB6" w:rsidRPr="00680EB6" w:rsidP="00055095" w14:paraId="3570647E" w14:textId="77777777">
      <w:pPr>
        <w:tabs>
          <w:tab w:val="left" w:pos="0"/>
        </w:tabs>
        <w:suppressAutoHyphens/>
        <w:spacing w:after="0"/>
        <w:rPr>
          <w:rFonts w:ascii="Times New Roman" w:hAnsi="Times New Roman"/>
        </w:rPr>
      </w:pPr>
    </w:p>
    <w:p w:rsidR="00055095" w:rsidP="00055095" w14:paraId="33CBF517" w14:textId="77777777">
      <w:pPr>
        <w:spacing w:after="0"/>
        <w:rPr>
          <w:rFonts w:cs="Calibri"/>
          <w:szCs w:val="24"/>
        </w:rPr>
      </w:pPr>
      <w:r w:rsidRPr="00055095">
        <w:rPr>
          <w:rFonts w:cs="Calibri"/>
          <w:szCs w:val="24"/>
        </w:rPr>
        <w:t>The regulatory change remove</w:t>
      </w:r>
      <w:r w:rsidR="0004439B">
        <w:rPr>
          <w:rFonts w:cs="Calibri"/>
          <w:szCs w:val="24"/>
        </w:rPr>
        <w:t>d</w:t>
      </w:r>
      <w:r w:rsidRPr="00055095">
        <w:rPr>
          <w:rFonts w:cs="Calibri"/>
          <w:szCs w:val="24"/>
        </w:rPr>
        <w:t xml:space="preserve"> the requirement at §668.41(h) </w:t>
      </w:r>
      <w:r w:rsidRPr="00055095">
        <w:rPr>
          <w:rFonts w:cs="Calibri"/>
          <w:szCs w:val="24"/>
        </w:rPr>
        <w:t>and also</w:t>
      </w:r>
      <w:r w:rsidRPr="00055095">
        <w:rPr>
          <w:rFonts w:cs="Calibri"/>
          <w:szCs w:val="24"/>
        </w:rPr>
        <w:t xml:space="preserve"> removed the burden previously associated with that paragraph. </w:t>
      </w:r>
    </w:p>
    <w:p w:rsidR="0004439B" w:rsidP="00055095" w14:paraId="3286397D" w14:textId="77777777">
      <w:pPr>
        <w:spacing w:after="0"/>
        <w:rPr>
          <w:rFonts w:cs="Calibri"/>
          <w:szCs w:val="24"/>
        </w:rPr>
      </w:pPr>
    </w:p>
    <w:p w:rsidR="0004439B" w:rsidP="00055095" w14:paraId="62584AD9" w14:textId="77777777">
      <w:pPr>
        <w:spacing w:after="0"/>
        <w:rPr>
          <w:rFonts w:cs="Calibri"/>
          <w:szCs w:val="24"/>
        </w:rPr>
      </w:pPr>
      <w:r>
        <w:rPr>
          <w:rFonts w:cs="Calibri"/>
          <w:szCs w:val="24"/>
        </w:rPr>
        <w:t>A</w:t>
      </w:r>
      <w:r w:rsidRPr="00055095">
        <w:rPr>
          <w:rFonts w:cs="Calibri"/>
          <w:szCs w:val="24"/>
        </w:rPr>
        <w:t>ffected entity</w:t>
      </w:r>
      <w:r w:rsidRPr="00055095">
        <w:rPr>
          <w:rFonts w:cs="Calibri"/>
          <w:szCs w:val="24"/>
        </w:rPr>
        <w:tab/>
      </w:r>
      <w:r>
        <w:rPr>
          <w:rFonts w:cs="Calibri"/>
          <w:szCs w:val="24"/>
        </w:rPr>
        <w:tab/>
      </w:r>
      <w:r w:rsidRPr="00055095">
        <w:rPr>
          <w:rFonts w:cs="Calibri"/>
          <w:szCs w:val="24"/>
        </w:rPr>
        <w:t># of Respondents</w:t>
      </w:r>
      <w:r w:rsidRPr="00055095">
        <w:rPr>
          <w:rFonts w:cs="Calibri"/>
          <w:szCs w:val="24"/>
        </w:rPr>
        <w:tab/>
        <w:t># of Responses</w:t>
      </w:r>
      <w:r w:rsidRPr="00055095">
        <w:rPr>
          <w:rFonts w:cs="Calibri"/>
          <w:szCs w:val="24"/>
        </w:rPr>
        <w:tab/>
        <w:t>Hrs/Response</w:t>
      </w:r>
      <w:r w:rsidRPr="00055095">
        <w:rPr>
          <w:rFonts w:cs="Calibri"/>
          <w:szCs w:val="24"/>
        </w:rPr>
        <w:tab/>
        <w:t xml:space="preserve">  Total</w:t>
      </w:r>
      <w:r w:rsidRPr="00055095">
        <w:rPr>
          <w:rFonts w:cs="Calibri"/>
          <w:szCs w:val="24"/>
        </w:rPr>
        <w:t xml:space="preserve"> Burden</w:t>
      </w:r>
    </w:p>
    <w:p w:rsidR="0004439B" w:rsidRPr="0004439B" w:rsidP="0004439B" w14:paraId="703C49E2" w14:textId="77777777">
      <w:pPr>
        <w:rPr>
          <w:rFonts w:cs="Calibri"/>
          <w:szCs w:val="24"/>
        </w:rPr>
      </w:pPr>
      <w:r w:rsidRPr="0004439B">
        <w:rPr>
          <w:rFonts w:cs="Calibri"/>
          <w:szCs w:val="24"/>
        </w:rPr>
        <w:t>Proprietary Institutions</w:t>
      </w:r>
      <w:r>
        <w:rPr>
          <w:rFonts w:cs="Calibri"/>
          <w:szCs w:val="24"/>
        </w:rPr>
        <w:tab/>
      </w:r>
      <w:r w:rsidRPr="0004439B">
        <w:rPr>
          <w:rFonts w:cs="Calibri"/>
          <w:szCs w:val="24"/>
        </w:rPr>
        <w:tab/>
        <w:t>-944</w:t>
      </w:r>
      <w:r w:rsidRPr="0004439B">
        <w:rPr>
          <w:rFonts w:cs="Calibri"/>
          <w:szCs w:val="24"/>
        </w:rPr>
        <w:tab/>
      </w:r>
      <w:r w:rsidRPr="0004439B">
        <w:rPr>
          <w:rFonts w:cs="Calibri"/>
          <w:szCs w:val="24"/>
        </w:rPr>
        <w:tab/>
      </w:r>
      <w:r w:rsidRPr="0004439B">
        <w:rPr>
          <w:rFonts w:cs="Calibri"/>
          <w:szCs w:val="24"/>
        </w:rPr>
        <w:tab/>
        <w:t>-944</w:t>
      </w:r>
      <w:r w:rsidRPr="0004439B">
        <w:rPr>
          <w:rFonts w:cs="Calibri"/>
          <w:szCs w:val="24"/>
        </w:rPr>
        <w:tab/>
        <w:t xml:space="preserve">  x</w:t>
      </w:r>
      <w:r w:rsidRPr="0004439B">
        <w:rPr>
          <w:rFonts w:cs="Calibri"/>
          <w:szCs w:val="24"/>
        </w:rPr>
        <w:t xml:space="preserve"> 5 hours</w:t>
      </w:r>
      <w:r w:rsidRPr="0004439B">
        <w:rPr>
          <w:rFonts w:cs="Calibri"/>
          <w:szCs w:val="24"/>
        </w:rPr>
        <w:tab/>
      </w:r>
      <w:r w:rsidRPr="0004439B">
        <w:rPr>
          <w:rFonts w:cs="Calibri"/>
          <w:szCs w:val="24"/>
        </w:rPr>
        <w:tab/>
        <w:t>-4,720</w:t>
      </w:r>
    </w:p>
    <w:p w:rsidR="0004439B" w:rsidRPr="00055095" w:rsidP="00055095" w14:paraId="53EB6840" w14:textId="77777777">
      <w:pPr>
        <w:spacing w:after="0"/>
        <w:rPr>
          <w:rFonts w:cs="Calibri"/>
          <w:szCs w:val="24"/>
        </w:rPr>
      </w:pPr>
      <w:r>
        <w:rPr>
          <w:rFonts w:cs="Calibri"/>
          <w:szCs w:val="24"/>
        </w:rPr>
        <w:t>Total</w:t>
      </w:r>
    </w:p>
    <w:p w:rsidR="00055095" w:rsidRPr="00055095" w:rsidP="00055095" w14:paraId="090B308D" w14:textId="77777777">
      <w:pPr>
        <w:spacing w:after="0"/>
        <w:rPr>
          <w:rFonts w:cs="Calibri"/>
          <w:szCs w:val="24"/>
        </w:rPr>
      </w:pPr>
      <w:r w:rsidRPr="00055095">
        <w:rPr>
          <w:rFonts w:cs="Calibri"/>
          <w:szCs w:val="24"/>
        </w:rPr>
        <w:t>Affected entity</w:t>
      </w:r>
      <w:r w:rsidRPr="00055095">
        <w:rPr>
          <w:rFonts w:cs="Calibri"/>
          <w:szCs w:val="24"/>
        </w:rPr>
        <w:tab/>
      </w:r>
      <w:r>
        <w:rPr>
          <w:rFonts w:cs="Calibri"/>
          <w:szCs w:val="24"/>
        </w:rPr>
        <w:tab/>
      </w:r>
      <w:r w:rsidRPr="00055095">
        <w:rPr>
          <w:rFonts w:cs="Calibri"/>
          <w:szCs w:val="24"/>
        </w:rPr>
        <w:t># of Respondents</w:t>
      </w:r>
      <w:r w:rsidRPr="00055095">
        <w:rPr>
          <w:rFonts w:cs="Calibri"/>
          <w:szCs w:val="24"/>
        </w:rPr>
        <w:tab/>
        <w:t># of Responses</w:t>
      </w:r>
      <w:r w:rsidRPr="00055095">
        <w:rPr>
          <w:rFonts w:cs="Calibri"/>
          <w:szCs w:val="24"/>
        </w:rPr>
        <w:tab/>
        <w:t>Hrs/Response</w:t>
      </w:r>
      <w:r w:rsidRPr="00055095">
        <w:rPr>
          <w:rFonts w:cs="Calibri"/>
          <w:szCs w:val="24"/>
        </w:rPr>
        <w:tab/>
        <w:t xml:space="preserve">  Total</w:t>
      </w:r>
      <w:r w:rsidRPr="00055095">
        <w:rPr>
          <w:rFonts w:cs="Calibri"/>
          <w:szCs w:val="24"/>
        </w:rPr>
        <w:t xml:space="preserve"> Burden</w:t>
      </w:r>
    </w:p>
    <w:p w:rsidR="00055095" w:rsidRPr="00055095" w:rsidP="00055095" w14:paraId="0D5247C6" w14:textId="77777777">
      <w:pPr>
        <w:spacing w:after="0"/>
        <w:rPr>
          <w:rFonts w:cs="Calibri"/>
          <w:szCs w:val="24"/>
        </w:rPr>
      </w:pPr>
    </w:p>
    <w:p w:rsidR="00055095" w:rsidRPr="00055095" w:rsidP="00055095" w14:paraId="28983366" w14:textId="77777777">
      <w:pPr>
        <w:spacing w:after="0"/>
        <w:rPr>
          <w:rFonts w:cs="Calibri"/>
          <w:szCs w:val="24"/>
        </w:rPr>
      </w:pPr>
      <w:r w:rsidRPr="00055095">
        <w:rPr>
          <w:rFonts w:cs="Calibri"/>
          <w:szCs w:val="24"/>
        </w:rPr>
        <w:t>Proprietary Institutions</w:t>
      </w:r>
      <w:r w:rsidRPr="00055095">
        <w:rPr>
          <w:rFonts w:cs="Calibri"/>
          <w:szCs w:val="24"/>
        </w:rPr>
        <w:tab/>
      </w:r>
      <w:r w:rsidR="00035CA5">
        <w:rPr>
          <w:rFonts w:cs="Calibri"/>
          <w:szCs w:val="24"/>
        </w:rPr>
        <w:tab/>
        <w:t>3,436</w:t>
      </w:r>
      <w:r w:rsidRPr="00055095">
        <w:rPr>
          <w:rFonts w:cs="Calibri"/>
          <w:szCs w:val="24"/>
        </w:rPr>
        <w:tab/>
      </w:r>
      <w:r w:rsidRPr="00055095">
        <w:rPr>
          <w:rFonts w:cs="Calibri"/>
          <w:szCs w:val="24"/>
        </w:rPr>
        <w:tab/>
      </w:r>
      <w:r>
        <w:rPr>
          <w:rFonts w:cs="Calibri"/>
          <w:szCs w:val="24"/>
        </w:rPr>
        <w:t xml:space="preserve">       </w:t>
      </w:r>
      <w:r w:rsidR="00035CA5">
        <w:rPr>
          <w:rFonts w:cs="Calibri"/>
          <w:szCs w:val="24"/>
        </w:rPr>
        <w:t>12,601</w:t>
      </w:r>
      <w:r w:rsidRPr="00055095">
        <w:rPr>
          <w:rFonts w:cs="Calibri"/>
          <w:szCs w:val="24"/>
        </w:rPr>
        <w:tab/>
        <w:t xml:space="preserve">    x </w:t>
      </w:r>
      <w:r w:rsidR="00035CA5">
        <w:rPr>
          <w:rFonts w:cs="Calibri"/>
          <w:szCs w:val="24"/>
        </w:rPr>
        <w:t>4</w:t>
      </w:r>
      <w:r w:rsidRPr="00055095">
        <w:rPr>
          <w:rFonts w:cs="Calibri"/>
          <w:szCs w:val="24"/>
        </w:rPr>
        <w:t xml:space="preserve"> hours</w:t>
      </w:r>
      <w:r w:rsidRPr="00055095">
        <w:rPr>
          <w:rFonts w:cs="Calibri"/>
          <w:szCs w:val="24"/>
        </w:rPr>
        <w:tab/>
      </w:r>
      <w:r w:rsidR="00035CA5">
        <w:rPr>
          <w:rFonts w:cs="Calibri"/>
          <w:szCs w:val="24"/>
        </w:rPr>
        <w:tab/>
        <w:t>8,197</w:t>
      </w:r>
    </w:p>
    <w:p w:rsidR="00E9797F" w:rsidRPr="00680EB6" w:rsidP="00055095" w14:paraId="71F899EE" w14:textId="77777777">
      <w:pPr>
        <w:spacing w:after="0"/>
        <w:rPr>
          <w:rFonts w:ascii="Times New Roman" w:hAnsi="Times New Roman"/>
        </w:rPr>
      </w:pPr>
    </w:p>
    <w:p w:rsidR="00B36517" w:rsidRPr="00680EB6" w:rsidP="000E4528" w14:paraId="69364368" w14:textId="77777777">
      <w:pPr>
        <w:pStyle w:val="ListParagraph"/>
        <w:tabs>
          <w:tab w:val="left" w:pos="-720"/>
        </w:tabs>
        <w:suppressAutoHyphens/>
        <w:ind w:left="0"/>
      </w:pPr>
      <w:r w:rsidRPr="000E4528">
        <w:rPr>
          <w:rFonts w:cs="Calibri"/>
          <w:szCs w:val="24"/>
        </w:rPr>
        <w:t xml:space="preserve">We estimate the cost to institutional respondents, based on $44.41 per burden hour, </w:t>
      </w:r>
      <w:r w:rsidR="0004439B">
        <w:rPr>
          <w:rFonts w:cs="Calibri"/>
          <w:szCs w:val="24"/>
        </w:rPr>
        <w:t>as</w:t>
      </w:r>
      <w:r w:rsidRPr="000E4528">
        <w:rPr>
          <w:rFonts w:cs="Calibri"/>
          <w:szCs w:val="24"/>
        </w:rPr>
        <w:t xml:space="preserve"> </w:t>
      </w:r>
      <w:r w:rsidR="00035CA5">
        <w:rPr>
          <w:rFonts w:cs="Calibri"/>
          <w:szCs w:val="24"/>
        </w:rPr>
        <w:t>$364,028.77</w:t>
      </w:r>
      <w:r w:rsidRPr="000E4528">
        <w:rPr>
          <w:rFonts w:cs="Calibri"/>
          <w:szCs w:val="24"/>
        </w:rPr>
        <w:t xml:space="preserve"> for</w:t>
      </w:r>
      <w:r w:rsidR="007C5378">
        <w:rPr>
          <w:rFonts w:cs="Calibri"/>
          <w:szCs w:val="24"/>
        </w:rPr>
        <w:t xml:space="preserve"> </w:t>
      </w:r>
      <w:r w:rsidR="00035CA5">
        <w:rPr>
          <w:rFonts w:cs="Calibri"/>
          <w:szCs w:val="24"/>
        </w:rPr>
        <w:t>8,197</w:t>
      </w:r>
      <w:r w:rsidR="007C5378">
        <w:rPr>
          <w:rFonts w:cs="Calibri"/>
          <w:szCs w:val="24"/>
        </w:rPr>
        <w:t xml:space="preserve"> burden hours</w:t>
      </w:r>
      <w:r w:rsidRPr="000E4528">
        <w:rPr>
          <w:rFonts w:cs="Calibri"/>
          <w:szCs w:val="24"/>
        </w:rPr>
        <w:t>.</w:t>
      </w: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50755" w:rsidRPr="00623604" w:rsidP="00623604" w14:paraId="32813067" w14:textId="77777777">
    <w:pPr>
      <w:spacing w:after="0"/>
      <w:rPr>
        <w:rFonts w:ascii="Times New Roman" w:hAnsi="Times New Roman"/>
        <w:sz w:val="20"/>
        <w:szCs w:val="20"/>
      </w:rPr>
    </w:pPr>
    <w:r w:rsidRPr="00623604">
      <w:rPr>
        <w:rFonts w:ascii="Times New Roman" w:hAnsi="Times New Roman"/>
        <w:sz w:val="20"/>
        <w:szCs w:val="20"/>
      </w:rPr>
      <w:t>1</w:t>
    </w:r>
    <w:r w:rsidRPr="00623604">
      <w:rPr>
        <w:rFonts w:ascii="Times New Roman" w:hAnsi="Times New Roman"/>
        <w:sz w:val="20"/>
        <w:szCs w:val="20"/>
      </w:rPr>
      <w:t>845-</w:t>
    </w:r>
    <w:r w:rsidR="001551AE">
      <w:rPr>
        <w:rFonts w:ascii="Times New Roman" w:hAnsi="Times New Roman"/>
        <w:sz w:val="20"/>
        <w:szCs w:val="20"/>
      </w:rPr>
      <w:t>0004</w:t>
    </w:r>
    <w:r w:rsidRPr="00623604">
      <w:rPr>
        <w:rFonts w:ascii="Times New Roman" w:hAnsi="Times New Roman"/>
        <w:sz w:val="20"/>
        <w:szCs w:val="20"/>
      </w:rPr>
      <w:t xml:space="preserve"> – Affected Public </w:t>
    </w:r>
    <w:r w:rsidRPr="00623604" w:rsidR="00CC2AA3">
      <w:rPr>
        <w:rFonts w:ascii="Times New Roman" w:hAnsi="Times New Roman"/>
        <w:sz w:val="20"/>
        <w:szCs w:val="20"/>
      </w:rPr>
      <w:t>–</w:t>
    </w:r>
    <w:r w:rsidRPr="00623604">
      <w:rPr>
        <w:rFonts w:ascii="Times New Roman" w:hAnsi="Times New Roman"/>
        <w:sz w:val="20"/>
        <w:szCs w:val="20"/>
      </w:rPr>
      <w:t xml:space="preserve"> </w:t>
    </w:r>
    <w:r w:rsidRPr="00623604" w:rsidR="00CC2AA3">
      <w:rPr>
        <w:rFonts w:ascii="Times New Roman" w:hAnsi="Times New Roman"/>
        <w:sz w:val="20"/>
        <w:szCs w:val="20"/>
      </w:rPr>
      <w:t>For-Profit Institutions</w:t>
    </w:r>
    <w:r w:rsidRPr="00623604">
      <w:rPr>
        <w:rFonts w:ascii="Times New Roman" w:hAnsi="Times New Roman"/>
        <w:sz w:val="20"/>
        <w:szCs w:val="20"/>
      </w:rPr>
      <w:t xml:space="preserve"> </w:t>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Pr="00623604">
      <w:rPr>
        <w:rFonts w:ascii="Times New Roman" w:hAnsi="Times New Roman"/>
        <w:sz w:val="20"/>
        <w:szCs w:val="20"/>
      </w:rPr>
      <w:tab/>
    </w:r>
    <w:r w:rsidR="0004439B">
      <w:rPr>
        <w:rFonts w:ascii="Times New Roman" w:hAnsi="Times New Roman"/>
        <w:sz w:val="20"/>
        <w:szCs w:val="20"/>
      </w:rPr>
      <w:t>9/28</w:t>
    </w:r>
    <w:r w:rsidR="00055095">
      <w:rPr>
        <w:rFonts w:ascii="Times New Roman" w:hAnsi="Times New Roman"/>
        <w:sz w:val="20"/>
        <w:szCs w:val="20"/>
      </w:rPr>
      <w:t>/2022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35CA5"/>
    <w:rsid w:val="0004439B"/>
    <w:rsid w:val="00055095"/>
    <w:rsid w:val="000659DF"/>
    <w:rsid w:val="000A1BE7"/>
    <w:rsid w:val="000C7F79"/>
    <w:rsid w:val="000E4528"/>
    <w:rsid w:val="000E5548"/>
    <w:rsid w:val="00123962"/>
    <w:rsid w:val="00151CC7"/>
    <w:rsid w:val="001551AE"/>
    <w:rsid w:val="00177EFF"/>
    <w:rsid w:val="001970AD"/>
    <w:rsid w:val="002A08C5"/>
    <w:rsid w:val="003C2435"/>
    <w:rsid w:val="004731A1"/>
    <w:rsid w:val="00482525"/>
    <w:rsid w:val="004C409E"/>
    <w:rsid w:val="004C61C7"/>
    <w:rsid w:val="00557675"/>
    <w:rsid w:val="005641F6"/>
    <w:rsid w:val="005967DA"/>
    <w:rsid w:val="00623604"/>
    <w:rsid w:val="00680EB6"/>
    <w:rsid w:val="006C2F85"/>
    <w:rsid w:val="007A1500"/>
    <w:rsid w:val="007C5378"/>
    <w:rsid w:val="008206A8"/>
    <w:rsid w:val="008309AF"/>
    <w:rsid w:val="00873803"/>
    <w:rsid w:val="00926062"/>
    <w:rsid w:val="00985B38"/>
    <w:rsid w:val="00992CC3"/>
    <w:rsid w:val="00A939E6"/>
    <w:rsid w:val="00B16783"/>
    <w:rsid w:val="00B36517"/>
    <w:rsid w:val="00B56F7D"/>
    <w:rsid w:val="00B67445"/>
    <w:rsid w:val="00B81F78"/>
    <w:rsid w:val="00C22F7B"/>
    <w:rsid w:val="00C50755"/>
    <w:rsid w:val="00C65831"/>
    <w:rsid w:val="00CA0A58"/>
    <w:rsid w:val="00CC2AA3"/>
    <w:rsid w:val="00DB3DD2"/>
    <w:rsid w:val="00E44026"/>
    <w:rsid w:val="00E9797F"/>
    <w:rsid w:val="00EB0474"/>
    <w:rsid w:val="00EB3C27"/>
    <w:rsid w:val="00F54CA9"/>
    <w:rsid w:val="00F73584"/>
    <w:rsid w:val="00FB1773"/>
    <w:rsid w:val="00FE26B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92CBE6"/>
  <w15:chartTrackingRefBased/>
  <w15:docId w15:val="{48BF31D5-795B-4B1C-BDE8-70115EC73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1448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Grebeldinger</dc:creator>
  <cp:lastModifiedBy>Mullan, Kate</cp:lastModifiedBy>
  <cp:revision>2</cp:revision>
  <cp:lastPrinted>2013-02-27T15:20:00Z</cp:lastPrinted>
  <dcterms:created xsi:type="dcterms:W3CDTF">2022-09-28T19:29:00Z</dcterms:created>
  <dcterms:modified xsi:type="dcterms:W3CDTF">2022-09-28T19:29:00Z</dcterms:modified>
</cp:coreProperties>
</file>