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680D" w:rsidP="0005680D" w:rsidRDefault="0005680D" w14:paraId="7B098020" w14:textId="52755FC7">
      <w:pPr>
        <w:tabs>
          <w:tab w:val="left" w:pos="1080"/>
        </w:tabs>
        <w:ind w:left="1080" w:hanging="1080"/>
      </w:pPr>
      <w:r w:rsidRPr="004E0796">
        <w:rPr>
          <w:b/>
          <w:bCs/>
        </w:rPr>
        <w:t>To:</w:t>
      </w:r>
      <w:r w:rsidRPr="004E0796">
        <w:tab/>
      </w:r>
      <w:r w:rsidR="00955861">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60A1BC94">
      <w:pPr>
        <w:tabs>
          <w:tab w:val="left" w:pos="1080"/>
        </w:tabs>
        <w:ind w:left="1080" w:hanging="1080"/>
      </w:pPr>
      <w:r w:rsidRPr="004E0796">
        <w:rPr>
          <w:b/>
          <w:bCs/>
        </w:rPr>
        <w:t>From:</w:t>
      </w:r>
      <w:r w:rsidRPr="004E0796">
        <w:tab/>
      </w:r>
      <w:r w:rsidR="00867799">
        <w:t>Mary Mueggenborg and Laura Hoard</w:t>
      </w:r>
    </w:p>
    <w:p w:rsidR="0005680D" w:rsidP="0005680D" w:rsidRDefault="0005680D" w14:paraId="48DB0716" w14:textId="44B396E7">
      <w:pPr>
        <w:tabs>
          <w:tab w:val="left" w:pos="1080"/>
        </w:tabs>
        <w:ind w:left="1080" w:hanging="1080"/>
      </w:pPr>
      <w:r>
        <w:rPr>
          <w:b/>
          <w:bCs/>
        </w:rPr>
        <w:tab/>
      </w:r>
      <w:r w:rsidRPr="004E0796">
        <w:t>Office of Planning, Research</w:t>
      </w:r>
      <w:r w:rsidR="00955861">
        <w:t>,</w:t>
      </w:r>
      <w:r w:rsidRPr="004E0796">
        <w:t xml:space="preserve">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5E5DA7F7">
      <w:pPr>
        <w:tabs>
          <w:tab w:val="left" w:pos="1080"/>
        </w:tabs>
      </w:pPr>
      <w:r w:rsidRPr="004E0796">
        <w:rPr>
          <w:b/>
          <w:bCs/>
        </w:rPr>
        <w:t>Date:</w:t>
      </w:r>
      <w:r w:rsidRPr="004E0796">
        <w:tab/>
      </w:r>
      <w:r w:rsidR="00DA2296">
        <w:t>November 1</w:t>
      </w:r>
      <w:r w:rsidR="00867799">
        <w:t>, 2021</w:t>
      </w:r>
    </w:p>
    <w:p w:rsidRPr="004E0796" w:rsidR="0005680D" w:rsidP="0005680D" w:rsidRDefault="0005680D" w14:paraId="7B991363" w14:textId="77777777">
      <w:pPr>
        <w:tabs>
          <w:tab w:val="left" w:pos="1080"/>
        </w:tabs>
      </w:pPr>
    </w:p>
    <w:p w:rsidR="0005680D" w:rsidP="0005680D" w:rsidRDefault="0005680D" w14:paraId="3A89B6CD" w14:textId="5D3C81D0">
      <w:pPr>
        <w:pBdr>
          <w:bottom w:val="single" w:color="auto" w:sz="12" w:space="1"/>
        </w:pBdr>
        <w:tabs>
          <w:tab w:val="left" w:pos="1080"/>
        </w:tabs>
        <w:ind w:left="1080" w:hanging="1080"/>
      </w:pPr>
      <w:r w:rsidRPr="004E0796">
        <w:rPr>
          <w:b/>
          <w:bCs/>
        </w:rPr>
        <w:t>Subject:</w:t>
      </w:r>
      <w:r w:rsidRPr="004E0796">
        <w:tab/>
      </w:r>
      <w:proofErr w:type="spellStart"/>
      <w:r>
        <w:t>NonSubstantive</w:t>
      </w:r>
      <w:proofErr w:type="spellEnd"/>
      <w:r>
        <w:t xml:space="preserve"> Change Request – </w:t>
      </w:r>
      <w:r w:rsidRPr="0058411F" w:rsidR="00867799">
        <w:t>Building Capacity to Evaluate Child Welfare Community Collaborations to Strengthen and Preserve Families (CWCC) Cross-Site Process Evaluation</w:t>
      </w:r>
      <w:r w:rsidR="00867799">
        <w:t xml:space="preserve"> (OMB #0970-0541)</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1911EE82">
      <w:r>
        <w:t xml:space="preserve">This memo requests approval of </w:t>
      </w:r>
      <w:proofErr w:type="spellStart"/>
      <w:r>
        <w:t>nonsubstantive</w:t>
      </w:r>
      <w:proofErr w:type="spellEnd"/>
      <w:r>
        <w:t xml:space="preserve"> changes to the approved information collection, </w:t>
      </w:r>
      <w:r w:rsidRPr="0058411F" w:rsidR="00867799">
        <w:t>Building Capacity to Evaluate Child Welfare Community Collaborations to Strengthen and Preserve Families (CWCC) Cross-Site Process Evaluation</w:t>
      </w:r>
      <w:r w:rsidR="00867799">
        <w:t xml:space="preserve"> (OMB #0970-0541)</w:t>
      </w:r>
      <w:r>
        <w:t xml:space="preserve">. </w:t>
      </w:r>
    </w:p>
    <w:p w:rsidR="0005680D" w:rsidP="0005680D" w:rsidRDefault="0005680D" w14:paraId="6BF529D8" w14:textId="77777777"/>
    <w:p w:rsidR="0005680D" w:rsidP="0005680D" w:rsidRDefault="0005680D" w14:paraId="37532181" w14:textId="77777777">
      <w:pPr>
        <w:spacing w:after="120"/>
      </w:pPr>
      <w:r>
        <w:rPr>
          <w:b/>
          <w:i/>
        </w:rPr>
        <w:t>Background</w:t>
      </w:r>
    </w:p>
    <w:p w:rsidR="00BC2F02" w:rsidP="00BC2F02" w:rsidRDefault="00955861" w14:paraId="7CB00354" w14:textId="39E3664A">
      <w:pPr>
        <w:pStyle w:val="BodyText"/>
        <w:rPr>
          <w:rFonts w:eastAsia="Tahoma"/>
          <w:kern w:val="1"/>
          <w:sz w:val="24"/>
          <w:szCs w:val="24"/>
        </w:rPr>
      </w:pPr>
      <w:r>
        <w:t xml:space="preserve">The </w:t>
      </w:r>
      <w:r w:rsidRPr="00153DB0" w:rsidR="00BC2F02">
        <w:rPr>
          <w:rFonts w:eastAsia="Tahoma"/>
          <w:kern w:val="1"/>
          <w:sz w:val="24"/>
          <w:szCs w:val="24"/>
        </w:rPr>
        <w:t>Building Capacity to Evaluate Child Welfare Community Collaborations to Strengthen and Preserve Families (CWCC) Cross-Site Process Evaluation</w:t>
      </w:r>
      <w:r w:rsidR="000505CA">
        <w:rPr>
          <w:rFonts w:eastAsia="Tahoma"/>
          <w:kern w:val="1"/>
          <w:sz w:val="24"/>
          <w:szCs w:val="24"/>
        </w:rPr>
        <w:t xml:space="preserve"> is</w:t>
      </w:r>
      <w:r w:rsidRPr="00153DB0" w:rsidR="00BC2F02">
        <w:rPr>
          <w:rFonts w:eastAsia="Tahoma"/>
          <w:kern w:val="1"/>
          <w:sz w:val="24"/>
          <w:szCs w:val="24"/>
        </w:rPr>
        <w:t xml:space="preserve"> designed to help OPRE and </w:t>
      </w:r>
      <w:r w:rsidR="00BC2F02">
        <w:rPr>
          <w:rFonts w:eastAsia="Tahoma"/>
          <w:kern w:val="1"/>
          <w:sz w:val="24"/>
          <w:szCs w:val="24"/>
        </w:rPr>
        <w:t>the Children’s Bureau (</w:t>
      </w:r>
      <w:r w:rsidRPr="00153DB0" w:rsidR="00BC2F02">
        <w:rPr>
          <w:rFonts w:eastAsia="Tahoma"/>
          <w:kern w:val="1"/>
          <w:sz w:val="24"/>
          <w:szCs w:val="24"/>
        </w:rPr>
        <w:t>CB</w:t>
      </w:r>
      <w:r w:rsidR="00BC2F02">
        <w:rPr>
          <w:rFonts w:eastAsia="Tahoma"/>
          <w:kern w:val="1"/>
          <w:sz w:val="24"/>
          <w:szCs w:val="24"/>
        </w:rPr>
        <w:t>)</w:t>
      </w:r>
      <w:r w:rsidRPr="00153DB0" w:rsidR="00BC2F02">
        <w:rPr>
          <w:rFonts w:eastAsia="Tahoma"/>
          <w:kern w:val="1"/>
          <w:sz w:val="24"/>
          <w:szCs w:val="24"/>
        </w:rPr>
        <w:t xml:space="preserve"> understand how communities come together to develop and implement integrated approaches to preventing child maltreatment. </w:t>
      </w:r>
      <w:r w:rsidR="00BC2F02">
        <w:rPr>
          <w:rFonts w:eastAsia="Tahoma"/>
          <w:kern w:val="1"/>
          <w:sz w:val="24"/>
          <w:szCs w:val="24"/>
        </w:rPr>
        <w:t>The</w:t>
      </w:r>
      <w:r w:rsidRPr="00153DB0" w:rsidR="00BC2F02">
        <w:rPr>
          <w:rFonts w:eastAsia="Tahoma"/>
          <w:kern w:val="1"/>
          <w:sz w:val="24"/>
          <w:szCs w:val="24"/>
        </w:rPr>
        <w:t xml:space="preserve"> cross-site evaluation includes documenting project and organizational leadership approaches, service integration and alignment strategies, and recruitment and assessment methods to identify and serve families most in need of prevention services. The study will provide a rich, detailed description of how grantees work to achieve their projects’ goals and illuminate challenges and strategies for doing this work.</w:t>
      </w:r>
    </w:p>
    <w:p w:rsidR="00BC2F02" w:rsidP="00BC2F02" w:rsidRDefault="00BC2F02" w14:paraId="077CAD46" w14:textId="77777777">
      <w:pPr>
        <w:pStyle w:val="BodyText"/>
        <w:rPr>
          <w:rFonts w:eastAsia="Tahoma"/>
          <w:kern w:val="1"/>
          <w:sz w:val="24"/>
          <w:szCs w:val="24"/>
        </w:rPr>
      </w:pPr>
    </w:p>
    <w:p w:rsidR="00BC2F02" w:rsidP="00BC2F02" w:rsidRDefault="00BC2F02" w14:paraId="550FFE5E" w14:textId="21F24AB3">
      <w:pPr>
        <w:pStyle w:val="BodyText"/>
        <w:rPr>
          <w:rFonts w:eastAsia="Tahoma"/>
          <w:kern w:val="1"/>
          <w:sz w:val="24"/>
          <w:szCs w:val="24"/>
        </w:rPr>
      </w:pPr>
      <w:r>
        <w:rPr>
          <w:rFonts w:eastAsia="Tahoma"/>
          <w:kern w:val="1"/>
          <w:sz w:val="24"/>
          <w:szCs w:val="24"/>
        </w:rPr>
        <w:t xml:space="preserve">This study uses three modes of data collection: Document review, Survey, and In-person Site Interviews. </w:t>
      </w:r>
      <w:r w:rsidR="00955861">
        <w:rPr>
          <w:rFonts w:eastAsia="Tahoma"/>
          <w:kern w:val="1"/>
          <w:sz w:val="24"/>
          <w:szCs w:val="24"/>
        </w:rPr>
        <w:t xml:space="preserve">In February 2020, OMB approved a new request that </w:t>
      </w:r>
      <w:r>
        <w:rPr>
          <w:rFonts w:eastAsia="Tahoma"/>
          <w:kern w:val="1"/>
          <w:sz w:val="24"/>
          <w:szCs w:val="24"/>
        </w:rPr>
        <w:t xml:space="preserve">included instruments for: </w:t>
      </w:r>
    </w:p>
    <w:p w:rsidR="00BC2F02" w:rsidP="00BC2F02" w:rsidRDefault="00BC2F02" w14:paraId="100DC225" w14:textId="77777777">
      <w:pPr>
        <w:pStyle w:val="BodyText"/>
        <w:numPr>
          <w:ilvl w:val="0"/>
          <w:numId w:val="2"/>
        </w:numPr>
        <w:rPr>
          <w:rFonts w:eastAsia="Tahoma"/>
          <w:kern w:val="1"/>
          <w:sz w:val="24"/>
          <w:szCs w:val="24"/>
        </w:rPr>
      </w:pPr>
      <w:r>
        <w:rPr>
          <w:rFonts w:eastAsia="Tahoma"/>
          <w:kern w:val="1"/>
          <w:sz w:val="24"/>
          <w:szCs w:val="24"/>
        </w:rPr>
        <w:t>Recruiting survey sample and fielding a survey, annually; and</w:t>
      </w:r>
    </w:p>
    <w:p w:rsidRPr="00252AF8" w:rsidR="0005680D" w:rsidP="00BC2F02" w:rsidRDefault="00BC2F02" w14:paraId="0B392A35" w14:textId="1BDD3382">
      <w:pPr>
        <w:pStyle w:val="BodyText"/>
        <w:numPr>
          <w:ilvl w:val="0"/>
          <w:numId w:val="2"/>
        </w:numPr>
        <w:rPr>
          <w:rFonts w:eastAsia="Tahoma"/>
          <w:kern w:val="1"/>
          <w:sz w:val="28"/>
          <w:szCs w:val="28"/>
        </w:rPr>
      </w:pPr>
      <w:r w:rsidRPr="00252AF8">
        <w:rPr>
          <w:rFonts w:eastAsia="Tahoma"/>
          <w:sz w:val="24"/>
          <w:szCs w:val="22"/>
        </w:rPr>
        <w:t>Conducting in-person semi-structured interviews, annually.</w:t>
      </w:r>
    </w:p>
    <w:p w:rsidR="00BC2F02" w:rsidP="0005680D" w:rsidRDefault="00BC2F02" w14:paraId="6E956B32" w14:textId="77777777"/>
    <w:p w:rsidR="00BC2F02" w:rsidP="0005680D" w:rsidRDefault="00BC2F02" w14:paraId="74355F86" w14:textId="20F7DB56">
      <w:r>
        <w:t xml:space="preserve">In December 2020, OMB approved </w:t>
      </w:r>
      <w:proofErr w:type="spellStart"/>
      <w:r>
        <w:t>nonsubstantive</w:t>
      </w:r>
      <w:proofErr w:type="spellEnd"/>
      <w:r>
        <w:t xml:space="preserve"> changes to protocols aimed at:</w:t>
      </w:r>
    </w:p>
    <w:p w:rsidR="00BC2F02" w:rsidP="00BC2F02" w:rsidRDefault="00BC2F02" w14:paraId="5E397636" w14:textId="77777777">
      <w:pPr>
        <w:pStyle w:val="BodyText"/>
        <w:numPr>
          <w:ilvl w:val="0"/>
          <w:numId w:val="2"/>
        </w:numPr>
        <w:rPr>
          <w:rFonts w:eastAsia="Tahoma"/>
          <w:kern w:val="1"/>
          <w:sz w:val="24"/>
          <w:szCs w:val="24"/>
        </w:rPr>
      </w:pPr>
      <w:r>
        <w:rPr>
          <w:rFonts w:eastAsia="Tahoma"/>
          <w:kern w:val="1"/>
          <w:sz w:val="24"/>
          <w:szCs w:val="24"/>
        </w:rPr>
        <w:t>A</w:t>
      </w:r>
      <w:r w:rsidRPr="00BC2F02">
        <w:rPr>
          <w:rFonts w:eastAsia="Tahoma"/>
          <w:kern w:val="1"/>
          <w:sz w:val="24"/>
          <w:szCs w:val="24"/>
        </w:rPr>
        <w:t xml:space="preserve">cknowledging the unforeseen and challenging effects of the COVID-19 </w:t>
      </w:r>
      <w:proofErr w:type="gramStart"/>
      <w:r w:rsidRPr="00BC2F02">
        <w:rPr>
          <w:rFonts w:eastAsia="Tahoma"/>
          <w:kern w:val="1"/>
          <w:sz w:val="24"/>
          <w:szCs w:val="24"/>
        </w:rPr>
        <w:t>pandemic;</w:t>
      </w:r>
      <w:proofErr w:type="gramEnd"/>
      <w:r w:rsidRPr="00BC2F02">
        <w:rPr>
          <w:rFonts w:eastAsia="Tahoma"/>
          <w:kern w:val="1"/>
          <w:sz w:val="24"/>
          <w:szCs w:val="24"/>
        </w:rPr>
        <w:t xml:space="preserve"> </w:t>
      </w:r>
    </w:p>
    <w:p w:rsidR="00BC2F02" w:rsidP="00BC2F02" w:rsidRDefault="00BC2F02" w14:paraId="2FEBC3AC" w14:textId="77777777">
      <w:pPr>
        <w:pStyle w:val="BodyText"/>
        <w:numPr>
          <w:ilvl w:val="0"/>
          <w:numId w:val="2"/>
        </w:numPr>
        <w:rPr>
          <w:rFonts w:eastAsia="Tahoma"/>
          <w:kern w:val="1"/>
          <w:sz w:val="24"/>
          <w:szCs w:val="24"/>
        </w:rPr>
      </w:pPr>
      <w:r>
        <w:rPr>
          <w:rFonts w:eastAsia="Tahoma"/>
          <w:kern w:val="1"/>
          <w:sz w:val="24"/>
          <w:szCs w:val="24"/>
        </w:rPr>
        <w:t>S</w:t>
      </w:r>
      <w:r w:rsidRPr="00BC2F02">
        <w:rPr>
          <w:rFonts w:eastAsia="Tahoma"/>
          <w:kern w:val="1"/>
          <w:sz w:val="24"/>
          <w:szCs w:val="24"/>
        </w:rPr>
        <w:t xml:space="preserve">hifting from in-person to virtual interviews (teleconference); and </w:t>
      </w:r>
    </w:p>
    <w:p w:rsidR="0005680D" w:rsidP="00BC2F02" w:rsidRDefault="00BC2F02" w14:paraId="2B14ECA7" w14:textId="41B39E7D">
      <w:pPr>
        <w:pStyle w:val="BodyText"/>
        <w:numPr>
          <w:ilvl w:val="0"/>
          <w:numId w:val="2"/>
        </w:numPr>
        <w:rPr>
          <w:rFonts w:eastAsia="Tahoma"/>
          <w:kern w:val="1"/>
          <w:sz w:val="24"/>
          <w:szCs w:val="24"/>
        </w:rPr>
      </w:pPr>
      <w:r>
        <w:rPr>
          <w:rFonts w:eastAsia="Tahoma"/>
          <w:kern w:val="1"/>
          <w:sz w:val="24"/>
          <w:szCs w:val="24"/>
        </w:rPr>
        <w:t>A</w:t>
      </w:r>
      <w:r w:rsidRPr="00BC2F02">
        <w:rPr>
          <w:rFonts w:eastAsia="Tahoma"/>
          <w:kern w:val="1"/>
          <w:sz w:val="24"/>
          <w:szCs w:val="24"/>
        </w:rPr>
        <w:t>dding COVID-19-related probes to interview questions about both challenges and strategies</w:t>
      </w:r>
      <w:r>
        <w:rPr>
          <w:rFonts w:eastAsia="Tahoma"/>
          <w:kern w:val="1"/>
          <w:sz w:val="24"/>
          <w:szCs w:val="24"/>
        </w:rPr>
        <w:t>.</w:t>
      </w:r>
    </w:p>
    <w:p w:rsidR="00BC2F02" w:rsidP="00BC2F02" w:rsidRDefault="00BC2F02" w14:paraId="22D3F7BB" w14:textId="4B1C8150">
      <w:pPr>
        <w:pStyle w:val="BodyText"/>
        <w:rPr>
          <w:rFonts w:eastAsia="Tahoma"/>
          <w:kern w:val="1"/>
          <w:sz w:val="24"/>
          <w:szCs w:val="24"/>
        </w:rPr>
      </w:pPr>
    </w:p>
    <w:p w:rsidR="00B61919" w:rsidP="006506EC" w:rsidRDefault="00955861" w14:paraId="1F99A6A4" w14:textId="3EF011D0">
      <w:r>
        <w:t>CWCC grantees are conducting their own local evaluations</w:t>
      </w:r>
      <w:r w:rsidR="00F71A3F">
        <w:t>, and the Cross-Site Process Evaluation study team aims to minimize redundancy between the local and cross-site evaluations</w:t>
      </w:r>
      <w:r>
        <w:t xml:space="preserve">. </w:t>
      </w:r>
      <w:r w:rsidR="00D95CD2">
        <w:t>The</w:t>
      </w:r>
      <w:r>
        <w:t xml:space="preserve"> </w:t>
      </w:r>
      <w:r w:rsidRPr="00153DB0">
        <w:t xml:space="preserve">Cross-Site Process Evaluation </w:t>
      </w:r>
      <w:r>
        <w:t xml:space="preserve">study team received a request from </w:t>
      </w:r>
      <w:r w:rsidR="00B61919">
        <w:t>CWCC grantees’ local evaluators</w:t>
      </w:r>
      <w:r w:rsidR="00A90111">
        <w:t xml:space="preserve"> for </w:t>
      </w:r>
      <w:r w:rsidR="00D95CD2">
        <w:t xml:space="preserve">interview </w:t>
      </w:r>
      <w:r w:rsidR="00A90111">
        <w:t xml:space="preserve">transcripts from </w:t>
      </w:r>
      <w:r w:rsidR="00A264B0">
        <w:t xml:space="preserve">the </w:t>
      </w:r>
      <w:r w:rsidRPr="00153DB0" w:rsidR="00A264B0">
        <w:t xml:space="preserve">Cross-Site Process Evaluation </w:t>
      </w:r>
      <w:r w:rsidR="00A90111">
        <w:lastRenderedPageBreak/>
        <w:t xml:space="preserve">interviews </w:t>
      </w:r>
      <w:r w:rsidR="00A264B0">
        <w:t xml:space="preserve">for the purposes of the </w:t>
      </w:r>
      <w:r w:rsidR="00A90111">
        <w:t xml:space="preserve">local evaluation. While we cannot share transcripts with local evaluators, it is possible to share </w:t>
      </w:r>
      <w:r>
        <w:t>individual</w:t>
      </w:r>
      <w:r w:rsidR="00A90111">
        <w:t xml:space="preserve"> transcripts with interviewees themselves and they in turn could choose to share </w:t>
      </w:r>
      <w:r>
        <w:t>their own</w:t>
      </w:r>
      <w:r w:rsidR="00A90111">
        <w:t xml:space="preserve"> as they like. </w:t>
      </w:r>
      <w:r>
        <w:t>Sharing an individual’s interview transcript would provide the opportunity to reduce burden on CWCC grantees and their project participants</w:t>
      </w:r>
      <w:r w:rsidR="00D95CD2">
        <w:t xml:space="preserve"> because</w:t>
      </w:r>
      <w:r>
        <w:t xml:space="preserve"> if the participant then decided to share the transcript with the </w:t>
      </w:r>
      <w:r w:rsidR="00F71A3F">
        <w:t>local evaluator</w:t>
      </w:r>
      <w:r w:rsidR="00D95CD2">
        <w:t xml:space="preserve"> this</w:t>
      </w:r>
      <w:r>
        <w:t xml:space="preserve"> would reduce redundancy between the CWCC projects’ local process study interviews and the CWCC cross-site process evaluation interviews.</w:t>
      </w:r>
    </w:p>
    <w:p w:rsidRPr="00BC2F02" w:rsidR="00A90111" w:rsidP="00BC2F02" w:rsidRDefault="00A90111" w14:paraId="0E4DA390" w14:textId="77777777">
      <w:pPr>
        <w:pStyle w:val="BodyText"/>
        <w:rPr>
          <w:rFonts w:eastAsia="Tahoma"/>
          <w:kern w:val="1"/>
          <w:sz w:val="24"/>
          <w:szCs w:val="24"/>
        </w:rPr>
      </w:pPr>
    </w:p>
    <w:p w:rsidR="0005680D" w:rsidP="00D95CD2" w:rsidRDefault="0005680D" w14:paraId="5CC77B63" w14:textId="77777777">
      <w:pPr>
        <w:spacing w:after="120"/>
        <w:rPr>
          <w:b/>
          <w:i/>
        </w:rPr>
      </w:pPr>
      <w:r w:rsidRPr="0005680D">
        <w:rPr>
          <w:b/>
          <w:i/>
        </w:rPr>
        <w:t>Overview of Requested Changes</w:t>
      </w:r>
    </w:p>
    <w:p w:rsidR="0005680D" w:rsidP="00D95CD2" w:rsidRDefault="00D95CD2" w14:paraId="6BD5720F" w14:textId="69E14E09">
      <w:pPr>
        <w:spacing w:after="60"/>
      </w:pPr>
      <w:r>
        <w:t>We r</w:t>
      </w:r>
      <w:r w:rsidR="00BC2F02">
        <w:t xml:space="preserve">equest the following </w:t>
      </w:r>
      <w:proofErr w:type="spellStart"/>
      <w:r w:rsidR="00BC2F02">
        <w:t>nonsubstantive</w:t>
      </w:r>
      <w:proofErr w:type="spellEnd"/>
      <w:r w:rsidR="00BC2F02">
        <w:t xml:space="preserve"> changes:</w:t>
      </w:r>
    </w:p>
    <w:p w:rsidR="00BC2F02" w:rsidP="001216CF" w:rsidRDefault="00D95CD2" w14:paraId="33641149" w14:textId="037BA835">
      <w:pPr>
        <w:pStyle w:val="BodyText"/>
        <w:numPr>
          <w:ilvl w:val="0"/>
          <w:numId w:val="2"/>
        </w:numPr>
        <w:rPr>
          <w:rFonts w:eastAsia="Tahoma"/>
          <w:kern w:val="1"/>
          <w:sz w:val="24"/>
          <w:szCs w:val="24"/>
        </w:rPr>
      </w:pPr>
      <w:r>
        <w:rPr>
          <w:rFonts w:eastAsia="Tahoma"/>
          <w:kern w:val="1"/>
          <w:sz w:val="24"/>
          <w:szCs w:val="24"/>
        </w:rPr>
        <w:t>A</w:t>
      </w:r>
      <w:r w:rsidR="00367D9F">
        <w:rPr>
          <w:rFonts w:eastAsia="Tahoma"/>
          <w:kern w:val="1"/>
          <w:sz w:val="24"/>
          <w:szCs w:val="24"/>
        </w:rPr>
        <w:t>dd</w:t>
      </w:r>
      <w:r w:rsidR="001216CF">
        <w:rPr>
          <w:rFonts w:eastAsia="Tahoma"/>
          <w:kern w:val="1"/>
          <w:sz w:val="24"/>
          <w:szCs w:val="24"/>
        </w:rPr>
        <w:t xml:space="preserve"> language in the interview consent script offering respondents the option to receive the transcript of their own cross-site process study interviews, upon request.</w:t>
      </w:r>
    </w:p>
    <w:p w:rsidR="001216CF" w:rsidP="001216CF" w:rsidRDefault="006A540D" w14:paraId="726AC214" w14:textId="653825F3">
      <w:pPr>
        <w:pStyle w:val="BodyText"/>
        <w:numPr>
          <w:ilvl w:val="0"/>
          <w:numId w:val="2"/>
        </w:numPr>
        <w:rPr>
          <w:rFonts w:eastAsia="Tahoma"/>
          <w:kern w:val="1"/>
          <w:sz w:val="24"/>
          <w:szCs w:val="24"/>
        </w:rPr>
      </w:pPr>
      <w:r>
        <w:rPr>
          <w:rFonts w:eastAsia="Tahoma"/>
          <w:kern w:val="1"/>
          <w:sz w:val="24"/>
          <w:szCs w:val="24"/>
        </w:rPr>
        <w:t xml:space="preserve">After the interview has been completed, transcribed, and reviewed, CWCC cross-site interviewers </w:t>
      </w:r>
      <w:r w:rsidR="00B61919">
        <w:rPr>
          <w:rFonts w:eastAsia="Tahoma"/>
          <w:kern w:val="1"/>
          <w:sz w:val="24"/>
          <w:szCs w:val="24"/>
        </w:rPr>
        <w:t xml:space="preserve">will </w:t>
      </w:r>
      <w:r>
        <w:rPr>
          <w:rFonts w:eastAsia="Tahoma"/>
          <w:kern w:val="1"/>
          <w:sz w:val="24"/>
          <w:szCs w:val="24"/>
        </w:rPr>
        <w:t>securely share each transcript with the individual interviewed, upon request.</w:t>
      </w:r>
    </w:p>
    <w:p w:rsidR="001216CF" w:rsidP="001216CF" w:rsidRDefault="001216CF" w14:paraId="17E75E44" w14:textId="40102DF2">
      <w:pPr>
        <w:pStyle w:val="BodyText"/>
        <w:rPr>
          <w:rFonts w:eastAsia="Tahoma"/>
          <w:kern w:val="1"/>
          <w:sz w:val="24"/>
          <w:szCs w:val="24"/>
        </w:rPr>
      </w:pPr>
    </w:p>
    <w:p w:rsidRPr="00016BB8" w:rsidR="001216CF" w:rsidP="00D95CD2" w:rsidRDefault="001216CF" w14:paraId="47BF85AA" w14:textId="714D6156">
      <w:pPr>
        <w:pStyle w:val="BodyText"/>
        <w:spacing w:after="120"/>
        <w:rPr>
          <w:rFonts w:eastAsia="Tahoma"/>
          <w:kern w:val="1"/>
          <w:sz w:val="24"/>
          <w:szCs w:val="24"/>
          <w:u w:val="single"/>
        </w:rPr>
      </w:pPr>
      <w:r w:rsidRPr="00016BB8">
        <w:rPr>
          <w:rFonts w:eastAsia="Tahoma"/>
          <w:kern w:val="1"/>
          <w:sz w:val="24"/>
          <w:szCs w:val="24"/>
          <w:u w:val="single"/>
        </w:rPr>
        <w:t xml:space="preserve">Additional Consent Language </w:t>
      </w:r>
      <w:r w:rsidRPr="00016BB8" w:rsidR="006A540D">
        <w:rPr>
          <w:rFonts w:eastAsia="Tahoma"/>
          <w:kern w:val="1"/>
          <w:sz w:val="24"/>
          <w:szCs w:val="24"/>
          <w:u w:val="single"/>
        </w:rPr>
        <w:t xml:space="preserve">and Procedures </w:t>
      </w:r>
      <w:r w:rsidRPr="00016BB8">
        <w:rPr>
          <w:rFonts w:eastAsia="Tahoma"/>
          <w:kern w:val="1"/>
          <w:sz w:val="24"/>
          <w:szCs w:val="24"/>
          <w:u w:val="single"/>
        </w:rPr>
        <w:t>for Transcript Sharing</w:t>
      </w:r>
    </w:p>
    <w:p w:rsidR="001216CF" w:rsidP="001216CF" w:rsidRDefault="006A540D" w14:paraId="4EF28533" w14:textId="72C1FA0C">
      <w:pPr>
        <w:pStyle w:val="BodyText"/>
        <w:rPr>
          <w:rFonts w:eastAsia="Tahoma"/>
          <w:kern w:val="1"/>
          <w:sz w:val="24"/>
          <w:szCs w:val="24"/>
        </w:rPr>
      </w:pPr>
      <w:r w:rsidRPr="006A540D">
        <w:rPr>
          <w:rFonts w:eastAsia="Tahoma"/>
          <w:kern w:val="1"/>
          <w:sz w:val="24"/>
          <w:szCs w:val="24"/>
        </w:rPr>
        <w:t>With the aim of reducing burden on CWCC grantees and their project participants, we propose to share transcripts of individuals’ own interviews with the interviewees. They would then be able to share or not share any part of the interview transcript at their own discretion. We would make this option available to all grantees/interviewees.</w:t>
      </w:r>
      <w:r w:rsidR="001216CF">
        <w:rPr>
          <w:rFonts w:eastAsia="Tahoma"/>
          <w:kern w:val="1"/>
          <w:sz w:val="24"/>
          <w:szCs w:val="24"/>
        </w:rPr>
        <w:t xml:space="preserve"> </w:t>
      </w:r>
    </w:p>
    <w:p w:rsidR="006A540D" w:rsidP="001216CF" w:rsidRDefault="006A540D" w14:paraId="16A295A6" w14:textId="7653BB5F">
      <w:pPr>
        <w:pStyle w:val="BodyText"/>
        <w:rPr>
          <w:rFonts w:eastAsia="Tahoma"/>
          <w:kern w:val="1"/>
          <w:sz w:val="24"/>
          <w:szCs w:val="24"/>
        </w:rPr>
      </w:pPr>
    </w:p>
    <w:p w:rsidR="006A540D" w:rsidP="004834E8" w:rsidRDefault="006A540D" w14:paraId="054822F4" w14:textId="3F08C0D1">
      <w:pPr>
        <w:pStyle w:val="BodyText"/>
        <w:numPr>
          <w:ilvl w:val="0"/>
          <w:numId w:val="9"/>
        </w:numPr>
        <w:rPr>
          <w:rFonts w:eastAsia="Tahoma"/>
          <w:kern w:val="1"/>
          <w:sz w:val="24"/>
          <w:szCs w:val="24"/>
        </w:rPr>
      </w:pPr>
      <w:r>
        <w:rPr>
          <w:rFonts w:eastAsia="Tahoma"/>
          <w:kern w:val="1"/>
          <w:sz w:val="24"/>
          <w:szCs w:val="24"/>
        </w:rPr>
        <w:t xml:space="preserve">For interviews that have not yet been conducted, we would modify the interview consent language as follows in </w:t>
      </w:r>
      <w:r w:rsidRPr="00F523DD">
        <w:rPr>
          <w:rFonts w:eastAsia="Tahoma"/>
          <w:i/>
          <w:iCs/>
          <w:kern w:val="1"/>
          <w:sz w:val="24"/>
          <w:szCs w:val="24"/>
        </w:rPr>
        <w:t xml:space="preserve">Instrument </w:t>
      </w:r>
      <w:r w:rsidRPr="00F523DD" w:rsidR="00F523DD">
        <w:rPr>
          <w:rFonts w:eastAsia="Tahoma"/>
          <w:i/>
          <w:iCs/>
          <w:kern w:val="1"/>
          <w:sz w:val="24"/>
          <w:szCs w:val="24"/>
        </w:rPr>
        <w:t>6</w:t>
      </w:r>
      <w:r w:rsidRPr="00F523DD">
        <w:rPr>
          <w:rFonts w:eastAsia="Tahoma"/>
          <w:i/>
          <w:iCs/>
          <w:kern w:val="1"/>
          <w:sz w:val="24"/>
          <w:szCs w:val="24"/>
        </w:rPr>
        <w:t xml:space="preserve">: </w:t>
      </w:r>
      <w:bookmarkStart w:name="_Hlk83039558" w:id="0"/>
      <w:r w:rsidRPr="00F523DD">
        <w:rPr>
          <w:rFonts w:eastAsia="Tahoma"/>
          <w:i/>
          <w:iCs/>
          <w:kern w:val="1"/>
          <w:sz w:val="24"/>
          <w:szCs w:val="24"/>
        </w:rPr>
        <w:t xml:space="preserve">Site Visit Discussion Guide for Project Directors and </w:t>
      </w:r>
      <w:r w:rsidRPr="00F523DD" w:rsidR="00F523DD">
        <w:rPr>
          <w:rFonts w:eastAsia="Tahoma"/>
          <w:i/>
          <w:iCs/>
          <w:kern w:val="1"/>
          <w:sz w:val="24"/>
          <w:szCs w:val="24"/>
        </w:rPr>
        <w:t>Leaders from Partner Organizations – Follow-Up</w:t>
      </w:r>
      <w:r w:rsidRPr="00F523DD">
        <w:rPr>
          <w:rFonts w:eastAsia="Tahoma"/>
          <w:i/>
          <w:iCs/>
          <w:kern w:val="1"/>
          <w:sz w:val="24"/>
          <w:szCs w:val="24"/>
        </w:rPr>
        <w:t xml:space="preserve"> </w:t>
      </w:r>
      <w:r w:rsidRPr="00F523DD" w:rsidR="00F523DD">
        <w:rPr>
          <w:rFonts w:eastAsia="Tahoma"/>
          <w:i/>
          <w:iCs/>
          <w:kern w:val="1"/>
          <w:sz w:val="24"/>
          <w:szCs w:val="24"/>
        </w:rPr>
        <w:t>Interviews</w:t>
      </w:r>
      <w:r w:rsidR="00F523DD">
        <w:rPr>
          <w:rFonts w:eastAsia="Tahoma"/>
          <w:kern w:val="1"/>
          <w:sz w:val="24"/>
          <w:szCs w:val="24"/>
        </w:rPr>
        <w:t xml:space="preserve">, and </w:t>
      </w:r>
      <w:r w:rsidRPr="00F523DD" w:rsidR="00F523DD">
        <w:rPr>
          <w:rFonts w:eastAsia="Tahoma"/>
          <w:i/>
          <w:iCs/>
          <w:kern w:val="1"/>
          <w:sz w:val="24"/>
          <w:szCs w:val="24"/>
        </w:rPr>
        <w:t>Instrument 7: Site Visit Discussion Guide for Staff from Lead and Partner Organizations – Follow-Up Interviews</w:t>
      </w:r>
      <w:bookmarkEnd w:id="0"/>
      <w:r w:rsidR="00F523DD">
        <w:rPr>
          <w:rFonts w:eastAsia="Tahoma"/>
          <w:i/>
          <w:iCs/>
          <w:kern w:val="1"/>
          <w:sz w:val="24"/>
          <w:szCs w:val="24"/>
        </w:rPr>
        <w:t xml:space="preserve"> </w:t>
      </w:r>
      <w:r w:rsidR="00F523DD">
        <w:rPr>
          <w:rFonts w:eastAsia="Tahoma"/>
          <w:kern w:val="1"/>
          <w:sz w:val="24"/>
          <w:szCs w:val="24"/>
        </w:rPr>
        <w:t>(proposed change underlined)</w:t>
      </w:r>
      <w:r>
        <w:rPr>
          <w:rFonts w:eastAsia="Tahoma"/>
          <w:kern w:val="1"/>
          <w:sz w:val="24"/>
          <w:szCs w:val="24"/>
        </w:rPr>
        <w:t>:</w:t>
      </w:r>
    </w:p>
    <w:p w:rsidRPr="006A540D" w:rsidR="006A540D" w:rsidP="004834E8" w:rsidRDefault="006A540D" w14:paraId="67640E38" w14:textId="62295010">
      <w:pPr>
        <w:pStyle w:val="BodyText"/>
        <w:tabs>
          <w:tab w:val="clear" w:pos="720"/>
          <w:tab w:val="left" w:pos="810"/>
        </w:tabs>
        <w:ind w:left="1170"/>
        <w:rPr>
          <w:rFonts w:eastAsia="Tahoma"/>
          <w:iCs/>
          <w:kern w:val="1"/>
          <w:sz w:val="24"/>
          <w:szCs w:val="24"/>
        </w:rPr>
      </w:pPr>
      <w:r w:rsidRPr="006A540D">
        <w:rPr>
          <w:iCs/>
          <w:sz w:val="24"/>
          <w:szCs w:val="24"/>
        </w:rPr>
        <w:t>“Your answers will be kept private to the extent permitted by law. Information you provide will not be shared with other staff at your agency or organization. Only the study team will have access to the information you provide through this interview. Your name will not be listed in any published reports, and comments will not be attributed to you</w:t>
      </w:r>
      <w:r w:rsidR="003D5818">
        <w:rPr>
          <w:iCs/>
          <w:sz w:val="24"/>
          <w:szCs w:val="24"/>
        </w:rPr>
        <w:t>…</w:t>
      </w:r>
      <w:r w:rsidRPr="006A540D">
        <w:rPr>
          <w:iCs/>
          <w:sz w:val="24"/>
          <w:szCs w:val="24"/>
        </w:rPr>
        <w:t xml:space="preserve"> </w:t>
      </w:r>
      <w:bookmarkStart w:name="_Hlk83036226" w:id="1"/>
      <w:r w:rsidRPr="006A540D">
        <w:rPr>
          <w:iCs/>
          <w:sz w:val="24"/>
          <w:szCs w:val="24"/>
          <w:u w:val="single"/>
        </w:rPr>
        <w:t xml:space="preserve">You may request a transcript of your own interview from your site visit team </w:t>
      </w:r>
      <w:proofErr w:type="gramStart"/>
      <w:r w:rsidRPr="006A540D">
        <w:rPr>
          <w:iCs/>
          <w:sz w:val="24"/>
          <w:szCs w:val="24"/>
          <w:u w:val="single"/>
        </w:rPr>
        <w:t>in order to</w:t>
      </w:r>
      <w:proofErr w:type="gramEnd"/>
      <w:r w:rsidRPr="006A540D">
        <w:rPr>
          <w:iCs/>
          <w:sz w:val="24"/>
          <w:szCs w:val="24"/>
          <w:u w:val="single"/>
        </w:rPr>
        <w:t xml:space="preserve"> share your responses with the local evaluator, if you are comfortable, which could reduce time needed during any interviews with them.</w:t>
      </w:r>
      <w:bookmarkEnd w:id="1"/>
      <w:r w:rsidRPr="006A540D">
        <w:rPr>
          <w:iCs/>
          <w:sz w:val="24"/>
          <w:szCs w:val="24"/>
        </w:rPr>
        <w:t>”</w:t>
      </w:r>
      <w:r w:rsidR="00A264B0">
        <w:rPr>
          <w:iCs/>
          <w:sz w:val="24"/>
          <w:szCs w:val="24"/>
        </w:rPr>
        <w:t xml:space="preserve"> </w:t>
      </w:r>
    </w:p>
    <w:p w:rsidR="00D95CD2" w:rsidP="00584C4C" w:rsidRDefault="00D95CD2" w14:paraId="497E7D43" w14:textId="77777777">
      <w:pPr>
        <w:pStyle w:val="BodyText"/>
        <w:ind w:left="720"/>
        <w:rPr>
          <w:rFonts w:eastAsia="Tahoma"/>
          <w:kern w:val="1"/>
          <w:sz w:val="24"/>
          <w:szCs w:val="24"/>
        </w:rPr>
      </w:pPr>
    </w:p>
    <w:p w:rsidR="006A540D" w:rsidP="00584C4C" w:rsidRDefault="00F523DD" w14:paraId="3800C5F0" w14:textId="74D5CF4C">
      <w:pPr>
        <w:pStyle w:val="BodyText"/>
        <w:ind w:left="720"/>
        <w:rPr>
          <w:rFonts w:eastAsia="Tahoma"/>
          <w:kern w:val="1"/>
          <w:sz w:val="24"/>
          <w:szCs w:val="24"/>
        </w:rPr>
      </w:pPr>
      <w:r>
        <w:rPr>
          <w:rFonts w:eastAsia="Tahoma"/>
          <w:kern w:val="1"/>
          <w:sz w:val="24"/>
          <w:szCs w:val="24"/>
        </w:rPr>
        <w:t>Interviewees could request a copy of their transcript during the interview or afterwards via email.</w:t>
      </w:r>
    </w:p>
    <w:p w:rsidR="00F523DD" w:rsidP="001216CF" w:rsidRDefault="00F523DD" w14:paraId="06BB59A4" w14:textId="5C6A97C8">
      <w:pPr>
        <w:pStyle w:val="BodyText"/>
        <w:rPr>
          <w:rFonts w:eastAsia="Tahoma"/>
          <w:kern w:val="1"/>
          <w:sz w:val="24"/>
          <w:szCs w:val="24"/>
        </w:rPr>
      </w:pPr>
    </w:p>
    <w:p w:rsidR="00F523DD" w:rsidP="004834E8" w:rsidRDefault="00F523DD" w14:paraId="004DBE22" w14:textId="3948F87F">
      <w:pPr>
        <w:pStyle w:val="BodyText"/>
        <w:numPr>
          <w:ilvl w:val="0"/>
          <w:numId w:val="2"/>
        </w:numPr>
        <w:rPr>
          <w:rFonts w:eastAsia="Tahoma"/>
          <w:kern w:val="1"/>
          <w:sz w:val="24"/>
          <w:szCs w:val="24"/>
        </w:rPr>
      </w:pPr>
      <w:r>
        <w:rPr>
          <w:rFonts w:eastAsia="Tahoma"/>
          <w:kern w:val="1"/>
          <w:sz w:val="24"/>
          <w:szCs w:val="24"/>
        </w:rPr>
        <w:t>For interviews that have already been conducted</w:t>
      </w:r>
      <w:r w:rsidR="00016BB8">
        <w:rPr>
          <w:rFonts w:eastAsia="Tahoma"/>
          <w:kern w:val="1"/>
          <w:sz w:val="24"/>
          <w:szCs w:val="24"/>
        </w:rPr>
        <w:t xml:space="preserve"> and for which we have transcripts</w:t>
      </w:r>
      <w:r>
        <w:rPr>
          <w:rFonts w:eastAsia="Tahoma"/>
          <w:kern w:val="1"/>
          <w:sz w:val="24"/>
          <w:szCs w:val="24"/>
        </w:rPr>
        <w:t>, we would email all previous interviewees with the option to request their transcript, using this language:</w:t>
      </w:r>
    </w:p>
    <w:p w:rsidR="00E90186" w:rsidP="004834E8" w:rsidRDefault="004834E8" w14:paraId="5FAFC1B2" w14:textId="77777777">
      <w:pPr>
        <w:widowControl/>
        <w:suppressAutoHyphens w:val="0"/>
        <w:spacing w:after="160" w:line="259" w:lineRule="auto"/>
        <w:ind w:left="1170"/>
        <w:rPr>
          <w:i/>
          <w:iCs/>
        </w:rPr>
      </w:pPr>
      <w:bookmarkStart w:name="_Hlk83039350" w:id="2"/>
      <w:r w:rsidRPr="004834E8">
        <w:rPr>
          <w:i/>
          <w:iCs/>
        </w:rPr>
        <w:lastRenderedPageBreak/>
        <w:t>If you would like to receive a transcript of our interview with you that took place on [date], please respond to this email. We will send you the transcript using WinZip encryption and will send a follow-up email with the password.</w:t>
      </w:r>
      <w:bookmarkEnd w:id="2"/>
    </w:p>
    <w:p w:rsidRPr="00AC17A7" w:rsidR="00E90186" w:rsidP="00E90186" w:rsidRDefault="00E90186" w14:paraId="06699F2C" w14:textId="5299C9B2">
      <w:pPr>
        <w:pStyle w:val="ListParagraph"/>
        <w:widowControl/>
        <w:numPr>
          <w:ilvl w:val="0"/>
          <w:numId w:val="2"/>
        </w:numPr>
        <w:suppressAutoHyphens w:val="0"/>
        <w:spacing w:after="160" w:line="259" w:lineRule="auto"/>
        <w:rPr>
          <w:i/>
          <w:iCs/>
        </w:rPr>
      </w:pPr>
      <w:proofErr w:type="gramStart"/>
      <w:r>
        <w:t>In the event that</w:t>
      </w:r>
      <w:proofErr w:type="gramEnd"/>
      <w:r>
        <w:t xml:space="preserve"> transcripts are requested for an interview that had two interviewees, we will obtain consent to share the transcripts from both interviewees before moving forward with the request. For future interviews, we will avoid conducting interviews with more than one interviewee so that the transcript sharing process is simpler. </w:t>
      </w:r>
    </w:p>
    <w:p w:rsidRPr="00AC17A7" w:rsidR="004834E8" w:rsidP="00AC17A7" w:rsidRDefault="004834E8" w14:paraId="0E1900E7" w14:textId="5E78BF32">
      <w:pPr>
        <w:pStyle w:val="ListParagraph"/>
        <w:widowControl/>
        <w:suppressAutoHyphens w:val="0"/>
        <w:spacing w:after="160" w:line="259" w:lineRule="auto"/>
        <w:rPr>
          <w:i/>
          <w:iCs/>
        </w:rPr>
      </w:pPr>
    </w:p>
    <w:p w:rsidR="004834E8" w:rsidP="004834E8" w:rsidRDefault="004834E8" w14:paraId="78D93CCB" w14:textId="1F48BC43">
      <w:pPr>
        <w:pStyle w:val="ListParagraph"/>
        <w:widowControl/>
        <w:numPr>
          <w:ilvl w:val="0"/>
          <w:numId w:val="2"/>
        </w:numPr>
        <w:suppressAutoHyphens w:val="0"/>
        <w:spacing w:after="160" w:line="259" w:lineRule="auto"/>
      </w:pPr>
      <w:r>
        <w:t xml:space="preserve">If this plan is approved, </w:t>
      </w:r>
      <w:bookmarkStart w:name="_Hlk85789742" w:id="3"/>
      <w:r>
        <w:t xml:space="preserve">we would transmit the requested transcripts via email using WinZip encryption. </w:t>
      </w:r>
      <w:bookmarkEnd w:id="3"/>
      <w:r>
        <w:t xml:space="preserve">WinZip supports AES encryption in two different strengths: </w:t>
      </w:r>
      <w:r>
        <w:rPr>
          <w:rStyle w:val="Strong"/>
        </w:rPr>
        <w:t>128-bit AES</w:t>
      </w:r>
      <w:r>
        <w:t xml:space="preserve"> and </w:t>
      </w:r>
      <w:r>
        <w:rPr>
          <w:rStyle w:val="Strong"/>
        </w:rPr>
        <w:t>256-bit AES</w:t>
      </w:r>
      <w:r>
        <w:t>.  We would use the 256-bit AES. Practically, this would entail attaching the encrypted transcript to an email to the interviewee and sending a second email with the password required to open the transcript.</w:t>
      </w:r>
    </w:p>
    <w:p w:rsidR="00A90111" w:rsidP="00A90111" w:rsidRDefault="00A90111" w14:paraId="446B0D0A" w14:textId="77777777">
      <w:pPr>
        <w:pStyle w:val="ListParagraph"/>
        <w:widowControl/>
        <w:suppressAutoHyphens w:val="0"/>
        <w:spacing w:after="160" w:line="259" w:lineRule="auto"/>
      </w:pPr>
    </w:p>
    <w:p w:rsidRPr="00A24204" w:rsidR="004834E8" w:rsidP="004834E8" w:rsidRDefault="004834E8" w14:paraId="40FE3FBE" w14:textId="77777777">
      <w:pPr>
        <w:pStyle w:val="ListParagraph"/>
        <w:widowControl/>
        <w:numPr>
          <w:ilvl w:val="0"/>
          <w:numId w:val="2"/>
        </w:numPr>
        <w:suppressAutoHyphens w:val="0"/>
        <w:spacing w:after="160" w:line="259" w:lineRule="auto"/>
      </w:pPr>
      <w:r>
        <w:t xml:space="preserve">We will not share interview transcripts with evaluators or CWCC grantee leaders or staff (except </w:t>
      </w:r>
      <w:r w:rsidRPr="00A24204">
        <w:t>their own interviews).</w:t>
      </w:r>
    </w:p>
    <w:p w:rsidR="004834E8" w:rsidP="00584C4C" w:rsidRDefault="004834E8" w14:paraId="408D42AE" w14:textId="123930F5">
      <w:pPr>
        <w:pStyle w:val="BodyText"/>
        <w:rPr>
          <w:sz w:val="24"/>
          <w:szCs w:val="24"/>
        </w:rPr>
      </w:pPr>
      <w:proofErr w:type="spellStart"/>
      <w:r w:rsidRPr="00584C4C">
        <w:rPr>
          <w:sz w:val="24"/>
          <w:szCs w:val="24"/>
        </w:rPr>
        <w:t>Abt’s</w:t>
      </w:r>
      <w:proofErr w:type="spellEnd"/>
      <w:r w:rsidRPr="00584C4C">
        <w:rPr>
          <w:sz w:val="24"/>
          <w:szCs w:val="24"/>
        </w:rPr>
        <w:t xml:space="preserve"> Institutional Review Board (IRB) </w:t>
      </w:r>
      <w:r w:rsidRPr="00584C4C" w:rsidR="00A90111">
        <w:rPr>
          <w:sz w:val="24"/>
          <w:szCs w:val="24"/>
        </w:rPr>
        <w:t>and Cybersecurity Department have reviewed and approved these procedures.</w:t>
      </w:r>
    </w:p>
    <w:p w:rsidR="00A54BEE" w:rsidP="00584C4C" w:rsidRDefault="00A54BEE" w14:paraId="3717E246" w14:textId="78EF7C52">
      <w:pPr>
        <w:pStyle w:val="BodyText"/>
        <w:rPr>
          <w:rFonts w:eastAsia="Tahoma"/>
          <w:kern w:val="1"/>
          <w:sz w:val="24"/>
          <w:szCs w:val="24"/>
        </w:rPr>
      </w:pPr>
    </w:p>
    <w:p w:rsidRPr="00A24204" w:rsidR="00A54BEE" w:rsidP="00584C4C" w:rsidRDefault="00A54BEE" w14:paraId="16815372" w14:textId="09B33653">
      <w:pPr>
        <w:pStyle w:val="BodyText"/>
        <w:rPr>
          <w:rFonts w:eastAsia="Tahoma"/>
          <w:kern w:val="1"/>
          <w:sz w:val="24"/>
          <w:szCs w:val="24"/>
        </w:rPr>
      </w:pPr>
      <w:r>
        <w:rPr>
          <w:rFonts w:eastAsia="Tahoma"/>
          <w:kern w:val="1"/>
          <w:sz w:val="24"/>
          <w:szCs w:val="24"/>
        </w:rPr>
        <w:t xml:space="preserve">The attached revised SSA includes pertinent revisions to sections A4 </w:t>
      </w:r>
      <w:r w:rsidR="007C138C">
        <w:rPr>
          <w:rFonts w:eastAsia="Tahoma"/>
          <w:kern w:val="1"/>
          <w:sz w:val="24"/>
          <w:szCs w:val="24"/>
        </w:rPr>
        <w:t xml:space="preserve">(Efforts to reduce duplication) </w:t>
      </w:r>
      <w:r>
        <w:rPr>
          <w:rFonts w:eastAsia="Tahoma"/>
          <w:kern w:val="1"/>
          <w:sz w:val="24"/>
          <w:szCs w:val="24"/>
        </w:rPr>
        <w:t>and A10</w:t>
      </w:r>
      <w:r w:rsidR="007C138C">
        <w:rPr>
          <w:rFonts w:eastAsia="Tahoma"/>
          <w:kern w:val="1"/>
          <w:sz w:val="24"/>
          <w:szCs w:val="24"/>
        </w:rPr>
        <w:t xml:space="preserve"> (Data Security)</w:t>
      </w:r>
      <w:r w:rsidR="005226B7">
        <w:rPr>
          <w:rFonts w:eastAsia="Tahoma"/>
          <w:kern w:val="1"/>
          <w:sz w:val="24"/>
          <w:szCs w:val="24"/>
        </w:rPr>
        <w:t xml:space="preserve">, and </w:t>
      </w:r>
      <w:r w:rsidR="007C138C">
        <w:rPr>
          <w:rFonts w:eastAsia="Tahoma"/>
          <w:kern w:val="1"/>
          <w:sz w:val="24"/>
          <w:szCs w:val="24"/>
        </w:rPr>
        <w:t xml:space="preserve">the attached </w:t>
      </w:r>
      <w:r w:rsidR="005226B7">
        <w:rPr>
          <w:rFonts w:eastAsia="Tahoma"/>
          <w:kern w:val="1"/>
          <w:sz w:val="24"/>
          <w:szCs w:val="24"/>
        </w:rPr>
        <w:t>revised SSB includes pertinent revisions to section B7 (Data Handling).</w:t>
      </w:r>
    </w:p>
    <w:p w:rsidR="00F523DD" w:rsidP="001216CF" w:rsidRDefault="00F523DD" w14:paraId="4909F802" w14:textId="1E7C40D1">
      <w:pPr>
        <w:pStyle w:val="BodyText"/>
        <w:rPr>
          <w:rFonts w:eastAsia="Tahoma"/>
          <w:kern w:val="1"/>
          <w:sz w:val="24"/>
          <w:szCs w:val="24"/>
        </w:rPr>
      </w:pPr>
    </w:p>
    <w:p w:rsidR="0005680D" w:rsidP="00D95CD2" w:rsidRDefault="0005680D" w14:paraId="7DBC6097" w14:textId="56A7C62A">
      <w:pPr>
        <w:spacing w:after="120"/>
        <w:rPr>
          <w:b/>
          <w:i/>
        </w:rPr>
      </w:pPr>
      <w:r>
        <w:rPr>
          <w:b/>
          <w:i/>
        </w:rPr>
        <w:t xml:space="preserve">Time Sensitivities </w:t>
      </w:r>
    </w:p>
    <w:p w:rsidRPr="0005680D" w:rsidR="004834E8" w:rsidP="0005680D" w:rsidRDefault="004834E8" w14:paraId="7D6A2A79" w14:textId="75BBD5EE">
      <w:pPr>
        <w:rPr>
          <w:b/>
          <w:i/>
        </w:rPr>
      </w:pPr>
      <w:r>
        <w:t xml:space="preserve">We would like to implement this change as soon as possible because both grantees’ local evaluators and the cross-site study team are </w:t>
      </w:r>
      <w:r w:rsidR="00A90111">
        <w:t>currently conducting</w:t>
      </w:r>
      <w:r>
        <w:t xml:space="preserve"> interviews.</w:t>
      </w:r>
    </w:p>
    <w:sectPr w:rsidRPr="0005680D" w:rsidR="004834E8" w:rsidSect="004834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4AE8F" w14:textId="77777777" w:rsidR="00CE0BF9" w:rsidRDefault="00CE0BF9" w:rsidP="00CE0BF9">
      <w:r>
        <w:separator/>
      </w:r>
    </w:p>
  </w:endnote>
  <w:endnote w:type="continuationSeparator" w:id="0">
    <w:p w14:paraId="42821A89" w14:textId="77777777" w:rsidR="00CE0BF9" w:rsidRDefault="00CE0BF9" w:rsidP="00CE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9309D" w14:textId="77777777" w:rsidR="00CE0BF9" w:rsidRDefault="00CE0BF9" w:rsidP="00CE0BF9">
      <w:r>
        <w:separator/>
      </w:r>
    </w:p>
  </w:footnote>
  <w:footnote w:type="continuationSeparator" w:id="0">
    <w:p w14:paraId="5F19824C" w14:textId="77777777" w:rsidR="00CE0BF9" w:rsidRDefault="00CE0BF9" w:rsidP="00CE0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550EE"/>
    <w:multiLevelType w:val="hybridMultilevel"/>
    <w:tmpl w:val="5880B4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4311C"/>
    <w:multiLevelType w:val="multilevel"/>
    <w:tmpl w:val="00000000"/>
    <w:lvl w:ilvl="0">
      <w:start w:val="1"/>
      <w:numFmt w:val="none"/>
      <w:lvlText w:val="}"/>
      <w:legacy w:legacy="1" w:legacySpace="0" w:legacyIndent="720"/>
      <w:lvlJc w:val="left"/>
      <w:pPr>
        <w:ind w:left="720" w:hanging="720"/>
      </w:pPr>
      <w:rPr>
        <w:rFonts w:ascii="Wingdings 3" w:hAnsi="Wingdings 3" w:hint="default"/>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center"/>
      <w:pPr>
        <w:ind w:left="2880" w:hanging="720"/>
      </w:pPr>
    </w:lvl>
    <w:lvl w:ilvl="4">
      <w:start w:val="1"/>
      <w:numFmt w:val="decimal"/>
      <w:lvlText w:val="(%5)"/>
      <w:legacy w:legacy="1" w:legacySpace="0" w:legacyIndent="720"/>
      <w:lvlJc w:val="center"/>
      <w:pPr>
        <w:ind w:left="3600" w:hanging="720"/>
      </w:pPr>
    </w:lvl>
    <w:lvl w:ilvl="5">
      <w:start w:val="1"/>
      <w:numFmt w:val="lowerLetter"/>
      <w:lvlText w:val="(%6)"/>
      <w:legacy w:legacy="1" w:legacySpace="0" w:legacyIndent="720"/>
      <w:lvlJc w:val="center"/>
      <w:pPr>
        <w:ind w:left="4320" w:hanging="720"/>
      </w:pPr>
    </w:lvl>
    <w:lvl w:ilvl="6">
      <w:start w:val="1"/>
      <w:numFmt w:val="lowerRoman"/>
      <w:lvlText w:val="(%7)"/>
      <w:legacy w:legacy="1" w:legacySpace="0" w:legacyIndent="720"/>
      <w:lvlJc w:val="center"/>
      <w:pPr>
        <w:ind w:left="5040" w:hanging="720"/>
      </w:pPr>
    </w:lvl>
    <w:lvl w:ilvl="7">
      <w:start w:val="1"/>
      <w:numFmt w:val="lowerLetter"/>
      <w:lvlText w:val="(%8)"/>
      <w:legacy w:legacy="1" w:legacySpace="0" w:legacyIndent="720"/>
      <w:lvlJc w:val="center"/>
      <w:pPr>
        <w:ind w:left="5760" w:hanging="720"/>
      </w:pPr>
    </w:lvl>
    <w:lvl w:ilvl="8">
      <w:start w:val="1"/>
      <w:numFmt w:val="lowerRoman"/>
      <w:lvlText w:val="(%9)"/>
      <w:legacy w:legacy="1" w:legacySpace="0" w:legacyIndent="720"/>
      <w:lvlJc w:val="center"/>
      <w:pPr>
        <w:ind w:left="6480" w:hanging="720"/>
      </w:pPr>
    </w:lvl>
  </w:abstractNum>
  <w:abstractNum w:abstractNumId="2" w15:restartNumberingAfterBreak="0">
    <w:nsid w:val="22E13C45"/>
    <w:multiLevelType w:val="hybridMultilevel"/>
    <w:tmpl w:val="DACE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6B086D"/>
    <w:multiLevelType w:val="hybridMultilevel"/>
    <w:tmpl w:val="DE060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7372A1"/>
    <w:multiLevelType w:val="multilevel"/>
    <w:tmpl w:val="00000000"/>
    <w:lvl w:ilvl="0">
      <w:start w:val="1"/>
      <w:numFmt w:val="none"/>
      <w:lvlText w:val="}"/>
      <w:legacy w:legacy="1" w:legacySpace="0" w:legacyIndent="720"/>
      <w:lvlJc w:val="left"/>
      <w:pPr>
        <w:ind w:left="720" w:hanging="720"/>
      </w:pPr>
      <w:rPr>
        <w:rFonts w:ascii="Wingdings 3" w:hAnsi="Wingdings 3" w:hint="default"/>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center"/>
      <w:pPr>
        <w:ind w:left="2880" w:hanging="720"/>
      </w:pPr>
    </w:lvl>
    <w:lvl w:ilvl="4">
      <w:start w:val="1"/>
      <w:numFmt w:val="decimal"/>
      <w:lvlText w:val="(%5)"/>
      <w:legacy w:legacy="1" w:legacySpace="0" w:legacyIndent="720"/>
      <w:lvlJc w:val="center"/>
      <w:pPr>
        <w:ind w:left="3600" w:hanging="720"/>
      </w:pPr>
    </w:lvl>
    <w:lvl w:ilvl="5">
      <w:start w:val="1"/>
      <w:numFmt w:val="lowerLetter"/>
      <w:lvlText w:val="(%6)"/>
      <w:legacy w:legacy="1" w:legacySpace="0" w:legacyIndent="720"/>
      <w:lvlJc w:val="center"/>
      <w:pPr>
        <w:ind w:left="4320" w:hanging="720"/>
      </w:pPr>
    </w:lvl>
    <w:lvl w:ilvl="6">
      <w:start w:val="1"/>
      <w:numFmt w:val="lowerRoman"/>
      <w:lvlText w:val="(%7)"/>
      <w:legacy w:legacy="1" w:legacySpace="0" w:legacyIndent="720"/>
      <w:lvlJc w:val="center"/>
      <w:pPr>
        <w:ind w:left="5040" w:hanging="720"/>
      </w:pPr>
    </w:lvl>
    <w:lvl w:ilvl="7">
      <w:start w:val="1"/>
      <w:numFmt w:val="lowerLetter"/>
      <w:lvlText w:val="(%8)"/>
      <w:legacy w:legacy="1" w:legacySpace="0" w:legacyIndent="720"/>
      <w:lvlJc w:val="center"/>
      <w:pPr>
        <w:ind w:left="5760" w:hanging="720"/>
      </w:pPr>
    </w:lvl>
    <w:lvl w:ilvl="8">
      <w:start w:val="1"/>
      <w:numFmt w:val="lowerRoman"/>
      <w:lvlText w:val="(%9)"/>
      <w:legacy w:legacy="1" w:legacySpace="0" w:legacyIndent="720"/>
      <w:lvlJc w:val="center"/>
      <w:pPr>
        <w:ind w:left="6480" w:hanging="720"/>
      </w:pPr>
    </w:lvl>
  </w:abstractNum>
  <w:abstractNum w:abstractNumId="6" w15:restartNumberingAfterBreak="0">
    <w:nsid w:val="454A6E2A"/>
    <w:multiLevelType w:val="singleLevel"/>
    <w:tmpl w:val="00000000"/>
    <w:lvl w:ilvl="0">
      <w:start w:val="1"/>
      <w:numFmt w:val="bullet"/>
      <w:lvlText w:val="&lt;"/>
      <w:legacy w:legacy="1" w:legacySpace="0" w:legacyIndent="720"/>
      <w:lvlJc w:val="left"/>
      <w:pPr>
        <w:ind w:left="720" w:hanging="720"/>
      </w:pPr>
      <w:rPr>
        <w:rFonts w:ascii="Wingdings 3" w:hAnsi="Wingdings 3" w:hint="default"/>
      </w:rPr>
    </w:lvl>
  </w:abstractNum>
  <w:abstractNum w:abstractNumId="7" w15:restartNumberingAfterBreak="0">
    <w:nsid w:val="51CB2D35"/>
    <w:multiLevelType w:val="hybridMultilevel"/>
    <w:tmpl w:val="5518FC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244F13"/>
    <w:multiLevelType w:val="multilevel"/>
    <w:tmpl w:val="F818413E"/>
    <w:lvl w:ilvl="0">
      <w:start w:val="1"/>
      <w:numFmt w:val="bullet"/>
      <w:lvlText w:val=""/>
      <w:lvlJc w:val="left"/>
      <w:pPr>
        <w:ind w:left="720" w:hanging="720"/>
      </w:pPr>
      <w:rPr>
        <w:rFonts w:ascii="Symbol" w:hAnsi="Symbol" w:hint="default"/>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center"/>
      <w:pPr>
        <w:ind w:left="2880" w:hanging="720"/>
      </w:pPr>
    </w:lvl>
    <w:lvl w:ilvl="4">
      <w:start w:val="1"/>
      <w:numFmt w:val="decimal"/>
      <w:lvlText w:val="(%5)"/>
      <w:legacy w:legacy="1" w:legacySpace="0" w:legacyIndent="720"/>
      <w:lvlJc w:val="center"/>
      <w:pPr>
        <w:ind w:left="3600" w:hanging="720"/>
      </w:pPr>
    </w:lvl>
    <w:lvl w:ilvl="5">
      <w:start w:val="1"/>
      <w:numFmt w:val="lowerLetter"/>
      <w:lvlText w:val="(%6)"/>
      <w:legacy w:legacy="1" w:legacySpace="0" w:legacyIndent="720"/>
      <w:lvlJc w:val="center"/>
      <w:pPr>
        <w:ind w:left="4320" w:hanging="720"/>
      </w:pPr>
    </w:lvl>
    <w:lvl w:ilvl="6">
      <w:start w:val="1"/>
      <w:numFmt w:val="lowerRoman"/>
      <w:lvlText w:val="(%7)"/>
      <w:legacy w:legacy="1" w:legacySpace="0" w:legacyIndent="720"/>
      <w:lvlJc w:val="center"/>
      <w:pPr>
        <w:ind w:left="5040" w:hanging="720"/>
      </w:pPr>
    </w:lvl>
    <w:lvl w:ilvl="7">
      <w:start w:val="1"/>
      <w:numFmt w:val="lowerLetter"/>
      <w:lvlText w:val="(%8)"/>
      <w:legacy w:legacy="1" w:legacySpace="0" w:legacyIndent="720"/>
      <w:lvlJc w:val="center"/>
      <w:pPr>
        <w:ind w:left="5760" w:hanging="720"/>
      </w:pPr>
    </w:lvl>
    <w:lvl w:ilvl="8">
      <w:start w:val="1"/>
      <w:numFmt w:val="lowerRoman"/>
      <w:lvlText w:val="(%9)"/>
      <w:legacy w:legacy="1" w:legacySpace="0" w:legacyIndent="720"/>
      <w:lvlJc w:val="center"/>
      <w:pPr>
        <w:ind w:left="6480" w:hanging="720"/>
      </w:pPr>
    </w:lvl>
  </w:abstractNum>
  <w:abstractNum w:abstractNumId="9" w15:restartNumberingAfterBreak="0">
    <w:nsid w:val="5DFF47F1"/>
    <w:multiLevelType w:val="hybridMultilevel"/>
    <w:tmpl w:val="06065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1B2430E"/>
    <w:multiLevelType w:val="hybridMultilevel"/>
    <w:tmpl w:val="E94A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437163"/>
    <w:multiLevelType w:val="singleLevel"/>
    <w:tmpl w:val="00000000"/>
    <w:lvl w:ilvl="0">
      <w:start w:val="1"/>
      <w:numFmt w:val="bullet"/>
      <w:lvlText w:val="&lt;"/>
      <w:legacy w:legacy="1" w:legacySpace="0" w:legacyIndent="720"/>
      <w:lvlJc w:val="left"/>
      <w:pPr>
        <w:ind w:left="720" w:hanging="720"/>
      </w:pPr>
      <w:rPr>
        <w:rFonts w:ascii="Wingdings 3" w:hAnsi="Wingdings 3" w:hint="default"/>
      </w:rPr>
    </w:lvl>
  </w:abstractNum>
  <w:abstractNum w:abstractNumId="12" w15:restartNumberingAfterBreak="0">
    <w:nsid w:val="6B626E21"/>
    <w:multiLevelType w:val="multilevel"/>
    <w:tmpl w:val="F818413E"/>
    <w:lvl w:ilvl="0">
      <w:start w:val="1"/>
      <w:numFmt w:val="bullet"/>
      <w:lvlText w:val=""/>
      <w:lvlJc w:val="left"/>
      <w:pPr>
        <w:ind w:left="720" w:hanging="720"/>
      </w:pPr>
      <w:rPr>
        <w:rFonts w:ascii="Symbol" w:hAnsi="Symbol" w:hint="default"/>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center"/>
      <w:pPr>
        <w:ind w:left="2880" w:hanging="720"/>
      </w:pPr>
    </w:lvl>
    <w:lvl w:ilvl="4">
      <w:start w:val="1"/>
      <w:numFmt w:val="decimal"/>
      <w:lvlText w:val="(%5)"/>
      <w:legacy w:legacy="1" w:legacySpace="0" w:legacyIndent="720"/>
      <w:lvlJc w:val="center"/>
      <w:pPr>
        <w:ind w:left="3600" w:hanging="720"/>
      </w:pPr>
    </w:lvl>
    <w:lvl w:ilvl="5">
      <w:start w:val="1"/>
      <w:numFmt w:val="lowerLetter"/>
      <w:lvlText w:val="(%6)"/>
      <w:legacy w:legacy="1" w:legacySpace="0" w:legacyIndent="720"/>
      <w:lvlJc w:val="center"/>
      <w:pPr>
        <w:ind w:left="4320" w:hanging="720"/>
      </w:pPr>
    </w:lvl>
    <w:lvl w:ilvl="6">
      <w:start w:val="1"/>
      <w:numFmt w:val="lowerRoman"/>
      <w:lvlText w:val="(%7)"/>
      <w:legacy w:legacy="1" w:legacySpace="0" w:legacyIndent="720"/>
      <w:lvlJc w:val="center"/>
      <w:pPr>
        <w:ind w:left="5040" w:hanging="720"/>
      </w:pPr>
    </w:lvl>
    <w:lvl w:ilvl="7">
      <w:start w:val="1"/>
      <w:numFmt w:val="lowerLetter"/>
      <w:lvlText w:val="(%8)"/>
      <w:legacy w:legacy="1" w:legacySpace="0" w:legacyIndent="720"/>
      <w:lvlJc w:val="center"/>
      <w:pPr>
        <w:ind w:left="5760" w:hanging="720"/>
      </w:pPr>
    </w:lvl>
    <w:lvl w:ilvl="8">
      <w:start w:val="1"/>
      <w:numFmt w:val="lowerRoman"/>
      <w:lvlText w:val="(%9)"/>
      <w:legacy w:legacy="1" w:legacySpace="0" w:legacyIndent="720"/>
      <w:lvlJc w:val="center"/>
      <w:pPr>
        <w:ind w:left="6480" w:hanging="720"/>
      </w:pPr>
    </w:lvl>
  </w:abstractNum>
  <w:abstractNum w:abstractNumId="13" w15:restartNumberingAfterBreak="0">
    <w:nsid w:val="6B8F2CBB"/>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6C2E62E9"/>
    <w:multiLevelType w:val="multilevel"/>
    <w:tmpl w:val="ABA09C30"/>
    <w:lvl w:ilvl="0">
      <w:start w:val="1"/>
      <w:numFmt w:val="bullet"/>
      <w:lvlText w:val=""/>
      <w:lvlJc w:val="left"/>
      <w:pPr>
        <w:ind w:left="720" w:hanging="720"/>
      </w:pPr>
      <w:rPr>
        <w:rFonts w:ascii="Symbol" w:hAnsi="Symbol" w:hint="default"/>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center"/>
      <w:pPr>
        <w:ind w:left="2880" w:hanging="720"/>
      </w:pPr>
    </w:lvl>
    <w:lvl w:ilvl="4">
      <w:start w:val="1"/>
      <w:numFmt w:val="decimal"/>
      <w:lvlText w:val="(%5)"/>
      <w:legacy w:legacy="1" w:legacySpace="0" w:legacyIndent="720"/>
      <w:lvlJc w:val="center"/>
      <w:pPr>
        <w:ind w:left="3600" w:hanging="720"/>
      </w:pPr>
    </w:lvl>
    <w:lvl w:ilvl="5">
      <w:start w:val="1"/>
      <w:numFmt w:val="lowerLetter"/>
      <w:lvlText w:val="(%6)"/>
      <w:legacy w:legacy="1" w:legacySpace="0" w:legacyIndent="720"/>
      <w:lvlJc w:val="center"/>
      <w:pPr>
        <w:ind w:left="4320" w:hanging="720"/>
      </w:pPr>
    </w:lvl>
    <w:lvl w:ilvl="6">
      <w:start w:val="1"/>
      <w:numFmt w:val="lowerRoman"/>
      <w:lvlText w:val="(%7)"/>
      <w:legacy w:legacy="1" w:legacySpace="0" w:legacyIndent="720"/>
      <w:lvlJc w:val="center"/>
      <w:pPr>
        <w:ind w:left="5040" w:hanging="720"/>
      </w:pPr>
    </w:lvl>
    <w:lvl w:ilvl="7">
      <w:start w:val="1"/>
      <w:numFmt w:val="lowerLetter"/>
      <w:lvlText w:val="(%8)"/>
      <w:legacy w:legacy="1" w:legacySpace="0" w:legacyIndent="720"/>
      <w:lvlJc w:val="center"/>
      <w:pPr>
        <w:ind w:left="5760" w:hanging="720"/>
      </w:pPr>
    </w:lvl>
    <w:lvl w:ilvl="8">
      <w:start w:val="1"/>
      <w:numFmt w:val="lowerRoman"/>
      <w:lvlText w:val="(%9)"/>
      <w:legacy w:legacy="1" w:legacySpace="0" w:legacyIndent="720"/>
      <w:lvlJc w:val="center"/>
      <w:pPr>
        <w:ind w:left="6480" w:hanging="720"/>
      </w:pPr>
    </w:lvl>
  </w:abstractNum>
  <w:abstractNum w:abstractNumId="15" w15:restartNumberingAfterBreak="0">
    <w:nsid w:val="7D644AB5"/>
    <w:multiLevelType w:val="singleLevel"/>
    <w:tmpl w:val="00000000"/>
    <w:lvl w:ilvl="0">
      <w:start w:val="1"/>
      <w:numFmt w:val="bullet"/>
      <w:lvlText w:val="&lt;"/>
      <w:legacy w:legacy="1" w:legacySpace="0" w:legacyIndent="720"/>
      <w:lvlJc w:val="left"/>
      <w:pPr>
        <w:ind w:left="720" w:hanging="720"/>
      </w:pPr>
      <w:rPr>
        <w:rFonts w:ascii="Wingdings 3" w:hAnsi="Wingdings 3" w:hint="default"/>
      </w:rPr>
    </w:lvl>
  </w:abstractNum>
  <w:num w:numId="1">
    <w:abstractNumId w:val="3"/>
  </w:num>
  <w:num w:numId="2">
    <w:abstractNumId w:val="10"/>
  </w:num>
  <w:num w:numId="3">
    <w:abstractNumId w:val="13"/>
  </w:num>
  <w:num w:numId="4">
    <w:abstractNumId w:val="15"/>
  </w:num>
  <w:num w:numId="5">
    <w:abstractNumId w:val="8"/>
  </w:num>
  <w:num w:numId="6">
    <w:abstractNumId w:val="12"/>
  </w:num>
  <w:num w:numId="7">
    <w:abstractNumId w:val="11"/>
  </w:num>
  <w:num w:numId="8">
    <w:abstractNumId w:val="5"/>
  </w:num>
  <w:num w:numId="9">
    <w:abstractNumId w:val="2"/>
  </w:num>
  <w:num w:numId="10">
    <w:abstractNumId w:val="6"/>
  </w:num>
  <w:num w:numId="11">
    <w:abstractNumId w:val="1"/>
  </w:num>
  <w:num w:numId="12">
    <w:abstractNumId w:val="14"/>
  </w:num>
  <w:num w:numId="13">
    <w:abstractNumId w:val="4"/>
  </w:num>
  <w:num w:numId="14">
    <w:abstractNumId w:val="0"/>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36E9"/>
    <w:rsid w:val="00016BB8"/>
    <w:rsid w:val="000505CA"/>
    <w:rsid w:val="0005680D"/>
    <w:rsid w:val="001109BD"/>
    <w:rsid w:val="001216CF"/>
    <w:rsid w:val="001C4B1E"/>
    <w:rsid w:val="00201D4A"/>
    <w:rsid w:val="00251C02"/>
    <w:rsid w:val="00252AF8"/>
    <w:rsid w:val="00367D9F"/>
    <w:rsid w:val="003D5818"/>
    <w:rsid w:val="00416E1B"/>
    <w:rsid w:val="004834E8"/>
    <w:rsid w:val="004B149F"/>
    <w:rsid w:val="005226B7"/>
    <w:rsid w:val="00575B4F"/>
    <w:rsid w:val="00584C4C"/>
    <w:rsid w:val="006350A1"/>
    <w:rsid w:val="006506EC"/>
    <w:rsid w:val="006A540D"/>
    <w:rsid w:val="007C138C"/>
    <w:rsid w:val="00867799"/>
    <w:rsid w:val="00955861"/>
    <w:rsid w:val="00995018"/>
    <w:rsid w:val="00A05E8C"/>
    <w:rsid w:val="00A2104F"/>
    <w:rsid w:val="00A24204"/>
    <w:rsid w:val="00A264B0"/>
    <w:rsid w:val="00A44387"/>
    <w:rsid w:val="00A54BEE"/>
    <w:rsid w:val="00A90111"/>
    <w:rsid w:val="00AC17A7"/>
    <w:rsid w:val="00B61919"/>
    <w:rsid w:val="00BC2F02"/>
    <w:rsid w:val="00CB761F"/>
    <w:rsid w:val="00CC7A02"/>
    <w:rsid w:val="00CE0BF9"/>
    <w:rsid w:val="00CF3B56"/>
    <w:rsid w:val="00D12EAB"/>
    <w:rsid w:val="00D37DFF"/>
    <w:rsid w:val="00D95CD2"/>
    <w:rsid w:val="00DA2296"/>
    <w:rsid w:val="00E525D4"/>
    <w:rsid w:val="00E90186"/>
    <w:rsid w:val="00F523DD"/>
    <w:rsid w:val="00F71A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BodyText">
    <w:name w:val="Body Text"/>
    <w:basedOn w:val="Normal"/>
    <w:link w:val="BodyTextChar"/>
    <w:rsid w:val="00BC2F02"/>
    <w:pPr>
      <w:widowControl/>
      <w:tabs>
        <w:tab w:val="left" w:pos="720"/>
        <w:tab w:val="left" w:pos="1080"/>
        <w:tab w:val="left" w:pos="1440"/>
        <w:tab w:val="left" w:pos="1800"/>
      </w:tabs>
      <w:suppressAutoHyphens w:val="0"/>
      <w:spacing w:line="264" w:lineRule="auto"/>
    </w:pPr>
    <w:rPr>
      <w:rFonts w:eastAsia="Times New Roman"/>
      <w:kern w:val="0"/>
      <w:sz w:val="22"/>
      <w:szCs w:val="20"/>
    </w:rPr>
  </w:style>
  <w:style w:type="character" w:customStyle="1" w:styleId="BodyTextChar">
    <w:name w:val="Body Text Char"/>
    <w:basedOn w:val="DefaultParagraphFont"/>
    <w:link w:val="BodyText"/>
    <w:rsid w:val="00BC2F02"/>
    <w:rPr>
      <w:rFonts w:ascii="Times New Roman" w:eastAsia="Times New Roman" w:hAnsi="Times New Roman" w:cs="Times New Roman"/>
      <w:szCs w:val="20"/>
    </w:rPr>
  </w:style>
  <w:style w:type="paragraph" w:styleId="ListParagraph">
    <w:name w:val="List Paragraph"/>
    <w:basedOn w:val="Normal"/>
    <w:uiPriority w:val="34"/>
    <w:qFormat/>
    <w:rsid w:val="00BC2F02"/>
    <w:pPr>
      <w:ind w:left="720"/>
      <w:contextualSpacing/>
    </w:pPr>
  </w:style>
  <w:style w:type="character" w:styleId="Strong">
    <w:name w:val="Strong"/>
    <w:basedOn w:val="DefaultParagraphFont"/>
    <w:uiPriority w:val="22"/>
    <w:qFormat/>
    <w:rsid w:val="00483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purl.org/dc/dcmitype/"/>
    <ds:schemaRef ds:uri="http://schemas.microsoft.com/office/2006/documentManagement/types"/>
    <ds:schemaRef ds:uri="http://purl.org/dc/elements/1.1/"/>
    <ds:schemaRef ds:uri="http://schemas.microsoft.com/office/2006/metadata/properties"/>
    <ds:schemaRef ds:uri="f9e9dff2-c88e-4ce8-9990-6e354ce9cf6d"/>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7</cp:revision>
  <dcterms:created xsi:type="dcterms:W3CDTF">2021-10-22T14:21:00Z</dcterms:created>
  <dcterms:modified xsi:type="dcterms:W3CDTF">2021-11-01T12:10:00Z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