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678" w:rsidP="009B7A0D" w:rsidRDefault="00B51678" w14:paraId="677A34FC" w14:textId="77777777">
      <w:pPr>
        <w:jc w:val="center"/>
        <w:rPr>
          <w:rFonts w:ascii="Times New Roman" w:hAnsi="Times New Roman" w:cs="Times New Roman"/>
          <w:b/>
          <w:bCs/>
          <w:sz w:val="36"/>
          <w:szCs w:val="36"/>
        </w:rPr>
      </w:pPr>
    </w:p>
    <w:p w:rsidR="000063B7" w:rsidP="009B7A0D" w:rsidRDefault="000063B7" w14:paraId="013C0801" w14:textId="77777777">
      <w:pPr>
        <w:jc w:val="center"/>
        <w:rPr>
          <w:rFonts w:ascii="Times New Roman" w:hAnsi="Times New Roman" w:cs="Times New Roman"/>
          <w:b/>
          <w:bCs/>
          <w:sz w:val="36"/>
          <w:szCs w:val="36"/>
        </w:rPr>
      </w:pPr>
    </w:p>
    <w:p w:rsidR="00254DEC" w:rsidP="009B7A0D" w:rsidRDefault="00254DEC" w14:paraId="5305340A" w14:textId="09AA33E2">
      <w:pPr>
        <w:jc w:val="center"/>
        <w:rPr>
          <w:rFonts w:ascii="Times New Roman" w:hAnsi="Times New Roman" w:cs="Times New Roman"/>
          <w:b/>
          <w:bCs/>
          <w:sz w:val="36"/>
          <w:szCs w:val="36"/>
        </w:rPr>
      </w:pPr>
    </w:p>
    <w:p w:rsidR="00254DEC" w:rsidP="009B7A0D" w:rsidRDefault="00254DEC" w14:paraId="61952D2E" w14:textId="77777777">
      <w:pPr>
        <w:jc w:val="center"/>
        <w:rPr>
          <w:rFonts w:ascii="Times New Roman" w:hAnsi="Times New Roman" w:cs="Times New Roman"/>
          <w:b/>
          <w:bCs/>
          <w:sz w:val="36"/>
          <w:szCs w:val="36"/>
        </w:rPr>
      </w:pPr>
    </w:p>
    <w:p w:rsidR="009B7A0D" w:rsidP="009B7A0D" w:rsidRDefault="009B7A0D" w14:paraId="68B389B5" w14:textId="18AAB1F8">
      <w:pPr>
        <w:jc w:val="center"/>
        <w:rPr>
          <w:rFonts w:ascii="Times New Roman" w:hAnsi="Times New Roman" w:cs="Times New Roman"/>
          <w:b/>
          <w:bCs/>
          <w:sz w:val="36"/>
          <w:szCs w:val="36"/>
        </w:rPr>
      </w:pPr>
      <w:r>
        <w:rPr>
          <w:rFonts w:ascii="Times New Roman" w:hAnsi="Times New Roman" w:cs="Times New Roman"/>
          <w:b/>
          <w:bCs/>
          <w:sz w:val="36"/>
          <w:szCs w:val="36"/>
        </w:rPr>
        <w:t>Regulatory Impact Analysis</w:t>
      </w:r>
    </w:p>
    <w:p w:rsidR="009B7A0D" w:rsidP="009B7A0D" w:rsidRDefault="009B7A0D" w14:paraId="4AB6E482" w14:textId="77777777">
      <w:pPr>
        <w:jc w:val="center"/>
        <w:rPr>
          <w:rFonts w:ascii="Times New Roman" w:hAnsi="Times New Roman" w:cs="Times New Roman"/>
          <w:b/>
          <w:bCs/>
          <w:sz w:val="36"/>
          <w:szCs w:val="36"/>
        </w:rPr>
      </w:pPr>
    </w:p>
    <w:p w:rsidR="009B7A0D" w:rsidP="009B7A0D" w:rsidRDefault="009B7A0D" w14:paraId="65691D73" w14:textId="77777777">
      <w:pPr>
        <w:jc w:val="center"/>
        <w:rPr>
          <w:rFonts w:ascii="Times New Roman" w:hAnsi="Times New Roman" w:cs="Times New Roman"/>
          <w:b/>
          <w:bCs/>
          <w:sz w:val="36"/>
          <w:szCs w:val="36"/>
        </w:rPr>
      </w:pPr>
    </w:p>
    <w:p w:rsidR="008623E4" w:rsidP="009B7A0D" w:rsidRDefault="00C57AEB" w14:paraId="14793A07" w14:textId="77777777">
      <w:pPr>
        <w:jc w:val="center"/>
        <w:rPr>
          <w:rFonts w:ascii="Times New Roman" w:hAnsi="Times New Roman" w:cs="Times New Roman"/>
          <w:sz w:val="36"/>
          <w:szCs w:val="36"/>
        </w:rPr>
      </w:pPr>
      <w:r w:rsidRPr="00C57AEB">
        <w:rPr>
          <w:rFonts w:ascii="Times New Roman" w:hAnsi="Times New Roman" w:cs="Times New Roman"/>
          <w:sz w:val="36"/>
          <w:szCs w:val="36"/>
        </w:rPr>
        <w:t>Safer Communities by Chemical Accident Prevention</w:t>
      </w:r>
      <w:r w:rsidR="008623E4">
        <w:rPr>
          <w:rFonts w:ascii="Times New Roman" w:hAnsi="Times New Roman" w:cs="Times New Roman"/>
          <w:sz w:val="36"/>
          <w:szCs w:val="36"/>
        </w:rPr>
        <w:t xml:space="preserve"> </w:t>
      </w:r>
    </w:p>
    <w:p w:rsidRPr="00493E10" w:rsidR="009B7A0D" w:rsidP="009B7A0D" w:rsidRDefault="008623E4" w14:paraId="0C9BB6E6" w14:textId="40D708CB">
      <w:pPr>
        <w:jc w:val="center"/>
        <w:rPr>
          <w:rFonts w:ascii="Times New Roman" w:hAnsi="Times New Roman" w:cs="Times New Roman"/>
          <w:sz w:val="36"/>
          <w:szCs w:val="36"/>
        </w:rPr>
      </w:pPr>
      <w:r>
        <w:rPr>
          <w:rFonts w:ascii="Times New Roman" w:hAnsi="Times New Roman" w:cs="Times New Roman"/>
          <w:sz w:val="36"/>
          <w:szCs w:val="36"/>
        </w:rPr>
        <w:t xml:space="preserve">Proposed Rule </w:t>
      </w:r>
    </w:p>
    <w:p w:rsidR="009B7A0D" w:rsidP="009B7A0D" w:rsidRDefault="009B7A0D" w14:paraId="5E82F33E" w14:textId="77777777">
      <w:pPr>
        <w:jc w:val="center"/>
        <w:rPr>
          <w:rFonts w:ascii="Times New Roman" w:hAnsi="Times New Roman" w:cs="Times New Roman"/>
          <w:sz w:val="32"/>
          <w:szCs w:val="32"/>
        </w:rPr>
      </w:pPr>
    </w:p>
    <w:p w:rsidR="00B819EF" w:rsidP="009B7A0D" w:rsidRDefault="00B819EF" w14:paraId="194BF9A9" w14:textId="77777777">
      <w:pPr>
        <w:jc w:val="center"/>
        <w:rPr>
          <w:rFonts w:ascii="Times New Roman" w:hAnsi="Times New Roman" w:cs="Times New Roman"/>
          <w:sz w:val="32"/>
          <w:szCs w:val="32"/>
        </w:rPr>
      </w:pPr>
    </w:p>
    <w:p w:rsidR="009B7A0D" w:rsidP="009B7A0D" w:rsidRDefault="009B7A0D" w14:paraId="3383864D" w14:textId="77777777">
      <w:pPr>
        <w:jc w:val="center"/>
        <w:rPr>
          <w:rFonts w:ascii="Times New Roman" w:hAnsi="Times New Roman" w:cs="Times New Roman"/>
          <w:sz w:val="32"/>
          <w:szCs w:val="32"/>
        </w:rPr>
      </w:pPr>
    </w:p>
    <w:p w:rsidR="00843659" w:rsidP="009B7A0D" w:rsidRDefault="00843659" w14:paraId="32F3CAD1" w14:textId="77777777">
      <w:pPr>
        <w:jc w:val="center"/>
        <w:rPr>
          <w:rFonts w:ascii="Times New Roman" w:hAnsi="Times New Roman" w:cs="Times New Roman"/>
          <w:sz w:val="32"/>
          <w:szCs w:val="32"/>
        </w:rPr>
      </w:pPr>
    </w:p>
    <w:p w:rsidR="00843659" w:rsidP="009B7A0D" w:rsidRDefault="00843659" w14:paraId="3CC74281" w14:textId="77777777">
      <w:pPr>
        <w:jc w:val="center"/>
        <w:rPr>
          <w:rFonts w:ascii="Times New Roman" w:hAnsi="Times New Roman" w:cs="Times New Roman"/>
          <w:sz w:val="32"/>
          <w:szCs w:val="32"/>
        </w:rPr>
      </w:pPr>
    </w:p>
    <w:p w:rsidR="00843659" w:rsidP="009B7A0D" w:rsidRDefault="00843659" w14:paraId="4E12FBFC" w14:textId="77777777">
      <w:pPr>
        <w:jc w:val="center"/>
        <w:rPr>
          <w:rFonts w:ascii="Times New Roman" w:hAnsi="Times New Roman" w:cs="Times New Roman"/>
          <w:sz w:val="32"/>
          <w:szCs w:val="32"/>
        </w:rPr>
      </w:pPr>
    </w:p>
    <w:p w:rsidR="009B7A0D" w:rsidP="009B7A0D" w:rsidRDefault="009B7A0D" w14:paraId="57C3FF3A" w14:textId="77777777">
      <w:pPr>
        <w:jc w:val="center"/>
        <w:rPr>
          <w:rFonts w:ascii="Times New Roman" w:hAnsi="Times New Roman" w:cs="Times New Roman"/>
          <w:sz w:val="32"/>
          <w:szCs w:val="32"/>
        </w:rPr>
      </w:pPr>
    </w:p>
    <w:p w:rsidRPr="00976F5B" w:rsidR="009B7A0D" w:rsidP="00843659" w:rsidRDefault="009B7A0D" w14:paraId="7D9BB86D" w14:textId="77777777">
      <w:pPr>
        <w:spacing w:after="0" w:line="240" w:lineRule="auto"/>
        <w:jc w:val="center"/>
        <w:rPr>
          <w:rFonts w:ascii="Times New Roman" w:hAnsi="Times New Roman" w:cs="Times New Roman"/>
          <w:sz w:val="26"/>
          <w:szCs w:val="26"/>
        </w:rPr>
      </w:pPr>
      <w:r w:rsidRPr="00976F5B">
        <w:rPr>
          <w:rFonts w:ascii="Times New Roman" w:hAnsi="Times New Roman" w:cs="Times New Roman"/>
          <w:sz w:val="26"/>
          <w:szCs w:val="26"/>
        </w:rPr>
        <w:t>U.S. Environmental Protection Agency (EPA)</w:t>
      </w:r>
    </w:p>
    <w:p w:rsidRPr="00976F5B" w:rsidR="009B7A0D" w:rsidP="00843659" w:rsidRDefault="009B7A0D" w14:paraId="59FF2A94" w14:textId="77777777">
      <w:pPr>
        <w:spacing w:after="0" w:line="240" w:lineRule="auto"/>
        <w:jc w:val="center"/>
        <w:rPr>
          <w:rFonts w:ascii="Times New Roman" w:hAnsi="Times New Roman" w:cs="Times New Roman"/>
          <w:sz w:val="26"/>
          <w:szCs w:val="26"/>
        </w:rPr>
      </w:pPr>
      <w:r w:rsidRPr="00976F5B">
        <w:rPr>
          <w:rFonts w:ascii="Times New Roman" w:hAnsi="Times New Roman" w:cs="Times New Roman"/>
          <w:sz w:val="26"/>
          <w:szCs w:val="26"/>
        </w:rPr>
        <w:t>Office of Land and Emergency Management (OLEM)</w:t>
      </w:r>
    </w:p>
    <w:p w:rsidRPr="00976F5B" w:rsidR="009B7A0D" w:rsidP="00843659" w:rsidRDefault="009B7A0D" w14:paraId="2D1148B5" w14:textId="77777777">
      <w:pPr>
        <w:spacing w:after="0" w:line="240" w:lineRule="auto"/>
        <w:jc w:val="center"/>
        <w:rPr>
          <w:rFonts w:ascii="Times New Roman" w:hAnsi="Times New Roman" w:cs="Times New Roman"/>
          <w:sz w:val="26"/>
          <w:szCs w:val="26"/>
        </w:rPr>
      </w:pPr>
      <w:r w:rsidRPr="00976F5B">
        <w:rPr>
          <w:rFonts w:ascii="Times New Roman" w:hAnsi="Times New Roman" w:cs="Times New Roman"/>
          <w:sz w:val="26"/>
          <w:szCs w:val="26"/>
        </w:rPr>
        <w:t>Office of Emergency Management (OEM)</w:t>
      </w:r>
    </w:p>
    <w:p w:rsidR="009B7A0D" w:rsidP="00843659" w:rsidRDefault="009B7A0D" w14:paraId="0B1F1289" w14:textId="77777777">
      <w:pPr>
        <w:spacing w:after="0" w:line="240" w:lineRule="auto"/>
        <w:jc w:val="center"/>
        <w:rPr>
          <w:rFonts w:ascii="Times New Roman" w:hAnsi="Times New Roman" w:cs="Times New Roman"/>
          <w:sz w:val="26"/>
          <w:szCs w:val="26"/>
        </w:rPr>
      </w:pPr>
      <w:r w:rsidRPr="00976F5B">
        <w:rPr>
          <w:rFonts w:ascii="Times New Roman" w:hAnsi="Times New Roman" w:cs="Times New Roman"/>
          <w:sz w:val="26"/>
          <w:szCs w:val="26"/>
        </w:rPr>
        <w:t>1200 Pennsylvania Avenue, NW (Mail Code</w:t>
      </w:r>
      <w:r>
        <w:rPr>
          <w:rFonts w:ascii="Times New Roman" w:hAnsi="Times New Roman" w:cs="Times New Roman"/>
          <w:sz w:val="26"/>
          <w:szCs w:val="26"/>
        </w:rPr>
        <w:t xml:space="preserve"> 5104A)</w:t>
      </w:r>
    </w:p>
    <w:p w:rsidRPr="00976F5B" w:rsidR="009B7A0D" w:rsidP="00843659" w:rsidRDefault="009B7A0D" w14:paraId="4216CFE3" w14:textId="031E99F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Washington, </w:t>
      </w:r>
      <w:r w:rsidR="00843659">
        <w:rPr>
          <w:rFonts w:ascii="Times New Roman" w:hAnsi="Times New Roman" w:cs="Times New Roman"/>
          <w:sz w:val="26"/>
          <w:szCs w:val="26"/>
        </w:rPr>
        <w:t>D.C.</w:t>
      </w:r>
      <w:r>
        <w:rPr>
          <w:rFonts w:ascii="Times New Roman" w:hAnsi="Times New Roman" w:cs="Times New Roman"/>
          <w:sz w:val="26"/>
          <w:szCs w:val="26"/>
        </w:rPr>
        <w:t xml:space="preserve"> 20460 USA</w:t>
      </w:r>
    </w:p>
    <w:p w:rsidRPr="00976F5B" w:rsidR="009B7A0D" w:rsidP="009B7A0D" w:rsidRDefault="009B7A0D" w14:paraId="00320133" w14:textId="77777777">
      <w:pPr>
        <w:jc w:val="center"/>
        <w:rPr>
          <w:rFonts w:ascii="Times New Roman" w:hAnsi="Times New Roman" w:cs="Times New Roman"/>
          <w:sz w:val="26"/>
          <w:szCs w:val="26"/>
        </w:rPr>
      </w:pPr>
    </w:p>
    <w:p w:rsidRPr="00976F5B" w:rsidR="009B7A0D" w:rsidP="009B7A0D" w:rsidRDefault="009B7A0D" w14:paraId="1964AAD1" w14:textId="77777777">
      <w:pPr>
        <w:jc w:val="center"/>
        <w:rPr>
          <w:rFonts w:ascii="Times New Roman" w:hAnsi="Times New Roman" w:cs="Times New Roman"/>
          <w:sz w:val="26"/>
          <w:szCs w:val="26"/>
        </w:rPr>
      </w:pPr>
    </w:p>
    <w:p w:rsidR="009B7A0D" w:rsidP="003B1632" w:rsidRDefault="00251B33" w14:paraId="45F9CAA0" w14:textId="74D5F60B">
      <w:pPr>
        <w:tabs>
          <w:tab w:val="left" w:pos="2970"/>
          <w:tab w:val="center" w:pos="499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16024">
        <w:rPr>
          <w:rFonts w:ascii="Times New Roman" w:hAnsi="Times New Roman" w:cs="Times New Roman"/>
          <w:sz w:val="26"/>
          <w:szCs w:val="26"/>
        </w:rPr>
        <w:t>April 19</w:t>
      </w:r>
      <w:r w:rsidRPr="00016024" w:rsidR="009B7A0D">
        <w:rPr>
          <w:rFonts w:ascii="Times New Roman" w:hAnsi="Times New Roman" w:cs="Times New Roman"/>
          <w:sz w:val="26"/>
          <w:szCs w:val="26"/>
        </w:rPr>
        <w:t>, 2022</w:t>
      </w:r>
      <w:r w:rsidR="006B58F2">
        <w:rPr>
          <w:rFonts w:ascii="Times New Roman" w:hAnsi="Times New Roman" w:cs="Times New Roman"/>
          <w:sz w:val="26"/>
          <w:szCs w:val="26"/>
        </w:rPr>
        <w:t xml:space="preserve"> </w:t>
      </w:r>
    </w:p>
    <w:p w:rsidR="007D7949" w:rsidP="009B7A0D" w:rsidRDefault="007D7949" w14:paraId="4A498C46" w14:textId="5D0334C5">
      <w:pPr>
        <w:jc w:val="center"/>
        <w:rPr>
          <w:rFonts w:ascii="Times New Roman" w:hAnsi="Times New Roman" w:cs="Times New Roman"/>
          <w:sz w:val="26"/>
          <w:szCs w:val="26"/>
        </w:rPr>
      </w:pPr>
    </w:p>
    <w:p w:rsidR="007D7949" w:rsidP="009B7A0D" w:rsidRDefault="007D7949" w14:paraId="7BC23047" w14:textId="6E0200DA">
      <w:pPr>
        <w:jc w:val="center"/>
        <w:rPr>
          <w:rFonts w:ascii="Times New Roman" w:hAnsi="Times New Roman" w:cs="Times New Roman"/>
          <w:sz w:val="26"/>
          <w:szCs w:val="26"/>
        </w:rPr>
      </w:pPr>
    </w:p>
    <w:p w:rsidR="007D7949" w:rsidP="009B7A0D" w:rsidRDefault="007D7949" w14:paraId="4F8C732C" w14:textId="1E970843">
      <w:pPr>
        <w:jc w:val="center"/>
        <w:rPr>
          <w:rFonts w:ascii="Times New Roman" w:hAnsi="Times New Roman" w:cs="Times New Roman"/>
          <w:sz w:val="26"/>
          <w:szCs w:val="26"/>
        </w:rPr>
      </w:pPr>
    </w:p>
    <w:p w:rsidR="00843003" w:rsidRDefault="00FC2143" w14:paraId="576FA75F" w14:textId="09D62DA3">
      <w:pPr>
        <w:pStyle w:val="TOC1"/>
        <w:rPr>
          <w:rFonts w:asciiTheme="minorHAnsi" w:hAnsiTheme="minorHAnsi" w:eastAsiaTheme="minorEastAsia" w:cstheme="minorBidi"/>
          <w:b w:val="0"/>
          <w:bCs w:val="0"/>
          <w:caps w:val="0"/>
          <w:sz w:val="22"/>
          <w:szCs w:val="22"/>
        </w:rPr>
      </w:pPr>
      <w:r w:rsidRPr="30E8CA22">
        <w:fldChar w:fldCharType="begin"/>
      </w:r>
      <w:r>
        <w:instrText xml:space="preserve"> TOC \o "1-3" \h \z \u </w:instrText>
      </w:r>
      <w:r w:rsidRPr="30E8CA22">
        <w:fldChar w:fldCharType="separate"/>
      </w:r>
      <w:hyperlink w:history="1" w:anchor="_Toc110502730">
        <w:r w:rsidRPr="007B23D6" w:rsidR="00843003">
          <w:rPr>
            <w:rStyle w:val="Hyperlink"/>
          </w:rPr>
          <w:t>Executive Summary</w:t>
        </w:r>
        <w:r w:rsidR="00843003">
          <w:rPr>
            <w:webHidden/>
          </w:rPr>
          <w:tab/>
        </w:r>
        <w:r w:rsidR="00843003">
          <w:rPr>
            <w:webHidden/>
          </w:rPr>
          <w:fldChar w:fldCharType="begin"/>
        </w:r>
        <w:r w:rsidR="00843003">
          <w:rPr>
            <w:webHidden/>
          </w:rPr>
          <w:instrText xml:space="preserve"> PAGEREF _Toc110502730 \h </w:instrText>
        </w:r>
        <w:r w:rsidR="00843003">
          <w:rPr>
            <w:webHidden/>
          </w:rPr>
        </w:r>
        <w:r w:rsidR="00843003">
          <w:rPr>
            <w:webHidden/>
          </w:rPr>
          <w:fldChar w:fldCharType="separate"/>
        </w:r>
        <w:r w:rsidR="00843003">
          <w:rPr>
            <w:webHidden/>
          </w:rPr>
          <w:t>6</w:t>
        </w:r>
        <w:r w:rsidR="00843003">
          <w:rPr>
            <w:webHidden/>
          </w:rPr>
          <w:fldChar w:fldCharType="end"/>
        </w:r>
      </w:hyperlink>
    </w:p>
    <w:p w:rsidR="00843003" w:rsidRDefault="00024031" w14:paraId="7174D355" w14:textId="50E34150">
      <w:pPr>
        <w:pStyle w:val="TOC1"/>
        <w:rPr>
          <w:rFonts w:asciiTheme="minorHAnsi" w:hAnsiTheme="minorHAnsi" w:eastAsiaTheme="minorEastAsia" w:cstheme="minorBidi"/>
          <w:b w:val="0"/>
          <w:bCs w:val="0"/>
          <w:caps w:val="0"/>
          <w:sz w:val="22"/>
          <w:szCs w:val="22"/>
        </w:rPr>
      </w:pPr>
      <w:hyperlink w:history="1" w:anchor="_Toc110502731">
        <w:r w:rsidRPr="007B23D6" w:rsidR="00843003">
          <w:rPr>
            <w:rStyle w:val="Hyperlink"/>
          </w:rPr>
          <w:t>CHAPTER 1: Introduction and Background</w:t>
        </w:r>
        <w:r w:rsidR="00843003">
          <w:rPr>
            <w:webHidden/>
          </w:rPr>
          <w:tab/>
        </w:r>
        <w:r w:rsidR="00843003">
          <w:rPr>
            <w:webHidden/>
          </w:rPr>
          <w:fldChar w:fldCharType="begin"/>
        </w:r>
        <w:r w:rsidR="00843003">
          <w:rPr>
            <w:webHidden/>
          </w:rPr>
          <w:instrText xml:space="preserve"> PAGEREF _Toc110502731 \h </w:instrText>
        </w:r>
        <w:r w:rsidR="00843003">
          <w:rPr>
            <w:webHidden/>
          </w:rPr>
        </w:r>
        <w:r w:rsidR="00843003">
          <w:rPr>
            <w:webHidden/>
          </w:rPr>
          <w:fldChar w:fldCharType="separate"/>
        </w:r>
        <w:r w:rsidR="00843003">
          <w:rPr>
            <w:webHidden/>
          </w:rPr>
          <w:t>11</w:t>
        </w:r>
        <w:r w:rsidR="00843003">
          <w:rPr>
            <w:webHidden/>
          </w:rPr>
          <w:fldChar w:fldCharType="end"/>
        </w:r>
      </w:hyperlink>
    </w:p>
    <w:p w:rsidR="00843003" w:rsidRDefault="00024031" w14:paraId="29DC4C55" w14:textId="5FC24F00">
      <w:pPr>
        <w:pStyle w:val="TOC2"/>
        <w:rPr>
          <w:rFonts w:asciiTheme="minorHAnsi" w:hAnsiTheme="minorHAnsi" w:eastAsiaTheme="minorEastAsia" w:cstheme="minorBidi"/>
          <w:sz w:val="22"/>
          <w:szCs w:val="22"/>
        </w:rPr>
      </w:pPr>
      <w:hyperlink w:history="1" w:anchor="_Toc110502732">
        <w:r w:rsidRPr="007B23D6" w:rsidR="00843003">
          <w:rPr>
            <w:rStyle w:val="Hyperlink"/>
          </w:rPr>
          <w:t>1.1 History and Need for the Rule</w:t>
        </w:r>
        <w:r w:rsidR="00843003">
          <w:rPr>
            <w:webHidden/>
          </w:rPr>
          <w:tab/>
        </w:r>
        <w:r w:rsidR="00843003">
          <w:rPr>
            <w:webHidden/>
          </w:rPr>
          <w:fldChar w:fldCharType="begin"/>
        </w:r>
        <w:r w:rsidR="00843003">
          <w:rPr>
            <w:webHidden/>
          </w:rPr>
          <w:instrText xml:space="preserve"> PAGEREF _Toc110502732 \h </w:instrText>
        </w:r>
        <w:r w:rsidR="00843003">
          <w:rPr>
            <w:webHidden/>
          </w:rPr>
        </w:r>
        <w:r w:rsidR="00843003">
          <w:rPr>
            <w:webHidden/>
          </w:rPr>
          <w:fldChar w:fldCharType="separate"/>
        </w:r>
        <w:r w:rsidR="00843003">
          <w:rPr>
            <w:webHidden/>
          </w:rPr>
          <w:t>11</w:t>
        </w:r>
        <w:r w:rsidR="00843003">
          <w:rPr>
            <w:webHidden/>
          </w:rPr>
          <w:fldChar w:fldCharType="end"/>
        </w:r>
      </w:hyperlink>
    </w:p>
    <w:p w:rsidR="00843003" w:rsidRDefault="00024031" w14:paraId="03691473" w14:textId="5A46A75A">
      <w:pPr>
        <w:pStyle w:val="TOC2"/>
        <w:rPr>
          <w:rFonts w:asciiTheme="minorHAnsi" w:hAnsiTheme="minorHAnsi" w:eastAsiaTheme="minorEastAsia" w:cstheme="minorBidi"/>
          <w:sz w:val="22"/>
          <w:szCs w:val="22"/>
        </w:rPr>
      </w:pPr>
      <w:hyperlink w:history="1" w:anchor="_Toc110502733">
        <w:r w:rsidRPr="007B23D6" w:rsidR="00843003">
          <w:rPr>
            <w:rStyle w:val="Hyperlink"/>
          </w:rPr>
          <w:t>1.2 Organization of the Analysis</w:t>
        </w:r>
        <w:r w:rsidR="00843003">
          <w:rPr>
            <w:webHidden/>
          </w:rPr>
          <w:tab/>
        </w:r>
        <w:r w:rsidR="00843003">
          <w:rPr>
            <w:webHidden/>
          </w:rPr>
          <w:fldChar w:fldCharType="begin"/>
        </w:r>
        <w:r w:rsidR="00843003">
          <w:rPr>
            <w:webHidden/>
          </w:rPr>
          <w:instrText xml:space="preserve"> PAGEREF _Toc110502733 \h </w:instrText>
        </w:r>
        <w:r w:rsidR="00843003">
          <w:rPr>
            <w:webHidden/>
          </w:rPr>
        </w:r>
        <w:r w:rsidR="00843003">
          <w:rPr>
            <w:webHidden/>
          </w:rPr>
          <w:fldChar w:fldCharType="separate"/>
        </w:r>
        <w:r w:rsidR="00843003">
          <w:rPr>
            <w:webHidden/>
          </w:rPr>
          <w:t>15</w:t>
        </w:r>
        <w:r w:rsidR="00843003">
          <w:rPr>
            <w:webHidden/>
          </w:rPr>
          <w:fldChar w:fldCharType="end"/>
        </w:r>
      </w:hyperlink>
    </w:p>
    <w:p w:rsidR="00843003" w:rsidRDefault="00024031" w14:paraId="714242C3" w14:textId="386517CC">
      <w:pPr>
        <w:pStyle w:val="TOC1"/>
        <w:rPr>
          <w:rFonts w:asciiTheme="minorHAnsi" w:hAnsiTheme="minorHAnsi" w:eastAsiaTheme="minorEastAsia" w:cstheme="minorBidi"/>
          <w:b w:val="0"/>
          <w:bCs w:val="0"/>
          <w:caps w:val="0"/>
          <w:sz w:val="22"/>
          <w:szCs w:val="22"/>
        </w:rPr>
      </w:pPr>
      <w:hyperlink w:history="1" w:anchor="_Toc110502734">
        <w:r w:rsidRPr="007B23D6" w:rsidR="00843003">
          <w:rPr>
            <w:rStyle w:val="Hyperlink"/>
          </w:rPr>
          <w:t>CHAPTER 2: Proposed Rule Provisions</w:t>
        </w:r>
        <w:r w:rsidR="00843003">
          <w:rPr>
            <w:webHidden/>
          </w:rPr>
          <w:tab/>
        </w:r>
        <w:r w:rsidR="00843003">
          <w:rPr>
            <w:webHidden/>
          </w:rPr>
          <w:fldChar w:fldCharType="begin"/>
        </w:r>
        <w:r w:rsidR="00843003">
          <w:rPr>
            <w:webHidden/>
          </w:rPr>
          <w:instrText xml:space="preserve"> PAGEREF _Toc110502734 \h </w:instrText>
        </w:r>
        <w:r w:rsidR="00843003">
          <w:rPr>
            <w:webHidden/>
          </w:rPr>
        </w:r>
        <w:r w:rsidR="00843003">
          <w:rPr>
            <w:webHidden/>
          </w:rPr>
          <w:fldChar w:fldCharType="separate"/>
        </w:r>
        <w:r w:rsidR="00843003">
          <w:rPr>
            <w:webHidden/>
          </w:rPr>
          <w:t>17</w:t>
        </w:r>
        <w:r w:rsidR="00843003">
          <w:rPr>
            <w:webHidden/>
          </w:rPr>
          <w:fldChar w:fldCharType="end"/>
        </w:r>
      </w:hyperlink>
    </w:p>
    <w:p w:rsidR="00843003" w:rsidRDefault="00024031" w14:paraId="16081B84" w14:textId="43C93792">
      <w:pPr>
        <w:pStyle w:val="TOC2"/>
        <w:rPr>
          <w:rFonts w:asciiTheme="minorHAnsi" w:hAnsiTheme="minorHAnsi" w:eastAsiaTheme="minorEastAsia" w:cstheme="minorBidi"/>
          <w:sz w:val="22"/>
          <w:szCs w:val="22"/>
        </w:rPr>
      </w:pPr>
      <w:hyperlink w:history="1" w:anchor="_Toc110502735">
        <w:r w:rsidRPr="007B23D6" w:rsidR="00843003">
          <w:rPr>
            <w:rStyle w:val="Hyperlink"/>
          </w:rPr>
          <w:t>2.1 Summary of Provisions and Applicability to Private Sector Facilities</w:t>
        </w:r>
        <w:r w:rsidR="00843003">
          <w:rPr>
            <w:webHidden/>
          </w:rPr>
          <w:tab/>
        </w:r>
        <w:r w:rsidR="00843003">
          <w:rPr>
            <w:webHidden/>
          </w:rPr>
          <w:fldChar w:fldCharType="begin"/>
        </w:r>
        <w:r w:rsidR="00843003">
          <w:rPr>
            <w:webHidden/>
          </w:rPr>
          <w:instrText xml:space="preserve"> PAGEREF _Toc110502735 \h </w:instrText>
        </w:r>
        <w:r w:rsidR="00843003">
          <w:rPr>
            <w:webHidden/>
          </w:rPr>
        </w:r>
        <w:r w:rsidR="00843003">
          <w:rPr>
            <w:webHidden/>
          </w:rPr>
          <w:fldChar w:fldCharType="separate"/>
        </w:r>
        <w:r w:rsidR="00843003">
          <w:rPr>
            <w:webHidden/>
          </w:rPr>
          <w:t>17</w:t>
        </w:r>
        <w:r w:rsidR="00843003">
          <w:rPr>
            <w:webHidden/>
          </w:rPr>
          <w:fldChar w:fldCharType="end"/>
        </w:r>
      </w:hyperlink>
    </w:p>
    <w:p w:rsidR="00843003" w:rsidRDefault="00024031" w14:paraId="5014675A" w14:textId="1F717FDB">
      <w:pPr>
        <w:pStyle w:val="TOC2"/>
        <w:rPr>
          <w:rFonts w:asciiTheme="minorHAnsi" w:hAnsiTheme="minorHAnsi" w:eastAsiaTheme="minorEastAsia" w:cstheme="minorBidi"/>
          <w:sz w:val="22"/>
          <w:szCs w:val="22"/>
        </w:rPr>
      </w:pPr>
      <w:hyperlink w:history="1" w:anchor="_Toc110502736">
        <w:r w:rsidRPr="007B23D6" w:rsidR="00843003">
          <w:rPr>
            <w:rStyle w:val="Hyperlink"/>
          </w:rPr>
          <w:t>2.2 Applicability to Government-owned Facilities and Entities</w:t>
        </w:r>
        <w:r w:rsidR="00843003">
          <w:rPr>
            <w:webHidden/>
          </w:rPr>
          <w:tab/>
        </w:r>
        <w:r w:rsidR="00843003">
          <w:rPr>
            <w:webHidden/>
          </w:rPr>
          <w:fldChar w:fldCharType="begin"/>
        </w:r>
        <w:r w:rsidR="00843003">
          <w:rPr>
            <w:webHidden/>
          </w:rPr>
          <w:instrText xml:space="preserve"> PAGEREF _Toc110502736 \h </w:instrText>
        </w:r>
        <w:r w:rsidR="00843003">
          <w:rPr>
            <w:webHidden/>
          </w:rPr>
        </w:r>
        <w:r w:rsidR="00843003">
          <w:rPr>
            <w:webHidden/>
          </w:rPr>
          <w:fldChar w:fldCharType="separate"/>
        </w:r>
        <w:r w:rsidR="00843003">
          <w:rPr>
            <w:webHidden/>
          </w:rPr>
          <w:t>19</w:t>
        </w:r>
        <w:r w:rsidR="00843003">
          <w:rPr>
            <w:webHidden/>
          </w:rPr>
          <w:fldChar w:fldCharType="end"/>
        </w:r>
      </w:hyperlink>
    </w:p>
    <w:p w:rsidR="00843003" w:rsidRDefault="00024031" w14:paraId="39CDBDB7" w14:textId="43616460">
      <w:pPr>
        <w:pStyle w:val="TOC1"/>
        <w:rPr>
          <w:rFonts w:asciiTheme="minorHAnsi" w:hAnsiTheme="minorHAnsi" w:eastAsiaTheme="minorEastAsia" w:cstheme="minorBidi"/>
          <w:b w:val="0"/>
          <w:bCs w:val="0"/>
          <w:caps w:val="0"/>
          <w:sz w:val="22"/>
          <w:szCs w:val="22"/>
        </w:rPr>
      </w:pPr>
      <w:hyperlink w:history="1" w:anchor="_Toc110502737">
        <w:r w:rsidRPr="007B23D6" w:rsidR="00843003">
          <w:rPr>
            <w:rStyle w:val="Hyperlink"/>
          </w:rPr>
          <w:t>CHAPTER 3: Universe of RMP Facilities</w:t>
        </w:r>
        <w:r w:rsidR="00843003">
          <w:rPr>
            <w:webHidden/>
          </w:rPr>
          <w:tab/>
        </w:r>
        <w:r w:rsidR="00843003">
          <w:rPr>
            <w:webHidden/>
          </w:rPr>
          <w:fldChar w:fldCharType="begin"/>
        </w:r>
        <w:r w:rsidR="00843003">
          <w:rPr>
            <w:webHidden/>
          </w:rPr>
          <w:instrText xml:space="preserve"> PAGEREF _Toc110502737 \h </w:instrText>
        </w:r>
        <w:r w:rsidR="00843003">
          <w:rPr>
            <w:webHidden/>
          </w:rPr>
        </w:r>
        <w:r w:rsidR="00843003">
          <w:rPr>
            <w:webHidden/>
          </w:rPr>
          <w:fldChar w:fldCharType="separate"/>
        </w:r>
        <w:r w:rsidR="00843003">
          <w:rPr>
            <w:webHidden/>
          </w:rPr>
          <w:t>20</w:t>
        </w:r>
        <w:r w:rsidR="00843003">
          <w:rPr>
            <w:webHidden/>
          </w:rPr>
          <w:fldChar w:fldCharType="end"/>
        </w:r>
      </w:hyperlink>
    </w:p>
    <w:p w:rsidR="00843003" w:rsidRDefault="00024031" w14:paraId="24F3DD0A" w14:textId="56DB8A82">
      <w:pPr>
        <w:pStyle w:val="TOC2"/>
        <w:rPr>
          <w:rFonts w:asciiTheme="minorHAnsi" w:hAnsiTheme="minorHAnsi" w:eastAsiaTheme="minorEastAsia" w:cstheme="minorBidi"/>
          <w:sz w:val="22"/>
          <w:szCs w:val="22"/>
        </w:rPr>
      </w:pPr>
      <w:hyperlink w:history="1" w:anchor="_Toc110502738">
        <w:r w:rsidRPr="007B23D6" w:rsidR="00843003">
          <w:rPr>
            <w:rStyle w:val="Hyperlink"/>
          </w:rPr>
          <w:t>3.1 Current RMP Facilities</w:t>
        </w:r>
        <w:r w:rsidR="00843003">
          <w:rPr>
            <w:webHidden/>
          </w:rPr>
          <w:tab/>
        </w:r>
        <w:r w:rsidR="00843003">
          <w:rPr>
            <w:webHidden/>
          </w:rPr>
          <w:fldChar w:fldCharType="begin"/>
        </w:r>
        <w:r w:rsidR="00843003">
          <w:rPr>
            <w:webHidden/>
          </w:rPr>
          <w:instrText xml:space="preserve"> PAGEREF _Toc110502738 \h </w:instrText>
        </w:r>
        <w:r w:rsidR="00843003">
          <w:rPr>
            <w:webHidden/>
          </w:rPr>
        </w:r>
        <w:r w:rsidR="00843003">
          <w:rPr>
            <w:webHidden/>
          </w:rPr>
          <w:fldChar w:fldCharType="separate"/>
        </w:r>
        <w:r w:rsidR="00843003">
          <w:rPr>
            <w:webHidden/>
          </w:rPr>
          <w:t>20</w:t>
        </w:r>
        <w:r w:rsidR="00843003">
          <w:rPr>
            <w:webHidden/>
          </w:rPr>
          <w:fldChar w:fldCharType="end"/>
        </w:r>
      </w:hyperlink>
    </w:p>
    <w:p w:rsidR="00843003" w:rsidRDefault="00024031" w14:paraId="3A738E04" w14:textId="0700C9BD">
      <w:pPr>
        <w:pStyle w:val="TOC2"/>
        <w:rPr>
          <w:rFonts w:asciiTheme="minorHAnsi" w:hAnsiTheme="minorHAnsi" w:eastAsiaTheme="minorEastAsia" w:cstheme="minorBidi"/>
          <w:sz w:val="22"/>
          <w:szCs w:val="22"/>
        </w:rPr>
      </w:pPr>
      <w:hyperlink w:history="1" w:anchor="_Toc110502739">
        <w:r w:rsidRPr="007B23D6" w:rsidR="00843003">
          <w:rPr>
            <w:rStyle w:val="Hyperlink"/>
          </w:rPr>
          <w:t>3.2 Breakdowns Used in the Analysis</w:t>
        </w:r>
        <w:r w:rsidR="00843003">
          <w:rPr>
            <w:webHidden/>
          </w:rPr>
          <w:tab/>
        </w:r>
        <w:r w:rsidR="00843003">
          <w:rPr>
            <w:webHidden/>
          </w:rPr>
          <w:fldChar w:fldCharType="begin"/>
        </w:r>
        <w:r w:rsidR="00843003">
          <w:rPr>
            <w:webHidden/>
          </w:rPr>
          <w:instrText xml:space="preserve"> PAGEREF _Toc110502739 \h </w:instrText>
        </w:r>
        <w:r w:rsidR="00843003">
          <w:rPr>
            <w:webHidden/>
          </w:rPr>
        </w:r>
        <w:r w:rsidR="00843003">
          <w:rPr>
            <w:webHidden/>
          </w:rPr>
          <w:fldChar w:fldCharType="separate"/>
        </w:r>
        <w:r w:rsidR="00843003">
          <w:rPr>
            <w:webHidden/>
          </w:rPr>
          <w:t>22</w:t>
        </w:r>
        <w:r w:rsidR="00843003">
          <w:rPr>
            <w:webHidden/>
          </w:rPr>
          <w:fldChar w:fldCharType="end"/>
        </w:r>
      </w:hyperlink>
    </w:p>
    <w:p w:rsidR="00843003" w:rsidRDefault="00024031" w14:paraId="7E1C10EE" w14:textId="00C04B68">
      <w:pPr>
        <w:pStyle w:val="TOC2"/>
        <w:rPr>
          <w:rFonts w:asciiTheme="minorHAnsi" w:hAnsiTheme="minorHAnsi" w:eastAsiaTheme="minorEastAsia" w:cstheme="minorBidi"/>
          <w:sz w:val="22"/>
          <w:szCs w:val="22"/>
        </w:rPr>
      </w:pPr>
      <w:hyperlink w:history="1" w:anchor="_Toc110502740">
        <w:r w:rsidRPr="007B23D6" w:rsidR="00843003">
          <w:rPr>
            <w:rStyle w:val="Hyperlink"/>
          </w:rPr>
          <w:t>3.3 Government Entities Affected by the Rule</w:t>
        </w:r>
        <w:r w:rsidR="00843003">
          <w:rPr>
            <w:webHidden/>
          </w:rPr>
          <w:tab/>
        </w:r>
        <w:r w:rsidR="00843003">
          <w:rPr>
            <w:webHidden/>
          </w:rPr>
          <w:fldChar w:fldCharType="begin"/>
        </w:r>
        <w:r w:rsidR="00843003">
          <w:rPr>
            <w:webHidden/>
          </w:rPr>
          <w:instrText xml:space="preserve"> PAGEREF _Toc110502740 \h </w:instrText>
        </w:r>
        <w:r w:rsidR="00843003">
          <w:rPr>
            <w:webHidden/>
          </w:rPr>
        </w:r>
        <w:r w:rsidR="00843003">
          <w:rPr>
            <w:webHidden/>
          </w:rPr>
          <w:fldChar w:fldCharType="separate"/>
        </w:r>
        <w:r w:rsidR="00843003">
          <w:rPr>
            <w:webHidden/>
          </w:rPr>
          <w:t>26</w:t>
        </w:r>
        <w:r w:rsidR="00843003">
          <w:rPr>
            <w:webHidden/>
          </w:rPr>
          <w:fldChar w:fldCharType="end"/>
        </w:r>
      </w:hyperlink>
    </w:p>
    <w:p w:rsidR="00843003" w:rsidRDefault="00024031" w14:paraId="15C286BB" w14:textId="200DC637">
      <w:pPr>
        <w:pStyle w:val="TOC2"/>
        <w:rPr>
          <w:rFonts w:asciiTheme="minorHAnsi" w:hAnsiTheme="minorHAnsi" w:eastAsiaTheme="minorEastAsia" w:cstheme="minorBidi"/>
          <w:sz w:val="22"/>
          <w:szCs w:val="22"/>
        </w:rPr>
      </w:pPr>
      <w:hyperlink w:history="1" w:anchor="_Toc110502741">
        <w:r w:rsidRPr="007B23D6" w:rsidR="00843003">
          <w:rPr>
            <w:rStyle w:val="Hyperlink"/>
          </w:rPr>
          <w:t>3.4 Number and Costs of Baseline Accidents</w:t>
        </w:r>
        <w:r w:rsidR="00843003">
          <w:rPr>
            <w:webHidden/>
          </w:rPr>
          <w:tab/>
        </w:r>
        <w:r w:rsidR="00843003">
          <w:rPr>
            <w:webHidden/>
          </w:rPr>
          <w:fldChar w:fldCharType="begin"/>
        </w:r>
        <w:r w:rsidR="00843003">
          <w:rPr>
            <w:webHidden/>
          </w:rPr>
          <w:instrText xml:space="preserve"> PAGEREF _Toc110502741 \h </w:instrText>
        </w:r>
        <w:r w:rsidR="00843003">
          <w:rPr>
            <w:webHidden/>
          </w:rPr>
        </w:r>
        <w:r w:rsidR="00843003">
          <w:rPr>
            <w:webHidden/>
          </w:rPr>
          <w:fldChar w:fldCharType="separate"/>
        </w:r>
        <w:r w:rsidR="00843003">
          <w:rPr>
            <w:webHidden/>
          </w:rPr>
          <w:t>26</w:t>
        </w:r>
        <w:r w:rsidR="00843003">
          <w:rPr>
            <w:webHidden/>
          </w:rPr>
          <w:fldChar w:fldCharType="end"/>
        </w:r>
      </w:hyperlink>
    </w:p>
    <w:p w:rsidR="00843003" w:rsidRDefault="00024031" w14:paraId="62B7689B" w14:textId="1613469E">
      <w:pPr>
        <w:pStyle w:val="TOC2"/>
        <w:rPr>
          <w:rFonts w:asciiTheme="minorHAnsi" w:hAnsiTheme="minorHAnsi" w:eastAsiaTheme="minorEastAsia" w:cstheme="minorBidi"/>
          <w:sz w:val="22"/>
          <w:szCs w:val="22"/>
        </w:rPr>
      </w:pPr>
      <w:hyperlink w:history="1" w:anchor="_Toc110502742">
        <w:r w:rsidRPr="007B23D6" w:rsidR="00843003">
          <w:rPr>
            <w:rStyle w:val="Hyperlink"/>
          </w:rPr>
          <w:t>3.5 Limitations</w:t>
        </w:r>
        <w:r w:rsidR="00843003">
          <w:rPr>
            <w:webHidden/>
          </w:rPr>
          <w:tab/>
        </w:r>
        <w:r w:rsidR="00843003">
          <w:rPr>
            <w:webHidden/>
          </w:rPr>
          <w:fldChar w:fldCharType="begin"/>
        </w:r>
        <w:r w:rsidR="00843003">
          <w:rPr>
            <w:webHidden/>
          </w:rPr>
          <w:instrText xml:space="preserve"> PAGEREF _Toc110502742 \h </w:instrText>
        </w:r>
        <w:r w:rsidR="00843003">
          <w:rPr>
            <w:webHidden/>
          </w:rPr>
        </w:r>
        <w:r w:rsidR="00843003">
          <w:rPr>
            <w:webHidden/>
          </w:rPr>
          <w:fldChar w:fldCharType="separate"/>
        </w:r>
        <w:r w:rsidR="00843003">
          <w:rPr>
            <w:webHidden/>
          </w:rPr>
          <w:t>33</w:t>
        </w:r>
        <w:r w:rsidR="00843003">
          <w:rPr>
            <w:webHidden/>
          </w:rPr>
          <w:fldChar w:fldCharType="end"/>
        </w:r>
      </w:hyperlink>
    </w:p>
    <w:p w:rsidR="00843003" w:rsidRDefault="00024031" w14:paraId="3134F6C0" w14:textId="7646BE33">
      <w:pPr>
        <w:pStyle w:val="TOC1"/>
        <w:rPr>
          <w:rFonts w:asciiTheme="minorHAnsi" w:hAnsiTheme="minorHAnsi" w:eastAsiaTheme="minorEastAsia" w:cstheme="minorBidi"/>
          <w:b w:val="0"/>
          <w:bCs w:val="0"/>
          <w:caps w:val="0"/>
          <w:sz w:val="22"/>
          <w:szCs w:val="22"/>
        </w:rPr>
      </w:pPr>
      <w:hyperlink w:history="1" w:anchor="_Toc110502743">
        <w:r w:rsidRPr="007B23D6" w:rsidR="00843003">
          <w:rPr>
            <w:rStyle w:val="Hyperlink"/>
          </w:rPr>
          <w:t>CHAPTER 4: Costs of Proposed Rule Revisions</w:t>
        </w:r>
        <w:r w:rsidR="00843003">
          <w:rPr>
            <w:webHidden/>
          </w:rPr>
          <w:tab/>
        </w:r>
        <w:r w:rsidR="00843003">
          <w:rPr>
            <w:webHidden/>
          </w:rPr>
          <w:fldChar w:fldCharType="begin"/>
        </w:r>
        <w:r w:rsidR="00843003">
          <w:rPr>
            <w:webHidden/>
          </w:rPr>
          <w:instrText xml:space="preserve"> PAGEREF _Toc110502743 \h </w:instrText>
        </w:r>
        <w:r w:rsidR="00843003">
          <w:rPr>
            <w:webHidden/>
          </w:rPr>
        </w:r>
        <w:r w:rsidR="00843003">
          <w:rPr>
            <w:webHidden/>
          </w:rPr>
          <w:fldChar w:fldCharType="separate"/>
        </w:r>
        <w:r w:rsidR="00843003">
          <w:rPr>
            <w:webHidden/>
          </w:rPr>
          <w:t>34</w:t>
        </w:r>
        <w:r w:rsidR="00843003">
          <w:rPr>
            <w:webHidden/>
          </w:rPr>
          <w:fldChar w:fldCharType="end"/>
        </w:r>
      </w:hyperlink>
    </w:p>
    <w:p w:rsidR="00843003" w:rsidRDefault="00024031" w14:paraId="57EAE191" w14:textId="67B5FAD3">
      <w:pPr>
        <w:pStyle w:val="TOC2"/>
        <w:rPr>
          <w:rFonts w:asciiTheme="minorHAnsi" w:hAnsiTheme="minorHAnsi" w:eastAsiaTheme="minorEastAsia" w:cstheme="minorBidi"/>
          <w:sz w:val="22"/>
          <w:szCs w:val="22"/>
        </w:rPr>
      </w:pPr>
      <w:hyperlink w:history="1" w:anchor="_Toc110502744">
        <w:r w:rsidRPr="007B23D6" w:rsidR="00843003">
          <w:rPr>
            <w:rStyle w:val="Hyperlink"/>
          </w:rPr>
          <w:t>4.1 Analysis Baseline</w:t>
        </w:r>
        <w:r w:rsidR="00843003">
          <w:rPr>
            <w:webHidden/>
          </w:rPr>
          <w:tab/>
        </w:r>
        <w:r w:rsidR="00843003">
          <w:rPr>
            <w:webHidden/>
          </w:rPr>
          <w:fldChar w:fldCharType="begin"/>
        </w:r>
        <w:r w:rsidR="00843003">
          <w:rPr>
            <w:webHidden/>
          </w:rPr>
          <w:instrText xml:space="preserve"> PAGEREF _Toc110502744 \h </w:instrText>
        </w:r>
        <w:r w:rsidR="00843003">
          <w:rPr>
            <w:webHidden/>
          </w:rPr>
        </w:r>
        <w:r w:rsidR="00843003">
          <w:rPr>
            <w:webHidden/>
          </w:rPr>
          <w:fldChar w:fldCharType="separate"/>
        </w:r>
        <w:r w:rsidR="00843003">
          <w:rPr>
            <w:webHidden/>
          </w:rPr>
          <w:t>34</w:t>
        </w:r>
        <w:r w:rsidR="00843003">
          <w:rPr>
            <w:webHidden/>
          </w:rPr>
          <w:fldChar w:fldCharType="end"/>
        </w:r>
      </w:hyperlink>
    </w:p>
    <w:p w:rsidR="00843003" w:rsidRDefault="00024031" w14:paraId="68DC4BE5" w14:textId="0FE6D6CA">
      <w:pPr>
        <w:pStyle w:val="TOC2"/>
        <w:rPr>
          <w:rFonts w:asciiTheme="minorHAnsi" w:hAnsiTheme="minorHAnsi" w:eastAsiaTheme="minorEastAsia" w:cstheme="minorBidi"/>
          <w:sz w:val="22"/>
          <w:szCs w:val="22"/>
        </w:rPr>
      </w:pPr>
      <w:hyperlink w:history="1" w:anchor="_Toc110502745">
        <w:r w:rsidRPr="007B23D6" w:rsidR="00843003">
          <w:rPr>
            <w:rStyle w:val="Hyperlink"/>
          </w:rPr>
          <w:t>4.2 Wage Rates</w:t>
        </w:r>
        <w:r w:rsidR="00843003">
          <w:rPr>
            <w:webHidden/>
          </w:rPr>
          <w:tab/>
        </w:r>
        <w:r w:rsidR="00843003">
          <w:rPr>
            <w:webHidden/>
          </w:rPr>
          <w:fldChar w:fldCharType="begin"/>
        </w:r>
        <w:r w:rsidR="00843003">
          <w:rPr>
            <w:webHidden/>
          </w:rPr>
          <w:instrText xml:space="preserve"> PAGEREF _Toc110502745 \h </w:instrText>
        </w:r>
        <w:r w:rsidR="00843003">
          <w:rPr>
            <w:webHidden/>
          </w:rPr>
        </w:r>
        <w:r w:rsidR="00843003">
          <w:rPr>
            <w:webHidden/>
          </w:rPr>
          <w:fldChar w:fldCharType="separate"/>
        </w:r>
        <w:r w:rsidR="00843003">
          <w:rPr>
            <w:webHidden/>
          </w:rPr>
          <w:t>34</w:t>
        </w:r>
        <w:r w:rsidR="00843003">
          <w:rPr>
            <w:webHidden/>
          </w:rPr>
          <w:fldChar w:fldCharType="end"/>
        </w:r>
      </w:hyperlink>
    </w:p>
    <w:p w:rsidR="00843003" w:rsidRDefault="00024031" w14:paraId="66587053" w14:textId="205FF0EC">
      <w:pPr>
        <w:pStyle w:val="TOC2"/>
        <w:rPr>
          <w:rFonts w:asciiTheme="minorHAnsi" w:hAnsiTheme="minorHAnsi" w:eastAsiaTheme="minorEastAsia" w:cstheme="minorBidi"/>
          <w:sz w:val="22"/>
          <w:szCs w:val="22"/>
        </w:rPr>
      </w:pPr>
      <w:hyperlink w:history="1" w:anchor="_Toc110502746">
        <w:r w:rsidRPr="007B23D6" w:rsidR="00843003">
          <w:rPr>
            <w:rStyle w:val="Hyperlink"/>
          </w:rPr>
          <w:t>4.3 Rule Familiarization</w:t>
        </w:r>
        <w:r w:rsidR="00843003">
          <w:rPr>
            <w:webHidden/>
          </w:rPr>
          <w:tab/>
        </w:r>
        <w:r w:rsidR="00843003">
          <w:rPr>
            <w:webHidden/>
          </w:rPr>
          <w:fldChar w:fldCharType="begin"/>
        </w:r>
        <w:r w:rsidR="00843003">
          <w:rPr>
            <w:webHidden/>
          </w:rPr>
          <w:instrText xml:space="preserve"> PAGEREF _Toc110502746 \h </w:instrText>
        </w:r>
        <w:r w:rsidR="00843003">
          <w:rPr>
            <w:webHidden/>
          </w:rPr>
        </w:r>
        <w:r w:rsidR="00843003">
          <w:rPr>
            <w:webHidden/>
          </w:rPr>
          <w:fldChar w:fldCharType="separate"/>
        </w:r>
        <w:r w:rsidR="00843003">
          <w:rPr>
            <w:webHidden/>
          </w:rPr>
          <w:t>35</w:t>
        </w:r>
        <w:r w:rsidR="00843003">
          <w:rPr>
            <w:webHidden/>
          </w:rPr>
          <w:fldChar w:fldCharType="end"/>
        </w:r>
      </w:hyperlink>
    </w:p>
    <w:p w:rsidR="00843003" w:rsidRDefault="00024031" w14:paraId="69D9FBB6" w14:textId="67C3B13B">
      <w:pPr>
        <w:pStyle w:val="TOC2"/>
        <w:rPr>
          <w:rFonts w:asciiTheme="minorHAnsi" w:hAnsiTheme="minorHAnsi" w:eastAsiaTheme="minorEastAsia" w:cstheme="minorBidi"/>
          <w:sz w:val="22"/>
          <w:szCs w:val="22"/>
        </w:rPr>
      </w:pPr>
      <w:hyperlink w:history="1" w:anchor="_Toc110502747">
        <w:r w:rsidRPr="007B23D6" w:rsidR="00843003">
          <w:rPr>
            <w:rStyle w:val="Hyperlink"/>
          </w:rPr>
          <w:t>4.4 Prevention Program Provisions</w:t>
        </w:r>
        <w:r w:rsidR="00843003">
          <w:rPr>
            <w:webHidden/>
          </w:rPr>
          <w:tab/>
        </w:r>
        <w:r w:rsidR="00843003">
          <w:rPr>
            <w:webHidden/>
          </w:rPr>
          <w:fldChar w:fldCharType="begin"/>
        </w:r>
        <w:r w:rsidR="00843003">
          <w:rPr>
            <w:webHidden/>
          </w:rPr>
          <w:instrText xml:space="preserve"> PAGEREF _Toc110502747 \h </w:instrText>
        </w:r>
        <w:r w:rsidR="00843003">
          <w:rPr>
            <w:webHidden/>
          </w:rPr>
        </w:r>
        <w:r w:rsidR="00843003">
          <w:rPr>
            <w:webHidden/>
          </w:rPr>
          <w:fldChar w:fldCharType="separate"/>
        </w:r>
        <w:r w:rsidR="00843003">
          <w:rPr>
            <w:webHidden/>
          </w:rPr>
          <w:t>36</w:t>
        </w:r>
        <w:r w:rsidR="00843003">
          <w:rPr>
            <w:webHidden/>
          </w:rPr>
          <w:fldChar w:fldCharType="end"/>
        </w:r>
      </w:hyperlink>
    </w:p>
    <w:p w:rsidR="00843003" w:rsidRDefault="00024031" w14:paraId="6A9A73F8" w14:textId="32AE204C">
      <w:pPr>
        <w:pStyle w:val="TOC2"/>
        <w:rPr>
          <w:rFonts w:asciiTheme="minorHAnsi" w:hAnsiTheme="minorHAnsi" w:eastAsiaTheme="minorEastAsia" w:cstheme="minorBidi"/>
          <w:sz w:val="22"/>
          <w:szCs w:val="22"/>
        </w:rPr>
      </w:pPr>
      <w:hyperlink w:history="1" w:anchor="_Toc110502748">
        <w:r w:rsidRPr="007B23D6" w:rsidR="00843003">
          <w:rPr>
            <w:rStyle w:val="Hyperlink"/>
          </w:rPr>
          <w:t>4.5 Emergency Response</w:t>
        </w:r>
        <w:r w:rsidR="00843003">
          <w:rPr>
            <w:webHidden/>
          </w:rPr>
          <w:tab/>
        </w:r>
        <w:r w:rsidR="00843003">
          <w:rPr>
            <w:webHidden/>
          </w:rPr>
          <w:fldChar w:fldCharType="begin"/>
        </w:r>
        <w:r w:rsidR="00843003">
          <w:rPr>
            <w:webHidden/>
          </w:rPr>
          <w:instrText xml:space="preserve"> PAGEREF _Toc110502748 \h </w:instrText>
        </w:r>
        <w:r w:rsidR="00843003">
          <w:rPr>
            <w:webHidden/>
          </w:rPr>
        </w:r>
        <w:r w:rsidR="00843003">
          <w:rPr>
            <w:webHidden/>
          </w:rPr>
          <w:fldChar w:fldCharType="separate"/>
        </w:r>
        <w:r w:rsidR="00843003">
          <w:rPr>
            <w:webHidden/>
          </w:rPr>
          <w:t>42</w:t>
        </w:r>
        <w:r w:rsidR="00843003">
          <w:rPr>
            <w:webHidden/>
          </w:rPr>
          <w:fldChar w:fldCharType="end"/>
        </w:r>
      </w:hyperlink>
    </w:p>
    <w:p w:rsidR="00843003" w:rsidRDefault="00024031" w14:paraId="425FDECA" w14:textId="614ED3FE">
      <w:pPr>
        <w:pStyle w:val="TOC2"/>
        <w:rPr>
          <w:rFonts w:asciiTheme="minorHAnsi" w:hAnsiTheme="minorHAnsi" w:eastAsiaTheme="minorEastAsia" w:cstheme="minorBidi"/>
          <w:sz w:val="22"/>
          <w:szCs w:val="22"/>
        </w:rPr>
      </w:pPr>
      <w:hyperlink w:history="1" w:anchor="_Toc110502749">
        <w:r w:rsidRPr="007B23D6" w:rsidR="00843003">
          <w:rPr>
            <w:rStyle w:val="Hyperlink"/>
          </w:rPr>
          <w:t>4.6 Information Availability</w:t>
        </w:r>
        <w:r w:rsidR="00843003">
          <w:rPr>
            <w:webHidden/>
          </w:rPr>
          <w:tab/>
        </w:r>
        <w:r w:rsidR="00843003">
          <w:rPr>
            <w:webHidden/>
          </w:rPr>
          <w:fldChar w:fldCharType="begin"/>
        </w:r>
        <w:r w:rsidR="00843003">
          <w:rPr>
            <w:webHidden/>
          </w:rPr>
          <w:instrText xml:space="preserve"> PAGEREF _Toc110502749 \h </w:instrText>
        </w:r>
        <w:r w:rsidR="00843003">
          <w:rPr>
            <w:webHidden/>
          </w:rPr>
        </w:r>
        <w:r w:rsidR="00843003">
          <w:rPr>
            <w:webHidden/>
          </w:rPr>
          <w:fldChar w:fldCharType="separate"/>
        </w:r>
        <w:r w:rsidR="00843003">
          <w:rPr>
            <w:webHidden/>
          </w:rPr>
          <w:t>43</w:t>
        </w:r>
        <w:r w:rsidR="00843003">
          <w:rPr>
            <w:webHidden/>
          </w:rPr>
          <w:fldChar w:fldCharType="end"/>
        </w:r>
      </w:hyperlink>
    </w:p>
    <w:p w:rsidR="00843003" w:rsidRDefault="00024031" w14:paraId="72F2C239" w14:textId="4BFAE188">
      <w:pPr>
        <w:pStyle w:val="TOC1"/>
        <w:rPr>
          <w:rFonts w:asciiTheme="minorHAnsi" w:hAnsiTheme="minorHAnsi" w:eastAsiaTheme="minorEastAsia" w:cstheme="minorBidi"/>
          <w:b w:val="0"/>
          <w:bCs w:val="0"/>
          <w:caps w:val="0"/>
          <w:sz w:val="22"/>
          <w:szCs w:val="22"/>
        </w:rPr>
      </w:pPr>
      <w:hyperlink w:history="1" w:anchor="_Toc110502750">
        <w:r w:rsidRPr="007B23D6" w:rsidR="00843003">
          <w:rPr>
            <w:rStyle w:val="Hyperlink"/>
          </w:rPr>
          <w:t>CHAPTER 5: Total Estimated Costs of the Proposed Rule</w:t>
        </w:r>
        <w:r w:rsidR="00843003">
          <w:rPr>
            <w:webHidden/>
          </w:rPr>
          <w:tab/>
        </w:r>
        <w:r w:rsidR="00843003">
          <w:rPr>
            <w:webHidden/>
          </w:rPr>
          <w:fldChar w:fldCharType="begin"/>
        </w:r>
        <w:r w:rsidR="00843003">
          <w:rPr>
            <w:webHidden/>
          </w:rPr>
          <w:instrText xml:space="preserve"> PAGEREF _Toc110502750 \h </w:instrText>
        </w:r>
        <w:r w:rsidR="00843003">
          <w:rPr>
            <w:webHidden/>
          </w:rPr>
        </w:r>
        <w:r w:rsidR="00843003">
          <w:rPr>
            <w:webHidden/>
          </w:rPr>
          <w:fldChar w:fldCharType="separate"/>
        </w:r>
        <w:r w:rsidR="00843003">
          <w:rPr>
            <w:webHidden/>
          </w:rPr>
          <w:t>44</w:t>
        </w:r>
        <w:r w:rsidR="00843003">
          <w:rPr>
            <w:webHidden/>
          </w:rPr>
          <w:fldChar w:fldCharType="end"/>
        </w:r>
      </w:hyperlink>
    </w:p>
    <w:p w:rsidR="00843003" w:rsidRDefault="00024031" w14:paraId="6611F28D" w14:textId="5AF6F70B">
      <w:pPr>
        <w:pStyle w:val="TOC2"/>
        <w:rPr>
          <w:rFonts w:asciiTheme="minorHAnsi" w:hAnsiTheme="minorHAnsi" w:eastAsiaTheme="minorEastAsia" w:cstheme="minorBidi"/>
          <w:sz w:val="22"/>
          <w:szCs w:val="22"/>
        </w:rPr>
      </w:pPr>
      <w:hyperlink w:history="1" w:anchor="_Toc110502751">
        <w:r w:rsidRPr="007B23D6" w:rsidR="00843003">
          <w:rPr>
            <w:rStyle w:val="Hyperlink"/>
          </w:rPr>
          <w:t>5.1 Analytical</w:t>
        </w:r>
        <w:r w:rsidRPr="007B23D6" w:rsidR="00843003">
          <w:rPr>
            <w:rStyle w:val="Hyperlink"/>
            <w:spacing w:val="-14"/>
          </w:rPr>
          <w:t xml:space="preserve"> </w:t>
        </w:r>
        <w:r w:rsidRPr="007B23D6" w:rsidR="00843003">
          <w:rPr>
            <w:rStyle w:val="Hyperlink"/>
          </w:rPr>
          <w:t>Assumptions</w:t>
        </w:r>
        <w:r w:rsidR="00843003">
          <w:rPr>
            <w:webHidden/>
          </w:rPr>
          <w:tab/>
        </w:r>
        <w:r w:rsidR="00843003">
          <w:rPr>
            <w:webHidden/>
          </w:rPr>
          <w:fldChar w:fldCharType="begin"/>
        </w:r>
        <w:r w:rsidR="00843003">
          <w:rPr>
            <w:webHidden/>
          </w:rPr>
          <w:instrText xml:space="preserve"> PAGEREF _Toc110502751 \h </w:instrText>
        </w:r>
        <w:r w:rsidR="00843003">
          <w:rPr>
            <w:webHidden/>
          </w:rPr>
        </w:r>
        <w:r w:rsidR="00843003">
          <w:rPr>
            <w:webHidden/>
          </w:rPr>
          <w:fldChar w:fldCharType="separate"/>
        </w:r>
        <w:r w:rsidR="00843003">
          <w:rPr>
            <w:webHidden/>
          </w:rPr>
          <w:t>44</w:t>
        </w:r>
        <w:r w:rsidR="00843003">
          <w:rPr>
            <w:webHidden/>
          </w:rPr>
          <w:fldChar w:fldCharType="end"/>
        </w:r>
      </w:hyperlink>
    </w:p>
    <w:p w:rsidR="00843003" w:rsidRDefault="00024031" w14:paraId="5992F026" w14:textId="15D569AE">
      <w:pPr>
        <w:pStyle w:val="TOC2"/>
        <w:rPr>
          <w:rFonts w:asciiTheme="minorHAnsi" w:hAnsiTheme="minorHAnsi" w:eastAsiaTheme="minorEastAsia" w:cstheme="minorBidi"/>
          <w:sz w:val="22"/>
          <w:szCs w:val="22"/>
        </w:rPr>
      </w:pPr>
      <w:hyperlink w:history="1" w:anchor="_Toc110502752">
        <w:r w:rsidRPr="007B23D6" w:rsidR="00843003">
          <w:rPr>
            <w:rStyle w:val="Hyperlink"/>
          </w:rPr>
          <w:t>5.2 Rule</w:t>
        </w:r>
        <w:r w:rsidRPr="007B23D6" w:rsidR="00843003">
          <w:rPr>
            <w:rStyle w:val="Hyperlink"/>
            <w:spacing w:val="-12"/>
          </w:rPr>
          <w:t xml:space="preserve"> </w:t>
        </w:r>
        <w:r w:rsidRPr="007B23D6" w:rsidR="00843003">
          <w:rPr>
            <w:rStyle w:val="Hyperlink"/>
          </w:rPr>
          <w:t>Familiarization</w:t>
        </w:r>
        <w:r w:rsidR="00843003">
          <w:rPr>
            <w:webHidden/>
          </w:rPr>
          <w:tab/>
        </w:r>
        <w:r w:rsidR="00843003">
          <w:rPr>
            <w:webHidden/>
          </w:rPr>
          <w:fldChar w:fldCharType="begin"/>
        </w:r>
        <w:r w:rsidR="00843003">
          <w:rPr>
            <w:webHidden/>
          </w:rPr>
          <w:instrText xml:space="preserve"> PAGEREF _Toc110502752 \h </w:instrText>
        </w:r>
        <w:r w:rsidR="00843003">
          <w:rPr>
            <w:webHidden/>
          </w:rPr>
        </w:r>
        <w:r w:rsidR="00843003">
          <w:rPr>
            <w:webHidden/>
          </w:rPr>
          <w:fldChar w:fldCharType="separate"/>
        </w:r>
        <w:r w:rsidR="00843003">
          <w:rPr>
            <w:webHidden/>
          </w:rPr>
          <w:t>45</w:t>
        </w:r>
        <w:r w:rsidR="00843003">
          <w:rPr>
            <w:webHidden/>
          </w:rPr>
          <w:fldChar w:fldCharType="end"/>
        </w:r>
      </w:hyperlink>
    </w:p>
    <w:p w:rsidR="00843003" w:rsidRDefault="00024031" w14:paraId="7513D557" w14:textId="0E43CB30">
      <w:pPr>
        <w:pStyle w:val="TOC2"/>
        <w:rPr>
          <w:rFonts w:asciiTheme="minorHAnsi" w:hAnsiTheme="minorHAnsi" w:eastAsiaTheme="minorEastAsia" w:cstheme="minorBidi"/>
          <w:sz w:val="22"/>
          <w:szCs w:val="22"/>
        </w:rPr>
      </w:pPr>
      <w:hyperlink w:history="1" w:anchor="_Toc110502753">
        <w:r w:rsidRPr="007B23D6" w:rsidR="00843003">
          <w:rPr>
            <w:rStyle w:val="Hyperlink"/>
          </w:rPr>
          <w:t>5.3 Prevention</w:t>
        </w:r>
        <w:r w:rsidRPr="007B23D6" w:rsidR="00843003">
          <w:rPr>
            <w:rStyle w:val="Hyperlink"/>
            <w:spacing w:val="-22"/>
          </w:rPr>
          <w:t xml:space="preserve"> </w:t>
        </w:r>
        <w:r w:rsidRPr="007B23D6" w:rsidR="00843003">
          <w:rPr>
            <w:rStyle w:val="Hyperlink"/>
          </w:rPr>
          <w:t>Program</w:t>
        </w:r>
        <w:r w:rsidRPr="007B23D6" w:rsidR="00843003">
          <w:rPr>
            <w:rStyle w:val="Hyperlink"/>
            <w:spacing w:val="-25"/>
          </w:rPr>
          <w:t xml:space="preserve"> </w:t>
        </w:r>
        <w:r w:rsidRPr="007B23D6" w:rsidR="00843003">
          <w:rPr>
            <w:rStyle w:val="Hyperlink"/>
          </w:rPr>
          <w:t>Rule</w:t>
        </w:r>
        <w:r w:rsidRPr="007B23D6" w:rsidR="00843003">
          <w:rPr>
            <w:rStyle w:val="Hyperlink"/>
            <w:spacing w:val="-11"/>
          </w:rPr>
          <w:t xml:space="preserve"> </w:t>
        </w:r>
        <w:r w:rsidRPr="007B23D6" w:rsidR="00843003">
          <w:rPr>
            <w:rStyle w:val="Hyperlink"/>
          </w:rPr>
          <w:t>Provisions</w:t>
        </w:r>
        <w:r w:rsidR="00843003">
          <w:rPr>
            <w:webHidden/>
          </w:rPr>
          <w:tab/>
        </w:r>
        <w:r w:rsidR="00843003">
          <w:rPr>
            <w:webHidden/>
          </w:rPr>
          <w:fldChar w:fldCharType="begin"/>
        </w:r>
        <w:r w:rsidR="00843003">
          <w:rPr>
            <w:webHidden/>
          </w:rPr>
          <w:instrText xml:space="preserve"> PAGEREF _Toc110502753 \h </w:instrText>
        </w:r>
        <w:r w:rsidR="00843003">
          <w:rPr>
            <w:webHidden/>
          </w:rPr>
        </w:r>
        <w:r w:rsidR="00843003">
          <w:rPr>
            <w:webHidden/>
          </w:rPr>
          <w:fldChar w:fldCharType="separate"/>
        </w:r>
        <w:r w:rsidR="00843003">
          <w:rPr>
            <w:webHidden/>
          </w:rPr>
          <w:t>45</w:t>
        </w:r>
        <w:r w:rsidR="00843003">
          <w:rPr>
            <w:webHidden/>
          </w:rPr>
          <w:fldChar w:fldCharType="end"/>
        </w:r>
      </w:hyperlink>
    </w:p>
    <w:p w:rsidR="00843003" w:rsidRDefault="00024031" w14:paraId="14EC6E42" w14:textId="1680A8B3">
      <w:pPr>
        <w:pStyle w:val="TOC2"/>
        <w:rPr>
          <w:rFonts w:asciiTheme="minorHAnsi" w:hAnsiTheme="minorHAnsi" w:eastAsiaTheme="minorEastAsia" w:cstheme="minorBidi"/>
          <w:sz w:val="22"/>
          <w:szCs w:val="22"/>
        </w:rPr>
      </w:pPr>
      <w:hyperlink w:history="1" w:anchor="_Toc110502754">
        <w:r w:rsidRPr="007B23D6" w:rsidR="00843003">
          <w:rPr>
            <w:rStyle w:val="Hyperlink"/>
          </w:rPr>
          <w:t>5.4 Emergency Response</w:t>
        </w:r>
        <w:r w:rsidR="00843003">
          <w:rPr>
            <w:webHidden/>
          </w:rPr>
          <w:tab/>
        </w:r>
        <w:r w:rsidR="00843003">
          <w:rPr>
            <w:webHidden/>
          </w:rPr>
          <w:fldChar w:fldCharType="begin"/>
        </w:r>
        <w:r w:rsidR="00843003">
          <w:rPr>
            <w:webHidden/>
          </w:rPr>
          <w:instrText xml:space="preserve"> PAGEREF _Toc110502754 \h </w:instrText>
        </w:r>
        <w:r w:rsidR="00843003">
          <w:rPr>
            <w:webHidden/>
          </w:rPr>
        </w:r>
        <w:r w:rsidR="00843003">
          <w:rPr>
            <w:webHidden/>
          </w:rPr>
          <w:fldChar w:fldCharType="separate"/>
        </w:r>
        <w:r w:rsidR="00843003">
          <w:rPr>
            <w:webHidden/>
          </w:rPr>
          <w:t>48</w:t>
        </w:r>
        <w:r w:rsidR="00843003">
          <w:rPr>
            <w:webHidden/>
          </w:rPr>
          <w:fldChar w:fldCharType="end"/>
        </w:r>
      </w:hyperlink>
    </w:p>
    <w:p w:rsidR="00843003" w:rsidRDefault="00024031" w14:paraId="4D4E92FF" w14:textId="1E1AF6DB">
      <w:pPr>
        <w:pStyle w:val="TOC2"/>
        <w:rPr>
          <w:rFonts w:asciiTheme="minorHAnsi" w:hAnsiTheme="minorHAnsi" w:eastAsiaTheme="minorEastAsia" w:cstheme="minorBidi"/>
          <w:sz w:val="22"/>
          <w:szCs w:val="22"/>
        </w:rPr>
      </w:pPr>
      <w:hyperlink w:history="1" w:anchor="_Toc110502755">
        <w:r w:rsidRPr="007B23D6" w:rsidR="00843003">
          <w:rPr>
            <w:rStyle w:val="Hyperlink"/>
          </w:rPr>
          <w:t>5.5 Information Availability to the Public</w:t>
        </w:r>
        <w:r w:rsidR="00843003">
          <w:rPr>
            <w:webHidden/>
          </w:rPr>
          <w:tab/>
        </w:r>
        <w:r w:rsidR="00843003">
          <w:rPr>
            <w:webHidden/>
          </w:rPr>
          <w:fldChar w:fldCharType="begin"/>
        </w:r>
        <w:r w:rsidR="00843003">
          <w:rPr>
            <w:webHidden/>
          </w:rPr>
          <w:instrText xml:space="preserve"> PAGEREF _Toc110502755 \h </w:instrText>
        </w:r>
        <w:r w:rsidR="00843003">
          <w:rPr>
            <w:webHidden/>
          </w:rPr>
        </w:r>
        <w:r w:rsidR="00843003">
          <w:rPr>
            <w:webHidden/>
          </w:rPr>
          <w:fldChar w:fldCharType="separate"/>
        </w:r>
        <w:r w:rsidR="00843003">
          <w:rPr>
            <w:webHidden/>
          </w:rPr>
          <w:t>48</w:t>
        </w:r>
        <w:r w:rsidR="00843003">
          <w:rPr>
            <w:webHidden/>
          </w:rPr>
          <w:fldChar w:fldCharType="end"/>
        </w:r>
      </w:hyperlink>
    </w:p>
    <w:p w:rsidR="00843003" w:rsidRDefault="00024031" w14:paraId="5A6A233E" w14:textId="61D2DB99">
      <w:pPr>
        <w:pStyle w:val="TOC2"/>
        <w:rPr>
          <w:rFonts w:asciiTheme="minorHAnsi" w:hAnsiTheme="minorHAnsi" w:eastAsiaTheme="minorEastAsia" w:cstheme="minorBidi"/>
          <w:sz w:val="22"/>
          <w:szCs w:val="22"/>
        </w:rPr>
      </w:pPr>
      <w:hyperlink w:history="1" w:anchor="_Toc110502756">
        <w:r w:rsidRPr="007B23D6" w:rsidR="00843003">
          <w:rPr>
            <w:rStyle w:val="Hyperlink"/>
          </w:rPr>
          <w:t>5.6 Cost</w:t>
        </w:r>
        <w:r w:rsidRPr="007B23D6" w:rsidR="00843003">
          <w:rPr>
            <w:rStyle w:val="Hyperlink"/>
            <w:spacing w:val="-9"/>
          </w:rPr>
          <w:t xml:space="preserve"> </w:t>
        </w:r>
        <w:r w:rsidRPr="007B23D6" w:rsidR="00843003">
          <w:rPr>
            <w:rStyle w:val="Hyperlink"/>
          </w:rPr>
          <w:t>Uncertainties</w:t>
        </w:r>
        <w:r w:rsidRPr="007B23D6" w:rsidR="00843003">
          <w:rPr>
            <w:rStyle w:val="Hyperlink"/>
            <w:spacing w:val="-7"/>
          </w:rPr>
          <w:t xml:space="preserve"> </w:t>
        </w:r>
        <w:r w:rsidRPr="007B23D6" w:rsidR="00843003">
          <w:rPr>
            <w:rStyle w:val="Hyperlink"/>
          </w:rPr>
          <w:t>Associated</w:t>
        </w:r>
        <w:r w:rsidRPr="007B23D6" w:rsidR="00843003">
          <w:rPr>
            <w:rStyle w:val="Hyperlink"/>
            <w:spacing w:val="-19"/>
          </w:rPr>
          <w:t xml:space="preserve"> </w:t>
        </w:r>
        <w:r w:rsidRPr="007B23D6" w:rsidR="00843003">
          <w:rPr>
            <w:rStyle w:val="Hyperlink"/>
          </w:rPr>
          <w:t>with</w:t>
        </w:r>
        <w:r w:rsidRPr="007B23D6" w:rsidR="00843003">
          <w:rPr>
            <w:rStyle w:val="Hyperlink"/>
            <w:spacing w:val="-18"/>
          </w:rPr>
          <w:t xml:space="preserve"> </w:t>
        </w:r>
        <w:r w:rsidRPr="007B23D6" w:rsidR="00843003">
          <w:rPr>
            <w:rStyle w:val="Hyperlink"/>
          </w:rPr>
          <w:t>Prevention</w:t>
        </w:r>
        <w:r w:rsidRPr="007B23D6" w:rsidR="00843003">
          <w:rPr>
            <w:rStyle w:val="Hyperlink"/>
            <w:spacing w:val="-18"/>
          </w:rPr>
          <w:t xml:space="preserve"> </w:t>
        </w:r>
        <w:r w:rsidRPr="007B23D6" w:rsidR="00843003">
          <w:rPr>
            <w:rStyle w:val="Hyperlink"/>
          </w:rPr>
          <w:t>Program</w:t>
        </w:r>
        <w:r w:rsidRPr="007B23D6" w:rsidR="00843003">
          <w:rPr>
            <w:rStyle w:val="Hyperlink"/>
            <w:spacing w:val="-23"/>
          </w:rPr>
          <w:t xml:space="preserve"> </w:t>
        </w:r>
        <w:r w:rsidRPr="007B23D6" w:rsidR="00843003">
          <w:rPr>
            <w:rStyle w:val="Hyperlink"/>
          </w:rPr>
          <w:t>Provisions</w:t>
        </w:r>
        <w:r w:rsidR="00843003">
          <w:rPr>
            <w:webHidden/>
          </w:rPr>
          <w:tab/>
        </w:r>
        <w:r w:rsidR="00843003">
          <w:rPr>
            <w:webHidden/>
          </w:rPr>
          <w:fldChar w:fldCharType="begin"/>
        </w:r>
        <w:r w:rsidR="00843003">
          <w:rPr>
            <w:webHidden/>
          </w:rPr>
          <w:instrText xml:space="preserve"> PAGEREF _Toc110502756 \h </w:instrText>
        </w:r>
        <w:r w:rsidR="00843003">
          <w:rPr>
            <w:webHidden/>
          </w:rPr>
        </w:r>
        <w:r w:rsidR="00843003">
          <w:rPr>
            <w:webHidden/>
          </w:rPr>
          <w:fldChar w:fldCharType="separate"/>
        </w:r>
        <w:r w:rsidR="00843003">
          <w:rPr>
            <w:webHidden/>
          </w:rPr>
          <w:t>49</w:t>
        </w:r>
        <w:r w:rsidR="00843003">
          <w:rPr>
            <w:webHidden/>
          </w:rPr>
          <w:fldChar w:fldCharType="end"/>
        </w:r>
      </w:hyperlink>
    </w:p>
    <w:p w:rsidR="00843003" w:rsidRDefault="00024031" w14:paraId="34D6DCDD" w14:textId="4A7EBBFE">
      <w:pPr>
        <w:pStyle w:val="TOC2"/>
        <w:rPr>
          <w:rFonts w:asciiTheme="minorHAnsi" w:hAnsiTheme="minorHAnsi" w:eastAsiaTheme="minorEastAsia" w:cstheme="minorBidi"/>
          <w:sz w:val="22"/>
          <w:szCs w:val="22"/>
        </w:rPr>
      </w:pPr>
      <w:hyperlink w:history="1" w:anchor="_Toc110502757">
        <w:r w:rsidRPr="007B23D6" w:rsidR="00843003">
          <w:rPr>
            <w:rStyle w:val="Hyperlink"/>
          </w:rPr>
          <w:t>5.7 Total</w:t>
        </w:r>
        <w:r w:rsidRPr="007B23D6" w:rsidR="00843003">
          <w:rPr>
            <w:rStyle w:val="Hyperlink"/>
            <w:spacing w:val="1"/>
          </w:rPr>
          <w:t xml:space="preserve"> Estimated </w:t>
        </w:r>
        <w:r w:rsidRPr="007B23D6" w:rsidR="00843003">
          <w:rPr>
            <w:rStyle w:val="Hyperlink"/>
          </w:rPr>
          <w:t>Costs</w:t>
        </w:r>
        <w:r w:rsidR="00843003">
          <w:rPr>
            <w:webHidden/>
          </w:rPr>
          <w:tab/>
        </w:r>
        <w:r w:rsidR="00843003">
          <w:rPr>
            <w:webHidden/>
          </w:rPr>
          <w:fldChar w:fldCharType="begin"/>
        </w:r>
        <w:r w:rsidR="00843003">
          <w:rPr>
            <w:webHidden/>
          </w:rPr>
          <w:instrText xml:space="preserve"> PAGEREF _Toc110502757 \h </w:instrText>
        </w:r>
        <w:r w:rsidR="00843003">
          <w:rPr>
            <w:webHidden/>
          </w:rPr>
        </w:r>
        <w:r w:rsidR="00843003">
          <w:rPr>
            <w:webHidden/>
          </w:rPr>
          <w:fldChar w:fldCharType="separate"/>
        </w:r>
        <w:r w:rsidR="00843003">
          <w:rPr>
            <w:webHidden/>
          </w:rPr>
          <w:t>51</w:t>
        </w:r>
        <w:r w:rsidR="00843003">
          <w:rPr>
            <w:webHidden/>
          </w:rPr>
          <w:fldChar w:fldCharType="end"/>
        </w:r>
      </w:hyperlink>
    </w:p>
    <w:p w:rsidR="00843003" w:rsidRDefault="00024031" w14:paraId="31E3CDDF" w14:textId="01CA57FB">
      <w:pPr>
        <w:pStyle w:val="TOC1"/>
        <w:rPr>
          <w:rFonts w:asciiTheme="minorHAnsi" w:hAnsiTheme="minorHAnsi" w:eastAsiaTheme="minorEastAsia" w:cstheme="minorBidi"/>
          <w:b w:val="0"/>
          <w:bCs w:val="0"/>
          <w:caps w:val="0"/>
          <w:sz w:val="22"/>
          <w:szCs w:val="22"/>
        </w:rPr>
      </w:pPr>
      <w:hyperlink w:history="1" w:anchor="_Toc110502758">
        <w:r w:rsidRPr="007B23D6" w:rsidR="00843003">
          <w:rPr>
            <w:rStyle w:val="Hyperlink"/>
          </w:rPr>
          <w:t>CHAPTER 6: Total Benefits of the Proposed Rule</w:t>
        </w:r>
        <w:r w:rsidR="00843003">
          <w:rPr>
            <w:webHidden/>
          </w:rPr>
          <w:tab/>
        </w:r>
        <w:r w:rsidR="00843003">
          <w:rPr>
            <w:webHidden/>
          </w:rPr>
          <w:fldChar w:fldCharType="begin"/>
        </w:r>
        <w:r w:rsidR="00843003">
          <w:rPr>
            <w:webHidden/>
          </w:rPr>
          <w:instrText xml:space="preserve"> PAGEREF _Toc110502758 \h </w:instrText>
        </w:r>
        <w:r w:rsidR="00843003">
          <w:rPr>
            <w:webHidden/>
          </w:rPr>
        </w:r>
        <w:r w:rsidR="00843003">
          <w:rPr>
            <w:webHidden/>
          </w:rPr>
          <w:fldChar w:fldCharType="separate"/>
        </w:r>
        <w:r w:rsidR="00843003">
          <w:rPr>
            <w:webHidden/>
          </w:rPr>
          <w:t>53</w:t>
        </w:r>
        <w:r w:rsidR="00843003">
          <w:rPr>
            <w:webHidden/>
          </w:rPr>
          <w:fldChar w:fldCharType="end"/>
        </w:r>
      </w:hyperlink>
    </w:p>
    <w:p w:rsidR="00843003" w:rsidRDefault="00024031" w14:paraId="0B5DB7B6" w14:textId="20BBED11">
      <w:pPr>
        <w:pStyle w:val="TOC2"/>
        <w:rPr>
          <w:rFonts w:asciiTheme="minorHAnsi" w:hAnsiTheme="minorHAnsi" w:eastAsiaTheme="minorEastAsia" w:cstheme="minorBidi"/>
          <w:sz w:val="22"/>
          <w:szCs w:val="22"/>
        </w:rPr>
      </w:pPr>
      <w:hyperlink w:history="1" w:anchor="_Toc110502759">
        <w:r w:rsidRPr="007B23D6" w:rsidR="00843003">
          <w:rPr>
            <w:rStyle w:val="Hyperlink"/>
          </w:rPr>
          <w:t>6.1 Benefit Categories</w:t>
        </w:r>
        <w:r w:rsidR="00843003">
          <w:rPr>
            <w:webHidden/>
          </w:rPr>
          <w:tab/>
        </w:r>
        <w:r w:rsidR="00843003">
          <w:rPr>
            <w:webHidden/>
          </w:rPr>
          <w:fldChar w:fldCharType="begin"/>
        </w:r>
        <w:r w:rsidR="00843003">
          <w:rPr>
            <w:webHidden/>
          </w:rPr>
          <w:instrText xml:space="preserve"> PAGEREF _Toc110502759 \h </w:instrText>
        </w:r>
        <w:r w:rsidR="00843003">
          <w:rPr>
            <w:webHidden/>
          </w:rPr>
        </w:r>
        <w:r w:rsidR="00843003">
          <w:rPr>
            <w:webHidden/>
          </w:rPr>
          <w:fldChar w:fldCharType="separate"/>
        </w:r>
        <w:r w:rsidR="00843003">
          <w:rPr>
            <w:webHidden/>
          </w:rPr>
          <w:t>54</w:t>
        </w:r>
        <w:r w:rsidR="00843003">
          <w:rPr>
            <w:webHidden/>
          </w:rPr>
          <w:fldChar w:fldCharType="end"/>
        </w:r>
      </w:hyperlink>
    </w:p>
    <w:p w:rsidR="00843003" w:rsidRDefault="00024031" w14:paraId="255D7079" w14:textId="22CA8F85">
      <w:pPr>
        <w:pStyle w:val="TOC2"/>
        <w:rPr>
          <w:rFonts w:asciiTheme="minorHAnsi" w:hAnsiTheme="minorHAnsi" w:eastAsiaTheme="minorEastAsia" w:cstheme="minorBidi"/>
          <w:sz w:val="22"/>
          <w:szCs w:val="22"/>
        </w:rPr>
      </w:pPr>
      <w:hyperlink w:history="1" w:anchor="_Toc110502760">
        <w:r w:rsidRPr="007B23D6" w:rsidR="00843003">
          <w:rPr>
            <w:rStyle w:val="Hyperlink"/>
          </w:rPr>
          <w:t>6.2 Avoided Accident</w:t>
        </w:r>
        <w:r w:rsidRPr="007B23D6" w:rsidR="00843003">
          <w:rPr>
            <w:rStyle w:val="Hyperlink"/>
            <w:spacing w:val="-5"/>
          </w:rPr>
          <w:t xml:space="preserve"> </w:t>
        </w:r>
        <w:r w:rsidRPr="007B23D6" w:rsidR="00843003">
          <w:rPr>
            <w:rStyle w:val="Hyperlink"/>
          </w:rPr>
          <w:t>Impacts: Breakeven Analysis</w:t>
        </w:r>
        <w:r w:rsidR="00843003">
          <w:rPr>
            <w:webHidden/>
          </w:rPr>
          <w:tab/>
        </w:r>
        <w:r w:rsidR="00843003">
          <w:rPr>
            <w:webHidden/>
          </w:rPr>
          <w:fldChar w:fldCharType="begin"/>
        </w:r>
        <w:r w:rsidR="00843003">
          <w:rPr>
            <w:webHidden/>
          </w:rPr>
          <w:instrText xml:space="preserve"> PAGEREF _Toc110502760 \h </w:instrText>
        </w:r>
        <w:r w:rsidR="00843003">
          <w:rPr>
            <w:webHidden/>
          </w:rPr>
        </w:r>
        <w:r w:rsidR="00843003">
          <w:rPr>
            <w:webHidden/>
          </w:rPr>
          <w:fldChar w:fldCharType="separate"/>
        </w:r>
        <w:r w:rsidR="00843003">
          <w:rPr>
            <w:webHidden/>
          </w:rPr>
          <w:t>59</w:t>
        </w:r>
        <w:r w:rsidR="00843003">
          <w:rPr>
            <w:webHidden/>
          </w:rPr>
          <w:fldChar w:fldCharType="end"/>
        </w:r>
      </w:hyperlink>
    </w:p>
    <w:p w:rsidR="00843003" w:rsidRDefault="00024031" w14:paraId="0CB0A402" w14:textId="701303C2">
      <w:pPr>
        <w:pStyle w:val="TOC2"/>
        <w:rPr>
          <w:rFonts w:asciiTheme="minorHAnsi" w:hAnsiTheme="minorHAnsi" w:eastAsiaTheme="minorEastAsia" w:cstheme="minorBidi"/>
          <w:sz w:val="22"/>
          <w:szCs w:val="22"/>
        </w:rPr>
      </w:pPr>
      <w:hyperlink w:history="1" w:anchor="_Toc110502761">
        <w:r w:rsidRPr="007B23D6" w:rsidR="00843003">
          <w:rPr>
            <w:rStyle w:val="Hyperlink"/>
          </w:rPr>
          <w:t>6.3 Avoided</w:t>
        </w:r>
        <w:r w:rsidRPr="007B23D6" w:rsidR="00843003">
          <w:rPr>
            <w:rStyle w:val="Hyperlink"/>
            <w:spacing w:val="-1"/>
          </w:rPr>
          <w:t xml:space="preserve"> </w:t>
        </w:r>
        <w:r w:rsidRPr="007B23D6" w:rsidR="00843003">
          <w:rPr>
            <w:rStyle w:val="Hyperlink"/>
          </w:rPr>
          <w:t>Catastrophes</w:t>
        </w:r>
        <w:r w:rsidR="00843003">
          <w:rPr>
            <w:webHidden/>
          </w:rPr>
          <w:tab/>
        </w:r>
        <w:r w:rsidR="00843003">
          <w:rPr>
            <w:webHidden/>
          </w:rPr>
          <w:fldChar w:fldCharType="begin"/>
        </w:r>
        <w:r w:rsidR="00843003">
          <w:rPr>
            <w:webHidden/>
          </w:rPr>
          <w:instrText xml:space="preserve"> PAGEREF _Toc110502761 \h </w:instrText>
        </w:r>
        <w:r w:rsidR="00843003">
          <w:rPr>
            <w:webHidden/>
          </w:rPr>
        </w:r>
        <w:r w:rsidR="00843003">
          <w:rPr>
            <w:webHidden/>
          </w:rPr>
          <w:fldChar w:fldCharType="separate"/>
        </w:r>
        <w:r w:rsidR="00843003">
          <w:rPr>
            <w:webHidden/>
          </w:rPr>
          <w:t>61</w:t>
        </w:r>
        <w:r w:rsidR="00843003">
          <w:rPr>
            <w:webHidden/>
          </w:rPr>
          <w:fldChar w:fldCharType="end"/>
        </w:r>
      </w:hyperlink>
    </w:p>
    <w:p w:rsidR="00843003" w:rsidRDefault="00024031" w14:paraId="6F90903B" w14:textId="31914142">
      <w:pPr>
        <w:pStyle w:val="TOC2"/>
        <w:rPr>
          <w:rFonts w:asciiTheme="minorHAnsi" w:hAnsiTheme="minorHAnsi" w:eastAsiaTheme="minorEastAsia" w:cstheme="minorBidi"/>
          <w:sz w:val="22"/>
          <w:szCs w:val="22"/>
        </w:rPr>
      </w:pPr>
      <w:hyperlink w:history="1" w:anchor="_Toc110502762">
        <w:r w:rsidRPr="007B23D6" w:rsidR="00843003">
          <w:rPr>
            <w:rStyle w:val="Hyperlink"/>
          </w:rPr>
          <w:t>6.4 Additional Benefit Categories Associated with Accident Prevention</w:t>
        </w:r>
        <w:r w:rsidRPr="007B23D6" w:rsidR="00843003">
          <w:rPr>
            <w:rStyle w:val="Hyperlink"/>
            <w:spacing w:val="-28"/>
          </w:rPr>
          <w:t xml:space="preserve"> </w:t>
        </w:r>
        <w:r w:rsidRPr="007B23D6" w:rsidR="00843003">
          <w:rPr>
            <w:rStyle w:val="Hyperlink"/>
          </w:rPr>
          <w:t>and Mitigation</w:t>
        </w:r>
        <w:r w:rsidR="00843003">
          <w:rPr>
            <w:webHidden/>
          </w:rPr>
          <w:tab/>
        </w:r>
        <w:r w:rsidR="00843003">
          <w:rPr>
            <w:webHidden/>
          </w:rPr>
          <w:fldChar w:fldCharType="begin"/>
        </w:r>
        <w:r w:rsidR="00843003">
          <w:rPr>
            <w:webHidden/>
          </w:rPr>
          <w:instrText xml:space="preserve"> PAGEREF _Toc110502762 \h </w:instrText>
        </w:r>
        <w:r w:rsidR="00843003">
          <w:rPr>
            <w:webHidden/>
          </w:rPr>
        </w:r>
        <w:r w:rsidR="00843003">
          <w:rPr>
            <w:webHidden/>
          </w:rPr>
          <w:fldChar w:fldCharType="separate"/>
        </w:r>
        <w:r w:rsidR="00843003">
          <w:rPr>
            <w:webHidden/>
          </w:rPr>
          <w:t>61</w:t>
        </w:r>
        <w:r w:rsidR="00843003">
          <w:rPr>
            <w:webHidden/>
          </w:rPr>
          <w:fldChar w:fldCharType="end"/>
        </w:r>
      </w:hyperlink>
    </w:p>
    <w:p w:rsidR="00843003" w:rsidRDefault="00024031" w14:paraId="17FA076B" w14:textId="36436CF4">
      <w:pPr>
        <w:pStyle w:val="TOC2"/>
        <w:rPr>
          <w:rFonts w:asciiTheme="minorHAnsi" w:hAnsiTheme="minorHAnsi" w:eastAsiaTheme="minorEastAsia" w:cstheme="minorBidi"/>
          <w:sz w:val="22"/>
          <w:szCs w:val="22"/>
        </w:rPr>
      </w:pPr>
      <w:hyperlink w:history="1" w:anchor="_Toc110502763">
        <w:r w:rsidRPr="007B23D6" w:rsidR="00843003">
          <w:rPr>
            <w:rStyle w:val="Hyperlink"/>
          </w:rPr>
          <w:t>6.5 Conclusions</w:t>
        </w:r>
        <w:r w:rsidR="00843003">
          <w:rPr>
            <w:webHidden/>
          </w:rPr>
          <w:tab/>
        </w:r>
        <w:r w:rsidR="00843003">
          <w:rPr>
            <w:webHidden/>
          </w:rPr>
          <w:fldChar w:fldCharType="begin"/>
        </w:r>
        <w:r w:rsidR="00843003">
          <w:rPr>
            <w:webHidden/>
          </w:rPr>
          <w:instrText xml:space="preserve"> PAGEREF _Toc110502763 \h </w:instrText>
        </w:r>
        <w:r w:rsidR="00843003">
          <w:rPr>
            <w:webHidden/>
          </w:rPr>
        </w:r>
        <w:r w:rsidR="00843003">
          <w:rPr>
            <w:webHidden/>
          </w:rPr>
          <w:fldChar w:fldCharType="separate"/>
        </w:r>
        <w:r w:rsidR="00843003">
          <w:rPr>
            <w:webHidden/>
          </w:rPr>
          <w:t>65</w:t>
        </w:r>
        <w:r w:rsidR="00843003">
          <w:rPr>
            <w:webHidden/>
          </w:rPr>
          <w:fldChar w:fldCharType="end"/>
        </w:r>
      </w:hyperlink>
    </w:p>
    <w:p w:rsidR="00843003" w:rsidRDefault="00024031" w14:paraId="6DFB6192" w14:textId="763EBE17">
      <w:pPr>
        <w:pStyle w:val="TOC1"/>
        <w:rPr>
          <w:rFonts w:asciiTheme="minorHAnsi" w:hAnsiTheme="minorHAnsi" w:eastAsiaTheme="minorEastAsia" w:cstheme="minorBidi"/>
          <w:b w:val="0"/>
          <w:bCs w:val="0"/>
          <w:caps w:val="0"/>
          <w:sz w:val="22"/>
          <w:szCs w:val="22"/>
        </w:rPr>
      </w:pPr>
      <w:hyperlink w:history="1" w:anchor="_Toc110502764">
        <w:r w:rsidRPr="007B23D6" w:rsidR="00843003">
          <w:rPr>
            <w:rStyle w:val="Hyperlink"/>
          </w:rPr>
          <w:t>CHAPTER 7: Regulatory Alternatives Considered</w:t>
        </w:r>
        <w:r w:rsidR="00843003">
          <w:rPr>
            <w:webHidden/>
          </w:rPr>
          <w:tab/>
        </w:r>
        <w:r w:rsidR="00843003">
          <w:rPr>
            <w:webHidden/>
          </w:rPr>
          <w:fldChar w:fldCharType="begin"/>
        </w:r>
        <w:r w:rsidR="00843003">
          <w:rPr>
            <w:webHidden/>
          </w:rPr>
          <w:instrText xml:space="preserve"> PAGEREF _Toc110502764 \h </w:instrText>
        </w:r>
        <w:r w:rsidR="00843003">
          <w:rPr>
            <w:webHidden/>
          </w:rPr>
        </w:r>
        <w:r w:rsidR="00843003">
          <w:rPr>
            <w:webHidden/>
          </w:rPr>
          <w:fldChar w:fldCharType="separate"/>
        </w:r>
        <w:r w:rsidR="00843003">
          <w:rPr>
            <w:webHidden/>
          </w:rPr>
          <w:t>67</w:t>
        </w:r>
        <w:r w:rsidR="00843003">
          <w:rPr>
            <w:webHidden/>
          </w:rPr>
          <w:fldChar w:fldCharType="end"/>
        </w:r>
      </w:hyperlink>
    </w:p>
    <w:p w:rsidR="00843003" w:rsidRDefault="00024031" w14:paraId="5FDB05BD" w14:textId="3779743E">
      <w:pPr>
        <w:pStyle w:val="TOC2"/>
        <w:rPr>
          <w:rFonts w:asciiTheme="minorHAnsi" w:hAnsiTheme="minorHAnsi" w:eastAsiaTheme="minorEastAsia" w:cstheme="minorBidi"/>
          <w:sz w:val="22"/>
          <w:szCs w:val="22"/>
        </w:rPr>
      </w:pPr>
      <w:hyperlink w:history="1" w:anchor="_Toc110502765">
        <w:r w:rsidRPr="007B23D6" w:rsidR="00843003">
          <w:rPr>
            <w:rStyle w:val="Hyperlink"/>
          </w:rPr>
          <w:t>7.1 Lower Cost Regulatory Alternative</w:t>
        </w:r>
        <w:r w:rsidR="00843003">
          <w:rPr>
            <w:webHidden/>
          </w:rPr>
          <w:tab/>
        </w:r>
        <w:r w:rsidR="00843003">
          <w:rPr>
            <w:webHidden/>
          </w:rPr>
          <w:fldChar w:fldCharType="begin"/>
        </w:r>
        <w:r w:rsidR="00843003">
          <w:rPr>
            <w:webHidden/>
          </w:rPr>
          <w:instrText xml:space="preserve"> PAGEREF _Toc110502765 \h </w:instrText>
        </w:r>
        <w:r w:rsidR="00843003">
          <w:rPr>
            <w:webHidden/>
          </w:rPr>
        </w:r>
        <w:r w:rsidR="00843003">
          <w:rPr>
            <w:webHidden/>
          </w:rPr>
          <w:fldChar w:fldCharType="separate"/>
        </w:r>
        <w:r w:rsidR="00843003">
          <w:rPr>
            <w:webHidden/>
          </w:rPr>
          <w:t>67</w:t>
        </w:r>
        <w:r w:rsidR="00843003">
          <w:rPr>
            <w:webHidden/>
          </w:rPr>
          <w:fldChar w:fldCharType="end"/>
        </w:r>
      </w:hyperlink>
    </w:p>
    <w:p w:rsidR="00843003" w:rsidRDefault="00024031" w14:paraId="70780C7B" w14:textId="7258A487">
      <w:pPr>
        <w:pStyle w:val="TOC2"/>
        <w:rPr>
          <w:rFonts w:asciiTheme="minorHAnsi" w:hAnsiTheme="minorHAnsi" w:eastAsiaTheme="minorEastAsia" w:cstheme="minorBidi"/>
          <w:sz w:val="22"/>
          <w:szCs w:val="22"/>
        </w:rPr>
      </w:pPr>
      <w:hyperlink w:history="1" w:anchor="_Toc110502766">
        <w:r w:rsidRPr="007B23D6" w:rsidR="00843003">
          <w:rPr>
            <w:rStyle w:val="Hyperlink"/>
          </w:rPr>
          <w:t>7.2 Higher Cost Regulatory Alternative</w:t>
        </w:r>
        <w:r w:rsidR="00843003">
          <w:rPr>
            <w:webHidden/>
          </w:rPr>
          <w:tab/>
        </w:r>
        <w:r w:rsidR="00843003">
          <w:rPr>
            <w:webHidden/>
          </w:rPr>
          <w:fldChar w:fldCharType="begin"/>
        </w:r>
        <w:r w:rsidR="00843003">
          <w:rPr>
            <w:webHidden/>
          </w:rPr>
          <w:instrText xml:space="preserve"> PAGEREF _Toc110502766 \h </w:instrText>
        </w:r>
        <w:r w:rsidR="00843003">
          <w:rPr>
            <w:webHidden/>
          </w:rPr>
        </w:r>
        <w:r w:rsidR="00843003">
          <w:rPr>
            <w:webHidden/>
          </w:rPr>
          <w:fldChar w:fldCharType="separate"/>
        </w:r>
        <w:r w:rsidR="00843003">
          <w:rPr>
            <w:webHidden/>
          </w:rPr>
          <w:t>69</w:t>
        </w:r>
        <w:r w:rsidR="00843003">
          <w:rPr>
            <w:webHidden/>
          </w:rPr>
          <w:fldChar w:fldCharType="end"/>
        </w:r>
      </w:hyperlink>
    </w:p>
    <w:p w:rsidR="00843003" w:rsidRDefault="00024031" w14:paraId="4883CF4E" w14:textId="06D504C9">
      <w:pPr>
        <w:pStyle w:val="TOC2"/>
        <w:rPr>
          <w:rFonts w:asciiTheme="minorHAnsi" w:hAnsiTheme="minorHAnsi" w:eastAsiaTheme="minorEastAsia" w:cstheme="minorBidi"/>
          <w:sz w:val="22"/>
          <w:szCs w:val="22"/>
        </w:rPr>
      </w:pPr>
      <w:hyperlink w:history="1" w:anchor="_Toc110502767">
        <w:r w:rsidRPr="007B23D6" w:rsidR="00843003">
          <w:rPr>
            <w:rStyle w:val="Hyperlink"/>
          </w:rPr>
          <w:t>7.3 Summary of Regulatory Alternatives</w:t>
        </w:r>
        <w:r w:rsidR="00843003">
          <w:rPr>
            <w:webHidden/>
          </w:rPr>
          <w:tab/>
        </w:r>
        <w:r w:rsidR="00843003">
          <w:rPr>
            <w:webHidden/>
          </w:rPr>
          <w:fldChar w:fldCharType="begin"/>
        </w:r>
        <w:r w:rsidR="00843003">
          <w:rPr>
            <w:webHidden/>
          </w:rPr>
          <w:instrText xml:space="preserve"> PAGEREF _Toc110502767 \h </w:instrText>
        </w:r>
        <w:r w:rsidR="00843003">
          <w:rPr>
            <w:webHidden/>
          </w:rPr>
        </w:r>
        <w:r w:rsidR="00843003">
          <w:rPr>
            <w:webHidden/>
          </w:rPr>
          <w:fldChar w:fldCharType="separate"/>
        </w:r>
        <w:r w:rsidR="00843003">
          <w:rPr>
            <w:webHidden/>
          </w:rPr>
          <w:t>70</w:t>
        </w:r>
        <w:r w:rsidR="00843003">
          <w:rPr>
            <w:webHidden/>
          </w:rPr>
          <w:fldChar w:fldCharType="end"/>
        </w:r>
      </w:hyperlink>
    </w:p>
    <w:p w:rsidR="00843003" w:rsidRDefault="00024031" w14:paraId="03B4D0A9" w14:textId="23736EC8">
      <w:pPr>
        <w:pStyle w:val="TOC1"/>
        <w:rPr>
          <w:rFonts w:asciiTheme="minorHAnsi" w:hAnsiTheme="minorHAnsi" w:eastAsiaTheme="minorEastAsia" w:cstheme="minorBidi"/>
          <w:b w:val="0"/>
          <w:bCs w:val="0"/>
          <w:caps w:val="0"/>
          <w:sz w:val="22"/>
          <w:szCs w:val="22"/>
        </w:rPr>
      </w:pPr>
      <w:hyperlink w:history="1" w:anchor="_Toc110502768">
        <w:r w:rsidRPr="007B23D6" w:rsidR="00843003">
          <w:rPr>
            <w:rStyle w:val="Hyperlink"/>
          </w:rPr>
          <w:t>CHAPTER 8: Small Entity Analysis</w:t>
        </w:r>
        <w:r w:rsidR="00843003">
          <w:rPr>
            <w:webHidden/>
          </w:rPr>
          <w:tab/>
        </w:r>
        <w:r w:rsidR="00843003">
          <w:rPr>
            <w:webHidden/>
          </w:rPr>
          <w:fldChar w:fldCharType="begin"/>
        </w:r>
        <w:r w:rsidR="00843003">
          <w:rPr>
            <w:webHidden/>
          </w:rPr>
          <w:instrText xml:space="preserve"> PAGEREF _Toc110502768 \h </w:instrText>
        </w:r>
        <w:r w:rsidR="00843003">
          <w:rPr>
            <w:webHidden/>
          </w:rPr>
        </w:r>
        <w:r w:rsidR="00843003">
          <w:rPr>
            <w:webHidden/>
          </w:rPr>
          <w:fldChar w:fldCharType="separate"/>
        </w:r>
        <w:r w:rsidR="00843003">
          <w:rPr>
            <w:webHidden/>
          </w:rPr>
          <w:t>72</w:t>
        </w:r>
        <w:r w:rsidR="00843003">
          <w:rPr>
            <w:webHidden/>
          </w:rPr>
          <w:fldChar w:fldCharType="end"/>
        </w:r>
      </w:hyperlink>
    </w:p>
    <w:p w:rsidR="00843003" w:rsidRDefault="00024031" w14:paraId="4AB59765" w14:textId="5F22FF4E">
      <w:pPr>
        <w:pStyle w:val="TOC2"/>
        <w:rPr>
          <w:rFonts w:asciiTheme="minorHAnsi" w:hAnsiTheme="minorHAnsi" w:eastAsiaTheme="minorEastAsia" w:cstheme="minorBidi"/>
          <w:sz w:val="22"/>
          <w:szCs w:val="22"/>
        </w:rPr>
      </w:pPr>
      <w:hyperlink w:history="1" w:anchor="_Toc110502769">
        <w:r w:rsidRPr="007B23D6" w:rsidR="00843003">
          <w:rPr>
            <w:rStyle w:val="Hyperlink"/>
          </w:rPr>
          <w:t>8.1 RMP Affected Sectors</w:t>
        </w:r>
        <w:r w:rsidR="00843003">
          <w:rPr>
            <w:webHidden/>
          </w:rPr>
          <w:tab/>
        </w:r>
        <w:r w:rsidR="00843003">
          <w:rPr>
            <w:webHidden/>
          </w:rPr>
          <w:fldChar w:fldCharType="begin"/>
        </w:r>
        <w:r w:rsidR="00843003">
          <w:rPr>
            <w:webHidden/>
          </w:rPr>
          <w:instrText xml:space="preserve"> PAGEREF _Toc110502769 \h </w:instrText>
        </w:r>
        <w:r w:rsidR="00843003">
          <w:rPr>
            <w:webHidden/>
          </w:rPr>
        </w:r>
        <w:r w:rsidR="00843003">
          <w:rPr>
            <w:webHidden/>
          </w:rPr>
          <w:fldChar w:fldCharType="separate"/>
        </w:r>
        <w:r w:rsidR="00843003">
          <w:rPr>
            <w:webHidden/>
          </w:rPr>
          <w:t>72</w:t>
        </w:r>
        <w:r w:rsidR="00843003">
          <w:rPr>
            <w:webHidden/>
          </w:rPr>
          <w:fldChar w:fldCharType="end"/>
        </w:r>
      </w:hyperlink>
    </w:p>
    <w:p w:rsidR="00843003" w:rsidRDefault="00024031" w14:paraId="337DD9C8" w14:textId="6D544BAE">
      <w:pPr>
        <w:pStyle w:val="TOC2"/>
        <w:rPr>
          <w:rFonts w:asciiTheme="minorHAnsi" w:hAnsiTheme="minorHAnsi" w:eastAsiaTheme="minorEastAsia" w:cstheme="minorBidi"/>
          <w:sz w:val="22"/>
          <w:szCs w:val="22"/>
        </w:rPr>
      </w:pPr>
      <w:hyperlink w:history="1" w:anchor="_Toc110502770">
        <w:r w:rsidRPr="007B23D6" w:rsidR="00843003">
          <w:rPr>
            <w:rStyle w:val="Hyperlink"/>
          </w:rPr>
          <w:t>8.2 Estimating the Number of Small Entities</w:t>
        </w:r>
        <w:r w:rsidR="00843003">
          <w:rPr>
            <w:webHidden/>
          </w:rPr>
          <w:tab/>
        </w:r>
        <w:r w:rsidR="00843003">
          <w:rPr>
            <w:webHidden/>
          </w:rPr>
          <w:fldChar w:fldCharType="begin"/>
        </w:r>
        <w:r w:rsidR="00843003">
          <w:rPr>
            <w:webHidden/>
          </w:rPr>
          <w:instrText xml:space="preserve"> PAGEREF _Toc110502770 \h </w:instrText>
        </w:r>
        <w:r w:rsidR="00843003">
          <w:rPr>
            <w:webHidden/>
          </w:rPr>
        </w:r>
        <w:r w:rsidR="00843003">
          <w:rPr>
            <w:webHidden/>
          </w:rPr>
          <w:fldChar w:fldCharType="separate"/>
        </w:r>
        <w:r w:rsidR="00843003">
          <w:rPr>
            <w:webHidden/>
          </w:rPr>
          <w:t>73</w:t>
        </w:r>
        <w:r w:rsidR="00843003">
          <w:rPr>
            <w:webHidden/>
          </w:rPr>
          <w:fldChar w:fldCharType="end"/>
        </w:r>
      </w:hyperlink>
    </w:p>
    <w:p w:rsidR="00843003" w:rsidRDefault="00024031" w14:paraId="7E188A32" w14:textId="1AE06C8B">
      <w:pPr>
        <w:pStyle w:val="TOC2"/>
        <w:rPr>
          <w:rFonts w:asciiTheme="minorHAnsi" w:hAnsiTheme="minorHAnsi" w:eastAsiaTheme="minorEastAsia" w:cstheme="minorBidi"/>
          <w:sz w:val="22"/>
          <w:szCs w:val="22"/>
        </w:rPr>
      </w:pPr>
      <w:hyperlink w:history="1" w:anchor="_Toc110502771">
        <w:r w:rsidRPr="007B23D6" w:rsidR="00843003">
          <w:rPr>
            <w:rStyle w:val="Hyperlink"/>
          </w:rPr>
          <w:t>8.3 Economic Impact on Small Entities</w:t>
        </w:r>
        <w:r w:rsidR="00843003">
          <w:rPr>
            <w:webHidden/>
          </w:rPr>
          <w:tab/>
        </w:r>
        <w:r w:rsidR="00843003">
          <w:rPr>
            <w:webHidden/>
          </w:rPr>
          <w:fldChar w:fldCharType="begin"/>
        </w:r>
        <w:r w:rsidR="00843003">
          <w:rPr>
            <w:webHidden/>
          </w:rPr>
          <w:instrText xml:space="preserve"> PAGEREF _Toc110502771 \h </w:instrText>
        </w:r>
        <w:r w:rsidR="00843003">
          <w:rPr>
            <w:webHidden/>
          </w:rPr>
        </w:r>
        <w:r w:rsidR="00843003">
          <w:rPr>
            <w:webHidden/>
          </w:rPr>
          <w:fldChar w:fldCharType="separate"/>
        </w:r>
        <w:r w:rsidR="00843003">
          <w:rPr>
            <w:webHidden/>
          </w:rPr>
          <w:t>76</w:t>
        </w:r>
        <w:r w:rsidR="00843003">
          <w:rPr>
            <w:webHidden/>
          </w:rPr>
          <w:fldChar w:fldCharType="end"/>
        </w:r>
      </w:hyperlink>
    </w:p>
    <w:p w:rsidR="00843003" w:rsidRDefault="00024031" w14:paraId="0E7A9761" w14:textId="1C0C88B1">
      <w:pPr>
        <w:pStyle w:val="TOC2"/>
        <w:rPr>
          <w:rFonts w:asciiTheme="minorHAnsi" w:hAnsiTheme="minorHAnsi" w:eastAsiaTheme="minorEastAsia" w:cstheme="minorBidi"/>
          <w:sz w:val="22"/>
          <w:szCs w:val="22"/>
        </w:rPr>
      </w:pPr>
      <w:hyperlink w:history="1" w:anchor="_Toc110502772">
        <w:r w:rsidRPr="007B23D6" w:rsidR="00843003">
          <w:rPr>
            <w:rStyle w:val="Hyperlink"/>
          </w:rPr>
          <w:t>8.4 Conclusion</w:t>
        </w:r>
        <w:r w:rsidR="00843003">
          <w:rPr>
            <w:webHidden/>
          </w:rPr>
          <w:tab/>
        </w:r>
        <w:r w:rsidR="00843003">
          <w:rPr>
            <w:webHidden/>
          </w:rPr>
          <w:fldChar w:fldCharType="begin"/>
        </w:r>
        <w:r w:rsidR="00843003">
          <w:rPr>
            <w:webHidden/>
          </w:rPr>
          <w:instrText xml:space="preserve"> PAGEREF _Toc110502772 \h </w:instrText>
        </w:r>
        <w:r w:rsidR="00843003">
          <w:rPr>
            <w:webHidden/>
          </w:rPr>
        </w:r>
        <w:r w:rsidR="00843003">
          <w:rPr>
            <w:webHidden/>
          </w:rPr>
          <w:fldChar w:fldCharType="separate"/>
        </w:r>
        <w:r w:rsidR="00843003">
          <w:rPr>
            <w:webHidden/>
          </w:rPr>
          <w:t>81</w:t>
        </w:r>
        <w:r w:rsidR="00843003">
          <w:rPr>
            <w:webHidden/>
          </w:rPr>
          <w:fldChar w:fldCharType="end"/>
        </w:r>
      </w:hyperlink>
    </w:p>
    <w:p w:rsidR="00843003" w:rsidRDefault="00024031" w14:paraId="100E176B" w14:textId="43924C03">
      <w:pPr>
        <w:pStyle w:val="TOC1"/>
        <w:rPr>
          <w:rFonts w:asciiTheme="minorHAnsi" w:hAnsiTheme="minorHAnsi" w:eastAsiaTheme="minorEastAsia" w:cstheme="minorBidi"/>
          <w:b w:val="0"/>
          <w:bCs w:val="0"/>
          <w:caps w:val="0"/>
          <w:sz w:val="22"/>
          <w:szCs w:val="22"/>
        </w:rPr>
      </w:pPr>
      <w:hyperlink w:history="1" w:anchor="_Toc110502773">
        <w:r w:rsidRPr="007B23D6" w:rsidR="00843003">
          <w:rPr>
            <w:rStyle w:val="Hyperlink"/>
          </w:rPr>
          <w:t>CHAPTER 9: Communities with Environmental Justice Concerns</w:t>
        </w:r>
        <w:r w:rsidR="00843003">
          <w:rPr>
            <w:webHidden/>
          </w:rPr>
          <w:tab/>
        </w:r>
        <w:r w:rsidR="00843003">
          <w:rPr>
            <w:webHidden/>
          </w:rPr>
          <w:fldChar w:fldCharType="begin"/>
        </w:r>
        <w:r w:rsidR="00843003">
          <w:rPr>
            <w:webHidden/>
          </w:rPr>
          <w:instrText xml:space="preserve"> PAGEREF _Toc110502773 \h </w:instrText>
        </w:r>
        <w:r w:rsidR="00843003">
          <w:rPr>
            <w:webHidden/>
          </w:rPr>
        </w:r>
        <w:r w:rsidR="00843003">
          <w:rPr>
            <w:webHidden/>
          </w:rPr>
          <w:fldChar w:fldCharType="separate"/>
        </w:r>
        <w:r w:rsidR="00843003">
          <w:rPr>
            <w:webHidden/>
          </w:rPr>
          <w:t>83</w:t>
        </w:r>
        <w:r w:rsidR="00843003">
          <w:rPr>
            <w:webHidden/>
          </w:rPr>
          <w:fldChar w:fldCharType="end"/>
        </w:r>
      </w:hyperlink>
    </w:p>
    <w:p w:rsidR="00843003" w:rsidRDefault="00024031" w14:paraId="07A519AC" w14:textId="17043307">
      <w:pPr>
        <w:pStyle w:val="TOC2"/>
        <w:rPr>
          <w:rFonts w:asciiTheme="minorHAnsi" w:hAnsiTheme="minorHAnsi" w:eastAsiaTheme="minorEastAsia" w:cstheme="minorBidi"/>
          <w:sz w:val="22"/>
          <w:szCs w:val="22"/>
        </w:rPr>
      </w:pPr>
      <w:hyperlink w:history="1" w:anchor="_Toc110502774">
        <w:r w:rsidRPr="007B23D6" w:rsidR="00843003">
          <w:rPr>
            <w:rStyle w:val="Hyperlink"/>
          </w:rPr>
          <w:t>9.1 Background</w:t>
        </w:r>
        <w:r w:rsidR="00843003">
          <w:rPr>
            <w:webHidden/>
          </w:rPr>
          <w:tab/>
        </w:r>
        <w:r w:rsidR="00843003">
          <w:rPr>
            <w:webHidden/>
          </w:rPr>
          <w:fldChar w:fldCharType="begin"/>
        </w:r>
        <w:r w:rsidR="00843003">
          <w:rPr>
            <w:webHidden/>
          </w:rPr>
          <w:instrText xml:space="preserve"> PAGEREF _Toc110502774 \h </w:instrText>
        </w:r>
        <w:r w:rsidR="00843003">
          <w:rPr>
            <w:webHidden/>
          </w:rPr>
        </w:r>
        <w:r w:rsidR="00843003">
          <w:rPr>
            <w:webHidden/>
          </w:rPr>
          <w:fldChar w:fldCharType="separate"/>
        </w:r>
        <w:r w:rsidR="00843003">
          <w:rPr>
            <w:webHidden/>
          </w:rPr>
          <w:t>83</w:t>
        </w:r>
        <w:r w:rsidR="00843003">
          <w:rPr>
            <w:webHidden/>
          </w:rPr>
          <w:fldChar w:fldCharType="end"/>
        </w:r>
      </w:hyperlink>
    </w:p>
    <w:p w:rsidR="00843003" w:rsidRDefault="00024031" w14:paraId="63D69EFE" w14:textId="4FC9BAF4">
      <w:pPr>
        <w:pStyle w:val="TOC2"/>
        <w:rPr>
          <w:rFonts w:asciiTheme="minorHAnsi" w:hAnsiTheme="minorHAnsi" w:eastAsiaTheme="minorEastAsia" w:cstheme="minorBidi"/>
          <w:sz w:val="22"/>
          <w:szCs w:val="22"/>
        </w:rPr>
      </w:pPr>
      <w:hyperlink w:history="1" w:anchor="_Toc110502775">
        <w:r w:rsidRPr="007B23D6" w:rsidR="00843003">
          <w:rPr>
            <w:rStyle w:val="Hyperlink"/>
          </w:rPr>
          <w:t>9.2 Methods</w:t>
        </w:r>
        <w:r w:rsidR="00843003">
          <w:rPr>
            <w:webHidden/>
          </w:rPr>
          <w:tab/>
        </w:r>
        <w:r w:rsidR="00843003">
          <w:rPr>
            <w:webHidden/>
          </w:rPr>
          <w:fldChar w:fldCharType="begin"/>
        </w:r>
        <w:r w:rsidR="00843003">
          <w:rPr>
            <w:webHidden/>
          </w:rPr>
          <w:instrText xml:space="preserve"> PAGEREF _Toc110502775 \h </w:instrText>
        </w:r>
        <w:r w:rsidR="00843003">
          <w:rPr>
            <w:webHidden/>
          </w:rPr>
        </w:r>
        <w:r w:rsidR="00843003">
          <w:rPr>
            <w:webHidden/>
          </w:rPr>
          <w:fldChar w:fldCharType="separate"/>
        </w:r>
        <w:r w:rsidR="00843003">
          <w:rPr>
            <w:webHidden/>
          </w:rPr>
          <w:t>85</w:t>
        </w:r>
        <w:r w:rsidR="00843003">
          <w:rPr>
            <w:webHidden/>
          </w:rPr>
          <w:fldChar w:fldCharType="end"/>
        </w:r>
      </w:hyperlink>
    </w:p>
    <w:p w:rsidR="00843003" w:rsidRDefault="00024031" w14:paraId="3B9E695D" w14:textId="07656DBE">
      <w:pPr>
        <w:pStyle w:val="TOC2"/>
        <w:rPr>
          <w:rFonts w:asciiTheme="minorHAnsi" w:hAnsiTheme="minorHAnsi" w:eastAsiaTheme="minorEastAsia" w:cstheme="minorBidi"/>
          <w:sz w:val="22"/>
          <w:szCs w:val="22"/>
        </w:rPr>
      </w:pPr>
      <w:hyperlink w:history="1" w:anchor="_Toc110502776">
        <w:r w:rsidRPr="007B23D6" w:rsidR="00843003">
          <w:rPr>
            <w:rStyle w:val="Hyperlink"/>
          </w:rPr>
          <w:t>9.3 Results characterizing the baseline conditions</w:t>
        </w:r>
        <w:r w:rsidR="00843003">
          <w:rPr>
            <w:webHidden/>
          </w:rPr>
          <w:tab/>
        </w:r>
        <w:r w:rsidR="00843003">
          <w:rPr>
            <w:webHidden/>
          </w:rPr>
          <w:fldChar w:fldCharType="begin"/>
        </w:r>
        <w:r w:rsidR="00843003">
          <w:rPr>
            <w:webHidden/>
          </w:rPr>
          <w:instrText xml:space="preserve"> PAGEREF _Toc110502776 \h </w:instrText>
        </w:r>
        <w:r w:rsidR="00843003">
          <w:rPr>
            <w:webHidden/>
          </w:rPr>
        </w:r>
        <w:r w:rsidR="00843003">
          <w:rPr>
            <w:webHidden/>
          </w:rPr>
          <w:fldChar w:fldCharType="separate"/>
        </w:r>
        <w:r w:rsidR="00843003">
          <w:rPr>
            <w:webHidden/>
          </w:rPr>
          <w:t>85</w:t>
        </w:r>
        <w:r w:rsidR="00843003">
          <w:rPr>
            <w:webHidden/>
          </w:rPr>
          <w:fldChar w:fldCharType="end"/>
        </w:r>
      </w:hyperlink>
    </w:p>
    <w:p w:rsidR="00843003" w:rsidRDefault="00024031" w14:paraId="473CEEA0" w14:textId="3301934B">
      <w:pPr>
        <w:pStyle w:val="TOC2"/>
        <w:rPr>
          <w:rFonts w:asciiTheme="minorHAnsi" w:hAnsiTheme="minorHAnsi" w:eastAsiaTheme="minorEastAsia" w:cstheme="minorBidi"/>
          <w:sz w:val="22"/>
          <w:szCs w:val="22"/>
        </w:rPr>
      </w:pPr>
      <w:hyperlink w:history="1" w:anchor="_Toc110502777">
        <w:r w:rsidRPr="007B23D6" w:rsidR="00843003">
          <w:rPr>
            <w:rStyle w:val="Hyperlink"/>
          </w:rPr>
          <w:t>9.4 Conclusions</w:t>
        </w:r>
        <w:r w:rsidR="00843003">
          <w:rPr>
            <w:webHidden/>
          </w:rPr>
          <w:tab/>
        </w:r>
        <w:r w:rsidR="00843003">
          <w:rPr>
            <w:webHidden/>
          </w:rPr>
          <w:fldChar w:fldCharType="begin"/>
        </w:r>
        <w:r w:rsidR="00843003">
          <w:rPr>
            <w:webHidden/>
          </w:rPr>
          <w:instrText xml:space="preserve"> PAGEREF _Toc110502777 \h </w:instrText>
        </w:r>
        <w:r w:rsidR="00843003">
          <w:rPr>
            <w:webHidden/>
          </w:rPr>
        </w:r>
        <w:r w:rsidR="00843003">
          <w:rPr>
            <w:webHidden/>
          </w:rPr>
          <w:fldChar w:fldCharType="separate"/>
        </w:r>
        <w:r w:rsidR="00843003">
          <w:rPr>
            <w:webHidden/>
          </w:rPr>
          <w:t>86</w:t>
        </w:r>
        <w:r w:rsidR="00843003">
          <w:rPr>
            <w:webHidden/>
          </w:rPr>
          <w:fldChar w:fldCharType="end"/>
        </w:r>
      </w:hyperlink>
    </w:p>
    <w:p w:rsidR="00843003" w:rsidRDefault="00024031" w14:paraId="079B41CD" w14:textId="79682024">
      <w:pPr>
        <w:pStyle w:val="TOC2"/>
        <w:rPr>
          <w:rFonts w:asciiTheme="minorHAnsi" w:hAnsiTheme="minorHAnsi" w:eastAsiaTheme="minorEastAsia" w:cstheme="minorBidi"/>
          <w:sz w:val="22"/>
          <w:szCs w:val="22"/>
        </w:rPr>
      </w:pPr>
      <w:hyperlink w:history="1" w:anchor="_Toc110502778">
        <w:r w:rsidRPr="007B23D6" w:rsidR="00843003">
          <w:rPr>
            <w:rStyle w:val="Hyperlink"/>
          </w:rPr>
          <w:t>9.5 Climate Change Impacts</w:t>
        </w:r>
        <w:r w:rsidR="00843003">
          <w:rPr>
            <w:webHidden/>
          </w:rPr>
          <w:tab/>
        </w:r>
        <w:r w:rsidR="00843003">
          <w:rPr>
            <w:webHidden/>
          </w:rPr>
          <w:fldChar w:fldCharType="begin"/>
        </w:r>
        <w:r w:rsidR="00843003">
          <w:rPr>
            <w:webHidden/>
          </w:rPr>
          <w:instrText xml:space="preserve"> PAGEREF _Toc110502778 \h </w:instrText>
        </w:r>
        <w:r w:rsidR="00843003">
          <w:rPr>
            <w:webHidden/>
          </w:rPr>
        </w:r>
        <w:r w:rsidR="00843003">
          <w:rPr>
            <w:webHidden/>
          </w:rPr>
          <w:fldChar w:fldCharType="separate"/>
        </w:r>
        <w:r w:rsidR="00843003">
          <w:rPr>
            <w:webHidden/>
          </w:rPr>
          <w:t>86</w:t>
        </w:r>
        <w:r w:rsidR="00843003">
          <w:rPr>
            <w:webHidden/>
          </w:rPr>
          <w:fldChar w:fldCharType="end"/>
        </w:r>
      </w:hyperlink>
    </w:p>
    <w:p w:rsidR="00843003" w:rsidRDefault="00024031" w14:paraId="6A38087F" w14:textId="2B0097DC">
      <w:pPr>
        <w:pStyle w:val="TOC1"/>
        <w:rPr>
          <w:rFonts w:asciiTheme="minorHAnsi" w:hAnsiTheme="minorHAnsi" w:eastAsiaTheme="minorEastAsia" w:cstheme="minorBidi"/>
          <w:b w:val="0"/>
          <w:bCs w:val="0"/>
          <w:caps w:val="0"/>
          <w:sz w:val="22"/>
          <w:szCs w:val="22"/>
        </w:rPr>
      </w:pPr>
      <w:hyperlink w:history="1" w:anchor="_Toc110502779">
        <w:r w:rsidRPr="007B23D6" w:rsidR="00843003">
          <w:rPr>
            <w:rStyle w:val="Hyperlink"/>
          </w:rPr>
          <w:t>CHAPTER 10: Limitations and Conclusions</w:t>
        </w:r>
        <w:r w:rsidR="00843003">
          <w:rPr>
            <w:webHidden/>
          </w:rPr>
          <w:tab/>
        </w:r>
        <w:r w:rsidR="00843003">
          <w:rPr>
            <w:webHidden/>
          </w:rPr>
          <w:fldChar w:fldCharType="begin"/>
        </w:r>
        <w:r w:rsidR="00843003">
          <w:rPr>
            <w:webHidden/>
          </w:rPr>
          <w:instrText xml:space="preserve"> PAGEREF _Toc110502779 \h </w:instrText>
        </w:r>
        <w:r w:rsidR="00843003">
          <w:rPr>
            <w:webHidden/>
          </w:rPr>
        </w:r>
        <w:r w:rsidR="00843003">
          <w:rPr>
            <w:webHidden/>
          </w:rPr>
          <w:fldChar w:fldCharType="separate"/>
        </w:r>
        <w:r w:rsidR="00843003">
          <w:rPr>
            <w:webHidden/>
          </w:rPr>
          <w:t>87</w:t>
        </w:r>
        <w:r w:rsidR="00843003">
          <w:rPr>
            <w:webHidden/>
          </w:rPr>
          <w:fldChar w:fldCharType="end"/>
        </w:r>
      </w:hyperlink>
    </w:p>
    <w:p w:rsidR="00843003" w:rsidRDefault="00024031" w14:paraId="02AAE4BB" w14:textId="736CF28D">
      <w:pPr>
        <w:pStyle w:val="TOC2"/>
        <w:rPr>
          <w:rFonts w:asciiTheme="minorHAnsi" w:hAnsiTheme="minorHAnsi" w:eastAsiaTheme="minorEastAsia" w:cstheme="minorBidi"/>
          <w:sz w:val="22"/>
          <w:szCs w:val="22"/>
        </w:rPr>
      </w:pPr>
      <w:hyperlink w:history="1" w:anchor="_Toc110502780">
        <w:r w:rsidRPr="007B23D6" w:rsidR="00843003">
          <w:rPr>
            <w:rStyle w:val="Hyperlink"/>
          </w:rPr>
          <w:t>10.1 Limitations and Conclusions</w:t>
        </w:r>
        <w:r w:rsidR="00843003">
          <w:rPr>
            <w:webHidden/>
          </w:rPr>
          <w:tab/>
        </w:r>
        <w:r w:rsidR="00843003">
          <w:rPr>
            <w:webHidden/>
          </w:rPr>
          <w:fldChar w:fldCharType="begin"/>
        </w:r>
        <w:r w:rsidR="00843003">
          <w:rPr>
            <w:webHidden/>
          </w:rPr>
          <w:instrText xml:space="preserve"> PAGEREF _Toc110502780 \h </w:instrText>
        </w:r>
        <w:r w:rsidR="00843003">
          <w:rPr>
            <w:webHidden/>
          </w:rPr>
        </w:r>
        <w:r w:rsidR="00843003">
          <w:rPr>
            <w:webHidden/>
          </w:rPr>
          <w:fldChar w:fldCharType="separate"/>
        </w:r>
        <w:r w:rsidR="00843003">
          <w:rPr>
            <w:webHidden/>
          </w:rPr>
          <w:t>87</w:t>
        </w:r>
        <w:r w:rsidR="00843003">
          <w:rPr>
            <w:webHidden/>
          </w:rPr>
          <w:fldChar w:fldCharType="end"/>
        </w:r>
      </w:hyperlink>
    </w:p>
    <w:p w:rsidR="00843003" w:rsidRDefault="00024031" w14:paraId="71157F52" w14:textId="7C5490A4">
      <w:pPr>
        <w:pStyle w:val="TOC1"/>
        <w:rPr>
          <w:rFonts w:asciiTheme="minorHAnsi" w:hAnsiTheme="minorHAnsi" w:eastAsiaTheme="minorEastAsia" w:cstheme="minorBidi"/>
          <w:b w:val="0"/>
          <w:bCs w:val="0"/>
          <w:caps w:val="0"/>
          <w:sz w:val="22"/>
          <w:szCs w:val="22"/>
        </w:rPr>
      </w:pPr>
      <w:hyperlink w:history="1" w:anchor="_Toc110502781">
        <w:r w:rsidRPr="007B23D6" w:rsidR="00843003">
          <w:rPr>
            <w:rStyle w:val="Hyperlink"/>
          </w:rPr>
          <w:t>CHAPTER 11: Analyses Required Under Applicable Statutes and Executive Orders</w:t>
        </w:r>
        <w:r w:rsidR="00843003">
          <w:rPr>
            <w:webHidden/>
          </w:rPr>
          <w:tab/>
        </w:r>
        <w:r w:rsidR="00843003">
          <w:rPr>
            <w:webHidden/>
          </w:rPr>
          <w:fldChar w:fldCharType="begin"/>
        </w:r>
        <w:r w:rsidR="00843003">
          <w:rPr>
            <w:webHidden/>
          </w:rPr>
          <w:instrText xml:space="preserve"> PAGEREF _Toc110502781 \h </w:instrText>
        </w:r>
        <w:r w:rsidR="00843003">
          <w:rPr>
            <w:webHidden/>
          </w:rPr>
        </w:r>
        <w:r w:rsidR="00843003">
          <w:rPr>
            <w:webHidden/>
          </w:rPr>
          <w:fldChar w:fldCharType="separate"/>
        </w:r>
        <w:r w:rsidR="00843003">
          <w:rPr>
            <w:webHidden/>
          </w:rPr>
          <w:t>89</w:t>
        </w:r>
        <w:r w:rsidR="00843003">
          <w:rPr>
            <w:webHidden/>
          </w:rPr>
          <w:fldChar w:fldCharType="end"/>
        </w:r>
      </w:hyperlink>
    </w:p>
    <w:p w:rsidR="00843003" w:rsidRDefault="00024031" w14:paraId="60C25F21" w14:textId="51D3C822">
      <w:pPr>
        <w:pStyle w:val="TOC2"/>
        <w:rPr>
          <w:rFonts w:asciiTheme="minorHAnsi" w:hAnsiTheme="minorHAnsi" w:eastAsiaTheme="minorEastAsia" w:cstheme="minorBidi"/>
          <w:sz w:val="22"/>
          <w:szCs w:val="22"/>
        </w:rPr>
      </w:pPr>
      <w:hyperlink w:history="1" w:anchor="_Toc110502782">
        <w:r w:rsidRPr="007B23D6" w:rsidR="00843003">
          <w:rPr>
            <w:rStyle w:val="Hyperlink"/>
          </w:rPr>
          <w:t>11.1 Executive Order 12866: Regulatory Planning and Review</w:t>
        </w:r>
        <w:r w:rsidR="00843003">
          <w:rPr>
            <w:webHidden/>
          </w:rPr>
          <w:tab/>
        </w:r>
        <w:r w:rsidR="00843003">
          <w:rPr>
            <w:webHidden/>
          </w:rPr>
          <w:fldChar w:fldCharType="begin"/>
        </w:r>
        <w:r w:rsidR="00843003">
          <w:rPr>
            <w:webHidden/>
          </w:rPr>
          <w:instrText xml:space="preserve"> PAGEREF _Toc110502782 \h </w:instrText>
        </w:r>
        <w:r w:rsidR="00843003">
          <w:rPr>
            <w:webHidden/>
          </w:rPr>
        </w:r>
        <w:r w:rsidR="00843003">
          <w:rPr>
            <w:webHidden/>
          </w:rPr>
          <w:fldChar w:fldCharType="separate"/>
        </w:r>
        <w:r w:rsidR="00843003">
          <w:rPr>
            <w:webHidden/>
          </w:rPr>
          <w:t>89</w:t>
        </w:r>
        <w:r w:rsidR="00843003">
          <w:rPr>
            <w:webHidden/>
          </w:rPr>
          <w:fldChar w:fldCharType="end"/>
        </w:r>
      </w:hyperlink>
    </w:p>
    <w:p w:rsidR="00843003" w:rsidRDefault="00024031" w14:paraId="1BC86CF3" w14:textId="716B76CD">
      <w:pPr>
        <w:pStyle w:val="TOC2"/>
        <w:rPr>
          <w:rFonts w:asciiTheme="minorHAnsi" w:hAnsiTheme="minorHAnsi" w:eastAsiaTheme="minorEastAsia" w:cstheme="minorBidi"/>
          <w:sz w:val="22"/>
          <w:szCs w:val="22"/>
        </w:rPr>
      </w:pPr>
      <w:hyperlink w:history="1" w:anchor="_Toc110502783">
        <w:r w:rsidRPr="007B23D6" w:rsidR="00843003">
          <w:rPr>
            <w:rStyle w:val="Hyperlink"/>
          </w:rPr>
          <w:t>11.2 Unfunded Mandates Reform Act</w:t>
        </w:r>
        <w:r w:rsidR="00843003">
          <w:rPr>
            <w:webHidden/>
          </w:rPr>
          <w:tab/>
        </w:r>
        <w:r w:rsidR="00843003">
          <w:rPr>
            <w:webHidden/>
          </w:rPr>
          <w:fldChar w:fldCharType="begin"/>
        </w:r>
        <w:r w:rsidR="00843003">
          <w:rPr>
            <w:webHidden/>
          </w:rPr>
          <w:instrText xml:space="preserve"> PAGEREF _Toc110502783 \h </w:instrText>
        </w:r>
        <w:r w:rsidR="00843003">
          <w:rPr>
            <w:webHidden/>
          </w:rPr>
        </w:r>
        <w:r w:rsidR="00843003">
          <w:rPr>
            <w:webHidden/>
          </w:rPr>
          <w:fldChar w:fldCharType="separate"/>
        </w:r>
        <w:r w:rsidR="00843003">
          <w:rPr>
            <w:webHidden/>
          </w:rPr>
          <w:t>89</w:t>
        </w:r>
        <w:r w:rsidR="00843003">
          <w:rPr>
            <w:webHidden/>
          </w:rPr>
          <w:fldChar w:fldCharType="end"/>
        </w:r>
      </w:hyperlink>
    </w:p>
    <w:p w:rsidR="00843003" w:rsidRDefault="00024031" w14:paraId="730878B2" w14:textId="468603D0">
      <w:pPr>
        <w:pStyle w:val="TOC2"/>
        <w:rPr>
          <w:rFonts w:asciiTheme="minorHAnsi" w:hAnsiTheme="minorHAnsi" w:eastAsiaTheme="minorEastAsia" w:cstheme="minorBidi"/>
          <w:sz w:val="22"/>
          <w:szCs w:val="22"/>
        </w:rPr>
      </w:pPr>
      <w:hyperlink w:history="1" w:anchor="_Toc110502784">
        <w:r w:rsidRPr="007B23D6" w:rsidR="00843003">
          <w:rPr>
            <w:rStyle w:val="Hyperlink"/>
          </w:rPr>
          <w:t>11.3 Federalism</w:t>
        </w:r>
        <w:r w:rsidR="00843003">
          <w:rPr>
            <w:webHidden/>
          </w:rPr>
          <w:tab/>
        </w:r>
        <w:r w:rsidR="00843003">
          <w:rPr>
            <w:webHidden/>
          </w:rPr>
          <w:fldChar w:fldCharType="begin"/>
        </w:r>
        <w:r w:rsidR="00843003">
          <w:rPr>
            <w:webHidden/>
          </w:rPr>
          <w:instrText xml:space="preserve"> PAGEREF _Toc110502784 \h </w:instrText>
        </w:r>
        <w:r w:rsidR="00843003">
          <w:rPr>
            <w:webHidden/>
          </w:rPr>
        </w:r>
        <w:r w:rsidR="00843003">
          <w:rPr>
            <w:webHidden/>
          </w:rPr>
          <w:fldChar w:fldCharType="separate"/>
        </w:r>
        <w:r w:rsidR="00843003">
          <w:rPr>
            <w:webHidden/>
          </w:rPr>
          <w:t>89</w:t>
        </w:r>
        <w:r w:rsidR="00843003">
          <w:rPr>
            <w:webHidden/>
          </w:rPr>
          <w:fldChar w:fldCharType="end"/>
        </w:r>
      </w:hyperlink>
    </w:p>
    <w:p w:rsidR="00843003" w:rsidRDefault="00024031" w14:paraId="270B3D60" w14:textId="5C960FB3">
      <w:pPr>
        <w:pStyle w:val="TOC2"/>
        <w:rPr>
          <w:rFonts w:asciiTheme="minorHAnsi" w:hAnsiTheme="minorHAnsi" w:eastAsiaTheme="minorEastAsia" w:cstheme="minorBidi"/>
          <w:sz w:val="22"/>
          <w:szCs w:val="22"/>
        </w:rPr>
      </w:pPr>
      <w:hyperlink w:history="1" w:anchor="_Toc110502785">
        <w:r w:rsidRPr="007B23D6" w:rsidR="00843003">
          <w:rPr>
            <w:rStyle w:val="Hyperlink"/>
          </w:rPr>
          <w:t>11.4 Employment Impacts</w:t>
        </w:r>
        <w:r w:rsidR="00843003">
          <w:rPr>
            <w:webHidden/>
          </w:rPr>
          <w:tab/>
        </w:r>
        <w:r w:rsidR="00843003">
          <w:rPr>
            <w:webHidden/>
          </w:rPr>
          <w:fldChar w:fldCharType="begin"/>
        </w:r>
        <w:r w:rsidR="00843003">
          <w:rPr>
            <w:webHidden/>
          </w:rPr>
          <w:instrText xml:space="preserve"> PAGEREF _Toc110502785 \h </w:instrText>
        </w:r>
        <w:r w:rsidR="00843003">
          <w:rPr>
            <w:webHidden/>
          </w:rPr>
        </w:r>
        <w:r w:rsidR="00843003">
          <w:rPr>
            <w:webHidden/>
          </w:rPr>
          <w:fldChar w:fldCharType="separate"/>
        </w:r>
        <w:r w:rsidR="00843003">
          <w:rPr>
            <w:webHidden/>
          </w:rPr>
          <w:t>90</w:t>
        </w:r>
        <w:r w:rsidR="00843003">
          <w:rPr>
            <w:webHidden/>
          </w:rPr>
          <w:fldChar w:fldCharType="end"/>
        </w:r>
      </w:hyperlink>
    </w:p>
    <w:p w:rsidR="00843003" w:rsidRDefault="00024031" w14:paraId="753E5753" w14:textId="736ECA13">
      <w:pPr>
        <w:pStyle w:val="TOC2"/>
        <w:rPr>
          <w:rFonts w:asciiTheme="minorHAnsi" w:hAnsiTheme="minorHAnsi" w:eastAsiaTheme="minorEastAsia" w:cstheme="minorBidi"/>
          <w:sz w:val="22"/>
          <w:szCs w:val="22"/>
        </w:rPr>
      </w:pPr>
      <w:hyperlink w:history="1" w:anchor="_Toc110502786">
        <w:r w:rsidRPr="007B23D6" w:rsidR="00843003">
          <w:rPr>
            <w:rStyle w:val="Hyperlink"/>
          </w:rPr>
          <w:t>11.5 Paperwork Reduction Act of 1995</w:t>
        </w:r>
        <w:r w:rsidR="00843003">
          <w:rPr>
            <w:webHidden/>
          </w:rPr>
          <w:tab/>
        </w:r>
        <w:r w:rsidR="00843003">
          <w:rPr>
            <w:webHidden/>
          </w:rPr>
          <w:fldChar w:fldCharType="begin"/>
        </w:r>
        <w:r w:rsidR="00843003">
          <w:rPr>
            <w:webHidden/>
          </w:rPr>
          <w:instrText xml:space="preserve"> PAGEREF _Toc110502786 \h </w:instrText>
        </w:r>
        <w:r w:rsidR="00843003">
          <w:rPr>
            <w:webHidden/>
          </w:rPr>
        </w:r>
        <w:r w:rsidR="00843003">
          <w:rPr>
            <w:webHidden/>
          </w:rPr>
          <w:fldChar w:fldCharType="separate"/>
        </w:r>
        <w:r w:rsidR="00843003">
          <w:rPr>
            <w:webHidden/>
          </w:rPr>
          <w:t>91</w:t>
        </w:r>
        <w:r w:rsidR="00843003">
          <w:rPr>
            <w:webHidden/>
          </w:rPr>
          <w:fldChar w:fldCharType="end"/>
        </w:r>
      </w:hyperlink>
    </w:p>
    <w:p w:rsidR="00843003" w:rsidRDefault="00024031" w14:paraId="73A907FB" w14:textId="76CB49FE">
      <w:pPr>
        <w:pStyle w:val="TOC2"/>
        <w:rPr>
          <w:rFonts w:asciiTheme="minorHAnsi" w:hAnsiTheme="minorHAnsi" w:eastAsiaTheme="minorEastAsia" w:cstheme="minorBidi"/>
          <w:sz w:val="22"/>
          <w:szCs w:val="22"/>
        </w:rPr>
      </w:pPr>
      <w:hyperlink w:history="1" w:anchor="_Toc110502787">
        <w:r w:rsidRPr="007B23D6" w:rsidR="00843003">
          <w:rPr>
            <w:rStyle w:val="Hyperlink"/>
          </w:rPr>
          <w:t>11.6 National Technology Transfer and Advancement Act</w:t>
        </w:r>
        <w:r w:rsidR="00843003">
          <w:rPr>
            <w:webHidden/>
          </w:rPr>
          <w:tab/>
        </w:r>
        <w:r w:rsidR="00843003">
          <w:rPr>
            <w:webHidden/>
          </w:rPr>
          <w:fldChar w:fldCharType="begin"/>
        </w:r>
        <w:r w:rsidR="00843003">
          <w:rPr>
            <w:webHidden/>
          </w:rPr>
          <w:instrText xml:space="preserve"> PAGEREF _Toc110502787 \h </w:instrText>
        </w:r>
        <w:r w:rsidR="00843003">
          <w:rPr>
            <w:webHidden/>
          </w:rPr>
        </w:r>
        <w:r w:rsidR="00843003">
          <w:rPr>
            <w:webHidden/>
          </w:rPr>
          <w:fldChar w:fldCharType="separate"/>
        </w:r>
        <w:r w:rsidR="00843003">
          <w:rPr>
            <w:webHidden/>
          </w:rPr>
          <w:t>92</w:t>
        </w:r>
        <w:r w:rsidR="00843003">
          <w:rPr>
            <w:webHidden/>
          </w:rPr>
          <w:fldChar w:fldCharType="end"/>
        </w:r>
      </w:hyperlink>
    </w:p>
    <w:p w:rsidR="00843003" w:rsidRDefault="00024031" w14:paraId="36A419B3" w14:textId="4FF6AA53">
      <w:pPr>
        <w:pStyle w:val="TOC2"/>
        <w:rPr>
          <w:rFonts w:asciiTheme="minorHAnsi" w:hAnsiTheme="minorHAnsi" w:eastAsiaTheme="minorEastAsia" w:cstheme="minorBidi"/>
          <w:sz w:val="22"/>
          <w:szCs w:val="22"/>
        </w:rPr>
      </w:pPr>
      <w:hyperlink w:history="1" w:anchor="_Toc110502788">
        <w:r w:rsidRPr="007B23D6" w:rsidR="00843003">
          <w:rPr>
            <w:rStyle w:val="Hyperlink"/>
          </w:rPr>
          <w:t>11.7 Consultation and Coordination with Indian Tribal Governments</w:t>
        </w:r>
        <w:r w:rsidR="00843003">
          <w:rPr>
            <w:webHidden/>
          </w:rPr>
          <w:tab/>
        </w:r>
        <w:r w:rsidR="00843003">
          <w:rPr>
            <w:webHidden/>
          </w:rPr>
          <w:fldChar w:fldCharType="begin"/>
        </w:r>
        <w:r w:rsidR="00843003">
          <w:rPr>
            <w:webHidden/>
          </w:rPr>
          <w:instrText xml:space="preserve"> PAGEREF _Toc110502788 \h </w:instrText>
        </w:r>
        <w:r w:rsidR="00843003">
          <w:rPr>
            <w:webHidden/>
          </w:rPr>
        </w:r>
        <w:r w:rsidR="00843003">
          <w:rPr>
            <w:webHidden/>
          </w:rPr>
          <w:fldChar w:fldCharType="separate"/>
        </w:r>
        <w:r w:rsidR="00843003">
          <w:rPr>
            <w:webHidden/>
          </w:rPr>
          <w:t>92</w:t>
        </w:r>
        <w:r w:rsidR="00843003">
          <w:rPr>
            <w:webHidden/>
          </w:rPr>
          <w:fldChar w:fldCharType="end"/>
        </w:r>
      </w:hyperlink>
    </w:p>
    <w:p w:rsidR="00843003" w:rsidRDefault="00024031" w14:paraId="507AC90F" w14:textId="4F69D578">
      <w:pPr>
        <w:pStyle w:val="TOC2"/>
        <w:rPr>
          <w:rFonts w:asciiTheme="minorHAnsi" w:hAnsiTheme="minorHAnsi" w:eastAsiaTheme="minorEastAsia" w:cstheme="minorBidi"/>
          <w:sz w:val="22"/>
          <w:szCs w:val="22"/>
        </w:rPr>
      </w:pPr>
      <w:hyperlink w:history="1" w:anchor="_Toc110502789">
        <w:r w:rsidRPr="007B23D6" w:rsidR="00843003">
          <w:rPr>
            <w:rStyle w:val="Hyperlink"/>
          </w:rPr>
          <w:t>11.8 Executive Order 13211: Actions Concerning Regulations That Significantly Affect Energy Supply, Distribution, or Use</w:t>
        </w:r>
        <w:r w:rsidR="00843003">
          <w:rPr>
            <w:webHidden/>
          </w:rPr>
          <w:tab/>
        </w:r>
        <w:r w:rsidR="00843003">
          <w:rPr>
            <w:webHidden/>
          </w:rPr>
          <w:fldChar w:fldCharType="begin"/>
        </w:r>
        <w:r w:rsidR="00843003">
          <w:rPr>
            <w:webHidden/>
          </w:rPr>
          <w:instrText xml:space="preserve"> PAGEREF _Toc110502789 \h </w:instrText>
        </w:r>
        <w:r w:rsidR="00843003">
          <w:rPr>
            <w:webHidden/>
          </w:rPr>
        </w:r>
        <w:r w:rsidR="00843003">
          <w:rPr>
            <w:webHidden/>
          </w:rPr>
          <w:fldChar w:fldCharType="separate"/>
        </w:r>
        <w:r w:rsidR="00843003">
          <w:rPr>
            <w:webHidden/>
          </w:rPr>
          <w:t>92</w:t>
        </w:r>
        <w:r w:rsidR="00843003">
          <w:rPr>
            <w:webHidden/>
          </w:rPr>
          <w:fldChar w:fldCharType="end"/>
        </w:r>
      </w:hyperlink>
    </w:p>
    <w:p w:rsidR="00843003" w:rsidRDefault="00024031" w14:paraId="118026E8" w14:textId="240CBD9A">
      <w:pPr>
        <w:pStyle w:val="TOC1"/>
        <w:rPr>
          <w:rFonts w:asciiTheme="minorHAnsi" w:hAnsiTheme="minorHAnsi" w:eastAsiaTheme="minorEastAsia" w:cstheme="minorBidi"/>
          <w:b w:val="0"/>
          <w:bCs w:val="0"/>
          <w:caps w:val="0"/>
          <w:sz w:val="22"/>
          <w:szCs w:val="22"/>
        </w:rPr>
      </w:pPr>
      <w:hyperlink w:history="1" w:anchor="_Toc110502790">
        <w:r w:rsidRPr="007B23D6" w:rsidR="00843003">
          <w:rPr>
            <w:rStyle w:val="Hyperlink"/>
          </w:rPr>
          <w:t>APPENDIX A: Cost Estimates of Hydrofluoric Acid Alkylation Conversion</w:t>
        </w:r>
        <w:r w:rsidR="00843003">
          <w:rPr>
            <w:webHidden/>
          </w:rPr>
          <w:tab/>
        </w:r>
        <w:r w:rsidR="00843003">
          <w:rPr>
            <w:webHidden/>
          </w:rPr>
          <w:fldChar w:fldCharType="begin"/>
        </w:r>
        <w:r w:rsidR="00843003">
          <w:rPr>
            <w:webHidden/>
          </w:rPr>
          <w:instrText xml:space="preserve"> PAGEREF _Toc110502790 \h </w:instrText>
        </w:r>
        <w:r w:rsidR="00843003">
          <w:rPr>
            <w:webHidden/>
          </w:rPr>
        </w:r>
        <w:r w:rsidR="00843003">
          <w:rPr>
            <w:webHidden/>
          </w:rPr>
          <w:fldChar w:fldCharType="separate"/>
        </w:r>
        <w:r w:rsidR="00843003">
          <w:rPr>
            <w:webHidden/>
          </w:rPr>
          <w:t>94</w:t>
        </w:r>
        <w:r w:rsidR="00843003">
          <w:rPr>
            <w:webHidden/>
          </w:rPr>
          <w:fldChar w:fldCharType="end"/>
        </w:r>
      </w:hyperlink>
    </w:p>
    <w:p w:rsidR="00843003" w:rsidRDefault="00024031" w14:paraId="7C615FAE" w14:textId="4325CBBD">
      <w:pPr>
        <w:pStyle w:val="TOC1"/>
        <w:rPr>
          <w:rFonts w:asciiTheme="minorHAnsi" w:hAnsiTheme="minorHAnsi" w:eastAsiaTheme="minorEastAsia" w:cstheme="minorBidi"/>
          <w:b w:val="0"/>
          <w:bCs w:val="0"/>
          <w:caps w:val="0"/>
          <w:sz w:val="22"/>
          <w:szCs w:val="22"/>
        </w:rPr>
      </w:pPr>
      <w:hyperlink w:history="1" w:anchor="_Toc110502791">
        <w:r w:rsidRPr="007B23D6" w:rsidR="00843003">
          <w:rPr>
            <w:rStyle w:val="Hyperlink"/>
          </w:rPr>
          <w:t>APPENDIX B: Property and Business Losses in the Petrochemical Industry</w:t>
        </w:r>
        <w:r w:rsidR="00843003">
          <w:rPr>
            <w:webHidden/>
          </w:rPr>
          <w:tab/>
        </w:r>
        <w:r w:rsidR="00843003">
          <w:rPr>
            <w:webHidden/>
          </w:rPr>
          <w:fldChar w:fldCharType="begin"/>
        </w:r>
        <w:r w:rsidR="00843003">
          <w:rPr>
            <w:webHidden/>
          </w:rPr>
          <w:instrText xml:space="preserve"> PAGEREF _Toc110502791 \h </w:instrText>
        </w:r>
        <w:r w:rsidR="00843003">
          <w:rPr>
            <w:webHidden/>
          </w:rPr>
        </w:r>
        <w:r w:rsidR="00843003">
          <w:rPr>
            <w:webHidden/>
          </w:rPr>
          <w:fldChar w:fldCharType="separate"/>
        </w:r>
        <w:r w:rsidR="00843003">
          <w:rPr>
            <w:webHidden/>
          </w:rPr>
          <w:t>97</w:t>
        </w:r>
        <w:r w:rsidR="00843003">
          <w:rPr>
            <w:webHidden/>
          </w:rPr>
          <w:fldChar w:fldCharType="end"/>
        </w:r>
      </w:hyperlink>
    </w:p>
    <w:p w:rsidR="00FC2143" w:rsidP="30E8CA22" w:rsidRDefault="00FC2143" w14:paraId="734D141E" w14:textId="3916FE06">
      <w:pPr>
        <w:rPr>
          <w:rFonts w:ascii="Times New Roman" w:hAnsi="Times New Roman" w:cs="Times New Roman"/>
          <w:sz w:val="24"/>
          <w:szCs w:val="24"/>
        </w:rPr>
      </w:pPr>
      <w:r w:rsidRPr="30E8CA22">
        <w:rPr>
          <w:rFonts w:ascii="Times New Roman" w:hAnsi="Times New Roman" w:cs="Times New Roman"/>
          <w:b/>
          <w:bCs/>
          <w:caps/>
          <w:sz w:val="24"/>
          <w:szCs w:val="24"/>
        </w:rPr>
        <w:fldChar w:fldCharType="end"/>
      </w:r>
    </w:p>
    <w:p w:rsidR="009B7A0D" w:rsidP="00E80E2C" w:rsidRDefault="009B7A0D" w14:paraId="3521951D" w14:textId="476E13CF">
      <w:pPr>
        <w:jc w:val="center"/>
        <w:rPr>
          <w:rFonts w:ascii="Times New Roman" w:hAnsi="Times New Roman" w:cs="Times New Roman"/>
          <w:b/>
          <w:bCs/>
          <w:sz w:val="36"/>
          <w:szCs w:val="36"/>
        </w:rPr>
      </w:pPr>
      <w:r>
        <w:rPr>
          <w:rFonts w:ascii="Times New Roman" w:hAnsi="Times New Roman" w:cs="Times New Roman"/>
          <w:b/>
          <w:bCs/>
          <w:sz w:val="36"/>
          <w:szCs w:val="36"/>
        </w:rPr>
        <w:br w:type="page"/>
      </w:r>
    </w:p>
    <w:p w:rsidR="002A6AEF" w:rsidP="00FA518F" w:rsidRDefault="002A6AEF" w14:paraId="6335B83B" w14:textId="65B6A324">
      <w:pPr>
        <w:jc w:val="center"/>
        <w:rPr>
          <w:rFonts w:ascii="Times New Roman" w:hAnsi="Times New Roman" w:cs="Times New Roman"/>
          <w:b/>
          <w:bCs/>
          <w:sz w:val="36"/>
          <w:szCs w:val="36"/>
        </w:rPr>
        <w:sectPr w:rsidR="002A6AEF" w:rsidSect="00D83D84">
          <w:headerReference w:type="even" r:id="rId12"/>
          <w:headerReference w:type="default" r:id="rId13"/>
          <w:footerReference w:type="even" r:id="rId14"/>
          <w:footerReference w:type="default" r:id="rId15"/>
          <w:headerReference w:type="first" r:id="rId16"/>
          <w:footerReference w:type="first" r:id="rId17"/>
          <w:pgSz w:w="12240" w:h="15840"/>
          <w:pgMar w:top="1500" w:right="1100" w:bottom="920" w:left="1160" w:header="0" w:footer="738" w:gutter="0"/>
          <w:cols w:space="720"/>
          <w:docGrid w:linePitch="299"/>
        </w:sectPr>
      </w:pPr>
    </w:p>
    <w:p w:rsidR="00FA518F" w:rsidP="00DE63DF" w:rsidRDefault="00FA518F" w14:paraId="4E9DBC78" w14:textId="01866DCC">
      <w:pPr>
        <w:jc w:val="center"/>
        <w:rPr>
          <w:b/>
          <w:bCs/>
        </w:rPr>
      </w:pPr>
      <w:r w:rsidRPr="00DE63DF">
        <w:rPr>
          <w:rFonts w:ascii="Times New Roman" w:hAnsi="Times New Roman" w:cs="Times New Roman"/>
          <w:b/>
          <w:sz w:val="36"/>
          <w:szCs w:val="36"/>
        </w:rPr>
        <w:lastRenderedPageBreak/>
        <w:t>Acronyms</w:t>
      </w:r>
    </w:p>
    <w:p w:rsidRPr="00114504" w:rsidR="00FA518F" w:rsidP="00FA518F" w:rsidRDefault="00FA518F" w14:paraId="145432AB" w14:textId="5668EDA3">
      <w:pPr>
        <w:rPr>
          <w:rFonts w:ascii="Times New Roman" w:hAnsi="Times New Roman" w:cs="Times New Roman"/>
          <w:b/>
          <w:bCs/>
          <w:sz w:val="24"/>
          <w:szCs w:val="24"/>
        </w:rPr>
      </w:pPr>
      <w:r w:rsidRPr="00114504">
        <w:rPr>
          <w:rFonts w:ascii="Times New Roman" w:hAnsi="Times New Roman" w:cs="Times New Roman"/>
          <w:b/>
          <w:bCs/>
          <w:sz w:val="24"/>
          <w:szCs w:val="24"/>
        </w:rPr>
        <w:t>Acronym</w:t>
      </w:r>
      <w:r w:rsidRPr="00114504">
        <w:rPr>
          <w:rFonts w:ascii="Times New Roman" w:hAnsi="Times New Roman" w:cs="Times New Roman"/>
          <w:b/>
          <w:bCs/>
          <w:sz w:val="24"/>
          <w:szCs w:val="24"/>
        </w:rPr>
        <w:tab/>
      </w:r>
      <w:r w:rsidRPr="00114504">
        <w:rPr>
          <w:rFonts w:ascii="Times New Roman" w:hAnsi="Times New Roman" w:cs="Times New Roman"/>
          <w:b/>
          <w:bCs/>
          <w:sz w:val="24"/>
          <w:szCs w:val="24"/>
        </w:rPr>
        <w:tab/>
        <w:t>Definition</w:t>
      </w:r>
    </w:p>
    <w:p w:rsidR="00FB4CE0" w:rsidP="00FB4CE0" w:rsidRDefault="00FB4CE0" w14:paraId="482978AF" w14:textId="77777777">
      <w:pPr>
        <w:rPr>
          <w:rFonts w:ascii="Times New Roman" w:hAnsi="Times New Roman" w:cs="Times New Roman"/>
          <w:sz w:val="24"/>
          <w:szCs w:val="24"/>
        </w:rPr>
      </w:pPr>
      <w:r>
        <w:rPr>
          <w:rFonts w:ascii="Times New Roman" w:hAnsi="Times New Roman" w:cs="Times New Roman"/>
          <w:sz w:val="24"/>
          <w:szCs w:val="24"/>
        </w:rPr>
        <w:t>AFPM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American Fuel &amp; Petrochemical Manufacturers </w:t>
      </w:r>
    </w:p>
    <w:p w:rsidR="003648C0" w:rsidP="00FB4CE0" w:rsidRDefault="003648C0" w14:paraId="1B97C541" w14:textId="6457B429">
      <w:pPr>
        <w:rPr>
          <w:rFonts w:ascii="Times New Roman" w:hAnsi="Times New Roman" w:cs="Times New Roman"/>
          <w:sz w:val="24"/>
          <w:szCs w:val="24"/>
        </w:rPr>
      </w:pPr>
      <w:r>
        <w:rPr>
          <w:rFonts w:ascii="Times New Roman" w:hAnsi="Times New Roman" w:cs="Times New Roman"/>
          <w:sz w:val="24"/>
          <w:szCs w:val="24"/>
        </w:rPr>
        <w:t>API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American Petroleum Institute</w:t>
      </w:r>
    </w:p>
    <w:p w:rsidR="004F05D5" w:rsidP="00FB4CE0" w:rsidRDefault="004F05D5" w14:paraId="7E489E7A" w14:textId="6464286D">
      <w:pPr>
        <w:rPr>
          <w:rFonts w:ascii="Times New Roman" w:hAnsi="Times New Roman" w:cs="Times New Roman"/>
          <w:sz w:val="24"/>
          <w:szCs w:val="24"/>
        </w:rPr>
      </w:pPr>
      <w:r>
        <w:rPr>
          <w:rFonts w:ascii="Times New Roman" w:hAnsi="Times New Roman" w:cs="Times New Roman"/>
          <w:sz w:val="24"/>
          <w:szCs w:val="24"/>
        </w:rPr>
        <w:t>AWWA</w:t>
      </w:r>
      <w:r>
        <w:rPr>
          <w:rFonts w:ascii="Times New Roman" w:hAnsi="Times New Roman" w:cs="Times New Roman"/>
          <w:sz w:val="24"/>
          <w:szCs w:val="24"/>
        </w:rPr>
        <w:tab/>
      </w:r>
      <w:r>
        <w:rPr>
          <w:rFonts w:ascii="Times New Roman" w:hAnsi="Times New Roman" w:cs="Times New Roman"/>
          <w:sz w:val="24"/>
          <w:szCs w:val="24"/>
        </w:rPr>
        <w:tab/>
        <w:t>American Water Works Association</w:t>
      </w:r>
    </w:p>
    <w:p w:rsidRPr="00AB4F6A" w:rsidR="006B6F93" w:rsidP="00FB4CE0" w:rsidRDefault="006B6F93" w14:paraId="3630A403" w14:textId="460DA41A">
      <w:pPr>
        <w:rPr>
          <w:rFonts w:ascii="Times New Roman" w:hAnsi="Times New Roman" w:cs="Times New Roman"/>
          <w:sz w:val="24"/>
          <w:szCs w:val="24"/>
        </w:rPr>
      </w:pPr>
      <w:r>
        <w:rPr>
          <w:rFonts w:ascii="Times New Roman" w:hAnsi="Times New Roman" w:cs="Times New Roman"/>
          <w:sz w:val="24"/>
          <w:szCs w:val="24"/>
        </w:rPr>
        <w:t>BLS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Labor Statistics</w:t>
      </w:r>
    </w:p>
    <w:p w:rsidR="00FB4CE0" w:rsidP="00FB4CE0" w:rsidRDefault="00FB4CE0" w14:paraId="7A07BAD8" w14:textId="77777777">
      <w:pPr>
        <w:rPr>
          <w:rFonts w:ascii="Times New Roman" w:hAnsi="Times New Roman" w:cs="Times New Roman"/>
          <w:sz w:val="24"/>
          <w:szCs w:val="24"/>
        </w:rPr>
      </w:pPr>
      <w:r>
        <w:rPr>
          <w:rFonts w:ascii="Times New Roman" w:hAnsi="Times New Roman" w:cs="Times New Roman"/>
          <w:sz w:val="24"/>
          <w:szCs w:val="24"/>
        </w:rPr>
        <w:t>CAA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Clean Air Act </w:t>
      </w:r>
    </w:p>
    <w:p w:rsidR="00FB4CE0" w:rsidP="00FB4CE0" w:rsidRDefault="00FB4CE0" w14:paraId="1597F88B" w14:textId="77777777">
      <w:pPr>
        <w:rPr>
          <w:rFonts w:ascii="Times New Roman" w:hAnsi="Times New Roman" w:cs="Times New Roman"/>
          <w:sz w:val="24"/>
          <w:szCs w:val="24"/>
        </w:rPr>
      </w:pPr>
      <w:r>
        <w:rPr>
          <w:rFonts w:ascii="Times New Roman" w:hAnsi="Times New Roman" w:cs="Times New Roman"/>
          <w:sz w:val="24"/>
          <w:szCs w:val="24"/>
        </w:rPr>
        <w:t>CSAG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Chemical Safety Advocacy Group </w:t>
      </w:r>
    </w:p>
    <w:p w:rsidRPr="00114504" w:rsidR="00FA518F" w:rsidP="00FA518F" w:rsidRDefault="00FA518F" w14:paraId="7D28933F" w14:textId="45D12505">
      <w:pPr>
        <w:rPr>
          <w:rFonts w:ascii="Times New Roman" w:hAnsi="Times New Roman" w:cs="Times New Roman"/>
          <w:sz w:val="24"/>
          <w:szCs w:val="24"/>
        </w:rPr>
      </w:pPr>
      <w:r w:rsidRPr="00114504">
        <w:rPr>
          <w:rFonts w:ascii="Times New Roman" w:hAnsi="Times New Roman" w:cs="Times New Roman"/>
          <w:sz w:val="24"/>
          <w:szCs w:val="24"/>
        </w:rPr>
        <w:t>CSB</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r>
      <w:r w:rsidR="00FB4CE0">
        <w:rPr>
          <w:rFonts w:ascii="Times New Roman" w:hAnsi="Times New Roman" w:cs="Times New Roman"/>
          <w:sz w:val="24"/>
          <w:szCs w:val="24"/>
        </w:rPr>
        <w:t xml:space="preserve">U.S. </w:t>
      </w:r>
      <w:r w:rsidRPr="00114504">
        <w:rPr>
          <w:rFonts w:ascii="Times New Roman" w:hAnsi="Times New Roman" w:cs="Times New Roman"/>
          <w:sz w:val="24"/>
          <w:szCs w:val="24"/>
        </w:rPr>
        <w:t>Chemical Safety Board</w:t>
      </w:r>
    </w:p>
    <w:p w:rsidR="004F134D" w:rsidP="00FA518F" w:rsidRDefault="004F134D" w14:paraId="41BB1117" w14:textId="25CAD471">
      <w:pPr>
        <w:rPr>
          <w:rFonts w:ascii="Times New Roman" w:hAnsi="Times New Roman" w:cs="Times New Roman"/>
          <w:sz w:val="24"/>
          <w:szCs w:val="24"/>
        </w:rPr>
      </w:pPr>
      <w:r>
        <w:rPr>
          <w:rFonts w:ascii="Times New Roman" w:hAnsi="Times New Roman" w:cs="Times New Roman"/>
          <w:sz w:val="24"/>
          <w:szCs w:val="24"/>
        </w:rPr>
        <w:t>CWA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Clean Water Act</w:t>
      </w:r>
    </w:p>
    <w:p w:rsidRPr="00AB4F6A" w:rsidR="00E85587" w:rsidP="00FA518F" w:rsidRDefault="00E85587" w14:paraId="0AB6866C" w14:textId="10955113">
      <w:pPr>
        <w:rPr>
          <w:rFonts w:ascii="Times New Roman" w:hAnsi="Times New Roman" w:cs="Times New Roman"/>
          <w:sz w:val="24"/>
          <w:szCs w:val="24"/>
        </w:rPr>
      </w:pPr>
      <w:r>
        <w:rPr>
          <w:rFonts w:ascii="Times New Roman" w:hAnsi="Times New Roman" w:cs="Times New Roman"/>
          <w:sz w:val="24"/>
          <w:szCs w:val="24"/>
        </w:rPr>
        <w:t>D</w:t>
      </w:r>
      <w:r w:rsidR="00160ACE">
        <w:rPr>
          <w:rFonts w:ascii="Times New Roman" w:hAnsi="Times New Roman" w:cs="Times New Roman"/>
          <w:sz w:val="24"/>
          <w:szCs w:val="24"/>
        </w:rPr>
        <w:t>.</w:t>
      </w:r>
      <w:r>
        <w:rPr>
          <w:rFonts w:ascii="Times New Roman" w:hAnsi="Times New Roman" w:cs="Times New Roman"/>
          <w:sz w:val="24"/>
          <w:szCs w:val="24"/>
        </w:rPr>
        <w:t>C</w:t>
      </w:r>
      <w:r w:rsidR="00160AC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District of Columbia </w:t>
      </w:r>
    </w:p>
    <w:p w:rsidRPr="00114504" w:rsidR="00FA518F" w:rsidP="00FA518F" w:rsidRDefault="00FA518F" w14:paraId="18A5E2E2" w14:textId="6E95DB4A">
      <w:pPr>
        <w:rPr>
          <w:rFonts w:ascii="Times New Roman" w:hAnsi="Times New Roman" w:cs="Times New Roman"/>
          <w:sz w:val="24"/>
          <w:szCs w:val="24"/>
        </w:rPr>
      </w:pPr>
      <w:r w:rsidRPr="00114504">
        <w:rPr>
          <w:rFonts w:ascii="Times New Roman" w:hAnsi="Times New Roman" w:cs="Times New Roman"/>
          <w:sz w:val="24"/>
          <w:szCs w:val="24"/>
        </w:rPr>
        <w:t>E</w:t>
      </w:r>
      <w:r w:rsidR="00160ACE">
        <w:rPr>
          <w:rFonts w:ascii="Times New Roman" w:hAnsi="Times New Roman" w:cs="Times New Roman"/>
          <w:sz w:val="24"/>
          <w:szCs w:val="24"/>
        </w:rPr>
        <w:t>.</w:t>
      </w:r>
      <w:r w:rsidRPr="00114504">
        <w:rPr>
          <w:rFonts w:ascii="Times New Roman" w:hAnsi="Times New Roman" w:cs="Times New Roman"/>
          <w:sz w:val="24"/>
          <w:szCs w:val="24"/>
        </w:rPr>
        <w:t>O</w:t>
      </w:r>
      <w:r w:rsidR="00160ACE">
        <w:rPr>
          <w:rFonts w:ascii="Times New Roman" w:hAnsi="Times New Roman" w:cs="Times New Roman"/>
          <w:sz w:val="24"/>
          <w:szCs w:val="24"/>
        </w:rPr>
        <w:t>.</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Executive Order</w:t>
      </w:r>
    </w:p>
    <w:p w:rsidRPr="00114504" w:rsidR="00FA518F" w:rsidP="00FA518F" w:rsidRDefault="00FA518F" w14:paraId="2EFDA97B" w14:textId="77777777">
      <w:pPr>
        <w:rPr>
          <w:rFonts w:ascii="Times New Roman" w:hAnsi="Times New Roman" w:cs="Times New Roman"/>
          <w:sz w:val="24"/>
          <w:szCs w:val="24"/>
        </w:rPr>
      </w:pPr>
      <w:r w:rsidRPr="00114504">
        <w:rPr>
          <w:rFonts w:ascii="Times New Roman" w:hAnsi="Times New Roman" w:cs="Times New Roman"/>
          <w:sz w:val="24"/>
          <w:szCs w:val="24"/>
        </w:rPr>
        <w:t>EPA</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U.S. Environmental Protection Agency</w:t>
      </w:r>
    </w:p>
    <w:p w:rsidRPr="00114504" w:rsidR="00FA518F" w:rsidP="00FA518F" w:rsidRDefault="00FA518F" w14:paraId="545BA20F" w14:textId="77777777">
      <w:pPr>
        <w:rPr>
          <w:rFonts w:ascii="Times New Roman" w:hAnsi="Times New Roman" w:cs="Times New Roman"/>
          <w:sz w:val="24"/>
          <w:szCs w:val="24"/>
        </w:rPr>
      </w:pPr>
      <w:r w:rsidRPr="00114504">
        <w:rPr>
          <w:rFonts w:ascii="Times New Roman" w:hAnsi="Times New Roman" w:cs="Times New Roman"/>
          <w:sz w:val="24"/>
          <w:szCs w:val="24"/>
        </w:rPr>
        <w:t>EPCRA</w:t>
      </w:r>
      <w:r w:rsidRPr="00114504">
        <w:rPr>
          <w:rFonts w:ascii="Times New Roman" w:hAnsi="Times New Roman" w:cs="Times New Roman"/>
          <w:sz w:val="24"/>
          <w:szCs w:val="24"/>
        </w:rPr>
        <w:tab/>
      </w:r>
      <w:r w:rsidRPr="00114504">
        <w:rPr>
          <w:rFonts w:ascii="Times New Roman" w:hAnsi="Times New Roman" w:cs="Times New Roman"/>
          <w:sz w:val="24"/>
          <w:szCs w:val="24"/>
        </w:rPr>
        <w:tab/>
        <w:t>Emergency Planning and Community Right to Know Act</w:t>
      </w:r>
    </w:p>
    <w:p w:rsidR="00FB4CE0" w:rsidP="00FB4CE0" w:rsidRDefault="00FB4CE0" w14:paraId="660FFDB6" w14:textId="5F1C3140">
      <w:pPr>
        <w:rPr>
          <w:rFonts w:ascii="Times New Roman" w:hAnsi="Times New Roman" w:cs="Times New Roman"/>
          <w:sz w:val="24"/>
          <w:szCs w:val="24"/>
        </w:rPr>
      </w:pPr>
      <w:r>
        <w:rPr>
          <w:rFonts w:ascii="Times New Roman" w:hAnsi="Times New Roman" w:cs="Times New Roman"/>
          <w:sz w:val="24"/>
          <w:szCs w:val="24"/>
        </w:rPr>
        <w:t>FTE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full-time</w:t>
      </w:r>
      <w:r w:rsidR="00C832BB">
        <w:rPr>
          <w:rFonts w:ascii="Times New Roman" w:hAnsi="Times New Roman" w:cs="Times New Roman"/>
          <w:sz w:val="24"/>
          <w:szCs w:val="24"/>
        </w:rPr>
        <w:t xml:space="preserve"> </w:t>
      </w:r>
      <w:r w:rsidRPr="00AB4F6A" w:rsidR="00C832BB">
        <w:rPr>
          <w:rFonts w:ascii="Times New Roman" w:hAnsi="Times New Roman" w:cs="Times New Roman"/>
          <w:sz w:val="24"/>
          <w:szCs w:val="24"/>
        </w:rPr>
        <w:t>employee</w:t>
      </w:r>
      <w:r w:rsidR="00C832B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B4CE0" w:rsidP="00FB4CE0" w:rsidRDefault="00FB4CE0" w14:paraId="0E8515B3" w14:textId="77777777">
      <w:pPr>
        <w:rPr>
          <w:rFonts w:ascii="Times New Roman" w:hAnsi="Times New Roman" w:cs="Times New Roman"/>
          <w:sz w:val="24"/>
          <w:szCs w:val="24"/>
        </w:rPr>
      </w:pPr>
      <w:r>
        <w:rPr>
          <w:rFonts w:ascii="Times New Roman" w:hAnsi="Times New Roman" w:cs="Times New Roman"/>
          <w:sz w:val="24"/>
          <w:szCs w:val="24"/>
        </w:rPr>
        <w:t>HF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hydrofluoric acid </w:t>
      </w:r>
    </w:p>
    <w:p w:rsidR="00FB4CE0" w:rsidP="00FB4CE0" w:rsidRDefault="00FB4CE0" w14:paraId="229E1AB1" w14:textId="25275E38">
      <w:pPr>
        <w:rPr>
          <w:rFonts w:ascii="Times New Roman" w:hAnsi="Times New Roman" w:cs="Times New Roman"/>
          <w:sz w:val="24"/>
          <w:szCs w:val="24"/>
        </w:rPr>
      </w:pPr>
      <w:r>
        <w:rPr>
          <w:rFonts w:ascii="Times New Roman" w:hAnsi="Times New Roman" w:cs="Times New Roman"/>
          <w:sz w:val="24"/>
          <w:szCs w:val="24"/>
        </w:rPr>
        <w:t>HHS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U.S. Department of Health </w:t>
      </w:r>
      <w:r w:rsidR="00A423D3">
        <w:rPr>
          <w:rFonts w:ascii="Times New Roman" w:hAnsi="Times New Roman" w:cs="Times New Roman"/>
          <w:sz w:val="24"/>
          <w:szCs w:val="24"/>
        </w:rPr>
        <w:t>&amp;</w:t>
      </w:r>
      <w:r>
        <w:rPr>
          <w:rFonts w:ascii="Times New Roman" w:hAnsi="Times New Roman" w:cs="Times New Roman"/>
          <w:sz w:val="24"/>
          <w:szCs w:val="24"/>
        </w:rPr>
        <w:t xml:space="preserve"> Human Services </w:t>
      </w:r>
    </w:p>
    <w:p w:rsidRPr="00AB4F6A" w:rsidR="008F2620" w:rsidP="00FB4CE0" w:rsidRDefault="008F2620" w14:paraId="5EB41D8E" w14:textId="3EC0F018">
      <w:pPr>
        <w:rPr>
          <w:rFonts w:ascii="Times New Roman" w:hAnsi="Times New Roman" w:cs="Times New Roman"/>
          <w:sz w:val="24"/>
          <w:szCs w:val="24"/>
        </w:rPr>
      </w:pPr>
      <w:r>
        <w:rPr>
          <w:rFonts w:ascii="Times New Roman" w:hAnsi="Times New Roman" w:cs="Times New Roman"/>
          <w:sz w:val="24"/>
          <w:szCs w:val="24"/>
        </w:rPr>
        <w:t>ICR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Information Collection Request</w:t>
      </w:r>
    </w:p>
    <w:p w:rsidR="00FB4CE0" w:rsidP="00FB4CE0" w:rsidRDefault="00FB4CE0" w14:paraId="2672C7A7" w14:textId="77777777">
      <w:pPr>
        <w:rPr>
          <w:rFonts w:ascii="Times New Roman" w:hAnsi="Times New Roman" w:cs="Times New Roman"/>
          <w:sz w:val="24"/>
          <w:szCs w:val="24"/>
        </w:rPr>
      </w:pPr>
      <w:r>
        <w:rPr>
          <w:rFonts w:ascii="Times New Roman" w:hAnsi="Times New Roman" w:cs="Times New Roman"/>
          <w:sz w:val="24"/>
          <w:szCs w:val="24"/>
        </w:rPr>
        <w:t>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inherently safer technologies </w:t>
      </w:r>
    </w:p>
    <w:p w:rsidR="00FB2092" w:rsidP="00FB4CE0" w:rsidRDefault="00FB2092" w14:paraId="59DD5A94" w14:textId="321B0A73">
      <w:pPr>
        <w:rPr>
          <w:rFonts w:ascii="Times New Roman" w:hAnsi="Times New Roman" w:cs="Times New Roman"/>
          <w:sz w:val="24"/>
          <w:szCs w:val="24"/>
        </w:rPr>
      </w:pPr>
      <w:r>
        <w:rPr>
          <w:rFonts w:ascii="Times New Roman" w:hAnsi="Times New Roman" w:cs="Times New Roman"/>
          <w:sz w:val="24"/>
          <w:szCs w:val="24"/>
        </w:rPr>
        <w:t>IPAWS</w:t>
      </w:r>
      <w:r>
        <w:rPr>
          <w:rFonts w:ascii="Times New Roman" w:hAnsi="Times New Roman" w:cs="Times New Roman"/>
          <w:sz w:val="24"/>
          <w:szCs w:val="24"/>
        </w:rPr>
        <w:tab/>
      </w:r>
      <w:r>
        <w:rPr>
          <w:rFonts w:ascii="Times New Roman" w:hAnsi="Times New Roman" w:cs="Times New Roman"/>
          <w:sz w:val="24"/>
          <w:szCs w:val="24"/>
        </w:rPr>
        <w:tab/>
        <w:t>Integrated Public Alert and Warning System</w:t>
      </w:r>
    </w:p>
    <w:p w:rsidRPr="00114504" w:rsidR="00FB4CE0" w:rsidP="00FB4CE0" w:rsidRDefault="00FB4CE0" w14:paraId="1C6212DC" w14:textId="49B699F6">
      <w:pPr>
        <w:rPr>
          <w:rFonts w:ascii="Times New Roman" w:hAnsi="Times New Roman" w:cs="Times New Roman"/>
          <w:sz w:val="24"/>
          <w:szCs w:val="24"/>
        </w:rPr>
      </w:pPr>
      <w:r>
        <w:rPr>
          <w:rFonts w:ascii="Times New Roman" w:hAnsi="Times New Roman" w:cs="Times New Roman"/>
          <w:sz w:val="24"/>
          <w:szCs w:val="24"/>
        </w:rPr>
        <w:t>LEPC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573">
        <w:rPr>
          <w:rFonts w:ascii="Times New Roman" w:hAnsi="Times New Roman" w:cs="Times New Roman"/>
          <w:sz w:val="24"/>
          <w:szCs w:val="24"/>
        </w:rPr>
        <w:t>L</w:t>
      </w:r>
      <w:r>
        <w:rPr>
          <w:rFonts w:ascii="Times New Roman" w:hAnsi="Times New Roman" w:cs="Times New Roman"/>
          <w:sz w:val="24"/>
          <w:szCs w:val="24"/>
        </w:rPr>
        <w:t xml:space="preserve">ocal </w:t>
      </w:r>
      <w:r w:rsidR="00350573">
        <w:rPr>
          <w:rFonts w:ascii="Times New Roman" w:hAnsi="Times New Roman" w:cs="Times New Roman"/>
          <w:sz w:val="24"/>
          <w:szCs w:val="24"/>
        </w:rPr>
        <w:t>E</w:t>
      </w:r>
      <w:r>
        <w:rPr>
          <w:rFonts w:ascii="Times New Roman" w:hAnsi="Times New Roman" w:cs="Times New Roman"/>
          <w:sz w:val="24"/>
          <w:szCs w:val="24"/>
        </w:rPr>
        <w:t xml:space="preserve">mergency </w:t>
      </w:r>
      <w:r w:rsidR="00350573">
        <w:rPr>
          <w:rFonts w:ascii="Times New Roman" w:hAnsi="Times New Roman" w:cs="Times New Roman"/>
          <w:sz w:val="24"/>
          <w:szCs w:val="24"/>
        </w:rPr>
        <w:t>P</w:t>
      </w:r>
      <w:r>
        <w:rPr>
          <w:rFonts w:ascii="Times New Roman" w:hAnsi="Times New Roman" w:cs="Times New Roman"/>
          <w:sz w:val="24"/>
          <w:szCs w:val="24"/>
        </w:rPr>
        <w:t xml:space="preserve">lanning </w:t>
      </w:r>
      <w:r w:rsidR="00350573">
        <w:rPr>
          <w:rFonts w:ascii="Times New Roman" w:hAnsi="Times New Roman" w:cs="Times New Roman"/>
          <w:sz w:val="24"/>
          <w:szCs w:val="24"/>
        </w:rPr>
        <w:t>C</w:t>
      </w:r>
      <w:r>
        <w:rPr>
          <w:rFonts w:ascii="Times New Roman" w:hAnsi="Times New Roman" w:cs="Times New Roman"/>
          <w:sz w:val="24"/>
          <w:szCs w:val="24"/>
        </w:rPr>
        <w:t xml:space="preserve">ommittee </w:t>
      </w:r>
    </w:p>
    <w:p w:rsidRPr="00114504" w:rsidR="00FA518F" w:rsidP="00FA518F" w:rsidRDefault="00FA518F" w14:paraId="5A64F323" w14:textId="77777777">
      <w:pPr>
        <w:rPr>
          <w:rFonts w:ascii="Times New Roman" w:hAnsi="Times New Roman" w:cs="Times New Roman"/>
          <w:sz w:val="24"/>
          <w:szCs w:val="24"/>
        </w:rPr>
      </w:pPr>
      <w:r w:rsidRPr="00114504">
        <w:rPr>
          <w:rFonts w:ascii="Times New Roman" w:hAnsi="Times New Roman" w:cs="Times New Roman"/>
          <w:sz w:val="24"/>
          <w:szCs w:val="24"/>
        </w:rPr>
        <w:t>NAICS</w:t>
      </w:r>
      <w:r w:rsidRPr="00114504">
        <w:rPr>
          <w:rFonts w:ascii="Times New Roman" w:hAnsi="Times New Roman" w:cs="Times New Roman"/>
          <w:sz w:val="24"/>
          <w:szCs w:val="24"/>
        </w:rPr>
        <w:tab/>
      </w:r>
      <w:r w:rsidRPr="00114504">
        <w:rPr>
          <w:rFonts w:ascii="Times New Roman" w:hAnsi="Times New Roman" w:cs="Times New Roman"/>
          <w:sz w:val="24"/>
          <w:szCs w:val="24"/>
        </w:rPr>
        <w:tab/>
        <w:t>North American Industrial Classification System</w:t>
      </w:r>
    </w:p>
    <w:p w:rsidRPr="00114504" w:rsidR="00FB4CE0" w:rsidP="00FB4CE0" w:rsidRDefault="00FB4CE0" w14:paraId="608799EA" w14:textId="77777777">
      <w:pPr>
        <w:rPr>
          <w:rFonts w:ascii="Times New Roman" w:hAnsi="Times New Roman" w:cs="Times New Roman"/>
          <w:sz w:val="24"/>
          <w:szCs w:val="24"/>
        </w:rPr>
      </w:pPr>
      <w:r>
        <w:rPr>
          <w:rFonts w:ascii="Times New Roman" w:hAnsi="Times New Roman" w:cs="Times New Roman"/>
          <w:sz w:val="24"/>
          <w:szCs w:val="24"/>
        </w:rPr>
        <w:t>NIPA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National Income and Product Accounts </w:t>
      </w:r>
    </w:p>
    <w:p w:rsidRPr="00114504" w:rsidR="00FA518F" w:rsidP="00FA518F" w:rsidRDefault="00FA518F" w14:paraId="6DD06FD0" w14:textId="77777777">
      <w:pPr>
        <w:rPr>
          <w:rFonts w:ascii="Times New Roman" w:hAnsi="Times New Roman" w:cs="Times New Roman"/>
          <w:sz w:val="24"/>
          <w:szCs w:val="24"/>
        </w:rPr>
      </w:pPr>
      <w:r w:rsidRPr="00114504">
        <w:rPr>
          <w:rFonts w:ascii="Times New Roman" w:hAnsi="Times New Roman" w:cs="Times New Roman"/>
          <w:sz w:val="24"/>
          <w:szCs w:val="24"/>
        </w:rPr>
        <w:t>NPRM</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Notice of Proposed Rulemaking</w:t>
      </w:r>
    </w:p>
    <w:p w:rsidRPr="00114504" w:rsidR="00FB4CE0" w:rsidP="00FB4CE0" w:rsidRDefault="00FB4CE0" w14:paraId="2886596F" w14:textId="77777777">
      <w:pPr>
        <w:rPr>
          <w:rFonts w:ascii="Times New Roman" w:hAnsi="Times New Roman" w:cs="Times New Roman"/>
          <w:sz w:val="24"/>
          <w:szCs w:val="24"/>
        </w:rPr>
      </w:pPr>
      <w:r>
        <w:rPr>
          <w:rFonts w:ascii="Times New Roman" w:hAnsi="Times New Roman" w:cs="Times New Roman"/>
          <w:sz w:val="24"/>
          <w:szCs w:val="24"/>
        </w:rPr>
        <w:t>NTTAA</w:t>
      </w:r>
      <w:r>
        <w:rPr>
          <w:rFonts w:ascii="Times New Roman" w:hAnsi="Times New Roman" w:cs="Times New Roman"/>
          <w:sz w:val="24"/>
          <w:szCs w:val="24"/>
        </w:rPr>
        <w:tab/>
      </w:r>
      <w:r>
        <w:rPr>
          <w:rFonts w:ascii="Times New Roman" w:hAnsi="Times New Roman" w:cs="Times New Roman"/>
          <w:sz w:val="24"/>
          <w:szCs w:val="24"/>
        </w:rPr>
        <w:tab/>
        <w:t xml:space="preserve">National Technology Transfer and Advancement Act </w:t>
      </w:r>
    </w:p>
    <w:p w:rsidRPr="00114504" w:rsidR="00FA518F" w:rsidP="00FA518F" w:rsidRDefault="00FA518F" w14:paraId="705E6031" w14:textId="59CCB111">
      <w:pPr>
        <w:rPr>
          <w:rFonts w:ascii="Times New Roman" w:hAnsi="Times New Roman" w:cs="Times New Roman"/>
          <w:sz w:val="24"/>
          <w:szCs w:val="24"/>
        </w:rPr>
      </w:pPr>
      <w:r w:rsidRPr="00114504">
        <w:rPr>
          <w:rFonts w:ascii="Times New Roman" w:hAnsi="Times New Roman" w:cs="Times New Roman"/>
          <w:sz w:val="24"/>
          <w:szCs w:val="24"/>
        </w:rPr>
        <w:t>OCA</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r>
      <w:r w:rsidR="003B5828">
        <w:rPr>
          <w:rFonts w:ascii="Times New Roman" w:hAnsi="Times New Roman" w:cs="Times New Roman"/>
          <w:sz w:val="24"/>
          <w:szCs w:val="24"/>
        </w:rPr>
        <w:t>O</w:t>
      </w:r>
      <w:r w:rsidR="00986800">
        <w:rPr>
          <w:rFonts w:ascii="Times New Roman" w:hAnsi="Times New Roman" w:cs="Times New Roman"/>
          <w:sz w:val="24"/>
          <w:szCs w:val="24"/>
        </w:rPr>
        <w:t>ffsite</w:t>
      </w:r>
      <w:r w:rsidRPr="00114504">
        <w:rPr>
          <w:rFonts w:ascii="Times New Roman" w:hAnsi="Times New Roman" w:cs="Times New Roman"/>
          <w:sz w:val="24"/>
          <w:szCs w:val="24"/>
        </w:rPr>
        <w:t xml:space="preserve"> </w:t>
      </w:r>
      <w:r w:rsidR="003B5828">
        <w:rPr>
          <w:rFonts w:ascii="Times New Roman" w:hAnsi="Times New Roman" w:cs="Times New Roman"/>
          <w:sz w:val="24"/>
          <w:szCs w:val="24"/>
        </w:rPr>
        <w:t>C</w:t>
      </w:r>
      <w:r w:rsidRPr="00114504">
        <w:rPr>
          <w:rFonts w:ascii="Times New Roman" w:hAnsi="Times New Roman" w:cs="Times New Roman"/>
          <w:sz w:val="24"/>
          <w:szCs w:val="24"/>
        </w:rPr>
        <w:t>onsequence</w:t>
      </w:r>
      <w:r w:rsidR="003B5828">
        <w:rPr>
          <w:rFonts w:ascii="Times New Roman" w:hAnsi="Times New Roman" w:cs="Times New Roman"/>
          <w:sz w:val="24"/>
          <w:szCs w:val="24"/>
        </w:rPr>
        <w:t>s</w:t>
      </w:r>
      <w:r w:rsidRPr="00114504">
        <w:rPr>
          <w:rFonts w:ascii="Times New Roman" w:hAnsi="Times New Roman" w:cs="Times New Roman"/>
          <w:sz w:val="24"/>
          <w:szCs w:val="24"/>
        </w:rPr>
        <w:t xml:space="preserve"> </w:t>
      </w:r>
      <w:r w:rsidR="003B5828">
        <w:rPr>
          <w:rFonts w:ascii="Times New Roman" w:hAnsi="Times New Roman" w:cs="Times New Roman"/>
          <w:sz w:val="24"/>
          <w:szCs w:val="24"/>
        </w:rPr>
        <w:t>A</w:t>
      </w:r>
      <w:r w:rsidRPr="00114504">
        <w:rPr>
          <w:rFonts w:ascii="Times New Roman" w:hAnsi="Times New Roman" w:cs="Times New Roman"/>
          <w:sz w:val="24"/>
          <w:szCs w:val="24"/>
        </w:rPr>
        <w:t>nalysis</w:t>
      </w:r>
    </w:p>
    <w:p w:rsidRPr="00114504" w:rsidR="00FA518F" w:rsidP="00FA518F" w:rsidRDefault="00FA518F" w14:paraId="6F9D2BB6" w14:textId="77777777">
      <w:pPr>
        <w:rPr>
          <w:rFonts w:ascii="Times New Roman" w:hAnsi="Times New Roman" w:cs="Times New Roman"/>
          <w:sz w:val="24"/>
          <w:szCs w:val="24"/>
        </w:rPr>
      </w:pPr>
      <w:r w:rsidRPr="00114504">
        <w:rPr>
          <w:rFonts w:ascii="Times New Roman" w:hAnsi="Times New Roman" w:cs="Times New Roman"/>
          <w:sz w:val="24"/>
          <w:szCs w:val="24"/>
        </w:rPr>
        <w:t>OEM</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Office of Emergency Management</w:t>
      </w:r>
    </w:p>
    <w:p w:rsidRPr="00114504" w:rsidR="00FB4CE0" w:rsidP="00FB4CE0" w:rsidRDefault="00FB4CE0" w14:paraId="1545A15F" w14:textId="77777777">
      <w:pPr>
        <w:rPr>
          <w:rFonts w:ascii="Times New Roman" w:hAnsi="Times New Roman" w:cs="Times New Roman"/>
          <w:sz w:val="24"/>
          <w:szCs w:val="24"/>
        </w:rPr>
      </w:pPr>
      <w:r>
        <w:rPr>
          <w:rFonts w:ascii="Times New Roman" w:hAnsi="Times New Roman" w:cs="Times New Roman"/>
          <w:sz w:val="24"/>
          <w:szCs w:val="24"/>
        </w:rPr>
        <w:t>OSWER</w:t>
      </w:r>
      <w:r>
        <w:rPr>
          <w:rFonts w:ascii="Times New Roman" w:hAnsi="Times New Roman" w:cs="Times New Roman"/>
          <w:sz w:val="24"/>
          <w:szCs w:val="24"/>
        </w:rPr>
        <w:tab/>
      </w:r>
      <w:r>
        <w:rPr>
          <w:rFonts w:ascii="Times New Roman" w:hAnsi="Times New Roman" w:cs="Times New Roman"/>
          <w:sz w:val="24"/>
          <w:szCs w:val="24"/>
        </w:rPr>
        <w:tab/>
        <w:t xml:space="preserve">Office of Solid Waste and Emergency Response </w:t>
      </w:r>
    </w:p>
    <w:p w:rsidRPr="00114504" w:rsidR="00FA518F" w:rsidP="00FA518F" w:rsidRDefault="00FA518F" w14:paraId="7BA2E551" w14:textId="77777777">
      <w:pPr>
        <w:rPr>
          <w:rFonts w:ascii="Times New Roman" w:hAnsi="Times New Roman" w:cs="Times New Roman"/>
          <w:sz w:val="24"/>
          <w:szCs w:val="24"/>
        </w:rPr>
      </w:pPr>
      <w:r w:rsidRPr="00114504">
        <w:rPr>
          <w:rFonts w:ascii="Times New Roman" w:hAnsi="Times New Roman" w:cs="Times New Roman"/>
          <w:sz w:val="24"/>
          <w:szCs w:val="24"/>
        </w:rPr>
        <w:lastRenderedPageBreak/>
        <w:t>OLEM</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Office of Land and Emergency Management</w:t>
      </w:r>
    </w:p>
    <w:p w:rsidR="00FB4CE0" w:rsidP="00FB4CE0" w:rsidRDefault="00FB4CE0" w14:paraId="307EFABE" w14:textId="77777777">
      <w:pPr>
        <w:rPr>
          <w:rFonts w:ascii="Times New Roman" w:hAnsi="Times New Roman" w:cs="Times New Roman"/>
          <w:sz w:val="24"/>
          <w:szCs w:val="24"/>
        </w:rPr>
      </w:pPr>
      <w:r>
        <w:rPr>
          <w:rFonts w:ascii="Times New Roman" w:hAnsi="Times New Roman" w:cs="Times New Roman"/>
          <w:sz w:val="24"/>
          <w:szCs w:val="24"/>
        </w:rPr>
        <w:t>OMB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Office of Management and Budget </w:t>
      </w:r>
    </w:p>
    <w:p w:rsidR="00FB4CE0" w:rsidP="00FB4CE0" w:rsidRDefault="00FB4CE0" w14:paraId="12662624" w14:textId="77777777">
      <w:pPr>
        <w:rPr>
          <w:rFonts w:ascii="Times New Roman" w:hAnsi="Times New Roman" w:cs="Times New Roman"/>
          <w:sz w:val="24"/>
          <w:szCs w:val="24"/>
        </w:rPr>
      </w:pPr>
      <w:r>
        <w:rPr>
          <w:rFonts w:ascii="Times New Roman" w:hAnsi="Times New Roman" w:cs="Times New Roman"/>
          <w:sz w:val="24"/>
          <w:szCs w:val="24"/>
        </w:rPr>
        <w:t>OSHA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Occupational Safety &amp; Health Administration </w:t>
      </w:r>
    </w:p>
    <w:p w:rsidR="00FB4CE0" w:rsidP="00FB4CE0" w:rsidRDefault="00FB4CE0" w14:paraId="73D1E1C1" w14:textId="77777777">
      <w:pPr>
        <w:rPr>
          <w:rFonts w:ascii="Times New Roman" w:hAnsi="Times New Roman" w:cs="Times New Roman"/>
          <w:sz w:val="24"/>
          <w:szCs w:val="24"/>
        </w:rPr>
      </w:pPr>
      <w:r>
        <w:rPr>
          <w:rFonts w:ascii="Times New Roman" w:hAnsi="Times New Roman" w:cs="Times New Roman"/>
          <w:sz w:val="24"/>
          <w:szCs w:val="24"/>
        </w:rPr>
        <w:t>PHA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Process Hazard Analysis </w:t>
      </w:r>
    </w:p>
    <w:p w:rsidR="00FB4CE0" w:rsidP="00FB4CE0" w:rsidRDefault="00FB4CE0" w14:paraId="55CEAF89" w14:textId="77777777">
      <w:pPr>
        <w:rPr>
          <w:rFonts w:ascii="Times New Roman" w:hAnsi="Times New Roman" w:cs="Times New Roman"/>
          <w:sz w:val="24"/>
          <w:szCs w:val="24"/>
        </w:rPr>
      </w:pPr>
      <w:r>
        <w:rPr>
          <w:rFonts w:ascii="Times New Roman" w:hAnsi="Times New Roman" w:cs="Times New Roman"/>
          <w:sz w:val="24"/>
          <w:szCs w:val="24"/>
        </w:rPr>
        <w:t>PRA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Paperwork Reduction Act of 1995</w:t>
      </w:r>
    </w:p>
    <w:p w:rsidRPr="00114504" w:rsidR="00FA518F" w:rsidP="00FA518F" w:rsidRDefault="00FA518F" w14:paraId="33444C89" w14:textId="5A01431B">
      <w:pPr>
        <w:rPr>
          <w:rFonts w:ascii="Times New Roman" w:hAnsi="Times New Roman" w:cs="Times New Roman"/>
          <w:sz w:val="24"/>
          <w:szCs w:val="24"/>
        </w:rPr>
      </w:pPr>
      <w:r w:rsidRPr="00114504">
        <w:rPr>
          <w:rFonts w:ascii="Times New Roman" w:hAnsi="Times New Roman" w:cs="Times New Roman"/>
          <w:sz w:val="24"/>
          <w:szCs w:val="24"/>
        </w:rPr>
        <w:t>PSM</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AB4F6A" w:rsidR="002A7F3D">
        <w:rPr>
          <w:rFonts w:ascii="Times New Roman" w:hAnsi="Times New Roman" w:cs="Times New Roman"/>
          <w:sz w:val="24"/>
          <w:szCs w:val="24"/>
        </w:rPr>
        <w:t>P</w:t>
      </w:r>
      <w:r w:rsidRPr="00AB4F6A">
        <w:rPr>
          <w:rFonts w:ascii="Times New Roman" w:hAnsi="Times New Roman" w:cs="Times New Roman"/>
          <w:sz w:val="24"/>
          <w:szCs w:val="24"/>
        </w:rPr>
        <w:t xml:space="preserve">rocess </w:t>
      </w:r>
      <w:r w:rsidRPr="00AB4F6A" w:rsidR="002A7F3D">
        <w:rPr>
          <w:rFonts w:ascii="Times New Roman" w:hAnsi="Times New Roman" w:cs="Times New Roman"/>
          <w:sz w:val="24"/>
          <w:szCs w:val="24"/>
        </w:rPr>
        <w:t>S</w:t>
      </w:r>
      <w:r w:rsidRPr="00AB4F6A">
        <w:rPr>
          <w:rFonts w:ascii="Times New Roman" w:hAnsi="Times New Roman" w:cs="Times New Roman"/>
          <w:sz w:val="24"/>
          <w:szCs w:val="24"/>
        </w:rPr>
        <w:t xml:space="preserve">afety </w:t>
      </w:r>
      <w:r w:rsidRPr="00AB4F6A" w:rsidR="002A7F3D">
        <w:rPr>
          <w:rFonts w:ascii="Times New Roman" w:hAnsi="Times New Roman" w:cs="Times New Roman"/>
          <w:sz w:val="24"/>
          <w:szCs w:val="24"/>
        </w:rPr>
        <w:t>M</w:t>
      </w:r>
      <w:r w:rsidRPr="00AB4F6A">
        <w:rPr>
          <w:rFonts w:ascii="Times New Roman" w:hAnsi="Times New Roman" w:cs="Times New Roman"/>
          <w:sz w:val="24"/>
          <w:szCs w:val="24"/>
        </w:rPr>
        <w:t>anagement</w:t>
      </w:r>
    </w:p>
    <w:p w:rsidRPr="00114504" w:rsidR="00FB4CE0" w:rsidP="00FB4CE0" w:rsidRDefault="00FB4CE0" w14:paraId="1B0D449F" w14:textId="77777777">
      <w:pPr>
        <w:rPr>
          <w:rFonts w:ascii="Times New Roman" w:hAnsi="Times New Roman" w:cs="Times New Roman"/>
          <w:sz w:val="24"/>
          <w:szCs w:val="24"/>
        </w:rPr>
      </w:pPr>
      <w:r>
        <w:rPr>
          <w:rFonts w:ascii="Times New Roman" w:hAnsi="Times New Roman" w:cs="Times New Roman"/>
          <w:sz w:val="24"/>
          <w:szCs w:val="24"/>
        </w:rPr>
        <w:t>RFA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Regulatory Flexibility Act </w:t>
      </w:r>
    </w:p>
    <w:p w:rsidRPr="00114504" w:rsidR="00FA518F" w:rsidP="00FA518F" w:rsidRDefault="00FA518F" w14:paraId="5E390433" w14:textId="0B86864A">
      <w:pPr>
        <w:rPr>
          <w:rFonts w:ascii="Times New Roman" w:hAnsi="Times New Roman" w:cs="Times New Roman"/>
          <w:sz w:val="24"/>
          <w:szCs w:val="24"/>
        </w:rPr>
      </w:pPr>
      <w:r w:rsidRPr="00114504">
        <w:rPr>
          <w:rFonts w:ascii="Times New Roman" w:hAnsi="Times New Roman" w:cs="Times New Roman"/>
          <w:sz w:val="24"/>
          <w:szCs w:val="24"/>
        </w:rPr>
        <w:t>RFI</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r>
      <w:r w:rsidR="00A400C0">
        <w:rPr>
          <w:rFonts w:ascii="Times New Roman" w:hAnsi="Times New Roman" w:cs="Times New Roman"/>
          <w:sz w:val="24"/>
          <w:szCs w:val="24"/>
        </w:rPr>
        <w:t>r</w:t>
      </w:r>
      <w:r w:rsidRPr="00114504">
        <w:rPr>
          <w:rFonts w:ascii="Times New Roman" w:hAnsi="Times New Roman" w:cs="Times New Roman"/>
          <w:sz w:val="24"/>
          <w:szCs w:val="24"/>
        </w:rPr>
        <w:t xml:space="preserve">equest for </w:t>
      </w:r>
      <w:r w:rsidR="00A400C0">
        <w:rPr>
          <w:rFonts w:ascii="Times New Roman" w:hAnsi="Times New Roman" w:cs="Times New Roman"/>
          <w:sz w:val="24"/>
          <w:szCs w:val="24"/>
        </w:rPr>
        <w:t>i</w:t>
      </w:r>
      <w:r w:rsidRPr="00114504">
        <w:rPr>
          <w:rFonts w:ascii="Times New Roman" w:hAnsi="Times New Roman" w:cs="Times New Roman"/>
          <w:sz w:val="24"/>
          <w:szCs w:val="24"/>
        </w:rPr>
        <w:t>nformation</w:t>
      </w:r>
    </w:p>
    <w:p w:rsidRPr="00114504" w:rsidR="00FA518F" w:rsidP="00FA518F" w:rsidRDefault="00FA518F" w14:paraId="4C630FF6" w14:textId="77777777">
      <w:pPr>
        <w:rPr>
          <w:rFonts w:ascii="Times New Roman" w:hAnsi="Times New Roman" w:cs="Times New Roman"/>
          <w:sz w:val="24"/>
          <w:szCs w:val="24"/>
        </w:rPr>
      </w:pPr>
      <w:r w:rsidRPr="00114504">
        <w:rPr>
          <w:rFonts w:ascii="Times New Roman" w:hAnsi="Times New Roman" w:cs="Times New Roman"/>
          <w:sz w:val="24"/>
          <w:szCs w:val="24"/>
        </w:rPr>
        <w:t>RIA</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Regulatory Impact Analysis</w:t>
      </w:r>
    </w:p>
    <w:p w:rsidRPr="00114504" w:rsidR="00FA518F" w:rsidP="00FA518F" w:rsidRDefault="00FA518F" w14:paraId="0F683EBD" w14:textId="3E926415">
      <w:pPr>
        <w:rPr>
          <w:rFonts w:ascii="Times New Roman" w:hAnsi="Times New Roman" w:cs="Times New Roman"/>
          <w:sz w:val="24"/>
          <w:szCs w:val="24"/>
        </w:rPr>
      </w:pPr>
      <w:r w:rsidRPr="00114504">
        <w:rPr>
          <w:rFonts w:ascii="Times New Roman" w:hAnsi="Times New Roman" w:cs="Times New Roman"/>
          <w:sz w:val="24"/>
          <w:szCs w:val="24"/>
        </w:rPr>
        <w:t>RMP</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r>
      <w:r w:rsidR="008B2F3B">
        <w:rPr>
          <w:rFonts w:ascii="Times New Roman" w:hAnsi="Times New Roman" w:cs="Times New Roman"/>
          <w:sz w:val="24"/>
          <w:szCs w:val="24"/>
        </w:rPr>
        <w:t>R</w:t>
      </w:r>
      <w:r w:rsidRPr="00114504">
        <w:rPr>
          <w:rFonts w:ascii="Times New Roman" w:hAnsi="Times New Roman" w:cs="Times New Roman"/>
          <w:sz w:val="24"/>
          <w:szCs w:val="24"/>
        </w:rPr>
        <w:t xml:space="preserve">isk </w:t>
      </w:r>
      <w:r w:rsidR="008B2F3B">
        <w:rPr>
          <w:rFonts w:ascii="Times New Roman" w:hAnsi="Times New Roman" w:cs="Times New Roman"/>
          <w:sz w:val="24"/>
          <w:szCs w:val="24"/>
        </w:rPr>
        <w:t>M</w:t>
      </w:r>
      <w:r w:rsidRPr="00114504">
        <w:rPr>
          <w:rFonts w:ascii="Times New Roman" w:hAnsi="Times New Roman" w:cs="Times New Roman"/>
          <w:sz w:val="24"/>
          <w:szCs w:val="24"/>
        </w:rPr>
        <w:t xml:space="preserve">anagement </w:t>
      </w:r>
      <w:r w:rsidR="008B2F3B">
        <w:rPr>
          <w:rFonts w:ascii="Times New Roman" w:hAnsi="Times New Roman" w:cs="Times New Roman"/>
          <w:sz w:val="24"/>
          <w:szCs w:val="24"/>
        </w:rPr>
        <w:t>P</w:t>
      </w:r>
      <w:r w:rsidR="009139F8">
        <w:rPr>
          <w:rFonts w:ascii="Times New Roman" w:hAnsi="Times New Roman" w:cs="Times New Roman"/>
          <w:sz w:val="24"/>
          <w:szCs w:val="24"/>
        </w:rPr>
        <w:t xml:space="preserve">rogram or Risk Management </w:t>
      </w:r>
      <w:r w:rsidR="008B2F3B">
        <w:rPr>
          <w:rFonts w:ascii="Times New Roman" w:hAnsi="Times New Roman" w:cs="Times New Roman"/>
          <w:sz w:val="24"/>
          <w:szCs w:val="24"/>
        </w:rPr>
        <w:t>P</w:t>
      </w:r>
      <w:r w:rsidRPr="00114504">
        <w:rPr>
          <w:rFonts w:ascii="Times New Roman" w:hAnsi="Times New Roman" w:cs="Times New Roman"/>
          <w:sz w:val="24"/>
          <w:szCs w:val="24"/>
        </w:rPr>
        <w:t>lan</w:t>
      </w:r>
    </w:p>
    <w:p w:rsidR="00FB4CE0" w:rsidP="00FB4CE0" w:rsidRDefault="00FB4CE0" w14:paraId="2AEF93E7" w14:textId="77777777">
      <w:pPr>
        <w:rPr>
          <w:rFonts w:ascii="Times New Roman" w:hAnsi="Times New Roman" w:cs="Times New Roman"/>
          <w:sz w:val="24"/>
          <w:szCs w:val="24"/>
        </w:rPr>
      </w:pPr>
      <w:r>
        <w:rPr>
          <w:rFonts w:ascii="Times New Roman" w:hAnsi="Times New Roman" w:cs="Times New Roman"/>
          <w:sz w:val="24"/>
          <w:szCs w:val="24"/>
        </w:rPr>
        <w:t>SBA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Small Business Administration </w:t>
      </w:r>
    </w:p>
    <w:p w:rsidR="007A70F4" w:rsidP="00FB4CE0" w:rsidRDefault="007A70F4" w14:paraId="299E84CC" w14:textId="77DD68FC">
      <w:pPr>
        <w:rPr>
          <w:rFonts w:ascii="Times New Roman" w:hAnsi="Times New Roman" w:cs="Times New Roman"/>
          <w:sz w:val="24"/>
          <w:szCs w:val="24"/>
        </w:rPr>
      </w:pPr>
      <w:r>
        <w:rPr>
          <w:rFonts w:ascii="Times New Roman" w:hAnsi="Times New Roman" w:cs="Times New Roman"/>
          <w:sz w:val="24"/>
          <w:szCs w:val="24"/>
        </w:rPr>
        <w:t>SDS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208D">
        <w:rPr>
          <w:rFonts w:ascii="Times New Roman" w:hAnsi="Times New Roman" w:cs="Times New Roman"/>
          <w:sz w:val="24"/>
          <w:szCs w:val="24"/>
        </w:rPr>
        <w:t>S</w:t>
      </w:r>
      <w:r>
        <w:rPr>
          <w:rFonts w:ascii="Times New Roman" w:hAnsi="Times New Roman" w:cs="Times New Roman"/>
          <w:sz w:val="24"/>
          <w:szCs w:val="24"/>
        </w:rPr>
        <w:t xml:space="preserve">afety </w:t>
      </w:r>
      <w:r w:rsidR="00A4208D">
        <w:rPr>
          <w:rFonts w:ascii="Times New Roman" w:hAnsi="Times New Roman" w:cs="Times New Roman"/>
          <w:sz w:val="24"/>
          <w:szCs w:val="24"/>
        </w:rPr>
        <w:t>D</w:t>
      </w:r>
      <w:r>
        <w:rPr>
          <w:rFonts w:ascii="Times New Roman" w:hAnsi="Times New Roman" w:cs="Times New Roman"/>
          <w:sz w:val="24"/>
          <w:szCs w:val="24"/>
        </w:rPr>
        <w:t xml:space="preserve">ata </w:t>
      </w:r>
      <w:r w:rsidR="00A4208D">
        <w:rPr>
          <w:rFonts w:ascii="Times New Roman" w:hAnsi="Times New Roman" w:cs="Times New Roman"/>
          <w:sz w:val="24"/>
          <w:szCs w:val="24"/>
        </w:rPr>
        <w:t>S</w:t>
      </w:r>
      <w:r>
        <w:rPr>
          <w:rFonts w:ascii="Times New Roman" w:hAnsi="Times New Roman" w:cs="Times New Roman"/>
          <w:sz w:val="24"/>
          <w:szCs w:val="24"/>
        </w:rPr>
        <w:t xml:space="preserve">heet </w:t>
      </w:r>
    </w:p>
    <w:p w:rsidR="00FB4CE0" w:rsidP="00FB4CE0" w:rsidRDefault="00FB4CE0" w14:paraId="4409DD42" w14:textId="26910186">
      <w:pPr>
        <w:rPr>
          <w:rFonts w:ascii="Times New Roman" w:hAnsi="Times New Roman" w:cs="Times New Roman"/>
          <w:sz w:val="24"/>
          <w:szCs w:val="24"/>
        </w:rPr>
      </w:pPr>
      <w:r>
        <w:rPr>
          <w:rFonts w:ascii="Times New Roman" w:hAnsi="Times New Roman" w:cs="Times New Roman"/>
          <w:sz w:val="24"/>
          <w:szCs w:val="24"/>
        </w:rPr>
        <w:t>STAA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0ACE">
        <w:rPr>
          <w:rFonts w:ascii="Times New Roman" w:hAnsi="Times New Roman" w:cs="Times New Roman"/>
          <w:sz w:val="24"/>
          <w:szCs w:val="24"/>
        </w:rPr>
        <w:t>S</w:t>
      </w:r>
      <w:r>
        <w:rPr>
          <w:rFonts w:ascii="Times New Roman" w:hAnsi="Times New Roman" w:cs="Times New Roman"/>
          <w:sz w:val="24"/>
          <w:szCs w:val="24"/>
        </w:rPr>
        <w:t xml:space="preserve">afer </w:t>
      </w:r>
      <w:r w:rsidR="00160ACE">
        <w:rPr>
          <w:rFonts w:ascii="Times New Roman" w:hAnsi="Times New Roman" w:cs="Times New Roman"/>
          <w:sz w:val="24"/>
          <w:szCs w:val="24"/>
        </w:rPr>
        <w:t>T</w:t>
      </w:r>
      <w:r>
        <w:rPr>
          <w:rFonts w:ascii="Times New Roman" w:hAnsi="Times New Roman" w:cs="Times New Roman"/>
          <w:sz w:val="24"/>
          <w:szCs w:val="24"/>
        </w:rPr>
        <w:t xml:space="preserve">echnology and </w:t>
      </w:r>
      <w:proofErr w:type="spellStart"/>
      <w:r>
        <w:rPr>
          <w:rFonts w:ascii="Times New Roman" w:hAnsi="Times New Roman" w:cs="Times New Roman"/>
          <w:sz w:val="24"/>
          <w:szCs w:val="24"/>
        </w:rPr>
        <w:t>lternatives</w:t>
      </w:r>
      <w:proofErr w:type="spellEnd"/>
      <w:r>
        <w:rPr>
          <w:rFonts w:ascii="Times New Roman" w:hAnsi="Times New Roman" w:cs="Times New Roman"/>
          <w:sz w:val="24"/>
          <w:szCs w:val="24"/>
        </w:rPr>
        <w:t xml:space="preserve"> </w:t>
      </w:r>
      <w:r w:rsidR="00160ACE">
        <w:rPr>
          <w:rFonts w:ascii="Times New Roman" w:hAnsi="Times New Roman" w:cs="Times New Roman"/>
          <w:sz w:val="24"/>
          <w:szCs w:val="24"/>
        </w:rPr>
        <w:t>An</w:t>
      </w:r>
      <w:r>
        <w:rPr>
          <w:rFonts w:ascii="Times New Roman" w:hAnsi="Times New Roman" w:cs="Times New Roman"/>
          <w:sz w:val="24"/>
          <w:szCs w:val="24"/>
        </w:rPr>
        <w:t xml:space="preserve">alysis </w:t>
      </w:r>
    </w:p>
    <w:p w:rsidRPr="00114504" w:rsidR="00FB4CE0" w:rsidP="00FB4CE0" w:rsidRDefault="00FB4CE0" w14:paraId="497A0CBC" w14:textId="77777777">
      <w:pPr>
        <w:rPr>
          <w:rFonts w:ascii="Times New Roman" w:hAnsi="Times New Roman" w:cs="Times New Roman"/>
          <w:sz w:val="24"/>
          <w:szCs w:val="24"/>
        </w:rPr>
      </w:pPr>
      <w:r>
        <w:rPr>
          <w:rFonts w:ascii="Times New Roman" w:hAnsi="Times New Roman" w:cs="Times New Roman"/>
          <w:sz w:val="24"/>
          <w:szCs w:val="24"/>
        </w:rPr>
        <w:t>TRI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Toxic Release Inventory </w:t>
      </w:r>
    </w:p>
    <w:p w:rsidRPr="00114504" w:rsidR="00FA518F" w:rsidP="00FA518F" w:rsidRDefault="00FA518F" w14:paraId="2D3BA17E" w14:textId="77777777">
      <w:pPr>
        <w:rPr>
          <w:rFonts w:ascii="Times New Roman" w:hAnsi="Times New Roman" w:cs="Times New Roman"/>
          <w:sz w:val="24"/>
          <w:szCs w:val="24"/>
        </w:rPr>
      </w:pPr>
      <w:r w:rsidRPr="00114504">
        <w:rPr>
          <w:rFonts w:ascii="Times New Roman" w:hAnsi="Times New Roman" w:cs="Times New Roman"/>
          <w:sz w:val="24"/>
          <w:szCs w:val="24"/>
        </w:rPr>
        <w:t>TQ</w:t>
      </w:r>
      <w:r w:rsidRPr="00114504">
        <w:rPr>
          <w:rFonts w:ascii="Times New Roman" w:hAnsi="Times New Roman" w:cs="Times New Roman"/>
          <w:sz w:val="24"/>
          <w:szCs w:val="24"/>
        </w:rPr>
        <w:tab/>
      </w:r>
      <w:r w:rsidRPr="00114504">
        <w:rPr>
          <w:rFonts w:ascii="Times New Roman" w:hAnsi="Times New Roman" w:cs="Times New Roman"/>
          <w:sz w:val="24"/>
          <w:szCs w:val="24"/>
        </w:rPr>
        <w:tab/>
      </w:r>
      <w:r w:rsidRPr="00114504">
        <w:rPr>
          <w:rFonts w:ascii="Times New Roman" w:hAnsi="Times New Roman" w:cs="Times New Roman"/>
          <w:sz w:val="24"/>
          <w:szCs w:val="24"/>
        </w:rPr>
        <w:tab/>
        <w:t>threshold quantity</w:t>
      </w:r>
    </w:p>
    <w:p w:rsidRPr="00AB4F6A" w:rsidR="00E85587" w:rsidP="00FA518F" w:rsidRDefault="00E85587" w14:paraId="0D7EF3AC" w14:textId="60287BB5">
      <w:pPr>
        <w:rPr>
          <w:rFonts w:ascii="Times New Roman" w:hAnsi="Times New Roman" w:cs="Times New Roman"/>
          <w:sz w:val="24"/>
          <w:szCs w:val="24"/>
        </w:rPr>
      </w:pPr>
      <w:r>
        <w:rPr>
          <w:rFonts w:ascii="Times New Roman" w:hAnsi="Times New Roman" w:cs="Times New Roman"/>
          <w:sz w:val="24"/>
          <w:szCs w:val="24"/>
        </w:rPr>
        <w:t>U</w:t>
      </w:r>
      <w:r w:rsidR="003715E2">
        <w:rPr>
          <w:rFonts w:ascii="Times New Roman" w:hAnsi="Times New Roman" w:cs="Times New Roman"/>
          <w:sz w:val="24"/>
          <w:szCs w:val="24"/>
        </w:rPr>
        <w:t>.</w:t>
      </w:r>
      <w:r>
        <w:rPr>
          <w:rFonts w:ascii="Times New Roman" w:hAnsi="Times New Roman" w:cs="Times New Roman"/>
          <w:sz w:val="24"/>
          <w:szCs w:val="24"/>
        </w:rPr>
        <w:t>S</w:t>
      </w:r>
      <w:r w:rsidR="003715E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United States </w:t>
      </w:r>
    </w:p>
    <w:p w:rsidR="00FB4CE0" w:rsidP="00FB4CE0" w:rsidRDefault="00FB4CE0" w14:paraId="5055E155" w14:textId="77777777">
      <w:pPr>
        <w:rPr>
          <w:rFonts w:ascii="Times New Roman" w:hAnsi="Times New Roman" w:cs="Times New Roman"/>
          <w:sz w:val="24"/>
          <w:szCs w:val="24"/>
        </w:rPr>
      </w:pPr>
      <w:r>
        <w:rPr>
          <w:rFonts w:ascii="Times New Roman" w:hAnsi="Times New Roman" w:cs="Times New Roman"/>
          <w:sz w:val="24"/>
          <w:szCs w:val="24"/>
        </w:rPr>
        <w:t>VSL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value of statistical life </w:t>
      </w:r>
    </w:p>
    <w:p w:rsidR="00975E60" w:rsidP="00FB4CE0" w:rsidRDefault="00FB4CE0" w14:paraId="1196C668" w14:textId="77777777">
      <w:pPr>
        <w:rPr>
          <w:rFonts w:ascii="Times New Roman" w:hAnsi="Times New Roman" w:cs="Times New Roman"/>
          <w:sz w:val="24"/>
          <w:szCs w:val="24"/>
        </w:rPr>
        <w:sectPr w:rsidR="00975E60" w:rsidSect="00031866">
          <w:footerReference w:type="default" r:id="rId18"/>
          <w:pgSz w:w="12240" w:h="15840"/>
          <w:pgMar w:top="1500" w:right="1100" w:bottom="920" w:left="1160" w:header="0" w:footer="738" w:gutter="0"/>
          <w:pgNumType w:start="1"/>
          <w:cols w:space="720"/>
        </w:sectPr>
      </w:pPr>
      <w:r>
        <w:rPr>
          <w:rFonts w:ascii="Times New Roman" w:hAnsi="Times New Roman" w:cs="Times New Roman"/>
          <w:sz w:val="24"/>
          <w:szCs w:val="24"/>
        </w:rPr>
        <w:t>WTP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willingness to pay </w:t>
      </w:r>
    </w:p>
    <w:p w:rsidRPr="00DA70D2" w:rsidR="009B7A0D" w:rsidP="009B7A0D" w:rsidRDefault="009B7A0D" w14:paraId="646253BF" w14:textId="3A1F5DA9">
      <w:pPr>
        <w:pStyle w:val="Heading1"/>
      </w:pPr>
      <w:bookmarkStart w:name="_Toc98856200" w:id="0"/>
      <w:bookmarkStart w:name="_Toc110502730" w:id="1"/>
      <w:r w:rsidRPr="00DA70D2">
        <w:lastRenderedPageBreak/>
        <w:t>Executive Summary</w:t>
      </w:r>
      <w:bookmarkEnd w:id="0"/>
      <w:bookmarkEnd w:id="1"/>
    </w:p>
    <w:p w:rsidRPr="00C2595C" w:rsidR="009B7A0D" w:rsidP="00C2595C" w:rsidRDefault="009B7A0D" w14:paraId="2B33BAE7" w14:textId="21B4A3DD">
      <w:pPr>
        <w:spacing w:after="0" w:line="240" w:lineRule="auto"/>
        <w:rPr>
          <w:rFonts w:ascii="Times New Roman" w:hAnsi="Times New Roman" w:cs="Times New Roman"/>
          <w:b/>
        </w:rPr>
      </w:pPr>
      <w:r w:rsidRPr="00C2595C">
        <w:rPr>
          <w:rFonts w:ascii="Times New Roman" w:hAnsi="Times New Roman" w:cs="Times New Roman"/>
          <w:b/>
        </w:rPr>
        <w:t>Introduction</w:t>
      </w:r>
    </w:p>
    <w:p w:rsidR="00E80E2C" w:rsidP="00E80E2C" w:rsidRDefault="00E819DC" w14:paraId="277C9297" w14:textId="282624E1">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 xml:space="preserve">To bolster resilience to the impacts of climate change and prioritize environmental justice </w:t>
      </w:r>
      <w:r w:rsidRPr="00C2595C" w:rsidR="00CA5ED5">
        <w:rPr>
          <w:rFonts w:ascii="Times New Roman" w:hAnsi="Times New Roman" w:cs="Times New Roman"/>
        </w:rPr>
        <w:t xml:space="preserve">through environmental policy and regulation </w:t>
      </w:r>
      <w:r w:rsidRPr="00C2595C" w:rsidR="005B38E8">
        <w:rPr>
          <w:rFonts w:ascii="Times New Roman" w:hAnsi="Times New Roman" w:cs="Times New Roman"/>
        </w:rPr>
        <w:t xml:space="preserve">in the United States, President Biden issued Executive Order </w:t>
      </w:r>
      <w:r w:rsidRPr="00C2595C" w:rsidR="004A6E56">
        <w:rPr>
          <w:rFonts w:ascii="Times New Roman" w:hAnsi="Times New Roman" w:cs="Times New Roman"/>
        </w:rPr>
        <w:t>(</w:t>
      </w:r>
      <w:r w:rsidR="00843659">
        <w:rPr>
          <w:rFonts w:ascii="Times New Roman" w:hAnsi="Times New Roman" w:cs="Times New Roman"/>
        </w:rPr>
        <w:t>E.O.</w:t>
      </w:r>
      <w:r w:rsidRPr="00C2595C" w:rsidR="004A6E56">
        <w:rPr>
          <w:rFonts w:ascii="Times New Roman" w:hAnsi="Times New Roman" w:cs="Times New Roman"/>
        </w:rPr>
        <w:t xml:space="preserve">) </w:t>
      </w:r>
      <w:r w:rsidRPr="00C2595C" w:rsidR="005B38E8">
        <w:rPr>
          <w:rFonts w:ascii="Times New Roman" w:hAnsi="Times New Roman" w:cs="Times New Roman"/>
        </w:rPr>
        <w:t xml:space="preserve">13990, Protecting Public Health and the Environment and Restoring Science to Tackle the Climate Crisis. The </w:t>
      </w:r>
      <w:r w:rsidR="00843659">
        <w:rPr>
          <w:rFonts w:ascii="Times New Roman" w:hAnsi="Times New Roman" w:cs="Times New Roman"/>
        </w:rPr>
        <w:t>E.O.</w:t>
      </w:r>
      <w:r w:rsidRPr="00C2595C" w:rsidR="005B38E8">
        <w:rPr>
          <w:rFonts w:ascii="Times New Roman" w:hAnsi="Times New Roman" w:cs="Times New Roman"/>
        </w:rPr>
        <w:t xml:space="preserve"> directs </w:t>
      </w:r>
      <w:r w:rsidRPr="00C2595C" w:rsidR="001039CB">
        <w:rPr>
          <w:rFonts w:ascii="Times New Roman" w:hAnsi="Times New Roman" w:cs="Times New Roman"/>
        </w:rPr>
        <w:t>F</w:t>
      </w:r>
      <w:r w:rsidRPr="00C2595C" w:rsidR="005B38E8">
        <w:rPr>
          <w:rFonts w:ascii="Times New Roman" w:hAnsi="Times New Roman" w:cs="Times New Roman"/>
        </w:rPr>
        <w:t xml:space="preserve">ederal agencies to review </w:t>
      </w:r>
      <w:r w:rsidR="005C1B6F">
        <w:rPr>
          <w:rFonts w:ascii="Times New Roman" w:hAnsi="Times New Roman" w:cs="Times New Roman"/>
        </w:rPr>
        <w:t>current</w:t>
      </w:r>
      <w:r w:rsidRPr="00C2595C" w:rsidR="005B38E8">
        <w:rPr>
          <w:rFonts w:ascii="Times New Roman" w:hAnsi="Times New Roman" w:cs="Times New Roman"/>
        </w:rPr>
        <w:t xml:space="preserve"> regulations and take action to address </w:t>
      </w:r>
      <w:r w:rsidRPr="00C2595C" w:rsidR="000831AC">
        <w:rPr>
          <w:rFonts w:ascii="Times New Roman" w:hAnsi="Times New Roman" w:cs="Times New Roman"/>
        </w:rPr>
        <w:t>the</w:t>
      </w:r>
      <w:r w:rsidR="00843659">
        <w:rPr>
          <w:rFonts w:ascii="Times New Roman" w:hAnsi="Times New Roman" w:cs="Times New Roman"/>
        </w:rPr>
        <w:t>se issues</w:t>
      </w:r>
      <w:r w:rsidRPr="00C2595C" w:rsidR="005B38E8">
        <w:rPr>
          <w:rFonts w:ascii="Times New Roman" w:hAnsi="Times New Roman" w:cs="Times New Roman"/>
        </w:rPr>
        <w:t xml:space="preserve">. </w:t>
      </w:r>
      <w:r w:rsidR="00843659">
        <w:rPr>
          <w:rFonts w:ascii="Times New Roman" w:hAnsi="Times New Roman" w:cs="Times New Roman"/>
        </w:rPr>
        <w:t xml:space="preserve">To support these priorities, </w:t>
      </w:r>
      <w:r w:rsidRPr="00C2595C" w:rsidR="005B38E8">
        <w:rPr>
          <w:rFonts w:ascii="Times New Roman" w:hAnsi="Times New Roman" w:cs="Times New Roman"/>
        </w:rPr>
        <w:t xml:space="preserve">EPA reviewed the current </w:t>
      </w:r>
      <w:r w:rsidRPr="00C2595C" w:rsidR="00CA5ED5">
        <w:rPr>
          <w:rFonts w:ascii="Times New Roman" w:hAnsi="Times New Roman" w:cs="Times New Roman"/>
        </w:rPr>
        <w:t>Risk Management Program (</w:t>
      </w:r>
      <w:r w:rsidRPr="00C2595C" w:rsidR="005B38E8">
        <w:rPr>
          <w:rFonts w:ascii="Times New Roman" w:hAnsi="Times New Roman" w:cs="Times New Roman"/>
        </w:rPr>
        <w:t>RMP</w:t>
      </w:r>
      <w:r w:rsidRPr="00C2595C" w:rsidR="00CA5ED5">
        <w:rPr>
          <w:rFonts w:ascii="Times New Roman" w:hAnsi="Times New Roman" w:cs="Times New Roman"/>
        </w:rPr>
        <w:t>)</w:t>
      </w:r>
      <w:r w:rsidRPr="00C2595C" w:rsidR="00A455F4">
        <w:rPr>
          <w:rStyle w:val="FootnoteReference"/>
          <w:rFonts w:ascii="Times New Roman" w:hAnsi="Times New Roman" w:cs="Times New Roman"/>
        </w:rPr>
        <w:footnoteReference w:id="2"/>
      </w:r>
      <w:r w:rsidRPr="00C2595C" w:rsidR="005B38E8">
        <w:rPr>
          <w:rFonts w:ascii="Times New Roman" w:hAnsi="Times New Roman" w:cs="Times New Roman"/>
        </w:rPr>
        <w:t xml:space="preserve"> regulations</w:t>
      </w:r>
      <w:r w:rsidR="00E94D34">
        <w:rPr>
          <w:rFonts w:ascii="Times New Roman" w:hAnsi="Times New Roman" w:cs="Times New Roman"/>
        </w:rPr>
        <w:t>. As a result of Agency review</w:t>
      </w:r>
      <w:r w:rsidR="00C872DF">
        <w:rPr>
          <w:rFonts w:ascii="Times New Roman" w:hAnsi="Times New Roman" w:cs="Times New Roman"/>
        </w:rPr>
        <w:t>,</w:t>
      </w:r>
      <w:r w:rsidR="00E94D34">
        <w:rPr>
          <w:rFonts w:ascii="Times New Roman" w:hAnsi="Times New Roman" w:cs="Times New Roman"/>
        </w:rPr>
        <w:t xml:space="preserve"> EPA </w:t>
      </w:r>
      <w:r w:rsidRPr="00C2595C" w:rsidR="005B38E8">
        <w:rPr>
          <w:rFonts w:ascii="Times New Roman" w:hAnsi="Times New Roman" w:cs="Times New Roman"/>
        </w:rPr>
        <w:t>develop</w:t>
      </w:r>
      <w:r w:rsidR="00EC2DB6">
        <w:rPr>
          <w:rFonts w:ascii="Times New Roman" w:hAnsi="Times New Roman" w:cs="Times New Roman"/>
        </w:rPr>
        <w:t>ed</w:t>
      </w:r>
      <w:r w:rsidRPr="00C2595C" w:rsidR="005B38E8">
        <w:rPr>
          <w:rFonts w:ascii="Times New Roman" w:hAnsi="Times New Roman" w:cs="Times New Roman"/>
        </w:rPr>
        <w:t xml:space="preserve"> a regulatory proposal to revise the RMP rule.</w:t>
      </w:r>
    </w:p>
    <w:p w:rsidR="00E819DC" w:rsidP="00E80E2C" w:rsidRDefault="00E819DC" w14:paraId="43090346" w14:textId="77777777">
      <w:pPr>
        <w:spacing w:after="0" w:line="240" w:lineRule="auto"/>
        <w:ind w:firstLine="360"/>
        <w:rPr>
          <w:rFonts w:ascii="Times New Roman" w:hAnsi="Times New Roman" w:cs="Times New Roman"/>
        </w:rPr>
      </w:pPr>
    </w:p>
    <w:p w:rsidR="005B38E8" w:rsidP="00E80E2C" w:rsidRDefault="00E819DC" w14:paraId="270CB6C4" w14:textId="5A619FE2">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 xml:space="preserve">The purpose of this action is to propose changes to the current </w:t>
      </w:r>
      <w:r w:rsidRPr="00C2595C" w:rsidR="00136C75">
        <w:rPr>
          <w:rFonts w:ascii="Times New Roman" w:hAnsi="Times New Roman" w:cs="Times New Roman"/>
        </w:rPr>
        <w:t>RMP</w:t>
      </w:r>
      <w:r w:rsidRPr="00C2595C" w:rsidR="005B38E8">
        <w:rPr>
          <w:rFonts w:ascii="Times New Roman" w:hAnsi="Times New Roman" w:cs="Times New Roman"/>
        </w:rPr>
        <w:t xml:space="preserve"> rule </w:t>
      </w:r>
      <w:proofErr w:type="gramStart"/>
      <w:r w:rsidRPr="00C2595C" w:rsidR="005B38E8">
        <w:rPr>
          <w:rFonts w:ascii="Times New Roman" w:hAnsi="Times New Roman" w:cs="Times New Roman"/>
        </w:rPr>
        <w:t>in order to</w:t>
      </w:r>
      <w:proofErr w:type="gramEnd"/>
      <w:r w:rsidRPr="00C2595C" w:rsidR="005B38E8">
        <w:rPr>
          <w:rFonts w:ascii="Times New Roman" w:hAnsi="Times New Roman" w:cs="Times New Roman"/>
        </w:rPr>
        <w:t xml:space="preserve"> improve safety at facilities that use and distribute hazardous chemicals. EPA believes that the </w:t>
      </w:r>
      <w:r w:rsidRPr="00C2595C" w:rsidR="00CA5ED5">
        <w:rPr>
          <w:rFonts w:ascii="Times New Roman" w:hAnsi="Times New Roman" w:cs="Times New Roman"/>
        </w:rPr>
        <w:t>RMP</w:t>
      </w:r>
      <w:r w:rsidRPr="00C2595C" w:rsidR="005B38E8">
        <w:rPr>
          <w:rFonts w:ascii="Times New Roman" w:hAnsi="Times New Roman" w:cs="Times New Roman"/>
        </w:rPr>
        <w:t xml:space="preserve"> regulations have been effective in preventing and mitigating chemical accidents in the United States</w:t>
      </w:r>
      <w:r w:rsidRPr="00C2595C" w:rsidR="002C0B55">
        <w:rPr>
          <w:rFonts w:ascii="Times New Roman" w:hAnsi="Times New Roman" w:cs="Times New Roman"/>
        </w:rPr>
        <w:t xml:space="preserve"> and that the proposed</w:t>
      </w:r>
      <w:r w:rsidRPr="00C2595C" w:rsidR="005B38E8">
        <w:rPr>
          <w:rFonts w:ascii="Times New Roman" w:hAnsi="Times New Roman" w:cs="Times New Roman"/>
        </w:rPr>
        <w:t xml:space="preserve"> revisions</w:t>
      </w:r>
      <w:r w:rsidR="00843659">
        <w:rPr>
          <w:rFonts w:ascii="Times New Roman" w:hAnsi="Times New Roman" w:cs="Times New Roman"/>
        </w:rPr>
        <w:t>,</w:t>
      </w:r>
      <w:r w:rsidRPr="00C2595C" w:rsidR="005B38E8">
        <w:rPr>
          <w:rFonts w:ascii="Times New Roman" w:hAnsi="Times New Roman" w:cs="Times New Roman"/>
        </w:rPr>
        <w:t xml:space="preserve"> </w:t>
      </w:r>
      <w:r w:rsidR="00843659">
        <w:rPr>
          <w:rFonts w:ascii="Times New Roman" w:hAnsi="Times New Roman" w:cs="Times New Roman"/>
        </w:rPr>
        <w:t xml:space="preserve">by giving </w:t>
      </w:r>
      <w:r w:rsidRPr="00C2595C" w:rsidR="002C0B55">
        <w:rPr>
          <w:rFonts w:ascii="Times New Roman" w:hAnsi="Times New Roman" w:cs="Times New Roman"/>
        </w:rPr>
        <w:t>special consideration to concerns about climate change and environmental justice and build</w:t>
      </w:r>
      <w:r w:rsidR="00843659">
        <w:rPr>
          <w:rFonts w:ascii="Times New Roman" w:hAnsi="Times New Roman" w:cs="Times New Roman"/>
        </w:rPr>
        <w:t>ing</w:t>
      </w:r>
      <w:r w:rsidRPr="00C2595C" w:rsidR="002C0B55">
        <w:rPr>
          <w:rFonts w:ascii="Times New Roman" w:hAnsi="Times New Roman" w:cs="Times New Roman"/>
        </w:rPr>
        <w:t xml:space="preserve"> on lessons learned from the </w:t>
      </w:r>
      <w:r w:rsidR="005C1B6F">
        <w:rPr>
          <w:rFonts w:ascii="Times New Roman" w:hAnsi="Times New Roman" w:cs="Times New Roman"/>
        </w:rPr>
        <w:t>current</w:t>
      </w:r>
      <w:r w:rsidRPr="00C2595C" w:rsidR="002C0B55">
        <w:rPr>
          <w:rFonts w:ascii="Times New Roman" w:hAnsi="Times New Roman" w:cs="Times New Roman"/>
        </w:rPr>
        <w:t xml:space="preserve"> regulatory program</w:t>
      </w:r>
      <w:r w:rsidR="00843659">
        <w:rPr>
          <w:rFonts w:ascii="Times New Roman" w:hAnsi="Times New Roman" w:cs="Times New Roman"/>
        </w:rPr>
        <w:t>,</w:t>
      </w:r>
      <w:r w:rsidRPr="00C2595C" w:rsidR="002C0B55">
        <w:rPr>
          <w:rFonts w:ascii="Times New Roman" w:hAnsi="Times New Roman" w:cs="Times New Roman"/>
        </w:rPr>
        <w:t xml:space="preserve"> </w:t>
      </w:r>
      <w:r w:rsidRPr="00C2595C" w:rsidDel="002C0B55" w:rsidR="005B38E8">
        <w:rPr>
          <w:rFonts w:ascii="Times New Roman" w:hAnsi="Times New Roman" w:cs="Times New Roman"/>
        </w:rPr>
        <w:t>could</w:t>
      </w:r>
      <w:r w:rsidRPr="00C2595C" w:rsidR="005B38E8">
        <w:rPr>
          <w:rFonts w:ascii="Times New Roman" w:hAnsi="Times New Roman" w:cs="Times New Roman"/>
        </w:rPr>
        <w:t xml:space="preserve"> further protect human health and the environment from chemical hazards</w:t>
      </w:r>
      <w:r w:rsidRPr="00C2595C" w:rsidR="009C3547">
        <w:rPr>
          <w:rFonts w:ascii="Times New Roman" w:hAnsi="Times New Roman" w:cs="Times New Roman"/>
        </w:rPr>
        <w:t xml:space="preserve"> </w:t>
      </w:r>
      <w:r w:rsidRPr="00C2595C" w:rsidR="005B38E8">
        <w:rPr>
          <w:rFonts w:ascii="Times New Roman" w:hAnsi="Times New Roman" w:cs="Times New Roman"/>
        </w:rPr>
        <w:t xml:space="preserve">through advancement of </w:t>
      </w:r>
      <w:r w:rsidR="00634064">
        <w:rPr>
          <w:rFonts w:ascii="Times New Roman" w:hAnsi="Times New Roman" w:cs="Times New Roman"/>
        </w:rPr>
        <w:t>p</w:t>
      </w:r>
      <w:r w:rsidRPr="00C2595C" w:rsidR="005B38E8">
        <w:rPr>
          <w:rFonts w:ascii="Times New Roman" w:hAnsi="Times New Roman" w:cs="Times New Roman"/>
        </w:rPr>
        <w:t xml:space="preserve">rocess </w:t>
      </w:r>
      <w:r w:rsidR="00634064">
        <w:rPr>
          <w:rFonts w:ascii="Times New Roman" w:hAnsi="Times New Roman" w:cs="Times New Roman"/>
        </w:rPr>
        <w:t>s</w:t>
      </w:r>
      <w:r w:rsidRPr="00C2595C" w:rsidR="005B38E8">
        <w:rPr>
          <w:rFonts w:ascii="Times New Roman" w:hAnsi="Times New Roman" w:cs="Times New Roman"/>
        </w:rPr>
        <w:t xml:space="preserve">afety. These revisions are </w:t>
      </w:r>
      <w:r w:rsidRPr="00C2595C" w:rsidR="00F371F3">
        <w:rPr>
          <w:rFonts w:ascii="Times New Roman" w:hAnsi="Times New Roman" w:cs="Times New Roman"/>
        </w:rPr>
        <w:t>informed by</w:t>
      </w:r>
      <w:r w:rsidRPr="00C2595C" w:rsidR="005B38E8">
        <w:rPr>
          <w:rFonts w:ascii="Times New Roman" w:hAnsi="Times New Roman" w:cs="Times New Roman"/>
        </w:rPr>
        <w:t xml:space="preserve"> </w:t>
      </w:r>
      <w:r w:rsidR="00843659">
        <w:rPr>
          <w:rFonts w:ascii="Times New Roman" w:hAnsi="Times New Roman" w:cs="Times New Roman"/>
        </w:rPr>
        <w:t xml:space="preserve">EPA’s </w:t>
      </w:r>
      <w:r w:rsidRPr="00C2595C" w:rsidR="005B38E8">
        <w:rPr>
          <w:rFonts w:ascii="Times New Roman" w:hAnsi="Times New Roman" w:cs="Times New Roman"/>
        </w:rPr>
        <w:t>review</w:t>
      </w:r>
      <w:r w:rsidR="00843659">
        <w:rPr>
          <w:rFonts w:ascii="Times New Roman" w:hAnsi="Times New Roman" w:cs="Times New Roman"/>
        </w:rPr>
        <w:t xml:space="preserve"> of</w:t>
      </w:r>
      <w:r w:rsidRPr="00C2595C" w:rsidR="005B38E8">
        <w:rPr>
          <w:rFonts w:ascii="Times New Roman" w:hAnsi="Times New Roman" w:cs="Times New Roman"/>
        </w:rPr>
        <w:t xml:space="preserve"> the </w:t>
      </w:r>
      <w:r w:rsidR="00843659">
        <w:rPr>
          <w:rFonts w:ascii="Times New Roman" w:hAnsi="Times New Roman" w:cs="Times New Roman"/>
        </w:rPr>
        <w:t>current</w:t>
      </w:r>
      <w:r w:rsidRPr="00C2595C" w:rsidR="005B38E8">
        <w:rPr>
          <w:rFonts w:ascii="Times New Roman" w:hAnsi="Times New Roman" w:cs="Times New Roman"/>
        </w:rPr>
        <w:t xml:space="preserve"> </w:t>
      </w:r>
      <w:r w:rsidRPr="00C2595C" w:rsidR="00CA5ED5">
        <w:rPr>
          <w:rFonts w:ascii="Times New Roman" w:hAnsi="Times New Roman" w:cs="Times New Roman"/>
        </w:rPr>
        <w:t>RMP rule</w:t>
      </w:r>
      <w:r w:rsidRPr="00C2595C" w:rsidR="005B38E8">
        <w:rPr>
          <w:rFonts w:ascii="Times New Roman" w:hAnsi="Times New Roman" w:cs="Times New Roman"/>
        </w:rPr>
        <w:t xml:space="preserve"> and information </w:t>
      </w:r>
      <w:r w:rsidR="00843659">
        <w:rPr>
          <w:rFonts w:ascii="Times New Roman" w:hAnsi="Times New Roman" w:cs="Times New Roman"/>
        </w:rPr>
        <w:t xml:space="preserve">EPA </w:t>
      </w:r>
      <w:r w:rsidRPr="00C2595C" w:rsidR="005B38E8">
        <w:rPr>
          <w:rFonts w:ascii="Times New Roman" w:hAnsi="Times New Roman" w:cs="Times New Roman"/>
        </w:rPr>
        <w:t xml:space="preserve">gathered from </w:t>
      </w:r>
      <w:r w:rsidRPr="00C2595C" w:rsidR="00893224">
        <w:rPr>
          <w:rFonts w:ascii="Times New Roman" w:hAnsi="Times New Roman" w:cs="Times New Roman"/>
        </w:rPr>
        <w:t xml:space="preserve">public </w:t>
      </w:r>
      <w:r w:rsidRPr="00C2595C" w:rsidR="005B38E8">
        <w:rPr>
          <w:rFonts w:ascii="Times New Roman" w:hAnsi="Times New Roman" w:cs="Times New Roman"/>
        </w:rPr>
        <w:t>listening sessions</w:t>
      </w:r>
      <w:r w:rsidRPr="00C2595C" w:rsidR="00DF5215">
        <w:rPr>
          <w:rFonts w:ascii="Times New Roman" w:hAnsi="Times New Roman" w:cs="Times New Roman"/>
        </w:rPr>
        <w:t xml:space="preserve"> held in June and July 2021</w:t>
      </w:r>
      <w:r w:rsidRPr="00C2595C" w:rsidR="005B38E8">
        <w:rPr>
          <w:rFonts w:ascii="Times New Roman" w:hAnsi="Times New Roman" w:cs="Times New Roman"/>
        </w:rPr>
        <w:t>.</w:t>
      </w:r>
    </w:p>
    <w:p w:rsidR="00E819DC" w:rsidP="00E80E2C" w:rsidRDefault="00E819DC" w14:paraId="2E49A6FD" w14:textId="77777777">
      <w:pPr>
        <w:spacing w:after="0" w:line="240" w:lineRule="auto"/>
        <w:ind w:firstLine="360"/>
        <w:rPr>
          <w:rFonts w:ascii="Times New Roman" w:hAnsi="Times New Roman" w:cs="Times New Roman"/>
        </w:rPr>
      </w:pPr>
    </w:p>
    <w:p w:rsidRPr="00C2595C" w:rsidR="005B38E8" w:rsidP="00E80E2C" w:rsidRDefault="00E819DC" w14:paraId="32CB1A29" w14:textId="14426264">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The proposed revisions</w:t>
      </w:r>
      <w:r w:rsidRPr="00C2595C" w:rsidR="00E61DBB">
        <w:rPr>
          <w:rFonts w:ascii="Times New Roman" w:hAnsi="Times New Roman" w:cs="Times New Roman"/>
        </w:rPr>
        <w:t xml:space="preserve"> seek to improve chemical process safety, assist in planning, preparedness, and responding to RMP accidents, and improve public awareness of chemical hazards at regulated sources. </w:t>
      </w:r>
      <w:r w:rsidRPr="00C2595C" w:rsidR="00DF1FCD">
        <w:rPr>
          <w:rFonts w:ascii="Times New Roman" w:hAnsi="Times New Roman" w:cs="Times New Roman"/>
        </w:rPr>
        <w:t>To accomplish this, t</w:t>
      </w:r>
      <w:r w:rsidRPr="00C2595C" w:rsidR="00E61DBB">
        <w:rPr>
          <w:rFonts w:ascii="Times New Roman" w:hAnsi="Times New Roman" w:cs="Times New Roman"/>
        </w:rPr>
        <w:t>hese proposed</w:t>
      </w:r>
      <w:r w:rsidRPr="00C2595C" w:rsidR="009B7237">
        <w:rPr>
          <w:rFonts w:ascii="Times New Roman" w:hAnsi="Times New Roman" w:cs="Times New Roman"/>
        </w:rPr>
        <w:t xml:space="preserve"> provisions</w:t>
      </w:r>
      <w:r w:rsidRPr="00C2595C" w:rsidR="005B38E8">
        <w:rPr>
          <w:rFonts w:ascii="Times New Roman" w:hAnsi="Times New Roman" w:cs="Times New Roman"/>
        </w:rPr>
        <w:t xml:space="preserve"> include several changes to the accident prevention program</w:t>
      </w:r>
      <w:r w:rsidR="00B40BE0">
        <w:rPr>
          <w:rFonts w:ascii="Times New Roman" w:hAnsi="Times New Roman" w:cs="Times New Roman"/>
        </w:rPr>
        <w:t xml:space="preserve"> </w:t>
      </w:r>
      <w:r w:rsidRPr="00C2595C" w:rsidR="005B38E8">
        <w:rPr>
          <w:rFonts w:ascii="Times New Roman" w:hAnsi="Times New Roman" w:cs="Times New Roman"/>
        </w:rPr>
        <w:t xml:space="preserve">requirements, enhancements to the emergency preparedness requirements, </w:t>
      </w:r>
      <w:r w:rsidRPr="00C2595C" w:rsidR="00F371F3">
        <w:rPr>
          <w:rFonts w:ascii="Times New Roman" w:hAnsi="Times New Roman" w:cs="Times New Roman"/>
        </w:rPr>
        <w:t xml:space="preserve">changes to </w:t>
      </w:r>
      <w:r w:rsidRPr="00C2595C" w:rsidR="005B38E8">
        <w:rPr>
          <w:rFonts w:ascii="Times New Roman" w:hAnsi="Times New Roman" w:cs="Times New Roman"/>
        </w:rPr>
        <w:t xml:space="preserve">increase public availability of chemical hazard information, and changes </w:t>
      </w:r>
      <w:r w:rsidRPr="00C2595C" w:rsidR="00E61DBB">
        <w:rPr>
          <w:rFonts w:ascii="Times New Roman" w:hAnsi="Times New Roman" w:cs="Times New Roman"/>
        </w:rPr>
        <w:t xml:space="preserve">or clarifications </w:t>
      </w:r>
      <w:r w:rsidRPr="00C2595C" w:rsidR="005B38E8">
        <w:rPr>
          <w:rFonts w:ascii="Times New Roman" w:hAnsi="Times New Roman" w:cs="Times New Roman"/>
        </w:rPr>
        <w:t>to</w:t>
      </w:r>
      <w:r w:rsidRPr="00C2595C" w:rsidR="00E61DBB">
        <w:rPr>
          <w:rFonts w:ascii="Times New Roman" w:hAnsi="Times New Roman" w:cs="Times New Roman"/>
        </w:rPr>
        <w:t xml:space="preserve"> </w:t>
      </w:r>
      <w:r w:rsidRPr="00C2595C" w:rsidR="005B38E8">
        <w:rPr>
          <w:rFonts w:ascii="Times New Roman" w:hAnsi="Times New Roman" w:cs="Times New Roman"/>
        </w:rPr>
        <w:t xml:space="preserve">certain regulatory definitions or points of clarification. </w:t>
      </w:r>
      <w:r w:rsidR="00843659">
        <w:rPr>
          <w:rFonts w:ascii="Times New Roman" w:hAnsi="Times New Roman" w:cs="Times New Roman"/>
        </w:rPr>
        <w:t>M</w:t>
      </w:r>
      <w:r w:rsidRPr="00C2595C" w:rsidR="00ED6BCD">
        <w:rPr>
          <w:rFonts w:ascii="Times New Roman" w:hAnsi="Times New Roman" w:cs="Times New Roman"/>
        </w:rPr>
        <w:t xml:space="preserve">any of the proposed provisions </w:t>
      </w:r>
      <w:r w:rsidR="00843659">
        <w:rPr>
          <w:rFonts w:ascii="Times New Roman" w:hAnsi="Times New Roman" w:cs="Times New Roman"/>
        </w:rPr>
        <w:t>ta</w:t>
      </w:r>
      <w:r w:rsidRPr="00C2595C" w:rsidR="00ED6BCD">
        <w:rPr>
          <w:rFonts w:ascii="Times New Roman" w:hAnsi="Times New Roman" w:cs="Times New Roman"/>
        </w:rPr>
        <w:t xml:space="preserve">rget stronger provisions to facilities </w:t>
      </w:r>
      <w:proofErr w:type="gramStart"/>
      <w:r w:rsidRPr="00C2595C" w:rsidR="00ED6BCD">
        <w:rPr>
          <w:rFonts w:ascii="Times New Roman" w:hAnsi="Times New Roman" w:cs="Times New Roman"/>
        </w:rPr>
        <w:t xml:space="preserve">in close proximity </w:t>
      </w:r>
      <w:r w:rsidRPr="00C2595C" w:rsidR="005C6B37">
        <w:rPr>
          <w:rFonts w:ascii="Times New Roman" w:hAnsi="Times New Roman" w:cs="Times New Roman"/>
        </w:rPr>
        <w:t>to</w:t>
      </w:r>
      <w:proofErr w:type="gramEnd"/>
      <w:r w:rsidRPr="00C2595C" w:rsidR="005C6B37">
        <w:rPr>
          <w:rFonts w:ascii="Times New Roman" w:hAnsi="Times New Roman" w:cs="Times New Roman"/>
        </w:rPr>
        <w:t xml:space="preserve"> </w:t>
      </w:r>
      <w:r w:rsidRPr="00C2595C" w:rsidR="00B42950">
        <w:rPr>
          <w:rFonts w:ascii="Times New Roman" w:hAnsi="Times New Roman" w:cs="Times New Roman"/>
        </w:rPr>
        <w:t xml:space="preserve">certain </w:t>
      </w:r>
      <w:r w:rsidRPr="00C2595C" w:rsidR="005C6B37">
        <w:rPr>
          <w:rFonts w:ascii="Times New Roman" w:hAnsi="Times New Roman" w:cs="Times New Roman"/>
        </w:rPr>
        <w:t>other facilities</w:t>
      </w:r>
      <w:r w:rsidRPr="00C2595C" w:rsidR="00ED6BCD">
        <w:rPr>
          <w:rFonts w:ascii="Times New Roman" w:hAnsi="Times New Roman" w:cs="Times New Roman"/>
        </w:rPr>
        <w:t xml:space="preserve"> and/or facilities that have had recent accidents. </w:t>
      </w:r>
    </w:p>
    <w:p w:rsidR="00C2595C" w:rsidP="00C2595C" w:rsidRDefault="00C2595C" w14:paraId="131FF394" w14:textId="77777777">
      <w:pPr>
        <w:spacing w:after="0" w:line="240" w:lineRule="auto"/>
        <w:rPr>
          <w:rFonts w:ascii="Times New Roman" w:hAnsi="Times New Roman" w:cs="Times New Roman"/>
          <w:b/>
          <w:bCs/>
        </w:rPr>
      </w:pPr>
    </w:p>
    <w:p w:rsidRPr="00C2595C" w:rsidR="000B0389" w:rsidP="000B0389" w:rsidRDefault="000B0389" w14:paraId="707B4235" w14:textId="01308289">
      <w:pPr>
        <w:pStyle w:val="Default"/>
        <w:rPr>
          <w:rFonts w:ascii="Times New Roman" w:hAnsi="Times New Roman" w:cs="Times New Roman"/>
          <w:b/>
          <w:sz w:val="22"/>
          <w:szCs w:val="22"/>
        </w:rPr>
      </w:pPr>
      <w:r w:rsidRPr="00C2595C">
        <w:rPr>
          <w:rFonts w:ascii="Times New Roman" w:hAnsi="Times New Roman" w:cs="Times New Roman"/>
          <w:b/>
          <w:sz w:val="22"/>
          <w:szCs w:val="22"/>
        </w:rPr>
        <w:t>Provisions Analyzed in this RIA</w:t>
      </w:r>
    </w:p>
    <w:p w:rsidRPr="00C2595C" w:rsidR="003A7769" w:rsidP="00EE068C" w:rsidRDefault="00FD2A56" w14:paraId="16D0DDDC" w14:textId="1D79B8B4">
      <w:pPr>
        <w:spacing w:after="0" w:line="240" w:lineRule="auto"/>
        <w:rPr>
          <w:rFonts w:ascii="Times New Roman" w:hAnsi="Times New Roman" w:cs="Times New Roman"/>
        </w:rPr>
      </w:pPr>
      <w:r>
        <w:rPr>
          <w:rFonts w:ascii="Times New Roman" w:hAnsi="Times New Roman" w:cs="Times New Roman"/>
        </w:rPr>
        <w:tab/>
      </w:r>
      <w:r w:rsidRPr="00C2595C" w:rsidR="00470D9D">
        <w:rPr>
          <w:rFonts w:ascii="Times New Roman" w:hAnsi="Times New Roman" w:cs="Times New Roman"/>
        </w:rPr>
        <w:t>Th</w:t>
      </w:r>
      <w:r w:rsidRPr="00C2595C" w:rsidR="009366F2">
        <w:rPr>
          <w:rFonts w:ascii="Times New Roman" w:hAnsi="Times New Roman" w:cs="Times New Roman"/>
        </w:rPr>
        <w:t>is</w:t>
      </w:r>
      <w:r w:rsidRPr="00C2595C" w:rsidR="00470D9D">
        <w:rPr>
          <w:rFonts w:ascii="Times New Roman" w:hAnsi="Times New Roman" w:cs="Times New Roman"/>
        </w:rPr>
        <w:t xml:space="preserve"> </w:t>
      </w:r>
      <w:r w:rsidRPr="00C2595C" w:rsidR="00F828B6">
        <w:rPr>
          <w:rFonts w:ascii="Times New Roman" w:hAnsi="Times New Roman" w:cs="Times New Roman"/>
        </w:rPr>
        <w:t>Regulatory Impact Analysis (</w:t>
      </w:r>
      <w:r w:rsidRPr="00C2595C" w:rsidR="00470D9D">
        <w:rPr>
          <w:rFonts w:ascii="Times New Roman" w:hAnsi="Times New Roman" w:cs="Times New Roman"/>
        </w:rPr>
        <w:t>RIA</w:t>
      </w:r>
      <w:r w:rsidRPr="00C2595C" w:rsidR="00F828B6">
        <w:rPr>
          <w:rFonts w:ascii="Times New Roman" w:hAnsi="Times New Roman" w:cs="Times New Roman"/>
        </w:rPr>
        <w:t>)</w:t>
      </w:r>
      <w:r w:rsidRPr="00C2595C" w:rsidR="00470D9D">
        <w:rPr>
          <w:rFonts w:ascii="Times New Roman" w:hAnsi="Times New Roman" w:cs="Times New Roman"/>
        </w:rPr>
        <w:t xml:space="preserve"> analyze</w:t>
      </w:r>
      <w:r w:rsidRPr="00C2595C" w:rsidR="009366F2">
        <w:rPr>
          <w:rFonts w:ascii="Times New Roman" w:hAnsi="Times New Roman" w:cs="Times New Roman"/>
        </w:rPr>
        <w:t>s</w:t>
      </w:r>
      <w:r w:rsidRPr="00C2595C" w:rsidR="00470D9D">
        <w:rPr>
          <w:rFonts w:ascii="Times New Roman" w:hAnsi="Times New Roman" w:cs="Times New Roman"/>
        </w:rPr>
        <w:t xml:space="preserve"> the following new proposed requirements and proposed revisions to </w:t>
      </w:r>
      <w:r w:rsidR="005C1B6F">
        <w:rPr>
          <w:rFonts w:ascii="Times New Roman" w:hAnsi="Times New Roman" w:cs="Times New Roman"/>
        </w:rPr>
        <w:t>current</w:t>
      </w:r>
      <w:r w:rsidRPr="00C2595C" w:rsidR="00470D9D">
        <w:rPr>
          <w:rFonts w:ascii="Times New Roman" w:hAnsi="Times New Roman" w:cs="Times New Roman"/>
        </w:rPr>
        <w:t xml:space="preserve"> requirements</w:t>
      </w:r>
      <w:r w:rsidRPr="00C2595C" w:rsidR="005934C4">
        <w:rPr>
          <w:rFonts w:ascii="Times New Roman" w:hAnsi="Times New Roman" w:cs="Times New Roman"/>
        </w:rPr>
        <w:t>:</w:t>
      </w:r>
    </w:p>
    <w:p w:rsidR="00E80E2C" w:rsidP="00E80E2C" w:rsidRDefault="00E80E2C" w14:paraId="095D68AB" w14:textId="5F851A8C">
      <w:pPr>
        <w:spacing w:after="0" w:line="240" w:lineRule="auto"/>
        <w:ind w:firstLine="360"/>
        <w:rPr>
          <w:rFonts w:ascii="Times New Roman" w:hAnsi="Times New Roman" w:cs="Times New Roman"/>
        </w:rPr>
      </w:pPr>
    </w:p>
    <w:p w:rsidRPr="00E80470" w:rsidR="00281014" w:rsidP="00281014" w:rsidRDefault="00024031" w14:paraId="6F8A46A4" w14:textId="26C685BE">
      <w:pPr>
        <w:pStyle w:val="TOC3"/>
        <w:spacing w:line="240" w:lineRule="auto"/>
        <w:ind w:left="0"/>
        <w:rPr>
          <w:rFonts w:ascii="Times New Roman" w:hAnsi="Times New Roman" w:cs="Times New Roman" w:eastAsiaTheme="minorEastAsia"/>
          <w:noProof/>
          <w:sz w:val="22"/>
          <w:szCs w:val="22"/>
          <w:u w:val="single"/>
        </w:rPr>
      </w:pPr>
      <w:hyperlink w:history="1" w:anchor="_Toc99604121">
        <w:r w:rsidRPr="00E80470" w:rsidR="00E80E2C">
          <w:rPr>
            <w:rStyle w:val="Hyperlink"/>
            <w:rFonts w:ascii="Times New Roman" w:hAnsi="Times New Roman" w:cs="Times New Roman"/>
            <w:b/>
            <w:color w:val="auto"/>
            <w:sz w:val="22"/>
            <w:szCs w:val="22"/>
            <w:u w:val="none"/>
          </w:rPr>
          <w:t>Prevention Program</w:t>
        </w:r>
      </w:hyperlink>
    </w:p>
    <w:p w:rsidRPr="00EE068C" w:rsidR="000B0389" w:rsidP="00EE068C" w:rsidRDefault="00024031" w14:paraId="702E1C5E" w14:textId="4A82B6E2">
      <w:pPr>
        <w:pStyle w:val="TOC4"/>
        <w:spacing w:line="240" w:lineRule="auto"/>
        <w:ind w:left="0"/>
        <w:rPr>
          <w:rStyle w:val="Hyperlink"/>
          <w:rFonts w:ascii="Times New Roman" w:hAnsi="Times New Roman" w:cs="Times New Roman"/>
          <w:b/>
          <w:i/>
          <w:color w:val="auto"/>
          <w:sz w:val="22"/>
          <w:szCs w:val="22"/>
          <w:u w:val="none"/>
        </w:rPr>
      </w:pPr>
      <w:hyperlink w:history="1" w:anchor="_Toc99604129">
        <w:r w:rsidRPr="00EE068C" w:rsidR="000B0389">
          <w:rPr>
            <w:rStyle w:val="Hyperlink"/>
            <w:rFonts w:ascii="Times New Roman" w:hAnsi="Times New Roman" w:cs="Times New Roman"/>
            <w:b/>
            <w:i/>
            <w:color w:val="auto"/>
            <w:sz w:val="22"/>
            <w:szCs w:val="22"/>
            <w:u w:val="none"/>
          </w:rPr>
          <w:t>Prevention Program Provisions</w:t>
        </w:r>
      </w:hyperlink>
    </w:p>
    <w:p w:rsidR="001C0BAE" w:rsidP="009929B8" w:rsidRDefault="00024031" w14:paraId="697DC2E3" w14:textId="35EEC06B">
      <w:pPr>
        <w:pStyle w:val="TOC4"/>
        <w:spacing w:line="240" w:lineRule="auto"/>
        <w:ind w:left="0"/>
        <w:rPr>
          <w:rFonts w:ascii="Times New Roman" w:hAnsi="Times New Roman" w:cs="Times New Roman"/>
          <w:i/>
          <w:sz w:val="22"/>
          <w:szCs w:val="22"/>
        </w:rPr>
      </w:pPr>
      <w:hyperlink w:anchor="_Toc99604130">
        <w:r w:rsidRPr="26602F1C" w:rsidR="2526989B">
          <w:rPr>
            <w:rStyle w:val="Hyperlink"/>
            <w:rFonts w:ascii="Times New Roman" w:hAnsi="Times New Roman" w:cs="Times New Roman"/>
            <w:i/>
            <w:iCs/>
            <w:color w:val="auto"/>
            <w:sz w:val="22"/>
            <w:szCs w:val="22"/>
            <w:u w:val="none"/>
          </w:rPr>
          <w:t>Safer Technologies and Alternatives Analysis (STAA)</w:t>
        </w:r>
      </w:hyperlink>
      <w:r w:rsidR="00EA2B92">
        <w:rPr>
          <w:rStyle w:val="Hyperlink"/>
          <w:rFonts w:ascii="Times New Roman" w:hAnsi="Times New Roman" w:cs="Times New Roman"/>
          <w:i/>
          <w:iCs/>
          <w:color w:val="auto"/>
          <w:sz w:val="22"/>
          <w:szCs w:val="22"/>
          <w:u w:val="none"/>
        </w:rPr>
        <w:t xml:space="preserve"> </w:t>
      </w:r>
      <w:r w:rsidRPr="009929B8" w:rsidR="00EA2B92">
        <w:rPr>
          <w:rFonts w:ascii="Times New Roman" w:hAnsi="Times New Roman" w:cs="Times New Roman"/>
          <w:i/>
        </w:rPr>
        <w:t>—</w:t>
      </w:r>
      <w:r w:rsidRPr="009929B8" w:rsidR="000B0389">
        <w:rPr>
          <w:rStyle w:val="Hyperlink"/>
          <w:rFonts w:ascii="Times New Roman" w:hAnsi="Times New Roman" w:cs="Times New Roman"/>
          <w:i/>
          <w:color w:val="auto"/>
          <w:sz w:val="22"/>
          <w:szCs w:val="22"/>
          <w:u w:val="none"/>
        </w:rPr>
        <w:t xml:space="preserve"> </w:t>
      </w:r>
      <w:r w:rsidRPr="009929B8" w:rsidR="000B0389">
        <w:rPr>
          <w:rFonts w:ascii="Times New Roman" w:hAnsi="Times New Roman" w:cs="Times New Roman"/>
          <w:i/>
          <w:sz w:val="22"/>
          <w:szCs w:val="22"/>
        </w:rPr>
        <w:t>(Proposed revisions apply to §68.3 and §68.67)</w:t>
      </w:r>
      <w:r w:rsidRPr="009929B8" w:rsidR="00E80E2C">
        <w:rPr>
          <w:rFonts w:ascii="Times New Roman" w:hAnsi="Times New Roman" w:cs="Times New Roman"/>
          <w:i/>
          <w:sz w:val="22"/>
          <w:szCs w:val="22"/>
        </w:rPr>
        <w:t xml:space="preserve">: </w:t>
      </w:r>
    </w:p>
    <w:p w:rsidRPr="009929B8" w:rsidR="000B0389" w:rsidP="009929B8" w:rsidRDefault="00C27315" w14:paraId="140D4A5A" w14:textId="00F2ADCF">
      <w:pPr>
        <w:pStyle w:val="TOC4"/>
        <w:spacing w:line="240" w:lineRule="auto"/>
        <w:ind w:left="0"/>
        <w:rPr>
          <w:rFonts w:ascii="Times New Roman" w:hAnsi="Times New Roman" w:cs="Times New Roman"/>
          <w:i/>
          <w:sz w:val="22"/>
          <w:szCs w:val="22"/>
        </w:rPr>
      </w:pPr>
      <w:r>
        <w:rPr>
          <w:rFonts w:ascii="Times New Roman" w:hAnsi="Times New Roman" w:cs="Times New Roman"/>
          <w:i/>
          <w:sz w:val="22"/>
          <w:szCs w:val="22"/>
        </w:rPr>
        <w:tab/>
      </w:r>
      <w:r w:rsidR="008E5A42">
        <w:rPr>
          <w:rFonts w:ascii="Times New Roman" w:hAnsi="Times New Roman" w:cs="Times New Roman"/>
          <w:sz w:val="22"/>
          <w:szCs w:val="22"/>
        </w:rPr>
        <w:t xml:space="preserve">The </w:t>
      </w:r>
      <w:r w:rsidRPr="009929B8" w:rsidR="000B0389">
        <w:rPr>
          <w:rFonts w:ascii="Times New Roman" w:hAnsi="Times New Roman" w:cs="Times New Roman"/>
          <w:sz w:val="22"/>
          <w:szCs w:val="22"/>
        </w:rPr>
        <w:t>proposed rule</w:t>
      </w:r>
      <w:r w:rsidR="008E5A42">
        <w:rPr>
          <w:rFonts w:ascii="Times New Roman" w:hAnsi="Times New Roman" w:cs="Times New Roman"/>
          <w:sz w:val="22"/>
          <w:szCs w:val="22"/>
        </w:rPr>
        <w:t xml:space="preserve"> would require</w:t>
      </w:r>
      <w:r w:rsidRPr="009929B8" w:rsidR="000B0389">
        <w:rPr>
          <w:rFonts w:ascii="Times New Roman" w:hAnsi="Times New Roman" w:cs="Times New Roman"/>
          <w:sz w:val="22"/>
          <w:szCs w:val="22"/>
        </w:rPr>
        <w:t xml:space="preserve"> facilities with Program 3 processes in NAICS codes 324 and 325, located within one mile of another facility having a process in NAICS code 324 or 325</w:t>
      </w:r>
      <w:r w:rsidR="008E5A42">
        <w:rPr>
          <w:rFonts w:ascii="Times New Roman" w:hAnsi="Times New Roman" w:cs="Times New Roman"/>
          <w:sz w:val="22"/>
          <w:szCs w:val="22"/>
        </w:rPr>
        <w:t xml:space="preserve">, </w:t>
      </w:r>
      <w:r w:rsidRPr="009929B8" w:rsidR="000B0389">
        <w:rPr>
          <w:rFonts w:ascii="Times New Roman" w:hAnsi="Times New Roman" w:cs="Times New Roman"/>
          <w:sz w:val="22"/>
          <w:szCs w:val="22"/>
        </w:rPr>
        <w:t xml:space="preserve">to conduct a STAA. The proposed rule would also require that all facilities in NAICS 324 using hydrofluoric acid (HF) in an alkylation unit (approximately 45 facilities) conduct a STAA to consider safer alternatives to HF alkylation, regardless of proximity to another NAICS 324- or 325-regulated facility. The STAA requirement includes two parts: the initial analysis to identify alternatives, and a practicability study (also referred to in the literature as a feasibility study), to determine the costs and assess the reasonableness of implementing technology alternatives. </w:t>
      </w:r>
    </w:p>
    <w:p w:rsidRPr="00C2595C" w:rsidR="007A2A7D" w:rsidP="009929B8" w:rsidRDefault="007A2A7D" w14:paraId="6C0B06FB" w14:textId="52A55089">
      <w:pPr>
        <w:autoSpaceDE w:val="0"/>
        <w:autoSpaceDN w:val="0"/>
        <w:adjustRightInd w:val="0"/>
        <w:spacing w:after="0" w:line="240" w:lineRule="auto"/>
        <w:rPr>
          <w:rFonts w:ascii="Times New Roman" w:hAnsi="Times New Roman" w:cs="Times New Roman"/>
        </w:rPr>
      </w:pPr>
    </w:p>
    <w:p w:rsidR="001C0BAE" w:rsidP="009929B8" w:rsidRDefault="00024031" w14:paraId="578EA95B" w14:textId="6751C322">
      <w:pPr>
        <w:autoSpaceDE w:val="0"/>
        <w:autoSpaceDN w:val="0"/>
        <w:adjustRightInd w:val="0"/>
        <w:spacing w:after="0" w:line="240" w:lineRule="auto"/>
        <w:rPr>
          <w:rFonts w:ascii="Times New Roman" w:hAnsi="Times New Roman" w:cs="Times New Roman"/>
          <w:i/>
        </w:rPr>
      </w:pPr>
      <w:hyperlink w:anchor="_Toc99604143">
        <w:r w:rsidRPr="26602F1C" w:rsidR="2526989B">
          <w:rPr>
            <w:rStyle w:val="Hyperlink"/>
            <w:rFonts w:ascii="Times New Roman" w:hAnsi="Times New Roman" w:cs="Times New Roman"/>
            <w:i/>
            <w:iCs/>
            <w:color w:val="auto"/>
            <w:u w:val="none"/>
          </w:rPr>
          <w:t xml:space="preserve">Root Cause Analysis </w:t>
        </w:r>
      </w:hyperlink>
      <w:r w:rsidRPr="009929B8" w:rsidR="000B0389">
        <w:rPr>
          <w:rFonts w:ascii="Times New Roman" w:hAnsi="Times New Roman" w:cs="Times New Roman"/>
          <w:i/>
        </w:rPr>
        <w:t>— (Proposed revisions apply to §§68.60 and 68.81)</w:t>
      </w:r>
      <w:r w:rsidR="001C0BAE">
        <w:rPr>
          <w:rFonts w:ascii="Times New Roman" w:hAnsi="Times New Roman" w:cs="Times New Roman"/>
          <w:i/>
        </w:rPr>
        <w:t>:</w:t>
      </w:r>
    </w:p>
    <w:p w:rsidRPr="009929B8" w:rsidR="009929B8" w:rsidP="009929B8" w:rsidRDefault="001C0BAE" w14:paraId="155E9594" w14:textId="1703EF50">
      <w:pPr>
        <w:autoSpaceDE w:val="0"/>
        <w:autoSpaceDN w:val="0"/>
        <w:adjustRightInd w:val="0"/>
        <w:spacing w:after="0" w:line="240" w:lineRule="auto"/>
        <w:rPr>
          <w:rFonts w:ascii="Times New Roman" w:hAnsi="Times New Roman" w:cs="Times New Roman"/>
        </w:rPr>
      </w:pPr>
      <w:r>
        <w:rPr>
          <w:rFonts w:ascii="Times New Roman" w:hAnsi="Times New Roman" w:cs="Times New Roman"/>
          <w:i/>
        </w:rPr>
        <w:tab/>
      </w:r>
      <w:r w:rsidRPr="009929B8" w:rsidR="00E80E2C">
        <w:rPr>
          <w:rFonts w:ascii="Times New Roman" w:hAnsi="Times New Roman" w:cs="Times New Roman"/>
          <w:i/>
        </w:rPr>
        <w:t xml:space="preserve"> </w:t>
      </w:r>
      <w:r w:rsidRPr="009929B8" w:rsidR="000B0389">
        <w:rPr>
          <w:rFonts w:ascii="Times New Roman" w:hAnsi="Times New Roman" w:cs="Times New Roman"/>
        </w:rPr>
        <w:t>The proposed rule would require Program 2 and Program 3 facilities to conduct a root cause analysis as part of an incident investigation following an RMP-reportable accident. A root cause analysis is a formal process to identify underlying reasons for failures that lead to accidental releases. These analyses usually require staff trained in the technique.</w:t>
      </w:r>
    </w:p>
    <w:p w:rsidR="009929B8" w:rsidP="009929B8" w:rsidRDefault="009929B8" w14:paraId="0ADC36B4" w14:textId="77777777">
      <w:pPr>
        <w:autoSpaceDE w:val="0"/>
        <w:autoSpaceDN w:val="0"/>
        <w:adjustRightInd w:val="0"/>
        <w:spacing w:after="0" w:line="240" w:lineRule="auto"/>
        <w:rPr>
          <w:rFonts w:ascii="Times New Roman" w:hAnsi="Times New Roman" w:cs="Times New Roman"/>
        </w:rPr>
      </w:pPr>
    </w:p>
    <w:p w:rsidR="00563796" w:rsidP="009929B8" w:rsidRDefault="00024031" w14:paraId="75265C5E" w14:textId="2BCE292E">
      <w:pPr>
        <w:autoSpaceDE w:val="0"/>
        <w:autoSpaceDN w:val="0"/>
        <w:adjustRightInd w:val="0"/>
        <w:spacing w:after="0" w:line="240" w:lineRule="auto"/>
        <w:rPr>
          <w:rFonts w:ascii="Times New Roman" w:hAnsi="Times New Roman" w:cs="Times New Roman"/>
          <w:i/>
        </w:rPr>
      </w:pPr>
      <w:hyperlink w:history="1" w:anchor="_Toc99604149">
        <w:r w:rsidRPr="009929B8" w:rsidR="000B0389">
          <w:rPr>
            <w:rStyle w:val="Hyperlink"/>
            <w:rFonts w:ascii="Times New Roman" w:hAnsi="Times New Roman" w:cs="Times New Roman"/>
            <w:i/>
            <w:color w:val="auto"/>
            <w:u w:val="none"/>
          </w:rPr>
          <w:t>Third-Party Compliance Audits</w:t>
        </w:r>
      </w:hyperlink>
      <w:r w:rsidRPr="009929B8" w:rsidR="000B0389">
        <w:rPr>
          <w:rStyle w:val="Hyperlink"/>
          <w:rFonts w:ascii="Times New Roman" w:hAnsi="Times New Roman" w:cs="Times New Roman"/>
          <w:i/>
          <w:iCs/>
          <w:noProof/>
          <w:color w:val="auto"/>
          <w:u w:val="none"/>
        </w:rPr>
        <w:t xml:space="preserve"> </w:t>
      </w:r>
      <w:r w:rsidRPr="009929B8" w:rsidR="00EA2B92">
        <w:rPr>
          <w:rFonts w:ascii="Times New Roman" w:hAnsi="Times New Roman" w:cs="Times New Roman"/>
          <w:i/>
        </w:rPr>
        <w:t xml:space="preserve">— </w:t>
      </w:r>
      <w:r w:rsidRPr="009929B8" w:rsidR="00B175C9">
        <w:rPr>
          <w:rFonts w:ascii="Times New Roman" w:hAnsi="Times New Roman" w:cs="Times New Roman"/>
          <w:i/>
        </w:rPr>
        <w:t>(Proposed revisions apply to §§68.58 and 68.79 and new §§68.59 and 68.80)</w:t>
      </w:r>
      <w:bookmarkStart w:name="_Hlk99030270" w:id="2"/>
      <w:r w:rsidRPr="009929B8" w:rsidR="00E80E2C">
        <w:rPr>
          <w:rFonts w:ascii="Times New Roman" w:hAnsi="Times New Roman" w:cs="Times New Roman"/>
          <w:i/>
        </w:rPr>
        <w:t xml:space="preserve">: </w:t>
      </w:r>
    </w:p>
    <w:p w:rsidR="00E80E2C" w:rsidP="009929B8" w:rsidRDefault="00704BC0" w14:paraId="3757CA6D" w14:textId="452274F3">
      <w:pPr>
        <w:autoSpaceDE w:val="0"/>
        <w:autoSpaceDN w:val="0"/>
        <w:adjustRightInd w:val="0"/>
        <w:spacing w:after="0" w:line="240" w:lineRule="auto"/>
        <w:rPr>
          <w:rFonts w:ascii="Times New Roman" w:hAnsi="Times New Roman" w:cs="Times New Roman"/>
        </w:rPr>
      </w:pPr>
      <w:r>
        <w:rPr>
          <w:rFonts w:ascii="Times New Roman" w:hAnsi="Times New Roman" w:cs="Times New Roman"/>
          <w:i/>
        </w:rPr>
        <w:tab/>
      </w:r>
      <w:r>
        <w:rPr>
          <w:rFonts w:ascii="Times New Roman" w:hAnsi="Times New Roman" w:cs="Times New Roman"/>
          <w:iCs/>
        </w:rPr>
        <w:t>T</w:t>
      </w:r>
      <w:r w:rsidRPr="009929B8" w:rsidR="0097283A">
        <w:rPr>
          <w:rFonts w:ascii="Times New Roman" w:hAnsi="Times New Roman" w:cs="Times New Roman"/>
        </w:rPr>
        <w:t>he proposed rule</w:t>
      </w:r>
      <w:r>
        <w:rPr>
          <w:rFonts w:ascii="Times New Roman" w:hAnsi="Times New Roman" w:cs="Times New Roman"/>
        </w:rPr>
        <w:t xml:space="preserve"> would require facilities with </w:t>
      </w:r>
      <w:r w:rsidRPr="009929B8" w:rsidR="00DD02BE">
        <w:rPr>
          <w:rFonts w:ascii="Times New Roman" w:hAnsi="Times New Roman" w:cs="Times New Roman"/>
        </w:rPr>
        <w:t xml:space="preserve">Program 2 and Program 3 </w:t>
      </w:r>
      <w:proofErr w:type="spellStart"/>
      <w:r w:rsidRPr="009929B8" w:rsidR="00DD02BE">
        <w:rPr>
          <w:rFonts w:ascii="Times New Roman" w:hAnsi="Times New Roman" w:cs="Times New Roman"/>
        </w:rPr>
        <w:t>processs</w:t>
      </w:r>
      <w:proofErr w:type="spellEnd"/>
      <w:r>
        <w:rPr>
          <w:rFonts w:ascii="Times New Roman" w:hAnsi="Times New Roman" w:cs="Times New Roman"/>
        </w:rPr>
        <w:t xml:space="preserve"> to have their</w:t>
      </w:r>
      <w:r w:rsidRPr="009929B8" w:rsidR="00DD02BE">
        <w:rPr>
          <w:rFonts w:ascii="Times New Roman" w:hAnsi="Times New Roman" w:cs="Times New Roman"/>
        </w:rPr>
        <w:t xml:space="preserve"> </w:t>
      </w:r>
      <w:r w:rsidRPr="009929B8" w:rsidR="00305BC9">
        <w:rPr>
          <w:rFonts w:ascii="Times New Roman" w:hAnsi="Times New Roman" w:cs="Times New Roman"/>
        </w:rPr>
        <w:t xml:space="preserve">next </w:t>
      </w:r>
      <w:r w:rsidRPr="009929B8" w:rsidR="007838BD">
        <w:rPr>
          <w:rFonts w:ascii="Times New Roman" w:hAnsi="Times New Roman" w:cs="Times New Roman"/>
        </w:rPr>
        <w:t>scheduled</w:t>
      </w:r>
      <w:r w:rsidRPr="009929B8" w:rsidR="00305BC9">
        <w:rPr>
          <w:rFonts w:ascii="Times New Roman" w:hAnsi="Times New Roman" w:cs="Times New Roman"/>
        </w:rPr>
        <w:t xml:space="preserve"> compliance audit</w:t>
      </w:r>
      <w:r>
        <w:rPr>
          <w:rFonts w:ascii="Times New Roman" w:hAnsi="Times New Roman" w:cs="Times New Roman"/>
        </w:rPr>
        <w:t xml:space="preserve"> (currently required once every three years)</w:t>
      </w:r>
      <w:r w:rsidRPr="009929B8" w:rsidR="00305BC9">
        <w:rPr>
          <w:rFonts w:ascii="Times New Roman" w:hAnsi="Times New Roman" w:cs="Times New Roman"/>
        </w:rPr>
        <w:t xml:space="preserve"> be a third-party audit when </w:t>
      </w:r>
      <w:r w:rsidRPr="009929B8" w:rsidR="00AE1BC6">
        <w:rPr>
          <w:rFonts w:ascii="Times New Roman" w:hAnsi="Times New Roman" w:cs="Times New Roman"/>
        </w:rPr>
        <w:t xml:space="preserve">at least </w:t>
      </w:r>
      <w:r w:rsidRPr="009929B8" w:rsidR="00305BC9">
        <w:rPr>
          <w:rFonts w:ascii="Times New Roman" w:hAnsi="Times New Roman" w:cs="Times New Roman"/>
        </w:rPr>
        <w:t xml:space="preserve">one of the following conditions applies: </w:t>
      </w:r>
    </w:p>
    <w:p w:rsidRPr="009929B8" w:rsidR="002E3428" w:rsidP="009929B8" w:rsidRDefault="002E3428" w14:paraId="3A6571AE" w14:textId="77777777">
      <w:pPr>
        <w:autoSpaceDE w:val="0"/>
        <w:autoSpaceDN w:val="0"/>
        <w:adjustRightInd w:val="0"/>
        <w:spacing w:after="0" w:line="240" w:lineRule="auto"/>
        <w:rPr>
          <w:rFonts w:ascii="Times New Roman" w:hAnsi="Times New Roman" w:cs="Times New Roman"/>
        </w:rPr>
      </w:pPr>
    </w:p>
    <w:p w:rsidRPr="009929B8" w:rsidR="00E80E2C" w:rsidP="00C2595C" w:rsidRDefault="00E80E2C" w14:paraId="14DBC122" w14:textId="7909220E">
      <w:pPr>
        <w:pStyle w:val="ListParagraph"/>
        <w:numPr>
          <w:ilvl w:val="0"/>
          <w:numId w:val="24"/>
        </w:numPr>
        <w:spacing w:after="0" w:line="240" w:lineRule="auto"/>
        <w:rPr>
          <w:rFonts w:ascii="Times New Roman" w:hAnsi="Times New Roman" w:cs="Times New Roman"/>
        </w:rPr>
      </w:pPr>
      <w:r w:rsidRPr="009929B8">
        <w:rPr>
          <w:rFonts w:ascii="Times New Roman" w:hAnsi="Times New Roman" w:cs="Times New Roman"/>
        </w:rPr>
        <w:t xml:space="preserve">The </w:t>
      </w:r>
      <w:r w:rsidRPr="009929B8" w:rsidR="009B7237">
        <w:rPr>
          <w:rFonts w:ascii="Times New Roman" w:hAnsi="Times New Roman" w:cs="Times New Roman"/>
        </w:rPr>
        <w:t xml:space="preserve">facility has had </w:t>
      </w:r>
      <w:r w:rsidRPr="009929B8" w:rsidR="003D7447">
        <w:rPr>
          <w:rFonts w:ascii="Times New Roman" w:hAnsi="Times New Roman" w:cs="Times New Roman"/>
        </w:rPr>
        <w:t>t</w:t>
      </w:r>
      <w:r w:rsidRPr="009929B8" w:rsidR="00305BC9">
        <w:rPr>
          <w:rFonts w:ascii="Times New Roman" w:hAnsi="Times New Roman" w:cs="Times New Roman"/>
        </w:rPr>
        <w:t>wo</w:t>
      </w:r>
      <w:r w:rsidRPr="009929B8" w:rsidR="003D7447">
        <w:rPr>
          <w:rFonts w:ascii="Times New Roman" w:hAnsi="Times New Roman" w:cs="Times New Roman"/>
        </w:rPr>
        <w:t xml:space="preserve"> RMP-reportable</w:t>
      </w:r>
      <w:r w:rsidRPr="009929B8" w:rsidR="00305BC9">
        <w:rPr>
          <w:rFonts w:ascii="Times New Roman" w:hAnsi="Times New Roman" w:cs="Times New Roman"/>
        </w:rPr>
        <w:t xml:space="preserve"> </w:t>
      </w:r>
      <w:r w:rsidRPr="009929B8" w:rsidR="00270FDF">
        <w:rPr>
          <w:rFonts w:ascii="Times New Roman" w:hAnsi="Times New Roman" w:cs="Times New Roman"/>
        </w:rPr>
        <w:t>accidents</w:t>
      </w:r>
      <w:r w:rsidRPr="009929B8" w:rsidR="00305BC9">
        <w:rPr>
          <w:rFonts w:ascii="Times New Roman" w:hAnsi="Times New Roman" w:cs="Times New Roman"/>
        </w:rPr>
        <w:t xml:space="preserve"> within </w:t>
      </w:r>
      <w:r w:rsidRPr="009929B8" w:rsidR="00720FA0">
        <w:rPr>
          <w:rFonts w:ascii="Times New Roman" w:hAnsi="Times New Roman" w:cs="Times New Roman"/>
        </w:rPr>
        <w:t xml:space="preserve">the past </w:t>
      </w:r>
      <w:r w:rsidRPr="009929B8" w:rsidR="00305BC9">
        <w:rPr>
          <w:rFonts w:ascii="Times New Roman" w:hAnsi="Times New Roman" w:cs="Times New Roman"/>
        </w:rPr>
        <w:t>five years; or</w:t>
      </w:r>
    </w:p>
    <w:p w:rsidRPr="009929B8" w:rsidR="00E80E2C" w:rsidP="00C2595C" w:rsidRDefault="007479B8" w14:paraId="0620FFE9" w14:textId="2BD86D64">
      <w:pPr>
        <w:pStyle w:val="ListParagraph"/>
        <w:numPr>
          <w:ilvl w:val="0"/>
          <w:numId w:val="24"/>
        </w:numPr>
        <w:spacing w:after="0" w:line="240" w:lineRule="auto"/>
        <w:rPr>
          <w:rFonts w:ascii="Times New Roman" w:hAnsi="Times New Roman" w:cs="Times New Roman"/>
        </w:rPr>
      </w:pPr>
      <w:r w:rsidRPr="009929B8">
        <w:rPr>
          <w:rFonts w:ascii="Times New Roman" w:hAnsi="Times New Roman" w:cs="Times New Roman"/>
        </w:rPr>
        <w:t xml:space="preserve">The facility has had </w:t>
      </w:r>
      <w:r w:rsidRPr="009929B8" w:rsidR="003D7447">
        <w:rPr>
          <w:rFonts w:ascii="Times New Roman" w:hAnsi="Times New Roman" w:cs="Times New Roman"/>
        </w:rPr>
        <w:t>o</w:t>
      </w:r>
      <w:r w:rsidRPr="009929B8" w:rsidR="00305BC9">
        <w:rPr>
          <w:rFonts w:ascii="Times New Roman" w:hAnsi="Times New Roman" w:cs="Times New Roman"/>
        </w:rPr>
        <w:t xml:space="preserve">ne </w:t>
      </w:r>
      <w:r w:rsidRPr="009929B8" w:rsidR="003D7447">
        <w:rPr>
          <w:rFonts w:ascii="Times New Roman" w:hAnsi="Times New Roman" w:cs="Times New Roman"/>
        </w:rPr>
        <w:t xml:space="preserve">RMP-reportable </w:t>
      </w:r>
      <w:r w:rsidRPr="009929B8" w:rsidR="00270FDF">
        <w:rPr>
          <w:rFonts w:ascii="Times New Roman" w:hAnsi="Times New Roman" w:cs="Times New Roman"/>
        </w:rPr>
        <w:t>accident</w:t>
      </w:r>
      <w:r w:rsidRPr="009929B8" w:rsidR="00305BC9">
        <w:rPr>
          <w:rFonts w:ascii="Times New Roman" w:hAnsi="Times New Roman" w:cs="Times New Roman"/>
        </w:rPr>
        <w:t xml:space="preserve"> </w:t>
      </w:r>
      <w:r w:rsidRPr="009929B8" w:rsidR="00593B82">
        <w:rPr>
          <w:rFonts w:ascii="Times New Roman" w:hAnsi="Times New Roman" w:cs="Times New Roman"/>
        </w:rPr>
        <w:t xml:space="preserve">from a </w:t>
      </w:r>
      <w:r w:rsidR="008C4C21">
        <w:rPr>
          <w:rFonts w:ascii="Times New Roman" w:hAnsi="Times New Roman" w:cs="Times New Roman"/>
        </w:rPr>
        <w:t xml:space="preserve">Program 3 </w:t>
      </w:r>
      <w:r w:rsidRPr="009929B8" w:rsidR="00593B82">
        <w:rPr>
          <w:rFonts w:ascii="Times New Roman" w:hAnsi="Times New Roman" w:cs="Times New Roman"/>
        </w:rPr>
        <w:t xml:space="preserve">covered process at a </w:t>
      </w:r>
      <w:r w:rsidRPr="009929B8" w:rsidR="00354D92">
        <w:rPr>
          <w:rFonts w:ascii="Times New Roman" w:hAnsi="Times New Roman" w:cs="Times New Roman"/>
        </w:rPr>
        <w:t>facility</w:t>
      </w:r>
      <w:r w:rsidRPr="009929B8" w:rsidR="00593B82">
        <w:rPr>
          <w:rFonts w:ascii="Times New Roman" w:hAnsi="Times New Roman" w:cs="Times New Roman"/>
        </w:rPr>
        <w:t xml:space="preserve"> in NAICS code 324 or 325</w:t>
      </w:r>
      <w:r w:rsidRPr="009929B8">
        <w:rPr>
          <w:rFonts w:ascii="Times New Roman" w:hAnsi="Times New Roman" w:cs="Times New Roman"/>
        </w:rPr>
        <w:t xml:space="preserve"> within </w:t>
      </w:r>
      <w:r w:rsidRPr="009929B8" w:rsidR="00720FA0">
        <w:rPr>
          <w:rFonts w:ascii="Times New Roman" w:hAnsi="Times New Roman" w:cs="Times New Roman"/>
        </w:rPr>
        <w:t xml:space="preserve">the past </w:t>
      </w:r>
      <w:r w:rsidRPr="009929B8">
        <w:rPr>
          <w:rFonts w:ascii="Times New Roman" w:hAnsi="Times New Roman" w:cs="Times New Roman"/>
        </w:rPr>
        <w:t>five years</w:t>
      </w:r>
      <w:r w:rsidRPr="009929B8" w:rsidR="00593B82">
        <w:rPr>
          <w:rFonts w:ascii="Times New Roman" w:hAnsi="Times New Roman" w:cs="Times New Roman"/>
        </w:rPr>
        <w:t>, located within</w:t>
      </w:r>
      <w:r w:rsidRPr="009929B8" w:rsidR="006647B0">
        <w:rPr>
          <w:rFonts w:ascii="Times New Roman" w:hAnsi="Times New Roman" w:cs="Times New Roman"/>
        </w:rPr>
        <w:t xml:space="preserve"> one mile</w:t>
      </w:r>
      <w:r w:rsidRPr="009929B8" w:rsidR="00593B82">
        <w:rPr>
          <w:rFonts w:ascii="Times New Roman" w:hAnsi="Times New Roman" w:cs="Times New Roman"/>
        </w:rPr>
        <w:t xml:space="preserve"> of another </w:t>
      </w:r>
      <w:r w:rsidRPr="009929B8" w:rsidR="00354D92">
        <w:rPr>
          <w:rFonts w:ascii="Times New Roman" w:hAnsi="Times New Roman" w:cs="Times New Roman"/>
        </w:rPr>
        <w:t>facility</w:t>
      </w:r>
      <w:r w:rsidRPr="009929B8" w:rsidR="00593B82">
        <w:rPr>
          <w:rFonts w:ascii="Times New Roman" w:hAnsi="Times New Roman" w:cs="Times New Roman"/>
        </w:rPr>
        <w:t xml:space="preserve"> having a process in NAICS code 324 or </w:t>
      </w:r>
      <w:proofErr w:type="gramStart"/>
      <w:r w:rsidRPr="009929B8" w:rsidR="00593B82">
        <w:rPr>
          <w:rFonts w:ascii="Times New Roman" w:hAnsi="Times New Roman" w:cs="Times New Roman"/>
        </w:rPr>
        <w:t>325</w:t>
      </w:r>
      <w:r w:rsidRPr="009929B8" w:rsidR="00305BC9">
        <w:rPr>
          <w:rFonts w:ascii="Times New Roman" w:hAnsi="Times New Roman" w:cs="Times New Roman"/>
        </w:rPr>
        <w:t>;</w:t>
      </w:r>
      <w:proofErr w:type="gramEnd"/>
      <w:r w:rsidRPr="009929B8" w:rsidR="00305BC9">
        <w:rPr>
          <w:rFonts w:ascii="Times New Roman" w:hAnsi="Times New Roman" w:cs="Times New Roman"/>
        </w:rPr>
        <w:t xml:space="preserve"> or</w:t>
      </w:r>
    </w:p>
    <w:p w:rsidRPr="00BC41AD" w:rsidR="00BC41AD" w:rsidP="00BC41AD" w:rsidRDefault="0097283A" w14:paraId="10F86F11" w14:textId="7BAB706A">
      <w:pPr>
        <w:pStyle w:val="ListParagraph"/>
        <w:numPr>
          <w:ilvl w:val="0"/>
          <w:numId w:val="24"/>
        </w:numPr>
        <w:spacing w:after="0" w:line="240" w:lineRule="auto"/>
        <w:rPr>
          <w:rFonts w:ascii="Times New Roman" w:hAnsi="Times New Roman" w:cs="Times New Roman"/>
        </w:rPr>
      </w:pPr>
      <w:r w:rsidRPr="009929B8">
        <w:rPr>
          <w:rFonts w:ascii="Times New Roman" w:hAnsi="Times New Roman" w:cs="Times New Roman"/>
        </w:rPr>
        <w:t>A</w:t>
      </w:r>
      <w:r w:rsidRPr="009929B8" w:rsidR="00305BC9">
        <w:rPr>
          <w:rFonts w:ascii="Times New Roman" w:hAnsi="Times New Roman" w:cs="Times New Roman"/>
        </w:rPr>
        <w:t xml:space="preserve">n implementing agency requires a third-party audit due to conditions at the </w:t>
      </w:r>
      <w:r w:rsidRPr="009929B8" w:rsidR="00354D92">
        <w:rPr>
          <w:rFonts w:ascii="Times New Roman" w:hAnsi="Times New Roman" w:cs="Times New Roman"/>
        </w:rPr>
        <w:t>facility</w:t>
      </w:r>
      <w:r w:rsidRPr="009929B8" w:rsidR="00305BC9">
        <w:rPr>
          <w:rFonts w:ascii="Times New Roman" w:hAnsi="Times New Roman" w:cs="Times New Roman"/>
        </w:rPr>
        <w:t xml:space="preserve"> that could lead to an accidental release of a regulated substance, or when a previous third-party audit failed to meet the competency or independence criteria of § 68.80(c)</w:t>
      </w:r>
      <w:bookmarkEnd w:id="2"/>
      <w:r w:rsidRPr="009929B8" w:rsidR="00305BC9">
        <w:rPr>
          <w:rFonts w:ascii="Times New Roman" w:hAnsi="Times New Roman" w:cs="Times New Roman"/>
        </w:rPr>
        <w:t>.</w:t>
      </w:r>
    </w:p>
    <w:p w:rsidRPr="009929B8" w:rsidR="00EE068C" w:rsidP="00EE068C" w:rsidRDefault="00EE068C" w14:paraId="1C83F275" w14:textId="77777777">
      <w:pPr>
        <w:pStyle w:val="ListParagraph"/>
        <w:spacing w:after="0" w:line="240" w:lineRule="auto"/>
        <w:ind w:left="1080"/>
        <w:rPr>
          <w:rFonts w:ascii="Times New Roman" w:hAnsi="Times New Roman" w:cs="Times New Roman"/>
        </w:rPr>
      </w:pPr>
    </w:p>
    <w:p w:rsidRPr="009929B8" w:rsidR="00B175C9" w:rsidP="00C2595C" w:rsidRDefault="00B175C9" w14:paraId="70B8DBC7" w14:textId="4AB581AB">
      <w:pPr>
        <w:spacing w:after="0" w:line="240" w:lineRule="auto"/>
        <w:rPr>
          <w:rFonts w:ascii="Times New Roman" w:hAnsi="Times New Roman" w:cs="Times New Roman"/>
        </w:rPr>
      </w:pPr>
      <w:r w:rsidRPr="009929B8">
        <w:rPr>
          <w:rFonts w:ascii="Times New Roman" w:hAnsi="Times New Roman" w:cs="Times New Roman"/>
          <w:i/>
        </w:rPr>
        <w:t>Employee Participation— (Proposed revisions apply to §68.83</w:t>
      </w:r>
      <w:r w:rsidRPr="009929B8" w:rsidR="00482C54">
        <w:rPr>
          <w:rFonts w:ascii="Times New Roman" w:hAnsi="Times New Roman" w:cs="Times New Roman"/>
          <w:i/>
        </w:rPr>
        <w:t xml:space="preserve"> and new §§68.62</w:t>
      </w:r>
      <w:r w:rsidRPr="009929B8">
        <w:rPr>
          <w:rFonts w:ascii="Times New Roman" w:hAnsi="Times New Roman" w:cs="Times New Roman"/>
          <w:i/>
        </w:rPr>
        <w:t>)</w:t>
      </w:r>
    </w:p>
    <w:p w:rsidRPr="00C2595C" w:rsidR="0097283A" w:rsidP="009929B8" w:rsidRDefault="00563796" w14:paraId="4D20BE24" w14:textId="1077E476">
      <w:pPr>
        <w:spacing w:after="0" w:line="240" w:lineRule="auto"/>
        <w:rPr>
          <w:rFonts w:ascii="Times New Roman" w:hAnsi="Times New Roman" w:cs="Times New Roman"/>
        </w:rPr>
      </w:pPr>
      <w:bookmarkStart w:name="_Hlk99030723" w:id="3"/>
      <w:r>
        <w:rPr>
          <w:rFonts w:ascii="Times New Roman" w:hAnsi="Times New Roman" w:cs="Times New Roman"/>
        </w:rPr>
        <w:tab/>
      </w:r>
      <w:r w:rsidRPr="00C2595C" w:rsidR="00B175C9">
        <w:rPr>
          <w:rFonts w:ascii="Times New Roman" w:hAnsi="Times New Roman" w:cs="Times New Roman"/>
        </w:rPr>
        <w:t>The proposed rule would revise</w:t>
      </w:r>
      <w:r w:rsidRPr="00C2595C" w:rsidR="00C66EE7">
        <w:rPr>
          <w:rFonts w:ascii="Times New Roman" w:hAnsi="Times New Roman" w:cs="Times New Roman"/>
        </w:rPr>
        <w:t xml:space="preserve"> employee participation requirements in three ways</w:t>
      </w:r>
      <w:r w:rsidRPr="00C2595C" w:rsidR="0097283A">
        <w:rPr>
          <w:rFonts w:ascii="Times New Roman" w:hAnsi="Times New Roman" w:cs="Times New Roman"/>
        </w:rPr>
        <w:t>:</w:t>
      </w:r>
    </w:p>
    <w:p w:rsidRPr="00C2595C" w:rsidR="0097283A" w:rsidP="00E80E2C" w:rsidRDefault="0097283A" w14:paraId="5E4A1DAF" w14:textId="698CF225">
      <w:pPr>
        <w:pStyle w:val="ListParagraph"/>
        <w:numPr>
          <w:ilvl w:val="0"/>
          <w:numId w:val="15"/>
        </w:numPr>
        <w:spacing w:after="0" w:line="240" w:lineRule="auto"/>
        <w:rPr>
          <w:rFonts w:ascii="Times New Roman" w:hAnsi="Times New Roman" w:cs="Times New Roman"/>
        </w:rPr>
      </w:pPr>
      <w:r w:rsidRPr="00C2595C">
        <w:rPr>
          <w:rFonts w:ascii="Times New Roman" w:hAnsi="Times New Roman" w:cs="Times New Roman"/>
        </w:rPr>
        <w:t xml:space="preserve">For Program 3 processes, it </w:t>
      </w:r>
      <w:r w:rsidRPr="00C2595C" w:rsidR="00C66EE7">
        <w:rPr>
          <w:rFonts w:ascii="Times New Roman" w:hAnsi="Times New Roman" w:cs="Times New Roman"/>
        </w:rPr>
        <w:t>would revise</w:t>
      </w:r>
      <w:r w:rsidRPr="00C2595C" w:rsidR="00B175C9">
        <w:rPr>
          <w:rFonts w:ascii="Times New Roman" w:hAnsi="Times New Roman" w:cs="Times New Roman"/>
        </w:rPr>
        <w:t xml:space="preserve"> 40 CFR 68.83 to require that the </w:t>
      </w:r>
      <w:r w:rsidRPr="00C2595C" w:rsidR="00354D92">
        <w:rPr>
          <w:rFonts w:ascii="Times New Roman" w:hAnsi="Times New Roman" w:cs="Times New Roman"/>
        </w:rPr>
        <w:t>employee participation plan</w:t>
      </w:r>
      <w:r w:rsidRPr="00C2595C" w:rsidR="00B175C9">
        <w:rPr>
          <w:rFonts w:ascii="Times New Roman" w:hAnsi="Times New Roman" w:cs="Times New Roman"/>
        </w:rPr>
        <w:t xml:space="preserve"> include consultation of employees and their representatives on addressing, correcting, resolving, documenting, and implementing recommendations</w:t>
      </w:r>
      <w:r w:rsidRPr="00C2595C" w:rsidR="00DF5215">
        <w:rPr>
          <w:rFonts w:ascii="Times New Roman" w:hAnsi="Times New Roman" w:cs="Times New Roman"/>
        </w:rPr>
        <w:t xml:space="preserve"> or findings</w:t>
      </w:r>
      <w:r w:rsidRPr="00C2595C" w:rsidR="00B175C9">
        <w:rPr>
          <w:rFonts w:ascii="Times New Roman" w:hAnsi="Times New Roman" w:cs="Times New Roman"/>
        </w:rPr>
        <w:t xml:space="preserve"> of process hazard analyses, incident investigations, and compliance audits</w:t>
      </w:r>
      <w:r w:rsidRPr="00C2595C" w:rsidR="00167F64">
        <w:rPr>
          <w:rFonts w:ascii="Times New Roman" w:hAnsi="Times New Roman" w:cs="Times New Roman"/>
        </w:rPr>
        <w:t>.</w:t>
      </w:r>
    </w:p>
    <w:p w:rsidRPr="00C2595C" w:rsidR="0097283A" w:rsidP="00C2595C" w:rsidRDefault="0097283A" w14:paraId="29F5815B" w14:textId="62E6752D">
      <w:pPr>
        <w:pStyle w:val="ListParagraph"/>
        <w:numPr>
          <w:ilvl w:val="0"/>
          <w:numId w:val="15"/>
        </w:numPr>
        <w:spacing w:after="0" w:line="240" w:lineRule="auto"/>
        <w:contextualSpacing w:val="0"/>
        <w:rPr>
          <w:rFonts w:ascii="Times New Roman" w:hAnsi="Times New Roman" w:cs="Times New Roman"/>
        </w:rPr>
      </w:pPr>
      <w:r w:rsidRPr="00C2595C">
        <w:rPr>
          <w:rFonts w:ascii="Times New Roman" w:hAnsi="Times New Roman" w:cs="Times New Roman"/>
        </w:rPr>
        <w:t>For Program 3 processes, t</w:t>
      </w:r>
      <w:r w:rsidRPr="00C2595C" w:rsidR="00B175C9">
        <w:rPr>
          <w:rFonts w:ascii="Times New Roman" w:hAnsi="Times New Roman" w:cs="Times New Roman"/>
        </w:rPr>
        <w:t xml:space="preserve">he </w:t>
      </w:r>
      <w:r w:rsidRPr="00C2595C" w:rsidR="00354D92">
        <w:rPr>
          <w:rFonts w:ascii="Times New Roman" w:hAnsi="Times New Roman" w:cs="Times New Roman"/>
        </w:rPr>
        <w:t>employee participation plan</w:t>
      </w:r>
      <w:r w:rsidRPr="00C2595C" w:rsidR="00B175C9">
        <w:rPr>
          <w:rFonts w:ascii="Times New Roman" w:hAnsi="Times New Roman" w:cs="Times New Roman"/>
        </w:rPr>
        <w:t xml:space="preserve"> </w:t>
      </w:r>
      <w:r w:rsidRPr="00C2595C" w:rsidR="00C66EE7">
        <w:rPr>
          <w:rFonts w:ascii="Times New Roman" w:hAnsi="Times New Roman" w:cs="Times New Roman"/>
        </w:rPr>
        <w:t xml:space="preserve">would </w:t>
      </w:r>
      <w:r w:rsidRPr="00C2595C" w:rsidR="00502ECD">
        <w:rPr>
          <w:rFonts w:ascii="Times New Roman" w:hAnsi="Times New Roman" w:cs="Times New Roman"/>
        </w:rPr>
        <w:t>be required to</w:t>
      </w:r>
      <w:r w:rsidRPr="00C2595C" w:rsidR="00C66EE7">
        <w:rPr>
          <w:rFonts w:ascii="Times New Roman" w:hAnsi="Times New Roman" w:cs="Times New Roman"/>
        </w:rPr>
        <w:t xml:space="preserve"> </w:t>
      </w:r>
      <w:r w:rsidRPr="00C2595C" w:rsidR="00B175C9">
        <w:rPr>
          <w:rFonts w:ascii="Times New Roman" w:hAnsi="Times New Roman" w:cs="Times New Roman"/>
        </w:rPr>
        <w:t>ensure</w:t>
      </w:r>
      <w:r w:rsidRPr="00C2595C" w:rsidR="00167F64">
        <w:rPr>
          <w:rFonts w:ascii="Times New Roman" w:hAnsi="Times New Roman" w:cs="Times New Roman"/>
        </w:rPr>
        <w:t xml:space="preserve"> </w:t>
      </w:r>
      <w:r w:rsidRPr="00C2595C" w:rsidR="00B175C9">
        <w:rPr>
          <w:rFonts w:ascii="Times New Roman" w:hAnsi="Times New Roman" w:cs="Times New Roman"/>
        </w:rPr>
        <w:t>that employees and their representatives have specific</w:t>
      </w:r>
      <w:r w:rsidR="00D936AC">
        <w:rPr>
          <w:rFonts w:ascii="Times New Roman" w:hAnsi="Times New Roman" w:cs="Times New Roman"/>
        </w:rPr>
        <w:t xml:space="preserve"> stop work</w:t>
      </w:r>
      <w:r w:rsidRPr="00C2595C" w:rsidR="00B175C9">
        <w:rPr>
          <w:rFonts w:ascii="Times New Roman" w:hAnsi="Times New Roman" w:cs="Times New Roman"/>
        </w:rPr>
        <w:t xml:space="preserve"> authorities</w:t>
      </w:r>
      <w:r w:rsidRPr="00C2595C" w:rsidR="00335B6A">
        <w:rPr>
          <w:rFonts w:ascii="Times New Roman" w:hAnsi="Times New Roman" w:cs="Times New Roman"/>
        </w:rPr>
        <w:t xml:space="preserve"> </w:t>
      </w:r>
      <w:r w:rsidRPr="00C2595C" w:rsidR="00B175C9">
        <w:rPr>
          <w:rFonts w:ascii="Times New Roman" w:hAnsi="Times New Roman" w:cs="Times New Roman"/>
        </w:rPr>
        <w:t xml:space="preserve">based on the potential for a catastrophic release. </w:t>
      </w:r>
    </w:p>
    <w:p w:rsidRPr="00C2595C" w:rsidR="000B0389" w:rsidP="00C2595C" w:rsidRDefault="0097283A" w14:paraId="3DA86F6D" w14:textId="23E17131">
      <w:pPr>
        <w:pStyle w:val="ListParagraph"/>
        <w:numPr>
          <w:ilvl w:val="0"/>
          <w:numId w:val="15"/>
        </w:numPr>
        <w:spacing w:after="0" w:line="240" w:lineRule="auto"/>
        <w:contextualSpacing w:val="0"/>
        <w:rPr>
          <w:rFonts w:ascii="Times New Roman" w:hAnsi="Times New Roman" w:cs="Times New Roman"/>
        </w:rPr>
      </w:pPr>
      <w:r w:rsidRPr="00C2595C">
        <w:rPr>
          <w:rFonts w:ascii="Times New Roman" w:hAnsi="Times New Roman" w:cs="Times New Roman"/>
        </w:rPr>
        <w:t xml:space="preserve">For Program 2 and 3 </w:t>
      </w:r>
      <w:r w:rsidRPr="00C2595C" w:rsidR="00335B6A">
        <w:rPr>
          <w:rFonts w:ascii="Times New Roman" w:hAnsi="Times New Roman" w:cs="Times New Roman"/>
        </w:rPr>
        <w:t>processes</w:t>
      </w:r>
      <w:r w:rsidRPr="00C2595C">
        <w:rPr>
          <w:rFonts w:ascii="Times New Roman" w:hAnsi="Times New Roman" w:cs="Times New Roman"/>
        </w:rPr>
        <w:t xml:space="preserve">, it </w:t>
      </w:r>
      <w:r w:rsidRPr="00C2595C" w:rsidR="00593B82">
        <w:rPr>
          <w:rFonts w:ascii="Times New Roman" w:hAnsi="Times New Roman" w:cs="Times New Roman"/>
        </w:rPr>
        <w:t xml:space="preserve">would </w:t>
      </w:r>
      <w:r w:rsidRPr="00C2595C" w:rsidR="00B175C9">
        <w:rPr>
          <w:rFonts w:ascii="Times New Roman" w:hAnsi="Times New Roman" w:cs="Times New Roman"/>
        </w:rPr>
        <w:t>require</w:t>
      </w:r>
      <w:r w:rsidRPr="00C2595C" w:rsidR="00DF5215">
        <w:rPr>
          <w:rFonts w:ascii="Times New Roman" w:hAnsi="Times New Roman" w:cs="Times New Roman"/>
        </w:rPr>
        <w:t xml:space="preserve"> </w:t>
      </w:r>
      <w:r w:rsidRPr="00C2595C" w:rsidR="00B175C9">
        <w:rPr>
          <w:rFonts w:ascii="Times New Roman" w:hAnsi="Times New Roman" w:cs="Times New Roman"/>
        </w:rPr>
        <w:t>that employee participation plans include in</w:t>
      </w:r>
      <w:r w:rsidRPr="00C2595C" w:rsidR="00335B6A">
        <w:rPr>
          <w:rFonts w:ascii="Times New Roman" w:hAnsi="Times New Roman" w:cs="Times New Roman"/>
        </w:rPr>
        <w:t xml:space="preserve">structions </w:t>
      </w:r>
      <w:r w:rsidRPr="00C2595C" w:rsidR="00B175C9">
        <w:rPr>
          <w:rFonts w:ascii="Times New Roman" w:hAnsi="Times New Roman" w:cs="Times New Roman"/>
        </w:rPr>
        <w:t>for</w:t>
      </w:r>
      <w:r w:rsidRPr="00C2595C" w:rsidR="00335B6A">
        <w:rPr>
          <w:rFonts w:ascii="Times New Roman" w:hAnsi="Times New Roman" w:cs="Times New Roman"/>
        </w:rPr>
        <w:t xml:space="preserve"> how to</w:t>
      </w:r>
      <w:r w:rsidRPr="00C2595C" w:rsidR="00B175C9">
        <w:rPr>
          <w:rFonts w:ascii="Times New Roman" w:hAnsi="Times New Roman" w:cs="Times New Roman"/>
        </w:rPr>
        <w:t xml:space="preserve"> anonymously report </w:t>
      </w:r>
      <w:r w:rsidRPr="00C2595C" w:rsidR="00335B6A">
        <w:rPr>
          <w:rFonts w:ascii="Times New Roman" w:hAnsi="Times New Roman" w:cs="Times New Roman"/>
        </w:rPr>
        <w:t xml:space="preserve">(1) </w:t>
      </w:r>
      <w:r w:rsidRPr="00C2595C" w:rsidR="00B175C9">
        <w:rPr>
          <w:rFonts w:ascii="Times New Roman" w:hAnsi="Times New Roman" w:cs="Times New Roman"/>
        </w:rPr>
        <w:t xml:space="preserve">unaddressed hazards that could lead to a catastrophic release, </w:t>
      </w:r>
      <w:r w:rsidRPr="00C2595C" w:rsidR="00335B6A">
        <w:rPr>
          <w:rFonts w:ascii="Times New Roman" w:hAnsi="Times New Roman" w:cs="Times New Roman"/>
        </w:rPr>
        <w:t xml:space="preserve">(2) </w:t>
      </w:r>
      <w:r w:rsidRPr="00C2595C" w:rsidR="00B175C9">
        <w:rPr>
          <w:rFonts w:ascii="Times New Roman" w:hAnsi="Times New Roman" w:cs="Times New Roman"/>
        </w:rPr>
        <w:t>unreported RMP-reportable accidents, or</w:t>
      </w:r>
      <w:r w:rsidRPr="00C2595C" w:rsidR="00335B6A">
        <w:rPr>
          <w:rFonts w:ascii="Times New Roman" w:hAnsi="Times New Roman" w:cs="Times New Roman"/>
        </w:rPr>
        <w:t xml:space="preserve"> (3)</w:t>
      </w:r>
      <w:r w:rsidRPr="00C2595C" w:rsidR="00B175C9">
        <w:rPr>
          <w:rFonts w:ascii="Times New Roman" w:hAnsi="Times New Roman" w:cs="Times New Roman"/>
        </w:rPr>
        <w:t xml:space="preserve"> other RMP non-compliance. </w:t>
      </w:r>
      <w:bookmarkEnd w:id="3"/>
    </w:p>
    <w:p w:rsidR="00281014" w:rsidP="00F01FC0" w:rsidRDefault="00281014" w14:paraId="4A00802F" w14:textId="77777777">
      <w:pPr>
        <w:pStyle w:val="TOC2"/>
      </w:pPr>
    </w:p>
    <w:p w:rsidRPr="00E80E2C" w:rsidR="00DF77C6" w:rsidP="00DF77C6" w:rsidRDefault="00DF77C6" w14:paraId="7AC924C5" w14:textId="51C54828">
      <w:pPr>
        <w:pStyle w:val="TOC4"/>
        <w:spacing w:line="240" w:lineRule="auto"/>
        <w:ind w:left="0"/>
        <w:rPr>
          <w:rFonts w:ascii="Times New Roman" w:hAnsi="Times New Roman" w:cs="Times New Roman"/>
          <w:i/>
          <w:sz w:val="22"/>
          <w:szCs w:val="22"/>
        </w:rPr>
      </w:pPr>
      <w:r>
        <w:rPr>
          <w:rStyle w:val="Hyperlink"/>
          <w:rFonts w:ascii="Times New Roman" w:hAnsi="Times New Roman" w:cs="Times New Roman"/>
          <w:i/>
          <w:iCs/>
          <w:noProof/>
          <w:color w:val="auto"/>
          <w:sz w:val="22"/>
          <w:szCs w:val="22"/>
          <w:u w:val="none"/>
        </w:rPr>
        <w:t xml:space="preserve">Backup Power for </w:t>
      </w:r>
      <w:r w:rsidRPr="234D1CC8" w:rsidR="11825FD4">
        <w:rPr>
          <w:rStyle w:val="Hyperlink"/>
          <w:rFonts w:ascii="Times New Roman" w:hAnsi="Times New Roman" w:cs="Times New Roman"/>
          <w:i/>
          <w:iCs/>
          <w:noProof/>
          <w:color w:val="auto"/>
          <w:sz w:val="22"/>
          <w:szCs w:val="22"/>
          <w:u w:val="none"/>
        </w:rPr>
        <w:t>Per</w:t>
      </w:r>
      <w:r w:rsidR="002A2B5E">
        <w:rPr>
          <w:rStyle w:val="Hyperlink"/>
          <w:rFonts w:ascii="Times New Roman" w:hAnsi="Times New Roman" w:cs="Times New Roman"/>
          <w:i/>
          <w:iCs/>
          <w:noProof/>
          <w:color w:val="auto"/>
          <w:sz w:val="22"/>
          <w:szCs w:val="22"/>
          <w:u w:val="none"/>
        </w:rPr>
        <w:t>i</w:t>
      </w:r>
      <w:r w:rsidRPr="234D1CC8" w:rsidR="11825FD4">
        <w:rPr>
          <w:rStyle w:val="Hyperlink"/>
          <w:rFonts w:ascii="Times New Roman" w:hAnsi="Times New Roman" w:cs="Times New Roman"/>
          <w:i/>
          <w:iCs/>
          <w:noProof/>
          <w:color w:val="auto"/>
          <w:sz w:val="22"/>
          <w:szCs w:val="22"/>
          <w:u w:val="none"/>
        </w:rPr>
        <w:t>m</w:t>
      </w:r>
      <w:r w:rsidR="002A2B5E">
        <w:rPr>
          <w:rStyle w:val="Hyperlink"/>
          <w:rFonts w:ascii="Times New Roman" w:hAnsi="Times New Roman" w:cs="Times New Roman"/>
          <w:i/>
          <w:iCs/>
          <w:noProof/>
          <w:color w:val="auto"/>
          <w:sz w:val="22"/>
          <w:szCs w:val="22"/>
          <w:u w:val="none"/>
        </w:rPr>
        <w:t>e</w:t>
      </w:r>
      <w:r w:rsidRPr="234D1CC8" w:rsidR="11825FD4">
        <w:rPr>
          <w:rStyle w:val="Hyperlink"/>
          <w:rFonts w:ascii="Times New Roman" w:hAnsi="Times New Roman" w:cs="Times New Roman"/>
          <w:i/>
          <w:iCs/>
          <w:noProof/>
          <w:color w:val="auto"/>
          <w:sz w:val="22"/>
          <w:szCs w:val="22"/>
          <w:u w:val="none"/>
        </w:rPr>
        <w:t>ter</w:t>
      </w:r>
      <w:r>
        <w:rPr>
          <w:rStyle w:val="Hyperlink"/>
          <w:rFonts w:ascii="Times New Roman" w:hAnsi="Times New Roman" w:cs="Times New Roman"/>
          <w:i/>
          <w:iCs/>
          <w:noProof/>
          <w:color w:val="auto"/>
          <w:sz w:val="22"/>
          <w:szCs w:val="22"/>
          <w:u w:val="none"/>
        </w:rPr>
        <w:t xml:space="preserve"> Monitors</w:t>
      </w:r>
      <w:r w:rsidRPr="00E80E2C">
        <w:rPr>
          <w:rStyle w:val="Hyperlink"/>
          <w:rFonts w:ascii="Times New Roman" w:hAnsi="Times New Roman" w:cs="Times New Roman"/>
          <w:i/>
          <w:color w:val="auto"/>
          <w:sz w:val="22"/>
          <w:szCs w:val="22"/>
          <w:u w:val="none"/>
        </w:rPr>
        <w:t xml:space="preserve"> </w:t>
      </w:r>
      <w:r w:rsidRPr="009929B8">
        <w:rPr>
          <w:rFonts w:ascii="Times New Roman" w:hAnsi="Times New Roman" w:cs="Times New Roman"/>
          <w:i/>
        </w:rPr>
        <w:t>—</w:t>
      </w:r>
      <w:r w:rsidRPr="009929B8">
        <w:rPr>
          <w:rStyle w:val="Hyperlink"/>
          <w:rFonts w:ascii="Times New Roman" w:hAnsi="Times New Roman" w:cs="Times New Roman"/>
          <w:i/>
          <w:color w:val="auto"/>
          <w:sz w:val="22"/>
          <w:szCs w:val="22"/>
          <w:u w:val="none"/>
        </w:rPr>
        <w:t xml:space="preserve"> </w:t>
      </w:r>
      <w:r w:rsidRPr="00E80E2C">
        <w:rPr>
          <w:rFonts w:ascii="Times New Roman" w:hAnsi="Times New Roman" w:cs="Times New Roman"/>
          <w:i/>
          <w:sz w:val="22"/>
          <w:szCs w:val="22"/>
        </w:rPr>
        <w:t>(Proposed revisions apply to §§68.50 and 68.67):</w:t>
      </w:r>
    </w:p>
    <w:p w:rsidRPr="00C2595C" w:rsidR="00DF77C6" w:rsidP="00DF77C6" w:rsidRDefault="00DF77C6" w14:paraId="119486BD" w14:textId="77777777">
      <w:pPr>
        <w:spacing w:after="0" w:line="240" w:lineRule="auto"/>
        <w:rPr>
          <w:rFonts w:ascii="Times New Roman" w:hAnsi="Times New Roman" w:cs="Times New Roman"/>
        </w:rPr>
      </w:pPr>
      <w:r>
        <w:rPr>
          <w:rFonts w:ascii="Times New Roman" w:hAnsi="Times New Roman" w:cs="Times New Roman"/>
        </w:rPr>
        <w:tab/>
      </w:r>
      <w:r w:rsidRPr="00C2595C">
        <w:rPr>
          <w:rFonts w:ascii="Times New Roman" w:hAnsi="Times New Roman" w:cs="Times New Roman"/>
        </w:rPr>
        <w:t xml:space="preserve">The proposed rule would require perimeter monitoring equipment associated with prevention and detection of RMP-regulated substances to have standby or backup power. </w:t>
      </w:r>
    </w:p>
    <w:p w:rsidR="00DF77C6" w:rsidP="00F01FC0" w:rsidRDefault="00DF77C6" w14:paraId="3E38CCFB" w14:textId="77777777">
      <w:pPr>
        <w:pStyle w:val="TOC2"/>
        <w:rPr>
          <w:b/>
          <w:bCs/>
          <w:sz w:val="22"/>
          <w:szCs w:val="22"/>
        </w:rPr>
      </w:pPr>
    </w:p>
    <w:p w:rsidRPr="00F01FC0" w:rsidR="000B0389" w:rsidP="00F01FC0" w:rsidRDefault="00024031" w14:paraId="40BFA6FD" w14:textId="42256BB7">
      <w:pPr>
        <w:pStyle w:val="TOC2"/>
        <w:rPr>
          <w:rStyle w:val="Hyperlink"/>
          <w:b/>
          <w:bCs/>
          <w:color w:val="auto"/>
          <w:sz w:val="22"/>
          <w:szCs w:val="22"/>
          <w:u w:val="none"/>
        </w:rPr>
      </w:pPr>
      <w:hyperlink w:history="1" w:anchor="_Toc99604158">
        <w:r w:rsidRPr="00F01FC0" w:rsidR="000B0389">
          <w:rPr>
            <w:rStyle w:val="Hyperlink"/>
            <w:b/>
            <w:bCs/>
            <w:color w:val="auto"/>
            <w:sz w:val="22"/>
            <w:szCs w:val="22"/>
            <w:u w:val="none"/>
          </w:rPr>
          <w:t>Emergency Response</w:t>
        </w:r>
      </w:hyperlink>
    </w:p>
    <w:p w:rsidR="00A863D0" w:rsidP="00E80E2C" w:rsidRDefault="00024031" w14:paraId="318A8318" w14:textId="2A89D8E1">
      <w:pPr>
        <w:spacing w:after="0" w:line="240" w:lineRule="auto"/>
        <w:rPr>
          <w:rFonts w:ascii="Times New Roman" w:hAnsi="Times New Roman" w:cs="Times New Roman"/>
          <w:i/>
        </w:rPr>
      </w:pPr>
      <w:hyperlink w:history="1" w:anchor="_Toc99604162">
        <w:r w:rsidRPr="008737B8" w:rsidR="002A300B">
          <w:rPr>
            <w:rStyle w:val="Hyperlink"/>
            <w:rFonts w:ascii="Times New Roman" w:hAnsi="Times New Roman" w:cs="Times New Roman"/>
            <w:i/>
            <w:iCs/>
            <w:color w:val="auto"/>
            <w:u w:val="none"/>
          </w:rPr>
          <w:t>Community Notification of RMP Accidents</w:t>
        </w:r>
      </w:hyperlink>
      <w:r w:rsidRPr="001C0BAE" w:rsidR="000B0389">
        <w:rPr>
          <w:rFonts w:ascii="Times New Roman" w:hAnsi="Times New Roman" w:cs="Times New Roman"/>
          <w:i/>
        </w:rPr>
        <w:t>— (Proposed revisions apply to §§68.90 and 68.95)</w:t>
      </w:r>
      <w:r w:rsidRPr="001C0BAE" w:rsidR="00E80E2C">
        <w:rPr>
          <w:rFonts w:ascii="Times New Roman" w:hAnsi="Times New Roman" w:cs="Times New Roman"/>
          <w:i/>
        </w:rPr>
        <w:t>:</w:t>
      </w:r>
    </w:p>
    <w:p w:rsidRPr="00E80E2C" w:rsidR="000B0389" w:rsidP="00E80E2C" w:rsidRDefault="00A863D0" w14:paraId="287195FD" w14:textId="29D40703">
      <w:pPr>
        <w:spacing w:after="0" w:line="240" w:lineRule="auto"/>
        <w:rPr>
          <w:rFonts w:ascii="Times New Roman" w:hAnsi="Times New Roman" w:cs="Times New Roman"/>
          <w:b/>
          <w:i/>
        </w:rPr>
      </w:pPr>
      <w:r>
        <w:rPr>
          <w:rFonts w:ascii="Times New Roman" w:hAnsi="Times New Roman" w:cs="Times New Roman"/>
          <w:i/>
        </w:rPr>
        <w:tab/>
      </w:r>
      <w:r w:rsidRPr="001C0BAE" w:rsidR="00E80E2C">
        <w:rPr>
          <w:rFonts w:ascii="Times New Roman" w:hAnsi="Times New Roman" w:cs="Times New Roman"/>
          <w:b/>
          <w:bCs/>
          <w:i/>
        </w:rPr>
        <w:t xml:space="preserve"> </w:t>
      </w:r>
      <w:bookmarkStart w:name="_Hlk99031180" w:id="4"/>
      <w:r w:rsidRPr="001C0BAE" w:rsidR="000B0389">
        <w:rPr>
          <w:rFonts w:ascii="Times New Roman" w:hAnsi="Times New Roman" w:cs="Times New Roman"/>
        </w:rPr>
        <w:t>The proposed rule would add a requirement to RMP facility owners and operators who designate themselves as a non-responding facility to develop and implement, as necessary, procedures for informing the public and the appropriate emergency response agencies about accidental releases of RMP-regulated substances.</w:t>
      </w:r>
      <w:r w:rsidRPr="001C0BAE" w:rsidR="000B0389">
        <w:rPr>
          <w:rFonts w:ascii="Times New Roman" w:hAnsi="Times New Roman" w:cs="Times New Roman"/>
          <w:b/>
          <w:i/>
        </w:rPr>
        <w:t xml:space="preserve"> </w:t>
      </w:r>
      <w:r w:rsidRPr="001C0BAE" w:rsidR="000B0389">
        <w:rPr>
          <w:rFonts w:ascii="Times New Roman" w:hAnsi="Times New Roman" w:cs="Times New Roman"/>
        </w:rPr>
        <w:t>EPA is also proposing that responding and non-responding facilities must ensure that a community notification system is in place and that the public is promptly notified of an accidental release from an RMP-covered process by providing appropriate, timely data and information to local responders and the community, detailing the current understanding and best estimates of the nature of the release.</w:t>
      </w:r>
      <w:bookmarkEnd w:id="4"/>
    </w:p>
    <w:p w:rsidR="00281014" w:rsidP="00C2595C" w:rsidRDefault="00281014" w14:paraId="151DCDF8" w14:textId="337367E1">
      <w:pPr>
        <w:spacing w:after="0" w:line="240" w:lineRule="auto"/>
        <w:ind w:firstLine="720"/>
        <w:rPr>
          <w:rFonts w:ascii="Times New Roman" w:hAnsi="Times New Roman" w:cs="Times New Roman"/>
        </w:rPr>
      </w:pPr>
    </w:p>
    <w:p w:rsidRPr="009929B8" w:rsidR="009929B8" w:rsidP="009929B8" w:rsidRDefault="004C1DAA" w14:paraId="72B42917" w14:textId="5CE80127">
      <w:pPr>
        <w:spacing w:after="0" w:line="240" w:lineRule="auto"/>
        <w:rPr>
          <w:rFonts w:ascii="Times New Roman" w:hAnsi="Times New Roman" w:cs="Times New Roman"/>
        </w:rPr>
      </w:pPr>
      <w:r w:rsidRPr="00C2595C">
        <w:fldChar w:fldCharType="begin"/>
      </w:r>
      <w:r>
        <w:instrText xml:space="preserve"> HYPERLINK \l "_Toc99604167" </w:instrText>
      </w:r>
      <w:r w:rsidRPr="00C2595C">
        <w:fldChar w:fldCharType="separate"/>
      </w:r>
      <w:r w:rsidRPr="009929B8" w:rsidR="009929B8">
        <w:rPr>
          <w:rFonts w:ascii="Times New Roman" w:hAnsi="Times New Roman" w:cs="Times New Roman"/>
          <w:b/>
          <w:bCs/>
        </w:rPr>
        <w:t>Information Availability</w:t>
      </w:r>
      <w:r w:rsidR="00883825">
        <w:rPr>
          <w:rFonts w:ascii="Times New Roman" w:hAnsi="Times New Roman" w:cs="Times New Roman"/>
          <w:b/>
          <w:bCs/>
        </w:rPr>
        <w:t xml:space="preserve"> </w:t>
      </w:r>
    </w:p>
    <w:p w:rsidR="00362205" w:rsidP="00883825" w:rsidRDefault="004C1DAA" w14:paraId="599F8CC8" w14:textId="77777777">
      <w:pPr>
        <w:keepNext/>
        <w:spacing w:after="0" w:line="240" w:lineRule="auto"/>
        <w:rPr>
          <w:rStyle w:val="Hyperlink"/>
          <w:rFonts w:ascii="Times New Roman" w:hAnsi="Times New Roman" w:cs="Times New Roman"/>
          <w:color w:val="auto"/>
          <w:u w:val="none"/>
        </w:rPr>
      </w:pPr>
      <w:r w:rsidRPr="00C2595C">
        <w:rPr>
          <w:rStyle w:val="Hyperlink"/>
          <w:rFonts w:ascii="Times New Roman" w:hAnsi="Times New Roman" w:cs="Times New Roman"/>
          <w:color w:val="auto"/>
          <w:u w:val="none"/>
        </w:rPr>
        <w:fldChar w:fldCharType="end"/>
      </w:r>
      <w:bookmarkStart w:name="_Hlk99030805" w:id="5"/>
      <w:r w:rsidRPr="00362205" w:rsidR="00362205">
        <w:rPr>
          <w:rStyle w:val="Hyperlink"/>
          <w:rFonts w:ascii="Times New Roman" w:hAnsi="Times New Roman" w:cs="Times New Roman"/>
          <w:i/>
          <w:iCs/>
          <w:color w:val="auto"/>
          <w:u w:val="none"/>
        </w:rPr>
        <w:t>Information Availability</w:t>
      </w:r>
      <w:r w:rsidR="00362205">
        <w:rPr>
          <w:rStyle w:val="Hyperlink"/>
          <w:rFonts w:ascii="Times New Roman" w:hAnsi="Times New Roman" w:cs="Times New Roman"/>
          <w:color w:val="auto"/>
          <w:u w:val="none"/>
        </w:rPr>
        <w:t xml:space="preserve"> </w:t>
      </w:r>
      <w:r w:rsidRPr="009929B8" w:rsidR="00362205">
        <w:rPr>
          <w:rFonts w:ascii="Times New Roman" w:hAnsi="Times New Roman" w:cs="Times New Roman"/>
          <w:i/>
        </w:rPr>
        <w:t>—</w:t>
      </w:r>
      <w:r w:rsidRPr="00883825" w:rsidR="00362205">
        <w:rPr>
          <w:rStyle w:val="Hyperlink"/>
          <w:rFonts w:ascii="Times New Roman" w:hAnsi="Times New Roman" w:cs="Times New Roman"/>
          <w:i/>
          <w:iCs/>
          <w:color w:val="auto"/>
          <w:u w:val="none"/>
        </w:rPr>
        <w:t xml:space="preserve"> </w:t>
      </w:r>
      <w:r w:rsidRPr="00883825" w:rsidR="00883825">
        <w:rPr>
          <w:rStyle w:val="Hyperlink"/>
          <w:rFonts w:ascii="Times New Roman" w:hAnsi="Times New Roman" w:cs="Times New Roman"/>
          <w:i/>
          <w:iCs/>
          <w:color w:val="auto"/>
          <w:u w:val="none"/>
        </w:rPr>
        <w:t>(Proposed revisions apply to §68.210):</w:t>
      </w:r>
      <w:r w:rsidR="00883825">
        <w:rPr>
          <w:rStyle w:val="Hyperlink"/>
          <w:rFonts w:ascii="Times New Roman" w:hAnsi="Times New Roman" w:cs="Times New Roman"/>
          <w:color w:val="auto"/>
          <w:u w:val="none"/>
        </w:rPr>
        <w:t xml:space="preserve"> </w:t>
      </w:r>
    </w:p>
    <w:p w:rsidRPr="00883825" w:rsidR="00B175C9" w:rsidP="00883825" w:rsidRDefault="00362205" w14:paraId="78A7CA54" w14:textId="58E8B430">
      <w:pPr>
        <w:keepNext/>
        <w:spacing w:after="0" w:line="240" w:lineRule="auto"/>
        <w:rPr>
          <w:rFonts w:ascii="Times New Roman" w:hAnsi="Times New Roman" w:cs="Times New Roman"/>
        </w:rPr>
      </w:pPr>
      <w:r>
        <w:rPr>
          <w:rStyle w:val="Hyperlink"/>
          <w:rFonts w:ascii="Times New Roman" w:hAnsi="Times New Roman" w:cs="Times New Roman"/>
          <w:color w:val="auto"/>
          <w:u w:val="none"/>
        </w:rPr>
        <w:tab/>
      </w:r>
      <w:r w:rsidRPr="00C2595C" w:rsidR="00E404E0">
        <w:rPr>
          <w:rFonts w:ascii="Times New Roman" w:hAnsi="Times New Roman" w:cs="Times New Roman"/>
        </w:rPr>
        <w:t>The proposed rule would require all facilities</w:t>
      </w:r>
      <w:r w:rsidRPr="00C2595C" w:rsidR="00203CCA">
        <w:rPr>
          <w:rFonts w:ascii="Times New Roman" w:hAnsi="Times New Roman" w:cs="Times New Roman"/>
        </w:rPr>
        <w:t>, upon receiving a request from a member of the public residing within 6 miles of the facility,</w:t>
      </w:r>
      <w:r w:rsidRPr="00C2595C" w:rsidR="00E404E0">
        <w:rPr>
          <w:rFonts w:ascii="Times New Roman" w:hAnsi="Times New Roman" w:cs="Times New Roman"/>
        </w:rPr>
        <w:t xml:space="preserve"> to disclose certain chemical hazard information to the </w:t>
      </w:r>
      <w:r w:rsidRPr="00C2595C" w:rsidR="00203CCA">
        <w:rPr>
          <w:rFonts w:ascii="Times New Roman" w:hAnsi="Times New Roman" w:cs="Times New Roman"/>
        </w:rPr>
        <w:t>requester</w:t>
      </w:r>
      <w:r w:rsidRPr="00C2595C" w:rsidR="00593B82">
        <w:rPr>
          <w:rFonts w:ascii="Times New Roman" w:hAnsi="Times New Roman" w:cs="Times New Roman"/>
        </w:rPr>
        <w:t xml:space="preserve"> in the language requested by the</w:t>
      </w:r>
      <w:r w:rsidRPr="00C2595C" w:rsidR="00203CCA">
        <w:rPr>
          <w:rFonts w:ascii="Times New Roman" w:hAnsi="Times New Roman" w:cs="Times New Roman"/>
        </w:rPr>
        <w:t>m</w:t>
      </w:r>
      <w:r w:rsidRPr="00C2595C" w:rsidR="00E404E0">
        <w:rPr>
          <w:rFonts w:ascii="Times New Roman" w:hAnsi="Times New Roman" w:cs="Times New Roman"/>
        </w:rPr>
        <w:t xml:space="preserve">. The facility or its parent company, if applicable, would have to make the information available in an easily accessible manner, </w:t>
      </w:r>
      <w:r w:rsidRPr="00C2595C" w:rsidR="0097283A">
        <w:rPr>
          <w:rFonts w:ascii="Times New Roman" w:hAnsi="Times New Roman" w:cs="Times New Roman"/>
        </w:rPr>
        <w:t xml:space="preserve">such as </w:t>
      </w:r>
      <w:r w:rsidRPr="00C2595C" w:rsidR="00E404E0">
        <w:rPr>
          <w:rFonts w:ascii="Times New Roman" w:hAnsi="Times New Roman" w:cs="Times New Roman"/>
        </w:rPr>
        <w:t xml:space="preserve">on a company website, post the information at public libraries, publish it in local papers, or </w:t>
      </w:r>
      <w:r w:rsidRPr="00C2595C" w:rsidR="005934C4">
        <w:rPr>
          <w:rFonts w:ascii="Times New Roman" w:hAnsi="Times New Roman" w:cs="Times New Roman"/>
        </w:rPr>
        <w:t xml:space="preserve">through </w:t>
      </w:r>
      <w:r w:rsidRPr="00C2595C" w:rsidR="00E404E0">
        <w:rPr>
          <w:rFonts w:ascii="Times New Roman" w:hAnsi="Times New Roman" w:cs="Times New Roman"/>
        </w:rPr>
        <w:t xml:space="preserve">other means appropriate for </w:t>
      </w:r>
      <w:proofErr w:type="gramStart"/>
      <w:r w:rsidRPr="00C2595C" w:rsidR="00E404E0">
        <w:rPr>
          <w:rFonts w:ascii="Times New Roman" w:hAnsi="Times New Roman" w:cs="Times New Roman"/>
        </w:rPr>
        <w:t>particular communities</w:t>
      </w:r>
      <w:proofErr w:type="gramEnd"/>
      <w:r w:rsidRPr="00C2595C" w:rsidR="00E404E0">
        <w:rPr>
          <w:rFonts w:ascii="Times New Roman" w:hAnsi="Times New Roman" w:cs="Times New Roman"/>
        </w:rPr>
        <w:t xml:space="preserve"> and facilities. The information </w:t>
      </w:r>
      <w:r w:rsidRPr="00C2595C" w:rsidR="00203CCA">
        <w:rPr>
          <w:rFonts w:ascii="Times New Roman" w:hAnsi="Times New Roman" w:cs="Times New Roman"/>
        </w:rPr>
        <w:t xml:space="preserve">required </w:t>
      </w:r>
      <w:r w:rsidRPr="00C2595C" w:rsidR="00E404E0">
        <w:rPr>
          <w:rFonts w:ascii="Times New Roman" w:hAnsi="Times New Roman" w:cs="Times New Roman"/>
        </w:rPr>
        <w:t xml:space="preserve">to be disclosed </w:t>
      </w:r>
      <w:r w:rsidRPr="00C2595C" w:rsidR="00203CCA">
        <w:rPr>
          <w:rFonts w:ascii="Times New Roman" w:hAnsi="Times New Roman" w:cs="Times New Roman"/>
        </w:rPr>
        <w:t>would</w:t>
      </w:r>
      <w:r w:rsidRPr="00C2595C" w:rsidR="00E404E0">
        <w:rPr>
          <w:rFonts w:ascii="Times New Roman" w:hAnsi="Times New Roman" w:cs="Times New Roman"/>
        </w:rPr>
        <w:t xml:space="preserve"> include names of regulated substances at the facility; Safety Data Sheets (SDS); accident history information; emergency response program information; and LEPC or </w:t>
      </w:r>
      <w:r w:rsidRPr="00C2595C" w:rsidR="00E404E0">
        <w:rPr>
          <w:rFonts w:ascii="Times New Roman" w:hAnsi="Times New Roman" w:cs="Times New Roman"/>
        </w:rPr>
        <w:lastRenderedPageBreak/>
        <w:t xml:space="preserve">local response agency contact information. </w:t>
      </w:r>
      <w:r w:rsidRPr="00C2595C" w:rsidR="00B175C9">
        <w:rPr>
          <w:rFonts w:ascii="Times New Roman" w:hAnsi="Times New Roman" w:cs="Times New Roman"/>
        </w:rPr>
        <w:t xml:space="preserve"> </w:t>
      </w:r>
      <w:bookmarkEnd w:id="5"/>
      <w:r w:rsidRPr="00C2595C" w:rsidR="007102B6">
        <w:rPr>
          <w:rFonts w:ascii="Times New Roman" w:hAnsi="Times New Roman" w:cs="Times New Roman"/>
        </w:rPr>
        <w:br/>
      </w:r>
    </w:p>
    <w:p w:rsidRPr="00C2595C" w:rsidR="00837F16" w:rsidP="00C2595C" w:rsidRDefault="00837F16" w14:paraId="798A903D" w14:textId="4E7DC1BE">
      <w:pPr>
        <w:keepNext/>
        <w:spacing w:after="0" w:line="240" w:lineRule="auto"/>
        <w:rPr>
          <w:rFonts w:ascii="Times New Roman" w:hAnsi="Times New Roman" w:cs="Times New Roman"/>
          <w:b/>
        </w:rPr>
      </w:pPr>
      <w:r w:rsidRPr="00C2595C">
        <w:rPr>
          <w:rFonts w:ascii="Times New Roman" w:hAnsi="Times New Roman" w:cs="Times New Roman"/>
          <w:b/>
        </w:rPr>
        <w:t>Regulatory Alternatives to the Proposed Rule</w:t>
      </w:r>
    </w:p>
    <w:p w:rsidRPr="00C2595C" w:rsidR="003645FE" w:rsidP="003645FE" w:rsidRDefault="00362205" w14:paraId="34BCD80C" w14:textId="08A9F0F2">
      <w:pPr>
        <w:keepNext/>
        <w:spacing w:after="0" w:line="240" w:lineRule="auto"/>
        <w:ind w:firstLine="360"/>
        <w:rPr>
          <w:rFonts w:ascii="Times New Roman" w:hAnsi="Times New Roman" w:cs="Times New Roman"/>
        </w:rPr>
      </w:pPr>
      <w:r>
        <w:rPr>
          <w:rFonts w:ascii="Times New Roman" w:hAnsi="Times New Roman" w:cs="Times New Roman"/>
        </w:rPr>
        <w:tab/>
      </w:r>
      <w:r w:rsidRPr="00C2595C" w:rsidR="00BE2D14">
        <w:rPr>
          <w:rFonts w:ascii="Times New Roman" w:hAnsi="Times New Roman" w:cs="Times New Roman"/>
        </w:rPr>
        <w:t>T</w:t>
      </w:r>
      <w:r w:rsidRPr="00C2595C" w:rsidR="00E36539">
        <w:rPr>
          <w:rFonts w:ascii="Times New Roman" w:hAnsi="Times New Roman" w:cs="Times New Roman"/>
        </w:rPr>
        <w:t>he RIA analyzed</w:t>
      </w:r>
      <w:r w:rsidRPr="00C2595C" w:rsidR="005B38E8">
        <w:rPr>
          <w:rFonts w:ascii="Times New Roman" w:hAnsi="Times New Roman" w:cs="Times New Roman"/>
        </w:rPr>
        <w:t xml:space="preserve"> several</w:t>
      </w:r>
      <w:r w:rsidRPr="00C2595C" w:rsidR="00BE2D14">
        <w:rPr>
          <w:rFonts w:ascii="Times New Roman" w:hAnsi="Times New Roman" w:cs="Times New Roman"/>
        </w:rPr>
        <w:t xml:space="preserve"> regulatory</w:t>
      </w:r>
      <w:r w:rsidRPr="00C2595C" w:rsidR="005B38E8">
        <w:rPr>
          <w:rFonts w:ascii="Times New Roman" w:hAnsi="Times New Roman" w:cs="Times New Roman"/>
        </w:rPr>
        <w:t xml:space="preserve"> alternatives </w:t>
      </w:r>
      <w:r w:rsidRPr="00C2595C" w:rsidR="00BE2D14">
        <w:rPr>
          <w:rFonts w:ascii="Times New Roman" w:hAnsi="Times New Roman" w:cs="Times New Roman"/>
        </w:rPr>
        <w:t xml:space="preserve">to the proposed rule. </w:t>
      </w:r>
      <w:r w:rsidRPr="00C2595C" w:rsidR="005B38E8">
        <w:rPr>
          <w:rFonts w:ascii="Times New Roman" w:hAnsi="Times New Roman" w:cs="Times New Roman"/>
        </w:rPr>
        <w:t xml:space="preserve">EPA considered one regulatory alternative with lower costs and </w:t>
      </w:r>
      <w:r w:rsidRPr="00C2595C" w:rsidR="008D5242">
        <w:rPr>
          <w:rFonts w:ascii="Times New Roman" w:hAnsi="Times New Roman" w:cs="Times New Roman"/>
        </w:rPr>
        <w:t>one</w:t>
      </w:r>
      <w:r w:rsidRPr="00C2595C" w:rsidR="005B38E8">
        <w:rPr>
          <w:rFonts w:ascii="Times New Roman" w:hAnsi="Times New Roman" w:cs="Times New Roman"/>
        </w:rPr>
        <w:t xml:space="preserve"> with higher costs. The </w:t>
      </w:r>
      <w:proofErr w:type="gramStart"/>
      <w:r w:rsidRPr="00C2595C" w:rsidR="005B38E8">
        <w:rPr>
          <w:rFonts w:ascii="Times New Roman" w:hAnsi="Times New Roman" w:cs="Times New Roman"/>
        </w:rPr>
        <w:t>low cost</w:t>
      </w:r>
      <w:proofErr w:type="gramEnd"/>
      <w:r w:rsidRPr="00C2595C" w:rsidR="005B38E8">
        <w:rPr>
          <w:rFonts w:ascii="Times New Roman" w:hAnsi="Times New Roman" w:cs="Times New Roman"/>
        </w:rPr>
        <w:t xml:space="preserve"> regulatory alternative considers alternatives for three provisions: </w:t>
      </w:r>
      <w:r w:rsidR="00D936AC">
        <w:rPr>
          <w:rFonts w:ascii="Times New Roman" w:hAnsi="Times New Roman" w:cs="Times New Roman"/>
        </w:rPr>
        <w:t>r</w:t>
      </w:r>
      <w:r w:rsidRPr="00C2595C" w:rsidR="00361044">
        <w:rPr>
          <w:rFonts w:ascii="Times New Roman" w:hAnsi="Times New Roman" w:cs="Times New Roman"/>
        </w:rPr>
        <w:t>oot cause analysis</w:t>
      </w:r>
      <w:r w:rsidR="00361044">
        <w:rPr>
          <w:rFonts w:ascii="Times New Roman" w:hAnsi="Times New Roman" w:cs="Times New Roman"/>
        </w:rPr>
        <w:t>,</w:t>
      </w:r>
      <w:r w:rsidRPr="00C2595C" w:rsidR="00361044">
        <w:rPr>
          <w:rFonts w:ascii="Times New Roman" w:hAnsi="Times New Roman" w:cs="Times New Roman"/>
        </w:rPr>
        <w:t xml:space="preserve"> </w:t>
      </w:r>
      <w:r w:rsidR="00361044">
        <w:rPr>
          <w:rFonts w:ascii="Times New Roman" w:hAnsi="Times New Roman" w:cs="Times New Roman"/>
        </w:rPr>
        <w:t>t</w:t>
      </w:r>
      <w:r w:rsidRPr="00C2595C" w:rsidR="005B38E8">
        <w:rPr>
          <w:rFonts w:ascii="Times New Roman" w:hAnsi="Times New Roman" w:cs="Times New Roman"/>
        </w:rPr>
        <w:t>hird</w:t>
      </w:r>
      <w:r w:rsidRPr="00C2595C" w:rsidR="00D547A0">
        <w:rPr>
          <w:rFonts w:ascii="Times New Roman" w:hAnsi="Times New Roman" w:cs="Times New Roman"/>
        </w:rPr>
        <w:t>-</w:t>
      </w:r>
      <w:r w:rsidRPr="00C2595C" w:rsidR="005B38E8">
        <w:rPr>
          <w:rFonts w:ascii="Times New Roman" w:hAnsi="Times New Roman" w:cs="Times New Roman"/>
        </w:rPr>
        <w:t>party audits</w:t>
      </w:r>
      <w:r w:rsidRPr="00C2595C" w:rsidR="00A004FE">
        <w:rPr>
          <w:rFonts w:ascii="Times New Roman" w:hAnsi="Times New Roman" w:cs="Times New Roman"/>
        </w:rPr>
        <w:t xml:space="preserve"> and employee participation</w:t>
      </w:r>
      <w:r w:rsidRPr="00C2595C" w:rsidR="002D5A1D">
        <w:rPr>
          <w:rFonts w:ascii="Times New Roman" w:hAnsi="Times New Roman" w:cs="Times New Roman"/>
        </w:rPr>
        <w:t>.</w:t>
      </w:r>
      <w:r w:rsidRPr="00C2595C" w:rsidR="00D547A0">
        <w:rPr>
          <w:rFonts w:ascii="Times New Roman" w:hAnsi="Times New Roman" w:cs="Times New Roman"/>
        </w:rPr>
        <w:t xml:space="preserve"> </w:t>
      </w:r>
      <w:r w:rsidRPr="00C2595C" w:rsidR="00F17193">
        <w:rPr>
          <w:rFonts w:ascii="Times New Roman" w:hAnsi="Times New Roman" w:cs="Times New Roman"/>
        </w:rPr>
        <w:t>The</w:t>
      </w:r>
      <w:r w:rsidRPr="00C2595C" w:rsidR="00D547A0">
        <w:rPr>
          <w:rFonts w:ascii="Times New Roman" w:hAnsi="Times New Roman" w:cs="Times New Roman"/>
        </w:rPr>
        <w:t xml:space="preserve"> higher cost alternative</w:t>
      </w:r>
      <w:r w:rsidRPr="00C2595C" w:rsidR="002D5A1D">
        <w:rPr>
          <w:rFonts w:ascii="Times New Roman" w:hAnsi="Times New Roman" w:cs="Times New Roman"/>
        </w:rPr>
        <w:t xml:space="preserve"> </w:t>
      </w:r>
      <w:r w:rsidRPr="00C2595C" w:rsidR="0059304B">
        <w:rPr>
          <w:rFonts w:ascii="Times New Roman" w:hAnsi="Times New Roman" w:cs="Times New Roman"/>
        </w:rPr>
        <w:t>appl</w:t>
      </w:r>
      <w:r w:rsidRPr="00C2595C" w:rsidR="00F17193">
        <w:rPr>
          <w:rFonts w:ascii="Times New Roman" w:hAnsi="Times New Roman" w:cs="Times New Roman"/>
        </w:rPr>
        <w:t>ies</w:t>
      </w:r>
      <w:r w:rsidRPr="00C2595C" w:rsidR="0059304B">
        <w:rPr>
          <w:rFonts w:ascii="Times New Roman" w:hAnsi="Times New Roman" w:cs="Times New Roman"/>
        </w:rPr>
        <w:t xml:space="preserve"> to the </w:t>
      </w:r>
      <w:r w:rsidRPr="00C2595C" w:rsidR="00F17193">
        <w:rPr>
          <w:rFonts w:ascii="Times New Roman" w:hAnsi="Times New Roman" w:cs="Times New Roman"/>
        </w:rPr>
        <w:t xml:space="preserve">STAA </w:t>
      </w:r>
      <w:r w:rsidR="00361044">
        <w:rPr>
          <w:rFonts w:ascii="Times New Roman" w:hAnsi="Times New Roman" w:cs="Times New Roman"/>
        </w:rPr>
        <w:t xml:space="preserve">and </w:t>
      </w:r>
      <w:r w:rsidRPr="00C2595C" w:rsidR="00361044">
        <w:rPr>
          <w:rFonts w:ascii="Times New Roman" w:hAnsi="Times New Roman" w:cs="Times New Roman"/>
        </w:rPr>
        <w:t>third-party audit provision</w:t>
      </w:r>
      <w:r w:rsidRPr="00C2595C" w:rsidR="0059304B">
        <w:rPr>
          <w:rFonts w:ascii="Times New Roman" w:hAnsi="Times New Roman" w:cs="Times New Roman"/>
        </w:rPr>
        <w:t>.</w:t>
      </w:r>
      <w:r w:rsidRPr="00C2595C" w:rsidR="00D547A0">
        <w:rPr>
          <w:rFonts w:ascii="Times New Roman" w:hAnsi="Times New Roman" w:cs="Times New Roman"/>
        </w:rPr>
        <w:t xml:space="preserve"> </w:t>
      </w:r>
      <w:r w:rsidRPr="00C2595C" w:rsidR="004A6E21">
        <w:rPr>
          <w:rFonts w:ascii="Times New Roman" w:hAnsi="Times New Roman" w:cs="Times New Roman"/>
        </w:rPr>
        <w:t>See Chapter</w:t>
      </w:r>
      <w:r w:rsidRPr="00C2595C" w:rsidR="00FF02D3">
        <w:rPr>
          <w:rFonts w:ascii="Times New Roman" w:hAnsi="Times New Roman" w:cs="Times New Roman"/>
        </w:rPr>
        <w:t xml:space="preserve"> 7 for a description of each regulatory alternative EPA considered</w:t>
      </w:r>
      <w:r w:rsidR="00A313BF">
        <w:rPr>
          <w:rFonts w:ascii="Times New Roman" w:hAnsi="Times New Roman" w:cs="Times New Roman"/>
        </w:rPr>
        <w:t xml:space="preserve"> and breakeven analyses of those alternatives</w:t>
      </w:r>
      <w:r w:rsidR="003645FE">
        <w:rPr>
          <w:rFonts w:ascii="Times New Roman" w:hAnsi="Times New Roman" w:cs="Times New Roman"/>
        </w:rPr>
        <w:t>.</w:t>
      </w:r>
    </w:p>
    <w:p w:rsidRPr="00C2595C" w:rsidR="005E0AE5" w:rsidP="00ED47B5" w:rsidRDefault="005E0AE5" w14:paraId="451F0560" w14:textId="77777777">
      <w:pPr>
        <w:keepNext/>
        <w:spacing w:after="0" w:line="240" w:lineRule="auto"/>
        <w:rPr>
          <w:rFonts w:ascii="Times New Roman" w:hAnsi="Times New Roman" w:cs="Times New Roman"/>
        </w:rPr>
      </w:pPr>
    </w:p>
    <w:p w:rsidRPr="00C2595C" w:rsidR="00B25562" w:rsidP="00ED4316" w:rsidRDefault="00B25562" w14:paraId="4541E44B" w14:textId="3998269E">
      <w:pPr>
        <w:spacing w:after="0" w:line="240" w:lineRule="auto"/>
        <w:rPr>
          <w:rFonts w:ascii="Times New Roman" w:hAnsi="Times New Roman" w:cs="Times New Roman"/>
          <w:b/>
        </w:rPr>
      </w:pPr>
      <w:r w:rsidRPr="00C2595C">
        <w:rPr>
          <w:rFonts w:ascii="Times New Roman" w:hAnsi="Times New Roman" w:cs="Times New Roman"/>
          <w:b/>
        </w:rPr>
        <w:t xml:space="preserve">Universe of RMP </w:t>
      </w:r>
      <w:r w:rsidRPr="00C2595C" w:rsidR="007846A1">
        <w:rPr>
          <w:rFonts w:ascii="Times New Roman" w:hAnsi="Times New Roman" w:cs="Times New Roman"/>
          <w:b/>
        </w:rPr>
        <w:t>Facilit</w:t>
      </w:r>
      <w:r w:rsidRPr="00C2595C" w:rsidR="00A12D27">
        <w:rPr>
          <w:rFonts w:ascii="Times New Roman" w:hAnsi="Times New Roman" w:cs="Times New Roman"/>
          <w:b/>
        </w:rPr>
        <w:t>ies</w:t>
      </w:r>
    </w:p>
    <w:p w:rsidRPr="00C2595C" w:rsidR="00292881" w:rsidP="00D936AC" w:rsidRDefault="00362205" w14:paraId="7FC17EDE" w14:textId="00FF8E3C">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Approximately 11,740 facilities have filed current RMPs with EPA and are potentially affected by the proposed rule. These facilities range from petroleum refineries and large chemical manufacturers to water and wastewater treatment systems; chemical and petroleum wholesalers and terminals; food manufacturers, packing plants, and other cold storage facilities with ammonia refrigeration systems; agricultural chemical distributors; midstream gas plants; and a limited number of other sources that use</w:t>
      </w:r>
      <w:r w:rsidR="00D936AC">
        <w:rPr>
          <w:rFonts w:ascii="Times New Roman" w:hAnsi="Times New Roman" w:cs="Times New Roman"/>
        </w:rPr>
        <w:t xml:space="preserve"> </w:t>
      </w:r>
      <w:r w:rsidRPr="00C2595C" w:rsidR="005B38E8">
        <w:rPr>
          <w:rFonts w:ascii="Times New Roman" w:hAnsi="Times New Roman" w:cs="Times New Roman"/>
        </w:rPr>
        <w:t>RMP-regulated substances.</w:t>
      </w:r>
      <w:r w:rsidRPr="00C2595C" w:rsidR="00E575C0">
        <w:rPr>
          <w:rFonts w:ascii="Times New Roman" w:hAnsi="Times New Roman" w:cs="Times New Roman"/>
        </w:rPr>
        <w:t xml:space="preserve"> A</w:t>
      </w:r>
      <w:r w:rsidRPr="00C2595C" w:rsidR="005B38E8">
        <w:rPr>
          <w:rFonts w:ascii="Times New Roman" w:hAnsi="Times New Roman" w:cs="Times New Roman"/>
        </w:rPr>
        <w:t xml:space="preserve"> </w:t>
      </w:r>
      <w:r w:rsidRPr="00C2595C" w:rsidR="00941633">
        <w:rPr>
          <w:rFonts w:ascii="Times New Roman" w:hAnsi="Times New Roman" w:cs="Times New Roman"/>
        </w:rPr>
        <w:t>table of</w:t>
      </w:r>
      <w:r w:rsidRPr="00C2595C" w:rsidR="005B38E8">
        <w:rPr>
          <w:rFonts w:ascii="Times New Roman" w:hAnsi="Times New Roman" w:cs="Times New Roman"/>
        </w:rPr>
        <w:t xml:space="preserve"> the number of </w:t>
      </w:r>
      <w:r w:rsidRPr="00C2595C" w:rsidR="00941633">
        <w:rPr>
          <w:rFonts w:ascii="Times New Roman" w:hAnsi="Times New Roman" w:cs="Times New Roman"/>
        </w:rPr>
        <w:t xml:space="preserve">affected </w:t>
      </w:r>
      <w:r w:rsidRPr="00C2595C" w:rsidR="005B38E8">
        <w:rPr>
          <w:rFonts w:ascii="Times New Roman" w:hAnsi="Times New Roman" w:cs="Times New Roman"/>
        </w:rPr>
        <w:t xml:space="preserve">facilities by sector and </w:t>
      </w:r>
      <w:r w:rsidRPr="00C2595C" w:rsidR="00941633">
        <w:rPr>
          <w:rFonts w:ascii="Times New Roman" w:hAnsi="Times New Roman" w:cs="Times New Roman"/>
        </w:rPr>
        <w:t xml:space="preserve">NAICS </w:t>
      </w:r>
      <w:r w:rsidRPr="00C2595C" w:rsidR="00110341">
        <w:rPr>
          <w:rFonts w:ascii="Times New Roman" w:hAnsi="Times New Roman" w:cs="Times New Roman"/>
        </w:rPr>
        <w:t>code can be found in</w:t>
      </w:r>
      <w:r w:rsidRPr="00C2595C" w:rsidR="00E93077">
        <w:rPr>
          <w:rFonts w:ascii="Times New Roman" w:hAnsi="Times New Roman" w:cs="Times New Roman"/>
        </w:rPr>
        <w:t xml:space="preserve"> Exhibit 3-1</w:t>
      </w:r>
      <w:r w:rsidRPr="00C2595C" w:rsidR="005B38E8">
        <w:rPr>
          <w:rFonts w:ascii="Times New Roman" w:hAnsi="Times New Roman" w:cs="Times New Roman"/>
        </w:rPr>
        <w:t>.</w:t>
      </w:r>
    </w:p>
    <w:p w:rsidR="00EA40FD" w:rsidP="00292881" w:rsidRDefault="00EA40FD" w14:paraId="0DAFDB4A" w14:textId="77777777">
      <w:pPr>
        <w:spacing w:after="0" w:line="240" w:lineRule="auto"/>
        <w:rPr>
          <w:rFonts w:ascii="Times New Roman" w:hAnsi="Times New Roman" w:cs="Times New Roman"/>
        </w:rPr>
      </w:pPr>
    </w:p>
    <w:p w:rsidRPr="00C2595C" w:rsidR="00292881" w:rsidP="00292881" w:rsidRDefault="005B38E8" w14:paraId="50630763" w14:textId="67005429">
      <w:pPr>
        <w:spacing w:after="0" w:line="240" w:lineRule="auto"/>
        <w:rPr>
          <w:rFonts w:ascii="Times New Roman" w:hAnsi="Times New Roman" w:cs="Times New Roman"/>
          <w:b/>
        </w:rPr>
      </w:pPr>
      <w:bookmarkStart w:name="_Hlk107989068" w:id="6"/>
      <w:r w:rsidRPr="00C2595C">
        <w:rPr>
          <w:rFonts w:ascii="Times New Roman" w:hAnsi="Times New Roman" w:cs="Times New Roman"/>
          <w:b/>
        </w:rPr>
        <w:t xml:space="preserve">Summary of </w:t>
      </w:r>
      <w:r w:rsidRPr="00C2595C" w:rsidR="00A34591">
        <w:rPr>
          <w:rFonts w:ascii="Times New Roman" w:hAnsi="Times New Roman" w:cs="Times New Roman"/>
          <w:b/>
        </w:rPr>
        <w:t>Estimated Co</w:t>
      </w:r>
      <w:r w:rsidRPr="00C2595C">
        <w:rPr>
          <w:rFonts w:ascii="Times New Roman" w:hAnsi="Times New Roman" w:cs="Times New Roman"/>
          <w:b/>
        </w:rPr>
        <w:t>sts</w:t>
      </w:r>
    </w:p>
    <w:p w:rsidRPr="00C2595C" w:rsidR="005B38E8" w:rsidP="00281014" w:rsidRDefault="00362205" w14:paraId="64FA1F48" w14:textId="4DDD7C05">
      <w:pPr>
        <w:spacing w:after="0" w:line="240" w:lineRule="auto"/>
        <w:ind w:firstLine="360"/>
        <w:rPr>
          <w:rFonts w:ascii="Times New Roman" w:hAnsi="Times New Roman" w:cs="Times New Roman"/>
        </w:rPr>
      </w:pPr>
      <w:r>
        <w:rPr>
          <w:rFonts w:ascii="Times New Roman" w:hAnsi="Times New Roman" w:cs="Times New Roman"/>
        </w:rPr>
        <w:tab/>
      </w:r>
      <w:r w:rsidRPr="00C2595C" w:rsidR="00ED4316">
        <w:rPr>
          <w:rFonts w:ascii="Times New Roman" w:hAnsi="Times New Roman" w:cs="Times New Roman"/>
        </w:rPr>
        <w:t xml:space="preserve">Exhibit </w:t>
      </w:r>
      <w:r w:rsidRPr="00C2595C" w:rsidR="00BE2D14">
        <w:rPr>
          <w:rFonts w:ascii="Times New Roman" w:hAnsi="Times New Roman" w:cs="Times New Roman"/>
        </w:rPr>
        <w:t>ES-1</w:t>
      </w:r>
      <w:r w:rsidRPr="00C2595C" w:rsidR="005B38E8">
        <w:rPr>
          <w:rFonts w:ascii="Times New Roman" w:hAnsi="Times New Roman" w:cs="Times New Roman"/>
        </w:rPr>
        <w:t xml:space="preserve"> presents a summary of the annualized costs. In total, EPA estimates annualized costs of $7</w:t>
      </w:r>
      <w:r w:rsidRPr="00C2595C" w:rsidR="00C8766C">
        <w:rPr>
          <w:rFonts w:ascii="Times New Roman" w:hAnsi="Times New Roman" w:cs="Times New Roman"/>
        </w:rPr>
        <w:t>5.</w:t>
      </w:r>
      <w:r w:rsidR="00E127E4">
        <w:rPr>
          <w:rFonts w:ascii="Times New Roman" w:hAnsi="Times New Roman" w:cs="Times New Roman"/>
        </w:rPr>
        <w:t>8</w:t>
      </w:r>
      <w:r w:rsidRPr="00C2595C" w:rsidR="005B38E8">
        <w:rPr>
          <w:rFonts w:ascii="Times New Roman" w:hAnsi="Times New Roman" w:cs="Times New Roman"/>
        </w:rPr>
        <w:t xml:space="preserve"> million at a 3</w:t>
      </w:r>
      <w:r w:rsidRPr="00C2595C" w:rsidR="008E5876">
        <w:rPr>
          <w:rFonts w:ascii="Times New Roman" w:hAnsi="Times New Roman" w:cs="Times New Roman"/>
        </w:rPr>
        <w:t xml:space="preserve"> percent</w:t>
      </w:r>
      <w:r w:rsidRPr="00C2595C" w:rsidR="005B38E8">
        <w:rPr>
          <w:rFonts w:ascii="Times New Roman" w:hAnsi="Times New Roman" w:cs="Times New Roman"/>
        </w:rPr>
        <w:t xml:space="preserve"> discount rate and $7</w:t>
      </w:r>
      <w:r w:rsidRPr="00C2595C" w:rsidR="00C8766C">
        <w:rPr>
          <w:rFonts w:ascii="Times New Roman" w:hAnsi="Times New Roman" w:cs="Times New Roman"/>
        </w:rPr>
        <w:t>6</w:t>
      </w:r>
      <w:r w:rsidRPr="00C2595C" w:rsidR="008B73C4">
        <w:rPr>
          <w:rFonts w:ascii="Times New Roman" w:hAnsi="Times New Roman" w:cs="Times New Roman"/>
        </w:rPr>
        <w:t>.</w:t>
      </w:r>
      <w:r w:rsidR="00E127E4">
        <w:rPr>
          <w:rFonts w:ascii="Times New Roman" w:hAnsi="Times New Roman" w:cs="Times New Roman"/>
        </w:rPr>
        <w:t>7</w:t>
      </w:r>
      <w:r w:rsidRPr="00C2595C" w:rsidR="005B38E8">
        <w:rPr>
          <w:rFonts w:ascii="Times New Roman" w:hAnsi="Times New Roman" w:cs="Times New Roman"/>
        </w:rPr>
        <w:t xml:space="preserve"> million at a 7</w:t>
      </w:r>
      <w:r w:rsidRPr="00C2595C" w:rsidR="008E5876">
        <w:rPr>
          <w:rFonts w:ascii="Times New Roman" w:hAnsi="Times New Roman" w:cs="Times New Roman"/>
        </w:rPr>
        <w:t xml:space="preserve"> percent</w:t>
      </w:r>
      <w:r w:rsidRPr="00C2595C" w:rsidR="005B38E8">
        <w:rPr>
          <w:rFonts w:ascii="Times New Roman" w:hAnsi="Times New Roman" w:cs="Times New Roman"/>
        </w:rPr>
        <w:t xml:space="preserve"> discount rate</w:t>
      </w:r>
      <w:r w:rsidRPr="00C2595C" w:rsidR="00064B03">
        <w:rPr>
          <w:rFonts w:ascii="Times New Roman" w:hAnsi="Times New Roman" w:cs="Times New Roman"/>
        </w:rPr>
        <w:t xml:space="preserve"> over a 10-yea</w:t>
      </w:r>
      <w:r w:rsidRPr="00C2595C" w:rsidR="00292881">
        <w:rPr>
          <w:rFonts w:ascii="Times New Roman" w:hAnsi="Times New Roman" w:cs="Times New Roman"/>
        </w:rPr>
        <w:t>r period.</w:t>
      </w:r>
      <w:r w:rsidR="006810AA">
        <w:rPr>
          <w:rFonts w:ascii="Times New Roman" w:hAnsi="Times New Roman" w:cs="Times New Roman"/>
        </w:rPr>
        <w:t xml:space="preserve"> </w:t>
      </w:r>
      <w:r w:rsidRPr="00C2595C" w:rsidR="006810AA">
        <w:rPr>
          <w:rFonts w:ascii="Times New Roman" w:hAnsi="Times New Roman" w:cs="Times New Roman"/>
        </w:rPr>
        <w:t>The provision</w:t>
      </w:r>
      <w:r w:rsidR="00603F0A">
        <w:rPr>
          <w:rFonts w:ascii="Times New Roman" w:hAnsi="Times New Roman" w:cs="Times New Roman"/>
        </w:rPr>
        <w:t>s</w:t>
      </w:r>
      <w:r w:rsidRPr="00C2595C" w:rsidR="006810AA">
        <w:rPr>
          <w:rFonts w:ascii="Times New Roman" w:hAnsi="Times New Roman" w:cs="Times New Roman"/>
        </w:rPr>
        <w:t xml:space="preserve"> associated with the largest annualized cost </w:t>
      </w:r>
      <w:r w:rsidR="005E1114">
        <w:rPr>
          <w:rFonts w:ascii="Times New Roman" w:hAnsi="Times New Roman" w:cs="Times New Roman"/>
        </w:rPr>
        <w:t xml:space="preserve">at a 3 percent </w:t>
      </w:r>
      <w:r w:rsidR="003E1ADB">
        <w:rPr>
          <w:rFonts w:ascii="Times New Roman" w:hAnsi="Times New Roman" w:cs="Times New Roman"/>
        </w:rPr>
        <w:t xml:space="preserve">discount </w:t>
      </w:r>
      <w:r w:rsidR="00603F0A">
        <w:rPr>
          <w:rFonts w:ascii="Times New Roman" w:hAnsi="Times New Roman" w:cs="Times New Roman"/>
        </w:rPr>
        <w:t xml:space="preserve">rate </w:t>
      </w:r>
      <w:r w:rsidR="00AD6F2A">
        <w:rPr>
          <w:rFonts w:ascii="Times New Roman" w:hAnsi="Times New Roman" w:cs="Times New Roman"/>
        </w:rPr>
        <w:t>are</w:t>
      </w:r>
      <w:r w:rsidRPr="00C2595C" w:rsidR="006810AA">
        <w:rPr>
          <w:rFonts w:ascii="Times New Roman" w:hAnsi="Times New Roman" w:cs="Times New Roman"/>
        </w:rPr>
        <w:t xml:space="preserve"> the STAA provision ($51.8 million), followed by third-party audits ($10.3 million), </w:t>
      </w:r>
      <w:r w:rsidRPr="005A0E64" w:rsidR="006810AA">
        <w:rPr>
          <w:rFonts w:ascii="Times New Roman" w:hAnsi="Times New Roman" w:cs="Times New Roman"/>
        </w:rPr>
        <w:t>rule familiarization ($</w:t>
      </w:r>
      <w:r w:rsidRPr="00C2595C" w:rsidR="006810AA">
        <w:rPr>
          <w:rFonts w:ascii="Times New Roman" w:hAnsi="Times New Roman" w:cs="Times New Roman"/>
        </w:rPr>
        <w:t>5.3 million</w:t>
      </w:r>
      <w:r w:rsidR="00603F0A">
        <w:rPr>
          <w:rFonts w:ascii="Times New Roman" w:hAnsi="Times New Roman" w:cs="Times New Roman"/>
        </w:rPr>
        <w:t>)</w:t>
      </w:r>
      <w:r w:rsidRPr="00C2595C" w:rsidR="006810AA">
        <w:rPr>
          <w:rFonts w:ascii="Times New Roman" w:hAnsi="Times New Roman" w:cs="Times New Roman"/>
        </w:rPr>
        <w:t xml:space="preserve">, a community notification system ($3.8 million), and information availability ($3 million). The remaining provisions impose annualized costs of less than $1 million, including employee participation ($0.9 million), root cause analysis ($0.7 million), </w:t>
      </w:r>
      <w:r w:rsidRPr="005A0E64" w:rsidR="006810AA">
        <w:rPr>
          <w:rFonts w:ascii="Times New Roman" w:hAnsi="Times New Roman" w:cs="Times New Roman"/>
        </w:rPr>
        <w:t>and emergency backup power for perimeter</w:t>
      </w:r>
      <w:r w:rsidRPr="00C2595C" w:rsidR="006810AA">
        <w:rPr>
          <w:rFonts w:ascii="Times New Roman" w:hAnsi="Times New Roman" w:cs="Times New Roman"/>
        </w:rPr>
        <w:t xml:space="preserve"> monitors used to detect RMP-regulated substances (</w:t>
      </w:r>
      <w:r w:rsidR="006810AA">
        <w:rPr>
          <w:rFonts w:ascii="Times New Roman" w:hAnsi="Times New Roman" w:cs="Times New Roman"/>
        </w:rPr>
        <w:t xml:space="preserve">less than </w:t>
      </w:r>
      <w:r w:rsidRPr="00C2595C" w:rsidR="006810AA">
        <w:rPr>
          <w:rFonts w:ascii="Times New Roman" w:hAnsi="Times New Roman" w:cs="Times New Roman"/>
        </w:rPr>
        <w:t>$0.1 million).</w:t>
      </w:r>
    </w:p>
    <w:p w:rsidRPr="00281014" w:rsidR="00281014" w:rsidP="00281014" w:rsidRDefault="00281014" w14:paraId="63E1F18D" w14:textId="44EBB82A">
      <w:pPr>
        <w:pStyle w:val="Caption"/>
        <w:jc w:val="center"/>
        <w:rPr>
          <w:rFonts w:ascii="Times New Roman" w:hAnsi="Times New Roman" w:cs="Times New Roman"/>
          <w:b/>
          <w:bCs/>
          <w:i w:val="0"/>
          <w:iCs w:val="0"/>
          <w:color w:val="auto"/>
          <w:sz w:val="22"/>
          <w:szCs w:val="22"/>
        </w:rPr>
      </w:pPr>
      <w:bookmarkStart w:name="_Toc100922733" w:id="7"/>
      <w:bookmarkStart w:name="_Toc100922739" w:id="8"/>
      <w:bookmarkStart w:name="_Hlk99526533" w:id="9"/>
      <w:r w:rsidRPr="00281014">
        <w:rPr>
          <w:rFonts w:ascii="Times New Roman" w:hAnsi="Times New Roman" w:cs="Times New Roman"/>
          <w:b/>
          <w:bCs/>
          <w:i w:val="0"/>
          <w:iCs w:val="0"/>
          <w:color w:val="auto"/>
          <w:sz w:val="22"/>
          <w:szCs w:val="22"/>
        </w:rPr>
        <w:t>Exhibit ES</w:t>
      </w:r>
      <w:r w:rsidR="00305374">
        <w:rPr>
          <w:rFonts w:ascii="Times New Roman" w:hAnsi="Times New Roman" w:cs="Times New Roman"/>
          <w:b/>
          <w:bCs/>
          <w:i w:val="0"/>
          <w:iCs w:val="0"/>
          <w:color w:val="auto"/>
          <w:sz w:val="22"/>
          <w:szCs w:val="22"/>
        </w:rPr>
        <w:noBreakHyphen/>
      </w:r>
      <w:r w:rsidR="00305374">
        <w:rPr>
          <w:rFonts w:ascii="Times New Roman" w:hAnsi="Times New Roman" w:cs="Times New Roman"/>
          <w:b/>
          <w:bCs/>
          <w:i w:val="0"/>
          <w:iCs w:val="0"/>
          <w:color w:val="auto"/>
          <w:sz w:val="22"/>
          <w:szCs w:val="22"/>
        </w:rPr>
        <w:fldChar w:fldCharType="begin"/>
      </w:r>
      <w:r w:rsidR="00305374">
        <w:rPr>
          <w:rFonts w:ascii="Times New Roman" w:hAnsi="Times New Roman" w:cs="Times New Roman"/>
          <w:b/>
          <w:bCs/>
          <w:i w:val="0"/>
          <w:iCs w:val="0"/>
          <w:color w:val="auto"/>
          <w:sz w:val="22"/>
          <w:szCs w:val="22"/>
        </w:rPr>
        <w:instrText xml:space="preserve"> SEQ Exhibit \* ARABIC \s 1 </w:instrText>
      </w:r>
      <w:r w:rsidR="00305374">
        <w:rPr>
          <w:rFonts w:ascii="Times New Roman" w:hAnsi="Times New Roman" w:cs="Times New Roman"/>
          <w:b/>
          <w:bCs/>
          <w:i w:val="0"/>
          <w:iCs w:val="0"/>
          <w:color w:val="auto"/>
          <w:sz w:val="22"/>
          <w:szCs w:val="22"/>
        </w:rPr>
        <w:fldChar w:fldCharType="separate"/>
      </w:r>
      <w:r w:rsidR="009543B3">
        <w:rPr>
          <w:rFonts w:ascii="Times New Roman" w:hAnsi="Times New Roman" w:cs="Times New Roman"/>
          <w:b/>
          <w:bCs/>
          <w:i w:val="0"/>
          <w:iCs w:val="0"/>
          <w:noProof/>
          <w:color w:val="auto"/>
          <w:sz w:val="22"/>
          <w:szCs w:val="22"/>
        </w:rPr>
        <w:t>1</w:t>
      </w:r>
      <w:r w:rsidR="00305374">
        <w:rPr>
          <w:rFonts w:ascii="Times New Roman" w:hAnsi="Times New Roman" w:cs="Times New Roman"/>
          <w:b/>
          <w:bCs/>
          <w:i w:val="0"/>
          <w:iCs w:val="0"/>
          <w:color w:val="auto"/>
          <w:sz w:val="22"/>
          <w:szCs w:val="22"/>
        </w:rPr>
        <w:fldChar w:fldCharType="end"/>
      </w:r>
      <w:r w:rsidRPr="00281014">
        <w:rPr>
          <w:rFonts w:ascii="Times New Roman" w:hAnsi="Times New Roman" w:cs="Times New Roman"/>
          <w:b/>
          <w:bCs/>
          <w:i w:val="0"/>
          <w:iCs w:val="0"/>
          <w:color w:val="auto"/>
          <w:sz w:val="22"/>
          <w:szCs w:val="22"/>
        </w:rPr>
        <w:t xml:space="preserve">. Summary of </w:t>
      </w:r>
      <w:proofErr w:type="gramStart"/>
      <w:r w:rsidRPr="00281014">
        <w:rPr>
          <w:rFonts w:ascii="Times New Roman" w:hAnsi="Times New Roman" w:cs="Times New Roman"/>
          <w:b/>
          <w:bCs/>
          <w:i w:val="0"/>
          <w:iCs w:val="0"/>
          <w:color w:val="auto"/>
          <w:sz w:val="22"/>
          <w:szCs w:val="22"/>
        </w:rPr>
        <w:t xml:space="preserve">Estimated </w:t>
      </w:r>
      <w:r w:rsidR="00256555">
        <w:rPr>
          <w:rFonts w:ascii="Times New Roman" w:hAnsi="Times New Roman" w:cs="Times New Roman"/>
          <w:b/>
          <w:bCs/>
          <w:i w:val="0"/>
          <w:iCs w:val="0"/>
          <w:color w:val="auto"/>
          <w:sz w:val="22"/>
          <w:szCs w:val="22"/>
        </w:rPr>
        <w:t xml:space="preserve"> </w:t>
      </w:r>
      <w:r w:rsidRPr="00281014">
        <w:rPr>
          <w:rFonts w:ascii="Times New Roman" w:hAnsi="Times New Roman" w:cs="Times New Roman"/>
          <w:b/>
          <w:bCs/>
          <w:i w:val="0"/>
          <w:iCs w:val="0"/>
          <w:color w:val="auto"/>
          <w:sz w:val="22"/>
          <w:szCs w:val="22"/>
        </w:rPr>
        <w:t>Costs</w:t>
      </w:r>
      <w:proofErr w:type="gramEnd"/>
      <w:r w:rsidRPr="00281014">
        <w:rPr>
          <w:rFonts w:ascii="Times New Roman" w:hAnsi="Times New Roman" w:cs="Times New Roman"/>
          <w:b/>
          <w:bCs/>
          <w:i w:val="0"/>
          <w:iCs w:val="0"/>
          <w:color w:val="auto"/>
          <w:sz w:val="22"/>
          <w:szCs w:val="22"/>
        </w:rPr>
        <w:t xml:space="preserve"> (millions, 2020 dollars).</w:t>
      </w:r>
      <w:bookmarkEnd w:id="7"/>
      <w:bookmarkEnd w:id="8"/>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24"/>
        <w:gridCol w:w="1260"/>
        <w:gridCol w:w="1530"/>
        <w:gridCol w:w="1530"/>
        <w:gridCol w:w="1260"/>
        <w:gridCol w:w="1170"/>
      </w:tblGrid>
      <w:tr w:rsidRPr="00C2595C" w:rsidR="00107287" w:rsidTr="003B2C69" w14:paraId="6919D006" w14:textId="440CF39B">
        <w:trPr>
          <w:trHeight w:val="552"/>
          <w:jc w:val="center"/>
        </w:trPr>
        <w:tc>
          <w:tcPr>
            <w:tcW w:w="2724" w:type="dxa"/>
            <w:tcBorders>
              <w:left w:val="single" w:color="000000" w:sz="6" w:space="0"/>
              <w:bottom w:val="single" w:color="000000" w:sz="6" w:space="0"/>
              <w:right w:val="single" w:color="000000" w:sz="6" w:space="0"/>
            </w:tcBorders>
            <w:shd w:val="clear" w:color="auto" w:fill="DADADA"/>
            <w:vAlign w:val="center"/>
          </w:tcPr>
          <w:p w:rsidRPr="00281014" w:rsidR="00107287" w:rsidP="00692EB0" w:rsidRDefault="00107287" w14:paraId="4EF7957E" w14:textId="4D7BBEA6">
            <w:pPr>
              <w:spacing w:after="0" w:line="240" w:lineRule="auto"/>
              <w:ind w:firstLine="79"/>
              <w:rPr>
                <w:rFonts w:ascii="Times New Roman" w:hAnsi="Times New Roman" w:cs="Times New Roman"/>
                <w:b/>
                <w:sz w:val="20"/>
                <w:szCs w:val="20"/>
              </w:rPr>
            </w:pPr>
            <w:bookmarkStart w:name="_Hlk99374606" w:id="10"/>
            <w:r w:rsidRPr="00281014">
              <w:rPr>
                <w:rFonts w:ascii="Times New Roman" w:hAnsi="Times New Roman" w:cs="Times New Roman"/>
                <w:b/>
                <w:sz w:val="20"/>
                <w:szCs w:val="20"/>
              </w:rPr>
              <w:t>Cost Elements</w:t>
            </w:r>
          </w:p>
        </w:tc>
        <w:tc>
          <w:tcPr>
            <w:tcW w:w="1260" w:type="dxa"/>
            <w:tcBorders>
              <w:left w:val="single" w:color="000000" w:sz="6" w:space="0"/>
              <w:bottom w:val="single" w:color="000000" w:sz="6" w:space="0"/>
              <w:right w:val="single" w:color="000000" w:sz="6" w:space="0"/>
            </w:tcBorders>
            <w:shd w:val="clear" w:color="auto" w:fill="DADADA"/>
            <w:vAlign w:val="center"/>
          </w:tcPr>
          <w:p w:rsidRPr="00281014" w:rsidR="00107287" w:rsidP="00C2595C" w:rsidRDefault="00107287" w14:paraId="0B2EE383" w14:textId="77777777">
            <w:pPr>
              <w:spacing w:after="0" w:line="240" w:lineRule="auto"/>
              <w:jc w:val="center"/>
              <w:rPr>
                <w:rFonts w:ascii="Times New Roman" w:hAnsi="Times New Roman" w:cs="Times New Roman"/>
                <w:b/>
                <w:sz w:val="20"/>
                <w:szCs w:val="20"/>
              </w:rPr>
            </w:pPr>
            <w:r w:rsidRPr="00281014">
              <w:rPr>
                <w:rFonts w:ascii="Times New Roman" w:hAnsi="Times New Roman" w:cs="Times New Roman"/>
                <w:b/>
                <w:sz w:val="20"/>
                <w:szCs w:val="20"/>
              </w:rPr>
              <w:t>Total Undiscounted</w:t>
            </w:r>
          </w:p>
        </w:tc>
        <w:tc>
          <w:tcPr>
            <w:tcW w:w="1530" w:type="dxa"/>
            <w:tcBorders>
              <w:left w:val="single" w:color="000000" w:sz="6" w:space="0"/>
              <w:bottom w:val="single" w:color="000000" w:sz="6" w:space="0"/>
              <w:right w:val="single" w:color="000000" w:sz="6" w:space="0"/>
            </w:tcBorders>
            <w:shd w:val="clear" w:color="auto" w:fill="DADADA"/>
            <w:vAlign w:val="center"/>
          </w:tcPr>
          <w:p w:rsidR="00107287" w:rsidP="00C2595C" w:rsidRDefault="00107287" w14:paraId="076372C1"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Total </w:t>
            </w:r>
          </w:p>
          <w:p w:rsidR="00107287" w:rsidP="00C2595C" w:rsidRDefault="00107287" w14:paraId="6C3A819D"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Discounted</w:t>
            </w:r>
          </w:p>
          <w:p w:rsidRPr="00281014" w:rsidR="00107287" w:rsidP="00C2595C" w:rsidRDefault="00107287" w14:paraId="20DACFD0" w14:textId="0D3603BF">
            <w:pPr>
              <w:spacing w:after="0" w:line="240" w:lineRule="auto"/>
              <w:ind w:right="85"/>
              <w:jc w:val="center"/>
              <w:rPr>
                <w:rFonts w:ascii="Times New Roman" w:hAnsi="Times New Roman" w:cs="Times New Roman"/>
                <w:b/>
                <w:sz w:val="20"/>
                <w:szCs w:val="20"/>
              </w:rPr>
            </w:pPr>
            <w:r>
              <w:rPr>
                <w:rFonts w:ascii="Times New Roman" w:hAnsi="Times New Roman" w:cs="Times New Roman"/>
                <w:b/>
                <w:sz w:val="20"/>
                <w:szCs w:val="20"/>
              </w:rPr>
              <w:t xml:space="preserve"> </w:t>
            </w:r>
            <w:r w:rsidRPr="00281014">
              <w:rPr>
                <w:rFonts w:ascii="Times New Roman" w:hAnsi="Times New Roman" w:cs="Times New Roman"/>
                <w:b/>
                <w:sz w:val="20"/>
                <w:szCs w:val="20"/>
              </w:rPr>
              <w:t>(3%)</w:t>
            </w:r>
          </w:p>
        </w:tc>
        <w:tc>
          <w:tcPr>
            <w:tcW w:w="1530" w:type="dxa"/>
            <w:tcBorders>
              <w:left w:val="single" w:color="000000" w:sz="6" w:space="0"/>
              <w:bottom w:val="single" w:color="000000" w:sz="6" w:space="0"/>
              <w:right w:val="single" w:color="000000" w:sz="6" w:space="0"/>
            </w:tcBorders>
            <w:shd w:val="clear" w:color="auto" w:fill="DADADA"/>
            <w:vAlign w:val="center"/>
          </w:tcPr>
          <w:p w:rsidR="00107287" w:rsidP="00C2595C" w:rsidRDefault="00107287" w14:paraId="495972FD"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Total </w:t>
            </w:r>
          </w:p>
          <w:p w:rsidR="00107287" w:rsidP="00C2595C" w:rsidRDefault="00107287" w14:paraId="31C90941"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Discounted </w:t>
            </w:r>
          </w:p>
          <w:p w:rsidRPr="00281014" w:rsidR="00107287" w:rsidP="00C2595C" w:rsidRDefault="00107287" w14:paraId="05633363" w14:textId="079D1F5E">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(7%)</w:t>
            </w:r>
          </w:p>
        </w:tc>
        <w:tc>
          <w:tcPr>
            <w:tcW w:w="1260" w:type="dxa"/>
            <w:tcBorders>
              <w:left w:val="single" w:color="000000" w:sz="6" w:space="0"/>
              <w:bottom w:val="single" w:color="000000" w:sz="6" w:space="0"/>
              <w:right w:val="single" w:color="000000" w:sz="6" w:space="0"/>
            </w:tcBorders>
            <w:shd w:val="clear" w:color="auto" w:fill="DADADA"/>
            <w:vAlign w:val="center"/>
          </w:tcPr>
          <w:p w:rsidRPr="00281014" w:rsidR="00107287" w:rsidP="00C2595C" w:rsidRDefault="00107287" w14:paraId="49B701C1" w14:textId="4370FDE7">
            <w:pPr>
              <w:spacing w:after="0" w:line="240" w:lineRule="auto"/>
              <w:ind w:right="108"/>
              <w:jc w:val="center"/>
              <w:rPr>
                <w:rFonts w:ascii="Times New Roman" w:hAnsi="Times New Roman" w:cs="Times New Roman"/>
                <w:sz w:val="20"/>
                <w:szCs w:val="20"/>
              </w:rPr>
            </w:pPr>
            <w:r w:rsidRPr="00281014">
              <w:rPr>
                <w:rFonts w:ascii="Times New Roman" w:hAnsi="Times New Roman" w:cs="Times New Roman"/>
                <w:b/>
                <w:sz w:val="20"/>
                <w:szCs w:val="20"/>
              </w:rPr>
              <w:t>Annualized (3%)</w:t>
            </w:r>
          </w:p>
        </w:tc>
        <w:tc>
          <w:tcPr>
            <w:tcW w:w="1170" w:type="dxa"/>
            <w:tcBorders>
              <w:left w:val="single" w:color="000000" w:sz="6" w:space="0"/>
              <w:bottom w:val="single" w:color="000000" w:sz="6" w:space="0"/>
              <w:right w:val="single" w:color="000000" w:sz="6" w:space="0"/>
            </w:tcBorders>
            <w:shd w:val="clear" w:color="auto" w:fill="DADADA"/>
            <w:vAlign w:val="center"/>
          </w:tcPr>
          <w:p w:rsidRPr="00281014" w:rsidR="00107287" w:rsidP="00C2595C" w:rsidRDefault="00107287" w14:paraId="0CCB2A13" w14:textId="77777777">
            <w:pPr>
              <w:spacing w:after="0" w:line="240" w:lineRule="auto"/>
              <w:ind w:right="78"/>
              <w:jc w:val="center"/>
              <w:rPr>
                <w:rFonts w:ascii="Times New Roman" w:hAnsi="Times New Roman" w:cs="Times New Roman"/>
                <w:b/>
                <w:sz w:val="20"/>
                <w:szCs w:val="20"/>
              </w:rPr>
            </w:pPr>
            <w:r w:rsidRPr="00281014">
              <w:rPr>
                <w:rFonts w:ascii="Times New Roman" w:hAnsi="Times New Roman" w:cs="Times New Roman"/>
                <w:b/>
                <w:sz w:val="20"/>
                <w:szCs w:val="20"/>
              </w:rPr>
              <w:t>Annualized (7%)</w:t>
            </w:r>
          </w:p>
        </w:tc>
      </w:tr>
      <w:tr w:rsidRPr="00C2595C" w:rsidR="00107287" w:rsidTr="003B2C69" w14:paraId="33F6CD88" w14:textId="245A9BE1">
        <w:trPr>
          <w:trHeight w:val="285"/>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656896FA" w14:textId="06850825">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Rule Familiarization</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874D793" w14:textId="38962AAA">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$46.5</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57F0BAD" w14:textId="73EF9093">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$45.2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65EFCDA1" w14:textId="488A48EB">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$43.5</w:t>
            </w:r>
          </w:p>
        </w:tc>
        <w:tc>
          <w:tcPr>
            <w:tcW w:w="1260" w:type="dxa"/>
            <w:tcBorders>
              <w:top w:val="single" w:color="000000" w:sz="6" w:space="0"/>
              <w:left w:val="single" w:color="000000" w:sz="6" w:space="0"/>
              <w:bottom w:val="single" w:color="000000" w:sz="6" w:space="0"/>
              <w:right w:val="single" w:color="000000" w:sz="6" w:space="0"/>
            </w:tcBorders>
            <w:vAlign w:val="center"/>
          </w:tcPr>
          <w:p w:rsidRPr="0055616D" w:rsidR="00107287" w:rsidP="00D243A1" w:rsidRDefault="00107287" w14:paraId="3BB074E7" w14:textId="7C1C4066">
            <w:pPr>
              <w:spacing w:after="0" w:line="240" w:lineRule="auto"/>
              <w:jc w:val="center"/>
              <w:rPr>
                <w:rFonts w:ascii="Times New Roman" w:hAnsi="Times New Roman" w:cs="Times New Roman"/>
                <w:sz w:val="20"/>
                <w:szCs w:val="20"/>
              </w:rPr>
            </w:pPr>
            <w:r w:rsidRPr="0055616D">
              <w:rPr>
                <w:rFonts w:ascii="Times New Roman" w:hAnsi="Times New Roman" w:cs="Times New Roman"/>
                <w:sz w:val="20"/>
                <w:szCs w:val="20"/>
              </w:rPr>
              <w:t>$5.3</w:t>
            </w:r>
          </w:p>
        </w:tc>
        <w:tc>
          <w:tcPr>
            <w:tcW w:w="1170" w:type="dxa"/>
            <w:tcBorders>
              <w:top w:val="single" w:color="000000" w:sz="6" w:space="0"/>
              <w:left w:val="single" w:color="000000" w:sz="6" w:space="0"/>
              <w:bottom w:val="single" w:color="000000" w:sz="6" w:space="0"/>
              <w:right w:val="single" w:color="000000" w:sz="6" w:space="0"/>
            </w:tcBorders>
            <w:vAlign w:val="center"/>
          </w:tcPr>
          <w:p w:rsidRPr="0055616D" w:rsidR="00107287" w:rsidP="00D243A1" w:rsidRDefault="00107287" w14:paraId="7B818C78" w14:textId="62DF91DF">
            <w:pPr>
              <w:spacing w:after="0" w:line="240" w:lineRule="auto"/>
              <w:ind w:left="75" w:right="59"/>
              <w:jc w:val="center"/>
              <w:rPr>
                <w:rFonts w:ascii="Times New Roman" w:hAnsi="Times New Roman" w:cs="Times New Roman"/>
                <w:sz w:val="20"/>
                <w:szCs w:val="20"/>
              </w:rPr>
            </w:pPr>
            <w:r w:rsidRPr="0055616D">
              <w:rPr>
                <w:rFonts w:ascii="Times New Roman" w:hAnsi="Times New Roman" w:cs="Times New Roman"/>
                <w:sz w:val="20"/>
                <w:szCs w:val="20"/>
              </w:rPr>
              <w:t>$6.2</w:t>
            </w:r>
          </w:p>
        </w:tc>
      </w:tr>
      <w:tr w:rsidRPr="00C2595C" w:rsidR="00107287" w:rsidTr="003B2C69" w14:paraId="31C5A4D2" w14:textId="0DB31D5F">
        <w:trPr>
          <w:trHeight w:val="285"/>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4A2E9A80" w14:textId="6A00FA2A">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Safer Technology Alternatives Analysis</w:t>
            </w:r>
            <w:r w:rsidR="005E1114">
              <w:rPr>
                <w:rFonts w:ascii="Times New Roman" w:hAnsi="Times New Roman" w:cs="Times New Roman"/>
                <w:sz w:val="20"/>
                <w:szCs w:val="20"/>
              </w:rPr>
              <w:t xml:space="preserve"> (STAA)</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8E9F671" w14:textId="43D5B014">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$518.2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42A03401" w14:textId="77D0B6D2">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$442.0</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16F7D405" w14:textId="1D02820A">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$364.0</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C8D8C7F" w14:textId="044374E8">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$51.8</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1D53C552" w14:textId="2AE88F65">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$51.8</w:t>
            </w:r>
          </w:p>
        </w:tc>
      </w:tr>
      <w:tr w:rsidRPr="00C2595C" w:rsidR="00107287" w:rsidTr="003B2C69" w14:paraId="78FB2025" w14:textId="71D2CFF8">
        <w:trPr>
          <w:trHeight w:val="285"/>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427793D" w14:textId="38D9E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Root Cause Analysis</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2962FBFE" w14:textId="1A919966">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$7.3</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556A093A" w14:textId="5EB69760">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$6.2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5FF0DA9F" w14:textId="1DDA15FE">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$5.1</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5FFFCD3" w14:textId="528A7C20">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$0.7</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892F62E" w14:textId="25C8C313">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$0.7</w:t>
            </w:r>
          </w:p>
        </w:tc>
      </w:tr>
      <w:tr w:rsidRPr="00C2595C" w:rsidR="00107287" w:rsidTr="003B2C69" w14:paraId="0AE03070" w14:textId="08DCB407">
        <w:trPr>
          <w:trHeight w:val="285"/>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1E4E6E11"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Third-party Audits</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41E14DA1" w14:textId="2AF276D9">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$102.7</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B6BEFF4" w14:textId="4AED389D">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$87.6</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6E15501" w14:textId="6AD0BFAA">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$72.1</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D8700D3" w14:textId="49C43606">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$10.3</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F37630F" w14:textId="081D12A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$10.3</w:t>
            </w:r>
          </w:p>
        </w:tc>
      </w:tr>
      <w:tr w:rsidRPr="00C2595C" w:rsidR="00107287" w:rsidTr="003B2C69" w14:paraId="2B9D217D" w14:textId="55D3C367">
        <w:trPr>
          <w:trHeight w:val="282"/>
          <w:jc w:val="center"/>
        </w:trPr>
        <w:tc>
          <w:tcPr>
            <w:tcW w:w="2724" w:type="dxa"/>
            <w:tcBorders>
              <w:top w:val="single" w:color="000000" w:sz="6" w:space="0"/>
              <w:left w:val="single" w:color="000000" w:sz="6" w:space="0"/>
              <w:right w:val="single" w:color="000000" w:sz="6" w:space="0"/>
            </w:tcBorders>
            <w:vAlign w:val="center"/>
          </w:tcPr>
          <w:p w:rsidRPr="00281014" w:rsidR="00107287" w:rsidP="00D243A1" w:rsidRDefault="00107287" w14:paraId="55AEE113" w14:textId="790EF6E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Employee Participation Plan</w:t>
            </w:r>
          </w:p>
        </w:tc>
        <w:tc>
          <w:tcPr>
            <w:tcW w:w="1260" w:type="dxa"/>
            <w:tcBorders>
              <w:top w:val="single" w:color="000000" w:sz="6" w:space="0"/>
              <w:left w:val="single" w:color="000000" w:sz="6" w:space="0"/>
              <w:right w:val="single" w:color="000000" w:sz="6" w:space="0"/>
            </w:tcBorders>
            <w:vAlign w:val="center"/>
          </w:tcPr>
          <w:p w:rsidRPr="00281014" w:rsidR="00107287" w:rsidP="00D243A1" w:rsidRDefault="00107287" w14:paraId="30FD6C12" w14:textId="4E2304D0">
            <w:pPr>
              <w:spacing w:after="0" w:line="240" w:lineRule="auto"/>
              <w:ind w:left="131" w:right="115"/>
              <w:jc w:val="center"/>
              <w:rPr>
                <w:rFonts w:ascii="Times New Roman" w:hAnsi="Times New Roman" w:cs="Times New Roman"/>
                <w:sz w:val="20"/>
                <w:szCs w:val="20"/>
              </w:rPr>
            </w:pPr>
            <w:r w:rsidRPr="00281014">
              <w:rPr>
                <w:rFonts w:ascii="Times New Roman" w:hAnsi="Times New Roman" w:cs="Times New Roman"/>
                <w:sz w:val="20"/>
                <w:szCs w:val="20"/>
              </w:rPr>
              <w:t>$8.6</w:t>
            </w:r>
          </w:p>
        </w:tc>
        <w:tc>
          <w:tcPr>
            <w:tcW w:w="1530" w:type="dxa"/>
            <w:tcBorders>
              <w:top w:val="single" w:color="000000" w:sz="6" w:space="0"/>
              <w:left w:val="single" w:color="000000" w:sz="6" w:space="0"/>
              <w:right w:val="single" w:color="000000" w:sz="6" w:space="0"/>
            </w:tcBorders>
            <w:vAlign w:val="center"/>
          </w:tcPr>
          <w:p w:rsidRPr="00281014" w:rsidR="00107287" w:rsidP="00D243A1" w:rsidRDefault="00107287" w14:paraId="0527C409" w14:textId="307C7402">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$7.3</w:t>
            </w:r>
          </w:p>
        </w:tc>
        <w:tc>
          <w:tcPr>
            <w:tcW w:w="1530" w:type="dxa"/>
            <w:tcBorders>
              <w:top w:val="single" w:color="000000" w:sz="6" w:space="0"/>
              <w:left w:val="single" w:color="000000" w:sz="6" w:space="0"/>
              <w:right w:val="single" w:color="000000" w:sz="6" w:space="0"/>
            </w:tcBorders>
            <w:vAlign w:val="center"/>
          </w:tcPr>
          <w:p w:rsidRPr="00281014" w:rsidR="00107287" w:rsidP="00D243A1" w:rsidRDefault="00107287" w14:paraId="61984A69" w14:textId="317B3F67">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$6.0</w:t>
            </w:r>
          </w:p>
        </w:tc>
        <w:tc>
          <w:tcPr>
            <w:tcW w:w="1260" w:type="dxa"/>
            <w:tcBorders>
              <w:top w:val="single" w:color="000000" w:sz="6" w:space="0"/>
              <w:left w:val="single" w:color="000000" w:sz="6" w:space="0"/>
              <w:right w:val="single" w:color="000000" w:sz="6" w:space="0"/>
            </w:tcBorders>
            <w:vAlign w:val="center"/>
          </w:tcPr>
          <w:p w:rsidRPr="00281014" w:rsidR="00107287" w:rsidP="00D243A1" w:rsidRDefault="00107287" w14:paraId="2A6B8061" w14:textId="603C219E">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$0.9</w:t>
            </w:r>
          </w:p>
        </w:tc>
        <w:tc>
          <w:tcPr>
            <w:tcW w:w="1170" w:type="dxa"/>
            <w:tcBorders>
              <w:top w:val="single" w:color="000000" w:sz="6" w:space="0"/>
              <w:left w:val="single" w:color="000000" w:sz="6" w:space="0"/>
              <w:right w:val="single" w:color="000000" w:sz="6" w:space="0"/>
            </w:tcBorders>
            <w:vAlign w:val="center"/>
          </w:tcPr>
          <w:p w:rsidRPr="00281014" w:rsidR="00107287" w:rsidP="00D243A1" w:rsidRDefault="00107287" w14:paraId="7928C1BB" w14:textId="7DE28402">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$0.9</w:t>
            </w:r>
          </w:p>
        </w:tc>
      </w:tr>
      <w:tr w:rsidRPr="00C2595C" w:rsidR="00107287" w:rsidTr="003B2C69" w14:paraId="5E58BC8E" w14:textId="05D613CA">
        <w:trPr>
          <w:trHeight w:val="552"/>
          <w:jc w:val="center"/>
        </w:trPr>
        <w:tc>
          <w:tcPr>
            <w:tcW w:w="2724" w:type="dxa"/>
            <w:tcBorders>
              <w:left w:val="single" w:color="000000" w:sz="6" w:space="0"/>
              <w:bottom w:val="single" w:color="000000" w:sz="6" w:space="0"/>
              <w:right w:val="single" w:color="000000" w:sz="6" w:space="0"/>
            </w:tcBorders>
            <w:vAlign w:val="center"/>
          </w:tcPr>
          <w:p w:rsidRPr="00281014" w:rsidR="00107287" w:rsidP="00D243A1" w:rsidRDefault="00107287" w14:paraId="461A8A4F" w14:textId="1F53CAD1">
            <w:pPr>
              <w:spacing w:after="0" w:line="240" w:lineRule="auto"/>
              <w:ind w:left="112" w:right="85"/>
              <w:rPr>
                <w:rFonts w:ascii="Times New Roman" w:hAnsi="Times New Roman" w:cs="Times New Roman"/>
                <w:sz w:val="20"/>
                <w:szCs w:val="20"/>
              </w:rPr>
            </w:pPr>
            <w:r w:rsidRPr="00281014">
              <w:rPr>
                <w:rFonts w:ascii="Times New Roman" w:hAnsi="Times New Roman" w:cs="Times New Roman"/>
                <w:sz w:val="20"/>
                <w:szCs w:val="20"/>
              </w:rPr>
              <w:t>Backup Power for Perimeter Monitors</w:t>
            </w:r>
          </w:p>
        </w:tc>
        <w:tc>
          <w:tcPr>
            <w:tcW w:w="1260" w:type="dxa"/>
            <w:tcBorders>
              <w:left w:val="single" w:color="000000" w:sz="6" w:space="0"/>
              <w:bottom w:val="single" w:color="000000" w:sz="6" w:space="0"/>
              <w:right w:val="single" w:color="000000" w:sz="6" w:space="0"/>
            </w:tcBorders>
            <w:vAlign w:val="center"/>
          </w:tcPr>
          <w:p w:rsidRPr="0055616D" w:rsidR="00107287" w:rsidP="00D243A1" w:rsidRDefault="00107287" w14:paraId="0338C0A2" w14:textId="604C19F7">
            <w:pPr>
              <w:spacing w:after="0" w:line="240" w:lineRule="auto"/>
              <w:ind w:left="131" w:right="115"/>
              <w:jc w:val="center"/>
              <w:rPr>
                <w:rFonts w:ascii="Times New Roman" w:hAnsi="Times New Roman" w:cs="Times New Roman"/>
                <w:sz w:val="20"/>
                <w:szCs w:val="20"/>
              </w:rPr>
            </w:pPr>
            <w:r w:rsidRPr="0055616D">
              <w:rPr>
                <w:rFonts w:ascii="Times New Roman" w:hAnsi="Times New Roman" w:cs="Times New Roman"/>
                <w:sz w:val="20"/>
                <w:szCs w:val="20"/>
              </w:rPr>
              <w:t>$</w:t>
            </w:r>
            <w:r w:rsidR="001D15F1">
              <w:rPr>
                <w:rFonts w:ascii="Times New Roman" w:hAnsi="Times New Roman" w:cs="Times New Roman"/>
                <w:sz w:val="20"/>
                <w:szCs w:val="20"/>
              </w:rPr>
              <w:t>.</w:t>
            </w:r>
            <w:r w:rsidRPr="0055616D" w:rsidR="0080097F">
              <w:rPr>
                <w:rFonts w:ascii="Times New Roman" w:hAnsi="Times New Roman" w:cs="Times New Roman"/>
                <w:sz w:val="20"/>
                <w:szCs w:val="20"/>
              </w:rPr>
              <w:t>4</w:t>
            </w:r>
          </w:p>
        </w:tc>
        <w:tc>
          <w:tcPr>
            <w:tcW w:w="1530" w:type="dxa"/>
            <w:tcBorders>
              <w:left w:val="single" w:color="000000" w:sz="6" w:space="0"/>
              <w:bottom w:val="single" w:color="000000" w:sz="6" w:space="0"/>
              <w:right w:val="single" w:color="000000" w:sz="6" w:space="0"/>
            </w:tcBorders>
            <w:vAlign w:val="center"/>
          </w:tcPr>
          <w:p w:rsidRPr="0055616D" w:rsidR="00107287" w:rsidP="00D243A1" w:rsidRDefault="00107287" w14:paraId="3342C8B7" w14:textId="628CF0FF">
            <w:pPr>
              <w:spacing w:after="0" w:line="240" w:lineRule="auto"/>
              <w:ind w:left="453" w:right="437"/>
              <w:jc w:val="center"/>
              <w:rPr>
                <w:rFonts w:ascii="Times New Roman" w:hAnsi="Times New Roman" w:cs="Times New Roman"/>
                <w:sz w:val="20"/>
                <w:szCs w:val="20"/>
              </w:rPr>
            </w:pPr>
            <w:r w:rsidRPr="0055616D">
              <w:rPr>
                <w:rFonts w:ascii="Times New Roman" w:hAnsi="Times New Roman" w:cs="Times New Roman"/>
                <w:sz w:val="20"/>
                <w:szCs w:val="20"/>
              </w:rPr>
              <w:t>$0.</w:t>
            </w:r>
            <w:r w:rsidR="00F71B55">
              <w:rPr>
                <w:rFonts w:ascii="Times New Roman" w:hAnsi="Times New Roman" w:cs="Times New Roman"/>
                <w:sz w:val="20"/>
                <w:szCs w:val="20"/>
              </w:rPr>
              <w:t>4</w:t>
            </w:r>
          </w:p>
        </w:tc>
        <w:tc>
          <w:tcPr>
            <w:tcW w:w="1530" w:type="dxa"/>
            <w:tcBorders>
              <w:left w:val="single" w:color="000000" w:sz="6" w:space="0"/>
              <w:bottom w:val="single" w:color="000000" w:sz="6" w:space="0"/>
              <w:right w:val="single" w:color="000000" w:sz="6" w:space="0"/>
            </w:tcBorders>
            <w:vAlign w:val="center"/>
          </w:tcPr>
          <w:p w:rsidRPr="0055616D" w:rsidR="00107287" w:rsidP="00D243A1" w:rsidRDefault="00107287" w14:paraId="241AE15C" w14:textId="54063F6D">
            <w:pPr>
              <w:spacing w:after="0" w:line="240" w:lineRule="auto"/>
              <w:ind w:left="453" w:right="437"/>
              <w:jc w:val="center"/>
              <w:rPr>
                <w:rFonts w:ascii="Times New Roman" w:hAnsi="Times New Roman" w:cs="Times New Roman"/>
                <w:sz w:val="20"/>
                <w:szCs w:val="20"/>
              </w:rPr>
            </w:pPr>
            <w:r w:rsidRPr="0055616D">
              <w:rPr>
                <w:rFonts w:ascii="Times New Roman" w:hAnsi="Times New Roman" w:cs="Times New Roman"/>
                <w:sz w:val="20"/>
                <w:szCs w:val="20"/>
              </w:rPr>
              <w:t>$0.</w:t>
            </w:r>
            <w:r w:rsidR="00095FCE">
              <w:rPr>
                <w:rFonts w:ascii="Times New Roman" w:hAnsi="Times New Roman" w:cs="Times New Roman"/>
                <w:sz w:val="20"/>
                <w:szCs w:val="20"/>
              </w:rPr>
              <w:t>4</w:t>
            </w:r>
          </w:p>
        </w:tc>
        <w:tc>
          <w:tcPr>
            <w:tcW w:w="1260" w:type="dxa"/>
            <w:tcBorders>
              <w:left w:val="single" w:color="000000" w:sz="6" w:space="0"/>
              <w:bottom w:val="single" w:color="000000" w:sz="6" w:space="0"/>
              <w:right w:val="single" w:color="000000" w:sz="6" w:space="0"/>
            </w:tcBorders>
            <w:vAlign w:val="center"/>
          </w:tcPr>
          <w:p w:rsidRPr="0055616D" w:rsidR="00107287" w:rsidP="00D243A1" w:rsidRDefault="00107287" w14:paraId="36445ED7" w14:textId="0EBC1BCE">
            <w:pPr>
              <w:spacing w:after="0" w:line="240" w:lineRule="auto"/>
              <w:jc w:val="center"/>
              <w:rPr>
                <w:rFonts w:ascii="Times New Roman" w:hAnsi="Times New Roman" w:cs="Times New Roman"/>
                <w:sz w:val="20"/>
                <w:szCs w:val="20"/>
              </w:rPr>
            </w:pPr>
            <w:r w:rsidRPr="0055616D">
              <w:rPr>
                <w:rFonts w:ascii="Times New Roman" w:hAnsi="Times New Roman" w:cs="Times New Roman"/>
                <w:sz w:val="20"/>
                <w:szCs w:val="20"/>
              </w:rPr>
              <w:t>$0.0**</w:t>
            </w:r>
          </w:p>
        </w:tc>
        <w:tc>
          <w:tcPr>
            <w:tcW w:w="1170" w:type="dxa"/>
            <w:tcBorders>
              <w:left w:val="single" w:color="000000" w:sz="6" w:space="0"/>
              <w:bottom w:val="single" w:color="000000" w:sz="6" w:space="0"/>
              <w:right w:val="single" w:color="000000" w:sz="6" w:space="0"/>
            </w:tcBorders>
            <w:vAlign w:val="center"/>
          </w:tcPr>
          <w:p w:rsidRPr="0055616D" w:rsidR="00107287" w:rsidP="00D243A1" w:rsidRDefault="00107287" w14:paraId="77F71E77" w14:textId="61837431">
            <w:pPr>
              <w:spacing w:after="0" w:line="240" w:lineRule="auto"/>
              <w:ind w:left="89" w:right="58"/>
              <w:jc w:val="center"/>
              <w:rPr>
                <w:rFonts w:ascii="Times New Roman" w:hAnsi="Times New Roman" w:cs="Times New Roman"/>
                <w:sz w:val="20"/>
                <w:szCs w:val="20"/>
              </w:rPr>
            </w:pPr>
            <w:r w:rsidRPr="0055616D">
              <w:rPr>
                <w:rFonts w:ascii="Times New Roman" w:hAnsi="Times New Roman" w:cs="Times New Roman"/>
                <w:sz w:val="20"/>
                <w:szCs w:val="20"/>
              </w:rPr>
              <w:t>$0.0**</w:t>
            </w:r>
          </w:p>
        </w:tc>
      </w:tr>
      <w:tr w:rsidRPr="00C2595C" w:rsidR="00107287" w:rsidTr="003B2C69" w14:paraId="53A370AA" w14:textId="7140D41C">
        <w:trPr>
          <w:trHeight w:val="285"/>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0D468136" w14:textId="07203719">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Community Notification System</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64D79E20" w14:textId="79EE69BC">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$38.0</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EDA2397" w14:textId="4A5B3F3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$32.4</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51943C42" w14:textId="29950CCE">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$26.7</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3ED8991A" w14:textId="5618FCEC">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$3.8</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16764E38" w14:textId="17ABCB85">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$3.8</w:t>
            </w:r>
          </w:p>
        </w:tc>
      </w:tr>
      <w:tr w:rsidRPr="00C2595C" w:rsidR="00107287" w:rsidTr="003B2C69" w14:paraId="42D8F279" w14:textId="4F97AB80">
        <w:trPr>
          <w:trHeight w:val="300"/>
          <w:jc w:val="center"/>
        </w:trPr>
        <w:tc>
          <w:tcPr>
            <w:tcW w:w="2724"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40261E0C" w14:textId="34AB625E">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Information Availability</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115B889B" w14:textId="2DE97AB4">
            <w:pPr>
              <w:spacing w:after="0" w:line="240" w:lineRule="auto"/>
              <w:ind w:left="131" w:right="115"/>
              <w:jc w:val="center"/>
              <w:rPr>
                <w:rFonts w:ascii="Times New Roman" w:hAnsi="Times New Roman" w:cs="Times New Roman"/>
                <w:sz w:val="20"/>
                <w:szCs w:val="20"/>
              </w:rPr>
            </w:pPr>
            <w:r w:rsidRPr="00281014">
              <w:rPr>
                <w:rFonts w:ascii="Times New Roman" w:hAnsi="Times New Roman" w:cs="Times New Roman"/>
                <w:sz w:val="20"/>
                <w:szCs w:val="20"/>
              </w:rPr>
              <w:t>$30.3</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F945867" w14:textId="71151AF6">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$25.8</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79106D29" w14:textId="51B84BD3">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$21.3</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0638C6F1" w14:textId="2641AC41">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$3.0</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107287" w:rsidP="00D243A1" w:rsidRDefault="00107287" w14:paraId="4B34C791" w14:textId="407A01D8">
            <w:pPr>
              <w:spacing w:after="0" w:line="240" w:lineRule="auto"/>
              <w:ind w:left="89" w:right="58"/>
              <w:jc w:val="center"/>
              <w:rPr>
                <w:rFonts w:ascii="Times New Roman" w:hAnsi="Times New Roman" w:cs="Times New Roman"/>
                <w:sz w:val="20"/>
                <w:szCs w:val="20"/>
              </w:rPr>
            </w:pPr>
            <w:r w:rsidRPr="00281014">
              <w:rPr>
                <w:rFonts w:ascii="Times New Roman" w:hAnsi="Times New Roman" w:cs="Times New Roman"/>
                <w:sz w:val="20"/>
                <w:szCs w:val="20"/>
              </w:rPr>
              <w:t>$3.0</w:t>
            </w:r>
          </w:p>
        </w:tc>
      </w:tr>
      <w:tr w:rsidRPr="00C2595C" w:rsidR="00107287" w:rsidTr="003B2C69" w14:paraId="19F876F6" w14:textId="0DC5E5AB">
        <w:trPr>
          <w:trHeight w:val="282"/>
          <w:jc w:val="center"/>
        </w:trPr>
        <w:tc>
          <w:tcPr>
            <w:tcW w:w="2724" w:type="dxa"/>
            <w:tcBorders>
              <w:left w:val="single" w:color="000000" w:sz="6" w:space="0"/>
              <w:bottom w:val="single" w:color="000000" w:sz="6" w:space="0"/>
              <w:right w:val="single" w:color="000000" w:sz="6" w:space="0"/>
            </w:tcBorders>
            <w:vAlign w:val="center"/>
          </w:tcPr>
          <w:p w:rsidRPr="00281014" w:rsidR="00107287" w:rsidP="00D243A1" w:rsidRDefault="00107287" w14:paraId="7AC9D8DE" w14:textId="3641F33F">
            <w:pPr>
              <w:spacing w:after="0" w:line="240" w:lineRule="auto"/>
              <w:ind w:left="517"/>
              <w:rPr>
                <w:rFonts w:ascii="Times New Roman" w:hAnsi="Times New Roman" w:cs="Times New Roman"/>
                <w:b/>
                <w:sz w:val="20"/>
                <w:szCs w:val="20"/>
              </w:rPr>
            </w:pPr>
            <w:r w:rsidRPr="00281014">
              <w:rPr>
                <w:rFonts w:ascii="Times New Roman" w:hAnsi="Times New Roman" w:cs="Times New Roman"/>
                <w:b/>
                <w:sz w:val="20"/>
                <w:szCs w:val="20"/>
              </w:rPr>
              <w:t>Total Cost*</w:t>
            </w:r>
          </w:p>
        </w:tc>
        <w:tc>
          <w:tcPr>
            <w:tcW w:w="1260" w:type="dxa"/>
            <w:tcBorders>
              <w:left w:val="single" w:color="000000" w:sz="6" w:space="0"/>
              <w:bottom w:val="single" w:color="000000" w:sz="6" w:space="0"/>
              <w:right w:val="single" w:color="000000" w:sz="6" w:space="0"/>
            </w:tcBorders>
            <w:vAlign w:val="center"/>
          </w:tcPr>
          <w:p w:rsidRPr="00281014" w:rsidR="00107287" w:rsidP="00D243A1" w:rsidRDefault="00107287" w14:paraId="2C91B5A9" w14:textId="1CD44123">
            <w:pPr>
              <w:spacing w:after="0" w:line="240" w:lineRule="auto"/>
              <w:ind w:left="133" w:right="102"/>
              <w:jc w:val="center"/>
              <w:rPr>
                <w:rFonts w:ascii="Times New Roman" w:hAnsi="Times New Roman" w:cs="Times New Roman"/>
                <w:b/>
                <w:sz w:val="20"/>
                <w:szCs w:val="20"/>
              </w:rPr>
            </w:pPr>
            <w:r w:rsidRPr="00281014">
              <w:rPr>
                <w:rFonts w:ascii="Times New Roman" w:hAnsi="Times New Roman" w:cs="Times New Roman"/>
                <w:b/>
                <w:sz w:val="20"/>
                <w:szCs w:val="20"/>
              </w:rPr>
              <w:t>$</w:t>
            </w:r>
            <w:r w:rsidRPr="00405B56">
              <w:rPr>
                <w:rFonts w:ascii="Times New Roman" w:hAnsi="Times New Roman" w:cs="Times New Roman"/>
                <w:b/>
                <w:sz w:val="20"/>
                <w:szCs w:val="20"/>
              </w:rPr>
              <w:t>75</w:t>
            </w:r>
            <w:r w:rsidRPr="008D0837">
              <w:rPr>
                <w:rFonts w:ascii="Times New Roman" w:hAnsi="Times New Roman" w:cs="Times New Roman"/>
                <w:b/>
                <w:sz w:val="20"/>
                <w:szCs w:val="20"/>
              </w:rPr>
              <w:t>1.8</w:t>
            </w:r>
          </w:p>
        </w:tc>
        <w:tc>
          <w:tcPr>
            <w:tcW w:w="1530" w:type="dxa"/>
            <w:tcBorders>
              <w:left w:val="single" w:color="000000" w:sz="6" w:space="0"/>
              <w:bottom w:val="single" w:color="000000" w:sz="6" w:space="0"/>
              <w:right w:val="single" w:color="000000" w:sz="6" w:space="0"/>
            </w:tcBorders>
            <w:vAlign w:val="center"/>
          </w:tcPr>
          <w:p w:rsidRPr="00281014" w:rsidR="00107287" w:rsidP="00D243A1" w:rsidRDefault="00107287" w14:paraId="6CF2D55B" w14:textId="7111F1FF">
            <w:pPr>
              <w:spacing w:after="0" w:line="240" w:lineRule="auto"/>
              <w:ind w:left="468" w:right="437"/>
              <w:jc w:val="center"/>
              <w:rPr>
                <w:rFonts w:ascii="Times New Roman" w:hAnsi="Times New Roman" w:cs="Times New Roman"/>
                <w:b/>
                <w:sz w:val="20"/>
                <w:szCs w:val="20"/>
              </w:rPr>
            </w:pPr>
            <w:r w:rsidRPr="00281014">
              <w:rPr>
                <w:rFonts w:ascii="Times New Roman" w:hAnsi="Times New Roman" w:cs="Times New Roman"/>
                <w:b/>
                <w:sz w:val="20"/>
                <w:szCs w:val="20"/>
              </w:rPr>
              <w:t>$</w:t>
            </w:r>
            <w:r w:rsidRPr="00176A05">
              <w:rPr>
                <w:rFonts w:ascii="Times New Roman" w:hAnsi="Times New Roman" w:cs="Times New Roman"/>
                <w:b/>
                <w:sz w:val="20"/>
                <w:szCs w:val="20"/>
              </w:rPr>
              <w:t>64</w:t>
            </w:r>
            <w:r w:rsidRPr="008D0837">
              <w:rPr>
                <w:rFonts w:ascii="Times New Roman" w:hAnsi="Times New Roman" w:cs="Times New Roman"/>
                <w:b/>
                <w:sz w:val="20"/>
                <w:szCs w:val="20"/>
              </w:rPr>
              <w:t>6.8</w:t>
            </w:r>
          </w:p>
        </w:tc>
        <w:tc>
          <w:tcPr>
            <w:tcW w:w="1530" w:type="dxa"/>
            <w:tcBorders>
              <w:left w:val="single" w:color="000000" w:sz="6" w:space="0"/>
              <w:bottom w:val="single" w:color="000000" w:sz="6" w:space="0"/>
              <w:right w:val="single" w:color="000000" w:sz="6" w:space="0"/>
            </w:tcBorders>
            <w:vAlign w:val="center"/>
          </w:tcPr>
          <w:p w:rsidRPr="00281014" w:rsidR="00107287" w:rsidP="00D243A1" w:rsidRDefault="00107287" w14:paraId="3AEFF068" w14:textId="67B5B021">
            <w:pPr>
              <w:spacing w:after="0" w:line="240" w:lineRule="auto"/>
              <w:ind w:left="468" w:right="437"/>
              <w:jc w:val="center"/>
              <w:rPr>
                <w:rFonts w:ascii="Times New Roman" w:hAnsi="Times New Roman" w:cs="Times New Roman"/>
                <w:b/>
                <w:sz w:val="20"/>
                <w:szCs w:val="20"/>
              </w:rPr>
            </w:pPr>
            <w:r w:rsidRPr="00281014">
              <w:rPr>
                <w:rFonts w:ascii="Times New Roman" w:hAnsi="Times New Roman" w:cs="Times New Roman"/>
                <w:b/>
                <w:sz w:val="20"/>
                <w:szCs w:val="20"/>
              </w:rPr>
              <w:t>$</w:t>
            </w:r>
            <w:r w:rsidRPr="00176A05">
              <w:rPr>
                <w:rFonts w:ascii="Times New Roman" w:hAnsi="Times New Roman" w:cs="Times New Roman"/>
                <w:b/>
                <w:sz w:val="20"/>
                <w:szCs w:val="20"/>
              </w:rPr>
              <w:t>53</w:t>
            </w:r>
            <w:r w:rsidRPr="008D0837">
              <w:rPr>
                <w:rFonts w:ascii="Times New Roman" w:hAnsi="Times New Roman" w:cs="Times New Roman"/>
                <w:b/>
                <w:sz w:val="20"/>
                <w:szCs w:val="20"/>
              </w:rPr>
              <w:t>8.8</w:t>
            </w:r>
          </w:p>
        </w:tc>
        <w:tc>
          <w:tcPr>
            <w:tcW w:w="1260" w:type="dxa"/>
            <w:tcBorders>
              <w:left w:val="single" w:color="000000" w:sz="6" w:space="0"/>
              <w:bottom w:val="single" w:color="000000" w:sz="6" w:space="0"/>
              <w:right w:val="single" w:color="000000" w:sz="6" w:space="0"/>
            </w:tcBorders>
            <w:vAlign w:val="center"/>
          </w:tcPr>
          <w:p w:rsidRPr="00281014" w:rsidR="00107287" w:rsidP="00D243A1" w:rsidRDefault="00107287" w14:paraId="21E6926F" w14:textId="4032D155">
            <w:pPr>
              <w:spacing w:after="0" w:line="240" w:lineRule="auto"/>
              <w:ind w:hanging="5"/>
              <w:jc w:val="center"/>
              <w:rPr>
                <w:rFonts w:ascii="Times New Roman" w:hAnsi="Times New Roman" w:cs="Times New Roman"/>
                <w:b/>
                <w:sz w:val="20"/>
                <w:szCs w:val="20"/>
              </w:rPr>
            </w:pPr>
            <w:r w:rsidRPr="00281014">
              <w:rPr>
                <w:rFonts w:ascii="Times New Roman" w:hAnsi="Times New Roman" w:cs="Times New Roman"/>
                <w:b/>
                <w:sz w:val="20"/>
                <w:szCs w:val="20"/>
              </w:rPr>
              <w:t>$75.</w:t>
            </w:r>
            <w:r w:rsidRPr="008D0837">
              <w:rPr>
                <w:rFonts w:ascii="Times New Roman" w:hAnsi="Times New Roman" w:cs="Times New Roman"/>
                <w:b/>
                <w:sz w:val="20"/>
                <w:szCs w:val="20"/>
              </w:rPr>
              <w:t>8</w:t>
            </w:r>
          </w:p>
        </w:tc>
        <w:tc>
          <w:tcPr>
            <w:tcW w:w="1170" w:type="dxa"/>
            <w:tcBorders>
              <w:left w:val="single" w:color="000000" w:sz="6" w:space="0"/>
              <w:bottom w:val="single" w:color="000000" w:sz="6" w:space="0"/>
              <w:right w:val="single" w:color="000000" w:sz="6" w:space="0"/>
            </w:tcBorders>
            <w:vAlign w:val="center"/>
          </w:tcPr>
          <w:p w:rsidRPr="00281014" w:rsidR="00107287" w:rsidP="00D243A1" w:rsidRDefault="00107287" w14:paraId="258C7F32" w14:textId="78958091">
            <w:pPr>
              <w:spacing w:after="0" w:line="240" w:lineRule="auto"/>
              <w:ind w:left="75" w:right="59"/>
              <w:jc w:val="center"/>
              <w:rPr>
                <w:rFonts w:ascii="Times New Roman" w:hAnsi="Times New Roman" w:cs="Times New Roman"/>
                <w:b/>
                <w:sz w:val="20"/>
                <w:szCs w:val="20"/>
              </w:rPr>
            </w:pPr>
            <w:r w:rsidRPr="00281014">
              <w:rPr>
                <w:rFonts w:ascii="Times New Roman" w:hAnsi="Times New Roman" w:cs="Times New Roman"/>
                <w:b/>
                <w:sz w:val="20"/>
                <w:szCs w:val="20"/>
              </w:rPr>
              <w:t>$76.</w:t>
            </w:r>
            <w:r w:rsidRPr="008D0837">
              <w:rPr>
                <w:rFonts w:ascii="Times New Roman" w:hAnsi="Times New Roman" w:cs="Times New Roman"/>
                <w:b/>
                <w:sz w:val="20"/>
                <w:szCs w:val="20"/>
              </w:rPr>
              <w:t>7</w:t>
            </w:r>
          </w:p>
        </w:tc>
      </w:tr>
    </w:tbl>
    <w:bookmarkEnd w:id="10"/>
    <w:p w:rsidRPr="00281014" w:rsidR="005B38E8" w:rsidP="00C2595C" w:rsidRDefault="00692EB0" w14:paraId="6D23E1C7" w14:textId="653D46E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F7455">
        <w:rPr>
          <w:rFonts w:ascii="Times New Roman" w:hAnsi="Times New Roman" w:cs="Times New Roman"/>
          <w:sz w:val="18"/>
          <w:szCs w:val="18"/>
        </w:rPr>
        <w:t xml:space="preserve">         </w:t>
      </w:r>
      <w:r w:rsidRPr="00281014" w:rsidR="005B38E8">
        <w:rPr>
          <w:rFonts w:ascii="Times New Roman" w:hAnsi="Times New Roman" w:cs="Times New Roman"/>
          <w:sz w:val="18"/>
          <w:szCs w:val="18"/>
        </w:rPr>
        <w:t>*Totals may not sum due to rounding</w:t>
      </w:r>
      <w:r w:rsidRPr="00281014" w:rsidR="00E93077">
        <w:rPr>
          <w:rFonts w:ascii="Times New Roman" w:hAnsi="Times New Roman" w:cs="Times New Roman"/>
          <w:sz w:val="18"/>
          <w:szCs w:val="18"/>
        </w:rPr>
        <w:t>.</w:t>
      </w:r>
    </w:p>
    <w:p w:rsidRPr="00281014" w:rsidR="00E22913" w:rsidP="00C2595C" w:rsidRDefault="00E22913" w14:paraId="13EA4235" w14:textId="55FD03D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BF7455">
        <w:rPr>
          <w:rFonts w:ascii="Times New Roman" w:hAnsi="Times New Roman" w:cs="Times New Roman"/>
          <w:sz w:val="18"/>
          <w:szCs w:val="18"/>
        </w:rPr>
        <w:t xml:space="preserve">         </w:t>
      </w:r>
      <w:r>
        <w:rPr>
          <w:rFonts w:ascii="Times New Roman" w:hAnsi="Times New Roman" w:cs="Times New Roman"/>
          <w:sz w:val="18"/>
          <w:szCs w:val="18"/>
        </w:rPr>
        <w:t xml:space="preserve">  ** </w:t>
      </w:r>
      <w:r w:rsidR="002E032A">
        <w:rPr>
          <w:rFonts w:ascii="Times New Roman" w:hAnsi="Times New Roman" w:cs="Times New Roman"/>
          <w:sz w:val="18"/>
          <w:szCs w:val="18"/>
        </w:rPr>
        <w:t xml:space="preserve">Totals are zero due to rounding, </w:t>
      </w:r>
      <w:r>
        <w:rPr>
          <w:rFonts w:ascii="Times New Roman" w:hAnsi="Times New Roman" w:cs="Times New Roman"/>
          <w:sz w:val="18"/>
          <w:szCs w:val="18"/>
        </w:rPr>
        <w:t>Unrounded totals are</w:t>
      </w:r>
      <w:r w:rsidR="002E032A">
        <w:rPr>
          <w:rFonts w:ascii="Times New Roman" w:hAnsi="Times New Roman" w:cs="Times New Roman"/>
          <w:sz w:val="18"/>
          <w:szCs w:val="18"/>
        </w:rPr>
        <w:t xml:space="preserve"> $</w:t>
      </w:r>
      <w:r w:rsidR="00095FCE">
        <w:rPr>
          <w:rFonts w:ascii="Times New Roman" w:hAnsi="Times New Roman" w:cs="Times New Roman"/>
          <w:sz w:val="18"/>
          <w:szCs w:val="18"/>
        </w:rPr>
        <w:t>4</w:t>
      </w:r>
      <w:r w:rsidR="00FF1CCA">
        <w:rPr>
          <w:rFonts w:ascii="Times New Roman" w:hAnsi="Times New Roman" w:cs="Times New Roman"/>
          <w:sz w:val="18"/>
          <w:szCs w:val="18"/>
        </w:rPr>
        <w:t>4</w:t>
      </w:r>
      <w:r w:rsidR="002E032A">
        <w:rPr>
          <w:rFonts w:ascii="Times New Roman" w:hAnsi="Times New Roman" w:cs="Times New Roman"/>
          <w:sz w:val="18"/>
          <w:szCs w:val="18"/>
        </w:rPr>
        <w:t xml:space="preserve">,600 at 3% and </w:t>
      </w:r>
      <w:r w:rsidR="00FF1CCA">
        <w:rPr>
          <w:rFonts w:ascii="Times New Roman" w:hAnsi="Times New Roman" w:cs="Times New Roman"/>
          <w:sz w:val="18"/>
          <w:szCs w:val="18"/>
        </w:rPr>
        <w:t xml:space="preserve">$52,200 at </w:t>
      </w:r>
      <w:r w:rsidR="002E032A">
        <w:rPr>
          <w:rFonts w:ascii="Times New Roman" w:hAnsi="Times New Roman" w:cs="Times New Roman"/>
          <w:sz w:val="18"/>
          <w:szCs w:val="18"/>
        </w:rPr>
        <w:t xml:space="preserve">7% discount rates. </w:t>
      </w:r>
    </w:p>
    <w:p w:rsidRPr="00C2595C" w:rsidR="00281014" w:rsidP="00C2595C" w:rsidRDefault="00281014" w14:paraId="17C28722" w14:textId="77777777">
      <w:pPr>
        <w:spacing w:after="0" w:line="240" w:lineRule="auto"/>
        <w:rPr>
          <w:rFonts w:ascii="Times New Roman" w:hAnsi="Times New Roman" w:cs="Times New Roman"/>
        </w:rPr>
      </w:pPr>
    </w:p>
    <w:p w:rsidR="002B42DF" w:rsidP="00C2595C" w:rsidRDefault="002D6001" w14:paraId="33F693FF" w14:textId="64EDD907">
      <w:pPr>
        <w:spacing w:after="0" w:line="240" w:lineRule="auto"/>
        <w:rPr>
          <w:rFonts w:ascii="Times New Roman" w:hAnsi="Times New Roman" w:cs="Times New Roman"/>
        </w:rPr>
      </w:pPr>
      <w:r>
        <w:rPr>
          <w:rFonts w:ascii="Times New Roman" w:hAnsi="Times New Roman" w:cs="Times New Roman"/>
        </w:rPr>
        <w:tab/>
      </w:r>
      <w:r w:rsidR="003E1ADB">
        <w:rPr>
          <w:rFonts w:ascii="Times New Roman" w:hAnsi="Times New Roman" w:cs="Times New Roman"/>
        </w:rPr>
        <w:t>Exhibit ES-2 provides undiscounted yearly costs for the proposed rule provi</w:t>
      </w:r>
      <w:r w:rsidR="00D43E40">
        <w:rPr>
          <w:rFonts w:ascii="Times New Roman" w:hAnsi="Times New Roman" w:cs="Times New Roman"/>
        </w:rPr>
        <w:t>si</w:t>
      </w:r>
      <w:r w:rsidR="003E1ADB">
        <w:rPr>
          <w:rFonts w:ascii="Times New Roman" w:hAnsi="Times New Roman" w:cs="Times New Roman"/>
        </w:rPr>
        <w:t xml:space="preserve">ons, for both Year 1 and Years 2-10. </w:t>
      </w:r>
      <w:r w:rsidR="00D43E40">
        <w:rPr>
          <w:rFonts w:ascii="Times New Roman" w:hAnsi="Times New Roman" w:cs="Times New Roman"/>
        </w:rPr>
        <w:t xml:space="preserve">Rule familiarization and </w:t>
      </w:r>
      <w:r>
        <w:rPr>
          <w:rFonts w:ascii="Times New Roman" w:hAnsi="Times New Roman" w:cs="Times New Roman"/>
        </w:rPr>
        <w:t>backup power for perimeter monitors costs are incurred only in Year 1, and therefore are $0 in subsequent years.</w:t>
      </w:r>
    </w:p>
    <w:p w:rsidR="002B42DF" w:rsidP="00C2595C" w:rsidRDefault="002B42DF" w14:paraId="4E227D62" w14:textId="22736D3B">
      <w:pPr>
        <w:spacing w:after="0" w:line="240" w:lineRule="auto"/>
        <w:rPr>
          <w:rFonts w:ascii="Times New Roman" w:hAnsi="Times New Roman" w:cs="Times New Roman"/>
        </w:rPr>
      </w:pPr>
    </w:p>
    <w:p w:rsidR="00F97E89" w:rsidP="002B42DF" w:rsidRDefault="00F97E89" w14:paraId="41BCC617" w14:textId="77777777">
      <w:pPr>
        <w:pStyle w:val="Caption"/>
        <w:jc w:val="center"/>
        <w:rPr>
          <w:rFonts w:ascii="Times New Roman" w:hAnsi="Times New Roman" w:cs="Times New Roman"/>
          <w:b/>
          <w:bCs/>
          <w:i w:val="0"/>
          <w:iCs w:val="0"/>
          <w:color w:val="auto"/>
          <w:sz w:val="22"/>
          <w:szCs w:val="22"/>
        </w:rPr>
      </w:pPr>
    </w:p>
    <w:p w:rsidRPr="00281014" w:rsidR="002B42DF" w:rsidP="002B42DF" w:rsidRDefault="002B42DF" w14:paraId="2E97F6A3" w14:textId="3040D1C9">
      <w:pPr>
        <w:pStyle w:val="Caption"/>
        <w:jc w:val="center"/>
        <w:rPr>
          <w:rFonts w:ascii="Times New Roman" w:hAnsi="Times New Roman" w:cs="Times New Roman"/>
          <w:b/>
          <w:bCs/>
          <w:i w:val="0"/>
          <w:iCs w:val="0"/>
          <w:color w:val="auto"/>
          <w:sz w:val="22"/>
          <w:szCs w:val="22"/>
        </w:rPr>
      </w:pPr>
      <w:r w:rsidRPr="00281014">
        <w:rPr>
          <w:rFonts w:ascii="Times New Roman" w:hAnsi="Times New Roman" w:cs="Times New Roman"/>
          <w:b/>
          <w:bCs/>
          <w:i w:val="0"/>
          <w:iCs w:val="0"/>
          <w:color w:val="auto"/>
          <w:sz w:val="22"/>
          <w:szCs w:val="22"/>
        </w:rPr>
        <w:lastRenderedPageBreak/>
        <w:t>Exhibit ES</w:t>
      </w:r>
      <w:r>
        <w:rPr>
          <w:rFonts w:ascii="Times New Roman" w:hAnsi="Times New Roman" w:cs="Times New Roman"/>
          <w:b/>
          <w:bCs/>
          <w:i w:val="0"/>
          <w:iCs w:val="0"/>
          <w:color w:val="auto"/>
          <w:sz w:val="22"/>
          <w:szCs w:val="22"/>
        </w:rPr>
        <w:noBreakHyphen/>
        <w:t>2</w:t>
      </w:r>
      <w:r w:rsidRPr="00281014">
        <w:rPr>
          <w:rFonts w:ascii="Times New Roman" w:hAnsi="Times New Roman" w:cs="Times New Roman"/>
          <w:b/>
          <w:bCs/>
          <w:i w:val="0"/>
          <w:iCs w:val="0"/>
          <w:color w:val="auto"/>
          <w:sz w:val="22"/>
          <w:szCs w:val="22"/>
        </w:rPr>
        <w:t xml:space="preserve">. Summary of </w:t>
      </w:r>
      <w:r w:rsidRPr="00E81DC0">
        <w:rPr>
          <w:rFonts w:ascii="Times New Roman" w:hAnsi="Times New Roman" w:cs="Times New Roman"/>
          <w:b/>
          <w:bCs/>
          <w:i w:val="0"/>
          <w:iCs w:val="0"/>
          <w:color w:val="auto"/>
          <w:sz w:val="22"/>
          <w:szCs w:val="22"/>
        </w:rPr>
        <w:t xml:space="preserve">Estimated </w:t>
      </w:r>
      <w:r w:rsidR="002D6001">
        <w:rPr>
          <w:rFonts w:ascii="Times New Roman" w:hAnsi="Times New Roman" w:cs="Times New Roman"/>
          <w:b/>
          <w:bCs/>
          <w:i w:val="0"/>
          <w:iCs w:val="0"/>
          <w:color w:val="auto"/>
          <w:sz w:val="22"/>
          <w:szCs w:val="22"/>
        </w:rPr>
        <w:t xml:space="preserve">Undiscounted </w:t>
      </w:r>
      <w:r w:rsidRPr="002D6001">
        <w:rPr>
          <w:rFonts w:ascii="Times New Roman" w:hAnsi="Times New Roman" w:cs="Times New Roman"/>
          <w:b/>
          <w:i w:val="0"/>
          <w:color w:val="auto"/>
          <w:sz w:val="22"/>
          <w:szCs w:val="22"/>
        </w:rPr>
        <w:t>Yearly</w:t>
      </w:r>
      <w:r w:rsidRPr="00E81DC0">
        <w:rPr>
          <w:rFonts w:ascii="Times New Roman" w:hAnsi="Times New Roman" w:cs="Times New Roman"/>
          <w:b/>
          <w:bCs/>
          <w:i w:val="0"/>
          <w:iCs w:val="0"/>
          <w:color w:val="auto"/>
          <w:sz w:val="22"/>
          <w:szCs w:val="22"/>
        </w:rPr>
        <w:t xml:space="preserve"> Costs</w:t>
      </w:r>
      <w:r w:rsidRPr="00281014">
        <w:rPr>
          <w:rFonts w:ascii="Times New Roman" w:hAnsi="Times New Roman" w:cs="Times New Roman"/>
          <w:b/>
          <w:bCs/>
          <w:i w:val="0"/>
          <w:iCs w:val="0"/>
          <w:color w:val="auto"/>
          <w:sz w:val="22"/>
          <w:szCs w:val="22"/>
        </w:rPr>
        <w:t xml:space="preserve"> (millions, 2020 dollars).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52"/>
        <w:gridCol w:w="1620"/>
        <w:gridCol w:w="1710"/>
      </w:tblGrid>
      <w:tr w:rsidRPr="00C2595C" w:rsidR="00D71B16" w:rsidTr="002D6001" w14:paraId="4CCD4229" w14:textId="074EA5BE">
        <w:trPr>
          <w:trHeight w:val="552"/>
          <w:jc w:val="center"/>
        </w:trPr>
        <w:tc>
          <w:tcPr>
            <w:tcW w:w="2152" w:type="dxa"/>
            <w:tcBorders>
              <w:left w:val="single" w:color="000000" w:sz="6" w:space="0"/>
              <w:bottom w:val="single" w:color="000000" w:sz="6" w:space="0"/>
              <w:right w:val="single" w:color="000000" w:sz="6" w:space="0"/>
            </w:tcBorders>
            <w:shd w:val="clear" w:color="auto" w:fill="DADADA"/>
            <w:vAlign w:val="center"/>
          </w:tcPr>
          <w:p w:rsidRPr="00281014" w:rsidR="00D71B16" w:rsidP="00251BEF" w:rsidRDefault="00D71B16" w14:paraId="724E4BA6" w14:textId="77777777">
            <w:pPr>
              <w:spacing w:after="0" w:line="240" w:lineRule="auto"/>
              <w:ind w:firstLine="79"/>
              <w:rPr>
                <w:rFonts w:ascii="Times New Roman" w:hAnsi="Times New Roman" w:cs="Times New Roman"/>
                <w:b/>
                <w:sz w:val="20"/>
                <w:szCs w:val="20"/>
              </w:rPr>
            </w:pPr>
            <w:r w:rsidRPr="00281014">
              <w:rPr>
                <w:rFonts w:ascii="Times New Roman" w:hAnsi="Times New Roman" w:cs="Times New Roman"/>
                <w:b/>
                <w:sz w:val="20"/>
                <w:szCs w:val="20"/>
              </w:rPr>
              <w:t>Cost Elements</w:t>
            </w:r>
          </w:p>
        </w:tc>
        <w:tc>
          <w:tcPr>
            <w:tcW w:w="1620" w:type="dxa"/>
            <w:tcBorders>
              <w:left w:val="single" w:color="000000" w:sz="6" w:space="0"/>
              <w:bottom w:val="single" w:color="000000" w:sz="6" w:space="0"/>
              <w:right w:val="single" w:color="000000" w:sz="6" w:space="0"/>
            </w:tcBorders>
            <w:shd w:val="clear" w:color="auto" w:fill="DADADA"/>
          </w:tcPr>
          <w:p w:rsidR="00D71B16" w:rsidP="00251BEF" w:rsidRDefault="00D71B16" w14:paraId="77FDBA1E" w14:textId="77777777">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 xml:space="preserve">Year 1 Costs </w:t>
            </w:r>
          </w:p>
          <w:p w:rsidR="00D71B16" w:rsidP="00251BEF" w:rsidRDefault="00D71B16" w14:paraId="5BDA020A" w14:textId="525AB189">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Undiscounted</w:t>
            </w:r>
          </w:p>
        </w:tc>
        <w:tc>
          <w:tcPr>
            <w:tcW w:w="1710" w:type="dxa"/>
            <w:tcBorders>
              <w:left w:val="single" w:color="000000" w:sz="6" w:space="0"/>
              <w:bottom w:val="single" w:color="000000" w:sz="6" w:space="0"/>
              <w:right w:val="single" w:color="000000" w:sz="6" w:space="0"/>
            </w:tcBorders>
            <w:shd w:val="clear" w:color="auto" w:fill="DADADA"/>
          </w:tcPr>
          <w:p w:rsidR="00D71B16" w:rsidP="00251BEF" w:rsidRDefault="00D71B16" w14:paraId="558D1E43" w14:textId="77777777">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 xml:space="preserve">Years </w:t>
            </w:r>
          </w:p>
          <w:p w:rsidR="00D71B16" w:rsidP="00251BEF" w:rsidRDefault="00D71B16" w14:paraId="21CEC802" w14:textId="476C4DB2">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 xml:space="preserve">2 – 10 </w:t>
            </w:r>
          </w:p>
          <w:p w:rsidR="00D71B16" w:rsidP="00251BEF" w:rsidRDefault="00D71B16" w14:paraId="14DBBC23" w14:textId="13482907">
            <w:pPr>
              <w:spacing w:after="0" w:line="240" w:lineRule="auto"/>
              <w:ind w:right="78"/>
              <w:jc w:val="center"/>
              <w:rPr>
                <w:rFonts w:ascii="Times New Roman" w:hAnsi="Times New Roman" w:cs="Times New Roman"/>
                <w:b/>
                <w:sz w:val="20"/>
                <w:szCs w:val="20"/>
              </w:rPr>
            </w:pPr>
            <w:r w:rsidRPr="00E81DC0">
              <w:rPr>
                <w:rFonts w:ascii="Times New Roman" w:hAnsi="Times New Roman" w:cs="Times New Roman"/>
                <w:b/>
                <w:sz w:val="20"/>
                <w:szCs w:val="20"/>
              </w:rPr>
              <w:t xml:space="preserve">Costs </w:t>
            </w:r>
            <w:r w:rsidRPr="00ED47B5">
              <w:rPr>
                <w:rFonts w:ascii="Times New Roman" w:hAnsi="Times New Roman" w:cs="Times New Roman"/>
                <w:b/>
                <w:sz w:val="20"/>
                <w:szCs w:val="20"/>
              </w:rPr>
              <w:t>per Year</w:t>
            </w:r>
            <w:r>
              <w:rPr>
                <w:rFonts w:ascii="Times New Roman" w:hAnsi="Times New Roman" w:cs="Times New Roman"/>
                <w:b/>
                <w:sz w:val="20"/>
                <w:szCs w:val="20"/>
              </w:rPr>
              <w:t xml:space="preserve"> Undiscounted</w:t>
            </w:r>
          </w:p>
        </w:tc>
      </w:tr>
      <w:tr w:rsidRPr="00C2595C" w:rsidR="00D71B16" w:rsidTr="002D6001" w14:paraId="350A4ED9" w14:textId="207B1122">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7970089D"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Rule Familiarization</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6284B5DE" w14:textId="7AF607FA">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$46.5</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1841F2BF" w14:textId="78F25FC6">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$0</w:t>
            </w:r>
          </w:p>
        </w:tc>
      </w:tr>
      <w:tr w:rsidRPr="00C2595C" w:rsidR="00D71B16" w:rsidTr="002D6001" w14:paraId="4530CE0E" w14:textId="14E10B31">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677F9CEB"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Safer Technology Alternatives Analysis</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7D07E5F8" w14:textId="319FA09F">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$51.8</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330E4318" w14:textId="7ECC3C9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$51.8</w:t>
            </w:r>
          </w:p>
        </w:tc>
      </w:tr>
      <w:tr w:rsidRPr="00C2595C" w:rsidR="00D71B16" w:rsidTr="002D6001" w14:paraId="592827F6" w14:textId="17147E7E">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7C5DBCDC"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Root Cause Analysis</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61F1360A" w14:textId="55BA41F8">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B561AD">
              <w:rPr>
                <w:rFonts w:ascii="Times New Roman" w:hAnsi="Times New Roman" w:cs="Times New Roman"/>
                <w:sz w:val="20"/>
                <w:szCs w:val="20"/>
              </w:rPr>
              <w:t>0</w:t>
            </w:r>
            <w:r>
              <w:rPr>
                <w:rFonts w:ascii="Times New Roman" w:hAnsi="Times New Roman" w:cs="Times New Roman"/>
                <w:sz w:val="20"/>
                <w:szCs w:val="20"/>
              </w:rPr>
              <w:t>.7</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7DB30DDF" w14:textId="658197CA">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B561AD">
              <w:rPr>
                <w:rFonts w:ascii="Times New Roman" w:hAnsi="Times New Roman" w:cs="Times New Roman"/>
                <w:sz w:val="20"/>
                <w:szCs w:val="20"/>
              </w:rPr>
              <w:t>0</w:t>
            </w:r>
            <w:r>
              <w:rPr>
                <w:rFonts w:ascii="Times New Roman" w:hAnsi="Times New Roman" w:cs="Times New Roman"/>
                <w:sz w:val="20"/>
                <w:szCs w:val="20"/>
              </w:rPr>
              <w:t>.7</w:t>
            </w:r>
          </w:p>
        </w:tc>
      </w:tr>
      <w:tr w:rsidRPr="00C2595C" w:rsidR="00D71B16" w:rsidTr="002D6001" w14:paraId="29650FC9" w14:textId="76F03C96">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7491DD42"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Third-party Audits</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78997901" w14:textId="4D189F8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$10.3</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32C4224F" w14:textId="6226DF20">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$10.3</w:t>
            </w:r>
          </w:p>
        </w:tc>
      </w:tr>
      <w:tr w:rsidRPr="00C2595C" w:rsidR="00D71B16" w:rsidTr="002D6001" w14:paraId="463E5356" w14:textId="0923BC72">
        <w:trPr>
          <w:trHeight w:val="282"/>
          <w:jc w:val="center"/>
        </w:trPr>
        <w:tc>
          <w:tcPr>
            <w:tcW w:w="2152" w:type="dxa"/>
            <w:tcBorders>
              <w:top w:val="single" w:color="000000" w:sz="6" w:space="0"/>
              <w:left w:val="single" w:color="000000" w:sz="6" w:space="0"/>
              <w:right w:val="single" w:color="000000" w:sz="6" w:space="0"/>
            </w:tcBorders>
            <w:vAlign w:val="center"/>
          </w:tcPr>
          <w:p w:rsidRPr="00281014" w:rsidR="00D71B16" w:rsidP="00251BEF" w:rsidRDefault="00D71B16" w14:paraId="251B58C1"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Employee Participation Plan</w:t>
            </w:r>
          </w:p>
        </w:tc>
        <w:tc>
          <w:tcPr>
            <w:tcW w:w="1620" w:type="dxa"/>
            <w:tcBorders>
              <w:top w:val="single" w:color="000000" w:sz="6" w:space="0"/>
              <w:left w:val="single" w:color="000000" w:sz="6" w:space="0"/>
              <w:right w:val="single" w:color="000000" w:sz="6" w:space="0"/>
            </w:tcBorders>
          </w:tcPr>
          <w:p w:rsidRPr="00281014" w:rsidR="00D71B16" w:rsidP="00251BEF" w:rsidRDefault="00D71B16" w14:paraId="52C3E958" w14:textId="37A91246">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B561AD">
              <w:rPr>
                <w:rFonts w:ascii="Times New Roman" w:hAnsi="Times New Roman" w:cs="Times New Roman"/>
                <w:sz w:val="20"/>
                <w:szCs w:val="20"/>
              </w:rPr>
              <w:t>0</w:t>
            </w:r>
            <w:r>
              <w:rPr>
                <w:rFonts w:ascii="Times New Roman" w:hAnsi="Times New Roman" w:cs="Times New Roman"/>
                <w:sz w:val="20"/>
                <w:szCs w:val="20"/>
              </w:rPr>
              <w:t>.9</w:t>
            </w:r>
          </w:p>
        </w:tc>
        <w:tc>
          <w:tcPr>
            <w:tcW w:w="1710" w:type="dxa"/>
            <w:tcBorders>
              <w:top w:val="single" w:color="000000" w:sz="6" w:space="0"/>
              <w:left w:val="single" w:color="000000" w:sz="6" w:space="0"/>
              <w:right w:val="single" w:color="000000" w:sz="6" w:space="0"/>
            </w:tcBorders>
          </w:tcPr>
          <w:p w:rsidRPr="00281014" w:rsidR="00D71B16" w:rsidP="00251BEF" w:rsidRDefault="00D71B16" w14:paraId="40DBAB10" w14:textId="6C2EE4DD">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B561AD">
              <w:rPr>
                <w:rFonts w:ascii="Times New Roman" w:hAnsi="Times New Roman" w:cs="Times New Roman"/>
                <w:sz w:val="20"/>
                <w:szCs w:val="20"/>
              </w:rPr>
              <w:t>0</w:t>
            </w:r>
            <w:r>
              <w:rPr>
                <w:rFonts w:ascii="Times New Roman" w:hAnsi="Times New Roman" w:cs="Times New Roman"/>
                <w:sz w:val="20"/>
                <w:szCs w:val="20"/>
              </w:rPr>
              <w:t>.9</w:t>
            </w:r>
          </w:p>
        </w:tc>
      </w:tr>
      <w:tr w:rsidRPr="00C2595C" w:rsidR="00D71B16" w:rsidTr="002D6001" w14:paraId="1CD968A3" w14:textId="0F446138">
        <w:trPr>
          <w:trHeight w:val="552"/>
          <w:jc w:val="center"/>
        </w:trPr>
        <w:tc>
          <w:tcPr>
            <w:tcW w:w="2152" w:type="dxa"/>
            <w:tcBorders>
              <w:left w:val="single" w:color="000000" w:sz="6" w:space="0"/>
              <w:bottom w:val="single" w:color="000000" w:sz="6" w:space="0"/>
              <w:right w:val="single" w:color="000000" w:sz="6" w:space="0"/>
            </w:tcBorders>
            <w:vAlign w:val="center"/>
          </w:tcPr>
          <w:p w:rsidRPr="00281014" w:rsidR="00D71B16" w:rsidP="00251BEF" w:rsidRDefault="00D71B16" w14:paraId="600FF1DE" w14:textId="77777777">
            <w:pPr>
              <w:spacing w:after="0" w:line="240" w:lineRule="auto"/>
              <w:ind w:left="112" w:right="85"/>
              <w:rPr>
                <w:rFonts w:ascii="Times New Roman" w:hAnsi="Times New Roman" w:cs="Times New Roman"/>
                <w:sz w:val="20"/>
                <w:szCs w:val="20"/>
              </w:rPr>
            </w:pPr>
            <w:r w:rsidRPr="00281014">
              <w:rPr>
                <w:rFonts w:ascii="Times New Roman" w:hAnsi="Times New Roman" w:cs="Times New Roman"/>
                <w:sz w:val="20"/>
                <w:szCs w:val="20"/>
              </w:rPr>
              <w:t>Backup Power for Perimeter Monitors</w:t>
            </w:r>
          </w:p>
        </w:tc>
        <w:tc>
          <w:tcPr>
            <w:tcW w:w="1620" w:type="dxa"/>
            <w:tcBorders>
              <w:left w:val="single" w:color="000000" w:sz="6" w:space="0"/>
              <w:bottom w:val="single" w:color="000000" w:sz="6" w:space="0"/>
              <w:right w:val="single" w:color="000000" w:sz="6" w:space="0"/>
            </w:tcBorders>
          </w:tcPr>
          <w:p w:rsidRPr="00281014" w:rsidR="00D71B16" w:rsidP="00251BEF" w:rsidRDefault="00D71B16" w14:paraId="28875A97" w14:textId="5E0EDF8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w:t>
            </w:r>
            <w:r w:rsidR="00B561AD">
              <w:rPr>
                <w:rFonts w:ascii="Times New Roman" w:hAnsi="Times New Roman" w:cs="Times New Roman"/>
                <w:sz w:val="20"/>
                <w:szCs w:val="20"/>
              </w:rPr>
              <w:t>0</w:t>
            </w:r>
            <w:r>
              <w:rPr>
                <w:rFonts w:ascii="Times New Roman" w:hAnsi="Times New Roman" w:cs="Times New Roman"/>
                <w:sz w:val="20"/>
                <w:szCs w:val="20"/>
              </w:rPr>
              <w:t>.4</w:t>
            </w:r>
          </w:p>
        </w:tc>
        <w:tc>
          <w:tcPr>
            <w:tcW w:w="1710" w:type="dxa"/>
            <w:tcBorders>
              <w:left w:val="single" w:color="000000" w:sz="6" w:space="0"/>
              <w:bottom w:val="single" w:color="000000" w:sz="6" w:space="0"/>
              <w:right w:val="single" w:color="000000" w:sz="6" w:space="0"/>
            </w:tcBorders>
          </w:tcPr>
          <w:p w:rsidRPr="00281014" w:rsidR="00D71B16" w:rsidP="00251BEF" w:rsidRDefault="00D71B16" w14:paraId="6BAB11DE" w14:textId="3B6DDA3E">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$0</w:t>
            </w:r>
          </w:p>
        </w:tc>
      </w:tr>
      <w:tr w:rsidRPr="00C2595C" w:rsidR="00D71B16" w:rsidTr="002D6001" w14:paraId="77271DA5" w14:textId="68366B9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5B8FF9C6"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Community Notification System</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1860B4C0" w14:textId="43A0C40A">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$3.8</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5102E564" w14:textId="0B42B001">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$3.8</w:t>
            </w:r>
          </w:p>
        </w:tc>
      </w:tr>
      <w:tr w:rsidRPr="00C2595C" w:rsidR="00D71B16" w:rsidTr="002D6001" w14:paraId="6CDB2C82" w14:textId="6A6AEBB5">
        <w:trPr>
          <w:trHeight w:val="300"/>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D71B16" w:rsidP="00251BEF" w:rsidRDefault="00D71B16" w14:paraId="32A9277F"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Information Availability</w:t>
            </w:r>
          </w:p>
        </w:tc>
        <w:tc>
          <w:tcPr>
            <w:tcW w:w="162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194B9D92" w14:textId="18D05E9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$3.1</w:t>
            </w:r>
          </w:p>
        </w:tc>
        <w:tc>
          <w:tcPr>
            <w:tcW w:w="1710" w:type="dxa"/>
            <w:tcBorders>
              <w:top w:val="single" w:color="000000" w:sz="6" w:space="0"/>
              <w:left w:val="single" w:color="000000" w:sz="6" w:space="0"/>
              <w:bottom w:val="single" w:color="000000" w:sz="6" w:space="0"/>
              <w:right w:val="single" w:color="000000" w:sz="6" w:space="0"/>
            </w:tcBorders>
          </w:tcPr>
          <w:p w:rsidRPr="00281014" w:rsidR="00D71B16" w:rsidP="00251BEF" w:rsidRDefault="00D71B16" w14:paraId="04E8AA55" w14:textId="21079FF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$3.1</w:t>
            </w:r>
          </w:p>
        </w:tc>
      </w:tr>
      <w:tr w:rsidRPr="00C2595C" w:rsidR="00D71B16" w:rsidTr="002D6001" w14:paraId="45DD7D65" w14:textId="46C4D703">
        <w:trPr>
          <w:trHeight w:val="282"/>
          <w:jc w:val="center"/>
        </w:trPr>
        <w:tc>
          <w:tcPr>
            <w:tcW w:w="2152" w:type="dxa"/>
            <w:tcBorders>
              <w:left w:val="single" w:color="000000" w:sz="6" w:space="0"/>
              <w:bottom w:val="single" w:color="000000" w:sz="6" w:space="0"/>
              <w:right w:val="single" w:color="000000" w:sz="6" w:space="0"/>
            </w:tcBorders>
            <w:vAlign w:val="center"/>
          </w:tcPr>
          <w:p w:rsidRPr="00281014" w:rsidR="00D71B16" w:rsidP="00251BEF" w:rsidRDefault="00D71B16" w14:paraId="2F4768D2" w14:textId="77777777">
            <w:pPr>
              <w:spacing w:after="0" w:line="240" w:lineRule="auto"/>
              <w:ind w:left="517"/>
              <w:rPr>
                <w:rFonts w:ascii="Times New Roman" w:hAnsi="Times New Roman" w:cs="Times New Roman"/>
                <w:b/>
                <w:sz w:val="20"/>
                <w:szCs w:val="20"/>
              </w:rPr>
            </w:pPr>
            <w:r w:rsidRPr="00281014">
              <w:rPr>
                <w:rFonts w:ascii="Times New Roman" w:hAnsi="Times New Roman" w:cs="Times New Roman"/>
                <w:b/>
                <w:sz w:val="20"/>
                <w:szCs w:val="20"/>
              </w:rPr>
              <w:t>Total Cost*</w:t>
            </w:r>
          </w:p>
        </w:tc>
        <w:tc>
          <w:tcPr>
            <w:tcW w:w="1620" w:type="dxa"/>
            <w:tcBorders>
              <w:left w:val="single" w:color="000000" w:sz="6" w:space="0"/>
              <w:bottom w:val="single" w:color="000000" w:sz="6" w:space="0"/>
              <w:right w:val="single" w:color="000000" w:sz="6" w:space="0"/>
            </w:tcBorders>
          </w:tcPr>
          <w:p w:rsidRPr="00281014" w:rsidR="00D71B16" w:rsidP="00251BEF" w:rsidRDefault="00D71B16" w14:paraId="3C751DC3" w14:textId="1DBFEB5E">
            <w:pPr>
              <w:spacing w:after="0" w:line="240" w:lineRule="auto"/>
              <w:ind w:left="75" w:right="59"/>
              <w:jc w:val="center"/>
              <w:rPr>
                <w:rFonts w:ascii="Times New Roman" w:hAnsi="Times New Roman" w:cs="Times New Roman"/>
                <w:b/>
                <w:sz w:val="20"/>
                <w:szCs w:val="20"/>
              </w:rPr>
            </w:pPr>
            <w:r>
              <w:rPr>
                <w:rFonts w:ascii="Times New Roman" w:hAnsi="Times New Roman" w:cs="Times New Roman"/>
                <w:b/>
                <w:sz w:val="20"/>
                <w:szCs w:val="20"/>
              </w:rPr>
              <w:t>$117.4</w:t>
            </w:r>
          </w:p>
        </w:tc>
        <w:tc>
          <w:tcPr>
            <w:tcW w:w="1710" w:type="dxa"/>
            <w:tcBorders>
              <w:left w:val="single" w:color="000000" w:sz="6" w:space="0"/>
              <w:bottom w:val="single" w:color="000000" w:sz="6" w:space="0"/>
              <w:right w:val="single" w:color="000000" w:sz="6" w:space="0"/>
            </w:tcBorders>
          </w:tcPr>
          <w:p w:rsidRPr="00281014" w:rsidR="00D71B16" w:rsidP="00251BEF" w:rsidRDefault="00D71B16" w14:paraId="740383A0" w14:textId="7E0B5279">
            <w:pPr>
              <w:spacing w:after="0" w:line="240" w:lineRule="auto"/>
              <w:ind w:left="75" w:right="59"/>
              <w:jc w:val="center"/>
              <w:rPr>
                <w:rFonts w:ascii="Times New Roman" w:hAnsi="Times New Roman" w:cs="Times New Roman"/>
                <w:b/>
                <w:sz w:val="20"/>
                <w:szCs w:val="20"/>
              </w:rPr>
            </w:pPr>
            <w:r>
              <w:rPr>
                <w:rFonts w:ascii="Times New Roman" w:hAnsi="Times New Roman" w:cs="Times New Roman"/>
                <w:b/>
                <w:sz w:val="20"/>
                <w:szCs w:val="20"/>
              </w:rPr>
              <w:t>$70.5</w:t>
            </w:r>
          </w:p>
        </w:tc>
      </w:tr>
    </w:tbl>
    <w:p w:rsidRPr="00281014" w:rsidR="002B42DF" w:rsidP="002B42DF" w:rsidRDefault="002B42DF" w14:paraId="5D2077A9" w14:textId="3DFE358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7E37A0">
        <w:rPr>
          <w:rFonts w:ascii="Times New Roman" w:hAnsi="Times New Roman" w:cs="Times New Roman"/>
          <w:sz w:val="18"/>
          <w:szCs w:val="18"/>
        </w:rPr>
        <w:tab/>
      </w:r>
      <w:r w:rsidR="007E37A0">
        <w:rPr>
          <w:rFonts w:ascii="Times New Roman" w:hAnsi="Times New Roman" w:cs="Times New Roman"/>
          <w:sz w:val="18"/>
          <w:szCs w:val="18"/>
        </w:rPr>
        <w:tab/>
      </w:r>
      <w:r w:rsidR="007E37A0">
        <w:rPr>
          <w:rFonts w:ascii="Times New Roman" w:hAnsi="Times New Roman" w:cs="Times New Roman"/>
          <w:sz w:val="18"/>
          <w:szCs w:val="18"/>
        </w:rPr>
        <w:tab/>
      </w:r>
      <w:r w:rsidR="00A124C6">
        <w:rPr>
          <w:rFonts w:ascii="Times New Roman" w:hAnsi="Times New Roman" w:cs="Times New Roman"/>
          <w:sz w:val="18"/>
          <w:szCs w:val="18"/>
        </w:rPr>
        <w:t xml:space="preserve"> </w:t>
      </w:r>
      <w:r w:rsidRPr="00281014">
        <w:rPr>
          <w:rFonts w:ascii="Times New Roman" w:hAnsi="Times New Roman" w:cs="Times New Roman"/>
          <w:sz w:val="18"/>
          <w:szCs w:val="18"/>
        </w:rPr>
        <w:t>*Totals may not sum due to rounding.</w:t>
      </w:r>
    </w:p>
    <w:p w:rsidRPr="00281014" w:rsidR="002B42DF" w:rsidP="002B42DF" w:rsidRDefault="002B42DF" w14:paraId="419B84C8" w14:textId="49D6A49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bookmarkEnd w:id="9"/>
    <w:p w:rsidRPr="00C2595C" w:rsidR="005B38E8" w:rsidP="00C2595C" w:rsidRDefault="00AB13E7" w14:paraId="728A354A" w14:textId="2540A58C">
      <w:pPr>
        <w:keepNext/>
        <w:spacing w:after="0" w:line="240" w:lineRule="auto"/>
        <w:rPr>
          <w:rFonts w:ascii="Times New Roman" w:hAnsi="Times New Roman" w:cs="Times New Roman"/>
          <w:b/>
        </w:rPr>
      </w:pPr>
      <w:r>
        <w:rPr>
          <w:rFonts w:ascii="Times New Roman" w:hAnsi="Times New Roman" w:cs="Times New Roman"/>
          <w:b/>
        </w:rPr>
        <w:t>Ba</w:t>
      </w:r>
      <w:r w:rsidRPr="00C2595C" w:rsidR="00A34591">
        <w:rPr>
          <w:rFonts w:ascii="Times New Roman" w:hAnsi="Times New Roman" w:cs="Times New Roman"/>
          <w:b/>
        </w:rPr>
        <w:t>s</w:t>
      </w:r>
      <w:r>
        <w:rPr>
          <w:rFonts w:ascii="Times New Roman" w:hAnsi="Times New Roman" w:cs="Times New Roman"/>
          <w:b/>
        </w:rPr>
        <w:t>eline Damages</w:t>
      </w:r>
    </w:p>
    <w:p w:rsidR="005A354C" w:rsidP="00281014" w:rsidRDefault="00362205" w14:paraId="0131CCCE" w14:textId="34C2771B">
      <w:pPr>
        <w:keepNext/>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Accidents and releases from RMP facilities occur every year, causing fires and explosions</w:t>
      </w:r>
      <w:r w:rsidR="004B736B">
        <w:rPr>
          <w:rFonts w:ascii="Times New Roman" w:hAnsi="Times New Roman" w:cs="Times New Roman"/>
        </w:rPr>
        <w:t xml:space="preserve"> and </w:t>
      </w:r>
      <w:r w:rsidRPr="00C2595C" w:rsidR="005B38E8">
        <w:rPr>
          <w:rFonts w:ascii="Times New Roman" w:hAnsi="Times New Roman" w:cs="Times New Roman"/>
        </w:rPr>
        <w:t>damage to property.</w:t>
      </w:r>
      <w:r w:rsidRPr="00C2595C" w:rsidR="00C3144D">
        <w:rPr>
          <w:rFonts w:ascii="Times New Roman" w:hAnsi="Times New Roman" w:cs="Times New Roman"/>
        </w:rPr>
        <w:t xml:space="preserve"> </w:t>
      </w:r>
      <w:r w:rsidRPr="00C2595C" w:rsidR="00613D8B">
        <w:rPr>
          <w:rFonts w:ascii="Times New Roman" w:hAnsi="Times New Roman" w:cs="Times New Roman"/>
        </w:rPr>
        <w:t>EPA</w:t>
      </w:r>
      <w:r w:rsidRPr="00C2595C" w:rsidR="005B38E8">
        <w:rPr>
          <w:rFonts w:ascii="Times New Roman" w:hAnsi="Times New Roman" w:cs="Times New Roman"/>
        </w:rPr>
        <w:t xml:space="preserve"> present</w:t>
      </w:r>
      <w:r w:rsidRPr="00C2595C" w:rsidR="001E2DDB">
        <w:rPr>
          <w:rFonts w:ascii="Times New Roman" w:hAnsi="Times New Roman" w:cs="Times New Roman"/>
        </w:rPr>
        <w:t>s</w:t>
      </w:r>
      <w:r w:rsidRPr="00C2595C" w:rsidR="005B38E8">
        <w:rPr>
          <w:rFonts w:ascii="Times New Roman" w:hAnsi="Times New Roman" w:cs="Times New Roman"/>
        </w:rPr>
        <w:t xml:space="preserve"> data on the damages that </w:t>
      </w:r>
      <w:r w:rsidRPr="00C2595C" w:rsidR="00F41D0E">
        <w:rPr>
          <w:rFonts w:ascii="Times New Roman" w:hAnsi="Times New Roman" w:cs="Times New Roman"/>
        </w:rPr>
        <w:t xml:space="preserve">are </w:t>
      </w:r>
      <w:r w:rsidRPr="00C2595C" w:rsidR="005B38E8">
        <w:rPr>
          <w:rFonts w:ascii="Times New Roman" w:hAnsi="Times New Roman" w:cs="Times New Roman"/>
        </w:rPr>
        <w:t xml:space="preserve">currently </w:t>
      </w:r>
      <w:r w:rsidRPr="00C2595C" w:rsidR="00F41D0E">
        <w:rPr>
          <w:rFonts w:ascii="Times New Roman" w:hAnsi="Times New Roman" w:cs="Times New Roman"/>
        </w:rPr>
        <w:t xml:space="preserve">caused by reportable </w:t>
      </w:r>
      <w:r w:rsidRPr="00C2595C" w:rsidR="00354D92">
        <w:rPr>
          <w:rFonts w:ascii="Times New Roman" w:hAnsi="Times New Roman" w:cs="Times New Roman"/>
        </w:rPr>
        <w:t>accident</w:t>
      </w:r>
      <w:r w:rsidRPr="00C2595C" w:rsidR="00F41D0E">
        <w:rPr>
          <w:rFonts w:ascii="Times New Roman" w:hAnsi="Times New Roman" w:cs="Times New Roman"/>
        </w:rPr>
        <w:t>s at</w:t>
      </w:r>
      <w:r w:rsidRPr="00C2595C" w:rsidR="005B38E8">
        <w:rPr>
          <w:rFonts w:ascii="Times New Roman" w:hAnsi="Times New Roman" w:cs="Times New Roman"/>
        </w:rPr>
        <w:t xml:space="preserve"> RMP facilities each year. </w:t>
      </w:r>
      <w:r w:rsidR="00113DE6">
        <w:rPr>
          <w:rFonts w:ascii="Times New Roman" w:hAnsi="Times New Roman" w:cs="Times New Roman"/>
        </w:rPr>
        <w:t>D</w:t>
      </w:r>
      <w:r w:rsidRPr="00C2595C" w:rsidR="005B38E8">
        <w:rPr>
          <w:rFonts w:ascii="Times New Roman" w:hAnsi="Times New Roman" w:cs="Times New Roman"/>
        </w:rPr>
        <w:t xml:space="preserve">ata presented </w:t>
      </w:r>
      <w:r w:rsidR="00113DE6">
        <w:rPr>
          <w:rFonts w:ascii="Times New Roman" w:hAnsi="Times New Roman" w:cs="Times New Roman"/>
        </w:rPr>
        <w:t>in Exhibit ES-</w:t>
      </w:r>
      <w:r w:rsidR="00CF41CB">
        <w:rPr>
          <w:rFonts w:ascii="Times New Roman" w:hAnsi="Times New Roman" w:cs="Times New Roman"/>
        </w:rPr>
        <w:t>3</w:t>
      </w:r>
      <w:r w:rsidRPr="00C2595C" w:rsidR="005B38E8">
        <w:rPr>
          <w:rFonts w:ascii="Times New Roman" w:hAnsi="Times New Roman" w:cs="Times New Roman"/>
        </w:rPr>
        <w:t xml:space="preserve"> is </w:t>
      </w:r>
      <w:r w:rsidRPr="00C2595C" w:rsidR="001E2DDB">
        <w:rPr>
          <w:rFonts w:ascii="Times New Roman" w:hAnsi="Times New Roman" w:cs="Times New Roman"/>
        </w:rPr>
        <w:t xml:space="preserve">for </w:t>
      </w:r>
      <w:r w:rsidRPr="00C2595C" w:rsidR="00F41D0E">
        <w:rPr>
          <w:rFonts w:ascii="Times New Roman" w:hAnsi="Times New Roman" w:cs="Times New Roman"/>
        </w:rPr>
        <w:t>the most recent</w:t>
      </w:r>
      <w:r w:rsidRPr="00C2595C" w:rsidR="005B38E8">
        <w:rPr>
          <w:rFonts w:ascii="Times New Roman" w:hAnsi="Times New Roman" w:cs="Times New Roman"/>
        </w:rPr>
        <w:t xml:space="preserve"> </w:t>
      </w:r>
      <w:r w:rsidRPr="00C2595C" w:rsidR="007479B8">
        <w:rPr>
          <w:rFonts w:ascii="Times New Roman" w:hAnsi="Times New Roman" w:cs="Times New Roman"/>
        </w:rPr>
        <w:t>five-year</w:t>
      </w:r>
      <w:r w:rsidRPr="00C2595C" w:rsidR="005B38E8">
        <w:rPr>
          <w:rFonts w:ascii="Times New Roman" w:hAnsi="Times New Roman" w:cs="Times New Roman"/>
        </w:rPr>
        <w:t xml:space="preserve"> period</w:t>
      </w:r>
      <w:r w:rsidRPr="00C2595C" w:rsidR="00F41D0E">
        <w:rPr>
          <w:rFonts w:ascii="Times New Roman" w:hAnsi="Times New Roman" w:cs="Times New Roman"/>
        </w:rPr>
        <w:t xml:space="preserve"> for which data is available</w:t>
      </w:r>
      <w:r w:rsidRPr="00C2595C" w:rsidR="005B38E8">
        <w:rPr>
          <w:rFonts w:ascii="Times New Roman" w:hAnsi="Times New Roman" w:cs="Times New Roman"/>
        </w:rPr>
        <w:t>, summarizing RMP accident impacts and, when possible, monetizing them.</w:t>
      </w:r>
      <w:r w:rsidR="00113DE6">
        <w:rPr>
          <w:rStyle w:val="FootnoteReference"/>
          <w:rFonts w:ascii="Times New Roman" w:hAnsi="Times New Roman" w:cs="Times New Roman"/>
        </w:rPr>
        <w:footnoteReference w:id="3"/>
      </w:r>
      <w:r w:rsidRPr="00C2595C" w:rsidR="005B38E8">
        <w:rPr>
          <w:rFonts w:ascii="Times New Roman" w:hAnsi="Times New Roman" w:cs="Times New Roman"/>
        </w:rPr>
        <w:t xml:space="preserve"> </w:t>
      </w:r>
      <w:r w:rsidR="00682CDD">
        <w:rPr>
          <w:rFonts w:ascii="Times New Roman" w:hAnsi="Times New Roman" w:cs="Times New Roman"/>
        </w:rPr>
        <w:t xml:space="preserve">During this timeframe, </w:t>
      </w:r>
      <w:r w:rsidR="00415015">
        <w:rPr>
          <w:rFonts w:ascii="Times New Roman" w:hAnsi="Times New Roman" w:cs="Times New Roman"/>
        </w:rPr>
        <w:t>488</w:t>
      </w:r>
      <w:r w:rsidR="00682CDD">
        <w:rPr>
          <w:rFonts w:ascii="Times New Roman" w:hAnsi="Times New Roman" w:cs="Times New Roman"/>
        </w:rPr>
        <w:t xml:space="preserve"> accidents </w:t>
      </w:r>
      <w:r w:rsidR="00B10DD0">
        <w:rPr>
          <w:rFonts w:ascii="Times New Roman" w:hAnsi="Times New Roman" w:cs="Times New Roman"/>
        </w:rPr>
        <w:t>with either or both onsite and offsite damages occurred at RMP facilities.</w:t>
      </w:r>
    </w:p>
    <w:p w:rsidR="005A354C" w:rsidP="00281014" w:rsidRDefault="005A354C" w14:paraId="57BE76B6" w14:textId="77777777">
      <w:pPr>
        <w:keepNext/>
        <w:spacing w:after="0" w:line="240" w:lineRule="auto"/>
        <w:ind w:firstLine="360"/>
        <w:rPr>
          <w:rFonts w:ascii="Times New Roman" w:hAnsi="Times New Roman" w:cs="Times New Roman"/>
        </w:rPr>
      </w:pPr>
    </w:p>
    <w:p w:rsidRPr="00692EB0" w:rsidR="00692EB0" w:rsidP="008D21EE" w:rsidRDefault="00EA40FD" w14:paraId="2CCE6F43" w14:textId="23601184">
      <w:pPr>
        <w:keepNext/>
        <w:spacing w:after="120" w:line="240" w:lineRule="auto"/>
        <w:ind w:firstLine="360"/>
        <w:rPr>
          <w:rFonts w:ascii="Times New Roman" w:hAnsi="Times New Roman" w:cs="Times New Roman"/>
          <w:b/>
          <w:bCs/>
          <w:i/>
          <w:iCs/>
        </w:rPr>
      </w:pPr>
      <w:bookmarkStart w:name="_Toc100922734" w:id="11"/>
      <w:bookmarkStart w:name="_Toc100922740" w:id="12"/>
      <w:r>
        <w:rPr>
          <w:rFonts w:ascii="Times New Roman" w:hAnsi="Times New Roman" w:cs="Times New Roman"/>
          <w:b/>
          <w:bCs/>
        </w:rPr>
        <w:t>E</w:t>
      </w:r>
      <w:r w:rsidRPr="00692EB0" w:rsidR="00692EB0">
        <w:rPr>
          <w:rFonts w:ascii="Times New Roman" w:hAnsi="Times New Roman" w:cs="Times New Roman"/>
          <w:b/>
          <w:bCs/>
        </w:rPr>
        <w:t>xhibit ES</w:t>
      </w:r>
      <w:r w:rsidR="00305374">
        <w:rPr>
          <w:rFonts w:ascii="Times New Roman" w:hAnsi="Times New Roman" w:cs="Times New Roman"/>
          <w:b/>
          <w:bCs/>
        </w:rPr>
        <w:noBreakHyphen/>
      </w:r>
      <w:r w:rsidR="00CF41CB">
        <w:rPr>
          <w:rFonts w:ascii="Times New Roman" w:hAnsi="Times New Roman" w:cs="Times New Roman"/>
          <w:b/>
          <w:bCs/>
        </w:rPr>
        <w:t>3</w:t>
      </w:r>
      <w:r w:rsidRPr="00692EB0" w:rsidR="00692EB0">
        <w:rPr>
          <w:rFonts w:ascii="Times New Roman" w:hAnsi="Times New Roman" w:cs="Times New Roman"/>
          <w:b/>
          <w:bCs/>
        </w:rPr>
        <w:t>. Summary of quantified baseline damages 2016-2020 (millions, 2020 dollars).</w:t>
      </w:r>
      <w:bookmarkEnd w:id="11"/>
      <w:bookmarkEnd w:id="12"/>
    </w:p>
    <w:tbl>
      <w:tblPr>
        <w:tblW w:w="9960" w:type="dxa"/>
        <w:jc w:val="center"/>
        <w:tblLook w:val="04A0" w:firstRow="1" w:lastRow="0" w:firstColumn="1" w:lastColumn="0" w:noHBand="0" w:noVBand="1"/>
      </w:tblPr>
      <w:tblGrid>
        <w:gridCol w:w="1677"/>
        <w:gridCol w:w="1068"/>
        <w:gridCol w:w="1152"/>
        <w:gridCol w:w="1555"/>
        <w:gridCol w:w="3003"/>
        <w:gridCol w:w="1505"/>
      </w:tblGrid>
      <w:tr w:rsidRPr="00C2595C" w:rsidR="00BA4403" w:rsidTr="000063B7" w14:paraId="4CDA002A" w14:textId="3B2EDF36">
        <w:trPr>
          <w:trHeight w:val="220"/>
          <w:jc w:val="center"/>
        </w:trPr>
        <w:tc>
          <w:tcPr>
            <w:tcW w:w="1677"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692EB0" w:rsidR="00E96098" w:rsidP="00692EB0" w:rsidRDefault="00E96098" w14:paraId="56353CE3" w14:textId="2A7E4E6D">
            <w:pPr>
              <w:spacing w:after="0" w:line="240" w:lineRule="auto"/>
              <w:jc w:val="center"/>
              <w:rPr>
                <w:rFonts w:ascii="Times New Roman" w:hAnsi="Times New Roman" w:eastAsia="Times New Roman" w:cs="Times New Roman"/>
                <w:color w:val="000000"/>
                <w:sz w:val="20"/>
                <w:szCs w:val="20"/>
              </w:rPr>
            </w:pPr>
          </w:p>
        </w:tc>
        <w:tc>
          <w:tcPr>
            <w:tcW w:w="1068" w:type="dxa"/>
            <w:tcBorders>
              <w:top w:val="single" w:color="000000" w:sz="8" w:space="0"/>
              <w:left w:val="nil"/>
              <w:bottom w:val="single" w:color="000000" w:sz="8" w:space="0"/>
              <w:right w:val="single" w:color="000000" w:sz="8" w:space="0"/>
            </w:tcBorders>
            <w:shd w:val="clear" w:color="000000" w:fill="D9D9D9"/>
            <w:vAlign w:val="center"/>
            <w:hideMark/>
          </w:tcPr>
          <w:p w:rsidRPr="00692EB0" w:rsidR="00E96098" w:rsidP="00837F16" w:rsidRDefault="00E96098" w14:paraId="536DB7DD" w14:textId="77777777">
            <w:pPr>
              <w:spacing w:after="0" w:line="240" w:lineRule="auto"/>
              <w:jc w:val="center"/>
              <w:rPr>
                <w:rFonts w:ascii="Times New Roman" w:hAnsi="Times New Roman" w:eastAsia="Times New Roman" w:cs="Times New Roman"/>
                <w:b/>
                <w:color w:val="000000"/>
                <w:sz w:val="20"/>
                <w:szCs w:val="20"/>
              </w:rPr>
            </w:pPr>
            <w:r w:rsidRPr="00692EB0">
              <w:rPr>
                <w:rFonts w:ascii="Times New Roman" w:hAnsi="Times New Roman" w:eastAsia="Times New Roman" w:cs="Times New Roman"/>
                <w:b/>
                <w:color w:val="000000"/>
                <w:sz w:val="20"/>
                <w:szCs w:val="20"/>
              </w:rPr>
              <w:t>Unit Value</w:t>
            </w:r>
          </w:p>
        </w:tc>
        <w:tc>
          <w:tcPr>
            <w:tcW w:w="1152" w:type="dxa"/>
            <w:tcBorders>
              <w:top w:val="single" w:color="000000" w:sz="8" w:space="0"/>
              <w:left w:val="nil"/>
              <w:bottom w:val="single" w:color="000000" w:sz="8" w:space="0"/>
              <w:right w:val="single" w:color="000000" w:sz="8" w:space="0"/>
            </w:tcBorders>
            <w:shd w:val="clear" w:color="000000" w:fill="D9D9D9"/>
            <w:vAlign w:val="center"/>
            <w:hideMark/>
          </w:tcPr>
          <w:p w:rsidRPr="00692EB0" w:rsidR="00E96098" w:rsidP="00837F16" w:rsidRDefault="00E96098" w14:paraId="33338C9A" w14:textId="77777777">
            <w:pPr>
              <w:spacing w:after="0" w:line="240" w:lineRule="auto"/>
              <w:jc w:val="center"/>
              <w:rPr>
                <w:rFonts w:ascii="Times New Roman" w:hAnsi="Times New Roman" w:eastAsia="Times New Roman" w:cs="Times New Roman"/>
                <w:b/>
                <w:color w:val="000000"/>
                <w:sz w:val="20"/>
                <w:szCs w:val="20"/>
              </w:rPr>
            </w:pPr>
            <w:r w:rsidRPr="00692EB0">
              <w:rPr>
                <w:rFonts w:ascii="Times New Roman" w:hAnsi="Times New Roman" w:eastAsia="Times New Roman" w:cs="Times New Roman"/>
                <w:b/>
                <w:color w:val="000000"/>
                <w:sz w:val="20"/>
                <w:szCs w:val="20"/>
              </w:rPr>
              <w:t>5-Year Total</w:t>
            </w:r>
          </w:p>
        </w:tc>
        <w:tc>
          <w:tcPr>
            <w:tcW w:w="1555" w:type="dxa"/>
            <w:tcBorders>
              <w:top w:val="single" w:color="000000" w:sz="8" w:space="0"/>
              <w:left w:val="nil"/>
              <w:bottom w:val="single" w:color="000000" w:sz="8" w:space="0"/>
              <w:right w:val="single" w:color="000000" w:sz="8" w:space="0"/>
            </w:tcBorders>
            <w:shd w:val="clear" w:color="000000" w:fill="D9D9D9"/>
            <w:vAlign w:val="center"/>
            <w:hideMark/>
          </w:tcPr>
          <w:p w:rsidRPr="00692EB0" w:rsidR="00E96098" w:rsidP="00837F16" w:rsidRDefault="00E96098" w14:paraId="5BA5B853" w14:textId="77777777">
            <w:pPr>
              <w:spacing w:after="0" w:line="240" w:lineRule="auto"/>
              <w:jc w:val="center"/>
              <w:rPr>
                <w:rFonts w:ascii="Times New Roman" w:hAnsi="Times New Roman" w:eastAsia="Times New Roman" w:cs="Times New Roman"/>
                <w:b/>
                <w:color w:val="000000"/>
                <w:sz w:val="20"/>
                <w:szCs w:val="20"/>
              </w:rPr>
            </w:pPr>
            <w:r w:rsidRPr="00692EB0">
              <w:rPr>
                <w:rFonts w:ascii="Times New Roman" w:hAnsi="Times New Roman" w:eastAsia="Times New Roman" w:cs="Times New Roman"/>
                <w:b/>
                <w:color w:val="000000"/>
                <w:sz w:val="20"/>
                <w:szCs w:val="20"/>
              </w:rPr>
              <w:t>Average/Year</w:t>
            </w:r>
          </w:p>
        </w:tc>
        <w:tc>
          <w:tcPr>
            <w:tcW w:w="3003" w:type="dxa"/>
            <w:tcBorders>
              <w:top w:val="single" w:color="000000" w:sz="8" w:space="0"/>
              <w:left w:val="nil"/>
              <w:bottom w:val="single" w:color="000000" w:sz="8" w:space="0"/>
              <w:right w:val="single" w:color="000000" w:sz="8" w:space="0"/>
            </w:tcBorders>
            <w:shd w:val="clear" w:color="000000" w:fill="D9D9D9"/>
            <w:vAlign w:val="center"/>
            <w:hideMark/>
          </w:tcPr>
          <w:p w:rsidRPr="00692EB0" w:rsidR="00E96098" w:rsidP="00837F16" w:rsidRDefault="00E96098" w14:paraId="7F9D33D2" w14:textId="79DF36EC">
            <w:pPr>
              <w:spacing w:after="0" w:line="240" w:lineRule="auto"/>
              <w:jc w:val="center"/>
              <w:rPr>
                <w:rFonts w:ascii="Times New Roman" w:hAnsi="Times New Roman" w:eastAsia="Times New Roman" w:cs="Times New Roman"/>
                <w:b/>
                <w:color w:val="000000"/>
                <w:sz w:val="20"/>
                <w:szCs w:val="20"/>
              </w:rPr>
            </w:pPr>
            <w:r w:rsidRPr="00692EB0">
              <w:rPr>
                <w:rFonts w:ascii="Times New Roman" w:hAnsi="Times New Roman" w:eastAsia="Times New Roman" w:cs="Times New Roman"/>
                <w:b/>
                <w:color w:val="000000"/>
                <w:sz w:val="20"/>
                <w:szCs w:val="20"/>
              </w:rPr>
              <w:t>Average/Accident</w:t>
            </w:r>
          </w:p>
        </w:tc>
        <w:tc>
          <w:tcPr>
            <w:tcW w:w="1505" w:type="dxa"/>
            <w:tcBorders>
              <w:top w:val="single" w:color="000000" w:sz="8" w:space="0"/>
              <w:left w:val="nil"/>
              <w:bottom w:val="single" w:color="000000" w:sz="8" w:space="0"/>
              <w:right w:val="single" w:color="000000" w:sz="8" w:space="0"/>
            </w:tcBorders>
            <w:shd w:val="clear" w:color="000000" w:fill="D9D9D9"/>
            <w:vAlign w:val="center"/>
          </w:tcPr>
          <w:p w:rsidRPr="00692EB0" w:rsidR="00E96098" w:rsidP="00837F16" w:rsidRDefault="00E96098" w14:paraId="1035E1F4" w14:textId="463632B2">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Median</w:t>
            </w:r>
            <w:r w:rsidR="00F15826">
              <w:rPr>
                <w:rFonts w:ascii="Times New Roman" w:hAnsi="Times New Roman" w:eastAsia="Times New Roman" w:cs="Times New Roman"/>
                <w:b/>
                <w:color w:val="000000"/>
                <w:sz w:val="20"/>
                <w:szCs w:val="20"/>
              </w:rPr>
              <w:t xml:space="preserve"> </w:t>
            </w:r>
            <w:r>
              <w:rPr>
                <w:rFonts w:ascii="Times New Roman" w:hAnsi="Times New Roman" w:eastAsia="Times New Roman" w:cs="Times New Roman"/>
                <w:b/>
                <w:color w:val="000000"/>
                <w:sz w:val="20"/>
                <w:szCs w:val="20"/>
              </w:rPr>
              <w:t>/Accident</w:t>
            </w:r>
          </w:p>
        </w:tc>
      </w:tr>
      <w:tr w:rsidRPr="00C2595C" w:rsidR="00EA4E87" w:rsidTr="00FA2170" w14:paraId="1419E5D3" w14:textId="180407F4">
        <w:trPr>
          <w:trHeight w:val="179"/>
          <w:jc w:val="center"/>
        </w:trPr>
        <w:tc>
          <w:tcPr>
            <w:tcW w:w="9960" w:type="dxa"/>
            <w:gridSpan w:val="6"/>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B40BE0" w:rsidR="00EA4E87" w:rsidP="00B40BE0" w:rsidRDefault="00EA4E87" w14:paraId="6DB1E8D0" w14:textId="7E7030B8">
            <w:pPr>
              <w:spacing w:after="0" w:line="240" w:lineRule="auto"/>
              <w:rPr>
                <w:rFonts w:ascii="Times New Roman" w:hAnsi="Times New Roman" w:eastAsia="Times New Roman" w:cs="Times New Roman"/>
                <w:b/>
                <w:bCs/>
                <w:color w:val="000000"/>
                <w:sz w:val="20"/>
                <w:szCs w:val="20"/>
              </w:rPr>
            </w:pPr>
            <w:r w:rsidRPr="00B40BE0">
              <w:rPr>
                <w:rFonts w:ascii="Times New Roman" w:hAnsi="Times New Roman" w:eastAsia="Times New Roman" w:cs="Times New Roman"/>
                <w:b/>
                <w:bCs/>
                <w:color w:val="000000"/>
                <w:sz w:val="20"/>
                <w:szCs w:val="20"/>
              </w:rPr>
              <w:t>Onsite</w:t>
            </w:r>
          </w:p>
        </w:tc>
      </w:tr>
      <w:tr w:rsidRPr="00C2595C" w:rsidR="00E96098" w:rsidTr="00E96098" w14:paraId="22C8D6D9" w14:textId="6D720C9A">
        <w:trPr>
          <w:trHeight w:val="157"/>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40927AE3"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Fatalities</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E8128E3" w14:textId="4A9368F7">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$9.3</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C0A5ED0" w14:textId="142E9C82">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$111.6</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4E41CF1" w14:textId="5B36D35C">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$22.32</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E37190C" w14:textId="615749BC">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$0.23</w:t>
            </w:r>
          </w:p>
        </w:tc>
        <w:tc>
          <w:tcPr>
            <w:tcW w:w="1505" w:type="dxa"/>
            <w:tcBorders>
              <w:top w:val="nil"/>
              <w:left w:val="nil"/>
              <w:bottom w:val="single" w:color="000000" w:sz="8" w:space="0"/>
              <w:right w:val="single" w:color="000000" w:sz="8" w:space="0"/>
            </w:tcBorders>
          </w:tcPr>
          <w:p w:rsidRPr="00692EB0" w:rsidR="00E96098" w:rsidP="00837F16" w:rsidRDefault="00E96098" w14:paraId="4B5A71A5" w14:textId="5A148B0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6635231C" w14:textId="5E1DCA49">
        <w:trPr>
          <w:trHeight w:val="157"/>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0DE7157B"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Injuries</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52FD092" w14:textId="6CB49EEA">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$0.05</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661566B" w14:textId="68416D3E">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$27.50</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F3D1792" w14:textId="3108D5A4">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$5.50</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05BE0792" w14:textId="3AF8C08E">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$0.06</w:t>
            </w:r>
          </w:p>
        </w:tc>
        <w:tc>
          <w:tcPr>
            <w:tcW w:w="1505" w:type="dxa"/>
            <w:tcBorders>
              <w:top w:val="nil"/>
              <w:left w:val="nil"/>
              <w:bottom w:val="single" w:color="000000" w:sz="8" w:space="0"/>
              <w:right w:val="single" w:color="000000" w:sz="8" w:space="0"/>
            </w:tcBorders>
          </w:tcPr>
          <w:p w:rsidRPr="00692EB0" w:rsidR="00E96098" w:rsidP="00837F16" w:rsidRDefault="00E96098" w14:paraId="37E64B4E" w14:textId="52437E0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w:t>
            </w:r>
          </w:p>
        </w:tc>
      </w:tr>
      <w:tr w:rsidRPr="00C2595C" w:rsidR="00E96098" w:rsidTr="00E96098" w14:paraId="7416638C" w14:textId="72455D23">
        <w:trPr>
          <w:trHeight w:val="226"/>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1F90D66B"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Property Damage</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692EB0" w:rsidRDefault="00E96098" w14:paraId="127E9A45" w14:textId="73FFE877">
            <w:pPr>
              <w:spacing w:after="0" w:line="240" w:lineRule="auto"/>
              <w:jc w:val="center"/>
              <w:rPr>
                <w:rFonts w:ascii="Times New Roman" w:hAnsi="Times New Roman" w:eastAsia="Times New Roman" w:cs="Times New Roman"/>
                <w:color w:val="000000"/>
                <w:sz w:val="20"/>
                <w:szCs w:val="20"/>
              </w:rPr>
            </w:pP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DF102EA" w14:textId="3B86181D">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$2,031</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209872D" w14:textId="2257E62E">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$406.20</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02939DB9" w14:textId="21263DCB">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$4.16</w:t>
            </w:r>
          </w:p>
        </w:tc>
        <w:tc>
          <w:tcPr>
            <w:tcW w:w="1505" w:type="dxa"/>
            <w:tcBorders>
              <w:top w:val="nil"/>
              <w:left w:val="nil"/>
              <w:bottom w:val="single" w:color="000000" w:sz="8" w:space="0"/>
              <w:right w:val="single" w:color="000000" w:sz="8" w:space="0"/>
            </w:tcBorders>
          </w:tcPr>
          <w:p w:rsidRPr="00692EB0" w:rsidR="00E96098" w:rsidP="00837F16" w:rsidRDefault="00E96098" w14:paraId="6A12FD46" w14:textId="22930E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79732E9B" w14:textId="6B5EE849">
        <w:trPr>
          <w:trHeight w:val="253"/>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19F5EB8C" w14:textId="28410322">
            <w:pPr>
              <w:spacing w:after="0" w:line="240" w:lineRule="auto"/>
              <w:rPr>
                <w:rFonts w:ascii="Times New Roman" w:hAnsi="Times New Roman" w:cs="Times New Roman"/>
                <w:b/>
                <w:color w:val="000000"/>
                <w:sz w:val="20"/>
                <w:szCs w:val="20"/>
              </w:rPr>
            </w:pPr>
            <w:r w:rsidRPr="00692EB0">
              <w:rPr>
                <w:rFonts w:ascii="Times New Roman" w:hAnsi="Times New Roman" w:cs="Times New Roman"/>
                <w:b/>
                <w:color w:val="000000"/>
                <w:sz w:val="20"/>
                <w:szCs w:val="20"/>
              </w:rPr>
              <w:t>Onsite Total</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692EB0" w:rsidRDefault="00E96098" w14:paraId="0A5A23D1" w14:textId="531D485F">
            <w:pPr>
              <w:spacing w:after="0" w:line="240" w:lineRule="auto"/>
              <w:jc w:val="center"/>
              <w:rPr>
                <w:rFonts w:ascii="Times New Roman" w:hAnsi="Times New Roman" w:eastAsia="Times New Roman" w:cs="Times New Roman"/>
                <w:color w:val="000000"/>
                <w:sz w:val="20"/>
                <w:szCs w:val="20"/>
              </w:rPr>
            </w:pP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3F1CC71E" w14:textId="256E441F">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$2,170.10</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E0F9A98" w14:textId="12382A6A">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$434.02</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7AAAB1C" w14:textId="0FBFCD1F">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$4.45</w:t>
            </w:r>
          </w:p>
        </w:tc>
        <w:tc>
          <w:tcPr>
            <w:tcW w:w="1505" w:type="dxa"/>
            <w:tcBorders>
              <w:top w:val="nil"/>
              <w:left w:val="nil"/>
              <w:bottom w:val="single" w:color="000000" w:sz="8" w:space="0"/>
              <w:right w:val="single" w:color="000000" w:sz="8" w:space="0"/>
            </w:tcBorders>
          </w:tcPr>
          <w:p w:rsidRPr="00692EB0" w:rsidR="00E96098" w:rsidP="00837F16" w:rsidRDefault="00E96098" w14:paraId="33022C6F" w14:textId="5BFDE53D">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$0.05</w:t>
            </w:r>
          </w:p>
        </w:tc>
      </w:tr>
      <w:tr w:rsidRPr="00C2595C" w:rsidR="00EA4E87" w:rsidTr="00A073E0" w14:paraId="0B736422" w14:textId="4F66E800">
        <w:trPr>
          <w:trHeight w:val="157"/>
          <w:jc w:val="center"/>
        </w:trPr>
        <w:tc>
          <w:tcPr>
            <w:tcW w:w="9960" w:type="dxa"/>
            <w:gridSpan w:val="6"/>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B40BE0" w:rsidR="00EA4E87" w:rsidP="00B40BE0" w:rsidRDefault="00EA4E87" w14:paraId="39DF242A" w14:textId="280CEA1C">
            <w:pPr>
              <w:spacing w:after="0" w:line="240" w:lineRule="auto"/>
              <w:rPr>
                <w:rFonts w:ascii="Times New Roman" w:hAnsi="Times New Roman" w:eastAsia="Times New Roman" w:cs="Times New Roman"/>
                <w:b/>
                <w:bCs/>
                <w:color w:val="000000"/>
                <w:sz w:val="20"/>
                <w:szCs w:val="20"/>
              </w:rPr>
            </w:pPr>
            <w:r w:rsidRPr="00B40BE0">
              <w:rPr>
                <w:rFonts w:ascii="Times New Roman" w:hAnsi="Times New Roman" w:eastAsia="Times New Roman" w:cs="Times New Roman"/>
                <w:b/>
                <w:bCs/>
                <w:color w:val="000000"/>
                <w:sz w:val="20"/>
                <w:szCs w:val="20"/>
              </w:rPr>
              <w:t>Offsite</w:t>
            </w:r>
          </w:p>
        </w:tc>
      </w:tr>
      <w:tr w:rsidRPr="00C2595C" w:rsidR="00E96098" w:rsidTr="00E96098" w14:paraId="5465CFDC" w14:textId="286B9316">
        <w:trPr>
          <w:trHeight w:val="204"/>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64D53422"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Fatalities</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623DD6A3" w14:textId="4C2CE2F8">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$9.30</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96026B2" w14:textId="710C3396">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8B961B0" w14:textId="7C23E61E">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AE593D8" w14:textId="08400B02">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505" w:type="dxa"/>
            <w:tcBorders>
              <w:top w:val="nil"/>
              <w:left w:val="nil"/>
              <w:bottom w:val="single" w:color="000000" w:sz="8" w:space="0"/>
              <w:right w:val="single" w:color="000000" w:sz="8" w:space="0"/>
            </w:tcBorders>
          </w:tcPr>
          <w:p w:rsidRPr="00692EB0" w:rsidR="00E96098" w:rsidP="00837F16" w:rsidRDefault="00E96098" w14:paraId="41F684AA" w14:textId="6D78159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08276DF5" w14:textId="66153DA8">
        <w:trPr>
          <w:trHeight w:val="236"/>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60E417A4"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Hospitalizations</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296BDDEC" w14:textId="1BF2F3D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$0.045</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2A2D7D6E" w14:textId="52805338">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$1.40</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2E319E82" w14:textId="20057153">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$0.28</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09AA7E2" w14:textId="372A45E2">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505" w:type="dxa"/>
            <w:tcBorders>
              <w:top w:val="nil"/>
              <w:left w:val="nil"/>
              <w:bottom w:val="single" w:color="000000" w:sz="8" w:space="0"/>
              <w:right w:val="single" w:color="000000" w:sz="8" w:space="0"/>
            </w:tcBorders>
          </w:tcPr>
          <w:p w:rsidRPr="00692EB0" w:rsidR="00E96098" w:rsidP="00837F16" w:rsidRDefault="00E96098" w14:paraId="57EB4872" w14:textId="32E0D4D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182EEF7E" w14:textId="6DBF2589">
        <w:trPr>
          <w:trHeight w:val="217"/>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6BB21636"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Medical Treatment</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2A0AF707" w14:textId="2764B41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$0.001</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01B3801E" w14:textId="5D5CAE5D">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$0.13</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5E46B7B1" w14:textId="479A1CD9">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$0.03</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5A01F55E" w14:textId="6BC7CFAF">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505" w:type="dxa"/>
            <w:tcBorders>
              <w:top w:val="nil"/>
              <w:left w:val="nil"/>
              <w:bottom w:val="single" w:color="000000" w:sz="8" w:space="0"/>
              <w:right w:val="single" w:color="000000" w:sz="8" w:space="0"/>
            </w:tcBorders>
          </w:tcPr>
          <w:p w:rsidRPr="00692EB0" w:rsidR="00E96098" w:rsidP="00837F16" w:rsidRDefault="00E96098" w14:paraId="590FEDA8" w14:textId="765107C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5E081DDD" w14:textId="7D3751D8">
        <w:trPr>
          <w:trHeight w:val="157"/>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5BA66E2B"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Evacuations*</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ADD46B5" w14:textId="171CB2DC">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35EE547D" w14:textId="430668E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$14.16</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32C04DF" w14:textId="67F25A1A">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$2.83</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AC3A11A" w14:textId="5A9B794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w:t>
            </w:r>
            <w:r w:rsidR="00B561AD">
              <w:rPr>
                <w:rFonts w:ascii="Times New Roman" w:hAnsi="Times New Roman" w:eastAsia="Times New Roman" w:cs="Times New Roman"/>
                <w:color w:val="000000"/>
                <w:sz w:val="20"/>
                <w:szCs w:val="20"/>
              </w:rPr>
              <w:t>3</w:t>
            </w:r>
          </w:p>
        </w:tc>
        <w:tc>
          <w:tcPr>
            <w:tcW w:w="1505" w:type="dxa"/>
            <w:tcBorders>
              <w:top w:val="nil"/>
              <w:left w:val="nil"/>
              <w:bottom w:val="single" w:color="000000" w:sz="8" w:space="0"/>
              <w:right w:val="single" w:color="000000" w:sz="8" w:space="0"/>
            </w:tcBorders>
          </w:tcPr>
          <w:p w:rsidRPr="00692EB0" w:rsidR="00E96098" w:rsidP="00837F16" w:rsidRDefault="00E96098" w14:paraId="4E4BB844" w14:textId="1DA348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59F28C9C" w14:textId="2D557172">
        <w:trPr>
          <w:trHeight w:val="308"/>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786E82B2" w14:textId="77777777">
            <w:pPr>
              <w:spacing w:after="0" w:line="240" w:lineRule="auto"/>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Sheltering in Place*</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298D795" w14:textId="1C980B50">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$0.00</w:t>
            </w: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C933EC6" w14:textId="0FF6CCEA">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$9.39</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37DC355B" w14:textId="0A1FE01D">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$1.88</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5F7AE9D" w14:textId="6B774B95">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color w:val="000000"/>
                <w:sz w:val="20"/>
                <w:szCs w:val="20"/>
              </w:rPr>
              <w:t>$0.0</w:t>
            </w:r>
            <w:r w:rsidR="00B561AD">
              <w:rPr>
                <w:rFonts w:ascii="Times New Roman" w:hAnsi="Times New Roman" w:eastAsia="Times New Roman" w:cs="Times New Roman"/>
                <w:color w:val="000000"/>
                <w:sz w:val="20"/>
                <w:szCs w:val="20"/>
              </w:rPr>
              <w:t>2</w:t>
            </w:r>
          </w:p>
        </w:tc>
        <w:tc>
          <w:tcPr>
            <w:tcW w:w="1505" w:type="dxa"/>
            <w:tcBorders>
              <w:top w:val="nil"/>
              <w:left w:val="nil"/>
              <w:bottom w:val="single" w:color="000000" w:sz="8" w:space="0"/>
              <w:right w:val="single" w:color="000000" w:sz="8" w:space="0"/>
            </w:tcBorders>
          </w:tcPr>
          <w:p w:rsidRPr="00692EB0" w:rsidR="00E96098" w:rsidP="00837F16" w:rsidRDefault="00E96098" w14:paraId="41EDE58D" w14:textId="1C31E0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01A558DB" w14:textId="1B26036F">
        <w:trPr>
          <w:trHeight w:val="190"/>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490912C4" w14:textId="77777777">
            <w:pPr>
              <w:spacing w:after="0" w:line="240" w:lineRule="auto"/>
              <w:rPr>
                <w:rFonts w:ascii="Times New Roman" w:hAnsi="Times New Roman" w:cs="Times New Roman"/>
                <w:color w:val="000000"/>
                <w:sz w:val="20"/>
                <w:szCs w:val="20"/>
              </w:rPr>
            </w:pPr>
            <w:r w:rsidRPr="00692EB0">
              <w:rPr>
                <w:rFonts w:ascii="Times New Roman" w:hAnsi="Times New Roman" w:cs="Times New Roman"/>
                <w:color w:val="000000"/>
                <w:sz w:val="20"/>
                <w:szCs w:val="20"/>
              </w:rPr>
              <w:t>Property Damage</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692EB0" w:rsidRDefault="00E96098" w14:paraId="7C21B7BA" w14:textId="12BB48C8">
            <w:pPr>
              <w:spacing w:after="0" w:line="240" w:lineRule="auto"/>
              <w:jc w:val="center"/>
              <w:rPr>
                <w:rFonts w:ascii="Times New Roman" w:hAnsi="Times New Roman" w:cs="Times New Roman"/>
                <w:color w:val="000000"/>
                <w:sz w:val="20"/>
                <w:szCs w:val="20"/>
              </w:rPr>
            </w:pP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34924232" w14:textId="35E3ED02">
            <w:pPr>
              <w:spacing w:after="0" w:line="240" w:lineRule="auto"/>
              <w:jc w:val="center"/>
              <w:rPr>
                <w:rFonts w:ascii="Times New Roman" w:hAnsi="Times New Roman" w:cs="Times New Roman"/>
                <w:color w:val="000000"/>
                <w:sz w:val="20"/>
                <w:szCs w:val="20"/>
              </w:rPr>
            </w:pPr>
            <w:r w:rsidRPr="00692EB0">
              <w:rPr>
                <w:rFonts w:ascii="Times New Roman" w:hAnsi="Times New Roman" w:cs="Times New Roman"/>
                <w:color w:val="000000"/>
                <w:sz w:val="20"/>
                <w:szCs w:val="20"/>
              </w:rPr>
              <w:t>$191.53</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6A025A18" w14:textId="04084317">
            <w:pPr>
              <w:spacing w:after="0" w:line="240" w:lineRule="auto"/>
              <w:jc w:val="center"/>
              <w:rPr>
                <w:rFonts w:ascii="Times New Roman" w:hAnsi="Times New Roman" w:cs="Times New Roman"/>
                <w:color w:val="000000"/>
                <w:sz w:val="20"/>
                <w:szCs w:val="20"/>
              </w:rPr>
            </w:pPr>
            <w:r w:rsidRPr="00692EB0">
              <w:rPr>
                <w:rFonts w:ascii="Times New Roman" w:hAnsi="Times New Roman" w:cs="Times New Roman"/>
                <w:color w:val="000000"/>
                <w:sz w:val="20"/>
                <w:szCs w:val="20"/>
              </w:rPr>
              <w:t>$38.31</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77473411" w14:textId="4C028945">
            <w:pPr>
              <w:spacing w:after="0" w:line="240" w:lineRule="auto"/>
              <w:jc w:val="center"/>
              <w:rPr>
                <w:rFonts w:ascii="Times New Roman" w:hAnsi="Times New Roman" w:cs="Times New Roman"/>
                <w:color w:val="000000"/>
                <w:sz w:val="20"/>
                <w:szCs w:val="20"/>
              </w:rPr>
            </w:pPr>
            <w:r w:rsidRPr="00692EB0">
              <w:rPr>
                <w:rFonts w:ascii="Times New Roman" w:hAnsi="Times New Roman" w:cs="Times New Roman"/>
                <w:color w:val="000000"/>
                <w:sz w:val="20"/>
                <w:szCs w:val="20"/>
              </w:rPr>
              <w:t>$0.39</w:t>
            </w:r>
          </w:p>
        </w:tc>
        <w:tc>
          <w:tcPr>
            <w:tcW w:w="1505" w:type="dxa"/>
            <w:tcBorders>
              <w:top w:val="nil"/>
              <w:left w:val="nil"/>
              <w:bottom w:val="single" w:color="000000" w:sz="8" w:space="0"/>
              <w:right w:val="single" w:color="000000" w:sz="8" w:space="0"/>
            </w:tcBorders>
          </w:tcPr>
          <w:p w:rsidRPr="00692EB0" w:rsidR="00E96098" w:rsidP="00837F16" w:rsidRDefault="00E96098" w14:paraId="1C5E7DF6" w14:textId="4070FE27">
            <w:pPr>
              <w:spacing w:after="0" w:line="240" w:lineRule="auto"/>
              <w:jc w:val="center"/>
              <w:rPr>
                <w:rFonts w:ascii="Times New Roman" w:hAnsi="Times New Roman" w:cs="Times New Roman"/>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383D5326" w14:textId="6540422F">
        <w:trPr>
          <w:trHeight w:val="244"/>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837F16" w:rsidRDefault="00E96098" w14:paraId="3F4E7398" w14:textId="32E9B8E1">
            <w:pPr>
              <w:spacing w:after="0" w:line="240" w:lineRule="auto"/>
              <w:rPr>
                <w:rFonts w:ascii="Times New Roman" w:hAnsi="Times New Roman" w:cs="Times New Roman"/>
                <w:b/>
                <w:color w:val="000000"/>
                <w:sz w:val="20"/>
                <w:szCs w:val="20"/>
              </w:rPr>
            </w:pPr>
            <w:r w:rsidRPr="00692EB0">
              <w:rPr>
                <w:rFonts w:ascii="Times New Roman" w:hAnsi="Times New Roman" w:cs="Times New Roman"/>
                <w:b/>
                <w:color w:val="000000"/>
                <w:sz w:val="20"/>
                <w:szCs w:val="20"/>
              </w:rPr>
              <w:t>Offsite Total</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692EB0" w:rsidRDefault="00E96098" w14:paraId="3FB5643D" w14:textId="1858F396">
            <w:pPr>
              <w:spacing w:after="0" w:line="240" w:lineRule="auto"/>
              <w:jc w:val="center"/>
              <w:rPr>
                <w:rFonts w:ascii="Times New Roman" w:hAnsi="Times New Roman" w:eastAsia="Times New Roman" w:cs="Times New Roman"/>
                <w:color w:val="000000"/>
                <w:sz w:val="20"/>
                <w:szCs w:val="20"/>
              </w:rPr>
            </w:pP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2CD34B2F" w14:textId="27857AF7">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$216.61</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0F80771" w14:textId="46CB156B">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$43.32</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06424AD4" w14:textId="780192D8">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$0.44</w:t>
            </w:r>
          </w:p>
        </w:tc>
        <w:tc>
          <w:tcPr>
            <w:tcW w:w="1505" w:type="dxa"/>
            <w:tcBorders>
              <w:top w:val="nil"/>
              <w:left w:val="nil"/>
              <w:bottom w:val="single" w:color="000000" w:sz="8" w:space="0"/>
              <w:right w:val="single" w:color="000000" w:sz="8" w:space="0"/>
            </w:tcBorders>
          </w:tcPr>
          <w:p w:rsidRPr="00692EB0" w:rsidR="00E96098" w:rsidP="00837F16" w:rsidRDefault="00E96098" w14:paraId="6D38044D" w14:textId="49D2EAAB">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$0.00</w:t>
            </w:r>
          </w:p>
        </w:tc>
      </w:tr>
      <w:tr w:rsidRPr="00C2595C" w:rsidR="00E96098" w:rsidTr="00E96098" w14:paraId="50DBAF6A" w14:textId="3F0C9B39">
        <w:trPr>
          <w:trHeight w:val="157"/>
          <w:jc w:val="center"/>
        </w:trPr>
        <w:tc>
          <w:tcPr>
            <w:tcW w:w="1677" w:type="dxa"/>
            <w:tcBorders>
              <w:top w:val="nil"/>
              <w:left w:val="single" w:color="000000" w:sz="8" w:space="0"/>
              <w:bottom w:val="single" w:color="000000" w:sz="8" w:space="0"/>
              <w:right w:val="single" w:color="000000" w:sz="8" w:space="0"/>
            </w:tcBorders>
            <w:shd w:val="clear" w:color="auto" w:fill="auto"/>
            <w:vAlign w:val="center"/>
            <w:hideMark/>
          </w:tcPr>
          <w:p w:rsidRPr="00692EB0" w:rsidR="00E96098" w:rsidP="00692EB0" w:rsidRDefault="00E96098" w14:paraId="23ABB21F" w14:textId="502E2B56">
            <w:pPr>
              <w:spacing w:after="0" w:line="240" w:lineRule="auto"/>
              <w:rPr>
                <w:rFonts w:ascii="Times New Roman" w:hAnsi="Times New Roman" w:cs="Times New Roman"/>
                <w:b/>
                <w:color w:val="000000"/>
                <w:sz w:val="20"/>
                <w:szCs w:val="20"/>
              </w:rPr>
            </w:pPr>
            <w:r w:rsidRPr="00692EB0">
              <w:rPr>
                <w:rFonts w:ascii="Times New Roman" w:hAnsi="Times New Roman" w:cs="Times New Roman"/>
                <w:b/>
                <w:color w:val="000000"/>
                <w:sz w:val="20"/>
                <w:szCs w:val="20"/>
              </w:rPr>
              <w:lastRenderedPageBreak/>
              <w:t>Total</w:t>
            </w:r>
            <w:r w:rsidR="00B561AD">
              <w:rPr>
                <w:rFonts w:ascii="Times New Roman" w:hAnsi="Times New Roman" w:cs="Times New Roman"/>
                <w:b/>
                <w:color w:val="000000"/>
                <w:sz w:val="20"/>
                <w:szCs w:val="20"/>
              </w:rPr>
              <w:t>**</w:t>
            </w:r>
          </w:p>
        </w:tc>
        <w:tc>
          <w:tcPr>
            <w:tcW w:w="1068" w:type="dxa"/>
            <w:tcBorders>
              <w:top w:val="nil"/>
              <w:left w:val="nil"/>
              <w:bottom w:val="single" w:color="000000" w:sz="8" w:space="0"/>
              <w:right w:val="single" w:color="000000" w:sz="8" w:space="0"/>
            </w:tcBorders>
            <w:shd w:val="clear" w:color="auto" w:fill="auto"/>
            <w:vAlign w:val="center"/>
            <w:hideMark/>
          </w:tcPr>
          <w:p w:rsidRPr="00692EB0" w:rsidR="00E96098" w:rsidP="00692EB0" w:rsidRDefault="00E96098" w14:paraId="0CDD1686" w14:textId="6F6B54AA">
            <w:pPr>
              <w:spacing w:after="0" w:line="240" w:lineRule="auto"/>
              <w:jc w:val="center"/>
              <w:rPr>
                <w:rFonts w:ascii="Times New Roman" w:hAnsi="Times New Roman" w:eastAsia="Times New Roman" w:cs="Times New Roman"/>
                <w:color w:val="000000"/>
                <w:sz w:val="20"/>
                <w:szCs w:val="20"/>
              </w:rPr>
            </w:pPr>
          </w:p>
        </w:tc>
        <w:tc>
          <w:tcPr>
            <w:tcW w:w="1152"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18B5BC31" w14:textId="039BE2B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$2,386.71</w:t>
            </w:r>
          </w:p>
        </w:tc>
        <w:tc>
          <w:tcPr>
            <w:tcW w:w="1555"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0F016F68" w14:textId="0E54473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$477.34</w:t>
            </w:r>
          </w:p>
        </w:tc>
        <w:tc>
          <w:tcPr>
            <w:tcW w:w="3003" w:type="dxa"/>
            <w:tcBorders>
              <w:top w:val="nil"/>
              <w:left w:val="nil"/>
              <w:bottom w:val="single" w:color="000000" w:sz="8" w:space="0"/>
              <w:right w:val="single" w:color="000000" w:sz="8" w:space="0"/>
            </w:tcBorders>
            <w:shd w:val="clear" w:color="auto" w:fill="auto"/>
            <w:vAlign w:val="center"/>
            <w:hideMark/>
          </w:tcPr>
          <w:p w:rsidRPr="00692EB0" w:rsidR="00E96098" w:rsidP="00837F16" w:rsidRDefault="00E96098" w14:paraId="451BA6D2" w14:textId="523BE0B1">
            <w:pPr>
              <w:spacing w:after="0" w:line="240" w:lineRule="auto"/>
              <w:jc w:val="center"/>
              <w:rPr>
                <w:rFonts w:ascii="Times New Roman" w:hAnsi="Times New Roman" w:eastAsia="Times New Roman" w:cs="Times New Roman"/>
                <w:color w:val="000000"/>
                <w:sz w:val="20"/>
                <w:szCs w:val="20"/>
              </w:rPr>
            </w:pPr>
            <w:r w:rsidRPr="00692EB0">
              <w:rPr>
                <w:rFonts w:ascii="Times New Roman" w:hAnsi="Times New Roman" w:eastAsia="Times New Roman" w:cs="Times New Roman"/>
                <w:b/>
                <w:color w:val="000000"/>
                <w:sz w:val="20"/>
                <w:szCs w:val="20"/>
              </w:rPr>
              <w:t>$4.89</w:t>
            </w:r>
          </w:p>
        </w:tc>
        <w:tc>
          <w:tcPr>
            <w:tcW w:w="1505" w:type="dxa"/>
            <w:tcBorders>
              <w:top w:val="nil"/>
              <w:left w:val="nil"/>
              <w:bottom w:val="single" w:color="000000" w:sz="8" w:space="0"/>
              <w:right w:val="single" w:color="000000" w:sz="8" w:space="0"/>
            </w:tcBorders>
          </w:tcPr>
          <w:p w:rsidRPr="00692EB0" w:rsidR="00E96098" w:rsidP="00837F16" w:rsidRDefault="00E96098" w14:paraId="61ABA8C1" w14:textId="4FA3DF8C">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$0.05</w:t>
            </w:r>
          </w:p>
        </w:tc>
      </w:tr>
    </w:tbl>
    <w:p w:rsidR="005B38E8" w:rsidP="00C2595C" w:rsidRDefault="005B38E8" w14:paraId="16E54948" w14:textId="2DE2198A">
      <w:pPr>
        <w:widowControl w:val="0"/>
        <w:tabs>
          <w:tab w:val="left" w:pos="817"/>
        </w:tabs>
        <w:autoSpaceDE w:val="0"/>
        <w:autoSpaceDN w:val="0"/>
        <w:spacing w:after="0" w:line="240" w:lineRule="auto"/>
        <w:ind w:right="777"/>
        <w:rPr>
          <w:rFonts w:ascii="Times New Roman" w:hAnsi="Times New Roman" w:cs="Times New Roman"/>
          <w:sz w:val="18"/>
          <w:szCs w:val="18"/>
        </w:rPr>
      </w:pPr>
      <w:r w:rsidRPr="00281014">
        <w:rPr>
          <w:rFonts w:ascii="Times New Roman" w:hAnsi="Times New Roman" w:cs="Times New Roman"/>
          <w:sz w:val="18"/>
          <w:szCs w:val="18"/>
        </w:rPr>
        <w:t xml:space="preserve">* The unit value for evacuations and for sheltering in place are less than </w:t>
      </w:r>
      <w:r w:rsidR="00256555">
        <w:rPr>
          <w:rFonts w:ascii="Times New Roman" w:hAnsi="Times New Roman" w:cs="Times New Roman"/>
          <w:sz w:val="18"/>
          <w:szCs w:val="18"/>
        </w:rPr>
        <w:t>$300</w:t>
      </w:r>
      <w:r w:rsidRPr="00281014">
        <w:rPr>
          <w:rFonts w:ascii="Times New Roman" w:hAnsi="Times New Roman" w:cs="Times New Roman"/>
          <w:sz w:val="18"/>
          <w:szCs w:val="18"/>
        </w:rPr>
        <w:t xml:space="preserve"> so when expressed in rounded millions</w:t>
      </w:r>
      <w:r w:rsidR="00F82AFE">
        <w:rPr>
          <w:rFonts w:ascii="Times New Roman" w:hAnsi="Times New Roman" w:cs="Times New Roman"/>
          <w:sz w:val="18"/>
          <w:szCs w:val="18"/>
        </w:rPr>
        <w:t>,</w:t>
      </w:r>
      <w:r w:rsidRPr="00281014">
        <w:rPr>
          <w:rFonts w:ascii="Times New Roman" w:hAnsi="Times New Roman" w:cs="Times New Roman"/>
          <w:sz w:val="18"/>
          <w:szCs w:val="18"/>
        </w:rPr>
        <w:t xml:space="preserve"> the value represented in the table is</w:t>
      </w:r>
      <w:r w:rsidRPr="00281014">
        <w:rPr>
          <w:rFonts w:ascii="Times New Roman" w:hAnsi="Times New Roman" w:cs="Times New Roman"/>
          <w:spacing w:val="-9"/>
          <w:sz w:val="18"/>
          <w:szCs w:val="18"/>
        </w:rPr>
        <w:t xml:space="preserve"> </w:t>
      </w:r>
      <w:r w:rsidRPr="00281014">
        <w:rPr>
          <w:rFonts w:ascii="Times New Roman" w:hAnsi="Times New Roman" w:cs="Times New Roman"/>
          <w:sz w:val="18"/>
          <w:szCs w:val="18"/>
        </w:rPr>
        <w:t>zero.</w:t>
      </w:r>
    </w:p>
    <w:p w:rsidRPr="00281014" w:rsidR="00B561AD" w:rsidP="00C2595C" w:rsidRDefault="00B561AD" w14:paraId="55FAA1EB" w14:textId="466BEE29">
      <w:pPr>
        <w:widowControl w:val="0"/>
        <w:tabs>
          <w:tab w:val="left" w:pos="817"/>
        </w:tabs>
        <w:autoSpaceDE w:val="0"/>
        <w:autoSpaceDN w:val="0"/>
        <w:spacing w:after="0" w:line="240" w:lineRule="auto"/>
        <w:ind w:right="777"/>
        <w:rPr>
          <w:rFonts w:ascii="Times New Roman" w:hAnsi="Times New Roman" w:cs="Times New Roman"/>
          <w:sz w:val="18"/>
          <w:szCs w:val="18"/>
        </w:rPr>
      </w:pPr>
      <w:r w:rsidRPr="00281014">
        <w:rPr>
          <w:rFonts w:ascii="Times New Roman" w:hAnsi="Times New Roman" w:cs="Times New Roman"/>
          <w:sz w:val="18"/>
          <w:szCs w:val="18"/>
        </w:rPr>
        <w:t>*</w:t>
      </w:r>
      <w:r>
        <w:rPr>
          <w:rFonts w:ascii="Times New Roman" w:hAnsi="Times New Roman" w:cs="Times New Roman"/>
          <w:sz w:val="18"/>
          <w:szCs w:val="18"/>
        </w:rPr>
        <w:t>*</w:t>
      </w:r>
      <w:r w:rsidRPr="00281014">
        <w:rPr>
          <w:rFonts w:ascii="Times New Roman" w:hAnsi="Times New Roman" w:cs="Times New Roman"/>
          <w:sz w:val="18"/>
          <w:szCs w:val="18"/>
        </w:rPr>
        <w:t>Totals may not sum due to rounding.</w:t>
      </w:r>
    </w:p>
    <w:p w:rsidRPr="00C2595C" w:rsidR="00281014" w:rsidP="00C2595C" w:rsidRDefault="00281014" w14:paraId="4394795F" w14:textId="77777777">
      <w:pPr>
        <w:widowControl w:val="0"/>
        <w:tabs>
          <w:tab w:val="left" w:pos="817"/>
        </w:tabs>
        <w:autoSpaceDE w:val="0"/>
        <w:autoSpaceDN w:val="0"/>
        <w:spacing w:after="0" w:line="240" w:lineRule="auto"/>
        <w:ind w:right="777"/>
        <w:rPr>
          <w:rFonts w:ascii="Times New Roman" w:hAnsi="Times New Roman" w:cs="Times New Roman"/>
        </w:rPr>
      </w:pPr>
    </w:p>
    <w:p w:rsidR="005E689B" w:rsidP="005E689B" w:rsidRDefault="00362205" w14:paraId="18B253A1" w14:textId="0DB1ECCA">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 xml:space="preserve">EPA monetized both </w:t>
      </w:r>
      <w:r w:rsidRPr="00C2595C" w:rsidR="00986800">
        <w:rPr>
          <w:rFonts w:ascii="Times New Roman" w:hAnsi="Times New Roman" w:cs="Times New Roman"/>
        </w:rPr>
        <w:t>onsite</w:t>
      </w:r>
      <w:r w:rsidRPr="00C2595C" w:rsidR="005B38E8">
        <w:rPr>
          <w:rFonts w:ascii="Times New Roman" w:hAnsi="Times New Roman" w:cs="Times New Roman"/>
        </w:rPr>
        <w:t xml:space="preserve"> and </w:t>
      </w:r>
      <w:r w:rsidRPr="00C2595C" w:rsidR="00986800">
        <w:rPr>
          <w:rFonts w:ascii="Times New Roman" w:hAnsi="Times New Roman" w:cs="Times New Roman"/>
        </w:rPr>
        <w:t>offsite</w:t>
      </w:r>
      <w:r w:rsidRPr="00C2595C" w:rsidR="005B38E8">
        <w:rPr>
          <w:rFonts w:ascii="Times New Roman" w:hAnsi="Times New Roman" w:cs="Times New Roman"/>
        </w:rPr>
        <w:t xml:space="preserve"> damages. EPA estimated total average annual </w:t>
      </w:r>
      <w:r w:rsidRPr="00C2595C" w:rsidR="00986800">
        <w:rPr>
          <w:rFonts w:ascii="Times New Roman" w:hAnsi="Times New Roman" w:cs="Times New Roman"/>
          <w:i/>
          <w:iCs/>
        </w:rPr>
        <w:t>onsite</w:t>
      </w:r>
      <w:r w:rsidRPr="00C2595C" w:rsidR="005B38E8">
        <w:rPr>
          <w:rFonts w:ascii="Times New Roman" w:hAnsi="Times New Roman" w:cs="Times New Roman"/>
          <w:i/>
          <w:iCs/>
        </w:rPr>
        <w:t xml:space="preserve"> </w:t>
      </w:r>
      <w:r w:rsidRPr="00C2595C" w:rsidR="005B38E8">
        <w:rPr>
          <w:rFonts w:ascii="Times New Roman" w:hAnsi="Times New Roman" w:cs="Times New Roman"/>
        </w:rPr>
        <w:t>damages of $</w:t>
      </w:r>
      <w:r w:rsidRPr="00C2595C" w:rsidR="00A629BD">
        <w:rPr>
          <w:rFonts w:ascii="Times New Roman" w:hAnsi="Times New Roman" w:cs="Times New Roman"/>
        </w:rPr>
        <w:t>434.0</w:t>
      </w:r>
      <w:r w:rsidRPr="00C2595C" w:rsidR="005B38E8">
        <w:rPr>
          <w:rFonts w:ascii="Times New Roman" w:hAnsi="Times New Roman" w:cs="Times New Roman"/>
        </w:rPr>
        <w:t xml:space="preserve"> million. The largest monetized</w:t>
      </w:r>
      <w:r w:rsidR="009E4A6F">
        <w:rPr>
          <w:rFonts w:ascii="Times New Roman" w:hAnsi="Times New Roman" w:cs="Times New Roman"/>
        </w:rPr>
        <w:t>,</w:t>
      </w:r>
      <w:r w:rsidRPr="00C2595C" w:rsidR="005B38E8">
        <w:rPr>
          <w:rFonts w:ascii="Times New Roman" w:hAnsi="Times New Roman" w:cs="Times New Roman"/>
        </w:rPr>
        <w:t xml:space="preserve"> average annual</w:t>
      </w:r>
      <w:r w:rsidR="009E4A6F">
        <w:rPr>
          <w:rFonts w:ascii="Times New Roman" w:hAnsi="Times New Roman" w:cs="Times New Roman"/>
        </w:rPr>
        <w:t>,</w:t>
      </w:r>
      <w:r w:rsidRPr="00C2595C" w:rsidR="005B38E8">
        <w:rPr>
          <w:rFonts w:ascii="Times New Roman" w:hAnsi="Times New Roman" w:cs="Times New Roman"/>
        </w:rPr>
        <w:t xml:space="preserve"> </w:t>
      </w:r>
      <w:r w:rsidRPr="00C2595C" w:rsidR="00986800">
        <w:rPr>
          <w:rFonts w:ascii="Times New Roman" w:hAnsi="Times New Roman" w:cs="Times New Roman"/>
        </w:rPr>
        <w:t>onsite</w:t>
      </w:r>
      <w:r w:rsidRPr="00C2595C" w:rsidR="005B38E8">
        <w:rPr>
          <w:rFonts w:ascii="Times New Roman" w:hAnsi="Times New Roman" w:cs="Times New Roman"/>
        </w:rPr>
        <w:t xml:space="preserve"> damage</w:t>
      </w:r>
      <w:r w:rsidR="002C11A4">
        <w:rPr>
          <w:rFonts w:ascii="Times New Roman" w:hAnsi="Times New Roman" w:cs="Times New Roman"/>
        </w:rPr>
        <w:t xml:space="preserve"> category</w:t>
      </w:r>
      <w:r w:rsidRPr="00C2595C" w:rsidR="005B38E8">
        <w:rPr>
          <w:rFonts w:ascii="Times New Roman" w:hAnsi="Times New Roman" w:cs="Times New Roman"/>
        </w:rPr>
        <w:t xml:space="preserve"> was property damage</w:t>
      </w:r>
      <w:r w:rsidR="002C11A4">
        <w:rPr>
          <w:rFonts w:ascii="Times New Roman" w:hAnsi="Times New Roman" w:cs="Times New Roman"/>
        </w:rPr>
        <w:t>,</w:t>
      </w:r>
      <w:r w:rsidRPr="00C2595C" w:rsidR="005B38E8">
        <w:rPr>
          <w:rFonts w:ascii="Times New Roman" w:hAnsi="Times New Roman" w:cs="Times New Roman"/>
        </w:rPr>
        <w:t xml:space="preserve"> which resulted in average annual damage of approximately $</w:t>
      </w:r>
      <w:r w:rsidRPr="00C2595C" w:rsidR="00136D35">
        <w:rPr>
          <w:rFonts w:ascii="Times New Roman" w:hAnsi="Times New Roman" w:cs="Times New Roman"/>
        </w:rPr>
        <w:t>406.2</w:t>
      </w:r>
      <w:r w:rsidRPr="00C2595C" w:rsidR="005B38E8">
        <w:rPr>
          <w:rFonts w:ascii="Times New Roman" w:hAnsi="Times New Roman" w:cs="Times New Roman"/>
        </w:rPr>
        <w:t xml:space="preserve"> million. The next largest impact was </w:t>
      </w:r>
      <w:r w:rsidRPr="00C2595C" w:rsidR="00986800">
        <w:rPr>
          <w:rFonts w:ascii="Times New Roman" w:hAnsi="Times New Roman" w:cs="Times New Roman"/>
        </w:rPr>
        <w:t>onsite</w:t>
      </w:r>
      <w:r w:rsidRPr="00C2595C" w:rsidR="005B38E8">
        <w:rPr>
          <w:rFonts w:ascii="Times New Roman" w:hAnsi="Times New Roman" w:cs="Times New Roman"/>
        </w:rPr>
        <w:t xml:space="preserve"> fatalities ($22.3 million) and injuries ($5.5 million).  </w:t>
      </w:r>
    </w:p>
    <w:p w:rsidR="005A354C" w:rsidP="005E689B" w:rsidRDefault="005A354C" w14:paraId="098B761C" w14:textId="77777777">
      <w:pPr>
        <w:spacing w:after="0" w:line="240" w:lineRule="auto"/>
        <w:ind w:firstLine="360"/>
        <w:rPr>
          <w:rFonts w:ascii="Times New Roman" w:hAnsi="Times New Roman" w:cs="Times New Roman"/>
        </w:rPr>
      </w:pPr>
    </w:p>
    <w:p w:rsidR="00BC6693" w:rsidP="00C35185" w:rsidRDefault="005A354C" w14:paraId="22F3B7E3" w14:textId="77777777">
      <w:pPr>
        <w:spacing w:after="0" w:line="240" w:lineRule="auto"/>
        <w:ind w:firstLine="360"/>
        <w:rPr>
          <w:rFonts w:ascii="Times New Roman" w:hAnsi="Times New Roman" w:cs="Times New Roman"/>
        </w:rPr>
      </w:pPr>
      <w:r>
        <w:rPr>
          <w:rFonts w:ascii="Times New Roman" w:hAnsi="Times New Roman" w:cs="Times New Roman"/>
        </w:rPr>
        <w:tab/>
      </w:r>
      <w:r w:rsidRPr="00C2595C" w:rsidR="005B38E8">
        <w:rPr>
          <w:rFonts w:ascii="Times New Roman" w:hAnsi="Times New Roman" w:cs="Times New Roman"/>
        </w:rPr>
        <w:t xml:space="preserve">EPA estimated total average annual </w:t>
      </w:r>
      <w:r w:rsidRPr="00C2595C" w:rsidR="00986800">
        <w:rPr>
          <w:rFonts w:ascii="Times New Roman" w:hAnsi="Times New Roman" w:cs="Times New Roman"/>
          <w:i/>
        </w:rPr>
        <w:t>offsite</w:t>
      </w:r>
      <w:r w:rsidRPr="00C2595C" w:rsidR="005B38E8">
        <w:rPr>
          <w:rFonts w:ascii="Times New Roman" w:hAnsi="Times New Roman" w:cs="Times New Roman"/>
        </w:rPr>
        <w:t xml:space="preserve"> damages of $</w:t>
      </w:r>
      <w:r w:rsidRPr="00C2595C" w:rsidR="00136D35">
        <w:rPr>
          <w:rFonts w:ascii="Times New Roman" w:hAnsi="Times New Roman" w:cs="Times New Roman"/>
        </w:rPr>
        <w:t>43.3</w:t>
      </w:r>
      <w:r w:rsidRPr="00C2595C" w:rsidR="005B38E8">
        <w:rPr>
          <w:rFonts w:ascii="Times New Roman" w:hAnsi="Times New Roman" w:cs="Times New Roman"/>
        </w:rPr>
        <w:t xml:space="preserve"> million. The largest monetized</w:t>
      </w:r>
      <w:r w:rsidR="009E4A6F">
        <w:rPr>
          <w:rFonts w:ascii="Times New Roman" w:hAnsi="Times New Roman" w:cs="Times New Roman"/>
        </w:rPr>
        <w:t>,</w:t>
      </w:r>
      <w:r w:rsidRPr="00C2595C" w:rsidR="005B38E8">
        <w:rPr>
          <w:rFonts w:ascii="Times New Roman" w:hAnsi="Times New Roman" w:cs="Times New Roman"/>
        </w:rPr>
        <w:t xml:space="preserve"> average annual</w:t>
      </w:r>
      <w:r w:rsidR="009E4A6F">
        <w:rPr>
          <w:rFonts w:ascii="Times New Roman" w:hAnsi="Times New Roman" w:cs="Times New Roman"/>
        </w:rPr>
        <w:t>,</w:t>
      </w:r>
      <w:r w:rsidRPr="00C2595C" w:rsidR="005B38E8">
        <w:rPr>
          <w:rFonts w:ascii="Times New Roman" w:hAnsi="Times New Roman" w:cs="Times New Roman"/>
        </w:rPr>
        <w:t xml:space="preserve"> </w:t>
      </w:r>
      <w:r w:rsidRPr="00C2595C" w:rsidR="00986800">
        <w:rPr>
          <w:rFonts w:ascii="Times New Roman" w:hAnsi="Times New Roman" w:cs="Times New Roman"/>
        </w:rPr>
        <w:t>offsite</w:t>
      </w:r>
      <w:r w:rsidRPr="00C2595C" w:rsidR="005B38E8">
        <w:rPr>
          <w:rFonts w:ascii="Times New Roman" w:hAnsi="Times New Roman" w:cs="Times New Roman"/>
        </w:rPr>
        <w:t xml:space="preserve"> damage was property damage</w:t>
      </w:r>
      <w:r w:rsidR="002C11A4">
        <w:rPr>
          <w:rFonts w:ascii="Times New Roman" w:hAnsi="Times New Roman" w:cs="Times New Roman"/>
        </w:rPr>
        <w:t>,</w:t>
      </w:r>
      <w:r w:rsidRPr="00C2595C" w:rsidR="005B38E8">
        <w:rPr>
          <w:rFonts w:ascii="Times New Roman" w:hAnsi="Times New Roman" w:cs="Times New Roman"/>
        </w:rPr>
        <w:t xml:space="preserve"> which resulted in average annual damage of approximately $3</w:t>
      </w:r>
      <w:r w:rsidRPr="00C2595C" w:rsidR="00136D35">
        <w:rPr>
          <w:rFonts w:ascii="Times New Roman" w:hAnsi="Times New Roman" w:cs="Times New Roman"/>
        </w:rPr>
        <w:t>8.3</w:t>
      </w:r>
      <w:r w:rsidRPr="00C2595C" w:rsidR="005B38E8">
        <w:rPr>
          <w:rFonts w:ascii="Times New Roman" w:hAnsi="Times New Roman" w:cs="Times New Roman"/>
        </w:rPr>
        <w:t xml:space="preserve"> million. The next largest impact was from evacuations ($2.8 million),</w:t>
      </w:r>
      <w:r w:rsidRPr="00C2595C" w:rsidR="00835781">
        <w:rPr>
          <w:rFonts w:ascii="Times New Roman" w:hAnsi="Times New Roman" w:cs="Times New Roman"/>
        </w:rPr>
        <w:t xml:space="preserve"> sheltering in place</w:t>
      </w:r>
      <w:r w:rsidRPr="00C2595C" w:rsidR="005B38E8">
        <w:rPr>
          <w:rFonts w:ascii="Times New Roman" w:hAnsi="Times New Roman" w:cs="Times New Roman"/>
        </w:rPr>
        <w:t xml:space="preserve"> ($1.9 million), hospitalizations ($0.3 million), and medical treatment ($0.03 million). In total, EPA estimated monetized damages from RMP facility accidents</w:t>
      </w:r>
      <w:r w:rsidRPr="00C2595C" w:rsidR="002E0C52">
        <w:rPr>
          <w:rFonts w:ascii="Times New Roman" w:hAnsi="Times New Roman" w:cs="Times New Roman"/>
        </w:rPr>
        <w:t xml:space="preserve"> over the </w:t>
      </w:r>
      <w:r w:rsidRPr="00C2595C" w:rsidR="001E2DDB">
        <w:rPr>
          <w:rFonts w:ascii="Times New Roman" w:hAnsi="Times New Roman" w:cs="Times New Roman"/>
        </w:rPr>
        <w:t>five-</w:t>
      </w:r>
      <w:r w:rsidRPr="00C2595C" w:rsidR="002E0C52">
        <w:rPr>
          <w:rFonts w:ascii="Times New Roman" w:hAnsi="Times New Roman" w:cs="Times New Roman"/>
        </w:rPr>
        <w:t>year period</w:t>
      </w:r>
      <w:r w:rsidRPr="00C2595C" w:rsidR="005B38E8">
        <w:rPr>
          <w:rFonts w:ascii="Times New Roman" w:hAnsi="Times New Roman" w:cs="Times New Roman"/>
        </w:rPr>
        <w:t xml:space="preserve"> of $4</w:t>
      </w:r>
      <w:r w:rsidRPr="00C2595C" w:rsidR="00136D35">
        <w:rPr>
          <w:rFonts w:ascii="Times New Roman" w:hAnsi="Times New Roman" w:cs="Times New Roman"/>
        </w:rPr>
        <w:t>77.3</w:t>
      </w:r>
      <w:r w:rsidRPr="00C2595C" w:rsidR="005B38E8">
        <w:rPr>
          <w:rFonts w:ascii="Times New Roman" w:hAnsi="Times New Roman" w:cs="Times New Roman"/>
        </w:rPr>
        <w:t xml:space="preserve"> million per year.</w:t>
      </w:r>
      <w:r w:rsidR="006715DE">
        <w:rPr>
          <w:rStyle w:val="FootnoteReference"/>
          <w:rFonts w:ascii="Times New Roman" w:hAnsi="Times New Roman" w:cs="Times New Roman"/>
        </w:rPr>
        <w:footnoteReference w:id="4"/>
      </w:r>
      <w:r w:rsidRPr="00C2595C" w:rsidR="005B38E8">
        <w:rPr>
          <w:rFonts w:ascii="Times New Roman" w:hAnsi="Times New Roman" w:cs="Times New Roman"/>
        </w:rPr>
        <w:t xml:space="preserve"> </w:t>
      </w:r>
    </w:p>
    <w:p w:rsidR="00BC6693" w:rsidP="00C35185" w:rsidRDefault="00BC6693" w14:paraId="53AC2F01" w14:textId="77777777">
      <w:pPr>
        <w:spacing w:after="0" w:line="240" w:lineRule="auto"/>
        <w:ind w:firstLine="360"/>
        <w:rPr>
          <w:rFonts w:ascii="Times New Roman" w:hAnsi="Times New Roman" w:cs="Times New Roman"/>
        </w:rPr>
      </w:pPr>
    </w:p>
    <w:p w:rsidR="00C35185" w:rsidP="00C35185" w:rsidRDefault="00BC6693" w14:paraId="447A1E7F" w14:textId="054E3711">
      <w:pPr>
        <w:spacing w:after="0" w:line="240" w:lineRule="auto"/>
        <w:ind w:firstLine="360"/>
        <w:rPr>
          <w:rFonts w:ascii="Times New Roman" w:hAnsi="Times New Roman" w:cs="Times New Roman"/>
        </w:rPr>
      </w:pPr>
      <w:r>
        <w:rPr>
          <w:rFonts w:ascii="Times New Roman" w:hAnsi="Times New Roman" w:cs="Times New Roman"/>
        </w:rPr>
        <w:tab/>
      </w:r>
      <w:r w:rsidR="006D7C37">
        <w:rPr>
          <w:rFonts w:ascii="Times New Roman" w:hAnsi="Times New Roman" w:cs="Times New Roman"/>
        </w:rPr>
        <w:t xml:space="preserve">EPA also calculated the median </w:t>
      </w:r>
      <w:r w:rsidR="00B45E59">
        <w:rPr>
          <w:rFonts w:ascii="Times New Roman" w:hAnsi="Times New Roman" w:cs="Times New Roman"/>
        </w:rPr>
        <w:t xml:space="preserve">accident value for the 488 accidents with impacts in </w:t>
      </w:r>
      <w:r w:rsidR="00657C2D">
        <w:rPr>
          <w:rFonts w:ascii="Times New Roman" w:hAnsi="Times New Roman" w:cs="Times New Roman"/>
        </w:rPr>
        <w:t>2016 through 2020 period</w:t>
      </w:r>
      <w:r w:rsidR="003978FB">
        <w:rPr>
          <w:rFonts w:ascii="Times New Roman" w:hAnsi="Times New Roman" w:cs="Times New Roman"/>
        </w:rPr>
        <w:t xml:space="preserve">, which was $50,000. Median values were zero in all damage categories except for onsite (worker) injuries. </w:t>
      </w:r>
      <w:r w:rsidR="00C35185">
        <w:rPr>
          <w:rFonts w:ascii="Times New Roman" w:hAnsi="Times New Roman" w:cs="Times New Roman"/>
        </w:rPr>
        <w:t>In addition to monetized baseline damages, there are many damage</w:t>
      </w:r>
      <w:r>
        <w:rPr>
          <w:rFonts w:ascii="Times New Roman" w:hAnsi="Times New Roman" w:cs="Times New Roman"/>
        </w:rPr>
        <w:t xml:space="preserve"> categories</w:t>
      </w:r>
      <w:r w:rsidR="00C35185">
        <w:rPr>
          <w:rFonts w:ascii="Times New Roman" w:hAnsi="Times New Roman" w:cs="Times New Roman"/>
        </w:rPr>
        <w:t xml:space="preserve"> from accidents at RMP facilities that EPA was unable to quantify or monetize. </w:t>
      </w:r>
      <w:r w:rsidRPr="00C35185" w:rsidR="00C35185">
        <w:rPr>
          <w:rFonts w:ascii="Times New Roman" w:hAnsi="Times New Roman" w:cs="Times New Roman"/>
        </w:rPr>
        <w:t xml:space="preserve"> </w:t>
      </w:r>
      <w:r w:rsidRPr="00C2595C" w:rsidR="00C35185">
        <w:rPr>
          <w:rFonts w:ascii="Times New Roman" w:hAnsi="Times New Roman" w:cs="Times New Roman"/>
        </w:rPr>
        <w:t>Unquantified b</w:t>
      </w:r>
      <w:r w:rsidR="00C35185">
        <w:rPr>
          <w:rFonts w:ascii="Times New Roman" w:hAnsi="Times New Roman" w:cs="Times New Roman"/>
        </w:rPr>
        <w:t>aseline damages</w:t>
      </w:r>
      <w:r w:rsidRPr="00C2595C" w:rsidR="00C35185">
        <w:rPr>
          <w:rFonts w:ascii="Times New Roman" w:hAnsi="Times New Roman" w:cs="Times New Roman"/>
        </w:rPr>
        <w:t xml:space="preserve"> include lost productivity, responder costs, transaction costs, </w:t>
      </w:r>
      <w:r w:rsidR="00C35185">
        <w:rPr>
          <w:rFonts w:ascii="Times New Roman" w:hAnsi="Times New Roman" w:cs="Times New Roman"/>
        </w:rPr>
        <w:t>negative impacts on</w:t>
      </w:r>
      <w:r w:rsidRPr="00C2595C" w:rsidR="00C35185">
        <w:rPr>
          <w:rFonts w:ascii="Times New Roman" w:hAnsi="Times New Roman" w:cs="Times New Roman"/>
        </w:rPr>
        <w:t xml:space="preserve"> property values</w:t>
      </w:r>
      <w:r w:rsidR="00344DC5">
        <w:rPr>
          <w:rFonts w:ascii="Times New Roman" w:hAnsi="Times New Roman" w:cs="Times New Roman"/>
        </w:rPr>
        <w:t>,</w:t>
      </w:r>
      <w:r w:rsidRPr="00C2595C" w:rsidR="00C35185">
        <w:rPr>
          <w:rFonts w:ascii="Times New Roman" w:hAnsi="Times New Roman" w:cs="Times New Roman"/>
        </w:rPr>
        <w:t xml:space="preserve"> environmental</w:t>
      </w:r>
      <w:r w:rsidR="00C35185">
        <w:rPr>
          <w:rFonts w:ascii="Times New Roman" w:hAnsi="Times New Roman" w:cs="Times New Roman"/>
        </w:rPr>
        <w:t xml:space="preserve"> damages</w:t>
      </w:r>
      <w:r w:rsidR="00344DC5">
        <w:rPr>
          <w:rFonts w:ascii="Times New Roman" w:hAnsi="Times New Roman" w:cs="Times New Roman"/>
        </w:rPr>
        <w:t>,</w:t>
      </w:r>
      <w:r w:rsidR="00C35185">
        <w:rPr>
          <w:rFonts w:ascii="Times New Roman" w:hAnsi="Times New Roman" w:cs="Times New Roman"/>
        </w:rPr>
        <w:t xml:space="preserve"> </w:t>
      </w:r>
      <w:r w:rsidRPr="00C2595C" w:rsidR="00C35185">
        <w:rPr>
          <w:rFonts w:ascii="Times New Roman" w:hAnsi="Times New Roman" w:cs="Times New Roman"/>
        </w:rPr>
        <w:t xml:space="preserve">and </w:t>
      </w:r>
      <w:r w:rsidR="00C35185">
        <w:rPr>
          <w:rFonts w:ascii="Times New Roman" w:hAnsi="Times New Roman" w:cs="Times New Roman"/>
        </w:rPr>
        <w:t xml:space="preserve">damages related to </w:t>
      </w:r>
      <w:r w:rsidRPr="00C2595C" w:rsidR="00C35185">
        <w:rPr>
          <w:rFonts w:ascii="Times New Roman" w:hAnsi="Times New Roman" w:cs="Times New Roman"/>
        </w:rPr>
        <w:t>catastrophic releases.</w:t>
      </w:r>
    </w:p>
    <w:bookmarkEnd w:id="6"/>
    <w:p w:rsidRPr="00C2595C" w:rsidR="007A2A7D" w:rsidP="00146C18" w:rsidRDefault="007A2A7D" w14:paraId="4E6D1AD0" w14:textId="77777777">
      <w:pPr>
        <w:spacing w:after="0" w:line="240" w:lineRule="auto"/>
        <w:ind w:firstLine="720"/>
        <w:rPr>
          <w:rFonts w:ascii="Times New Roman" w:hAnsi="Times New Roman" w:cs="Times New Roman"/>
        </w:rPr>
      </w:pPr>
    </w:p>
    <w:p w:rsidR="00AB13E7" w:rsidP="00314558" w:rsidRDefault="00AB13E7" w14:paraId="1669BA45" w14:textId="68627E38">
      <w:pPr>
        <w:spacing w:after="0" w:line="240" w:lineRule="auto"/>
        <w:rPr>
          <w:rFonts w:ascii="Times New Roman" w:hAnsi="Times New Roman" w:cs="Times New Roman"/>
          <w:b/>
        </w:rPr>
      </w:pPr>
      <w:r>
        <w:rPr>
          <w:rFonts w:ascii="Times New Roman" w:hAnsi="Times New Roman" w:cs="Times New Roman"/>
          <w:b/>
        </w:rPr>
        <w:t>Summary of Benefits</w:t>
      </w:r>
    </w:p>
    <w:p w:rsidR="004C1142" w:rsidP="00433B51" w:rsidRDefault="00AB13E7" w14:paraId="53FC1A35" w14:textId="11782639">
      <w:pPr>
        <w:spacing w:after="0" w:line="240" w:lineRule="auto"/>
        <w:ind w:firstLine="720"/>
        <w:rPr>
          <w:rFonts w:ascii="Times New Roman" w:hAnsi="Times New Roman" w:cs="Times New Roman"/>
        </w:rPr>
      </w:pPr>
      <w:r w:rsidRPr="00C2595C">
        <w:rPr>
          <w:rFonts w:ascii="Times New Roman" w:hAnsi="Times New Roman" w:cs="Times New Roman"/>
        </w:rPr>
        <w:t>EPA anticipates that promulgation and implementation of this proposed rule would result in a reduced frequency and magnitude of damages</w:t>
      </w:r>
      <w:r w:rsidR="0017561F">
        <w:rPr>
          <w:rFonts w:ascii="Times New Roman" w:hAnsi="Times New Roman" w:cs="Times New Roman"/>
        </w:rPr>
        <w:t xml:space="preserve"> from releases, including damages that are quantified in </w:t>
      </w:r>
      <w:proofErr w:type="spellStart"/>
      <w:r w:rsidR="0017561F">
        <w:rPr>
          <w:rFonts w:ascii="Times New Roman" w:hAnsi="Times New Roman" w:cs="Times New Roman"/>
        </w:rPr>
        <w:t>Exhbiti</w:t>
      </w:r>
      <w:proofErr w:type="spellEnd"/>
      <w:r w:rsidR="0017561F">
        <w:rPr>
          <w:rFonts w:ascii="Times New Roman" w:hAnsi="Times New Roman" w:cs="Times New Roman"/>
        </w:rPr>
        <w:t xml:space="preserve"> ES-</w:t>
      </w:r>
      <w:r w:rsidR="00DC5A92">
        <w:rPr>
          <w:rFonts w:ascii="Times New Roman" w:hAnsi="Times New Roman" w:cs="Times New Roman"/>
        </w:rPr>
        <w:t>3</w:t>
      </w:r>
      <w:r w:rsidR="0017561F">
        <w:rPr>
          <w:rFonts w:ascii="Times New Roman" w:hAnsi="Times New Roman" w:cs="Times New Roman"/>
        </w:rPr>
        <w:t xml:space="preserve"> </w:t>
      </w:r>
      <w:r w:rsidR="009D1372">
        <w:rPr>
          <w:rFonts w:ascii="Times New Roman" w:hAnsi="Times New Roman" w:cs="Times New Roman"/>
        </w:rPr>
        <w:t xml:space="preserve">such as fatalities, injuries, property damage, hospitalizations, medical treatment, sheltering-in-place and so on. EPA also expects that the proposed rule provisions would reduce baseline damages that are not </w:t>
      </w:r>
      <w:r w:rsidR="0017561F">
        <w:rPr>
          <w:rFonts w:ascii="Times New Roman" w:hAnsi="Times New Roman" w:cs="Times New Roman"/>
        </w:rPr>
        <w:t>quantified</w:t>
      </w:r>
      <w:r w:rsidR="009D1372">
        <w:rPr>
          <w:rFonts w:ascii="Times New Roman" w:hAnsi="Times New Roman" w:cs="Times New Roman"/>
        </w:rPr>
        <w:t xml:space="preserve"> in </w:t>
      </w:r>
      <w:proofErr w:type="spellStart"/>
      <w:r w:rsidR="009D1372">
        <w:rPr>
          <w:rFonts w:ascii="Times New Roman" w:hAnsi="Times New Roman" w:cs="Times New Roman"/>
        </w:rPr>
        <w:t>Exhisbit</w:t>
      </w:r>
      <w:proofErr w:type="spellEnd"/>
      <w:r w:rsidR="009D1372">
        <w:rPr>
          <w:rFonts w:ascii="Times New Roman" w:hAnsi="Times New Roman" w:cs="Times New Roman"/>
        </w:rPr>
        <w:t xml:space="preserve"> ES-</w:t>
      </w:r>
      <w:r w:rsidR="007C1E05">
        <w:rPr>
          <w:rFonts w:ascii="Times New Roman" w:hAnsi="Times New Roman" w:cs="Times New Roman"/>
        </w:rPr>
        <w:t>3</w:t>
      </w:r>
      <w:r w:rsidR="0017561F">
        <w:rPr>
          <w:rFonts w:ascii="Times New Roman" w:hAnsi="Times New Roman" w:cs="Times New Roman"/>
        </w:rPr>
        <w:t xml:space="preserve"> such as lost productivity, responder costs</w:t>
      </w:r>
      <w:r w:rsidR="009D1372">
        <w:rPr>
          <w:rFonts w:ascii="Times New Roman" w:hAnsi="Times New Roman" w:cs="Times New Roman"/>
        </w:rPr>
        <w:t>, property value reductions,</w:t>
      </w:r>
      <w:r w:rsidR="0017561F">
        <w:rPr>
          <w:rFonts w:ascii="Times New Roman" w:hAnsi="Times New Roman" w:cs="Times New Roman"/>
        </w:rPr>
        <w:t xml:space="preserve"> damages from catastrophes</w:t>
      </w:r>
      <w:r w:rsidR="009D1372">
        <w:rPr>
          <w:rFonts w:ascii="Times New Roman" w:hAnsi="Times New Roman" w:cs="Times New Roman"/>
        </w:rPr>
        <w:t>, and so on.</w:t>
      </w:r>
      <w:r w:rsidRPr="00AB13E7">
        <w:rPr>
          <w:rFonts w:ascii="Times New Roman" w:hAnsi="Times New Roman" w:cs="Times New Roman"/>
        </w:rPr>
        <w:t xml:space="preserve"> </w:t>
      </w:r>
      <w:r w:rsidRPr="00C2595C">
        <w:rPr>
          <w:rFonts w:ascii="Times New Roman" w:hAnsi="Times New Roman" w:cs="Times New Roman"/>
        </w:rPr>
        <w:t>Although EPA was unable to quantify the</w:t>
      </w:r>
      <w:r w:rsidRPr="00C2595C" w:rsidDel="00B77FA9">
        <w:rPr>
          <w:rFonts w:ascii="Times New Roman" w:hAnsi="Times New Roman" w:cs="Times New Roman"/>
        </w:rPr>
        <w:t xml:space="preserve"> </w:t>
      </w:r>
      <w:r w:rsidRPr="00C2595C">
        <w:rPr>
          <w:rFonts w:ascii="Times New Roman" w:hAnsi="Times New Roman" w:cs="Times New Roman"/>
        </w:rPr>
        <w:t xml:space="preserve">reductions in damages that may occur </w:t>
      </w:r>
      <w:proofErr w:type="gramStart"/>
      <w:r w:rsidRPr="00C2595C">
        <w:rPr>
          <w:rFonts w:ascii="Times New Roman" w:hAnsi="Times New Roman" w:cs="Times New Roman"/>
        </w:rPr>
        <w:t>as a result of</w:t>
      </w:r>
      <w:proofErr w:type="gramEnd"/>
      <w:r w:rsidRPr="00C2595C">
        <w:rPr>
          <w:rFonts w:ascii="Times New Roman" w:hAnsi="Times New Roman" w:cs="Times New Roman"/>
        </w:rPr>
        <w:t xml:space="preserve"> the proposed</w:t>
      </w:r>
      <w:r w:rsidR="0017561F">
        <w:rPr>
          <w:rFonts w:ascii="Times New Roman" w:hAnsi="Times New Roman" w:cs="Times New Roman"/>
        </w:rPr>
        <w:t xml:space="preserve"> rule</w:t>
      </w:r>
      <w:r w:rsidRPr="00C2595C">
        <w:rPr>
          <w:rFonts w:ascii="Times New Roman" w:hAnsi="Times New Roman" w:cs="Times New Roman"/>
        </w:rPr>
        <w:t xml:space="preserve"> </w:t>
      </w:r>
      <w:r w:rsidR="0017561F">
        <w:rPr>
          <w:rFonts w:ascii="Times New Roman" w:hAnsi="Times New Roman" w:cs="Times New Roman"/>
        </w:rPr>
        <w:t>p</w:t>
      </w:r>
      <w:r w:rsidRPr="00C2595C">
        <w:rPr>
          <w:rFonts w:ascii="Times New Roman" w:hAnsi="Times New Roman" w:cs="Times New Roman"/>
        </w:rPr>
        <w:t>r</w:t>
      </w:r>
      <w:r w:rsidR="0017561F">
        <w:rPr>
          <w:rFonts w:ascii="Times New Roman" w:hAnsi="Times New Roman" w:cs="Times New Roman"/>
        </w:rPr>
        <w:t>o</w:t>
      </w:r>
      <w:r w:rsidRPr="00C2595C">
        <w:rPr>
          <w:rFonts w:ascii="Times New Roman" w:hAnsi="Times New Roman" w:cs="Times New Roman"/>
        </w:rPr>
        <w:t>visions,</w:t>
      </w:r>
      <w:r w:rsidRPr="00AB13E7">
        <w:rPr>
          <w:rFonts w:ascii="Times New Roman" w:hAnsi="Times New Roman" w:cs="Times New Roman"/>
        </w:rPr>
        <w:t xml:space="preserve"> </w:t>
      </w:r>
      <w:r w:rsidRPr="00C2595C">
        <w:rPr>
          <w:rFonts w:ascii="Times New Roman" w:hAnsi="Times New Roman" w:cs="Times New Roman"/>
        </w:rPr>
        <w:t>EPA expects that a portion of future damages would be prevented by the proposed rule.</w:t>
      </w:r>
      <w:r w:rsidRPr="00AB13E7">
        <w:rPr>
          <w:rFonts w:ascii="Times New Roman" w:hAnsi="Times New Roman" w:cs="Times New Roman"/>
        </w:rPr>
        <w:t xml:space="preserve"> </w:t>
      </w:r>
    </w:p>
    <w:p w:rsidR="00AB13E7" w:rsidP="00433B51" w:rsidRDefault="00AB13E7" w14:paraId="0FCFD0E0" w14:textId="77777777">
      <w:pPr>
        <w:spacing w:after="0" w:line="240" w:lineRule="auto"/>
        <w:ind w:firstLine="720"/>
        <w:rPr>
          <w:rFonts w:ascii="Times New Roman" w:hAnsi="Times New Roman" w:cs="Times New Roman"/>
          <w:b/>
        </w:rPr>
      </w:pPr>
    </w:p>
    <w:p w:rsidR="00314558" w:rsidP="00314558" w:rsidRDefault="00B45A86" w14:paraId="64195862" w14:textId="766C9337">
      <w:pPr>
        <w:spacing w:after="0" w:line="240" w:lineRule="auto"/>
        <w:rPr>
          <w:rFonts w:ascii="Times New Roman" w:hAnsi="Times New Roman" w:cs="Times New Roman"/>
          <w:b/>
        </w:rPr>
      </w:pPr>
      <w:r w:rsidRPr="00C2595C">
        <w:rPr>
          <w:rFonts w:ascii="Times New Roman" w:hAnsi="Times New Roman" w:cs="Times New Roman"/>
          <w:b/>
        </w:rPr>
        <w:t xml:space="preserve">Costs </w:t>
      </w:r>
      <w:r w:rsidRPr="00C2595C" w:rsidR="00BC7FC1">
        <w:rPr>
          <w:rFonts w:ascii="Times New Roman" w:hAnsi="Times New Roman" w:cs="Times New Roman"/>
          <w:b/>
        </w:rPr>
        <w:t>R</w:t>
      </w:r>
      <w:r w:rsidRPr="00C2595C">
        <w:rPr>
          <w:rFonts w:ascii="Times New Roman" w:hAnsi="Times New Roman" w:cs="Times New Roman"/>
          <w:b/>
        </w:rPr>
        <w:t>elative to B</w:t>
      </w:r>
      <w:r w:rsidRPr="00C2595C" w:rsidR="00B77FA9">
        <w:rPr>
          <w:rFonts w:ascii="Times New Roman" w:hAnsi="Times New Roman" w:cs="Times New Roman"/>
          <w:b/>
        </w:rPr>
        <w:t>enefits</w:t>
      </w:r>
      <w:r w:rsidR="009D1372">
        <w:rPr>
          <w:rFonts w:ascii="Times New Roman" w:hAnsi="Times New Roman" w:cs="Times New Roman"/>
          <w:b/>
        </w:rPr>
        <w:t>: Breakeven Analysis</w:t>
      </w:r>
    </w:p>
    <w:p w:rsidR="004C1142" w:rsidP="00580650" w:rsidRDefault="004C1142" w14:paraId="6458FF52" w14:textId="0348CC50">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EPA conducted a breakeven analysis </w:t>
      </w:r>
      <w:r w:rsidRPr="00C2275C">
        <w:rPr>
          <w:rFonts w:ascii="Times New Roman" w:hAnsi="Times New Roman" w:cs="Times New Roman"/>
        </w:rPr>
        <w:t xml:space="preserve">instead of a standard cost benefit analysis because while EPA was able to quantify and monetize the costs of the proposed rule, it cannot sufficiently quantify or monetize the benefits. The proposed rule would need to reduce, or mitigate, damages valued </w:t>
      </w:r>
      <w:r w:rsidRPr="001A0503">
        <w:rPr>
          <w:rFonts w:ascii="Times New Roman" w:hAnsi="Times New Roman" w:cs="Times New Roman"/>
        </w:rPr>
        <w:t>at approximately $76 million over any number of future accidents to achieve breakeven. Alternatively</w:t>
      </w:r>
      <w:r w:rsidRPr="001A0503" w:rsidR="00FE2293">
        <w:rPr>
          <w:rFonts w:ascii="Times New Roman" w:hAnsi="Times New Roman" w:cs="Times New Roman"/>
        </w:rPr>
        <w:t>,</w:t>
      </w:r>
      <w:r w:rsidRPr="001A0503">
        <w:rPr>
          <w:rFonts w:ascii="Times New Roman" w:hAnsi="Times New Roman" w:cs="Times New Roman"/>
        </w:rPr>
        <w:t xml:space="preserve"> for the proposed rule to breakeven on an annual basis given estimated annualized costs of approximately $76 million and an estimated number of annual accidents of about 100, fewer than approximately 15 accidents, each with average</w:t>
      </w:r>
      <w:r w:rsidRPr="00C2275C">
        <w:rPr>
          <w:rFonts w:ascii="Times New Roman" w:hAnsi="Times New Roman" w:cs="Times New Roman"/>
        </w:rPr>
        <w:t xml:space="preserve"> monetized damages of approximately $5 million as estimated for the most recent five-year baseline period, would need to be prevented annually by the proposed rule</w:t>
      </w:r>
      <w:r>
        <w:rPr>
          <w:rFonts w:ascii="Times New Roman" w:hAnsi="Times New Roman" w:cs="Times New Roman"/>
        </w:rPr>
        <w:t xml:space="preserve">. </w:t>
      </w:r>
      <w:r w:rsidR="00DC5A92">
        <w:rPr>
          <w:rFonts w:ascii="Times New Roman" w:hAnsi="Times New Roman" w:cs="Times New Roman"/>
        </w:rPr>
        <w:t>A</w:t>
      </w:r>
      <w:r w:rsidRPr="00C2275C">
        <w:rPr>
          <w:rFonts w:ascii="Times New Roman" w:hAnsi="Times New Roman" w:cs="Times New Roman"/>
        </w:rPr>
        <w:t xml:space="preserve"> number fewer than 15 would depend on the value of the unquantified accident damages that would be avoided</w:t>
      </w:r>
      <w:r>
        <w:rPr>
          <w:rFonts w:ascii="Times New Roman" w:hAnsi="Times New Roman" w:cs="Times New Roman"/>
        </w:rPr>
        <w:t>.</w:t>
      </w:r>
      <w:r w:rsidRPr="00C2275C">
        <w:rPr>
          <w:rFonts w:ascii="Times New Roman" w:hAnsi="Times New Roman" w:cs="Times New Roman"/>
        </w:rPr>
        <w:t xml:space="preserve"> When considering the rule’s likely benefits that are due to avoiding some portion of the monetized accident impacts, as well as the additional nonmonetized benefits</w:t>
      </w:r>
      <w:r w:rsidR="003A2800">
        <w:rPr>
          <w:rFonts w:ascii="Times New Roman" w:hAnsi="Times New Roman" w:cs="Times New Roman"/>
        </w:rPr>
        <w:t>,</w:t>
      </w:r>
      <w:r w:rsidRPr="00C2275C">
        <w:rPr>
          <w:rFonts w:ascii="Times New Roman" w:hAnsi="Times New Roman" w:cs="Times New Roman"/>
        </w:rPr>
        <w:t xml:space="preserve"> EPA believes the costs of the rule are reasonable in comparison to its benefits</w:t>
      </w:r>
      <w:r>
        <w:rPr>
          <w:rFonts w:ascii="Times New Roman" w:hAnsi="Times New Roman" w:cs="Times New Roman"/>
        </w:rPr>
        <w:t>.</w:t>
      </w:r>
    </w:p>
    <w:p w:rsidRPr="00580650" w:rsidR="00DC5A92" w:rsidP="00580650" w:rsidRDefault="00DC5A92" w14:paraId="25C6A73F" w14:textId="77777777">
      <w:pPr>
        <w:spacing w:after="0" w:line="240" w:lineRule="auto"/>
        <w:rPr>
          <w:rFonts w:ascii="Times New Roman" w:hAnsi="Times New Roman" w:cs="Times New Roman"/>
          <w:b/>
        </w:rPr>
      </w:pPr>
    </w:p>
    <w:p w:rsidR="009B7A0D" w:rsidP="00692EB0" w:rsidRDefault="004C1142" w14:paraId="65D96D7D" w14:textId="0358CF56">
      <w:pPr>
        <w:spacing w:after="0" w:line="240" w:lineRule="auto"/>
        <w:ind w:firstLine="360"/>
        <w:rPr>
          <w:rFonts w:ascii="Times New Roman" w:hAnsi="Times New Roman" w:cs="Times New Roman"/>
          <w:b/>
          <w:bCs/>
          <w:sz w:val="36"/>
          <w:szCs w:val="36"/>
        </w:rPr>
      </w:pPr>
      <w:r>
        <w:rPr>
          <w:rFonts w:ascii="Times New Roman" w:hAnsi="Times New Roman" w:cs="Times New Roman"/>
        </w:rPr>
        <w:tab/>
      </w:r>
      <w:r w:rsidRPr="00C2595C" w:rsidR="00314558">
        <w:rPr>
          <w:rFonts w:ascii="Times New Roman" w:hAnsi="Times New Roman" w:cs="Times New Roman"/>
        </w:rPr>
        <w:t>The annualized cost of the proposed rule</w:t>
      </w:r>
      <w:r w:rsidR="00F33327">
        <w:rPr>
          <w:rFonts w:ascii="Times New Roman" w:hAnsi="Times New Roman" w:cs="Times New Roman"/>
        </w:rPr>
        <w:t>,</w:t>
      </w:r>
      <w:r w:rsidRPr="00C2595C" w:rsidR="00314558">
        <w:rPr>
          <w:rFonts w:ascii="Times New Roman" w:hAnsi="Times New Roman" w:cs="Times New Roman"/>
        </w:rPr>
        <w:t xml:space="preserve"> </w:t>
      </w:r>
      <w:r w:rsidRPr="00C2595C" w:rsidR="00F41D0E">
        <w:rPr>
          <w:rFonts w:ascii="Times New Roman" w:hAnsi="Times New Roman" w:cs="Times New Roman"/>
        </w:rPr>
        <w:t xml:space="preserve">estimated as </w:t>
      </w:r>
      <w:r w:rsidRPr="00C2595C" w:rsidR="00314558">
        <w:rPr>
          <w:rFonts w:ascii="Times New Roman" w:hAnsi="Times New Roman" w:cs="Times New Roman"/>
        </w:rPr>
        <w:t>$7</w:t>
      </w:r>
      <w:r w:rsidRPr="00C2595C" w:rsidR="00F41D0E">
        <w:rPr>
          <w:rFonts w:ascii="Times New Roman" w:hAnsi="Times New Roman" w:cs="Times New Roman"/>
        </w:rPr>
        <w:t>6</w:t>
      </w:r>
      <w:r w:rsidRPr="00C2595C" w:rsidR="00314558">
        <w:rPr>
          <w:rFonts w:ascii="Times New Roman" w:hAnsi="Times New Roman" w:cs="Times New Roman"/>
        </w:rPr>
        <w:t xml:space="preserve"> million</w:t>
      </w:r>
      <w:r w:rsidR="00F33327">
        <w:rPr>
          <w:rFonts w:ascii="Times New Roman" w:hAnsi="Times New Roman" w:cs="Times New Roman"/>
        </w:rPr>
        <w:t>,</w:t>
      </w:r>
      <w:r w:rsidRPr="00C2595C" w:rsidR="00807708">
        <w:rPr>
          <w:rFonts w:ascii="Times New Roman" w:hAnsi="Times New Roman" w:cs="Times New Roman"/>
        </w:rPr>
        <w:t xml:space="preserve"> </w:t>
      </w:r>
      <w:r w:rsidRPr="00C2595C" w:rsidR="002877BF">
        <w:rPr>
          <w:rFonts w:ascii="Times New Roman" w:hAnsi="Times New Roman" w:cs="Times New Roman"/>
        </w:rPr>
        <w:t xml:space="preserve">should be considered </w:t>
      </w:r>
      <w:proofErr w:type="gramStart"/>
      <w:r w:rsidRPr="00C2595C" w:rsidR="002877BF">
        <w:rPr>
          <w:rFonts w:ascii="Times New Roman" w:hAnsi="Times New Roman" w:cs="Times New Roman"/>
        </w:rPr>
        <w:t>in light of</w:t>
      </w:r>
      <w:proofErr w:type="gramEnd"/>
      <w:r w:rsidRPr="00C2595C" w:rsidR="002877BF">
        <w:rPr>
          <w:rFonts w:ascii="Times New Roman" w:hAnsi="Times New Roman" w:cs="Times New Roman"/>
        </w:rPr>
        <w:t xml:space="preserve"> potential unquantified benefits</w:t>
      </w:r>
      <w:r w:rsidRPr="00C2595C" w:rsidR="00354D92">
        <w:rPr>
          <w:rFonts w:ascii="Times New Roman" w:hAnsi="Times New Roman" w:cs="Times New Roman"/>
        </w:rPr>
        <w:t xml:space="preserve"> </w:t>
      </w:r>
      <w:r w:rsidRPr="00C2595C" w:rsidR="00B45A86">
        <w:rPr>
          <w:rFonts w:ascii="Times New Roman" w:hAnsi="Times New Roman" w:cs="Times New Roman"/>
        </w:rPr>
        <w:t>mentioned</w:t>
      </w:r>
      <w:r w:rsidRPr="00C2595C" w:rsidR="00354D92">
        <w:rPr>
          <w:rFonts w:ascii="Times New Roman" w:hAnsi="Times New Roman" w:cs="Times New Roman"/>
        </w:rPr>
        <w:t xml:space="preserve"> above</w:t>
      </w:r>
      <w:r w:rsidRPr="00C2595C" w:rsidR="00B45A86">
        <w:rPr>
          <w:rFonts w:ascii="Times New Roman" w:hAnsi="Times New Roman" w:cs="Times New Roman"/>
        </w:rPr>
        <w:t xml:space="preserve"> and described in Chapter 6</w:t>
      </w:r>
      <w:r w:rsidRPr="00C2595C" w:rsidR="00354D92">
        <w:rPr>
          <w:rFonts w:ascii="Times New Roman" w:hAnsi="Times New Roman" w:cs="Times New Roman"/>
        </w:rPr>
        <w:t>.</w:t>
      </w:r>
      <w:r w:rsidR="009B7A0D">
        <w:rPr>
          <w:rFonts w:ascii="Times New Roman" w:hAnsi="Times New Roman" w:cs="Times New Roman"/>
          <w:b/>
          <w:bCs/>
          <w:sz w:val="36"/>
          <w:szCs w:val="36"/>
        </w:rPr>
        <w:br w:type="page"/>
      </w:r>
    </w:p>
    <w:p w:rsidR="00673838" w:rsidP="000409BE" w:rsidRDefault="00093C0A" w14:paraId="7C0157C1" w14:textId="0809382D">
      <w:pPr>
        <w:pStyle w:val="Heading1"/>
      </w:pPr>
      <w:bookmarkStart w:name="_Toc110502731" w:id="13"/>
      <w:bookmarkStart w:name="_Toc98856201" w:id="14"/>
      <w:r w:rsidRPr="000409BE">
        <w:lastRenderedPageBreak/>
        <w:t>CHAPTER 1</w:t>
      </w:r>
      <w:r w:rsidR="00BF42A8">
        <w:t>: Introduction and Background</w:t>
      </w:r>
      <w:bookmarkEnd w:id="13"/>
    </w:p>
    <w:p w:rsidRPr="006213CF" w:rsidR="00093C0A" w:rsidP="00813745" w:rsidRDefault="00093C0A" w14:paraId="035FADA6" w14:textId="77777777">
      <w:pPr>
        <w:pStyle w:val="Heading2"/>
      </w:pPr>
      <w:bookmarkStart w:name="_Toc98856202" w:id="15"/>
      <w:bookmarkStart w:name="_Toc110502732" w:id="16"/>
      <w:bookmarkEnd w:id="14"/>
      <w:r w:rsidRPr="006213CF">
        <w:t>1.1 History and Need for the Rule</w:t>
      </w:r>
      <w:bookmarkEnd w:id="15"/>
      <w:bookmarkEnd w:id="16"/>
    </w:p>
    <w:p w:rsidR="006213CF" w:rsidP="006213CF" w:rsidRDefault="006213CF" w14:paraId="4F17D5E7" w14:textId="77777777">
      <w:pPr>
        <w:spacing w:after="0" w:line="240" w:lineRule="auto"/>
        <w:rPr>
          <w:rFonts w:ascii="Times New Roman" w:hAnsi="Times New Roman" w:cs="Times New Roman"/>
          <w:i/>
        </w:rPr>
      </w:pPr>
    </w:p>
    <w:p w:rsidRPr="006213CF" w:rsidR="00093C0A" w:rsidP="006213CF" w:rsidRDefault="00093C0A" w14:paraId="6991AE45" w14:textId="5CC36573">
      <w:pPr>
        <w:spacing w:after="0" w:line="240" w:lineRule="auto"/>
        <w:rPr>
          <w:rFonts w:ascii="Times New Roman" w:hAnsi="Times New Roman" w:cs="Times New Roman"/>
          <w:i/>
        </w:rPr>
      </w:pPr>
      <w:r w:rsidRPr="006213CF">
        <w:rPr>
          <w:rFonts w:ascii="Times New Roman" w:hAnsi="Times New Roman" w:cs="Times New Roman"/>
          <w:i/>
        </w:rPr>
        <w:t>Overview of the Risk Management Program</w:t>
      </w:r>
    </w:p>
    <w:p w:rsidR="007A2A7D" w:rsidP="006213CF" w:rsidRDefault="005A354C" w14:paraId="2AEBC223" w14:textId="3AD0F563">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Serious chemical accidents occurring in the 1970s and 1980s, including accidents in Bhopal, India</w:t>
      </w:r>
      <w:r w:rsidR="002105C9">
        <w:rPr>
          <w:rFonts w:ascii="Times New Roman" w:hAnsi="Times New Roman" w:cs="Times New Roman"/>
        </w:rPr>
        <w:t>;</w:t>
      </w:r>
      <w:r w:rsidRPr="006213CF" w:rsidR="00093C0A">
        <w:rPr>
          <w:rFonts w:ascii="Times New Roman" w:hAnsi="Times New Roman" w:cs="Times New Roman"/>
        </w:rPr>
        <w:t xml:space="preserve"> Seveso, Italy</w:t>
      </w:r>
      <w:r w:rsidR="002105C9">
        <w:rPr>
          <w:rFonts w:ascii="Times New Roman" w:hAnsi="Times New Roman" w:cs="Times New Roman"/>
        </w:rPr>
        <w:t>;</w:t>
      </w:r>
      <w:r w:rsidRPr="006213CF" w:rsidR="00093C0A">
        <w:rPr>
          <w:rFonts w:ascii="Times New Roman" w:hAnsi="Times New Roman" w:cs="Times New Roman"/>
        </w:rPr>
        <w:t xml:space="preserve"> and Pasadena, Texas, led to a series of legislative reforms relating to chemical safety in industrialized countries.</w:t>
      </w:r>
      <w:r w:rsidRPr="006213CF" w:rsidR="00DD3A57">
        <w:rPr>
          <w:rStyle w:val="FootnoteReference"/>
          <w:rFonts w:ascii="Times New Roman" w:hAnsi="Times New Roman" w:cs="Times New Roman"/>
        </w:rPr>
        <w:footnoteReference w:id="5"/>
      </w:r>
      <w:r w:rsidRPr="006213CF" w:rsidR="002952D0">
        <w:rPr>
          <w:rFonts w:ascii="Times New Roman" w:hAnsi="Times New Roman" w:cs="Times New Roman"/>
          <w:vertAlign w:val="superscript"/>
        </w:rPr>
        <w:t>,</w:t>
      </w:r>
      <w:r w:rsidRPr="006213CF" w:rsidR="002952D0">
        <w:rPr>
          <w:rStyle w:val="FootnoteReference"/>
          <w:rFonts w:ascii="Times New Roman" w:hAnsi="Times New Roman" w:cs="Times New Roman"/>
        </w:rPr>
        <w:footnoteReference w:id="6"/>
      </w:r>
      <w:r w:rsidRPr="006213CF" w:rsidR="00093C0A">
        <w:rPr>
          <w:rFonts w:ascii="Times New Roman" w:hAnsi="Times New Roman" w:cs="Times New Roman"/>
        </w:rPr>
        <w:t xml:space="preserve"> In the United States, the Emergency Planning and Community Right to Know Act (EPCRA) was enacted in 1986 to promote community emergency planning and preparedness and provide local responders and the public with information about the chemical hazards in their community (42 U.S.C. 11002 et seq.). In 1990, sections 112(r) and 304 of the Clean Air Act (CAA) were enacted to help prevent severe chemical facility accidents. Section 304 required the Occupational Safety </w:t>
      </w:r>
      <w:r w:rsidRPr="006213CF" w:rsidR="00557B13">
        <w:rPr>
          <w:rFonts w:ascii="Times New Roman" w:hAnsi="Times New Roman" w:cs="Times New Roman"/>
        </w:rPr>
        <w:t>&amp;</w:t>
      </w:r>
      <w:r w:rsidRPr="006213CF" w:rsidR="00093C0A">
        <w:rPr>
          <w:rFonts w:ascii="Times New Roman" w:hAnsi="Times New Roman" w:cs="Times New Roman"/>
        </w:rPr>
        <w:t xml:space="preserve"> Health Administration (OSHA) to publish a chemical process safety standard </w:t>
      </w:r>
      <w:r w:rsidRPr="006213CF" w:rsidR="007A6125">
        <w:rPr>
          <w:rFonts w:ascii="Times New Roman" w:hAnsi="Times New Roman" w:cs="Times New Roman"/>
        </w:rPr>
        <w:t xml:space="preserve">(Process Safety Management, or PSM standard) </w:t>
      </w:r>
      <w:r w:rsidRPr="006213CF" w:rsidR="00093C0A">
        <w:rPr>
          <w:rFonts w:ascii="Times New Roman" w:hAnsi="Times New Roman" w:cs="Times New Roman"/>
        </w:rPr>
        <w:t xml:space="preserve">to prevent accidental releases of chemicals that could pose a threat to employees. Section 112(r) required the Environmental Protection Agency (EPA) to publish Accidental Release Prevention Program regulations to prevent chemical releases or minimize their consequences if they occur. </w:t>
      </w:r>
    </w:p>
    <w:p w:rsidR="005A354C" w:rsidP="006213CF" w:rsidRDefault="005A354C" w14:paraId="7982535D" w14:textId="77777777">
      <w:pPr>
        <w:spacing w:after="0" w:line="240" w:lineRule="auto"/>
        <w:ind w:firstLine="360"/>
        <w:rPr>
          <w:rFonts w:ascii="Times New Roman" w:hAnsi="Times New Roman" w:cs="Times New Roman"/>
        </w:rPr>
      </w:pPr>
    </w:p>
    <w:p w:rsidR="00093C0A" w:rsidP="006213CF" w:rsidRDefault="005A354C" w14:paraId="5DD126C2" w14:textId="17C5071B">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CAA section 112(r) required EPA to develop a list of at least 100 regulated</w:t>
      </w:r>
      <w:r w:rsidRPr="006213CF" w:rsidR="00F1235B">
        <w:rPr>
          <w:rFonts w:ascii="Times New Roman" w:hAnsi="Times New Roman" w:cs="Times New Roman"/>
        </w:rPr>
        <w:t xml:space="preserve"> substances </w:t>
      </w:r>
      <w:r w:rsidRPr="006213CF" w:rsidR="00093C0A">
        <w:rPr>
          <w:rFonts w:ascii="Times New Roman" w:hAnsi="Times New Roman" w:cs="Times New Roman"/>
        </w:rPr>
        <w:t xml:space="preserve">known to cause or </w:t>
      </w:r>
      <w:r w:rsidRPr="006213CF" w:rsidR="00F1235B">
        <w:rPr>
          <w:rFonts w:ascii="Times New Roman" w:hAnsi="Times New Roman" w:cs="Times New Roman"/>
        </w:rPr>
        <w:t xml:space="preserve">that </w:t>
      </w:r>
      <w:r w:rsidRPr="006213CF" w:rsidR="00093C0A">
        <w:rPr>
          <w:rFonts w:ascii="Times New Roman" w:hAnsi="Times New Roman" w:cs="Times New Roman"/>
        </w:rPr>
        <w:t xml:space="preserve">may reasonably be anticipated to cause death, injury, or serious adverse effects to human health or the environment (42 U.S.C 7412(r)). EPA was also required to establish threshold quantities (TQs) for these substances that determine the applicability of rules to prevent accidental releases of these substances. Section 112(r)(7)(B) required EPA to promulgate reasonable regulations and appropriate guidance to provide, to the greatest extent practicable, for the prevention and detection of accidental releases of regulated substances and for response to such releases by the owners or operators of the sources of such releases. The section mandates that the regulations require the owner or operator of a </w:t>
      </w:r>
      <w:r w:rsidRPr="006213CF" w:rsidR="00354D92">
        <w:rPr>
          <w:rFonts w:ascii="Times New Roman" w:hAnsi="Times New Roman" w:cs="Times New Roman"/>
        </w:rPr>
        <w:t>facility</w:t>
      </w:r>
      <w:r w:rsidRPr="006213CF" w:rsidR="00093C0A">
        <w:rPr>
          <w:rFonts w:ascii="Times New Roman" w:hAnsi="Times New Roman" w:cs="Times New Roman"/>
        </w:rPr>
        <w:t xml:space="preserve"> “to prepare and implement a risk management plan to detect and prevent or minimize accidental releases of such substances from the </w:t>
      </w:r>
      <w:r w:rsidRPr="006213CF" w:rsidR="00354D92">
        <w:rPr>
          <w:rFonts w:ascii="Times New Roman" w:hAnsi="Times New Roman" w:cs="Times New Roman"/>
        </w:rPr>
        <w:t>facility</w:t>
      </w:r>
      <w:r w:rsidRPr="006213CF" w:rsidR="00093C0A">
        <w:rPr>
          <w:rFonts w:ascii="Times New Roman" w:hAnsi="Times New Roman" w:cs="Times New Roman"/>
        </w:rPr>
        <w:t xml:space="preserve">, and to provide a prompt emergency response to any such releases in order to protect human health and the environment.” The section further mandates that the plan include: </w:t>
      </w:r>
    </w:p>
    <w:p w:rsidRPr="006213CF" w:rsidR="006213CF" w:rsidP="006213CF" w:rsidRDefault="006213CF" w14:paraId="03CAD4BD" w14:textId="77777777">
      <w:pPr>
        <w:spacing w:after="0" w:line="240" w:lineRule="auto"/>
        <w:ind w:firstLine="360"/>
        <w:rPr>
          <w:rFonts w:ascii="Times New Roman" w:hAnsi="Times New Roman" w:cs="Times New Roman"/>
        </w:rPr>
      </w:pPr>
    </w:p>
    <w:p w:rsidRPr="006213CF" w:rsidR="00093C0A" w:rsidP="006213CF" w:rsidRDefault="00093C0A" w14:paraId="20277583" w14:textId="113077C0">
      <w:pPr>
        <w:numPr>
          <w:ilvl w:val="0"/>
          <w:numId w:val="1"/>
        </w:numPr>
        <w:spacing w:after="0" w:line="240" w:lineRule="auto"/>
        <w:rPr>
          <w:rFonts w:ascii="Times New Roman" w:hAnsi="Times New Roman" w:cs="Times New Roman"/>
        </w:rPr>
      </w:pPr>
      <w:r w:rsidRPr="006213CF">
        <w:rPr>
          <w:rFonts w:ascii="Times New Roman" w:hAnsi="Times New Roman" w:cs="Times New Roman"/>
        </w:rPr>
        <w:t xml:space="preserve">A hazard assessment to assess the potential effects of an accidental release of any regulated substance. This assessment </w:t>
      </w:r>
      <w:r w:rsidRPr="006213CF" w:rsidR="00150FD1">
        <w:rPr>
          <w:rFonts w:ascii="Times New Roman" w:hAnsi="Times New Roman" w:cs="Times New Roman"/>
        </w:rPr>
        <w:t>must</w:t>
      </w:r>
      <w:r w:rsidRPr="006213CF" w:rsidR="00491AE7">
        <w:rPr>
          <w:rFonts w:ascii="Times New Roman" w:hAnsi="Times New Roman" w:cs="Times New Roman"/>
        </w:rPr>
        <w:t xml:space="preserve"> </w:t>
      </w:r>
      <w:r w:rsidRPr="006213CF">
        <w:rPr>
          <w:rFonts w:ascii="Times New Roman" w:hAnsi="Times New Roman" w:cs="Times New Roman"/>
        </w:rPr>
        <w:t xml:space="preserve">include an estimate of potential release quantities and a determination of downwind effects, including potential exposures to affected populations. Such assessment </w:t>
      </w:r>
      <w:r w:rsidRPr="006213CF" w:rsidR="00150FD1">
        <w:rPr>
          <w:rFonts w:ascii="Times New Roman" w:hAnsi="Times New Roman" w:cs="Times New Roman"/>
        </w:rPr>
        <w:t>must</w:t>
      </w:r>
      <w:r w:rsidRPr="006213CF">
        <w:rPr>
          <w:rFonts w:ascii="Times New Roman" w:hAnsi="Times New Roman" w:cs="Times New Roman"/>
        </w:rPr>
        <w:t xml:space="preserve"> include a previous release history of the past </w:t>
      </w:r>
      <w:r w:rsidRPr="006213CF" w:rsidR="007A6125">
        <w:rPr>
          <w:rFonts w:ascii="Times New Roman" w:hAnsi="Times New Roman" w:cs="Times New Roman"/>
        </w:rPr>
        <w:t>five</w:t>
      </w:r>
      <w:r w:rsidRPr="006213CF">
        <w:rPr>
          <w:rFonts w:ascii="Times New Roman" w:hAnsi="Times New Roman" w:cs="Times New Roman"/>
        </w:rPr>
        <w:t xml:space="preserve"> years, including the size, concentration, and duration of releases, and </w:t>
      </w:r>
      <w:r w:rsidRPr="006213CF" w:rsidR="00150FD1">
        <w:rPr>
          <w:rFonts w:ascii="Times New Roman" w:hAnsi="Times New Roman" w:cs="Times New Roman"/>
        </w:rPr>
        <w:t>must</w:t>
      </w:r>
      <w:r w:rsidRPr="006213CF">
        <w:rPr>
          <w:rFonts w:ascii="Times New Roman" w:hAnsi="Times New Roman" w:cs="Times New Roman"/>
        </w:rPr>
        <w:t xml:space="preserve"> include an evaluation of </w:t>
      </w:r>
      <w:proofErr w:type="gramStart"/>
      <w:r w:rsidRPr="006213CF">
        <w:rPr>
          <w:rFonts w:ascii="Times New Roman" w:hAnsi="Times New Roman" w:cs="Times New Roman"/>
        </w:rPr>
        <w:t>worst case</w:t>
      </w:r>
      <w:proofErr w:type="gramEnd"/>
      <w:r w:rsidRPr="006213CF">
        <w:rPr>
          <w:rFonts w:ascii="Times New Roman" w:hAnsi="Times New Roman" w:cs="Times New Roman"/>
        </w:rPr>
        <w:t xml:space="preserve"> accidental releases. </w:t>
      </w:r>
    </w:p>
    <w:p w:rsidRPr="006213CF" w:rsidR="00093C0A" w:rsidP="006213CF" w:rsidRDefault="00093C0A" w14:paraId="24D3E49B" w14:textId="59B41175">
      <w:pPr>
        <w:numPr>
          <w:ilvl w:val="0"/>
          <w:numId w:val="1"/>
        </w:numPr>
        <w:spacing w:after="0" w:line="240" w:lineRule="auto"/>
        <w:rPr>
          <w:rFonts w:ascii="Times New Roman" w:hAnsi="Times New Roman" w:cs="Times New Roman"/>
        </w:rPr>
      </w:pPr>
      <w:r w:rsidRPr="006213CF">
        <w:rPr>
          <w:rFonts w:ascii="Times New Roman" w:hAnsi="Times New Roman" w:cs="Times New Roman"/>
        </w:rPr>
        <w:t xml:space="preserve">A program for preventing accidental releases of regulated substances, including safety precautions and maintenance, </w:t>
      </w:r>
      <w:proofErr w:type="gramStart"/>
      <w:r w:rsidRPr="006213CF">
        <w:rPr>
          <w:rFonts w:ascii="Times New Roman" w:hAnsi="Times New Roman" w:cs="Times New Roman"/>
        </w:rPr>
        <w:t>monitoring</w:t>
      </w:r>
      <w:proofErr w:type="gramEnd"/>
      <w:r w:rsidRPr="006213CF">
        <w:rPr>
          <w:rFonts w:ascii="Times New Roman" w:hAnsi="Times New Roman" w:cs="Times New Roman"/>
        </w:rPr>
        <w:t xml:space="preserve"> and employee training measures to be used at the source.</w:t>
      </w:r>
    </w:p>
    <w:p w:rsidR="00093C0A" w:rsidP="006213CF" w:rsidRDefault="00093C0A" w14:paraId="423D6C03" w14:textId="17500EEF">
      <w:pPr>
        <w:numPr>
          <w:ilvl w:val="0"/>
          <w:numId w:val="1"/>
        </w:numPr>
        <w:spacing w:after="0" w:line="240" w:lineRule="auto"/>
        <w:rPr>
          <w:rFonts w:ascii="Times New Roman" w:hAnsi="Times New Roman" w:cs="Times New Roman"/>
        </w:rPr>
      </w:pPr>
      <w:r w:rsidRPr="006213CF">
        <w:rPr>
          <w:rFonts w:ascii="Times New Roman" w:hAnsi="Times New Roman" w:cs="Times New Roman"/>
        </w:rPr>
        <w:t>A response program providing for specific actions to be taken in response to an accidental release of a regulated substance</w:t>
      </w:r>
      <w:r w:rsidRPr="006213CF" w:rsidR="00491AE7">
        <w:rPr>
          <w:rFonts w:ascii="Times New Roman" w:hAnsi="Times New Roman" w:cs="Times New Roman"/>
        </w:rPr>
        <w:t xml:space="preserve"> </w:t>
      </w:r>
      <w:r w:rsidRPr="006213CF">
        <w:rPr>
          <w:rFonts w:ascii="Times New Roman" w:hAnsi="Times New Roman" w:cs="Times New Roman"/>
        </w:rPr>
        <w:t xml:space="preserve">to protect human health and the environment, including procedures for informing the public and local agencies responsible for responding to accidental releases, emergency health care, and employee training measures. </w:t>
      </w:r>
    </w:p>
    <w:p w:rsidRPr="006213CF" w:rsidR="006213CF" w:rsidP="006213CF" w:rsidRDefault="006213CF" w14:paraId="7559AA1B" w14:textId="77777777">
      <w:pPr>
        <w:spacing w:after="0" w:line="240" w:lineRule="auto"/>
        <w:ind w:left="720"/>
        <w:rPr>
          <w:rFonts w:ascii="Times New Roman" w:hAnsi="Times New Roman" w:cs="Times New Roman"/>
        </w:rPr>
      </w:pPr>
    </w:p>
    <w:p w:rsidR="00093C0A" w:rsidP="006213CF" w:rsidRDefault="005A354C" w14:paraId="070897E7" w14:textId="7D62B8F8">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themeColor="text1"/>
        </w:rPr>
        <w:tab/>
      </w:r>
      <w:r w:rsidRPr="47B0FB50" w:rsidR="00093C0A">
        <w:rPr>
          <w:rFonts w:ascii="Times New Roman" w:hAnsi="Times New Roman" w:cs="Times New Roman"/>
          <w:color w:val="000000" w:themeColor="text1"/>
        </w:rPr>
        <w:t xml:space="preserve">Finally, section </w:t>
      </w:r>
      <w:r w:rsidRPr="47B0FB50" w:rsidR="007A6125">
        <w:rPr>
          <w:rFonts w:ascii="Times New Roman" w:hAnsi="Times New Roman" w:cs="Times New Roman"/>
          <w:color w:val="000000" w:themeColor="text1"/>
        </w:rPr>
        <w:t xml:space="preserve">112(r) </w:t>
      </w:r>
      <w:r w:rsidRPr="47B0FB50" w:rsidR="00093C0A">
        <w:rPr>
          <w:rFonts w:ascii="Times New Roman" w:hAnsi="Times New Roman" w:cs="Times New Roman"/>
          <w:color w:val="000000" w:themeColor="text1"/>
        </w:rPr>
        <w:t xml:space="preserve">requires the owner or operator of an affected </w:t>
      </w:r>
      <w:r w:rsidRPr="47B0FB50" w:rsidR="00354D92">
        <w:rPr>
          <w:rFonts w:ascii="Times New Roman" w:hAnsi="Times New Roman" w:cs="Times New Roman"/>
          <w:color w:val="000000" w:themeColor="text1"/>
        </w:rPr>
        <w:t>facility</w:t>
      </w:r>
      <w:r w:rsidRPr="47B0FB50" w:rsidR="00093C0A">
        <w:rPr>
          <w:rFonts w:ascii="Times New Roman" w:hAnsi="Times New Roman" w:cs="Times New Roman"/>
          <w:color w:val="000000" w:themeColor="text1"/>
        </w:rPr>
        <w:t xml:space="preserve"> to develop and file a</w:t>
      </w:r>
      <w:r w:rsidRPr="47B0FB50" w:rsidR="007A6125">
        <w:rPr>
          <w:rFonts w:ascii="Times New Roman" w:hAnsi="Times New Roman" w:cs="Times New Roman"/>
          <w:color w:val="000000" w:themeColor="text1"/>
        </w:rPr>
        <w:t xml:space="preserve"> Risk Management Plan</w:t>
      </w:r>
      <w:r w:rsidRPr="47B0FB50" w:rsidR="00093C0A">
        <w:rPr>
          <w:rFonts w:ascii="Times New Roman" w:hAnsi="Times New Roman" w:cs="Times New Roman"/>
          <w:color w:val="000000" w:themeColor="text1"/>
        </w:rPr>
        <w:t xml:space="preserve"> with EPA, the </w:t>
      </w:r>
      <w:r w:rsidRPr="47B0FB50" w:rsidR="00A353D7">
        <w:rPr>
          <w:rFonts w:ascii="Times New Roman" w:hAnsi="Times New Roman" w:cs="Times New Roman"/>
          <w:color w:val="000000" w:themeColor="text1"/>
        </w:rPr>
        <w:t xml:space="preserve">U.S. </w:t>
      </w:r>
      <w:r w:rsidRPr="47B0FB50" w:rsidR="00093C0A">
        <w:rPr>
          <w:rFonts w:ascii="Times New Roman" w:hAnsi="Times New Roman" w:cs="Times New Roman"/>
          <w:color w:val="000000" w:themeColor="text1"/>
        </w:rPr>
        <w:t xml:space="preserve">Chemical Safety Board (CSB) (also established under the section), the State, and local response agencies. OSHA adopted its </w:t>
      </w:r>
      <w:r w:rsidRPr="47B0FB50" w:rsidR="007D17AD">
        <w:rPr>
          <w:rFonts w:ascii="Times New Roman" w:hAnsi="Times New Roman" w:cs="Times New Roman"/>
          <w:color w:val="000000" w:themeColor="text1"/>
        </w:rPr>
        <w:t>PSM</w:t>
      </w:r>
      <w:r w:rsidRPr="47B0FB50" w:rsidR="00093C0A">
        <w:rPr>
          <w:rFonts w:ascii="Times New Roman" w:hAnsi="Times New Roman" w:cs="Times New Roman"/>
          <w:color w:val="000000" w:themeColor="text1"/>
        </w:rPr>
        <w:t xml:space="preserve"> standard (codified at 29 CFR 1910.119) in 1992 (57 FR 6403, Feb. 24, 1992). The applicability of the PSM standard is driven by the presence of specific chemicals in quantities above thresholds set in the standard. </w:t>
      </w:r>
    </w:p>
    <w:p w:rsidR="007A2A7D" w:rsidP="006213CF" w:rsidRDefault="005A354C" w14:paraId="61D4B042" w14:textId="47029191">
      <w:pPr>
        <w:autoSpaceDE w:val="0"/>
        <w:autoSpaceDN w:val="0"/>
        <w:adjustRightInd w:val="0"/>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lastRenderedPageBreak/>
        <w:tab/>
      </w:r>
      <w:r w:rsidRPr="47B0FB50" w:rsidR="00093C0A">
        <w:rPr>
          <w:rFonts w:ascii="Times New Roman" w:hAnsi="Times New Roman" w:cs="Times New Roman"/>
          <w:color w:val="000000" w:themeColor="text1"/>
        </w:rPr>
        <w:t xml:space="preserve">EPA published its section 112(r) regulations in two stages − a list of regulated substances and TQs in 1994 (59 FR 4478, January 31, 1994), and the </w:t>
      </w:r>
      <w:r w:rsidRPr="47B0FB50" w:rsidR="007A6125">
        <w:rPr>
          <w:rFonts w:ascii="Times New Roman" w:hAnsi="Times New Roman" w:cs="Times New Roman"/>
          <w:color w:val="000000" w:themeColor="text1"/>
        </w:rPr>
        <w:t>Ris</w:t>
      </w:r>
      <w:r w:rsidRPr="47B0FB50" w:rsidR="00093C0A">
        <w:rPr>
          <w:rFonts w:ascii="Times New Roman" w:hAnsi="Times New Roman" w:cs="Times New Roman"/>
          <w:color w:val="000000" w:themeColor="text1"/>
        </w:rPr>
        <w:t xml:space="preserve">k </w:t>
      </w:r>
      <w:r w:rsidRPr="47B0FB50" w:rsidR="007A6125">
        <w:rPr>
          <w:rFonts w:ascii="Times New Roman" w:hAnsi="Times New Roman" w:cs="Times New Roman"/>
          <w:color w:val="000000" w:themeColor="text1"/>
        </w:rPr>
        <w:t>M</w:t>
      </w:r>
      <w:r w:rsidRPr="47B0FB50" w:rsidR="00093C0A">
        <w:rPr>
          <w:rFonts w:ascii="Times New Roman" w:hAnsi="Times New Roman" w:cs="Times New Roman"/>
          <w:color w:val="000000" w:themeColor="text1"/>
        </w:rPr>
        <w:t xml:space="preserve">anagement </w:t>
      </w:r>
      <w:r w:rsidRPr="47B0FB50" w:rsidR="007A6125">
        <w:rPr>
          <w:rFonts w:ascii="Times New Roman" w:hAnsi="Times New Roman" w:cs="Times New Roman"/>
          <w:color w:val="000000" w:themeColor="text1"/>
        </w:rPr>
        <w:t>P</w:t>
      </w:r>
      <w:r w:rsidRPr="47B0FB50" w:rsidR="00093C0A">
        <w:rPr>
          <w:rFonts w:ascii="Times New Roman" w:hAnsi="Times New Roman" w:cs="Times New Roman"/>
          <w:color w:val="000000" w:themeColor="text1"/>
        </w:rPr>
        <w:t xml:space="preserve">rogram requirements in 1996 (61 FR 31731, June 20, 1996); both are codified at 40 CFR part 68. As required by section 112(r), part 68 includes several major requirements that were not covered by the PSM standard. These include a hazard assessment consisting of an </w:t>
      </w:r>
      <w:r w:rsidRPr="47B0FB50" w:rsidR="00986800">
        <w:rPr>
          <w:rFonts w:ascii="Times New Roman" w:hAnsi="Times New Roman" w:cs="Times New Roman"/>
          <w:color w:val="000000" w:themeColor="text1"/>
        </w:rPr>
        <w:t>offsite</w:t>
      </w:r>
      <w:r w:rsidRPr="47B0FB50" w:rsidR="00093C0A">
        <w:rPr>
          <w:rFonts w:ascii="Times New Roman" w:hAnsi="Times New Roman" w:cs="Times New Roman"/>
          <w:color w:val="000000" w:themeColor="text1"/>
        </w:rPr>
        <w:t xml:space="preserve"> consequence analysis (OCA) and five-year accident history, and the development and submission of a</w:t>
      </w:r>
      <w:r w:rsidRPr="47B0FB50" w:rsidR="006B1948">
        <w:rPr>
          <w:rFonts w:ascii="Times New Roman" w:hAnsi="Times New Roman" w:cs="Times New Roman"/>
          <w:color w:val="000000" w:themeColor="text1"/>
        </w:rPr>
        <w:t xml:space="preserve"> risk management plan </w:t>
      </w:r>
      <w:r w:rsidRPr="47B0FB50" w:rsidR="00093C0A">
        <w:rPr>
          <w:rFonts w:ascii="Times New Roman" w:hAnsi="Times New Roman" w:cs="Times New Roman"/>
          <w:color w:val="000000" w:themeColor="text1"/>
        </w:rPr>
        <w:t xml:space="preserve">that summarizes a source’s </w:t>
      </w:r>
      <w:r w:rsidRPr="47B0FB50" w:rsidR="008B2F3B">
        <w:rPr>
          <w:rFonts w:ascii="Times New Roman" w:hAnsi="Times New Roman" w:cs="Times New Roman"/>
          <w:color w:val="000000" w:themeColor="text1"/>
        </w:rPr>
        <w:t>R</w:t>
      </w:r>
      <w:r w:rsidRPr="47B0FB50" w:rsidR="00093C0A">
        <w:rPr>
          <w:rFonts w:ascii="Times New Roman" w:hAnsi="Times New Roman" w:cs="Times New Roman"/>
          <w:color w:val="000000" w:themeColor="text1"/>
        </w:rPr>
        <w:t xml:space="preserve">isk </w:t>
      </w:r>
      <w:r w:rsidRPr="47B0FB50" w:rsidR="008B2F3B">
        <w:rPr>
          <w:rFonts w:ascii="Times New Roman" w:hAnsi="Times New Roman" w:cs="Times New Roman"/>
          <w:color w:val="000000" w:themeColor="text1"/>
        </w:rPr>
        <w:t>M</w:t>
      </w:r>
      <w:r w:rsidRPr="47B0FB50" w:rsidR="00093C0A">
        <w:rPr>
          <w:rFonts w:ascii="Times New Roman" w:hAnsi="Times New Roman" w:cs="Times New Roman"/>
          <w:color w:val="000000" w:themeColor="text1"/>
        </w:rPr>
        <w:t xml:space="preserve">anagement </w:t>
      </w:r>
      <w:r w:rsidRPr="47B0FB50" w:rsidR="008B2F3B">
        <w:rPr>
          <w:rFonts w:ascii="Times New Roman" w:hAnsi="Times New Roman" w:cs="Times New Roman"/>
          <w:color w:val="000000" w:themeColor="text1"/>
        </w:rPr>
        <w:t>P</w:t>
      </w:r>
      <w:r w:rsidRPr="47B0FB50" w:rsidR="00093C0A">
        <w:rPr>
          <w:rFonts w:ascii="Times New Roman" w:hAnsi="Times New Roman" w:cs="Times New Roman"/>
          <w:color w:val="000000" w:themeColor="text1"/>
        </w:rPr>
        <w:t xml:space="preserve">rogram. EPA also required stationary sources to develop a management system to oversee the program and included emergency response program requirements beyond those contained in the PSM standard. RMPs were first submitted to EPA in June 1999 and must be updated at least every </w:t>
      </w:r>
      <w:r w:rsidRPr="47B0FB50" w:rsidR="003B5828">
        <w:rPr>
          <w:rFonts w:ascii="Times New Roman" w:hAnsi="Times New Roman" w:cs="Times New Roman"/>
          <w:color w:val="000000" w:themeColor="text1"/>
        </w:rPr>
        <w:t>five</w:t>
      </w:r>
      <w:r w:rsidRPr="47B0FB50" w:rsidR="00093C0A">
        <w:rPr>
          <w:rFonts w:ascii="Times New Roman" w:hAnsi="Times New Roman" w:cs="Times New Roman"/>
          <w:color w:val="000000" w:themeColor="text1"/>
        </w:rPr>
        <w:t xml:space="preserve"> years. EPA has amended the rule over time to modify the list of substances, to alter data requirements, and to address other issues. The primary requirements adopted in 1996, however, remain in place. </w:t>
      </w:r>
    </w:p>
    <w:p w:rsidR="005A354C" w:rsidP="006213CF" w:rsidRDefault="005A354C" w14:paraId="70BB93F7" w14:textId="77777777">
      <w:pPr>
        <w:autoSpaceDE w:val="0"/>
        <w:autoSpaceDN w:val="0"/>
        <w:adjustRightInd w:val="0"/>
        <w:spacing w:after="0" w:line="240" w:lineRule="auto"/>
        <w:ind w:firstLine="360"/>
        <w:rPr>
          <w:rFonts w:ascii="Times New Roman" w:hAnsi="Times New Roman" w:cs="Times New Roman"/>
          <w:color w:val="000000"/>
        </w:rPr>
      </w:pPr>
    </w:p>
    <w:p w:rsidR="007A2A7D" w:rsidP="006213CF" w:rsidRDefault="005A354C" w14:paraId="79B2ADDA" w14:textId="67284C36">
      <w:pPr>
        <w:autoSpaceDE w:val="0"/>
        <w:autoSpaceDN w:val="0"/>
        <w:adjustRightInd w:val="0"/>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tab/>
      </w:r>
      <w:r w:rsidRPr="47B0FB50" w:rsidR="00093C0A">
        <w:rPr>
          <w:rFonts w:ascii="Times New Roman" w:hAnsi="Times New Roman" w:cs="Times New Roman"/>
          <w:color w:val="000000" w:themeColor="text1"/>
        </w:rPr>
        <w:t xml:space="preserve">The </w:t>
      </w:r>
      <w:r w:rsidRPr="47B0FB50" w:rsidR="003B5828">
        <w:rPr>
          <w:rFonts w:ascii="Times New Roman" w:hAnsi="Times New Roman" w:cs="Times New Roman"/>
          <w:color w:val="000000" w:themeColor="text1"/>
        </w:rPr>
        <w:t xml:space="preserve">RMP </w:t>
      </w:r>
      <w:r w:rsidRPr="47B0FB50" w:rsidR="00093C0A">
        <w:rPr>
          <w:rFonts w:ascii="Times New Roman" w:hAnsi="Times New Roman" w:cs="Times New Roman"/>
          <w:color w:val="000000" w:themeColor="text1"/>
        </w:rPr>
        <w:t xml:space="preserve">rule establishes three program levels and requires facility owners or operators to conduct hazard assessments and submit RMPs regardless of the program level. Program 1 requirements apply to processes that would not affect the public in the case of a </w:t>
      </w:r>
      <w:proofErr w:type="gramStart"/>
      <w:r w:rsidRPr="47B0FB50" w:rsidR="00093C0A">
        <w:rPr>
          <w:rFonts w:ascii="Times New Roman" w:hAnsi="Times New Roman" w:cs="Times New Roman"/>
          <w:color w:val="000000" w:themeColor="text1"/>
        </w:rPr>
        <w:t>worst</w:t>
      </w:r>
      <w:r w:rsidRPr="47B0FB50" w:rsidR="00663314">
        <w:rPr>
          <w:rFonts w:ascii="Times New Roman" w:hAnsi="Times New Roman" w:cs="Times New Roman"/>
          <w:color w:val="000000" w:themeColor="text1"/>
        </w:rPr>
        <w:t xml:space="preserve"> </w:t>
      </w:r>
      <w:r w:rsidRPr="47B0FB50" w:rsidR="00093C0A">
        <w:rPr>
          <w:rFonts w:ascii="Times New Roman" w:hAnsi="Times New Roman" w:cs="Times New Roman"/>
          <w:color w:val="000000" w:themeColor="text1"/>
        </w:rPr>
        <w:t>case</w:t>
      </w:r>
      <w:proofErr w:type="gramEnd"/>
      <w:r w:rsidRPr="47B0FB50" w:rsidR="00093C0A">
        <w:rPr>
          <w:rFonts w:ascii="Times New Roman" w:hAnsi="Times New Roman" w:cs="Times New Roman"/>
          <w:color w:val="000000" w:themeColor="text1"/>
        </w:rPr>
        <w:t xml:space="preserve"> release and with no accidents with specific </w:t>
      </w:r>
      <w:r w:rsidRPr="47B0FB50" w:rsidR="00986800">
        <w:rPr>
          <w:rFonts w:ascii="Times New Roman" w:hAnsi="Times New Roman" w:cs="Times New Roman"/>
          <w:color w:val="000000" w:themeColor="text1"/>
        </w:rPr>
        <w:t>offsite</w:t>
      </w:r>
      <w:r w:rsidRPr="47B0FB50" w:rsidR="00093C0A">
        <w:rPr>
          <w:rFonts w:ascii="Times New Roman" w:hAnsi="Times New Roman" w:cs="Times New Roman"/>
          <w:color w:val="000000" w:themeColor="text1"/>
        </w:rPr>
        <w:t xml:space="preserve"> consequences within the past five years. P</w:t>
      </w:r>
      <w:r w:rsidRPr="47B0FB50" w:rsidR="007F1F6B">
        <w:rPr>
          <w:rFonts w:ascii="Times New Roman" w:hAnsi="Times New Roman" w:cs="Times New Roman"/>
          <w:color w:val="000000" w:themeColor="text1"/>
        </w:rPr>
        <w:t xml:space="preserve">rogram </w:t>
      </w:r>
      <w:r w:rsidRPr="47B0FB50" w:rsidR="00093C0A">
        <w:rPr>
          <w:rFonts w:ascii="Times New Roman" w:hAnsi="Times New Roman" w:cs="Times New Roman"/>
          <w:color w:val="000000" w:themeColor="text1"/>
        </w:rPr>
        <w:t xml:space="preserve">1 provisions impose limited hazard assessment requirements and emergency response requirements. </w:t>
      </w:r>
    </w:p>
    <w:p w:rsidR="005A354C" w:rsidP="006213CF" w:rsidRDefault="005A354C" w14:paraId="6A8D0106" w14:textId="77777777">
      <w:pPr>
        <w:autoSpaceDE w:val="0"/>
        <w:autoSpaceDN w:val="0"/>
        <w:adjustRightInd w:val="0"/>
        <w:spacing w:after="0" w:line="240" w:lineRule="auto"/>
        <w:ind w:firstLine="360"/>
        <w:rPr>
          <w:rFonts w:ascii="Times New Roman" w:hAnsi="Times New Roman" w:cs="Times New Roman"/>
          <w:color w:val="000000"/>
        </w:rPr>
      </w:pPr>
    </w:p>
    <w:p w:rsidR="007A2A7D" w:rsidP="006213CF" w:rsidRDefault="005A354C" w14:paraId="4A9C9FDF" w14:textId="60EABCD5">
      <w:pPr>
        <w:autoSpaceDE w:val="0"/>
        <w:autoSpaceDN w:val="0"/>
        <w:adjustRightInd w:val="0"/>
        <w:spacing w:after="0" w:line="240" w:lineRule="auto"/>
        <w:ind w:firstLine="360"/>
        <w:rPr>
          <w:rFonts w:ascii="Times New Roman" w:hAnsi="Times New Roman" w:cs="Times New Roman"/>
        </w:rPr>
      </w:pPr>
      <w:r>
        <w:rPr>
          <w:rFonts w:ascii="Times New Roman" w:hAnsi="Times New Roman" w:cs="Times New Roman"/>
          <w:color w:val="000000"/>
        </w:rPr>
        <w:tab/>
      </w:r>
      <w:r w:rsidRPr="006213CF" w:rsidR="00093C0A">
        <w:rPr>
          <w:rFonts w:ascii="Times New Roman" w:hAnsi="Times New Roman" w:cs="Times New Roman"/>
          <w:color w:val="000000"/>
        </w:rPr>
        <w:t xml:space="preserve">Program 2 </w:t>
      </w:r>
      <w:r w:rsidRPr="006213CF" w:rsidR="006B1948">
        <w:rPr>
          <w:rFonts w:ascii="Times New Roman" w:hAnsi="Times New Roman" w:cs="Times New Roman"/>
          <w:color w:val="000000"/>
        </w:rPr>
        <w:t xml:space="preserve">provisions </w:t>
      </w:r>
      <w:r w:rsidRPr="006213CF" w:rsidR="00093C0A">
        <w:rPr>
          <w:rFonts w:ascii="Times New Roman" w:hAnsi="Times New Roman" w:cs="Times New Roman"/>
          <w:color w:val="000000"/>
        </w:rPr>
        <w:t>appl</w:t>
      </w:r>
      <w:r w:rsidRPr="006213CF" w:rsidR="006B1948">
        <w:rPr>
          <w:rFonts w:ascii="Times New Roman" w:hAnsi="Times New Roman" w:cs="Times New Roman"/>
          <w:color w:val="000000"/>
        </w:rPr>
        <w:t>y</w:t>
      </w:r>
      <w:r w:rsidRPr="006213CF" w:rsidR="00093C0A">
        <w:rPr>
          <w:rFonts w:ascii="Times New Roman" w:hAnsi="Times New Roman" w:cs="Times New Roman"/>
          <w:color w:val="000000"/>
        </w:rPr>
        <w:t xml:space="preserve"> to processes not eligible for P</w:t>
      </w:r>
      <w:r w:rsidRPr="006213CF" w:rsidR="007F1F6B">
        <w:rPr>
          <w:rFonts w:ascii="Times New Roman" w:hAnsi="Times New Roman" w:cs="Times New Roman"/>
          <w:color w:val="000000"/>
        </w:rPr>
        <w:t xml:space="preserve">rogram </w:t>
      </w:r>
      <w:r w:rsidRPr="006213CF" w:rsidR="00093C0A">
        <w:rPr>
          <w:rFonts w:ascii="Times New Roman" w:hAnsi="Times New Roman" w:cs="Times New Roman"/>
          <w:color w:val="000000"/>
        </w:rPr>
        <w:t xml:space="preserve">1 or subject to Program 3, and imposes streamlined prevention program requirements, including safety information, hazard review, operating </w:t>
      </w:r>
      <w:r w:rsidRPr="006213CF" w:rsidR="00093C0A">
        <w:rPr>
          <w:rFonts w:ascii="Times New Roman" w:hAnsi="Times New Roman" w:cs="Times New Roman"/>
        </w:rPr>
        <w:t xml:space="preserve">procedures, training, maintenance, compliance audits, and incident investigation elements. </w:t>
      </w:r>
      <w:r w:rsidRPr="006213CF" w:rsidR="007F1F6B">
        <w:rPr>
          <w:rFonts w:ascii="Times New Roman" w:hAnsi="Times New Roman" w:cs="Times New Roman"/>
        </w:rPr>
        <w:t>Program 2</w:t>
      </w:r>
      <w:r w:rsidRPr="006213CF" w:rsidR="00093C0A">
        <w:rPr>
          <w:rFonts w:ascii="Times New Roman" w:hAnsi="Times New Roman" w:cs="Times New Roman"/>
        </w:rPr>
        <w:t xml:space="preserve"> provisions also impose hazard assessment, management, and emergency response requirements. </w:t>
      </w:r>
      <w:r w:rsidRPr="006213CF" w:rsidR="007F1F6B">
        <w:rPr>
          <w:rFonts w:ascii="Times New Roman" w:hAnsi="Times New Roman" w:cs="Times New Roman"/>
        </w:rPr>
        <w:t>Program 2</w:t>
      </w:r>
      <w:r w:rsidRPr="006213CF" w:rsidR="00093C0A">
        <w:rPr>
          <w:rFonts w:ascii="Times New Roman" w:hAnsi="Times New Roman" w:cs="Times New Roman"/>
        </w:rPr>
        <w:t xml:space="preserve"> processes are primarily </w:t>
      </w:r>
      <w:r w:rsidRPr="002105C9" w:rsidR="002105C9">
        <w:rPr>
          <w:rFonts w:ascii="Times New Roman" w:hAnsi="Times New Roman" w:cs="Times New Roman"/>
        </w:rPr>
        <w:t>agricultural chemical distributors, chemical wholesalers,</w:t>
      </w:r>
      <w:r w:rsidR="002105C9">
        <w:rPr>
          <w:rFonts w:ascii="Times New Roman" w:hAnsi="Times New Roman" w:cs="Times New Roman"/>
        </w:rPr>
        <w:t xml:space="preserve"> and </w:t>
      </w:r>
      <w:r w:rsidRPr="006213CF" w:rsidR="00093C0A">
        <w:rPr>
          <w:rFonts w:ascii="Times New Roman" w:hAnsi="Times New Roman" w:cs="Times New Roman"/>
        </w:rPr>
        <w:t xml:space="preserve">chlorine use at publicly owned water and wastewater facilities, in States without OSHA-approved State plans. To further reduce the burden on facilities with </w:t>
      </w:r>
      <w:r w:rsidRPr="006213CF" w:rsidR="007F1F6B">
        <w:rPr>
          <w:rFonts w:ascii="Times New Roman" w:hAnsi="Times New Roman" w:cs="Times New Roman"/>
        </w:rPr>
        <w:t>Program 2</w:t>
      </w:r>
      <w:r w:rsidRPr="006213CF" w:rsidR="00093C0A">
        <w:rPr>
          <w:rFonts w:ascii="Times New Roman" w:hAnsi="Times New Roman" w:cs="Times New Roman"/>
        </w:rPr>
        <w:t xml:space="preserve"> processes, EPA developed and published several industry-specific guidance documents</w:t>
      </w:r>
      <w:r w:rsidRPr="006213CF" w:rsidR="00F61543">
        <w:rPr>
          <w:rStyle w:val="FootnoteReference"/>
          <w:rFonts w:ascii="Times New Roman" w:hAnsi="Times New Roman" w:cs="Times New Roman"/>
        </w:rPr>
        <w:footnoteReference w:id="7"/>
      </w:r>
      <w:r w:rsidRPr="006213CF" w:rsidR="00093C0A">
        <w:rPr>
          <w:rFonts w:ascii="Times New Roman" w:hAnsi="Times New Roman" w:cs="Times New Roman"/>
        </w:rPr>
        <w:t xml:space="preserve"> and an OCA guidance document.</w:t>
      </w:r>
    </w:p>
    <w:p w:rsidRPr="00C72A6F" w:rsidR="005A354C" w:rsidP="006213CF" w:rsidRDefault="005A354C" w14:paraId="7C9A3EFF" w14:textId="77777777">
      <w:pPr>
        <w:autoSpaceDE w:val="0"/>
        <w:autoSpaceDN w:val="0"/>
        <w:adjustRightInd w:val="0"/>
        <w:spacing w:after="0" w:line="240" w:lineRule="auto"/>
        <w:ind w:firstLine="360"/>
        <w:rPr>
          <w:rFonts w:ascii="Times New Roman" w:hAnsi="Times New Roman" w:cs="Times New Roman"/>
        </w:rPr>
      </w:pPr>
    </w:p>
    <w:p w:rsidR="00093C0A" w:rsidP="006213CF" w:rsidRDefault="005A354C" w14:paraId="44C4355F" w14:textId="446FA576">
      <w:pPr>
        <w:autoSpaceDE w:val="0"/>
        <w:autoSpaceDN w:val="0"/>
        <w:adjustRightInd w:val="0"/>
        <w:spacing w:after="0" w:line="240" w:lineRule="auto"/>
        <w:ind w:firstLine="360"/>
        <w:rPr>
          <w:rFonts w:ascii="Times New Roman" w:hAnsi="Times New Roman" w:cs="Times New Roman"/>
        </w:rPr>
      </w:pPr>
      <w:r>
        <w:rPr>
          <w:rFonts w:ascii="Times New Roman" w:hAnsi="Times New Roman" w:cs="Times New Roman"/>
          <w:color w:val="000000" w:themeColor="text1"/>
        </w:rPr>
        <w:tab/>
      </w:r>
      <w:r w:rsidRPr="3FE25B5C" w:rsidR="00AB34CF">
        <w:rPr>
          <w:rFonts w:ascii="Times New Roman" w:hAnsi="Times New Roman" w:cs="Times New Roman"/>
          <w:color w:val="000000" w:themeColor="text1"/>
        </w:rPr>
        <w:t>Program 3</w:t>
      </w:r>
      <w:r w:rsidRPr="006213CF" w:rsidR="00093C0A">
        <w:rPr>
          <w:rFonts w:ascii="Times New Roman" w:hAnsi="Times New Roman" w:cs="Times New Roman"/>
        </w:rPr>
        <w:t xml:space="preserve"> requirements apply to processes not eligible for P</w:t>
      </w:r>
      <w:r w:rsidRPr="006213CF" w:rsidR="007F1F6B">
        <w:rPr>
          <w:rFonts w:ascii="Times New Roman" w:hAnsi="Times New Roman" w:cs="Times New Roman"/>
        </w:rPr>
        <w:t xml:space="preserve">rogram </w:t>
      </w:r>
      <w:r w:rsidRPr="006213CF" w:rsidR="00093C0A">
        <w:rPr>
          <w:rFonts w:ascii="Times New Roman" w:hAnsi="Times New Roman" w:cs="Times New Roman"/>
        </w:rPr>
        <w:t>1 and are either subject to OSHA's PSM standard, under Federal or State OSHA programs, or classified in one of ten specified NAICS codes (1997 version) listed at 40 CFR 68.10(d)(1). The ten NAICS codes are:</w:t>
      </w:r>
    </w:p>
    <w:p w:rsidRPr="006213CF" w:rsidR="006213CF" w:rsidP="006213CF" w:rsidRDefault="006213CF" w14:paraId="39E9718C" w14:textId="77777777">
      <w:pPr>
        <w:autoSpaceDE w:val="0"/>
        <w:autoSpaceDN w:val="0"/>
        <w:adjustRightInd w:val="0"/>
        <w:spacing w:after="0" w:line="240" w:lineRule="auto"/>
        <w:ind w:firstLine="360"/>
        <w:rPr>
          <w:rFonts w:ascii="Times New Roman" w:hAnsi="Times New Roman" w:cs="Times New Roman"/>
          <w:color w:val="000000"/>
        </w:rPr>
      </w:pPr>
    </w:p>
    <w:p w:rsidRPr="006213CF" w:rsidR="00093C0A" w:rsidP="006213CF" w:rsidRDefault="00093C0A" w14:paraId="36405015"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32211 (pulp mills) </w:t>
      </w:r>
    </w:p>
    <w:p w:rsidRPr="006213CF" w:rsidR="003B5828" w:rsidP="006213CF" w:rsidRDefault="00093C0A" w14:paraId="5C4D15E9"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32411 (petroleum refineries)</w:t>
      </w:r>
    </w:p>
    <w:p w:rsidRPr="006213CF" w:rsidR="00093C0A" w:rsidP="006213CF" w:rsidRDefault="00093C0A" w14:paraId="144E7526"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32511 (petrochemical manufacturing)</w:t>
      </w:r>
    </w:p>
    <w:p w:rsidRPr="006213CF" w:rsidR="00093C0A" w:rsidP="006213CF" w:rsidRDefault="00093C0A" w14:paraId="20F0DCB1"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325181 (alkali and chlorine manufacturing)</w:t>
      </w:r>
    </w:p>
    <w:p w:rsidRPr="006213CF" w:rsidR="00093C0A" w:rsidP="006213CF" w:rsidRDefault="00093C0A" w14:paraId="534F3A62"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325188 (all other basic inorganic chemical manufacturing)</w:t>
      </w:r>
    </w:p>
    <w:p w:rsidRPr="006213CF" w:rsidR="00093C0A" w:rsidP="006213CF" w:rsidRDefault="00093C0A" w14:paraId="217F9167"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325192 (cyclic crude and intermediate manufacturing)</w:t>
      </w:r>
    </w:p>
    <w:p w:rsidRPr="006213CF" w:rsidR="00093C0A" w:rsidP="006213CF" w:rsidRDefault="00093C0A" w14:paraId="35F9E10E"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325199 (all other basic organic chemical manufacturing)</w:t>
      </w:r>
    </w:p>
    <w:p w:rsidRPr="006213CF" w:rsidR="00093C0A" w:rsidP="006213CF" w:rsidRDefault="00093C0A" w14:paraId="4E3B983F"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325211 (plastics material and resin manufacturing)</w:t>
      </w:r>
    </w:p>
    <w:p w:rsidRPr="006213CF" w:rsidR="00093C0A" w:rsidP="006213CF" w:rsidRDefault="00093C0A" w14:paraId="5F4C91A3"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325311 (nitrogenous fertilizer manufacturing)</w:t>
      </w:r>
    </w:p>
    <w:p w:rsidR="00D456FF" w:rsidP="006213CF" w:rsidRDefault="00093C0A" w14:paraId="1B6C1849" w14:textId="4BB5ED16">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32532 (pesticide and other agricultural chemical manufacturing)</w:t>
      </w:r>
    </w:p>
    <w:p w:rsidRPr="006213CF" w:rsidR="006213CF" w:rsidP="006213CF" w:rsidRDefault="006213CF" w14:paraId="1D554E0B" w14:textId="77777777">
      <w:pPr>
        <w:pStyle w:val="ListParagraph"/>
        <w:spacing w:after="0" w:line="240" w:lineRule="auto"/>
        <w:contextualSpacing w:val="0"/>
        <w:rPr>
          <w:rFonts w:ascii="Times New Roman" w:hAnsi="Times New Roman" w:cs="Times New Roman"/>
        </w:rPr>
      </w:pPr>
    </w:p>
    <w:p w:rsidR="00491AE7" w:rsidP="006213CF" w:rsidRDefault="005A354C" w14:paraId="1C351B5D" w14:textId="0A2B7E35">
      <w:pPr>
        <w:spacing w:after="0" w:line="240" w:lineRule="auto"/>
        <w:ind w:firstLine="360"/>
        <w:rPr>
          <w:rFonts w:ascii="Times New Roman" w:hAnsi="Times New Roman" w:cs="Times New Roman"/>
        </w:rPr>
      </w:pPr>
      <w:r>
        <w:rPr>
          <w:rFonts w:ascii="Times New Roman" w:hAnsi="Times New Roman" w:cs="Times New Roman"/>
          <w:color w:val="000000" w:themeColor="text1"/>
        </w:rPr>
        <w:tab/>
      </w:r>
      <w:r w:rsidRPr="3FE25B5C" w:rsidR="00491AE7">
        <w:rPr>
          <w:rFonts w:ascii="Times New Roman" w:hAnsi="Times New Roman" w:cs="Times New Roman"/>
          <w:color w:val="000000" w:themeColor="text1"/>
        </w:rPr>
        <w:t>Program 3</w:t>
      </w:r>
      <w:r w:rsidRPr="006213CF" w:rsidR="00491AE7">
        <w:rPr>
          <w:rFonts w:ascii="Times New Roman" w:hAnsi="Times New Roman" w:cs="Times New Roman"/>
        </w:rPr>
        <w:t xml:space="preserve"> requirements impose elements nearly identical to those in OSHA’s PSM standard</w:t>
      </w:r>
      <w:r w:rsidRPr="006213CF" w:rsidR="00FF0FC8">
        <w:rPr>
          <w:rFonts w:ascii="Times New Roman" w:hAnsi="Times New Roman" w:cs="Times New Roman"/>
        </w:rPr>
        <w:t>.</w:t>
      </w:r>
      <w:r w:rsidRPr="006213CF" w:rsidR="00491AE7">
        <w:rPr>
          <w:rFonts w:ascii="Times New Roman" w:hAnsi="Times New Roman" w:cs="Times New Roman"/>
        </w:rPr>
        <w:t xml:space="preserve"> The </w:t>
      </w:r>
      <w:r w:rsidRPr="3FE25B5C" w:rsidR="00491AE7">
        <w:rPr>
          <w:rFonts w:ascii="Times New Roman" w:hAnsi="Times New Roman" w:cs="Times New Roman"/>
          <w:color w:val="000000" w:themeColor="text1"/>
        </w:rPr>
        <w:t>Program 3</w:t>
      </w:r>
      <w:r w:rsidRPr="006213CF" w:rsidR="00491AE7">
        <w:rPr>
          <w:rFonts w:ascii="Times New Roman" w:hAnsi="Times New Roman" w:cs="Times New Roman"/>
        </w:rPr>
        <w:t xml:space="preserve"> prevention program includes requirements relating to the following: </w:t>
      </w:r>
    </w:p>
    <w:p w:rsidRPr="006213CF" w:rsidR="006213CF" w:rsidP="006213CF" w:rsidRDefault="006213CF" w14:paraId="48E71AEB" w14:textId="77777777">
      <w:pPr>
        <w:spacing w:after="0" w:line="240" w:lineRule="auto"/>
        <w:ind w:firstLine="360"/>
        <w:rPr>
          <w:rFonts w:ascii="Times New Roman" w:hAnsi="Times New Roman" w:cs="Times New Roman"/>
        </w:rPr>
      </w:pPr>
    </w:p>
    <w:p w:rsidRPr="006213CF" w:rsidR="00093C0A" w:rsidP="006213CF" w:rsidRDefault="00093C0A" w14:paraId="01AB48FC"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Process safety information </w:t>
      </w:r>
    </w:p>
    <w:p w:rsidRPr="006213CF" w:rsidR="00093C0A" w:rsidP="006213CF" w:rsidRDefault="00093C0A" w14:paraId="231B9596" w14:textId="0D7778BB">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PHA </w:t>
      </w:r>
    </w:p>
    <w:p w:rsidRPr="006213CF" w:rsidR="00093C0A" w:rsidP="006213CF" w:rsidRDefault="00093C0A" w14:paraId="744656A5"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Operating procedures </w:t>
      </w:r>
    </w:p>
    <w:p w:rsidRPr="006213CF" w:rsidR="00093C0A" w:rsidP="006213CF" w:rsidRDefault="00093C0A" w14:paraId="4976DD82"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lastRenderedPageBreak/>
        <w:t xml:space="preserve">Training </w:t>
      </w:r>
    </w:p>
    <w:p w:rsidRPr="006213CF" w:rsidR="00093C0A" w:rsidP="006213CF" w:rsidRDefault="00093C0A" w14:paraId="701C9320"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Mechanical integrity </w:t>
      </w:r>
    </w:p>
    <w:p w:rsidRPr="006213CF" w:rsidR="00093C0A" w:rsidP="006213CF" w:rsidRDefault="00093C0A" w14:paraId="134516BB"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Management of change </w:t>
      </w:r>
    </w:p>
    <w:p w:rsidRPr="006213CF" w:rsidR="00093C0A" w:rsidP="006213CF" w:rsidRDefault="00093C0A" w14:paraId="5C85D12F"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Pre-startup review </w:t>
      </w:r>
    </w:p>
    <w:p w:rsidRPr="006213CF" w:rsidR="00093C0A" w:rsidP="006213CF" w:rsidRDefault="00093C0A" w14:paraId="14B6DC55"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Compliance audits </w:t>
      </w:r>
    </w:p>
    <w:p w:rsidRPr="006213CF" w:rsidR="00093C0A" w:rsidP="006213CF" w:rsidRDefault="00093C0A" w14:paraId="462F5DB4"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Incident investigations </w:t>
      </w:r>
    </w:p>
    <w:p w:rsidRPr="006213CF" w:rsidR="00093C0A" w:rsidP="006213CF" w:rsidRDefault="00093C0A" w14:paraId="222A9E68"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Employee participation </w:t>
      </w:r>
    </w:p>
    <w:p w:rsidRPr="006213CF" w:rsidR="00093C0A" w:rsidP="006213CF" w:rsidRDefault="00093C0A" w14:paraId="580BB15B" w14:textId="77777777">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Hot work permits, and </w:t>
      </w:r>
    </w:p>
    <w:p w:rsidR="00093C0A" w:rsidP="006213CF" w:rsidRDefault="00093C0A" w14:paraId="539FC507" w14:textId="650076EC">
      <w:pPr>
        <w:pStyle w:val="ListParagraph"/>
        <w:numPr>
          <w:ilvl w:val="0"/>
          <w:numId w:val="2"/>
        </w:numPr>
        <w:spacing w:after="0" w:line="240" w:lineRule="auto"/>
        <w:contextualSpacing w:val="0"/>
        <w:rPr>
          <w:rFonts w:ascii="Times New Roman" w:hAnsi="Times New Roman" w:cs="Times New Roman"/>
        </w:rPr>
      </w:pPr>
      <w:r w:rsidRPr="006213CF">
        <w:rPr>
          <w:rFonts w:ascii="Times New Roman" w:hAnsi="Times New Roman" w:cs="Times New Roman"/>
        </w:rPr>
        <w:t xml:space="preserve">Contractors. </w:t>
      </w:r>
    </w:p>
    <w:p w:rsidRPr="006213CF" w:rsidR="006213CF" w:rsidP="006213CF" w:rsidRDefault="006213CF" w14:paraId="5DDF157F" w14:textId="77777777">
      <w:pPr>
        <w:pStyle w:val="ListParagraph"/>
        <w:spacing w:after="0" w:line="240" w:lineRule="auto"/>
        <w:contextualSpacing w:val="0"/>
        <w:rPr>
          <w:rFonts w:ascii="Times New Roman" w:hAnsi="Times New Roman" w:cs="Times New Roman"/>
        </w:rPr>
      </w:pPr>
    </w:p>
    <w:p w:rsidR="00491AE7" w:rsidP="006213CF" w:rsidRDefault="005A354C" w14:paraId="2B325BC0" w14:textId="41955EAB">
      <w:pPr>
        <w:spacing w:after="0" w:line="240" w:lineRule="auto"/>
        <w:ind w:firstLine="360"/>
        <w:rPr>
          <w:rFonts w:ascii="Times New Roman" w:hAnsi="Times New Roman" w:cs="Times New Roman"/>
        </w:rPr>
      </w:pPr>
      <w:r>
        <w:rPr>
          <w:rFonts w:ascii="Times New Roman" w:hAnsi="Times New Roman" w:cs="Times New Roman"/>
          <w:color w:val="000000" w:themeColor="text1"/>
        </w:rPr>
        <w:tab/>
      </w:r>
      <w:r w:rsidRPr="3FE25B5C" w:rsidR="00491AE7">
        <w:rPr>
          <w:rFonts w:ascii="Times New Roman" w:hAnsi="Times New Roman" w:cs="Times New Roman"/>
          <w:color w:val="000000" w:themeColor="text1"/>
        </w:rPr>
        <w:t>Program 3</w:t>
      </w:r>
      <w:r w:rsidRPr="006213CF" w:rsidR="00491AE7">
        <w:rPr>
          <w:rFonts w:ascii="Times New Roman" w:hAnsi="Times New Roman" w:cs="Times New Roman"/>
        </w:rPr>
        <w:t xml:space="preserve"> provisions also impose the same hazard assessment, management, and emergency response requirements that are required for Program 2. </w:t>
      </w:r>
    </w:p>
    <w:p w:rsidRPr="006213CF" w:rsidR="006213CF" w:rsidP="006213CF" w:rsidRDefault="006213CF" w14:paraId="46509A67" w14:textId="77777777">
      <w:pPr>
        <w:spacing w:after="0" w:line="240" w:lineRule="auto"/>
        <w:ind w:firstLine="360"/>
        <w:rPr>
          <w:rFonts w:ascii="Times New Roman" w:hAnsi="Times New Roman" w:cs="Times New Roman"/>
        </w:rPr>
      </w:pPr>
    </w:p>
    <w:p w:rsidRPr="006213CF" w:rsidR="00491AE7" w:rsidP="006213CF" w:rsidRDefault="009244BC" w14:paraId="45F6A7EC" w14:textId="165DBBFA">
      <w:pPr>
        <w:spacing w:after="0" w:line="240" w:lineRule="auto"/>
        <w:ind w:firstLine="360"/>
        <w:rPr>
          <w:rFonts w:ascii="Times New Roman" w:hAnsi="Times New Roman" w:cs="Times New Roman"/>
        </w:rPr>
      </w:pPr>
      <w:r>
        <w:rPr>
          <w:rFonts w:ascii="Times New Roman" w:hAnsi="Times New Roman" w:cs="Times New Roman"/>
        </w:rPr>
        <w:tab/>
      </w:r>
      <w:r w:rsidRPr="006213CF" w:rsidR="00491AE7">
        <w:rPr>
          <w:rFonts w:ascii="Times New Roman" w:hAnsi="Times New Roman" w:cs="Times New Roman"/>
        </w:rPr>
        <w:t>The following flow chart demonstrates how facilities determine the program level to which they are subject:</w:t>
      </w:r>
      <w:r w:rsidRPr="006213CF" w:rsidR="00491AE7">
        <w:rPr>
          <w:rStyle w:val="FootnoteReference"/>
          <w:rFonts w:ascii="Times New Roman" w:hAnsi="Times New Roman" w:cs="Times New Roman"/>
        </w:rPr>
        <w:footnoteReference w:id="8"/>
      </w:r>
    </w:p>
    <w:p w:rsidRPr="006213CF" w:rsidR="00093C0A" w:rsidP="00BF42A8" w:rsidRDefault="00093C0A" w14:paraId="40ECFE7D" w14:textId="59740F3D">
      <w:pPr>
        <w:spacing w:after="0" w:line="240" w:lineRule="auto"/>
        <w:jc w:val="center"/>
        <w:rPr>
          <w:rFonts w:ascii="Times New Roman" w:hAnsi="Times New Roman" w:cs="Times New Roman"/>
        </w:rPr>
      </w:pPr>
      <w:r w:rsidRPr="006213CF">
        <w:rPr>
          <w:rFonts w:ascii="Times New Roman" w:hAnsi="Times New Roman" w:cs="Times New Roman"/>
          <w:noProof/>
        </w:rPr>
        <w:drawing>
          <wp:inline distT="0" distB="0" distL="0" distR="0" wp14:anchorId="0B4AD622" wp14:editId="51058B8D">
            <wp:extent cx="5023108" cy="3295819"/>
            <wp:effectExtent l="0" t="0" r="635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023108" cy="3295819"/>
                    </a:xfrm>
                    <a:prstGeom prst="rect">
                      <a:avLst/>
                    </a:prstGeom>
                  </pic:spPr>
                </pic:pic>
              </a:graphicData>
            </a:graphic>
          </wp:inline>
        </w:drawing>
      </w:r>
    </w:p>
    <w:p w:rsidRPr="006213CF" w:rsidR="00BF42A8" w:rsidP="00BF42A8" w:rsidRDefault="00BF42A8" w14:paraId="5479720C" w14:textId="77777777">
      <w:pPr>
        <w:spacing w:after="0" w:line="240" w:lineRule="auto"/>
        <w:jc w:val="center"/>
        <w:rPr>
          <w:rFonts w:ascii="Times New Roman" w:hAnsi="Times New Roman" w:cs="Times New Roman"/>
        </w:rPr>
      </w:pPr>
    </w:p>
    <w:p w:rsidRPr="006213CF" w:rsidR="00093C0A" w:rsidP="006213CF" w:rsidRDefault="009244BC" w14:paraId="16B1D5AB" w14:textId="3BCE1F49">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Facilities that are exempt from the OSHA PSM standard may be subject to EPA requirements under the RMP rule. This occurs for several reasons. First, the lists of substances regulated are not identical; for example, EPA lists aqueous ammonia at any solution that is 20 percent ammonia or more</w:t>
      </w:r>
      <w:r w:rsidRPr="006213CF" w:rsidR="00A42830">
        <w:rPr>
          <w:rFonts w:ascii="Times New Roman" w:hAnsi="Times New Roman" w:cs="Times New Roman"/>
        </w:rPr>
        <w:t xml:space="preserve"> while</w:t>
      </w:r>
      <w:r w:rsidRPr="006213CF" w:rsidR="00093C0A">
        <w:rPr>
          <w:rFonts w:ascii="Times New Roman" w:hAnsi="Times New Roman" w:cs="Times New Roman"/>
        </w:rPr>
        <w:t xml:space="preserve"> OSHA covers it only at concentrations of 44 percent or more. Second, because OSHA has no authority over State and local government employees, the OSHA PSM standard does not apply to </w:t>
      </w:r>
      <w:proofErr w:type="gramStart"/>
      <w:r w:rsidRPr="006213CF" w:rsidR="00093C0A">
        <w:rPr>
          <w:rFonts w:ascii="Times New Roman" w:hAnsi="Times New Roman" w:cs="Times New Roman"/>
        </w:rPr>
        <w:t>publicly</w:t>
      </w:r>
      <w:r w:rsidRPr="006213CF" w:rsidR="00A42830">
        <w:rPr>
          <w:rFonts w:ascii="Times New Roman" w:hAnsi="Times New Roman" w:cs="Times New Roman"/>
        </w:rPr>
        <w:t>-</w:t>
      </w:r>
      <w:r w:rsidRPr="006213CF" w:rsidR="00093C0A">
        <w:rPr>
          <w:rFonts w:ascii="Times New Roman" w:hAnsi="Times New Roman" w:cs="Times New Roman"/>
        </w:rPr>
        <w:t>owned</w:t>
      </w:r>
      <w:proofErr w:type="gramEnd"/>
      <w:r w:rsidRPr="006213CF" w:rsidR="00093C0A">
        <w:rPr>
          <w:rFonts w:ascii="Times New Roman" w:hAnsi="Times New Roman" w:cs="Times New Roman"/>
        </w:rPr>
        <w:t xml:space="preserve"> facilities (mainly water and wastewater treatment systems) in States where </w:t>
      </w:r>
      <w:r w:rsidRPr="006213CF" w:rsidR="0084636B">
        <w:rPr>
          <w:rFonts w:ascii="Times New Roman" w:hAnsi="Times New Roman" w:cs="Times New Roman"/>
        </w:rPr>
        <w:t>F</w:t>
      </w:r>
      <w:r w:rsidRPr="006213CF" w:rsidR="00093C0A">
        <w:rPr>
          <w:rFonts w:ascii="Times New Roman" w:hAnsi="Times New Roman" w:cs="Times New Roman"/>
        </w:rPr>
        <w:t>ederal OSHA implements and enforces the standard (about half the States). Where States implement and enforce OSHA standards (referred to as State-plan States), the State is required to impose OSHA standards on State and local government employees as a condition of delegation.</w:t>
      </w:r>
      <w:r w:rsidRPr="006213CF" w:rsidR="00A95FC1">
        <w:rPr>
          <w:rStyle w:val="FootnoteReference"/>
          <w:rFonts w:ascii="Times New Roman" w:hAnsi="Times New Roman" w:cs="Times New Roman"/>
        </w:rPr>
        <w:footnoteReference w:id="9"/>
      </w:r>
      <w:r w:rsidRPr="006213CF" w:rsidR="00E91048">
        <w:rPr>
          <w:rStyle w:val="FootnoteTextChar"/>
          <w:rFonts w:ascii="Times New Roman" w:hAnsi="Times New Roman" w:cs="Times New Roman"/>
          <w:sz w:val="22"/>
          <w:szCs w:val="22"/>
          <w:vertAlign w:val="superscript"/>
        </w:rPr>
        <w:t xml:space="preserve"> </w:t>
      </w:r>
      <w:r w:rsidRPr="006213CF" w:rsidR="00093C0A">
        <w:rPr>
          <w:rFonts w:ascii="Times New Roman" w:hAnsi="Times New Roman" w:cs="Times New Roman"/>
        </w:rPr>
        <w:t xml:space="preserve">Last, regulatory </w:t>
      </w:r>
      <w:r w:rsidRPr="006213CF" w:rsidR="00093C0A">
        <w:rPr>
          <w:rFonts w:ascii="Times New Roman" w:hAnsi="Times New Roman" w:cs="Times New Roman"/>
        </w:rPr>
        <w:lastRenderedPageBreak/>
        <w:t xml:space="preserve">exemptions are not identical; for example, the OSHA PSM standard exempts normally unoccupied remote facilities, but the RMP rule does not. </w:t>
      </w:r>
    </w:p>
    <w:p w:rsidR="006213CF" w:rsidP="006213CF" w:rsidRDefault="006213CF" w14:paraId="2CD94AE3" w14:textId="77777777">
      <w:pPr>
        <w:keepNext/>
        <w:spacing w:after="0" w:line="240" w:lineRule="auto"/>
        <w:rPr>
          <w:rFonts w:ascii="Times New Roman" w:hAnsi="Times New Roman" w:cs="Times New Roman"/>
          <w:i/>
        </w:rPr>
      </w:pPr>
    </w:p>
    <w:p w:rsidR="001225EB" w:rsidP="001225EB" w:rsidRDefault="00093C0A" w14:paraId="5394557B" w14:textId="77777777">
      <w:pPr>
        <w:keepNext/>
        <w:spacing w:after="0" w:line="240" w:lineRule="auto"/>
        <w:rPr>
          <w:rFonts w:ascii="Times New Roman" w:hAnsi="Times New Roman" w:cs="Times New Roman"/>
          <w:i/>
        </w:rPr>
      </w:pPr>
      <w:r w:rsidRPr="006213CF">
        <w:rPr>
          <w:rFonts w:ascii="Times New Roman" w:hAnsi="Times New Roman" w:cs="Times New Roman"/>
          <w:i/>
        </w:rPr>
        <w:t>Other Recent Rulemakings and Related Actions</w:t>
      </w:r>
    </w:p>
    <w:p w:rsidR="001225EB" w:rsidP="001225EB" w:rsidRDefault="009244BC" w14:paraId="6A3B1CD9" w14:textId="6B19AC0D">
      <w:pPr>
        <w:keepNext/>
        <w:spacing w:after="0" w:line="240" w:lineRule="auto"/>
        <w:rPr>
          <w:rFonts w:ascii="Times New Roman" w:hAnsi="Times New Roman" w:cs="Times New Roman"/>
          <w:i/>
        </w:rPr>
      </w:pPr>
      <w:r>
        <w:rPr>
          <w:rFonts w:ascii="Times New Roman" w:hAnsi="Times New Roman" w:cs="Times New Roman"/>
        </w:rPr>
        <w:tab/>
      </w:r>
      <w:r w:rsidRPr="006213CF" w:rsidR="00093C0A">
        <w:rPr>
          <w:rFonts w:ascii="Times New Roman" w:hAnsi="Times New Roman" w:cs="Times New Roman"/>
        </w:rPr>
        <w:t xml:space="preserve">In response to catastrophic chemical facility incidents such as the </w:t>
      </w:r>
      <w:r w:rsidRPr="006213CF" w:rsidR="00A42830">
        <w:rPr>
          <w:rFonts w:ascii="Times New Roman" w:hAnsi="Times New Roman" w:cs="Times New Roman"/>
        </w:rPr>
        <w:t xml:space="preserve">2013 </w:t>
      </w:r>
      <w:r w:rsidRPr="006213CF" w:rsidR="00BD2B29">
        <w:rPr>
          <w:rFonts w:ascii="Times New Roman" w:hAnsi="Times New Roman" w:cs="Times New Roman"/>
        </w:rPr>
        <w:t xml:space="preserve">explosion at the </w:t>
      </w:r>
      <w:r w:rsidRPr="006213CF" w:rsidR="00093C0A">
        <w:rPr>
          <w:rFonts w:ascii="Times New Roman" w:hAnsi="Times New Roman" w:cs="Times New Roman"/>
        </w:rPr>
        <w:t xml:space="preserve">West Texas </w:t>
      </w:r>
      <w:r w:rsidRPr="006213CF" w:rsidR="00BD2B29">
        <w:rPr>
          <w:rFonts w:ascii="Times New Roman" w:hAnsi="Times New Roman" w:cs="Times New Roman"/>
        </w:rPr>
        <w:t>Fertilizer Company in</w:t>
      </w:r>
      <w:r w:rsidRPr="006213CF" w:rsidR="00093C0A">
        <w:rPr>
          <w:rFonts w:ascii="Times New Roman" w:hAnsi="Times New Roman" w:cs="Times New Roman"/>
        </w:rPr>
        <w:t xml:space="preserve"> West, </w:t>
      </w:r>
      <w:proofErr w:type="gramStart"/>
      <w:r w:rsidRPr="006213CF" w:rsidR="00093C0A">
        <w:rPr>
          <w:rFonts w:ascii="Times New Roman" w:hAnsi="Times New Roman" w:cs="Times New Roman"/>
        </w:rPr>
        <w:t>Texas</w:t>
      </w:r>
      <w:proofErr w:type="gramEnd"/>
      <w:r w:rsidRPr="006213CF" w:rsidR="00093C0A">
        <w:rPr>
          <w:rFonts w:ascii="Times New Roman" w:hAnsi="Times New Roman" w:cs="Times New Roman"/>
        </w:rPr>
        <w:t xml:space="preserve"> and others,</w:t>
      </w:r>
      <w:r w:rsidRPr="006213CF" w:rsidR="00FF54E3">
        <w:rPr>
          <w:rStyle w:val="FootnoteReference"/>
          <w:rFonts w:ascii="Times New Roman" w:hAnsi="Times New Roman" w:cs="Times New Roman"/>
        </w:rPr>
        <w:footnoteReference w:id="10"/>
      </w:r>
      <w:r w:rsidRPr="006213CF" w:rsidR="00093C0A">
        <w:rPr>
          <w:rFonts w:ascii="Times New Roman" w:hAnsi="Times New Roman" w:cs="Times New Roman"/>
        </w:rPr>
        <w:t xml:space="preserve"> in 2013, President Obama issued </w:t>
      </w:r>
      <w:r w:rsidR="00843659">
        <w:rPr>
          <w:rFonts w:ascii="Times New Roman" w:hAnsi="Times New Roman" w:cs="Times New Roman"/>
        </w:rPr>
        <w:t>E.O.</w:t>
      </w:r>
      <w:r w:rsidRPr="006213CF" w:rsidR="00093C0A">
        <w:rPr>
          <w:rFonts w:ascii="Times New Roman" w:hAnsi="Times New Roman" w:cs="Times New Roman"/>
        </w:rPr>
        <w:t xml:space="preserve"> 13650, entitled Improving Chemical Facility Safety and Security.</w:t>
      </w:r>
      <w:r w:rsidRPr="006213CF" w:rsidR="002F52A1">
        <w:rPr>
          <w:rStyle w:val="FootnoteReference"/>
          <w:rFonts w:ascii="Times New Roman" w:hAnsi="Times New Roman" w:cs="Times New Roman"/>
        </w:rPr>
        <w:footnoteReference w:id="11"/>
      </w:r>
      <w:r w:rsidRPr="006213CF" w:rsidR="00093C0A">
        <w:rPr>
          <w:rFonts w:ascii="Times New Roman" w:hAnsi="Times New Roman" w:cs="Times New Roman"/>
        </w:rPr>
        <w:t xml:space="preserve"> This </w:t>
      </w:r>
      <w:r w:rsidR="00843659">
        <w:rPr>
          <w:rFonts w:ascii="Times New Roman" w:hAnsi="Times New Roman" w:cs="Times New Roman"/>
        </w:rPr>
        <w:t>E.O.</w:t>
      </w:r>
      <w:r w:rsidRPr="006213CF" w:rsidR="00093C0A">
        <w:rPr>
          <w:rFonts w:ascii="Times New Roman" w:hAnsi="Times New Roman" w:cs="Times New Roman"/>
        </w:rPr>
        <w:t xml:space="preserve"> required EPA and OSHA to consider whether and how to update and modernize the RMP rule and PSM standard, among other items. Both EPA and OSHA conducted public listening sessions</w:t>
      </w:r>
      <w:r w:rsidRPr="006213CF" w:rsidR="00274F68">
        <w:rPr>
          <w:rStyle w:val="FootnoteReference"/>
          <w:rFonts w:ascii="Times New Roman" w:hAnsi="Times New Roman" w:cs="Times New Roman"/>
        </w:rPr>
        <w:footnoteReference w:id="12"/>
      </w:r>
      <w:r w:rsidRPr="006213CF" w:rsidR="00093C0A">
        <w:rPr>
          <w:rFonts w:ascii="Times New Roman" w:hAnsi="Times New Roman" w:cs="Times New Roman"/>
          <w:vertAlign w:val="superscript"/>
        </w:rPr>
        <w:t xml:space="preserve"> </w:t>
      </w:r>
      <w:r w:rsidRPr="006213CF" w:rsidR="00093C0A">
        <w:rPr>
          <w:rFonts w:ascii="Times New Roman" w:hAnsi="Times New Roman" w:cs="Times New Roman"/>
        </w:rPr>
        <w:t>and issued requests for information (RFI) to seek input from the public and the regulated community on potential revisions to the rules.</w:t>
      </w:r>
      <w:r w:rsidRPr="006213CF" w:rsidR="004F7ED4">
        <w:rPr>
          <w:rStyle w:val="FootnoteReference"/>
          <w:rFonts w:ascii="Times New Roman" w:hAnsi="Times New Roman" w:cs="Times New Roman"/>
        </w:rPr>
        <w:footnoteReference w:id="13"/>
      </w:r>
      <w:r w:rsidRPr="006213CF" w:rsidR="004F7ED4">
        <w:rPr>
          <w:rFonts w:ascii="Times New Roman" w:hAnsi="Times New Roman" w:cs="Times New Roman"/>
        </w:rPr>
        <w:t xml:space="preserve"> </w:t>
      </w:r>
      <w:r w:rsidRPr="006213CF" w:rsidR="00093C0A">
        <w:rPr>
          <w:rFonts w:ascii="Times New Roman" w:hAnsi="Times New Roman" w:cs="Times New Roman"/>
        </w:rPr>
        <w:t>Based on feedback received from the RFIs and public listening sessions, EPA subsequently published a Notice of Proposed Rulemaking (NPRM) on March 14, 2016 (81 FR 13637</w:t>
      </w:r>
      <w:r w:rsidRPr="006213CF" w:rsidR="00722FA7">
        <w:rPr>
          <w:rFonts w:ascii="Times New Roman" w:hAnsi="Times New Roman" w:cs="Times New Roman"/>
        </w:rPr>
        <w:t>)</w:t>
      </w:r>
      <w:r w:rsidRPr="006213CF" w:rsidR="00093C0A">
        <w:rPr>
          <w:rFonts w:ascii="Times New Roman" w:hAnsi="Times New Roman" w:cs="Times New Roman"/>
        </w:rPr>
        <w:t xml:space="preserve">. The </w:t>
      </w:r>
      <w:r w:rsidR="00DA51DA">
        <w:rPr>
          <w:rFonts w:ascii="Times New Roman" w:hAnsi="Times New Roman" w:cs="Times New Roman"/>
        </w:rPr>
        <w:t>a</w:t>
      </w:r>
      <w:r w:rsidRPr="006213CF" w:rsidR="00093C0A">
        <w:rPr>
          <w:rFonts w:ascii="Times New Roman" w:hAnsi="Times New Roman" w:cs="Times New Roman"/>
        </w:rPr>
        <w:t xml:space="preserve">mendments rule was the result of EPA’s consideration of the public comments received on the RFI and NPRM, recommendations from the CSB, comments received during </w:t>
      </w:r>
      <w:r w:rsidR="00843659">
        <w:rPr>
          <w:rFonts w:ascii="Times New Roman" w:hAnsi="Times New Roman" w:cs="Times New Roman"/>
        </w:rPr>
        <w:t>E.O.</w:t>
      </w:r>
      <w:r w:rsidRPr="006213CF" w:rsidR="00093C0A">
        <w:rPr>
          <w:rFonts w:ascii="Times New Roman" w:hAnsi="Times New Roman" w:cs="Times New Roman"/>
        </w:rPr>
        <w:t xml:space="preserve"> 13650 listening sessions, and information gained by EPA through inspection of RMP facilities and enforcement of the rule over the previous 17 years. The final </w:t>
      </w:r>
      <w:r w:rsidR="0017702C">
        <w:rPr>
          <w:rFonts w:ascii="Times New Roman" w:hAnsi="Times New Roman" w:cs="Times New Roman"/>
        </w:rPr>
        <w:t>a</w:t>
      </w:r>
      <w:r w:rsidRPr="006213CF" w:rsidR="00093C0A">
        <w:rPr>
          <w:rFonts w:ascii="Times New Roman" w:hAnsi="Times New Roman" w:cs="Times New Roman"/>
        </w:rPr>
        <w:t xml:space="preserve">mendments rule was published in the </w:t>
      </w:r>
      <w:r w:rsidRPr="006213CF" w:rsidR="00093C0A">
        <w:rPr>
          <w:rFonts w:ascii="Times New Roman" w:hAnsi="Times New Roman" w:cs="Times New Roman"/>
          <w:i/>
        </w:rPr>
        <w:t>Federal Register</w:t>
      </w:r>
      <w:r w:rsidRPr="006213CF" w:rsidR="00093C0A">
        <w:rPr>
          <w:rFonts w:ascii="Times New Roman" w:hAnsi="Times New Roman" w:cs="Times New Roman"/>
        </w:rPr>
        <w:t xml:space="preserve"> on January 13, 2017 (82 FR 4594</w:t>
      </w:r>
      <w:bookmarkStart w:name="_Hlk103868272" w:id="17"/>
      <w:r w:rsidR="00C0240A">
        <w:rPr>
          <w:rFonts w:ascii="Times New Roman" w:hAnsi="Times New Roman" w:cs="Times New Roman"/>
        </w:rPr>
        <w:t xml:space="preserve">, </w:t>
      </w:r>
      <w:r w:rsidRPr="00D002B4" w:rsidR="00C0240A">
        <w:rPr>
          <w:rFonts w:ascii="Times New Roman" w:hAnsi="Times New Roman" w:cs="Times New Roman"/>
        </w:rPr>
        <w:t>hereafter referred to as the “2017 amendments rule”</w:t>
      </w:r>
      <w:bookmarkEnd w:id="17"/>
      <w:r w:rsidRPr="00D002B4" w:rsidR="00093C0A">
        <w:rPr>
          <w:rFonts w:ascii="Times New Roman" w:hAnsi="Times New Roman" w:cs="Times New Roman"/>
        </w:rPr>
        <w:t>).</w:t>
      </w:r>
    </w:p>
    <w:p w:rsidR="001225EB" w:rsidP="001225EB" w:rsidRDefault="001225EB" w14:paraId="28234937" w14:textId="77777777">
      <w:pPr>
        <w:keepNext/>
        <w:spacing w:after="0" w:line="240" w:lineRule="auto"/>
        <w:rPr>
          <w:rFonts w:ascii="Times New Roman" w:hAnsi="Times New Roman" w:cs="Times New Roman"/>
          <w:i/>
        </w:rPr>
      </w:pPr>
    </w:p>
    <w:p w:rsidRPr="001225EB" w:rsidR="00093C0A" w:rsidP="001225EB" w:rsidRDefault="009244BC" w14:paraId="669ACDF8" w14:textId="4850B24A">
      <w:pPr>
        <w:keepNext/>
        <w:spacing w:after="0" w:line="240" w:lineRule="auto"/>
        <w:rPr>
          <w:rFonts w:ascii="Times New Roman" w:hAnsi="Times New Roman" w:cs="Times New Roman"/>
          <w:i/>
        </w:rPr>
      </w:pPr>
      <w:r>
        <w:rPr>
          <w:rFonts w:ascii="Times New Roman" w:hAnsi="Times New Roman" w:cs="Times New Roman"/>
        </w:rPr>
        <w:tab/>
      </w:r>
      <w:r w:rsidRPr="006213CF" w:rsidR="00093C0A">
        <w:rPr>
          <w:rFonts w:ascii="Times New Roman" w:hAnsi="Times New Roman" w:cs="Times New Roman"/>
        </w:rPr>
        <w:t xml:space="preserve">In response to the </w:t>
      </w:r>
      <w:r w:rsidR="008030D0">
        <w:rPr>
          <w:rFonts w:ascii="Times New Roman" w:hAnsi="Times New Roman" w:cs="Times New Roman"/>
        </w:rPr>
        <w:t>2017 a</w:t>
      </w:r>
      <w:r w:rsidRPr="006213CF" w:rsidR="00093C0A">
        <w:rPr>
          <w:rFonts w:ascii="Times New Roman" w:hAnsi="Times New Roman" w:cs="Times New Roman"/>
        </w:rPr>
        <w:t>mendments rule, EPA received three petitions for reconsideration from stakeholders,</w:t>
      </w:r>
      <w:r w:rsidRPr="006213CF" w:rsidR="00093C0A">
        <w:rPr>
          <w:rStyle w:val="FootnoteReference"/>
          <w:rFonts w:ascii="Times New Roman" w:hAnsi="Times New Roman" w:cs="Times New Roman"/>
        </w:rPr>
        <w:footnoteReference w:id="14"/>
      </w:r>
      <w:r w:rsidRPr="006213CF" w:rsidR="00F12B05">
        <w:rPr>
          <w:rFonts w:ascii="Times New Roman" w:hAnsi="Times New Roman" w:cs="Times New Roman"/>
          <w:vertAlign w:val="superscript"/>
        </w:rPr>
        <w:t>,</w:t>
      </w:r>
      <w:r w:rsidRPr="006213CF" w:rsidR="00AC51BB">
        <w:rPr>
          <w:rStyle w:val="FootnoteReference"/>
          <w:rFonts w:ascii="Times New Roman" w:hAnsi="Times New Roman" w:cs="Times New Roman"/>
        </w:rPr>
        <w:footnoteReference w:id="15"/>
      </w:r>
      <w:r w:rsidRPr="006213CF" w:rsidR="00875242">
        <w:rPr>
          <w:rFonts w:ascii="Times New Roman" w:hAnsi="Times New Roman" w:cs="Times New Roman"/>
          <w:vertAlign w:val="superscript"/>
        </w:rPr>
        <w:t>,</w:t>
      </w:r>
      <w:r w:rsidRPr="006213CF" w:rsidR="00F12B05">
        <w:rPr>
          <w:rStyle w:val="FootnoteReference"/>
          <w:rFonts w:ascii="Times New Roman" w:hAnsi="Times New Roman" w:cs="Times New Roman"/>
        </w:rPr>
        <w:footnoteReference w:id="16"/>
      </w:r>
      <w:r w:rsidRPr="006213CF" w:rsidR="00875242">
        <w:rPr>
          <w:rFonts w:ascii="Times New Roman" w:hAnsi="Times New Roman" w:cs="Times New Roman"/>
          <w:vertAlign w:val="superscript"/>
        </w:rPr>
        <w:t xml:space="preserve"> </w:t>
      </w:r>
      <w:r w:rsidRPr="006213CF" w:rsidR="00093C0A">
        <w:rPr>
          <w:rFonts w:ascii="Times New Roman" w:hAnsi="Times New Roman" w:cs="Times New Roman"/>
        </w:rPr>
        <w:t xml:space="preserve">expressing concerns and requesting a delay or stay in the rule’s implementation. On May 30, 2018, EPA published a proposed rule reconsidering the </w:t>
      </w:r>
      <w:r w:rsidR="008030D0">
        <w:rPr>
          <w:rFonts w:ascii="Times New Roman" w:hAnsi="Times New Roman" w:cs="Times New Roman"/>
        </w:rPr>
        <w:t>2017 a</w:t>
      </w:r>
      <w:r w:rsidRPr="006213CF" w:rsidR="00093C0A">
        <w:rPr>
          <w:rFonts w:ascii="Times New Roman" w:hAnsi="Times New Roman" w:cs="Times New Roman"/>
        </w:rPr>
        <w:t xml:space="preserve">mendments rule. The final </w:t>
      </w:r>
      <w:r w:rsidR="0017702C">
        <w:rPr>
          <w:rFonts w:ascii="Times New Roman" w:hAnsi="Times New Roman" w:cs="Times New Roman"/>
        </w:rPr>
        <w:t>r</w:t>
      </w:r>
      <w:r w:rsidRPr="006213CF" w:rsidR="00093C0A">
        <w:rPr>
          <w:rFonts w:ascii="Times New Roman" w:hAnsi="Times New Roman" w:cs="Times New Roman"/>
        </w:rPr>
        <w:t xml:space="preserve">econsideration rule was published in the </w:t>
      </w:r>
      <w:r w:rsidRPr="006213CF" w:rsidR="00093C0A">
        <w:rPr>
          <w:rFonts w:ascii="Times New Roman" w:hAnsi="Times New Roman" w:cs="Times New Roman"/>
          <w:i/>
        </w:rPr>
        <w:t>Federal Register</w:t>
      </w:r>
      <w:r w:rsidRPr="006213CF" w:rsidR="00093C0A">
        <w:rPr>
          <w:rFonts w:ascii="Times New Roman" w:hAnsi="Times New Roman" w:cs="Times New Roman"/>
        </w:rPr>
        <w:t xml:space="preserve"> on December 19, 2019 (84 FR 69834</w:t>
      </w:r>
      <w:r w:rsidR="001338FD">
        <w:rPr>
          <w:rFonts w:ascii="Times New Roman" w:hAnsi="Times New Roman" w:cs="Times New Roman"/>
        </w:rPr>
        <w:t xml:space="preserve">, </w:t>
      </w:r>
      <w:r w:rsidRPr="00D002B4" w:rsidR="001338FD">
        <w:rPr>
          <w:rFonts w:ascii="Times New Roman" w:hAnsi="Times New Roman" w:cs="Times New Roman"/>
        </w:rPr>
        <w:t>hereafter referred to as the “201</w:t>
      </w:r>
      <w:r w:rsidR="001338FD">
        <w:rPr>
          <w:rFonts w:ascii="Times New Roman" w:hAnsi="Times New Roman" w:cs="Times New Roman"/>
        </w:rPr>
        <w:t>9</w:t>
      </w:r>
      <w:r w:rsidRPr="00D002B4" w:rsidR="001338FD">
        <w:rPr>
          <w:rFonts w:ascii="Times New Roman" w:hAnsi="Times New Roman" w:cs="Times New Roman"/>
        </w:rPr>
        <w:t xml:space="preserve"> </w:t>
      </w:r>
      <w:r w:rsidR="001338FD">
        <w:rPr>
          <w:rFonts w:ascii="Times New Roman" w:hAnsi="Times New Roman" w:cs="Times New Roman"/>
        </w:rPr>
        <w:t>recons</w:t>
      </w:r>
      <w:r w:rsidR="00C0240A">
        <w:rPr>
          <w:rFonts w:ascii="Times New Roman" w:hAnsi="Times New Roman" w:cs="Times New Roman"/>
        </w:rPr>
        <w:t>i</w:t>
      </w:r>
      <w:r w:rsidR="001338FD">
        <w:rPr>
          <w:rFonts w:ascii="Times New Roman" w:hAnsi="Times New Roman" w:cs="Times New Roman"/>
        </w:rPr>
        <w:t>deration</w:t>
      </w:r>
      <w:r w:rsidRPr="00D002B4" w:rsidR="001338FD">
        <w:rPr>
          <w:rFonts w:ascii="Times New Roman" w:hAnsi="Times New Roman" w:cs="Times New Roman"/>
        </w:rPr>
        <w:t xml:space="preserve"> rule”</w:t>
      </w:r>
      <w:r w:rsidRPr="006213CF" w:rsidR="00093C0A">
        <w:rPr>
          <w:rFonts w:ascii="Times New Roman" w:hAnsi="Times New Roman" w:cs="Times New Roman"/>
        </w:rPr>
        <w:t>).</w:t>
      </w:r>
    </w:p>
    <w:p w:rsidR="006213CF" w:rsidP="006213CF" w:rsidRDefault="006213CF" w14:paraId="575FE665" w14:textId="77777777">
      <w:pPr>
        <w:spacing w:after="0" w:line="240" w:lineRule="auto"/>
        <w:rPr>
          <w:rFonts w:ascii="Times New Roman" w:hAnsi="Times New Roman" w:cs="Times New Roman"/>
          <w:i/>
        </w:rPr>
      </w:pPr>
    </w:p>
    <w:p w:rsidR="00093C0A" w:rsidP="006213CF" w:rsidRDefault="00093C0A" w14:paraId="2A24CE39" w14:textId="77777777">
      <w:pPr>
        <w:spacing w:after="0" w:line="240" w:lineRule="auto"/>
        <w:rPr>
          <w:rFonts w:ascii="Times New Roman" w:hAnsi="Times New Roman" w:cs="Times New Roman"/>
        </w:rPr>
      </w:pPr>
      <w:r w:rsidRPr="006213CF">
        <w:rPr>
          <w:rFonts w:ascii="Times New Roman" w:hAnsi="Times New Roman" w:cs="Times New Roman"/>
          <w:i/>
        </w:rPr>
        <w:t>Recent Events and Rationale Leading to Proposed Rule</w:t>
      </w:r>
    </w:p>
    <w:p w:rsidR="00093C0A" w:rsidP="006213CF" w:rsidRDefault="009244BC" w14:paraId="5A25A5FC" w14:textId="2D740DF0">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 xml:space="preserve">On January 20, 2021, President Biden issued </w:t>
      </w:r>
      <w:r w:rsidR="00843659">
        <w:rPr>
          <w:rFonts w:ascii="Times New Roman" w:hAnsi="Times New Roman" w:cs="Times New Roman"/>
        </w:rPr>
        <w:t>E.O.</w:t>
      </w:r>
      <w:r w:rsidRPr="006213CF" w:rsidR="00093C0A">
        <w:rPr>
          <w:rFonts w:ascii="Times New Roman" w:hAnsi="Times New Roman" w:cs="Times New Roman"/>
        </w:rPr>
        <w:t xml:space="preserve"> 13990, entitled Protecting Public Health and the Environment and Restoring Science to Tackle the Climate Crisis.</w:t>
      </w:r>
      <w:r w:rsidRPr="006213CF" w:rsidR="00FC2D52">
        <w:rPr>
          <w:rStyle w:val="FootnoteReference"/>
          <w:rFonts w:ascii="Times New Roman" w:hAnsi="Times New Roman" w:cs="Times New Roman"/>
        </w:rPr>
        <w:footnoteReference w:id="17"/>
      </w:r>
      <w:r w:rsidRPr="006213CF" w:rsidR="00093C0A">
        <w:rPr>
          <w:rFonts w:ascii="Times New Roman" w:hAnsi="Times New Roman" w:cs="Times New Roman"/>
        </w:rPr>
        <w:t xml:space="preserve"> E</w:t>
      </w:r>
      <w:r w:rsidRPr="006213CF" w:rsidR="007407B3">
        <w:rPr>
          <w:rFonts w:ascii="Times New Roman" w:hAnsi="Times New Roman" w:cs="Times New Roman"/>
        </w:rPr>
        <w:t xml:space="preserve">xecutive </w:t>
      </w:r>
      <w:r w:rsidRPr="006213CF" w:rsidR="00093C0A">
        <w:rPr>
          <w:rFonts w:ascii="Times New Roman" w:hAnsi="Times New Roman" w:cs="Times New Roman"/>
        </w:rPr>
        <w:t>O</w:t>
      </w:r>
      <w:r w:rsidRPr="006213CF" w:rsidR="007407B3">
        <w:rPr>
          <w:rFonts w:ascii="Times New Roman" w:hAnsi="Times New Roman" w:cs="Times New Roman"/>
        </w:rPr>
        <w:t>rder</w:t>
      </w:r>
      <w:r w:rsidRPr="006213CF" w:rsidR="00093C0A">
        <w:rPr>
          <w:rFonts w:ascii="Times New Roman" w:hAnsi="Times New Roman" w:cs="Times New Roman"/>
        </w:rPr>
        <w:t xml:space="preserve"> 13990 directed Federal agencies to review </w:t>
      </w:r>
      <w:r w:rsidR="005C1B6F">
        <w:rPr>
          <w:rFonts w:ascii="Times New Roman" w:hAnsi="Times New Roman" w:cs="Times New Roman"/>
        </w:rPr>
        <w:t>current</w:t>
      </w:r>
      <w:r w:rsidRPr="006213CF" w:rsidR="00093C0A">
        <w:rPr>
          <w:rFonts w:ascii="Times New Roman" w:hAnsi="Times New Roman" w:cs="Times New Roman"/>
        </w:rPr>
        <w:t xml:space="preserve"> regulations and take action to address priorities established by the current Administration, including bolstering resilience to the impacts of climate </w:t>
      </w:r>
      <w:proofErr w:type="gramStart"/>
      <w:r w:rsidRPr="006213CF" w:rsidR="00093C0A">
        <w:rPr>
          <w:rFonts w:ascii="Times New Roman" w:hAnsi="Times New Roman" w:cs="Times New Roman"/>
        </w:rPr>
        <w:t>change</w:t>
      </w:r>
      <w:proofErr w:type="gramEnd"/>
      <w:r w:rsidRPr="006213CF" w:rsidR="00093C0A">
        <w:rPr>
          <w:rFonts w:ascii="Times New Roman" w:hAnsi="Times New Roman" w:cs="Times New Roman"/>
        </w:rPr>
        <w:t xml:space="preserve"> and prioritizing environmental justice. Though the </w:t>
      </w:r>
      <w:r w:rsidR="00843659">
        <w:rPr>
          <w:rFonts w:ascii="Times New Roman" w:hAnsi="Times New Roman" w:cs="Times New Roman"/>
        </w:rPr>
        <w:t>E.O.</w:t>
      </w:r>
      <w:r w:rsidRPr="006213CF" w:rsidR="00093C0A">
        <w:rPr>
          <w:rFonts w:ascii="Times New Roman" w:hAnsi="Times New Roman" w:cs="Times New Roman"/>
        </w:rPr>
        <w:t xml:space="preserve"> did not direct the Agency to publish a solicitation for information from the public, EPA issued a notice of virtual public listening sessions and request for public comment on May 28, 2021, to obtain </w:t>
      </w:r>
      <w:r w:rsidRPr="006213CF" w:rsidR="00093C0A">
        <w:rPr>
          <w:rFonts w:ascii="Times New Roman" w:hAnsi="Times New Roman" w:cs="Times New Roman"/>
        </w:rPr>
        <w:lastRenderedPageBreak/>
        <w:t>information on the adequacy of the revisions to the RMP regulations completed</w:t>
      </w:r>
      <w:r w:rsidRPr="006213CF" w:rsidR="00A145E3">
        <w:rPr>
          <w:rFonts w:ascii="Times New Roman" w:hAnsi="Times New Roman" w:cs="Times New Roman"/>
        </w:rPr>
        <w:t xml:space="preserve">, including </w:t>
      </w:r>
      <w:r w:rsidRPr="006213CF" w:rsidR="00354D92">
        <w:rPr>
          <w:rFonts w:ascii="Times New Roman" w:hAnsi="Times New Roman" w:cs="Times New Roman"/>
        </w:rPr>
        <w:t xml:space="preserve">the </w:t>
      </w:r>
      <w:r w:rsidR="003372C2">
        <w:rPr>
          <w:rFonts w:ascii="Times New Roman" w:hAnsi="Times New Roman" w:cs="Times New Roman"/>
        </w:rPr>
        <w:t>2017 a</w:t>
      </w:r>
      <w:r w:rsidRPr="006213CF" w:rsidR="00A145E3">
        <w:rPr>
          <w:rFonts w:ascii="Times New Roman" w:hAnsi="Times New Roman" w:cs="Times New Roman"/>
        </w:rPr>
        <w:t xml:space="preserve">mendments and </w:t>
      </w:r>
      <w:r w:rsidR="0010162A">
        <w:rPr>
          <w:rFonts w:ascii="Times New Roman" w:hAnsi="Times New Roman" w:cs="Times New Roman"/>
        </w:rPr>
        <w:t>2019 r</w:t>
      </w:r>
      <w:r w:rsidRPr="006213CF" w:rsidR="00A145E3">
        <w:rPr>
          <w:rFonts w:ascii="Times New Roman" w:hAnsi="Times New Roman" w:cs="Times New Roman"/>
        </w:rPr>
        <w:t>econ</w:t>
      </w:r>
      <w:r w:rsidRPr="006213CF" w:rsidR="00354D92">
        <w:rPr>
          <w:rFonts w:ascii="Times New Roman" w:hAnsi="Times New Roman" w:cs="Times New Roman"/>
        </w:rPr>
        <w:t>sideration rules</w:t>
      </w:r>
      <w:r w:rsidRPr="006213CF" w:rsidR="00093C0A">
        <w:rPr>
          <w:rFonts w:ascii="Times New Roman" w:hAnsi="Times New Roman" w:cs="Times New Roman"/>
        </w:rPr>
        <w:t xml:space="preserve">. The virtual listening sessions were held on June 16 and July 8, </w:t>
      </w:r>
      <w:proofErr w:type="gramStart"/>
      <w:r w:rsidRPr="006213CF" w:rsidR="00093C0A">
        <w:rPr>
          <w:rFonts w:ascii="Times New Roman" w:hAnsi="Times New Roman" w:cs="Times New Roman"/>
        </w:rPr>
        <w:t>2021</w:t>
      </w:r>
      <w:proofErr w:type="gramEnd"/>
      <w:r w:rsidR="00D11599">
        <w:rPr>
          <w:rFonts w:ascii="Times New Roman" w:hAnsi="Times New Roman" w:cs="Times New Roman"/>
        </w:rPr>
        <w:t xml:space="preserve"> </w:t>
      </w:r>
      <w:r w:rsidRPr="006213CF" w:rsidR="00093C0A">
        <w:rPr>
          <w:rFonts w:ascii="Times New Roman" w:hAnsi="Times New Roman" w:cs="Times New Roman"/>
        </w:rPr>
        <w:t>and were attended by OSHA to foster continued coordination with the EPA and receive comments on the PSM Standard. Commenters discussed revisions and updates to the Prevention Program, Emergency Response, Information Availability, and regulated chemicals. Commenters also discussed the importance of incorporating climate changes risks and impacts into the RMP regulations and expanding the application of environmental justice.</w:t>
      </w:r>
    </w:p>
    <w:p w:rsidR="007A2A7D" w:rsidP="006213CF" w:rsidRDefault="007A2A7D" w14:paraId="17C2A707" w14:textId="52A55089">
      <w:pPr>
        <w:spacing w:after="0" w:line="240" w:lineRule="auto"/>
        <w:ind w:firstLine="360"/>
        <w:rPr>
          <w:rFonts w:ascii="Times New Roman" w:hAnsi="Times New Roman" w:cs="Times New Roman"/>
        </w:rPr>
      </w:pPr>
    </w:p>
    <w:p w:rsidR="007A2A7D" w:rsidP="006213CF" w:rsidRDefault="009244BC" w14:paraId="70366A47" w14:textId="48B64EA5">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 xml:space="preserve">The RMP regulations have contributed to the prevention and mitigation of chemical accidents in the </w:t>
      </w:r>
      <w:r w:rsidRPr="006213CF" w:rsidR="00546AF0">
        <w:rPr>
          <w:rFonts w:ascii="Times New Roman" w:hAnsi="Times New Roman" w:cs="Times New Roman"/>
        </w:rPr>
        <w:t>U</w:t>
      </w:r>
      <w:r w:rsidRPr="006213CF" w:rsidR="00266493">
        <w:rPr>
          <w:rFonts w:ascii="Times New Roman" w:hAnsi="Times New Roman" w:cs="Times New Roman"/>
        </w:rPr>
        <w:t>nited States</w:t>
      </w:r>
      <w:r w:rsidRPr="006213CF" w:rsidR="00093C0A">
        <w:rPr>
          <w:rFonts w:ascii="Times New Roman" w:hAnsi="Times New Roman" w:cs="Times New Roman"/>
        </w:rPr>
        <w:t>. Although the accident histories submitted with RMPs have shown a reduction in the frequency of accidents since the beginning of the program, serious chemical releases from RMP-regulated processes</w:t>
      </w:r>
      <w:r w:rsidRPr="006213CF" w:rsidR="00DF3E27">
        <w:rPr>
          <w:rFonts w:ascii="Times New Roman" w:hAnsi="Times New Roman" w:cs="Times New Roman"/>
        </w:rPr>
        <w:t xml:space="preserve"> have continued.</w:t>
      </w:r>
      <w:r w:rsidRPr="006213CF" w:rsidR="00093C0A">
        <w:rPr>
          <w:rFonts w:ascii="Times New Roman" w:hAnsi="Times New Roman" w:cs="Times New Roman"/>
        </w:rPr>
        <w:t xml:space="preserve"> RMP data for 2011 through 2020, the most recent 10-year period with complete information, show that each year an average of 124 accidents </w:t>
      </w:r>
      <w:r w:rsidRPr="006213CF" w:rsidR="00722FA7">
        <w:rPr>
          <w:rFonts w:ascii="Times New Roman" w:hAnsi="Times New Roman" w:cs="Times New Roman"/>
        </w:rPr>
        <w:t>occurs</w:t>
      </w:r>
      <w:r w:rsidRPr="006213CF" w:rsidR="00093C0A">
        <w:rPr>
          <w:rFonts w:ascii="Times New Roman" w:hAnsi="Times New Roman" w:cs="Times New Roman"/>
        </w:rPr>
        <w:t xml:space="preserve"> with reportable impacts. RMP data for 2016 through 2020, the most recent </w:t>
      </w:r>
      <w:r w:rsidRPr="006213CF" w:rsidR="007479B8">
        <w:rPr>
          <w:rFonts w:ascii="Times New Roman" w:hAnsi="Times New Roman" w:cs="Times New Roman"/>
        </w:rPr>
        <w:t>five-year</w:t>
      </w:r>
      <w:r w:rsidRPr="006213CF" w:rsidR="00093C0A">
        <w:rPr>
          <w:rFonts w:ascii="Times New Roman" w:hAnsi="Times New Roman" w:cs="Times New Roman"/>
        </w:rPr>
        <w:t xml:space="preserve"> period with complete information, averaged </w:t>
      </w:r>
      <w:r w:rsidRPr="006213CF" w:rsidR="00266493">
        <w:rPr>
          <w:rFonts w:ascii="Times New Roman" w:hAnsi="Times New Roman" w:cs="Times New Roman"/>
        </w:rPr>
        <w:t xml:space="preserve">an annual </w:t>
      </w:r>
      <w:r w:rsidRPr="006213CF" w:rsidR="00093C0A">
        <w:rPr>
          <w:rFonts w:ascii="Times New Roman" w:hAnsi="Times New Roman" w:cs="Times New Roman"/>
        </w:rPr>
        <w:t xml:space="preserve">98 accidents with reportable impacts. </w:t>
      </w:r>
      <w:r w:rsidRPr="006213CF" w:rsidR="00354D92">
        <w:rPr>
          <w:rFonts w:ascii="Times New Roman" w:hAnsi="Times New Roman" w:cs="Times New Roman"/>
        </w:rPr>
        <w:t>RMP-reportable accidents</w:t>
      </w:r>
      <w:r w:rsidRPr="006213CF" w:rsidR="00093C0A">
        <w:rPr>
          <w:rFonts w:ascii="Times New Roman" w:hAnsi="Times New Roman" w:cs="Times New Roman"/>
        </w:rPr>
        <w:t xml:space="preserve"> remain a significant concern to communities, particularly those located </w:t>
      </w:r>
      <w:r w:rsidRPr="006213CF" w:rsidR="0005035A">
        <w:rPr>
          <w:rFonts w:ascii="Times New Roman" w:hAnsi="Times New Roman" w:cs="Times New Roman"/>
        </w:rPr>
        <w:t>near</w:t>
      </w:r>
      <w:r w:rsidRPr="006213CF" w:rsidR="00093C0A">
        <w:rPr>
          <w:rFonts w:ascii="Times New Roman" w:hAnsi="Times New Roman" w:cs="Times New Roman"/>
        </w:rPr>
        <w:t xml:space="preserve"> the </w:t>
      </w:r>
      <w:r w:rsidRPr="006213CF" w:rsidR="007838BD">
        <w:rPr>
          <w:rFonts w:ascii="Times New Roman" w:hAnsi="Times New Roman" w:cs="Times New Roman"/>
        </w:rPr>
        <w:t>perimeter</w:t>
      </w:r>
      <w:r w:rsidRPr="006213CF" w:rsidR="00093C0A">
        <w:rPr>
          <w:rFonts w:ascii="Times New Roman" w:hAnsi="Times New Roman" w:cs="Times New Roman"/>
        </w:rPr>
        <w:t xml:space="preserve"> of the facilities, and impose </w:t>
      </w:r>
      <w:r w:rsidRPr="006213CF" w:rsidR="00C87398">
        <w:rPr>
          <w:rFonts w:ascii="Times New Roman" w:hAnsi="Times New Roman" w:cs="Times New Roman"/>
        </w:rPr>
        <w:t xml:space="preserve">significant social costs </w:t>
      </w:r>
      <w:r w:rsidRPr="006213CF" w:rsidR="00093C0A">
        <w:rPr>
          <w:rFonts w:ascii="Times New Roman" w:hAnsi="Times New Roman" w:cs="Times New Roman"/>
        </w:rPr>
        <w:t>annually. EPA believes that the revisions to the Risk Management Program proposed in this rule will further protect</w:t>
      </w:r>
      <w:r w:rsidRPr="006213CF" w:rsidR="0005035A">
        <w:rPr>
          <w:rFonts w:ascii="Times New Roman" w:hAnsi="Times New Roman" w:cs="Times New Roman"/>
        </w:rPr>
        <w:t xml:space="preserve"> </w:t>
      </w:r>
      <w:r w:rsidRPr="006213CF" w:rsidR="00093C0A">
        <w:rPr>
          <w:rFonts w:ascii="Times New Roman" w:hAnsi="Times New Roman" w:cs="Times New Roman"/>
        </w:rPr>
        <w:t xml:space="preserve">human health and the environment from chemical hazards through advancement of enhanced </w:t>
      </w:r>
      <w:r w:rsidRPr="006213CF" w:rsidR="00DC784F">
        <w:rPr>
          <w:rFonts w:ascii="Times New Roman" w:hAnsi="Times New Roman" w:cs="Times New Roman"/>
        </w:rPr>
        <w:t>PSM</w:t>
      </w:r>
      <w:r w:rsidRPr="006213CF" w:rsidR="00093C0A">
        <w:rPr>
          <w:rFonts w:ascii="Times New Roman" w:hAnsi="Times New Roman" w:cs="Times New Roman"/>
        </w:rPr>
        <w:t xml:space="preserve">. </w:t>
      </w:r>
    </w:p>
    <w:p w:rsidR="009244BC" w:rsidP="006213CF" w:rsidRDefault="009244BC" w14:paraId="72E47182" w14:textId="77777777">
      <w:pPr>
        <w:spacing w:after="0" w:line="240" w:lineRule="auto"/>
        <w:ind w:firstLine="360"/>
        <w:rPr>
          <w:rFonts w:ascii="Times New Roman" w:hAnsi="Times New Roman" w:cs="Times New Roman"/>
        </w:rPr>
      </w:pPr>
    </w:p>
    <w:p w:rsidR="007A2A7D" w:rsidP="006213CF" w:rsidRDefault="009244BC" w14:paraId="50FF4481" w14:textId="40E36A62">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Facilities subject to the RMP regulation pose significant risks to the public and the environment because of the types and quantities of hazardous substances they store and use</w:t>
      </w:r>
      <w:r w:rsidRPr="006213CF" w:rsidR="00491AE7">
        <w:rPr>
          <w:rFonts w:ascii="Times New Roman" w:hAnsi="Times New Roman" w:cs="Times New Roman"/>
        </w:rPr>
        <w:t xml:space="preserve"> </w:t>
      </w:r>
      <w:r w:rsidRPr="006213CF" w:rsidR="00EB0581">
        <w:rPr>
          <w:rFonts w:ascii="Times New Roman" w:hAnsi="Times New Roman" w:cs="Times New Roman"/>
        </w:rPr>
        <w:t>in chemical processes</w:t>
      </w:r>
      <w:r w:rsidRPr="006213CF" w:rsidR="00093C0A">
        <w:rPr>
          <w:rFonts w:ascii="Times New Roman" w:hAnsi="Times New Roman" w:cs="Times New Roman"/>
        </w:rPr>
        <w:t>. These risks stem from potential accidental chemical releases that can cause fires, explosions, and harmful vapor clouds. Chemical accidents</w:t>
      </w:r>
      <w:r w:rsidRPr="006213CF" w:rsidR="00A145E3">
        <w:rPr>
          <w:rFonts w:ascii="Times New Roman" w:hAnsi="Times New Roman" w:cs="Times New Roman"/>
        </w:rPr>
        <w:t xml:space="preserve"> and their resulting impacts</w:t>
      </w:r>
      <w:r w:rsidRPr="006213CF" w:rsidDel="004B10B8" w:rsidR="00093C0A">
        <w:rPr>
          <w:rFonts w:ascii="Times New Roman" w:hAnsi="Times New Roman" w:cs="Times New Roman"/>
        </w:rPr>
        <w:t xml:space="preserve"> </w:t>
      </w:r>
      <w:r w:rsidRPr="006213CF" w:rsidR="00093C0A">
        <w:rPr>
          <w:rFonts w:ascii="Times New Roman" w:hAnsi="Times New Roman" w:cs="Times New Roman"/>
        </w:rPr>
        <w:t xml:space="preserve">not only kill and injure people but can cause significant damage to property, goods produced, plant equipment and structures; and nearby industrial, commercial, and residential buildings, equipment, and furnishings. Damage can also occur to the natural environment and negatively affect nearby ecosystems and wildlife. Resources, such as emergency personnel and equipment, are diverted to address the fire, explosion, or vapor cloud. Properties located near the accident may lose value because of the perceived risks posed by proximity to </w:t>
      </w:r>
      <w:r w:rsidRPr="006213CF" w:rsidR="00A145E3">
        <w:rPr>
          <w:rFonts w:ascii="Times New Roman" w:hAnsi="Times New Roman" w:cs="Times New Roman"/>
        </w:rPr>
        <w:t>a facility that has had an accident.</w:t>
      </w:r>
    </w:p>
    <w:p w:rsidR="009244BC" w:rsidP="006213CF" w:rsidRDefault="009244BC" w14:paraId="77FFC2D3" w14:textId="77777777">
      <w:pPr>
        <w:spacing w:after="0" w:line="240" w:lineRule="auto"/>
        <w:ind w:firstLine="360"/>
        <w:rPr>
          <w:rFonts w:ascii="Times New Roman" w:hAnsi="Times New Roman" w:cs="Times New Roman"/>
        </w:rPr>
      </w:pPr>
    </w:p>
    <w:p w:rsidR="007A2A7D" w:rsidP="0003391E" w:rsidRDefault="009244BC" w14:paraId="08A889E8" w14:textId="29E2085F">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The benefits of a proposed rule are expected to include reductions in the number of people killed, injured, and evacuated or otherwise inconvenienced by</w:t>
      </w:r>
      <w:r w:rsidRPr="006213CF" w:rsidR="00835781">
        <w:rPr>
          <w:rFonts w:ascii="Times New Roman" w:hAnsi="Times New Roman" w:cs="Times New Roman"/>
        </w:rPr>
        <w:t xml:space="preserve"> sheltering in place</w:t>
      </w:r>
      <w:r w:rsidRPr="006213CF" w:rsidR="00093C0A">
        <w:rPr>
          <w:rFonts w:ascii="Times New Roman" w:hAnsi="Times New Roman" w:cs="Times New Roman"/>
        </w:rPr>
        <w:t xml:space="preserve">; reductions in the damage caused to property </w:t>
      </w:r>
      <w:r w:rsidRPr="006213CF" w:rsidR="00986800">
        <w:rPr>
          <w:rFonts w:ascii="Times New Roman" w:hAnsi="Times New Roman" w:cs="Times New Roman"/>
        </w:rPr>
        <w:t>onsite</w:t>
      </w:r>
      <w:r w:rsidRPr="006213CF" w:rsidR="00093C0A">
        <w:rPr>
          <w:rFonts w:ascii="Times New Roman" w:hAnsi="Times New Roman" w:cs="Times New Roman"/>
        </w:rPr>
        <w:t xml:space="preserve"> and </w:t>
      </w:r>
      <w:r w:rsidRPr="006213CF" w:rsidR="00986800">
        <w:rPr>
          <w:rFonts w:ascii="Times New Roman" w:hAnsi="Times New Roman" w:cs="Times New Roman"/>
        </w:rPr>
        <w:t>offsite</w:t>
      </w:r>
      <w:r w:rsidRPr="006213CF" w:rsidR="00093C0A">
        <w:rPr>
          <w:rFonts w:ascii="Times New Roman" w:hAnsi="Times New Roman" w:cs="Times New Roman"/>
        </w:rPr>
        <w:t xml:space="preserve"> including product, equipment, and buildings; reductions in damages to the environment and ecosystems; and reductions in resources diverted to extinguish fires and clean up affected areas. The proposed rule would also provide other benefits, such as increased public information, </w:t>
      </w:r>
      <w:r w:rsidRPr="006213CF" w:rsidR="00EB0581">
        <w:rPr>
          <w:rFonts w:ascii="Times New Roman" w:hAnsi="Times New Roman" w:cs="Times New Roman"/>
        </w:rPr>
        <w:t>as well as more efficient decisions about emergency response preparedness</w:t>
      </w:r>
      <w:r w:rsidRPr="006213CF" w:rsidR="00093C0A">
        <w:rPr>
          <w:rFonts w:ascii="Times New Roman" w:hAnsi="Times New Roman" w:cs="Times New Roman"/>
        </w:rPr>
        <w:t>.</w:t>
      </w:r>
      <w:r w:rsidRPr="006213CF" w:rsidR="004B10B8">
        <w:rPr>
          <w:rFonts w:ascii="Times New Roman" w:hAnsi="Times New Roman" w:cs="Times New Roman"/>
        </w:rPr>
        <w:t xml:space="preserve"> The proposed provisions reduce the probability of a catastrophic release. By reducing the chance of an accidental release, the proposed rule also avoids spending on lawsuits and other transactions to address resulting accidental harms.</w:t>
      </w:r>
    </w:p>
    <w:p w:rsidR="009244BC" w:rsidP="0003391E" w:rsidRDefault="009244BC" w14:paraId="32989FC0" w14:textId="77777777">
      <w:pPr>
        <w:spacing w:after="0" w:line="240" w:lineRule="auto"/>
        <w:ind w:firstLine="360"/>
        <w:rPr>
          <w:rFonts w:ascii="Times New Roman" w:hAnsi="Times New Roman" w:cs="Times New Roman"/>
        </w:rPr>
      </w:pPr>
    </w:p>
    <w:p w:rsidRPr="006213CF" w:rsidR="00093C0A" w:rsidP="0003391E" w:rsidRDefault="009244BC" w14:paraId="5D2B3EA5" w14:textId="24354D29">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 xml:space="preserve">The result of many of the proposed provisions would be to target stronger provisions to </w:t>
      </w:r>
      <w:r w:rsidRPr="006213CF" w:rsidR="004B10B8">
        <w:rPr>
          <w:rFonts w:ascii="Times New Roman" w:hAnsi="Times New Roman" w:cs="Times New Roman"/>
        </w:rPr>
        <w:t>RMP</w:t>
      </w:r>
      <w:r w:rsidRPr="006213CF" w:rsidR="00093C0A">
        <w:rPr>
          <w:rFonts w:ascii="Times New Roman" w:hAnsi="Times New Roman" w:cs="Times New Roman"/>
        </w:rPr>
        <w:t xml:space="preserve"> facilities </w:t>
      </w:r>
      <w:proofErr w:type="gramStart"/>
      <w:r w:rsidRPr="006213CF" w:rsidR="00093C0A">
        <w:rPr>
          <w:rFonts w:ascii="Times New Roman" w:hAnsi="Times New Roman" w:cs="Times New Roman"/>
        </w:rPr>
        <w:t xml:space="preserve">in close proximity </w:t>
      </w:r>
      <w:r w:rsidRPr="006213CF" w:rsidR="004B10B8">
        <w:rPr>
          <w:rFonts w:ascii="Times New Roman" w:hAnsi="Times New Roman" w:cs="Times New Roman"/>
        </w:rPr>
        <w:t>to</w:t>
      </w:r>
      <w:proofErr w:type="gramEnd"/>
      <w:r w:rsidRPr="006213CF" w:rsidR="004B10B8">
        <w:rPr>
          <w:rFonts w:ascii="Times New Roman" w:hAnsi="Times New Roman" w:cs="Times New Roman"/>
        </w:rPr>
        <w:t xml:space="preserve"> certain other RMP facilities</w:t>
      </w:r>
      <w:r w:rsidRPr="006213CF" w:rsidR="00093C0A">
        <w:rPr>
          <w:rFonts w:ascii="Times New Roman" w:hAnsi="Times New Roman" w:cs="Times New Roman"/>
        </w:rPr>
        <w:t xml:space="preserve"> and/or </w:t>
      </w:r>
      <w:r w:rsidRPr="006213CF" w:rsidR="004B10B8">
        <w:rPr>
          <w:rFonts w:ascii="Times New Roman" w:hAnsi="Times New Roman" w:cs="Times New Roman"/>
        </w:rPr>
        <w:t xml:space="preserve">RMP </w:t>
      </w:r>
      <w:r w:rsidRPr="006213CF" w:rsidR="00093C0A">
        <w:rPr>
          <w:rFonts w:ascii="Times New Roman" w:hAnsi="Times New Roman" w:cs="Times New Roman"/>
        </w:rPr>
        <w:t xml:space="preserve">facilities that have had recent accidents. Both types of facilities </w:t>
      </w:r>
      <w:r w:rsidRPr="006213CF" w:rsidR="001B33FA">
        <w:rPr>
          <w:rFonts w:ascii="Times New Roman" w:hAnsi="Times New Roman" w:cs="Times New Roman"/>
        </w:rPr>
        <w:t>increase the</w:t>
      </w:r>
      <w:r w:rsidRPr="006213CF" w:rsidR="00093C0A">
        <w:rPr>
          <w:rFonts w:ascii="Times New Roman" w:hAnsi="Times New Roman" w:cs="Times New Roman"/>
        </w:rPr>
        <w:t xml:space="preserve"> likelihood of exposures </w:t>
      </w:r>
      <w:r w:rsidRPr="006213CF" w:rsidR="001B33FA">
        <w:rPr>
          <w:rFonts w:ascii="Times New Roman" w:hAnsi="Times New Roman" w:cs="Times New Roman"/>
        </w:rPr>
        <w:t xml:space="preserve">to nearby communities </w:t>
      </w:r>
      <w:r w:rsidRPr="006213CF" w:rsidR="00093C0A">
        <w:rPr>
          <w:rFonts w:ascii="Times New Roman" w:hAnsi="Times New Roman" w:cs="Times New Roman"/>
        </w:rPr>
        <w:t xml:space="preserve">to a future accident’s </w:t>
      </w:r>
      <w:r w:rsidRPr="006213CF" w:rsidR="00986800">
        <w:rPr>
          <w:rFonts w:ascii="Times New Roman" w:hAnsi="Times New Roman" w:cs="Times New Roman"/>
        </w:rPr>
        <w:t>offsite</w:t>
      </w:r>
      <w:r w:rsidRPr="006213CF" w:rsidR="00093C0A">
        <w:rPr>
          <w:rFonts w:ascii="Times New Roman" w:hAnsi="Times New Roman" w:cs="Times New Roman"/>
        </w:rPr>
        <w:t xml:space="preserve"> impacts. Because communities with environmental justice concerns are over-represented in these nearby communities, adoption of the proposed provisions presented here would provide proportionately greater relief to historically marginalized </w:t>
      </w:r>
      <w:proofErr w:type="spellStart"/>
      <w:r w:rsidRPr="006213CF" w:rsidR="00093C0A">
        <w:rPr>
          <w:rFonts w:ascii="Times New Roman" w:hAnsi="Times New Roman" w:cs="Times New Roman"/>
        </w:rPr>
        <w:t>fenceline</w:t>
      </w:r>
      <w:proofErr w:type="spellEnd"/>
      <w:r w:rsidRPr="006213CF" w:rsidR="00093C0A">
        <w:rPr>
          <w:rFonts w:ascii="Times New Roman" w:hAnsi="Times New Roman" w:cs="Times New Roman"/>
        </w:rPr>
        <w:t xml:space="preserve"> communities than </w:t>
      </w:r>
      <w:r w:rsidRPr="006213CF" w:rsidR="004B10B8">
        <w:rPr>
          <w:rFonts w:ascii="Times New Roman" w:hAnsi="Times New Roman" w:cs="Times New Roman"/>
        </w:rPr>
        <w:t xml:space="preserve">to </w:t>
      </w:r>
      <w:r w:rsidRPr="006213CF" w:rsidR="00093C0A">
        <w:rPr>
          <w:rFonts w:ascii="Times New Roman" w:hAnsi="Times New Roman" w:cs="Times New Roman"/>
        </w:rPr>
        <w:t>the general population.</w:t>
      </w:r>
    </w:p>
    <w:p w:rsidRPr="006213CF" w:rsidR="000905FF" w:rsidP="006213CF" w:rsidRDefault="000905FF" w14:paraId="5862481F" w14:textId="77777777">
      <w:pPr>
        <w:spacing w:after="0" w:line="240" w:lineRule="auto"/>
        <w:ind w:firstLine="720"/>
        <w:rPr>
          <w:rFonts w:ascii="Times New Roman" w:hAnsi="Times New Roman" w:cs="Times New Roman"/>
        </w:rPr>
      </w:pPr>
    </w:p>
    <w:p w:rsidRPr="006213CF" w:rsidR="00093C0A" w:rsidP="00813745" w:rsidRDefault="00093C0A" w14:paraId="5F0F3773" w14:textId="77777777">
      <w:pPr>
        <w:pStyle w:val="Heading2"/>
      </w:pPr>
      <w:bookmarkStart w:name="_Toc98856203" w:id="18"/>
      <w:bookmarkStart w:name="_Toc110502733" w:id="19"/>
      <w:r w:rsidRPr="006213CF">
        <w:t>1.2 Organization of the Analysis</w:t>
      </w:r>
      <w:bookmarkEnd w:id="18"/>
      <w:bookmarkEnd w:id="19"/>
      <w:r w:rsidRPr="006213CF">
        <w:t xml:space="preserve"> </w:t>
      </w:r>
    </w:p>
    <w:p w:rsidR="00093C0A" w:rsidP="00C72A6F" w:rsidRDefault="009244BC" w14:paraId="57DC3F9B" w14:textId="2BDDF184">
      <w:pPr>
        <w:spacing w:after="0" w:line="240" w:lineRule="auto"/>
        <w:ind w:firstLine="360"/>
        <w:rPr>
          <w:rFonts w:ascii="Times New Roman" w:hAnsi="Times New Roman" w:cs="Times New Roman"/>
        </w:rPr>
      </w:pPr>
      <w:r>
        <w:rPr>
          <w:rFonts w:ascii="Times New Roman" w:hAnsi="Times New Roman" w:cs="Times New Roman"/>
        </w:rPr>
        <w:tab/>
      </w:r>
      <w:r w:rsidRPr="006213CF" w:rsidR="00093C0A">
        <w:rPr>
          <w:rFonts w:ascii="Times New Roman" w:hAnsi="Times New Roman" w:cs="Times New Roman"/>
        </w:rPr>
        <w:t xml:space="preserve">This RIA is organized as follows: </w:t>
      </w:r>
    </w:p>
    <w:p w:rsidRPr="006213CF" w:rsidR="0003391E" w:rsidP="006213CF" w:rsidRDefault="0003391E" w14:paraId="01522116" w14:textId="77777777">
      <w:pPr>
        <w:spacing w:after="0" w:line="240" w:lineRule="auto"/>
        <w:rPr>
          <w:rFonts w:ascii="Times New Roman" w:hAnsi="Times New Roman" w:cs="Times New Roman"/>
        </w:rPr>
      </w:pPr>
    </w:p>
    <w:p w:rsidRPr="006213CF" w:rsidR="00093C0A" w:rsidP="006213CF" w:rsidRDefault="00093C0A" w14:paraId="6CD4F919" w14:textId="7B15B06F">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2 describes </w:t>
      </w:r>
      <w:r w:rsidRPr="006213CF" w:rsidR="00957FFD">
        <w:rPr>
          <w:rFonts w:ascii="Times New Roman" w:hAnsi="Times New Roman" w:cs="Times New Roman"/>
        </w:rPr>
        <w:t>RMP</w:t>
      </w:r>
      <w:r w:rsidRPr="006213CF">
        <w:rPr>
          <w:rFonts w:ascii="Times New Roman" w:hAnsi="Times New Roman" w:cs="Times New Roman"/>
        </w:rPr>
        <w:t xml:space="preserve"> provisions that EPA is adding or </w:t>
      </w:r>
      <w:r w:rsidRPr="006213CF" w:rsidR="006076C9">
        <w:rPr>
          <w:rFonts w:ascii="Times New Roman" w:hAnsi="Times New Roman" w:cs="Times New Roman"/>
        </w:rPr>
        <w:t>revising</w:t>
      </w:r>
      <w:r w:rsidRPr="006213CF">
        <w:rPr>
          <w:rFonts w:ascii="Times New Roman" w:hAnsi="Times New Roman" w:cs="Times New Roman"/>
        </w:rPr>
        <w:t>.</w:t>
      </w:r>
    </w:p>
    <w:p w:rsidRPr="006213CF" w:rsidR="00093C0A" w:rsidP="006213CF" w:rsidRDefault="00093C0A" w14:paraId="4165321D" w14:textId="77777777">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3 discusses the universe of regulated entities and the various divisions used in the analysis. </w:t>
      </w:r>
    </w:p>
    <w:p w:rsidRPr="006213CF" w:rsidR="00093C0A" w:rsidP="006213CF" w:rsidRDefault="00093C0A" w14:paraId="62404A17" w14:textId="77777777">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4 discusses the basis for cost estimates for each of the provisions and alternatives and presents the unit costs. </w:t>
      </w:r>
    </w:p>
    <w:p w:rsidRPr="006213CF" w:rsidR="00093C0A" w:rsidP="006213CF" w:rsidRDefault="00093C0A" w14:paraId="5767401A" w14:textId="10DE484C">
      <w:pPr>
        <w:numPr>
          <w:ilvl w:val="0"/>
          <w:numId w:val="3"/>
        </w:numPr>
        <w:spacing w:after="0" w:line="240" w:lineRule="auto"/>
        <w:rPr>
          <w:rFonts w:ascii="Times New Roman" w:hAnsi="Times New Roman" w:cs="Times New Roman"/>
        </w:rPr>
      </w:pPr>
      <w:r w:rsidRPr="006213CF">
        <w:rPr>
          <w:rFonts w:ascii="Times New Roman" w:hAnsi="Times New Roman" w:cs="Times New Roman"/>
        </w:rPr>
        <w:lastRenderedPageBreak/>
        <w:t xml:space="preserve">Chapter 5 presents the total </w:t>
      </w:r>
      <w:r w:rsidRPr="006213CF" w:rsidR="001B33FA">
        <w:rPr>
          <w:rFonts w:ascii="Times New Roman" w:hAnsi="Times New Roman" w:cs="Times New Roman"/>
        </w:rPr>
        <w:t xml:space="preserve">estimated </w:t>
      </w:r>
      <w:r w:rsidRPr="006213CF">
        <w:rPr>
          <w:rFonts w:ascii="Times New Roman" w:hAnsi="Times New Roman" w:cs="Times New Roman"/>
        </w:rPr>
        <w:t xml:space="preserve">costs </w:t>
      </w:r>
      <w:r w:rsidRPr="006213CF" w:rsidR="004B10B8">
        <w:rPr>
          <w:rFonts w:ascii="Times New Roman" w:hAnsi="Times New Roman" w:cs="Times New Roman"/>
        </w:rPr>
        <w:t xml:space="preserve">for each provision and for all provisions combined. </w:t>
      </w:r>
      <w:r w:rsidRPr="006213CF">
        <w:rPr>
          <w:rFonts w:ascii="Times New Roman" w:hAnsi="Times New Roman" w:cs="Times New Roman"/>
        </w:rPr>
        <w:t xml:space="preserve"> </w:t>
      </w:r>
    </w:p>
    <w:p w:rsidRPr="006213CF" w:rsidR="00093C0A" w:rsidP="006213CF" w:rsidRDefault="00093C0A" w14:paraId="2F1306EE" w14:textId="38863649">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6 discusses the </w:t>
      </w:r>
      <w:r w:rsidRPr="006213CF" w:rsidR="004B10B8">
        <w:rPr>
          <w:rFonts w:ascii="Times New Roman" w:hAnsi="Times New Roman" w:cs="Times New Roman"/>
        </w:rPr>
        <w:t>social</w:t>
      </w:r>
      <w:r w:rsidRPr="006213CF" w:rsidR="001B33FA">
        <w:rPr>
          <w:rFonts w:ascii="Times New Roman" w:hAnsi="Times New Roman" w:cs="Times New Roman"/>
        </w:rPr>
        <w:t xml:space="preserve"> </w:t>
      </w:r>
      <w:r w:rsidRPr="006213CF">
        <w:rPr>
          <w:rFonts w:ascii="Times New Roman" w:hAnsi="Times New Roman" w:cs="Times New Roman"/>
        </w:rPr>
        <w:t xml:space="preserve">benefits of the rule. </w:t>
      </w:r>
    </w:p>
    <w:p w:rsidRPr="006213CF" w:rsidR="00093C0A" w:rsidP="006213CF" w:rsidRDefault="00093C0A" w14:paraId="07FD9801" w14:textId="77777777">
      <w:pPr>
        <w:numPr>
          <w:ilvl w:val="0"/>
          <w:numId w:val="3"/>
        </w:numPr>
        <w:spacing w:after="0" w:line="240" w:lineRule="auto"/>
        <w:rPr>
          <w:rFonts w:ascii="Times New Roman" w:hAnsi="Times New Roman" w:cs="Times New Roman"/>
        </w:rPr>
      </w:pPr>
      <w:r w:rsidRPr="006213CF">
        <w:rPr>
          <w:rFonts w:ascii="Times New Roman" w:hAnsi="Times New Roman" w:cs="Times New Roman"/>
        </w:rPr>
        <w:t>Chapter 7 discusses the regulatory alternatives analyzed.</w:t>
      </w:r>
    </w:p>
    <w:p w:rsidRPr="006213CF" w:rsidR="00093C0A" w:rsidP="006213CF" w:rsidRDefault="00093C0A" w14:paraId="26BD130A" w14:textId="5DE34A64">
      <w:pPr>
        <w:numPr>
          <w:ilvl w:val="0"/>
          <w:numId w:val="3"/>
        </w:numPr>
        <w:spacing w:after="0" w:line="240" w:lineRule="auto"/>
        <w:rPr>
          <w:rFonts w:ascii="Times New Roman" w:hAnsi="Times New Roman" w:cs="Times New Roman"/>
        </w:rPr>
      </w:pPr>
      <w:r w:rsidRPr="006213CF">
        <w:rPr>
          <w:rFonts w:ascii="Times New Roman" w:hAnsi="Times New Roman" w:cs="Times New Roman"/>
        </w:rPr>
        <w:t>Chapter 8 presents the small entity impacts</w:t>
      </w:r>
      <w:r w:rsidR="00D243A1">
        <w:rPr>
          <w:rFonts w:ascii="Times New Roman" w:hAnsi="Times New Roman" w:cs="Times New Roman"/>
        </w:rPr>
        <w:t xml:space="preserve"> analysis.</w:t>
      </w:r>
    </w:p>
    <w:p w:rsidRPr="006213CF" w:rsidR="00093C0A" w:rsidP="006213CF" w:rsidRDefault="00093C0A" w14:paraId="3E9034B5" w14:textId="77777777">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9 presents the environmental justice analysis. </w:t>
      </w:r>
    </w:p>
    <w:p w:rsidRPr="006213CF" w:rsidR="00093C0A" w:rsidP="006213CF" w:rsidRDefault="00093C0A" w14:paraId="3D42E7EF" w14:textId="2F2822F9">
      <w:pPr>
        <w:numPr>
          <w:ilvl w:val="0"/>
          <w:numId w:val="3"/>
        </w:numPr>
        <w:spacing w:after="0" w:line="240" w:lineRule="auto"/>
        <w:rPr>
          <w:rFonts w:ascii="Times New Roman" w:hAnsi="Times New Roman" w:cs="Times New Roman"/>
        </w:rPr>
      </w:pPr>
      <w:r w:rsidRPr="006213CF">
        <w:rPr>
          <w:rFonts w:ascii="Times New Roman" w:hAnsi="Times New Roman" w:cs="Times New Roman"/>
        </w:rPr>
        <w:t xml:space="preserve">Chapter 10 discusses limitations of the </w:t>
      </w:r>
      <w:r w:rsidR="00D243A1">
        <w:rPr>
          <w:rFonts w:ascii="Times New Roman" w:hAnsi="Times New Roman" w:cs="Times New Roman"/>
        </w:rPr>
        <w:t>analysis</w:t>
      </w:r>
      <w:r w:rsidRPr="006213CF">
        <w:rPr>
          <w:rFonts w:ascii="Times New Roman" w:hAnsi="Times New Roman" w:cs="Times New Roman"/>
        </w:rPr>
        <w:t xml:space="preserve"> and conclusions. </w:t>
      </w:r>
    </w:p>
    <w:p w:rsidR="00093C0A" w:rsidP="006213CF" w:rsidRDefault="00AB064E" w14:paraId="094FD525" w14:textId="33D297A9">
      <w:pPr>
        <w:numPr>
          <w:ilvl w:val="0"/>
          <w:numId w:val="3"/>
        </w:numPr>
        <w:spacing w:after="0" w:line="240" w:lineRule="auto"/>
      </w:pPr>
      <w:r w:rsidRPr="006213CF">
        <w:rPr>
          <w:rFonts w:ascii="Times New Roman" w:hAnsi="Times New Roman" w:cs="Times New Roman"/>
        </w:rPr>
        <w:t xml:space="preserve">Chapter 11 discusses other analyses required under applicable </w:t>
      </w:r>
      <w:r w:rsidR="00D243A1">
        <w:rPr>
          <w:rFonts w:ascii="Times New Roman" w:hAnsi="Times New Roman" w:cs="Times New Roman"/>
        </w:rPr>
        <w:t>st</w:t>
      </w:r>
      <w:r w:rsidRPr="006213CF">
        <w:rPr>
          <w:rFonts w:ascii="Times New Roman" w:hAnsi="Times New Roman" w:cs="Times New Roman"/>
        </w:rPr>
        <w:t xml:space="preserve">atutes and </w:t>
      </w:r>
      <w:r w:rsidR="00843659">
        <w:rPr>
          <w:rFonts w:ascii="Times New Roman" w:hAnsi="Times New Roman" w:cs="Times New Roman"/>
        </w:rPr>
        <w:t>E.Os.</w:t>
      </w:r>
      <w:r w:rsidR="00093C0A">
        <w:br w:type="page"/>
      </w:r>
    </w:p>
    <w:p w:rsidR="006647B0" w:rsidP="000409BE" w:rsidRDefault="00093C0A" w14:paraId="1DD0241B" w14:textId="3D9F05C3">
      <w:pPr>
        <w:pStyle w:val="Heading1"/>
      </w:pPr>
      <w:bookmarkStart w:name="_Toc110502734" w:id="20"/>
      <w:bookmarkStart w:name="_Toc98856204" w:id="21"/>
      <w:r w:rsidRPr="00E95F8A">
        <w:lastRenderedPageBreak/>
        <w:t>CHAPTER 2</w:t>
      </w:r>
      <w:r w:rsidR="00BF42A8">
        <w:t>: Proposed Rule Provisions</w:t>
      </w:r>
      <w:bookmarkEnd w:id="20"/>
    </w:p>
    <w:bookmarkEnd w:id="21"/>
    <w:p w:rsidR="00093C0A" w:rsidP="0003391E" w:rsidRDefault="009244BC" w14:paraId="18D0D8E1" w14:textId="56955A83">
      <w:pPr>
        <w:spacing w:after="0" w:line="240" w:lineRule="auto"/>
        <w:ind w:firstLine="360"/>
        <w:rPr>
          <w:rFonts w:ascii="Times New Roman" w:hAnsi="Times New Roman" w:cs="Times New Roman"/>
        </w:rPr>
      </w:pPr>
      <w:r>
        <w:rPr>
          <w:rFonts w:ascii="Times New Roman" w:hAnsi="Times New Roman" w:cs="Times New Roman"/>
        </w:rPr>
        <w:tab/>
      </w:r>
      <w:r w:rsidRPr="0003391E" w:rsidR="00093C0A">
        <w:rPr>
          <w:rFonts w:ascii="Times New Roman" w:hAnsi="Times New Roman" w:cs="Times New Roman"/>
        </w:rPr>
        <w:t>This chapter presents a summary of the provisions in the proposed rule</w:t>
      </w:r>
      <w:r w:rsidRPr="0003391E" w:rsidR="00292881">
        <w:rPr>
          <w:rFonts w:ascii="Times New Roman" w:hAnsi="Times New Roman" w:cs="Times New Roman"/>
        </w:rPr>
        <w:t xml:space="preserve"> that EPA has determined would impose new costs</w:t>
      </w:r>
      <w:r w:rsidRPr="0003391E" w:rsidR="00093C0A">
        <w:rPr>
          <w:rFonts w:ascii="Times New Roman" w:hAnsi="Times New Roman" w:cs="Times New Roman"/>
        </w:rPr>
        <w:t>. The proposed provisions include additions</w:t>
      </w:r>
      <w:r w:rsidR="00EA40FD">
        <w:rPr>
          <w:rFonts w:ascii="Times New Roman" w:hAnsi="Times New Roman" w:cs="Times New Roman"/>
        </w:rPr>
        <w:t xml:space="preserve"> and </w:t>
      </w:r>
      <w:r w:rsidRPr="0003391E" w:rsidR="00093C0A">
        <w:rPr>
          <w:rFonts w:ascii="Times New Roman" w:hAnsi="Times New Roman" w:cs="Times New Roman"/>
        </w:rPr>
        <w:t xml:space="preserve">revisions to </w:t>
      </w:r>
      <w:r w:rsidR="00EA40FD">
        <w:rPr>
          <w:rFonts w:ascii="Times New Roman" w:hAnsi="Times New Roman" w:cs="Times New Roman"/>
        </w:rPr>
        <w:t xml:space="preserve">existing RMP </w:t>
      </w:r>
      <w:r w:rsidRPr="0003391E" w:rsidR="00093C0A">
        <w:rPr>
          <w:rFonts w:ascii="Times New Roman" w:hAnsi="Times New Roman" w:cs="Times New Roman"/>
        </w:rPr>
        <w:t>requirements</w:t>
      </w:r>
      <w:r w:rsidR="00EA40FD">
        <w:rPr>
          <w:rFonts w:ascii="Times New Roman" w:hAnsi="Times New Roman" w:cs="Times New Roman"/>
        </w:rPr>
        <w:t>.</w:t>
      </w:r>
    </w:p>
    <w:p w:rsidR="00EA40FD" w:rsidP="0003391E" w:rsidRDefault="00EA40FD" w14:paraId="7BCBDAC9" w14:textId="77777777">
      <w:pPr>
        <w:spacing w:after="0" w:line="240" w:lineRule="auto"/>
        <w:ind w:firstLine="360"/>
        <w:rPr>
          <w:rFonts w:ascii="Times New Roman" w:hAnsi="Times New Roman" w:cs="Times New Roman"/>
        </w:rPr>
      </w:pPr>
    </w:p>
    <w:p w:rsidRPr="0003391E" w:rsidR="00093C0A" w:rsidP="00813745" w:rsidRDefault="00093C0A" w14:paraId="3641F8BE" w14:textId="457149F5">
      <w:pPr>
        <w:pStyle w:val="Heading2"/>
      </w:pPr>
      <w:bookmarkStart w:name="_Toc98856205" w:id="22"/>
      <w:bookmarkStart w:name="_Toc110502735" w:id="23"/>
      <w:r w:rsidRPr="0003391E">
        <w:t xml:space="preserve">2.1 Summary of Provisions </w:t>
      </w:r>
      <w:r w:rsidRPr="0003391E" w:rsidR="00146132">
        <w:t xml:space="preserve">and Applicability to Private Sector </w:t>
      </w:r>
      <w:r w:rsidRPr="0003391E">
        <w:t>Facilities</w:t>
      </w:r>
      <w:bookmarkEnd w:id="22"/>
      <w:bookmarkEnd w:id="23"/>
      <w:r w:rsidRPr="0003391E">
        <w:t xml:space="preserve"> </w:t>
      </w:r>
    </w:p>
    <w:p w:rsidR="00093C0A" w:rsidP="0003391E" w:rsidRDefault="009244BC" w14:paraId="7068DBA7" w14:textId="06CA47F5">
      <w:pPr>
        <w:spacing w:after="0" w:line="240" w:lineRule="auto"/>
        <w:ind w:firstLine="360"/>
        <w:rPr>
          <w:rFonts w:ascii="Times New Roman" w:hAnsi="Times New Roman" w:cs="Times New Roman"/>
        </w:rPr>
      </w:pPr>
      <w:r>
        <w:rPr>
          <w:rFonts w:ascii="Times New Roman" w:hAnsi="Times New Roman" w:cs="Times New Roman"/>
        </w:rPr>
        <w:tab/>
      </w:r>
      <w:r w:rsidRPr="0003391E" w:rsidR="00093C0A">
        <w:rPr>
          <w:rFonts w:ascii="Times New Roman" w:hAnsi="Times New Roman" w:cs="Times New Roman"/>
        </w:rPr>
        <w:t xml:space="preserve">The RIA analyzed the following proposed </w:t>
      </w:r>
      <w:r w:rsidRPr="0003391E" w:rsidR="00402856">
        <w:rPr>
          <w:rFonts w:ascii="Times New Roman" w:hAnsi="Times New Roman" w:cs="Times New Roman"/>
        </w:rPr>
        <w:t xml:space="preserve">new </w:t>
      </w:r>
      <w:r w:rsidRPr="0003391E" w:rsidR="00093C0A">
        <w:rPr>
          <w:rFonts w:ascii="Times New Roman" w:hAnsi="Times New Roman" w:cs="Times New Roman"/>
        </w:rPr>
        <w:t xml:space="preserve">requirements and revisions to </w:t>
      </w:r>
      <w:r w:rsidR="005C1B6F">
        <w:rPr>
          <w:rFonts w:ascii="Times New Roman" w:hAnsi="Times New Roman" w:cs="Times New Roman"/>
        </w:rPr>
        <w:t>current</w:t>
      </w:r>
      <w:r w:rsidRPr="0003391E" w:rsidR="00093C0A">
        <w:rPr>
          <w:rFonts w:ascii="Times New Roman" w:hAnsi="Times New Roman" w:cs="Times New Roman"/>
        </w:rPr>
        <w:t xml:space="preserve"> requirements:</w:t>
      </w:r>
    </w:p>
    <w:p w:rsidRPr="0003391E" w:rsidR="00D243A1" w:rsidP="0003391E" w:rsidRDefault="00D243A1" w14:paraId="557252F2" w14:textId="77777777">
      <w:pPr>
        <w:spacing w:after="0" w:line="240" w:lineRule="auto"/>
        <w:ind w:firstLine="360"/>
        <w:rPr>
          <w:rFonts w:ascii="Times New Roman" w:hAnsi="Times New Roman" w:cs="Times New Roman"/>
        </w:rPr>
      </w:pPr>
    </w:p>
    <w:p w:rsidRPr="00D243A1" w:rsidR="00D243A1" w:rsidP="00D243A1" w:rsidRDefault="00D243A1" w14:paraId="7CF8BB6E" w14:textId="17232470">
      <w:pPr>
        <w:spacing w:after="0" w:line="240" w:lineRule="auto"/>
        <w:rPr>
          <w:rFonts w:ascii="Times New Roman" w:hAnsi="Times New Roman" w:cs="Times New Roman"/>
          <w:b/>
          <w:bCs/>
          <w:iCs/>
        </w:rPr>
      </w:pPr>
      <w:r w:rsidRPr="00D243A1">
        <w:rPr>
          <w:rFonts w:ascii="Times New Roman" w:hAnsi="Times New Roman" w:cs="Times New Roman"/>
          <w:b/>
          <w:bCs/>
          <w:iCs/>
        </w:rPr>
        <w:t xml:space="preserve">New Prevention </w:t>
      </w:r>
      <w:r w:rsidR="00904E3F">
        <w:rPr>
          <w:rFonts w:ascii="Times New Roman" w:hAnsi="Times New Roman" w:cs="Times New Roman"/>
          <w:b/>
          <w:bCs/>
          <w:iCs/>
        </w:rPr>
        <w:t xml:space="preserve">Program </w:t>
      </w:r>
      <w:r w:rsidRPr="00D243A1">
        <w:rPr>
          <w:rFonts w:ascii="Times New Roman" w:hAnsi="Times New Roman" w:cs="Times New Roman"/>
          <w:b/>
          <w:bCs/>
          <w:iCs/>
        </w:rPr>
        <w:t>Provisions</w:t>
      </w:r>
    </w:p>
    <w:p w:rsidRPr="0003391E" w:rsidR="00D243A1" w:rsidP="00D243A1" w:rsidRDefault="00D243A1" w14:paraId="11F6E6A5" w14:textId="2E9749D8">
      <w:pPr>
        <w:spacing w:after="0" w:line="240" w:lineRule="auto"/>
        <w:rPr>
          <w:rFonts w:ascii="Times New Roman" w:hAnsi="Times New Roman" w:cs="Times New Roman"/>
          <w:i/>
        </w:rPr>
      </w:pPr>
      <w:r w:rsidRPr="0003391E">
        <w:rPr>
          <w:rFonts w:ascii="Times New Roman" w:hAnsi="Times New Roman" w:cs="Times New Roman"/>
          <w:i/>
        </w:rPr>
        <w:t>Safer Technology and Alternatives Analysis (STAA)— (Proposed revisions apply to §68.3 and §68.67)</w:t>
      </w:r>
    </w:p>
    <w:p w:rsidR="00D243A1" w:rsidP="00D243A1" w:rsidRDefault="00D243A1" w14:paraId="47FAFC64" w14:textId="58476F5A">
      <w:pPr>
        <w:spacing w:after="0" w:line="240" w:lineRule="auto"/>
        <w:ind w:firstLine="360"/>
        <w:rPr>
          <w:rFonts w:ascii="Times New Roman" w:hAnsi="Times New Roman" w:cs="Times New Roman"/>
        </w:rPr>
      </w:pPr>
      <w:r>
        <w:rPr>
          <w:rFonts w:ascii="Times New Roman" w:hAnsi="Times New Roman" w:cs="Times New Roman"/>
        </w:rPr>
        <w:tab/>
      </w:r>
      <w:r w:rsidR="00110128">
        <w:rPr>
          <w:rFonts w:ascii="Times New Roman" w:hAnsi="Times New Roman" w:cs="Times New Roman"/>
        </w:rPr>
        <w:t>The current RMP rule does not require</w:t>
      </w:r>
      <w:r w:rsidRPr="0003391E">
        <w:rPr>
          <w:rFonts w:ascii="Times New Roman" w:hAnsi="Times New Roman" w:cs="Times New Roman"/>
        </w:rPr>
        <w:t xml:space="preserve"> facilities to conduct a STAA. Under the proposed rule, facilities with Program 3 processes in NAICS code 324 and 325, located within one mile of another </w:t>
      </w:r>
      <w:r w:rsidR="008E5A42">
        <w:rPr>
          <w:rFonts w:ascii="Times New Roman" w:hAnsi="Times New Roman" w:cs="Times New Roman"/>
        </w:rPr>
        <w:t xml:space="preserve">facility with </w:t>
      </w:r>
      <w:r w:rsidRPr="0003391E">
        <w:rPr>
          <w:rFonts w:ascii="Times New Roman" w:hAnsi="Times New Roman" w:cs="Times New Roman"/>
        </w:rPr>
        <w:t>a process in NAICS code 324 or 325, would be required to conduct a STAA</w:t>
      </w:r>
      <w:r w:rsidR="00825835">
        <w:rPr>
          <w:rStyle w:val="FootnoteReference"/>
          <w:rFonts w:ascii="Times New Roman" w:hAnsi="Times New Roman" w:cs="Times New Roman"/>
        </w:rPr>
        <w:footnoteReference w:id="18"/>
      </w:r>
      <w:r w:rsidRPr="0003391E">
        <w:rPr>
          <w:rFonts w:ascii="Times New Roman" w:hAnsi="Times New Roman" w:cs="Times New Roman"/>
        </w:rPr>
        <w:t xml:space="preserve">. The proposed rule would also require that all facilities in NAICS 324 using hydrofluoric acid (HF) in an alkylation unit (approximately 45 facilities) consider safer alternatives to HF alkylation, regardless of proximity to another NAICS 324- or 325-regulated facility. The STAA requirement includes two parts: the initial analysis to identify alternatives, and a practicability study to determine the costs and assess the reasonableness of implementing technology alternatives. Because EPA is proposing to require STAA only in industries with the most frequent and severe documented and continuing accidents, EPA expects the total burden of the STAA provision to be lower than the total burden that would have been imposed by the </w:t>
      </w:r>
      <w:r w:rsidR="003372C2">
        <w:rPr>
          <w:rFonts w:ascii="Times New Roman" w:hAnsi="Times New Roman" w:cs="Times New Roman"/>
        </w:rPr>
        <w:t>2017 a</w:t>
      </w:r>
      <w:r w:rsidRPr="0003391E">
        <w:rPr>
          <w:rFonts w:ascii="Times New Roman" w:hAnsi="Times New Roman" w:cs="Times New Roman"/>
        </w:rPr>
        <w:t xml:space="preserve">mendments rule’s proposed STAA provision, which applied more broadly. </w:t>
      </w:r>
    </w:p>
    <w:p w:rsidRPr="0003391E" w:rsidR="0053065E" w:rsidP="0003391E" w:rsidRDefault="0053065E" w14:paraId="206834D2" w14:textId="77777777">
      <w:pPr>
        <w:spacing w:after="0" w:line="240" w:lineRule="auto"/>
        <w:rPr>
          <w:rFonts w:ascii="Times New Roman" w:hAnsi="Times New Roman" w:cs="Times New Roman"/>
        </w:rPr>
      </w:pPr>
    </w:p>
    <w:p w:rsidRPr="0003391E" w:rsidR="00093C0A" w:rsidP="0003391E" w:rsidRDefault="00093C0A" w14:paraId="2656D2A4" w14:textId="4BEBC229">
      <w:pPr>
        <w:spacing w:after="0" w:line="240" w:lineRule="auto"/>
        <w:rPr>
          <w:rFonts w:ascii="Times New Roman" w:hAnsi="Times New Roman" w:cs="Times New Roman"/>
          <w:i/>
        </w:rPr>
      </w:pPr>
      <w:r w:rsidRPr="0003391E">
        <w:rPr>
          <w:rFonts w:ascii="Times New Roman" w:hAnsi="Times New Roman" w:cs="Times New Roman"/>
          <w:i/>
        </w:rPr>
        <w:t>Root Cause Analysis— (Proposed revisions apply to §§68.60 and 68.81)</w:t>
      </w:r>
    </w:p>
    <w:p w:rsidRPr="0003391E" w:rsidR="00093C0A" w:rsidP="00AF4AF6" w:rsidRDefault="009244BC" w14:paraId="3A1DEE67" w14:textId="4787AE41">
      <w:pPr>
        <w:spacing w:after="0" w:line="240" w:lineRule="auto"/>
        <w:ind w:firstLine="360"/>
        <w:rPr>
          <w:rFonts w:ascii="Times New Roman" w:hAnsi="Times New Roman" w:cs="Times New Roman"/>
        </w:rPr>
      </w:pPr>
      <w:r>
        <w:rPr>
          <w:rFonts w:ascii="Times New Roman" w:hAnsi="Times New Roman" w:cs="Times New Roman"/>
        </w:rPr>
        <w:tab/>
      </w:r>
      <w:r w:rsidRPr="0003391E" w:rsidR="00CD2C40">
        <w:rPr>
          <w:rFonts w:ascii="Times New Roman" w:hAnsi="Times New Roman" w:cs="Times New Roman"/>
        </w:rPr>
        <w:t xml:space="preserve">Under the </w:t>
      </w:r>
      <w:r w:rsidR="00110128">
        <w:rPr>
          <w:rFonts w:ascii="Times New Roman" w:hAnsi="Times New Roman" w:cs="Times New Roman"/>
        </w:rPr>
        <w:t>current</w:t>
      </w:r>
      <w:r w:rsidRPr="0003391E" w:rsidR="00CD2C40">
        <w:rPr>
          <w:rFonts w:ascii="Times New Roman" w:hAnsi="Times New Roman" w:cs="Times New Roman"/>
        </w:rPr>
        <w:t xml:space="preserve"> RMP r</w:t>
      </w:r>
      <w:r w:rsidR="00110128">
        <w:rPr>
          <w:rFonts w:ascii="Times New Roman" w:hAnsi="Times New Roman" w:cs="Times New Roman"/>
        </w:rPr>
        <w:t>ule</w:t>
      </w:r>
      <w:r w:rsidRPr="0003391E" w:rsidR="00CD2C40">
        <w:rPr>
          <w:rFonts w:ascii="Times New Roman" w:hAnsi="Times New Roman" w:cs="Times New Roman"/>
        </w:rPr>
        <w:t xml:space="preserve">, facilities </w:t>
      </w:r>
      <w:r w:rsidRPr="0003391E" w:rsidR="00354D92">
        <w:rPr>
          <w:rFonts w:ascii="Times New Roman" w:hAnsi="Times New Roman" w:cs="Times New Roman"/>
        </w:rPr>
        <w:t>are required to</w:t>
      </w:r>
      <w:r w:rsidRPr="0003391E" w:rsidR="00CD2C40">
        <w:rPr>
          <w:rFonts w:ascii="Times New Roman" w:hAnsi="Times New Roman" w:cs="Times New Roman"/>
        </w:rPr>
        <w:t xml:space="preserve"> conduct an incident investigation following an </w:t>
      </w:r>
      <w:r w:rsidR="00D11599">
        <w:rPr>
          <w:rFonts w:ascii="Times New Roman" w:hAnsi="Times New Roman" w:cs="Times New Roman"/>
        </w:rPr>
        <w:t>incident</w:t>
      </w:r>
      <w:r w:rsidRPr="0003391E" w:rsidR="00CD2C40">
        <w:rPr>
          <w:rFonts w:ascii="Times New Roman" w:hAnsi="Times New Roman" w:cs="Times New Roman"/>
        </w:rPr>
        <w:t xml:space="preserve"> </w:t>
      </w:r>
      <w:r w:rsidRPr="0003391E" w:rsidR="00354D92">
        <w:rPr>
          <w:rFonts w:ascii="Times New Roman" w:hAnsi="Times New Roman" w:cs="Times New Roman"/>
        </w:rPr>
        <w:t>which resulted or reasonably could have resulted in a catastrophic release.</w:t>
      </w:r>
      <w:r w:rsidRPr="0003391E" w:rsidR="00CD2C40">
        <w:rPr>
          <w:rFonts w:ascii="Times New Roman" w:hAnsi="Times New Roman" w:cs="Times New Roman"/>
        </w:rPr>
        <w:t xml:space="preserve"> </w:t>
      </w:r>
      <w:r w:rsidRPr="0003391E" w:rsidR="00EA1A08">
        <w:rPr>
          <w:rFonts w:ascii="Times New Roman" w:hAnsi="Times New Roman" w:cs="Times New Roman"/>
        </w:rPr>
        <w:t xml:space="preserve">The proposed rule would require facilities to conduct a root cause analysis as part of an incident investigation following an RMP-reportable accident. A root cause analysis is a formal process to identify underlying reasons for failures that lead to accidental releases. These analyses usually require </w:t>
      </w:r>
      <w:r w:rsidRPr="0003391E" w:rsidR="00C344D2">
        <w:rPr>
          <w:rFonts w:ascii="Times New Roman" w:hAnsi="Times New Roman" w:cs="Times New Roman"/>
        </w:rPr>
        <w:t>staff</w:t>
      </w:r>
      <w:r w:rsidRPr="0003391E" w:rsidR="00EA1A08">
        <w:rPr>
          <w:rFonts w:ascii="Times New Roman" w:hAnsi="Times New Roman" w:cs="Times New Roman"/>
        </w:rPr>
        <w:t xml:space="preserve"> trained in the technique.</w:t>
      </w:r>
      <w:r w:rsidRPr="0003391E" w:rsidR="00F37ADE">
        <w:rPr>
          <w:rFonts w:ascii="Times New Roman" w:hAnsi="Times New Roman" w:cs="Times New Roman"/>
        </w:rPr>
        <w:t xml:space="preserve"> </w:t>
      </w:r>
      <w:r w:rsidRPr="0003391E" w:rsidR="00093C0A">
        <w:rPr>
          <w:rFonts w:ascii="Times New Roman" w:hAnsi="Times New Roman" w:cs="Times New Roman"/>
        </w:rPr>
        <w:t xml:space="preserve">The proposed incident investigation revisions would apply to all facilities with Program 2 and 3 processes that experience an RMP-reportable accident. Few sources would be subject to the </w:t>
      </w:r>
      <w:r w:rsidRPr="0003391E" w:rsidR="0082058A">
        <w:rPr>
          <w:rFonts w:ascii="Times New Roman" w:hAnsi="Times New Roman" w:cs="Times New Roman"/>
        </w:rPr>
        <w:t xml:space="preserve">proposed </w:t>
      </w:r>
      <w:r w:rsidRPr="0003391E" w:rsidR="00093C0A">
        <w:rPr>
          <w:rFonts w:ascii="Times New Roman" w:hAnsi="Times New Roman" w:cs="Times New Roman"/>
        </w:rPr>
        <w:t>requirement because accidents occur at a small number of sources</w:t>
      </w:r>
      <w:r w:rsidRPr="0003391E" w:rsidR="00BC6A6A">
        <w:rPr>
          <w:rFonts w:ascii="Times New Roman" w:hAnsi="Times New Roman" w:cs="Times New Roman"/>
        </w:rPr>
        <w:t>.</w:t>
      </w:r>
      <w:r w:rsidRPr="0003391E" w:rsidR="00CD2C40">
        <w:rPr>
          <w:rFonts w:ascii="Times New Roman" w:hAnsi="Times New Roman" w:cs="Times New Roman"/>
        </w:rPr>
        <w:t xml:space="preserve"> There are approximately 100 accidents</w:t>
      </w:r>
      <w:r w:rsidRPr="0003391E" w:rsidR="00905178">
        <w:rPr>
          <w:rFonts w:ascii="Times New Roman" w:hAnsi="Times New Roman" w:cs="Times New Roman"/>
        </w:rPr>
        <w:t xml:space="preserve"> with onsite impacts</w:t>
      </w:r>
      <w:r w:rsidRPr="0003391E" w:rsidR="00CD2C40">
        <w:rPr>
          <w:rFonts w:ascii="Times New Roman" w:hAnsi="Times New Roman" w:cs="Times New Roman"/>
        </w:rPr>
        <w:t xml:space="preserve"> per year in the baseline (see Exhibit 6-</w:t>
      </w:r>
      <w:r w:rsidRPr="0003391E" w:rsidR="00905178">
        <w:rPr>
          <w:rFonts w:ascii="Times New Roman" w:hAnsi="Times New Roman" w:cs="Times New Roman"/>
        </w:rPr>
        <w:t>2)</w:t>
      </w:r>
      <w:r w:rsidR="00540D6A">
        <w:rPr>
          <w:rFonts w:ascii="Times New Roman" w:hAnsi="Times New Roman" w:cs="Times New Roman"/>
        </w:rPr>
        <w:t>.</w:t>
      </w:r>
    </w:p>
    <w:p w:rsidR="0053065E" w:rsidP="0003391E" w:rsidRDefault="0053065E" w14:paraId="76E94ADF" w14:textId="77777777">
      <w:pPr>
        <w:spacing w:after="0" w:line="240" w:lineRule="auto"/>
        <w:ind w:firstLine="720"/>
        <w:rPr>
          <w:rFonts w:ascii="Times New Roman" w:hAnsi="Times New Roman" w:cs="Times New Roman"/>
        </w:rPr>
      </w:pPr>
    </w:p>
    <w:p w:rsidRPr="0003391E" w:rsidR="00D243A1" w:rsidP="00D243A1" w:rsidRDefault="00D243A1" w14:paraId="79077DB2" w14:textId="7394305A">
      <w:pPr>
        <w:spacing w:after="0" w:line="240" w:lineRule="auto"/>
        <w:rPr>
          <w:rFonts w:ascii="Times New Roman" w:hAnsi="Times New Roman" w:cs="Times New Roman"/>
          <w:i/>
        </w:rPr>
      </w:pPr>
      <w:r w:rsidRPr="0003391E">
        <w:rPr>
          <w:rFonts w:ascii="Times New Roman" w:hAnsi="Times New Roman" w:cs="Times New Roman"/>
          <w:i/>
        </w:rPr>
        <w:t>Third-Party Audits— (Proposed revisions apply to §§68.58 and 68.79 and new §§68.59 and 68.80)</w:t>
      </w:r>
    </w:p>
    <w:p w:rsidR="00D243A1" w:rsidP="00D243A1" w:rsidRDefault="00D243A1" w14:paraId="2F6E12DF" w14:textId="7CB4F60C">
      <w:pPr>
        <w:spacing w:after="0" w:line="240" w:lineRule="auto"/>
        <w:ind w:firstLine="360"/>
        <w:rPr>
          <w:rFonts w:ascii="Times New Roman" w:hAnsi="Times New Roman" w:cs="Times New Roman"/>
        </w:rPr>
      </w:pPr>
      <w:r>
        <w:rPr>
          <w:rFonts w:ascii="Times New Roman" w:hAnsi="Times New Roman" w:cs="Times New Roman"/>
        </w:rPr>
        <w:tab/>
      </w:r>
      <w:r w:rsidRPr="0003391E">
        <w:rPr>
          <w:rFonts w:ascii="Times New Roman" w:hAnsi="Times New Roman" w:cs="Times New Roman"/>
        </w:rPr>
        <w:t xml:space="preserve">The </w:t>
      </w:r>
      <w:r>
        <w:rPr>
          <w:rFonts w:ascii="Times New Roman" w:hAnsi="Times New Roman" w:cs="Times New Roman"/>
        </w:rPr>
        <w:t>current</w:t>
      </w:r>
      <w:r w:rsidR="00110128">
        <w:rPr>
          <w:rFonts w:ascii="Times New Roman" w:hAnsi="Times New Roman" w:cs="Times New Roman"/>
        </w:rPr>
        <w:t xml:space="preserve"> RMP</w:t>
      </w:r>
      <w:r w:rsidRPr="0003391E">
        <w:rPr>
          <w:rFonts w:ascii="Times New Roman" w:hAnsi="Times New Roman" w:cs="Times New Roman"/>
        </w:rPr>
        <w:t xml:space="preserve"> rule requires facilities to conduct a compliance audit of Program 2 and Program 3 processes at least once every three years. The proposed rule also applicable to Program 2 and Program 3 processes would require the next required compliance audit to be a third-party audit when any one of the following conditions applies:</w:t>
      </w:r>
    </w:p>
    <w:p w:rsidRPr="0003391E" w:rsidR="00D243A1" w:rsidP="00D243A1" w:rsidRDefault="00D243A1" w14:paraId="2CD6BC92" w14:textId="77777777">
      <w:pPr>
        <w:spacing w:after="0" w:line="240" w:lineRule="auto"/>
        <w:ind w:firstLine="360"/>
        <w:rPr>
          <w:rFonts w:ascii="Times New Roman" w:hAnsi="Times New Roman" w:cs="Times New Roman"/>
        </w:rPr>
      </w:pPr>
    </w:p>
    <w:p w:rsidRPr="00AF4AF6" w:rsidR="00D243A1" w:rsidP="00D243A1" w:rsidRDefault="00D243A1" w14:paraId="450CF26C" w14:textId="77777777">
      <w:pPr>
        <w:pStyle w:val="ListParagraph"/>
        <w:numPr>
          <w:ilvl w:val="0"/>
          <w:numId w:val="16"/>
        </w:numPr>
        <w:spacing w:after="0" w:line="240" w:lineRule="auto"/>
        <w:contextualSpacing w:val="0"/>
        <w:rPr>
          <w:rFonts w:ascii="Times New Roman" w:hAnsi="Times New Roman" w:cs="Times New Roman"/>
        </w:rPr>
      </w:pPr>
      <w:r w:rsidRPr="0003391E">
        <w:rPr>
          <w:rFonts w:ascii="Times New Roman" w:hAnsi="Times New Roman" w:cs="Times New Roman"/>
        </w:rPr>
        <w:t>The facility has had two RMP-reportable accidents within five years; or</w:t>
      </w:r>
    </w:p>
    <w:p w:rsidRPr="00AF4AF6" w:rsidR="00D243A1" w:rsidP="00D243A1" w:rsidRDefault="00D243A1" w14:paraId="1CBCFAB8" w14:textId="750DD004">
      <w:pPr>
        <w:pStyle w:val="ListParagraph"/>
        <w:numPr>
          <w:ilvl w:val="0"/>
          <w:numId w:val="16"/>
        </w:numPr>
        <w:spacing w:after="0" w:line="240" w:lineRule="auto"/>
        <w:contextualSpacing w:val="0"/>
        <w:rPr>
          <w:rFonts w:ascii="Times New Roman" w:hAnsi="Times New Roman" w:cs="Times New Roman"/>
        </w:rPr>
      </w:pPr>
      <w:r w:rsidRPr="0003391E">
        <w:rPr>
          <w:rFonts w:ascii="Times New Roman" w:hAnsi="Times New Roman" w:cs="Times New Roman"/>
        </w:rPr>
        <w:t xml:space="preserve">A facility with a </w:t>
      </w:r>
      <w:r w:rsidR="00D11599">
        <w:rPr>
          <w:rFonts w:ascii="Times New Roman" w:hAnsi="Times New Roman" w:cs="Times New Roman"/>
        </w:rPr>
        <w:t xml:space="preserve">Program 3 </w:t>
      </w:r>
      <w:r w:rsidRPr="0003391E">
        <w:rPr>
          <w:rFonts w:ascii="Times New Roman" w:hAnsi="Times New Roman" w:cs="Times New Roman"/>
        </w:rPr>
        <w:t>process in NAICS codes 324 or 325 has had one RMP-reportable accident from the</w:t>
      </w:r>
      <w:r w:rsidRPr="0003391E" w:rsidDel="00A66A70">
        <w:rPr>
          <w:rFonts w:ascii="Times New Roman" w:hAnsi="Times New Roman" w:cs="Times New Roman"/>
        </w:rPr>
        <w:t xml:space="preserve"> NAICS 324 or 325</w:t>
      </w:r>
      <w:r w:rsidRPr="0003391E">
        <w:rPr>
          <w:rFonts w:ascii="Times New Roman" w:hAnsi="Times New Roman" w:cs="Times New Roman"/>
        </w:rPr>
        <w:t xml:space="preserve"> process within the past five years, located within one mile of another facility with</w:t>
      </w:r>
      <w:r w:rsidRPr="0003391E" w:rsidDel="00A66A70">
        <w:rPr>
          <w:rFonts w:ascii="Times New Roman" w:hAnsi="Times New Roman" w:cs="Times New Roman"/>
        </w:rPr>
        <w:t xml:space="preserve"> a process</w:t>
      </w:r>
      <w:r w:rsidRPr="0003391E">
        <w:rPr>
          <w:rFonts w:ascii="Times New Roman" w:hAnsi="Times New Roman" w:cs="Times New Roman"/>
        </w:rPr>
        <w:t xml:space="preserve"> in NAICS code 324 or </w:t>
      </w:r>
      <w:proofErr w:type="gramStart"/>
      <w:r w:rsidRPr="0003391E">
        <w:rPr>
          <w:rFonts w:ascii="Times New Roman" w:hAnsi="Times New Roman" w:cs="Times New Roman"/>
        </w:rPr>
        <w:t>325;</w:t>
      </w:r>
      <w:proofErr w:type="gramEnd"/>
      <w:r w:rsidRPr="0003391E">
        <w:rPr>
          <w:rFonts w:ascii="Times New Roman" w:hAnsi="Times New Roman" w:cs="Times New Roman"/>
        </w:rPr>
        <w:t xml:space="preserve"> or</w:t>
      </w:r>
    </w:p>
    <w:p w:rsidRPr="0003391E" w:rsidR="00D243A1" w:rsidP="00D243A1" w:rsidRDefault="00D243A1" w14:paraId="18EB2463" w14:textId="2DF21A99">
      <w:pPr>
        <w:pStyle w:val="ListParagraph"/>
        <w:numPr>
          <w:ilvl w:val="0"/>
          <w:numId w:val="16"/>
        </w:numPr>
        <w:spacing w:after="0" w:line="240" w:lineRule="auto"/>
        <w:contextualSpacing w:val="0"/>
        <w:rPr>
          <w:rFonts w:ascii="Times New Roman" w:hAnsi="Times New Roman" w:cs="Times New Roman"/>
        </w:rPr>
      </w:pPr>
      <w:r w:rsidRPr="0003391E">
        <w:rPr>
          <w:rFonts w:ascii="Times New Roman" w:hAnsi="Times New Roman" w:cs="Times New Roman"/>
        </w:rPr>
        <w:t>An implementing agency requires a third-party audit either due to conditions at the stationary source that could lead to an accidental release of a regulated substance, or due to a previous third-party audit that failed to meet the competency or independence criteria of § 68.80(c).</w:t>
      </w:r>
    </w:p>
    <w:p w:rsidRPr="0003391E" w:rsidR="00D243A1" w:rsidP="00D243A1" w:rsidRDefault="00D243A1" w14:paraId="0FDF9EA5" w14:textId="77777777">
      <w:pPr>
        <w:spacing w:after="0" w:line="240" w:lineRule="auto"/>
        <w:ind w:left="720"/>
        <w:rPr>
          <w:rFonts w:ascii="Times New Roman" w:hAnsi="Times New Roman" w:cs="Times New Roman"/>
        </w:rPr>
      </w:pPr>
      <w:r w:rsidRPr="0003391E">
        <w:rPr>
          <w:rFonts w:ascii="Times New Roman" w:hAnsi="Times New Roman" w:cs="Times New Roman"/>
        </w:rPr>
        <w:tab/>
      </w:r>
    </w:p>
    <w:p w:rsidRPr="0003391E" w:rsidR="00D243A1" w:rsidP="00D243A1" w:rsidRDefault="00D243A1" w14:paraId="10D5C7A8" w14:textId="495F0A76">
      <w:pPr>
        <w:spacing w:after="0" w:line="240" w:lineRule="auto"/>
        <w:ind w:firstLine="360"/>
        <w:rPr>
          <w:rFonts w:ascii="Times New Roman" w:hAnsi="Times New Roman" w:cs="Times New Roman"/>
        </w:rPr>
      </w:pPr>
      <w:r>
        <w:rPr>
          <w:rFonts w:ascii="Times New Roman" w:hAnsi="Times New Roman" w:cs="Times New Roman"/>
        </w:rPr>
        <w:lastRenderedPageBreak/>
        <w:tab/>
      </w:r>
      <w:r w:rsidRPr="0003391E">
        <w:rPr>
          <w:rFonts w:ascii="Times New Roman" w:hAnsi="Times New Roman" w:cs="Times New Roman"/>
        </w:rPr>
        <w:t>EPA believes that these proposed third-party audit provisions would help ensure that owners and operators of RMP facilities objectively and adequately explore all opportunities to prevent or minimize accidental releases of regulated substances to protect human health and the environment. EPA estimates that only a small number of facilities would be subject to the third-party audit requirement each year.</w:t>
      </w:r>
    </w:p>
    <w:p w:rsidR="00D11599" w:rsidP="0003391E" w:rsidRDefault="00D11599" w14:paraId="78CCE57F" w14:textId="77777777">
      <w:pPr>
        <w:spacing w:after="0" w:line="240" w:lineRule="auto"/>
        <w:rPr>
          <w:rFonts w:ascii="Times New Roman" w:hAnsi="Times New Roman" w:cs="Times New Roman"/>
          <w:i/>
        </w:rPr>
      </w:pPr>
    </w:p>
    <w:p w:rsidR="00093C0A" w:rsidP="0003391E" w:rsidRDefault="00093C0A" w14:paraId="26B166CA" w14:textId="3BF31DD9">
      <w:pPr>
        <w:spacing w:after="0" w:line="240" w:lineRule="auto"/>
        <w:rPr>
          <w:rFonts w:ascii="Times New Roman" w:hAnsi="Times New Roman" w:cs="Times New Roman"/>
          <w:i/>
        </w:rPr>
      </w:pPr>
      <w:r w:rsidRPr="0003391E">
        <w:rPr>
          <w:rFonts w:ascii="Times New Roman" w:hAnsi="Times New Roman" w:cs="Times New Roman"/>
          <w:i/>
        </w:rPr>
        <w:t>Employee Participation—</w:t>
      </w:r>
      <w:r>
        <w:rPr>
          <w:rFonts w:ascii="Times New Roman" w:hAnsi="Times New Roman" w:cs="Times New Roman"/>
          <w:i/>
          <w:iCs/>
        </w:rPr>
        <w:t xml:space="preserve"> </w:t>
      </w:r>
      <w:r w:rsidRPr="0003391E">
        <w:rPr>
          <w:rFonts w:ascii="Times New Roman" w:hAnsi="Times New Roman" w:cs="Times New Roman"/>
          <w:i/>
        </w:rPr>
        <w:t>(</w:t>
      </w:r>
      <w:r>
        <w:rPr>
          <w:rFonts w:ascii="Times New Roman" w:hAnsi="Times New Roman" w:cs="Times New Roman"/>
          <w:i/>
          <w:iCs/>
        </w:rPr>
        <w:t>P</w:t>
      </w:r>
      <w:r w:rsidRPr="0003391E">
        <w:rPr>
          <w:rFonts w:ascii="Times New Roman" w:hAnsi="Times New Roman" w:cs="Times New Roman"/>
          <w:i/>
        </w:rPr>
        <w:t>roposed</w:t>
      </w:r>
      <w:r w:rsidR="00546AF0">
        <w:rPr>
          <w:rFonts w:ascii="Times New Roman" w:hAnsi="Times New Roman" w:cs="Times New Roman"/>
          <w:i/>
          <w:iCs/>
        </w:rPr>
        <w:t xml:space="preserve"> P</w:t>
      </w:r>
      <w:r w:rsidRPr="0003391E">
        <w:rPr>
          <w:rFonts w:ascii="Times New Roman" w:hAnsi="Times New Roman" w:cs="Times New Roman"/>
          <w:i/>
        </w:rPr>
        <w:t>r</w:t>
      </w:r>
      <w:r w:rsidRPr="0003391E" w:rsidR="00546AF0">
        <w:rPr>
          <w:rFonts w:ascii="Times New Roman" w:hAnsi="Times New Roman" w:cs="Times New Roman"/>
          <w:i/>
        </w:rPr>
        <w:t>o</w:t>
      </w:r>
      <w:r w:rsidRPr="0003391E">
        <w:rPr>
          <w:rFonts w:ascii="Times New Roman" w:hAnsi="Times New Roman" w:cs="Times New Roman"/>
          <w:i/>
        </w:rPr>
        <w:t>visions apply to §68.83)</w:t>
      </w:r>
    </w:p>
    <w:p w:rsidRPr="0003391E" w:rsidR="00354D92" w:rsidP="1AC11E7E" w:rsidRDefault="009244BC" w14:paraId="5693B31B" w14:textId="69C9D1D3">
      <w:pPr>
        <w:pStyle w:val="NormalWeb"/>
        <w:shd w:val="clear" w:color="auto" w:fill="FFFFFF" w:themeFill="background1"/>
        <w:spacing w:before="0" w:beforeAutospacing="0" w:after="0" w:afterAutospacing="0"/>
        <w:ind w:firstLine="360"/>
        <w:rPr>
          <w:color w:val="242424"/>
          <w:sz w:val="22"/>
          <w:szCs w:val="22"/>
        </w:rPr>
      </w:pPr>
      <w:r>
        <w:rPr>
          <w:sz w:val="22"/>
          <w:szCs w:val="22"/>
        </w:rPr>
        <w:tab/>
      </w:r>
      <w:r w:rsidR="0031735F">
        <w:rPr>
          <w:sz w:val="22"/>
          <w:szCs w:val="22"/>
        </w:rPr>
        <w:t>Under the current RMP rule</w:t>
      </w:r>
      <w:r w:rsidRPr="0003391E" w:rsidR="00CD2C40">
        <w:rPr>
          <w:sz w:val="22"/>
          <w:szCs w:val="22"/>
        </w:rPr>
        <w:t xml:space="preserve">, </w:t>
      </w:r>
      <w:r w:rsidR="004D4A61">
        <w:rPr>
          <w:sz w:val="22"/>
          <w:szCs w:val="22"/>
        </w:rPr>
        <w:t xml:space="preserve">Program 3 process </w:t>
      </w:r>
      <w:r w:rsidRPr="0003391E" w:rsidR="00CD2C40">
        <w:rPr>
          <w:sz w:val="22"/>
          <w:szCs w:val="22"/>
        </w:rPr>
        <w:t>facil</w:t>
      </w:r>
      <w:r w:rsidRPr="0003391E" w:rsidR="00B4618C">
        <w:rPr>
          <w:sz w:val="22"/>
          <w:szCs w:val="22"/>
        </w:rPr>
        <w:t>i</w:t>
      </w:r>
      <w:r w:rsidRPr="0003391E" w:rsidR="00CD2C40">
        <w:rPr>
          <w:sz w:val="22"/>
          <w:szCs w:val="22"/>
        </w:rPr>
        <w:t>t</w:t>
      </w:r>
      <w:r w:rsidR="004D4A61">
        <w:rPr>
          <w:sz w:val="22"/>
          <w:szCs w:val="22"/>
        </w:rPr>
        <w:t>ies’</w:t>
      </w:r>
      <w:r w:rsidR="004F07E0">
        <w:rPr>
          <w:sz w:val="22"/>
          <w:szCs w:val="22"/>
        </w:rPr>
        <w:t xml:space="preserve"> </w:t>
      </w:r>
      <w:r w:rsidRPr="0003391E" w:rsidR="00CD2C40">
        <w:rPr>
          <w:sz w:val="22"/>
          <w:szCs w:val="22"/>
        </w:rPr>
        <w:t>employee participation plans require</w:t>
      </w:r>
      <w:r w:rsidRPr="0003391E" w:rsidR="00354D92">
        <w:rPr>
          <w:color w:val="242424"/>
          <w:sz w:val="22"/>
          <w:szCs w:val="22"/>
        </w:rPr>
        <w:t> the owner or operator to consult with employees and their representatives on the conduct and development of process hazards analyses and on the development of the other elements of process safety management. The owner or operator</w:t>
      </w:r>
      <w:r w:rsidR="006626C9">
        <w:rPr>
          <w:color w:val="242424"/>
          <w:sz w:val="22"/>
          <w:szCs w:val="22"/>
        </w:rPr>
        <w:t xml:space="preserve"> must</w:t>
      </w:r>
      <w:r w:rsidRPr="0003391E" w:rsidR="00354D92">
        <w:rPr>
          <w:color w:val="242424"/>
          <w:sz w:val="22"/>
          <w:szCs w:val="22"/>
        </w:rPr>
        <w:t xml:space="preserve"> provide to employees and their representatives access to process hazard analyses and to all other information required to be developed under this rule.</w:t>
      </w:r>
    </w:p>
    <w:p w:rsidRPr="0003391E" w:rsidR="00354D92" w:rsidP="0003391E" w:rsidRDefault="00354D92" w14:paraId="7B4AE3BB" w14:textId="77777777">
      <w:pPr>
        <w:pStyle w:val="CommentText"/>
        <w:spacing w:after="0"/>
        <w:rPr>
          <w:rFonts w:ascii="Times New Roman" w:hAnsi="Times New Roman" w:cs="Times New Roman"/>
          <w:sz w:val="22"/>
          <w:szCs w:val="22"/>
        </w:rPr>
      </w:pPr>
    </w:p>
    <w:p w:rsidR="0036570B" w:rsidP="00AF4AF6" w:rsidRDefault="009244BC" w14:paraId="3FE04FC6" w14:textId="5CB43653">
      <w:pPr>
        <w:spacing w:after="0" w:line="240" w:lineRule="auto"/>
        <w:ind w:firstLine="360"/>
        <w:rPr>
          <w:rFonts w:ascii="Times New Roman" w:hAnsi="Times New Roman" w:cs="Times New Roman"/>
        </w:rPr>
      </w:pPr>
      <w:r>
        <w:rPr>
          <w:rFonts w:ascii="Times New Roman" w:hAnsi="Times New Roman" w:cs="Times New Roman"/>
        </w:rPr>
        <w:tab/>
      </w:r>
      <w:r w:rsidRPr="0003391E" w:rsidR="0036570B">
        <w:rPr>
          <w:rFonts w:ascii="Times New Roman" w:hAnsi="Times New Roman" w:cs="Times New Roman"/>
        </w:rPr>
        <w:t>The proposed rule would revise 40 CFR 68.83 and other aspects of employee participation to require three new components</w:t>
      </w:r>
      <w:r w:rsidR="00AF4AF6">
        <w:rPr>
          <w:rFonts w:ascii="Times New Roman" w:hAnsi="Times New Roman" w:cs="Times New Roman"/>
        </w:rPr>
        <w:t>:</w:t>
      </w:r>
    </w:p>
    <w:p w:rsidRPr="0003391E" w:rsidR="00AF4AF6" w:rsidP="00AF4AF6" w:rsidRDefault="00AF4AF6" w14:paraId="14205E63" w14:textId="77777777">
      <w:pPr>
        <w:spacing w:after="0" w:line="240" w:lineRule="auto"/>
        <w:ind w:firstLine="360"/>
        <w:rPr>
          <w:rFonts w:ascii="Times New Roman" w:hAnsi="Times New Roman" w:cs="Times New Roman"/>
        </w:rPr>
      </w:pPr>
    </w:p>
    <w:p w:rsidRPr="00AF4AF6" w:rsidR="005D0805" w:rsidP="00AF4AF6" w:rsidRDefault="0036570B" w14:paraId="00A8FE1B" w14:textId="0BDB9A3B">
      <w:pPr>
        <w:pStyle w:val="ListParagraph"/>
        <w:numPr>
          <w:ilvl w:val="0"/>
          <w:numId w:val="14"/>
        </w:numPr>
        <w:spacing w:after="0" w:line="240" w:lineRule="auto"/>
        <w:contextualSpacing w:val="0"/>
        <w:rPr>
          <w:rFonts w:ascii="Times New Roman" w:hAnsi="Times New Roman" w:cs="Times New Roman"/>
        </w:rPr>
      </w:pPr>
      <w:r w:rsidRPr="0003391E">
        <w:rPr>
          <w:rFonts w:ascii="Times New Roman" w:hAnsi="Times New Roman" w:cs="Times New Roman"/>
        </w:rPr>
        <w:t xml:space="preserve">The </w:t>
      </w:r>
      <w:r w:rsidR="004D4A61">
        <w:rPr>
          <w:rFonts w:ascii="Times New Roman" w:hAnsi="Times New Roman" w:cs="Times New Roman"/>
        </w:rPr>
        <w:t xml:space="preserve">Program 3 </w:t>
      </w:r>
      <w:r w:rsidRPr="0003391E" w:rsidR="00354D92">
        <w:rPr>
          <w:rFonts w:ascii="Times New Roman" w:hAnsi="Times New Roman" w:cs="Times New Roman"/>
        </w:rPr>
        <w:t>employee participation</w:t>
      </w:r>
      <w:r w:rsidRPr="0003391E">
        <w:rPr>
          <w:rFonts w:ascii="Times New Roman" w:hAnsi="Times New Roman" w:cs="Times New Roman"/>
        </w:rPr>
        <w:t xml:space="preserve"> plan must include the consultation of employees and their representatives regarding how to address, correct, resolve, document, and implement recommendations of process hazard analyses, incident investigations, and compliance audits. </w:t>
      </w:r>
    </w:p>
    <w:p w:rsidRPr="00AF4AF6" w:rsidR="00587204" w:rsidP="00587204" w:rsidRDefault="00587204" w14:paraId="4E75D9DA" w14:textId="77777777">
      <w:pPr>
        <w:pStyle w:val="ListParagraph"/>
        <w:spacing w:after="0" w:line="240" w:lineRule="auto"/>
        <w:ind w:left="1080"/>
        <w:contextualSpacing w:val="0"/>
        <w:rPr>
          <w:rFonts w:ascii="Times New Roman" w:hAnsi="Times New Roman" w:cs="Times New Roman"/>
        </w:rPr>
      </w:pPr>
    </w:p>
    <w:p w:rsidR="00AF4AF6" w:rsidP="00AF4AF6" w:rsidRDefault="0036570B" w14:paraId="51BDD91E" w14:textId="7E4E36BF">
      <w:pPr>
        <w:pStyle w:val="ListParagraph"/>
        <w:numPr>
          <w:ilvl w:val="0"/>
          <w:numId w:val="14"/>
        </w:numPr>
        <w:spacing w:after="0" w:line="240" w:lineRule="auto"/>
        <w:contextualSpacing w:val="0"/>
        <w:rPr>
          <w:rFonts w:ascii="Times New Roman" w:hAnsi="Times New Roman" w:cs="Times New Roman"/>
        </w:rPr>
      </w:pPr>
      <w:r w:rsidRPr="0003391E">
        <w:rPr>
          <w:rFonts w:ascii="Times New Roman" w:hAnsi="Times New Roman" w:cs="Times New Roman"/>
        </w:rPr>
        <w:t xml:space="preserve">The </w:t>
      </w:r>
      <w:r w:rsidR="004D4A61">
        <w:rPr>
          <w:rFonts w:ascii="Times New Roman" w:hAnsi="Times New Roman" w:cs="Times New Roman"/>
        </w:rPr>
        <w:t xml:space="preserve">Program 3 </w:t>
      </w:r>
      <w:r w:rsidRPr="0003391E" w:rsidR="00354D92">
        <w:rPr>
          <w:rFonts w:ascii="Times New Roman" w:hAnsi="Times New Roman" w:cs="Times New Roman"/>
        </w:rPr>
        <w:t>employee participation plan</w:t>
      </w:r>
      <w:r w:rsidRPr="0003391E">
        <w:rPr>
          <w:rFonts w:ascii="Times New Roman" w:hAnsi="Times New Roman" w:cs="Times New Roman"/>
        </w:rPr>
        <w:t xml:space="preserve"> must include and ensure that effective methods are in place so that employees and their representatives have specific</w:t>
      </w:r>
      <w:r w:rsidR="004D4A61">
        <w:rPr>
          <w:rFonts w:ascii="Times New Roman" w:hAnsi="Times New Roman" w:cs="Times New Roman"/>
        </w:rPr>
        <w:t xml:space="preserve"> stop work </w:t>
      </w:r>
      <w:r w:rsidRPr="0003391E">
        <w:rPr>
          <w:rFonts w:ascii="Times New Roman" w:hAnsi="Times New Roman" w:cs="Times New Roman"/>
        </w:rPr>
        <w:t>authorities</w:t>
      </w:r>
      <w:r w:rsidR="004D4A61">
        <w:rPr>
          <w:rFonts w:ascii="Times New Roman" w:hAnsi="Times New Roman" w:cs="Times New Roman"/>
        </w:rPr>
        <w:t xml:space="preserve"> based on a potential for a catastrophic release. </w:t>
      </w:r>
      <w:r w:rsidRPr="0003391E">
        <w:rPr>
          <w:rFonts w:ascii="Times New Roman" w:hAnsi="Times New Roman" w:cs="Times New Roman"/>
        </w:rPr>
        <w:t>The specific authorities must include:</w:t>
      </w:r>
    </w:p>
    <w:p w:rsidR="00AF4AF6" w:rsidP="00AF4AF6" w:rsidRDefault="00402856" w14:paraId="07B5A3F0" w14:textId="77777777">
      <w:pPr>
        <w:pStyle w:val="ListParagraph"/>
        <w:numPr>
          <w:ilvl w:val="1"/>
          <w:numId w:val="14"/>
        </w:numPr>
        <w:spacing w:after="0" w:line="240" w:lineRule="auto"/>
        <w:contextualSpacing w:val="0"/>
        <w:rPr>
          <w:rFonts w:ascii="Times New Roman" w:hAnsi="Times New Roman" w:cs="Times New Roman"/>
        </w:rPr>
      </w:pPr>
      <w:r w:rsidRPr="00AF4AF6">
        <w:rPr>
          <w:rFonts w:ascii="Times New Roman" w:hAnsi="Times New Roman" w:cs="Times New Roman"/>
        </w:rPr>
        <w:t>R</w:t>
      </w:r>
      <w:r w:rsidRPr="00AF4AF6" w:rsidR="0036570B">
        <w:rPr>
          <w:rFonts w:ascii="Times New Roman" w:hAnsi="Times New Roman" w:cs="Times New Roman"/>
        </w:rPr>
        <w:t xml:space="preserve">efusing to perform a </w:t>
      </w:r>
      <w:proofErr w:type="gramStart"/>
      <w:r w:rsidRPr="00AF4AF6" w:rsidR="0036570B">
        <w:rPr>
          <w:rFonts w:ascii="Times New Roman" w:hAnsi="Times New Roman" w:cs="Times New Roman"/>
        </w:rPr>
        <w:t>task</w:t>
      </w:r>
      <w:r w:rsidRPr="00AF4AF6" w:rsidR="00AF4AF6">
        <w:rPr>
          <w:rFonts w:ascii="Times New Roman" w:hAnsi="Times New Roman" w:cs="Times New Roman"/>
        </w:rPr>
        <w:t>;</w:t>
      </w:r>
      <w:proofErr w:type="gramEnd"/>
    </w:p>
    <w:p w:rsidR="00AF4AF6" w:rsidP="00AF4AF6" w:rsidRDefault="00402856" w14:paraId="7BBBBF67" w14:textId="77777777">
      <w:pPr>
        <w:pStyle w:val="ListParagraph"/>
        <w:numPr>
          <w:ilvl w:val="1"/>
          <w:numId w:val="14"/>
        </w:numPr>
        <w:spacing w:after="0" w:line="240" w:lineRule="auto"/>
        <w:contextualSpacing w:val="0"/>
        <w:rPr>
          <w:rFonts w:ascii="Times New Roman" w:hAnsi="Times New Roman" w:cs="Times New Roman"/>
        </w:rPr>
      </w:pPr>
      <w:r w:rsidRPr="00AF4AF6">
        <w:rPr>
          <w:rFonts w:ascii="Times New Roman" w:hAnsi="Times New Roman" w:cs="Times New Roman"/>
        </w:rPr>
        <w:t>R</w:t>
      </w:r>
      <w:r w:rsidRPr="00AF4AF6" w:rsidR="0036570B">
        <w:rPr>
          <w:rFonts w:ascii="Times New Roman" w:hAnsi="Times New Roman" w:cs="Times New Roman"/>
        </w:rPr>
        <w:t xml:space="preserve">ecommending to the operator in charge of a unit that an operation or process be partially or completely shut </w:t>
      </w:r>
      <w:proofErr w:type="gramStart"/>
      <w:r w:rsidRPr="00AF4AF6" w:rsidR="0036570B">
        <w:rPr>
          <w:rFonts w:ascii="Times New Roman" w:hAnsi="Times New Roman" w:cs="Times New Roman"/>
        </w:rPr>
        <w:t>down</w:t>
      </w:r>
      <w:r w:rsidRPr="00AF4AF6" w:rsidR="00AF4AF6">
        <w:rPr>
          <w:rFonts w:ascii="Times New Roman" w:hAnsi="Times New Roman" w:cs="Times New Roman"/>
        </w:rPr>
        <w:t>;</w:t>
      </w:r>
      <w:proofErr w:type="gramEnd"/>
    </w:p>
    <w:p w:rsidRPr="00AF4AF6" w:rsidR="0036570B" w:rsidP="00AF4AF6" w:rsidRDefault="00402856" w14:paraId="03AF6FAC" w14:textId="09F11ECF">
      <w:pPr>
        <w:pStyle w:val="ListParagraph"/>
        <w:numPr>
          <w:ilvl w:val="1"/>
          <w:numId w:val="14"/>
        </w:numPr>
        <w:spacing w:after="0" w:line="240" w:lineRule="auto"/>
        <w:contextualSpacing w:val="0"/>
        <w:rPr>
          <w:rFonts w:ascii="Times New Roman" w:hAnsi="Times New Roman" w:cs="Times New Roman"/>
        </w:rPr>
      </w:pPr>
      <w:r w:rsidRPr="00AF4AF6">
        <w:rPr>
          <w:rFonts w:ascii="Times New Roman" w:hAnsi="Times New Roman" w:cs="Times New Roman"/>
        </w:rPr>
        <w:t>A</w:t>
      </w:r>
      <w:r w:rsidRPr="00AF4AF6" w:rsidR="0036570B">
        <w:rPr>
          <w:rFonts w:ascii="Times New Roman" w:hAnsi="Times New Roman" w:cs="Times New Roman"/>
        </w:rPr>
        <w:t xml:space="preserve">llowing a qualified operator in charge of a unit to decide and </w:t>
      </w:r>
      <w:proofErr w:type="gramStart"/>
      <w:r w:rsidRPr="00AF4AF6" w:rsidR="0036570B">
        <w:rPr>
          <w:rFonts w:ascii="Times New Roman" w:hAnsi="Times New Roman" w:cs="Times New Roman"/>
        </w:rPr>
        <w:t>take action</w:t>
      </w:r>
      <w:proofErr w:type="gramEnd"/>
      <w:r w:rsidRPr="00AF4AF6" w:rsidR="0036570B">
        <w:rPr>
          <w:rFonts w:ascii="Times New Roman" w:hAnsi="Times New Roman" w:cs="Times New Roman"/>
        </w:rPr>
        <w:t xml:space="preserve"> to partially or completely shut down an operation or process. The stop work authority processes within employee participation plans would be required to outline how employers should document and respond</w:t>
      </w:r>
      <w:r w:rsidRPr="00AF4AF6">
        <w:rPr>
          <w:rFonts w:ascii="Times New Roman" w:hAnsi="Times New Roman" w:cs="Times New Roman"/>
        </w:rPr>
        <w:t xml:space="preserve"> </w:t>
      </w:r>
      <w:r w:rsidRPr="00AF4AF6" w:rsidR="0036570B">
        <w:rPr>
          <w:rFonts w:ascii="Times New Roman" w:hAnsi="Times New Roman" w:cs="Times New Roman"/>
        </w:rPr>
        <w:t>to employee reports of hazards or employee recommendations to shut down or partially shut down a process</w:t>
      </w:r>
      <w:r w:rsidRPr="00AF4AF6">
        <w:rPr>
          <w:rFonts w:ascii="Times New Roman" w:hAnsi="Times New Roman" w:cs="Times New Roman"/>
        </w:rPr>
        <w:t>, within 30 days in writing.</w:t>
      </w:r>
    </w:p>
    <w:p w:rsidRPr="00AF4AF6" w:rsidR="00587204" w:rsidP="00587204" w:rsidRDefault="00587204" w14:paraId="42143A48" w14:textId="77777777">
      <w:pPr>
        <w:pStyle w:val="ListParagraph"/>
        <w:spacing w:after="0" w:line="240" w:lineRule="auto"/>
        <w:ind w:left="1800"/>
        <w:contextualSpacing w:val="0"/>
        <w:rPr>
          <w:rFonts w:ascii="Times New Roman" w:hAnsi="Times New Roman" w:cs="Times New Roman"/>
        </w:rPr>
      </w:pPr>
    </w:p>
    <w:p w:rsidR="0036570B" w:rsidP="0003391E" w:rsidRDefault="0036570B" w14:paraId="6AC30D8E" w14:textId="77D05EFD">
      <w:pPr>
        <w:pStyle w:val="ListParagraph"/>
        <w:numPr>
          <w:ilvl w:val="0"/>
          <w:numId w:val="14"/>
        </w:numPr>
        <w:spacing w:after="0" w:line="240" w:lineRule="auto"/>
        <w:contextualSpacing w:val="0"/>
        <w:rPr>
          <w:rFonts w:ascii="Times New Roman" w:hAnsi="Times New Roman" w:cs="Times New Roman"/>
        </w:rPr>
      </w:pPr>
      <w:r w:rsidRPr="0003391E">
        <w:rPr>
          <w:rFonts w:ascii="Times New Roman" w:hAnsi="Times New Roman" w:cs="Times New Roman"/>
        </w:rPr>
        <w:t xml:space="preserve">Because EPA recognizes </w:t>
      </w:r>
      <w:r w:rsidRPr="0003391E" w:rsidR="00402856">
        <w:rPr>
          <w:rFonts w:ascii="Times New Roman" w:hAnsi="Times New Roman" w:cs="Times New Roman"/>
        </w:rPr>
        <w:t>t</w:t>
      </w:r>
      <w:r w:rsidRPr="0003391E">
        <w:rPr>
          <w:rFonts w:ascii="Times New Roman" w:hAnsi="Times New Roman" w:cs="Times New Roman"/>
        </w:rPr>
        <w:t xml:space="preserve">hat workers may often overlook hazards or areas that they know are non-compliant with RMP regulations </w:t>
      </w:r>
      <w:r w:rsidRPr="0003391E" w:rsidR="00A6762E">
        <w:rPr>
          <w:rFonts w:ascii="Times New Roman" w:hAnsi="Times New Roman" w:cs="Times New Roman"/>
        </w:rPr>
        <w:t>out of</w:t>
      </w:r>
      <w:r w:rsidRPr="0003391E">
        <w:rPr>
          <w:rFonts w:ascii="Times New Roman" w:hAnsi="Times New Roman" w:cs="Times New Roman"/>
        </w:rPr>
        <w:t xml:space="preserve"> fear that it will affect their employment, the proposed rule would also require that employee participation plans include</w:t>
      </w:r>
      <w:r w:rsidRPr="0003391E" w:rsidR="00CD2C40">
        <w:rPr>
          <w:rFonts w:ascii="Times New Roman" w:hAnsi="Times New Roman" w:cs="Times New Roman"/>
        </w:rPr>
        <w:t xml:space="preserve"> clear</w:t>
      </w:r>
      <w:r w:rsidRPr="0003391E">
        <w:rPr>
          <w:rFonts w:ascii="Times New Roman" w:hAnsi="Times New Roman" w:cs="Times New Roman"/>
        </w:rPr>
        <w:t xml:space="preserve"> instructions for how employees can </w:t>
      </w:r>
      <w:r w:rsidRPr="0003391E" w:rsidR="00CD2C40">
        <w:rPr>
          <w:rFonts w:ascii="Times New Roman" w:hAnsi="Times New Roman" w:cs="Times New Roman"/>
        </w:rPr>
        <w:t xml:space="preserve">safely </w:t>
      </w:r>
      <w:r w:rsidRPr="0003391E">
        <w:rPr>
          <w:rFonts w:ascii="Times New Roman" w:hAnsi="Times New Roman" w:cs="Times New Roman"/>
        </w:rPr>
        <w:t xml:space="preserve">report unaddressed hazards </w:t>
      </w:r>
      <w:r w:rsidRPr="0003391E" w:rsidR="00354D92">
        <w:rPr>
          <w:rFonts w:ascii="Times New Roman" w:hAnsi="Times New Roman" w:cs="Times New Roman"/>
        </w:rPr>
        <w:t xml:space="preserve">anonymously </w:t>
      </w:r>
      <w:r w:rsidRPr="0003391E">
        <w:rPr>
          <w:rFonts w:ascii="Times New Roman" w:hAnsi="Times New Roman" w:cs="Times New Roman"/>
        </w:rPr>
        <w:t xml:space="preserve">that could lead to a catastrophic release, unreported RMP-reportable accidents, or other issues of RMP non-compliance. </w:t>
      </w:r>
    </w:p>
    <w:p w:rsidRPr="0003391E" w:rsidR="00AF4AF6" w:rsidP="00AF4AF6" w:rsidRDefault="00AF4AF6" w14:paraId="0FD8FD3C" w14:textId="77777777">
      <w:pPr>
        <w:pStyle w:val="ListParagraph"/>
        <w:spacing w:after="0" w:line="240" w:lineRule="auto"/>
        <w:ind w:left="1080"/>
        <w:contextualSpacing w:val="0"/>
        <w:rPr>
          <w:rFonts w:ascii="Times New Roman" w:hAnsi="Times New Roman" w:cs="Times New Roman"/>
        </w:rPr>
      </w:pPr>
    </w:p>
    <w:p w:rsidR="00D243A1" w:rsidP="00AF4AF6" w:rsidRDefault="006626C9" w14:paraId="7601E15D" w14:textId="19972A56">
      <w:pPr>
        <w:spacing w:after="0" w:line="240" w:lineRule="auto"/>
        <w:ind w:firstLine="360"/>
        <w:rPr>
          <w:rFonts w:ascii="Times New Roman" w:hAnsi="Times New Roman" w:cs="Times New Roman"/>
        </w:rPr>
      </w:pPr>
      <w:r>
        <w:rPr>
          <w:rFonts w:ascii="Times New Roman" w:hAnsi="Times New Roman" w:cs="Times New Roman"/>
        </w:rPr>
        <w:tab/>
      </w:r>
      <w:r w:rsidRPr="0003391E" w:rsidR="00BC6A6A">
        <w:rPr>
          <w:rFonts w:ascii="Times New Roman" w:hAnsi="Times New Roman" w:cs="Times New Roman"/>
        </w:rPr>
        <w:t>T</w:t>
      </w:r>
      <w:r w:rsidRPr="0003391E" w:rsidR="00093C0A">
        <w:rPr>
          <w:rFonts w:ascii="Times New Roman" w:hAnsi="Times New Roman" w:cs="Times New Roman"/>
        </w:rPr>
        <w:t>hese proposed employee participation provisions would ensure that owners and operators who</w:t>
      </w:r>
      <w:r w:rsidRPr="0003391E" w:rsidR="006D1141">
        <w:rPr>
          <w:rFonts w:ascii="Times New Roman" w:hAnsi="Times New Roman" w:cs="Times New Roman"/>
        </w:rPr>
        <w:t xml:space="preserve"> </w:t>
      </w:r>
      <w:r w:rsidRPr="0003391E" w:rsidR="00093C0A">
        <w:rPr>
          <w:rFonts w:ascii="Times New Roman" w:hAnsi="Times New Roman" w:cs="Times New Roman"/>
        </w:rPr>
        <w:t xml:space="preserve">have not fully developed employee participation programs have additional measures in place to prevent and minimize accidental releases of </w:t>
      </w:r>
      <w:r w:rsidRPr="0003391E" w:rsidR="00181B1A">
        <w:rPr>
          <w:rFonts w:ascii="Times New Roman" w:hAnsi="Times New Roman" w:cs="Times New Roman"/>
        </w:rPr>
        <w:t>RMP-regulated substances</w:t>
      </w:r>
      <w:r w:rsidRPr="0003391E" w:rsidR="006453B8">
        <w:rPr>
          <w:rFonts w:ascii="Times New Roman" w:hAnsi="Times New Roman" w:cs="Times New Roman"/>
        </w:rPr>
        <w:t xml:space="preserve">. </w:t>
      </w:r>
      <w:r w:rsidRPr="0003391E" w:rsidR="00820C75">
        <w:rPr>
          <w:rFonts w:ascii="Times New Roman" w:hAnsi="Times New Roman" w:cs="Times New Roman"/>
          <w:shd w:val="clear" w:color="auto" w:fill="FFFFFF"/>
        </w:rPr>
        <w:t>T</w:t>
      </w:r>
      <w:r w:rsidRPr="0003391E" w:rsidR="00093C0A">
        <w:rPr>
          <w:rFonts w:ascii="Times New Roman" w:hAnsi="Times New Roman" w:cs="Times New Roman"/>
          <w:shd w:val="clear" w:color="auto" w:fill="FFFFFF"/>
        </w:rPr>
        <w:t>hese new provisions</w:t>
      </w:r>
      <w:r w:rsidRPr="0003391E" w:rsidR="003E063D">
        <w:rPr>
          <w:rFonts w:ascii="Times New Roman" w:hAnsi="Times New Roman" w:cs="Times New Roman"/>
          <w:shd w:val="clear" w:color="auto" w:fill="FFFFFF"/>
        </w:rPr>
        <w:t xml:space="preserve"> will not</w:t>
      </w:r>
      <w:r w:rsidRPr="0003391E" w:rsidR="00546AF0">
        <w:rPr>
          <w:rFonts w:ascii="Times New Roman" w:hAnsi="Times New Roman" w:cs="Times New Roman"/>
          <w:shd w:val="clear" w:color="auto" w:fill="FFFFFF"/>
        </w:rPr>
        <w:t xml:space="preserve"> </w:t>
      </w:r>
      <w:r w:rsidRPr="0003391E" w:rsidR="00093C0A">
        <w:rPr>
          <w:rFonts w:ascii="Times New Roman" w:hAnsi="Times New Roman" w:cs="Times New Roman"/>
          <w:shd w:val="clear" w:color="auto" w:fill="FFFFFF"/>
        </w:rPr>
        <w:t>impose a burden on owners and operators who already have</w:t>
      </w:r>
      <w:r w:rsidRPr="0003391E" w:rsidR="00181B1A">
        <w:rPr>
          <w:rFonts w:ascii="Times New Roman" w:hAnsi="Times New Roman" w:cs="Times New Roman"/>
          <w:shd w:val="clear" w:color="auto" w:fill="FFFFFF"/>
        </w:rPr>
        <w:t xml:space="preserve"> </w:t>
      </w:r>
      <w:r w:rsidRPr="0003391E" w:rsidR="00B15CC0">
        <w:rPr>
          <w:rFonts w:ascii="Times New Roman" w:hAnsi="Times New Roman" w:cs="Times New Roman"/>
          <w:shd w:val="clear" w:color="auto" w:fill="FFFFFF"/>
        </w:rPr>
        <w:t xml:space="preserve">robust </w:t>
      </w:r>
      <w:r w:rsidRPr="0003391E" w:rsidR="00B15CC0">
        <w:rPr>
          <w:rFonts w:ascii="Times New Roman" w:hAnsi="Times New Roman" w:cs="Times New Roman"/>
        </w:rPr>
        <w:t>employee participation programs in place.</w:t>
      </w:r>
    </w:p>
    <w:p w:rsidR="00D243A1" w:rsidP="00AF4AF6" w:rsidRDefault="00D243A1" w14:paraId="48C5D660" w14:textId="77777777">
      <w:pPr>
        <w:spacing w:after="0" w:line="240" w:lineRule="auto"/>
        <w:ind w:firstLine="360"/>
        <w:rPr>
          <w:rFonts w:ascii="Times New Roman" w:hAnsi="Times New Roman" w:cs="Times New Roman"/>
        </w:rPr>
      </w:pPr>
    </w:p>
    <w:p w:rsidRPr="0003391E" w:rsidR="003E2AF7" w:rsidP="003E2AF7" w:rsidRDefault="003E2AF7" w14:paraId="50F2EA09" w14:textId="77777777">
      <w:pPr>
        <w:spacing w:after="0" w:line="240" w:lineRule="auto"/>
        <w:rPr>
          <w:rFonts w:ascii="Times New Roman" w:hAnsi="Times New Roman" w:cs="Times New Roman"/>
          <w:i/>
        </w:rPr>
      </w:pPr>
      <w:r w:rsidRPr="0003391E">
        <w:rPr>
          <w:rFonts w:ascii="Times New Roman" w:hAnsi="Times New Roman" w:cs="Times New Roman"/>
          <w:i/>
        </w:rPr>
        <w:t>Backup Power for Perimeter Monitors— (Proposed revisions apply to §§68.50 and 68.67)</w:t>
      </w:r>
    </w:p>
    <w:p w:rsidRPr="0003391E" w:rsidR="003E2AF7" w:rsidP="003E2AF7" w:rsidRDefault="003E2AF7" w14:paraId="120947FE" w14:textId="77777777">
      <w:pPr>
        <w:spacing w:after="0" w:line="240" w:lineRule="auto"/>
        <w:ind w:firstLine="360"/>
        <w:rPr>
          <w:rFonts w:ascii="Times New Roman" w:hAnsi="Times New Roman" w:cs="Times New Roman"/>
        </w:rPr>
      </w:pPr>
      <w:r>
        <w:rPr>
          <w:rFonts w:ascii="Times New Roman" w:hAnsi="Times New Roman" w:cs="Times New Roman"/>
        </w:rPr>
        <w:tab/>
      </w:r>
      <w:r w:rsidRPr="0003391E">
        <w:rPr>
          <w:rFonts w:ascii="Times New Roman" w:hAnsi="Times New Roman" w:cs="Times New Roman"/>
        </w:rPr>
        <w:t>The proposed rule would require air control or monitoring equipment associated with prevention and detection of accidental releases from RMP-regulated processes to have standby or backup power. EPA believes that because natural hazards and power loss continue to be a factor in RMP accidents and present a growing threat to process safety at RMP facilities, a requirement to evaluate and control natural hazards should be explicitly stated in the RMP regulation. Currently many facilities voluntarily have backup power installed for perimeter monitors. This proposed provision would require it.</w:t>
      </w:r>
    </w:p>
    <w:p w:rsidR="003E2AF7" w:rsidP="00D243A1" w:rsidRDefault="003E2AF7" w14:paraId="7923F4AE" w14:textId="77777777">
      <w:pPr>
        <w:spacing w:after="0" w:line="240" w:lineRule="auto"/>
        <w:rPr>
          <w:rFonts w:ascii="Times New Roman" w:hAnsi="Times New Roman" w:cs="Times New Roman"/>
          <w:b/>
          <w:bCs/>
        </w:rPr>
      </w:pPr>
    </w:p>
    <w:p w:rsidR="009B6B82" w:rsidP="00D243A1" w:rsidRDefault="009B6B82" w14:paraId="6B05D6B1" w14:textId="77777777">
      <w:pPr>
        <w:spacing w:after="0" w:line="240" w:lineRule="auto"/>
        <w:rPr>
          <w:rFonts w:ascii="Times New Roman" w:hAnsi="Times New Roman" w:cs="Times New Roman"/>
          <w:b/>
          <w:bCs/>
        </w:rPr>
      </w:pPr>
    </w:p>
    <w:p w:rsidRPr="00D243A1" w:rsidR="00D243A1" w:rsidP="00D243A1" w:rsidRDefault="00D243A1" w14:paraId="23057B30" w14:textId="19F51A7C">
      <w:pPr>
        <w:spacing w:after="0" w:line="240" w:lineRule="auto"/>
        <w:rPr>
          <w:rFonts w:ascii="Times New Roman" w:hAnsi="Times New Roman" w:cs="Times New Roman"/>
          <w:b/>
          <w:bCs/>
        </w:rPr>
      </w:pPr>
      <w:r w:rsidRPr="00D243A1">
        <w:rPr>
          <w:rFonts w:ascii="Times New Roman" w:hAnsi="Times New Roman" w:cs="Times New Roman"/>
          <w:b/>
          <w:bCs/>
        </w:rPr>
        <w:lastRenderedPageBreak/>
        <w:t>Emergency Response</w:t>
      </w:r>
    </w:p>
    <w:p w:rsidRPr="0003391E" w:rsidR="00D243A1" w:rsidP="00D243A1" w:rsidRDefault="004432B9" w14:paraId="7650B494" w14:textId="4541A813">
      <w:pPr>
        <w:spacing w:after="0" w:line="240" w:lineRule="auto"/>
        <w:rPr>
          <w:rFonts w:ascii="Times New Roman" w:hAnsi="Times New Roman" w:cs="Times New Roman"/>
          <w:i/>
        </w:rPr>
      </w:pPr>
      <w:r>
        <w:rPr>
          <w:rFonts w:ascii="Times New Roman" w:hAnsi="Times New Roman" w:cs="Times New Roman"/>
          <w:i/>
        </w:rPr>
        <w:t>Community Notification</w:t>
      </w:r>
      <w:r w:rsidR="003E2AF7">
        <w:rPr>
          <w:rFonts w:ascii="Times New Roman" w:hAnsi="Times New Roman" w:cs="Times New Roman"/>
          <w:i/>
        </w:rPr>
        <w:t xml:space="preserve"> of RMP Accidents</w:t>
      </w:r>
      <w:r w:rsidRPr="0003391E" w:rsidR="00D243A1">
        <w:rPr>
          <w:rFonts w:ascii="Times New Roman" w:hAnsi="Times New Roman" w:cs="Times New Roman"/>
          <w:i/>
        </w:rPr>
        <w:t>—</w:t>
      </w:r>
      <w:r w:rsidR="00D243A1">
        <w:rPr>
          <w:rFonts w:ascii="Times New Roman" w:hAnsi="Times New Roman" w:cs="Times New Roman"/>
          <w:i/>
          <w:iCs/>
        </w:rPr>
        <w:t xml:space="preserve"> </w:t>
      </w:r>
      <w:r w:rsidRPr="0003391E" w:rsidR="00D243A1">
        <w:rPr>
          <w:rFonts w:ascii="Times New Roman" w:hAnsi="Times New Roman" w:cs="Times New Roman"/>
          <w:i/>
        </w:rPr>
        <w:t>(</w:t>
      </w:r>
      <w:r w:rsidR="00D243A1">
        <w:rPr>
          <w:rFonts w:ascii="Times New Roman" w:hAnsi="Times New Roman" w:cs="Times New Roman"/>
          <w:i/>
          <w:iCs/>
        </w:rPr>
        <w:t>P</w:t>
      </w:r>
      <w:r w:rsidRPr="0003391E" w:rsidR="00D243A1">
        <w:rPr>
          <w:rFonts w:ascii="Times New Roman" w:hAnsi="Times New Roman" w:cs="Times New Roman"/>
          <w:i/>
        </w:rPr>
        <w:t xml:space="preserve">roposed </w:t>
      </w:r>
      <w:r w:rsidR="00D243A1">
        <w:rPr>
          <w:rFonts w:ascii="Times New Roman" w:hAnsi="Times New Roman" w:cs="Times New Roman"/>
          <w:i/>
          <w:iCs/>
        </w:rPr>
        <w:t>P</w:t>
      </w:r>
      <w:r w:rsidRPr="0003391E" w:rsidR="00D243A1">
        <w:rPr>
          <w:rFonts w:ascii="Times New Roman" w:hAnsi="Times New Roman" w:cs="Times New Roman"/>
          <w:i/>
        </w:rPr>
        <w:t xml:space="preserve">revisions apply to §§68.90 and 68.95) </w:t>
      </w:r>
    </w:p>
    <w:p w:rsidR="00D243A1" w:rsidP="00D243A1" w:rsidRDefault="00D243A1" w14:paraId="112C98DD" w14:textId="77777777">
      <w:pPr>
        <w:spacing w:after="0" w:line="240" w:lineRule="auto"/>
        <w:ind w:firstLine="360"/>
        <w:rPr>
          <w:rFonts w:ascii="Times New Roman" w:hAnsi="Times New Roman" w:cs="Times New Roman"/>
        </w:rPr>
      </w:pPr>
      <w:r>
        <w:rPr>
          <w:rFonts w:ascii="Times New Roman" w:hAnsi="Times New Roman" w:cs="Times New Roman"/>
        </w:rPr>
        <w:tab/>
      </w:r>
      <w:r w:rsidRPr="0003391E">
        <w:rPr>
          <w:rFonts w:ascii="Times New Roman" w:hAnsi="Times New Roman" w:cs="Times New Roman"/>
        </w:rPr>
        <w:t>The proposed rule would add a requirement to RMP facility owners and operators who designate themselves as a non-responding facility to develop and implement, as necessary, procedures for informing the public and the appropriate emergency response agencies about accidental releases of RMP-regulated substances. EPA is also proposing that responding and non-responding facilities ensure that:</w:t>
      </w:r>
    </w:p>
    <w:p w:rsidRPr="0003391E" w:rsidR="00D243A1" w:rsidP="00D243A1" w:rsidRDefault="00D243A1" w14:paraId="76F11CF1" w14:textId="77777777">
      <w:pPr>
        <w:spacing w:after="0" w:line="240" w:lineRule="auto"/>
        <w:ind w:firstLine="360"/>
        <w:rPr>
          <w:rFonts w:ascii="Times New Roman" w:hAnsi="Times New Roman" w:cs="Times New Roman"/>
        </w:rPr>
      </w:pPr>
    </w:p>
    <w:p w:rsidRPr="0003391E" w:rsidR="00D243A1" w:rsidP="00D243A1" w:rsidRDefault="00D243A1" w14:paraId="1AF02E68" w14:textId="573FDCEA">
      <w:pPr>
        <w:pStyle w:val="ListParagraph"/>
        <w:numPr>
          <w:ilvl w:val="0"/>
          <w:numId w:val="18"/>
        </w:numPr>
        <w:spacing w:after="0" w:line="240" w:lineRule="auto"/>
        <w:contextualSpacing w:val="0"/>
        <w:rPr>
          <w:rFonts w:ascii="Times New Roman" w:hAnsi="Times New Roman" w:cs="Times New Roman"/>
        </w:rPr>
      </w:pPr>
      <w:r w:rsidRPr="0003391E">
        <w:rPr>
          <w:rFonts w:ascii="Times New Roman" w:hAnsi="Times New Roman" w:cs="Times New Roman"/>
        </w:rPr>
        <w:t xml:space="preserve">A community notification system is in </w:t>
      </w:r>
      <w:proofErr w:type="gramStart"/>
      <w:r w:rsidRPr="0003391E">
        <w:rPr>
          <w:rFonts w:ascii="Times New Roman" w:hAnsi="Times New Roman" w:cs="Times New Roman"/>
        </w:rPr>
        <w:t>place</w:t>
      </w:r>
      <w:r w:rsidR="004D4A61">
        <w:rPr>
          <w:rFonts w:ascii="Times New Roman" w:hAnsi="Times New Roman" w:cs="Times New Roman"/>
        </w:rPr>
        <w:t>;</w:t>
      </w:r>
      <w:proofErr w:type="gramEnd"/>
    </w:p>
    <w:p w:rsidRPr="0003391E" w:rsidR="00D243A1" w:rsidP="00D243A1" w:rsidRDefault="00D243A1" w14:paraId="0B311224" w14:textId="620D5A1B">
      <w:pPr>
        <w:pStyle w:val="ListParagraph"/>
        <w:numPr>
          <w:ilvl w:val="0"/>
          <w:numId w:val="18"/>
        </w:numPr>
        <w:spacing w:after="0" w:line="240" w:lineRule="auto"/>
        <w:contextualSpacing w:val="0"/>
        <w:rPr>
          <w:rFonts w:ascii="Times New Roman" w:hAnsi="Times New Roman" w:cs="Times New Roman"/>
        </w:rPr>
      </w:pPr>
      <w:r w:rsidRPr="0003391E">
        <w:rPr>
          <w:rFonts w:ascii="Times New Roman" w:hAnsi="Times New Roman" w:cs="Times New Roman"/>
        </w:rPr>
        <w:t>The public is promptly notified of an RMP accident release</w:t>
      </w:r>
      <w:r w:rsidR="004D4A61">
        <w:rPr>
          <w:rFonts w:ascii="Times New Roman" w:hAnsi="Times New Roman" w:cs="Times New Roman"/>
        </w:rPr>
        <w:t>; and</w:t>
      </w:r>
      <w:r w:rsidRPr="0003391E">
        <w:rPr>
          <w:rFonts w:ascii="Times New Roman" w:hAnsi="Times New Roman" w:cs="Times New Roman"/>
        </w:rPr>
        <w:t xml:space="preserve"> </w:t>
      </w:r>
    </w:p>
    <w:p w:rsidR="00D243A1" w:rsidP="00D243A1" w:rsidRDefault="00D243A1" w14:paraId="7491B80E" w14:textId="77777777">
      <w:pPr>
        <w:pStyle w:val="ListParagraph"/>
        <w:numPr>
          <w:ilvl w:val="0"/>
          <w:numId w:val="18"/>
        </w:numPr>
        <w:spacing w:after="0" w:line="240" w:lineRule="auto"/>
        <w:contextualSpacing w:val="0"/>
        <w:rPr>
          <w:rFonts w:ascii="Times New Roman" w:hAnsi="Times New Roman" w:cs="Times New Roman"/>
        </w:rPr>
      </w:pPr>
      <w:r w:rsidRPr="0003391E">
        <w:rPr>
          <w:rFonts w:ascii="Times New Roman" w:hAnsi="Times New Roman" w:cs="Times New Roman"/>
        </w:rPr>
        <w:t>The notification must provide appropriate, timely data and information to local responders and the community with the current understanding and best estimates of the nature of the release.</w:t>
      </w:r>
    </w:p>
    <w:p w:rsidRPr="0003391E" w:rsidR="00D243A1" w:rsidP="00D243A1" w:rsidRDefault="00D243A1" w14:paraId="154EEE25" w14:textId="77777777">
      <w:pPr>
        <w:pStyle w:val="ListParagraph"/>
        <w:spacing w:after="0" w:line="240" w:lineRule="auto"/>
        <w:ind w:left="1080"/>
        <w:contextualSpacing w:val="0"/>
        <w:rPr>
          <w:rFonts w:ascii="Times New Roman" w:hAnsi="Times New Roman" w:cs="Times New Roman"/>
        </w:rPr>
      </w:pPr>
    </w:p>
    <w:p w:rsidRPr="00D243A1" w:rsidR="00D243A1" w:rsidP="00D243A1" w:rsidRDefault="00D243A1" w14:paraId="4C3E4DAF" w14:textId="3546BADD">
      <w:pPr>
        <w:spacing w:after="0" w:line="240" w:lineRule="auto"/>
        <w:ind w:firstLine="360"/>
        <w:rPr>
          <w:rFonts w:ascii="Times New Roman" w:hAnsi="Times New Roman" w:cs="Times New Roman"/>
        </w:rPr>
      </w:pPr>
      <w:r>
        <w:rPr>
          <w:rFonts w:ascii="Times New Roman" w:hAnsi="Times New Roman" w:cs="Times New Roman"/>
        </w:rPr>
        <w:tab/>
      </w:r>
      <w:r w:rsidRPr="0003391E">
        <w:rPr>
          <w:rFonts w:ascii="Times New Roman" w:hAnsi="Times New Roman" w:cs="Times New Roman"/>
        </w:rPr>
        <w:t>EPA expects that these proposed provisions, in combination with the currently required annual emergency coordination meetings and notification exercises would enhance coordinated notification to the public, improve documented accountability for the notification process, and help ensure timely decisions about notification of releases, particularly those with offsite impacts</w:t>
      </w:r>
      <w:r w:rsidRPr="0003391E" w:rsidDel="003971E4">
        <w:rPr>
          <w:rFonts w:ascii="Times New Roman" w:hAnsi="Times New Roman" w:cs="Times New Roman"/>
        </w:rPr>
        <w:t>.</w:t>
      </w:r>
      <w:r w:rsidRPr="0003391E">
        <w:rPr>
          <w:rFonts w:ascii="Times New Roman" w:hAnsi="Times New Roman" w:cs="Times New Roman"/>
        </w:rPr>
        <w:t xml:space="preserve"> The emergency response provisions apply to facilities with Program 2 or 3 processes. Responding facilities should already have mechanisms and procedures in place in the baseline to notify the public through emergency response programs or plans.</w:t>
      </w:r>
      <w:r>
        <w:br/>
      </w:r>
    </w:p>
    <w:p w:rsidRPr="004432B9" w:rsidR="00AF4AF6" w:rsidP="0003391E" w:rsidRDefault="004432B9" w14:paraId="10382C3E" w14:textId="3C3FEA9C">
      <w:pPr>
        <w:spacing w:after="0" w:line="240" w:lineRule="auto"/>
        <w:rPr>
          <w:rFonts w:ascii="Times New Roman" w:hAnsi="Times New Roman" w:cs="Times New Roman"/>
          <w:b/>
          <w:bCs/>
          <w:iCs/>
        </w:rPr>
      </w:pPr>
      <w:r w:rsidRPr="004432B9">
        <w:rPr>
          <w:rFonts w:ascii="Times New Roman" w:hAnsi="Times New Roman" w:cs="Times New Roman"/>
          <w:b/>
          <w:bCs/>
          <w:iCs/>
        </w:rPr>
        <w:t>Information Availability</w:t>
      </w:r>
    </w:p>
    <w:p w:rsidRPr="0003391E" w:rsidR="00093C0A" w:rsidP="0003391E" w:rsidRDefault="00093C0A" w14:paraId="781C8A35" w14:textId="1F8D7116">
      <w:pPr>
        <w:spacing w:after="0" w:line="240" w:lineRule="auto"/>
        <w:rPr>
          <w:rFonts w:ascii="Times New Roman" w:hAnsi="Times New Roman" w:cs="Times New Roman"/>
          <w:i/>
        </w:rPr>
      </w:pPr>
      <w:r w:rsidRPr="0003391E">
        <w:rPr>
          <w:rFonts w:ascii="Times New Roman" w:hAnsi="Times New Roman" w:cs="Times New Roman"/>
          <w:i/>
        </w:rPr>
        <w:t>Information Availability— (Proposed revisions apply to §68.210)</w:t>
      </w:r>
    </w:p>
    <w:p w:rsidRPr="0003391E" w:rsidR="00B15CC0" w:rsidP="00AF4AF6" w:rsidRDefault="006626C9" w14:paraId="4B40CEA5" w14:textId="2BEDDDE3">
      <w:pPr>
        <w:spacing w:after="0" w:line="240" w:lineRule="auto"/>
        <w:ind w:firstLine="360"/>
        <w:rPr>
          <w:rFonts w:ascii="Times New Roman" w:hAnsi="Times New Roman" w:cs="Times New Roman"/>
        </w:rPr>
      </w:pPr>
      <w:r>
        <w:rPr>
          <w:rFonts w:ascii="Times New Roman" w:hAnsi="Times New Roman" w:cs="Times New Roman"/>
        </w:rPr>
        <w:tab/>
      </w:r>
      <w:r w:rsidRPr="0003391E" w:rsidR="00820C75">
        <w:rPr>
          <w:rFonts w:ascii="Times New Roman" w:hAnsi="Times New Roman" w:cs="Times New Roman"/>
        </w:rPr>
        <w:t>The proposed rule would require all facilities to disclose certain chemical hazard information to the public residing within 6 miles</w:t>
      </w:r>
      <w:r w:rsidR="00F33327">
        <w:rPr>
          <w:rStyle w:val="FootnoteReference"/>
          <w:rFonts w:ascii="Times New Roman" w:hAnsi="Times New Roman" w:cs="Times New Roman"/>
        </w:rPr>
        <w:footnoteReference w:id="19"/>
      </w:r>
      <w:r w:rsidRPr="0003391E" w:rsidR="00820C75">
        <w:rPr>
          <w:rFonts w:ascii="Times New Roman" w:hAnsi="Times New Roman" w:cs="Times New Roman"/>
        </w:rPr>
        <w:t xml:space="preserve"> of the facility</w:t>
      </w:r>
      <w:r w:rsidRPr="0003391E" w:rsidR="00CD2C40">
        <w:rPr>
          <w:rFonts w:ascii="Times New Roman" w:hAnsi="Times New Roman" w:cs="Times New Roman"/>
        </w:rPr>
        <w:t xml:space="preserve"> </w:t>
      </w:r>
      <w:r w:rsidRPr="0003391E" w:rsidR="00820C75">
        <w:rPr>
          <w:rFonts w:ascii="Times New Roman" w:hAnsi="Times New Roman" w:cs="Times New Roman"/>
        </w:rPr>
        <w:t>in the language requested by the requester.</w:t>
      </w:r>
      <w:r w:rsidR="00210110">
        <w:rPr>
          <w:rStyle w:val="FootnoteReference"/>
          <w:rFonts w:ascii="Times New Roman" w:hAnsi="Times New Roman" w:cs="Times New Roman"/>
        </w:rPr>
        <w:footnoteReference w:id="20"/>
      </w:r>
      <w:r w:rsidRPr="0003391E" w:rsidR="00820C75">
        <w:rPr>
          <w:rFonts w:ascii="Times New Roman" w:hAnsi="Times New Roman" w:cs="Times New Roman"/>
        </w:rPr>
        <w:t xml:space="preserve"> </w:t>
      </w:r>
      <w:r w:rsidRPr="0003391E" w:rsidR="00CD2C40">
        <w:rPr>
          <w:rFonts w:ascii="Times New Roman" w:hAnsi="Times New Roman" w:cs="Times New Roman"/>
        </w:rPr>
        <w:t>Th</w:t>
      </w:r>
      <w:r w:rsidRPr="0003391E" w:rsidR="00354D92">
        <w:rPr>
          <w:rFonts w:ascii="Times New Roman" w:hAnsi="Times New Roman" w:cs="Times New Roman"/>
        </w:rPr>
        <w:t>ese are</w:t>
      </w:r>
      <w:r w:rsidRPr="0003391E" w:rsidR="00CD2C40">
        <w:rPr>
          <w:rFonts w:ascii="Times New Roman" w:hAnsi="Times New Roman" w:cs="Times New Roman"/>
        </w:rPr>
        <w:t xml:space="preserve"> new </w:t>
      </w:r>
      <w:r w:rsidRPr="0003391E" w:rsidR="00E84CCE">
        <w:rPr>
          <w:rFonts w:ascii="Times New Roman" w:hAnsi="Times New Roman" w:cs="Times New Roman"/>
        </w:rPr>
        <w:t>info</w:t>
      </w:r>
      <w:r w:rsidRPr="0003391E" w:rsidR="00354D92">
        <w:rPr>
          <w:rFonts w:ascii="Times New Roman" w:hAnsi="Times New Roman" w:cs="Times New Roman"/>
        </w:rPr>
        <w:t>rmation</w:t>
      </w:r>
      <w:r w:rsidRPr="0003391E" w:rsidR="00E84CCE">
        <w:rPr>
          <w:rFonts w:ascii="Times New Roman" w:hAnsi="Times New Roman" w:cs="Times New Roman"/>
        </w:rPr>
        <w:t xml:space="preserve"> availability requ</w:t>
      </w:r>
      <w:r w:rsidRPr="0003391E" w:rsidR="00354D92">
        <w:rPr>
          <w:rFonts w:ascii="Times New Roman" w:hAnsi="Times New Roman" w:cs="Times New Roman"/>
        </w:rPr>
        <w:t>i</w:t>
      </w:r>
      <w:r w:rsidRPr="0003391E" w:rsidR="00E84CCE">
        <w:rPr>
          <w:rFonts w:ascii="Times New Roman" w:hAnsi="Times New Roman" w:cs="Times New Roman"/>
        </w:rPr>
        <w:t>rements</w:t>
      </w:r>
      <w:r w:rsidRPr="0003391E" w:rsidR="00CD2C40">
        <w:rPr>
          <w:rFonts w:ascii="Times New Roman" w:hAnsi="Times New Roman" w:cs="Times New Roman"/>
        </w:rPr>
        <w:t xml:space="preserve">, not currently required. </w:t>
      </w:r>
      <w:r w:rsidRPr="0003391E" w:rsidR="00820C75">
        <w:rPr>
          <w:rFonts w:ascii="Times New Roman" w:hAnsi="Times New Roman" w:cs="Times New Roman"/>
        </w:rPr>
        <w:t xml:space="preserve">The facility or its parent company, if applicable, would </w:t>
      </w:r>
      <w:r w:rsidR="001F2A74">
        <w:rPr>
          <w:rFonts w:ascii="Times New Roman" w:hAnsi="Times New Roman" w:cs="Times New Roman"/>
        </w:rPr>
        <w:t xml:space="preserve">also </w:t>
      </w:r>
      <w:r w:rsidRPr="0003391E" w:rsidR="00820C75">
        <w:rPr>
          <w:rFonts w:ascii="Times New Roman" w:hAnsi="Times New Roman" w:cs="Times New Roman"/>
        </w:rPr>
        <w:t xml:space="preserve">have to </w:t>
      </w:r>
      <w:r w:rsidR="003A2F64">
        <w:rPr>
          <w:rFonts w:ascii="Times New Roman" w:hAnsi="Times New Roman" w:cs="Times New Roman"/>
        </w:rPr>
        <w:t xml:space="preserve">provide ongoing notification that </w:t>
      </w:r>
      <w:r w:rsidRPr="0003391E" w:rsidR="00820C75">
        <w:rPr>
          <w:rFonts w:ascii="Times New Roman" w:hAnsi="Times New Roman" w:cs="Times New Roman"/>
        </w:rPr>
        <w:t xml:space="preserve">the information </w:t>
      </w:r>
      <w:r w:rsidR="001F2A74">
        <w:rPr>
          <w:rFonts w:ascii="Times New Roman" w:hAnsi="Times New Roman" w:cs="Times New Roman"/>
        </w:rPr>
        <w:t xml:space="preserve">is </w:t>
      </w:r>
      <w:r w:rsidRPr="0003391E" w:rsidR="00820C75">
        <w:rPr>
          <w:rFonts w:ascii="Times New Roman" w:hAnsi="Times New Roman" w:cs="Times New Roman"/>
        </w:rPr>
        <w:t xml:space="preserve">available </w:t>
      </w:r>
      <w:r w:rsidR="003A2F64">
        <w:rPr>
          <w:rFonts w:ascii="Times New Roman" w:hAnsi="Times New Roman" w:cs="Times New Roman"/>
        </w:rPr>
        <w:t xml:space="preserve">upon request </w:t>
      </w:r>
      <w:r w:rsidR="001F2A74">
        <w:rPr>
          <w:rFonts w:ascii="Times New Roman" w:hAnsi="Times New Roman" w:cs="Times New Roman"/>
        </w:rPr>
        <w:t xml:space="preserve">for those members of the public. </w:t>
      </w:r>
      <w:r w:rsidRPr="0003391E" w:rsidR="00B15CC0">
        <w:rPr>
          <w:rFonts w:ascii="Times New Roman" w:hAnsi="Times New Roman" w:cs="Times New Roman"/>
        </w:rPr>
        <w:t xml:space="preserve">This could include </w:t>
      </w:r>
      <w:r w:rsidR="002E3A55">
        <w:rPr>
          <w:rFonts w:ascii="Times New Roman" w:hAnsi="Times New Roman" w:cs="Times New Roman"/>
        </w:rPr>
        <w:t xml:space="preserve">notifying </w:t>
      </w:r>
      <w:r w:rsidR="00E32E20">
        <w:rPr>
          <w:rFonts w:ascii="Times New Roman" w:hAnsi="Times New Roman" w:cs="Times New Roman"/>
        </w:rPr>
        <w:t xml:space="preserve">on a company website </w:t>
      </w:r>
      <w:r w:rsidR="002E3A55">
        <w:rPr>
          <w:rFonts w:ascii="Times New Roman" w:hAnsi="Times New Roman" w:cs="Times New Roman"/>
        </w:rPr>
        <w:t>that</w:t>
      </w:r>
      <w:r w:rsidRPr="0003391E" w:rsidR="00820C75">
        <w:rPr>
          <w:rFonts w:ascii="Times New Roman" w:hAnsi="Times New Roman" w:cs="Times New Roman"/>
        </w:rPr>
        <w:t xml:space="preserve"> information </w:t>
      </w:r>
      <w:r w:rsidR="002E3A55">
        <w:rPr>
          <w:rFonts w:ascii="Times New Roman" w:hAnsi="Times New Roman" w:cs="Times New Roman"/>
        </w:rPr>
        <w:t>is available</w:t>
      </w:r>
      <w:r w:rsidRPr="0003391E" w:rsidR="00820C75">
        <w:rPr>
          <w:rFonts w:ascii="Times New Roman" w:hAnsi="Times New Roman" w:cs="Times New Roman"/>
        </w:rPr>
        <w:t xml:space="preserve">, </w:t>
      </w:r>
      <w:r w:rsidR="002E3A55">
        <w:rPr>
          <w:rFonts w:ascii="Times New Roman" w:hAnsi="Times New Roman" w:cs="Times New Roman"/>
        </w:rPr>
        <w:t>providing notification</w:t>
      </w:r>
      <w:r w:rsidRPr="0003391E" w:rsidR="00820C75">
        <w:rPr>
          <w:rFonts w:ascii="Times New Roman" w:hAnsi="Times New Roman" w:cs="Times New Roman"/>
        </w:rPr>
        <w:t xml:space="preserve"> at public libraries, in local papers, or </w:t>
      </w:r>
      <w:r w:rsidR="002E3A55">
        <w:rPr>
          <w:rFonts w:ascii="Times New Roman" w:hAnsi="Times New Roman" w:cs="Times New Roman"/>
        </w:rPr>
        <w:t xml:space="preserve">via </w:t>
      </w:r>
      <w:r w:rsidRPr="0003391E" w:rsidR="00820C75">
        <w:rPr>
          <w:rFonts w:ascii="Times New Roman" w:hAnsi="Times New Roman" w:cs="Times New Roman"/>
        </w:rPr>
        <w:t xml:space="preserve">other means appropriate for </w:t>
      </w:r>
      <w:proofErr w:type="gramStart"/>
      <w:r w:rsidRPr="0003391E" w:rsidR="00820C75">
        <w:rPr>
          <w:rFonts w:ascii="Times New Roman" w:hAnsi="Times New Roman" w:cs="Times New Roman"/>
        </w:rPr>
        <w:t>particular communities</w:t>
      </w:r>
      <w:proofErr w:type="gramEnd"/>
      <w:r w:rsidRPr="0003391E" w:rsidR="00820C75">
        <w:rPr>
          <w:rFonts w:ascii="Times New Roman" w:hAnsi="Times New Roman" w:cs="Times New Roman"/>
        </w:rPr>
        <w:t xml:space="preserve"> and facilities. </w:t>
      </w:r>
    </w:p>
    <w:p w:rsidRPr="0003391E" w:rsidR="00B15CC0" w:rsidP="0003391E" w:rsidRDefault="00B15CC0" w14:paraId="2CB4A2A8" w14:textId="77777777">
      <w:pPr>
        <w:spacing w:after="0" w:line="240" w:lineRule="auto"/>
        <w:ind w:firstLine="720"/>
        <w:rPr>
          <w:rFonts w:ascii="Times New Roman" w:hAnsi="Times New Roman" w:cs="Times New Roman"/>
        </w:rPr>
      </w:pPr>
    </w:p>
    <w:p w:rsidRPr="0003391E" w:rsidR="00B15CC0" w:rsidP="0003391E" w:rsidRDefault="00026316" w14:paraId="5E96AB8F" w14:textId="16DBE813">
      <w:pPr>
        <w:spacing w:after="0" w:line="240" w:lineRule="auto"/>
        <w:rPr>
          <w:rFonts w:ascii="Times New Roman" w:hAnsi="Times New Roman" w:cs="Times New Roman"/>
        </w:rPr>
      </w:pPr>
      <w:r>
        <w:rPr>
          <w:rFonts w:ascii="Times New Roman" w:hAnsi="Times New Roman" w:cs="Times New Roman"/>
        </w:rPr>
        <w:tab/>
      </w:r>
      <w:r w:rsidRPr="0003391E" w:rsidR="00820C75">
        <w:rPr>
          <w:rFonts w:ascii="Times New Roman" w:hAnsi="Times New Roman" w:cs="Times New Roman"/>
        </w:rPr>
        <w:t>The information to be disclosed includes</w:t>
      </w:r>
      <w:r w:rsidRPr="0003391E" w:rsidR="00B15CC0">
        <w:rPr>
          <w:rFonts w:ascii="Times New Roman" w:hAnsi="Times New Roman" w:cs="Times New Roman"/>
        </w:rPr>
        <w:t>:</w:t>
      </w:r>
    </w:p>
    <w:p w:rsidRPr="0003391E" w:rsidR="00B15CC0" w:rsidP="0003391E" w:rsidRDefault="00B15CC0" w14:paraId="32BD3DEA" w14:textId="77777777">
      <w:pPr>
        <w:pStyle w:val="ListParagraph"/>
        <w:numPr>
          <w:ilvl w:val="0"/>
          <w:numId w:val="17"/>
        </w:numPr>
        <w:spacing w:after="0" w:line="240" w:lineRule="auto"/>
        <w:contextualSpacing w:val="0"/>
        <w:rPr>
          <w:rFonts w:ascii="Times New Roman" w:hAnsi="Times New Roman" w:cs="Times New Roman"/>
        </w:rPr>
      </w:pPr>
      <w:r w:rsidRPr="0003391E">
        <w:rPr>
          <w:rFonts w:ascii="Times New Roman" w:hAnsi="Times New Roman" w:cs="Times New Roman"/>
        </w:rPr>
        <w:t>N</w:t>
      </w:r>
      <w:r w:rsidRPr="0003391E" w:rsidR="00820C75">
        <w:rPr>
          <w:rFonts w:ascii="Times New Roman" w:hAnsi="Times New Roman" w:cs="Times New Roman"/>
        </w:rPr>
        <w:t>ames of regulated substances at the facility</w:t>
      </w:r>
    </w:p>
    <w:p w:rsidRPr="0003391E" w:rsidR="00B15CC0" w:rsidP="0003391E" w:rsidRDefault="00820C75" w14:paraId="7ABD46F8" w14:textId="474BC2DD">
      <w:pPr>
        <w:pStyle w:val="ListParagraph"/>
        <w:numPr>
          <w:ilvl w:val="0"/>
          <w:numId w:val="17"/>
        </w:numPr>
        <w:spacing w:after="0" w:line="240" w:lineRule="auto"/>
        <w:contextualSpacing w:val="0"/>
        <w:rPr>
          <w:rFonts w:ascii="Times New Roman" w:hAnsi="Times New Roman" w:cs="Times New Roman"/>
        </w:rPr>
      </w:pPr>
      <w:r w:rsidRPr="0003391E">
        <w:rPr>
          <w:rFonts w:ascii="Times New Roman" w:hAnsi="Times New Roman" w:cs="Times New Roman"/>
        </w:rPr>
        <w:t xml:space="preserve">Safety Data Sheets (SDS) </w:t>
      </w:r>
    </w:p>
    <w:p w:rsidRPr="0003391E" w:rsidR="00B15CC0" w:rsidP="0003391E" w:rsidRDefault="00B15CC0" w14:paraId="443296F8" w14:textId="407F7AF7">
      <w:pPr>
        <w:pStyle w:val="ListParagraph"/>
        <w:numPr>
          <w:ilvl w:val="0"/>
          <w:numId w:val="17"/>
        </w:numPr>
        <w:spacing w:after="0" w:line="240" w:lineRule="auto"/>
        <w:contextualSpacing w:val="0"/>
        <w:rPr>
          <w:rFonts w:ascii="Times New Roman" w:hAnsi="Times New Roman" w:cs="Times New Roman"/>
        </w:rPr>
      </w:pPr>
      <w:r w:rsidRPr="0003391E">
        <w:rPr>
          <w:rFonts w:ascii="Times New Roman" w:hAnsi="Times New Roman" w:cs="Times New Roman"/>
        </w:rPr>
        <w:t>A</w:t>
      </w:r>
      <w:r w:rsidRPr="0003391E" w:rsidR="00820C75">
        <w:rPr>
          <w:rFonts w:ascii="Times New Roman" w:hAnsi="Times New Roman" w:cs="Times New Roman"/>
        </w:rPr>
        <w:t>ccident history information</w:t>
      </w:r>
    </w:p>
    <w:p w:rsidRPr="0003391E" w:rsidR="00B15CC0" w:rsidP="0003391E" w:rsidRDefault="00B15CC0" w14:paraId="7D2D5EC1" w14:textId="77777777">
      <w:pPr>
        <w:pStyle w:val="ListParagraph"/>
        <w:numPr>
          <w:ilvl w:val="0"/>
          <w:numId w:val="17"/>
        </w:numPr>
        <w:spacing w:after="0" w:line="240" w:lineRule="auto"/>
        <w:contextualSpacing w:val="0"/>
        <w:rPr>
          <w:rFonts w:ascii="Times New Roman" w:hAnsi="Times New Roman" w:cs="Times New Roman"/>
        </w:rPr>
      </w:pPr>
      <w:r w:rsidRPr="0003391E">
        <w:rPr>
          <w:rFonts w:ascii="Times New Roman" w:hAnsi="Times New Roman" w:cs="Times New Roman"/>
        </w:rPr>
        <w:t>E</w:t>
      </w:r>
      <w:r w:rsidRPr="0003391E" w:rsidR="00820C75">
        <w:rPr>
          <w:rFonts w:ascii="Times New Roman" w:hAnsi="Times New Roman" w:cs="Times New Roman"/>
        </w:rPr>
        <w:t>mergency response program information</w:t>
      </w:r>
    </w:p>
    <w:p w:rsidRPr="0003391E" w:rsidR="00820C75" w:rsidP="0003391E" w:rsidRDefault="00281500" w14:paraId="3495DE91" w14:textId="4644A55A">
      <w:pPr>
        <w:pStyle w:val="ListParagraph"/>
        <w:numPr>
          <w:ilvl w:val="0"/>
          <w:numId w:val="17"/>
        </w:numPr>
        <w:spacing w:after="0" w:line="240" w:lineRule="auto"/>
        <w:contextualSpacing w:val="0"/>
        <w:rPr>
          <w:rFonts w:ascii="Times New Roman" w:hAnsi="Times New Roman" w:cs="Times New Roman"/>
        </w:rPr>
      </w:pPr>
      <w:r w:rsidRPr="0003391E">
        <w:rPr>
          <w:rFonts w:ascii="Times New Roman" w:hAnsi="Times New Roman" w:cs="Times New Roman"/>
        </w:rPr>
        <w:t>L</w:t>
      </w:r>
      <w:r w:rsidRPr="0003391E" w:rsidR="00820C75">
        <w:rPr>
          <w:rFonts w:ascii="Times New Roman" w:hAnsi="Times New Roman" w:cs="Times New Roman"/>
        </w:rPr>
        <w:t xml:space="preserve">EPC or local response agency contact information.  </w:t>
      </w:r>
    </w:p>
    <w:p w:rsidRPr="0003391E" w:rsidR="00820C75" w:rsidP="0003391E" w:rsidRDefault="00820C75" w14:paraId="5735AF1C" w14:textId="05E6197B">
      <w:pPr>
        <w:spacing w:after="0" w:line="240" w:lineRule="auto"/>
        <w:ind w:firstLine="720"/>
        <w:rPr>
          <w:rFonts w:ascii="Times New Roman" w:hAnsi="Times New Roman" w:cs="Times New Roman"/>
        </w:rPr>
      </w:pPr>
    </w:p>
    <w:p w:rsidRPr="0003391E" w:rsidR="00093C0A" w:rsidP="00AF4AF6" w:rsidRDefault="006626C9" w14:paraId="79EF0AB0" w14:textId="5AB4E31F">
      <w:pPr>
        <w:spacing w:after="0" w:line="240" w:lineRule="auto"/>
        <w:ind w:firstLine="360"/>
        <w:rPr>
          <w:rFonts w:ascii="Times New Roman" w:hAnsi="Times New Roman" w:cs="Times New Roman"/>
        </w:rPr>
      </w:pPr>
      <w:r>
        <w:rPr>
          <w:rFonts w:ascii="Times New Roman" w:hAnsi="Times New Roman" w:cs="Times New Roman"/>
        </w:rPr>
        <w:tab/>
      </w:r>
      <w:r w:rsidRPr="0003391E" w:rsidR="00093C0A">
        <w:rPr>
          <w:rFonts w:ascii="Times New Roman" w:hAnsi="Times New Roman" w:cs="Times New Roman"/>
        </w:rPr>
        <w:t>EPA believes these revised information availability provisions w</w:t>
      </w:r>
      <w:r w:rsidRPr="0003391E" w:rsidR="00FE19FB">
        <w:rPr>
          <w:rFonts w:ascii="Times New Roman" w:hAnsi="Times New Roman" w:cs="Times New Roman"/>
        </w:rPr>
        <w:t>ould</w:t>
      </w:r>
      <w:r w:rsidRPr="0003391E" w:rsidR="00093C0A">
        <w:rPr>
          <w:rFonts w:ascii="Times New Roman" w:hAnsi="Times New Roman" w:cs="Times New Roman"/>
        </w:rPr>
        <w:t xml:space="preserve"> improve information sharing within communities, allow affected communities to obtain information from RMP facilities, and ensure information availability in areas without LEPCs. </w:t>
      </w:r>
    </w:p>
    <w:p w:rsidRPr="0003391E" w:rsidR="00281500" w:rsidP="0003391E" w:rsidRDefault="00281500" w14:paraId="50D40873" w14:textId="77777777">
      <w:pPr>
        <w:spacing w:after="0" w:line="240" w:lineRule="auto"/>
        <w:ind w:firstLine="720"/>
        <w:rPr>
          <w:rFonts w:ascii="Times New Roman" w:hAnsi="Times New Roman" w:cs="Times New Roman"/>
        </w:rPr>
      </w:pPr>
    </w:p>
    <w:p w:rsidRPr="0003391E" w:rsidR="00093C0A" w:rsidP="00813745" w:rsidRDefault="00093C0A" w14:paraId="1011FC5E" w14:textId="38B875BE">
      <w:pPr>
        <w:pStyle w:val="Heading2"/>
      </w:pPr>
      <w:bookmarkStart w:name="_Toc98856206" w:id="24"/>
      <w:bookmarkStart w:name="_Toc110502736" w:id="25"/>
      <w:r w:rsidRPr="0003391E">
        <w:t xml:space="preserve">2.2 </w:t>
      </w:r>
      <w:r w:rsidRPr="0003391E" w:rsidR="002F0062">
        <w:t xml:space="preserve">Applicability </w:t>
      </w:r>
      <w:r w:rsidRPr="0003391E" w:rsidR="002B5D8E">
        <w:t xml:space="preserve">to </w:t>
      </w:r>
      <w:r w:rsidRPr="0003391E">
        <w:t>Government</w:t>
      </w:r>
      <w:bookmarkEnd w:id="24"/>
      <w:r w:rsidRPr="0003391E" w:rsidR="002F0062">
        <w:t>-owned Facilities</w:t>
      </w:r>
      <w:r w:rsidRPr="0003391E" w:rsidR="002B5D8E">
        <w:t xml:space="preserve"> and Entities</w:t>
      </w:r>
      <w:bookmarkEnd w:id="25"/>
    </w:p>
    <w:p w:rsidRPr="0003391E" w:rsidR="00093C0A" w:rsidP="00AF4AF6" w:rsidRDefault="006626C9" w14:paraId="1D0B4F2F" w14:textId="29EF7BA2">
      <w:pPr>
        <w:spacing w:after="0" w:line="240" w:lineRule="auto"/>
        <w:ind w:firstLine="360"/>
        <w:rPr>
          <w:rFonts w:ascii="Times New Roman" w:hAnsi="Times New Roman" w:cs="Times New Roman"/>
          <w:b/>
        </w:rPr>
      </w:pPr>
      <w:bookmarkStart w:name="_Hlk103339924" w:id="26"/>
      <w:r>
        <w:rPr>
          <w:rFonts w:ascii="Times New Roman" w:hAnsi="Times New Roman" w:cs="Times New Roman"/>
        </w:rPr>
        <w:tab/>
      </w:r>
      <w:r w:rsidRPr="0003391E" w:rsidR="00093C0A">
        <w:rPr>
          <w:rFonts w:ascii="Times New Roman" w:hAnsi="Times New Roman" w:cs="Times New Roman"/>
        </w:rPr>
        <w:t xml:space="preserve">The proposed rule </w:t>
      </w:r>
      <w:r w:rsidRPr="0003391E" w:rsidR="002F0062">
        <w:rPr>
          <w:rFonts w:ascii="Times New Roman" w:hAnsi="Times New Roman" w:cs="Times New Roman"/>
        </w:rPr>
        <w:t xml:space="preserve">is applicable </w:t>
      </w:r>
      <w:r w:rsidRPr="0003391E" w:rsidR="00093C0A">
        <w:rPr>
          <w:rFonts w:ascii="Times New Roman" w:hAnsi="Times New Roman" w:cs="Times New Roman"/>
        </w:rPr>
        <w:t>to local governments that own and operate RMP facilities (primarily water and wastewater systems, but also some swimming pools</w:t>
      </w:r>
      <w:r w:rsidR="001F4CD0">
        <w:rPr>
          <w:rStyle w:val="FootnoteReference"/>
          <w:rFonts w:ascii="Times New Roman" w:hAnsi="Times New Roman" w:cs="Times New Roman"/>
        </w:rPr>
        <w:footnoteReference w:id="21"/>
      </w:r>
      <w:r w:rsidRPr="0003391E" w:rsidR="00093C0A">
        <w:rPr>
          <w:rFonts w:ascii="Times New Roman" w:hAnsi="Times New Roman" w:cs="Times New Roman"/>
        </w:rPr>
        <w:t xml:space="preserve">). The proposed rule also would </w:t>
      </w:r>
      <w:r w:rsidRPr="0003391E" w:rsidR="002B5D8E">
        <w:rPr>
          <w:rFonts w:ascii="Times New Roman" w:hAnsi="Times New Roman" w:cs="Times New Roman"/>
        </w:rPr>
        <w:t xml:space="preserve">be applicable to </w:t>
      </w:r>
      <w:r w:rsidRPr="0003391E" w:rsidR="00093C0A">
        <w:rPr>
          <w:rFonts w:ascii="Times New Roman" w:hAnsi="Times New Roman" w:cs="Times New Roman"/>
        </w:rPr>
        <w:t xml:space="preserve">regulated facilities owned by government entities, LEPCs, and State implementing agencies reviewing the proposed rule and LEPCs coordinating with facilities. </w:t>
      </w:r>
    </w:p>
    <w:p w:rsidR="00673838" w:rsidP="000409BE" w:rsidRDefault="00093C0A" w14:paraId="4E5005E4" w14:textId="078D6BE0">
      <w:pPr>
        <w:pStyle w:val="Heading1"/>
        <w:rPr>
          <w:rFonts w:eastAsia="Calibri"/>
        </w:rPr>
      </w:pPr>
      <w:bookmarkStart w:name="_Toc110502737" w:id="27"/>
      <w:bookmarkStart w:name="_Toc98856207" w:id="28"/>
      <w:bookmarkEnd w:id="26"/>
      <w:r w:rsidRPr="00B11FAB">
        <w:lastRenderedPageBreak/>
        <w:t>CHAPTER 3</w:t>
      </w:r>
      <w:r w:rsidR="00BF42A8">
        <w:t>: Universe of RMP Facilities</w:t>
      </w:r>
      <w:bookmarkEnd w:id="27"/>
    </w:p>
    <w:bookmarkEnd w:id="28"/>
    <w:p w:rsidRPr="00587204" w:rsidR="00093C0A" w:rsidP="00587204" w:rsidRDefault="006626C9" w14:paraId="73B62286" w14:textId="72269B0C">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Approximately 11,740 facilities have filed current RMPs with EPA and potentially </w:t>
      </w:r>
      <w:r w:rsidRPr="00587204" w:rsidR="006F1FE0">
        <w:rPr>
          <w:rFonts w:ascii="Times New Roman" w:hAnsi="Times New Roman" w:eastAsia="Calibri" w:cs="Times New Roman"/>
        </w:rPr>
        <w:t xml:space="preserve">would be </w:t>
      </w:r>
      <w:r w:rsidRPr="00587204" w:rsidR="00093C0A">
        <w:rPr>
          <w:rFonts w:ascii="Times New Roman" w:hAnsi="Times New Roman" w:eastAsia="Calibri" w:cs="Times New Roman"/>
        </w:rPr>
        <w:t>affected by the proposed rule. These facilities range from petroleum refineries and large chemical manufacturers to water and wastewater treatment systems; chemical and petroleum wholesalers and terminals; food manufacturers, packing plants, and other cold storage facilities with ammonia refrigeration systems; agricultural chemical distributors; midstream gas plants; and a limited number of other sources that use RMP-regulated substances. This chapter describes these facilities and how they are categorized for the purposes of the economic analysis.</w:t>
      </w:r>
    </w:p>
    <w:p w:rsidRPr="00587204" w:rsidR="008E19B6" w:rsidP="00587204" w:rsidRDefault="008E19B6" w14:paraId="62D38A48" w14:textId="77777777">
      <w:pPr>
        <w:spacing w:after="0" w:line="240" w:lineRule="auto"/>
        <w:ind w:firstLine="720"/>
        <w:rPr>
          <w:rFonts w:ascii="Times New Roman" w:hAnsi="Times New Roman" w:eastAsia="Calibri" w:cs="Times New Roman"/>
        </w:rPr>
      </w:pPr>
    </w:p>
    <w:p w:rsidRPr="00587204" w:rsidR="00093C0A" w:rsidP="00813745" w:rsidRDefault="00093C0A" w14:paraId="2D576A50" w14:textId="77777777">
      <w:pPr>
        <w:pStyle w:val="Heading2"/>
      </w:pPr>
      <w:bookmarkStart w:name="_Toc98856208" w:id="29"/>
      <w:bookmarkStart w:name="_Toc110502738" w:id="30"/>
      <w:r w:rsidRPr="00587204">
        <w:t>3.1 Current RMP Facilities</w:t>
      </w:r>
      <w:bookmarkEnd w:id="29"/>
      <w:bookmarkEnd w:id="30"/>
      <w:r w:rsidRPr="00587204">
        <w:t xml:space="preserve"> </w:t>
      </w:r>
    </w:p>
    <w:p w:rsidRPr="00587204" w:rsidR="00093C0A" w:rsidP="00587204" w:rsidRDefault="006626C9" w14:paraId="0D964DD1" w14:textId="4E171BB6">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Exhibit 3-1 presents the numbers of facilities according to RMP reporting as of December 31, 2020, by industrial sector and chemical use. Exhibit 3-2 presents the number of facilities in each sector in the form of a bar chart. </w:t>
      </w:r>
    </w:p>
    <w:p w:rsidRPr="00587204" w:rsidR="00587204" w:rsidP="00587204" w:rsidRDefault="00587204" w14:paraId="3B7BE5F0" w14:textId="5EECF85B">
      <w:pPr>
        <w:pStyle w:val="Caption"/>
        <w:jc w:val="center"/>
        <w:rPr>
          <w:rFonts w:ascii="Times New Roman" w:hAnsi="Times New Roman" w:cs="Times New Roman"/>
          <w:b/>
          <w:bCs/>
          <w:i w:val="0"/>
          <w:iCs w:val="0"/>
          <w:color w:val="auto"/>
          <w:sz w:val="22"/>
          <w:szCs w:val="22"/>
        </w:rPr>
      </w:pPr>
      <w:bookmarkStart w:name="_Toc100922735" w:id="31"/>
      <w:bookmarkStart w:name="_Toc100922741" w:id="32"/>
      <w:r w:rsidRPr="00587204">
        <w:rPr>
          <w:rFonts w:ascii="Times New Roman" w:hAnsi="Times New Roman" w:cs="Times New Roman"/>
          <w:b/>
          <w:bCs/>
          <w:i w:val="0"/>
          <w:iCs w:val="0"/>
          <w:color w:val="auto"/>
          <w:sz w:val="22"/>
          <w:szCs w:val="22"/>
        </w:rPr>
        <w:t xml:space="preserve">Exhibit </w:t>
      </w:r>
      <w:r w:rsidR="00A73F21">
        <w:rPr>
          <w:rFonts w:ascii="Times New Roman" w:hAnsi="Times New Roman" w:cs="Times New Roman"/>
          <w:b/>
          <w:bCs/>
          <w:i w:val="0"/>
          <w:iCs w:val="0"/>
          <w:color w:val="auto"/>
          <w:sz w:val="22"/>
          <w:szCs w:val="22"/>
        </w:rPr>
        <w:t>3</w:t>
      </w:r>
      <w:r w:rsidRPr="00587204">
        <w:rPr>
          <w:rFonts w:ascii="Times New Roman" w:hAnsi="Times New Roman" w:eastAsia="Calibri" w:cs="Times New Roman"/>
          <w:b/>
          <w:bCs/>
          <w:i w:val="0"/>
          <w:iCs w:val="0"/>
          <w:color w:val="auto"/>
          <w:sz w:val="22"/>
          <w:szCs w:val="22"/>
        </w:rPr>
        <w:t>-1: Number of Affected Facilities by Sector as of December 31, 2020</w:t>
      </w:r>
      <w:bookmarkEnd w:id="31"/>
      <w:bookmarkEnd w:id="32"/>
    </w:p>
    <w:tbl>
      <w:tblP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980"/>
        <w:gridCol w:w="1272"/>
        <w:gridCol w:w="3870"/>
      </w:tblGrid>
      <w:tr w:rsidRPr="00587204" w:rsidR="00093C0A" w:rsidTr="00305374" w14:paraId="43C14FF2" w14:textId="77777777">
        <w:trPr>
          <w:trHeight w:val="290"/>
          <w:tblHeader/>
          <w:jc w:val="center"/>
        </w:trPr>
        <w:tc>
          <w:tcPr>
            <w:tcW w:w="2785" w:type="dxa"/>
            <w:shd w:val="clear" w:color="000000" w:fill="D9D9D9"/>
            <w:noWrap/>
            <w:vAlign w:val="center"/>
            <w:hideMark/>
          </w:tcPr>
          <w:p w:rsidRPr="00D7128A" w:rsidR="00093C0A" w:rsidP="008348D6" w:rsidRDefault="00093C0A" w14:paraId="1726AD6E"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Sector</w:t>
            </w:r>
          </w:p>
        </w:tc>
        <w:tc>
          <w:tcPr>
            <w:tcW w:w="1980" w:type="dxa"/>
            <w:shd w:val="clear" w:color="000000" w:fill="D9D9D9"/>
            <w:noWrap/>
            <w:vAlign w:val="center"/>
            <w:hideMark/>
          </w:tcPr>
          <w:p w:rsidRPr="00D7128A" w:rsidR="00093C0A" w:rsidP="008348D6" w:rsidRDefault="00093C0A" w14:paraId="41D8121A"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NAICS Codes</w:t>
            </w:r>
          </w:p>
        </w:tc>
        <w:tc>
          <w:tcPr>
            <w:tcW w:w="1272" w:type="dxa"/>
            <w:shd w:val="clear" w:color="000000" w:fill="D9D9D9"/>
            <w:noWrap/>
            <w:vAlign w:val="center"/>
            <w:hideMark/>
          </w:tcPr>
          <w:p w:rsidRPr="00D7128A" w:rsidR="00093C0A" w:rsidP="008348D6" w:rsidRDefault="00FC7EF3" w14:paraId="193B51AE" w14:textId="1E21350F">
            <w:pPr>
              <w:spacing w:after="0" w:line="240" w:lineRule="auto"/>
              <w:jc w:val="center"/>
              <w:rPr>
                <w:rFonts w:ascii="Times New Roman" w:hAnsi="Times New Roman" w:cs="Times New Roman"/>
                <w:b/>
                <w:color w:val="000000"/>
                <w:sz w:val="20"/>
                <w:szCs w:val="20"/>
              </w:rPr>
            </w:pPr>
            <w:r w:rsidRPr="00D7128A">
              <w:rPr>
                <w:rFonts w:ascii="Times New Roman" w:hAnsi="Times New Roman" w:eastAsia="Times New Roman" w:cs="Times New Roman"/>
                <w:b/>
                <w:color w:val="000000"/>
                <w:sz w:val="20"/>
                <w:szCs w:val="20"/>
              </w:rPr>
              <w:t>Numbe</w:t>
            </w:r>
            <w:r w:rsidRPr="00D7128A" w:rsidR="00A770D4">
              <w:rPr>
                <w:rFonts w:ascii="Times New Roman" w:hAnsi="Times New Roman" w:eastAsia="Times New Roman" w:cs="Times New Roman"/>
                <w:b/>
                <w:color w:val="000000"/>
                <w:sz w:val="20"/>
                <w:szCs w:val="20"/>
              </w:rPr>
              <w:t xml:space="preserve">r </w:t>
            </w:r>
            <w:r w:rsidRPr="00D7128A">
              <w:rPr>
                <w:rFonts w:ascii="Times New Roman" w:hAnsi="Times New Roman" w:eastAsia="Times New Roman" w:cs="Times New Roman"/>
                <w:b/>
                <w:color w:val="000000"/>
                <w:sz w:val="20"/>
                <w:szCs w:val="20"/>
              </w:rPr>
              <w:t>of facilities</w:t>
            </w:r>
          </w:p>
        </w:tc>
        <w:tc>
          <w:tcPr>
            <w:tcW w:w="3870" w:type="dxa"/>
            <w:shd w:val="clear" w:color="000000" w:fill="D9D9D9"/>
            <w:noWrap/>
            <w:vAlign w:val="center"/>
            <w:hideMark/>
          </w:tcPr>
          <w:p w:rsidRPr="00D7128A" w:rsidR="00093C0A" w:rsidP="008348D6" w:rsidRDefault="00093C0A" w14:paraId="13B938B6"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Chemical Uses</w:t>
            </w:r>
          </w:p>
        </w:tc>
      </w:tr>
      <w:tr w:rsidRPr="00587204" w:rsidR="00093C0A" w:rsidTr="00305374" w14:paraId="63C65EC8" w14:textId="77777777">
        <w:trPr>
          <w:trHeight w:val="584"/>
          <w:jc w:val="center"/>
        </w:trPr>
        <w:tc>
          <w:tcPr>
            <w:tcW w:w="2785" w:type="dxa"/>
            <w:shd w:val="clear" w:color="auto" w:fill="auto"/>
            <w:vAlign w:val="center"/>
            <w:hideMark/>
          </w:tcPr>
          <w:p w:rsidRPr="00D7128A" w:rsidR="00093C0A" w:rsidP="008348D6" w:rsidRDefault="00093C0A" w14:paraId="6A24C8B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Administration of environmental quality programs (i.e., governments, government owned water)</w:t>
            </w:r>
          </w:p>
        </w:tc>
        <w:tc>
          <w:tcPr>
            <w:tcW w:w="1980" w:type="dxa"/>
            <w:shd w:val="clear" w:color="auto" w:fill="auto"/>
            <w:vAlign w:val="center"/>
            <w:hideMark/>
          </w:tcPr>
          <w:p w:rsidRPr="00D7128A" w:rsidR="00093C0A" w:rsidP="008348D6" w:rsidRDefault="00093C0A" w14:paraId="2035BBA0"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92, 2213 (Government</w:t>
            </w:r>
            <w:r w:rsidRPr="00D7128A" w:rsidR="00CB6D1C">
              <w:rPr>
                <w:rFonts w:ascii="Times New Roman" w:hAnsi="Times New Roman" w:eastAsia="Times New Roman" w:cs="Times New Roman"/>
                <w:color w:val="000000"/>
                <w:sz w:val="20"/>
                <w:szCs w:val="20"/>
              </w:rPr>
              <w:t>-</w:t>
            </w:r>
            <w:r w:rsidRPr="00D7128A">
              <w:rPr>
                <w:rFonts w:ascii="Times New Roman" w:hAnsi="Times New Roman" w:cs="Times New Roman"/>
                <w:color w:val="000000"/>
                <w:sz w:val="20"/>
                <w:szCs w:val="20"/>
              </w:rPr>
              <w:t xml:space="preserve"> owned)</w:t>
            </w:r>
          </w:p>
        </w:tc>
        <w:tc>
          <w:tcPr>
            <w:tcW w:w="1272" w:type="dxa"/>
            <w:shd w:val="clear" w:color="auto" w:fill="auto"/>
            <w:noWrap/>
            <w:vAlign w:val="center"/>
            <w:hideMark/>
          </w:tcPr>
          <w:p w:rsidRPr="00D7128A" w:rsidR="00093C0A" w:rsidP="008348D6" w:rsidRDefault="00093C0A" w14:paraId="486BAF1C" w14:textId="281DBED6">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w:t>
            </w:r>
            <w:r w:rsidRPr="00D7128A" w:rsidR="007E0D29">
              <w:rPr>
                <w:rFonts w:ascii="Times New Roman" w:hAnsi="Times New Roman" w:cs="Times New Roman"/>
                <w:color w:val="000000"/>
                <w:sz w:val="20"/>
                <w:szCs w:val="20"/>
              </w:rPr>
              <w:t>49</w:t>
            </w:r>
          </w:p>
        </w:tc>
        <w:tc>
          <w:tcPr>
            <w:tcW w:w="3870" w:type="dxa"/>
            <w:shd w:val="clear" w:color="auto" w:fill="auto"/>
            <w:vAlign w:val="center"/>
            <w:hideMark/>
          </w:tcPr>
          <w:p w:rsidRPr="00D7128A" w:rsidR="00093C0A" w:rsidP="008348D6" w:rsidRDefault="00093C0A" w14:paraId="662991A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Use chlorine and other chemicals for water treatment</w:t>
            </w:r>
          </w:p>
        </w:tc>
      </w:tr>
      <w:tr w:rsidRPr="00587204" w:rsidR="00093C0A" w:rsidTr="00305374" w14:paraId="6337640B" w14:textId="77777777">
        <w:trPr>
          <w:trHeight w:val="50"/>
          <w:jc w:val="center"/>
        </w:trPr>
        <w:tc>
          <w:tcPr>
            <w:tcW w:w="2785" w:type="dxa"/>
            <w:shd w:val="clear" w:color="auto" w:fill="auto"/>
            <w:vAlign w:val="center"/>
            <w:hideMark/>
          </w:tcPr>
          <w:p w:rsidRPr="00D7128A" w:rsidR="00093C0A" w:rsidP="008348D6" w:rsidRDefault="00093C0A" w14:paraId="4C2EFCB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Agricultural chemical distributors/wholesalers</w:t>
            </w:r>
          </w:p>
        </w:tc>
        <w:tc>
          <w:tcPr>
            <w:tcW w:w="1980" w:type="dxa"/>
            <w:shd w:val="clear" w:color="auto" w:fill="auto"/>
            <w:vAlign w:val="center"/>
            <w:hideMark/>
          </w:tcPr>
          <w:p w:rsidRPr="00D7128A" w:rsidR="00093C0A" w:rsidP="008348D6" w:rsidRDefault="00093C0A" w14:paraId="41A0EA9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11, 424 (except 4246, 4247)</w:t>
            </w:r>
          </w:p>
        </w:tc>
        <w:tc>
          <w:tcPr>
            <w:tcW w:w="1272" w:type="dxa"/>
            <w:shd w:val="clear" w:color="auto" w:fill="auto"/>
            <w:noWrap/>
            <w:vAlign w:val="center"/>
            <w:hideMark/>
          </w:tcPr>
          <w:p w:rsidRPr="00D7128A" w:rsidR="00093C0A" w:rsidP="008348D6" w:rsidRDefault="00093C0A" w14:paraId="55539577"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3,315</w:t>
            </w:r>
          </w:p>
        </w:tc>
        <w:tc>
          <w:tcPr>
            <w:tcW w:w="3870" w:type="dxa"/>
            <w:shd w:val="clear" w:color="auto" w:fill="auto"/>
            <w:vAlign w:val="center"/>
            <w:hideMark/>
          </w:tcPr>
          <w:p w:rsidRPr="00D7128A" w:rsidR="00093C0A" w:rsidP="008348D6" w:rsidRDefault="00093C0A" w14:paraId="0299D97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Store ammonia for sale; some in NAICS 111 and 115 use ammonia as a refrigerant</w:t>
            </w:r>
          </w:p>
        </w:tc>
      </w:tr>
      <w:tr w:rsidRPr="00587204" w:rsidR="00093C0A" w:rsidTr="00305374" w14:paraId="64E7070F" w14:textId="77777777">
        <w:trPr>
          <w:trHeight w:val="290"/>
          <w:jc w:val="center"/>
        </w:trPr>
        <w:tc>
          <w:tcPr>
            <w:tcW w:w="2785" w:type="dxa"/>
            <w:shd w:val="clear" w:color="auto" w:fill="auto"/>
            <w:vAlign w:val="center"/>
            <w:hideMark/>
          </w:tcPr>
          <w:p w:rsidRPr="00D7128A" w:rsidR="00093C0A" w:rsidP="008348D6" w:rsidRDefault="00093C0A" w14:paraId="5F05E957"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1980" w:type="dxa"/>
            <w:shd w:val="clear" w:color="auto" w:fill="auto"/>
            <w:vAlign w:val="center"/>
            <w:hideMark/>
          </w:tcPr>
          <w:p w:rsidRPr="00D7128A" w:rsidR="00093C0A" w:rsidP="008348D6" w:rsidRDefault="00093C0A" w14:paraId="00D59C4E"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325</w:t>
            </w:r>
          </w:p>
        </w:tc>
        <w:tc>
          <w:tcPr>
            <w:tcW w:w="1272" w:type="dxa"/>
            <w:shd w:val="clear" w:color="auto" w:fill="auto"/>
            <w:noWrap/>
            <w:vAlign w:val="center"/>
            <w:hideMark/>
          </w:tcPr>
          <w:p w:rsidRPr="00D7128A" w:rsidR="00093C0A" w:rsidP="008348D6" w:rsidRDefault="00093C0A" w14:paraId="1DDA0CD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1,502</w:t>
            </w:r>
          </w:p>
        </w:tc>
        <w:tc>
          <w:tcPr>
            <w:tcW w:w="3870" w:type="dxa"/>
            <w:shd w:val="clear" w:color="auto" w:fill="auto"/>
            <w:vAlign w:val="center"/>
            <w:hideMark/>
          </w:tcPr>
          <w:p w:rsidRPr="00D7128A" w:rsidR="00093C0A" w:rsidP="008348D6" w:rsidRDefault="00093C0A" w14:paraId="512A7568"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Manufacture, process, store</w:t>
            </w:r>
          </w:p>
        </w:tc>
      </w:tr>
      <w:tr w:rsidRPr="00587204" w:rsidR="00093C0A" w:rsidTr="00305374" w14:paraId="01E32E5F" w14:textId="77777777">
        <w:trPr>
          <w:trHeight w:val="290"/>
          <w:jc w:val="center"/>
        </w:trPr>
        <w:tc>
          <w:tcPr>
            <w:tcW w:w="2785" w:type="dxa"/>
            <w:shd w:val="clear" w:color="auto" w:fill="auto"/>
            <w:vAlign w:val="center"/>
            <w:hideMark/>
          </w:tcPr>
          <w:p w:rsidRPr="00D7128A" w:rsidR="00093C0A" w:rsidP="008348D6" w:rsidRDefault="00093C0A" w14:paraId="0E06BEB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wholesalers</w:t>
            </w:r>
          </w:p>
        </w:tc>
        <w:tc>
          <w:tcPr>
            <w:tcW w:w="1980" w:type="dxa"/>
            <w:shd w:val="clear" w:color="auto" w:fill="auto"/>
            <w:vAlign w:val="center"/>
            <w:hideMark/>
          </w:tcPr>
          <w:p w:rsidRPr="00D7128A" w:rsidR="00093C0A" w:rsidP="008348D6" w:rsidRDefault="00093C0A" w14:paraId="33D02EE7"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4246</w:t>
            </w:r>
          </w:p>
        </w:tc>
        <w:tc>
          <w:tcPr>
            <w:tcW w:w="1272" w:type="dxa"/>
            <w:shd w:val="clear" w:color="auto" w:fill="auto"/>
            <w:noWrap/>
            <w:vAlign w:val="center"/>
            <w:hideMark/>
          </w:tcPr>
          <w:p w:rsidRPr="00D7128A" w:rsidR="00093C0A" w:rsidP="008348D6" w:rsidRDefault="00093C0A" w14:paraId="54A4306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317</w:t>
            </w:r>
          </w:p>
        </w:tc>
        <w:tc>
          <w:tcPr>
            <w:tcW w:w="3870" w:type="dxa"/>
            <w:shd w:val="clear" w:color="auto" w:fill="auto"/>
            <w:vAlign w:val="center"/>
            <w:hideMark/>
          </w:tcPr>
          <w:p w:rsidRPr="00D7128A" w:rsidR="00093C0A" w:rsidP="008348D6" w:rsidRDefault="00093C0A" w14:paraId="39E0D89F"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Store for sale</w:t>
            </w:r>
          </w:p>
        </w:tc>
      </w:tr>
      <w:tr w:rsidRPr="00587204" w:rsidR="00093C0A" w:rsidTr="00305374" w14:paraId="5C584B9D" w14:textId="77777777">
        <w:trPr>
          <w:trHeight w:val="152"/>
          <w:jc w:val="center"/>
        </w:trPr>
        <w:tc>
          <w:tcPr>
            <w:tcW w:w="2785" w:type="dxa"/>
            <w:shd w:val="clear" w:color="auto" w:fill="auto"/>
            <w:vAlign w:val="center"/>
            <w:hideMark/>
          </w:tcPr>
          <w:p w:rsidRPr="00D7128A" w:rsidR="00093C0A" w:rsidP="008348D6" w:rsidRDefault="00093C0A" w14:paraId="0376A77D"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Food and beverage manufacturing</w:t>
            </w:r>
          </w:p>
        </w:tc>
        <w:tc>
          <w:tcPr>
            <w:tcW w:w="1980" w:type="dxa"/>
            <w:shd w:val="clear" w:color="auto" w:fill="auto"/>
            <w:vAlign w:val="center"/>
            <w:hideMark/>
          </w:tcPr>
          <w:p w:rsidRPr="00D7128A" w:rsidR="00093C0A" w:rsidP="008348D6" w:rsidRDefault="00093C0A" w14:paraId="7A0429FF"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311, 312</w:t>
            </w:r>
          </w:p>
        </w:tc>
        <w:tc>
          <w:tcPr>
            <w:tcW w:w="1272" w:type="dxa"/>
            <w:shd w:val="clear" w:color="auto" w:fill="auto"/>
            <w:noWrap/>
            <w:vAlign w:val="center"/>
            <w:hideMark/>
          </w:tcPr>
          <w:p w:rsidRPr="00D7128A" w:rsidR="00093C0A" w:rsidP="008348D6" w:rsidRDefault="00093C0A" w14:paraId="0CCC0654"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1,571</w:t>
            </w:r>
          </w:p>
        </w:tc>
        <w:tc>
          <w:tcPr>
            <w:tcW w:w="3870" w:type="dxa"/>
            <w:shd w:val="clear" w:color="auto" w:fill="auto"/>
            <w:vAlign w:val="center"/>
            <w:hideMark/>
          </w:tcPr>
          <w:p w:rsidRPr="00D7128A" w:rsidR="00093C0A" w:rsidP="008348D6" w:rsidRDefault="00093C0A" w14:paraId="0A1B8209" w14:textId="1833C81F">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 xml:space="preserve">Use </w:t>
            </w:r>
            <w:r w:rsidR="00EE550D">
              <w:rPr>
                <w:rFonts w:ascii="Times New Roman" w:hAnsi="Times New Roman" w:cs="Times New Roman"/>
                <w:color w:val="000000"/>
                <w:sz w:val="20"/>
                <w:szCs w:val="20"/>
              </w:rPr>
              <w:t>(</w:t>
            </w:r>
            <w:r w:rsidRPr="00D7128A">
              <w:rPr>
                <w:rFonts w:ascii="Times New Roman" w:hAnsi="Times New Roman" w:cs="Times New Roman"/>
                <w:color w:val="000000"/>
                <w:sz w:val="20"/>
                <w:szCs w:val="20"/>
              </w:rPr>
              <w:t>mostly ammonia</w:t>
            </w:r>
            <w:r w:rsidR="00EE550D">
              <w:rPr>
                <w:rFonts w:ascii="Times New Roman" w:hAnsi="Times New Roman" w:cs="Times New Roman"/>
                <w:color w:val="000000"/>
                <w:sz w:val="20"/>
                <w:szCs w:val="20"/>
              </w:rPr>
              <w:t>)</w:t>
            </w:r>
            <w:r w:rsidRPr="00D7128A">
              <w:rPr>
                <w:rFonts w:ascii="Times New Roman" w:hAnsi="Times New Roman" w:cs="Times New Roman"/>
                <w:color w:val="000000"/>
                <w:sz w:val="20"/>
                <w:szCs w:val="20"/>
              </w:rPr>
              <w:t xml:space="preserve"> as a refrigerant</w:t>
            </w:r>
          </w:p>
        </w:tc>
      </w:tr>
      <w:tr w:rsidRPr="00587204" w:rsidR="00093C0A" w:rsidTr="00305374" w14:paraId="25D2B4C0" w14:textId="77777777">
        <w:trPr>
          <w:trHeight w:val="494"/>
          <w:jc w:val="center"/>
        </w:trPr>
        <w:tc>
          <w:tcPr>
            <w:tcW w:w="2785" w:type="dxa"/>
            <w:shd w:val="clear" w:color="auto" w:fill="auto"/>
            <w:vAlign w:val="center"/>
            <w:hideMark/>
          </w:tcPr>
          <w:p w:rsidRPr="00D7128A" w:rsidR="00093C0A" w:rsidP="008348D6" w:rsidRDefault="00093C0A" w14:paraId="4259B6A7"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Oil and gas extraction</w:t>
            </w:r>
          </w:p>
        </w:tc>
        <w:tc>
          <w:tcPr>
            <w:tcW w:w="1980" w:type="dxa"/>
            <w:shd w:val="clear" w:color="auto" w:fill="auto"/>
            <w:vAlign w:val="center"/>
            <w:hideMark/>
          </w:tcPr>
          <w:p w:rsidRPr="00D7128A" w:rsidR="00093C0A" w:rsidP="008348D6" w:rsidRDefault="00093C0A" w14:paraId="06C0FEBC"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211</w:t>
            </w:r>
          </w:p>
        </w:tc>
        <w:tc>
          <w:tcPr>
            <w:tcW w:w="1272" w:type="dxa"/>
            <w:shd w:val="clear" w:color="auto" w:fill="auto"/>
            <w:noWrap/>
            <w:vAlign w:val="center"/>
            <w:hideMark/>
          </w:tcPr>
          <w:p w:rsidRPr="00D7128A" w:rsidR="00093C0A" w:rsidP="008348D6" w:rsidRDefault="00093C0A" w14:paraId="34F93283"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719</w:t>
            </w:r>
          </w:p>
        </w:tc>
        <w:tc>
          <w:tcPr>
            <w:tcW w:w="3870" w:type="dxa"/>
            <w:shd w:val="clear" w:color="auto" w:fill="auto"/>
            <w:vAlign w:val="center"/>
            <w:hideMark/>
          </w:tcPr>
          <w:p w:rsidRPr="00D7128A" w:rsidR="00093C0A" w:rsidP="008348D6" w:rsidRDefault="00093C0A" w14:paraId="5713989D"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Intermediate processing (mostly regulated flammable substances and flammable mixtures)</w:t>
            </w:r>
          </w:p>
        </w:tc>
      </w:tr>
      <w:tr w:rsidRPr="00587204" w:rsidR="00093C0A" w:rsidTr="00305374" w14:paraId="06713594" w14:textId="77777777">
        <w:trPr>
          <w:trHeight w:val="413"/>
          <w:jc w:val="center"/>
        </w:trPr>
        <w:tc>
          <w:tcPr>
            <w:tcW w:w="2785" w:type="dxa"/>
            <w:shd w:val="clear" w:color="auto" w:fill="auto"/>
            <w:vAlign w:val="center"/>
            <w:hideMark/>
          </w:tcPr>
          <w:p w:rsidRPr="00D7128A" w:rsidR="00093C0A" w:rsidP="008348D6" w:rsidRDefault="00093C0A" w14:paraId="1F6CEAF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w:t>
            </w:r>
          </w:p>
        </w:tc>
        <w:tc>
          <w:tcPr>
            <w:tcW w:w="1980" w:type="dxa"/>
            <w:shd w:val="clear" w:color="auto" w:fill="auto"/>
            <w:vAlign w:val="center"/>
            <w:hideMark/>
          </w:tcPr>
          <w:p w:rsidRPr="00D7128A" w:rsidR="00093C0A" w:rsidP="008348D6" w:rsidRDefault="00093C0A" w14:paraId="307DD414"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21 (except 211), 23, 44, 45, 48, 491, 54, 55, 56, 61, 62, 71, 72, 81, 99</w:t>
            </w:r>
          </w:p>
        </w:tc>
        <w:tc>
          <w:tcPr>
            <w:tcW w:w="1272" w:type="dxa"/>
            <w:shd w:val="clear" w:color="auto" w:fill="auto"/>
            <w:noWrap/>
            <w:vAlign w:val="center"/>
            <w:hideMark/>
          </w:tcPr>
          <w:p w:rsidRPr="00D7128A" w:rsidR="00093C0A" w:rsidP="008348D6" w:rsidRDefault="00093C0A" w14:paraId="663DC367"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246</w:t>
            </w:r>
          </w:p>
        </w:tc>
        <w:tc>
          <w:tcPr>
            <w:tcW w:w="3870" w:type="dxa"/>
            <w:shd w:val="clear" w:color="auto" w:fill="auto"/>
            <w:vAlign w:val="center"/>
            <w:hideMark/>
          </w:tcPr>
          <w:p w:rsidRPr="00D7128A" w:rsidR="00093C0A" w:rsidP="008348D6" w:rsidRDefault="00093C0A" w14:paraId="6A7E32D6"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Use chemicals for wastewater treatment, refrigeration, store chemicals for sale</w:t>
            </w:r>
          </w:p>
        </w:tc>
      </w:tr>
      <w:tr w:rsidRPr="00587204" w:rsidR="00093C0A" w:rsidTr="00305374" w14:paraId="22BDF500" w14:textId="77777777">
        <w:trPr>
          <w:trHeight w:val="50"/>
          <w:jc w:val="center"/>
        </w:trPr>
        <w:tc>
          <w:tcPr>
            <w:tcW w:w="2785" w:type="dxa"/>
            <w:shd w:val="clear" w:color="auto" w:fill="auto"/>
            <w:vAlign w:val="center"/>
            <w:hideMark/>
          </w:tcPr>
          <w:p w:rsidRPr="00D7128A" w:rsidR="00093C0A" w:rsidP="008348D6" w:rsidRDefault="00093C0A" w14:paraId="40212F94"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 manufacturing</w:t>
            </w:r>
          </w:p>
        </w:tc>
        <w:tc>
          <w:tcPr>
            <w:tcW w:w="1980" w:type="dxa"/>
            <w:shd w:val="clear" w:color="auto" w:fill="auto"/>
            <w:vAlign w:val="center"/>
            <w:hideMark/>
          </w:tcPr>
          <w:p w:rsidRPr="00D7128A" w:rsidR="00093C0A" w:rsidP="008348D6" w:rsidRDefault="00093C0A" w14:paraId="542B1F2D"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313, 314, 315, 326, 327, 33</w:t>
            </w:r>
          </w:p>
        </w:tc>
        <w:tc>
          <w:tcPr>
            <w:tcW w:w="1272" w:type="dxa"/>
            <w:shd w:val="clear" w:color="auto" w:fill="auto"/>
            <w:noWrap/>
            <w:vAlign w:val="center"/>
            <w:hideMark/>
          </w:tcPr>
          <w:p w:rsidRPr="00D7128A" w:rsidR="00093C0A" w:rsidP="008348D6" w:rsidRDefault="00093C0A" w14:paraId="1557D618"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375</w:t>
            </w:r>
          </w:p>
        </w:tc>
        <w:tc>
          <w:tcPr>
            <w:tcW w:w="3870" w:type="dxa"/>
            <w:shd w:val="clear" w:color="auto" w:fill="auto"/>
            <w:vAlign w:val="center"/>
            <w:hideMark/>
          </w:tcPr>
          <w:p w:rsidRPr="00D7128A" w:rsidR="00093C0A" w:rsidP="008348D6" w:rsidRDefault="00093C0A" w14:paraId="65BD1AE7"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Use various chemicals in manufacturing process, waste treatment</w:t>
            </w:r>
          </w:p>
        </w:tc>
      </w:tr>
      <w:tr w:rsidRPr="00587204" w:rsidR="00093C0A" w:rsidTr="00305374" w14:paraId="7CE57376" w14:textId="77777777">
        <w:trPr>
          <w:trHeight w:val="50"/>
          <w:jc w:val="center"/>
        </w:trPr>
        <w:tc>
          <w:tcPr>
            <w:tcW w:w="2785" w:type="dxa"/>
            <w:shd w:val="clear" w:color="auto" w:fill="auto"/>
            <w:vAlign w:val="center"/>
            <w:hideMark/>
          </w:tcPr>
          <w:p w:rsidRPr="00D7128A" w:rsidR="00093C0A" w:rsidP="008348D6" w:rsidRDefault="00093C0A" w14:paraId="6C6CB5BF"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 wholesale</w:t>
            </w:r>
          </w:p>
        </w:tc>
        <w:tc>
          <w:tcPr>
            <w:tcW w:w="1980" w:type="dxa"/>
            <w:shd w:val="clear" w:color="auto" w:fill="auto"/>
            <w:vAlign w:val="center"/>
            <w:hideMark/>
          </w:tcPr>
          <w:p w:rsidRPr="00D7128A" w:rsidR="00093C0A" w:rsidP="008348D6" w:rsidRDefault="00093C0A" w14:paraId="21855BCC"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421, 422, 423</w:t>
            </w:r>
          </w:p>
        </w:tc>
        <w:tc>
          <w:tcPr>
            <w:tcW w:w="1272" w:type="dxa"/>
            <w:shd w:val="clear" w:color="auto" w:fill="auto"/>
            <w:noWrap/>
            <w:vAlign w:val="center"/>
            <w:hideMark/>
          </w:tcPr>
          <w:p w:rsidRPr="00D7128A" w:rsidR="00093C0A" w:rsidP="008348D6" w:rsidRDefault="00093C0A" w14:paraId="141F5AE2"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39</w:t>
            </w:r>
          </w:p>
        </w:tc>
        <w:tc>
          <w:tcPr>
            <w:tcW w:w="3870" w:type="dxa"/>
            <w:shd w:val="clear" w:color="auto" w:fill="auto"/>
            <w:vAlign w:val="center"/>
            <w:hideMark/>
          </w:tcPr>
          <w:p w:rsidRPr="00D7128A" w:rsidR="00093C0A" w:rsidP="008348D6" w:rsidRDefault="00093C0A" w14:paraId="11EE454E" w14:textId="467BFDEA">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 xml:space="preserve">Use </w:t>
            </w:r>
            <w:r w:rsidR="00F4411E">
              <w:rPr>
                <w:rFonts w:ascii="Times New Roman" w:hAnsi="Times New Roman" w:cs="Times New Roman"/>
                <w:color w:val="000000"/>
                <w:sz w:val="20"/>
                <w:szCs w:val="20"/>
              </w:rPr>
              <w:t>(</w:t>
            </w:r>
            <w:r w:rsidRPr="00D7128A">
              <w:rPr>
                <w:rFonts w:ascii="Times New Roman" w:hAnsi="Times New Roman" w:cs="Times New Roman"/>
                <w:color w:val="000000"/>
                <w:sz w:val="20"/>
                <w:szCs w:val="20"/>
              </w:rPr>
              <w:t>mostly ammonia</w:t>
            </w:r>
            <w:r w:rsidR="00F4411E">
              <w:rPr>
                <w:rFonts w:ascii="Times New Roman" w:hAnsi="Times New Roman" w:cs="Times New Roman"/>
                <w:color w:val="000000"/>
                <w:sz w:val="20"/>
                <w:szCs w:val="20"/>
              </w:rPr>
              <w:t>)</w:t>
            </w:r>
            <w:r w:rsidRPr="00D7128A">
              <w:rPr>
                <w:rFonts w:ascii="Times New Roman" w:hAnsi="Times New Roman" w:cs="Times New Roman"/>
                <w:color w:val="000000"/>
                <w:sz w:val="20"/>
                <w:szCs w:val="20"/>
              </w:rPr>
              <w:t xml:space="preserve"> as a refrigerant</w:t>
            </w:r>
          </w:p>
        </w:tc>
      </w:tr>
      <w:tr w:rsidRPr="00587204" w:rsidR="00093C0A" w:rsidTr="00305374" w14:paraId="1DC12541" w14:textId="77777777">
        <w:trPr>
          <w:trHeight w:val="170"/>
          <w:jc w:val="center"/>
        </w:trPr>
        <w:tc>
          <w:tcPr>
            <w:tcW w:w="2785" w:type="dxa"/>
            <w:shd w:val="clear" w:color="auto" w:fill="auto"/>
            <w:vAlign w:val="center"/>
            <w:hideMark/>
          </w:tcPr>
          <w:p w:rsidRPr="00D7128A" w:rsidR="00093C0A" w:rsidP="008348D6" w:rsidRDefault="00093C0A" w14:paraId="098B639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Paper manufacturing</w:t>
            </w:r>
          </w:p>
        </w:tc>
        <w:tc>
          <w:tcPr>
            <w:tcW w:w="1980" w:type="dxa"/>
            <w:shd w:val="clear" w:color="auto" w:fill="auto"/>
            <w:vAlign w:val="center"/>
            <w:hideMark/>
          </w:tcPr>
          <w:p w:rsidRPr="00D7128A" w:rsidR="00093C0A" w:rsidP="008348D6" w:rsidRDefault="00093C0A" w14:paraId="43776228"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321, 322</w:t>
            </w:r>
          </w:p>
        </w:tc>
        <w:tc>
          <w:tcPr>
            <w:tcW w:w="1272" w:type="dxa"/>
            <w:shd w:val="clear" w:color="auto" w:fill="auto"/>
            <w:noWrap/>
            <w:vAlign w:val="center"/>
            <w:hideMark/>
          </w:tcPr>
          <w:p w:rsidRPr="00D7128A" w:rsidR="00093C0A" w:rsidP="008348D6" w:rsidRDefault="00093C0A" w14:paraId="55FD6003"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55</w:t>
            </w:r>
          </w:p>
        </w:tc>
        <w:tc>
          <w:tcPr>
            <w:tcW w:w="3870" w:type="dxa"/>
            <w:shd w:val="clear" w:color="auto" w:fill="auto"/>
            <w:vAlign w:val="center"/>
            <w:hideMark/>
          </w:tcPr>
          <w:p w:rsidRPr="00D7128A" w:rsidR="00093C0A" w:rsidP="008348D6" w:rsidRDefault="00093C0A" w14:paraId="745937D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Use various chemicals in pulp and paper manufacturing</w:t>
            </w:r>
          </w:p>
        </w:tc>
      </w:tr>
      <w:tr w:rsidRPr="00587204" w:rsidR="00093C0A" w:rsidTr="00305374" w14:paraId="2E85620A" w14:textId="77777777">
        <w:trPr>
          <w:trHeight w:val="170"/>
          <w:jc w:val="center"/>
        </w:trPr>
        <w:tc>
          <w:tcPr>
            <w:tcW w:w="2785" w:type="dxa"/>
            <w:shd w:val="clear" w:color="auto" w:fill="auto"/>
            <w:vAlign w:val="center"/>
            <w:hideMark/>
          </w:tcPr>
          <w:p w:rsidRPr="00D7128A" w:rsidR="00093C0A" w:rsidP="008348D6" w:rsidRDefault="00093C0A" w14:paraId="15BEEDC8"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and coal products manufacturing</w:t>
            </w:r>
          </w:p>
        </w:tc>
        <w:tc>
          <w:tcPr>
            <w:tcW w:w="1980" w:type="dxa"/>
            <w:shd w:val="clear" w:color="auto" w:fill="auto"/>
            <w:vAlign w:val="center"/>
            <w:hideMark/>
          </w:tcPr>
          <w:p w:rsidRPr="00D7128A" w:rsidR="00093C0A" w:rsidP="008348D6" w:rsidRDefault="00093C0A" w14:paraId="58B4C9DA"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324</w:t>
            </w:r>
          </w:p>
        </w:tc>
        <w:tc>
          <w:tcPr>
            <w:tcW w:w="1272" w:type="dxa"/>
            <w:shd w:val="clear" w:color="auto" w:fill="auto"/>
            <w:noWrap/>
            <w:vAlign w:val="center"/>
            <w:hideMark/>
          </w:tcPr>
          <w:p w:rsidRPr="00D7128A" w:rsidR="00093C0A" w:rsidP="008348D6" w:rsidRDefault="00093C0A" w14:paraId="2AB092E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156</w:t>
            </w:r>
          </w:p>
        </w:tc>
        <w:tc>
          <w:tcPr>
            <w:tcW w:w="3870" w:type="dxa"/>
            <w:shd w:val="clear" w:color="auto" w:fill="auto"/>
            <w:vAlign w:val="center"/>
            <w:hideMark/>
          </w:tcPr>
          <w:p w:rsidRPr="00D7128A" w:rsidR="00093C0A" w:rsidP="008348D6" w:rsidRDefault="00093C0A" w14:paraId="52FF7DA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Manufacture, process, store (mostly regulated flammable substances and flammable mixtures)</w:t>
            </w:r>
          </w:p>
        </w:tc>
      </w:tr>
      <w:tr w:rsidRPr="00587204" w:rsidR="00093C0A" w:rsidTr="00305374" w14:paraId="63BDFC12" w14:textId="77777777">
        <w:trPr>
          <w:trHeight w:val="431"/>
          <w:jc w:val="center"/>
        </w:trPr>
        <w:tc>
          <w:tcPr>
            <w:tcW w:w="2785" w:type="dxa"/>
            <w:shd w:val="clear" w:color="auto" w:fill="auto"/>
            <w:vAlign w:val="center"/>
            <w:hideMark/>
          </w:tcPr>
          <w:p w:rsidRPr="00D7128A" w:rsidR="00093C0A" w:rsidP="008348D6" w:rsidRDefault="00093C0A" w14:paraId="4E0EEDB4"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wholesalers</w:t>
            </w:r>
          </w:p>
        </w:tc>
        <w:tc>
          <w:tcPr>
            <w:tcW w:w="1980" w:type="dxa"/>
            <w:shd w:val="clear" w:color="auto" w:fill="auto"/>
            <w:vAlign w:val="center"/>
            <w:hideMark/>
          </w:tcPr>
          <w:p w:rsidRPr="00D7128A" w:rsidR="00093C0A" w:rsidP="008348D6" w:rsidRDefault="00093C0A" w14:paraId="2DC1E497"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4247</w:t>
            </w:r>
          </w:p>
        </w:tc>
        <w:tc>
          <w:tcPr>
            <w:tcW w:w="1272" w:type="dxa"/>
            <w:shd w:val="clear" w:color="auto" w:fill="auto"/>
            <w:noWrap/>
            <w:vAlign w:val="center"/>
            <w:hideMark/>
          </w:tcPr>
          <w:p w:rsidRPr="00D7128A" w:rsidR="00093C0A" w:rsidP="008348D6" w:rsidRDefault="00093C0A" w14:paraId="026B324D"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367</w:t>
            </w:r>
          </w:p>
        </w:tc>
        <w:tc>
          <w:tcPr>
            <w:tcW w:w="3870" w:type="dxa"/>
            <w:shd w:val="clear" w:color="auto" w:fill="auto"/>
            <w:vAlign w:val="center"/>
            <w:hideMark/>
          </w:tcPr>
          <w:p w:rsidRPr="00D7128A" w:rsidR="00093C0A" w:rsidP="008348D6" w:rsidRDefault="00093C0A" w14:paraId="65756559"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Store for sale (mostly regulated flammable substances and flammable mixtures)</w:t>
            </w:r>
          </w:p>
        </w:tc>
      </w:tr>
      <w:tr w:rsidRPr="00587204" w:rsidR="00093C0A" w:rsidTr="00305374" w14:paraId="57B3D46F" w14:textId="77777777">
        <w:trPr>
          <w:trHeight w:val="161"/>
          <w:jc w:val="center"/>
        </w:trPr>
        <w:tc>
          <w:tcPr>
            <w:tcW w:w="2785" w:type="dxa"/>
            <w:shd w:val="clear" w:color="auto" w:fill="auto"/>
            <w:vAlign w:val="center"/>
            <w:hideMark/>
          </w:tcPr>
          <w:p w:rsidRPr="00D7128A" w:rsidR="00093C0A" w:rsidP="008348D6" w:rsidRDefault="00093C0A" w14:paraId="0A7C2F3C" w14:textId="7A6576E5">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Utilities/Water</w:t>
            </w:r>
            <w:r w:rsidRPr="00D7128A" w:rsidR="003910A5">
              <w:rPr>
                <w:rFonts w:ascii="Times New Roman" w:hAnsi="Times New Roman" w:cs="Times New Roman"/>
                <w:color w:val="000000"/>
                <w:sz w:val="20"/>
                <w:szCs w:val="20"/>
              </w:rPr>
              <w:t>/Wastewater</w:t>
            </w:r>
          </w:p>
        </w:tc>
        <w:tc>
          <w:tcPr>
            <w:tcW w:w="1980" w:type="dxa"/>
            <w:shd w:val="clear" w:color="auto" w:fill="auto"/>
            <w:vAlign w:val="center"/>
            <w:hideMark/>
          </w:tcPr>
          <w:p w:rsidRPr="00D7128A" w:rsidR="00093C0A" w:rsidP="008348D6" w:rsidRDefault="00093C0A" w14:paraId="592CCB77" w14:textId="793A8C53">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221 (</w:t>
            </w:r>
            <w:proofErr w:type="gramStart"/>
            <w:r w:rsidRPr="00D7128A" w:rsidR="003910A5">
              <w:rPr>
                <w:rFonts w:ascii="Times New Roman" w:hAnsi="Times New Roman" w:cs="Times New Roman"/>
                <w:color w:val="000000"/>
                <w:sz w:val="20"/>
                <w:szCs w:val="20"/>
              </w:rPr>
              <w:t>N</w:t>
            </w:r>
            <w:r w:rsidRPr="00D7128A">
              <w:rPr>
                <w:rFonts w:ascii="Times New Roman" w:hAnsi="Times New Roman" w:cs="Times New Roman"/>
                <w:color w:val="000000"/>
                <w:sz w:val="20"/>
                <w:szCs w:val="20"/>
              </w:rPr>
              <w:t>on</w:t>
            </w:r>
            <w:r w:rsidRPr="00D7128A" w:rsidR="00D02771">
              <w:rPr>
                <w:rFonts w:ascii="Times New Roman" w:hAnsi="Times New Roman" w:cs="Times New Roman"/>
                <w:color w:val="000000"/>
                <w:sz w:val="20"/>
                <w:szCs w:val="20"/>
              </w:rPr>
              <w:t>-</w:t>
            </w:r>
            <w:r w:rsidRPr="00D7128A">
              <w:rPr>
                <w:rFonts w:ascii="Times New Roman" w:hAnsi="Times New Roman" w:cs="Times New Roman"/>
                <w:color w:val="000000"/>
                <w:sz w:val="20"/>
                <w:szCs w:val="20"/>
              </w:rPr>
              <w:t xml:space="preserve"> government</w:t>
            </w:r>
            <w:proofErr w:type="gramEnd"/>
            <w:r w:rsidRPr="00D7128A" w:rsidR="00D02771">
              <w:rPr>
                <w:rFonts w:ascii="Times New Roman" w:hAnsi="Times New Roman" w:cs="Times New Roman"/>
                <w:color w:val="000000"/>
                <w:sz w:val="20"/>
                <w:szCs w:val="20"/>
              </w:rPr>
              <w:t>-</w:t>
            </w:r>
            <w:r w:rsidRPr="00D7128A">
              <w:rPr>
                <w:rFonts w:ascii="Times New Roman" w:hAnsi="Times New Roman" w:cs="Times New Roman"/>
                <w:color w:val="000000"/>
                <w:sz w:val="20"/>
                <w:szCs w:val="20"/>
              </w:rPr>
              <w:t>owned water)</w:t>
            </w:r>
          </w:p>
        </w:tc>
        <w:tc>
          <w:tcPr>
            <w:tcW w:w="1272" w:type="dxa"/>
            <w:shd w:val="clear" w:color="auto" w:fill="auto"/>
            <w:noWrap/>
            <w:vAlign w:val="center"/>
            <w:hideMark/>
          </w:tcPr>
          <w:p w:rsidRPr="00D7128A" w:rsidR="00093C0A" w:rsidP="008348D6" w:rsidRDefault="00093C0A" w14:paraId="268676B0" w14:textId="5B4A3A8F">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51</w:t>
            </w:r>
            <w:r w:rsidRPr="00D7128A" w:rsidR="007E0D29">
              <w:rPr>
                <w:rFonts w:ascii="Times New Roman" w:hAnsi="Times New Roman" w:cs="Times New Roman"/>
                <w:color w:val="000000"/>
                <w:sz w:val="20"/>
                <w:szCs w:val="20"/>
              </w:rPr>
              <w:t>9</w:t>
            </w:r>
          </w:p>
        </w:tc>
        <w:tc>
          <w:tcPr>
            <w:tcW w:w="3870" w:type="dxa"/>
            <w:shd w:val="clear" w:color="auto" w:fill="auto"/>
            <w:vAlign w:val="center"/>
            <w:hideMark/>
          </w:tcPr>
          <w:p w:rsidRPr="00D7128A" w:rsidR="00093C0A" w:rsidP="008348D6" w:rsidRDefault="00093C0A" w14:paraId="0F840B57"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Use chlorine (mostly for water treatment) and other chemicals</w:t>
            </w:r>
          </w:p>
        </w:tc>
      </w:tr>
      <w:tr w:rsidRPr="00587204" w:rsidR="00093C0A" w:rsidTr="00305374" w14:paraId="21F9710B" w14:textId="77777777">
        <w:trPr>
          <w:trHeight w:val="50"/>
          <w:jc w:val="center"/>
        </w:trPr>
        <w:tc>
          <w:tcPr>
            <w:tcW w:w="2785" w:type="dxa"/>
            <w:shd w:val="clear" w:color="auto" w:fill="auto"/>
            <w:vAlign w:val="center"/>
            <w:hideMark/>
          </w:tcPr>
          <w:p w:rsidRPr="00D7128A" w:rsidR="00093C0A" w:rsidP="008348D6" w:rsidRDefault="00093C0A" w14:paraId="28E97946"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Warehousing and storage</w:t>
            </w:r>
          </w:p>
        </w:tc>
        <w:tc>
          <w:tcPr>
            <w:tcW w:w="1980" w:type="dxa"/>
            <w:shd w:val="clear" w:color="auto" w:fill="auto"/>
            <w:vAlign w:val="center"/>
            <w:hideMark/>
          </w:tcPr>
          <w:p w:rsidRPr="00D7128A" w:rsidR="00093C0A" w:rsidP="008348D6" w:rsidRDefault="00093C0A" w14:paraId="1FDE28D4"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493</w:t>
            </w:r>
          </w:p>
        </w:tc>
        <w:tc>
          <w:tcPr>
            <w:tcW w:w="1272" w:type="dxa"/>
            <w:shd w:val="clear" w:color="auto" w:fill="auto"/>
            <w:noWrap/>
            <w:vAlign w:val="center"/>
            <w:hideMark/>
          </w:tcPr>
          <w:p w:rsidRPr="00D7128A" w:rsidR="00093C0A" w:rsidP="008348D6" w:rsidRDefault="00093C0A" w14:paraId="28D121E9"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1,110</w:t>
            </w:r>
          </w:p>
        </w:tc>
        <w:tc>
          <w:tcPr>
            <w:tcW w:w="3870" w:type="dxa"/>
            <w:shd w:val="clear" w:color="auto" w:fill="auto"/>
            <w:vAlign w:val="center"/>
            <w:hideMark/>
          </w:tcPr>
          <w:p w:rsidRPr="00D7128A" w:rsidR="00093C0A" w:rsidP="008348D6" w:rsidRDefault="00093C0A" w14:paraId="7A0EB9C3" w14:textId="2B415568">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 xml:space="preserve">Use </w:t>
            </w:r>
            <w:r w:rsidR="00F4411E">
              <w:rPr>
                <w:rFonts w:ascii="Times New Roman" w:hAnsi="Times New Roman" w:cs="Times New Roman"/>
                <w:color w:val="000000"/>
                <w:sz w:val="20"/>
                <w:szCs w:val="20"/>
              </w:rPr>
              <w:t>(</w:t>
            </w:r>
            <w:r w:rsidRPr="00D7128A">
              <w:rPr>
                <w:rFonts w:ascii="Times New Roman" w:hAnsi="Times New Roman" w:cs="Times New Roman"/>
                <w:color w:val="000000"/>
                <w:sz w:val="20"/>
                <w:szCs w:val="20"/>
              </w:rPr>
              <w:t>mostly ammonia</w:t>
            </w:r>
            <w:r w:rsidR="00F4411E">
              <w:rPr>
                <w:rFonts w:ascii="Times New Roman" w:hAnsi="Times New Roman" w:cs="Times New Roman"/>
                <w:color w:val="000000"/>
                <w:sz w:val="20"/>
                <w:szCs w:val="20"/>
              </w:rPr>
              <w:t>)</w:t>
            </w:r>
            <w:r w:rsidRPr="00D7128A">
              <w:rPr>
                <w:rFonts w:ascii="Times New Roman" w:hAnsi="Times New Roman" w:cs="Times New Roman"/>
                <w:color w:val="000000"/>
                <w:sz w:val="20"/>
                <w:szCs w:val="20"/>
              </w:rPr>
              <w:t xml:space="preserve"> as a refrigerant</w:t>
            </w:r>
          </w:p>
        </w:tc>
      </w:tr>
      <w:tr w:rsidRPr="00587204" w:rsidR="00093C0A" w:rsidTr="00305374" w14:paraId="47B90899" w14:textId="77777777">
        <w:trPr>
          <w:trHeight w:val="50"/>
          <w:jc w:val="center"/>
        </w:trPr>
        <w:tc>
          <w:tcPr>
            <w:tcW w:w="2785" w:type="dxa"/>
            <w:shd w:val="clear" w:color="auto" w:fill="auto"/>
            <w:vAlign w:val="center"/>
            <w:hideMark/>
          </w:tcPr>
          <w:p w:rsidRPr="00D7128A" w:rsidR="00093C0A" w:rsidP="008348D6" w:rsidRDefault="00093C0A" w14:paraId="79726891"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Total</w:t>
            </w:r>
          </w:p>
        </w:tc>
        <w:tc>
          <w:tcPr>
            <w:tcW w:w="1980" w:type="dxa"/>
            <w:shd w:val="clear" w:color="auto" w:fill="auto"/>
            <w:noWrap/>
            <w:vAlign w:val="center"/>
            <w:hideMark/>
          </w:tcPr>
          <w:p w:rsidRPr="00D7128A" w:rsidR="00093C0A" w:rsidP="008348D6" w:rsidRDefault="00093C0A" w14:paraId="35227E02" w14:textId="795CBAA3">
            <w:pPr>
              <w:spacing w:after="0" w:line="240" w:lineRule="auto"/>
              <w:jc w:val="center"/>
              <w:rPr>
                <w:rFonts w:ascii="Times New Roman" w:hAnsi="Times New Roman" w:cs="Times New Roman"/>
                <w:b/>
                <w:color w:val="000000"/>
                <w:sz w:val="20"/>
                <w:szCs w:val="20"/>
              </w:rPr>
            </w:pPr>
          </w:p>
        </w:tc>
        <w:tc>
          <w:tcPr>
            <w:tcW w:w="1272" w:type="dxa"/>
            <w:shd w:val="clear" w:color="auto" w:fill="auto"/>
            <w:noWrap/>
            <w:vAlign w:val="center"/>
            <w:hideMark/>
          </w:tcPr>
          <w:p w:rsidRPr="00D7128A" w:rsidR="00093C0A" w:rsidP="008348D6" w:rsidRDefault="00093C0A" w14:paraId="0748EBF8"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11,740</w:t>
            </w:r>
          </w:p>
        </w:tc>
        <w:tc>
          <w:tcPr>
            <w:tcW w:w="3870" w:type="dxa"/>
            <w:shd w:val="clear" w:color="auto" w:fill="auto"/>
            <w:noWrap/>
            <w:vAlign w:val="center"/>
            <w:hideMark/>
          </w:tcPr>
          <w:p w:rsidRPr="00D7128A" w:rsidR="00093C0A" w:rsidP="008348D6" w:rsidRDefault="00093C0A" w14:paraId="13914963" w14:textId="21E662AC">
            <w:pPr>
              <w:spacing w:after="0" w:line="240" w:lineRule="auto"/>
              <w:rPr>
                <w:rFonts w:ascii="Times New Roman" w:hAnsi="Times New Roman" w:cs="Times New Roman"/>
                <w:color w:val="000000"/>
                <w:sz w:val="20"/>
                <w:szCs w:val="20"/>
              </w:rPr>
            </w:pPr>
          </w:p>
        </w:tc>
      </w:tr>
    </w:tbl>
    <w:p w:rsidRPr="00587204" w:rsidR="00835781" w:rsidP="00305374" w:rsidRDefault="00835781" w14:paraId="23967AE6" w14:textId="77777777">
      <w:pPr>
        <w:spacing w:after="0" w:line="240" w:lineRule="auto"/>
        <w:rPr>
          <w:rFonts w:ascii="Times New Roman" w:hAnsi="Times New Roman" w:cs="Times New Roman"/>
          <w:b/>
        </w:rPr>
      </w:pPr>
    </w:p>
    <w:p w:rsidR="00835781" w:rsidP="00587204" w:rsidRDefault="00835781" w14:paraId="0AFE2B41" w14:textId="725064AE">
      <w:pPr>
        <w:spacing w:after="0" w:line="240" w:lineRule="auto"/>
        <w:jc w:val="center"/>
        <w:rPr>
          <w:rFonts w:ascii="Times New Roman" w:hAnsi="Times New Roman" w:cs="Times New Roman"/>
          <w:b/>
        </w:rPr>
      </w:pPr>
    </w:p>
    <w:p w:rsidR="00146C18" w:rsidP="00587204" w:rsidRDefault="00146C18" w14:paraId="3F4C689F" w14:textId="117542EE">
      <w:pPr>
        <w:spacing w:after="0" w:line="240" w:lineRule="auto"/>
        <w:jc w:val="center"/>
        <w:rPr>
          <w:rFonts w:ascii="Times New Roman" w:hAnsi="Times New Roman" w:cs="Times New Roman"/>
          <w:b/>
        </w:rPr>
      </w:pPr>
    </w:p>
    <w:p w:rsidRPr="00587204" w:rsidR="00146C18" w:rsidP="00587204" w:rsidRDefault="00146C18" w14:paraId="19BA0B59" w14:textId="3C29343A">
      <w:pPr>
        <w:spacing w:after="0" w:line="240" w:lineRule="auto"/>
        <w:jc w:val="center"/>
        <w:rPr>
          <w:rFonts w:ascii="Times New Roman" w:hAnsi="Times New Roman" w:cs="Times New Roman"/>
          <w:b/>
        </w:rPr>
      </w:pPr>
    </w:p>
    <w:p w:rsidRPr="00305374" w:rsidR="00305374" w:rsidP="00305374" w:rsidRDefault="00305374" w14:paraId="2923EB37" w14:textId="2A305DD2">
      <w:pPr>
        <w:pStyle w:val="Caption"/>
        <w:jc w:val="center"/>
        <w:rPr>
          <w:rFonts w:ascii="Times New Roman" w:hAnsi="Times New Roman" w:eastAsia="Calibri" w:cs="Times New Roman"/>
          <w:b/>
          <w:bCs/>
          <w:i w:val="0"/>
          <w:iCs w:val="0"/>
          <w:color w:val="auto"/>
          <w:sz w:val="22"/>
          <w:szCs w:val="22"/>
        </w:rPr>
      </w:pPr>
      <w:r w:rsidRPr="00305374">
        <w:rPr>
          <w:rFonts w:ascii="Times New Roman" w:hAnsi="Times New Roman" w:cs="Times New Roman"/>
          <w:b/>
          <w:bCs/>
          <w:i w:val="0"/>
          <w:iCs w:val="0"/>
          <w:color w:val="auto"/>
          <w:sz w:val="22"/>
          <w:szCs w:val="22"/>
        </w:rPr>
        <w:lastRenderedPageBreak/>
        <w:t xml:space="preserve">Exhibit </w:t>
      </w:r>
      <w:r w:rsidRPr="00305374">
        <w:rPr>
          <w:rFonts w:ascii="Times New Roman" w:hAnsi="Times New Roman" w:eastAsia="Calibri" w:cs="Times New Roman"/>
          <w:b/>
          <w:bCs/>
          <w:i w:val="0"/>
          <w:iCs w:val="0"/>
          <w:color w:val="auto"/>
          <w:sz w:val="22"/>
          <w:szCs w:val="22"/>
        </w:rPr>
        <w:t>3-2: Chart of Affected Facilities by Sector (2020).</w:t>
      </w:r>
    </w:p>
    <w:p w:rsidRPr="00B11FAB" w:rsidR="00093C0A" w:rsidP="00587204" w:rsidRDefault="00093C0A" w14:paraId="01F55BFF" w14:textId="30B2F1C6">
      <w:pPr>
        <w:spacing w:after="0" w:line="240" w:lineRule="auto"/>
        <w:rPr>
          <w:rFonts w:ascii="Times New Roman" w:hAnsi="Times New Roman" w:eastAsia="Calibri" w:cs="Times New Roman"/>
          <w:b/>
        </w:rPr>
      </w:pPr>
      <w:r w:rsidRPr="00B11FAB">
        <w:rPr>
          <w:rFonts w:ascii="Times New Roman" w:hAnsi="Times New Roman" w:cs="Times New Roman"/>
          <w:noProof/>
        </w:rPr>
        <w:drawing>
          <wp:inline distT="0" distB="0" distL="0" distR="0" wp14:anchorId="073BBEBC" wp14:editId="1A10F523">
            <wp:extent cx="5949950" cy="4274820"/>
            <wp:effectExtent l="0" t="0" r="12700" b="11430"/>
            <wp:docPr id="3" name="Chart 3">
              <a:extLst xmlns:a="http://schemas.openxmlformats.org/drawingml/2006/main">
                <a:ext uri="{FF2B5EF4-FFF2-40B4-BE49-F238E27FC236}">
                  <a16:creationId xmlns:a16="http://schemas.microsoft.com/office/drawing/2014/main" id="{47D06A79-DDB0-41E2-8C89-ED7AFE8685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05374" w:rsidP="00305374" w:rsidRDefault="00305374" w14:paraId="6704A83E" w14:textId="77777777">
      <w:pPr>
        <w:spacing w:after="0" w:line="240" w:lineRule="auto"/>
        <w:ind w:firstLine="360"/>
        <w:rPr>
          <w:rFonts w:ascii="Times New Roman" w:hAnsi="Times New Roman" w:eastAsia="Calibri" w:cs="Times New Roman"/>
        </w:rPr>
      </w:pPr>
    </w:p>
    <w:p w:rsidRPr="00587204" w:rsidR="00093C0A" w:rsidP="00305374" w:rsidRDefault="006626C9" w14:paraId="3CD6F12C" w14:textId="678EF4CC">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The RMP rule applies to processes at facilities with regulated substances above threshold amounts. </w:t>
      </w:r>
      <w:r w:rsidRPr="00587204" w:rsidR="00FC7EF3">
        <w:rPr>
          <w:rFonts w:ascii="Times New Roman" w:hAnsi="Times New Roman" w:eastAsia="Calibri" w:cs="Times New Roman"/>
        </w:rPr>
        <w:t xml:space="preserve">Processes are activities involving regulated substances including any use, storage, manufacturing, handling, or </w:t>
      </w:r>
      <w:r w:rsidRPr="00587204" w:rsidR="00986800">
        <w:rPr>
          <w:rFonts w:ascii="Times New Roman" w:hAnsi="Times New Roman" w:eastAsia="Calibri" w:cs="Times New Roman"/>
        </w:rPr>
        <w:t>onsite</w:t>
      </w:r>
      <w:r w:rsidRPr="00587204" w:rsidR="00FC7EF3">
        <w:rPr>
          <w:rFonts w:ascii="Times New Roman" w:hAnsi="Times New Roman" w:eastAsia="Calibri" w:cs="Times New Roman"/>
        </w:rPr>
        <w:t xml:space="preserve"> movement of such substances, or combination of these activities. </w:t>
      </w:r>
      <w:r w:rsidRPr="00587204" w:rsidR="00093C0A">
        <w:rPr>
          <w:rFonts w:ascii="Times New Roman" w:hAnsi="Times New Roman" w:eastAsia="Calibri" w:cs="Times New Roman"/>
        </w:rPr>
        <w:t xml:space="preserve">In general, the cost of implementing the rule provisions varies primarily by the complexity of the processes involved. Chemical manufacturers and </w:t>
      </w:r>
      <w:r w:rsidRPr="00587204" w:rsidR="00D014B4">
        <w:rPr>
          <w:rFonts w:ascii="Times New Roman" w:hAnsi="Times New Roman" w:eastAsia="Calibri" w:cs="Times New Roman"/>
        </w:rPr>
        <w:t xml:space="preserve">petroleum </w:t>
      </w:r>
      <w:r w:rsidRPr="00587204" w:rsidR="00093C0A">
        <w:rPr>
          <w:rFonts w:ascii="Times New Roman" w:hAnsi="Times New Roman" w:eastAsia="Calibri" w:cs="Times New Roman"/>
        </w:rPr>
        <w:t>refineries have more covered processes per facility and more complex issues to consider when evaluating hazards, designing exercises, conducting audits, investigating incidents, and explaining information to employees, responders, and the public compared to facilities that simply store or use chemicals in simple processes (e.g., refrigeration systems and water and waste treatment systems). For the purposes of the cost analysis, therefore, all facilities with NAICS 324 or 325 (petroleum and coal products manufacturing and chemical manufacturing) processes are considered complex; all other facilities are considered simple.</w:t>
      </w:r>
    </w:p>
    <w:p w:rsidRPr="00587204" w:rsidR="00795D0D" w:rsidP="00587204" w:rsidRDefault="00795D0D" w14:paraId="6B6DADF2" w14:textId="77777777">
      <w:pPr>
        <w:spacing w:after="0" w:line="240" w:lineRule="auto"/>
        <w:ind w:firstLine="720"/>
        <w:rPr>
          <w:rFonts w:ascii="Times New Roman" w:hAnsi="Times New Roman" w:eastAsia="Calibri" w:cs="Times New Roman"/>
        </w:rPr>
      </w:pPr>
    </w:p>
    <w:p w:rsidRPr="00587204" w:rsidR="00093C0A" w:rsidP="00587204" w:rsidRDefault="00093C0A" w14:paraId="1CEEECEC" w14:textId="3EAF3E60">
      <w:pPr>
        <w:spacing w:after="0" w:line="240" w:lineRule="auto"/>
        <w:rPr>
          <w:rFonts w:ascii="Times New Roman" w:hAnsi="Times New Roman" w:eastAsia="Calibri" w:cs="Times New Roman"/>
          <w:b/>
        </w:rPr>
      </w:pPr>
      <w:r w:rsidRPr="00587204">
        <w:rPr>
          <w:rFonts w:ascii="Times New Roman" w:hAnsi="Times New Roman" w:eastAsia="Calibri" w:cs="Times New Roman"/>
          <w:b/>
        </w:rPr>
        <w:t xml:space="preserve">3.1.1 RMP </w:t>
      </w:r>
    </w:p>
    <w:p w:rsidR="00146C18" w:rsidP="00305374" w:rsidRDefault="006626C9" w14:paraId="20493C01" w14:textId="12F31C74">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The </w:t>
      </w:r>
      <w:r w:rsidRPr="00587204" w:rsidR="00B217FE">
        <w:rPr>
          <w:rFonts w:ascii="Times New Roman" w:hAnsi="Times New Roman" w:eastAsia="Calibri" w:cs="Times New Roman"/>
        </w:rPr>
        <w:t xml:space="preserve">facility universe </w:t>
      </w:r>
      <w:r w:rsidRPr="00587204" w:rsidR="00A20749">
        <w:rPr>
          <w:rFonts w:ascii="Times New Roman" w:hAnsi="Times New Roman" w:eastAsia="Calibri" w:cs="Times New Roman"/>
        </w:rPr>
        <w:t xml:space="preserve">analyzed </w:t>
      </w:r>
      <w:r w:rsidRPr="00587204" w:rsidR="00B217FE">
        <w:rPr>
          <w:rFonts w:ascii="Times New Roman" w:hAnsi="Times New Roman" w:eastAsia="Calibri" w:cs="Times New Roman"/>
        </w:rPr>
        <w:t xml:space="preserve">in the </w:t>
      </w:r>
      <w:r w:rsidRPr="00587204" w:rsidR="00093C0A">
        <w:rPr>
          <w:rFonts w:ascii="Times New Roman" w:hAnsi="Times New Roman" w:eastAsia="Calibri" w:cs="Times New Roman"/>
        </w:rPr>
        <w:t>RIA is based on</w:t>
      </w:r>
      <w:r w:rsidRPr="00587204" w:rsidDel="001C2BCF" w:rsidR="00093C0A">
        <w:rPr>
          <w:rFonts w:ascii="Times New Roman" w:hAnsi="Times New Roman" w:eastAsia="Calibri" w:cs="Times New Roman"/>
        </w:rPr>
        <w:t xml:space="preserve"> </w:t>
      </w:r>
      <w:r w:rsidRPr="00587204" w:rsidR="00093C0A">
        <w:rPr>
          <w:rFonts w:ascii="Times New Roman" w:hAnsi="Times New Roman" w:eastAsia="Calibri" w:cs="Times New Roman"/>
        </w:rPr>
        <w:t xml:space="preserve">the RMP Database as of August 1, </w:t>
      </w:r>
      <w:proofErr w:type="gramStart"/>
      <w:r w:rsidRPr="00587204" w:rsidR="00093C0A">
        <w:rPr>
          <w:rFonts w:ascii="Times New Roman" w:hAnsi="Times New Roman" w:eastAsia="Calibri" w:cs="Times New Roman"/>
        </w:rPr>
        <w:t>202</w:t>
      </w:r>
      <w:r w:rsidRPr="00587204" w:rsidR="00AB4709">
        <w:rPr>
          <w:rFonts w:ascii="Times New Roman" w:hAnsi="Times New Roman" w:eastAsia="Calibri" w:cs="Times New Roman"/>
        </w:rPr>
        <w:t>1</w:t>
      </w:r>
      <w:proofErr w:type="gramEnd"/>
      <w:r w:rsidRPr="00587204" w:rsidR="00093C0A">
        <w:rPr>
          <w:rFonts w:ascii="Times New Roman" w:hAnsi="Times New Roman" w:eastAsia="Calibri" w:cs="Times New Roman"/>
        </w:rPr>
        <w:t xml:space="preserve"> and </w:t>
      </w:r>
      <w:r w:rsidRPr="00587204" w:rsidR="000515CA">
        <w:rPr>
          <w:rFonts w:ascii="Times New Roman" w:hAnsi="Times New Roman" w:eastAsia="Calibri" w:cs="Times New Roman"/>
        </w:rPr>
        <w:t>includes</w:t>
      </w:r>
      <w:r w:rsidRPr="00587204" w:rsidR="00093C0A">
        <w:rPr>
          <w:rFonts w:ascii="Times New Roman" w:hAnsi="Times New Roman" w:eastAsia="Calibri" w:cs="Times New Roman"/>
        </w:rPr>
        <w:t xml:space="preserve"> facilities active as of December 31, 2020.</w:t>
      </w:r>
      <w:r w:rsidRPr="00587204" w:rsidR="007E7E80">
        <w:rPr>
          <w:rStyle w:val="FootnoteReference"/>
          <w:rFonts w:ascii="Times New Roman" w:hAnsi="Times New Roman" w:eastAsia="Calibri" w:cs="Times New Roman"/>
        </w:rPr>
        <w:footnoteReference w:id="22"/>
      </w:r>
      <w:r w:rsidRPr="00587204" w:rsidR="00093C0A">
        <w:rPr>
          <w:rFonts w:ascii="Times New Roman" w:hAnsi="Times New Roman" w:eastAsia="Calibri" w:cs="Times New Roman"/>
        </w:rPr>
        <w:t xml:space="preserve"> EPA used Microsoft Access queries and R code to pull and analyze the data. The RMP Database includes information from each RMP submission, and identifies the facility, its processes and their respective NAICS sectors and programs, any reportable accidents, as well as other information reported in the RMP.</w:t>
      </w:r>
      <w:r w:rsidRPr="00587204" w:rsidR="00255F25">
        <w:rPr>
          <w:rFonts w:ascii="Times New Roman" w:hAnsi="Times New Roman" w:eastAsia="Calibri" w:cs="Times New Roman"/>
        </w:rPr>
        <w:t xml:space="preserve"> </w:t>
      </w:r>
    </w:p>
    <w:p w:rsidR="00146C18" w:rsidP="00305374" w:rsidRDefault="00146C18" w14:paraId="07EDC2DB" w14:textId="16E049F7">
      <w:pPr>
        <w:spacing w:after="0" w:line="240" w:lineRule="auto"/>
        <w:ind w:firstLine="360"/>
        <w:rPr>
          <w:rFonts w:ascii="Times New Roman" w:hAnsi="Times New Roman" w:eastAsia="Calibri" w:cs="Times New Roman"/>
        </w:rPr>
      </w:pPr>
    </w:p>
    <w:p w:rsidRPr="00587204" w:rsidR="00093C0A" w:rsidP="00305374" w:rsidRDefault="006626C9" w14:paraId="1503CC3D" w14:textId="56B84FB5">
      <w:pPr>
        <w:spacing w:after="0" w:line="240" w:lineRule="auto"/>
        <w:ind w:firstLine="360"/>
        <w:rPr>
          <w:rFonts w:ascii="Times New Roman" w:hAnsi="Times New Roman" w:eastAsia="Calibri" w:cs="Times New Roman"/>
        </w:rPr>
      </w:pPr>
      <w:r>
        <w:rPr>
          <w:rFonts w:ascii="Times New Roman" w:hAnsi="Times New Roman" w:eastAsia="Calibri" w:cs="Times New Roman"/>
        </w:rPr>
        <w:lastRenderedPageBreak/>
        <w:tab/>
      </w:r>
      <w:r w:rsidRPr="00587204" w:rsidR="00255F25">
        <w:rPr>
          <w:rFonts w:ascii="Times New Roman" w:hAnsi="Times New Roman" w:eastAsia="Calibri" w:cs="Times New Roman"/>
        </w:rPr>
        <w:t xml:space="preserve">To create the data frame of the universe of affected facilities, </w:t>
      </w:r>
      <w:r w:rsidRPr="00587204" w:rsidR="008C0CD2">
        <w:rPr>
          <w:rFonts w:ascii="Times New Roman" w:hAnsi="Times New Roman" w:eastAsia="Calibri" w:cs="Times New Roman"/>
        </w:rPr>
        <w:t>EPA</w:t>
      </w:r>
      <w:r w:rsidRPr="00587204" w:rsidR="00255F25">
        <w:rPr>
          <w:rFonts w:ascii="Times New Roman" w:hAnsi="Times New Roman" w:eastAsia="Calibri" w:cs="Times New Roman"/>
        </w:rPr>
        <w:t xml:space="preserve"> select</w:t>
      </w:r>
      <w:r w:rsidRPr="00587204" w:rsidR="008C0CD2">
        <w:rPr>
          <w:rFonts w:ascii="Times New Roman" w:hAnsi="Times New Roman" w:eastAsia="Calibri" w:cs="Times New Roman"/>
        </w:rPr>
        <w:t>ed</w:t>
      </w:r>
      <w:r w:rsidRPr="00587204" w:rsidR="00255F25">
        <w:rPr>
          <w:rFonts w:ascii="Times New Roman" w:hAnsi="Times New Roman" w:eastAsia="Calibri" w:cs="Times New Roman"/>
        </w:rPr>
        <w:t xml:space="preserve"> among the rows in the Facility ID table for each EPA Facility ID, the row with the </w:t>
      </w:r>
      <w:r w:rsidRPr="00587204" w:rsidR="00BE77A8">
        <w:rPr>
          <w:rFonts w:ascii="Times New Roman" w:hAnsi="Times New Roman" w:eastAsia="Calibri" w:cs="Times New Roman"/>
        </w:rPr>
        <w:t xml:space="preserve">highest Facility ID without a deregistration date and </w:t>
      </w:r>
      <w:r w:rsidRPr="00587204" w:rsidR="00E56D84">
        <w:rPr>
          <w:rFonts w:ascii="Times New Roman" w:hAnsi="Times New Roman" w:eastAsia="Calibri" w:cs="Times New Roman"/>
        </w:rPr>
        <w:t xml:space="preserve">with a </w:t>
      </w:r>
      <w:r w:rsidRPr="00587204" w:rsidR="00255F25">
        <w:rPr>
          <w:rFonts w:ascii="Times New Roman" w:hAnsi="Times New Roman" w:eastAsia="Calibri" w:cs="Times New Roman"/>
        </w:rPr>
        <w:t>rece</w:t>
      </w:r>
      <w:r w:rsidRPr="00587204" w:rsidR="009B43A1">
        <w:rPr>
          <w:rFonts w:ascii="Times New Roman" w:hAnsi="Times New Roman" w:eastAsia="Calibri" w:cs="Times New Roman"/>
        </w:rPr>
        <w:t>ipt</w:t>
      </w:r>
      <w:r w:rsidRPr="00587204" w:rsidR="00255F25">
        <w:rPr>
          <w:rFonts w:ascii="Times New Roman" w:hAnsi="Times New Roman" w:eastAsia="Calibri" w:cs="Times New Roman"/>
        </w:rPr>
        <w:t xml:space="preserve"> date prior to 2021. </w:t>
      </w:r>
      <w:r w:rsidRPr="00587204" w:rsidR="00C74CF1">
        <w:rPr>
          <w:rFonts w:ascii="Times New Roman" w:hAnsi="Times New Roman" w:eastAsia="Calibri" w:cs="Times New Roman"/>
        </w:rPr>
        <w:t>This</w:t>
      </w:r>
      <w:r w:rsidRPr="00587204" w:rsidR="00255F25">
        <w:rPr>
          <w:rFonts w:ascii="Times New Roman" w:hAnsi="Times New Roman" w:eastAsia="Calibri" w:cs="Times New Roman"/>
        </w:rPr>
        <w:t xml:space="preserve"> data frame</w:t>
      </w:r>
      <w:r w:rsidRPr="00587204" w:rsidR="00C74CF1">
        <w:rPr>
          <w:rFonts w:ascii="Times New Roman" w:hAnsi="Times New Roman" w:eastAsia="Calibri" w:cs="Times New Roman"/>
        </w:rPr>
        <w:t xml:space="preserve"> is merged</w:t>
      </w:r>
      <w:r w:rsidRPr="00587204" w:rsidR="00255F25">
        <w:rPr>
          <w:rFonts w:ascii="Times New Roman" w:hAnsi="Times New Roman" w:eastAsia="Calibri" w:cs="Times New Roman"/>
        </w:rPr>
        <w:t xml:space="preserve"> by Facility ID with the Processes table and select</w:t>
      </w:r>
      <w:r w:rsidRPr="00587204" w:rsidR="00CB6A87">
        <w:rPr>
          <w:rFonts w:ascii="Times New Roman" w:hAnsi="Times New Roman" w:eastAsia="Calibri" w:cs="Times New Roman"/>
        </w:rPr>
        <w:t>ed</w:t>
      </w:r>
      <w:r w:rsidRPr="00587204" w:rsidR="00255F25">
        <w:rPr>
          <w:rFonts w:ascii="Times New Roman" w:hAnsi="Times New Roman" w:eastAsia="Calibri" w:cs="Times New Roman"/>
        </w:rPr>
        <w:t xml:space="preserve"> for each Facility ID, first from among the facility’s complex processes (NAICS 324 or 325) and then by its highest program level. So, if a facility has any complex processes, the facility will be classified by the sector of one of those processes. </w:t>
      </w:r>
      <w:r w:rsidRPr="00587204" w:rsidR="00C74CF1">
        <w:rPr>
          <w:rFonts w:ascii="Times New Roman" w:hAnsi="Times New Roman" w:eastAsia="Calibri" w:cs="Times New Roman"/>
        </w:rPr>
        <w:t>Each</w:t>
      </w:r>
      <w:r w:rsidRPr="00587204" w:rsidR="00255F25">
        <w:rPr>
          <w:rFonts w:ascii="Times New Roman" w:hAnsi="Times New Roman" w:eastAsia="Calibri" w:cs="Times New Roman"/>
        </w:rPr>
        <w:t xml:space="preserve"> facility </w:t>
      </w:r>
      <w:r w:rsidRPr="00587204" w:rsidR="00C74CF1">
        <w:rPr>
          <w:rFonts w:ascii="Times New Roman" w:hAnsi="Times New Roman" w:eastAsia="Calibri" w:cs="Times New Roman"/>
        </w:rPr>
        <w:t xml:space="preserve">is assigned </w:t>
      </w:r>
      <w:r w:rsidRPr="00587204" w:rsidR="00255F25">
        <w:rPr>
          <w:rFonts w:ascii="Times New Roman" w:hAnsi="Times New Roman" w:eastAsia="Calibri" w:cs="Times New Roman"/>
        </w:rPr>
        <w:t>the highest program level of any of its processes. So, if a facility has any Progra</w:t>
      </w:r>
      <w:r w:rsidR="00305374">
        <w:rPr>
          <w:rFonts w:ascii="Times New Roman" w:hAnsi="Times New Roman" w:eastAsia="Calibri" w:cs="Times New Roman"/>
        </w:rPr>
        <w:t>m</w:t>
      </w:r>
      <w:r w:rsidRPr="00587204" w:rsidR="00255F25">
        <w:rPr>
          <w:rFonts w:ascii="Times New Roman" w:hAnsi="Times New Roman" w:eastAsia="Calibri" w:cs="Times New Roman"/>
        </w:rPr>
        <w:t xml:space="preserve"> 3 processes, the facility will be classified as Program 3.</w:t>
      </w:r>
    </w:p>
    <w:p w:rsidRPr="00587204" w:rsidR="00795D0D" w:rsidP="00587204" w:rsidRDefault="00795D0D" w14:paraId="309FDCC0" w14:textId="77777777">
      <w:pPr>
        <w:spacing w:after="0" w:line="240" w:lineRule="auto"/>
        <w:ind w:firstLine="720"/>
        <w:rPr>
          <w:rFonts w:ascii="Times New Roman" w:hAnsi="Times New Roman" w:eastAsia="Calibri" w:cs="Times New Roman"/>
        </w:rPr>
      </w:pPr>
    </w:p>
    <w:p w:rsidRPr="00587204" w:rsidR="00093C0A" w:rsidP="00587204" w:rsidRDefault="00093C0A" w14:paraId="4DBF03F8" w14:textId="77777777">
      <w:pPr>
        <w:spacing w:after="0" w:line="240" w:lineRule="auto"/>
        <w:rPr>
          <w:rFonts w:ascii="Times New Roman" w:hAnsi="Times New Roman" w:eastAsia="Calibri" w:cs="Times New Roman"/>
          <w:b/>
        </w:rPr>
      </w:pPr>
      <w:r w:rsidRPr="00587204">
        <w:rPr>
          <w:rFonts w:ascii="Times New Roman" w:hAnsi="Times New Roman" w:eastAsia="Calibri" w:cs="Times New Roman"/>
          <w:b/>
        </w:rPr>
        <w:t>3.1.2 Manual Adjustments</w:t>
      </w:r>
    </w:p>
    <w:p w:rsidRPr="00305374" w:rsidR="00093C0A" w:rsidP="00305374" w:rsidRDefault="006626C9" w14:paraId="340829B2" w14:textId="77D6BE46">
      <w:pPr>
        <w:spacing w:after="0" w:line="240" w:lineRule="auto"/>
        <w:ind w:firstLine="360"/>
        <w:rPr>
          <w:rFonts w:ascii="Times New Roman" w:hAnsi="Times New Roman" w:cs="Times New Roman"/>
          <w:shd w:val="clear" w:color="auto" w:fill="FFFFFF"/>
        </w:rPr>
      </w:pPr>
      <w:r>
        <w:rPr>
          <w:rFonts w:ascii="Times New Roman" w:hAnsi="Times New Roman" w:cs="Times New Roman"/>
          <w:shd w:val="clear" w:color="auto" w:fill="FFFFFF"/>
        </w:rPr>
        <w:tab/>
      </w:r>
      <w:r w:rsidRPr="00305374" w:rsidR="00093C0A">
        <w:rPr>
          <w:rFonts w:ascii="Times New Roman" w:hAnsi="Times New Roman" w:cs="Times New Roman"/>
          <w:shd w:val="clear" w:color="auto" w:fill="FFFFFF"/>
        </w:rPr>
        <w:t>While both government-owned and non-government-owned NAICS 2213 facilities perform the same functions, EPA expects that government-owned facilities will incur different burden hours than similar private facilities. Therefore,</w:t>
      </w:r>
      <w:r w:rsidRPr="00305374" w:rsidDel="001C2BCF" w:rsidR="00093C0A">
        <w:rPr>
          <w:rFonts w:ascii="Times New Roman" w:hAnsi="Times New Roman" w:cs="Times New Roman"/>
          <w:shd w:val="clear" w:color="auto" w:fill="FFFFFF"/>
        </w:rPr>
        <w:t xml:space="preserve"> </w:t>
      </w:r>
      <w:r w:rsidRPr="00305374" w:rsidR="00093C0A">
        <w:rPr>
          <w:rFonts w:ascii="Times New Roman" w:hAnsi="Times New Roman" w:cs="Times New Roman"/>
          <w:shd w:val="clear" w:color="auto" w:fill="FFFFFF"/>
        </w:rPr>
        <w:t xml:space="preserve">to </w:t>
      </w:r>
      <w:r w:rsidRPr="00305374" w:rsidR="00B0415C">
        <w:rPr>
          <w:rFonts w:ascii="Times New Roman" w:hAnsi="Times New Roman" w:cs="Times New Roman"/>
          <w:shd w:val="clear" w:color="auto" w:fill="FFFFFF"/>
        </w:rPr>
        <w:t>better</w:t>
      </w:r>
      <w:r w:rsidRPr="00305374" w:rsidR="00093C0A">
        <w:rPr>
          <w:rFonts w:ascii="Times New Roman" w:hAnsi="Times New Roman" w:cs="Times New Roman"/>
          <w:shd w:val="clear" w:color="auto" w:fill="FFFFFF"/>
        </w:rPr>
        <w:t xml:space="preserve"> assess the impacts on government-owned versus non-government-owned NAICS 2213 facilities, EPA reviewed all facilities categorized as NAICS 2213 to distinguish between private and government ownership.</w:t>
      </w:r>
      <w:r w:rsidRPr="00305374" w:rsidDel="00BB00E5" w:rsidR="00093C0A">
        <w:rPr>
          <w:rFonts w:ascii="Times New Roman" w:hAnsi="Times New Roman" w:cs="Times New Roman"/>
          <w:shd w:val="clear" w:color="auto" w:fill="FFFFFF"/>
        </w:rPr>
        <w:t xml:space="preserve"> </w:t>
      </w:r>
      <w:r w:rsidRPr="00305374" w:rsidR="00093C0A">
        <w:rPr>
          <w:rFonts w:ascii="Times New Roman" w:hAnsi="Times New Roman" w:cs="Times New Roman"/>
          <w:shd w:val="clear" w:color="auto" w:fill="FFFFFF"/>
        </w:rPr>
        <w:t>EPA includes in government categories</w:t>
      </w:r>
      <w:r w:rsidRPr="00305374" w:rsidDel="00BB00E5" w:rsidR="00093C0A">
        <w:rPr>
          <w:rFonts w:ascii="Times New Roman" w:hAnsi="Times New Roman" w:cs="Times New Roman"/>
          <w:shd w:val="clear" w:color="auto" w:fill="FFFFFF"/>
        </w:rPr>
        <w:t xml:space="preserve"> </w:t>
      </w:r>
      <w:proofErr w:type="gramStart"/>
      <w:r w:rsidRPr="00305374" w:rsidDel="00BB00E5" w:rsidR="00093C0A">
        <w:rPr>
          <w:rFonts w:ascii="Times New Roman" w:hAnsi="Times New Roman" w:cs="Times New Roman"/>
          <w:shd w:val="clear" w:color="auto" w:fill="FFFFFF"/>
        </w:rPr>
        <w:t>government</w:t>
      </w:r>
      <w:r w:rsidRPr="00305374" w:rsidR="00093C0A">
        <w:rPr>
          <w:rFonts w:ascii="Times New Roman" w:hAnsi="Times New Roman" w:cs="Times New Roman"/>
          <w:shd w:val="clear" w:color="auto" w:fill="FFFFFF"/>
        </w:rPr>
        <w:t>-owned</w:t>
      </w:r>
      <w:proofErr w:type="gramEnd"/>
      <w:r w:rsidRPr="00305374" w:rsidR="00093C0A">
        <w:rPr>
          <w:rFonts w:ascii="Times New Roman" w:hAnsi="Times New Roman" w:cs="Times New Roman"/>
          <w:shd w:val="clear" w:color="auto" w:fill="FFFFFF"/>
        </w:rPr>
        <w:t xml:space="preserve"> NAICS 2213 facilities in addition to facilities that report as NAICS 92 government administration.</w:t>
      </w:r>
    </w:p>
    <w:p w:rsidRPr="00587204" w:rsidR="00795D0D" w:rsidP="00587204" w:rsidRDefault="00795D0D" w14:paraId="7C592235" w14:textId="77777777">
      <w:pPr>
        <w:spacing w:after="0" w:line="240" w:lineRule="auto"/>
        <w:ind w:firstLine="720"/>
        <w:rPr>
          <w:rFonts w:ascii="Times New Roman" w:hAnsi="Times New Roman" w:eastAsia="Calibri" w:cs="Times New Roman"/>
          <w:b/>
        </w:rPr>
      </w:pPr>
    </w:p>
    <w:p w:rsidRPr="00587204" w:rsidR="00093C0A" w:rsidP="00813745" w:rsidRDefault="00093C0A" w14:paraId="38345B05" w14:textId="10D21552">
      <w:pPr>
        <w:pStyle w:val="Heading2"/>
      </w:pPr>
      <w:bookmarkStart w:name="_Toc98856209" w:id="33"/>
      <w:bookmarkStart w:name="_Toc110502739" w:id="34"/>
      <w:r w:rsidRPr="00587204">
        <w:t xml:space="preserve">3.2 </w:t>
      </w:r>
      <w:r w:rsidRPr="00587204" w:rsidR="007E7E80">
        <w:t>Breakdowns</w:t>
      </w:r>
      <w:r w:rsidRPr="00587204">
        <w:t xml:space="preserve"> Used in </w:t>
      </w:r>
      <w:r w:rsidRPr="00587204" w:rsidR="000515CA">
        <w:t xml:space="preserve">the </w:t>
      </w:r>
      <w:r w:rsidRPr="00587204">
        <w:t>Analysis</w:t>
      </w:r>
      <w:bookmarkEnd w:id="33"/>
      <w:bookmarkEnd w:id="34"/>
    </w:p>
    <w:p w:rsidRPr="00587204" w:rsidR="00093C0A" w:rsidP="00305374" w:rsidRDefault="006626C9" w14:paraId="4B94A1FD" w14:textId="044E7660">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The RMP rule imposes different requirements on facilities based on Program levels</w:t>
      </w:r>
      <w:r w:rsidRPr="00587204" w:rsidR="000515CA">
        <w:rPr>
          <w:rFonts w:ascii="Times New Roman" w:hAnsi="Times New Roman" w:eastAsia="Calibri" w:cs="Times New Roman"/>
        </w:rPr>
        <w:t xml:space="preserve"> of the facilities’ processes</w:t>
      </w:r>
      <w:r w:rsidRPr="00587204" w:rsidR="00093C0A">
        <w:rPr>
          <w:rFonts w:ascii="Times New Roman" w:hAnsi="Times New Roman" w:eastAsia="Calibri" w:cs="Times New Roman"/>
        </w:rPr>
        <w:t xml:space="preserve">. </w:t>
      </w:r>
      <w:bookmarkStart w:name="_Hlk100647602" w:id="35"/>
      <w:r w:rsidRPr="1AC11E7E" w:rsidR="00AB34CF">
        <w:rPr>
          <w:rFonts w:ascii="Times New Roman" w:hAnsi="Times New Roman" w:cs="Times New Roman"/>
          <w:color w:val="000000" w:themeColor="text1"/>
        </w:rPr>
        <w:t>Program 3</w:t>
      </w:r>
      <w:r w:rsidRPr="00587204" w:rsidR="00093C0A">
        <w:rPr>
          <w:rFonts w:ascii="Times New Roman" w:hAnsi="Times New Roman" w:eastAsia="Calibri" w:cs="Times New Roman"/>
        </w:rPr>
        <w:t xml:space="preserve"> processes are those that are not eligible for P</w:t>
      </w:r>
      <w:r w:rsidRPr="00587204" w:rsidR="007F1F6B">
        <w:rPr>
          <w:rFonts w:ascii="Times New Roman" w:hAnsi="Times New Roman" w:eastAsia="Calibri" w:cs="Times New Roman"/>
        </w:rPr>
        <w:t xml:space="preserve">rogram </w:t>
      </w:r>
      <w:r w:rsidRPr="00587204" w:rsidR="00093C0A">
        <w:rPr>
          <w:rFonts w:ascii="Times New Roman" w:hAnsi="Times New Roman" w:eastAsia="Calibri" w:cs="Times New Roman"/>
        </w:rPr>
        <w:t xml:space="preserve">1 and are subject to the OSHA PSM standard or are in certain NAICS codes (refineries, a limited number of chemical manufacturers and pulp mills). </w:t>
      </w:r>
      <w:bookmarkEnd w:id="35"/>
      <w:r w:rsidRPr="00587204" w:rsidR="00093C0A">
        <w:rPr>
          <w:rFonts w:ascii="Times New Roman" w:hAnsi="Times New Roman" w:eastAsia="Calibri" w:cs="Times New Roman"/>
        </w:rPr>
        <w:t xml:space="preserve">Of the 4,769 processes in those NAICS codes, </w:t>
      </w:r>
      <w:r w:rsidRPr="00587204" w:rsidR="00D927E5">
        <w:rPr>
          <w:rFonts w:ascii="Times New Roman" w:hAnsi="Times New Roman" w:eastAsia="Calibri" w:cs="Times New Roman"/>
        </w:rPr>
        <w:t xml:space="preserve">facilities with </w:t>
      </w:r>
      <w:r w:rsidRPr="00587204" w:rsidR="001C3F70">
        <w:rPr>
          <w:rFonts w:ascii="Times New Roman" w:hAnsi="Times New Roman" w:eastAsia="Calibri" w:cs="Times New Roman"/>
        </w:rPr>
        <w:t xml:space="preserve">4,595 </w:t>
      </w:r>
      <w:r w:rsidRPr="00587204" w:rsidR="00D927E5">
        <w:rPr>
          <w:rFonts w:ascii="Times New Roman" w:hAnsi="Times New Roman" w:eastAsia="Calibri" w:cs="Times New Roman"/>
        </w:rPr>
        <w:t xml:space="preserve">processes </w:t>
      </w:r>
      <w:r w:rsidRPr="00587204" w:rsidR="00093C0A">
        <w:rPr>
          <w:rFonts w:ascii="Times New Roman" w:hAnsi="Times New Roman" w:eastAsia="Calibri" w:cs="Times New Roman"/>
        </w:rPr>
        <w:t>self-reported that they are subject to OSHA PSM.</w:t>
      </w:r>
    </w:p>
    <w:p w:rsidRPr="00587204" w:rsidR="000515CA" w:rsidP="00305374" w:rsidRDefault="000515CA" w14:paraId="3C7EC31C" w14:textId="77777777">
      <w:pPr>
        <w:spacing w:after="0" w:line="240" w:lineRule="auto"/>
        <w:rPr>
          <w:rFonts w:ascii="Times New Roman" w:hAnsi="Times New Roman" w:eastAsia="Calibri" w:cs="Times New Roman"/>
        </w:rPr>
      </w:pPr>
    </w:p>
    <w:p w:rsidRPr="00305374" w:rsidR="00305374" w:rsidP="00305374" w:rsidRDefault="00305374" w14:paraId="3804051B" w14:textId="5D65354E">
      <w:pPr>
        <w:pStyle w:val="Caption"/>
        <w:jc w:val="center"/>
        <w:rPr>
          <w:rFonts w:ascii="Times New Roman" w:hAnsi="Times New Roman" w:cs="Times New Roman"/>
          <w:b/>
          <w:bCs/>
          <w:i w:val="0"/>
          <w:iCs w:val="0"/>
          <w:color w:val="auto"/>
          <w:sz w:val="22"/>
          <w:szCs w:val="22"/>
        </w:rPr>
      </w:pPr>
      <w:r w:rsidRPr="00305374">
        <w:rPr>
          <w:rFonts w:ascii="Times New Roman" w:hAnsi="Times New Roman" w:cs="Times New Roman"/>
          <w:b/>
          <w:bCs/>
          <w:i w:val="0"/>
          <w:iCs w:val="0"/>
          <w:color w:val="auto"/>
          <w:sz w:val="22"/>
          <w:szCs w:val="22"/>
        </w:rPr>
        <w:t xml:space="preserve">Exhibit </w:t>
      </w:r>
      <w:r w:rsidRPr="00305374">
        <w:rPr>
          <w:rFonts w:ascii="Times New Roman" w:hAnsi="Times New Roman" w:eastAsia="Calibri" w:cs="Times New Roman"/>
          <w:b/>
          <w:bCs/>
          <w:i w:val="0"/>
          <w:iCs w:val="0"/>
          <w:color w:val="auto"/>
          <w:sz w:val="22"/>
          <w:szCs w:val="22"/>
        </w:rPr>
        <w:t>3-3: Number of Facilities by Program Level.</w:t>
      </w:r>
    </w:p>
    <w:p w:rsidRPr="00B11FAB" w:rsidR="00093C0A" w:rsidP="00587204" w:rsidRDefault="00093C0A" w14:paraId="34EE3083" w14:textId="77777777">
      <w:pPr>
        <w:spacing w:after="0" w:line="240" w:lineRule="auto"/>
        <w:rPr>
          <w:rFonts w:ascii="Times New Roman" w:hAnsi="Times New Roman" w:eastAsia="Calibri" w:cs="Times New Roman"/>
          <w:b/>
        </w:rPr>
      </w:pPr>
      <w:r w:rsidRPr="00587204">
        <w:rPr>
          <w:rFonts w:ascii="Times New Roman" w:hAnsi="Times New Roman" w:cs="Times New Roman"/>
          <w:noProof/>
        </w:rPr>
        <w:drawing>
          <wp:inline distT="0" distB="0" distL="0" distR="0" wp14:anchorId="1798F418" wp14:editId="7A5208DC">
            <wp:extent cx="5943600" cy="2442210"/>
            <wp:effectExtent l="0" t="0" r="0" b="0"/>
            <wp:docPr id="2" name="Chart 2">
              <a:extLst xmlns:a="http://schemas.openxmlformats.org/drawingml/2006/main">
                <a:ext uri="{FF2B5EF4-FFF2-40B4-BE49-F238E27FC236}">
                  <a16:creationId xmlns:a16="http://schemas.microsoft.com/office/drawing/2014/main" id="{2B9E6812-7553-4D9D-9DA5-3B8EEBFA2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05374" w:rsidP="00305374" w:rsidRDefault="00305374" w14:paraId="7C53BD5C" w14:textId="77777777">
      <w:pPr>
        <w:spacing w:after="0" w:line="240" w:lineRule="auto"/>
        <w:ind w:firstLine="360"/>
        <w:rPr>
          <w:rFonts w:ascii="Times New Roman" w:hAnsi="Times New Roman" w:eastAsia="Calibri" w:cs="Times New Roman"/>
        </w:rPr>
      </w:pPr>
      <w:bookmarkStart w:name="_Hlk100647671" w:id="36"/>
    </w:p>
    <w:p w:rsidR="00146C18" w:rsidP="00B15E64" w:rsidRDefault="006626C9" w14:paraId="5D62ECCB" w14:textId="30C5302C">
      <w:pPr>
        <w:widowControl w:val="0"/>
        <w:spacing w:after="0" w:line="240" w:lineRule="auto"/>
        <w:ind w:firstLine="360"/>
        <w:rPr>
          <w:rFonts w:ascii="Times New Roman" w:hAnsi="Times New Roman" w:eastAsia="Calibri" w:cs="Times New Roman"/>
          <w:vertAlign w:val="superscript"/>
        </w:rPr>
      </w:pPr>
      <w:r>
        <w:rPr>
          <w:rFonts w:ascii="Times New Roman" w:hAnsi="Times New Roman" w:eastAsia="Calibri" w:cs="Times New Roman"/>
        </w:rPr>
        <w:tab/>
      </w:r>
      <w:r w:rsidRPr="00587204" w:rsidR="00093C0A">
        <w:rPr>
          <w:rFonts w:ascii="Times New Roman" w:hAnsi="Times New Roman" w:eastAsia="Calibri" w:cs="Times New Roman"/>
        </w:rPr>
        <w:t xml:space="preserve">A portion of </w:t>
      </w:r>
      <w:r w:rsidRPr="00587204" w:rsidR="005E22BE">
        <w:rPr>
          <w:rFonts w:ascii="Times New Roman" w:hAnsi="Times New Roman" w:cs="Times New Roman"/>
        </w:rPr>
        <w:t>Program 2</w:t>
      </w:r>
      <w:r w:rsidRPr="00587204" w:rsidR="00093C0A">
        <w:rPr>
          <w:rFonts w:ascii="Times New Roman" w:hAnsi="Times New Roman" w:eastAsia="Calibri" w:cs="Times New Roman"/>
        </w:rPr>
        <w:t xml:space="preserve"> facilities (765 of 3,975) are </w:t>
      </w:r>
      <w:proofErr w:type="gramStart"/>
      <w:r w:rsidRPr="00587204" w:rsidR="00093C0A">
        <w:rPr>
          <w:rFonts w:ascii="Times New Roman" w:hAnsi="Times New Roman" w:eastAsia="Calibri" w:cs="Times New Roman"/>
        </w:rPr>
        <w:t>publicly-owned</w:t>
      </w:r>
      <w:proofErr w:type="gramEnd"/>
      <w:r w:rsidRPr="00587204" w:rsidR="00093C0A">
        <w:rPr>
          <w:rFonts w:ascii="Times New Roman" w:hAnsi="Times New Roman" w:eastAsia="Calibri" w:cs="Times New Roman"/>
        </w:rPr>
        <w:t xml:space="preserve"> water/wastewater treatment facilities in States where OSHA (rather than the State) enforces OSHA rules</w:t>
      </w:r>
      <w:r w:rsidRPr="00587204" w:rsidR="00093C0A">
        <w:rPr>
          <w:rStyle w:val="FootnoteReference"/>
          <w:rFonts w:ascii="Times New Roman" w:hAnsi="Times New Roman" w:eastAsia="Calibri" w:cs="Times New Roman"/>
        </w:rPr>
        <w:footnoteReference w:id="23"/>
      </w:r>
      <w:r w:rsidRPr="00587204" w:rsidR="00231119">
        <w:rPr>
          <w:rFonts w:ascii="Times New Roman" w:hAnsi="Times New Roman" w:eastAsia="Calibri" w:cs="Times New Roman"/>
          <w:shd w:val="clear" w:color="auto" w:fill="FFFFFF" w:themeFill="background1"/>
        </w:rPr>
        <w:t xml:space="preserve">. Because these facilities are publicly owned, </w:t>
      </w:r>
      <w:r w:rsidRPr="00587204" w:rsidR="00093C0A">
        <w:rPr>
          <w:rFonts w:ascii="Times New Roman" w:hAnsi="Times New Roman" w:eastAsia="Calibri" w:cs="Times New Roman"/>
        </w:rPr>
        <w:t xml:space="preserve">their processes are considered </w:t>
      </w:r>
      <w:r w:rsidRPr="00587204" w:rsidR="005E22BE">
        <w:rPr>
          <w:rFonts w:ascii="Times New Roman" w:hAnsi="Times New Roman" w:cs="Times New Roman"/>
        </w:rPr>
        <w:t>Program 2</w:t>
      </w:r>
      <w:r w:rsidRPr="00587204" w:rsidR="00231119">
        <w:rPr>
          <w:rFonts w:ascii="Times New Roman" w:hAnsi="Times New Roman" w:cs="Times New Roman"/>
        </w:rPr>
        <w:t>. This</w:t>
      </w:r>
      <w:r w:rsidRPr="00587204" w:rsidR="00093C0A">
        <w:rPr>
          <w:rFonts w:ascii="Times New Roman" w:hAnsi="Times New Roman" w:eastAsia="Calibri" w:cs="Times New Roman"/>
        </w:rPr>
        <w:t xml:space="preserve"> contrast</w:t>
      </w:r>
      <w:r w:rsidRPr="00587204" w:rsidR="00231119">
        <w:rPr>
          <w:rFonts w:ascii="Times New Roman" w:hAnsi="Times New Roman" w:eastAsia="Calibri" w:cs="Times New Roman"/>
        </w:rPr>
        <w:t xml:space="preserve">s with </w:t>
      </w:r>
      <w:r w:rsidRPr="00587204" w:rsidR="00093C0A">
        <w:rPr>
          <w:rFonts w:ascii="Times New Roman" w:hAnsi="Times New Roman" w:eastAsia="Calibri" w:cs="Times New Roman"/>
        </w:rPr>
        <w:t xml:space="preserve">those not under public ownership (which are </w:t>
      </w:r>
      <w:r w:rsidRPr="00587204" w:rsidR="00AB34CF">
        <w:rPr>
          <w:rFonts w:ascii="Times New Roman" w:hAnsi="Times New Roman" w:cs="Times New Roman"/>
          <w:color w:val="000000"/>
        </w:rPr>
        <w:t>Program 3</w:t>
      </w:r>
      <w:r w:rsidRPr="00587204" w:rsidR="00093C0A">
        <w:rPr>
          <w:rFonts w:ascii="Times New Roman" w:hAnsi="Times New Roman" w:eastAsia="Calibri" w:cs="Times New Roman"/>
        </w:rPr>
        <w:t xml:space="preserve">), even though </w:t>
      </w:r>
      <w:r w:rsidRPr="00587204" w:rsidR="00231119">
        <w:rPr>
          <w:rFonts w:ascii="Times New Roman" w:hAnsi="Times New Roman" w:eastAsia="Calibri" w:cs="Times New Roman"/>
        </w:rPr>
        <w:t xml:space="preserve">the </w:t>
      </w:r>
      <w:r w:rsidRPr="00587204" w:rsidR="00093C0A">
        <w:rPr>
          <w:rFonts w:ascii="Times New Roman" w:hAnsi="Times New Roman" w:eastAsia="Calibri" w:cs="Times New Roman"/>
        </w:rPr>
        <w:t>processes</w:t>
      </w:r>
      <w:r w:rsidRPr="00587204" w:rsidR="00231119">
        <w:rPr>
          <w:rFonts w:ascii="Times New Roman" w:hAnsi="Times New Roman" w:eastAsia="Calibri" w:cs="Times New Roman"/>
        </w:rPr>
        <w:t xml:space="preserve"> are the same</w:t>
      </w:r>
      <w:r w:rsidRPr="00587204" w:rsidR="00093C0A">
        <w:rPr>
          <w:rFonts w:ascii="Times New Roman" w:hAnsi="Times New Roman" w:eastAsia="Calibri" w:cs="Times New Roman"/>
        </w:rPr>
        <w:t xml:space="preserve">. The remaining </w:t>
      </w:r>
      <w:r w:rsidRPr="00587204" w:rsidR="005E22BE">
        <w:rPr>
          <w:rFonts w:ascii="Times New Roman" w:hAnsi="Times New Roman" w:cs="Times New Roman"/>
        </w:rPr>
        <w:t>Program 2</w:t>
      </w:r>
      <w:r w:rsidRPr="00587204" w:rsidR="00093C0A">
        <w:rPr>
          <w:rFonts w:ascii="Times New Roman" w:hAnsi="Times New Roman" w:eastAsia="Calibri" w:cs="Times New Roman"/>
        </w:rPr>
        <w:t xml:space="preserve"> facilities are agricultural </w:t>
      </w:r>
      <w:r w:rsidR="007E498D">
        <w:rPr>
          <w:rFonts w:ascii="Times New Roman" w:hAnsi="Times New Roman" w:eastAsia="Calibri" w:cs="Times New Roman"/>
        </w:rPr>
        <w:t>d</w:t>
      </w:r>
      <w:r w:rsidRPr="00587204" w:rsidR="00093C0A">
        <w:rPr>
          <w:rFonts w:ascii="Times New Roman" w:hAnsi="Times New Roman" w:eastAsia="Calibri" w:cs="Times New Roman"/>
        </w:rPr>
        <w:t xml:space="preserve">istribution facilities that store anhydrous ammonia, utilities that use aqueous ammonia and other facilities that </w:t>
      </w:r>
      <w:r w:rsidRPr="00587204" w:rsidR="00093C0A">
        <w:rPr>
          <w:rFonts w:ascii="Times New Roman" w:hAnsi="Times New Roman" w:eastAsia="Calibri" w:cs="Times New Roman"/>
        </w:rPr>
        <w:lastRenderedPageBreak/>
        <w:t>store or use chemicals not subject to OSHA PSM</w:t>
      </w:r>
      <w:bookmarkEnd w:id="36"/>
      <w:r w:rsidRPr="00587204" w:rsidR="00093C0A">
        <w:rPr>
          <w:rFonts w:ascii="Times New Roman" w:hAnsi="Times New Roman" w:eastAsia="Calibri" w:cs="Times New Roman"/>
        </w:rPr>
        <w:t>.</w:t>
      </w:r>
      <w:r w:rsidRPr="00587204" w:rsidR="00093C0A">
        <w:rPr>
          <w:rStyle w:val="FootnoteReference"/>
          <w:rFonts w:ascii="Times New Roman" w:hAnsi="Times New Roman" w:eastAsia="Calibri" w:cs="Times New Roman"/>
        </w:rPr>
        <w:footnoteReference w:id="24"/>
      </w:r>
      <w:r w:rsidRPr="00587204" w:rsidR="00093C0A">
        <w:rPr>
          <w:rFonts w:ascii="Times New Roman" w:hAnsi="Times New Roman" w:eastAsia="Calibri" w:cs="Times New Roman"/>
          <w:vertAlign w:val="superscript"/>
        </w:rPr>
        <w:t xml:space="preserve"> </w:t>
      </w:r>
    </w:p>
    <w:p w:rsidR="006626C9" w:rsidP="00305374" w:rsidRDefault="006626C9" w14:paraId="6DDBBDA7" w14:textId="77777777">
      <w:pPr>
        <w:spacing w:after="0" w:line="240" w:lineRule="auto"/>
        <w:ind w:firstLine="360"/>
        <w:rPr>
          <w:rFonts w:ascii="Times New Roman" w:hAnsi="Times New Roman" w:eastAsia="Calibri" w:cs="Times New Roman"/>
          <w:vertAlign w:val="superscript"/>
        </w:rPr>
      </w:pPr>
    </w:p>
    <w:p w:rsidR="00093C0A" w:rsidP="00305374" w:rsidRDefault="00146C18" w14:paraId="30C7E4D6" w14:textId="3722FFCA">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Exhibit 3-4 presents the number of facilities by sector and </w:t>
      </w:r>
      <w:r w:rsidRPr="00587204" w:rsidR="00626524">
        <w:rPr>
          <w:rFonts w:ascii="Times New Roman" w:hAnsi="Times New Roman" w:eastAsia="Calibri" w:cs="Times New Roman"/>
        </w:rPr>
        <w:t>p</w:t>
      </w:r>
      <w:r w:rsidRPr="00587204" w:rsidR="00093C0A">
        <w:rPr>
          <w:rFonts w:ascii="Times New Roman" w:hAnsi="Times New Roman" w:eastAsia="Calibri" w:cs="Times New Roman"/>
        </w:rPr>
        <w:t xml:space="preserve">rogram </w:t>
      </w:r>
      <w:r w:rsidRPr="00587204" w:rsidR="00626524">
        <w:rPr>
          <w:rFonts w:ascii="Times New Roman" w:hAnsi="Times New Roman" w:eastAsia="Calibri" w:cs="Times New Roman"/>
        </w:rPr>
        <w:t>l</w:t>
      </w:r>
      <w:r w:rsidRPr="00587204" w:rsidR="00093C0A">
        <w:rPr>
          <w:rFonts w:ascii="Times New Roman" w:hAnsi="Times New Roman" w:eastAsia="Calibri" w:cs="Times New Roman"/>
        </w:rPr>
        <w:t xml:space="preserve">evel; </w:t>
      </w:r>
      <w:proofErr w:type="gramStart"/>
      <w:r w:rsidRPr="00587204" w:rsidR="00093C0A">
        <w:rPr>
          <w:rFonts w:ascii="Times New Roman" w:hAnsi="Times New Roman" w:eastAsia="Calibri" w:cs="Times New Roman"/>
        </w:rPr>
        <w:t>publicly-owned</w:t>
      </w:r>
      <w:proofErr w:type="gramEnd"/>
      <w:r w:rsidRPr="00587204" w:rsidR="00093C0A">
        <w:rPr>
          <w:rFonts w:ascii="Times New Roman" w:hAnsi="Times New Roman" w:eastAsia="Calibri" w:cs="Times New Roman"/>
        </w:rPr>
        <w:t xml:space="preserve"> water/wastewater treatment systems (NAICS 2213) are listed with government</w:t>
      </w:r>
      <w:r w:rsidRPr="00587204" w:rsidR="00626524">
        <w:rPr>
          <w:rFonts w:ascii="Times New Roman" w:hAnsi="Times New Roman" w:eastAsia="Calibri" w:cs="Times New Roman"/>
        </w:rPr>
        <w:t>s</w:t>
      </w:r>
      <w:r w:rsidRPr="00587204" w:rsidR="00093C0A">
        <w:rPr>
          <w:rFonts w:ascii="Times New Roman" w:hAnsi="Times New Roman" w:eastAsia="Calibri" w:cs="Times New Roman"/>
        </w:rPr>
        <w:t xml:space="preserve"> (NAICS 92), while privately</w:t>
      </w:r>
      <w:r w:rsidRPr="00587204" w:rsidR="00B02330">
        <w:rPr>
          <w:rFonts w:ascii="Times New Roman" w:hAnsi="Times New Roman" w:eastAsia="Calibri" w:cs="Times New Roman"/>
        </w:rPr>
        <w:t>-</w:t>
      </w:r>
      <w:r w:rsidRPr="00587204" w:rsidR="00093C0A">
        <w:rPr>
          <w:rFonts w:ascii="Times New Roman" w:hAnsi="Times New Roman" w:eastAsia="Calibri" w:cs="Times New Roman"/>
        </w:rPr>
        <w:t>owned and operated systems (NAICS 2213) are listed under utilities/water (NAICS 221).</w:t>
      </w:r>
    </w:p>
    <w:p w:rsidRPr="00305374" w:rsidR="00305374" w:rsidP="00305374" w:rsidRDefault="00305374" w14:paraId="45D087F9" w14:textId="77777777">
      <w:pPr>
        <w:spacing w:after="0" w:line="240" w:lineRule="auto"/>
        <w:ind w:firstLine="360"/>
        <w:rPr>
          <w:rFonts w:ascii="Times New Roman" w:hAnsi="Times New Roman" w:eastAsia="Calibri" w:cs="Times New Roman"/>
          <w:vertAlign w:val="superscript"/>
        </w:rPr>
      </w:pPr>
    </w:p>
    <w:p w:rsidRPr="00305374" w:rsidR="00305374" w:rsidP="00305374" w:rsidRDefault="00305374" w14:paraId="47C6B9EA" w14:textId="1C4AAE5A">
      <w:pPr>
        <w:pStyle w:val="Caption"/>
        <w:jc w:val="center"/>
        <w:rPr>
          <w:rFonts w:ascii="Times New Roman" w:hAnsi="Times New Roman" w:cs="Times New Roman"/>
          <w:b/>
          <w:bCs/>
          <w:i w:val="0"/>
          <w:iCs w:val="0"/>
          <w:color w:val="auto"/>
          <w:sz w:val="22"/>
          <w:szCs w:val="22"/>
        </w:rPr>
      </w:pPr>
      <w:r w:rsidRPr="00305374">
        <w:rPr>
          <w:rFonts w:ascii="Times New Roman" w:hAnsi="Times New Roman" w:cs="Times New Roman"/>
          <w:b/>
          <w:bCs/>
          <w:i w:val="0"/>
          <w:iCs w:val="0"/>
          <w:color w:val="auto"/>
          <w:sz w:val="22"/>
          <w:szCs w:val="22"/>
        </w:rPr>
        <w:t xml:space="preserve">Exhibit </w:t>
      </w:r>
      <w:r w:rsidRPr="00305374">
        <w:rPr>
          <w:rFonts w:ascii="Times New Roman" w:hAnsi="Times New Roman" w:eastAsia="Calibri" w:cs="Times New Roman"/>
          <w:b/>
          <w:bCs/>
          <w:i w:val="0"/>
          <w:iCs w:val="0"/>
          <w:color w:val="auto"/>
          <w:sz w:val="22"/>
          <w:szCs w:val="22"/>
        </w:rPr>
        <w:t>3-4: Number of Facilities by Sector and Program Level (2020).</w:t>
      </w:r>
    </w:p>
    <w:tbl>
      <w:tblPr>
        <w:tblW w:w="505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7"/>
        <w:gridCol w:w="2880"/>
        <w:gridCol w:w="1056"/>
        <w:gridCol w:w="1094"/>
        <w:gridCol w:w="1018"/>
        <w:gridCol w:w="961"/>
      </w:tblGrid>
      <w:tr w:rsidRPr="00587204" w:rsidR="00167F64" w:rsidTr="00305374" w14:paraId="5E1FE94D" w14:textId="77777777">
        <w:trPr>
          <w:trHeight w:val="290"/>
          <w:tblHeader/>
        </w:trPr>
        <w:tc>
          <w:tcPr>
            <w:tcW w:w="1522" w:type="pct"/>
            <w:shd w:val="clear" w:color="auto" w:fill="D9D9D9" w:themeFill="background1" w:themeFillShade="D9"/>
            <w:noWrap/>
            <w:vAlign w:val="center"/>
            <w:hideMark/>
          </w:tcPr>
          <w:p w:rsidRPr="00D7128A" w:rsidR="00093C0A" w:rsidP="008348D6" w:rsidRDefault="00093C0A" w14:paraId="207A35DD"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Sector</w:t>
            </w:r>
          </w:p>
        </w:tc>
        <w:tc>
          <w:tcPr>
            <w:tcW w:w="1429" w:type="pct"/>
            <w:shd w:val="clear" w:color="auto" w:fill="D9D9D9" w:themeFill="background1" w:themeFillShade="D9"/>
            <w:noWrap/>
            <w:vAlign w:val="center"/>
            <w:hideMark/>
          </w:tcPr>
          <w:p w:rsidRPr="00D7128A" w:rsidR="00093C0A" w:rsidP="008348D6" w:rsidRDefault="00093C0A" w14:paraId="0B7132FC"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NAICS Codes</w:t>
            </w:r>
          </w:p>
        </w:tc>
        <w:tc>
          <w:tcPr>
            <w:tcW w:w="524" w:type="pct"/>
            <w:shd w:val="clear" w:color="auto" w:fill="D9D9D9" w:themeFill="background1" w:themeFillShade="D9"/>
            <w:noWrap/>
            <w:vAlign w:val="center"/>
            <w:hideMark/>
          </w:tcPr>
          <w:p w:rsidRPr="00D7128A" w:rsidR="00093C0A" w:rsidP="008348D6" w:rsidRDefault="00093C0A" w14:paraId="10BD9CE8"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P1</w:t>
            </w:r>
          </w:p>
        </w:tc>
        <w:tc>
          <w:tcPr>
            <w:tcW w:w="543" w:type="pct"/>
            <w:shd w:val="clear" w:color="auto" w:fill="D9D9D9" w:themeFill="background1" w:themeFillShade="D9"/>
            <w:noWrap/>
            <w:vAlign w:val="center"/>
            <w:hideMark/>
          </w:tcPr>
          <w:p w:rsidRPr="00D7128A" w:rsidR="00093C0A" w:rsidP="008348D6" w:rsidRDefault="00093C0A" w14:paraId="55391BF7"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P2</w:t>
            </w:r>
          </w:p>
        </w:tc>
        <w:tc>
          <w:tcPr>
            <w:tcW w:w="505" w:type="pct"/>
            <w:shd w:val="clear" w:color="auto" w:fill="D9D9D9" w:themeFill="background1" w:themeFillShade="D9"/>
            <w:noWrap/>
            <w:vAlign w:val="center"/>
            <w:hideMark/>
          </w:tcPr>
          <w:p w:rsidRPr="00D7128A" w:rsidR="00093C0A" w:rsidP="008348D6" w:rsidRDefault="00093C0A" w14:paraId="0AF2A89A"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P3</w:t>
            </w:r>
          </w:p>
        </w:tc>
        <w:tc>
          <w:tcPr>
            <w:tcW w:w="477" w:type="pct"/>
            <w:shd w:val="clear" w:color="auto" w:fill="D9D9D9" w:themeFill="background1" w:themeFillShade="D9"/>
            <w:noWrap/>
            <w:vAlign w:val="center"/>
            <w:hideMark/>
          </w:tcPr>
          <w:p w:rsidRPr="00D7128A" w:rsidR="00093C0A" w:rsidP="008348D6" w:rsidRDefault="00093C0A" w14:paraId="1A3AD591" w14:textId="77777777">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Total</w:t>
            </w:r>
          </w:p>
        </w:tc>
      </w:tr>
      <w:tr w:rsidRPr="00587204" w:rsidR="00093C0A" w:rsidTr="00305374" w14:paraId="0A5AD2A4" w14:textId="77777777">
        <w:trPr>
          <w:trHeight w:val="290"/>
        </w:trPr>
        <w:tc>
          <w:tcPr>
            <w:tcW w:w="1522" w:type="pct"/>
            <w:shd w:val="clear" w:color="auto" w:fill="auto"/>
            <w:noWrap/>
            <w:vAlign w:val="center"/>
            <w:hideMark/>
          </w:tcPr>
          <w:p w:rsidRPr="00D7128A" w:rsidR="00093C0A" w:rsidP="008348D6" w:rsidRDefault="00093C0A" w14:paraId="09460FB5"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Administration of environmental quality programs (i.e., governments)</w:t>
            </w:r>
          </w:p>
        </w:tc>
        <w:tc>
          <w:tcPr>
            <w:tcW w:w="1429" w:type="pct"/>
            <w:shd w:val="clear" w:color="auto" w:fill="auto"/>
            <w:noWrap/>
            <w:vAlign w:val="center"/>
            <w:hideMark/>
          </w:tcPr>
          <w:p w:rsidRPr="00D7128A" w:rsidR="00093C0A" w:rsidP="008348D6" w:rsidRDefault="00093C0A" w14:paraId="5FD55956" w14:textId="342B8C5C">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92, 2213 (</w:t>
            </w:r>
            <w:r w:rsidRPr="00D7128A">
              <w:rPr>
                <w:rFonts w:ascii="Times New Roman" w:hAnsi="Times New Roman" w:eastAsia="Times New Roman" w:cs="Times New Roman"/>
                <w:color w:val="000000"/>
                <w:sz w:val="20"/>
                <w:szCs w:val="20"/>
              </w:rPr>
              <w:t>Gov</w:t>
            </w:r>
            <w:r w:rsidRPr="00D7128A" w:rsidR="00C95A0D">
              <w:rPr>
                <w:rFonts w:ascii="Times New Roman" w:hAnsi="Times New Roman" w:eastAsia="Times New Roman" w:cs="Times New Roman"/>
                <w:color w:val="000000"/>
                <w:sz w:val="20"/>
                <w:szCs w:val="20"/>
              </w:rPr>
              <w:t>’t-</w:t>
            </w:r>
            <w:r w:rsidRPr="00D7128A">
              <w:rPr>
                <w:rFonts w:ascii="Times New Roman" w:hAnsi="Times New Roman" w:cs="Times New Roman"/>
                <w:color w:val="000000"/>
                <w:sz w:val="20"/>
                <w:szCs w:val="20"/>
              </w:rPr>
              <w:t>owned)</w:t>
            </w:r>
          </w:p>
        </w:tc>
        <w:tc>
          <w:tcPr>
            <w:tcW w:w="524" w:type="pct"/>
            <w:shd w:val="clear" w:color="auto" w:fill="auto"/>
            <w:noWrap/>
            <w:vAlign w:val="center"/>
            <w:hideMark/>
          </w:tcPr>
          <w:p w:rsidRPr="00D7128A" w:rsidR="00093C0A" w:rsidP="008348D6" w:rsidRDefault="00093C0A" w14:paraId="16D11621" w14:textId="3EFEBDA1">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1</w:t>
            </w:r>
            <w:r w:rsidRPr="00D7128A" w:rsidR="00D4517D">
              <w:rPr>
                <w:rFonts w:ascii="Times New Roman" w:hAnsi="Times New Roman" w:eastAsia="Times New Roman" w:cs="Times New Roman"/>
                <w:color w:val="000000"/>
                <w:sz w:val="20"/>
                <w:szCs w:val="20"/>
              </w:rPr>
              <w:t>0</w:t>
            </w:r>
          </w:p>
        </w:tc>
        <w:tc>
          <w:tcPr>
            <w:tcW w:w="543" w:type="pct"/>
            <w:shd w:val="clear" w:color="auto" w:fill="auto"/>
            <w:noWrap/>
            <w:vAlign w:val="center"/>
            <w:hideMark/>
          </w:tcPr>
          <w:p w:rsidRPr="00D7128A" w:rsidR="00093C0A" w:rsidP="008348D6" w:rsidRDefault="00D4517D" w14:paraId="6E4ABA51" w14:textId="00EA4B47">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787</w:t>
            </w:r>
          </w:p>
        </w:tc>
        <w:tc>
          <w:tcPr>
            <w:tcW w:w="505" w:type="pct"/>
            <w:shd w:val="clear" w:color="auto" w:fill="auto"/>
            <w:noWrap/>
            <w:vAlign w:val="center"/>
            <w:hideMark/>
          </w:tcPr>
          <w:p w:rsidRPr="00D7128A" w:rsidR="00093C0A" w:rsidP="008348D6" w:rsidRDefault="00D4517D" w14:paraId="43DA9675" w14:textId="0C9F4B79">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652</w:t>
            </w:r>
          </w:p>
        </w:tc>
        <w:tc>
          <w:tcPr>
            <w:tcW w:w="477" w:type="pct"/>
            <w:shd w:val="clear" w:color="auto" w:fill="auto"/>
            <w:noWrap/>
            <w:vAlign w:val="center"/>
            <w:hideMark/>
          </w:tcPr>
          <w:p w:rsidRPr="00D7128A" w:rsidR="00093C0A" w:rsidP="008348D6" w:rsidRDefault="00927AF8" w14:paraId="33CAE909" w14:textId="561F0C90">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1,449</w:t>
            </w:r>
          </w:p>
        </w:tc>
      </w:tr>
      <w:tr w:rsidRPr="00587204" w:rsidR="00093C0A" w:rsidTr="00305374" w14:paraId="6059C845" w14:textId="77777777">
        <w:trPr>
          <w:trHeight w:val="290"/>
        </w:trPr>
        <w:tc>
          <w:tcPr>
            <w:tcW w:w="1522" w:type="pct"/>
            <w:shd w:val="clear" w:color="auto" w:fill="auto"/>
            <w:noWrap/>
            <w:vAlign w:val="center"/>
            <w:hideMark/>
          </w:tcPr>
          <w:p w:rsidRPr="00D7128A" w:rsidR="00093C0A" w:rsidP="008348D6" w:rsidRDefault="00093C0A" w14:paraId="594FA549"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Agricultural chemical distributors/wholesalers</w:t>
            </w:r>
          </w:p>
        </w:tc>
        <w:tc>
          <w:tcPr>
            <w:tcW w:w="1429" w:type="pct"/>
            <w:shd w:val="clear" w:color="auto" w:fill="auto"/>
            <w:noWrap/>
            <w:vAlign w:val="center"/>
            <w:hideMark/>
          </w:tcPr>
          <w:p w:rsidRPr="00D7128A" w:rsidR="00093C0A" w:rsidP="008348D6" w:rsidRDefault="00093C0A" w14:paraId="5F84B4D7"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11, 424 (except 4246, 4247)</w:t>
            </w:r>
          </w:p>
        </w:tc>
        <w:tc>
          <w:tcPr>
            <w:tcW w:w="524" w:type="pct"/>
            <w:shd w:val="clear" w:color="auto" w:fill="auto"/>
            <w:noWrap/>
            <w:vAlign w:val="center"/>
            <w:hideMark/>
          </w:tcPr>
          <w:p w:rsidRPr="00D7128A" w:rsidR="00093C0A" w:rsidP="008348D6" w:rsidRDefault="00093C0A" w14:paraId="011A7559" w14:textId="15411C82">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w:t>
            </w:r>
          </w:p>
        </w:tc>
        <w:tc>
          <w:tcPr>
            <w:tcW w:w="543" w:type="pct"/>
            <w:shd w:val="clear" w:color="auto" w:fill="auto"/>
            <w:noWrap/>
            <w:vAlign w:val="center"/>
            <w:hideMark/>
          </w:tcPr>
          <w:p w:rsidRPr="00D7128A" w:rsidR="00093C0A" w:rsidP="008348D6" w:rsidRDefault="00093C0A" w14:paraId="6F14979E" w14:textId="66545EF1">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2,635</w:t>
            </w:r>
          </w:p>
        </w:tc>
        <w:tc>
          <w:tcPr>
            <w:tcW w:w="505" w:type="pct"/>
            <w:shd w:val="clear" w:color="auto" w:fill="auto"/>
            <w:noWrap/>
            <w:vAlign w:val="center"/>
            <w:hideMark/>
          </w:tcPr>
          <w:p w:rsidRPr="00D7128A" w:rsidR="00093C0A" w:rsidP="008348D6" w:rsidRDefault="00093C0A" w14:paraId="040982C3" w14:textId="04DFCF3F">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677</w:t>
            </w:r>
          </w:p>
        </w:tc>
        <w:tc>
          <w:tcPr>
            <w:tcW w:w="477" w:type="pct"/>
            <w:shd w:val="clear" w:color="auto" w:fill="auto"/>
            <w:noWrap/>
            <w:vAlign w:val="center"/>
            <w:hideMark/>
          </w:tcPr>
          <w:p w:rsidRPr="00D7128A" w:rsidR="00093C0A" w:rsidP="008348D6" w:rsidRDefault="00093C0A" w14:paraId="7BEA2351" w14:textId="3969BAB8">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3,315</w:t>
            </w:r>
          </w:p>
        </w:tc>
      </w:tr>
      <w:tr w:rsidRPr="00587204" w:rsidR="00093C0A" w:rsidTr="00305374" w14:paraId="42B17C80" w14:textId="77777777">
        <w:trPr>
          <w:trHeight w:val="290"/>
        </w:trPr>
        <w:tc>
          <w:tcPr>
            <w:tcW w:w="1522" w:type="pct"/>
            <w:shd w:val="clear" w:color="auto" w:fill="auto"/>
            <w:noWrap/>
            <w:vAlign w:val="center"/>
            <w:hideMark/>
          </w:tcPr>
          <w:p w:rsidRPr="00D7128A" w:rsidR="00093C0A" w:rsidP="008348D6" w:rsidRDefault="00093C0A" w14:paraId="6F64E3F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1429" w:type="pct"/>
            <w:shd w:val="clear" w:color="auto" w:fill="auto"/>
            <w:noWrap/>
            <w:vAlign w:val="center"/>
            <w:hideMark/>
          </w:tcPr>
          <w:p w:rsidRPr="00D7128A" w:rsidR="00093C0A" w:rsidP="008348D6" w:rsidRDefault="00093C0A" w14:paraId="0C8B7AD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325</w:t>
            </w:r>
          </w:p>
        </w:tc>
        <w:tc>
          <w:tcPr>
            <w:tcW w:w="524" w:type="pct"/>
            <w:shd w:val="clear" w:color="auto" w:fill="auto"/>
            <w:noWrap/>
            <w:vAlign w:val="center"/>
            <w:hideMark/>
          </w:tcPr>
          <w:p w:rsidRPr="00D7128A" w:rsidR="00093C0A" w:rsidP="008348D6" w:rsidRDefault="00093C0A" w14:paraId="5DF35AFF" w14:textId="61EB48F8">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54</w:t>
            </w:r>
          </w:p>
        </w:tc>
        <w:tc>
          <w:tcPr>
            <w:tcW w:w="543" w:type="pct"/>
            <w:shd w:val="clear" w:color="auto" w:fill="auto"/>
            <w:noWrap/>
            <w:vAlign w:val="center"/>
            <w:hideMark/>
          </w:tcPr>
          <w:p w:rsidRPr="00D7128A" w:rsidR="00093C0A" w:rsidP="008348D6" w:rsidRDefault="00093C0A" w14:paraId="5BF6D5E1" w14:textId="3757F9FF">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63</w:t>
            </w:r>
          </w:p>
        </w:tc>
        <w:tc>
          <w:tcPr>
            <w:tcW w:w="505" w:type="pct"/>
            <w:shd w:val="clear" w:color="auto" w:fill="auto"/>
            <w:noWrap/>
            <w:vAlign w:val="center"/>
            <w:hideMark/>
          </w:tcPr>
          <w:p w:rsidRPr="00D7128A" w:rsidR="00093C0A" w:rsidP="008348D6" w:rsidRDefault="00093C0A" w14:paraId="27781280" w14:textId="3D8EFB0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1,385</w:t>
            </w:r>
          </w:p>
        </w:tc>
        <w:tc>
          <w:tcPr>
            <w:tcW w:w="477" w:type="pct"/>
            <w:shd w:val="clear" w:color="auto" w:fill="auto"/>
            <w:noWrap/>
            <w:vAlign w:val="center"/>
            <w:hideMark/>
          </w:tcPr>
          <w:p w:rsidRPr="00D7128A" w:rsidR="00093C0A" w:rsidP="008348D6" w:rsidRDefault="00093C0A" w14:paraId="446A7258" w14:textId="2AA44DD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1,502</w:t>
            </w:r>
          </w:p>
        </w:tc>
      </w:tr>
      <w:tr w:rsidRPr="00587204" w:rsidR="00093C0A" w:rsidTr="00305374" w14:paraId="151C535C" w14:textId="77777777">
        <w:trPr>
          <w:trHeight w:val="290"/>
        </w:trPr>
        <w:tc>
          <w:tcPr>
            <w:tcW w:w="1522" w:type="pct"/>
            <w:shd w:val="clear" w:color="auto" w:fill="auto"/>
            <w:noWrap/>
            <w:vAlign w:val="center"/>
            <w:hideMark/>
          </w:tcPr>
          <w:p w:rsidRPr="00D7128A" w:rsidR="00093C0A" w:rsidP="008348D6" w:rsidRDefault="00093C0A" w14:paraId="2E020EDF"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wholesalers</w:t>
            </w:r>
          </w:p>
        </w:tc>
        <w:tc>
          <w:tcPr>
            <w:tcW w:w="1429" w:type="pct"/>
            <w:shd w:val="clear" w:color="auto" w:fill="auto"/>
            <w:noWrap/>
            <w:vAlign w:val="center"/>
            <w:hideMark/>
          </w:tcPr>
          <w:p w:rsidRPr="00D7128A" w:rsidR="00093C0A" w:rsidP="008348D6" w:rsidRDefault="00093C0A" w14:paraId="200148B8"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4246</w:t>
            </w:r>
          </w:p>
        </w:tc>
        <w:tc>
          <w:tcPr>
            <w:tcW w:w="524" w:type="pct"/>
            <w:shd w:val="clear" w:color="auto" w:fill="auto"/>
            <w:noWrap/>
            <w:vAlign w:val="center"/>
            <w:hideMark/>
          </w:tcPr>
          <w:p w:rsidRPr="00D7128A" w:rsidR="00093C0A" w:rsidP="008348D6" w:rsidRDefault="00093C0A" w14:paraId="6C4F8E29" w14:textId="6606B68D">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8</w:t>
            </w:r>
          </w:p>
        </w:tc>
        <w:tc>
          <w:tcPr>
            <w:tcW w:w="543" w:type="pct"/>
            <w:shd w:val="clear" w:color="auto" w:fill="auto"/>
            <w:noWrap/>
            <w:vAlign w:val="center"/>
            <w:hideMark/>
          </w:tcPr>
          <w:p w:rsidRPr="00D7128A" w:rsidR="00093C0A" w:rsidP="008348D6" w:rsidRDefault="00093C0A" w14:paraId="430DBA7F" w14:textId="5C0FC3B0">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86</w:t>
            </w:r>
          </w:p>
        </w:tc>
        <w:tc>
          <w:tcPr>
            <w:tcW w:w="505" w:type="pct"/>
            <w:shd w:val="clear" w:color="auto" w:fill="auto"/>
            <w:noWrap/>
            <w:vAlign w:val="center"/>
            <w:hideMark/>
          </w:tcPr>
          <w:p w:rsidRPr="00D7128A" w:rsidR="00093C0A" w:rsidP="008348D6" w:rsidRDefault="00093C0A" w14:paraId="00B880DE" w14:textId="372586B4">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223</w:t>
            </w:r>
          </w:p>
        </w:tc>
        <w:tc>
          <w:tcPr>
            <w:tcW w:w="477" w:type="pct"/>
            <w:shd w:val="clear" w:color="auto" w:fill="auto"/>
            <w:noWrap/>
            <w:vAlign w:val="center"/>
            <w:hideMark/>
          </w:tcPr>
          <w:p w:rsidRPr="00D7128A" w:rsidR="00093C0A" w:rsidP="008348D6" w:rsidRDefault="00093C0A" w14:paraId="41347940" w14:textId="58C2AE74">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317</w:t>
            </w:r>
          </w:p>
        </w:tc>
      </w:tr>
      <w:tr w:rsidRPr="00587204" w:rsidR="00093C0A" w:rsidTr="00305374" w14:paraId="555D9F26" w14:textId="77777777">
        <w:trPr>
          <w:trHeight w:val="290"/>
        </w:trPr>
        <w:tc>
          <w:tcPr>
            <w:tcW w:w="1522" w:type="pct"/>
            <w:shd w:val="clear" w:color="auto" w:fill="auto"/>
            <w:noWrap/>
            <w:vAlign w:val="center"/>
            <w:hideMark/>
          </w:tcPr>
          <w:p w:rsidRPr="00D7128A" w:rsidR="00093C0A" w:rsidP="008348D6" w:rsidRDefault="00093C0A" w14:paraId="7AB6BDD2"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Food and beverage manufacturing</w:t>
            </w:r>
          </w:p>
        </w:tc>
        <w:tc>
          <w:tcPr>
            <w:tcW w:w="1429" w:type="pct"/>
            <w:shd w:val="clear" w:color="auto" w:fill="auto"/>
            <w:noWrap/>
            <w:vAlign w:val="center"/>
            <w:hideMark/>
          </w:tcPr>
          <w:p w:rsidRPr="00D7128A" w:rsidR="00093C0A" w:rsidP="008348D6" w:rsidRDefault="00093C0A" w14:paraId="4F9D137B"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311, 312</w:t>
            </w:r>
          </w:p>
        </w:tc>
        <w:tc>
          <w:tcPr>
            <w:tcW w:w="524" w:type="pct"/>
            <w:shd w:val="clear" w:color="auto" w:fill="auto"/>
            <w:noWrap/>
            <w:vAlign w:val="center"/>
            <w:hideMark/>
          </w:tcPr>
          <w:p w:rsidRPr="00D7128A" w:rsidR="00093C0A" w:rsidP="008348D6" w:rsidRDefault="00093C0A" w14:paraId="580128A1" w14:textId="32261A7E">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w:t>
            </w:r>
          </w:p>
        </w:tc>
        <w:tc>
          <w:tcPr>
            <w:tcW w:w="543" w:type="pct"/>
            <w:shd w:val="clear" w:color="auto" w:fill="auto"/>
            <w:noWrap/>
            <w:vAlign w:val="center"/>
            <w:hideMark/>
          </w:tcPr>
          <w:p w:rsidRPr="00D7128A" w:rsidR="00093C0A" w:rsidP="008348D6" w:rsidRDefault="00093C0A" w14:paraId="3F808540" w14:textId="0E5C61D2">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w:t>
            </w:r>
          </w:p>
        </w:tc>
        <w:tc>
          <w:tcPr>
            <w:tcW w:w="505" w:type="pct"/>
            <w:shd w:val="clear" w:color="auto" w:fill="auto"/>
            <w:noWrap/>
            <w:vAlign w:val="center"/>
            <w:hideMark/>
          </w:tcPr>
          <w:p w:rsidRPr="00D7128A" w:rsidR="00093C0A" w:rsidP="008348D6" w:rsidRDefault="00093C0A" w14:paraId="4084BD25" w14:textId="6177FBFA">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1,565</w:t>
            </w:r>
          </w:p>
        </w:tc>
        <w:tc>
          <w:tcPr>
            <w:tcW w:w="477" w:type="pct"/>
            <w:shd w:val="clear" w:color="auto" w:fill="auto"/>
            <w:noWrap/>
            <w:vAlign w:val="center"/>
            <w:hideMark/>
          </w:tcPr>
          <w:p w:rsidRPr="00D7128A" w:rsidR="00093C0A" w:rsidP="008348D6" w:rsidRDefault="00093C0A" w14:paraId="3F590690" w14:textId="5811E290">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1,571</w:t>
            </w:r>
          </w:p>
        </w:tc>
      </w:tr>
      <w:tr w:rsidRPr="00587204" w:rsidR="00093C0A" w:rsidTr="00305374" w14:paraId="4AC10A9B" w14:textId="77777777">
        <w:trPr>
          <w:trHeight w:val="290"/>
        </w:trPr>
        <w:tc>
          <w:tcPr>
            <w:tcW w:w="1522" w:type="pct"/>
            <w:shd w:val="clear" w:color="auto" w:fill="auto"/>
            <w:noWrap/>
            <w:vAlign w:val="center"/>
            <w:hideMark/>
          </w:tcPr>
          <w:p w:rsidRPr="00D7128A" w:rsidR="00093C0A" w:rsidP="008348D6" w:rsidRDefault="00093C0A" w14:paraId="03AF50A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Oil and gas extraction</w:t>
            </w:r>
          </w:p>
        </w:tc>
        <w:tc>
          <w:tcPr>
            <w:tcW w:w="1429" w:type="pct"/>
            <w:shd w:val="clear" w:color="auto" w:fill="auto"/>
            <w:noWrap/>
            <w:vAlign w:val="center"/>
            <w:hideMark/>
          </w:tcPr>
          <w:p w:rsidRPr="00D7128A" w:rsidR="00093C0A" w:rsidP="008348D6" w:rsidRDefault="00093C0A" w14:paraId="77B67E1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211</w:t>
            </w:r>
          </w:p>
        </w:tc>
        <w:tc>
          <w:tcPr>
            <w:tcW w:w="524" w:type="pct"/>
            <w:shd w:val="clear" w:color="auto" w:fill="auto"/>
            <w:noWrap/>
            <w:vAlign w:val="center"/>
            <w:hideMark/>
          </w:tcPr>
          <w:p w:rsidRPr="00D7128A" w:rsidR="00093C0A" w:rsidP="008348D6" w:rsidRDefault="00093C0A" w14:paraId="2F114879" w14:textId="09DB9CB5">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300</w:t>
            </w:r>
          </w:p>
        </w:tc>
        <w:tc>
          <w:tcPr>
            <w:tcW w:w="543" w:type="pct"/>
            <w:shd w:val="clear" w:color="auto" w:fill="auto"/>
            <w:noWrap/>
            <w:vAlign w:val="center"/>
            <w:hideMark/>
          </w:tcPr>
          <w:p w:rsidRPr="00D7128A" w:rsidR="00093C0A" w:rsidP="008348D6" w:rsidRDefault="00093C0A" w14:paraId="4516224C" w14:textId="258A0B55">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w:t>
            </w:r>
          </w:p>
        </w:tc>
        <w:tc>
          <w:tcPr>
            <w:tcW w:w="505" w:type="pct"/>
            <w:shd w:val="clear" w:color="auto" w:fill="auto"/>
            <w:noWrap/>
            <w:vAlign w:val="center"/>
            <w:hideMark/>
          </w:tcPr>
          <w:p w:rsidRPr="00D7128A" w:rsidR="00093C0A" w:rsidP="008348D6" w:rsidRDefault="00093C0A" w14:paraId="7D2E9D5D" w14:textId="5473B0F8">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388</w:t>
            </w:r>
          </w:p>
        </w:tc>
        <w:tc>
          <w:tcPr>
            <w:tcW w:w="477" w:type="pct"/>
            <w:shd w:val="clear" w:color="auto" w:fill="auto"/>
            <w:noWrap/>
            <w:vAlign w:val="center"/>
            <w:hideMark/>
          </w:tcPr>
          <w:p w:rsidRPr="00D7128A" w:rsidR="00093C0A" w:rsidP="008348D6" w:rsidRDefault="00093C0A" w14:paraId="0057FE3D" w14:textId="710BA410">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719</w:t>
            </w:r>
          </w:p>
        </w:tc>
      </w:tr>
      <w:tr w:rsidRPr="00587204" w:rsidR="00093C0A" w:rsidTr="00305374" w14:paraId="48708EA4" w14:textId="77777777">
        <w:trPr>
          <w:trHeight w:val="290"/>
        </w:trPr>
        <w:tc>
          <w:tcPr>
            <w:tcW w:w="1522" w:type="pct"/>
            <w:shd w:val="clear" w:color="auto" w:fill="auto"/>
            <w:noWrap/>
            <w:vAlign w:val="center"/>
            <w:hideMark/>
          </w:tcPr>
          <w:p w:rsidRPr="00D7128A" w:rsidR="00093C0A" w:rsidP="008348D6" w:rsidRDefault="00093C0A" w14:paraId="6AC0A8B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w:t>
            </w:r>
          </w:p>
        </w:tc>
        <w:tc>
          <w:tcPr>
            <w:tcW w:w="1429" w:type="pct"/>
            <w:shd w:val="clear" w:color="auto" w:fill="auto"/>
            <w:noWrap/>
            <w:vAlign w:val="center"/>
            <w:hideMark/>
          </w:tcPr>
          <w:p w:rsidRPr="00D7128A" w:rsidR="00093C0A" w:rsidP="008348D6" w:rsidRDefault="00093C0A" w14:paraId="7C162702"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21, 23, 44, 45, 48, 491, 54, 55, 56, 61, 62, 71, 72, 81, 99</w:t>
            </w:r>
          </w:p>
        </w:tc>
        <w:tc>
          <w:tcPr>
            <w:tcW w:w="524" w:type="pct"/>
            <w:shd w:val="clear" w:color="auto" w:fill="auto"/>
            <w:noWrap/>
            <w:vAlign w:val="center"/>
            <w:hideMark/>
          </w:tcPr>
          <w:p w:rsidRPr="00D7128A" w:rsidR="00093C0A" w:rsidP="008348D6" w:rsidRDefault="00093C0A" w14:paraId="78E37B73" w14:textId="6BFEDFDB">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55</w:t>
            </w:r>
          </w:p>
        </w:tc>
        <w:tc>
          <w:tcPr>
            <w:tcW w:w="543" w:type="pct"/>
            <w:shd w:val="clear" w:color="auto" w:fill="auto"/>
            <w:noWrap/>
            <w:vAlign w:val="center"/>
            <w:hideMark/>
          </w:tcPr>
          <w:p w:rsidRPr="00D7128A" w:rsidR="00093C0A" w:rsidP="008348D6" w:rsidRDefault="00093C0A" w14:paraId="4A03D134" w14:textId="1E58B161">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48</w:t>
            </w:r>
          </w:p>
        </w:tc>
        <w:tc>
          <w:tcPr>
            <w:tcW w:w="505" w:type="pct"/>
            <w:shd w:val="clear" w:color="auto" w:fill="auto"/>
            <w:noWrap/>
            <w:vAlign w:val="center"/>
            <w:hideMark/>
          </w:tcPr>
          <w:p w:rsidRPr="00D7128A" w:rsidR="00093C0A" w:rsidP="008348D6" w:rsidRDefault="00093C0A" w14:paraId="0F7D9D6C" w14:textId="5FC2FAEE">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143</w:t>
            </w:r>
          </w:p>
        </w:tc>
        <w:tc>
          <w:tcPr>
            <w:tcW w:w="477" w:type="pct"/>
            <w:shd w:val="clear" w:color="auto" w:fill="auto"/>
            <w:noWrap/>
            <w:vAlign w:val="center"/>
            <w:hideMark/>
          </w:tcPr>
          <w:p w:rsidRPr="00D7128A" w:rsidR="00093C0A" w:rsidP="008348D6" w:rsidRDefault="00093C0A" w14:paraId="610CF06E" w14:textId="5B4E533C">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246</w:t>
            </w:r>
          </w:p>
        </w:tc>
      </w:tr>
      <w:tr w:rsidRPr="00587204" w:rsidR="00093C0A" w:rsidTr="00305374" w14:paraId="5FCD7F5E" w14:textId="77777777">
        <w:trPr>
          <w:trHeight w:val="290"/>
        </w:trPr>
        <w:tc>
          <w:tcPr>
            <w:tcW w:w="1522" w:type="pct"/>
            <w:shd w:val="clear" w:color="auto" w:fill="auto"/>
            <w:noWrap/>
            <w:vAlign w:val="center"/>
            <w:hideMark/>
          </w:tcPr>
          <w:p w:rsidRPr="00D7128A" w:rsidR="00093C0A" w:rsidP="008348D6" w:rsidRDefault="00093C0A" w14:paraId="211D0BE3"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 manufacturing</w:t>
            </w:r>
          </w:p>
        </w:tc>
        <w:tc>
          <w:tcPr>
            <w:tcW w:w="1429" w:type="pct"/>
            <w:shd w:val="clear" w:color="auto" w:fill="auto"/>
            <w:noWrap/>
            <w:vAlign w:val="center"/>
            <w:hideMark/>
          </w:tcPr>
          <w:p w:rsidRPr="00D7128A" w:rsidR="00093C0A" w:rsidP="008348D6" w:rsidRDefault="00093C0A" w14:paraId="725DC2ED"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313, 314, 315, 326, 327, 33</w:t>
            </w:r>
          </w:p>
        </w:tc>
        <w:tc>
          <w:tcPr>
            <w:tcW w:w="524" w:type="pct"/>
            <w:shd w:val="clear" w:color="auto" w:fill="auto"/>
            <w:noWrap/>
            <w:vAlign w:val="center"/>
            <w:hideMark/>
          </w:tcPr>
          <w:p w:rsidRPr="00D7128A" w:rsidR="00093C0A" w:rsidP="008348D6" w:rsidRDefault="00093C0A" w14:paraId="120BF889" w14:textId="21401F54">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67</w:t>
            </w:r>
          </w:p>
        </w:tc>
        <w:tc>
          <w:tcPr>
            <w:tcW w:w="543" w:type="pct"/>
            <w:shd w:val="clear" w:color="auto" w:fill="auto"/>
            <w:noWrap/>
            <w:vAlign w:val="center"/>
            <w:hideMark/>
          </w:tcPr>
          <w:p w:rsidRPr="00D7128A" w:rsidR="00093C0A" w:rsidP="008348D6" w:rsidRDefault="00093C0A" w14:paraId="704A4BC0" w14:textId="49930581">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65</w:t>
            </w:r>
          </w:p>
        </w:tc>
        <w:tc>
          <w:tcPr>
            <w:tcW w:w="505" w:type="pct"/>
            <w:shd w:val="clear" w:color="auto" w:fill="auto"/>
            <w:noWrap/>
            <w:vAlign w:val="center"/>
            <w:hideMark/>
          </w:tcPr>
          <w:p w:rsidRPr="00D7128A" w:rsidR="00093C0A" w:rsidP="008348D6" w:rsidRDefault="00093C0A" w14:paraId="6D48F67D" w14:textId="44FDA2E2">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243</w:t>
            </w:r>
          </w:p>
        </w:tc>
        <w:tc>
          <w:tcPr>
            <w:tcW w:w="477" w:type="pct"/>
            <w:shd w:val="clear" w:color="auto" w:fill="auto"/>
            <w:noWrap/>
            <w:vAlign w:val="center"/>
            <w:hideMark/>
          </w:tcPr>
          <w:p w:rsidRPr="00D7128A" w:rsidR="00093C0A" w:rsidP="008348D6" w:rsidRDefault="00093C0A" w14:paraId="23250F6D" w14:textId="35B26979">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375</w:t>
            </w:r>
          </w:p>
        </w:tc>
      </w:tr>
      <w:tr w:rsidRPr="00587204" w:rsidR="00093C0A" w:rsidTr="00305374" w14:paraId="08903A59" w14:textId="77777777">
        <w:trPr>
          <w:trHeight w:val="290"/>
        </w:trPr>
        <w:tc>
          <w:tcPr>
            <w:tcW w:w="1522" w:type="pct"/>
            <w:shd w:val="clear" w:color="auto" w:fill="auto"/>
            <w:noWrap/>
            <w:vAlign w:val="center"/>
            <w:hideMark/>
          </w:tcPr>
          <w:p w:rsidRPr="00D7128A" w:rsidR="00093C0A" w:rsidP="008348D6" w:rsidRDefault="00093C0A" w14:paraId="699C30E2"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Other wholesale</w:t>
            </w:r>
          </w:p>
        </w:tc>
        <w:tc>
          <w:tcPr>
            <w:tcW w:w="1429" w:type="pct"/>
            <w:shd w:val="clear" w:color="auto" w:fill="auto"/>
            <w:noWrap/>
            <w:vAlign w:val="center"/>
            <w:hideMark/>
          </w:tcPr>
          <w:p w:rsidRPr="00D7128A" w:rsidR="00093C0A" w:rsidP="008348D6" w:rsidRDefault="00093C0A" w14:paraId="280C31F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421, 422, 423</w:t>
            </w:r>
          </w:p>
        </w:tc>
        <w:tc>
          <w:tcPr>
            <w:tcW w:w="524" w:type="pct"/>
            <w:shd w:val="clear" w:color="auto" w:fill="auto"/>
            <w:noWrap/>
            <w:vAlign w:val="center"/>
            <w:hideMark/>
          </w:tcPr>
          <w:p w:rsidRPr="00D7128A" w:rsidR="00093C0A" w:rsidP="008348D6" w:rsidRDefault="00093C0A" w14:paraId="76E648E4" w14:textId="42E6CAB5">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w:t>
            </w:r>
          </w:p>
        </w:tc>
        <w:tc>
          <w:tcPr>
            <w:tcW w:w="543" w:type="pct"/>
            <w:shd w:val="clear" w:color="auto" w:fill="auto"/>
            <w:noWrap/>
            <w:vAlign w:val="center"/>
            <w:hideMark/>
          </w:tcPr>
          <w:p w:rsidRPr="00D7128A" w:rsidR="00093C0A" w:rsidP="008348D6" w:rsidRDefault="00093C0A" w14:paraId="7B874371" w14:textId="09CFF28E">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26</w:t>
            </w:r>
          </w:p>
        </w:tc>
        <w:tc>
          <w:tcPr>
            <w:tcW w:w="505" w:type="pct"/>
            <w:shd w:val="clear" w:color="auto" w:fill="auto"/>
            <w:noWrap/>
            <w:vAlign w:val="center"/>
            <w:hideMark/>
          </w:tcPr>
          <w:p w:rsidRPr="00D7128A" w:rsidR="00093C0A" w:rsidP="008348D6" w:rsidRDefault="00093C0A" w14:paraId="0F33468E" w14:textId="4B1C7706">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9</w:t>
            </w:r>
          </w:p>
        </w:tc>
        <w:tc>
          <w:tcPr>
            <w:tcW w:w="477" w:type="pct"/>
            <w:shd w:val="clear" w:color="auto" w:fill="auto"/>
            <w:noWrap/>
            <w:vAlign w:val="center"/>
            <w:hideMark/>
          </w:tcPr>
          <w:p w:rsidRPr="00D7128A" w:rsidR="00093C0A" w:rsidP="008348D6" w:rsidRDefault="00093C0A" w14:paraId="3D267CD8" w14:textId="428C8049">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39</w:t>
            </w:r>
          </w:p>
        </w:tc>
      </w:tr>
      <w:tr w:rsidRPr="00587204" w:rsidR="00093C0A" w:rsidTr="00305374" w14:paraId="63ED1E53" w14:textId="77777777">
        <w:trPr>
          <w:trHeight w:val="290"/>
        </w:trPr>
        <w:tc>
          <w:tcPr>
            <w:tcW w:w="1522" w:type="pct"/>
            <w:shd w:val="clear" w:color="auto" w:fill="auto"/>
            <w:noWrap/>
            <w:vAlign w:val="center"/>
            <w:hideMark/>
          </w:tcPr>
          <w:p w:rsidRPr="00D7128A" w:rsidR="00093C0A" w:rsidP="008348D6" w:rsidRDefault="00093C0A" w14:paraId="201B0D93"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Paper manufacturing</w:t>
            </w:r>
          </w:p>
        </w:tc>
        <w:tc>
          <w:tcPr>
            <w:tcW w:w="1429" w:type="pct"/>
            <w:shd w:val="clear" w:color="auto" w:fill="auto"/>
            <w:noWrap/>
            <w:vAlign w:val="center"/>
            <w:hideMark/>
          </w:tcPr>
          <w:p w:rsidRPr="00D7128A" w:rsidR="00093C0A" w:rsidP="008348D6" w:rsidRDefault="00093C0A" w14:paraId="48E47E71"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321, 322</w:t>
            </w:r>
          </w:p>
        </w:tc>
        <w:tc>
          <w:tcPr>
            <w:tcW w:w="524" w:type="pct"/>
            <w:shd w:val="clear" w:color="auto" w:fill="auto"/>
            <w:noWrap/>
            <w:vAlign w:val="center"/>
            <w:hideMark/>
          </w:tcPr>
          <w:p w:rsidRPr="00D7128A" w:rsidR="00093C0A" w:rsidP="008348D6" w:rsidRDefault="00093C0A" w14:paraId="00D39E2E" w14:textId="76ED0D2F">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w:t>
            </w:r>
          </w:p>
        </w:tc>
        <w:tc>
          <w:tcPr>
            <w:tcW w:w="543" w:type="pct"/>
            <w:shd w:val="clear" w:color="auto" w:fill="auto"/>
            <w:noWrap/>
            <w:vAlign w:val="center"/>
            <w:hideMark/>
          </w:tcPr>
          <w:p w:rsidRPr="00D7128A" w:rsidR="00093C0A" w:rsidP="008348D6" w:rsidRDefault="00093C0A" w14:paraId="5167F81E" w14:textId="7F6F1855">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w:t>
            </w:r>
          </w:p>
        </w:tc>
        <w:tc>
          <w:tcPr>
            <w:tcW w:w="505" w:type="pct"/>
            <w:shd w:val="clear" w:color="auto" w:fill="auto"/>
            <w:noWrap/>
            <w:vAlign w:val="center"/>
            <w:hideMark/>
          </w:tcPr>
          <w:p w:rsidRPr="00D7128A" w:rsidR="00093C0A" w:rsidP="008348D6" w:rsidRDefault="00093C0A" w14:paraId="1CA67397" w14:textId="4263619D">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53</w:t>
            </w:r>
          </w:p>
        </w:tc>
        <w:tc>
          <w:tcPr>
            <w:tcW w:w="477" w:type="pct"/>
            <w:shd w:val="clear" w:color="auto" w:fill="auto"/>
            <w:noWrap/>
            <w:vAlign w:val="center"/>
            <w:hideMark/>
          </w:tcPr>
          <w:p w:rsidRPr="00D7128A" w:rsidR="00093C0A" w:rsidP="008348D6" w:rsidRDefault="00093C0A" w14:paraId="38AD1AE2" w14:textId="3CCD7A9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55</w:t>
            </w:r>
          </w:p>
        </w:tc>
      </w:tr>
      <w:tr w:rsidRPr="00587204" w:rsidR="00093C0A" w:rsidTr="00305374" w14:paraId="5B5B29F7" w14:textId="77777777">
        <w:trPr>
          <w:trHeight w:val="290"/>
        </w:trPr>
        <w:tc>
          <w:tcPr>
            <w:tcW w:w="1522" w:type="pct"/>
            <w:shd w:val="clear" w:color="auto" w:fill="auto"/>
            <w:noWrap/>
            <w:vAlign w:val="center"/>
            <w:hideMark/>
          </w:tcPr>
          <w:p w:rsidRPr="00D7128A" w:rsidR="00093C0A" w:rsidP="008348D6" w:rsidRDefault="00093C0A" w14:paraId="1AB14845"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and coal products manufacturing</w:t>
            </w:r>
          </w:p>
        </w:tc>
        <w:tc>
          <w:tcPr>
            <w:tcW w:w="1429" w:type="pct"/>
            <w:shd w:val="clear" w:color="auto" w:fill="auto"/>
            <w:noWrap/>
            <w:vAlign w:val="center"/>
            <w:hideMark/>
          </w:tcPr>
          <w:p w:rsidRPr="00D7128A" w:rsidR="00093C0A" w:rsidP="008348D6" w:rsidRDefault="00093C0A" w14:paraId="1E2E4B0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324</w:t>
            </w:r>
          </w:p>
        </w:tc>
        <w:tc>
          <w:tcPr>
            <w:tcW w:w="524" w:type="pct"/>
            <w:shd w:val="clear" w:color="auto" w:fill="auto"/>
            <w:noWrap/>
            <w:vAlign w:val="center"/>
            <w:hideMark/>
          </w:tcPr>
          <w:p w:rsidRPr="00D7128A" w:rsidR="00093C0A" w:rsidP="008348D6" w:rsidRDefault="00093C0A" w14:paraId="7101C5E0" w14:textId="2E9C7C38">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13</w:t>
            </w:r>
          </w:p>
        </w:tc>
        <w:tc>
          <w:tcPr>
            <w:tcW w:w="543" w:type="pct"/>
            <w:shd w:val="clear" w:color="auto" w:fill="auto"/>
            <w:noWrap/>
            <w:vAlign w:val="center"/>
            <w:hideMark/>
          </w:tcPr>
          <w:p w:rsidRPr="00D7128A" w:rsidR="00093C0A" w:rsidP="008348D6" w:rsidRDefault="00093C0A" w14:paraId="6C111D41" w14:textId="3E2C35F4">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w:t>
            </w:r>
          </w:p>
        </w:tc>
        <w:tc>
          <w:tcPr>
            <w:tcW w:w="505" w:type="pct"/>
            <w:shd w:val="clear" w:color="auto" w:fill="auto"/>
            <w:noWrap/>
            <w:vAlign w:val="center"/>
            <w:hideMark/>
          </w:tcPr>
          <w:p w:rsidRPr="00D7128A" w:rsidR="00093C0A" w:rsidP="008348D6" w:rsidRDefault="00093C0A" w14:paraId="679C429E" w14:textId="4ED3B44E">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142</w:t>
            </w:r>
          </w:p>
        </w:tc>
        <w:tc>
          <w:tcPr>
            <w:tcW w:w="477" w:type="pct"/>
            <w:shd w:val="clear" w:color="auto" w:fill="auto"/>
            <w:noWrap/>
            <w:vAlign w:val="center"/>
            <w:hideMark/>
          </w:tcPr>
          <w:p w:rsidRPr="00D7128A" w:rsidR="00093C0A" w:rsidP="008348D6" w:rsidRDefault="00093C0A" w14:paraId="70B498EA" w14:textId="15D4EC28">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156</w:t>
            </w:r>
          </w:p>
        </w:tc>
      </w:tr>
      <w:tr w:rsidRPr="00587204" w:rsidR="00093C0A" w:rsidTr="00305374" w14:paraId="351C6863" w14:textId="77777777">
        <w:trPr>
          <w:trHeight w:val="290"/>
        </w:trPr>
        <w:tc>
          <w:tcPr>
            <w:tcW w:w="1522" w:type="pct"/>
            <w:shd w:val="clear" w:color="auto" w:fill="auto"/>
            <w:noWrap/>
            <w:vAlign w:val="center"/>
            <w:hideMark/>
          </w:tcPr>
          <w:p w:rsidRPr="00D7128A" w:rsidR="00093C0A" w:rsidP="008348D6" w:rsidRDefault="00093C0A" w14:paraId="5365C45E"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wholesalers</w:t>
            </w:r>
          </w:p>
        </w:tc>
        <w:tc>
          <w:tcPr>
            <w:tcW w:w="1429" w:type="pct"/>
            <w:shd w:val="clear" w:color="auto" w:fill="auto"/>
            <w:noWrap/>
            <w:vAlign w:val="center"/>
            <w:hideMark/>
          </w:tcPr>
          <w:p w:rsidRPr="00D7128A" w:rsidR="00093C0A" w:rsidP="008348D6" w:rsidRDefault="00093C0A" w14:paraId="022B299C"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4247</w:t>
            </w:r>
          </w:p>
        </w:tc>
        <w:tc>
          <w:tcPr>
            <w:tcW w:w="524" w:type="pct"/>
            <w:shd w:val="clear" w:color="auto" w:fill="auto"/>
            <w:noWrap/>
            <w:vAlign w:val="center"/>
            <w:hideMark/>
          </w:tcPr>
          <w:p w:rsidRPr="00D7128A" w:rsidR="00093C0A" w:rsidP="008348D6" w:rsidRDefault="00093C0A" w14:paraId="4CE808E2" w14:textId="2492B309">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23</w:t>
            </w:r>
          </w:p>
        </w:tc>
        <w:tc>
          <w:tcPr>
            <w:tcW w:w="543" w:type="pct"/>
            <w:shd w:val="clear" w:color="auto" w:fill="auto"/>
            <w:noWrap/>
            <w:vAlign w:val="center"/>
            <w:hideMark/>
          </w:tcPr>
          <w:p w:rsidRPr="00D7128A" w:rsidR="00093C0A" w:rsidP="008348D6" w:rsidRDefault="00093C0A" w14:paraId="7CA99D51" w14:textId="18F3C5F5">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25</w:t>
            </w:r>
          </w:p>
        </w:tc>
        <w:tc>
          <w:tcPr>
            <w:tcW w:w="505" w:type="pct"/>
            <w:shd w:val="clear" w:color="auto" w:fill="auto"/>
            <w:noWrap/>
            <w:vAlign w:val="center"/>
            <w:hideMark/>
          </w:tcPr>
          <w:p w:rsidRPr="00D7128A" w:rsidR="00093C0A" w:rsidP="008348D6" w:rsidRDefault="00093C0A" w14:paraId="12052DC1" w14:textId="5C5AB2B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319</w:t>
            </w:r>
          </w:p>
        </w:tc>
        <w:tc>
          <w:tcPr>
            <w:tcW w:w="477" w:type="pct"/>
            <w:shd w:val="clear" w:color="auto" w:fill="auto"/>
            <w:noWrap/>
            <w:vAlign w:val="center"/>
            <w:hideMark/>
          </w:tcPr>
          <w:p w:rsidRPr="00D7128A" w:rsidR="00093C0A" w:rsidP="008348D6" w:rsidRDefault="00093C0A" w14:paraId="6BB90C5E" w14:textId="3E3C17BB">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367</w:t>
            </w:r>
          </w:p>
        </w:tc>
      </w:tr>
      <w:tr w:rsidRPr="00587204" w:rsidR="00093C0A" w:rsidTr="00305374" w14:paraId="0A96DE46" w14:textId="77777777">
        <w:trPr>
          <w:trHeight w:val="290"/>
        </w:trPr>
        <w:tc>
          <w:tcPr>
            <w:tcW w:w="1522" w:type="pct"/>
            <w:shd w:val="clear" w:color="auto" w:fill="auto"/>
            <w:noWrap/>
            <w:vAlign w:val="center"/>
            <w:hideMark/>
          </w:tcPr>
          <w:p w:rsidRPr="00D7128A" w:rsidR="00093C0A" w:rsidP="008348D6" w:rsidRDefault="00093C0A" w14:paraId="1DDD69B8"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Utilities/ Water</w:t>
            </w:r>
          </w:p>
        </w:tc>
        <w:tc>
          <w:tcPr>
            <w:tcW w:w="1429" w:type="pct"/>
            <w:shd w:val="clear" w:color="auto" w:fill="auto"/>
            <w:noWrap/>
            <w:vAlign w:val="center"/>
            <w:hideMark/>
          </w:tcPr>
          <w:p w:rsidRPr="00D7128A" w:rsidR="00093C0A" w:rsidP="008348D6" w:rsidRDefault="00093C0A" w14:paraId="522D83D2" w14:textId="2CB0AB7D">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221 (non-</w:t>
            </w:r>
            <w:r w:rsidRPr="00D7128A">
              <w:rPr>
                <w:rFonts w:ascii="Times New Roman" w:hAnsi="Times New Roman" w:eastAsia="Times New Roman" w:cs="Times New Roman"/>
                <w:color w:val="000000"/>
                <w:sz w:val="20"/>
                <w:szCs w:val="20"/>
              </w:rPr>
              <w:t>Gov</w:t>
            </w:r>
            <w:r w:rsidRPr="00D7128A" w:rsidR="00A44B96">
              <w:rPr>
                <w:rFonts w:ascii="Times New Roman" w:hAnsi="Times New Roman" w:eastAsia="Times New Roman" w:cs="Times New Roman"/>
                <w:color w:val="000000"/>
                <w:sz w:val="20"/>
                <w:szCs w:val="20"/>
              </w:rPr>
              <w:t>’t-</w:t>
            </w:r>
            <w:r w:rsidRPr="00D7128A">
              <w:rPr>
                <w:rFonts w:ascii="Times New Roman" w:hAnsi="Times New Roman" w:cs="Times New Roman"/>
                <w:color w:val="000000"/>
                <w:sz w:val="20"/>
                <w:szCs w:val="20"/>
              </w:rPr>
              <w:t>owned water)</w:t>
            </w:r>
          </w:p>
        </w:tc>
        <w:tc>
          <w:tcPr>
            <w:tcW w:w="524" w:type="pct"/>
            <w:shd w:val="clear" w:color="auto" w:fill="auto"/>
            <w:noWrap/>
            <w:vAlign w:val="center"/>
            <w:hideMark/>
          </w:tcPr>
          <w:p w:rsidRPr="00D7128A" w:rsidR="00093C0A" w:rsidP="008348D6" w:rsidRDefault="00492C0D" w14:paraId="3726F02C" w14:textId="6D634E4E">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40</w:t>
            </w:r>
          </w:p>
        </w:tc>
        <w:tc>
          <w:tcPr>
            <w:tcW w:w="543" w:type="pct"/>
            <w:shd w:val="clear" w:color="auto" w:fill="auto"/>
            <w:noWrap/>
            <w:vAlign w:val="center"/>
            <w:hideMark/>
          </w:tcPr>
          <w:p w:rsidRPr="00D7128A" w:rsidR="00093C0A" w:rsidP="008348D6" w:rsidRDefault="00492C0D" w14:paraId="6BD89C80" w14:textId="02493393">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129</w:t>
            </w:r>
          </w:p>
        </w:tc>
        <w:tc>
          <w:tcPr>
            <w:tcW w:w="505" w:type="pct"/>
            <w:shd w:val="clear" w:color="auto" w:fill="auto"/>
            <w:noWrap/>
            <w:vAlign w:val="center"/>
            <w:hideMark/>
          </w:tcPr>
          <w:p w:rsidRPr="00D7128A" w:rsidR="00093C0A" w:rsidP="008348D6" w:rsidRDefault="00EA7431" w14:paraId="6FF8D681" w14:textId="00EFCD45">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350</w:t>
            </w:r>
          </w:p>
        </w:tc>
        <w:tc>
          <w:tcPr>
            <w:tcW w:w="477" w:type="pct"/>
            <w:shd w:val="clear" w:color="auto" w:fill="auto"/>
            <w:noWrap/>
            <w:vAlign w:val="center"/>
            <w:hideMark/>
          </w:tcPr>
          <w:p w:rsidRPr="00D7128A" w:rsidR="00093C0A" w:rsidP="008348D6" w:rsidRDefault="00EA7431" w14:paraId="384A0461" w14:textId="193B2A8D">
            <w:pPr>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519</w:t>
            </w:r>
          </w:p>
        </w:tc>
      </w:tr>
      <w:tr w:rsidRPr="00587204" w:rsidR="00093C0A" w:rsidTr="00305374" w14:paraId="288FD6AB" w14:textId="77777777">
        <w:trPr>
          <w:trHeight w:val="290"/>
        </w:trPr>
        <w:tc>
          <w:tcPr>
            <w:tcW w:w="1522" w:type="pct"/>
            <w:shd w:val="clear" w:color="auto" w:fill="auto"/>
            <w:noWrap/>
            <w:vAlign w:val="center"/>
            <w:hideMark/>
          </w:tcPr>
          <w:p w:rsidRPr="00D7128A" w:rsidR="00093C0A" w:rsidP="008348D6" w:rsidRDefault="00093C0A" w14:paraId="58D9DF85"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Warehousing and storage</w:t>
            </w:r>
          </w:p>
        </w:tc>
        <w:tc>
          <w:tcPr>
            <w:tcW w:w="1429" w:type="pct"/>
            <w:shd w:val="clear" w:color="auto" w:fill="auto"/>
            <w:noWrap/>
            <w:vAlign w:val="center"/>
            <w:hideMark/>
          </w:tcPr>
          <w:p w:rsidRPr="00D7128A" w:rsidR="00093C0A" w:rsidP="008348D6" w:rsidRDefault="00093C0A" w14:paraId="3960E515" w14:textId="77777777">
            <w:pPr>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493</w:t>
            </w:r>
          </w:p>
        </w:tc>
        <w:tc>
          <w:tcPr>
            <w:tcW w:w="524" w:type="pct"/>
            <w:shd w:val="clear" w:color="auto" w:fill="auto"/>
            <w:noWrap/>
            <w:vAlign w:val="center"/>
            <w:hideMark/>
          </w:tcPr>
          <w:p w:rsidRPr="00D7128A" w:rsidR="00093C0A" w:rsidP="008348D6" w:rsidRDefault="00093C0A" w14:paraId="55412275" w14:textId="4E55BEA9">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79</w:t>
            </w:r>
          </w:p>
        </w:tc>
        <w:tc>
          <w:tcPr>
            <w:tcW w:w="543" w:type="pct"/>
            <w:shd w:val="clear" w:color="auto" w:fill="auto"/>
            <w:noWrap/>
            <w:vAlign w:val="center"/>
            <w:hideMark/>
          </w:tcPr>
          <w:p w:rsidRPr="00D7128A" w:rsidR="00093C0A" w:rsidP="008348D6" w:rsidRDefault="00093C0A" w14:paraId="3ED3B573" w14:textId="35AB8A61">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75</w:t>
            </w:r>
          </w:p>
        </w:tc>
        <w:tc>
          <w:tcPr>
            <w:tcW w:w="505" w:type="pct"/>
            <w:shd w:val="clear" w:color="auto" w:fill="auto"/>
            <w:noWrap/>
            <w:vAlign w:val="center"/>
            <w:hideMark/>
          </w:tcPr>
          <w:p w:rsidRPr="00D7128A" w:rsidR="00093C0A" w:rsidP="008348D6" w:rsidRDefault="00093C0A" w14:paraId="5AE4D98A" w14:textId="41A274D2">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956</w:t>
            </w:r>
          </w:p>
        </w:tc>
        <w:tc>
          <w:tcPr>
            <w:tcW w:w="477" w:type="pct"/>
            <w:shd w:val="clear" w:color="auto" w:fill="auto"/>
            <w:noWrap/>
            <w:vAlign w:val="center"/>
            <w:hideMark/>
          </w:tcPr>
          <w:p w:rsidRPr="00D7128A" w:rsidR="00093C0A" w:rsidP="008348D6" w:rsidRDefault="00093C0A" w14:paraId="187A5808" w14:textId="10A5B764">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1,110</w:t>
            </w:r>
          </w:p>
        </w:tc>
      </w:tr>
      <w:tr w:rsidRPr="00587204" w:rsidR="00093C0A" w:rsidTr="00305374" w14:paraId="430F1684" w14:textId="77777777">
        <w:trPr>
          <w:trHeight w:val="290"/>
        </w:trPr>
        <w:tc>
          <w:tcPr>
            <w:tcW w:w="1522" w:type="pct"/>
            <w:shd w:val="clear" w:color="auto" w:fill="auto"/>
            <w:noWrap/>
            <w:vAlign w:val="center"/>
            <w:hideMark/>
          </w:tcPr>
          <w:p w:rsidRPr="00D7128A" w:rsidR="00093C0A" w:rsidP="008348D6" w:rsidRDefault="00093C0A" w14:paraId="312B1498"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Total</w:t>
            </w:r>
          </w:p>
        </w:tc>
        <w:tc>
          <w:tcPr>
            <w:tcW w:w="1429" w:type="pct"/>
            <w:shd w:val="clear" w:color="auto" w:fill="auto"/>
            <w:noWrap/>
            <w:vAlign w:val="center"/>
            <w:hideMark/>
          </w:tcPr>
          <w:p w:rsidRPr="00D7128A" w:rsidR="00093C0A" w:rsidP="008348D6" w:rsidRDefault="00093C0A" w14:paraId="5CC1E714" w14:textId="77777777">
            <w:pPr>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All</w:t>
            </w:r>
          </w:p>
        </w:tc>
        <w:tc>
          <w:tcPr>
            <w:tcW w:w="524" w:type="pct"/>
            <w:shd w:val="clear" w:color="auto" w:fill="auto"/>
            <w:noWrap/>
            <w:vAlign w:val="center"/>
            <w:hideMark/>
          </w:tcPr>
          <w:p w:rsidRPr="00D7128A" w:rsidR="00093C0A" w:rsidP="008348D6" w:rsidRDefault="00093C0A" w14:paraId="15CADEA2" w14:textId="039FB02F">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660</w:t>
            </w:r>
          </w:p>
        </w:tc>
        <w:tc>
          <w:tcPr>
            <w:tcW w:w="543" w:type="pct"/>
            <w:shd w:val="clear" w:color="auto" w:fill="auto"/>
            <w:noWrap/>
            <w:vAlign w:val="center"/>
            <w:hideMark/>
          </w:tcPr>
          <w:p w:rsidRPr="00D7128A" w:rsidR="00093C0A" w:rsidP="008348D6" w:rsidRDefault="00093C0A" w14:paraId="22CBA3B4" w14:textId="6D23A545">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3,975</w:t>
            </w:r>
          </w:p>
        </w:tc>
        <w:tc>
          <w:tcPr>
            <w:tcW w:w="505" w:type="pct"/>
            <w:shd w:val="clear" w:color="auto" w:fill="auto"/>
            <w:noWrap/>
            <w:vAlign w:val="center"/>
            <w:hideMark/>
          </w:tcPr>
          <w:p w:rsidRPr="00D7128A" w:rsidR="00093C0A" w:rsidP="008348D6" w:rsidRDefault="00093C0A" w14:paraId="7953E25D" w14:textId="062C921C">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7,105</w:t>
            </w:r>
          </w:p>
        </w:tc>
        <w:tc>
          <w:tcPr>
            <w:tcW w:w="477" w:type="pct"/>
            <w:shd w:val="clear" w:color="auto" w:fill="auto"/>
            <w:noWrap/>
            <w:vAlign w:val="center"/>
            <w:hideMark/>
          </w:tcPr>
          <w:p w:rsidRPr="00D7128A" w:rsidR="00093C0A" w:rsidP="008348D6" w:rsidRDefault="00093C0A" w14:paraId="22200FE9" w14:textId="2276D4D0">
            <w:pPr>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11,740</w:t>
            </w:r>
          </w:p>
        </w:tc>
      </w:tr>
    </w:tbl>
    <w:p w:rsidRPr="00587204" w:rsidR="00531E24" w:rsidP="00587204" w:rsidRDefault="00531E24" w14:paraId="1D9612B8" w14:textId="77777777">
      <w:pPr>
        <w:spacing w:after="0" w:line="240" w:lineRule="auto"/>
        <w:rPr>
          <w:rFonts w:ascii="Times New Roman" w:hAnsi="Times New Roman" w:eastAsia="Calibri" w:cs="Times New Roman"/>
          <w:b/>
        </w:rPr>
      </w:pPr>
    </w:p>
    <w:p w:rsidRPr="00587204" w:rsidR="00093C0A" w:rsidP="00587204" w:rsidRDefault="00093C0A" w14:paraId="013BA958" w14:textId="67B37AB4">
      <w:pPr>
        <w:spacing w:after="0" w:line="240" w:lineRule="auto"/>
        <w:rPr>
          <w:rFonts w:ascii="Times New Roman" w:hAnsi="Times New Roman" w:eastAsia="Calibri" w:cs="Times New Roman"/>
          <w:b/>
        </w:rPr>
      </w:pPr>
      <w:r w:rsidRPr="00587204">
        <w:rPr>
          <w:rFonts w:ascii="Times New Roman" w:hAnsi="Times New Roman" w:eastAsia="Calibri" w:cs="Times New Roman"/>
          <w:b/>
        </w:rPr>
        <w:t xml:space="preserve">3.2.1 Facilities Affected by the STAA </w:t>
      </w:r>
      <w:r w:rsidRPr="00587204">
        <w:rPr>
          <w:rFonts w:ascii="Times New Roman" w:hAnsi="Times New Roman" w:cs="Times New Roman"/>
          <w:b/>
        </w:rPr>
        <w:t>Requirement</w:t>
      </w:r>
    </w:p>
    <w:p w:rsidR="00146C18" w:rsidP="00305374" w:rsidRDefault="006626C9" w14:paraId="74D462A1" w14:textId="2207AC0D">
      <w:pPr>
        <w:pStyle w:val="CommentText"/>
        <w:spacing w:after="0"/>
        <w:ind w:firstLine="360"/>
        <w:rPr>
          <w:rFonts w:ascii="Times New Roman" w:hAnsi="Times New Roman" w:cs="Times New Roman"/>
          <w:sz w:val="22"/>
          <w:szCs w:val="22"/>
        </w:rPr>
      </w:pPr>
      <w:r>
        <w:rPr>
          <w:rFonts w:ascii="Times New Roman" w:hAnsi="Times New Roman" w:eastAsia="Calibri" w:cs="Times New Roman"/>
          <w:sz w:val="22"/>
          <w:szCs w:val="22"/>
        </w:rPr>
        <w:tab/>
      </w:r>
      <w:r w:rsidRPr="00587204" w:rsidR="00093C0A">
        <w:rPr>
          <w:rFonts w:ascii="Times New Roman" w:hAnsi="Times New Roman" w:eastAsia="Calibri" w:cs="Times New Roman"/>
          <w:sz w:val="22"/>
          <w:szCs w:val="22"/>
        </w:rPr>
        <w:t xml:space="preserve">Applicability of the proposed provision </w:t>
      </w:r>
      <w:r w:rsidRPr="00587204" w:rsidR="006947BD">
        <w:rPr>
          <w:rFonts w:ascii="Times New Roman" w:hAnsi="Times New Roman" w:eastAsia="Calibri" w:cs="Times New Roman"/>
          <w:sz w:val="22"/>
          <w:szCs w:val="22"/>
        </w:rPr>
        <w:t xml:space="preserve">to conduct a </w:t>
      </w:r>
      <w:r w:rsidRPr="00587204" w:rsidR="00093C0A">
        <w:rPr>
          <w:rFonts w:ascii="Times New Roman" w:hAnsi="Times New Roman" w:eastAsia="Calibri" w:cs="Times New Roman"/>
          <w:sz w:val="22"/>
          <w:szCs w:val="22"/>
        </w:rPr>
        <w:t xml:space="preserve">STAA </w:t>
      </w:r>
      <w:r w:rsidRPr="00587204" w:rsidR="006947BD">
        <w:rPr>
          <w:rFonts w:ascii="Times New Roman" w:hAnsi="Times New Roman" w:eastAsia="Calibri" w:cs="Times New Roman"/>
          <w:sz w:val="22"/>
          <w:szCs w:val="22"/>
        </w:rPr>
        <w:t>as part of the PHA</w:t>
      </w:r>
      <w:r w:rsidRPr="00587204" w:rsidR="00093C0A">
        <w:rPr>
          <w:rFonts w:ascii="Times New Roman" w:hAnsi="Times New Roman" w:eastAsia="Calibri" w:cs="Times New Roman"/>
          <w:sz w:val="22"/>
          <w:szCs w:val="22"/>
        </w:rPr>
        <w:t xml:space="preserve"> is limited to processes in two sectors that have had a high frequency of accidental releases (NAICS 324 and 325). These sectors were selected because they represent complex processes that accounted for 43</w:t>
      </w:r>
      <w:r w:rsidRPr="00587204" w:rsidR="00115223">
        <w:rPr>
          <w:rFonts w:ascii="Times New Roman" w:hAnsi="Times New Roman" w:cs="Times New Roman"/>
          <w:sz w:val="22"/>
          <w:szCs w:val="22"/>
        </w:rPr>
        <w:t xml:space="preserve"> percent</w:t>
      </w:r>
      <w:r w:rsidRPr="00587204" w:rsidR="00093C0A">
        <w:rPr>
          <w:rFonts w:ascii="Times New Roman" w:hAnsi="Times New Roman" w:eastAsia="Calibri" w:cs="Times New Roman"/>
          <w:sz w:val="22"/>
          <w:szCs w:val="22"/>
        </w:rPr>
        <w:t xml:space="preserve"> of all RMP</w:t>
      </w:r>
      <w:r w:rsidRPr="00587204" w:rsidR="003D0572">
        <w:rPr>
          <w:rFonts w:ascii="Times New Roman" w:hAnsi="Times New Roman" w:eastAsia="Calibri" w:cs="Times New Roman"/>
          <w:sz w:val="22"/>
          <w:szCs w:val="22"/>
        </w:rPr>
        <w:t>-</w:t>
      </w:r>
      <w:r w:rsidRPr="00587204" w:rsidR="00093C0A">
        <w:rPr>
          <w:rFonts w:ascii="Times New Roman" w:hAnsi="Times New Roman" w:eastAsia="Calibri" w:cs="Times New Roman"/>
          <w:sz w:val="22"/>
          <w:szCs w:val="22"/>
        </w:rPr>
        <w:t>reportable accidents from 2016 to 2020</w:t>
      </w:r>
      <w:r w:rsidRPr="00587204" w:rsidR="00413C7C">
        <w:rPr>
          <w:rFonts w:ascii="Times New Roman" w:hAnsi="Times New Roman" w:eastAsia="Calibri" w:cs="Times New Roman"/>
          <w:sz w:val="22"/>
          <w:szCs w:val="22"/>
        </w:rPr>
        <w:t>.</w:t>
      </w:r>
      <w:r w:rsidRPr="00587204" w:rsidR="00093C0A">
        <w:rPr>
          <w:rStyle w:val="FootnoteReference"/>
          <w:rFonts w:ascii="Times New Roman" w:hAnsi="Times New Roman" w:eastAsia="Calibri" w:cs="Times New Roman"/>
          <w:sz w:val="22"/>
          <w:szCs w:val="22"/>
        </w:rPr>
        <w:footnoteReference w:id="25"/>
      </w:r>
      <w:r w:rsidRPr="00587204" w:rsidR="00093C0A">
        <w:rPr>
          <w:rFonts w:ascii="Times New Roman" w:hAnsi="Times New Roman" w:eastAsia="Calibri" w:cs="Times New Roman"/>
          <w:sz w:val="22"/>
          <w:szCs w:val="22"/>
        </w:rPr>
        <w:t xml:space="preserve"> </w:t>
      </w:r>
      <w:r w:rsidRPr="00587204" w:rsidR="00413C7C">
        <w:rPr>
          <w:rFonts w:ascii="Times New Roman" w:hAnsi="Times New Roman" w:eastAsia="Calibri" w:cs="Times New Roman"/>
          <w:sz w:val="22"/>
          <w:szCs w:val="22"/>
        </w:rPr>
        <w:t xml:space="preserve">These sectors </w:t>
      </w:r>
      <w:r w:rsidRPr="00587204" w:rsidR="001751D9">
        <w:rPr>
          <w:rFonts w:ascii="Times New Roman" w:hAnsi="Times New Roman" w:eastAsia="Calibri" w:cs="Times New Roman"/>
          <w:sz w:val="22"/>
          <w:szCs w:val="22"/>
        </w:rPr>
        <w:t>also</w:t>
      </w:r>
      <w:r w:rsidRPr="00587204" w:rsidR="00413C7C">
        <w:rPr>
          <w:rFonts w:ascii="Times New Roman" w:hAnsi="Times New Roman" w:eastAsia="Calibri" w:cs="Times New Roman"/>
          <w:sz w:val="22"/>
          <w:szCs w:val="22"/>
        </w:rPr>
        <w:t xml:space="preserve"> had</w:t>
      </w:r>
      <w:r w:rsidRPr="00587204" w:rsidDel="00413C7C" w:rsidR="001751D9">
        <w:rPr>
          <w:rFonts w:ascii="Times New Roman" w:hAnsi="Times New Roman" w:cs="Times New Roman"/>
          <w:sz w:val="22"/>
          <w:szCs w:val="22"/>
        </w:rPr>
        <w:t xml:space="preserve"> </w:t>
      </w:r>
      <w:r w:rsidRPr="00587204" w:rsidR="001751D9">
        <w:rPr>
          <w:rFonts w:ascii="Times New Roman" w:hAnsi="Times New Roman" w:cs="Times New Roman"/>
          <w:sz w:val="22"/>
          <w:szCs w:val="22"/>
        </w:rPr>
        <w:t>costly accidents</w:t>
      </w:r>
      <w:r w:rsidRPr="00587204" w:rsidR="00413C7C">
        <w:rPr>
          <w:rFonts w:ascii="Times New Roman" w:hAnsi="Times New Roman" w:cs="Times New Roman"/>
          <w:sz w:val="22"/>
          <w:szCs w:val="22"/>
        </w:rPr>
        <w:t xml:space="preserve"> relative to other sectors</w:t>
      </w:r>
      <w:r w:rsidRPr="00587204" w:rsidR="008A340A">
        <w:rPr>
          <w:rFonts w:ascii="Times New Roman" w:hAnsi="Times New Roman" w:cs="Times New Roman"/>
          <w:sz w:val="22"/>
          <w:szCs w:val="22"/>
        </w:rPr>
        <w:t>.</w:t>
      </w:r>
    </w:p>
    <w:p w:rsidRPr="00587204" w:rsidR="006626C9" w:rsidP="00305374" w:rsidRDefault="006626C9" w14:paraId="550F2D8A" w14:textId="77777777">
      <w:pPr>
        <w:pStyle w:val="CommentText"/>
        <w:spacing w:after="0"/>
        <w:ind w:firstLine="360"/>
        <w:rPr>
          <w:rFonts w:ascii="Times New Roman" w:hAnsi="Times New Roman" w:cs="Times New Roman"/>
          <w:sz w:val="22"/>
          <w:szCs w:val="22"/>
        </w:rPr>
      </w:pPr>
    </w:p>
    <w:p w:rsidRPr="00587204" w:rsidR="00093C0A" w:rsidP="00305374" w:rsidRDefault="006626C9" w14:paraId="68DC57CD" w14:textId="38D2BB07">
      <w:pPr>
        <w:pStyle w:val="CommentText"/>
        <w:spacing w:after="0"/>
        <w:ind w:firstLine="360"/>
        <w:rPr>
          <w:rFonts w:ascii="Times New Roman" w:hAnsi="Times New Roman" w:eastAsia="Calibri" w:cs="Times New Roman"/>
          <w:sz w:val="22"/>
          <w:szCs w:val="22"/>
        </w:rPr>
      </w:pPr>
      <w:r>
        <w:rPr>
          <w:rFonts w:ascii="Times New Roman" w:hAnsi="Times New Roman" w:eastAsia="Calibri" w:cs="Times New Roman"/>
          <w:sz w:val="22"/>
          <w:szCs w:val="22"/>
        </w:rPr>
        <w:tab/>
      </w:r>
      <w:r w:rsidRPr="00587204" w:rsidR="00093C0A">
        <w:rPr>
          <w:rFonts w:ascii="Times New Roman" w:hAnsi="Times New Roman" w:eastAsia="Calibri" w:cs="Times New Roman"/>
          <w:sz w:val="22"/>
          <w:szCs w:val="22"/>
        </w:rPr>
        <w:t xml:space="preserve">The proposed provision </w:t>
      </w:r>
      <w:r w:rsidRPr="00587204" w:rsidR="00C507E6">
        <w:rPr>
          <w:rFonts w:ascii="Times New Roman" w:hAnsi="Times New Roman" w:eastAsia="Calibri" w:cs="Times New Roman"/>
          <w:sz w:val="22"/>
          <w:szCs w:val="22"/>
        </w:rPr>
        <w:t xml:space="preserve">applies only to </w:t>
      </w:r>
      <w:r w:rsidRPr="00587204" w:rsidR="00413C7C">
        <w:rPr>
          <w:rFonts w:ascii="Times New Roman" w:hAnsi="Times New Roman" w:eastAsia="Calibri" w:cs="Times New Roman"/>
          <w:sz w:val="22"/>
          <w:szCs w:val="22"/>
        </w:rPr>
        <w:t>Program 3</w:t>
      </w:r>
      <w:r w:rsidRPr="00587204" w:rsidR="00093C0A">
        <w:rPr>
          <w:rFonts w:ascii="Times New Roman" w:hAnsi="Times New Roman" w:eastAsia="Calibri" w:cs="Times New Roman"/>
          <w:sz w:val="22"/>
          <w:szCs w:val="22"/>
        </w:rPr>
        <w:t xml:space="preserve"> facilities with</w:t>
      </w:r>
      <w:r w:rsidRPr="00587204" w:rsidR="00B63AF4">
        <w:rPr>
          <w:rFonts w:ascii="Times New Roman" w:hAnsi="Times New Roman" w:eastAsia="Calibri" w:cs="Times New Roman"/>
          <w:sz w:val="22"/>
          <w:szCs w:val="22"/>
        </w:rPr>
        <w:t xml:space="preserve"> processes in NAICS 324 and 325</w:t>
      </w:r>
      <w:r w:rsidRPr="00587204" w:rsidR="00093C0A">
        <w:rPr>
          <w:rFonts w:ascii="Times New Roman" w:hAnsi="Times New Roman" w:eastAsia="Calibri" w:cs="Times New Roman"/>
          <w:sz w:val="22"/>
          <w:szCs w:val="22"/>
        </w:rPr>
        <w:t xml:space="preserve"> located within one mile of another facility with a NAICS 324 or 325 process</w:t>
      </w:r>
      <w:r w:rsidRPr="00587204" w:rsidR="006947BD">
        <w:rPr>
          <w:rFonts w:ascii="Times New Roman" w:hAnsi="Times New Roman" w:eastAsia="Calibri" w:cs="Times New Roman"/>
          <w:sz w:val="22"/>
          <w:szCs w:val="22"/>
        </w:rPr>
        <w:t>,</w:t>
      </w:r>
      <w:r w:rsidRPr="00587204" w:rsidR="00024843">
        <w:rPr>
          <w:rFonts w:ascii="Times New Roman" w:hAnsi="Times New Roman" w:eastAsia="Calibri" w:cs="Times New Roman"/>
          <w:sz w:val="22"/>
          <w:szCs w:val="22"/>
        </w:rPr>
        <w:t xml:space="preserve"> or </w:t>
      </w:r>
      <w:r w:rsidRPr="00587204" w:rsidR="006947BD">
        <w:rPr>
          <w:rFonts w:ascii="Times New Roman" w:hAnsi="Times New Roman" w:eastAsia="Calibri" w:cs="Times New Roman"/>
          <w:sz w:val="22"/>
          <w:szCs w:val="22"/>
        </w:rPr>
        <w:t xml:space="preserve">facilities </w:t>
      </w:r>
      <w:r w:rsidRPr="00587204" w:rsidR="00024843">
        <w:rPr>
          <w:rFonts w:ascii="Times New Roman" w:hAnsi="Times New Roman" w:eastAsia="Calibri" w:cs="Times New Roman"/>
          <w:sz w:val="22"/>
          <w:szCs w:val="22"/>
        </w:rPr>
        <w:t>that have an HF alkylation unit process regardless of proximity to another N</w:t>
      </w:r>
      <w:r w:rsidRPr="00587204" w:rsidR="006947BD">
        <w:rPr>
          <w:rFonts w:ascii="Times New Roman" w:hAnsi="Times New Roman" w:eastAsia="Calibri" w:cs="Times New Roman"/>
          <w:sz w:val="22"/>
          <w:szCs w:val="22"/>
        </w:rPr>
        <w:t>AICS 324 or 325-regulated facility.</w:t>
      </w:r>
      <w:r>
        <w:rPr>
          <w:rFonts w:ascii="Times New Roman" w:hAnsi="Times New Roman" w:eastAsia="Calibri" w:cs="Times New Roman"/>
          <w:sz w:val="22"/>
          <w:szCs w:val="22"/>
        </w:rPr>
        <w:t xml:space="preserve"> </w:t>
      </w:r>
      <w:r w:rsidRPr="00587204" w:rsidR="005963F6">
        <w:rPr>
          <w:rFonts w:ascii="Times New Roman" w:hAnsi="Times New Roman" w:eastAsia="Calibri" w:cs="Times New Roman"/>
          <w:sz w:val="22"/>
          <w:szCs w:val="22"/>
        </w:rPr>
        <w:t>California regulations</w:t>
      </w:r>
      <w:r w:rsidRPr="00587204" w:rsidR="00CA2DE0">
        <w:rPr>
          <w:rStyle w:val="FootnoteReference"/>
          <w:rFonts w:ascii="Times New Roman" w:hAnsi="Times New Roman" w:eastAsia="Calibri" w:cs="Times New Roman"/>
          <w:sz w:val="22"/>
          <w:szCs w:val="22"/>
        </w:rPr>
        <w:footnoteReference w:id="26"/>
      </w:r>
      <w:r w:rsidRPr="00587204" w:rsidR="005963F6">
        <w:rPr>
          <w:rFonts w:ascii="Times New Roman" w:hAnsi="Times New Roman" w:eastAsia="Calibri" w:cs="Times New Roman"/>
          <w:sz w:val="22"/>
          <w:szCs w:val="22"/>
        </w:rPr>
        <w:t xml:space="preserve"> already require </w:t>
      </w:r>
      <w:r w:rsidRPr="00587204" w:rsidR="005D0805">
        <w:rPr>
          <w:rFonts w:ascii="Times New Roman" w:hAnsi="Times New Roman" w:eastAsia="Calibri" w:cs="Times New Roman"/>
          <w:sz w:val="22"/>
          <w:szCs w:val="22"/>
        </w:rPr>
        <w:t xml:space="preserve">a </w:t>
      </w:r>
      <w:r w:rsidRPr="00587204" w:rsidR="00907CD7">
        <w:rPr>
          <w:rFonts w:ascii="Times New Roman" w:hAnsi="Times New Roman" w:eastAsia="Calibri" w:cs="Times New Roman"/>
          <w:sz w:val="22"/>
          <w:szCs w:val="22"/>
        </w:rPr>
        <w:t>hierarchy of controls analysis</w:t>
      </w:r>
      <w:r w:rsidRPr="00587204" w:rsidR="009C3ED0">
        <w:rPr>
          <w:rFonts w:ascii="Times New Roman" w:hAnsi="Times New Roman" w:eastAsia="Calibri" w:cs="Times New Roman"/>
          <w:sz w:val="22"/>
          <w:szCs w:val="22"/>
        </w:rPr>
        <w:t xml:space="preserve"> for refineries with HF unit processes</w:t>
      </w:r>
      <w:r w:rsidRPr="00587204" w:rsidR="00907CD7">
        <w:rPr>
          <w:rFonts w:ascii="Times New Roman" w:hAnsi="Times New Roman" w:eastAsia="Calibri" w:cs="Times New Roman"/>
          <w:sz w:val="22"/>
          <w:szCs w:val="22"/>
        </w:rPr>
        <w:t xml:space="preserve">, </w:t>
      </w:r>
      <w:r w:rsidRPr="00587204" w:rsidR="005D0805">
        <w:rPr>
          <w:rFonts w:ascii="Times New Roman" w:hAnsi="Times New Roman" w:eastAsia="Calibri" w:cs="Times New Roman"/>
          <w:sz w:val="22"/>
          <w:szCs w:val="22"/>
        </w:rPr>
        <w:t xml:space="preserve">which is </w:t>
      </w:r>
      <w:r w:rsidRPr="00587204" w:rsidR="00907CD7">
        <w:rPr>
          <w:rFonts w:ascii="Times New Roman" w:hAnsi="Times New Roman" w:eastAsia="Calibri" w:cs="Times New Roman"/>
          <w:sz w:val="22"/>
          <w:szCs w:val="22"/>
        </w:rPr>
        <w:t>a similar, but more involved</w:t>
      </w:r>
      <w:r w:rsidRPr="00587204" w:rsidR="005D0805">
        <w:rPr>
          <w:rFonts w:ascii="Times New Roman" w:hAnsi="Times New Roman" w:eastAsia="Calibri" w:cs="Times New Roman"/>
          <w:sz w:val="22"/>
          <w:szCs w:val="22"/>
        </w:rPr>
        <w:t>,</w:t>
      </w:r>
      <w:r w:rsidRPr="00587204" w:rsidR="00907CD7">
        <w:rPr>
          <w:rFonts w:ascii="Times New Roman" w:hAnsi="Times New Roman" w:eastAsia="Calibri" w:cs="Times New Roman"/>
          <w:sz w:val="22"/>
          <w:szCs w:val="22"/>
        </w:rPr>
        <w:t xml:space="preserve"> evaluation of inherent safety than </w:t>
      </w:r>
      <w:r w:rsidRPr="00587204" w:rsidR="00413C7C">
        <w:rPr>
          <w:rFonts w:ascii="Times New Roman" w:hAnsi="Times New Roman" w:eastAsia="Calibri" w:cs="Times New Roman"/>
          <w:sz w:val="22"/>
          <w:szCs w:val="22"/>
        </w:rPr>
        <w:t xml:space="preserve">required by the provision </w:t>
      </w:r>
      <w:r w:rsidRPr="00587204" w:rsidR="00907CD7">
        <w:rPr>
          <w:rFonts w:ascii="Times New Roman" w:hAnsi="Times New Roman" w:eastAsia="Calibri" w:cs="Times New Roman"/>
          <w:sz w:val="22"/>
          <w:szCs w:val="22"/>
        </w:rPr>
        <w:t>proposed by EPA</w:t>
      </w:r>
      <w:r w:rsidRPr="00587204" w:rsidR="005963F6">
        <w:rPr>
          <w:rFonts w:ascii="Times New Roman" w:hAnsi="Times New Roman" w:eastAsia="Calibri" w:cs="Times New Roman"/>
          <w:sz w:val="22"/>
          <w:szCs w:val="22"/>
        </w:rPr>
        <w:t xml:space="preserve">. </w:t>
      </w:r>
      <w:r w:rsidRPr="00587204" w:rsidR="005963F6">
        <w:rPr>
          <w:rFonts w:ascii="Times New Roman" w:hAnsi="Times New Roman" w:eastAsia="Calibri" w:cs="Times New Roman"/>
          <w:sz w:val="22"/>
          <w:szCs w:val="22"/>
        </w:rPr>
        <w:lastRenderedPageBreak/>
        <w:t xml:space="preserve">Therefore, EPA does not include the two California refineries with HF units in </w:t>
      </w:r>
      <w:r w:rsidRPr="00587204" w:rsidR="005E1B40">
        <w:rPr>
          <w:rFonts w:ascii="Times New Roman" w:hAnsi="Times New Roman" w:eastAsia="Calibri" w:cs="Times New Roman"/>
          <w:sz w:val="22"/>
          <w:szCs w:val="22"/>
        </w:rPr>
        <w:t>the analysis.</w:t>
      </w:r>
      <w:r w:rsidRPr="00587204" w:rsidR="005963F6">
        <w:rPr>
          <w:rFonts w:ascii="Times New Roman" w:hAnsi="Times New Roman" w:eastAsia="Calibri" w:cs="Times New Roman"/>
          <w:sz w:val="22"/>
          <w:szCs w:val="22"/>
        </w:rPr>
        <w:t xml:space="preserve"> </w:t>
      </w:r>
      <w:r w:rsidRPr="00587204" w:rsidR="00093C0A">
        <w:rPr>
          <w:rFonts w:ascii="Times New Roman" w:hAnsi="Times New Roman" w:eastAsia="Calibri" w:cs="Times New Roman"/>
          <w:sz w:val="22"/>
          <w:szCs w:val="22"/>
        </w:rPr>
        <w:t>Exhibit 3-5 presents the number of processes and facilities by facility size for the two sectors subject to this provision.</w:t>
      </w:r>
      <w:r w:rsidRPr="00587204" w:rsidR="00F02814">
        <w:rPr>
          <w:rFonts w:ascii="Times New Roman" w:hAnsi="Times New Roman" w:eastAsia="Calibri" w:cs="Times New Roman"/>
          <w:sz w:val="22"/>
          <w:szCs w:val="22"/>
        </w:rPr>
        <w:t xml:space="preserve"> </w:t>
      </w:r>
    </w:p>
    <w:p w:rsidRPr="00587204" w:rsidR="00213259" w:rsidP="00587204" w:rsidRDefault="00213259" w14:paraId="03AF96A1" w14:textId="77777777">
      <w:pPr>
        <w:spacing w:after="0" w:line="240" w:lineRule="auto"/>
        <w:ind w:firstLine="720"/>
        <w:rPr>
          <w:rFonts w:ascii="Times New Roman" w:hAnsi="Times New Roman" w:eastAsia="Calibri" w:cs="Times New Roman"/>
        </w:rPr>
      </w:pPr>
    </w:p>
    <w:p w:rsidR="009F0976" w:rsidP="0060195F" w:rsidRDefault="00093C0A" w14:paraId="11A81DC2" w14:textId="77777777">
      <w:pPr>
        <w:keepNext/>
        <w:keepLines/>
        <w:spacing w:after="0" w:line="240" w:lineRule="auto"/>
        <w:jc w:val="center"/>
        <w:rPr>
          <w:rFonts w:ascii="Times New Roman" w:hAnsi="Times New Roman" w:eastAsia="Calibri" w:cs="Times New Roman"/>
          <w:b/>
        </w:rPr>
      </w:pPr>
      <w:r w:rsidRPr="00305374">
        <w:rPr>
          <w:rFonts w:ascii="Times New Roman" w:hAnsi="Times New Roman" w:cs="Times New Roman"/>
          <w:b/>
        </w:rPr>
        <w:t xml:space="preserve">Exhibit </w:t>
      </w:r>
      <w:r w:rsidRPr="00305374">
        <w:rPr>
          <w:rFonts w:ascii="Times New Roman" w:hAnsi="Times New Roman" w:eastAsia="Calibri" w:cs="Times New Roman"/>
          <w:b/>
        </w:rPr>
        <w:t>3-5: Number of Processes and Facilities Subject to STAA Provision</w:t>
      </w:r>
      <w:r w:rsidRPr="00305374" w:rsidR="00F45D44">
        <w:rPr>
          <w:rFonts w:ascii="Times New Roman" w:hAnsi="Times New Roman" w:eastAsia="Calibri" w:cs="Times New Roman"/>
          <w:b/>
        </w:rPr>
        <w:t xml:space="preserve"> </w:t>
      </w:r>
    </w:p>
    <w:p w:rsidR="009F0976" w:rsidP="0060195F" w:rsidRDefault="00F45D44" w14:paraId="4C0EE0C6" w14:textId="77777777">
      <w:pPr>
        <w:keepNext/>
        <w:keepLines/>
        <w:spacing w:after="0" w:line="240" w:lineRule="auto"/>
        <w:jc w:val="center"/>
        <w:rPr>
          <w:rFonts w:ascii="Times New Roman" w:hAnsi="Times New Roman" w:eastAsia="Calibri" w:cs="Times New Roman"/>
          <w:b/>
        </w:rPr>
      </w:pPr>
      <w:r w:rsidRPr="00305374">
        <w:rPr>
          <w:rFonts w:ascii="Times New Roman" w:hAnsi="Times New Roman" w:eastAsia="Calibri" w:cs="Times New Roman"/>
          <w:b/>
        </w:rPr>
        <w:t xml:space="preserve">(Complex </w:t>
      </w:r>
      <w:r w:rsidRPr="00305374" w:rsidR="002E5377">
        <w:rPr>
          <w:rFonts w:ascii="Times New Roman" w:hAnsi="Times New Roman" w:eastAsia="Calibri" w:cs="Times New Roman"/>
          <w:b/>
        </w:rPr>
        <w:t xml:space="preserve">Program 3 </w:t>
      </w:r>
      <w:r w:rsidRPr="00305374" w:rsidR="007225FA">
        <w:rPr>
          <w:rFonts w:ascii="Times New Roman" w:hAnsi="Times New Roman" w:eastAsia="Calibri" w:cs="Times New Roman"/>
          <w:b/>
        </w:rPr>
        <w:t>f</w:t>
      </w:r>
      <w:r w:rsidRPr="00305374">
        <w:rPr>
          <w:rFonts w:ascii="Times New Roman" w:hAnsi="Times New Roman" w:eastAsia="Calibri" w:cs="Times New Roman"/>
          <w:b/>
        </w:rPr>
        <w:t>acilities</w:t>
      </w:r>
      <w:r w:rsidRPr="00305374" w:rsidR="00592144">
        <w:rPr>
          <w:rFonts w:ascii="Times New Roman" w:hAnsi="Times New Roman" w:eastAsia="Calibri" w:cs="Times New Roman"/>
          <w:b/>
        </w:rPr>
        <w:t xml:space="preserve"> </w:t>
      </w:r>
      <w:r w:rsidRPr="00305374" w:rsidR="00246CBA">
        <w:rPr>
          <w:rFonts w:ascii="Times New Roman" w:hAnsi="Times New Roman" w:eastAsia="Calibri" w:cs="Times New Roman"/>
          <w:b/>
        </w:rPr>
        <w:t>within</w:t>
      </w:r>
      <w:r w:rsidRPr="00305374" w:rsidR="006647B0">
        <w:rPr>
          <w:rFonts w:ascii="Times New Roman" w:hAnsi="Times New Roman" w:eastAsia="Calibri" w:cs="Times New Roman"/>
          <w:b/>
        </w:rPr>
        <w:t xml:space="preserve"> one mile</w:t>
      </w:r>
      <w:r w:rsidRPr="00305374" w:rsidR="00246CBA">
        <w:rPr>
          <w:rFonts w:ascii="Times New Roman" w:hAnsi="Times New Roman" w:eastAsia="Calibri" w:cs="Times New Roman"/>
          <w:b/>
        </w:rPr>
        <w:t xml:space="preserve"> of </w:t>
      </w:r>
      <w:r w:rsidRPr="00305374" w:rsidR="007225FA">
        <w:rPr>
          <w:rFonts w:ascii="Times New Roman" w:hAnsi="Times New Roman" w:eastAsia="Calibri" w:cs="Times New Roman"/>
          <w:b/>
        </w:rPr>
        <w:t>a</w:t>
      </w:r>
      <w:r w:rsidRPr="00305374" w:rsidR="00246CBA">
        <w:rPr>
          <w:rFonts w:ascii="Times New Roman" w:hAnsi="Times New Roman" w:eastAsia="Calibri" w:cs="Times New Roman"/>
          <w:b/>
        </w:rPr>
        <w:t xml:space="preserve">nother </w:t>
      </w:r>
      <w:r w:rsidRPr="00305374" w:rsidR="007225FA">
        <w:rPr>
          <w:rFonts w:ascii="Times New Roman" w:hAnsi="Times New Roman" w:eastAsia="Calibri" w:cs="Times New Roman"/>
          <w:b/>
        </w:rPr>
        <w:t>c</w:t>
      </w:r>
      <w:r w:rsidRPr="00305374" w:rsidR="00246CBA">
        <w:rPr>
          <w:rFonts w:ascii="Times New Roman" w:hAnsi="Times New Roman" w:eastAsia="Calibri" w:cs="Times New Roman"/>
          <w:b/>
        </w:rPr>
        <w:t xml:space="preserve">omplex </w:t>
      </w:r>
      <w:r w:rsidRPr="00305374" w:rsidR="007225FA">
        <w:rPr>
          <w:rFonts w:ascii="Times New Roman" w:hAnsi="Times New Roman" w:eastAsia="Calibri" w:cs="Times New Roman"/>
          <w:b/>
        </w:rPr>
        <w:t>f</w:t>
      </w:r>
      <w:r w:rsidRPr="00305374" w:rsidR="00246CBA">
        <w:rPr>
          <w:rFonts w:ascii="Times New Roman" w:hAnsi="Times New Roman" w:eastAsia="Calibri" w:cs="Times New Roman"/>
          <w:b/>
        </w:rPr>
        <w:t>acility</w:t>
      </w:r>
      <w:r w:rsidRPr="00305374" w:rsidR="00A625E8">
        <w:rPr>
          <w:rFonts w:ascii="Times New Roman" w:hAnsi="Times New Roman" w:eastAsia="Calibri" w:cs="Times New Roman"/>
          <w:b/>
        </w:rPr>
        <w:t xml:space="preserve"> </w:t>
      </w:r>
    </w:p>
    <w:p w:rsidRPr="00305374" w:rsidR="00093C0A" w:rsidP="0060195F" w:rsidRDefault="00A625E8" w14:paraId="2EDDBB9C" w14:textId="6CFB44B5">
      <w:pPr>
        <w:keepNext/>
        <w:keepLines/>
        <w:spacing w:after="0" w:line="240" w:lineRule="auto"/>
        <w:jc w:val="center"/>
        <w:rPr>
          <w:rFonts w:ascii="Times New Roman" w:hAnsi="Times New Roman" w:eastAsia="Calibri" w:cs="Times New Roman"/>
          <w:b/>
        </w:rPr>
      </w:pPr>
      <w:r w:rsidRPr="00305374">
        <w:rPr>
          <w:rFonts w:ascii="Times New Roman" w:hAnsi="Times New Roman" w:eastAsia="Calibri" w:cs="Times New Roman"/>
          <w:b/>
        </w:rPr>
        <w:t>or with an HF unit outside California</w:t>
      </w:r>
      <w:r w:rsidRPr="00305374" w:rsidR="00246CBA">
        <w:rPr>
          <w:rFonts w:ascii="Times New Roman" w:hAnsi="Times New Roman" w:eastAsia="Calibri" w:cs="Times New Roman"/>
          <w:b/>
        </w:rPr>
        <w:t>)</w:t>
      </w:r>
      <w:r w:rsidRPr="00305374" w:rsidR="00093C0A">
        <w:rPr>
          <w:rFonts w:ascii="Times New Roman" w:hAnsi="Times New Roman" w:eastAsia="Calibri" w:cs="Times New Roman"/>
          <w:b/>
        </w:rPr>
        <w:t xml:space="preserve"> by Facility Size and Sector (2020</w:t>
      </w:r>
      <w:r w:rsidRPr="00305374" w:rsidR="00305374">
        <w:rPr>
          <w:rFonts w:ascii="Times New Roman" w:hAnsi="Times New Roman" w:eastAsia="Calibri" w:cs="Times New Roman"/>
          <w:b/>
          <w:bCs/>
        </w:rPr>
        <w:t>).</w:t>
      </w:r>
    </w:p>
    <w:p w:rsidRPr="00587204" w:rsidR="00305374" w:rsidP="00305374" w:rsidRDefault="00305374" w14:paraId="03A0C33C" w14:textId="77777777">
      <w:pPr>
        <w:keepNext/>
        <w:keepLines/>
        <w:spacing w:after="0" w:line="240" w:lineRule="auto"/>
        <w:rPr>
          <w:rFonts w:ascii="Times New Roman" w:hAnsi="Times New Roman" w:eastAsia="Calibri" w:cs="Times New Roman"/>
          <w:b/>
        </w:rPr>
      </w:pPr>
    </w:p>
    <w:tbl>
      <w:tblPr>
        <w:tblW w:w="4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1"/>
        <w:gridCol w:w="895"/>
        <w:gridCol w:w="666"/>
        <w:gridCol w:w="1184"/>
        <w:gridCol w:w="983"/>
        <w:gridCol w:w="2241"/>
      </w:tblGrid>
      <w:tr w:rsidRPr="00587204" w:rsidR="00167F64" w:rsidTr="00305374" w14:paraId="6D14D4EB" w14:textId="77777777">
        <w:trPr>
          <w:trHeight w:val="290"/>
          <w:jc w:val="center"/>
        </w:trPr>
        <w:tc>
          <w:tcPr>
            <w:tcW w:w="1748" w:type="pct"/>
            <w:shd w:val="clear" w:color="auto" w:fill="D9D9D9" w:themeFill="background1" w:themeFillShade="D9"/>
            <w:noWrap/>
            <w:vAlign w:val="bottom"/>
            <w:hideMark/>
          </w:tcPr>
          <w:p w:rsidRPr="00D7128A" w:rsidR="00093C0A" w:rsidP="0060195F" w:rsidRDefault="00093C0A" w14:paraId="0B7311B0" w14:textId="77777777">
            <w:pPr>
              <w:keepNext/>
              <w:keepLines/>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Sector</w:t>
            </w:r>
          </w:p>
        </w:tc>
        <w:tc>
          <w:tcPr>
            <w:tcW w:w="491" w:type="pct"/>
            <w:shd w:val="clear" w:color="auto" w:fill="D9D9D9" w:themeFill="background1" w:themeFillShade="D9"/>
            <w:noWrap/>
            <w:vAlign w:val="center"/>
            <w:hideMark/>
          </w:tcPr>
          <w:p w:rsidRPr="00D7128A" w:rsidR="00093C0A" w:rsidP="0060195F" w:rsidRDefault="00093C0A" w14:paraId="587A4163"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NAICS</w:t>
            </w:r>
          </w:p>
        </w:tc>
        <w:tc>
          <w:tcPr>
            <w:tcW w:w="366" w:type="pct"/>
            <w:shd w:val="clear" w:color="auto" w:fill="D9D9D9" w:themeFill="background1" w:themeFillShade="D9"/>
            <w:noWrap/>
            <w:vAlign w:val="center"/>
            <w:hideMark/>
          </w:tcPr>
          <w:p w:rsidRPr="00D7128A" w:rsidR="00093C0A" w:rsidP="0060195F" w:rsidRDefault="00093C0A" w14:paraId="652B527F"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FTE</w:t>
            </w:r>
          </w:p>
        </w:tc>
        <w:tc>
          <w:tcPr>
            <w:tcW w:w="648" w:type="pct"/>
            <w:shd w:val="clear" w:color="auto" w:fill="D9D9D9" w:themeFill="background1" w:themeFillShade="D9"/>
            <w:noWrap/>
            <w:vAlign w:val="center"/>
            <w:hideMark/>
          </w:tcPr>
          <w:p w:rsidRPr="00D7128A" w:rsidR="00093C0A" w:rsidP="0060195F" w:rsidRDefault="00093C0A" w14:paraId="4A08C2AE"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Processes</w:t>
            </w:r>
          </w:p>
        </w:tc>
        <w:tc>
          <w:tcPr>
            <w:tcW w:w="523" w:type="pct"/>
            <w:shd w:val="clear" w:color="auto" w:fill="D9D9D9" w:themeFill="background1" w:themeFillShade="D9"/>
            <w:noWrap/>
            <w:vAlign w:val="center"/>
            <w:hideMark/>
          </w:tcPr>
          <w:p w:rsidRPr="00D7128A" w:rsidR="00093C0A" w:rsidP="0060195F" w:rsidRDefault="00093C0A" w14:paraId="4D21604E"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Facilities</w:t>
            </w:r>
          </w:p>
        </w:tc>
        <w:tc>
          <w:tcPr>
            <w:tcW w:w="1224" w:type="pct"/>
            <w:shd w:val="clear" w:color="auto" w:fill="D9D9D9" w:themeFill="background1" w:themeFillShade="D9"/>
            <w:noWrap/>
            <w:vAlign w:val="center"/>
            <w:hideMark/>
          </w:tcPr>
          <w:p w:rsidRPr="00D7128A" w:rsidR="00093C0A" w:rsidP="0060195F" w:rsidRDefault="00093C0A" w14:paraId="14787B09"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Processes per Facility</w:t>
            </w:r>
          </w:p>
        </w:tc>
      </w:tr>
      <w:tr w:rsidRPr="00587204" w:rsidR="00093C0A" w:rsidTr="00305374" w14:paraId="3E73010D" w14:textId="77777777">
        <w:trPr>
          <w:trHeight w:val="290"/>
          <w:jc w:val="center"/>
        </w:trPr>
        <w:tc>
          <w:tcPr>
            <w:tcW w:w="1748" w:type="pct"/>
            <w:shd w:val="clear" w:color="auto" w:fill="auto"/>
            <w:vAlign w:val="bottom"/>
            <w:hideMark/>
          </w:tcPr>
          <w:p w:rsidRPr="00D7128A" w:rsidR="00093C0A" w:rsidP="0060195F" w:rsidRDefault="00093C0A" w14:paraId="5339349B" w14:textId="77777777">
            <w:pPr>
              <w:keepNext/>
              <w:keepLines/>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and Coal Products Manufacturing</w:t>
            </w:r>
          </w:p>
        </w:tc>
        <w:tc>
          <w:tcPr>
            <w:tcW w:w="491" w:type="pct"/>
            <w:shd w:val="clear" w:color="auto" w:fill="auto"/>
            <w:noWrap/>
            <w:vAlign w:val="center"/>
            <w:hideMark/>
          </w:tcPr>
          <w:p w:rsidRPr="00D7128A" w:rsidR="00093C0A" w:rsidP="0060195F" w:rsidRDefault="00093C0A" w14:paraId="54A3F440"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324</w:t>
            </w:r>
          </w:p>
        </w:tc>
        <w:tc>
          <w:tcPr>
            <w:tcW w:w="366" w:type="pct"/>
            <w:shd w:val="clear" w:color="auto" w:fill="auto"/>
            <w:noWrap/>
            <w:vAlign w:val="center"/>
            <w:hideMark/>
          </w:tcPr>
          <w:p w:rsidRPr="00D7128A" w:rsidR="00093C0A" w:rsidP="0060195F" w:rsidRDefault="00093C0A" w14:paraId="30DE2234"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0-99</w:t>
            </w:r>
          </w:p>
        </w:tc>
        <w:tc>
          <w:tcPr>
            <w:tcW w:w="648" w:type="pct"/>
            <w:shd w:val="clear" w:color="auto" w:fill="auto"/>
            <w:noWrap/>
            <w:vAlign w:val="center"/>
            <w:hideMark/>
          </w:tcPr>
          <w:p w:rsidRPr="00D7128A" w:rsidR="00093C0A" w:rsidP="0060195F" w:rsidRDefault="00C202C2" w14:paraId="54D2EE65" w14:textId="6515CFB5">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19</w:t>
            </w:r>
          </w:p>
        </w:tc>
        <w:tc>
          <w:tcPr>
            <w:tcW w:w="523" w:type="pct"/>
            <w:shd w:val="clear" w:color="auto" w:fill="auto"/>
            <w:noWrap/>
            <w:vAlign w:val="center"/>
            <w:hideMark/>
          </w:tcPr>
          <w:p w:rsidRPr="00D7128A" w:rsidR="00093C0A" w:rsidP="0060195F" w:rsidRDefault="00C202C2" w14:paraId="3B1079CD" w14:textId="10CE4DA4">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15</w:t>
            </w:r>
          </w:p>
        </w:tc>
        <w:tc>
          <w:tcPr>
            <w:tcW w:w="1224" w:type="pct"/>
            <w:shd w:val="clear" w:color="auto" w:fill="auto"/>
            <w:noWrap/>
            <w:vAlign w:val="center"/>
            <w:hideMark/>
          </w:tcPr>
          <w:p w:rsidRPr="00D7128A" w:rsidR="00093C0A" w:rsidP="0060195F" w:rsidRDefault="00093C0A" w14:paraId="021D708A"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1.3</w:t>
            </w:r>
          </w:p>
        </w:tc>
      </w:tr>
      <w:tr w:rsidRPr="00587204" w:rsidR="00093C0A" w:rsidTr="00305374" w14:paraId="3A30215E" w14:textId="77777777">
        <w:trPr>
          <w:trHeight w:val="290"/>
          <w:jc w:val="center"/>
        </w:trPr>
        <w:tc>
          <w:tcPr>
            <w:tcW w:w="1748" w:type="pct"/>
            <w:shd w:val="clear" w:color="auto" w:fill="auto"/>
            <w:vAlign w:val="bottom"/>
            <w:hideMark/>
          </w:tcPr>
          <w:p w:rsidRPr="00D7128A" w:rsidR="00093C0A" w:rsidP="0060195F" w:rsidRDefault="00093C0A" w14:paraId="5CFC1BED" w14:textId="77777777">
            <w:pPr>
              <w:keepNext/>
              <w:keepLines/>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and Coal Products Manufacturing</w:t>
            </w:r>
          </w:p>
        </w:tc>
        <w:tc>
          <w:tcPr>
            <w:tcW w:w="491" w:type="pct"/>
            <w:shd w:val="clear" w:color="auto" w:fill="auto"/>
            <w:noWrap/>
            <w:vAlign w:val="center"/>
            <w:hideMark/>
          </w:tcPr>
          <w:p w:rsidRPr="00D7128A" w:rsidR="00093C0A" w:rsidP="0060195F" w:rsidRDefault="00093C0A" w14:paraId="4EC83986"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324</w:t>
            </w:r>
          </w:p>
        </w:tc>
        <w:tc>
          <w:tcPr>
            <w:tcW w:w="366" w:type="pct"/>
            <w:shd w:val="clear" w:color="auto" w:fill="auto"/>
            <w:noWrap/>
            <w:vAlign w:val="center"/>
            <w:hideMark/>
          </w:tcPr>
          <w:p w:rsidRPr="00D7128A" w:rsidR="00093C0A" w:rsidP="0060195F" w:rsidRDefault="00093C0A" w14:paraId="7253AF21"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100+</w:t>
            </w:r>
          </w:p>
        </w:tc>
        <w:tc>
          <w:tcPr>
            <w:tcW w:w="648" w:type="pct"/>
            <w:shd w:val="clear" w:color="auto" w:fill="auto"/>
            <w:noWrap/>
            <w:vAlign w:val="center"/>
            <w:hideMark/>
          </w:tcPr>
          <w:p w:rsidRPr="00D7128A" w:rsidR="00093C0A" w:rsidP="0060195F" w:rsidRDefault="002F41A2" w14:paraId="0F7282F2" w14:textId="55853BDB">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777</w:t>
            </w:r>
          </w:p>
        </w:tc>
        <w:tc>
          <w:tcPr>
            <w:tcW w:w="523" w:type="pct"/>
            <w:shd w:val="clear" w:color="auto" w:fill="auto"/>
            <w:noWrap/>
            <w:vAlign w:val="center"/>
            <w:hideMark/>
          </w:tcPr>
          <w:p w:rsidRPr="00D7128A" w:rsidR="00093C0A" w:rsidP="0060195F" w:rsidRDefault="002F41A2" w14:paraId="37163E6E" w14:textId="7476FF55">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52</w:t>
            </w:r>
          </w:p>
        </w:tc>
        <w:tc>
          <w:tcPr>
            <w:tcW w:w="1224" w:type="pct"/>
            <w:shd w:val="clear" w:color="auto" w:fill="auto"/>
            <w:noWrap/>
            <w:vAlign w:val="center"/>
            <w:hideMark/>
          </w:tcPr>
          <w:p w:rsidRPr="00D7128A" w:rsidR="00093C0A" w:rsidP="0060195F" w:rsidRDefault="00093C0A" w14:paraId="6B65C47F"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14.7</w:t>
            </w:r>
          </w:p>
        </w:tc>
      </w:tr>
      <w:tr w:rsidRPr="00587204" w:rsidR="00093C0A" w:rsidTr="00305374" w14:paraId="0A0D8D89" w14:textId="77777777">
        <w:trPr>
          <w:trHeight w:val="290"/>
          <w:jc w:val="center"/>
        </w:trPr>
        <w:tc>
          <w:tcPr>
            <w:tcW w:w="1748" w:type="pct"/>
            <w:shd w:val="clear" w:color="auto" w:fill="auto"/>
            <w:vAlign w:val="bottom"/>
            <w:hideMark/>
          </w:tcPr>
          <w:p w:rsidRPr="00D7128A" w:rsidR="00093C0A" w:rsidP="0060195F" w:rsidRDefault="00093C0A" w14:paraId="637CD5E8" w14:textId="77777777">
            <w:pPr>
              <w:keepNext/>
              <w:keepLines/>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491" w:type="pct"/>
            <w:shd w:val="clear" w:color="auto" w:fill="auto"/>
            <w:noWrap/>
            <w:vAlign w:val="center"/>
            <w:hideMark/>
          </w:tcPr>
          <w:p w:rsidRPr="00D7128A" w:rsidR="00093C0A" w:rsidP="0060195F" w:rsidRDefault="00093C0A" w14:paraId="47271F6A"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325</w:t>
            </w:r>
          </w:p>
        </w:tc>
        <w:tc>
          <w:tcPr>
            <w:tcW w:w="366" w:type="pct"/>
            <w:shd w:val="clear" w:color="auto" w:fill="auto"/>
            <w:noWrap/>
            <w:vAlign w:val="center"/>
            <w:hideMark/>
          </w:tcPr>
          <w:p w:rsidRPr="00D7128A" w:rsidR="00093C0A" w:rsidP="0060195F" w:rsidRDefault="00093C0A" w14:paraId="42ED0232"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0-99</w:t>
            </w:r>
          </w:p>
        </w:tc>
        <w:tc>
          <w:tcPr>
            <w:tcW w:w="648" w:type="pct"/>
            <w:shd w:val="clear" w:color="auto" w:fill="auto"/>
            <w:noWrap/>
            <w:vAlign w:val="center"/>
            <w:hideMark/>
          </w:tcPr>
          <w:p w:rsidRPr="00D7128A" w:rsidR="00093C0A" w:rsidP="0060195F" w:rsidRDefault="001F6CD2" w14:paraId="197A0618" w14:textId="142E5119">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448</w:t>
            </w:r>
          </w:p>
        </w:tc>
        <w:tc>
          <w:tcPr>
            <w:tcW w:w="523" w:type="pct"/>
            <w:shd w:val="clear" w:color="auto" w:fill="auto"/>
            <w:noWrap/>
            <w:vAlign w:val="center"/>
            <w:hideMark/>
          </w:tcPr>
          <w:p w:rsidRPr="00D7128A" w:rsidR="00093C0A" w:rsidP="0060195F" w:rsidRDefault="001F6CD2" w14:paraId="79487698" w14:textId="4FE9F13D">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322</w:t>
            </w:r>
          </w:p>
        </w:tc>
        <w:tc>
          <w:tcPr>
            <w:tcW w:w="1224" w:type="pct"/>
            <w:shd w:val="clear" w:color="auto" w:fill="auto"/>
            <w:noWrap/>
            <w:vAlign w:val="center"/>
            <w:hideMark/>
          </w:tcPr>
          <w:p w:rsidRPr="00D7128A" w:rsidR="00093C0A" w:rsidP="0060195F" w:rsidRDefault="00093C0A" w14:paraId="6BFAA80B"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w:t>
            </w:r>
          </w:p>
        </w:tc>
      </w:tr>
      <w:tr w:rsidRPr="00587204" w:rsidR="00093C0A" w:rsidTr="00305374" w14:paraId="53B78EB0" w14:textId="77777777">
        <w:trPr>
          <w:trHeight w:val="290"/>
          <w:jc w:val="center"/>
        </w:trPr>
        <w:tc>
          <w:tcPr>
            <w:tcW w:w="1748" w:type="pct"/>
            <w:shd w:val="clear" w:color="auto" w:fill="auto"/>
            <w:vAlign w:val="bottom"/>
            <w:hideMark/>
          </w:tcPr>
          <w:p w:rsidRPr="00D7128A" w:rsidR="00093C0A" w:rsidP="0060195F" w:rsidRDefault="00093C0A" w14:paraId="44FB64A9" w14:textId="77777777">
            <w:pPr>
              <w:keepNext/>
              <w:keepLines/>
              <w:spacing w:after="0" w:line="240" w:lineRule="auto"/>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491" w:type="pct"/>
            <w:shd w:val="clear" w:color="auto" w:fill="auto"/>
            <w:noWrap/>
            <w:vAlign w:val="center"/>
            <w:hideMark/>
          </w:tcPr>
          <w:p w:rsidRPr="00D7128A" w:rsidR="00093C0A" w:rsidP="0060195F" w:rsidRDefault="00093C0A" w14:paraId="7B518174"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325</w:t>
            </w:r>
          </w:p>
        </w:tc>
        <w:tc>
          <w:tcPr>
            <w:tcW w:w="366" w:type="pct"/>
            <w:shd w:val="clear" w:color="auto" w:fill="auto"/>
            <w:noWrap/>
            <w:vAlign w:val="center"/>
            <w:hideMark/>
          </w:tcPr>
          <w:p w:rsidRPr="00D7128A" w:rsidR="00093C0A" w:rsidP="0060195F" w:rsidRDefault="00093C0A" w14:paraId="00E04C16"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100+</w:t>
            </w:r>
          </w:p>
        </w:tc>
        <w:tc>
          <w:tcPr>
            <w:tcW w:w="648" w:type="pct"/>
            <w:shd w:val="clear" w:color="auto" w:fill="auto"/>
            <w:noWrap/>
            <w:vAlign w:val="center"/>
            <w:hideMark/>
          </w:tcPr>
          <w:p w:rsidRPr="00D7128A" w:rsidR="00093C0A" w:rsidP="0060195F" w:rsidRDefault="00921408" w14:paraId="37D38EBB" w14:textId="5CD8A419">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378</w:t>
            </w:r>
          </w:p>
        </w:tc>
        <w:tc>
          <w:tcPr>
            <w:tcW w:w="523" w:type="pct"/>
            <w:shd w:val="clear" w:color="auto" w:fill="auto"/>
            <w:noWrap/>
            <w:vAlign w:val="center"/>
            <w:hideMark/>
          </w:tcPr>
          <w:p w:rsidRPr="00D7128A" w:rsidR="00093C0A" w:rsidP="0060195F" w:rsidRDefault="00921408" w14:paraId="4A177240" w14:textId="7E1C4558">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eastAsia="Times New Roman" w:cs="Times New Roman"/>
                <w:color w:val="000000"/>
                <w:sz w:val="20"/>
                <w:szCs w:val="20"/>
              </w:rPr>
              <w:t>148</w:t>
            </w:r>
          </w:p>
        </w:tc>
        <w:tc>
          <w:tcPr>
            <w:tcW w:w="1224" w:type="pct"/>
            <w:shd w:val="clear" w:color="auto" w:fill="auto"/>
            <w:noWrap/>
            <w:vAlign w:val="center"/>
            <w:hideMark/>
          </w:tcPr>
          <w:p w:rsidRPr="00D7128A" w:rsidR="00093C0A" w:rsidP="0060195F" w:rsidRDefault="00093C0A" w14:paraId="0086F026"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2.5</w:t>
            </w:r>
          </w:p>
        </w:tc>
      </w:tr>
      <w:tr w:rsidRPr="00587204" w:rsidR="00093C0A" w:rsidTr="00305374" w14:paraId="06177FF9" w14:textId="77777777">
        <w:trPr>
          <w:trHeight w:val="290"/>
          <w:jc w:val="center"/>
        </w:trPr>
        <w:tc>
          <w:tcPr>
            <w:tcW w:w="1748" w:type="pct"/>
            <w:shd w:val="clear" w:color="auto" w:fill="auto"/>
            <w:noWrap/>
            <w:vAlign w:val="bottom"/>
            <w:hideMark/>
          </w:tcPr>
          <w:p w:rsidRPr="00D7128A" w:rsidR="00093C0A" w:rsidP="0060195F" w:rsidRDefault="00093C0A" w14:paraId="43E9C836" w14:textId="77777777">
            <w:pPr>
              <w:keepNext/>
              <w:keepLines/>
              <w:spacing w:after="0" w:line="240" w:lineRule="auto"/>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Total</w:t>
            </w:r>
          </w:p>
        </w:tc>
        <w:tc>
          <w:tcPr>
            <w:tcW w:w="491" w:type="pct"/>
            <w:shd w:val="clear" w:color="auto" w:fill="auto"/>
            <w:noWrap/>
            <w:vAlign w:val="center"/>
            <w:hideMark/>
          </w:tcPr>
          <w:p w:rsidRPr="00D7128A" w:rsidR="00093C0A" w:rsidP="00305374" w:rsidRDefault="00093C0A" w14:paraId="7AB28F7D" w14:textId="0F130A81">
            <w:pPr>
              <w:keepNext/>
              <w:keepLines/>
              <w:spacing w:after="0" w:line="240" w:lineRule="auto"/>
              <w:jc w:val="center"/>
              <w:rPr>
                <w:rFonts w:ascii="Times New Roman" w:hAnsi="Times New Roman" w:cs="Times New Roman"/>
                <w:b/>
                <w:color w:val="000000"/>
                <w:sz w:val="20"/>
                <w:szCs w:val="20"/>
              </w:rPr>
            </w:pPr>
          </w:p>
        </w:tc>
        <w:tc>
          <w:tcPr>
            <w:tcW w:w="366" w:type="pct"/>
            <w:shd w:val="clear" w:color="auto" w:fill="auto"/>
            <w:noWrap/>
            <w:vAlign w:val="center"/>
            <w:hideMark/>
          </w:tcPr>
          <w:p w:rsidRPr="00D7128A" w:rsidR="00093C0A" w:rsidP="00305374" w:rsidRDefault="00093C0A" w14:paraId="2F37A061" w14:textId="6886A445">
            <w:pPr>
              <w:keepNext/>
              <w:keepLines/>
              <w:spacing w:after="0" w:line="240" w:lineRule="auto"/>
              <w:jc w:val="center"/>
              <w:rPr>
                <w:rFonts w:ascii="Times New Roman" w:hAnsi="Times New Roman" w:cs="Times New Roman"/>
                <w:b/>
                <w:color w:val="000000"/>
                <w:sz w:val="20"/>
                <w:szCs w:val="20"/>
              </w:rPr>
            </w:pPr>
          </w:p>
        </w:tc>
        <w:tc>
          <w:tcPr>
            <w:tcW w:w="648" w:type="pct"/>
            <w:shd w:val="clear" w:color="auto" w:fill="auto"/>
            <w:noWrap/>
            <w:vAlign w:val="center"/>
            <w:hideMark/>
          </w:tcPr>
          <w:p w:rsidRPr="00D7128A" w:rsidR="00093C0A" w:rsidP="0060195F" w:rsidRDefault="00093C0A" w14:paraId="0410675C" w14:textId="1D9D4140">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1,</w:t>
            </w:r>
            <w:r w:rsidRPr="00D7128A" w:rsidR="00415A8D">
              <w:rPr>
                <w:rFonts w:ascii="Times New Roman" w:hAnsi="Times New Roman" w:eastAsia="Times New Roman" w:cs="Times New Roman"/>
                <w:b/>
                <w:color w:val="000000"/>
                <w:sz w:val="20"/>
                <w:szCs w:val="20"/>
              </w:rPr>
              <w:t>622</w:t>
            </w:r>
          </w:p>
        </w:tc>
        <w:tc>
          <w:tcPr>
            <w:tcW w:w="523" w:type="pct"/>
            <w:shd w:val="clear" w:color="auto" w:fill="auto"/>
            <w:noWrap/>
            <w:vAlign w:val="center"/>
            <w:hideMark/>
          </w:tcPr>
          <w:p w:rsidRPr="00D7128A" w:rsidR="00093C0A" w:rsidP="0060195F" w:rsidRDefault="004743E3" w14:paraId="0459D7CB" w14:textId="0FBA31AA">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eastAsia="Times New Roman" w:cs="Times New Roman"/>
                <w:b/>
                <w:color w:val="000000"/>
                <w:sz w:val="20"/>
                <w:szCs w:val="20"/>
              </w:rPr>
              <w:t>537</w:t>
            </w:r>
          </w:p>
        </w:tc>
        <w:tc>
          <w:tcPr>
            <w:tcW w:w="1224" w:type="pct"/>
            <w:shd w:val="clear" w:color="auto" w:fill="auto"/>
            <w:noWrap/>
            <w:vAlign w:val="center"/>
            <w:hideMark/>
          </w:tcPr>
          <w:p w:rsidRPr="00D7128A" w:rsidR="00093C0A" w:rsidP="0060195F" w:rsidRDefault="00093C0A" w14:paraId="05B83009" w14:textId="77777777">
            <w:pPr>
              <w:keepNext/>
              <w:keepLines/>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2.9</w:t>
            </w:r>
          </w:p>
        </w:tc>
      </w:tr>
    </w:tbl>
    <w:p w:rsidRPr="009F0976" w:rsidR="000B28A6" w:rsidP="00E15F56" w:rsidRDefault="000B28A6" w14:paraId="79D3F562" w14:textId="5F291E3D">
      <w:pPr>
        <w:spacing w:after="0" w:line="240" w:lineRule="auto"/>
        <w:ind w:left="360"/>
        <w:rPr>
          <w:rFonts w:ascii="Times New Roman" w:hAnsi="Times New Roman" w:cs="Times New Roman"/>
          <w:sz w:val="20"/>
          <w:szCs w:val="20"/>
        </w:rPr>
      </w:pPr>
      <w:r w:rsidRPr="00587204">
        <w:rPr>
          <w:rFonts w:ascii="Times New Roman" w:hAnsi="Times New Roman" w:cs="Times New Roman"/>
        </w:rPr>
        <w:t>*</w:t>
      </w:r>
      <w:r w:rsidRPr="009F0976">
        <w:rPr>
          <w:rFonts w:ascii="Times New Roman" w:hAnsi="Times New Roman" w:cs="Times New Roman"/>
          <w:sz w:val="20"/>
          <w:szCs w:val="20"/>
        </w:rPr>
        <w:t xml:space="preserve">Note: The 673 processes at the 43 facilities with HF units (excluding processes at the </w:t>
      </w:r>
      <w:r w:rsidRPr="009F0976" w:rsidR="00044048">
        <w:rPr>
          <w:rFonts w:ascii="Times New Roman" w:hAnsi="Times New Roman" w:cs="Times New Roman"/>
          <w:sz w:val="20"/>
          <w:szCs w:val="20"/>
        </w:rPr>
        <w:t>two</w:t>
      </w:r>
      <w:r w:rsidRPr="009F0976">
        <w:rPr>
          <w:rFonts w:ascii="Times New Roman" w:hAnsi="Times New Roman" w:cs="Times New Roman"/>
          <w:sz w:val="20"/>
          <w:szCs w:val="20"/>
        </w:rPr>
        <w:t xml:space="preserve"> California facilities with HF units) are among the 777 processes at the 52 NAICS 324 facilities with 100+ FTEs.</w:t>
      </w:r>
    </w:p>
    <w:p w:rsidRPr="00587204" w:rsidR="00305374" w:rsidP="00587204" w:rsidRDefault="00305374" w14:paraId="4779FB87" w14:textId="77777777">
      <w:pPr>
        <w:spacing w:after="0" w:line="240" w:lineRule="auto"/>
        <w:ind w:left="360"/>
        <w:rPr>
          <w:rFonts w:ascii="Times New Roman" w:hAnsi="Times New Roman" w:cs="Times New Roman"/>
        </w:rPr>
      </w:pPr>
    </w:p>
    <w:p w:rsidR="00093C0A" w:rsidP="00305374" w:rsidRDefault="006626C9" w14:paraId="48B34B23" w14:textId="508C6942">
      <w:pPr>
        <w:spacing w:after="0" w:line="240" w:lineRule="auto"/>
        <w:ind w:firstLine="360"/>
        <w:rPr>
          <w:rFonts w:ascii="Times New Roman" w:hAnsi="Times New Roman" w:cs="Times New Roman"/>
        </w:rPr>
      </w:pPr>
      <w:r>
        <w:rPr>
          <w:rFonts w:ascii="Times New Roman" w:hAnsi="Times New Roman" w:cs="Times New Roman"/>
        </w:rPr>
        <w:tab/>
      </w:r>
      <w:r w:rsidRPr="00587204" w:rsidR="00093C0A">
        <w:rPr>
          <w:rFonts w:ascii="Times New Roman" w:hAnsi="Times New Roman" w:cs="Times New Roman"/>
        </w:rPr>
        <w:t xml:space="preserve">STAA is generally a process in which facility staff analyze their current processes and practices to </w:t>
      </w:r>
      <w:r w:rsidRPr="00587204" w:rsidR="0049215F">
        <w:rPr>
          <w:rFonts w:ascii="Times New Roman" w:hAnsi="Times New Roman" w:cs="Times New Roman"/>
        </w:rPr>
        <w:t>identify</w:t>
      </w:r>
      <w:r w:rsidRPr="00587204" w:rsidR="00093C0A">
        <w:rPr>
          <w:rFonts w:ascii="Times New Roman" w:hAnsi="Times New Roman" w:cs="Times New Roman"/>
        </w:rPr>
        <w:t xml:space="preserve"> safer alternatives to their current process operations. This can range from small changes – such as upgrading valves – to large shifts </w:t>
      </w:r>
      <w:r w:rsidRPr="00587204" w:rsidR="000D1B9B">
        <w:rPr>
          <w:rFonts w:ascii="Times New Roman" w:hAnsi="Times New Roman" w:cs="Times New Roman"/>
        </w:rPr>
        <w:t>such as</w:t>
      </w:r>
      <w:r w:rsidRPr="00587204" w:rsidR="00093C0A">
        <w:rPr>
          <w:rFonts w:ascii="Times New Roman" w:hAnsi="Times New Roman" w:cs="Times New Roman"/>
        </w:rPr>
        <w:t xml:space="preserve"> substituting less toxic or volatile chemicals. Application of STAA for the proposed rule is divided into three activities, consistent with prior </w:t>
      </w:r>
      <w:r w:rsidRPr="00587204" w:rsidR="00413C7C">
        <w:rPr>
          <w:rFonts w:ascii="Times New Roman" w:hAnsi="Times New Roman" w:cs="Times New Roman"/>
        </w:rPr>
        <w:t xml:space="preserve">EPA </w:t>
      </w:r>
      <w:r w:rsidRPr="00587204" w:rsidR="00093C0A">
        <w:rPr>
          <w:rFonts w:ascii="Times New Roman" w:hAnsi="Times New Roman" w:cs="Times New Roman"/>
        </w:rPr>
        <w:t>rulemakings involving STAA (</w:t>
      </w:r>
      <w:r w:rsidR="00FE4910">
        <w:rPr>
          <w:rFonts w:ascii="Times New Roman" w:hAnsi="Times New Roman" w:cs="Times New Roman"/>
        </w:rPr>
        <w:t>2017 a</w:t>
      </w:r>
      <w:r w:rsidRPr="00587204" w:rsidR="00093C0A">
        <w:rPr>
          <w:rFonts w:ascii="Times New Roman" w:hAnsi="Times New Roman" w:cs="Times New Roman"/>
        </w:rPr>
        <w:t xml:space="preserve">mendments </w:t>
      </w:r>
      <w:r w:rsidRPr="00587204" w:rsidR="007776AD">
        <w:rPr>
          <w:rFonts w:ascii="Times New Roman" w:hAnsi="Times New Roman" w:cs="Times New Roman"/>
        </w:rPr>
        <w:t>r</w:t>
      </w:r>
      <w:r w:rsidRPr="00587204" w:rsidR="00093C0A">
        <w:rPr>
          <w:rFonts w:ascii="Times New Roman" w:hAnsi="Times New Roman" w:cs="Times New Roman"/>
        </w:rPr>
        <w:t>ule</w:t>
      </w:r>
      <w:r w:rsidRPr="00587204" w:rsidR="000D1B9B">
        <w:rPr>
          <w:rFonts w:ascii="Times New Roman" w:hAnsi="Times New Roman" w:cs="Times New Roman"/>
        </w:rPr>
        <w:t xml:space="preserve"> and</w:t>
      </w:r>
      <w:r w:rsidRPr="00587204" w:rsidR="00093C0A">
        <w:rPr>
          <w:rFonts w:ascii="Times New Roman" w:hAnsi="Times New Roman" w:cs="Times New Roman"/>
        </w:rPr>
        <w:t xml:space="preserve"> </w:t>
      </w:r>
      <w:r w:rsidR="003E44E0">
        <w:rPr>
          <w:rFonts w:ascii="Times New Roman" w:hAnsi="Times New Roman" w:cs="Times New Roman"/>
        </w:rPr>
        <w:t>2019 r</w:t>
      </w:r>
      <w:r w:rsidRPr="00587204" w:rsidR="00093C0A">
        <w:rPr>
          <w:rFonts w:ascii="Times New Roman" w:hAnsi="Times New Roman" w:cs="Times New Roman"/>
        </w:rPr>
        <w:t xml:space="preserve">econsideration </w:t>
      </w:r>
      <w:r w:rsidRPr="00587204" w:rsidR="007776AD">
        <w:rPr>
          <w:rFonts w:ascii="Times New Roman" w:hAnsi="Times New Roman" w:cs="Times New Roman"/>
        </w:rPr>
        <w:t>r</w:t>
      </w:r>
      <w:r w:rsidRPr="00587204" w:rsidR="00093C0A">
        <w:rPr>
          <w:rFonts w:ascii="Times New Roman" w:hAnsi="Times New Roman" w:cs="Times New Roman"/>
        </w:rPr>
        <w:t>ule)</w:t>
      </w:r>
      <w:r w:rsidRPr="00587204" w:rsidR="00872DE5">
        <w:rPr>
          <w:rFonts w:ascii="Times New Roman" w:hAnsi="Times New Roman" w:cs="Times New Roman"/>
        </w:rPr>
        <w:t>:</w:t>
      </w:r>
      <w:r w:rsidR="009E2EE1">
        <w:rPr>
          <w:rFonts w:ascii="Times New Roman" w:hAnsi="Times New Roman" w:cs="Times New Roman"/>
        </w:rPr>
        <w:t xml:space="preserve"> the initial analysis to identify alternatives, a </w:t>
      </w:r>
      <w:proofErr w:type="spellStart"/>
      <w:r w:rsidR="009E2EE1">
        <w:rPr>
          <w:rFonts w:ascii="Times New Roman" w:hAnsi="Times New Roman" w:cs="Times New Roman"/>
        </w:rPr>
        <w:t>practibilty</w:t>
      </w:r>
      <w:proofErr w:type="spellEnd"/>
      <w:r w:rsidR="009E2EE1">
        <w:rPr>
          <w:rFonts w:ascii="Times New Roman" w:hAnsi="Times New Roman" w:cs="Times New Roman"/>
        </w:rPr>
        <w:t xml:space="preserve"> study to determine the costs and assess the </w:t>
      </w:r>
      <w:proofErr w:type="spellStart"/>
      <w:r w:rsidR="009E2EE1">
        <w:rPr>
          <w:rFonts w:ascii="Times New Roman" w:hAnsi="Times New Roman" w:cs="Times New Roman"/>
        </w:rPr>
        <w:t>reasonbableness</w:t>
      </w:r>
      <w:proofErr w:type="spellEnd"/>
      <w:r w:rsidR="009E2EE1">
        <w:rPr>
          <w:rFonts w:ascii="Times New Roman" w:hAnsi="Times New Roman" w:cs="Times New Roman"/>
        </w:rPr>
        <w:t xml:space="preserve"> of implementing the change </w:t>
      </w:r>
      <w:proofErr w:type="gramStart"/>
      <w:r w:rsidR="009E2EE1">
        <w:rPr>
          <w:rFonts w:ascii="Times New Roman" w:hAnsi="Times New Roman" w:cs="Times New Roman"/>
        </w:rPr>
        <w:t xml:space="preserve">in </w:t>
      </w:r>
      <w:r w:rsidR="000E012C">
        <w:rPr>
          <w:rFonts w:ascii="Times New Roman" w:hAnsi="Times New Roman" w:cs="Times New Roman"/>
        </w:rPr>
        <w:t>light of</w:t>
      </w:r>
      <w:proofErr w:type="gramEnd"/>
      <w:r w:rsidR="000E012C">
        <w:rPr>
          <w:rFonts w:ascii="Times New Roman" w:hAnsi="Times New Roman" w:cs="Times New Roman"/>
        </w:rPr>
        <w:t xml:space="preserve"> other costs and programs, and implementation of alternatives (not required under the proposed rule). </w:t>
      </w:r>
    </w:p>
    <w:p w:rsidR="00635AC5" w:rsidP="00305374" w:rsidRDefault="00635AC5" w14:paraId="22378443" w14:textId="77777777">
      <w:pPr>
        <w:pStyle w:val="CommentText"/>
        <w:spacing w:after="0"/>
        <w:ind w:firstLine="360"/>
        <w:rPr>
          <w:rFonts w:ascii="Times New Roman" w:hAnsi="Times New Roman" w:cs="Times New Roman"/>
          <w:b/>
          <w:bCs/>
          <w:caps/>
          <w:noProof/>
          <w:sz w:val="24"/>
          <w:szCs w:val="24"/>
        </w:rPr>
      </w:pPr>
    </w:p>
    <w:p w:rsidR="008E512C" w:rsidP="00305374" w:rsidRDefault="006626C9" w14:paraId="32A1F372" w14:textId="582F1B4F">
      <w:pPr>
        <w:pStyle w:val="CommentText"/>
        <w:spacing w:after="0"/>
        <w:ind w:firstLine="360"/>
        <w:rPr>
          <w:rFonts w:ascii="Times New Roman" w:hAnsi="Times New Roman" w:eastAsia="Calibri" w:cs="Times New Roman"/>
          <w:sz w:val="22"/>
          <w:szCs w:val="22"/>
        </w:rPr>
      </w:pPr>
      <w:r>
        <w:rPr>
          <w:rFonts w:ascii="Times New Roman" w:hAnsi="Times New Roman" w:eastAsia="Calibri" w:cs="Times New Roman"/>
          <w:sz w:val="22"/>
          <w:szCs w:val="22"/>
        </w:rPr>
        <w:tab/>
      </w:r>
      <w:r w:rsidRPr="00587204" w:rsidR="00093C0A">
        <w:rPr>
          <w:rFonts w:ascii="Times New Roman" w:hAnsi="Times New Roman" w:eastAsia="Calibri" w:cs="Times New Roman"/>
          <w:sz w:val="22"/>
          <w:szCs w:val="22"/>
        </w:rPr>
        <w:t xml:space="preserve">EPA </w:t>
      </w:r>
      <w:r w:rsidRPr="00587204" w:rsidR="00E17C28">
        <w:rPr>
          <w:rFonts w:ascii="Times New Roman" w:hAnsi="Times New Roman" w:eastAsia="Calibri" w:cs="Times New Roman"/>
          <w:sz w:val="22"/>
          <w:szCs w:val="22"/>
        </w:rPr>
        <w:t>assigned</w:t>
      </w:r>
      <w:r w:rsidRPr="00587204" w:rsidR="00093C0A">
        <w:rPr>
          <w:rFonts w:ascii="Times New Roman" w:hAnsi="Times New Roman" w:eastAsia="Calibri" w:cs="Times New Roman"/>
          <w:sz w:val="22"/>
          <w:szCs w:val="22"/>
        </w:rPr>
        <w:t xml:space="preserve"> these </w:t>
      </w:r>
      <w:r w:rsidRPr="00587204" w:rsidR="00E17C28">
        <w:rPr>
          <w:rFonts w:ascii="Times New Roman" w:hAnsi="Times New Roman" w:eastAsia="Calibri" w:cs="Times New Roman"/>
          <w:sz w:val="22"/>
          <w:szCs w:val="22"/>
        </w:rPr>
        <w:t>activities separately</w:t>
      </w:r>
      <w:r w:rsidRPr="00587204" w:rsidR="00093C0A">
        <w:rPr>
          <w:rFonts w:ascii="Times New Roman" w:hAnsi="Times New Roman" w:eastAsia="Calibri" w:cs="Times New Roman"/>
          <w:sz w:val="22"/>
          <w:szCs w:val="22"/>
        </w:rPr>
        <w:t xml:space="preserve"> </w:t>
      </w:r>
      <w:r w:rsidRPr="00587204" w:rsidR="00E17C28">
        <w:rPr>
          <w:rFonts w:ascii="Times New Roman" w:hAnsi="Times New Roman" w:eastAsia="Calibri" w:cs="Times New Roman"/>
          <w:sz w:val="22"/>
          <w:szCs w:val="22"/>
        </w:rPr>
        <w:t>to</w:t>
      </w:r>
      <w:r w:rsidRPr="00587204" w:rsidR="00093C0A">
        <w:rPr>
          <w:rFonts w:ascii="Times New Roman" w:hAnsi="Times New Roman" w:eastAsia="Calibri" w:cs="Times New Roman"/>
          <w:sz w:val="22"/>
          <w:szCs w:val="22"/>
        </w:rPr>
        <w:t xml:space="preserve"> facilities with 100 or more </w:t>
      </w:r>
      <w:r w:rsidRPr="00587204" w:rsidR="00C832BB">
        <w:rPr>
          <w:rFonts w:ascii="Times New Roman" w:hAnsi="Times New Roman" w:eastAsia="Calibri" w:cs="Times New Roman"/>
          <w:sz w:val="22"/>
          <w:szCs w:val="22"/>
        </w:rPr>
        <w:t>full-time employees (</w:t>
      </w:r>
      <w:r w:rsidRPr="00587204" w:rsidR="00093C0A">
        <w:rPr>
          <w:rFonts w:ascii="Times New Roman" w:hAnsi="Times New Roman" w:eastAsia="Calibri" w:cs="Times New Roman"/>
          <w:sz w:val="22"/>
          <w:szCs w:val="22"/>
        </w:rPr>
        <w:t>FTEs</w:t>
      </w:r>
      <w:r w:rsidRPr="00587204" w:rsidR="00C832BB">
        <w:rPr>
          <w:rFonts w:ascii="Times New Roman" w:hAnsi="Times New Roman" w:eastAsia="Calibri" w:cs="Times New Roman"/>
          <w:sz w:val="22"/>
          <w:szCs w:val="22"/>
        </w:rPr>
        <w:t>)</w:t>
      </w:r>
      <w:r w:rsidRPr="00587204" w:rsidR="00093C0A">
        <w:rPr>
          <w:rFonts w:ascii="Times New Roman" w:hAnsi="Times New Roman" w:eastAsia="Calibri" w:cs="Times New Roman"/>
          <w:sz w:val="22"/>
          <w:szCs w:val="22"/>
        </w:rPr>
        <w:t xml:space="preserve"> and those at facilities with fewer than 100 FTEs because EPA expects facilities will face different costs depending on size. </w:t>
      </w:r>
      <w:r w:rsidRPr="00587204" w:rsidR="00093C0A">
        <w:rPr>
          <w:rFonts w:ascii="Times New Roman" w:hAnsi="Times New Roman" w:cs="Times New Roman"/>
          <w:sz w:val="22"/>
          <w:szCs w:val="22"/>
        </w:rPr>
        <w:t>EPA anticipates that some facilities would conduct practicability studies to address alternatives considered in multiple initial analyses. Therefore,</w:t>
      </w:r>
      <w:r w:rsidRPr="00587204" w:rsidR="00093C0A">
        <w:rPr>
          <w:rFonts w:ascii="Times New Roman" w:hAnsi="Times New Roman" w:eastAsia="Calibri" w:cs="Times New Roman"/>
          <w:sz w:val="22"/>
          <w:szCs w:val="22"/>
        </w:rPr>
        <w:t xml:space="preserve"> EPA further broke down the facilities by NAICS (324 or 325) to analyze the cost of the practicability study for the STAA provision.</w:t>
      </w:r>
    </w:p>
    <w:p w:rsidRPr="00587204" w:rsidR="00305374" w:rsidP="00305374" w:rsidRDefault="00305374" w14:paraId="63A26B4B" w14:textId="77777777">
      <w:pPr>
        <w:pStyle w:val="CommentText"/>
        <w:spacing w:after="0"/>
        <w:ind w:firstLine="360"/>
        <w:rPr>
          <w:rFonts w:ascii="Times New Roman" w:hAnsi="Times New Roman" w:eastAsia="Calibri" w:cs="Times New Roman"/>
          <w:sz w:val="22"/>
          <w:szCs w:val="22"/>
        </w:rPr>
      </w:pPr>
    </w:p>
    <w:p w:rsidRPr="00587204" w:rsidR="00093C0A" w:rsidP="00587204" w:rsidRDefault="00093C0A" w14:paraId="2B7E65C5" w14:textId="0E1ABBC3">
      <w:pPr>
        <w:pStyle w:val="CommentText"/>
        <w:spacing w:after="0"/>
        <w:rPr>
          <w:rFonts w:ascii="Times New Roman" w:hAnsi="Times New Roman" w:eastAsia="Calibri" w:cs="Times New Roman"/>
          <w:b/>
          <w:sz w:val="22"/>
          <w:szCs w:val="22"/>
        </w:rPr>
      </w:pPr>
      <w:r w:rsidRPr="00587204">
        <w:rPr>
          <w:rFonts w:ascii="Times New Roman" w:hAnsi="Times New Roman" w:eastAsia="Calibri" w:cs="Times New Roman"/>
          <w:b/>
          <w:sz w:val="22"/>
          <w:szCs w:val="22"/>
        </w:rPr>
        <w:t xml:space="preserve">3.2.2 </w:t>
      </w:r>
      <w:r w:rsidRPr="00587204" w:rsidR="00D76BD5">
        <w:rPr>
          <w:rFonts w:ascii="Times New Roman" w:hAnsi="Times New Roman" w:eastAsia="Calibri" w:cs="Times New Roman"/>
          <w:b/>
          <w:sz w:val="22"/>
          <w:szCs w:val="22"/>
        </w:rPr>
        <w:t>Facility U</w:t>
      </w:r>
      <w:r w:rsidRPr="00587204">
        <w:rPr>
          <w:rFonts w:ascii="Times New Roman" w:hAnsi="Times New Roman" w:eastAsia="Calibri" w:cs="Times New Roman"/>
          <w:b/>
          <w:sz w:val="22"/>
          <w:szCs w:val="22"/>
        </w:rPr>
        <w:t>niverse Breakdown for Provisions that Apply After an RMP</w:t>
      </w:r>
      <w:r w:rsidRPr="00587204" w:rsidR="003D0572">
        <w:rPr>
          <w:rFonts w:ascii="Times New Roman" w:hAnsi="Times New Roman" w:eastAsia="Calibri" w:cs="Times New Roman"/>
          <w:b/>
          <w:sz w:val="22"/>
          <w:szCs w:val="22"/>
        </w:rPr>
        <w:t>-</w:t>
      </w:r>
      <w:r w:rsidRPr="00587204">
        <w:rPr>
          <w:rFonts w:ascii="Times New Roman" w:hAnsi="Times New Roman" w:eastAsia="Calibri" w:cs="Times New Roman"/>
          <w:b/>
          <w:sz w:val="22"/>
          <w:szCs w:val="22"/>
        </w:rPr>
        <w:t>Reportable Accident</w:t>
      </w:r>
    </w:p>
    <w:p w:rsidR="00093C0A" w:rsidP="00305374" w:rsidRDefault="006626C9" w14:paraId="1AC40044" w14:textId="0DCDA9A7">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The third-party audit analysis </w:t>
      </w:r>
      <w:r w:rsidRPr="00587204" w:rsidR="0049215F">
        <w:rPr>
          <w:rFonts w:ascii="Times New Roman" w:hAnsi="Times New Roman" w:eastAsia="Calibri" w:cs="Times New Roman"/>
        </w:rPr>
        <w:t>requirement</w:t>
      </w:r>
      <w:r w:rsidRPr="00587204" w:rsidR="001358BC">
        <w:rPr>
          <w:rFonts w:ascii="Times New Roman" w:hAnsi="Times New Roman" w:eastAsia="Calibri" w:cs="Times New Roman"/>
        </w:rPr>
        <w:t xml:space="preserve"> </w:t>
      </w:r>
      <w:r w:rsidRPr="00587204" w:rsidR="00093C0A">
        <w:rPr>
          <w:rFonts w:ascii="Times New Roman" w:hAnsi="Times New Roman" w:eastAsia="Calibri" w:cs="Times New Roman"/>
        </w:rPr>
        <w:t xml:space="preserve">would apply to </w:t>
      </w:r>
      <w:r w:rsidRPr="00587204" w:rsidR="00720FA0">
        <w:rPr>
          <w:rFonts w:ascii="Times New Roman" w:hAnsi="Times New Roman" w:eastAsia="Calibri" w:cs="Times New Roman"/>
        </w:rPr>
        <w:t xml:space="preserve">P2 and P3 </w:t>
      </w:r>
      <w:r w:rsidRPr="00587204" w:rsidR="00D50AA4">
        <w:rPr>
          <w:rFonts w:ascii="Times New Roman" w:hAnsi="Times New Roman" w:eastAsia="Calibri" w:cs="Times New Roman"/>
        </w:rPr>
        <w:t>facilities</w:t>
      </w:r>
      <w:r w:rsidRPr="00587204" w:rsidR="00093C0A">
        <w:rPr>
          <w:rFonts w:ascii="Times New Roman" w:hAnsi="Times New Roman" w:eastAsia="Calibri" w:cs="Times New Roman"/>
        </w:rPr>
        <w:t xml:space="preserve"> that have</w:t>
      </w:r>
      <w:r w:rsidRPr="00587204" w:rsidR="003F7CF8">
        <w:rPr>
          <w:rFonts w:ascii="Times New Roman" w:hAnsi="Times New Roman" w:eastAsia="Calibri" w:cs="Times New Roman"/>
        </w:rPr>
        <w:t xml:space="preserve"> </w:t>
      </w:r>
      <w:r w:rsidRPr="00587204" w:rsidR="00AF15E1">
        <w:rPr>
          <w:rFonts w:ascii="Times New Roman" w:hAnsi="Times New Roman" w:eastAsia="Calibri" w:cs="Times New Roman"/>
        </w:rPr>
        <w:t xml:space="preserve">had </w:t>
      </w:r>
      <w:r w:rsidRPr="00587204" w:rsidR="003F7CF8">
        <w:rPr>
          <w:rFonts w:ascii="Times New Roman" w:hAnsi="Times New Roman" w:eastAsia="Calibri" w:cs="Times New Roman"/>
        </w:rPr>
        <w:t>two</w:t>
      </w:r>
      <w:r w:rsidRPr="00587204" w:rsidR="00093C0A">
        <w:rPr>
          <w:rFonts w:ascii="Times New Roman" w:hAnsi="Times New Roman" w:eastAsia="Calibri" w:cs="Times New Roman"/>
        </w:rPr>
        <w:t xml:space="preserve"> RMP</w:t>
      </w:r>
      <w:r w:rsidRPr="00587204" w:rsidR="00EF489D">
        <w:rPr>
          <w:rFonts w:ascii="Times New Roman" w:hAnsi="Times New Roman" w:eastAsia="Calibri" w:cs="Times New Roman"/>
        </w:rPr>
        <w:t>-</w:t>
      </w:r>
      <w:r w:rsidRPr="00587204" w:rsidR="00093C0A">
        <w:rPr>
          <w:rFonts w:ascii="Times New Roman" w:hAnsi="Times New Roman" w:eastAsia="Calibri" w:cs="Times New Roman"/>
        </w:rPr>
        <w:t>reportable accidents</w:t>
      </w:r>
      <w:r w:rsidRPr="00587204" w:rsidR="00EF1715">
        <w:rPr>
          <w:rFonts w:ascii="Times New Roman" w:hAnsi="Times New Roman" w:eastAsia="Calibri" w:cs="Times New Roman"/>
        </w:rPr>
        <w:t>; or have</w:t>
      </w:r>
      <w:r w:rsidRPr="00587204" w:rsidR="00EF1715">
        <w:rPr>
          <w:rFonts w:ascii="Times New Roman" w:hAnsi="Times New Roman" w:cs="Times New Roman"/>
        </w:rPr>
        <w:t xml:space="preserve"> had one RMP-reportable accident from a </w:t>
      </w:r>
      <w:r w:rsidR="00EE550D">
        <w:rPr>
          <w:rFonts w:ascii="Times New Roman" w:hAnsi="Times New Roman" w:cs="Times New Roman"/>
        </w:rPr>
        <w:t xml:space="preserve">Program 3 </w:t>
      </w:r>
      <w:r w:rsidRPr="00587204" w:rsidR="00EF1715">
        <w:rPr>
          <w:rFonts w:ascii="Times New Roman" w:hAnsi="Times New Roman" w:cs="Times New Roman"/>
        </w:rPr>
        <w:t xml:space="preserve">covered process at a facility in NAICS code 324 or 325 within </w:t>
      </w:r>
      <w:r w:rsidRPr="00587204" w:rsidR="00715A48">
        <w:rPr>
          <w:rFonts w:ascii="Times New Roman" w:hAnsi="Times New Roman" w:cs="Times New Roman"/>
        </w:rPr>
        <w:t>a</w:t>
      </w:r>
      <w:r w:rsidRPr="00587204" w:rsidR="00EF1715">
        <w:rPr>
          <w:rFonts w:ascii="Times New Roman" w:hAnsi="Times New Roman" w:cs="Times New Roman"/>
        </w:rPr>
        <w:t xml:space="preserve"> five</w:t>
      </w:r>
      <w:r w:rsidRPr="00587204" w:rsidR="00715A48">
        <w:rPr>
          <w:rFonts w:ascii="Times New Roman" w:hAnsi="Times New Roman" w:cs="Times New Roman"/>
        </w:rPr>
        <w:t>-</w:t>
      </w:r>
      <w:r w:rsidRPr="00587204" w:rsidR="00EF1715">
        <w:rPr>
          <w:rFonts w:ascii="Times New Roman" w:hAnsi="Times New Roman" w:cs="Times New Roman"/>
        </w:rPr>
        <w:t>year</w:t>
      </w:r>
      <w:r w:rsidRPr="00587204" w:rsidR="00715A48">
        <w:rPr>
          <w:rFonts w:ascii="Times New Roman" w:hAnsi="Times New Roman" w:cs="Times New Roman"/>
        </w:rPr>
        <w:t xml:space="preserve"> period</w:t>
      </w:r>
      <w:r w:rsidRPr="00587204" w:rsidR="00EF1715">
        <w:rPr>
          <w:rFonts w:ascii="Times New Roman" w:hAnsi="Times New Roman" w:cs="Times New Roman"/>
        </w:rPr>
        <w:t xml:space="preserve">, located within one mile of another facility having a process in NAICS code 324 or 325; or </w:t>
      </w:r>
      <w:r w:rsidRPr="00587204" w:rsidR="0049215F">
        <w:rPr>
          <w:rFonts w:ascii="Times New Roman" w:hAnsi="Times New Roman" w:cs="Times New Roman"/>
        </w:rPr>
        <w:t xml:space="preserve">when </w:t>
      </w:r>
      <w:r w:rsidRPr="00587204" w:rsidR="00EF1715">
        <w:rPr>
          <w:rFonts w:ascii="Times New Roman" w:hAnsi="Times New Roman" w:cs="Times New Roman"/>
        </w:rPr>
        <w:t xml:space="preserve">an implementing agency requires a third-party audit due to </w:t>
      </w:r>
      <w:r w:rsidRPr="00587204" w:rsidR="0049215F">
        <w:rPr>
          <w:rFonts w:ascii="Times New Roman" w:hAnsi="Times New Roman" w:cs="Times New Roman"/>
        </w:rPr>
        <w:t>certain criteria</w:t>
      </w:r>
      <w:r w:rsidRPr="00587204" w:rsidR="00EF1715">
        <w:rPr>
          <w:rFonts w:ascii="Times New Roman" w:hAnsi="Times New Roman" w:cs="Times New Roman"/>
        </w:rPr>
        <w:t xml:space="preserve"> at the facility</w:t>
      </w:r>
      <w:r w:rsidRPr="00587204" w:rsidR="0049215F">
        <w:rPr>
          <w:rFonts w:ascii="Times New Roman" w:hAnsi="Times New Roman" w:cs="Times New Roman"/>
        </w:rPr>
        <w:t>.</w:t>
      </w:r>
      <w:r w:rsidR="00EE550D">
        <w:rPr>
          <w:rFonts w:ascii="Times New Roman" w:hAnsi="Times New Roman" w:eastAsia="Calibri" w:cs="Times New Roman"/>
        </w:rPr>
        <w:t xml:space="preserve"> Th</w:t>
      </w:r>
      <w:r w:rsidRPr="00587204" w:rsidR="00093C0A">
        <w:rPr>
          <w:rFonts w:ascii="Times New Roman" w:hAnsi="Times New Roman" w:eastAsia="Calibri" w:cs="Times New Roman"/>
        </w:rPr>
        <w:t xml:space="preserve">e root cause analysis </w:t>
      </w:r>
      <w:r w:rsidRPr="00587204" w:rsidR="00C7112E">
        <w:rPr>
          <w:rFonts w:ascii="Times New Roman" w:hAnsi="Times New Roman" w:eastAsia="Calibri" w:cs="Times New Roman"/>
        </w:rPr>
        <w:t>requirement</w:t>
      </w:r>
      <w:r w:rsidRPr="00587204" w:rsidR="00093C0A">
        <w:rPr>
          <w:rFonts w:ascii="Times New Roman" w:hAnsi="Times New Roman" w:eastAsia="Calibri" w:cs="Times New Roman"/>
        </w:rPr>
        <w:t xml:space="preserve"> would apply to </w:t>
      </w:r>
      <w:r w:rsidRPr="00587204" w:rsidR="00720FA0">
        <w:rPr>
          <w:rFonts w:ascii="Times New Roman" w:hAnsi="Times New Roman" w:eastAsia="Calibri" w:cs="Times New Roman"/>
        </w:rPr>
        <w:t xml:space="preserve">P2 and P3 </w:t>
      </w:r>
      <w:r w:rsidRPr="00587204" w:rsidR="00093C0A">
        <w:rPr>
          <w:rFonts w:ascii="Times New Roman" w:hAnsi="Times New Roman" w:eastAsia="Calibri" w:cs="Times New Roman"/>
        </w:rPr>
        <w:t xml:space="preserve">facilities </w:t>
      </w:r>
      <w:r w:rsidRPr="00587204" w:rsidR="00E6747A">
        <w:rPr>
          <w:rFonts w:ascii="Times New Roman" w:hAnsi="Times New Roman" w:cs="Times New Roman"/>
        </w:rPr>
        <w:t>as part of an incident investigation following an RMP-reportable accident.</w:t>
      </w:r>
      <w:r w:rsidRPr="00587204" w:rsidR="00093C0A">
        <w:rPr>
          <w:rFonts w:ascii="Times New Roman" w:hAnsi="Times New Roman" w:eastAsia="Calibri" w:cs="Times New Roman"/>
        </w:rPr>
        <w:t xml:space="preserve"> </w:t>
      </w:r>
    </w:p>
    <w:p w:rsidR="009F0976" w:rsidP="00305374" w:rsidRDefault="009F0976" w14:paraId="2E1E9EF4" w14:textId="77777777">
      <w:pPr>
        <w:spacing w:after="0" w:line="240" w:lineRule="auto"/>
        <w:ind w:firstLine="360"/>
        <w:rPr>
          <w:rFonts w:ascii="Times New Roman" w:hAnsi="Times New Roman" w:eastAsia="Calibri" w:cs="Times New Roman"/>
        </w:rPr>
      </w:pPr>
    </w:p>
    <w:p w:rsidRPr="00587204" w:rsidR="00093C0A" w:rsidP="00305374" w:rsidRDefault="006626C9" w14:paraId="1207FE62" w14:textId="0555B3C9">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For the purposes of this analysis, EPA analyzed only the RMP</w:t>
      </w:r>
      <w:r w:rsidRPr="00587204" w:rsidR="00906553">
        <w:rPr>
          <w:rFonts w:ascii="Times New Roman" w:hAnsi="Times New Roman" w:eastAsia="Calibri" w:cs="Times New Roman"/>
        </w:rPr>
        <w:t>-</w:t>
      </w:r>
      <w:r w:rsidRPr="00587204" w:rsidR="00093C0A">
        <w:rPr>
          <w:rFonts w:ascii="Times New Roman" w:hAnsi="Times New Roman" w:eastAsia="Calibri" w:cs="Times New Roman"/>
        </w:rPr>
        <w:t xml:space="preserve">reportable accidents, which are those accidents with reported impacts, between 2016 and 2020. </w:t>
      </w:r>
      <w:r w:rsidRPr="00676757" w:rsidR="00093C0A">
        <w:rPr>
          <w:rFonts w:ascii="Times New Roman" w:hAnsi="Times New Roman" w:eastAsia="Calibri" w:cs="Times New Roman"/>
        </w:rPr>
        <w:t>Because accidents are low probability but high-cost events, EPA used</w:t>
      </w:r>
      <w:r w:rsidRPr="00324573" w:rsidR="00093C0A">
        <w:rPr>
          <w:rFonts w:ascii="Times New Roman" w:hAnsi="Times New Roman" w:eastAsia="Calibri" w:cs="Times New Roman"/>
        </w:rPr>
        <w:t xml:space="preserve"> </w:t>
      </w:r>
      <w:r w:rsidRPr="00324573" w:rsidR="007479B8">
        <w:rPr>
          <w:rFonts w:ascii="Times New Roman" w:hAnsi="Times New Roman" w:eastAsia="Calibri" w:cs="Times New Roman"/>
        </w:rPr>
        <w:t>five-year</w:t>
      </w:r>
      <w:r w:rsidRPr="00324573" w:rsidR="00093C0A">
        <w:rPr>
          <w:rFonts w:ascii="Times New Roman" w:hAnsi="Times New Roman" w:eastAsia="Calibri" w:cs="Times New Roman"/>
        </w:rPr>
        <w:t xml:space="preserve"> annual averages to smooth over year-to-year fluctuations</w:t>
      </w:r>
      <w:r w:rsidRPr="00324573" w:rsidR="00413C7C">
        <w:rPr>
          <w:rFonts w:ascii="Times New Roman" w:hAnsi="Times New Roman" w:eastAsia="Calibri" w:cs="Times New Roman"/>
        </w:rPr>
        <w:t xml:space="preserve"> to estimate the number of facilities </w:t>
      </w:r>
      <w:r w:rsidRPr="00324573" w:rsidR="00720FA0">
        <w:rPr>
          <w:rFonts w:ascii="Times New Roman" w:hAnsi="Times New Roman" w:eastAsia="Calibri" w:cs="Times New Roman"/>
        </w:rPr>
        <w:t xml:space="preserve">that </w:t>
      </w:r>
      <w:r w:rsidRPr="00324573" w:rsidR="00F779EA">
        <w:rPr>
          <w:rFonts w:ascii="Times New Roman" w:hAnsi="Times New Roman" w:eastAsia="Calibri" w:cs="Times New Roman"/>
        </w:rPr>
        <w:t xml:space="preserve">EPA might expect to </w:t>
      </w:r>
      <w:r w:rsidRPr="00324573" w:rsidR="00720FA0">
        <w:rPr>
          <w:rFonts w:ascii="Times New Roman" w:hAnsi="Times New Roman" w:eastAsia="Calibri" w:cs="Times New Roman"/>
        </w:rPr>
        <w:t xml:space="preserve">conduct third-party audits and root cause analyses. </w:t>
      </w:r>
      <w:r w:rsidRPr="00587204" w:rsidR="00720FA0">
        <w:rPr>
          <w:rFonts w:ascii="Times New Roman" w:hAnsi="Times New Roman" w:eastAsia="Calibri" w:cs="Times New Roman"/>
        </w:rPr>
        <w:t>EPA</w:t>
      </w:r>
      <w:r w:rsidRPr="00587204" w:rsidR="00093C0A">
        <w:rPr>
          <w:rFonts w:ascii="Times New Roman" w:hAnsi="Times New Roman" w:eastAsia="Calibri" w:cs="Times New Roman"/>
        </w:rPr>
        <w:t xml:space="preserve"> uses average annual accident estimates throughout the analysis. Exhibit 3-6 presents the </w:t>
      </w:r>
      <w:r w:rsidRPr="00587204" w:rsidR="007479B8">
        <w:rPr>
          <w:rFonts w:ascii="Times New Roman" w:hAnsi="Times New Roman" w:eastAsia="Calibri" w:cs="Times New Roman"/>
        </w:rPr>
        <w:t>five-year</w:t>
      </w:r>
      <w:r w:rsidRPr="00587204" w:rsidR="00093C0A">
        <w:rPr>
          <w:rFonts w:ascii="Times New Roman" w:hAnsi="Times New Roman" w:eastAsia="Calibri" w:cs="Times New Roman"/>
        </w:rPr>
        <w:t xml:space="preserve"> average annual number of RMP</w:t>
      </w:r>
      <w:r w:rsidRPr="00587204" w:rsidR="00D87EA5">
        <w:rPr>
          <w:rFonts w:ascii="Times New Roman" w:hAnsi="Times New Roman" w:eastAsia="Calibri" w:cs="Times New Roman"/>
        </w:rPr>
        <w:t>-</w:t>
      </w:r>
      <w:r w:rsidRPr="00587204" w:rsidR="00093C0A">
        <w:rPr>
          <w:rFonts w:ascii="Times New Roman" w:hAnsi="Times New Roman" w:eastAsia="Calibri" w:cs="Times New Roman"/>
        </w:rPr>
        <w:t xml:space="preserve">reportable accidents for the 2016-2020 period by </w:t>
      </w:r>
      <w:r w:rsidRPr="00587204" w:rsidR="001C55C0">
        <w:rPr>
          <w:rFonts w:ascii="Times New Roman" w:hAnsi="Times New Roman" w:eastAsia="Calibri" w:cs="Times New Roman"/>
        </w:rPr>
        <w:t>p</w:t>
      </w:r>
      <w:r w:rsidRPr="00587204" w:rsidR="00093C0A">
        <w:rPr>
          <w:rFonts w:ascii="Times New Roman" w:hAnsi="Times New Roman" w:eastAsia="Calibri" w:cs="Times New Roman"/>
        </w:rPr>
        <w:t xml:space="preserve">rogram </w:t>
      </w:r>
      <w:r w:rsidRPr="00587204" w:rsidR="003F2E4B">
        <w:rPr>
          <w:rFonts w:ascii="Times New Roman" w:hAnsi="Times New Roman" w:eastAsia="Calibri" w:cs="Times New Roman"/>
        </w:rPr>
        <w:t>le</w:t>
      </w:r>
      <w:r w:rsidRPr="00587204" w:rsidR="00093C0A">
        <w:rPr>
          <w:rFonts w:ascii="Times New Roman" w:hAnsi="Times New Roman" w:eastAsia="Calibri" w:cs="Times New Roman"/>
        </w:rPr>
        <w:t xml:space="preserve">vel and facility sector. These annual average accidents for Program 2 and </w:t>
      </w:r>
      <w:r w:rsidRPr="00587204" w:rsidR="001C55C0">
        <w:rPr>
          <w:rFonts w:ascii="Times New Roman" w:hAnsi="Times New Roman" w:eastAsia="Calibri" w:cs="Times New Roman"/>
        </w:rPr>
        <w:t>Program</w:t>
      </w:r>
      <w:r w:rsidRPr="00587204" w:rsidR="00093C0A">
        <w:rPr>
          <w:rFonts w:ascii="Times New Roman" w:hAnsi="Times New Roman" w:eastAsia="Calibri" w:cs="Times New Roman"/>
        </w:rPr>
        <w:t xml:space="preserve"> 3</w:t>
      </w:r>
      <w:r w:rsidRPr="00587204" w:rsidR="001C55C0">
        <w:rPr>
          <w:rFonts w:ascii="Times New Roman" w:hAnsi="Times New Roman" w:eastAsia="Calibri" w:cs="Times New Roman"/>
        </w:rPr>
        <w:t xml:space="preserve"> facilities</w:t>
      </w:r>
      <w:r w:rsidRPr="00587204" w:rsidR="00093C0A">
        <w:rPr>
          <w:rFonts w:ascii="Times New Roman" w:hAnsi="Times New Roman" w:eastAsia="Calibri" w:cs="Times New Roman"/>
        </w:rPr>
        <w:t xml:space="preserve"> represent the numbers of annual root cause analyses EPA expects to be required under the proposed rule for RMP-reportable accidents.</w:t>
      </w:r>
      <w:r w:rsidRPr="00587204" w:rsidR="00F07416">
        <w:rPr>
          <w:rFonts w:ascii="Times New Roman" w:hAnsi="Times New Roman" w:eastAsia="Calibri" w:cs="Times New Roman"/>
        </w:rPr>
        <w:t xml:space="preserve"> </w:t>
      </w:r>
      <w:r w:rsidRPr="00587204" w:rsidR="00093C0A">
        <w:rPr>
          <w:rFonts w:ascii="Times New Roman" w:hAnsi="Times New Roman" w:eastAsia="Calibri" w:cs="Times New Roman"/>
        </w:rPr>
        <w:t xml:space="preserve">EPA estimates the cost of the root cause analysis to differ by type of facility, so the number of accidents is presented by facility type. </w:t>
      </w:r>
    </w:p>
    <w:p w:rsidRPr="00587204" w:rsidR="0022390B" w:rsidP="00587204" w:rsidRDefault="0022390B" w14:paraId="7E4A111F" w14:textId="77777777">
      <w:pPr>
        <w:spacing w:after="0" w:line="240" w:lineRule="auto"/>
        <w:ind w:firstLine="720"/>
        <w:rPr>
          <w:rFonts w:ascii="Times New Roman" w:hAnsi="Times New Roman" w:eastAsia="Calibri" w:cs="Times New Roman"/>
        </w:rPr>
      </w:pPr>
    </w:p>
    <w:p w:rsidR="00635AC5" w:rsidP="00305374" w:rsidRDefault="00635AC5" w14:paraId="29DAA157" w14:textId="77777777">
      <w:pPr>
        <w:pStyle w:val="Caption"/>
        <w:jc w:val="center"/>
        <w:rPr>
          <w:rFonts w:ascii="Times New Roman" w:hAnsi="Times New Roman" w:cs="Times New Roman"/>
          <w:b/>
          <w:i w:val="0"/>
          <w:color w:val="auto"/>
          <w:sz w:val="22"/>
          <w:szCs w:val="22"/>
        </w:rPr>
      </w:pPr>
    </w:p>
    <w:p w:rsidRPr="00305374" w:rsidR="00747C18" w:rsidP="00305374" w:rsidRDefault="00093C0A" w14:paraId="5D7638A6" w14:textId="46D9BAA8">
      <w:pPr>
        <w:pStyle w:val="Caption"/>
        <w:jc w:val="center"/>
        <w:rPr>
          <w:rFonts w:ascii="Times New Roman" w:hAnsi="Times New Roman" w:eastAsia="Calibri" w:cs="Times New Roman"/>
          <w:b/>
          <w:i w:val="0"/>
          <w:color w:val="auto"/>
          <w:sz w:val="22"/>
          <w:szCs w:val="22"/>
        </w:rPr>
      </w:pPr>
      <w:r w:rsidRPr="00305374">
        <w:rPr>
          <w:rFonts w:ascii="Times New Roman" w:hAnsi="Times New Roman" w:cs="Times New Roman"/>
          <w:b/>
          <w:i w:val="0"/>
          <w:color w:val="auto"/>
          <w:sz w:val="22"/>
          <w:szCs w:val="22"/>
        </w:rPr>
        <w:lastRenderedPageBreak/>
        <w:t xml:space="preserve">Exhibit </w:t>
      </w:r>
      <w:r w:rsidRPr="00305374">
        <w:rPr>
          <w:rFonts w:ascii="Times New Roman" w:hAnsi="Times New Roman" w:eastAsia="Calibri" w:cs="Times New Roman"/>
          <w:b/>
          <w:i w:val="0"/>
          <w:color w:val="auto"/>
          <w:sz w:val="22"/>
          <w:szCs w:val="22"/>
        </w:rPr>
        <w:t>3-6: RMP</w:t>
      </w:r>
      <w:r w:rsidRPr="00305374" w:rsidR="00906553">
        <w:rPr>
          <w:rFonts w:ascii="Times New Roman" w:hAnsi="Times New Roman" w:eastAsia="Calibri" w:cs="Times New Roman"/>
          <w:b/>
          <w:i w:val="0"/>
          <w:color w:val="auto"/>
          <w:sz w:val="22"/>
          <w:szCs w:val="22"/>
        </w:rPr>
        <w:t>-</w:t>
      </w:r>
      <w:r w:rsidRPr="00305374">
        <w:rPr>
          <w:rFonts w:ascii="Times New Roman" w:hAnsi="Times New Roman" w:eastAsia="Calibri" w:cs="Times New Roman"/>
          <w:b/>
          <w:i w:val="0"/>
          <w:color w:val="auto"/>
          <w:sz w:val="22"/>
          <w:szCs w:val="22"/>
        </w:rPr>
        <w:t>Reportable Accidents by Sector</w:t>
      </w:r>
      <w:r w:rsidRPr="00305374" w:rsidR="00BE0190">
        <w:rPr>
          <w:rFonts w:ascii="Times New Roman" w:hAnsi="Times New Roman" w:eastAsia="Calibri" w:cs="Times New Roman"/>
          <w:b/>
          <w:i w:val="0"/>
          <w:color w:val="auto"/>
          <w:sz w:val="22"/>
          <w:szCs w:val="22"/>
        </w:rPr>
        <w:t xml:space="preserve"> for Root Cause Analysis</w:t>
      </w:r>
      <w:r w:rsidR="006B33FC">
        <w:rPr>
          <w:rFonts w:ascii="Times New Roman" w:hAnsi="Times New Roman" w:eastAsia="Calibri" w:cs="Times New Roman"/>
          <w:b/>
          <w:i w:val="0"/>
          <w:color w:val="auto"/>
          <w:sz w:val="22"/>
          <w:szCs w:val="22"/>
        </w:rPr>
        <w:t xml:space="preserve"> (2016-2020)</w:t>
      </w:r>
      <w:r w:rsidRPr="00305374" w:rsidR="00305374">
        <w:rPr>
          <w:rFonts w:ascii="Times New Roman" w:hAnsi="Times New Roman" w:eastAsia="Calibri" w:cs="Times New Roman"/>
          <w:b/>
          <w:bCs/>
          <w:i w:val="0"/>
          <w:iCs w:val="0"/>
          <w:color w:val="auto"/>
          <w:sz w:val="22"/>
          <w:szCs w:val="22"/>
        </w:rPr>
        <w:t>.</w:t>
      </w:r>
    </w:p>
    <w:tbl>
      <w:tblPr>
        <w:tblW w:w="8540" w:type="dxa"/>
        <w:jc w:val="center"/>
        <w:tblLook w:val="04A0" w:firstRow="1" w:lastRow="0" w:firstColumn="1" w:lastColumn="0" w:noHBand="0" w:noVBand="1"/>
      </w:tblPr>
      <w:tblGrid>
        <w:gridCol w:w="2011"/>
        <w:gridCol w:w="2309"/>
        <w:gridCol w:w="1462"/>
        <w:gridCol w:w="1436"/>
        <w:gridCol w:w="1322"/>
      </w:tblGrid>
      <w:tr w:rsidRPr="00587204" w:rsidR="00093C0A" w:rsidTr="00305374" w14:paraId="2C61518A" w14:textId="77777777">
        <w:trPr>
          <w:trHeight w:val="290"/>
          <w:jc w:val="center"/>
        </w:trPr>
        <w:tc>
          <w:tcPr>
            <w:tcW w:w="8540" w:type="dxa"/>
            <w:gridSpan w:val="5"/>
            <w:tcBorders>
              <w:top w:val="single" w:color="auto" w:sz="8" w:space="0"/>
              <w:left w:val="single" w:color="auto" w:sz="8" w:space="0"/>
              <w:bottom w:val="single" w:color="auto" w:sz="4" w:space="0"/>
              <w:right w:val="single" w:color="000000" w:sz="8" w:space="0"/>
            </w:tcBorders>
            <w:shd w:val="clear" w:color="000000" w:fill="D9D9D9"/>
            <w:noWrap/>
            <w:vAlign w:val="center"/>
            <w:hideMark/>
          </w:tcPr>
          <w:p w:rsidRPr="00D7128A" w:rsidR="00093C0A" w:rsidP="00305374" w:rsidRDefault="00093C0A" w14:paraId="175B809A" w14:textId="77777777">
            <w:pPr>
              <w:keepNext/>
              <w:keepLines/>
              <w:spacing w:after="0" w:line="240" w:lineRule="auto"/>
              <w:jc w:val="center"/>
              <w:rPr>
                <w:rFonts w:ascii="Times New Roman" w:hAnsi="Times New Roman" w:eastAsia="Times New Roman" w:cs="Times New Roman"/>
                <w:b/>
                <w:color w:val="000000"/>
                <w:sz w:val="20"/>
                <w:szCs w:val="20"/>
              </w:rPr>
            </w:pPr>
            <w:r w:rsidRPr="00D7128A">
              <w:rPr>
                <w:rFonts w:ascii="Times New Roman" w:hAnsi="Times New Roman" w:eastAsia="Times New Roman" w:cs="Times New Roman"/>
                <w:b/>
                <w:color w:val="000000"/>
                <w:sz w:val="20"/>
                <w:szCs w:val="20"/>
              </w:rPr>
              <w:t>Average Annual Reportable Accidents by Program Levels and Facility Type (2016-2020)</w:t>
            </w:r>
          </w:p>
        </w:tc>
      </w:tr>
      <w:tr w:rsidRPr="00587204" w:rsidR="00093C0A" w:rsidTr="00305374" w14:paraId="5F224C15" w14:textId="77777777">
        <w:trPr>
          <w:trHeight w:val="290"/>
          <w:jc w:val="center"/>
        </w:trPr>
        <w:tc>
          <w:tcPr>
            <w:tcW w:w="2011" w:type="dxa"/>
            <w:tcBorders>
              <w:top w:val="nil"/>
              <w:left w:val="single" w:color="auto" w:sz="8" w:space="0"/>
              <w:bottom w:val="single" w:color="auto" w:sz="4" w:space="0"/>
              <w:right w:val="single" w:color="auto" w:sz="4" w:space="0"/>
            </w:tcBorders>
            <w:shd w:val="clear" w:color="000000" w:fill="F2F2F2"/>
            <w:noWrap/>
            <w:vAlign w:val="center"/>
            <w:hideMark/>
          </w:tcPr>
          <w:p w:rsidRPr="00D7128A" w:rsidR="00093C0A" w:rsidP="00305374" w:rsidRDefault="00093C0A" w14:paraId="2C81DA73" w14:textId="4D3F6C08">
            <w:pPr>
              <w:keepNext/>
              <w:keepLines/>
              <w:spacing w:after="0" w:line="240" w:lineRule="auto"/>
              <w:jc w:val="center"/>
              <w:rPr>
                <w:rFonts w:ascii="Times New Roman" w:hAnsi="Times New Roman" w:eastAsia="Times New Roman" w:cs="Times New Roman"/>
                <w:color w:val="000000"/>
                <w:sz w:val="20"/>
                <w:szCs w:val="20"/>
              </w:rPr>
            </w:pPr>
          </w:p>
        </w:tc>
        <w:tc>
          <w:tcPr>
            <w:tcW w:w="6529" w:type="dxa"/>
            <w:gridSpan w:val="4"/>
            <w:tcBorders>
              <w:top w:val="single" w:color="auto" w:sz="4" w:space="0"/>
              <w:left w:val="single" w:color="auto" w:sz="4" w:space="0"/>
              <w:bottom w:val="single" w:color="auto" w:sz="4" w:space="0"/>
              <w:right w:val="single" w:color="000000" w:sz="8" w:space="0"/>
            </w:tcBorders>
            <w:shd w:val="clear" w:color="000000" w:fill="F2F2F2"/>
            <w:noWrap/>
            <w:vAlign w:val="center"/>
            <w:hideMark/>
          </w:tcPr>
          <w:p w:rsidRPr="00D7128A" w:rsidR="00093C0A" w:rsidP="00305374" w:rsidRDefault="00093C0A" w14:paraId="0CA633EA"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Accidents</w:t>
            </w:r>
          </w:p>
        </w:tc>
      </w:tr>
      <w:tr w:rsidRPr="00587204" w:rsidR="00093C0A" w:rsidTr="00305374" w14:paraId="33932897" w14:textId="77777777">
        <w:trPr>
          <w:trHeight w:val="290"/>
          <w:jc w:val="center"/>
        </w:trPr>
        <w:tc>
          <w:tcPr>
            <w:tcW w:w="2011" w:type="dxa"/>
            <w:tcBorders>
              <w:top w:val="nil"/>
              <w:left w:val="single" w:color="auto" w:sz="8" w:space="0"/>
              <w:bottom w:val="single" w:color="auto" w:sz="4" w:space="0"/>
              <w:right w:val="single" w:color="auto" w:sz="4" w:space="0"/>
            </w:tcBorders>
            <w:shd w:val="clear" w:color="000000" w:fill="F2F2F2"/>
            <w:noWrap/>
            <w:vAlign w:val="center"/>
            <w:hideMark/>
          </w:tcPr>
          <w:p w:rsidRPr="00D7128A" w:rsidR="00093C0A" w:rsidP="00305374" w:rsidRDefault="00093C0A" w14:paraId="41CDA4AF"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Program Level</w:t>
            </w:r>
          </w:p>
        </w:tc>
        <w:tc>
          <w:tcPr>
            <w:tcW w:w="2309" w:type="dxa"/>
            <w:tcBorders>
              <w:top w:val="single" w:color="auto" w:sz="4" w:space="0"/>
              <w:left w:val="single" w:color="auto" w:sz="4" w:space="0"/>
              <w:bottom w:val="nil"/>
              <w:right w:val="single" w:color="auto" w:sz="4" w:space="0"/>
            </w:tcBorders>
            <w:shd w:val="clear" w:color="000000" w:fill="F2F2F2"/>
            <w:noWrap/>
            <w:vAlign w:val="center"/>
            <w:hideMark/>
          </w:tcPr>
          <w:p w:rsidRPr="00D7128A" w:rsidR="00093C0A" w:rsidP="00305374" w:rsidRDefault="00093C0A" w14:paraId="0933AC5D" w14:textId="75650D52">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Simple (non-gov</w:t>
            </w:r>
            <w:r w:rsidRPr="00D7128A" w:rsidR="00906553">
              <w:rPr>
                <w:rFonts w:ascii="Times New Roman" w:hAnsi="Times New Roman" w:eastAsia="Times New Roman" w:cs="Times New Roman"/>
                <w:color w:val="000000"/>
                <w:sz w:val="20"/>
                <w:szCs w:val="20"/>
              </w:rPr>
              <w:t>’t</w:t>
            </w:r>
            <w:r w:rsidRPr="00D7128A">
              <w:rPr>
                <w:rFonts w:ascii="Times New Roman" w:hAnsi="Times New Roman" w:eastAsia="Times New Roman" w:cs="Times New Roman"/>
                <w:color w:val="000000"/>
                <w:sz w:val="20"/>
                <w:szCs w:val="20"/>
              </w:rPr>
              <w:t>)</w:t>
            </w:r>
          </w:p>
        </w:tc>
        <w:tc>
          <w:tcPr>
            <w:tcW w:w="1462" w:type="dxa"/>
            <w:tcBorders>
              <w:top w:val="single" w:color="auto" w:sz="4" w:space="0"/>
              <w:left w:val="nil"/>
              <w:bottom w:val="single" w:color="auto" w:sz="4" w:space="0"/>
              <w:right w:val="single" w:color="auto" w:sz="4" w:space="0"/>
            </w:tcBorders>
            <w:shd w:val="clear" w:color="000000" w:fill="F2F2F2"/>
            <w:noWrap/>
            <w:vAlign w:val="center"/>
            <w:hideMark/>
          </w:tcPr>
          <w:p w:rsidRPr="00D7128A" w:rsidR="00093C0A" w:rsidP="00305374" w:rsidRDefault="00093C0A" w14:paraId="1E6816A6"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Complex 324</w:t>
            </w:r>
          </w:p>
        </w:tc>
        <w:tc>
          <w:tcPr>
            <w:tcW w:w="1436" w:type="dxa"/>
            <w:tcBorders>
              <w:top w:val="single" w:color="auto" w:sz="4" w:space="0"/>
              <w:left w:val="nil"/>
              <w:bottom w:val="single" w:color="auto" w:sz="4" w:space="0"/>
              <w:right w:val="single" w:color="auto" w:sz="4" w:space="0"/>
            </w:tcBorders>
            <w:shd w:val="clear" w:color="000000" w:fill="F2F2F2"/>
            <w:noWrap/>
            <w:vAlign w:val="center"/>
            <w:hideMark/>
          </w:tcPr>
          <w:p w:rsidRPr="00D7128A" w:rsidR="00093C0A" w:rsidP="00305374" w:rsidRDefault="00093C0A" w14:paraId="1A398DE3"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Complex 325</w:t>
            </w:r>
          </w:p>
        </w:tc>
        <w:tc>
          <w:tcPr>
            <w:tcW w:w="1319" w:type="dxa"/>
            <w:tcBorders>
              <w:top w:val="nil"/>
              <w:left w:val="single" w:color="auto" w:sz="4" w:space="0"/>
              <w:bottom w:val="single" w:color="auto" w:sz="4" w:space="0"/>
              <w:right w:val="single" w:color="auto" w:sz="8" w:space="0"/>
            </w:tcBorders>
            <w:shd w:val="clear" w:color="000000" w:fill="F2F2F2"/>
            <w:noWrap/>
            <w:vAlign w:val="center"/>
            <w:hideMark/>
          </w:tcPr>
          <w:p w:rsidRPr="00D7128A" w:rsidR="00093C0A" w:rsidP="00305374" w:rsidRDefault="00093C0A" w14:paraId="2D04FE0E"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Government</w:t>
            </w:r>
          </w:p>
        </w:tc>
      </w:tr>
      <w:tr w:rsidRPr="00587204" w:rsidR="00093C0A" w:rsidTr="00305374" w14:paraId="72E985B7" w14:textId="77777777">
        <w:trPr>
          <w:trHeight w:val="290"/>
          <w:jc w:val="center"/>
        </w:trPr>
        <w:tc>
          <w:tcPr>
            <w:tcW w:w="2011" w:type="dxa"/>
            <w:tcBorders>
              <w:top w:val="nil"/>
              <w:left w:val="single" w:color="auto" w:sz="8" w:space="0"/>
              <w:bottom w:val="single" w:color="auto" w:sz="4" w:space="0"/>
              <w:right w:val="nil"/>
            </w:tcBorders>
            <w:shd w:val="clear" w:color="auto" w:fill="auto"/>
            <w:noWrap/>
            <w:vAlign w:val="center"/>
            <w:hideMark/>
          </w:tcPr>
          <w:p w:rsidRPr="00D7128A" w:rsidR="00093C0A" w:rsidP="00305374" w:rsidRDefault="00093C0A" w14:paraId="2F8909F7"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w:t>
            </w:r>
          </w:p>
        </w:tc>
        <w:tc>
          <w:tcPr>
            <w:tcW w:w="23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128A" w:rsidR="00093C0A" w:rsidP="00305374" w:rsidRDefault="00093C0A" w14:paraId="37500BCB"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2.4</w:t>
            </w:r>
          </w:p>
        </w:tc>
        <w:tc>
          <w:tcPr>
            <w:tcW w:w="1462" w:type="dxa"/>
            <w:tcBorders>
              <w:top w:val="nil"/>
              <w:left w:val="nil"/>
              <w:bottom w:val="single" w:color="auto" w:sz="4" w:space="0"/>
              <w:right w:val="single" w:color="auto" w:sz="4" w:space="0"/>
            </w:tcBorders>
            <w:shd w:val="clear" w:color="auto" w:fill="auto"/>
            <w:noWrap/>
            <w:vAlign w:val="center"/>
            <w:hideMark/>
          </w:tcPr>
          <w:p w:rsidRPr="00D7128A" w:rsidR="00093C0A" w:rsidP="00305374" w:rsidRDefault="00093C0A" w14:paraId="14E13407"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0.6</w:t>
            </w:r>
          </w:p>
        </w:tc>
        <w:tc>
          <w:tcPr>
            <w:tcW w:w="1436" w:type="dxa"/>
            <w:tcBorders>
              <w:top w:val="nil"/>
              <w:left w:val="nil"/>
              <w:bottom w:val="single" w:color="auto" w:sz="4" w:space="0"/>
              <w:right w:val="single" w:color="auto" w:sz="4" w:space="0"/>
            </w:tcBorders>
            <w:shd w:val="clear" w:color="auto" w:fill="auto"/>
            <w:noWrap/>
            <w:vAlign w:val="center"/>
            <w:hideMark/>
          </w:tcPr>
          <w:p w:rsidRPr="00D7128A" w:rsidR="00093C0A" w:rsidP="00305374" w:rsidRDefault="00093C0A" w14:paraId="1E95BCBF"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0.2</w:t>
            </w:r>
          </w:p>
        </w:tc>
        <w:tc>
          <w:tcPr>
            <w:tcW w:w="1319" w:type="dxa"/>
            <w:tcBorders>
              <w:top w:val="nil"/>
              <w:left w:val="single" w:color="auto" w:sz="4" w:space="0"/>
              <w:bottom w:val="single" w:color="auto" w:sz="4" w:space="0"/>
              <w:right w:val="single" w:color="auto" w:sz="8" w:space="0"/>
            </w:tcBorders>
            <w:shd w:val="clear" w:color="auto" w:fill="auto"/>
            <w:noWrap/>
            <w:vAlign w:val="center"/>
            <w:hideMark/>
          </w:tcPr>
          <w:p w:rsidRPr="00D7128A" w:rsidR="00093C0A" w:rsidP="00305374" w:rsidRDefault="00093C0A" w14:paraId="7176BACF"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0.0</w:t>
            </w:r>
          </w:p>
        </w:tc>
      </w:tr>
      <w:tr w:rsidRPr="00587204" w:rsidR="00093C0A" w:rsidTr="00305374" w14:paraId="440F7721" w14:textId="77777777">
        <w:trPr>
          <w:trHeight w:val="290"/>
          <w:jc w:val="center"/>
        </w:trPr>
        <w:tc>
          <w:tcPr>
            <w:tcW w:w="2011" w:type="dxa"/>
            <w:tcBorders>
              <w:top w:val="nil"/>
              <w:left w:val="single" w:color="auto" w:sz="8" w:space="0"/>
              <w:bottom w:val="single" w:color="auto" w:sz="4" w:space="0"/>
              <w:right w:val="nil"/>
            </w:tcBorders>
            <w:shd w:val="clear" w:color="auto" w:fill="auto"/>
            <w:noWrap/>
            <w:vAlign w:val="center"/>
            <w:hideMark/>
          </w:tcPr>
          <w:p w:rsidRPr="00D7128A" w:rsidR="00093C0A" w:rsidP="00305374" w:rsidRDefault="00093C0A" w14:paraId="03BBBAB1"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2</w:t>
            </w:r>
          </w:p>
        </w:tc>
        <w:tc>
          <w:tcPr>
            <w:tcW w:w="2309" w:type="dxa"/>
            <w:tcBorders>
              <w:top w:val="nil"/>
              <w:left w:val="single" w:color="auto" w:sz="4" w:space="0"/>
              <w:bottom w:val="single" w:color="auto" w:sz="4" w:space="0"/>
              <w:right w:val="single" w:color="auto" w:sz="4" w:space="0"/>
            </w:tcBorders>
            <w:shd w:val="clear" w:color="auto" w:fill="auto"/>
            <w:noWrap/>
            <w:vAlign w:val="center"/>
            <w:hideMark/>
          </w:tcPr>
          <w:p w:rsidRPr="00D7128A" w:rsidR="00093C0A" w:rsidP="00305374" w:rsidRDefault="00093C0A" w14:paraId="53F5B97E"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10.2</w:t>
            </w:r>
          </w:p>
        </w:tc>
        <w:tc>
          <w:tcPr>
            <w:tcW w:w="1462" w:type="dxa"/>
            <w:tcBorders>
              <w:top w:val="nil"/>
              <w:left w:val="nil"/>
              <w:bottom w:val="single" w:color="auto" w:sz="4" w:space="0"/>
              <w:right w:val="single" w:color="auto" w:sz="4" w:space="0"/>
            </w:tcBorders>
            <w:shd w:val="clear" w:color="auto" w:fill="auto"/>
            <w:noWrap/>
            <w:vAlign w:val="center"/>
            <w:hideMark/>
          </w:tcPr>
          <w:p w:rsidRPr="00D7128A" w:rsidR="00093C0A" w:rsidP="00305374" w:rsidRDefault="00093C0A" w14:paraId="14DA0286"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0.0</w:t>
            </w:r>
          </w:p>
        </w:tc>
        <w:tc>
          <w:tcPr>
            <w:tcW w:w="1436" w:type="dxa"/>
            <w:tcBorders>
              <w:top w:val="nil"/>
              <w:left w:val="nil"/>
              <w:bottom w:val="single" w:color="auto" w:sz="4" w:space="0"/>
              <w:right w:val="single" w:color="auto" w:sz="4" w:space="0"/>
            </w:tcBorders>
            <w:shd w:val="clear" w:color="auto" w:fill="auto"/>
            <w:noWrap/>
            <w:vAlign w:val="center"/>
            <w:hideMark/>
          </w:tcPr>
          <w:p w:rsidRPr="00D7128A" w:rsidR="00093C0A" w:rsidP="00305374" w:rsidRDefault="00093C0A" w14:paraId="0A9F89CD"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0.2</w:t>
            </w:r>
          </w:p>
        </w:tc>
        <w:tc>
          <w:tcPr>
            <w:tcW w:w="1319" w:type="dxa"/>
            <w:tcBorders>
              <w:top w:val="nil"/>
              <w:left w:val="single" w:color="auto" w:sz="4" w:space="0"/>
              <w:bottom w:val="single" w:color="auto" w:sz="4" w:space="0"/>
              <w:right w:val="single" w:color="auto" w:sz="8" w:space="0"/>
            </w:tcBorders>
            <w:shd w:val="clear" w:color="auto" w:fill="auto"/>
            <w:noWrap/>
            <w:vAlign w:val="center"/>
            <w:hideMark/>
          </w:tcPr>
          <w:p w:rsidRPr="00D7128A" w:rsidR="00093C0A" w:rsidP="00305374" w:rsidRDefault="00093C0A" w14:paraId="25763D04"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2.6</w:t>
            </w:r>
          </w:p>
        </w:tc>
      </w:tr>
      <w:tr w:rsidRPr="00587204" w:rsidR="00093C0A" w:rsidTr="00305374" w14:paraId="7F18EEF5" w14:textId="77777777">
        <w:trPr>
          <w:trHeight w:val="300"/>
          <w:jc w:val="center"/>
        </w:trPr>
        <w:tc>
          <w:tcPr>
            <w:tcW w:w="2011" w:type="dxa"/>
            <w:tcBorders>
              <w:top w:val="nil"/>
              <w:left w:val="single" w:color="auto" w:sz="8" w:space="0"/>
              <w:bottom w:val="single" w:color="auto" w:sz="8" w:space="0"/>
              <w:right w:val="nil"/>
            </w:tcBorders>
            <w:shd w:val="clear" w:color="auto" w:fill="auto"/>
            <w:noWrap/>
            <w:vAlign w:val="center"/>
            <w:hideMark/>
          </w:tcPr>
          <w:p w:rsidRPr="00D7128A" w:rsidR="00093C0A" w:rsidP="00305374" w:rsidRDefault="00093C0A" w14:paraId="2059FB11"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3</w:t>
            </w:r>
          </w:p>
        </w:tc>
        <w:tc>
          <w:tcPr>
            <w:tcW w:w="2309" w:type="dxa"/>
            <w:tcBorders>
              <w:top w:val="nil"/>
              <w:left w:val="single" w:color="auto" w:sz="4" w:space="0"/>
              <w:bottom w:val="single" w:color="auto" w:sz="8" w:space="0"/>
              <w:right w:val="single" w:color="auto" w:sz="4" w:space="0"/>
            </w:tcBorders>
            <w:shd w:val="clear" w:color="auto" w:fill="auto"/>
            <w:noWrap/>
            <w:vAlign w:val="center"/>
            <w:hideMark/>
          </w:tcPr>
          <w:p w:rsidRPr="00D7128A" w:rsidR="00093C0A" w:rsidP="0060195F" w:rsidRDefault="00093C0A" w14:paraId="370178FE"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38.4</w:t>
            </w:r>
          </w:p>
        </w:tc>
        <w:tc>
          <w:tcPr>
            <w:tcW w:w="1462" w:type="dxa"/>
            <w:tcBorders>
              <w:top w:val="nil"/>
              <w:left w:val="nil"/>
              <w:bottom w:val="single" w:color="auto" w:sz="8" w:space="0"/>
              <w:right w:val="single" w:color="auto" w:sz="4" w:space="0"/>
            </w:tcBorders>
            <w:shd w:val="clear" w:color="auto" w:fill="auto"/>
            <w:noWrap/>
            <w:vAlign w:val="center"/>
            <w:hideMark/>
          </w:tcPr>
          <w:p w:rsidRPr="00D7128A" w:rsidR="00093C0A" w:rsidP="0060195F" w:rsidRDefault="00093C0A" w14:paraId="4E8B7C7E"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10.8</w:t>
            </w:r>
          </w:p>
        </w:tc>
        <w:tc>
          <w:tcPr>
            <w:tcW w:w="1436" w:type="dxa"/>
            <w:tcBorders>
              <w:top w:val="nil"/>
              <w:left w:val="nil"/>
              <w:bottom w:val="single" w:color="auto" w:sz="8" w:space="0"/>
              <w:right w:val="single" w:color="auto" w:sz="4" w:space="0"/>
            </w:tcBorders>
            <w:shd w:val="clear" w:color="auto" w:fill="auto"/>
            <w:noWrap/>
            <w:vAlign w:val="center"/>
            <w:hideMark/>
          </w:tcPr>
          <w:p w:rsidRPr="00D7128A" w:rsidR="00093C0A" w:rsidP="0060195F" w:rsidRDefault="00093C0A" w14:paraId="5833CDE8"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30.4</w:t>
            </w:r>
          </w:p>
        </w:tc>
        <w:tc>
          <w:tcPr>
            <w:tcW w:w="1319" w:type="dxa"/>
            <w:tcBorders>
              <w:top w:val="nil"/>
              <w:left w:val="single" w:color="auto" w:sz="4" w:space="0"/>
              <w:bottom w:val="single" w:color="auto" w:sz="8" w:space="0"/>
              <w:right w:val="single" w:color="auto" w:sz="8" w:space="0"/>
            </w:tcBorders>
            <w:shd w:val="clear" w:color="auto" w:fill="auto"/>
            <w:noWrap/>
            <w:vAlign w:val="center"/>
            <w:hideMark/>
          </w:tcPr>
          <w:p w:rsidRPr="00D7128A" w:rsidR="00093C0A" w:rsidP="0060195F" w:rsidRDefault="00093C0A" w14:paraId="566F18D8"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1.8</w:t>
            </w:r>
          </w:p>
        </w:tc>
      </w:tr>
    </w:tbl>
    <w:p w:rsidRPr="00587204" w:rsidR="00093C0A" w:rsidP="00587204" w:rsidRDefault="00093C0A" w14:paraId="7A941AB2" w14:textId="77777777">
      <w:pPr>
        <w:spacing w:after="0" w:line="240" w:lineRule="auto"/>
        <w:ind w:firstLine="720"/>
        <w:rPr>
          <w:rFonts w:ascii="Times New Roman" w:hAnsi="Times New Roman" w:eastAsia="Calibri" w:cs="Times New Roman"/>
        </w:rPr>
      </w:pPr>
    </w:p>
    <w:p w:rsidR="00ED0535" w:rsidP="00305374" w:rsidRDefault="006626C9" w14:paraId="7BCDCC6F" w14:textId="63F6002B">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The third-party audit proposed provision would apply to all </w:t>
      </w:r>
      <w:r w:rsidRPr="00587204" w:rsidR="00860185">
        <w:rPr>
          <w:rFonts w:ascii="Times New Roman" w:hAnsi="Times New Roman" w:eastAsia="Calibri" w:cs="Times New Roman"/>
        </w:rPr>
        <w:t xml:space="preserve">P2 and P3 </w:t>
      </w:r>
      <w:r w:rsidRPr="00587204" w:rsidR="00093C0A">
        <w:rPr>
          <w:rFonts w:ascii="Times New Roman" w:hAnsi="Times New Roman" w:eastAsia="Calibri" w:cs="Times New Roman"/>
        </w:rPr>
        <w:t xml:space="preserve">facilities with two accidents within a </w:t>
      </w:r>
      <w:r w:rsidRPr="00587204" w:rsidR="007479B8">
        <w:rPr>
          <w:rFonts w:ascii="Times New Roman" w:hAnsi="Times New Roman" w:eastAsia="Calibri" w:cs="Times New Roman"/>
        </w:rPr>
        <w:t>five-year</w:t>
      </w:r>
      <w:r w:rsidRPr="00587204" w:rsidR="00093C0A">
        <w:rPr>
          <w:rFonts w:ascii="Times New Roman" w:hAnsi="Times New Roman" w:eastAsia="Calibri" w:cs="Times New Roman"/>
        </w:rPr>
        <w:t xml:space="preserve"> period and to any </w:t>
      </w:r>
      <w:r w:rsidR="00B93258">
        <w:rPr>
          <w:rFonts w:ascii="Times New Roman" w:hAnsi="Times New Roman" w:eastAsia="Calibri" w:cs="Times New Roman"/>
        </w:rPr>
        <w:t xml:space="preserve">P3 process </w:t>
      </w:r>
      <w:r w:rsidRPr="00587204" w:rsidR="00093C0A">
        <w:rPr>
          <w:rFonts w:ascii="Times New Roman" w:hAnsi="Times New Roman" w:eastAsia="Calibri" w:cs="Times New Roman"/>
        </w:rPr>
        <w:t xml:space="preserve">facility with </w:t>
      </w:r>
      <w:r w:rsidR="00B93258">
        <w:rPr>
          <w:rFonts w:ascii="Times New Roman" w:hAnsi="Times New Roman" w:eastAsia="Calibri" w:cs="Times New Roman"/>
        </w:rPr>
        <w:t xml:space="preserve">one accident </w:t>
      </w:r>
      <w:r w:rsidRPr="00587204" w:rsidR="00093C0A">
        <w:rPr>
          <w:rFonts w:ascii="Times New Roman" w:hAnsi="Times New Roman" w:eastAsia="Calibri" w:cs="Times New Roman"/>
        </w:rPr>
        <w:t>in NAICS 324 or 325 that is also within one mile of another RMP facility</w:t>
      </w:r>
      <w:r w:rsidR="001F4CD0">
        <w:rPr>
          <w:rStyle w:val="FootnoteReference"/>
          <w:rFonts w:ascii="Times New Roman" w:hAnsi="Times New Roman" w:eastAsia="Calibri" w:cs="Times New Roman"/>
        </w:rPr>
        <w:footnoteReference w:id="27"/>
      </w:r>
      <w:r w:rsidRPr="00587204" w:rsidR="00093C0A">
        <w:rPr>
          <w:rFonts w:ascii="Times New Roman" w:hAnsi="Times New Roman" w:eastAsia="Calibri" w:cs="Times New Roman"/>
        </w:rPr>
        <w:t xml:space="preserve"> with a process in NAICS 324 or </w:t>
      </w:r>
      <w:r w:rsidRPr="00587204" w:rsidDel="00720FA0" w:rsidR="00093C0A">
        <w:rPr>
          <w:rFonts w:ascii="Times New Roman" w:hAnsi="Times New Roman" w:eastAsia="Calibri" w:cs="Times New Roman"/>
        </w:rPr>
        <w:t>325</w:t>
      </w:r>
      <w:r w:rsidR="00B93258">
        <w:rPr>
          <w:rFonts w:ascii="Times New Roman" w:hAnsi="Times New Roman" w:eastAsia="Calibri" w:cs="Times New Roman"/>
        </w:rPr>
        <w:t>,</w:t>
      </w:r>
      <w:r w:rsidRPr="00587204" w:rsidR="00720FA0">
        <w:rPr>
          <w:rFonts w:ascii="Times New Roman" w:hAnsi="Times New Roman" w:eastAsia="Calibri" w:cs="Times New Roman"/>
        </w:rPr>
        <w:t xml:space="preserve"> or if an implementing agency requires it</w:t>
      </w:r>
      <w:r w:rsidRPr="00587204" w:rsidR="00093C0A">
        <w:rPr>
          <w:rFonts w:ascii="Times New Roman" w:hAnsi="Times New Roman" w:eastAsia="Calibri" w:cs="Times New Roman"/>
        </w:rPr>
        <w:t xml:space="preserve">. </w:t>
      </w:r>
      <w:r w:rsidRPr="00587204" w:rsidR="00ED0535">
        <w:rPr>
          <w:rFonts w:ascii="Times New Roman" w:hAnsi="Times New Roman" w:cs="Times New Roman"/>
        </w:rPr>
        <w:t xml:space="preserve">RMP facilities within the </w:t>
      </w:r>
      <w:r w:rsidRPr="00587204" w:rsidR="00047CE2">
        <w:rPr>
          <w:rFonts w:ascii="Times New Roman" w:hAnsi="Times New Roman" w:cs="Times New Roman"/>
        </w:rPr>
        <w:t xml:space="preserve">petroleum and coal products manufacturing (NAICS 324) and </w:t>
      </w:r>
      <w:r w:rsidRPr="00587204" w:rsidR="00ED0535">
        <w:rPr>
          <w:rFonts w:ascii="Times New Roman" w:hAnsi="Times New Roman" w:cs="Times New Roman"/>
        </w:rPr>
        <w:t xml:space="preserve">chemical manufacturing (NAICS 325) industries represent over 50 percent of the facilities with two or more accidents in </w:t>
      </w:r>
      <w:r w:rsidRPr="00587204" w:rsidR="006647B0">
        <w:rPr>
          <w:rFonts w:ascii="Times New Roman" w:hAnsi="Times New Roman" w:cs="Times New Roman"/>
        </w:rPr>
        <w:t>five years</w:t>
      </w:r>
      <w:r w:rsidRPr="00587204" w:rsidR="00ED0535">
        <w:rPr>
          <w:rFonts w:ascii="Times New Roman" w:hAnsi="Times New Roman" w:cs="Times New Roman"/>
        </w:rPr>
        <w:t>, and they have on average two and eight RMP-regulated processes, respectively, at their facilities.</w:t>
      </w:r>
      <w:r w:rsidRPr="00587204" w:rsidR="00ED0535">
        <w:rPr>
          <w:rStyle w:val="FootnoteReference"/>
          <w:rFonts w:ascii="Times New Roman" w:hAnsi="Times New Roman" w:cs="Times New Roman"/>
        </w:rPr>
        <w:footnoteReference w:id="28"/>
      </w:r>
    </w:p>
    <w:p w:rsidR="009F0976" w:rsidP="00305374" w:rsidRDefault="009F0976" w14:paraId="77A69358" w14:textId="77777777">
      <w:pPr>
        <w:spacing w:after="0" w:line="240" w:lineRule="auto"/>
        <w:ind w:firstLine="360"/>
        <w:rPr>
          <w:rFonts w:ascii="Times New Roman" w:hAnsi="Times New Roman" w:eastAsia="Calibri" w:cs="Times New Roman"/>
        </w:rPr>
      </w:pPr>
    </w:p>
    <w:p w:rsidRPr="00305374" w:rsidR="00093C0A" w:rsidP="00305374" w:rsidRDefault="006626C9" w14:paraId="1ED11BDF" w14:textId="711B7B1A">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Exhibit 3-7 presents the number of </w:t>
      </w:r>
      <w:r w:rsidRPr="00587204" w:rsidR="00860185">
        <w:rPr>
          <w:rFonts w:ascii="Times New Roman" w:hAnsi="Times New Roman" w:eastAsia="Calibri" w:cs="Times New Roman"/>
        </w:rPr>
        <w:t xml:space="preserve">P2 and P3 </w:t>
      </w:r>
      <w:r w:rsidRPr="00587204" w:rsidR="00093C0A">
        <w:rPr>
          <w:rFonts w:ascii="Times New Roman" w:hAnsi="Times New Roman" w:eastAsia="Calibri" w:cs="Times New Roman"/>
        </w:rPr>
        <w:t>RMP facilities with reportable accidents between 2016 and 2020 that would be subject to the third-party audit provision based</w:t>
      </w:r>
      <w:r w:rsidRPr="00587204" w:rsidR="009775CF">
        <w:rPr>
          <w:rFonts w:ascii="Times New Roman" w:hAnsi="Times New Roman" w:eastAsia="Calibri" w:cs="Times New Roman"/>
        </w:rPr>
        <w:t xml:space="preserve"> only </w:t>
      </w:r>
      <w:r w:rsidRPr="00587204" w:rsidR="00093C0A">
        <w:rPr>
          <w:rFonts w:ascii="Times New Roman" w:hAnsi="Times New Roman" w:eastAsia="Calibri" w:cs="Times New Roman"/>
        </w:rPr>
        <w:t>on the</w:t>
      </w:r>
      <w:r w:rsidRPr="00587204" w:rsidR="00860185">
        <w:rPr>
          <w:rFonts w:ascii="Times New Roman" w:hAnsi="Times New Roman" w:eastAsia="Calibri" w:cs="Times New Roman"/>
        </w:rPr>
        <w:t xml:space="preserve"> first</w:t>
      </w:r>
      <w:r w:rsidRPr="00587204" w:rsidR="00093C0A">
        <w:rPr>
          <w:rFonts w:ascii="Times New Roman" w:hAnsi="Times New Roman" w:eastAsia="Calibri" w:cs="Times New Roman"/>
        </w:rPr>
        <w:t xml:space="preserve"> two requirements. EPA expects the cost of a third-party audit to vary by facility size and type, and therefore separates facilities by their number of full-time employees</w:t>
      </w:r>
      <w:r w:rsidRPr="00587204" w:rsidR="00860CFA">
        <w:rPr>
          <w:rFonts w:ascii="Times New Roman" w:hAnsi="Times New Roman" w:eastAsia="Calibri" w:cs="Times New Roman"/>
        </w:rPr>
        <w:t xml:space="preserve"> (FTEs)</w:t>
      </w:r>
      <w:r w:rsidRPr="00587204" w:rsidR="00093C0A">
        <w:rPr>
          <w:rFonts w:ascii="Times New Roman" w:hAnsi="Times New Roman" w:eastAsia="Calibri" w:cs="Times New Roman"/>
        </w:rPr>
        <w:t xml:space="preserve">, whether they have complex processes, and whether they are </w:t>
      </w:r>
      <w:proofErr w:type="gramStart"/>
      <w:r w:rsidRPr="00587204" w:rsidR="00093C0A">
        <w:rPr>
          <w:rFonts w:ascii="Times New Roman" w:hAnsi="Times New Roman" w:eastAsia="Calibri" w:cs="Times New Roman"/>
        </w:rPr>
        <w:t>government-owned</w:t>
      </w:r>
      <w:proofErr w:type="gramEnd"/>
      <w:r w:rsidRPr="00587204" w:rsidR="00093C0A">
        <w:rPr>
          <w:rFonts w:ascii="Times New Roman" w:hAnsi="Times New Roman" w:eastAsia="Calibri" w:cs="Times New Roman"/>
        </w:rPr>
        <w:t>.</w:t>
      </w:r>
    </w:p>
    <w:p w:rsidRPr="00587204" w:rsidR="00377986" w:rsidP="00587204" w:rsidRDefault="00377986" w14:paraId="12CE3C86" w14:textId="77777777">
      <w:pPr>
        <w:spacing w:after="0" w:line="240" w:lineRule="auto"/>
        <w:jc w:val="center"/>
        <w:rPr>
          <w:rFonts w:ascii="Times New Roman" w:hAnsi="Times New Roman" w:eastAsia="Calibri" w:cs="Times New Roman"/>
          <w:b/>
        </w:rPr>
      </w:pPr>
    </w:p>
    <w:p w:rsidRPr="00305374" w:rsidR="00377986" w:rsidP="00305374" w:rsidRDefault="00093C0A" w14:paraId="2065975E" w14:textId="75B174B8">
      <w:pPr>
        <w:pStyle w:val="Caption"/>
        <w:jc w:val="center"/>
        <w:rPr>
          <w:rFonts w:ascii="Times New Roman" w:hAnsi="Times New Roman" w:eastAsia="Calibri" w:cs="Times New Roman"/>
          <w:b/>
          <w:i w:val="0"/>
          <w:color w:val="auto"/>
          <w:sz w:val="22"/>
          <w:szCs w:val="22"/>
        </w:rPr>
      </w:pPr>
      <w:r w:rsidRPr="00305374">
        <w:rPr>
          <w:rFonts w:ascii="Times New Roman" w:hAnsi="Times New Roman" w:cs="Times New Roman"/>
          <w:b/>
          <w:i w:val="0"/>
          <w:color w:val="auto"/>
          <w:sz w:val="22"/>
          <w:szCs w:val="22"/>
        </w:rPr>
        <w:t xml:space="preserve">Exhibit </w:t>
      </w:r>
      <w:r w:rsidRPr="00305374">
        <w:rPr>
          <w:rFonts w:ascii="Times New Roman" w:hAnsi="Times New Roman" w:eastAsia="Calibri" w:cs="Times New Roman"/>
          <w:b/>
          <w:i w:val="0"/>
          <w:color w:val="auto"/>
          <w:sz w:val="22"/>
          <w:szCs w:val="22"/>
        </w:rPr>
        <w:t>3-7: RMP Facilities with Reportable Accidents</w:t>
      </w:r>
      <w:r w:rsidRPr="00305374" w:rsidR="00D067F2">
        <w:rPr>
          <w:rFonts w:ascii="Times New Roman" w:hAnsi="Times New Roman" w:eastAsia="Calibri" w:cs="Times New Roman"/>
          <w:b/>
          <w:i w:val="0"/>
          <w:color w:val="auto"/>
          <w:sz w:val="22"/>
          <w:szCs w:val="22"/>
        </w:rPr>
        <w:t xml:space="preserve"> and Subject to Third-party Audits</w:t>
      </w:r>
      <w:r w:rsidR="006B33FC">
        <w:rPr>
          <w:rFonts w:ascii="Times New Roman" w:hAnsi="Times New Roman" w:eastAsia="Calibri" w:cs="Times New Roman"/>
          <w:b/>
          <w:bCs/>
          <w:i w:val="0"/>
          <w:iCs w:val="0"/>
          <w:color w:val="auto"/>
          <w:sz w:val="22"/>
          <w:szCs w:val="22"/>
        </w:rPr>
        <w:t xml:space="preserve"> (2016-2020).</w:t>
      </w:r>
    </w:p>
    <w:tbl>
      <w:tblPr>
        <w:tblW w:w="10070" w:type="dxa"/>
        <w:tblLook w:val="04A0" w:firstRow="1" w:lastRow="0" w:firstColumn="1" w:lastColumn="0" w:noHBand="0" w:noVBand="1"/>
      </w:tblPr>
      <w:tblGrid>
        <w:gridCol w:w="793"/>
        <w:gridCol w:w="2257"/>
        <w:gridCol w:w="1890"/>
        <w:gridCol w:w="2070"/>
        <w:gridCol w:w="1800"/>
        <w:gridCol w:w="1260"/>
      </w:tblGrid>
      <w:tr w:rsidRPr="00587204" w:rsidR="00093C0A" w:rsidTr="00305374" w14:paraId="13B427B8" w14:textId="77777777">
        <w:trPr>
          <w:trHeight w:val="300"/>
        </w:trPr>
        <w:tc>
          <w:tcPr>
            <w:tcW w:w="10070" w:type="dxa"/>
            <w:gridSpan w:val="6"/>
            <w:tcBorders>
              <w:top w:val="single" w:color="auto" w:sz="8" w:space="0"/>
              <w:left w:val="single" w:color="auto" w:sz="8" w:space="0"/>
              <w:bottom w:val="single" w:color="auto" w:sz="4" w:space="0"/>
              <w:right w:val="single" w:color="000000" w:sz="8" w:space="0"/>
            </w:tcBorders>
            <w:shd w:val="clear" w:color="000000" w:fill="D9D9D9"/>
            <w:noWrap/>
            <w:vAlign w:val="center"/>
            <w:hideMark/>
          </w:tcPr>
          <w:p w:rsidRPr="00D7128A" w:rsidR="00093C0A" w:rsidP="00167F64" w:rsidRDefault="00013E43" w14:paraId="0E74036D" w14:textId="7AEFE4A4">
            <w:pPr>
              <w:keepNext/>
              <w:keepLines/>
              <w:spacing w:after="0" w:line="240" w:lineRule="auto"/>
              <w:jc w:val="center"/>
              <w:rPr>
                <w:rFonts w:ascii="Times New Roman" w:hAnsi="Times New Roman" w:eastAsia="Times New Roman" w:cs="Times New Roman"/>
                <w:b/>
                <w:color w:val="000000"/>
                <w:sz w:val="20"/>
                <w:szCs w:val="20"/>
              </w:rPr>
            </w:pPr>
            <w:r w:rsidRPr="00D7128A">
              <w:rPr>
                <w:rFonts w:ascii="Times New Roman" w:hAnsi="Times New Roman" w:eastAsia="Times New Roman" w:cs="Times New Roman"/>
                <w:b/>
                <w:color w:val="000000"/>
                <w:sz w:val="20"/>
                <w:szCs w:val="20"/>
              </w:rPr>
              <w:t>P2 and P3</w:t>
            </w:r>
            <w:r w:rsidRPr="00D7128A" w:rsidR="00093C0A">
              <w:rPr>
                <w:rFonts w:ascii="Times New Roman" w:hAnsi="Times New Roman" w:eastAsia="Times New Roman" w:cs="Times New Roman"/>
                <w:b/>
                <w:color w:val="000000"/>
                <w:sz w:val="20"/>
                <w:szCs w:val="20"/>
              </w:rPr>
              <w:t xml:space="preserve"> Facilities with Reportable Accidents 2016-2020 by Facility Type and Size</w:t>
            </w:r>
          </w:p>
        </w:tc>
      </w:tr>
      <w:tr w:rsidRPr="00587204" w:rsidR="00093C0A" w:rsidTr="00305374" w14:paraId="15D1A8A8" w14:textId="77777777">
        <w:trPr>
          <w:trHeight w:val="290"/>
        </w:trPr>
        <w:tc>
          <w:tcPr>
            <w:tcW w:w="793" w:type="dxa"/>
            <w:tcBorders>
              <w:top w:val="nil"/>
              <w:left w:val="single" w:color="auto" w:sz="8" w:space="0"/>
              <w:bottom w:val="single" w:color="auto" w:sz="4" w:space="0"/>
              <w:right w:val="single" w:color="auto" w:sz="4" w:space="0"/>
            </w:tcBorders>
            <w:shd w:val="clear" w:color="000000" w:fill="F2F2F2"/>
            <w:noWrap/>
            <w:vAlign w:val="center"/>
            <w:hideMark/>
          </w:tcPr>
          <w:p w:rsidRPr="00D7128A" w:rsidR="00093C0A" w:rsidP="00305374" w:rsidRDefault="00093C0A" w14:paraId="01647D63" w14:textId="52F8173E">
            <w:pPr>
              <w:keepNext/>
              <w:keepLines/>
              <w:spacing w:after="0" w:line="240" w:lineRule="auto"/>
              <w:jc w:val="center"/>
              <w:rPr>
                <w:rFonts w:ascii="Times New Roman" w:hAnsi="Times New Roman" w:cs="Times New Roman"/>
                <w:color w:val="000000"/>
                <w:sz w:val="20"/>
                <w:szCs w:val="20"/>
              </w:rPr>
            </w:pPr>
          </w:p>
        </w:tc>
        <w:tc>
          <w:tcPr>
            <w:tcW w:w="9277" w:type="dxa"/>
            <w:gridSpan w:val="5"/>
            <w:tcBorders>
              <w:top w:val="single" w:color="auto" w:sz="4" w:space="0"/>
              <w:left w:val="single" w:color="auto" w:sz="4" w:space="0"/>
              <w:bottom w:val="single" w:color="auto" w:sz="4" w:space="0"/>
              <w:right w:val="single" w:color="000000" w:sz="8" w:space="0"/>
            </w:tcBorders>
            <w:shd w:val="clear" w:color="000000" w:fill="F2F2F2"/>
            <w:noWrap/>
            <w:vAlign w:val="center"/>
            <w:hideMark/>
          </w:tcPr>
          <w:p w:rsidRPr="00D7128A" w:rsidR="00093C0A" w:rsidP="00167F64" w:rsidRDefault="00093C0A" w14:paraId="072AF3A5" w14:textId="12A076C0">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Facilities</w:t>
            </w:r>
          </w:p>
        </w:tc>
      </w:tr>
      <w:tr w:rsidRPr="00587204" w:rsidR="00093C0A" w:rsidTr="00305374" w14:paraId="449DA948" w14:textId="77777777">
        <w:trPr>
          <w:trHeight w:val="290"/>
        </w:trPr>
        <w:tc>
          <w:tcPr>
            <w:tcW w:w="793" w:type="dxa"/>
            <w:tcBorders>
              <w:top w:val="nil"/>
              <w:left w:val="single" w:color="auto" w:sz="8" w:space="0"/>
              <w:bottom w:val="single" w:color="auto" w:sz="4" w:space="0"/>
              <w:right w:val="single" w:color="auto" w:sz="4" w:space="0"/>
            </w:tcBorders>
            <w:shd w:val="clear" w:color="000000" w:fill="F2F2F2"/>
            <w:noWrap/>
            <w:vAlign w:val="center"/>
            <w:hideMark/>
          </w:tcPr>
          <w:p w:rsidRPr="00D7128A" w:rsidR="00093C0A" w:rsidP="00305374" w:rsidRDefault="00093C0A" w14:paraId="273FFE5A" w14:textId="30F85355">
            <w:pPr>
              <w:keepNext/>
              <w:keepLines/>
              <w:spacing w:after="0" w:line="240" w:lineRule="auto"/>
              <w:jc w:val="center"/>
              <w:rPr>
                <w:rFonts w:ascii="Times New Roman" w:hAnsi="Times New Roman" w:cs="Times New Roman"/>
                <w:color w:val="000000"/>
                <w:sz w:val="20"/>
                <w:szCs w:val="20"/>
              </w:rPr>
            </w:pPr>
          </w:p>
        </w:tc>
        <w:tc>
          <w:tcPr>
            <w:tcW w:w="2257" w:type="dxa"/>
            <w:tcBorders>
              <w:top w:val="single" w:color="auto" w:sz="4" w:space="0"/>
              <w:left w:val="single" w:color="auto" w:sz="4" w:space="0"/>
              <w:bottom w:val="nil"/>
              <w:right w:val="single" w:color="auto" w:sz="4" w:space="0"/>
            </w:tcBorders>
            <w:shd w:val="clear" w:color="000000" w:fill="F2F2F2"/>
            <w:noWrap/>
            <w:vAlign w:val="center"/>
            <w:hideMark/>
          </w:tcPr>
          <w:p w:rsidRPr="00D7128A" w:rsidR="00093C0A" w:rsidP="00167F64" w:rsidRDefault="00093C0A" w14:paraId="5D0D7F33"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With 1 Accident</w:t>
            </w:r>
          </w:p>
        </w:tc>
        <w:tc>
          <w:tcPr>
            <w:tcW w:w="7020" w:type="dxa"/>
            <w:gridSpan w:val="4"/>
            <w:tcBorders>
              <w:top w:val="single" w:color="auto" w:sz="4" w:space="0"/>
              <w:left w:val="nil"/>
              <w:bottom w:val="single" w:color="auto" w:sz="4" w:space="0"/>
              <w:right w:val="single" w:color="000000" w:sz="8" w:space="0"/>
            </w:tcBorders>
            <w:shd w:val="clear" w:color="000000" w:fill="F2F2F2"/>
            <w:noWrap/>
            <w:vAlign w:val="center"/>
            <w:hideMark/>
          </w:tcPr>
          <w:p w:rsidRPr="00D7128A" w:rsidR="00093C0A" w:rsidP="00167F64" w:rsidRDefault="00093C0A" w14:paraId="69D5A812"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With 2+ Accidents</w:t>
            </w:r>
          </w:p>
        </w:tc>
      </w:tr>
      <w:tr w:rsidRPr="00587204" w:rsidR="00093C0A" w:rsidTr="00305374" w14:paraId="6DC7C0CF" w14:textId="77777777">
        <w:trPr>
          <w:trHeight w:val="290"/>
        </w:trPr>
        <w:tc>
          <w:tcPr>
            <w:tcW w:w="793" w:type="dxa"/>
            <w:tcBorders>
              <w:top w:val="nil"/>
              <w:left w:val="single" w:color="auto" w:sz="8" w:space="0"/>
              <w:bottom w:val="single" w:color="auto" w:sz="4" w:space="0"/>
              <w:right w:val="single" w:color="auto" w:sz="4" w:space="0"/>
            </w:tcBorders>
            <w:shd w:val="clear" w:color="000000" w:fill="F2F2F2"/>
            <w:noWrap/>
            <w:vAlign w:val="center"/>
            <w:hideMark/>
          </w:tcPr>
          <w:p w:rsidRPr="00D7128A" w:rsidR="00093C0A" w:rsidP="00305374" w:rsidRDefault="00093C0A" w14:paraId="6F741AD3"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FTEs</w:t>
            </w:r>
          </w:p>
        </w:tc>
        <w:tc>
          <w:tcPr>
            <w:tcW w:w="2257" w:type="dxa"/>
            <w:tcBorders>
              <w:top w:val="single" w:color="auto" w:sz="4" w:space="0"/>
              <w:left w:val="single" w:color="auto" w:sz="4" w:space="0"/>
              <w:bottom w:val="nil"/>
              <w:right w:val="single" w:color="auto" w:sz="4" w:space="0"/>
            </w:tcBorders>
            <w:shd w:val="clear" w:color="000000" w:fill="F2F2F2"/>
            <w:noWrap/>
            <w:vAlign w:val="center"/>
            <w:hideMark/>
          </w:tcPr>
          <w:p w:rsidRPr="00D7128A" w:rsidR="00093C0A" w:rsidP="00167F64" w:rsidRDefault="00093C0A" w14:paraId="54361187" w14:textId="530CEE5E">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 xml:space="preserve">Complex within </w:t>
            </w:r>
            <w:r w:rsidRPr="00D7128A" w:rsidR="00013E43">
              <w:rPr>
                <w:rFonts w:ascii="Times New Roman" w:hAnsi="Times New Roman" w:eastAsia="Times New Roman" w:cs="Times New Roman"/>
                <w:color w:val="000000"/>
                <w:sz w:val="20"/>
                <w:szCs w:val="20"/>
              </w:rPr>
              <w:t>1</w:t>
            </w:r>
            <w:r w:rsidRPr="00D7128A" w:rsidR="005E6FE1">
              <w:rPr>
                <w:rFonts w:ascii="Times New Roman" w:hAnsi="Times New Roman" w:eastAsia="Times New Roman" w:cs="Times New Roman"/>
                <w:color w:val="000000"/>
                <w:sz w:val="20"/>
                <w:szCs w:val="20"/>
              </w:rPr>
              <w:t xml:space="preserve"> </w:t>
            </w:r>
            <w:r w:rsidRPr="00D7128A" w:rsidR="00013E43">
              <w:rPr>
                <w:rFonts w:ascii="Times New Roman" w:hAnsi="Times New Roman" w:eastAsia="Times New Roman" w:cs="Times New Roman"/>
                <w:color w:val="000000"/>
                <w:sz w:val="20"/>
                <w:szCs w:val="20"/>
              </w:rPr>
              <w:t>mi</w:t>
            </w:r>
            <w:r w:rsidRPr="00D7128A" w:rsidR="005E6FE1">
              <w:rPr>
                <w:rFonts w:ascii="Times New Roman" w:hAnsi="Times New Roman" w:eastAsia="Times New Roman" w:cs="Times New Roman"/>
                <w:color w:val="000000"/>
                <w:sz w:val="20"/>
                <w:szCs w:val="20"/>
              </w:rPr>
              <w:t>le</w:t>
            </w:r>
            <w:r w:rsidRPr="00D7128A">
              <w:rPr>
                <w:rFonts w:ascii="Times New Roman" w:hAnsi="Times New Roman" w:eastAsia="Times New Roman" w:cs="Times New Roman"/>
                <w:color w:val="000000"/>
                <w:sz w:val="20"/>
                <w:szCs w:val="20"/>
              </w:rPr>
              <w:t xml:space="preserve"> of another </w:t>
            </w:r>
            <w:r w:rsidRPr="00D7128A" w:rsidR="00C93B8E">
              <w:rPr>
                <w:rFonts w:ascii="Times New Roman" w:hAnsi="Times New Roman" w:eastAsia="Times New Roman" w:cs="Times New Roman"/>
                <w:color w:val="000000"/>
                <w:sz w:val="20"/>
                <w:szCs w:val="20"/>
              </w:rPr>
              <w:t xml:space="preserve">complex </w:t>
            </w:r>
            <w:r w:rsidRPr="00D7128A">
              <w:rPr>
                <w:rFonts w:ascii="Times New Roman" w:hAnsi="Times New Roman" w:eastAsia="Times New Roman" w:cs="Times New Roman"/>
                <w:color w:val="000000"/>
                <w:sz w:val="20"/>
                <w:szCs w:val="20"/>
              </w:rPr>
              <w:t>facility</w:t>
            </w:r>
          </w:p>
        </w:tc>
        <w:tc>
          <w:tcPr>
            <w:tcW w:w="1890" w:type="dxa"/>
            <w:tcBorders>
              <w:top w:val="single" w:color="auto" w:sz="4" w:space="0"/>
              <w:left w:val="nil"/>
              <w:bottom w:val="single" w:color="auto" w:sz="4" w:space="0"/>
              <w:right w:val="single" w:color="auto" w:sz="4" w:space="0"/>
            </w:tcBorders>
            <w:shd w:val="clear" w:color="000000" w:fill="F2F2F2"/>
            <w:noWrap/>
            <w:vAlign w:val="center"/>
            <w:hideMark/>
          </w:tcPr>
          <w:p w:rsidRPr="00D7128A" w:rsidR="00093C0A" w:rsidP="00167F64" w:rsidRDefault="00093C0A" w14:paraId="394B5211" w14:textId="48296BCB">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Complex</w:t>
            </w:r>
            <w:r w:rsidRPr="00D7128A" w:rsidR="00013E43">
              <w:rPr>
                <w:rFonts w:ascii="Times New Roman" w:hAnsi="Times New Roman" w:eastAsia="Times New Roman" w:cs="Times New Roman"/>
                <w:color w:val="000000"/>
                <w:sz w:val="20"/>
                <w:szCs w:val="20"/>
              </w:rPr>
              <w:t xml:space="preserve"> within 1</w:t>
            </w:r>
            <w:r w:rsidRPr="00D7128A" w:rsidR="00C255E7">
              <w:rPr>
                <w:rFonts w:ascii="Times New Roman" w:hAnsi="Times New Roman" w:eastAsia="Times New Roman" w:cs="Times New Roman"/>
                <w:color w:val="000000"/>
                <w:sz w:val="20"/>
                <w:szCs w:val="20"/>
              </w:rPr>
              <w:t xml:space="preserve"> </w:t>
            </w:r>
            <w:r w:rsidRPr="00D7128A" w:rsidR="00013E43">
              <w:rPr>
                <w:rFonts w:ascii="Times New Roman" w:hAnsi="Times New Roman" w:eastAsia="Times New Roman" w:cs="Times New Roman"/>
                <w:color w:val="000000"/>
                <w:sz w:val="20"/>
                <w:szCs w:val="20"/>
              </w:rPr>
              <w:t>mi</w:t>
            </w:r>
            <w:r w:rsidRPr="00D7128A" w:rsidR="005E6FE1">
              <w:rPr>
                <w:rFonts w:ascii="Times New Roman" w:hAnsi="Times New Roman" w:eastAsia="Times New Roman" w:cs="Times New Roman"/>
                <w:color w:val="000000"/>
                <w:sz w:val="20"/>
                <w:szCs w:val="20"/>
              </w:rPr>
              <w:t xml:space="preserve">le </w:t>
            </w:r>
            <w:r w:rsidRPr="00D7128A" w:rsidR="00013E43">
              <w:rPr>
                <w:rFonts w:ascii="Times New Roman" w:hAnsi="Times New Roman" w:eastAsia="Times New Roman" w:cs="Times New Roman"/>
                <w:color w:val="000000"/>
                <w:sz w:val="20"/>
                <w:szCs w:val="20"/>
              </w:rPr>
              <w:t>of another complex facility</w:t>
            </w:r>
          </w:p>
        </w:tc>
        <w:tc>
          <w:tcPr>
            <w:tcW w:w="2070" w:type="dxa"/>
            <w:tcBorders>
              <w:top w:val="single" w:color="auto" w:sz="4" w:space="0"/>
              <w:left w:val="nil"/>
              <w:bottom w:val="single" w:color="auto" w:sz="4" w:space="0"/>
              <w:right w:val="single" w:color="auto" w:sz="4" w:space="0"/>
            </w:tcBorders>
            <w:shd w:val="clear" w:color="000000" w:fill="F2F2F2"/>
            <w:noWrap/>
            <w:vAlign w:val="center"/>
            <w:hideMark/>
          </w:tcPr>
          <w:p w:rsidRPr="00D7128A" w:rsidR="00013E43" w:rsidP="00D947A3" w:rsidRDefault="00013E43" w14:paraId="6E8C7C2D" w14:textId="5B80BC32">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Complex &gt;1mi</w:t>
            </w:r>
            <w:r w:rsidRPr="00D7128A" w:rsidR="005E6FE1">
              <w:rPr>
                <w:rFonts w:ascii="Times New Roman" w:hAnsi="Times New Roman" w:eastAsia="Times New Roman" w:cs="Times New Roman"/>
                <w:color w:val="000000"/>
                <w:sz w:val="20"/>
                <w:szCs w:val="20"/>
              </w:rPr>
              <w:t>le</w:t>
            </w:r>
            <w:r w:rsidRPr="00D7128A">
              <w:rPr>
                <w:rFonts w:ascii="Times New Roman" w:hAnsi="Times New Roman" w:eastAsia="Times New Roman" w:cs="Times New Roman"/>
                <w:color w:val="000000"/>
                <w:sz w:val="20"/>
                <w:szCs w:val="20"/>
              </w:rPr>
              <w:t xml:space="preserve"> from another complex facility</w:t>
            </w:r>
          </w:p>
        </w:tc>
        <w:tc>
          <w:tcPr>
            <w:tcW w:w="1800" w:type="dxa"/>
            <w:tcBorders>
              <w:top w:val="single" w:color="auto" w:sz="4" w:space="0"/>
              <w:left w:val="nil"/>
              <w:bottom w:val="single" w:color="auto" w:sz="4" w:space="0"/>
              <w:right w:val="single" w:color="auto" w:sz="4" w:space="0"/>
            </w:tcBorders>
            <w:shd w:val="clear" w:color="000000" w:fill="F2F2F2"/>
            <w:noWrap/>
            <w:vAlign w:val="center"/>
            <w:hideMark/>
          </w:tcPr>
          <w:p w:rsidRPr="00D7128A" w:rsidR="005E6FE1" w:rsidP="00167F64" w:rsidRDefault="00093C0A" w14:paraId="4FA85512"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Simple</w:t>
            </w:r>
          </w:p>
          <w:p w:rsidRPr="00D7128A" w:rsidR="00093C0A" w:rsidP="00167F64" w:rsidRDefault="00093C0A" w14:paraId="199830D7" w14:textId="41A1A478">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(non-gov</w:t>
            </w:r>
            <w:r w:rsidRPr="00D7128A" w:rsidR="005E6FE1">
              <w:rPr>
                <w:rFonts w:ascii="Times New Roman" w:hAnsi="Times New Roman" w:eastAsia="Times New Roman" w:cs="Times New Roman"/>
                <w:color w:val="000000"/>
                <w:sz w:val="20"/>
                <w:szCs w:val="20"/>
              </w:rPr>
              <w:t>’t</w:t>
            </w:r>
            <w:r w:rsidRPr="00D7128A">
              <w:rPr>
                <w:rFonts w:ascii="Times New Roman" w:hAnsi="Times New Roman" w:eastAsia="Times New Roman" w:cs="Times New Roman"/>
                <w:color w:val="000000"/>
                <w:sz w:val="20"/>
                <w:szCs w:val="20"/>
              </w:rPr>
              <w:t>)</w:t>
            </w:r>
          </w:p>
        </w:tc>
        <w:tc>
          <w:tcPr>
            <w:tcW w:w="1260" w:type="dxa"/>
            <w:tcBorders>
              <w:top w:val="nil"/>
              <w:left w:val="single" w:color="auto" w:sz="4" w:space="0"/>
              <w:bottom w:val="single" w:color="auto" w:sz="4" w:space="0"/>
              <w:right w:val="single" w:color="auto" w:sz="8" w:space="0"/>
            </w:tcBorders>
            <w:shd w:val="clear" w:color="000000" w:fill="F2F2F2"/>
            <w:noWrap/>
            <w:vAlign w:val="center"/>
            <w:hideMark/>
          </w:tcPr>
          <w:p w:rsidRPr="00D7128A" w:rsidR="00093C0A" w:rsidP="00167F64" w:rsidRDefault="00093C0A" w14:paraId="7E9679B3"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Government</w:t>
            </w:r>
          </w:p>
        </w:tc>
      </w:tr>
      <w:tr w:rsidRPr="00587204" w:rsidR="00093C0A" w:rsidTr="00305374" w14:paraId="0BD3E1DF" w14:textId="77777777">
        <w:trPr>
          <w:trHeight w:val="290"/>
        </w:trPr>
        <w:tc>
          <w:tcPr>
            <w:tcW w:w="793" w:type="dxa"/>
            <w:tcBorders>
              <w:top w:val="nil"/>
              <w:left w:val="single" w:color="auto" w:sz="8" w:space="0"/>
              <w:bottom w:val="single" w:color="auto" w:sz="4" w:space="0"/>
              <w:right w:val="nil"/>
            </w:tcBorders>
            <w:shd w:val="clear" w:color="auto" w:fill="auto"/>
            <w:noWrap/>
            <w:vAlign w:val="center"/>
            <w:hideMark/>
          </w:tcPr>
          <w:p w:rsidRPr="00D7128A" w:rsidR="00093C0A" w:rsidP="00305374" w:rsidRDefault="00093C0A" w14:paraId="233CBDE9"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0-19</w:t>
            </w:r>
          </w:p>
        </w:tc>
        <w:tc>
          <w:tcPr>
            <w:tcW w:w="2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128A" w:rsidR="00093C0A" w:rsidP="00167F64" w:rsidRDefault="00013E43" w14:paraId="6C4E5F18" w14:textId="06F1F07C">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2</w:t>
            </w:r>
          </w:p>
        </w:tc>
        <w:tc>
          <w:tcPr>
            <w:tcW w:w="1890" w:type="dxa"/>
            <w:tcBorders>
              <w:top w:val="nil"/>
              <w:left w:val="nil"/>
              <w:bottom w:val="single" w:color="auto" w:sz="4" w:space="0"/>
              <w:right w:val="single" w:color="auto" w:sz="4" w:space="0"/>
            </w:tcBorders>
            <w:shd w:val="clear" w:color="auto" w:fill="auto"/>
            <w:noWrap/>
            <w:vAlign w:val="center"/>
            <w:hideMark/>
          </w:tcPr>
          <w:p w:rsidRPr="00D7128A" w:rsidR="00013E43" w:rsidP="00D947A3" w:rsidRDefault="00013E43" w14:paraId="235C830C"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0</w:t>
            </w:r>
          </w:p>
        </w:tc>
        <w:tc>
          <w:tcPr>
            <w:tcW w:w="2070" w:type="dxa"/>
            <w:tcBorders>
              <w:top w:val="nil"/>
              <w:left w:val="nil"/>
              <w:bottom w:val="single" w:color="auto" w:sz="4" w:space="0"/>
              <w:right w:val="single" w:color="auto" w:sz="4" w:space="0"/>
            </w:tcBorders>
            <w:shd w:val="clear" w:color="auto" w:fill="auto"/>
            <w:noWrap/>
            <w:vAlign w:val="center"/>
            <w:hideMark/>
          </w:tcPr>
          <w:p w:rsidRPr="00D7128A" w:rsidR="00093C0A" w:rsidP="00167F64" w:rsidRDefault="00093C0A" w14:paraId="15A3188D" w14:textId="760D5135">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w:t>
            </w:r>
          </w:p>
        </w:tc>
        <w:tc>
          <w:tcPr>
            <w:tcW w:w="1800" w:type="dxa"/>
            <w:tcBorders>
              <w:top w:val="nil"/>
              <w:left w:val="nil"/>
              <w:bottom w:val="single" w:color="auto" w:sz="4" w:space="0"/>
              <w:right w:val="single" w:color="auto" w:sz="4" w:space="0"/>
            </w:tcBorders>
            <w:shd w:val="clear" w:color="auto" w:fill="auto"/>
            <w:noWrap/>
            <w:vAlign w:val="center"/>
            <w:hideMark/>
          </w:tcPr>
          <w:p w:rsidRPr="00D7128A" w:rsidR="00093C0A" w:rsidP="00167F64" w:rsidRDefault="00093C0A" w14:paraId="2CF1A461"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5</w:t>
            </w:r>
          </w:p>
        </w:tc>
        <w:tc>
          <w:tcPr>
            <w:tcW w:w="1260" w:type="dxa"/>
            <w:tcBorders>
              <w:top w:val="nil"/>
              <w:left w:val="single" w:color="auto" w:sz="4" w:space="0"/>
              <w:bottom w:val="single" w:color="auto" w:sz="4" w:space="0"/>
              <w:right w:val="single" w:color="auto" w:sz="8" w:space="0"/>
            </w:tcBorders>
            <w:shd w:val="clear" w:color="auto" w:fill="auto"/>
            <w:noWrap/>
            <w:vAlign w:val="center"/>
            <w:hideMark/>
          </w:tcPr>
          <w:p w:rsidRPr="00D7128A" w:rsidR="00093C0A" w:rsidP="00167F64" w:rsidRDefault="00093C0A" w14:paraId="4D3BD7D5"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w:t>
            </w:r>
          </w:p>
        </w:tc>
      </w:tr>
      <w:tr w:rsidRPr="00587204" w:rsidR="00093C0A" w:rsidTr="00305374" w14:paraId="2A91F11D" w14:textId="77777777">
        <w:trPr>
          <w:trHeight w:val="290"/>
        </w:trPr>
        <w:tc>
          <w:tcPr>
            <w:tcW w:w="793" w:type="dxa"/>
            <w:tcBorders>
              <w:top w:val="nil"/>
              <w:left w:val="single" w:color="auto" w:sz="8" w:space="0"/>
              <w:bottom w:val="single" w:color="auto" w:sz="4" w:space="0"/>
              <w:right w:val="nil"/>
            </w:tcBorders>
            <w:shd w:val="clear" w:color="auto" w:fill="auto"/>
            <w:noWrap/>
            <w:vAlign w:val="center"/>
            <w:hideMark/>
          </w:tcPr>
          <w:p w:rsidRPr="00D7128A" w:rsidR="00093C0A" w:rsidP="00305374" w:rsidRDefault="00093C0A" w14:paraId="5A8CD32B"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20-99</w:t>
            </w:r>
          </w:p>
        </w:tc>
        <w:tc>
          <w:tcPr>
            <w:tcW w:w="2257" w:type="dxa"/>
            <w:tcBorders>
              <w:top w:val="nil"/>
              <w:left w:val="single" w:color="auto" w:sz="4" w:space="0"/>
              <w:bottom w:val="single" w:color="auto" w:sz="4" w:space="0"/>
              <w:right w:val="single" w:color="auto" w:sz="4" w:space="0"/>
            </w:tcBorders>
            <w:shd w:val="clear" w:color="auto" w:fill="auto"/>
            <w:noWrap/>
            <w:vAlign w:val="center"/>
            <w:hideMark/>
          </w:tcPr>
          <w:p w:rsidRPr="00D7128A" w:rsidR="00093C0A" w:rsidP="00167F64" w:rsidRDefault="00013E43" w14:paraId="678E0A6F" w14:textId="0AA38830">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8</w:t>
            </w:r>
          </w:p>
        </w:tc>
        <w:tc>
          <w:tcPr>
            <w:tcW w:w="1890" w:type="dxa"/>
            <w:tcBorders>
              <w:top w:val="nil"/>
              <w:left w:val="nil"/>
              <w:bottom w:val="single" w:color="auto" w:sz="4" w:space="0"/>
              <w:right w:val="single" w:color="auto" w:sz="4" w:space="0"/>
            </w:tcBorders>
            <w:shd w:val="clear" w:color="auto" w:fill="auto"/>
            <w:noWrap/>
            <w:vAlign w:val="center"/>
            <w:hideMark/>
          </w:tcPr>
          <w:p w:rsidRPr="00D7128A" w:rsidR="00093C0A" w:rsidP="00167F64" w:rsidRDefault="00013E43" w14:paraId="4F334127" w14:textId="3EAC4353">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2</w:t>
            </w:r>
          </w:p>
        </w:tc>
        <w:tc>
          <w:tcPr>
            <w:tcW w:w="2070" w:type="dxa"/>
            <w:tcBorders>
              <w:top w:val="nil"/>
              <w:left w:val="nil"/>
              <w:bottom w:val="single" w:color="auto" w:sz="4" w:space="0"/>
              <w:right w:val="single" w:color="auto" w:sz="4" w:space="0"/>
            </w:tcBorders>
            <w:shd w:val="clear" w:color="auto" w:fill="auto"/>
            <w:noWrap/>
            <w:vAlign w:val="center"/>
            <w:hideMark/>
          </w:tcPr>
          <w:p w:rsidRPr="00D7128A" w:rsidR="00093C0A" w:rsidP="00167F64" w:rsidRDefault="00013E43" w14:paraId="7C576688" w14:textId="719F8F3B">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3</w:t>
            </w:r>
          </w:p>
        </w:tc>
        <w:tc>
          <w:tcPr>
            <w:tcW w:w="1800" w:type="dxa"/>
            <w:tcBorders>
              <w:top w:val="nil"/>
              <w:left w:val="nil"/>
              <w:bottom w:val="single" w:color="auto" w:sz="4" w:space="0"/>
              <w:right w:val="single" w:color="auto" w:sz="4" w:space="0"/>
            </w:tcBorders>
            <w:shd w:val="clear" w:color="auto" w:fill="auto"/>
            <w:noWrap/>
            <w:vAlign w:val="center"/>
            <w:hideMark/>
          </w:tcPr>
          <w:p w:rsidRPr="00D7128A" w:rsidR="00013E43" w:rsidP="00D947A3" w:rsidRDefault="00013E43" w14:paraId="0605A987"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4</w:t>
            </w:r>
          </w:p>
        </w:tc>
        <w:tc>
          <w:tcPr>
            <w:tcW w:w="1260" w:type="dxa"/>
            <w:tcBorders>
              <w:top w:val="nil"/>
              <w:left w:val="single" w:color="auto" w:sz="4" w:space="0"/>
              <w:bottom w:val="single" w:color="auto" w:sz="4" w:space="0"/>
              <w:right w:val="single" w:color="auto" w:sz="8" w:space="0"/>
            </w:tcBorders>
            <w:shd w:val="clear" w:color="auto" w:fill="auto"/>
            <w:noWrap/>
            <w:vAlign w:val="center"/>
            <w:hideMark/>
          </w:tcPr>
          <w:p w:rsidRPr="00D7128A" w:rsidR="00093C0A" w:rsidP="00167F64" w:rsidRDefault="00093C0A" w14:paraId="400568CA" w14:textId="56669B8C">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w:t>
            </w:r>
          </w:p>
        </w:tc>
      </w:tr>
      <w:tr w:rsidRPr="00587204" w:rsidR="00093C0A" w:rsidTr="00305374" w14:paraId="63410133" w14:textId="77777777">
        <w:trPr>
          <w:trHeight w:val="300"/>
        </w:trPr>
        <w:tc>
          <w:tcPr>
            <w:tcW w:w="793" w:type="dxa"/>
            <w:tcBorders>
              <w:top w:val="nil"/>
              <w:left w:val="single" w:color="auto" w:sz="8" w:space="0"/>
              <w:bottom w:val="single" w:color="auto" w:sz="8" w:space="0"/>
              <w:right w:val="nil"/>
            </w:tcBorders>
            <w:shd w:val="clear" w:color="auto" w:fill="auto"/>
            <w:noWrap/>
            <w:vAlign w:val="center"/>
            <w:hideMark/>
          </w:tcPr>
          <w:p w:rsidRPr="00D7128A" w:rsidR="00093C0A" w:rsidP="00305374" w:rsidRDefault="00093C0A" w14:paraId="3BDBB64F" w14:textId="77777777">
            <w:pPr>
              <w:keepNext/>
              <w:keepLines/>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100+</w:t>
            </w:r>
          </w:p>
        </w:tc>
        <w:tc>
          <w:tcPr>
            <w:tcW w:w="2257" w:type="dxa"/>
            <w:tcBorders>
              <w:top w:val="nil"/>
              <w:left w:val="single" w:color="auto" w:sz="4" w:space="0"/>
              <w:bottom w:val="single" w:color="auto" w:sz="8" w:space="0"/>
              <w:right w:val="single" w:color="auto" w:sz="4" w:space="0"/>
            </w:tcBorders>
            <w:shd w:val="clear" w:color="auto" w:fill="auto"/>
            <w:noWrap/>
            <w:vAlign w:val="center"/>
            <w:hideMark/>
          </w:tcPr>
          <w:p w:rsidRPr="00D7128A" w:rsidR="00093C0A" w:rsidP="00167F64" w:rsidRDefault="00013E43" w14:paraId="76EDC731" w14:textId="1146C099">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34</w:t>
            </w:r>
          </w:p>
        </w:tc>
        <w:tc>
          <w:tcPr>
            <w:tcW w:w="1890" w:type="dxa"/>
            <w:tcBorders>
              <w:top w:val="nil"/>
              <w:left w:val="nil"/>
              <w:bottom w:val="single" w:color="auto" w:sz="8" w:space="0"/>
              <w:right w:val="single" w:color="auto" w:sz="4" w:space="0"/>
            </w:tcBorders>
            <w:shd w:val="clear" w:color="auto" w:fill="auto"/>
            <w:noWrap/>
            <w:vAlign w:val="center"/>
            <w:hideMark/>
          </w:tcPr>
          <w:p w:rsidRPr="00D7128A" w:rsidR="00093C0A" w:rsidP="00167F64" w:rsidRDefault="00013E43" w14:paraId="1AFFA27B" w14:textId="6257724A">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19</w:t>
            </w:r>
          </w:p>
        </w:tc>
        <w:tc>
          <w:tcPr>
            <w:tcW w:w="2070" w:type="dxa"/>
            <w:tcBorders>
              <w:top w:val="nil"/>
              <w:left w:val="nil"/>
              <w:bottom w:val="single" w:color="auto" w:sz="8" w:space="0"/>
              <w:right w:val="single" w:color="auto" w:sz="4" w:space="0"/>
            </w:tcBorders>
            <w:shd w:val="clear" w:color="auto" w:fill="auto"/>
            <w:noWrap/>
            <w:vAlign w:val="center"/>
            <w:hideMark/>
          </w:tcPr>
          <w:p w:rsidRPr="00D7128A" w:rsidR="00013E43" w:rsidP="00D947A3" w:rsidRDefault="00013E43" w14:paraId="6D9950D6"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17</w:t>
            </w:r>
          </w:p>
        </w:tc>
        <w:tc>
          <w:tcPr>
            <w:tcW w:w="1800" w:type="dxa"/>
            <w:tcBorders>
              <w:top w:val="nil"/>
              <w:left w:val="nil"/>
              <w:bottom w:val="single" w:color="auto" w:sz="8" w:space="0"/>
              <w:right w:val="single" w:color="auto" w:sz="4" w:space="0"/>
            </w:tcBorders>
            <w:shd w:val="clear" w:color="auto" w:fill="auto"/>
            <w:noWrap/>
            <w:vAlign w:val="center"/>
            <w:hideMark/>
          </w:tcPr>
          <w:p w:rsidRPr="00D7128A" w:rsidR="00093C0A" w:rsidP="00167F64" w:rsidRDefault="00093C0A" w14:paraId="5C090FF0" w14:textId="71C2626D">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11</w:t>
            </w:r>
          </w:p>
        </w:tc>
        <w:tc>
          <w:tcPr>
            <w:tcW w:w="1260" w:type="dxa"/>
            <w:tcBorders>
              <w:top w:val="nil"/>
              <w:left w:val="single" w:color="auto" w:sz="4" w:space="0"/>
              <w:bottom w:val="single" w:color="auto" w:sz="8" w:space="0"/>
              <w:right w:val="single" w:color="auto" w:sz="8" w:space="0"/>
            </w:tcBorders>
            <w:shd w:val="clear" w:color="auto" w:fill="auto"/>
            <w:noWrap/>
            <w:vAlign w:val="center"/>
            <w:hideMark/>
          </w:tcPr>
          <w:p w:rsidRPr="00D7128A" w:rsidR="00093C0A" w:rsidP="00167F64" w:rsidRDefault="00093C0A" w14:paraId="62B5606C" w14:textId="77777777">
            <w:pPr>
              <w:keepNext/>
              <w:keepLines/>
              <w:spacing w:after="0" w:line="240" w:lineRule="auto"/>
              <w:jc w:val="center"/>
              <w:rPr>
                <w:rFonts w:ascii="Times New Roman" w:hAnsi="Times New Roman" w:eastAsia="Times New Roman" w:cs="Times New Roman"/>
                <w:color w:val="000000"/>
                <w:sz w:val="20"/>
                <w:szCs w:val="20"/>
              </w:rPr>
            </w:pPr>
            <w:r w:rsidRPr="00D7128A">
              <w:rPr>
                <w:rFonts w:ascii="Times New Roman" w:hAnsi="Times New Roman" w:eastAsia="Times New Roman" w:cs="Times New Roman"/>
                <w:color w:val="000000"/>
                <w:sz w:val="20"/>
                <w:szCs w:val="20"/>
              </w:rPr>
              <w:t>1</w:t>
            </w:r>
          </w:p>
        </w:tc>
      </w:tr>
    </w:tbl>
    <w:p w:rsidRPr="00B11FAB" w:rsidR="00093C0A" w:rsidP="00587204" w:rsidRDefault="00093C0A" w14:paraId="4FD7E5EE" w14:textId="77777777">
      <w:pPr>
        <w:spacing w:after="0" w:line="240" w:lineRule="auto"/>
        <w:rPr>
          <w:rFonts w:ascii="Times New Roman" w:hAnsi="Times New Roman" w:eastAsia="Calibri" w:cs="Times New Roman"/>
          <w:b/>
        </w:rPr>
      </w:pPr>
    </w:p>
    <w:p w:rsidRPr="00587204" w:rsidR="00093C0A" w:rsidP="00587204" w:rsidRDefault="00093C0A" w14:paraId="289CC496" w14:textId="45A61B84">
      <w:pPr>
        <w:keepNext/>
        <w:spacing w:after="0" w:line="240" w:lineRule="auto"/>
        <w:rPr>
          <w:rFonts w:ascii="Times New Roman" w:hAnsi="Times New Roman" w:eastAsia="Calibri" w:cs="Times New Roman"/>
          <w:b/>
        </w:rPr>
      </w:pPr>
      <w:r w:rsidRPr="00587204">
        <w:rPr>
          <w:rFonts w:ascii="Times New Roman" w:hAnsi="Times New Roman" w:eastAsia="Calibri" w:cs="Times New Roman"/>
          <w:b/>
        </w:rPr>
        <w:t xml:space="preserve">3.2.2 Universe Breakdown for Perimeter Monitors without Backup Power </w:t>
      </w:r>
    </w:p>
    <w:p w:rsidRPr="00305374" w:rsidR="00093C0A" w:rsidP="00305374" w:rsidRDefault="00BA064B" w14:paraId="6DCC70BD" w14:textId="444D5F92">
      <w:pPr>
        <w:keepNext/>
        <w:spacing w:after="0" w:line="240" w:lineRule="auto"/>
        <w:ind w:firstLine="360"/>
        <w:rPr>
          <w:rFonts w:ascii="Times New Roman" w:hAnsi="Times New Roman" w:cs="Times New Roman"/>
        </w:rPr>
      </w:pPr>
      <w:r>
        <w:rPr>
          <w:rFonts w:ascii="Times New Roman" w:hAnsi="Times New Roman" w:cs="Times New Roman"/>
        </w:rPr>
        <w:tab/>
      </w:r>
      <w:r w:rsidRPr="00587204" w:rsidR="00093C0A">
        <w:rPr>
          <w:rFonts w:ascii="Times New Roman" w:hAnsi="Times New Roman" w:cs="Times New Roman"/>
        </w:rPr>
        <w:t xml:space="preserve">The </w:t>
      </w:r>
      <w:r w:rsidRPr="00587204" w:rsidR="00DB2848">
        <w:rPr>
          <w:rFonts w:ascii="Times New Roman" w:hAnsi="Times New Roman" w:cs="Times New Roman"/>
        </w:rPr>
        <w:t>current</w:t>
      </w:r>
      <w:r w:rsidRPr="00587204" w:rsidR="00093C0A">
        <w:rPr>
          <w:rFonts w:ascii="Times New Roman" w:hAnsi="Times New Roman" w:cs="Times New Roman"/>
        </w:rPr>
        <w:t xml:space="preserve"> RMP rule requires Program 2 facilities to perform a Hazard Review every </w:t>
      </w:r>
      <w:r w:rsidRPr="00587204" w:rsidR="006647B0">
        <w:rPr>
          <w:rFonts w:ascii="Times New Roman" w:hAnsi="Times New Roman" w:cs="Times New Roman"/>
        </w:rPr>
        <w:t>five years</w:t>
      </w:r>
      <w:r w:rsidRPr="00587204" w:rsidR="00093C0A">
        <w:rPr>
          <w:rFonts w:ascii="Times New Roman" w:hAnsi="Times New Roman" w:cs="Times New Roman"/>
        </w:rPr>
        <w:t xml:space="preserve"> and Program 3 facilities to perform a more formal PHA every </w:t>
      </w:r>
      <w:r w:rsidRPr="00587204" w:rsidR="006647B0">
        <w:rPr>
          <w:rFonts w:ascii="Times New Roman" w:hAnsi="Times New Roman" w:cs="Times New Roman"/>
        </w:rPr>
        <w:t>five years</w:t>
      </w:r>
      <w:r w:rsidRPr="00587204" w:rsidR="00093C0A">
        <w:rPr>
          <w:rFonts w:ascii="Times New Roman" w:hAnsi="Times New Roman" w:cs="Times New Roman"/>
        </w:rPr>
        <w:t xml:space="preserve">. EPA proposes to </w:t>
      </w:r>
      <w:r w:rsidRPr="00587204" w:rsidR="00B9217E">
        <w:rPr>
          <w:rFonts w:ascii="Times New Roman" w:hAnsi="Times New Roman" w:cs="Times New Roman"/>
        </w:rPr>
        <w:t xml:space="preserve">amplify power loss as a hazard in </w:t>
      </w:r>
      <w:r w:rsidRPr="00587204" w:rsidR="00093C0A">
        <w:rPr>
          <w:rFonts w:ascii="Times New Roman" w:hAnsi="Times New Roman" w:cs="Times New Roman"/>
        </w:rPr>
        <w:t>regulatory text for PHAs/Hazard Review</w:t>
      </w:r>
      <w:r w:rsidRPr="00587204" w:rsidR="00B9217E">
        <w:rPr>
          <w:rFonts w:ascii="Times New Roman" w:hAnsi="Times New Roman" w:cs="Times New Roman"/>
        </w:rPr>
        <w:t>s.</w:t>
      </w:r>
      <w:r w:rsidRPr="00587204" w:rsidR="00093C0A">
        <w:rPr>
          <w:rFonts w:ascii="Times New Roman" w:hAnsi="Times New Roman" w:cs="Times New Roman"/>
        </w:rPr>
        <w:t xml:space="preserve"> The </w:t>
      </w:r>
      <w:r w:rsidRPr="00587204" w:rsidR="00E14DCE">
        <w:rPr>
          <w:rFonts w:ascii="Times New Roman" w:hAnsi="Times New Roman" w:cs="Times New Roman"/>
        </w:rPr>
        <w:t xml:space="preserve">proposed </w:t>
      </w:r>
      <w:r w:rsidRPr="00587204" w:rsidR="00CD4A6C">
        <w:rPr>
          <w:rFonts w:ascii="Times New Roman" w:hAnsi="Times New Roman" w:cs="Times New Roman"/>
        </w:rPr>
        <w:t xml:space="preserve">rule would </w:t>
      </w:r>
      <w:r w:rsidRPr="00587204" w:rsidR="00093C0A">
        <w:rPr>
          <w:rFonts w:ascii="Times New Roman" w:hAnsi="Times New Roman" w:cs="Times New Roman"/>
        </w:rPr>
        <w:t>require</w:t>
      </w:r>
      <w:r w:rsidRPr="00587204" w:rsidR="00CD4A6C">
        <w:rPr>
          <w:rFonts w:ascii="Times New Roman" w:hAnsi="Times New Roman" w:cs="Times New Roman"/>
        </w:rPr>
        <w:t xml:space="preserve"> </w:t>
      </w:r>
      <w:r w:rsidRPr="00587204" w:rsidR="00093C0A">
        <w:rPr>
          <w:rFonts w:ascii="Times New Roman" w:hAnsi="Times New Roman" w:cs="Times New Roman"/>
        </w:rPr>
        <w:t xml:space="preserve">facilities </w:t>
      </w:r>
      <w:r w:rsidRPr="00587204" w:rsidR="00CD4A6C">
        <w:rPr>
          <w:rFonts w:ascii="Times New Roman" w:hAnsi="Times New Roman" w:cs="Times New Roman"/>
        </w:rPr>
        <w:t xml:space="preserve">that already have installed perimeter monitors </w:t>
      </w:r>
      <w:r w:rsidRPr="00587204" w:rsidR="003E11F2">
        <w:rPr>
          <w:rFonts w:ascii="Times New Roman" w:hAnsi="Times New Roman" w:cs="Times New Roman"/>
        </w:rPr>
        <w:t>but have not</w:t>
      </w:r>
      <w:r w:rsidRPr="00587204" w:rsidR="00093C0A">
        <w:rPr>
          <w:rFonts w:ascii="Times New Roman" w:hAnsi="Times New Roman" w:cs="Times New Roman"/>
        </w:rPr>
        <w:t xml:space="preserve"> </w:t>
      </w:r>
      <w:r w:rsidRPr="00587204" w:rsidR="009775CF">
        <w:rPr>
          <w:rFonts w:ascii="Times New Roman" w:hAnsi="Times New Roman" w:cs="Times New Roman"/>
        </w:rPr>
        <w:t>install</w:t>
      </w:r>
      <w:r w:rsidRPr="00587204" w:rsidR="003E11F2">
        <w:rPr>
          <w:rFonts w:ascii="Times New Roman" w:hAnsi="Times New Roman" w:cs="Times New Roman"/>
        </w:rPr>
        <w:t>ed</w:t>
      </w:r>
      <w:r w:rsidRPr="00587204" w:rsidDel="009775CF" w:rsidR="00093C0A">
        <w:rPr>
          <w:rFonts w:ascii="Times New Roman" w:hAnsi="Times New Roman" w:cs="Times New Roman"/>
        </w:rPr>
        <w:t xml:space="preserve"> </w:t>
      </w:r>
      <w:r w:rsidRPr="00587204" w:rsidR="00093C0A">
        <w:rPr>
          <w:rFonts w:ascii="Times New Roman" w:hAnsi="Times New Roman" w:cs="Times New Roman"/>
        </w:rPr>
        <w:t>backup power</w:t>
      </w:r>
      <w:r w:rsidRPr="00587204" w:rsidR="00CD4A6C">
        <w:rPr>
          <w:rFonts w:ascii="Times New Roman" w:hAnsi="Times New Roman" w:cs="Times New Roman"/>
        </w:rPr>
        <w:t xml:space="preserve"> for the monitors </w:t>
      </w:r>
      <w:r w:rsidRPr="00587204" w:rsidR="003E11F2">
        <w:rPr>
          <w:rFonts w:ascii="Times New Roman" w:hAnsi="Times New Roman" w:cs="Times New Roman"/>
        </w:rPr>
        <w:t>to add</w:t>
      </w:r>
      <w:r w:rsidRPr="00587204" w:rsidR="00CD4A6C">
        <w:rPr>
          <w:rFonts w:ascii="Times New Roman" w:hAnsi="Times New Roman" w:cs="Times New Roman"/>
        </w:rPr>
        <w:t xml:space="preserve"> backup power.</w:t>
      </w:r>
      <w:r w:rsidRPr="00587204" w:rsidR="00093C0A">
        <w:rPr>
          <w:rFonts w:ascii="Times New Roman" w:hAnsi="Times New Roman" w:cs="Times New Roman"/>
        </w:rPr>
        <w:t xml:space="preserve"> Exhibit 3-</w:t>
      </w:r>
      <w:r w:rsidRPr="00587204" w:rsidR="00940B84">
        <w:rPr>
          <w:rFonts w:ascii="Times New Roman" w:hAnsi="Times New Roman" w:cs="Times New Roman"/>
        </w:rPr>
        <w:t>8</w:t>
      </w:r>
      <w:r w:rsidRPr="00587204" w:rsidR="00093C0A">
        <w:rPr>
          <w:rFonts w:ascii="Times New Roman" w:hAnsi="Times New Roman" w:cs="Times New Roman"/>
        </w:rPr>
        <w:t xml:space="preserve"> provides the number</w:t>
      </w:r>
      <w:r w:rsidRPr="00587204" w:rsidR="003E11F2">
        <w:rPr>
          <w:rFonts w:ascii="Times New Roman" w:hAnsi="Times New Roman" w:cs="Times New Roman"/>
        </w:rPr>
        <w:t>s</w:t>
      </w:r>
      <w:r w:rsidRPr="00587204" w:rsidR="00093C0A">
        <w:rPr>
          <w:rFonts w:ascii="Times New Roman" w:hAnsi="Times New Roman" w:cs="Times New Roman"/>
        </w:rPr>
        <w:t xml:space="preserve"> of </w:t>
      </w:r>
      <w:r w:rsidRPr="00587204" w:rsidR="003E11F2">
        <w:rPr>
          <w:rFonts w:ascii="Times New Roman" w:hAnsi="Times New Roman" w:cs="Times New Roman"/>
        </w:rPr>
        <w:t xml:space="preserve">those </w:t>
      </w:r>
      <w:r w:rsidRPr="00587204" w:rsidR="00093C0A">
        <w:rPr>
          <w:rFonts w:ascii="Times New Roman" w:hAnsi="Times New Roman" w:cs="Times New Roman"/>
        </w:rPr>
        <w:t>facilities</w:t>
      </w:r>
      <w:r w:rsidRPr="00587204" w:rsidR="003E11F2">
        <w:rPr>
          <w:rFonts w:ascii="Times New Roman" w:hAnsi="Times New Roman" w:cs="Times New Roman"/>
        </w:rPr>
        <w:t>.</w:t>
      </w:r>
    </w:p>
    <w:p w:rsidR="004D2ED0" w:rsidP="00587204" w:rsidRDefault="004D2ED0" w14:paraId="619DE51C" w14:textId="5C63E43B">
      <w:pPr>
        <w:spacing w:after="0" w:line="240" w:lineRule="auto"/>
        <w:ind w:firstLine="720"/>
        <w:rPr>
          <w:rFonts w:ascii="Times New Roman" w:hAnsi="Times New Roman" w:cs="Times New Roman"/>
        </w:rPr>
      </w:pPr>
    </w:p>
    <w:p w:rsidR="00635AC5" w:rsidP="00305374" w:rsidRDefault="00635AC5" w14:paraId="2BC8F49C" w14:textId="77777777">
      <w:pPr>
        <w:pStyle w:val="Caption"/>
        <w:jc w:val="center"/>
        <w:rPr>
          <w:rFonts w:ascii="Times New Roman" w:hAnsi="Times New Roman" w:cs="Times New Roman"/>
          <w:b/>
          <w:bCs/>
          <w:i w:val="0"/>
          <w:iCs w:val="0"/>
          <w:color w:val="auto"/>
          <w:sz w:val="22"/>
          <w:szCs w:val="22"/>
        </w:rPr>
      </w:pPr>
    </w:p>
    <w:p w:rsidRPr="00305374" w:rsidR="00305374" w:rsidP="00305374" w:rsidRDefault="00305374" w14:paraId="3C2216A4" w14:textId="436C4612">
      <w:pPr>
        <w:pStyle w:val="Caption"/>
        <w:jc w:val="center"/>
        <w:rPr>
          <w:rFonts w:ascii="Times New Roman" w:hAnsi="Times New Roman" w:eastAsia="Calibri" w:cs="Times New Roman"/>
          <w:b/>
          <w:bCs/>
          <w:i w:val="0"/>
          <w:iCs w:val="0"/>
          <w:color w:val="auto"/>
          <w:sz w:val="22"/>
          <w:szCs w:val="22"/>
        </w:rPr>
      </w:pPr>
      <w:r w:rsidRPr="00305374">
        <w:rPr>
          <w:rFonts w:ascii="Times New Roman" w:hAnsi="Times New Roman" w:cs="Times New Roman"/>
          <w:b/>
          <w:bCs/>
          <w:i w:val="0"/>
          <w:iCs w:val="0"/>
          <w:color w:val="auto"/>
          <w:sz w:val="22"/>
          <w:szCs w:val="22"/>
        </w:rPr>
        <w:lastRenderedPageBreak/>
        <w:t xml:space="preserve">Exhibit </w:t>
      </w:r>
      <w:r w:rsidRPr="00305374">
        <w:rPr>
          <w:rFonts w:ascii="Times New Roman" w:hAnsi="Times New Roman" w:eastAsia="Calibri" w:cs="Times New Roman"/>
          <w:b/>
          <w:bCs/>
          <w:i w:val="0"/>
          <w:iCs w:val="0"/>
          <w:color w:val="auto"/>
          <w:sz w:val="22"/>
          <w:szCs w:val="22"/>
        </w:rPr>
        <w:t>3-8: Facilities Requiring Backup Power for Perimeter Monitors by Program Level.</w:t>
      </w:r>
    </w:p>
    <w:tbl>
      <w:tblPr>
        <w:tblW w:w="4040" w:type="dxa"/>
        <w:jc w:val="center"/>
        <w:tblLook w:val="04A0" w:firstRow="1" w:lastRow="0" w:firstColumn="1" w:lastColumn="0" w:noHBand="0" w:noVBand="1"/>
      </w:tblPr>
      <w:tblGrid>
        <w:gridCol w:w="1880"/>
        <w:gridCol w:w="2160"/>
      </w:tblGrid>
      <w:tr w:rsidRPr="00587204" w:rsidR="00093C0A" w:rsidTr="00305374" w14:paraId="38E9C6A5" w14:textId="77777777">
        <w:trPr>
          <w:trHeight w:val="327"/>
          <w:jc w:val="center"/>
        </w:trPr>
        <w:tc>
          <w:tcPr>
            <w:tcW w:w="1880" w:type="dxa"/>
            <w:tcBorders>
              <w:top w:val="single" w:color="auto" w:sz="4" w:space="0"/>
              <w:left w:val="single" w:color="auto" w:sz="8" w:space="0"/>
              <w:bottom w:val="single" w:color="auto" w:sz="4" w:space="0"/>
              <w:right w:val="single" w:color="auto" w:sz="4" w:space="0"/>
            </w:tcBorders>
            <w:shd w:val="clear" w:color="auto" w:fill="D0CECE" w:themeFill="background2" w:themeFillShade="E6"/>
            <w:noWrap/>
            <w:vAlign w:val="center"/>
            <w:hideMark/>
          </w:tcPr>
          <w:p w:rsidRPr="00587204" w:rsidR="00093C0A" w:rsidP="00305374" w:rsidRDefault="00093C0A" w14:paraId="4AD96059" w14:textId="77777777">
            <w:pPr>
              <w:keepNext/>
              <w:spacing w:after="0" w:line="240" w:lineRule="auto"/>
              <w:jc w:val="center"/>
              <w:rPr>
                <w:rFonts w:ascii="Times New Roman" w:hAnsi="Times New Roman" w:cs="Times New Roman"/>
                <w:b/>
                <w:color w:val="000000"/>
              </w:rPr>
            </w:pPr>
            <w:r w:rsidRPr="00587204">
              <w:rPr>
                <w:rFonts w:ascii="Times New Roman" w:hAnsi="Times New Roman" w:cs="Times New Roman"/>
                <w:b/>
                <w:color w:val="000000"/>
              </w:rPr>
              <w:t>Program Level</w:t>
            </w:r>
          </w:p>
        </w:tc>
        <w:tc>
          <w:tcPr>
            <w:tcW w:w="2160" w:type="dxa"/>
            <w:tcBorders>
              <w:top w:val="single" w:color="auto" w:sz="4" w:space="0"/>
              <w:left w:val="single" w:color="auto" w:sz="4" w:space="0"/>
              <w:bottom w:val="nil"/>
              <w:right w:val="single" w:color="auto" w:sz="4" w:space="0"/>
            </w:tcBorders>
            <w:shd w:val="clear" w:color="auto" w:fill="D0CECE" w:themeFill="background2" w:themeFillShade="E6"/>
            <w:noWrap/>
            <w:vAlign w:val="center"/>
            <w:hideMark/>
          </w:tcPr>
          <w:p w:rsidRPr="00587204" w:rsidR="00093C0A" w:rsidP="00305374" w:rsidRDefault="00093C0A" w14:paraId="10521B30" w14:textId="77777777">
            <w:pPr>
              <w:keepNext/>
              <w:spacing w:after="0" w:line="240" w:lineRule="auto"/>
              <w:jc w:val="center"/>
              <w:rPr>
                <w:rFonts w:ascii="Times New Roman" w:hAnsi="Times New Roman" w:cs="Times New Roman"/>
                <w:b/>
                <w:color w:val="000000"/>
              </w:rPr>
            </w:pPr>
            <w:r w:rsidRPr="00587204">
              <w:rPr>
                <w:rFonts w:ascii="Times New Roman" w:hAnsi="Times New Roman" w:cs="Times New Roman"/>
                <w:b/>
                <w:color w:val="000000"/>
              </w:rPr>
              <w:t>Number of Facilities</w:t>
            </w:r>
          </w:p>
        </w:tc>
      </w:tr>
      <w:tr w:rsidRPr="00587204" w:rsidR="00093C0A" w:rsidTr="00305374" w14:paraId="01B0E1F1" w14:textId="77777777">
        <w:trPr>
          <w:trHeight w:val="327"/>
          <w:jc w:val="center"/>
        </w:trPr>
        <w:tc>
          <w:tcPr>
            <w:tcW w:w="1880" w:type="dxa"/>
            <w:tcBorders>
              <w:top w:val="nil"/>
              <w:left w:val="single" w:color="auto" w:sz="8" w:space="0"/>
              <w:bottom w:val="single" w:color="auto" w:sz="4" w:space="0"/>
              <w:right w:val="nil"/>
            </w:tcBorders>
            <w:shd w:val="clear" w:color="auto" w:fill="auto"/>
            <w:noWrap/>
            <w:vAlign w:val="center"/>
            <w:hideMark/>
          </w:tcPr>
          <w:p w:rsidRPr="00587204" w:rsidR="00093C0A" w:rsidP="00167F64" w:rsidRDefault="00093C0A" w14:paraId="7B768958" w14:textId="77777777">
            <w:pPr>
              <w:keepNext/>
              <w:spacing w:after="0" w:line="240" w:lineRule="auto"/>
              <w:jc w:val="center"/>
              <w:rPr>
                <w:rFonts w:ascii="Times New Roman" w:hAnsi="Times New Roman" w:eastAsia="Times New Roman" w:cs="Times New Roman"/>
                <w:color w:val="000000"/>
              </w:rPr>
            </w:pPr>
            <w:r w:rsidRPr="00587204">
              <w:rPr>
                <w:rFonts w:ascii="Times New Roman" w:hAnsi="Times New Roman" w:eastAsia="Times New Roman" w:cs="Times New Roman"/>
                <w:color w:val="000000"/>
              </w:rPr>
              <w:t>P2</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87204" w:rsidR="00093C0A" w:rsidP="00167F64" w:rsidRDefault="00093C0A" w14:paraId="0D7FFA45" w14:textId="77777777">
            <w:pPr>
              <w:keepNext/>
              <w:spacing w:after="0" w:line="240" w:lineRule="auto"/>
              <w:jc w:val="center"/>
              <w:rPr>
                <w:rFonts w:ascii="Times New Roman" w:hAnsi="Times New Roman" w:eastAsia="Times New Roman" w:cs="Times New Roman"/>
                <w:color w:val="000000"/>
              </w:rPr>
            </w:pPr>
            <w:r w:rsidRPr="00587204">
              <w:rPr>
                <w:rFonts w:ascii="Times New Roman" w:hAnsi="Times New Roman" w:eastAsia="Times New Roman" w:cs="Times New Roman"/>
                <w:color w:val="000000"/>
              </w:rPr>
              <w:t>18</w:t>
            </w:r>
          </w:p>
        </w:tc>
      </w:tr>
      <w:tr w:rsidRPr="00587204" w:rsidR="00093C0A" w:rsidTr="00305374" w14:paraId="42F5C7EB" w14:textId="77777777">
        <w:trPr>
          <w:trHeight w:val="327"/>
          <w:jc w:val="center"/>
        </w:trPr>
        <w:tc>
          <w:tcPr>
            <w:tcW w:w="1880" w:type="dxa"/>
            <w:tcBorders>
              <w:top w:val="nil"/>
              <w:left w:val="single" w:color="auto" w:sz="8" w:space="0"/>
              <w:bottom w:val="single" w:color="auto" w:sz="4" w:space="0"/>
              <w:right w:val="nil"/>
            </w:tcBorders>
            <w:shd w:val="clear" w:color="auto" w:fill="auto"/>
            <w:noWrap/>
            <w:vAlign w:val="center"/>
            <w:hideMark/>
          </w:tcPr>
          <w:p w:rsidRPr="00587204" w:rsidR="00093C0A" w:rsidP="00167F64" w:rsidRDefault="00093C0A" w14:paraId="79D888DA" w14:textId="77777777">
            <w:pPr>
              <w:keepNext/>
              <w:spacing w:after="0" w:line="240" w:lineRule="auto"/>
              <w:jc w:val="center"/>
              <w:rPr>
                <w:rFonts w:ascii="Times New Roman" w:hAnsi="Times New Roman" w:eastAsia="Times New Roman" w:cs="Times New Roman"/>
                <w:color w:val="000000"/>
              </w:rPr>
            </w:pPr>
            <w:r w:rsidRPr="00587204">
              <w:rPr>
                <w:rFonts w:ascii="Times New Roman" w:hAnsi="Times New Roman" w:eastAsia="Times New Roman" w:cs="Times New Roman"/>
                <w:color w:val="000000"/>
              </w:rPr>
              <w:t>P3</w:t>
            </w:r>
          </w:p>
        </w:tc>
        <w:tc>
          <w:tcPr>
            <w:tcW w:w="2160" w:type="dxa"/>
            <w:tcBorders>
              <w:top w:val="nil"/>
              <w:left w:val="single" w:color="auto" w:sz="4" w:space="0"/>
              <w:bottom w:val="single" w:color="auto" w:sz="4" w:space="0"/>
              <w:right w:val="single" w:color="auto" w:sz="4" w:space="0"/>
            </w:tcBorders>
            <w:shd w:val="clear" w:color="auto" w:fill="auto"/>
            <w:noWrap/>
            <w:vAlign w:val="center"/>
            <w:hideMark/>
          </w:tcPr>
          <w:p w:rsidRPr="00587204" w:rsidR="00093C0A" w:rsidP="00167F64" w:rsidRDefault="00093C0A" w14:paraId="03071D25" w14:textId="77777777">
            <w:pPr>
              <w:keepNext/>
              <w:spacing w:after="0" w:line="240" w:lineRule="auto"/>
              <w:jc w:val="center"/>
              <w:rPr>
                <w:rFonts w:ascii="Times New Roman" w:hAnsi="Times New Roman" w:eastAsia="Times New Roman" w:cs="Times New Roman"/>
                <w:color w:val="000000"/>
              </w:rPr>
            </w:pPr>
            <w:r w:rsidRPr="00587204">
              <w:rPr>
                <w:rFonts w:ascii="Times New Roman" w:hAnsi="Times New Roman" w:eastAsia="Times New Roman" w:cs="Times New Roman"/>
                <w:color w:val="000000"/>
              </w:rPr>
              <w:t>374</w:t>
            </w:r>
          </w:p>
        </w:tc>
      </w:tr>
    </w:tbl>
    <w:p w:rsidRPr="00587204" w:rsidR="00093C0A" w:rsidP="00587204" w:rsidRDefault="00093C0A" w14:paraId="6A03540B" w14:textId="77777777">
      <w:pPr>
        <w:spacing w:after="0" w:line="240" w:lineRule="auto"/>
        <w:rPr>
          <w:rFonts w:ascii="Times New Roman" w:hAnsi="Times New Roman" w:eastAsia="Calibri" w:cs="Times New Roman"/>
          <w:b/>
        </w:rPr>
      </w:pPr>
    </w:p>
    <w:p w:rsidRPr="00587204" w:rsidR="00093C0A" w:rsidP="00813745" w:rsidRDefault="00093C0A" w14:paraId="1CBC1A64" w14:textId="77777777">
      <w:pPr>
        <w:pStyle w:val="Heading2"/>
      </w:pPr>
      <w:bookmarkStart w:name="_Toc98856210" w:id="38"/>
      <w:bookmarkStart w:name="_Toc110502740" w:id="39"/>
      <w:r w:rsidRPr="00587204">
        <w:t>3.3 Government Entities Affected by the Rule</w:t>
      </w:r>
      <w:bookmarkEnd w:id="38"/>
      <w:bookmarkEnd w:id="39"/>
    </w:p>
    <w:p w:rsidR="00093C0A" w:rsidP="00305374" w:rsidRDefault="00BA064B" w14:paraId="2EC1684C" w14:textId="004D5DBB">
      <w:pPr>
        <w:spacing w:after="0" w:line="240" w:lineRule="auto"/>
        <w:ind w:firstLine="360"/>
        <w:rPr>
          <w:rFonts w:ascii="Times New Roman" w:hAnsi="Times New Roman" w:cs="Times New Roman"/>
        </w:rPr>
      </w:pPr>
      <w:r>
        <w:rPr>
          <w:rFonts w:ascii="Times New Roman" w:hAnsi="Times New Roman" w:cs="Times New Roman"/>
        </w:rPr>
        <w:tab/>
      </w:r>
      <w:r w:rsidRPr="00587204" w:rsidR="00093C0A">
        <w:rPr>
          <w:rFonts w:ascii="Times New Roman" w:hAnsi="Times New Roman" w:cs="Times New Roman"/>
        </w:rPr>
        <w:t xml:space="preserve">The proposed rule would affect State and local government entities including entities that own RMP facilities, 2,473 LEPCs, and 13 States with delegated implementing agencies. The proposed rule would impose both direct and indirect costs. Direct costs are associated with activities required by RMP facilities owned by government entities. Indirect costs are associated with (1) RMP facilities owned by government entities, LEPCs, and State implementing agencies reviewing the proposed rule and (2) LEPCs coordinating with </w:t>
      </w:r>
      <w:r w:rsidRPr="00587204" w:rsidR="009C40FF">
        <w:rPr>
          <w:rFonts w:ascii="Times New Roman" w:hAnsi="Times New Roman" w:cs="Times New Roman"/>
        </w:rPr>
        <w:t>facilities</w:t>
      </w:r>
      <w:r w:rsidR="00882EC0">
        <w:rPr>
          <w:rFonts w:ascii="Times New Roman" w:hAnsi="Times New Roman" w:cs="Times New Roman"/>
        </w:rPr>
        <w:t xml:space="preserve"> regarding community notifications</w:t>
      </w:r>
      <w:r w:rsidRPr="00587204" w:rsidR="00093C0A">
        <w:rPr>
          <w:rFonts w:ascii="Times New Roman" w:hAnsi="Times New Roman" w:cs="Times New Roman"/>
        </w:rPr>
        <w:t xml:space="preserve">. </w:t>
      </w:r>
    </w:p>
    <w:p w:rsidR="00BA064B" w:rsidP="00305374" w:rsidRDefault="00BA064B" w14:paraId="4E752D08" w14:textId="5C63E43B">
      <w:pPr>
        <w:spacing w:after="0" w:line="240" w:lineRule="auto"/>
        <w:ind w:firstLine="360"/>
        <w:rPr>
          <w:rFonts w:ascii="Times New Roman" w:hAnsi="Times New Roman" w:cs="Times New Roman"/>
        </w:rPr>
      </w:pPr>
    </w:p>
    <w:p w:rsidRPr="00305374" w:rsidR="00093C0A" w:rsidP="00305374" w:rsidRDefault="00BA064B" w14:paraId="67BD0EFC" w14:textId="33118FE6">
      <w:pPr>
        <w:spacing w:after="0" w:line="240" w:lineRule="auto"/>
        <w:ind w:firstLine="360"/>
        <w:rPr>
          <w:rFonts w:ascii="Times New Roman" w:hAnsi="Times New Roman" w:cs="Times New Roman"/>
        </w:rPr>
      </w:pPr>
      <w:r>
        <w:rPr>
          <w:rFonts w:ascii="Times New Roman" w:hAnsi="Times New Roman" w:eastAsia="Calibri" w:cs="Times New Roman"/>
        </w:rPr>
        <w:tab/>
      </w:r>
      <w:r w:rsidRPr="00587204" w:rsidR="00093C0A">
        <w:rPr>
          <w:rFonts w:ascii="Times New Roman" w:hAnsi="Times New Roman" w:eastAsia="Calibri" w:cs="Times New Roman"/>
        </w:rPr>
        <w:t xml:space="preserve">Most of the facilities are water or wastewater treatment facilities, but some large swimming pools would be covered as well. Most of the government entities are cities, but the universe includes larger special districts (e.g., the Metropolitan Water District of Southern California) as well as some </w:t>
      </w:r>
      <w:r w:rsidRPr="00587204" w:rsidR="001D6BF6">
        <w:rPr>
          <w:rFonts w:ascii="Times New Roman" w:hAnsi="Times New Roman" w:eastAsia="Calibri" w:cs="Times New Roman"/>
        </w:rPr>
        <w:t>F</w:t>
      </w:r>
      <w:r w:rsidRPr="00587204" w:rsidR="00093C0A">
        <w:rPr>
          <w:rFonts w:ascii="Times New Roman" w:hAnsi="Times New Roman" w:eastAsia="Calibri" w:cs="Times New Roman"/>
        </w:rPr>
        <w:t xml:space="preserve">ederal facilities. Of the 1,111 government entities directly affected, 905 have one RMP facility, 125 have two RMP facilities, 43 have 3 facilities, 19 have 4 facilities, and 19 have 5 or more. Not all facilities belonging to a government entity </w:t>
      </w:r>
      <w:proofErr w:type="gramStart"/>
      <w:r w:rsidRPr="00587204" w:rsidR="00093C0A">
        <w:rPr>
          <w:rFonts w:ascii="Times New Roman" w:hAnsi="Times New Roman" w:eastAsia="Calibri" w:cs="Times New Roman"/>
        </w:rPr>
        <w:t>are located in</w:t>
      </w:r>
      <w:proofErr w:type="gramEnd"/>
      <w:r w:rsidRPr="00587204" w:rsidR="00093C0A">
        <w:rPr>
          <w:rFonts w:ascii="Times New Roman" w:hAnsi="Times New Roman" w:eastAsia="Calibri" w:cs="Times New Roman"/>
        </w:rPr>
        <w:t xml:space="preserve"> the entity</w:t>
      </w:r>
      <w:r w:rsidRPr="00587204" w:rsidR="0051061F">
        <w:rPr>
          <w:rFonts w:ascii="Times New Roman" w:hAnsi="Times New Roman" w:eastAsia="Calibri" w:cs="Times New Roman"/>
        </w:rPr>
        <w:t>’s geographic region</w:t>
      </w:r>
      <w:r w:rsidRPr="00587204" w:rsidR="00093C0A">
        <w:rPr>
          <w:rFonts w:ascii="Times New Roman" w:hAnsi="Times New Roman" w:eastAsia="Calibri" w:cs="Times New Roman"/>
        </w:rPr>
        <w:t xml:space="preserve">. There are fewer than 1,200 “parent” </w:t>
      </w:r>
      <w:r w:rsidRPr="00587204" w:rsidR="0003075F">
        <w:rPr>
          <w:rFonts w:ascii="Times New Roman" w:hAnsi="Times New Roman" w:eastAsia="Calibri" w:cs="Times New Roman"/>
        </w:rPr>
        <w:t>entitie</w:t>
      </w:r>
      <w:r w:rsidRPr="00587204" w:rsidR="00093C0A">
        <w:rPr>
          <w:rFonts w:ascii="Times New Roman" w:hAnsi="Times New Roman" w:eastAsia="Calibri" w:cs="Times New Roman"/>
        </w:rPr>
        <w:t xml:space="preserve">s listed for publicly owned systems. Because facilities do not always list the owner or </w:t>
      </w:r>
      <w:r w:rsidRPr="00587204" w:rsidR="00E604BC">
        <w:rPr>
          <w:rFonts w:ascii="Times New Roman" w:hAnsi="Times New Roman" w:eastAsia="Calibri" w:cs="Times New Roman"/>
        </w:rPr>
        <w:t xml:space="preserve">they </w:t>
      </w:r>
      <w:r w:rsidRPr="00587204" w:rsidR="00093C0A">
        <w:rPr>
          <w:rFonts w:ascii="Times New Roman" w:hAnsi="Times New Roman" w:eastAsia="Calibri" w:cs="Times New Roman"/>
        </w:rPr>
        <w:t>list variations of the owner’s name, it is not possible to develop an accurate estimate of the number of public entities affected by the rule. It is clear, however, that some of the larger cities and counties have a substantial number of facilities. For example, the City of El Paso, Texas</w:t>
      </w:r>
      <w:r w:rsidRPr="00587204" w:rsidR="0003075F">
        <w:rPr>
          <w:rFonts w:ascii="Times New Roman" w:hAnsi="Times New Roman" w:eastAsia="Calibri" w:cs="Times New Roman"/>
        </w:rPr>
        <w:t>,</w:t>
      </w:r>
      <w:r w:rsidRPr="00587204" w:rsidR="00093C0A">
        <w:rPr>
          <w:rFonts w:ascii="Times New Roman" w:hAnsi="Times New Roman" w:eastAsia="Calibri" w:cs="Times New Roman"/>
        </w:rPr>
        <w:t xml:space="preserve"> owns and operates at least 16 facilities. </w:t>
      </w:r>
    </w:p>
    <w:p w:rsidRPr="00BF42A8" w:rsidR="00C57989" w:rsidP="00C57989" w:rsidRDefault="00C57989" w14:paraId="180CFE06" w14:textId="77777777">
      <w:pPr>
        <w:spacing w:after="0" w:line="240" w:lineRule="auto"/>
        <w:ind w:firstLine="360"/>
        <w:rPr>
          <w:rFonts w:ascii="Times New Roman" w:hAnsi="Times New Roman" w:cs="Times New Roman"/>
        </w:rPr>
      </w:pPr>
    </w:p>
    <w:p w:rsidRPr="00BF42A8" w:rsidR="00C57989" w:rsidP="00813745" w:rsidRDefault="00A25414" w14:paraId="4579E2BA" w14:textId="20A9F9FD">
      <w:pPr>
        <w:pStyle w:val="Heading2"/>
      </w:pPr>
      <w:bookmarkStart w:name="_Toc110502741" w:id="40"/>
      <w:r>
        <w:t>3.4</w:t>
      </w:r>
      <w:r w:rsidRPr="00BF42A8" w:rsidR="00C57989">
        <w:t xml:space="preserve"> Number and Costs of Baseline Accidents</w:t>
      </w:r>
      <w:bookmarkEnd w:id="40"/>
    </w:p>
    <w:p w:rsidR="00C57989" w:rsidP="00C57989" w:rsidRDefault="00C57989" w14:paraId="26FAB259" w14:textId="77777777">
      <w:pPr>
        <w:spacing w:after="0" w:line="240" w:lineRule="auto"/>
        <w:ind w:firstLine="720"/>
        <w:rPr>
          <w:rFonts w:ascii="Times New Roman" w:hAnsi="Times New Roman" w:cs="Times New Roman"/>
        </w:rPr>
      </w:pPr>
      <w:r w:rsidRPr="00BF42A8">
        <w:rPr>
          <w:rFonts w:ascii="Times New Roman" w:hAnsi="Times New Roman" w:cs="Times New Roman"/>
        </w:rPr>
        <w:t xml:space="preserve">Owners or operators of facilities subject to the RMP rule must submit information on accidents that occurred over the previous five years if they </w:t>
      </w:r>
      <w:r>
        <w:rPr>
          <w:rFonts w:ascii="Times New Roman" w:hAnsi="Times New Roman" w:cs="Times New Roman"/>
        </w:rPr>
        <w:t>resulted in</w:t>
      </w:r>
      <w:r w:rsidRPr="00BF42A8">
        <w:rPr>
          <w:rFonts w:ascii="Times New Roman" w:hAnsi="Times New Roman" w:cs="Times New Roman"/>
        </w:rPr>
        <w:t xml:space="preserve"> onsite or offsite deaths, injuries, or property damage, or if they led to an evacuation, shelter-in-place event, or offsite environmental damage. EPA reviewed these data for all facilities that reported accidents during 2016 through 2020 (the last year with complete data) to provide baseline information for the most recent five-year period.</w:t>
      </w:r>
      <w:r w:rsidRPr="00BF42A8">
        <w:rPr>
          <w:rStyle w:val="FootnoteReference"/>
          <w:rFonts w:ascii="Times New Roman" w:hAnsi="Times New Roman" w:cs="Times New Roman"/>
        </w:rPr>
        <w:footnoteReference w:id="29"/>
      </w:r>
      <w:r w:rsidRPr="00BF42A8">
        <w:rPr>
          <w:rFonts w:ascii="Times New Roman" w:hAnsi="Times New Roman" w:cs="Times New Roman"/>
        </w:rPr>
        <w:t xml:space="preserve"> This five-year period was chosen to reflect the most recent trends regarding RMP accidents. It is the same period on which the analysis of accident data was based to develop cost estimates. Therefore, the annual average costs based on five-year accident data is matched with the average annual baseline damages.</w:t>
      </w:r>
    </w:p>
    <w:p w:rsidR="00C57989" w:rsidP="00C57989" w:rsidRDefault="00C57989" w14:paraId="7A98BCB9" w14:textId="77777777">
      <w:pPr>
        <w:spacing w:after="0" w:line="240" w:lineRule="auto"/>
        <w:ind w:firstLine="360"/>
        <w:rPr>
          <w:rFonts w:ascii="Times New Roman" w:hAnsi="Times New Roman" w:cs="Times New Roman"/>
        </w:rPr>
      </w:pPr>
    </w:p>
    <w:p w:rsidR="00C57989" w:rsidP="00C57989" w:rsidRDefault="00C57989" w14:paraId="508CEE7B"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Some accidents that occurred at RMP facilities during the five-year period were not reported to EPA either because the facility closed </w:t>
      </w:r>
      <w:proofErr w:type="gramStart"/>
      <w:r w:rsidRPr="00BF42A8">
        <w:rPr>
          <w:rFonts w:ascii="Times New Roman" w:hAnsi="Times New Roman" w:cs="Times New Roman"/>
        </w:rPr>
        <w:t>subsequent to</w:t>
      </w:r>
      <w:proofErr w:type="gramEnd"/>
      <w:r w:rsidRPr="00BF42A8">
        <w:rPr>
          <w:rFonts w:ascii="Times New Roman" w:hAnsi="Times New Roman" w:cs="Times New Roman"/>
        </w:rPr>
        <w:t xml:space="preserve"> the accident, decommissioned the process, or removed the regulated substance from the process involved in the accident before it was required to submit a report to the RMP Database. For example, Philadelphia Energy Solutions Refining and Marketing LLC facility in Philadelphia, PA, had a fire and explosions in the PES Girard Point refinery HF alkylation unit on June 21, 2019, which resulted in the release of HF.</w:t>
      </w:r>
      <w:r w:rsidRPr="00BF42A8">
        <w:rPr>
          <w:rStyle w:val="FootnoteReference"/>
          <w:rFonts w:ascii="Times New Roman" w:hAnsi="Times New Roman" w:cs="Times New Roman"/>
        </w:rPr>
        <w:footnoteReference w:id="30"/>
      </w:r>
      <w:r w:rsidRPr="00BF42A8">
        <w:rPr>
          <w:rFonts w:ascii="Times New Roman" w:hAnsi="Times New Roman" w:cs="Times New Roman"/>
        </w:rPr>
        <w:t xml:space="preserve"> This facility deregistered the affected process before the deadline for their subsequent RMP report. Due to the omission of such accidents, the five-year baseline may under-represent the number and magnitude of RMP chemical accidents.</w:t>
      </w:r>
    </w:p>
    <w:p w:rsidR="00C57989" w:rsidP="00C57989" w:rsidRDefault="00C57989" w14:paraId="49A5C677" w14:textId="77777777">
      <w:pPr>
        <w:spacing w:after="0" w:line="240" w:lineRule="auto"/>
        <w:ind w:firstLine="360"/>
        <w:rPr>
          <w:rFonts w:ascii="Times New Roman" w:hAnsi="Times New Roman" w:cs="Times New Roman"/>
        </w:rPr>
      </w:pPr>
    </w:p>
    <w:p w:rsidR="00C57989" w:rsidP="00C57989" w:rsidRDefault="00C57989" w14:paraId="77BB9EA4" w14:textId="77777777">
      <w:pPr>
        <w:spacing w:after="0" w:line="240" w:lineRule="auto"/>
        <w:ind w:firstLine="360"/>
        <w:rPr>
          <w:rFonts w:ascii="Times New Roman" w:hAnsi="Times New Roman" w:cs="Times New Roman"/>
        </w:rPr>
      </w:pPr>
      <w:r>
        <w:rPr>
          <w:rFonts w:ascii="Times New Roman" w:hAnsi="Times New Roman" w:cs="Times New Roman"/>
        </w:rPr>
        <w:lastRenderedPageBreak/>
        <w:tab/>
      </w:r>
      <w:r w:rsidRPr="00BF42A8">
        <w:rPr>
          <w:rFonts w:ascii="Times New Roman" w:hAnsi="Times New Roman" w:cs="Times New Roman"/>
        </w:rPr>
        <w:t xml:space="preserve">The RMP accident database contains information on the initiating event and contributing factors for each accident. The impacts reported should be those attributable to, or resulting from, direct exposure to toxic concentrations, radiant heat, or overpressures from accidental releases or from indirect consequences of a vapor cloud explosion from the accidental release. EPA reviewed RMP-reportable accidents in detail based on industry </w:t>
      </w:r>
      <w:r>
        <w:rPr>
          <w:rFonts w:ascii="Times New Roman" w:hAnsi="Times New Roman" w:cs="Times New Roman"/>
        </w:rPr>
        <w:t>information</w:t>
      </w:r>
      <w:r w:rsidRPr="00BF42A8">
        <w:rPr>
          <w:rFonts w:ascii="Times New Roman" w:hAnsi="Times New Roman" w:cs="Times New Roman"/>
        </w:rPr>
        <w:t xml:space="preserve"> and other resources, such as reports by the CSB, to attempt to ensure that only impacts attributable to the release of a regulated substance were included. </w:t>
      </w:r>
    </w:p>
    <w:p w:rsidRPr="00BF42A8" w:rsidR="00C57989" w:rsidP="00C57989" w:rsidRDefault="00C57989" w14:paraId="73C1EA7E" w14:textId="77777777">
      <w:pPr>
        <w:spacing w:after="0" w:line="240" w:lineRule="auto"/>
        <w:ind w:firstLine="360"/>
        <w:rPr>
          <w:rFonts w:ascii="Times New Roman" w:hAnsi="Times New Roman" w:cs="Times New Roman"/>
        </w:rPr>
      </w:pPr>
    </w:p>
    <w:p w:rsidRPr="00BF42A8" w:rsidR="00C57989" w:rsidP="00C57989" w:rsidRDefault="00A25414" w14:paraId="714DD9C8" w14:textId="50E92CDE">
      <w:pPr>
        <w:spacing w:after="0" w:line="240" w:lineRule="auto"/>
        <w:ind w:right="-10"/>
        <w:rPr>
          <w:rFonts w:ascii="Times New Roman" w:hAnsi="Times New Roman" w:cs="Times New Roman"/>
          <w:b/>
        </w:rPr>
      </w:pPr>
      <w:r>
        <w:rPr>
          <w:rFonts w:ascii="Times New Roman" w:hAnsi="Times New Roman" w:cs="Times New Roman"/>
          <w:b/>
        </w:rPr>
        <w:t>3.4</w:t>
      </w:r>
      <w:r w:rsidRPr="00BF42A8" w:rsidR="00C57989">
        <w:rPr>
          <w:rFonts w:ascii="Times New Roman" w:hAnsi="Times New Roman" w:cs="Times New Roman"/>
          <w:b/>
        </w:rPr>
        <w:t>.1 Onsite RMP-reportable Accidents in the Five-year</w:t>
      </w:r>
      <w:r w:rsidRPr="00BF42A8" w:rsidR="00C57989">
        <w:rPr>
          <w:rFonts w:ascii="Times New Roman" w:hAnsi="Times New Roman" w:cs="Times New Roman"/>
          <w:b/>
          <w:spacing w:val="-6"/>
        </w:rPr>
        <w:t xml:space="preserve"> </w:t>
      </w:r>
      <w:r w:rsidRPr="00BF42A8" w:rsidR="00C57989">
        <w:rPr>
          <w:rFonts w:ascii="Times New Roman" w:hAnsi="Times New Roman" w:cs="Times New Roman"/>
          <w:b/>
        </w:rPr>
        <w:t>Baseline</w:t>
      </w:r>
    </w:p>
    <w:p w:rsidR="00C57989" w:rsidP="00C57989" w:rsidRDefault="00C57989" w14:paraId="52A8D128" w14:textId="32EBD743">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Exhibit </w:t>
      </w:r>
      <w:r w:rsidR="0017397A">
        <w:rPr>
          <w:rFonts w:ascii="Times New Roman" w:hAnsi="Times New Roman" w:cs="Times New Roman"/>
        </w:rPr>
        <w:t>3-9</w:t>
      </w:r>
      <w:r w:rsidRPr="00BF42A8">
        <w:rPr>
          <w:rFonts w:ascii="Times New Roman" w:hAnsi="Times New Roman" w:cs="Times New Roman"/>
        </w:rPr>
        <w:t xml:space="preserve"> presents the five-year data (2016 to 2020), by year, for onsite impacts of accidents. Deaths and injuries are either to employees or members of the public.</w:t>
      </w:r>
    </w:p>
    <w:p w:rsidRPr="00BF42A8" w:rsidR="00C57989" w:rsidP="00C57989" w:rsidRDefault="00C57989" w14:paraId="316CBCFB" w14:textId="77777777">
      <w:pPr>
        <w:spacing w:after="0" w:line="240" w:lineRule="auto"/>
        <w:ind w:firstLine="360"/>
        <w:rPr>
          <w:rFonts w:ascii="Times New Roman" w:hAnsi="Times New Roman" w:cs="Times New Roman"/>
        </w:rPr>
      </w:pPr>
    </w:p>
    <w:p w:rsidRPr="00964C0A" w:rsidR="00C57989" w:rsidP="00C57989" w:rsidRDefault="00C57989" w14:paraId="339AADAB" w14:textId="011FCA5B">
      <w:pPr>
        <w:pStyle w:val="Caption"/>
        <w:jc w:val="center"/>
        <w:rPr>
          <w:rFonts w:ascii="Times New Roman" w:hAnsi="Times New Roman" w:cs="Times New Roman"/>
          <w:b/>
          <w:bCs/>
          <w:i w:val="0"/>
          <w:iCs w:val="0"/>
          <w:color w:val="auto"/>
          <w:sz w:val="22"/>
          <w:szCs w:val="22"/>
        </w:rPr>
      </w:pPr>
      <w:r w:rsidRPr="00964C0A">
        <w:rPr>
          <w:rFonts w:ascii="Times New Roman" w:hAnsi="Times New Roman" w:cs="Times New Roman"/>
          <w:b/>
          <w:bCs/>
          <w:i w:val="0"/>
          <w:iCs w:val="0"/>
          <w:color w:val="auto"/>
          <w:sz w:val="22"/>
          <w:szCs w:val="22"/>
        </w:rPr>
        <w:t xml:space="preserve">Exhibit </w:t>
      </w:r>
      <w:r w:rsidR="0017397A">
        <w:rPr>
          <w:rFonts w:ascii="Times New Roman" w:hAnsi="Times New Roman" w:cs="Times New Roman"/>
          <w:b/>
          <w:bCs/>
          <w:i w:val="0"/>
          <w:iCs w:val="0"/>
          <w:color w:val="auto"/>
          <w:sz w:val="22"/>
          <w:szCs w:val="22"/>
        </w:rPr>
        <w:t>3-9</w:t>
      </w:r>
      <w:r w:rsidRPr="00964C0A">
        <w:rPr>
          <w:rFonts w:ascii="Times New Roman" w:hAnsi="Times New Roman" w:cs="Times New Roman"/>
          <w:b/>
          <w:bCs/>
          <w:i w:val="0"/>
          <w:iCs w:val="0"/>
          <w:color w:val="auto"/>
          <w:sz w:val="22"/>
          <w:szCs w:val="22"/>
        </w:rPr>
        <w:t>: Onsite Impacts by Year: 2016-2020 (millions, 2020 dollars).</w:t>
      </w:r>
    </w:p>
    <w:tbl>
      <w:tblPr>
        <w:tblW w:w="4187" w:type="pct"/>
        <w:jc w:val="center"/>
        <w:tblLook w:val="04A0" w:firstRow="1" w:lastRow="0" w:firstColumn="1" w:lastColumn="0" w:noHBand="0" w:noVBand="1"/>
      </w:tblPr>
      <w:tblGrid>
        <w:gridCol w:w="1320"/>
        <w:gridCol w:w="1123"/>
        <w:gridCol w:w="1208"/>
        <w:gridCol w:w="1149"/>
        <w:gridCol w:w="1055"/>
        <w:gridCol w:w="863"/>
        <w:gridCol w:w="1631"/>
      </w:tblGrid>
      <w:tr w:rsidRPr="00BF42A8" w:rsidR="00C57989" w:rsidTr="00AD4A42" w14:paraId="65377E2F" w14:textId="77777777">
        <w:trPr>
          <w:trHeight w:val="530"/>
          <w:jc w:val="center"/>
        </w:trPr>
        <w:tc>
          <w:tcPr>
            <w:tcW w:w="790"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964C0A" w:rsidR="00C57989" w:rsidP="00AD4A42" w:rsidRDefault="00C57989" w14:paraId="500553B5"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Year</w:t>
            </w:r>
          </w:p>
        </w:tc>
        <w:tc>
          <w:tcPr>
            <w:tcW w:w="672"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776937BE"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Impact Accidents</w:t>
            </w:r>
          </w:p>
        </w:tc>
        <w:tc>
          <w:tcPr>
            <w:tcW w:w="723"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1A8C70EE"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Employee Deaths</w:t>
            </w:r>
          </w:p>
        </w:tc>
        <w:tc>
          <w:tcPr>
            <w:tcW w:w="688"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18D52C83"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Employee Injuries</w:t>
            </w:r>
          </w:p>
        </w:tc>
        <w:tc>
          <w:tcPr>
            <w:tcW w:w="632"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45194D18"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Public Injuries</w:t>
            </w:r>
          </w:p>
        </w:tc>
        <w:tc>
          <w:tcPr>
            <w:tcW w:w="517"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76AF71B3"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Public Deaths</w:t>
            </w:r>
          </w:p>
        </w:tc>
        <w:tc>
          <w:tcPr>
            <w:tcW w:w="977"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43A9D404"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Value of Property Damage</w:t>
            </w:r>
          </w:p>
        </w:tc>
      </w:tr>
      <w:tr w:rsidRPr="00BF42A8" w:rsidR="00C57989" w:rsidTr="00AD4A42" w14:paraId="320C87DD" w14:textId="77777777">
        <w:trPr>
          <w:trHeight w:val="29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1CF0BE0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2016</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5AB6A3B3"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127</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BB2FAB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C4945E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136</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720A84D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1896ACC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76F408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 xml:space="preserve">$451.4 </w:t>
            </w:r>
          </w:p>
        </w:tc>
      </w:tr>
      <w:tr w:rsidRPr="00BF42A8" w:rsidR="00C57989" w:rsidTr="00AD4A42" w14:paraId="262AC989" w14:textId="77777777">
        <w:trPr>
          <w:trHeight w:val="29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25C501E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2017</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11E7B65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109</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14C02C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5C1247FB"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108</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446045E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C67369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5EA6201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 xml:space="preserve">$234.4 </w:t>
            </w:r>
          </w:p>
        </w:tc>
      </w:tr>
      <w:tr w:rsidRPr="00BF42A8" w:rsidR="00C57989" w:rsidTr="00AD4A42" w14:paraId="02D6A92E" w14:textId="77777777">
        <w:trPr>
          <w:trHeight w:val="29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52824DC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2018</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BEFCB2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92</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9515F8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71CB69A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140</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3A220A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1DCBD55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FC3BA8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 xml:space="preserve">$770.8 </w:t>
            </w:r>
          </w:p>
        </w:tc>
      </w:tr>
      <w:tr w:rsidRPr="00BF42A8" w:rsidR="00C57989" w:rsidTr="00AD4A42" w14:paraId="44F0E964" w14:textId="77777777">
        <w:trPr>
          <w:trHeight w:val="29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0024F3A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2019</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4A4DC8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100</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3AD567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BDA257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110</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4ADBF5B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736F0D4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65D50C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$546.2</w:t>
            </w:r>
          </w:p>
        </w:tc>
      </w:tr>
      <w:tr w:rsidRPr="00BF42A8" w:rsidR="00C57989" w:rsidTr="00AD4A42" w14:paraId="692DF3B2" w14:textId="77777777">
        <w:trPr>
          <w:trHeight w:val="29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693667E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2020</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73D338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60</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1EEB2B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D4BB75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56</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4CC4F3F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AD064D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7BA17B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 xml:space="preserve">$28.8 </w:t>
            </w:r>
          </w:p>
        </w:tc>
      </w:tr>
      <w:tr w:rsidRPr="00BF42A8" w:rsidR="00C57989" w:rsidTr="00AD4A42" w14:paraId="05812FFE" w14:textId="77777777">
        <w:trPr>
          <w:trHeight w:val="58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22EAD06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Annual Average</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54ABA7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97.6</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EE145E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2.4</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3433F0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110</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5D5CB6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15E922C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2BE82FD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 xml:space="preserve">$406.3 </w:t>
            </w:r>
          </w:p>
        </w:tc>
      </w:tr>
      <w:tr w:rsidRPr="00BF42A8" w:rsidR="00C57989" w:rsidTr="00AD4A42" w14:paraId="563F6814" w14:textId="77777777">
        <w:trPr>
          <w:trHeight w:val="580"/>
          <w:jc w:val="center"/>
        </w:trPr>
        <w:tc>
          <w:tcPr>
            <w:tcW w:w="790"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481ADCAB"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Total Reportable</w:t>
            </w:r>
          </w:p>
        </w:tc>
        <w:tc>
          <w:tcPr>
            <w:tcW w:w="67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49906B34"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488</w:t>
            </w:r>
          </w:p>
        </w:tc>
        <w:tc>
          <w:tcPr>
            <w:tcW w:w="723"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446D96FC"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12</w:t>
            </w:r>
          </w:p>
        </w:tc>
        <w:tc>
          <w:tcPr>
            <w:tcW w:w="688"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B462D5F"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550</w:t>
            </w:r>
          </w:p>
        </w:tc>
        <w:tc>
          <w:tcPr>
            <w:tcW w:w="632"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E47579A"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20</w:t>
            </w:r>
          </w:p>
        </w:tc>
        <w:tc>
          <w:tcPr>
            <w:tcW w:w="51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1F86A5D"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0</w:t>
            </w:r>
          </w:p>
        </w:tc>
        <w:tc>
          <w:tcPr>
            <w:tcW w:w="97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12154D33"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 xml:space="preserve">$2,031.5 </w:t>
            </w:r>
          </w:p>
        </w:tc>
      </w:tr>
    </w:tbl>
    <w:p w:rsidRPr="00D74817" w:rsidR="00C57989" w:rsidP="00C57989" w:rsidRDefault="00C57989" w14:paraId="5988BD34" w14:textId="77777777">
      <w:pPr>
        <w:spacing w:after="0" w:line="240" w:lineRule="auto"/>
        <w:rPr>
          <w:rFonts w:ascii="Times New Roman" w:hAnsi="Times New Roman" w:cs="Times New Roman"/>
          <w:sz w:val="20"/>
          <w:szCs w:val="20"/>
        </w:rPr>
      </w:pPr>
      <w:r w:rsidRPr="00D74817">
        <w:rPr>
          <w:rFonts w:ascii="Times New Roman" w:hAnsi="Times New Roman" w:cs="Times New Roman"/>
          <w:sz w:val="20"/>
          <w:szCs w:val="20"/>
        </w:rPr>
        <w:t>* Property damage values were obtained from the EPA RMP Database of self-reported information from regulated facility owners or operators and adjusted to 2020 dollars.</w:t>
      </w:r>
    </w:p>
    <w:p w:rsidRPr="00D74817" w:rsidR="00C57989" w:rsidP="00C57989" w:rsidRDefault="00C57989" w14:paraId="6DCF49FB" w14:textId="77777777">
      <w:pPr>
        <w:spacing w:after="0" w:line="240" w:lineRule="auto"/>
        <w:rPr>
          <w:rFonts w:ascii="Times New Roman" w:hAnsi="Times New Roman" w:cs="Times New Roman"/>
          <w:sz w:val="20"/>
          <w:szCs w:val="20"/>
        </w:rPr>
      </w:pPr>
    </w:p>
    <w:p w:rsidR="00C57989" w:rsidP="00C57989" w:rsidRDefault="00C57989" w14:paraId="44561712" w14:textId="3144BCB9">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Twelve onsite fatalities occurred over the five-year analysis period, which is an annual average of 2.4 fatalities. There were no large accidents and e</w:t>
      </w:r>
      <w:r>
        <w:rPr>
          <w:rFonts w:ascii="Times New Roman" w:hAnsi="Times New Roman" w:cs="Times New Roman"/>
        </w:rPr>
        <w:t>ach accident</w:t>
      </w:r>
      <w:r w:rsidRPr="00BF42A8">
        <w:rPr>
          <w:rFonts w:ascii="Times New Roman" w:hAnsi="Times New Roman" w:cs="Times New Roman"/>
        </w:rPr>
        <w:t xml:space="preserve"> resulted in one fatality. One of the single deaths resulted from sulfur dioxide gas in Salt Lake City</w:t>
      </w:r>
      <w:r w:rsidR="001F4CD0">
        <w:rPr>
          <w:rFonts w:ascii="Times New Roman" w:hAnsi="Times New Roman" w:cs="Times New Roman"/>
        </w:rPr>
        <w:t>,</w:t>
      </w:r>
      <w:r w:rsidRPr="00BF42A8">
        <w:rPr>
          <w:rFonts w:ascii="Times New Roman" w:hAnsi="Times New Roman" w:cs="Times New Roman"/>
        </w:rPr>
        <w:t xml:space="preserve"> Utah.</w:t>
      </w:r>
      <w:r w:rsidRPr="00BF42A8">
        <w:rPr>
          <w:rStyle w:val="FootnoteReference"/>
          <w:rFonts w:ascii="Times New Roman" w:hAnsi="Times New Roman" w:cs="Times New Roman"/>
        </w:rPr>
        <w:footnoteReference w:id="31"/>
      </w:r>
      <w:r w:rsidRPr="00BF42A8">
        <w:rPr>
          <w:rFonts w:ascii="Times New Roman" w:hAnsi="Times New Roman" w:cs="Times New Roman"/>
        </w:rPr>
        <w:t xml:space="preserve"> Another single fatality resulted from an accident which caused a fire in Big Lake, Texas.</w:t>
      </w:r>
      <w:r w:rsidRPr="00BF42A8">
        <w:rPr>
          <w:rStyle w:val="FootnoteReference"/>
          <w:rFonts w:ascii="Times New Roman" w:hAnsi="Times New Roman" w:cs="Times New Roman"/>
        </w:rPr>
        <w:footnoteReference w:id="32"/>
      </w:r>
      <w:r w:rsidRPr="00BF42A8">
        <w:rPr>
          <w:rFonts w:ascii="Times New Roman" w:hAnsi="Times New Roman" w:cs="Times New Roman"/>
        </w:rPr>
        <w:t xml:space="preserve"> In 2020, an ammonia leak in North Carolina caused the death of one employee as well.</w:t>
      </w:r>
      <w:r w:rsidRPr="00BF42A8">
        <w:rPr>
          <w:rStyle w:val="FootnoteReference"/>
          <w:rFonts w:ascii="Times New Roman" w:hAnsi="Times New Roman" w:cs="Times New Roman"/>
        </w:rPr>
        <w:footnoteReference w:id="33"/>
      </w:r>
      <w:r w:rsidRPr="00BF42A8">
        <w:rPr>
          <w:rFonts w:ascii="Times New Roman" w:hAnsi="Times New Roman" w:cs="Times New Roman"/>
        </w:rPr>
        <w:t xml:space="preserve"> One accident due to an ammonia leak resulted in</w:t>
      </w:r>
      <w:r>
        <w:rPr>
          <w:rFonts w:ascii="Times New Roman" w:hAnsi="Times New Roman" w:cs="Times New Roman"/>
        </w:rPr>
        <w:t xml:space="preserve"> 20 injuries to</w:t>
      </w:r>
      <w:r w:rsidRPr="00BF42A8">
        <w:rPr>
          <w:rFonts w:ascii="Times New Roman" w:hAnsi="Times New Roman" w:cs="Times New Roman"/>
        </w:rPr>
        <w:t xml:space="preserve"> </w:t>
      </w:r>
      <w:r>
        <w:rPr>
          <w:rFonts w:ascii="Times New Roman" w:hAnsi="Times New Roman" w:cs="Times New Roman"/>
        </w:rPr>
        <w:t>members of the public</w:t>
      </w:r>
      <w:r w:rsidRPr="00BF42A8">
        <w:rPr>
          <w:rFonts w:ascii="Times New Roman" w:hAnsi="Times New Roman" w:cs="Times New Roman"/>
        </w:rPr>
        <w:t xml:space="preserve"> in Big Spring, Texas.</w:t>
      </w:r>
      <w:r w:rsidRPr="00BF42A8">
        <w:rPr>
          <w:rStyle w:val="FootnoteReference"/>
          <w:rFonts w:ascii="Times New Roman" w:hAnsi="Times New Roman" w:cs="Times New Roman"/>
        </w:rPr>
        <w:footnoteReference w:id="34"/>
      </w:r>
      <w:r w:rsidRPr="00BF42A8">
        <w:rPr>
          <w:rFonts w:ascii="Times New Roman" w:hAnsi="Times New Roman" w:cs="Times New Roman"/>
        </w:rPr>
        <w:t xml:space="preserve"> No deaths among the public occurred during this five-year period. </w:t>
      </w:r>
    </w:p>
    <w:p w:rsidR="00C57989" w:rsidP="00C57989" w:rsidRDefault="00C57989" w14:paraId="35BFF52A" w14:textId="77777777">
      <w:pPr>
        <w:spacing w:after="0" w:line="240" w:lineRule="auto"/>
        <w:ind w:firstLine="360"/>
        <w:rPr>
          <w:rFonts w:ascii="Times New Roman" w:hAnsi="Times New Roman" w:cs="Times New Roman"/>
        </w:rPr>
      </w:pPr>
    </w:p>
    <w:p w:rsidR="00C57989" w:rsidP="00C57989" w:rsidRDefault="00C57989" w14:paraId="202D2E1E"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The current RMP rule does not require facilities to disaggregate </w:t>
      </w:r>
      <w:r>
        <w:rPr>
          <w:rFonts w:ascii="Times New Roman" w:hAnsi="Times New Roman" w:cs="Times New Roman"/>
        </w:rPr>
        <w:t xml:space="preserve">reported </w:t>
      </w:r>
      <w:r w:rsidRPr="00BF42A8">
        <w:rPr>
          <w:rFonts w:ascii="Times New Roman" w:hAnsi="Times New Roman" w:cs="Times New Roman"/>
        </w:rPr>
        <w:t xml:space="preserve">onsite injuries by severity. However, under the RMP accident history requirements, an RMP-reportable accident </w:t>
      </w:r>
      <w:r w:rsidRPr="00BF42A8">
        <w:rPr>
          <w:rFonts w:ascii="Times New Roman" w:hAnsi="Times New Roman" w:cs="Times New Roman"/>
          <w:i/>
        </w:rPr>
        <w:t xml:space="preserve">injury </w:t>
      </w:r>
      <w:r w:rsidRPr="00BF42A8">
        <w:rPr>
          <w:rFonts w:ascii="Times New Roman" w:hAnsi="Times New Roman" w:cs="Times New Roman"/>
        </w:rPr>
        <w:t>means “any effect on a human that results either from direct exposure to toxic concentration; radiant heat; or overpressure from accidental releases or from the direct consequences of a vapor cloud explosion (such as flying glass, debris, or other projectiles) from an accidental release and that requires medical treatment or</w:t>
      </w:r>
      <w:r w:rsidRPr="00BF42A8">
        <w:rPr>
          <w:rFonts w:ascii="Times New Roman" w:hAnsi="Times New Roman" w:cs="Times New Roman"/>
          <w:spacing w:val="-19"/>
        </w:rPr>
        <w:t xml:space="preserve"> </w:t>
      </w:r>
      <w:r w:rsidRPr="00BF42A8">
        <w:rPr>
          <w:rFonts w:ascii="Times New Roman" w:hAnsi="Times New Roman" w:cs="Times New Roman"/>
        </w:rPr>
        <w:t>hospitalization.”</w:t>
      </w:r>
    </w:p>
    <w:p w:rsidR="00C57989" w:rsidP="00C57989" w:rsidRDefault="00C57989" w14:paraId="004EF0EC" w14:textId="77777777">
      <w:pPr>
        <w:spacing w:after="0" w:line="240" w:lineRule="auto"/>
        <w:ind w:firstLine="360"/>
        <w:rPr>
          <w:rFonts w:ascii="Times New Roman" w:hAnsi="Times New Roman" w:cs="Times New Roman"/>
        </w:rPr>
      </w:pPr>
    </w:p>
    <w:p w:rsidR="00C57989" w:rsidP="00C57989" w:rsidRDefault="00C57989" w14:paraId="6F7D2DCD" w14:textId="77777777">
      <w:pPr>
        <w:spacing w:after="0" w:line="240" w:lineRule="auto"/>
        <w:ind w:firstLine="360"/>
        <w:rPr>
          <w:rFonts w:ascii="Times New Roman" w:hAnsi="Times New Roman" w:cs="Times New Roman"/>
        </w:rPr>
      </w:pPr>
      <w:r>
        <w:rPr>
          <w:rFonts w:ascii="Times New Roman" w:hAnsi="Times New Roman" w:cs="Times New Roman"/>
          <w:i/>
        </w:rPr>
        <w:lastRenderedPageBreak/>
        <w:tab/>
      </w:r>
      <w:r w:rsidRPr="00BF42A8">
        <w:rPr>
          <w:rFonts w:ascii="Times New Roman" w:hAnsi="Times New Roman" w:cs="Times New Roman"/>
          <w:i/>
        </w:rPr>
        <w:t xml:space="preserve">Medical treatment </w:t>
      </w:r>
      <w:r w:rsidRPr="00BF42A8">
        <w:rPr>
          <w:rFonts w:ascii="Times New Roman" w:hAnsi="Times New Roman" w:cs="Times New Roman"/>
        </w:rPr>
        <w:t xml:space="preserve">means “treatment, other than first aid, administered by </w:t>
      </w:r>
      <w:proofErr w:type="gramStart"/>
      <w:r w:rsidRPr="00BF42A8">
        <w:rPr>
          <w:rFonts w:ascii="Times New Roman" w:hAnsi="Times New Roman" w:cs="Times New Roman"/>
        </w:rPr>
        <w:t>a physician or registered professional personnel</w:t>
      </w:r>
      <w:proofErr w:type="gramEnd"/>
      <w:r w:rsidRPr="00BF42A8">
        <w:rPr>
          <w:rFonts w:ascii="Times New Roman" w:hAnsi="Times New Roman" w:cs="Times New Roman"/>
        </w:rPr>
        <w:t xml:space="preserve"> under standing orders from a physician” (40 CFR 68.3). For some accidents for which accident reports could be located from other sources, serious injuries (i.e., those requiring hospitalization) range from none (e.g., SGL Carbon LLC July 2017 and East Dubuque Nitrogen Fertilizers June 2017 where all workers were treated and released) to at least 29 reported injuries (Tyson Fresh Meats 2018); in the largest accident (Valero Benicia Refinery 2017), 68 civilians received medical treatment.</w:t>
      </w:r>
      <w:r w:rsidRPr="00BF42A8">
        <w:rPr>
          <w:rStyle w:val="FootnoteReference"/>
          <w:rFonts w:ascii="Times New Roman" w:hAnsi="Times New Roman" w:cs="Times New Roman"/>
        </w:rPr>
        <w:footnoteReference w:id="35"/>
      </w:r>
      <w:r w:rsidRPr="00BF42A8">
        <w:rPr>
          <w:rFonts w:ascii="Times New Roman" w:hAnsi="Times New Roman" w:cs="Times New Roman"/>
        </w:rPr>
        <w:t xml:space="preserve"> Injuries described in reports varied from those that were treated with first aid alone at the scene, to severe burns and some disability. Although the RMP rule limits reportable injuries to those that require medical treatment other than first aid, in some accidents, minor injuries treated with first aid have been reported. Onsite property damage reports include a variety of damages including to buildings, machinery, </w:t>
      </w:r>
      <w:proofErr w:type="gramStart"/>
      <w:r w:rsidRPr="00BF42A8">
        <w:rPr>
          <w:rFonts w:ascii="Times New Roman" w:hAnsi="Times New Roman" w:cs="Times New Roman"/>
        </w:rPr>
        <w:t>equipment</w:t>
      </w:r>
      <w:proofErr w:type="gramEnd"/>
      <w:r w:rsidRPr="00BF42A8">
        <w:rPr>
          <w:rFonts w:ascii="Times New Roman" w:hAnsi="Times New Roman" w:cs="Times New Roman"/>
        </w:rPr>
        <w:t xml:space="preserve"> and other plant infrastructure. Around $1.3 billion of the $2 billion in property damage reported occurred in accidents that had no other reportable impacts onsite or offsite.</w:t>
      </w:r>
    </w:p>
    <w:p w:rsidRPr="00BF42A8" w:rsidR="00C57989" w:rsidP="00C57989" w:rsidRDefault="00C57989" w14:paraId="305307CA" w14:textId="77777777">
      <w:pPr>
        <w:spacing w:after="0" w:line="240" w:lineRule="auto"/>
        <w:ind w:firstLine="360"/>
        <w:rPr>
          <w:rFonts w:ascii="Times New Roman" w:hAnsi="Times New Roman" w:cs="Times New Roman"/>
        </w:rPr>
      </w:pPr>
    </w:p>
    <w:p w:rsidRPr="00BF42A8" w:rsidR="00C57989" w:rsidP="00C57989" w:rsidRDefault="00A25414" w14:paraId="7C5E8B0C" w14:textId="2C68DE30">
      <w:pPr>
        <w:spacing w:after="0" w:line="240" w:lineRule="auto"/>
        <w:rPr>
          <w:rFonts w:ascii="Times New Roman" w:hAnsi="Times New Roman" w:cs="Times New Roman"/>
          <w:b/>
        </w:rPr>
      </w:pPr>
      <w:r>
        <w:rPr>
          <w:rFonts w:ascii="Times New Roman" w:hAnsi="Times New Roman" w:cs="Times New Roman"/>
          <w:b/>
        </w:rPr>
        <w:t>3.4</w:t>
      </w:r>
      <w:r w:rsidRPr="00BF42A8" w:rsidR="00C57989">
        <w:rPr>
          <w:rFonts w:ascii="Times New Roman" w:hAnsi="Times New Roman" w:cs="Times New Roman"/>
          <w:b/>
        </w:rPr>
        <w:t>.2 Offsite Reportable Impacts in the Five-year</w:t>
      </w:r>
      <w:r w:rsidRPr="00BF42A8" w:rsidR="00C57989">
        <w:rPr>
          <w:rFonts w:ascii="Times New Roman" w:hAnsi="Times New Roman" w:cs="Times New Roman"/>
          <w:b/>
          <w:spacing w:val="-2"/>
        </w:rPr>
        <w:t xml:space="preserve"> </w:t>
      </w:r>
      <w:r w:rsidRPr="00BF42A8" w:rsidR="00C57989">
        <w:rPr>
          <w:rFonts w:ascii="Times New Roman" w:hAnsi="Times New Roman" w:cs="Times New Roman"/>
          <w:b/>
        </w:rPr>
        <w:t>Baseline</w:t>
      </w:r>
    </w:p>
    <w:p w:rsidR="00C57989" w:rsidP="00C57989" w:rsidRDefault="00C57989" w14:paraId="5209542D" w14:textId="5C55D584">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Exhibit 3</w:t>
      </w:r>
      <w:r w:rsidR="0017397A">
        <w:rPr>
          <w:rFonts w:ascii="Times New Roman" w:hAnsi="Times New Roman" w:cs="Times New Roman"/>
        </w:rPr>
        <w:t>-10</w:t>
      </w:r>
      <w:r w:rsidRPr="00BF42A8">
        <w:rPr>
          <w:rFonts w:ascii="Times New Roman" w:hAnsi="Times New Roman" w:cs="Times New Roman"/>
        </w:rPr>
        <w:t xml:space="preserve"> presents the reported offsite impacts for the baseline including members of the public or emergency responders who were injured or killed offsite, were required to </w:t>
      </w:r>
      <w:proofErr w:type="gramStart"/>
      <w:r w:rsidRPr="00BF42A8">
        <w:rPr>
          <w:rFonts w:ascii="Times New Roman" w:hAnsi="Times New Roman" w:cs="Times New Roman"/>
        </w:rPr>
        <w:t>evacuate</w:t>
      </w:r>
      <w:proofErr w:type="gramEnd"/>
      <w:r w:rsidRPr="00BF42A8">
        <w:rPr>
          <w:rFonts w:ascii="Times New Roman" w:hAnsi="Times New Roman" w:cs="Times New Roman"/>
        </w:rPr>
        <w:t xml:space="preserve"> or shelter in place, or who incurred property damage as a result of the accidents. Of the 488 reportable accidents, 113 had reportable offsite impacts. </w:t>
      </w:r>
    </w:p>
    <w:p w:rsidR="00C57989" w:rsidP="00C57989" w:rsidRDefault="00C57989" w14:paraId="4AEF3643" w14:textId="77777777">
      <w:pPr>
        <w:spacing w:after="0" w:line="240" w:lineRule="auto"/>
        <w:ind w:firstLine="360"/>
        <w:rPr>
          <w:rFonts w:ascii="Times New Roman" w:hAnsi="Times New Roman" w:cs="Times New Roman"/>
        </w:rPr>
      </w:pPr>
    </w:p>
    <w:p w:rsidRPr="00964C0A" w:rsidR="00C57989" w:rsidP="00C57989" w:rsidRDefault="00C57989" w14:paraId="12E91084" w14:textId="16009764">
      <w:pPr>
        <w:pStyle w:val="Caption"/>
        <w:jc w:val="center"/>
        <w:rPr>
          <w:rFonts w:ascii="Times New Roman" w:hAnsi="Times New Roman" w:cs="Times New Roman"/>
          <w:b/>
          <w:bCs/>
          <w:i w:val="0"/>
          <w:iCs w:val="0"/>
          <w:color w:val="auto"/>
          <w:sz w:val="22"/>
          <w:szCs w:val="22"/>
        </w:rPr>
      </w:pPr>
      <w:r w:rsidRPr="00964C0A">
        <w:rPr>
          <w:rFonts w:ascii="Times New Roman" w:hAnsi="Times New Roman" w:cs="Times New Roman"/>
          <w:b/>
          <w:bCs/>
          <w:i w:val="0"/>
          <w:iCs w:val="0"/>
          <w:color w:val="auto"/>
          <w:sz w:val="22"/>
          <w:szCs w:val="22"/>
        </w:rPr>
        <w:t>Exhibit 3</w:t>
      </w:r>
      <w:r w:rsidR="0017397A">
        <w:rPr>
          <w:rFonts w:ascii="Times New Roman" w:hAnsi="Times New Roman" w:cs="Times New Roman"/>
          <w:b/>
          <w:bCs/>
          <w:i w:val="0"/>
          <w:iCs w:val="0"/>
          <w:color w:val="auto"/>
          <w:sz w:val="22"/>
          <w:szCs w:val="22"/>
        </w:rPr>
        <w:t>-10</w:t>
      </w:r>
      <w:r w:rsidRPr="00964C0A">
        <w:rPr>
          <w:rFonts w:ascii="Times New Roman" w:hAnsi="Times New Roman" w:cs="Times New Roman"/>
          <w:b/>
          <w:bCs/>
          <w:i w:val="0"/>
          <w:iCs w:val="0"/>
          <w:color w:val="auto"/>
          <w:sz w:val="22"/>
          <w:szCs w:val="22"/>
        </w:rPr>
        <w:t>: Offsite Impacts by Year: 2016-2020 (millions, 2020 dollars).</w:t>
      </w:r>
    </w:p>
    <w:tbl>
      <w:tblPr>
        <w:tblW w:w="5126" w:type="pct"/>
        <w:tblInd w:w="-5" w:type="dxa"/>
        <w:tblLook w:val="04A0" w:firstRow="1" w:lastRow="0" w:firstColumn="1" w:lastColumn="0" w:noHBand="0" w:noVBand="1"/>
      </w:tblPr>
      <w:tblGrid>
        <w:gridCol w:w="1351"/>
        <w:gridCol w:w="1296"/>
        <w:gridCol w:w="1141"/>
        <w:gridCol w:w="1012"/>
        <w:gridCol w:w="1523"/>
        <w:gridCol w:w="1384"/>
        <w:gridCol w:w="1271"/>
        <w:gridCol w:w="1243"/>
      </w:tblGrid>
      <w:tr w:rsidRPr="00BF42A8" w:rsidR="00AE3191" w:rsidTr="00960227" w14:paraId="17F000B3" w14:textId="77777777">
        <w:trPr>
          <w:trHeight w:val="1270"/>
          <w:tblHeader/>
        </w:trPr>
        <w:tc>
          <w:tcPr>
            <w:tcW w:w="661"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BF42A8" w:rsidR="00C57989" w:rsidP="00AD4A42" w:rsidRDefault="00C57989" w14:paraId="122B4F1A"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Year</w:t>
            </w:r>
          </w:p>
        </w:tc>
        <w:tc>
          <w:tcPr>
            <w:tcW w:w="634"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2286664C"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Impact Accidents with Offsite Impacts</w:t>
            </w:r>
          </w:p>
        </w:tc>
        <w:tc>
          <w:tcPr>
            <w:tcW w:w="558"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190F40E3"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Number of Deaths</w:t>
            </w:r>
          </w:p>
        </w:tc>
        <w:tc>
          <w:tcPr>
            <w:tcW w:w="495"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7938FEAE"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Hospital Visits</w:t>
            </w:r>
          </w:p>
        </w:tc>
        <w:tc>
          <w:tcPr>
            <w:tcW w:w="745"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1A8F5E96"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People Undergoing other Medical Treatment</w:t>
            </w:r>
          </w:p>
        </w:tc>
        <w:tc>
          <w:tcPr>
            <w:tcW w:w="677"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092C6043"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Number of People Evacuated</w:t>
            </w:r>
          </w:p>
        </w:tc>
        <w:tc>
          <w:tcPr>
            <w:tcW w:w="622"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06758D8F"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Number of People Sheltered in Place</w:t>
            </w:r>
          </w:p>
        </w:tc>
        <w:tc>
          <w:tcPr>
            <w:tcW w:w="609" w:type="pct"/>
            <w:tcBorders>
              <w:top w:val="single" w:color="auto" w:sz="4" w:space="0"/>
              <w:left w:val="nil"/>
              <w:bottom w:val="single" w:color="auto" w:sz="4" w:space="0"/>
              <w:right w:val="single" w:color="auto" w:sz="4" w:space="0"/>
            </w:tcBorders>
            <w:shd w:val="clear" w:color="000000" w:fill="D9D9D9"/>
            <w:vAlign w:val="center"/>
            <w:hideMark/>
          </w:tcPr>
          <w:p w:rsidRPr="00BF42A8" w:rsidR="00C57989" w:rsidP="00AD4A42" w:rsidRDefault="00C57989" w14:paraId="66C468A9"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Value of Property Damage</w:t>
            </w:r>
          </w:p>
        </w:tc>
      </w:tr>
      <w:tr w:rsidRPr="00BF42A8" w:rsidR="00577F55" w:rsidTr="00960227" w14:paraId="0EFF6806" w14:textId="77777777">
        <w:trPr>
          <w:trHeight w:val="29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6D579CAE"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2016</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522AE41"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27</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2E83D4F2"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28D1FE2"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11</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B0CDE05"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7AE3324"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1,668</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00ECD74E"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13,430</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90C7C0B"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$4.2</w:t>
            </w:r>
          </w:p>
        </w:tc>
      </w:tr>
      <w:tr w:rsidRPr="00BF42A8" w:rsidR="00577F55" w:rsidTr="00960227" w14:paraId="27D61B53" w14:textId="77777777">
        <w:trPr>
          <w:trHeight w:val="29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77466BBB"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2017</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39FDA4F"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31</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0686E431"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7FECD6F5"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6</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BFF66D2"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94</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0185CD5"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7,866</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1AE295A"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32,011</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21753099"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$.05</w:t>
            </w:r>
          </w:p>
        </w:tc>
      </w:tr>
      <w:tr w:rsidRPr="00BF42A8" w:rsidR="00577F55" w:rsidTr="00960227" w14:paraId="4A4AFE22" w14:textId="77777777">
        <w:trPr>
          <w:trHeight w:val="29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5BE30C67"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2018</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05FAFAC"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30</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1E334AC"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468867F"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4</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8FC9214"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19</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2C7CB7DF"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3,942</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7A6BF1A"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469</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2FE2129"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w:t>
            </w:r>
          </w:p>
        </w:tc>
      </w:tr>
      <w:tr w:rsidRPr="00BF42A8" w:rsidR="00577F55" w:rsidTr="00960227" w14:paraId="6FC06EC2" w14:textId="77777777">
        <w:trPr>
          <w:trHeight w:val="29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3A0428D5"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2019</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C9F3BFC"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27</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3CD0CC3"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C6F62FE"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6</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8356F0F"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15</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4F2628C"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51,002</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71BB755D"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38,284</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F926F31"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$155.0</w:t>
            </w:r>
          </w:p>
        </w:tc>
      </w:tr>
      <w:tr w:rsidRPr="00BF42A8" w:rsidR="00577F55" w:rsidTr="00960227" w14:paraId="5D9D01D2" w14:textId="77777777">
        <w:trPr>
          <w:trHeight w:val="29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4465FF03"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2020</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17F4FDB8"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18</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2CB63757"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575C09F"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4</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716B808E"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42FBDE6"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261</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7694F333"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1,614</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B42D2C7"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w:t>
            </w:r>
          </w:p>
        </w:tc>
      </w:tr>
      <w:tr w:rsidRPr="00BF42A8" w:rsidR="00577F55" w:rsidTr="00960227" w14:paraId="29E20D99" w14:textId="77777777">
        <w:trPr>
          <w:trHeight w:val="58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6B5BB3D9"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Annual Average</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80F6E83"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26.6</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30F79F9"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3C70BE4"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6.2</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461FF9C7"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26.8</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3BE19DD"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12,948</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EF31392"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17,162</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0E428B2E" w14:textId="77777777">
            <w:pPr>
              <w:spacing w:after="0" w:line="240" w:lineRule="auto"/>
              <w:jc w:val="center"/>
              <w:rPr>
                <w:rFonts w:ascii="Times New Roman" w:hAnsi="Times New Roman" w:cs="Times New Roman"/>
                <w:color w:val="000000"/>
              </w:rPr>
            </w:pPr>
            <w:r w:rsidRPr="00BF42A8">
              <w:rPr>
                <w:rFonts w:ascii="Times New Roman" w:hAnsi="Times New Roman" w:cs="Times New Roman"/>
                <w:color w:val="000000"/>
              </w:rPr>
              <w:t>$32.0</w:t>
            </w:r>
          </w:p>
        </w:tc>
      </w:tr>
      <w:tr w:rsidRPr="00BF42A8" w:rsidR="00577F55" w:rsidTr="00960227" w14:paraId="6BF47B15" w14:textId="77777777">
        <w:trPr>
          <w:trHeight w:val="580"/>
        </w:trPr>
        <w:tc>
          <w:tcPr>
            <w:tcW w:w="661" w:type="pct"/>
            <w:tcBorders>
              <w:top w:val="nil"/>
              <w:left w:val="single" w:color="auto" w:sz="4" w:space="0"/>
              <w:bottom w:val="single" w:color="auto" w:sz="4" w:space="0"/>
              <w:right w:val="single" w:color="auto" w:sz="4" w:space="0"/>
            </w:tcBorders>
            <w:shd w:val="clear" w:color="auto" w:fill="auto"/>
            <w:vAlign w:val="center"/>
            <w:hideMark/>
          </w:tcPr>
          <w:p w:rsidRPr="00BF42A8" w:rsidR="00C57989" w:rsidP="00AD4A42" w:rsidRDefault="00C57989" w14:paraId="60306EA9"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Total Reportable</w:t>
            </w:r>
          </w:p>
        </w:tc>
        <w:tc>
          <w:tcPr>
            <w:tcW w:w="634"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D123F8F"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133</w:t>
            </w:r>
          </w:p>
        </w:tc>
        <w:tc>
          <w:tcPr>
            <w:tcW w:w="558"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001D1596"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0</w:t>
            </w:r>
          </w:p>
        </w:tc>
        <w:tc>
          <w:tcPr>
            <w:tcW w:w="49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76D1DDA7"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31</w:t>
            </w:r>
          </w:p>
        </w:tc>
        <w:tc>
          <w:tcPr>
            <w:tcW w:w="745"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C31386B"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134</w:t>
            </w:r>
          </w:p>
        </w:tc>
        <w:tc>
          <w:tcPr>
            <w:tcW w:w="677"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374E468D"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64,739</w:t>
            </w:r>
          </w:p>
        </w:tc>
        <w:tc>
          <w:tcPr>
            <w:tcW w:w="622"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50F5556E"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85,808</w:t>
            </w:r>
          </w:p>
        </w:tc>
        <w:tc>
          <w:tcPr>
            <w:tcW w:w="609" w:type="pct"/>
            <w:tcBorders>
              <w:top w:val="nil"/>
              <w:left w:val="nil"/>
              <w:bottom w:val="single" w:color="auto" w:sz="4" w:space="0"/>
              <w:right w:val="single" w:color="auto" w:sz="4" w:space="0"/>
            </w:tcBorders>
            <w:shd w:val="clear" w:color="auto" w:fill="auto"/>
            <w:vAlign w:val="center"/>
            <w:hideMark/>
          </w:tcPr>
          <w:p w:rsidRPr="00BF42A8" w:rsidR="00C57989" w:rsidP="00AD4A42" w:rsidRDefault="00C57989" w14:paraId="6EDB3E5D" w14:textId="77777777">
            <w:pPr>
              <w:spacing w:after="0" w:line="240" w:lineRule="auto"/>
              <w:jc w:val="center"/>
              <w:rPr>
                <w:rFonts w:ascii="Times New Roman" w:hAnsi="Times New Roman" w:cs="Times New Roman"/>
                <w:b/>
                <w:color w:val="000000"/>
              </w:rPr>
            </w:pPr>
            <w:r w:rsidRPr="00BF42A8">
              <w:rPr>
                <w:rFonts w:ascii="Times New Roman" w:hAnsi="Times New Roman" w:cs="Times New Roman"/>
                <w:b/>
                <w:color w:val="000000"/>
              </w:rPr>
              <w:t>$191.5</w:t>
            </w:r>
          </w:p>
        </w:tc>
      </w:tr>
    </w:tbl>
    <w:p w:rsidRPr="00BF42A8" w:rsidR="00C57989" w:rsidP="00C57989" w:rsidRDefault="00C57989" w14:paraId="1D22B3DD" w14:textId="77777777">
      <w:pPr>
        <w:spacing w:after="0" w:line="240" w:lineRule="auto"/>
        <w:rPr>
          <w:rFonts w:ascii="Times New Roman" w:hAnsi="Times New Roman" w:cs="Times New Roman"/>
          <w:b/>
        </w:rPr>
      </w:pPr>
    </w:p>
    <w:p w:rsidR="00C57989" w:rsidP="00C57989" w:rsidRDefault="00C57989" w14:paraId="575AFA07"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In the five-year baseline, the total number of offsite individuals</w:t>
      </w:r>
      <w:r>
        <w:rPr>
          <w:rFonts w:ascii="Times New Roman" w:hAnsi="Times New Roman" w:cs="Times New Roman"/>
        </w:rPr>
        <w:t xml:space="preserve"> </w:t>
      </w:r>
      <w:r w:rsidRPr="00BF42A8">
        <w:rPr>
          <w:rFonts w:ascii="Times New Roman" w:hAnsi="Times New Roman" w:cs="Times New Roman"/>
        </w:rPr>
        <w:t>evacuat</w:t>
      </w:r>
      <w:r>
        <w:rPr>
          <w:rFonts w:ascii="Times New Roman" w:hAnsi="Times New Roman" w:cs="Times New Roman"/>
        </w:rPr>
        <w:t xml:space="preserve">ed </w:t>
      </w:r>
      <w:r w:rsidRPr="00BF42A8">
        <w:rPr>
          <w:rFonts w:ascii="Times New Roman" w:hAnsi="Times New Roman" w:cs="Times New Roman"/>
        </w:rPr>
        <w:t>as well as the value of property damage are skewed by a single incident where 50,000 people were evacuated for exposure to smoke and particles from a fire at a TPC Group facility in Port Neches, TX, in 2019.</w:t>
      </w:r>
      <w:r w:rsidRPr="00BF42A8">
        <w:rPr>
          <w:rStyle w:val="FootnoteReference"/>
          <w:rFonts w:ascii="Times New Roman" w:hAnsi="Times New Roman" w:cs="Times New Roman"/>
        </w:rPr>
        <w:footnoteReference w:id="36"/>
      </w:r>
      <w:r w:rsidRPr="00BF42A8">
        <w:rPr>
          <w:rFonts w:ascii="Times New Roman" w:hAnsi="Times New Roman" w:cs="Times New Roman"/>
        </w:rPr>
        <w:t xml:space="preserve"> For sheltering in place, two accidents in 2019 with a</w:t>
      </w:r>
      <w:r>
        <w:rPr>
          <w:rFonts w:ascii="Times New Roman" w:hAnsi="Times New Roman" w:cs="Times New Roman"/>
        </w:rPr>
        <w:t>pproximately</w:t>
      </w:r>
      <w:r w:rsidRPr="00BF42A8">
        <w:rPr>
          <w:rFonts w:ascii="Times New Roman" w:hAnsi="Times New Roman" w:cs="Times New Roman"/>
        </w:rPr>
        <w:t xml:space="preserve"> 12,000 evacuations accounted for their high numbers. The accident at Benicia, CA in 2017 accounted for 28,000 of that year’s evacuations as well.</w:t>
      </w:r>
      <w:r w:rsidRPr="00BF42A8">
        <w:rPr>
          <w:rStyle w:val="FootnoteReference"/>
          <w:rFonts w:ascii="Times New Roman" w:hAnsi="Times New Roman" w:cs="Times New Roman"/>
        </w:rPr>
        <w:footnoteReference w:id="37"/>
      </w:r>
    </w:p>
    <w:p w:rsidRPr="00BF42A8" w:rsidR="00C57989" w:rsidP="00C57989" w:rsidRDefault="00C57989" w14:paraId="5836C917" w14:textId="77777777">
      <w:pPr>
        <w:spacing w:after="0" w:line="240" w:lineRule="auto"/>
        <w:ind w:firstLine="360"/>
        <w:rPr>
          <w:rFonts w:ascii="Times New Roman" w:hAnsi="Times New Roman" w:cs="Times New Roman"/>
        </w:rPr>
      </w:pPr>
    </w:p>
    <w:p w:rsidR="00635AC5" w:rsidP="00C57989" w:rsidRDefault="00635AC5" w14:paraId="1FABE675" w14:textId="77777777">
      <w:pPr>
        <w:spacing w:after="0" w:line="240" w:lineRule="auto"/>
        <w:rPr>
          <w:rFonts w:ascii="Times New Roman" w:hAnsi="Times New Roman" w:cs="Times New Roman"/>
          <w:b/>
        </w:rPr>
      </w:pPr>
    </w:p>
    <w:p w:rsidRPr="00BF42A8" w:rsidR="00C57989" w:rsidP="00C57989" w:rsidRDefault="00A25414" w14:paraId="48CD5C6F" w14:textId="575CD6DE">
      <w:pPr>
        <w:spacing w:after="0" w:line="240" w:lineRule="auto"/>
        <w:rPr>
          <w:rFonts w:ascii="Times New Roman" w:hAnsi="Times New Roman" w:cs="Times New Roman"/>
          <w:b/>
        </w:rPr>
      </w:pPr>
      <w:r>
        <w:rPr>
          <w:rFonts w:ascii="Times New Roman" w:hAnsi="Times New Roman" w:cs="Times New Roman"/>
          <w:b/>
        </w:rPr>
        <w:lastRenderedPageBreak/>
        <w:t>3.4</w:t>
      </w:r>
      <w:r w:rsidRPr="00BF42A8" w:rsidR="00C57989">
        <w:rPr>
          <w:rFonts w:ascii="Times New Roman" w:hAnsi="Times New Roman" w:cs="Times New Roman"/>
          <w:b/>
        </w:rPr>
        <w:t>.3 Distribution of Accident Impacts Across</w:t>
      </w:r>
      <w:r w:rsidRPr="00BF42A8" w:rsidR="00C57989">
        <w:rPr>
          <w:rFonts w:ascii="Times New Roman" w:hAnsi="Times New Roman" w:cs="Times New Roman"/>
          <w:b/>
          <w:spacing w:val="-5"/>
        </w:rPr>
        <w:t xml:space="preserve"> </w:t>
      </w:r>
      <w:r w:rsidRPr="00BF42A8" w:rsidR="00C57989">
        <w:rPr>
          <w:rFonts w:ascii="Times New Roman" w:hAnsi="Times New Roman" w:cs="Times New Roman"/>
          <w:b/>
        </w:rPr>
        <w:t>Sectors</w:t>
      </w:r>
    </w:p>
    <w:p w:rsidRPr="00BF42A8" w:rsidR="00C57989" w:rsidP="00C57989" w:rsidRDefault="00C57989" w14:paraId="095FE971" w14:textId="0BCBA9BA">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In the five-year baseline, fatal accidents occurred primarily in the petroleum refining and chemical manufacturing sectors, which accounted for eight of the 12 fatalities. Combined with the paper manufacturing sector, these sectors accounted for 69 percent of the onsite property damage (refineries alone accounted for 53 percent of the total). The number of accidents per facility is highest in these three sectors. Exhibit </w:t>
      </w:r>
      <w:r w:rsidR="0017397A">
        <w:rPr>
          <w:rFonts w:ascii="Times New Roman" w:hAnsi="Times New Roman" w:cs="Times New Roman"/>
        </w:rPr>
        <w:t>3-11</w:t>
      </w:r>
      <w:r w:rsidRPr="00BF42A8">
        <w:rPr>
          <w:rFonts w:ascii="Times New Roman" w:hAnsi="Times New Roman" w:cs="Times New Roman"/>
        </w:rPr>
        <w:t xml:space="preserve"> presents a breakdown of RMP-reportable accidents, deaths, and injuries by sector</w:t>
      </w:r>
      <w:r>
        <w:rPr>
          <w:rFonts w:ascii="Times New Roman" w:hAnsi="Times New Roman" w:cs="Times New Roman"/>
        </w:rPr>
        <w:t xml:space="preserve">, including </w:t>
      </w:r>
      <w:r w:rsidR="0057018B">
        <w:rPr>
          <w:rFonts w:ascii="Times New Roman" w:hAnsi="Times New Roman" w:cs="Times New Roman"/>
        </w:rPr>
        <w:t>accidents</w:t>
      </w:r>
      <w:r>
        <w:rPr>
          <w:rFonts w:ascii="Times New Roman" w:hAnsi="Times New Roman" w:cs="Times New Roman"/>
        </w:rPr>
        <w:t xml:space="preserve"> with no impacts</w:t>
      </w:r>
      <w:r w:rsidRPr="00BF42A8">
        <w:rPr>
          <w:rFonts w:ascii="Times New Roman" w:hAnsi="Times New Roman" w:cs="Times New Roman"/>
        </w:rPr>
        <w:t xml:space="preserve">. The food and beverage manufacturers and warehouses are generally ammonia refrigeration systems and the agricultural chemical distributors store ammonia for use as a fertilizer. The </w:t>
      </w:r>
      <w:proofErr w:type="gramStart"/>
      <w:r w:rsidRPr="00BF42A8">
        <w:rPr>
          <w:rFonts w:ascii="Times New Roman" w:hAnsi="Times New Roman" w:cs="Times New Roman"/>
        </w:rPr>
        <w:t>right hand</w:t>
      </w:r>
      <w:proofErr w:type="gramEnd"/>
      <w:r w:rsidRPr="00BF42A8">
        <w:rPr>
          <w:rFonts w:ascii="Times New Roman" w:hAnsi="Times New Roman" w:cs="Times New Roman"/>
        </w:rPr>
        <w:t xml:space="preserve"> column of Exhibit </w:t>
      </w:r>
      <w:r w:rsidR="0017397A">
        <w:rPr>
          <w:rFonts w:ascii="Times New Roman" w:hAnsi="Times New Roman" w:cs="Times New Roman"/>
        </w:rPr>
        <w:t>3-11</w:t>
      </w:r>
      <w:r w:rsidRPr="00BF42A8">
        <w:rPr>
          <w:rFonts w:ascii="Times New Roman" w:hAnsi="Times New Roman" w:cs="Times New Roman"/>
        </w:rPr>
        <w:t xml:space="preserve"> shows the number of facilities by NAICS code that had more than one reportable accident between 2016 and 2020.</w:t>
      </w:r>
    </w:p>
    <w:p w:rsidRPr="00BF42A8" w:rsidR="00C57989" w:rsidP="00C57989" w:rsidRDefault="00C57989" w14:paraId="3F8B42BB" w14:textId="77777777">
      <w:pPr>
        <w:spacing w:after="0" w:line="240" w:lineRule="auto"/>
        <w:rPr>
          <w:rFonts w:ascii="Times New Roman" w:hAnsi="Times New Roman" w:cs="Times New Roman"/>
          <w:b/>
        </w:rPr>
      </w:pPr>
    </w:p>
    <w:p w:rsidRPr="001C0658" w:rsidR="00C57989" w:rsidP="00C57989" w:rsidRDefault="00C57989" w14:paraId="5C8BDFFE" w14:textId="68169133">
      <w:pPr>
        <w:pStyle w:val="Caption"/>
        <w:jc w:val="center"/>
        <w:rPr>
          <w:rFonts w:ascii="Times New Roman" w:hAnsi="Times New Roman" w:cs="Times New Roman"/>
          <w:b/>
          <w:bCs/>
          <w:i w:val="0"/>
          <w:iCs w:val="0"/>
          <w:color w:val="auto"/>
          <w:sz w:val="22"/>
          <w:szCs w:val="22"/>
        </w:rPr>
      </w:pPr>
      <w:r w:rsidRPr="001C0658">
        <w:rPr>
          <w:rFonts w:ascii="Times New Roman" w:hAnsi="Times New Roman" w:cs="Times New Roman"/>
          <w:b/>
          <w:bCs/>
          <w:i w:val="0"/>
          <w:iCs w:val="0"/>
          <w:color w:val="auto"/>
          <w:sz w:val="22"/>
          <w:szCs w:val="22"/>
        </w:rPr>
        <w:t xml:space="preserve">Exhibit </w:t>
      </w:r>
      <w:r w:rsidR="0017397A">
        <w:rPr>
          <w:rFonts w:ascii="Times New Roman" w:hAnsi="Times New Roman" w:cs="Times New Roman"/>
          <w:b/>
          <w:bCs/>
          <w:i w:val="0"/>
          <w:iCs w:val="0"/>
          <w:color w:val="auto"/>
          <w:sz w:val="22"/>
          <w:szCs w:val="22"/>
        </w:rPr>
        <w:t>3-11</w:t>
      </w:r>
      <w:r w:rsidRPr="001C0658">
        <w:rPr>
          <w:rFonts w:ascii="Times New Roman" w:hAnsi="Times New Roman" w:cs="Times New Roman"/>
          <w:b/>
          <w:bCs/>
          <w:i w:val="0"/>
          <w:iCs w:val="0"/>
          <w:color w:val="auto"/>
          <w:sz w:val="22"/>
          <w:szCs w:val="22"/>
        </w:rPr>
        <w:t xml:space="preserve">: Accidents, </w:t>
      </w:r>
      <w:proofErr w:type="gramStart"/>
      <w:r w:rsidRPr="001C0658">
        <w:rPr>
          <w:rFonts w:ascii="Times New Roman" w:hAnsi="Times New Roman" w:cs="Times New Roman"/>
          <w:b/>
          <w:bCs/>
          <w:i w:val="0"/>
          <w:iCs w:val="0"/>
          <w:color w:val="auto"/>
          <w:sz w:val="22"/>
          <w:szCs w:val="22"/>
        </w:rPr>
        <w:t>Fatalities</w:t>
      </w:r>
      <w:proofErr w:type="gramEnd"/>
      <w:r w:rsidRPr="001C0658">
        <w:rPr>
          <w:rFonts w:ascii="Times New Roman" w:hAnsi="Times New Roman" w:cs="Times New Roman"/>
          <w:b/>
          <w:bCs/>
          <w:i w:val="0"/>
          <w:iCs w:val="0"/>
          <w:color w:val="auto"/>
          <w:sz w:val="22"/>
          <w:szCs w:val="22"/>
        </w:rPr>
        <w:t xml:space="preserve"> and Injuries by Sector, 2016-2020.</w:t>
      </w:r>
    </w:p>
    <w:tbl>
      <w:tblPr>
        <w:tblW w:w="4725" w:type="pct"/>
        <w:jc w:val="center"/>
        <w:tblLook w:val="04A0" w:firstRow="1" w:lastRow="0" w:firstColumn="1" w:lastColumn="0" w:noHBand="0" w:noVBand="1"/>
      </w:tblPr>
      <w:tblGrid>
        <w:gridCol w:w="2681"/>
        <w:gridCol w:w="1119"/>
        <w:gridCol w:w="1187"/>
        <w:gridCol w:w="1072"/>
        <w:gridCol w:w="955"/>
        <w:gridCol w:w="1112"/>
        <w:gridCol w:w="1296"/>
      </w:tblGrid>
      <w:tr w:rsidRPr="00BF42A8" w:rsidR="00C57989" w:rsidTr="00AD4A42" w14:paraId="37B2622C" w14:textId="77777777">
        <w:trPr>
          <w:trHeight w:val="560"/>
          <w:tblHeader/>
          <w:jc w:val="center"/>
        </w:trPr>
        <w:tc>
          <w:tcPr>
            <w:tcW w:w="1422" w:type="pct"/>
            <w:tcBorders>
              <w:top w:val="single" w:color="auto" w:sz="4" w:space="0"/>
              <w:left w:val="single" w:color="auto" w:sz="4" w:space="0"/>
              <w:bottom w:val="single" w:color="auto" w:sz="4" w:space="0"/>
              <w:right w:val="single" w:color="auto" w:sz="4" w:space="0"/>
            </w:tcBorders>
            <w:shd w:val="clear" w:color="000000" w:fill="D9D9D9"/>
            <w:vAlign w:val="center"/>
            <w:hideMark/>
          </w:tcPr>
          <w:p w:rsidRPr="00964C0A" w:rsidR="00C57989" w:rsidP="00AD4A42" w:rsidRDefault="00C57989" w14:paraId="7D1CE7DD"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Sector</w:t>
            </w:r>
            <w:r>
              <w:rPr>
                <w:rFonts w:ascii="Times New Roman" w:hAnsi="Times New Roman" w:eastAsia="Times New Roman" w:cs="Times New Roman"/>
                <w:b/>
                <w:color w:val="000000"/>
                <w:sz w:val="20"/>
                <w:szCs w:val="20"/>
              </w:rPr>
              <w:t xml:space="preserve"> (NAICS)</w:t>
            </w:r>
          </w:p>
        </w:tc>
        <w:tc>
          <w:tcPr>
            <w:tcW w:w="594"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58F80C42"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Total 5-Year Accidents</w:t>
            </w:r>
          </w:p>
        </w:tc>
        <w:tc>
          <w:tcPr>
            <w:tcW w:w="630"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3EFB2D4C"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Average Number of Accidents per Facility</w:t>
            </w:r>
          </w:p>
        </w:tc>
        <w:tc>
          <w:tcPr>
            <w:tcW w:w="569"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450596F9"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Onsite Fatalities</w:t>
            </w:r>
          </w:p>
        </w:tc>
        <w:tc>
          <w:tcPr>
            <w:tcW w:w="507"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027DAA8C"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Onsite Injuries</w:t>
            </w:r>
          </w:p>
        </w:tc>
        <w:tc>
          <w:tcPr>
            <w:tcW w:w="590" w:type="pct"/>
            <w:tcBorders>
              <w:top w:val="single" w:color="auto" w:sz="4" w:space="0"/>
              <w:left w:val="nil"/>
              <w:bottom w:val="single" w:color="auto" w:sz="4" w:space="0"/>
              <w:right w:val="single" w:color="auto" w:sz="4" w:space="0"/>
            </w:tcBorders>
            <w:shd w:val="clear" w:color="000000" w:fill="D9D9D9"/>
            <w:vAlign w:val="center"/>
            <w:hideMark/>
          </w:tcPr>
          <w:p w:rsidRPr="00964C0A" w:rsidR="00C57989" w:rsidP="00AD4A42" w:rsidRDefault="00C57989" w14:paraId="2A047967"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Offsite Injuries</w:t>
            </w:r>
          </w:p>
        </w:tc>
        <w:tc>
          <w:tcPr>
            <w:tcW w:w="689" w:type="pct"/>
            <w:tcBorders>
              <w:top w:val="single" w:color="auto" w:sz="4" w:space="0"/>
              <w:left w:val="nil"/>
              <w:bottom w:val="single" w:color="auto" w:sz="4" w:space="0"/>
              <w:right w:val="single" w:color="auto" w:sz="4" w:space="0"/>
            </w:tcBorders>
            <w:shd w:val="clear" w:color="000000" w:fill="D9D9D9"/>
            <w:vAlign w:val="center"/>
          </w:tcPr>
          <w:p w:rsidRPr="00964C0A" w:rsidR="00C57989" w:rsidP="00AD4A42" w:rsidRDefault="00C57989" w14:paraId="08B23546" w14:textId="77777777">
            <w:pPr>
              <w:keepNext/>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Number of Facilities with &gt;1 Accident</w:t>
            </w:r>
          </w:p>
        </w:tc>
      </w:tr>
      <w:tr w:rsidRPr="00BF42A8" w:rsidR="00C57989" w:rsidTr="00AD4A42" w14:paraId="3AD3A5CA"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516CFE1C"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324</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Petroleum and Coal Products Manufacturing</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5D5D66F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137</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344EA8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0.88</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5E6F99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902E66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59</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F4F077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05DE439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14</w:t>
            </w:r>
          </w:p>
        </w:tc>
      </w:tr>
      <w:tr w:rsidRPr="00BF42A8" w:rsidR="00C57989" w:rsidTr="00AD4A42" w14:paraId="566BCFD7"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648BF71E"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 C</w:t>
            </w:r>
            <w:r w:rsidRPr="00964C0A">
              <w:rPr>
                <w:rFonts w:ascii="Times New Roman" w:hAnsi="Times New Roman" w:eastAsia="Times New Roman" w:cs="Times New Roman"/>
                <w:color w:val="000000"/>
                <w:sz w:val="20"/>
                <w:szCs w:val="20"/>
              </w:rPr>
              <w:t>hemical Manufacturing</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89437B3"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316</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929CD4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0.21</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3B420C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05AA79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176</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0DD481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14247A1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29</w:t>
            </w:r>
          </w:p>
        </w:tc>
      </w:tr>
      <w:tr w:rsidRPr="00BF42A8" w:rsidR="00C57989" w:rsidTr="00AD4A42" w14:paraId="5D478CE7"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01115A01"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311/312:</w:t>
            </w:r>
            <w:r w:rsidRPr="00964C0A">
              <w:rPr>
                <w:rFonts w:ascii="Times New Roman" w:hAnsi="Times New Roman" w:eastAsia="Times New Roman" w:cs="Times New Roman"/>
                <w:color w:val="000000"/>
                <w:sz w:val="20"/>
                <w:szCs w:val="20"/>
              </w:rPr>
              <w:t xml:space="preserve"> Food/Beverage Manufacturers</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1B68540"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28</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222942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0.02</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39AB8C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1B0991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30</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EEE6FF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4C4A666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r>
              <w:rPr>
                <w:rFonts w:ascii="Times New Roman" w:hAnsi="Times New Roman" w:eastAsia="Times New Roman" w:cs="Times New Roman"/>
                <w:color w:val="000000"/>
                <w:sz w:val="20"/>
                <w:szCs w:val="20"/>
              </w:rPr>
              <w:t>*</w:t>
            </w:r>
          </w:p>
        </w:tc>
      </w:tr>
      <w:tr w:rsidRPr="00BF42A8" w:rsidR="00C57989" w:rsidTr="00AD4A42" w14:paraId="414D0C2D" w14:textId="77777777">
        <w:trPr>
          <w:trHeight w:val="29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1CF5740E"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322: </w:t>
            </w:r>
            <w:r w:rsidRPr="00964C0A">
              <w:rPr>
                <w:rFonts w:ascii="Times New Roman" w:hAnsi="Times New Roman" w:eastAsia="Times New Roman" w:cs="Times New Roman"/>
                <w:color w:val="000000"/>
                <w:sz w:val="20"/>
                <w:szCs w:val="20"/>
              </w:rPr>
              <w:t>Paper Manufacturing</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F71F36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38</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193D11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0.70</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3EC875C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B5B561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30</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A039C4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278F58C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w:t>
            </w:r>
          </w:p>
        </w:tc>
      </w:tr>
      <w:tr w:rsidRPr="00BF42A8" w:rsidR="00C57989" w:rsidTr="00A676D1" w14:paraId="0CD0F38A"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43D9044C"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331, 332, 333, 334, 336, 339</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Other Manufacturing</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786AB4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466A50F"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0.03</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0D6DC2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DC7DA3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70B767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0DCD01F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w:t>
            </w:r>
            <w:r>
              <w:rPr>
                <w:rFonts w:ascii="Times New Roman" w:hAnsi="Times New Roman" w:eastAsia="Times New Roman" w:cs="Times New Roman"/>
                <w:color w:val="000000"/>
                <w:sz w:val="20"/>
                <w:szCs w:val="20"/>
              </w:rPr>
              <w:t>*</w:t>
            </w:r>
          </w:p>
        </w:tc>
      </w:tr>
      <w:tr w:rsidRPr="00BF42A8" w:rsidR="00C57989" w:rsidTr="00A676D1" w14:paraId="5D17221B" w14:textId="77777777">
        <w:trPr>
          <w:trHeight w:val="840"/>
          <w:jc w:val="center"/>
        </w:trPr>
        <w:tc>
          <w:tcPr>
            <w:tcW w:w="14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471BBF50"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11, 12, 15, 42491</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Agricultural Chemical Distributors</w:t>
            </w:r>
          </w:p>
        </w:tc>
        <w:tc>
          <w:tcPr>
            <w:tcW w:w="594"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0E87332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91</w:t>
            </w:r>
          </w:p>
        </w:tc>
        <w:tc>
          <w:tcPr>
            <w:tcW w:w="630"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73C2703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0.03</w:t>
            </w:r>
          </w:p>
        </w:tc>
        <w:tc>
          <w:tcPr>
            <w:tcW w:w="569"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0558541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289EA2F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6</w:t>
            </w:r>
          </w:p>
        </w:tc>
        <w:tc>
          <w:tcPr>
            <w:tcW w:w="590"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68DDADF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vMerge w:val="restart"/>
            <w:tcBorders>
              <w:top w:val="single" w:color="auto" w:sz="4" w:space="0"/>
              <w:left w:val="nil"/>
              <w:bottom w:val="single" w:color="auto" w:sz="4" w:space="0"/>
              <w:right w:val="single" w:color="auto" w:sz="4" w:space="0"/>
            </w:tcBorders>
            <w:vAlign w:val="center"/>
          </w:tcPr>
          <w:p w:rsidRPr="00964C0A" w:rsidR="00C57989" w:rsidP="00AD4A42" w:rsidRDefault="00C57989" w14:paraId="1B67182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w:t>
            </w:r>
            <w:r>
              <w:rPr>
                <w:rFonts w:ascii="Times New Roman" w:hAnsi="Times New Roman" w:eastAsia="Times New Roman" w:cs="Times New Roman"/>
                <w:color w:val="000000"/>
                <w:sz w:val="20"/>
                <w:szCs w:val="20"/>
              </w:rPr>
              <w:t>**</w:t>
            </w:r>
          </w:p>
        </w:tc>
      </w:tr>
      <w:tr w:rsidRPr="00BF42A8" w:rsidR="00C57989" w:rsidTr="00A676D1" w14:paraId="55845C30" w14:textId="77777777">
        <w:trPr>
          <w:trHeight w:val="560"/>
          <w:jc w:val="center"/>
        </w:trPr>
        <w:tc>
          <w:tcPr>
            <w:tcW w:w="14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5B8442A5"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4246, 4247</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Chemical/petroleum wholesale</w:t>
            </w:r>
          </w:p>
        </w:tc>
        <w:tc>
          <w:tcPr>
            <w:tcW w:w="594"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7BFD8FC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12</w:t>
            </w:r>
          </w:p>
        </w:tc>
        <w:tc>
          <w:tcPr>
            <w:tcW w:w="630"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49829FD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0.02</w:t>
            </w:r>
          </w:p>
        </w:tc>
        <w:tc>
          <w:tcPr>
            <w:tcW w:w="569"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333AB20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6DCC95D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5</w:t>
            </w:r>
          </w:p>
        </w:tc>
        <w:tc>
          <w:tcPr>
            <w:tcW w:w="590" w:type="pct"/>
            <w:tcBorders>
              <w:top w:val="single" w:color="auto" w:sz="4" w:space="0"/>
              <w:left w:val="nil"/>
              <w:bottom w:val="single" w:color="auto" w:sz="4" w:space="0"/>
              <w:right w:val="single" w:color="auto" w:sz="4" w:space="0"/>
            </w:tcBorders>
            <w:shd w:val="clear" w:color="auto" w:fill="auto"/>
            <w:noWrap/>
            <w:vAlign w:val="center"/>
            <w:hideMark/>
          </w:tcPr>
          <w:p w:rsidRPr="00964C0A" w:rsidR="00C57989" w:rsidP="00AD4A42" w:rsidRDefault="00C57989" w14:paraId="5C9DA7D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vMerge/>
            <w:tcBorders>
              <w:top w:val="single" w:color="auto" w:sz="4" w:space="0"/>
              <w:left w:val="nil"/>
              <w:right w:val="single" w:color="auto" w:sz="4" w:space="0"/>
            </w:tcBorders>
            <w:vAlign w:val="center"/>
          </w:tcPr>
          <w:p w:rsidRPr="00964C0A" w:rsidR="00C57989" w:rsidP="00AD4A42" w:rsidRDefault="00C57989" w14:paraId="273C75EA" w14:textId="77777777">
            <w:pPr>
              <w:spacing w:after="0" w:line="240" w:lineRule="auto"/>
              <w:jc w:val="center"/>
              <w:rPr>
                <w:rFonts w:ascii="Times New Roman" w:hAnsi="Times New Roman" w:eastAsia="Times New Roman" w:cs="Times New Roman"/>
                <w:color w:val="000000"/>
                <w:sz w:val="20"/>
                <w:szCs w:val="20"/>
              </w:rPr>
            </w:pPr>
          </w:p>
        </w:tc>
      </w:tr>
      <w:tr w:rsidRPr="00BF42A8" w:rsidR="00C57989" w:rsidTr="00AD4A42" w14:paraId="598BEB85"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51D17088"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4244, 4245</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Other wholesale</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AD6FC1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5492647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0.00</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F24D5D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32B695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3746A0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vMerge/>
            <w:tcBorders>
              <w:left w:val="nil"/>
              <w:bottom w:val="single" w:color="auto" w:sz="4" w:space="0"/>
              <w:right w:val="single" w:color="auto" w:sz="4" w:space="0"/>
            </w:tcBorders>
            <w:vAlign w:val="center"/>
          </w:tcPr>
          <w:p w:rsidRPr="00964C0A" w:rsidR="00C57989" w:rsidP="00AD4A42" w:rsidRDefault="00C57989" w14:paraId="2415207C" w14:textId="77777777">
            <w:pPr>
              <w:spacing w:after="0" w:line="240" w:lineRule="auto"/>
              <w:jc w:val="center"/>
              <w:rPr>
                <w:rFonts w:ascii="Times New Roman" w:hAnsi="Times New Roman" w:eastAsia="Times New Roman" w:cs="Times New Roman"/>
                <w:color w:val="000000"/>
                <w:sz w:val="20"/>
                <w:szCs w:val="20"/>
              </w:rPr>
            </w:pPr>
          </w:p>
        </w:tc>
      </w:tr>
      <w:tr w:rsidRPr="00BF42A8" w:rsidR="00C57989" w:rsidTr="00AD4A42" w14:paraId="52B10187" w14:textId="77777777">
        <w:trPr>
          <w:trHeight w:val="29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67D7292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493:</w:t>
            </w:r>
            <w:r w:rsidRPr="00964C0A">
              <w:rPr>
                <w:rFonts w:ascii="Times New Roman" w:hAnsi="Times New Roman" w:eastAsia="Times New Roman" w:cs="Times New Roman"/>
                <w:color w:val="000000"/>
                <w:sz w:val="20"/>
                <w:szCs w:val="20"/>
              </w:rPr>
              <w:t xml:space="preserve"> Warehouse</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445397B6"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33</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55EFFE5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0.03</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2FCB4D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3B3155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28</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845A3A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52A45F10" w14:textId="77777777">
            <w:pPr>
              <w:spacing w:after="0" w:line="240" w:lineRule="auto"/>
              <w:jc w:val="center"/>
              <w:rPr>
                <w:rFonts w:ascii="Times New Roman" w:hAnsi="Times New Roman" w:eastAsia="Times New Roman" w:cs="Times New Roman"/>
                <w:color w:val="000000"/>
                <w:sz w:val="20"/>
                <w:szCs w:val="20"/>
              </w:rPr>
            </w:pPr>
          </w:p>
          <w:p w:rsidRPr="00964C0A" w:rsidR="00C57989" w:rsidP="00AD4A42" w:rsidRDefault="00C57989" w14:paraId="06DFCC6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r>
      <w:tr w:rsidRPr="00BF42A8" w:rsidR="00C57989" w:rsidTr="00AD4A42" w14:paraId="4EA79564" w14:textId="77777777">
        <w:trPr>
          <w:trHeight w:val="56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6B9472C7"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22131, 22132</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Water/POTW</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39043B39"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260C827"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0.02</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5EB873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37AE2291"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10</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E70DE4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3B0B4BB0" w14:textId="77777777">
            <w:pPr>
              <w:spacing w:after="0" w:line="240" w:lineRule="auto"/>
              <w:jc w:val="center"/>
              <w:rPr>
                <w:rFonts w:ascii="Times New Roman" w:hAnsi="Times New Roman" w:eastAsia="Times New Roman" w:cs="Times New Roman"/>
                <w:color w:val="000000"/>
                <w:sz w:val="20"/>
                <w:szCs w:val="20"/>
              </w:rPr>
            </w:pPr>
          </w:p>
          <w:p w:rsidRPr="00964C0A" w:rsidR="00C57989" w:rsidP="00AD4A42" w:rsidRDefault="00C57989" w14:paraId="3B63843E" w14:textId="77777777">
            <w:pPr>
              <w:spacing w:after="0" w:line="240" w:lineRule="auto"/>
              <w:jc w:val="center"/>
              <w:rPr>
                <w:rFonts w:ascii="Times New Roman" w:hAnsi="Times New Roman" w:eastAsia="Times New Roman" w:cs="Times New Roman"/>
                <w:color w:val="000000"/>
                <w:sz w:val="20"/>
                <w:szCs w:val="20"/>
              </w:rPr>
            </w:pPr>
          </w:p>
          <w:p w:rsidRPr="00964C0A" w:rsidR="00C57989" w:rsidP="00AD4A42" w:rsidRDefault="00C57989" w14:paraId="73D5082D"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3</w:t>
            </w:r>
          </w:p>
        </w:tc>
      </w:tr>
      <w:tr w:rsidRPr="00BF42A8" w:rsidR="00C57989" w:rsidTr="00AD4A42" w14:paraId="34CC221F" w14:textId="77777777">
        <w:trPr>
          <w:trHeight w:val="29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0E1AFEAA"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211</w:t>
            </w:r>
            <w:r>
              <w:rPr>
                <w:rFonts w:ascii="Times New Roman" w:hAnsi="Times New Roman" w:eastAsia="Times New Roman" w:cs="Times New Roman"/>
                <w:color w:val="000000"/>
                <w:sz w:val="20"/>
                <w:szCs w:val="20"/>
              </w:rPr>
              <w:t xml:space="preserve">: </w:t>
            </w:r>
            <w:r w:rsidRPr="00964C0A">
              <w:rPr>
                <w:rFonts w:ascii="Times New Roman" w:hAnsi="Times New Roman" w:eastAsia="Times New Roman" w:cs="Times New Roman"/>
                <w:color w:val="000000"/>
                <w:sz w:val="20"/>
                <w:szCs w:val="20"/>
              </w:rPr>
              <w:t>Oil/Gas exploration</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3CA8715C"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81</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511B9B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0.11</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340DFBB8"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4</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77E86B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13</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6C027E74"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36BA2AE4" w14:textId="77777777">
            <w:pPr>
              <w:spacing w:after="0" w:line="240" w:lineRule="auto"/>
              <w:jc w:val="center"/>
              <w:rPr>
                <w:rFonts w:ascii="Times New Roman" w:hAnsi="Times New Roman" w:eastAsia="Times New Roman" w:cs="Times New Roman"/>
                <w:color w:val="000000"/>
                <w:sz w:val="20"/>
                <w:szCs w:val="20"/>
              </w:rPr>
            </w:pPr>
          </w:p>
          <w:p w:rsidRPr="00964C0A" w:rsidR="00C57989" w:rsidP="00AD4A42" w:rsidRDefault="00C57989" w14:paraId="1F0C4552"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6</w:t>
            </w:r>
          </w:p>
        </w:tc>
      </w:tr>
      <w:tr w:rsidRPr="00BF42A8" w:rsidR="00C57989" w:rsidTr="00AD4A42" w14:paraId="267D7302" w14:textId="77777777">
        <w:trPr>
          <w:trHeight w:val="29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1645D61B" w14:textId="77777777">
            <w:pPr>
              <w:spacing w:after="0" w:line="240" w:lineRule="auto"/>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Other</w:t>
            </w:r>
          </w:p>
        </w:tc>
        <w:tc>
          <w:tcPr>
            <w:tcW w:w="594"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1033914B"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263</w:t>
            </w:r>
          </w:p>
        </w:tc>
        <w:tc>
          <w:tcPr>
            <w:tcW w:w="63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559A8A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0.11</w:t>
            </w:r>
          </w:p>
        </w:tc>
        <w:tc>
          <w:tcPr>
            <w:tcW w:w="569"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7BA840FE"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p>
        </w:tc>
        <w:tc>
          <w:tcPr>
            <w:tcW w:w="507"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00D25C2B"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192</w:t>
            </w:r>
          </w:p>
        </w:tc>
        <w:tc>
          <w:tcPr>
            <w:tcW w:w="590" w:type="pct"/>
            <w:tcBorders>
              <w:top w:val="nil"/>
              <w:left w:val="nil"/>
              <w:bottom w:val="single" w:color="auto" w:sz="4" w:space="0"/>
              <w:right w:val="single" w:color="auto" w:sz="4" w:space="0"/>
            </w:tcBorders>
            <w:shd w:val="clear" w:color="auto" w:fill="auto"/>
            <w:noWrap/>
            <w:vAlign w:val="center"/>
            <w:hideMark/>
          </w:tcPr>
          <w:p w:rsidRPr="00964C0A" w:rsidR="00C57989" w:rsidP="00AD4A42" w:rsidRDefault="00C57989" w14:paraId="212695E5"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6051357A" w14:textId="77777777">
            <w:pPr>
              <w:spacing w:after="0" w:line="240" w:lineRule="auto"/>
              <w:jc w:val="center"/>
              <w:rPr>
                <w:rFonts w:ascii="Times New Roman" w:hAnsi="Times New Roman" w:eastAsia="Times New Roman" w:cs="Times New Roman"/>
                <w:color w:val="000000"/>
                <w:sz w:val="20"/>
                <w:szCs w:val="20"/>
              </w:rPr>
            </w:pPr>
            <w:r w:rsidRPr="00964C0A">
              <w:rPr>
                <w:rFonts w:ascii="Times New Roman" w:hAnsi="Times New Roman" w:eastAsia="Times New Roman" w:cs="Times New Roman"/>
                <w:color w:val="000000"/>
                <w:sz w:val="20"/>
                <w:szCs w:val="20"/>
              </w:rPr>
              <w:t>2</w:t>
            </w:r>
            <w:r>
              <w:rPr>
                <w:rFonts w:ascii="Times New Roman" w:hAnsi="Times New Roman" w:eastAsia="Times New Roman" w:cs="Times New Roman"/>
                <w:color w:val="000000"/>
                <w:sz w:val="20"/>
                <w:szCs w:val="20"/>
              </w:rPr>
              <w:t>***</w:t>
            </w:r>
          </w:p>
        </w:tc>
      </w:tr>
      <w:tr w:rsidRPr="00BF42A8" w:rsidR="00C57989" w:rsidTr="00AD4A42" w14:paraId="651969E9" w14:textId="77777777">
        <w:trPr>
          <w:trHeight w:val="290"/>
          <w:jc w:val="center"/>
        </w:trPr>
        <w:tc>
          <w:tcPr>
            <w:tcW w:w="1422" w:type="pct"/>
            <w:tcBorders>
              <w:top w:val="nil"/>
              <w:left w:val="single" w:color="auto" w:sz="4" w:space="0"/>
              <w:bottom w:val="single" w:color="auto" w:sz="4" w:space="0"/>
              <w:right w:val="single" w:color="auto" w:sz="4" w:space="0"/>
            </w:tcBorders>
            <w:shd w:val="clear" w:color="auto" w:fill="auto"/>
            <w:vAlign w:val="center"/>
            <w:hideMark/>
          </w:tcPr>
          <w:p w:rsidRPr="00964C0A" w:rsidR="00C57989" w:rsidP="00AD4A42" w:rsidRDefault="00C57989" w14:paraId="35B1E241" w14:textId="77777777">
            <w:pPr>
              <w:spacing w:after="0" w:line="240" w:lineRule="auto"/>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Total</w:t>
            </w:r>
          </w:p>
        </w:tc>
        <w:tc>
          <w:tcPr>
            <w:tcW w:w="594"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44198E1"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1,023</w:t>
            </w:r>
          </w:p>
        </w:tc>
        <w:tc>
          <w:tcPr>
            <w:tcW w:w="630"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6392AB3B" w14:textId="77777777">
            <w:pPr>
              <w:spacing w:after="0" w:line="240" w:lineRule="auto"/>
              <w:jc w:val="center"/>
              <w:rPr>
                <w:rFonts w:ascii="Times New Roman" w:hAnsi="Times New Roman" w:eastAsia="Times New Roman" w:cs="Times New Roman"/>
                <w:b/>
                <w:color w:val="000000"/>
                <w:sz w:val="20"/>
                <w:szCs w:val="20"/>
              </w:rPr>
            </w:pPr>
          </w:p>
        </w:tc>
        <w:tc>
          <w:tcPr>
            <w:tcW w:w="569"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0CBFD8D1"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12</w:t>
            </w:r>
          </w:p>
        </w:tc>
        <w:tc>
          <w:tcPr>
            <w:tcW w:w="507"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36ED905C"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550</w:t>
            </w:r>
          </w:p>
        </w:tc>
        <w:tc>
          <w:tcPr>
            <w:tcW w:w="590" w:type="pct"/>
            <w:tcBorders>
              <w:top w:val="nil"/>
              <w:left w:val="nil"/>
              <w:bottom w:val="single" w:color="auto" w:sz="4" w:space="0"/>
              <w:right w:val="single" w:color="auto" w:sz="4" w:space="0"/>
            </w:tcBorders>
            <w:shd w:val="clear" w:color="auto" w:fill="auto"/>
            <w:vAlign w:val="center"/>
            <w:hideMark/>
          </w:tcPr>
          <w:p w:rsidRPr="00964C0A" w:rsidR="00C57989" w:rsidP="00AD4A42" w:rsidRDefault="00C57989" w14:paraId="52C7E95F"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20</w:t>
            </w:r>
          </w:p>
        </w:tc>
        <w:tc>
          <w:tcPr>
            <w:tcW w:w="689" w:type="pct"/>
            <w:tcBorders>
              <w:top w:val="nil"/>
              <w:left w:val="nil"/>
              <w:bottom w:val="single" w:color="auto" w:sz="4" w:space="0"/>
              <w:right w:val="single" w:color="auto" w:sz="4" w:space="0"/>
            </w:tcBorders>
            <w:vAlign w:val="center"/>
          </w:tcPr>
          <w:p w:rsidRPr="00964C0A" w:rsidR="00C57989" w:rsidP="00AD4A42" w:rsidRDefault="00C57989" w14:paraId="5A50B415" w14:textId="77777777">
            <w:pPr>
              <w:spacing w:after="0" w:line="240" w:lineRule="auto"/>
              <w:jc w:val="center"/>
              <w:rPr>
                <w:rFonts w:ascii="Times New Roman" w:hAnsi="Times New Roman" w:eastAsia="Times New Roman" w:cs="Times New Roman"/>
                <w:b/>
                <w:color w:val="000000"/>
                <w:sz w:val="20"/>
                <w:szCs w:val="20"/>
              </w:rPr>
            </w:pPr>
            <w:r w:rsidRPr="00964C0A">
              <w:rPr>
                <w:rFonts w:ascii="Times New Roman" w:hAnsi="Times New Roman" w:eastAsia="Times New Roman" w:cs="Times New Roman"/>
                <w:b/>
                <w:color w:val="000000"/>
                <w:sz w:val="20"/>
                <w:szCs w:val="20"/>
              </w:rPr>
              <w:t>71</w:t>
            </w:r>
          </w:p>
        </w:tc>
      </w:tr>
    </w:tbl>
    <w:p w:rsidRPr="001C0658" w:rsidR="00C57989" w:rsidP="00C57989" w:rsidRDefault="00C57989" w14:paraId="1B00F925" w14:textId="77777777">
      <w:pPr>
        <w:spacing w:after="0" w:line="240" w:lineRule="auto"/>
        <w:rPr>
          <w:rFonts w:ascii="Times New Roman" w:hAnsi="Times New Roman" w:cs="Times New Roman"/>
          <w:sz w:val="18"/>
          <w:szCs w:val="18"/>
        </w:rPr>
      </w:pPr>
      <w:r w:rsidRPr="001C0658">
        <w:rPr>
          <w:rFonts w:ascii="Times New Roman" w:hAnsi="Times New Roman" w:cs="Times New Roman"/>
          <w:bCs/>
          <w:sz w:val="18"/>
          <w:szCs w:val="18"/>
        </w:rPr>
        <w:t xml:space="preserve">* NAICS 311; **424; ***326 and 336. </w:t>
      </w:r>
    </w:p>
    <w:p w:rsidRPr="00BF42A8" w:rsidR="00C57989" w:rsidP="00C57989" w:rsidRDefault="00C57989" w14:paraId="27232114" w14:textId="77777777">
      <w:pPr>
        <w:pStyle w:val="ListParagraph"/>
        <w:spacing w:after="0" w:line="240" w:lineRule="auto"/>
        <w:ind w:left="0" w:firstLine="360"/>
        <w:contextualSpacing w:val="0"/>
        <w:rPr>
          <w:rFonts w:ascii="Times New Roman" w:hAnsi="Times New Roman" w:cs="Times New Roman"/>
        </w:rPr>
      </w:pPr>
    </w:p>
    <w:p w:rsidRPr="00BF42A8" w:rsidR="00BE4E59" w:rsidP="00BE4E59" w:rsidRDefault="00BE4E59" w14:paraId="0BF3690C" w14:textId="78F45121">
      <w:pPr>
        <w:keepNext/>
        <w:spacing w:after="0" w:line="240" w:lineRule="auto"/>
        <w:rPr>
          <w:rFonts w:ascii="Times New Roman" w:hAnsi="Times New Roman" w:cs="Times New Roman"/>
          <w:b/>
        </w:rPr>
      </w:pPr>
      <w:r>
        <w:rPr>
          <w:rFonts w:ascii="Times New Roman" w:hAnsi="Times New Roman" w:cs="Times New Roman"/>
          <w:b/>
        </w:rPr>
        <w:t>3.4</w:t>
      </w:r>
      <w:r w:rsidRPr="00BF42A8">
        <w:rPr>
          <w:rFonts w:ascii="Times New Roman" w:hAnsi="Times New Roman" w:cs="Times New Roman"/>
          <w:b/>
        </w:rPr>
        <w:t>.4 Monetized Costs of Chemical</w:t>
      </w:r>
      <w:r w:rsidRPr="00BF42A8">
        <w:rPr>
          <w:rFonts w:ascii="Times New Roman" w:hAnsi="Times New Roman" w:cs="Times New Roman"/>
          <w:b/>
          <w:spacing w:val="-6"/>
        </w:rPr>
        <w:t xml:space="preserve"> </w:t>
      </w:r>
      <w:r w:rsidRPr="00BF42A8">
        <w:rPr>
          <w:rFonts w:ascii="Times New Roman" w:hAnsi="Times New Roman" w:cs="Times New Roman"/>
          <w:b/>
        </w:rPr>
        <w:t>Accidents</w:t>
      </w:r>
    </w:p>
    <w:p w:rsidR="00BE4E59" w:rsidP="00BE4E59" w:rsidRDefault="00BE4E59" w14:paraId="14119E2B" w14:textId="77777777">
      <w:pPr>
        <w:keepNext/>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While the RMP Database provides values of property damage, it includes only counts of fatalities, non-fatal injuries, evacuations, and the number of people required to shelter in place. EPA has applied estimates of the values of these impacts to better understand the magnitude of accident impacts during the five-year baseline. To monetize fatalities, EPA applied the value of statistical life (VSL) recommended in EPA’s </w:t>
      </w:r>
      <w:r w:rsidRPr="00BF42A8">
        <w:rPr>
          <w:rFonts w:ascii="Times New Roman" w:hAnsi="Times New Roman" w:cs="Times New Roman"/>
          <w:i/>
        </w:rPr>
        <w:t xml:space="preserve">Guidelines for </w:t>
      </w:r>
      <w:r w:rsidRPr="00BF42A8">
        <w:rPr>
          <w:rFonts w:ascii="Times New Roman" w:hAnsi="Times New Roman" w:cs="Times New Roman"/>
          <w:i/>
        </w:rPr>
        <w:lastRenderedPageBreak/>
        <w:t xml:space="preserve">Preparing Economic Analysis </w:t>
      </w:r>
      <w:r w:rsidRPr="00BF42A8">
        <w:rPr>
          <w:rFonts w:ascii="Times New Roman" w:hAnsi="Times New Roman" w:cs="Times New Roman"/>
        </w:rPr>
        <w:t xml:space="preserve">(2010) (hereafter the </w:t>
      </w:r>
      <w:r w:rsidRPr="00BF42A8">
        <w:rPr>
          <w:rFonts w:ascii="Times New Roman" w:hAnsi="Times New Roman" w:cs="Times New Roman"/>
          <w:i/>
        </w:rPr>
        <w:t>Guidelines</w:t>
      </w:r>
      <w:r w:rsidRPr="00BF42A8">
        <w:rPr>
          <w:rFonts w:ascii="Times New Roman" w:hAnsi="Times New Roman" w:cs="Times New Roman"/>
        </w:rPr>
        <w:t>). For non-fatal injuries, EPA gathered data on hospital costs from the U.S. Department of Health &amp; Human Services (HHS) Agency for Healthcare and Research and Quality Data (2020).</w:t>
      </w:r>
      <w:r w:rsidRPr="00BF42A8">
        <w:rPr>
          <w:rStyle w:val="FootnoteReference"/>
          <w:rFonts w:ascii="Times New Roman" w:hAnsi="Times New Roman" w:cs="Times New Roman"/>
        </w:rPr>
        <w:footnoteReference w:id="38"/>
      </w:r>
      <w:r w:rsidRPr="00BF42A8">
        <w:rPr>
          <w:rFonts w:ascii="Times New Roman" w:hAnsi="Times New Roman" w:cs="Times New Roman"/>
        </w:rPr>
        <w:t xml:space="preserve"> Finally, for evacuations and shelter-in-place events, values of labor time were drawn from the BLS (2020).</w:t>
      </w:r>
      <w:r w:rsidRPr="00BF42A8">
        <w:rPr>
          <w:rStyle w:val="FootnoteReference"/>
          <w:rFonts w:ascii="Times New Roman" w:hAnsi="Times New Roman" w:cs="Times New Roman"/>
        </w:rPr>
        <w:footnoteReference w:id="39"/>
      </w:r>
    </w:p>
    <w:p w:rsidRPr="00BF42A8" w:rsidR="00BE4E59" w:rsidP="00BE4E59" w:rsidRDefault="00BE4E59" w14:paraId="02EDA2EE" w14:textId="77777777">
      <w:pPr>
        <w:keepNext/>
        <w:spacing w:after="0" w:line="240" w:lineRule="auto"/>
        <w:ind w:firstLine="360"/>
        <w:rPr>
          <w:rFonts w:ascii="Times New Roman" w:hAnsi="Times New Roman" w:cs="Times New Roman"/>
        </w:rPr>
      </w:pPr>
    </w:p>
    <w:p w:rsidRPr="00BF42A8" w:rsidR="00BE4E59" w:rsidP="00BE4E59" w:rsidRDefault="00BE4E59" w14:paraId="719026A0" w14:textId="715B36A5">
      <w:pPr>
        <w:spacing w:after="0" w:line="240" w:lineRule="auto"/>
        <w:rPr>
          <w:rFonts w:ascii="Times New Roman" w:hAnsi="Times New Roman" w:cs="Times New Roman"/>
          <w:b/>
        </w:rPr>
      </w:pPr>
      <w:r>
        <w:rPr>
          <w:rFonts w:ascii="Times New Roman" w:hAnsi="Times New Roman" w:cs="Times New Roman"/>
          <w:b/>
        </w:rPr>
        <w:t>3.4</w:t>
      </w:r>
      <w:r w:rsidRPr="00BF42A8">
        <w:rPr>
          <w:rFonts w:ascii="Times New Roman" w:hAnsi="Times New Roman" w:cs="Times New Roman"/>
          <w:b/>
        </w:rPr>
        <w:t>.4.1. Fatalities and</w:t>
      </w:r>
      <w:r w:rsidRPr="00BF42A8">
        <w:rPr>
          <w:rFonts w:ascii="Times New Roman" w:hAnsi="Times New Roman" w:cs="Times New Roman"/>
          <w:b/>
          <w:spacing w:val="-1"/>
        </w:rPr>
        <w:t xml:space="preserve"> </w:t>
      </w:r>
      <w:r w:rsidRPr="00BF42A8">
        <w:rPr>
          <w:rFonts w:ascii="Times New Roman" w:hAnsi="Times New Roman" w:cs="Times New Roman"/>
          <w:b/>
        </w:rPr>
        <w:t>Injuries</w:t>
      </w:r>
    </w:p>
    <w:p w:rsidR="00BE4E59" w:rsidP="00BE4E59" w:rsidRDefault="00BE4E59" w14:paraId="4226C1BC"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Fatalities were valued using the </w:t>
      </w:r>
      <w:r w:rsidRPr="00BF42A8">
        <w:rPr>
          <w:rFonts w:ascii="Times New Roman" w:hAnsi="Times New Roman" w:cs="Times New Roman"/>
          <w:i/>
        </w:rPr>
        <w:t>Guideline’s</w:t>
      </w:r>
      <w:r w:rsidRPr="00BF42A8">
        <w:rPr>
          <w:rFonts w:ascii="Times New Roman" w:hAnsi="Times New Roman" w:cs="Times New Roman"/>
        </w:rPr>
        <w:t xml:space="preserve"> value of a statistical life of $7.9 million (2008 dollars) inflated to $9.3 million (2020 dollars). In principle, valuation of injuries includes multiple components. The </w:t>
      </w:r>
      <w:r w:rsidRPr="00BF42A8">
        <w:rPr>
          <w:rFonts w:ascii="Times New Roman" w:hAnsi="Times New Roman" w:cs="Times New Roman"/>
          <w:i/>
        </w:rPr>
        <w:t xml:space="preserve">Guidelines </w:t>
      </w:r>
      <w:r w:rsidRPr="00BF42A8">
        <w:rPr>
          <w:rFonts w:ascii="Times New Roman" w:hAnsi="Times New Roman" w:cs="Times New Roman"/>
        </w:rPr>
        <w:t>explain that the willingness to pay (WTP) to reduce the risk of experiencing an illness is the preferred measure of value for morbidity effects and cites Freeman (2003)</w:t>
      </w:r>
      <w:r w:rsidRPr="00BF42A8">
        <w:rPr>
          <w:rStyle w:val="FootnoteReference"/>
          <w:rFonts w:ascii="Times New Roman" w:hAnsi="Times New Roman" w:cs="Times New Roman"/>
        </w:rPr>
        <w:footnoteReference w:id="40"/>
      </w:r>
      <w:r w:rsidRPr="00BF42A8">
        <w:rPr>
          <w:rFonts w:ascii="Times New Roman" w:hAnsi="Times New Roman" w:cs="Times New Roman"/>
        </w:rPr>
        <w:t>. As described in Freeman (2003), WTP consists of four components:</w:t>
      </w:r>
    </w:p>
    <w:p w:rsidRPr="00BF42A8" w:rsidR="00BE4E59" w:rsidP="00BE4E59" w:rsidRDefault="00BE4E59" w14:paraId="63E33292" w14:textId="77777777">
      <w:pPr>
        <w:spacing w:after="0" w:line="240" w:lineRule="auto"/>
        <w:ind w:firstLine="360"/>
        <w:rPr>
          <w:rFonts w:ascii="Times New Roman" w:hAnsi="Times New Roman" w:cs="Times New Roman"/>
        </w:rPr>
      </w:pPr>
    </w:p>
    <w:p w:rsidRPr="00BF42A8" w:rsidR="00BE4E59" w:rsidP="00BE4E59" w:rsidRDefault="00BE4E59" w14:paraId="1E17ECBF" w14:textId="77777777">
      <w:pPr>
        <w:pStyle w:val="ListParagraph"/>
        <w:numPr>
          <w:ilvl w:val="0"/>
          <w:numId w:val="12"/>
        </w:numPr>
        <w:spacing w:after="0" w:line="240" w:lineRule="auto"/>
        <w:contextualSpacing w:val="0"/>
        <w:rPr>
          <w:rFonts w:ascii="Times New Roman" w:hAnsi="Times New Roman" w:cs="Times New Roman"/>
        </w:rPr>
      </w:pPr>
      <w:r w:rsidRPr="00BF42A8">
        <w:rPr>
          <w:rFonts w:ascii="Times New Roman" w:hAnsi="Times New Roman" w:cs="Times New Roman"/>
        </w:rPr>
        <w:t>“Averting costs” to reduce the risk of</w:t>
      </w:r>
      <w:r w:rsidRPr="00BF42A8">
        <w:rPr>
          <w:rFonts w:ascii="Times New Roman" w:hAnsi="Times New Roman" w:cs="Times New Roman"/>
          <w:spacing w:val="-7"/>
        </w:rPr>
        <w:t xml:space="preserve"> </w:t>
      </w:r>
      <w:r w:rsidRPr="00BF42A8">
        <w:rPr>
          <w:rFonts w:ascii="Times New Roman" w:hAnsi="Times New Roman" w:cs="Times New Roman"/>
        </w:rPr>
        <w:t>illness.</w:t>
      </w:r>
    </w:p>
    <w:p w:rsidRPr="00BF42A8" w:rsidR="00BE4E59" w:rsidP="00BE4E59" w:rsidRDefault="00BE4E59" w14:paraId="16E22FD5" w14:textId="77777777">
      <w:pPr>
        <w:pStyle w:val="ListParagraph"/>
        <w:numPr>
          <w:ilvl w:val="0"/>
          <w:numId w:val="12"/>
        </w:numPr>
        <w:spacing w:after="0" w:line="240" w:lineRule="auto"/>
        <w:contextualSpacing w:val="0"/>
        <w:rPr>
          <w:rFonts w:ascii="Times New Roman" w:hAnsi="Times New Roman" w:cs="Times New Roman"/>
        </w:rPr>
      </w:pPr>
      <w:r w:rsidRPr="00BF42A8">
        <w:rPr>
          <w:rFonts w:ascii="Times New Roman" w:hAnsi="Times New Roman" w:cs="Times New Roman"/>
        </w:rPr>
        <w:t>“Mitigating costs” for treatments such as medical care and</w:t>
      </w:r>
      <w:r w:rsidRPr="00BF42A8">
        <w:rPr>
          <w:rFonts w:ascii="Times New Roman" w:hAnsi="Times New Roman" w:cs="Times New Roman"/>
          <w:spacing w:val="-10"/>
        </w:rPr>
        <w:t xml:space="preserve"> </w:t>
      </w:r>
      <w:r w:rsidRPr="00BF42A8">
        <w:rPr>
          <w:rFonts w:ascii="Times New Roman" w:hAnsi="Times New Roman" w:cs="Times New Roman"/>
        </w:rPr>
        <w:t>medication.</w:t>
      </w:r>
    </w:p>
    <w:p w:rsidRPr="00BF42A8" w:rsidR="00BE4E59" w:rsidP="00BE4E59" w:rsidRDefault="00BE4E59" w14:paraId="7E51CD0D" w14:textId="77777777">
      <w:pPr>
        <w:pStyle w:val="ListParagraph"/>
        <w:numPr>
          <w:ilvl w:val="0"/>
          <w:numId w:val="12"/>
        </w:numPr>
        <w:spacing w:after="0" w:line="240" w:lineRule="auto"/>
        <w:contextualSpacing w:val="0"/>
        <w:rPr>
          <w:rFonts w:ascii="Times New Roman" w:hAnsi="Times New Roman" w:cs="Times New Roman"/>
        </w:rPr>
      </w:pPr>
      <w:r w:rsidRPr="00BF42A8">
        <w:rPr>
          <w:rFonts w:ascii="Times New Roman" w:hAnsi="Times New Roman" w:cs="Times New Roman"/>
        </w:rPr>
        <w:t>Indirect costs such as lost time from paid work, maintaining a home, and pursuing leisure activities.</w:t>
      </w:r>
    </w:p>
    <w:p w:rsidRPr="00BF42A8" w:rsidR="00BE4E59" w:rsidP="00BE4E59" w:rsidRDefault="00BE4E59" w14:paraId="2334614A" w14:textId="77777777">
      <w:pPr>
        <w:pStyle w:val="ListParagraph"/>
        <w:numPr>
          <w:ilvl w:val="0"/>
          <w:numId w:val="12"/>
        </w:numPr>
        <w:spacing w:after="0" w:line="240" w:lineRule="auto"/>
        <w:contextualSpacing w:val="0"/>
        <w:rPr>
          <w:rFonts w:ascii="Times New Roman" w:hAnsi="Times New Roman" w:cs="Times New Roman"/>
        </w:rPr>
      </w:pPr>
      <w:r w:rsidRPr="00BF42A8">
        <w:rPr>
          <w:rFonts w:ascii="Times New Roman" w:hAnsi="Times New Roman" w:cs="Times New Roman"/>
        </w:rPr>
        <w:t>Less easily measured</w:t>
      </w:r>
      <w:r>
        <w:rPr>
          <w:rFonts w:ascii="Times New Roman" w:hAnsi="Times New Roman" w:cs="Times New Roman"/>
        </w:rPr>
        <w:t>,</w:t>
      </w:r>
      <w:r w:rsidRPr="00BF42A8">
        <w:rPr>
          <w:rFonts w:ascii="Times New Roman" w:hAnsi="Times New Roman" w:cs="Times New Roman"/>
        </w:rPr>
        <w:t xml:space="preserve"> but equally real</w:t>
      </w:r>
      <w:r>
        <w:rPr>
          <w:rFonts w:ascii="Times New Roman" w:hAnsi="Times New Roman" w:cs="Times New Roman"/>
        </w:rPr>
        <w:t>,</w:t>
      </w:r>
      <w:r w:rsidRPr="00BF42A8">
        <w:rPr>
          <w:rFonts w:ascii="Times New Roman" w:hAnsi="Times New Roman" w:cs="Times New Roman"/>
        </w:rPr>
        <w:t xml:space="preserve"> costs of discomfort, anxiety, pain, and</w:t>
      </w:r>
      <w:r w:rsidRPr="00BF42A8">
        <w:rPr>
          <w:rFonts w:ascii="Times New Roman" w:hAnsi="Times New Roman" w:cs="Times New Roman"/>
          <w:spacing w:val="-19"/>
        </w:rPr>
        <w:t xml:space="preserve"> </w:t>
      </w:r>
      <w:r w:rsidRPr="00BF42A8">
        <w:rPr>
          <w:rFonts w:ascii="Times New Roman" w:hAnsi="Times New Roman" w:cs="Times New Roman"/>
        </w:rPr>
        <w:t>suffering.</w:t>
      </w:r>
    </w:p>
    <w:p w:rsidR="00BE4E59" w:rsidP="00BE4E59" w:rsidRDefault="00BE4E59" w14:paraId="2B850736" w14:textId="77777777">
      <w:pPr>
        <w:pStyle w:val="ListParagraph"/>
        <w:spacing w:after="0" w:line="240" w:lineRule="auto"/>
        <w:ind w:left="0"/>
        <w:contextualSpacing w:val="0"/>
        <w:rPr>
          <w:rFonts w:ascii="Times New Roman" w:hAnsi="Times New Roman" w:cs="Times New Roman"/>
        </w:rPr>
      </w:pPr>
      <w:r w:rsidRPr="00BF42A8">
        <w:rPr>
          <w:rFonts w:ascii="Times New Roman" w:hAnsi="Times New Roman" w:cs="Times New Roman"/>
        </w:rPr>
        <w:tab/>
      </w:r>
    </w:p>
    <w:p w:rsidR="00BE4E59" w:rsidP="00BE4E59" w:rsidRDefault="00BE4E59" w14:paraId="2972665B" w14:textId="77777777">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EPA had available data to estimate only the components identified in the second bullet,</w:t>
      </w:r>
      <w:r>
        <w:rPr>
          <w:rFonts w:ascii="Times New Roman" w:hAnsi="Times New Roman" w:cs="Times New Roman"/>
        </w:rPr>
        <w:t xml:space="preserve"> </w:t>
      </w:r>
      <w:r w:rsidRPr="00BF42A8">
        <w:rPr>
          <w:rFonts w:ascii="Times New Roman" w:hAnsi="Times New Roman" w:cs="Times New Roman"/>
        </w:rPr>
        <w:t>“Mitigating costs” for treatments such as medical care and</w:t>
      </w:r>
      <w:r w:rsidRPr="00BF42A8">
        <w:rPr>
          <w:rFonts w:ascii="Times New Roman" w:hAnsi="Times New Roman" w:cs="Times New Roman"/>
          <w:spacing w:val="-10"/>
        </w:rPr>
        <w:t xml:space="preserve"> </w:t>
      </w:r>
      <w:r w:rsidRPr="00BF42A8">
        <w:rPr>
          <w:rFonts w:ascii="Times New Roman" w:hAnsi="Times New Roman" w:cs="Times New Roman"/>
        </w:rPr>
        <w:t>medication. The cost categories in bullets 1, 3 and 4 are not included in EPA’s estimates. For onsite injury and offsite hospitalization, the analysis reviewed the accident data to determine the percentage of the accidents that involved explosions and fires and the percentage that involved the release of toxics. The analysis then transferred the HHS data on the current costs for hospitalizations for poisoning (other than by medicinal substances) to injuries from toxic releases; for burns to injuries associated with fire; and for open wounds, to injuries from explosions. Because the costs for open wounds and poisoning were close ($49,430 and $44,820, respectively), the analysis used the average of these two values for onsite injuries; the cost for burns was $96,000. The analysis then created a weighted value of an onsite injury based on the percentage of burn-related injury versus other impacts (fires were involved in 18 percent of the injury incidents; open wounds were assumed to be the remainder of injury costs). This weighted value was approximately $50,000.</w:t>
      </w:r>
    </w:p>
    <w:p w:rsidR="00BE4E59" w:rsidP="00BE4E59" w:rsidRDefault="00BE4E59" w14:paraId="24CD6C54" w14:textId="77777777">
      <w:pPr>
        <w:pStyle w:val="ListParagraph"/>
        <w:spacing w:after="0" w:line="240" w:lineRule="auto"/>
        <w:ind w:left="0" w:firstLine="360"/>
        <w:contextualSpacing w:val="0"/>
        <w:rPr>
          <w:rFonts w:ascii="Times New Roman" w:hAnsi="Times New Roman" w:cs="Times New Roman"/>
        </w:rPr>
      </w:pPr>
    </w:p>
    <w:p w:rsidR="00BE4E59" w:rsidP="00BE4E59" w:rsidRDefault="00BE4E59" w14:paraId="77C19FFD" w14:textId="77777777">
      <w:pPr>
        <w:pStyle w:val="ListParagraph"/>
        <w:spacing w:after="0" w:line="240" w:lineRule="auto"/>
        <w:ind w:left="0" w:firstLine="360"/>
        <w:contextualSpacing w:val="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The analysis used the cost of hospitalization for poisoning (rounded to $36,000) for hospitalizations associated with offsite injuries because in the five-year baseline, these injuries were usually related to exposure to toxic chemicals. For medical treatment other than hospitalization (offsite), the analysis used an estimate of $1,000, which is above the $750 per person paid to the 14,000 people who sought medical treatment from the Richmond refinery fire, and slightly below the average emergency room cost. Offsite treatments for exposure to fumes usually involves relatively low-cost treatments (e.g., oxygen, eye washes, skin washes).</w:t>
      </w:r>
    </w:p>
    <w:p w:rsidR="00BE4E59" w:rsidP="00BE4E59" w:rsidRDefault="00BE4E59" w14:paraId="5A23A611" w14:textId="77777777">
      <w:pPr>
        <w:pStyle w:val="ListParagraph"/>
        <w:spacing w:after="0" w:line="240" w:lineRule="auto"/>
        <w:ind w:left="0" w:firstLine="360"/>
        <w:contextualSpacing w:val="0"/>
        <w:rPr>
          <w:rFonts w:ascii="Times New Roman" w:hAnsi="Times New Roman" w:cs="Times New Roman"/>
        </w:rPr>
      </w:pPr>
    </w:p>
    <w:p w:rsidR="00BE4E59" w:rsidP="00BE4E59" w:rsidRDefault="00BE4E59" w14:paraId="24A6CF71" w14:textId="77777777">
      <w:pPr>
        <w:pStyle w:val="ListParagraph"/>
        <w:spacing w:after="0" w:line="240" w:lineRule="auto"/>
        <w:ind w:left="0" w:firstLine="360"/>
        <w:contextualSpacing w:val="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The $50,000 total cost estimate for onsite injuries </w:t>
      </w:r>
      <w:r>
        <w:rPr>
          <w:rFonts w:ascii="Times New Roman" w:hAnsi="Times New Roman" w:cs="Times New Roman"/>
        </w:rPr>
        <w:t xml:space="preserve">has </w:t>
      </w:r>
      <w:r w:rsidRPr="00BF42A8">
        <w:rPr>
          <w:rFonts w:ascii="Times New Roman" w:hAnsi="Times New Roman" w:cs="Times New Roman"/>
        </w:rPr>
        <w:t>several limitations. As mentioned above for all injuries, hospital costs are only one of four categories of social costs incurred</w:t>
      </w:r>
      <w:r>
        <w:rPr>
          <w:rFonts w:ascii="Times New Roman" w:hAnsi="Times New Roman" w:cs="Times New Roman"/>
        </w:rPr>
        <w:t>.</w:t>
      </w:r>
      <w:r w:rsidRPr="00BF42A8">
        <w:rPr>
          <w:rFonts w:ascii="Times New Roman" w:hAnsi="Times New Roman" w:cs="Times New Roman"/>
        </w:rPr>
        <w:t xml:space="preserve"> Costs could not be estimated for the other categories, which could be substantial in some cases, due to a lack of data. However, as an estimate of hospital costs, it is an over-estimate for an unknown percentage of the injuries onsite that did not require hospitalization and may not involve any medical costs</w:t>
      </w:r>
      <w:r w:rsidRPr="00BF42A8">
        <w:rPr>
          <w:rFonts w:ascii="Times New Roman" w:hAnsi="Times New Roman" w:cs="Times New Roman"/>
          <w:vertAlign w:val="superscript"/>
        </w:rPr>
        <w:t xml:space="preserve"> </w:t>
      </w:r>
      <w:r w:rsidRPr="00BF42A8">
        <w:rPr>
          <w:rFonts w:ascii="Times New Roman" w:hAnsi="Times New Roman" w:cs="Times New Roman"/>
        </w:rPr>
        <w:t xml:space="preserve">or for injuries and toxic exposures that led to hospitalization and were minor enough that the person was released within a day (the HHS cost estimates are based on a 3-day stay for poisonings and injuries and an 8-day stay for burns). In the opposite direction, however, the $50,000 cost estimate is an underestimate for those workers who were severely injured and for </w:t>
      </w:r>
      <w:r w:rsidRPr="00BF42A8">
        <w:rPr>
          <w:rFonts w:ascii="Times New Roman" w:hAnsi="Times New Roman" w:cs="Times New Roman"/>
        </w:rPr>
        <w:lastRenderedPageBreak/>
        <w:t>whom the medical costs would certainly have involved more than hospitalization, e.g., costs associated with further medical treatment as well as physical and occupational</w:t>
      </w:r>
      <w:r w:rsidRPr="00BF42A8">
        <w:rPr>
          <w:rFonts w:ascii="Times New Roman" w:hAnsi="Times New Roman" w:cs="Times New Roman"/>
          <w:spacing w:val="-2"/>
        </w:rPr>
        <w:t xml:space="preserve"> </w:t>
      </w:r>
      <w:r w:rsidRPr="00BF42A8">
        <w:rPr>
          <w:rFonts w:ascii="Times New Roman" w:hAnsi="Times New Roman" w:cs="Times New Roman"/>
        </w:rPr>
        <w:t>therapy.</w:t>
      </w:r>
    </w:p>
    <w:p w:rsidRPr="00BF42A8" w:rsidR="00BE4E59" w:rsidP="00BE4E59" w:rsidRDefault="00BE4E59" w14:paraId="2E70DFCB" w14:textId="77777777">
      <w:pPr>
        <w:pStyle w:val="ListParagraph"/>
        <w:spacing w:after="0" w:line="240" w:lineRule="auto"/>
        <w:ind w:left="0" w:firstLine="360"/>
        <w:contextualSpacing w:val="0"/>
        <w:rPr>
          <w:rFonts w:ascii="Times New Roman" w:hAnsi="Times New Roman" w:cs="Times New Roman"/>
        </w:rPr>
      </w:pPr>
    </w:p>
    <w:p w:rsidRPr="00BF42A8" w:rsidR="00BE4E59" w:rsidP="00BE4E59" w:rsidRDefault="00BE4E59" w14:paraId="3B463BFF" w14:textId="357D89AD">
      <w:pPr>
        <w:spacing w:after="0" w:line="240" w:lineRule="auto"/>
        <w:rPr>
          <w:rFonts w:ascii="Times New Roman" w:hAnsi="Times New Roman" w:cs="Times New Roman"/>
          <w:b/>
        </w:rPr>
      </w:pPr>
      <w:r>
        <w:rPr>
          <w:rFonts w:ascii="Times New Roman" w:hAnsi="Times New Roman" w:cs="Times New Roman"/>
          <w:b/>
        </w:rPr>
        <w:t>3.4</w:t>
      </w:r>
      <w:r w:rsidRPr="00BF42A8">
        <w:rPr>
          <w:rFonts w:ascii="Times New Roman" w:hAnsi="Times New Roman" w:cs="Times New Roman"/>
          <w:b/>
        </w:rPr>
        <w:t>.4.2 Evacuations and Shelter-in-Place</w:t>
      </w:r>
      <w:r w:rsidRPr="00BF42A8">
        <w:rPr>
          <w:rFonts w:ascii="Times New Roman" w:hAnsi="Times New Roman" w:cs="Times New Roman"/>
          <w:b/>
          <w:spacing w:val="-4"/>
        </w:rPr>
        <w:t xml:space="preserve"> </w:t>
      </w:r>
      <w:r w:rsidRPr="00BF42A8">
        <w:rPr>
          <w:rFonts w:ascii="Times New Roman" w:hAnsi="Times New Roman" w:cs="Times New Roman"/>
          <w:b/>
        </w:rPr>
        <w:t>Events</w:t>
      </w:r>
    </w:p>
    <w:p w:rsidR="00BE4E59" w:rsidP="00BE4E59" w:rsidRDefault="00BE4E59" w14:paraId="107889E5"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The five-year baseline data do not provide any basis for estimating the time involved in the average evacuation or sheltering-in-place, which EPA assumes</w:t>
      </w:r>
      <w:r w:rsidRPr="00BF42A8" w:rsidDel="00152F31">
        <w:rPr>
          <w:rFonts w:ascii="Times New Roman" w:hAnsi="Times New Roman" w:cs="Times New Roman"/>
        </w:rPr>
        <w:t xml:space="preserve"> </w:t>
      </w:r>
      <w:r w:rsidRPr="00BF42A8">
        <w:rPr>
          <w:rFonts w:ascii="Times New Roman" w:hAnsi="Times New Roman" w:cs="Times New Roman"/>
        </w:rPr>
        <w:t>is less disruptive than an evacuation. To estimate costs for evacuations and sheltering in place, the analysis assumed the value of time of $27.35 per hour,</w:t>
      </w:r>
      <w:r w:rsidRPr="00BF42A8">
        <w:rPr>
          <w:rStyle w:val="FootnoteReference"/>
          <w:rFonts w:ascii="Times New Roman" w:hAnsi="Times New Roman" w:cs="Times New Roman"/>
        </w:rPr>
        <w:footnoteReference w:id="41"/>
      </w:r>
      <w:r w:rsidRPr="00BF42A8">
        <w:rPr>
          <w:rFonts w:ascii="Times New Roman" w:hAnsi="Times New Roman" w:cs="Times New Roman"/>
        </w:rPr>
        <w:t xml:space="preserve"> sheltering required 4 hours</w:t>
      </w:r>
      <w:r w:rsidRPr="00BF42A8">
        <w:rPr>
          <w:rStyle w:val="FootnoteReference"/>
          <w:rFonts w:ascii="Times New Roman" w:hAnsi="Times New Roman" w:cs="Times New Roman"/>
        </w:rPr>
        <w:footnoteReference w:id="42"/>
      </w:r>
      <w:r w:rsidRPr="00BF42A8">
        <w:rPr>
          <w:rFonts w:ascii="Times New Roman" w:hAnsi="Times New Roman" w:cs="Times New Roman"/>
        </w:rPr>
        <w:t>, and evacuations required 8 hours.</w:t>
      </w:r>
      <w:r w:rsidRPr="00BF42A8">
        <w:rPr>
          <w:rStyle w:val="FootnoteReference"/>
          <w:rFonts w:ascii="Times New Roman" w:hAnsi="Times New Roman" w:cs="Times New Roman"/>
        </w:rPr>
        <w:footnoteReference w:id="43"/>
      </w:r>
    </w:p>
    <w:p w:rsidRPr="00BF42A8" w:rsidR="00BE4E59" w:rsidP="00BE4E59" w:rsidRDefault="00BE4E59" w14:paraId="7B4ECB03" w14:textId="77777777">
      <w:pPr>
        <w:spacing w:after="0" w:line="240" w:lineRule="auto"/>
        <w:ind w:firstLine="360"/>
        <w:rPr>
          <w:rFonts w:ascii="Times New Roman" w:hAnsi="Times New Roman" w:cs="Times New Roman"/>
        </w:rPr>
      </w:pPr>
    </w:p>
    <w:p w:rsidR="00BE4E59" w:rsidP="00BE4E59" w:rsidRDefault="00BE4E59" w14:paraId="18CF3478" w14:textId="3CAED03F">
      <w:pPr>
        <w:spacing w:after="0" w:line="240" w:lineRule="auto"/>
        <w:rPr>
          <w:rFonts w:ascii="Times New Roman" w:hAnsi="Times New Roman" w:cs="Times New Roman"/>
        </w:rPr>
      </w:pPr>
      <w:r>
        <w:rPr>
          <w:rFonts w:ascii="Times New Roman" w:hAnsi="Times New Roman" w:cs="Times New Roman"/>
          <w:b/>
        </w:rPr>
        <w:t>3.4</w:t>
      </w:r>
      <w:r w:rsidRPr="00BF42A8">
        <w:rPr>
          <w:rFonts w:ascii="Times New Roman" w:hAnsi="Times New Roman" w:cs="Times New Roman"/>
          <w:b/>
        </w:rPr>
        <w:t>.4.3 Summary of Monetized Accident</w:t>
      </w:r>
      <w:r w:rsidRPr="00BF42A8">
        <w:rPr>
          <w:rFonts w:ascii="Times New Roman" w:hAnsi="Times New Roman" w:cs="Times New Roman"/>
          <w:b/>
          <w:spacing w:val="-5"/>
        </w:rPr>
        <w:t xml:space="preserve"> </w:t>
      </w:r>
      <w:r w:rsidRPr="00BF42A8">
        <w:rPr>
          <w:rFonts w:ascii="Times New Roman" w:hAnsi="Times New Roman" w:cs="Times New Roman"/>
          <w:b/>
        </w:rPr>
        <w:t>Impacts</w:t>
      </w:r>
      <w:r>
        <w:rPr>
          <w:rFonts w:ascii="Times New Roman" w:hAnsi="Times New Roman" w:cs="Times New Roman"/>
        </w:rPr>
        <w:tab/>
      </w:r>
    </w:p>
    <w:p w:rsidR="00BE4E59" w:rsidP="00BE4E59" w:rsidRDefault="00BE4E59" w14:paraId="601C952A" w14:textId="77777777">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 xml:space="preserve">The dominant monetized element of RMP facility reportable accidents is onsite property damage, followed by offsite property damage. The total monetized five-year cost of the accidents is about $2.3 billion. Of that amount, $2.2 billion was caused by onsite impacts largely attributed to property damage and fatalities. The offsite property damage derived largely from one accident in Port Neches, TX in 2019 causing $153 million of offsite property damage. </w:t>
      </w:r>
    </w:p>
    <w:p w:rsidR="00BE4E59" w:rsidP="00BE4E59" w:rsidRDefault="00BE4E59" w14:paraId="43936797" w14:textId="77777777">
      <w:pPr>
        <w:keepNext/>
        <w:spacing w:after="0" w:line="240" w:lineRule="auto"/>
        <w:jc w:val="center"/>
        <w:rPr>
          <w:rFonts w:ascii="Times New Roman" w:hAnsi="Times New Roman" w:cs="Times New Roman"/>
          <w:b/>
        </w:rPr>
      </w:pPr>
    </w:p>
    <w:p w:rsidR="00BE4E59" w:rsidP="00BE4E59" w:rsidRDefault="00BE4E59" w14:paraId="08F9E4F3" w14:textId="72C623D1">
      <w:pPr>
        <w:keepNext/>
        <w:spacing w:after="0" w:line="240" w:lineRule="auto"/>
        <w:jc w:val="center"/>
        <w:rPr>
          <w:rFonts w:ascii="Times New Roman" w:hAnsi="Times New Roman" w:cs="Times New Roman"/>
          <w:b/>
        </w:rPr>
      </w:pPr>
      <w:r w:rsidRPr="001C0658">
        <w:rPr>
          <w:rFonts w:ascii="Times New Roman" w:hAnsi="Times New Roman" w:cs="Times New Roman"/>
          <w:b/>
          <w:bCs/>
        </w:rPr>
        <w:t xml:space="preserve">Exhibit </w:t>
      </w:r>
      <w:r>
        <w:rPr>
          <w:rFonts w:ascii="Times New Roman" w:hAnsi="Times New Roman" w:cs="Times New Roman"/>
          <w:b/>
        </w:rPr>
        <w:t>3-12</w:t>
      </w:r>
      <w:r w:rsidRPr="00BF42A8">
        <w:rPr>
          <w:rFonts w:ascii="Times New Roman" w:hAnsi="Times New Roman" w:cs="Times New Roman"/>
          <w:b/>
        </w:rPr>
        <w:t>: Average Impacts per Year and Accident: 2016-2020</w:t>
      </w:r>
      <w:r>
        <w:rPr>
          <w:rFonts w:ascii="Times New Roman" w:hAnsi="Times New Roman" w:cs="Times New Roman"/>
          <w:b/>
        </w:rPr>
        <w:t>.</w:t>
      </w:r>
    </w:p>
    <w:p w:rsidRPr="00BF42A8" w:rsidR="00BE4E59" w:rsidP="00BE4E59" w:rsidRDefault="00BE4E59" w14:paraId="75D0F0A0" w14:textId="77777777">
      <w:pPr>
        <w:keepNext/>
        <w:spacing w:after="0" w:line="240" w:lineRule="auto"/>
        <w:jc w:val="center"/>
        <w:rPr>
          <w:rFonts w:ascii="Times New Roman" w:hAnsi="Times New Roman" w:cs="Times New Roman"/>
          <w:b/>
        </w:rPr>
      </w:pPr>
    </w:p>
    <w:tbl>
      <w:tblPr>
        <w:tblW w:w="3991" w:type="pct"/>
        <w:jc w:val="center"/>
        <w:tblLook w:val="04A0" w:firstRow="1" w:lastRow="0" w:firstColumn="1" w:lastColumn="0" w:noHBand="0" w:noVBand="1"/>
      </w:tblPr>
      <w:tblGrid>
        <w:gridCol w:w="2770"/>
        <w:gridCol w:w="1538"/>
        <w:gridCol w:w="1774"/>
        <w:gridCol w:w="1868"/>
      </w:tblGrid>
      <w:tr w:rsidRPr="00BF42A8" w:rsidR="00BE4E59" w:rsidTr="00A11949" w14:paraId="67184F53" w14:textId="77777777">
        <w:trPr>
          <w:trHeight w:val="337"/>
          <w:tblHeader/>
          <w:jc w:val="center"/>
        </w:trPr>
        <w:tc>
          <w:tcPr>
            <w:tcW w:w="1742" w:type="pct"/>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1C0658" w:rsidR="00BE4E59" w:rsidP="00A11949" w:rsidRDefault="00BE4E59" w14:paraId="6BAC2CB9" w14:textId="77777777">
            <w:pPr>
              <w:keepNext/>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967" w:type="pct"/>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473CA620" w14:textId="77777777">
            <w:pPr>
              <w:keepNext/>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5-Year Total</w:t>
            </w:r>
          </w:p>
        </w:tc>
        <w:tc>
          <w:tcPr>
            <w:tcW w:w="1116" w:type="pct"/>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7CBDE945" w14:textId="77777777">
            <w:pPr>
              <w:keepNext/>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Average/Year</w:t>
            </w:r>
          </w:p>
        </w:tc>
        <w:tc>
          <w:tcPr>
            <w:tcW w:w="1175" w:type="pct"/>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1CAAFF7E" w14:textId="77777777">
            <w:pPr>
              <w:keepNext/>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Average/Accident</w:t>
            </w:r>
          </w:p>
        </w:tc>
      </w:tr>
      <w:tr w:rsidRPr="00BF42A8" w:rsidR="00BE4E59" w:rsidTr="00A11949" w14:paraId="0DD75D74" w14:textId="77777777">
        <w:trPr>
          <w:trHeight w:val="177"/>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BE4E59" w:rsidP="00A11949" w:rsidRDefault="00BE4E59" w14:paraId="2AA81917" w14:textId="77777777">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Onsite</w:t>
            </w:r>
          </w:p>
        </w:tc>
      </w:tr>
      <w:tr w:rsidRPr="00BF42A8" w:rsidR="00BE4E59" w:rsidTr="00A11949" w14:paraId="772496F8" w14:textId="77777777">
        <w:trPr>
          <w:trHeight w:val="17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1A28D34E"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B3F189A"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12</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E9F877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2.4</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91BB61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0.025</w:t>
            </w:r>
          </w:p>
        </w:tc>
      </w:tr>
      <w:tr w:rsidRPr="00BF42A8" w:rsidR="00BE4E59" w:rsidTr="00A11949" w14:paraId="4A318C51" w14:textId="77777777">
        <w:trPr>
          <w:trHeight w:val="17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51C09E68"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Injuries</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589CE6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550</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2C112D9"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110</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3FCF435"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1.13</w:t>
            </w:r>
          </w:p>
        </w:tc>
      </w:tr>
      <w:tr w:rsidRPr="00BF42A8" w:rsidR="00BE4E59" w:rsidTr="00A11949" w14:paraId="477312FA" w14:textId="77777777">
        <w:trPr>
          <w:trHeight w:val="33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69E0CB07"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FD9AFF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$2.0 billion</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D3FC00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$406 million</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1B7137A"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$4.2 million</w:t>
            </w:r>
          </w:p>
        </w:tc>
      </w:tr>
      <w:tr w:rsidRPr="00BF42A8" w:rsidR="00BE4E59" w:rsidTr="00A11949" w14:paraId="6D8932BD" w14:textId="77777777">
        <w:trPr>
          <w:trHeight w:val="177"/>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BE4E59" w:rsidP="00A11949" w:rsidRDefault="00BE4E59" w14:paraId="24ABCAA0" w14:textId="77777777">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Offsite</w:t>
            </w:r>
          </w:p>
        </w:tc>
      </w:tr>
      <w:tr w:rsidRPr="00BF42A8" w:rsidR="00BE4E59" w:rsidTr="00A11949" w14:paraId="480561E6" w14:textId="77777777">
        <w:trPr>
          <w:trHeight w:val="17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436C7BF7"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3DC7D96"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CCAA894"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5B1FB5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w:t>
            </w:r>
          </w:p>
        </w:tc>
      </w:tr>
      <w:tr w:rsidRPr="00BF42A8" w:rsidR="00BE4E59" w:rsidTr="00A11949" w14:paraId="2688D4AE" w14:textId="77777777">
        <w:trPr>
          <w:trHeight w:val="17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11898E19"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Hospitalizations</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51D0AE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31</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637439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6.2</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129AAC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0.064</w:t>
            </w:r>
          </w:p>
        </w:tc>
      </w:tr>
      <w:tr w:rsidRPr="00BF42A8" w:rsidR="00BE4E59" w:rsidTr="00A11949" w14:paraId="427CA22A" w14:textId="77777777">
        <w:trPr>
          <w:trHeight w:val="33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6A53E8E1"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Medical Treatment</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019FF7E"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134</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06B52F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26.8</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05BF2C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0.275</w:t>
            </w:r>
          </w:p>
        </w:tc>
      </w:tr>
      <w:tr w:rsidRPr="00BF42A8" w:rsidR="00BE4E59" w:rsidTr="00A11949" w14:paraId="7E59F31B" w14:textId="77777777">
        <w:trPr>
          <w:trHeight w:val="17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42660D1C"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Evacuations</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011BB9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64,739</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355A60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12,948</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7D0550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132.662</w:t>
            </w:r>
          </w:p>
        </w:tc>
      </w:tr>
      <w:tr w:rsidRPr="00BF42A8" w:rsidR="00BE4E59" w:rsidTr="00A11949" w14:paraId="381068FD" w14:textId="77777777">
        <w:trPr>
          <w:trHeight w:val="33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5BD05AA7"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Sheltering in Place</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3329EA5"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85,808</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7FD01F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17,162</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040913C"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175.836</w:t>
            </w:r>
          </w:p>
        </w:tc>
      </w:tr>
      <w:tr w:rsidRPr="00BF42A8" w:rsidR="00BE4E59" w:rsidTr="00A11949" w14:paraId="1472036F" w14:textId="77777777">
        <w:trPr>
          <w:trHeight w:val="337"/>
          <w:jc w:val="center"/>
        </w:trPr>
        <w:tc>
          <w:tcPr>
            <w:tcW w:w="1742" w:type="pct"/>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6898829B"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967"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DD7663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$191 million</w:t>
            </w:r>
          </w:p>
        </w:tc>
        <w:tc>
          <w:tcPr>
            <w:tcW w:w="1116"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B788FF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$31.9 million</w:t>
            </w:r>
          </w:p>
        </w:tc>
        <w:tc>
          <w:tcPr>
            <w:tcW w:w="1175" w:type="pct"/>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B37BD9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$0.39 million</w:t>
            </w:r>
          </w:p>
        </w:tc>
      </w:tr>
    </w:tbl>
    <w:p w:rsidRPr="00BF42A8" w:rsidR="00BE4E59" w:rsidP="00BE4E59" w:rsidRDefault="00BE4E59" w14:paraId="74FA732A" w14:textId="77777777">
      <w:pPr>
        <w:spacing w:after="0" w:line="240" w:lineRule="auto"/>
        <w:jc w:val="center"/>
        <w:rPr>
          <w:rFonts w:ascii="Times New Roman" w:hAnsi="Times New Roman" w:cs="Times New Roman"/>
          <w:b/>
        </w:rPr>
      </w:pPr>
    </w:p>
    <w:p w:rsidR="00BE4E59" w:rsidP="00BE4E59" w:rsidRDefault="00BE4E59" w14:paraId="47211B27" w14:textId="77777777">
      <w:pPr>
        <w:spacing w:after="0" w:line="240" w:lineRule="auto"/>
        <w:ind w:left="360" w:hanging="360"/>
        <w:jc w:val="center"/>
        <w:rPr>
          <w:rFonts w:ascii="Times New Roman" w:hAnsi="Times New Roman" w:cs="Times New Roman"/>
          <w:b/>
        </w:rPr>
      </w:pPr>
    </w:p>
    <w:p w:rsidR="00BE4E59" w:rsidP="00BE4E59" w:rsidRDefault="00BE4E59" w14:paraId="5C1B7B9C" w14:textId="215A8677">
      <w:pPr>
        <w:spacing w:after="0" w:line="240" w:lineRule="auto"/>
        <w:rPr>
          <w:rFonts w:ascii="Times New Roman" w:hAnsi="Times New Roman" w:cs="Times New Roman"/>
        </w:rPr>
      </w:pPr>
      <w:r>
        <w:rPr>
          <w:rFonts w:ascii="Times New Roman" w:hAnsi="Times New Roman" w:cs="Times New Roman"/>
        </w:rPr>
        <w:tab/>
        <w:t xml:space="preserve">The monetized cost of accidents shown in Exhibit 3-13 for the period 2016 to 2020 should be viewed </w:t>
      </w:r>
      <w:proofErr w:type="gramStart"/>
      <w:r>
        <w:rPr>
          <w:rFonts w:ascii="Times New Roman" w:hAnsi="Times New Roman" w:cs="Times New Roman"/>
        </w:rPr>
        <w:t>in light of</w:t>
      </w:r>
      <w:proofErr w:type="gramEnd"/>
      <w:r>
        <w:rPr>
          <w:rFonts w:ascii="Times New Roman" w:hAnsi="Times New Roman" w:cs="Times New Roman"/>
        </w:rPr>
        <w:t xml:space="preserve"> monetized costs of RMP accidents for other time periods. EPA analyses for two prior RMP rulemakings, the 2017 amendments rule and the 2019 reconsideration rule, estimated monetized ba</w:t>
      </w:r>
      <w:r w:rsidRPr="004A3AEC">
        <w:rPr>
          <w:rFonts w:ascii="Times New Roman" w:hAnsi="Times New Roman" w:cs="Times New Roman"/>
        </w:rPr>
        <w:t xml:space="preserve">seline damages </w:t>
      </w:r>
      <w:r>
        <w:rPr>
          <w:rFonts w:ascii="Times New Roman" w:hAnsi="Times New Roman" w:cs="Times New Roman"/>
        </w:rPr>
        <w:t>using</w:t>
      </w:r>
      <w:r w:rsidRPr="004A3AEC">
        <w:rPr>
          <w:rFonts w:ascii="Times New Roman" w:hAnsi="Times New Roman" w:cs="Times New Roman"/>
        </w:rPr>
        <w:t xml:space="preserve"> the same categories as </w:t>
      </w:r>
      <w:r>
        <w:rPr>
          <w:rFonts w:ascii="Times New Roman" w:hAnsi="Times New Roman" w:cs="Times New Roman"/>
        </w:rPr>
        <w:t xml:space="preserve">were used for Exhibit 3-13.  </w:t>
      </w:r>
      <w:r w:rsidRPr="004A3AEC">
        <w:rPr>
          <w:rFonts w:ascii="Times New Roman" w:hAnsi="Times New Roman" w:cs="Times New Roman"/>
        </w:rPr>
        <w:t>For th</w:t>
      </w:r>
      <w:r>
        <w:rPr>
          <w:rFonts w:ascii="Times New Roman" w:hAnsi="Times New Roman" w:cs="Times New Roman"/>
        </w:rPr>
        <w:t>ose a</w:t>
      </w:r>
      <w:r w:rsidRPr="004A3AEC">
        <w:rPr>
          <w:rFonts w:ascii="Times New Roman" w:hAnsi="Times New Roman" w:cs="Times New Roman"/>
        </w:rPr>
        <w:t>nalys</w:t>
      </w:r>
      <w:r>
        <w:rPr>
          <w:rFonts w:ascii="Times New Roman" w:hAnsi="Times New Roman" w:cs="Times New Roman"/>
        </w:rPr>
        <w:t>e</w:t>
      </w:r>
      <w:r w:rsidRPr="004A3AEC">
        <w:rPr>
          <w:rFonts w:ascii="Times New Roman" w:hAnsi="Times New Roman" w:cs="Times New Roman"/>
        </w:rPr>
        <w:t>s, EPA estimated annualized monetized baseline damages for the 10</w:t>
      </w:r>
      <w:r>
        <w:rPr>
          <w:rFonts w:ascii="Times New Roman" w:hAnsi="Times New Roman" w:cs="Times New Roman"/>
        </w:rPr>
        <w:t>-</w:t>
      </w:r>
      <w:r w:rsidRPr="004A3AEC">
        <w:rPr>
          <w:rFonts w:ascii="Times New Roman" w:hAnsi="Times New Roman" w:cs="Times New Roman"/>
        </w:rPr>
        <w:t>year period from 2004 to 2013</w:t>
      </w:r>
      <w:r>
        <w:rPr>
          <w:rFonts w:ascii="Times New Roman" w:hAnsi="Times New Roman" w:cs="Times New Roman"/>
        </w:rPr>
        <w:t xml:space="preserve"> and for the three-year period from 2014 to 2016</w:t>
      </w:r>
      <w:r w:rsidRPr="004A3AEC">
        <w:rPr>
          <w:rFonts w:ascii="Times New Roman" w:hAnsi="Times New Roman" w:cs="Times New Roman"/>
        </w:rPr>
        <w:t xml:space="preserve">. </w:t>
      </w:r>
      <w:r>
        <w:rPr>
          <w:rFonts w:ascii="Times New Roman" w:hAnsi="Times New Roman" w:cs="Times New Roman"/>
        </w:rPr>
        <w:t>The estimates were calculated in 2015 dollars and appear in Exhibit 3-14</w:t>
      </w:r>
      <w:r>
        <w:rPr>
          <w:rStyle w:val="FootnoteReference"/>
          <w:rFonts w:ascii="Times New Roman" w:hAnsi="Times New Roman" w:cs="Times New Roman"/>
        </w:rPr>
        <w:footnoteReference w:id="44"/>
      </w:r>
      <w:r>
        <w:rPr>
          <w:rFonts w:ascii="Times New Roman" w:hAnsi="Times New Roman" w:cs="Times New Roman"/>
        </w:rPr>
        <w:t xml:space="preserve">.  </w:t>
      </w:r>
    </w:p>
    <w:p w:rsidR="00BE4E59" w:rsidP="00BE4E59" w:rsidRDefault="00BE4E59" w14:paraId="3C5B8951" w14:textId="2AD1637D">
      <w:pPr>
        <w:spacing w:after="0" w:line="240" w:lineRule="auto"/>
        <w:ind w:left="360" w:hanging="360"/>
        <w:jc w:val="center"/>
        <w:rPr>
          <w:rFonts w:ascii="Times New Roman" w:hAnsi="Times New Roman" w:cs="Times New Roman"/>
          <w:b/>
        </w:rPr>
      </w:pPr>
      <w:r w:rsidRPr="001C0658">
        <w:rPr>
          <w:rFonts w:ascii="Times New Roman" w:hAnsi="Times New Roman" w:cs="Times New Roman"/>
          <w:b/>
        </w:rPr>
        <w:lastRenderedPageBreak/>
        <w:t>Exhibit</w:t>
      </w:r>
      <w:r>
        <w:t xml:space="preserve"> </w:t>
      </w:r>
      <w:r>
        <w:rPr>
          <w:rFonts w:ascii="Times New Roman" w:hAnsi="Times New Roman" w:cs="Times New Roman"/>
          <w:b/>
        </w:rPr>
        <w:t>3-13</w:t>
      </w:r>
      <w:r w:rsidRPr="00BF42A8">
        <w:rPr>
          <w:rFonts w:ascii="Times New Roman" w:hAnsi="Times New Roman" w:cs="Times New Roman"/>
          <w:b/>
        </w:rPr>
        <w:t xml:space="preserve">: Monetized Accident Costs </w:t>
      </w:r>
      <w:r>
        <w:rPr>
          <w:rFonts w:ascii="Times New Roman" w:hAnsi="Times New Roman" w:cs="Times New Roman"/>
          <w:b/>
        </w:rPr>
        <w:t>including Average</w:t>
      </w:r>
      <w:r w:rsidRPr="00BF42A8">
        <w:rPr>
          <w:rFonts w:ascii="Times New Roman" w:hAnsi="Times New Roman" w:cs="Times New Roman"/>
          <w:b/>
        </w:rPr>
        <w:t xml:space="preserve"> per Year and</w:t>
      </w:r>
      <w:r>
        <w:rPr>
          <w:rFonts w:ascii="Times New Roman" w:hAnsi="Times New Roman" w:cs="Times New Roman"/>
          <w:b/>
        </w:rPr>
        <w:t xml:space="preserve"> </w:t>
      </w:r>
      <w:r w:rsidRPr="00BF42A8">
        <w:rPr>
          <w:rFonts w:ascii="Times New Roman" w:hAnsi="Times New Roman" w:cs="Times New Roman"/>
          <w:b/>
        </w:rPr>
        <w:t>per Accident</w:t>
      </w:r>
      <w:r w:rsidR="00EA4E87">
        <w:rPr>
          <w:rFonts w:ascii="Times New Roman" w:hAnsi="Times New Roman" w:cs="Times New Roman"/>
          <w:b/>
        </w:rPr>
        <w:t xml:space="preserve"> for</w:t>
      </w:r>
    </w:p>
    <w:p w:rsidR="00BE4E59" w:rsidP="00BE4E59" w:rsidRDefault="00BE4E59" w14:paraId="1EAFC20B" w14:textId="77777777">
      <w:pPr>
        <w:spacing w:after="0" w:line="240" w:lineRule="auto"/>
        <w:ind w:left="360" w:hanging="360"/>
        <w:jc w:val="center"/>
        <w:rPr>
          <w:rFonts w:ascii="Times New Roman" w:hAnsi="Times New Roman" w:cs="Times New Roman"/>
          <w:b/>
        </w:rPr>
      </w:pPr>
      <w:r w:rsidRPr="00BF42A8">
        <w:rPr>
          <w:rFonts w:ascii="Times New Roman" w:hAnsi="Times New Roman" w:cs="Times New Roman"/>
          <w:b/>
        </w:rPr>
        <w:t>2016-2020 (millions, 2020 dollars)</w:t>
      </w:r>
      <w:r>
        <w:rPr>
          <w:rFonts w:ascii="Times New Roman" w:hAnsi="Times New Roman" w:cs="Times New Roman"/>
          <w:b/>
        </w:rPr>
        <w:t>.</w:t>
      </w:r>
    </w:p>
    <w:p w:rsidRPr="00BF42A8" w:rsidR="00BE4E59" w:rsidP="00BE4E59" w:rsidRDefault="00BE4E59" w14:paraId="57B3DCC3" w14:textId="77777777">
      <w:pPr>
        <w:spacing w:after="0" w:line="240" w:lineRule="auto"/>
        <w:ind w:left="1791" w:right="1790"/>
        <w:jc w:val="center"/>
        <w:rPr>
          <w:rFonts w:ascii="Times New Roman" w:hAnsi="Times New Roman" w:cs="Times New Roman"/>
          <w:b/>
        </w:rPr>
      </w:pPr>
    </w:p>
    <w:tbl>
      <w:tblPr>
        <w:tblW w:w="9340" w:type="dxa"/>
        <w:jc w:val="center"/>
        <w:tblLook w:val="04A0" w:firstRow="1" w:lastRow="0" w:firstColumn="1" w:lastColumn="0" w:noHBand="0" w:noVBand="1"/>
      </w:tblPr>
      <w:tblGrid>
        <w:gridCol w:w="1777"/>
        <w:gridCol w:w="1256"/>
        <w:gridCol w:w="1237"/>
        <w:gridCol w:w="1649"/>
        <w:gridCol w:w="1738"/>
        <w:gridCol w:w="1683"/>
      </w:tblGrid>
      <w:tr w:rsidRPr="00BF42A8" w:rsidR="00BE4E59" w:rsidTr="00EA4E87" w14:paraId="030A9FCD" w14:textId="77777777">
        <w:trPr>
          <w:trHeight w:val="220"/>
          <w:tblHeader/>
          <w:jc w:val="center"/>
        </w:trPr>
        <w:tc>
          <w:tcPr>
            <w:tcW w:w="1777"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1C0658" w:rsidR="00BE4E59" w:rsidP="00A11949" w:rsidRDefault="00BE4E59" w14:paraId="2A290A98"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56"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03883653"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Unit Value</w:t>
            </w:r>
          </w:p>
        </w:tc>
        <w:tc>
          <w:tcPr>
            <w:tcW w:w="1237"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1B98BE1C"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5-Year Total</w:t>
            </w:r>
          </w:p>
        </w:tc>
        <w:tc>
          <w:tcPr>
            <w:tcW w:w="1649"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4DC1F53D"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Average/Year</w:t>
            </w:r>
          </w:p>
        </w:tc>
        <w:tc>
          <w:tcPr>
            <w:tcW w:w="1738"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BE4E59" w:rsidP="00A11949" w:rsidRDefault="00BE4E59" w14:paraId="24EA006D"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Average/Accident</w:t>
            </w:r>
          </w:p>
        </w:tc>
        <w:tc>
          <w:tcPr>
            <w:tcW w:w="1683" w:type="dxa"/>
            <w:tcBorders>
              <w:top w:val="single" w:color="000000" w:sz="8" w:space="0"/>
              <w:left w:val="nil"/>
              <w:bottom w:val="single" w:color="000000" w:sz="8" w:space="0"/>
              <w:right w:val="single" w:color="000000" w:sz="8" w:space="0"/>
            </w:tcBorders>
            <w:shd w:val="clear" w:color="000000" w:fill="D9D9D9"/>
            <w:vAlign w:val="center"/>
          </w:tcPr>
          <w:p w:rsidRPr="001C0658" w:rsidR="00BE4E59" w:rsidP="00A11949" w:rsidRDefault="00BE4E59" w14:paraId="401F1237" w14:textId="7777777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Median/Accident</w:t>
            </w:r>
          </w:p>
        </w:tc>
      </w:tr>
      <w:tr w:rsidRPr="00BF42A8" w:rsidR="00EA4E87" w:rsidTr="005F7939" w14:paraId="12D8163C" w14:textId="77777777">
        <w:trPr>
          <w:trHeight w:val="179"/>
          <w:jc w:val="center"/>
        </w:trPr>
        <w:tc>
          <w:tcPr>
            <w:tcW w:w="9340" w:type="dxa"/>
            <w:gridSpan w:val="6"/>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EA4E87" w:rsidP="00A11949" w:rsidRDefault="00EA4E87" w14:paraId="46E679B6" w14:textId="5EAB01C6">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Onsite</w:t>
            </w:r>
          </w:p>
        </w:tc>
      </w:tr>
      <w:tr w:rsidRPr="00BF42A8" w:rsidR="00BE4E59" w:rsidTr="00EA4E87" w14:paraId="47AEDC11" w14:textId="77777777">
        <w:trPr>
          <w:trHeight w:val="157"/>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06D9AA7B"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76DEA6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$9.3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EC55FD4"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$111.6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4FA4AF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$22.32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411BB93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$0.23 </w:t>
            </w:r>
          </w:p>
        </w:tc>
        <w:tc>
          <w:tcPr>
            <w:tcW w:w="1683" w:type="dxa"/>
            <w:tcBorders>
              <w:top w:val="nil"/>
              <w:left w:val="nil"/>
              <w:bottom w:val="single" w:color="000000" w:sz="8" w:space="0"/>
              <w:right w:val="single" w:color="000000" w:sz="8" w:space="0"/>
            </w:tcBorders>
          </w:tcPr>
          <w:p w:rsidRPr="001C0658" w:rsidR="00BE4E59" w:rsidP="00A11949" w:rsidRDefault="00BE4E59" w14:paraId="5F9DE6DF"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15E0D4D5" w14:textId="77777777">
        <w:trPr>
          <w:trHeight w:val="157"/>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1A3D56F6"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Injuries</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E3DEC9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$0.05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8AA32CC"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$27.50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46BA30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$5.50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05B665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$0.06 </w:t>
            </w:r>
          </w:p>
        </w:tc>
        <w:tc>
          <w:tcPr>
            <w:tcW w:w="1683" w:type="dxa"/>
            <w:tcBorders>
              <w:top w:val="nil"/>
              <w:left w:val="nil"/>
              <w:bottom w:val="single" w:color="000000" w:sz="8" w:space="0"/>
              <w:right w:val="single" w:color="000000" w:sz="8" w:space="0"/>
            </w:tcBorders>
          </w:tcPr>
          <w:p w:rsidRPr="001C0658" w:rsidR="00BE4E59" w:rsidP="00A11949" w:rsidRDefault="00BE4E59" w14:paraId="1D711289"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w:t>
            </w:r>
          </w:p>
        </w:tc>
      </w:tr>
      <w:tr w:rsidRPr="00BF42A8" w:rsidR="00BE4E59" w:rsidTr="00EA4E87" w14:paraId="3F687427" w14:textId="77777777">
        <w:trPr>
          <w:trHeight w:val="308"/>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6D51B8A8"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325F798"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2987816"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$2,031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E438CD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$406.20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07E7AA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$4.16 </w:t>
            </w:r>
          </w:p>
        </w:tc>
        <w:tc>
          <w:tcPr>
            <w:tcW w:w="1683" w:type="dxa"/>
            <w:tcBorders>
              <w:top w:val="nil"/>
              <w:left w:val="nil"/>
              <w:bottom w:val="single" w:color="000000" w:sz="8" w:space="0"/>
              <w:right w:val="single" w:color="000000" w:sz="8" w:space="0"/>
            </w:tcBorders>
          </w:tcPr>
          <w:p w:rsidRPr="001C0658" w:rsidR="00BE4E59" w:rsidP="00A11949" w:rsidRDefault="00BE4E59" w14:paraId="0F33559F"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390C4D59" w14:textId="77777777">
        <w:trPr>
          <w:trHeight w:val="424"/>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253CD4C6" w14:textId="77777777">
            <w:pPr>
              <w:spacing w:after="0" w:line="240" w:lineRule="auto"/>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Onsite Total</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9BB6E92"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68DAB3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$2,170.10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3ED033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$434.02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46A21AD8"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$4.45 </w:t>
            </w:r>
          </w:p>
        </w:tc>
        <w:tc>
          <w:tcPr>
            <w:tcW w:w="1683" w:type="dxa"/>
            <w:tcBorders>
              <w:top w:val="nil"/>
              <w:left w:val="nil"/>
              <w:bottom w:val="single" w:color="000000" w:sz="8" w:space="0"/>
              <w:right w:val="single" w:color="000000" w:sz="8" w:space="0"/>
            </w:tcBorders>
          </w:tcPr>
          <w:p w:rsidRPr="001C0658" w:rsidR="00BE4E59" w:rsidP="00A11949" w:rsidRDefault="00BE4E59" w14:paraId="53ECA895" w14:textId="7777777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$50,000</w:t>
            </w:r>
          </w:p>
        </w:tc>
      </w:tr>
      <w:tr w:rsidRPr="00BF42A8" w:rsidR="00EA4E87" w:rsidTr="00BB6A74" w14:paraId="1DFDC8B6" w14:textId="77777777">
        <w:trPr>
          <w:trHeight w:val="157"/>
          <w:jc w:val="center"/>
        </w:trPr>
        <w:tc>
          <w:tcPr>
            <w:tcW w:w="9340" w:type="dxa"/>
            <w:gridSpan w:val="6"/>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EA4E87" w:rsidP="00A11949" w:rsidRDefault="00EA4E87" w14:paraId="261C127B" w14:textId="2733B506">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Offsite</w:t>
            </w:r>
          </w:p>
        </w:tc>
      </w:tr>
      <w:tr w:rsidRPr="00BF42A8" w:rsidR="00BE4E59" w:rsidTr="00EA4E87" w14:paraId="73B72F57" w14:textId="77777777">
        <w:trPr>
          <w:trHeight w:val="204"/>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2C09A14B"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87D9669"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$9.30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4FFFDA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BB2E2C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8B2065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683" w:type="dxa"/>
            <w:tcBorders>
              <w:top w:val="nil"/>
              <w:left w:val="nil"/>
              <w:bottom w:val="single" w:color="000000" w:sz="8" w:space="0"/>
              <w:right w:val="single" w:color="000000" w:sz="8" w:space="0"/>
            </w:tcBorders>
          </w:tcPr>
          <w:p w:rsidRPr="001C0658" w:rsidR="00BE4E59" w:rsidP="00A11949" w:rsidRDefault="00BE4E59" w14:paraId="00A9232D"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70E68B00" w14:textId="77777777">
        <w:trPr>
          <w:trHeight w:val="236"/>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55A00D13"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Hospitalizations</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82269A4"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$0.045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B3BAD5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$1.40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B74D644"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$0.28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C4CC05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$0.003 </w:t>
            </w:r>
          </w:p>
        </w:tc>
        <w:tc>
          <w:tcPr>
            <w:tcW w:w="1683" w:type="dxa"/>
            <w:tcBorders>
              <w:top w:val="nil"/>
              <w:left w:val="nil"/>
              <w:bottom w:val="single" w:color="000000" w:sz="8" w:space="0"/>
              <w:right w:val="single" w:color="000000" w:sz="8" w:space="0"/>
            </w:tcBorders>
          </w:tcPr>
          <w:p w:rsidRPr="001C0658" w:rsidR="00BE4E59" w:rsidP="00A11949" w:rsidRDefault="00BE4E59" w14:paraId="577CFC43"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266165A7" w14:textId="77777777">
        <w:trPr>
          <w:trHeight w:val="308"/>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576F7815"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Medical Treatment</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A5EABD9"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$0.001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4CF3851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$0.13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545945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$0.03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49592819"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$0.0003 </w:t>
            </w:r>
          </w:p>
        </w:tc>
        <w:tc>
          <w:tcPr>
            <w:tcW w:w="1683" w:type="dxa"/>
            <w:tcBorders>
              <w:top w:val="nil"/>
              <w:left w:val="nil"/>
              <w:bottom w:val="single" w:color="000000" w:sz="8" w:space="0"/>
              <w:right w:val="single" w:color="000000" w:sz="8" w:space="0"/>
            </w:tcBorders>
          </w:tcPr>
          <w:p w:rsidRPr="001C0658" w:rsidR="00BE4E59" w:rsidP="00A11949" w:rsidRDefault="00BE4E59" w14:paraId="7C64140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41CA435C" w14:textId="77777777">
        <w:trPr>
          <w:trHeight w:val="157"/>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01857D21"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Evacuations*</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91E1D1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134E43B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$14.16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C87779A"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$2.83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4041F6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$0.029 </w:t>
            </w:r>
          </w:p>
        </w:tc>
        <w:tc>
          <w:tcPr>
            <w:tcW w:w="1683" w:type="dxa"/>
            <w:tcBorders>
              <w:top w:val="nil"/>
              <w:left w:val="nil"/>
              <w:bottom w:val="single" w:color="000000" w:sz="8" w:space="0"/>
              <w:right w:val="single" w:color="000000" w:sz="8" w:space="0"/>
            </w:tcBorders>
          </w:tcPr>
          <w:p w:rsidRPr="001C0658" w:rsidR="00BE4E59" w:rsidP="00A11949" w:rsidRDefault="00BE4E59" w14:paraId="1D3628D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226DBF65" w14:textId="77777777">
        <w:trPr>
          <w:trHeight w:val="308"/>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0786E62F"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Sheltering in Place*</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D3950A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AD8A7C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$9.39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4A9809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$1.88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5B61D8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$0.019 </w:t>
            </w:r>
          </w:p>
        </w:tc>
        <w:tc>
          <w:tcPr>
            <w:tcW w:w="1683" w:type="dxa"/>
            <w:tcBorders>
              <w:top w:val="nil"/>
              <w:left w:val="nil"/>
              <w:bottom w:val="single" w:color="000000" w:sz="8" w:space="0"/>
              <w:right w:val="single" w:color="000000" w:sz="8" w:space="0"/>
            </w:tcBorders>
          </w:tcPr>
          <w:p w:rsidRPr="001C0658" w:rsidR="00BE4E59" w:rsidP="00A11949" w:rsidRDefault="00BE4E59" w14:paraId="4696CE1B"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1BE8922E" w14:textId="77777777">
        <w:trPr>
          <w:trHeight w:val="308"/>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67545A82"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A211EBF"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53A53FF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$191.53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5945BA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$38.31**</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278DA70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$0.39 </w:t>
            </w:r>
          </w:p>
        </w:tc>
        <w:tc>
          <w:tcPr>
            <w:tcW w:w="1683" w:type="dxa"/>
            <w:tcBorders>
              <w:top w:val="nil"/>
              <w:left w:val="nil"/>
              <w:bottom w:val="single" w:color="000000" w:sz="8" w:space="0"/>
              <w:right w:val="single" w:color="000000" w:sz="8" w:space="0"/>
            </w:tcBorders>
          </w:tcPr>
          <w:p w:rsidRPr="001C0658" w:rsidR="00BE4E59" w:rsidP="00A11949" w:rsidRDefault="00BE4E59" w14:paraId="004CC32F"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609BBD78" w14:textId="77777777">
        <w:trPr>
          <w:trHeight w:val="465"/>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443CB9B7" w14:textId="77777777">
            <w:pPr>
              <w:spacing w:after="0" w:line="240" w:lineRule="auto"/>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Offsite Total</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8AD82E3"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3831D66"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$216.61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80BB13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$43.32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339A58AF"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$0.44 </w:t>
            </w:r>
          </w:p>
        </w:tc>
        <w:tc>
          <w:tcPr>
            <w:tcW w:w="1683" w:type="dxa"/>
            <w:tcBorders>
              <w:top w:val="nil"/>
              <w:left w:val="nil"/>
              <w:bottom w:val="single" w:color="000000" w:sz="8" w:space="0"/>
              <w:right w:val="single" w:color="000000" w:sz="8" w:space="0"/>
            </w:tcBorders>
          </w:tcPr>
          <w:p w:rsidRPr="001C0658" w:rsidR="00BE4E59" w:rsidP="00A11949" w:rsidRDefault="00BE4E59" w14:paraId="4348F2E9" w14:textId="77777777">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$0.00</w:t>
            </w:r>
          </w:p>
        </w:tc>
      </w:tr>
      <w:tr w:rsidRPr="00BF42A8" w:rsidR="00BE4E59" w:rsidTr="00EA4E87" w14:paraId="0FD299F1" w14:textId="77777777">
        <w:trPr>
          <w:trHeight w:val="157"/>
          <w:jc w:val="center"/>
        </w:trPr>
        <w:tc>
          <w:tcPr>
            <w:tcW w:w="1777" w:type="dxa"/>
            <w:tcBorders>
              <w:top w:val="nil"/>
              <w:left w:val="single" w:color="000000" w:sz="8" w:space="0"/>
              <w:bottom w:val="single" w:color="000000" w:sz="8" w:space="0"/>
              <w:right w:val="single" w:color="000000" w:sz="8" w:space="0"/>
            </w:tcBorders>
            <w:shd w:val="clear" w:color="auto" w:fill="auto"/>
            <w:vAlign w:val="center"/>
            <w:hideMark/>
          </w:tcPr>
          <w:p w:rsidRPr="001C0658" w:rsidR="00BE4E59" w:rsidP="00A11949" w:rsidRDefault="00BE4E59" w14:paraId="51C082DA" w14:textId="77777777">
            <w:pPr>
              <w:spacing w:after="0" w:line="240" w:lineRule="auto"/>
              <w:jc w:val="center"/>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Total</w:t>
            </w:r>
          </w:p>
        </w:tc>
        <w:tc>
          <w:tcPr>
            <w:tcW w:w="1256"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6168D25D"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237"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0D5B2C94"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$2,386.71 </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7DC9E7BA"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$477.34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BE4E59" w:rsidP="00A11949" w:rsidRDefault="00BE4E59" w14:paraId="45CBD317"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$4.89 </w:t>
            </w:r>
          </w:p>
        </w:tc>
        <w:tc>
          <w:tcPr>
            <w:tcW w:w="1683" w:type="dxa"/>
            <w:tcBorders>
              <w:top w:val="nil"/>
              <w:left w:val="nil"/>
              <w:bottom w:val="single" w:color="000000" w:sz="8" w:space="0"/>
              <w:right w:val="single" w:color="000000" w:sz="8" w:space="0"/>
            </w:tcBorders>
          </w:tcPr>
          <w:p w:rsidRPr="00BA4403" w:rsidR="00BE4E59" w:rsidP="00A11949" w:rsidRDefault="00BE4E59" w14:paraId="376DF166" w14:textId="77777777">
            <w:pPr>
              <w:spacing w:after="0" w:line="240" w:lineRule="auto"/>
              <w:jc w:val="center"/>
              <w:rPr>
                <w:rFonts w:ascii="Times New Roman" w:hAnsi="Times New Roman" w:eastAsia="Times New Roman" w:cs="Times New Roman"/>
                <w:b/>
                <w:color w:val="000000"/>
                <w:sz w:val="20"/>
                <w:szCs w:val="20"/>
              </w:rPr>
            </w:pPr>
            <w:r w:rsidRPr="00035E0B">
              <w:rPr>
                <w:rFonts w:ascii="Times New Roman" w:hAnsi="Times New Roman" w:eastAsia="Times New Roman" w:cs="Times New Roman"/>
                <w:b/>
                <w:bCs/>
                <w:color w:val="000000"/>
                <w:sz w:val="20"/>
                <w:szCs w:val="20"/>
              </w:rPr>
              <w:t>$0.05</w:t>
            </w:r>
          </w:p>
        </w:tc>
      </w:tr>
    </w:tbl>
    <w:p w:rsidRPr="009A22FE" w:rsidR="00BE4E59" w:rsidP="00BE4E59" w:rsidRDefault="00BE4E59" w14:paraId="1D687BC2" w14:textId="77777777">
      <w:pPr>
        <w:spacing w:after="0" w:line="240" w:lineRule="auto"/>
        <w:rPr>
          <w:rFonts w:ascii="Times New Roman" w:hAnsi="Times New Roman" w:cs="Times New Roman"/>
          <w:sz w:val="20"/>
          <w:szCs w:val="20"/>
        </w:rPr>
      </w:pPr>
      <w:r w:rsidRPr="009A22FE">
        <w:rPr>
          <w:rFonts w:ascii="Times New Roman" w:hAnsi="Times New Roman" w:cs="Times New Roman"/>
          <w:sz w:val="20"/>
          <w:szCs w:val="20"/>
        </w:rPr>
        <w:t xml:space="preserve">*The unit value for evacuations and sheltering in place are less than $300 so when presented in rounded $ millions, the value in the table is zero. </w:t>
      </w:r>
    </w:p>
    <w:p w:rsidRPr="009A22FE" w:rsidR="00BE4E59" w:rsidP="00BE4E59" w:rsidRDefault="00BE4E59" w14:paraId="4C6086B6" w14:textId="77777777">
      <w:pPr>
        <w:spacing w:after="0" w:line="240" w:lineRule="auto"/>
        <w:rPr>
          <w:rFonts w:ascii="Times New Roman" w:hAnsi="Times New Roman" w:cs="Times New Roman"/>
          <w:sz w:val="20"/>
          <w:szCs w:val="20"/>
        </w:rPr>
      </w:pPr>
      <w:r w:rsidRPr="009A22FE">
        <w:rPr>
          <w:rFonts w:ascii="Times New Roman" w:hAnsi="Times New Roman" w:cs="Times New Roman"/>
          <w:sz w:val="20"/>
          <w:szCs w:val="20"/>
        </w:rPr>
        <w:t xml:space="preserve">** Large offsite property damage is influenced by high offsite consequences reported from the 2019 TPC Group Explosion and Fire </w:t>
      </w:r>
      <w:r>
        <w:rPr>
          <w:rFonts w:ascii="Times New Roman" w:hAnsi="Times New Roman" w:cs="Times New Roman"/>
          <w:sz w:val="18"/>
          <w:szCs w:val="18"/>
        </w:rPr>
        <w:t xml:space="preserve">in Port Neches, TX </w:t>
      </w:r>
      <w:r w:rsidRPr="009A22FE">
        <w:rPr>
          <w:rFonts w:ascii="Times New Roman" w:hAnsi="Times New Roman" w:cs="Times New Roman"/>
          <w:sz w:val="20"/>
          <w:szCs w:val="20"/>
        </w:rPr>
        <w:t xml:space="preserve">(see: </w:t>
      </w:r>
      <w:hyperlink w:history="1" r:id="rId22">
        <w:r w:rsidRPr="009A22FE">
          <w:rPr>
            <w:rStyle w:val="Hyperlink"/>
            <w:rFonts w:ascii="Times New Roman" w:hAnsi="Times New Roman" w:cs="Times New Roman"/>
            <w:sz w:val="20"/>
            <w:szCs w:val="20"/>
          </w:rPr>
          <w:t>https://www.csb.gov/tpc-group-explosion-and-fire/</w:t>
        </w:r>
      </w:hyperlink>
      <w:r w:rsidRPr="009A22FE">
        <w:rPr>
          <w:rFonts w:ascii="Times New Roman" w:hAnsi="Times New Roman" w:cs="Times New Roman"/>
          <w:sz w:val="20"/>
          <w:szCs w:val="20"/>
        </w:rPr>
        <w:t xml:space="preserve"> </w:t>
      </w:r>
      <w:r>
        <w:rPr>
          <w:rFonts w:ascii="Times New Roman" w:hAnsi="Times New Roman" w:cs="Times New Roman"/>
          <w:sz w:val="20"/>
          <w:szCs w:val="20"/>
        </w:rPr>
        <w:t>.</w:t>
      </w:r>
    </w:p>
    <w:p w:rsidR="00BE4E59" w:rsidP="00BE4E59" w:rsidRDefault="00BE4E59" w14:paraId="2E1CC7AA" w14:textId="5B417A9A">
      <w:pPr>
        <w:spacing w:after="0" w:line="240" w:lineRule="auto"/>
        <w:rPr>
          <w:rFonts w:ascii="Times New Roman" w:hAnsi="Times New Roman" w:cs="Times New Roman"/>
        </w:rPr>
      </w:pPr>
    </w:p>
    <w:p w:rsidRPr="00BF42A8" w:rsidR="00BE4E59" w:rsidP="00BE4E59" w:rsidRDefault="00BE4E59" w14:paraId="7A09410E" w14:textId="77777777">
      <w:pPr>
        <w:spacing w:after="0" w:line="240" w:lineRule="auto"/>
        <w:rPr>
          <w:rFonts w:ascii="Times New Roman" w:hAnsi="Times New Roman" w:cs="Times New Roman"/>
        </w:rPr>
      </w:pPr>
    </w:p>
    <w:p w:rsidR="00BE4E59" w:rsidP="00BE4E59" w:rsidRDefault="00BE4E59" w14:paraId="2D921ED0" w14:textId="2A48227E">
      <w:pPr>
        <w:spacing w:after="0" w:line="240" w:lineRule="auto"/>
        <w:jc w:val="center"/>
        <w:rPr>
          <w:rFonts w:ascii="Times New Roman" w:hAnsi="Times New Roman" w:cs="Times New Roman"/>
          <w:b/>
        </w:rPr>
      </w:pPr>
      <w:r w:rsidRPr="001C0658">
        <w:rPr>
          <w:rFonts w:ascii="Times New Roman" w:hAnsi="Times New Roman" w:cs="Times New Roman"/>
          <w:b/>
        </w:rPr>
        <w:t>Exhibit</w:t>
      </w:r>
      <w:r>
        <w:t xml:space="preserve"> </w:t>
      </w:r>
      <w:r>
        <w:rPr>
          <w:rFonts w:ascii="Times New Roman" w:hAnsi="Times New Roman" w:cs="Times New Roman"/>
          <w:b/>
        </w:rPr>
        <w:t>3-14</w:t>
      </w:r>
      <w:r w:rsidRPr="00BF42A8">
        <w:rPr>
          <w:rFonts w:ascii="Times New Roman" w:hAnsi="Times New Roman" w:cs="Times New Roman"/>
          <w:b/>
        </w:rPr>
        <w:t xml:space="preserve">: Monetized Accident Costs </w:t>
      </w:r>
      <w:r>
        <w:rPr>
          <w:rFonts w:ascii="Times New Roman" w:hAnsi="Times New Roman" w:cs="Times New Roman"/>
          <w:b/>
        </w:rPr>
        <w:t xml:space="preserve">including Average </w:t>
      </w:r>
      <w:r w:rsidRPr="00BF42A8">
        <w:rPr>
          <w:rFonts w:ascii="Times New Roman" w:hAnsi="Times New Roman" w:cs="Times New Roman"/>
          <w:b/>
        </w:rPr>
        <w:t>per Year and</w:t>
      </w:r>
      <w:r>
        <w:rPr>
          <w:rFonts w:ascii="Times New Roman" w:hAnsi="Times New Roman" w:cs="Times New Roman"/>
          <w:b/>
        </w:rPr>
        <w:t xml:space="preserve"> </w:t>
      </w:r>
      <w:r w:rsidRPr="00BF42A8">
        <w:rPr>
          <w:rFonts w:ascii="Times New Roman" w:hAnsi="Times New Roman" w:cs="Times New Roman"/>
          <w:b/>
        </w:rPr>
        <w:t xml:space="preserve">per Accident </w:t>
      </w:r>
    </w:p>
    <w:p w:rsidRPr="0066111E" w:rsidR="00BE4E59" w:rsidP="00BE4E59" w:rsidRDefault="00BE4E59" w14:paraId="59B4DF1D" w14:textId="77777777">
      <w:pPr>
        <w:spacing w:after="0" w:line="240" w:lineRule="auto"/>
        <w:jc w:val="center"/>
        <w:rPr>
          <w:b/>
        </w:rPr>
      </w:pPr>
      <w:r>
        <w:rPr>
          <w:rFonts w:ascii="Times New Roman" w:hAnsi="Times New Roman" w:cs="Times New Roman"/>
          <w:b/>
        </w:rPr>
        <w:t xml:space="preserve">for </w:t>
      </w:r>
      <w:r w:rsidRPr="00BF42A8">
        <w:rPr>
          <w:rFonts w:ascii="Times New Roman" w:hAnsi="Times New Roman" w:cs="Times New Roman"/>
          <w:b/>
        </w:rPr>
        <w:t>2</w:t>
      </w:r>
      <w:r>
        <w:rPr>
          <w:rFonts w:ascii="Times New Roman" w:hAnsi="Times New Roman" w:cs="Times New Roman"/>
          <w:b/>
        </w:rPr>
        <w:t>004-2013 and 2014-2016 (millions, 2015 dollars)</w:t>
      </w:r>
    </w:p>
    <w:p w:rsidR="00BE4E59" w:rsidP="00BE4E59" w:rsidRDefault="00BE4E59" w14:paraId="0AE0354E" w14:textId="77777777">
      <w:pPr>
        <w:spacing w:after="0" w:line="240" w:lineRule="auto"/>
        <w:rPr>
          <w:rFonts w:ascii="Times New Roman" w:hAnsi="Times New Roman" w:cs="Times New Roman"/>
        </w:rPr>
      </w:pPr>
    </w:p>
    <w:tbl>
      <w:tblPr>
        <w:tblStyle w:val="TableGridLight"/>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6"/>
        <w:gridCol w:w="821"/>
        <w:gridCol w:w="1170"/>
        <w:gridCol w:w="998"/>
        <w:gridCol w:w="1350"/>
        <w:gridCol w:w="1080"/>
        <w:gridCol w:w="998"/>
        <w:gridCol w:w="1287"/>
      </w:tblGrid>
      <w:tr w:rsidRPr="003E6BC0" w:rsidR="00BE4E59" w:rsidTr="00A11949" w14:paraId="0C38AAB5" w14:textId="77777777">
        <w:trPr>
          <w:trHeight w:val="300"/>
        </w:trPr>
        <w:tc>
          <w:tcPr>
            <w:tcW w:w="2425" w:type="dxa"/>
            <w:gridSpan w:val="2"/>
            <w:shd w:val="clear" w:color="auto" w:fill="D9D9D9" w:themeFill="background1" w:themeFillShade="D9"/>
            <w:noWrap/>
          </w:tcPr>
          <w:p w:rsidRPr="0053176C" w:rsidR="00BE4E59" w:rsidP="00A11949" w:rsidRDefault="00BE4E59" w14:paraId="566995AD" w14:textId="77777777">
            <w:pPr>
              <w:jc w:val="center"/>
              <w:rPr>
                <w:rFonts w:ascii="Times New Roman" w:hAnsi="Times New Roman" w:eastAsia="Times New Roman" w:cs="Times New Roman"/>
                <w:b/>
                <w:bCs/>
                <w:color w:val="000000"/>
                <w:sz w:val="22"/>
                <w:szCs w:val="22"/>
              </w:rPr>
            </w:pPr>
          </w:p>
        </w:tc>
        <w:tc>
          <w:tcPr>
            <w:tcW w:w="3510" w:type="dxa"/>
            <w:gridSpan w:val="3"/>
            <w:shd w:val="clear" w:color="auto" w:fill="D9D9D9" w:themeFill="background1" w:themeFillShade="D9"/>
            <w:noWrap/>
          </w:tcPr>
          <w:p w:rsidRPr="0053176C" w:rsidR="00BE4E59" w:rsidP="00A11949" w:rsidRDefault="00BE4E59" w14:paraId="2B9FEB5C"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2004</w:t>
            </w:r>
            <w:r>
              <w:rPr>
                <w:rFonts w:ascii="Times New Roman" w:hAnsi="Times New Roman" w:eastAsia="Times New Roman" w:cs="Times New Roman"/>
                <w:b/>
                <w:bCs/>
                <w:color w:val="000000"/>
                <w:sz w:val="22"/>
                <w:szCs w:val="22"/>
              </w:rPr>
              <w:t>-</w:t>
            </w:r>
            <w:r w:rsidRPr="0053176C">
              <w:rPr>
                <w:rFonts w:ascii="Times New Roman" w:hAnsi="Times New Roman" w:eastAsia="Times New Roman" w:cs="Times New Roman"/>
                <w:b/>
                <w:bCs/>
                <w:color w:val="000000"/>
                <w:sz w:val="22"/>
                <w:szCs w:val="22"/>
              </w:rPr>
              <w:t>2013</w:t>
            </w:r>
          </w:p>
        </w:tc>
        <w:tc>
          <w:tcPr>
            <w:tcW w:w="3415" w:type="dxa"/>
            <w:gridSpan w:val="3"/>
            <w:shd w:val="clear" w:color="auto" w:fill="D9D9D9" w:themeFill="background1" w:themeFillShade="D9"/>
          </w:tcPr>
          <w:p w:rsidRPr="0053176C" w:rsidR="00BE4E59" w:rsidP="00A11949" w:rsidRDefault="00BE4E59" w14:paraId="3114F646"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2014</w:t>
            </w:r>
            <w:r>
              <w:rPr>
                <w:rFonts w:ascii="Times New Roman" w:hAnsi="Times New Roman" w:eastAsia="Times New Roman" w:cs="Times New Roman"/>
                <w:b/>
                <w:bCs/>
                <w:color w:val="000000"/>
                <w:sz w:val="22"/>
                <w:szCs w:val="22"/>
              </w:rPr>
              <w:t>-</w:t>
            </w:r>
            <w:r w:rsidRPr="0053176C">
              <w:rPr>
                <w:rFonts w:ascii="Times New Roman" w:hAnsi="Times New Roman" w:eastAsia="Times New Roman" w:cs="Times New Roman"/>
                <w:b/>
                <w:bCs/>
                <w:color w:val="000000"/>
                <w:sz w:val="22"/>
                <w:szCs w:val="22"/>
              </w:rPr>
              <w:t>2016</w:t>
            </w:r>
          </w:p>
        </w:tc>
      </w:tr>
      <w:tr w:rsidRPr="003E6BC0" w:rsidR="00BE4E59" w:rsidTr="00A11949" w14:paraId="2C173056" w14:textId="77777777">
        <w:trPr>
          <w:trHeight w:val="300"/>
        </w:trPr>
        <w:tc>
          <w:tcPr>
            <w:tcW w:w="1615" w:type="dxa"/>
            <w:shd w:val="clear" w:color="auto" w:fill="D9D9D9" w:themeFill="background1" w:themeFillShade="D9"/>
            <w:noWrap/>
            <w:hideMark/>
          </w:tcPr>
          <w:p w:rsidRPr="0053176C" w:rsidR="00BE4E59" w:rsidP="00A11949" w:rsidRDefault="00BE4E59" w14:paraId="74F99BF8" w14:textId="77777777">
            <w:pPr>
              <w:jc w:val="center"/>
              <w:rPr>
                <w:rFonts w:ascii="Times New Roman" w:hAnsi="Times New Roman" w:eastAsia="Times New Roman" w:cs="Times New Roman"/>
                <w:sz w:val="22"/>
                <w:szCs w:val="22"/>
              </w:rPr>
            </w:pPr>
          </w:p>
        </w:tc>
        <w:tc>
          <w:tcPr>
            <w:tcW w:w="810" w:type="dxa"/>
            <w:shd w:val="clear" w:color="auto" w:fill="D9D9D9" w:themeFill="background1" w:themeFillShade="D9"/>
            <w:noWrap/>
            <w:hideMark/>
          </w:tcPr>
          <w:p w:rsidRPr="0053176C" w:rsidR="00BE4E59" w:rsidP="00A11949" w:rsidRDefault="00BE4E59" w14:paraId="26E17E78"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Unit Value</w:t>
            </w:r>
          </w:p>
        </w:tc>
        <w:tc>
          <w:tcPr>
            <w:tcW w:w="1170" w:type="dxa"/>
            <w:shd w:val="clear" w:color="auto" w:fill="D9D9D9" w:themeFill="background1" w:themeFillShade="D9"/>
            <w:noWrap/>
            <w:hideMark/>
          </w:tcPr>
          <w:p w:rsidRPr="0053176C" w:rsidR="00BE4E59" w:rsidP="00A11949" w:rsidRDefault="00BE4E59" w14:paraId="33BD815C"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10-Year Total</w:t>
            </w:r>
          </w:p>
        </w:tc>
        <w:tc>
          <w:tcPr>
            <w:tcW w:w="990" w:type="dxa"/>
            <w:shd w:val="clear" w:color="auto" w:fill="D9D9D9" w:themeFill="background1" w:themeFillShade="D9"/>
            <w:noWrap/>
            <w:hideMark/>
          </w:tcPr>
          <w:p w:rsidRPr="0053176C" w:rsidR="00BE4E59" w:rsidP="00A11949" w:rsidRDefault="00BE4E59" w14:paraId="08187001"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Average per Year</w:t>
            </w:r>
          </w:p>
        </w:tc>
        <w:tc>
          <w:tcPr>
            <w:tcW w:w="1350" w:type="dxa"/>
            <w:shd w:val="clear" w:color="auto" w:fill="D9D9D9" w:themeFill="background1" w:themeFillShade="D9"/>
            <w:noWrap/>
            <w:hideMark/>
          </w:tcPr>
          <w:p w:rsidRPr="0053176C" w:rsidR="00BE4E59" w:rsidP="00A11949" w:rsidRDefault="00BE4E59" w14:paraId="2C8D9814"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Average per Accident</w:t>
            </w:r>
          </w:p>
        </w:tc>
        <w:tc>
          <w:tcPr>
            <w:tcW w:w="1080" w:type="dxa"/>
            <w:shd w:val="clear" w:color="auto" w:fill="D9D9D9" w:themeFill="background1" w:themeFillShade="D9"/>
          </w:tcPr>
          <w:p w:rsidRPr="0053176C" w:rsidR="00BE4E59" w:rsidP="00A11949" w:rsidRDefault="00BE4E59" w14:paraId="4F0FF634"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3-Year Total</w:t>
            </w:r>
          </w:p>
        </w:tc>
        <w:tc>
          <w:tcPr>
            <w:tcW w:w="990" w:type="dxa"/>
            <w:shd w:val="clear" w:color="auto" w:fill="D9D9D9" w:themeFill="background1" w:themeFillShade="D9"/>
          </w:tcPr>
          <w:p w:rsidRPr="0053176C" w:rsidR="00BE4E59" w:rsidP="00A11949" w:rsidRDefault="00BE4E59" w14:paraId="326518E9"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Average per Year</w:t>
            </w:r>
          </w:p>
        </w:tc>
        <w:tc>
          <w:tcPr>
            <w:tcW w:w="1345" w:type="dxa"/>
            <w:shd w:val="clear" w:color="auto" w:fill="D9D9D9" w:themeFill="background1" w:themeFillShade="D9"/>
          </w:tcPr>
          <w:p w:rsidRPr="0053176C" w:rsidR="00BE4E59" w:rsidP="00A11949" w:rsidRDefault="00BE4E59" w14:paraId="6B796B53"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Average per Accident</w:t>
            </w:r>
          </w:p>
        </w:tc>
      </w:tr>
      <w:tr w:rsidRPr="003E6BC0" w:rsidR="00BE4E59" w:rsidTr="00A11949" w14:paraId="4FC0AB75" w14:textId="77777777">
        <w:trPr>
          <w:trHeight w:val="300"/>
        </w:trPr>
        <w:tc>
          <w:tcPr>
            <w:tcW w:w="9350" w:type="dxa"/>
            <w:gridSpan w:val="8"/>
            <w:shd w:val="clear" w:color="auto" w:fill="F2F2F2" w:themeFill="background1" w:themeFillShade="F2"/>
            <w:noWrap/>
            <w:vAlign w:val="center"/>
            <w:hideMark/>
          </w:tcPr>
          <w:p w:rsidRPr="0053176C" w:rsidR="00BE4E59" w:rsidP="00A11949" w:rsidRDefault="00BE4E59" w14:paraId="10A61D59" w14:textId="77777777">
            <w:pP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On</w:t>
            </w:r>
            <w:r>
              <w:rPr>
                <w:rFonts w:ascii="Times New Roman" w:hAnsi="Times New Roman" w:eastAsia="Times New Roman" w:cs="Times New Roman"/>
                <w:b/>
                <w:bCs/>
                <w:color w:val="000000"/>
                <w:sz w:val="22"/>
                <w:szCs w:val="22"/>
              </w:rPr>
              <w:t>s</w:t>
            </w:r>
            <w:r w:rsidRPr="0053176C">
              <w:rPr>
                <w:rFonts w:ascii="Times New Roman" w:hAnsi="Times New Roman" w:eastAsia="Times New Roman" w:cs="Times New Roman"/>
                <w:b/>
                <w:bCs/>
                <w:color w:val="000000"/>
                <w:sz w:val="22"/>
                <w:szCs w:val="22"/>
              </w:rPr>
              <w:t>ite</w:t>
            </w:r>
          </w:p>
        </w:tc>
      </w:tr>
      <w:tr w:rsidRPr="003E6BC0" w:rsidR="00BE4E59" w:rsidTr="00A11949" w14:paraId="570DC347" w14:textId="77777777">
        <w:trPr>
          <w:trHeight w:val="300"/>
        </w:trPr>
        <w:tc>
          <w:tcPr>
            <w:tcW w:w="1615" w:type="dxa"/>
            <w:noWrap/>
            <w:hideMark/>
          </w:tcPr>
          <w:p w:rsidRPr="0053176C" w:rsidR="00BE4E59" w:rsidP="00A11949" w:rsidRDefault="00BE4E59" w14:paraId="2D7E9653"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Fatalities</w:t>
            </w:r>
          </w:p>
        </w:tc>
        <w:tc>
          <w:tcPr>
            <w:tcW w:w="810" w:type="dxa"/>
            <w:noWrap/>
            <w:hideMark/>
          </w:tcPr>
          <w:p w:rsidRPr="0053176C" w:rsidR="00BE4E59" w:rsidP="00A11949" w:rsidRDefault="00BE4E59" w14:paraId="6C59BA6D"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$8.6</w:t>
            </w:r>
          </w:p>
        </w:tc>
        <w:tc>
          <w:tcPr>
            <w:tcW w:w="1170" w:type="dxa"/>
            <w:noWrap/>
            <w:hideMark/>
          </w:tcPr>
          <w:p w:rsidRPr="0053176C" w:rsidR="00BE4E59" w:rsidP="00A11949" w:rsidRDefault="00BE4E59" w14:paraId="4951E45A"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$497.8</w:t>
            </w:r>
          </w:p>
        </w:tc>
        <w:tc>
          <w:tcPr>
            <w:tcW w:w="990" w:type="dxa"/>
            <w:noWrap/>
            <w:hideMark/>
          </w:tcPr>
          <w:p w:rsidRPr="0053176C" w:rsidR="00BE4E59" w:rsidP="00A11949" w:rsidRDefault="00BE4E59" w14:paraId="65B23B2B"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$49.8</w:t>
            </w:r>
          </w:p>
        </w:tc>
        <w:tc>
          <w:tcPr>
            <w:tcW w:w="1350" w:type="dxa"/>
            <w:noWrap/>
            <w:hideMark/>
          </w:tcPr>
          <w:p w:rsidRPr="0053176C" w:rsidR="00BE4E59" w:rsidP="00A11949" w:rsidRDefault="00BE4E59" w14:paraId="0194BEBC"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$0.33</w:t>
            </w:r>
          </w:p>
        </w:tc>
        <w:tc>
          <w:tcPr>
            <w:tcW w:w="1080" w:type="dxa"/>
          </w:tcPr>
          <w:p w:rsidRPr="0053176C" w:rsidR="00BE4E59" w:rsidP="00A11949" w:rsidRDefault="00BE4E59" w14:paraId="4265EB2B" w14:textId="77777777">
            <w:pPr>
              <w:jc w:val="center"/>
              <w:rPr>
                <w:rFonts w:ascii="Times New Roman" w:hAnsi="Times New Roman" w:cs="Times New Roman"/>
                <w:sz w:val="22"/>
                <w:szCs w:val="22"/>
              </w:rPr>
            </w:pPr>
            <w:r w:rsidRPr="0053176C">
              <w:rPr>
                <w:rFonts w:ascii="Times New Roman" w:hAnsi="Times New Roman" w:cs="Times New Roman"/>
                <w:sz w:val="22"/>
                <w:szCs w:val="22"/>
              </w:rPr>
              <w:t>$103.0</w:t>
            </w:r>
          </w:p>
        </w:tc>
        <w:tc>
          <w:tcPr>
            <w:tcW w:w="990" w:type="dxa"/>
          </w:tcPr>
          <w:p w:rsidRPr="0053176C" w:rsidR="00BE4E59" w:rsidP="00A11949" w:rsidRDefault="00BE4E59" w14:paraId="5AFBA54A" w14:textId="77777777">
            <w:pPr>
              <w:jc w:val="center"/>
              <w:rPr>
                <w:rFonts w:ascii="Times New Roman" w:hAnsi="Times New Roman" w:cs="Times New Roman"/>
                <w:sz w:val="22"/>
                <w:szCs w:val="22"/>
              </w:rPr>
            </w:pPr>
            <w:r w:rsidRPr="0053176C">
              <w:rPr>
                <w:rFonts w:ascii="Times New Roman" w:hAnsi="Times New Roman" w:cs="Times New Roman"/>
                <w:sz w:val="22"/>
                <w:szCs w:val="22"/>
              </w:rPr>
              <w:t>$34.3</w:t>
            </w:r>
          </w:p>
        </w:tc>
        <w:tc>
          <w:tcPr>
            <w:tcW w:w="1345" w:type="dxa"/>
          </w:tcPr>
          <w:p w:rsidRPr="0053176C" w:rsidR="00BE4E59" w:rsidP="00A11949" w:rsidRDefault="00BE4E59" w14:paraId="0300F6EE" w14:textId="77777777">
            <w:pPr>
              <w:jc w:val="center"/>
              <w:rPr>
                <w:rFonts w:ascii="Times New Roman" w:hAnsi="Times New Roman" w:cs="Times New Roman"/>
                <w:sz w:val="22"/>
                <w:szCs w:val="22"/>
              </w:rPr>
            </w:pPr>
            <w:r w:rsidRPr="0053176C">
              <w:rPr>
                <w:rFonts w:ascii="Times New Roman" w:hAnsi="Times New Roman" w:cs="Times New Roman"/>
                <w:sz w:val="22"/>
                <w:szCs w:val="22"/>
              </w:rPr>
              <w:t>$0.3</w:t>
            </w:r>
          </w:p>
        </w:tc>
      </w:tr>
      <w:tr w:rsidRPr="003E6BC0" w:rsidR="00BE4E59" w:rsidTr="00A11949" w14:paraId="551081C0" w14:textId="77777777">
        <w:trPr>
          <w:trHeight w:val="300"/>
        </w:trPr>
        <w:tc>
          <w:tcPr>
            <w:tcW w:w="1615" w:type="dxa"/>
            <w:noWrap/>
            <w:hideMark/>
          </w:tcPr>
          <w:p w:rsidRPr="0053176C" w:rsidR="00BE4E59" w:rsidP="00A11949" w:rsidRDefault="00BE4E59" w14:paraId="46096B30"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Injuries</w:t>
            </w:r>
          </w:p>
        </w:tc>
        <w:tc>
          <w:tcPr>
            <w:tcW w:w="810" w:type="dxa"/>
            <w:noWrap/>
            <w:hideMark/>
          </w:tcPr>
          <w:p w:rsidRPr="0053176C" w:rsidR="00BE4E59" w:rsidP="00A11949" w:rsidRDefault="00BE4E59" w14:paraId="7261EC99"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$0.05</w:t>
            </w:r>
          </w:p>
        </w:tc>
        <w:tc>
          <w:tcPr>
            <w:tcW w:w="1170" w:type="dxa"/>
            <w:noWrap/>
            <w:hideMark/>
          </w:tcPr>
          <w:p w:rsidRPr="0053176C" w:rsidR="00BE4E59" w:rsidP="00A11949" w:rsidRDefault="00BE4E59" w14:paraId="31BE9375"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$105.2</w:t>
            </w:r>
          </w:p>
        </w:tc>
        <w:tc>
          <w:tcPr>
            <w:tcW w:w="990" w:type="dxa"/>
            <w:noWrap/>
            <w:hideMark/>
          </w:tcPr>
          <w:p w:rsidRPr="0053176C" w:rsidR="00BE4E59" w:rsidP="00A11949" w:rsidRDefault="00BE4E59" w14:paraId="772BBC4D"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$10.5</w:t>
            </w:r>
          </w:p>
        </w:tc>
        <w:tc>
          <w:tcPr>
            <w:tcW w:w="1350" w:type="dxa"/>
            <w:noWrap/>
            <w:hideMark/>
          </w:tcPr>
          <w:p w:rsidRPr="0053176C" w:rsidR="00BE4E59" w:rsidP="00A11949" w:rsidRDefault="00BE4E59" w14:paraId="63E3DD24"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$0.07</w:t>
            </w:r>
          </w:p>
        </w:tc>
        <w:tc>
          <w:tcPr>
            <w:tcW w:w="1080" w:type="dxa"/>
          </w:tcPr>
          <w:p w:rsidRPr="0053176C" w:rsidR="00BE4E59" w:rsidP="00A11949" w:rsidRDefault="00BE4E59" w14:paraId="37A7A1FE" w14:textId="77777777">
            <w:pPr>
              <w:jc w:val="center"/>
              <w:rPr>
                <w:rFonts w:ascii="Times New Roman" w:hAnsi="Times New Roman" w:cs="Times New Roman"/>
                <w:sz w:val="22"/>
                <w:szCs w:val="22"/>
              </w:rPr>
            </w:pPr>
            <w:r w:rsidRPr="0053176C">
              <w:rPr>
                <w:rFonts w:ascii="Times New Roman" w:hAnsi="Times New Roman" w:cs="Times New Roman"/>
                <w:sz w:val="22"/>
                <w:szCs w:val="22"/>
              </w:rPr>
              <w:t>$19.7</w:t>
            </w:r>
          </w:p>
        </w:tc>
        <w:tc>
          <w:tcPr>
            <w:tcW w:w="990" w:type="dxa"/>
          </w:tcPr>
          <w:p w:rsidRPr="0053176C" w:rsidR="00BE4E59" w:rsidP="00A11949" w:rsidRDefault="00BE4E59" w14:paraId="34FE670A" w14:textId="77777777">
            <w:pPr>
              <w:jc w:val="center"/>
              <w:rPr>
                <w:rFonts w:ascii="Times New Roman" w:hAnsi="Times New Roman" w:cs="Times New Roman"/>
                <w:sz w:val="22"/>
                <w:szCs w:val="22"/>
              </w:rPr>
            </w:pPr>
            <w:r w:rsidRPr="0053176C">
              <w:rPr>
                <w:rFonts w:ascii="Times New Roman" w:hAnsi="Times New Roman" w:cs="Times New Roman"/>
                <w:sz w:val="22"/>
                <w:szCs w:val="22"/>
              </w:rPr>
              <w:t>$6.6</w:t>
            </w:r>
          </w:p>
        </w:tc>
        <w:tc>
          <w:tcPr>
            <w:tcW w:w="1345" w:type="dxa"/>
          </w:tcPr>
          <w:p w:rsidRPr="0053176C" w:rsidR="00BE4E59" w:rsidP="00A11949" w:rsidRDefault="00BE4E59" w14:paraId="1EC3B557" w14:textId="77777777">
            <w:pPr>
              <w:jc w:val="center"/>
              <w:rPr>
                <w:rFonts w:ascii="Times New Roman" w:hAnsi="Times New Roman" w:cs="Times New Roman"/>
                <w:sz w:val="22"/>
                <w:szCs w:val="22"/>
              </w:rPr>
            </w:pPr>
            <w:r w:rsidRPr="0053176C">
              <w:rPr>
                <w:rFonts w:ascii="Times New Roman" w:hAnsi="Times New Roman" w:cs="Times New Roman"/>
                <w:sz w:val="22"/>
                <w:szCs w:val="22"/>
              </w:rPr>
              <w:t>$0.06</w:t>
            </w:r>
          </w:p>
        </w:tc>
      </w:tr>
      <w:tr w:rsidRPr="003E6BC0" w:rsidR="00BE4E59" w:rsidTr="00A11949" w14:paraId="66B9830D" w14:textId="77777777">
        <w:trPr>
          <w:trHeight w:val="300"/>
        </w:trPr>
        <w:tc>
          <w:tcPr>
            <w:tcW w:w="1615" w:type="dxa"/>
            <w:noWrap/>
            <w:hideMark/>
          </w:tcPr>
          <w:p w:rsidRPr="0053176C" w:rsidR="00BE4E59" w:rsidP="00A11949" w:rsidRDefault="00BE4E59" w14:paraId="754E96F6"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Property Damage</w:t>
            </w:r>
          </w:p>
        </w:tc>
        <w:tc>
          <w:tcPr>
            <w:tcW w:w="810" w:type="dxa"/>
            <w:noWrap/>
            <w:hideMark/>
          </w:tcPr>
          <w:p w:rsidRPr="0053176C" w:rsidR="00BE4E59" w:rsidP="00A11949" w:rsidRDefault="00BE4E59" w14:paraId="63025101" w14:textId="77777777">
            <w:pPr>
              <w:jc w:val="center"/>
              <w:rPr>
                <w:rFonts w:ascii="Times New Roman" w:hAnsi="Times New Roman" w:eastAsia="Times New Roman" w:cs="Times New Roman"/>
                <w:sz w:val="22"/>
                <w:szCs w:val="22"/>
              </w:rPr>
            </w:pPr>
          </w:p>
        </w:tc>
        <w:tc>
          <w:tcPr>
            <w:tcW w:w="1170" w:type="dxa"/>
            <w:noWrap/>
            <w:hideMark/>
          </w:tcPr>
          <w:p w:rsidRPr="0053176C" w:rsidR="00BE4E59" w:rsidP="00A11949" w:rsidRDefault="00BE4E59" w14:paraId="6AEA7418" w14:textId="77777777">
            <w:pPr>
              <w:jc w:val="center"/>
              <w:rPr>
                <w:rFonts w:ascii="Times New Roman" w:hAnsi="Times New Roman" w:cs="Times New Roman"/>
                <w:sz w:val="22"/>
                <w:szCs w:val="22"/>
              </w:rPr>
            </w:pPr>
            <w:r w:rsidRPr="0053176C">
              <w:rPr>
                <w:rFonts w:ascii="Times New Roman" w:hAnsi="Times New Roman" w:cs="Times New Roman"/>
                <w:sz w:val="22"/>
                <w:szCs w:val="22"/>
              </w:rPr>
              <w:t>$2,054.9</w:t>
            </w:r>
          </w:p>
        </w:tc>
        <w:tc>
          <w:tcPr>
            <w:tcW w:w="990" w:type="dxa"/>
            <w:noWrap/>
            <w:hideMark/>
          </w:tcPr>
          <w:p w:rsidRPr="0053176C" w:rsidR="00BE4E59" w:rsidP="00A11949" w:rsidRDefault="00BE4E59" w14:paraId="3F74A9AA" w14:textId="77777777">
            <w:pPr>
              <w:jc w:val="center"/>
              <w:rPr>
                <w:rFonts w:ascii="Times New Roman" w:hAnsi="Times New Roman" w:cs="Times New Roman"/>
                <w:sz w:val="22"/>
                <w:szCs w:val="22"/>
              </w:rPr>
            </w:pPr>
            <w:r w:rsidRPr="0053176C">
              <w:rPr>
                <w:rFonts w:ascii="Times New Roman" w:hAnsi="Times New Roman" w:cs="Times New Roman"/>
                <w:sz w:val="22"/>
                <w:szCs w:val="22"/>
              </w:rPr>
              <w:t>$205.5</w:t>
            </w:r>
          </w:p>
        </w:tc>
        <w:tc>
          <w:tcPr>
            <w:tcW w:w="1350" w:type="dxa"/>
            <w:noWrap/>
            <w:hideMark/>
          </w:tcPr>
          <w:p w:rsidRPr="0053176C" w:rsidR="00BE4E59" w:rsidP="00A11949" w:rsidRDefault="00BE4E59" w14:paraId="799DBCCA" w14:textId="77777777">
            <w:pPr>
              <w:jc w:val="center"/>
              <w:rPr>
                <w:rFonts w:ascii="Times New Roman" w:hAnsi="Times New Roman" w:cs="Times New Roman"/>
                <w:sz w:val="22"/>
                <w:szCs w:val="22"/>
              </w:rPr>
            </w:pPr>
            <w:r w:rsidRPr="0053176C">
              <w:rPr>
                <w:rFonts w:ascii="Times New Roman" w:hAnsi="Times New Roman" w:cs="Times New Roman"/>
                <w:sz w:val="22"/>
                <w:szCs w:val="22"/>
              </w:rPr>
              <w:t>$1.4</w:t>
            </w:r>
          </w:p>
        </w:tc>
        <w:tc>
          <w:tcPr>
            <w:tcW w:w="1080" w:type="dxa"/>
          </w:tcPr>
          <w:p w:rsidRPr="0053176C" w:rsidR="00BE4E59" w:rsidP="00A11949" w:rsidRDefault="00BE4E59" w14:paraId="33609003" w14:textId="77777777">
            <w:pPr>
              <w:jc w:val="center"/>
              <w:rPr>
                <w:rFonts w:ascii="Times New Roman" w:hAnsi="Times New Roman" w:cs="Times New Roman"/>
                <w:sz w:val="22"/>
                <w:szCs w:val="22"/>
              </w:rPr>
            </w:pPr>
            <w:r w:rsidRPr="0053176C">
              <w:rPr>
                <w:rFonts w:ascii="Times New Roman" w:hAnsi="Times New Roman" w:cs="Times New Roman"/>
                <w:sz w:val="22"/>
                <w:szCs w:val="22"/>
              </w:rPr>
              <w:t>$509.7</w:t>
            </w:r>
          </w:p>
        </w:tc>
        <w:tc>
          <w:tcPr>
            <w:tcW w:w="990" w:type="dxa"/>
          </w:tcPr>
          <w:p w:rsidRPr="0053176C" w:rsidR="00BE4E59" w:rsidP="00A11949" w:rsidRDefault="00BE4E59" w14:paraId="1A819C08" w14:textId="77777777">
            <w:pPr>
              <w:jc w:val="center"/>
              <w:rPr>
                <w:rFonts w:ascii="Times New Roman" w:hAnsi="Times New Roman" w:cs="Times New Roman"/>
                <w:sz w:val="22"/>
                <w:szCs w:val="22"/>
              </w:rPr>
            </w:pPr>
            <w:r w:rsidRPr="0053176C">
              <w:rPr>
                <w:rFonts w:ascii="Times New Roman" w:hAnsi="Times New Roman" w:cs="Times New Roman"/>
                <w:sz w:val="22"/>
                <w:szCs w:val="22"/>
              </w:rPr>
              <w:t>$169.9</w:t>
            </w:r>
          </w:p>
        </w:tc>
        <w:tc>
          <w:tcPr>
            <w:tcW w:w="1345" w:type="dxa"/>
          </w:tcPr>
          <w:p w:rsidRPr="0053176C" w:rsidR="00BE4E59" w:rsidP="00A11949" w:rsidRDefault="00BE4E59" w14:paraId="794BA9AE" w14:textId="77777777">
            <w:pPr>
              <w:jc w:val="center"/>
              <w:rPr>
                <w:rFonts w:ascii="Times New Roman" w:hAnsi="Times New Roman" w:cs="Times New Roman"/>
                <w:sz w:val="22"/>
                <w:szCs w:val="22"/>
              </w:rPr>
            </w:pPr>
            <w:r w:rsidRPr="0053176C">
              <w:rPr>
                <w:rFonts w:ascii="Times New Roman" w:hAnsi="Times New Roman" w:cs="Times New Roman"/>
                <w:sz w:val="22"/>
                <w:szCs w:val="22"/>
              </w:rPr>
              <w:t>$1.5</w:t>
            </w:r>
          </w:p>
        </w:tc>
      </w:tr>
      <w:tr w:rsidRPr="003E6BC0" w:rsidR="00BE4E59" w:rsidTr="00A11949" w14:paraId="5782450D" w14:textId="77777777">
        <w:trPr>
          <w:trHeight w:val="300"/>
        </w:trPr>
        <w:tc>
          <w:tcPr>
            <w:tcW w:w="1615" w:type="dxa"/>
            <w:noWrap/>
            <w:hideMark/>
          </w:tcPr>
          <w:p w:rsidRPr="0053176C" w:rsidR="00BE4E59" w:rsidP="00A11949" w:rsidRDefault="00BE4E59" w14:paraId="75E579E3"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Onsite Total</w:t>
            </w:r>
          </w:p>
        </w:tc>
        <w:tc>
          <w:tcPr>
            <w:tcW w:w="810" w:type="dxa"/>
            <w:noWrap/>
            <w:hideMark/>
          </w:tcPr>
          <w:p w:rsidRPr="0053176C" w:rsidR="00BE4E59" w:rsidP="00A11949" w:rsidRDefault="00BE4E59" w14:paraId="7F81F671" w14:textId="77777777">
            <w:pPr>
              <w:jc w:val="center"/>
              <w:rPr>
                <w:rFonts w:ascii="Times New Roman" w:hAnsi="Times New Roman" w:eastAsia="Times New Roman" w:cs="Times New Roman"/>
                <w:b/>
                <w:bCs/>
                <w:color w:val="000000"/>
                <w:sz w:val="22"/>
                <w:szCs w:val="22"/>
              </w:rPr>
            </w:pPr>
          </w:p>
        </w:tc>
        <w:tc>
          <w:tcPr>
            <w:tcW w:w="1170" w:type="dxa"/>
            <w:noWrap/>
            <w:hideMark/>
          </w:tcPr>
          <w:p w:rsidRPr="0053176C" w:rsidR="00BE4E59" w:rsidP="00A11949" w:rsidRDefault="00BE4E59" w14:paraId="37D84C5B"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$2,657.9</w:t>
            </w:r>
          </w:p>
        </w:tc>
        <w:tc>
          <w:tcPr>
            <w:tcW w:w="990" w:type="dxa"/>
            <w:noWrap/>
            <w:hideMark/>
          </w:tcPr>
          <w:p w:rsidRPr="0053176C" w:rsidR="00BE4E59" w:rsidP="00A11949" w:rsidRDefault="00BE4E59" w14:paraId="7FF609E9"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$265.8</w:t>
            </w:r>
          </w:p>
        </w:tc>
        <w:tc>
          <w:tcPr>
            <w:tcW w:w="1350" w:type="dxa"/>
            <w:noWrap/>
            <w:hideMark/>
          </w:tcPr>
          <w:p w:rsidRPr="0053176C" w:rsidR="00BE4E59" w:rsidP="00A11949" w:rsidRDefault="00BE4E59" w14:paraId="1CE71B18"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$1.8</w:t>
            </w:r>
          </w:p>
        </w:tc>
        <w:tc>
          <w:tcPr>
            <w:tcW w:w="1080" w:type="dxa"/>
          </w:tcPr>
          <w:p w:rsidRPr="0053176C" w:rsidR="00BE4E59" w:rsidP="00A11949" w:rsidRDefault="00BE4E59" w14:paraId="69072D7A"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$632.4</w:t>
            </w:r>
          </w:p>
        </w:tc>
        <w:tc>
          <w:tcPr>
            <w:tcW w:w="990" w:type="dxa"/>
          </w:tcPr>
          <w:p w:rsidRPr="0053176C" w:rsidR="00BE4E59" w:rsidP="00A11949" w:rsidRDefault="00BE4E59" w14:paraId="53687F48"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$210.8</w:t>
            </w:r>
          </w:p>
        </w:tc>
        <w:tc>
          <w:tcPr>
            <w:tcW w:w="1345" w:type="dxa"/>
          </w:tcPr>
          <w:p w:rsidRPr="0053176C" w:rsidR="00BE4E59" w:rsidP="00A11949" w:rsidRDefault="00BE4E59" w14:paraId="6AE7BE73"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$1.9</w:t>
            </w:r>
          </w:p>
        </w:tc>
      </w:tr>
      <w:tr w:rsidRPr="003E6BC0" w:rsidR="00BE4E59" w:rsidTr="00A11949" w14:paraId="005C9F78" w14:textId="77777777">
        <w:trPr>
          <w:trHeight w:val="300"/>
        </w:trPr>
        <w:tc>
          <w:tcPr>
            <w:tcW w:w="9350" w:type="dxa"/>
            <w:gridSpan w:val="8"/>
            <w:shd w:val="clear" w:color="auto" w:fill="F2F2F2" w:themeFill="background1" w:themeFillShade="F2"/>
            <w:noWrap/>
            <w:vAlign w:val="center"/>
            <w:hideMark/>
          </w:tcPr>
          <w:p w:rsidRPr="0053176C" w:rsidR="00BE4E59" w:rsidP="00A11949" w:rsidRDefault="00BE4E59" w14:paraId="3B9FE68E" w14:textId="77777777">
            <w:pPr>
              <w:tabs>
                <w:tab w:val="center" w:pos="962"/>
                <w:tab w:val="right" w:pos="1924"/>
              </w:tabs>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Offsite</w:t>
            </w:r>
          </w:p>
        </w:tc>
      </w:tr>
      <w:tr w:rsidRPr="003E6BC0" w:rsidR="00BE4E59" w:rsidTr="00A11949" w14:paraId="3DA6B14B" w14:textId="77777777">
        <w:trPr>
          <w:trHeight w:val="300"/>
        </w:trPr>
        <w:tc>
          <w:tcPr>
            <w:tcW w:w="1615" w:type="dxa"/>
            <w:noWrap/>
            <w:hideMark/>
          </w:tcPr>
          <w:p w:rsidRPr="0053176C" w:rsidR="00BE4E59" w:rsidP="00A11949" w:rsidRDefault="00BE4E59" w14:paraId="7C5E75D0"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Fatalities</w:t>
            </w:r>
          </w:p>
        </w:tc>
        <w:tc>
          <w:tcPr>
            <w:tcW w:w="810" w:type="dxa"/>
            <w:noWrap/>
            <w:hideMark/>
          </w:tcPr>
          <w:p w:rsidRPr="0053176C" w:rsidR="00BE4E59" w:rsidP="00A11949" w:rsidRDefault="00BE4E59" w14:paraId="4EDAA7BF"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$8.6</w:t>
            </w:r>
          </w:p>
        </w:tc>
        <w:tc>
          <w:tcPr>
            <w:tcW w:w="1170" w:type="dxa"/>
            <w:noWrap/>
            <w:hideMark/>
          </w:tcPr>
          <w:p w:rsidRPr="0053176C" w:rsidR="00BE4E59" w:rsidP="00A11949" w:rsidRDefault="00BE4E59" w14:paraId="356223ED"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$8.6</w:t>
            </w:r>
          </w:p>
        </w:tc>
        <w:tc>
          <w:tcPr>
            <w:tcW w:w="990" w:type="dxa"/>
            <w:noWrap/>
            <w:hideMark/>
          </w:tcPr>
          <w:p w:rsidRPr="0053176C" w:rsidR="00BE4E59" w:rsidP="00A11949" w:rsidRDefault="00BE4E59" w14:paraId="11091743"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$0.86</w:t>
            </w:r>
          </w:p>
        </w:tc>
        <w:tc>
          <w:tcPr>
            <w:tcW w:w="1350" w:type="dxa"/>
            <w:noWrap/>
            <w:hideMark/>
          </w:tcPr>
          <w:p w:rsidRPr="0053176C" w:rsidR="00BE4E59" w:rsidP="00A11949" w:rsidRDefault="00BE4E59" w14:paraId="24CE28DA"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$0.01</w:t>
            </w:r>
          </w:p>
        </w:tc>
        <w:tc>
          <w:tcPr>
            <w:tcW w:w="1080" w:type="dxa"/>
          </w:tcPr>
          <w:p w:rsidRPr="0053176C" w:rsidR="00BE4E59" w:rsidP="00A11949" w:rsidRDefault="00BE4E59" w14:paraId="1401FFED" w14:textId="77777777">
            <w:pPr>
              <w:jc w:val="center"/>
              <w:rPr>
                <w:rFonts w:ascii="Times New Roman" w:hAnsi="Times New Roman" w:cs="Times New Roman"/>
                <w:sz w:val="22"/>
                <w:szCs w:val="22"/>
              </w:rPr>
            </w:pPr>
            <w:r w:rsidRPr="0053176C">
              <w:rPr>
                <w:rFonts w:ascii="Times New Roman" w:hAnsi="Times New Roman" w:cs="Times New Roman"/>
                <w:sz w:val="22"/>
                <w:szCs w:val="22"/>
              </w:rPr>
              <w:t>$0</w:t>
            </w:r>
          </w:p>
        </w:tc>
        <w:tc>
          <w:tcPr>
            <w:tcW w:w="990" w:type="dxa"/>
          </w:tcPr>
          <w:p w:rsidRPr="0053176C" w:rsidR="00BE4E59" w:rsidP="00A11949" w:rsidRDefault="00BE4E59" w14:paraId="2BC3DA93" w14:textId="77777777">
            <w:pPr>
              <w:jc w:val="center"/>
              <w:rPr>
                <w:rFonts w:ascii="Times New Roman" w:hAnsi="Times New Roman" w:cs="Times New Roman"/>
                <w:sz w:val="22"/>
                <w:szCs w:val="22"/>
              </w:rPr>
            </w:pPr>
            <w:r w:rsidRPr="0053176C">
              <w:rPr>
                <w:rFonts w:ascii="Times New Roman" w:hAnsi="Times New Roman" w:cs="Times New Roman"/>
                <w:sz w:val="22"/>
                <w:szCs w:val="22"/>
              </w:rPr>
              <w:t>$0</w:t>
            </w:r>
          </w:p>
        </w:tc>
        <w:tc>
          <w:tcPr>
            <w:tcW w:w="1345" w:type="dxa"/>
          </w:tcPr>
          <w:p w:rsidRPr="0053176C" w:rsidR="00BE4E59" w:rsidP="00A11949" w:rsidRDefault="00BE4E59" w14:paraId="13A50B14" w14:textId="77777777">
            <w:pPr>
              <w:jc w:val="center"/>
              <w:rPr>
                <w:rFonts w:ascii="Times New Roman" w:hAnsi="Times New Roman" w:cs="Times New Roman"/>
                <w:sz w:val="22"/>
                <w:szCs w:val="22"/>
              </w:rPr>
            </w:pPr>
            <w:r w:rsidRPr="0053176C">
              <w:rPr>
                <w:rFonts w:ascii="Times New Roman" w:hAnsi="Times New Roman" w:cs="Times New Roman"/>
                <w:sz w:val="22"/>
                <w:szCs w:val="22"/>
              </w:rPr>
              <w:t>$0</w:t>
            </w:r>
          </w:p>
        </w:tc>
      </w:tr>
      <w:tr w:rsidRPr="003E6BC0" w:rsidR="00BE4E59" w:rsidTr="00A11949" w14:paraId="2A94E357" w14:textId="77777777">
        <w:trPr>
          <w:trHeight w:val="300"/>
        </w:trPr>
        <w:tc>
          <w:tcPr>
            <w:tcW w:w="1615" w:type="dxa"/>
            <w:noWrap/>
            <w:hideMark/>
          </w:tcPr>
          <w:p w:rsidRPr="0053176C" w:rsidR="00BE4E59" w:rsidP="00A11949" w:rsidRDefault="00BE4E59" w14:paraId="3EEC5879"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Hospitalizations</w:t>
            </w:r>
          </w:p>
        </w:tc>
        <w:tc>
          <w:tcPr>
            <w:tcW w:w="810" w:type="dxa"/>
            <w:noWrap/>
            <w:hideMark/>
          </w:tcPr>
          <w:p w:rsidRPr="0053176C" w:rsidR="00BE4E59" w:rsidP="00A11949" w:rsidRDefault="00BE4E59" w14:paraId="0C0AE5B7"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$0.04</w:t>
            </w:r>
          </w:p>
        </w:tc>
        <w:tc>
          <w:tcPr>
            <w:tcW w:w="1170" w:type="dxa"/>
            <w:noWrap/>
            <w:hideMark/>
          </w:tcPr>
          <w:p w:rsidRPr="0053176C" w:rsidR="00BE4E59" w:rsidP="00A11949" w:rsidRDefault="00BE4E59" w14:paraId="191B4319"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$6.8</w:t>
            </w:r>
          </w:p>
        </w:tc>
        <w:tc>
          <w:tcPr>
            <w:tcW w:w="990" w:type="dxa"/>
            <w:noWrap/>
            <w:hideMark/>
          </w:tcPr>
          <w:p w:rsidRPr="0053176C" w:rsidR="00BE4E59" w:rsidP="00A11949" w:rsidRDefault="00BE4E59" w14:paraId="45E9D09A"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$0.68</w:t>
            </w:r>
          </w:p>
        </w:tc>
        <w:tc>
          <w:tcPr>
            <w:tcW w:w="1350" w:type="dxa"/>
            <w:noWrap/>
            <w:hideMark/>
          </w:tcPr>
          <w:p w:rsidRPr="0053176C" w:rsidR="00BE4E59" w:rsidP="00A11949" w:rsidRDefault="00BE4E59" w14:paraId="35F47877"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$0.004</w:t>
            </w:r>
          </w:p>
        </w:tc>
        <w:tc>
          <w:tcPr>
            <w:tcW w:w="1080" w:type="dxa"/>
          </w:tcPr>
          <w:p w:rsidRPr="0053176C" w:rsidR="00BE4E59" w:rsidP="00A11949" w:rsidRDefault="00BE4E59" w14:paraId="7EBE42DF" w14:textId="77777777">
            <w:pPr>
              <w:jc w:val="center"/>
              <w:rPr>
                <w:rFonts w:ascii="Times New Roman" w:hAnsi="Times New Roman" w:cs="Times New Roman"/>
                <w:sz w:val="22"/>
                <w:szCs w:val="22"/>
              </w:rPr>
            </w:pPr>
            <w:r w:rsidRPr="0053176C">
              <w:rPr>
                <w:rFonts w:ascii="Times New Roman" w:hAnsi="Times New Roman" w:cs="Times New Roman"/>
                <w:sz w:val="22"/>
                <w:szCs w:val="22"/>
              </w:rPr>
              <w:t>$0.7</w:t>
            </w:r>
          </w:p>
        </w:tc>
        <w:tc>
          <w:tcPr>
            <w:tcW w:w="990" w:type="dxa"/>
          </w:tcPr>
          <w:p w:rsidRPr="0053176C" w:rsidR="00BE4E59" w:rsidP="00A11949" w:rsidRDefault="00BE4E59" w14:paraId="64185674" w14:textId="77777777">
            <w:pPr>
              <w:jc w:val="center"/>
              <w:rPr>
                <w:rFonts w:ascii="Times New Roman" w:hAnsi="Times New Roman" w:cs="Times New Roman"/>
                <w:sz w:val="22"/>
                <w:szCs w:val="22"/>
              </w:rPr>
            </w:pPr>
            <w:r w:rsidRPr="0053176C">
              <w:rPr>
                <w:rFonts w:ascii="Times New Roman" w:hAnsi="Times New Roman" w:cs="Times New Roman"/>
                <w:sz w:val="22"/>
                <w:szCs w:val="22"/>
              </w:rPr>
              <w:t>$0.2</w:t>
            </w:r>
          </w:p>
        </w:tc>
        <w:tc>
          <w:tcPr>
            <w:tcW w:w="1345" w:type="dxa"/>
          </w:tcPr>
          <w:p w:rsidRPr="0053176C" w:rsidR="00BE4E59" w:rsidP="00A11949" w:rsidRDefault="00BE4E59" w14:paraId="14B97A48" w14:textId="77777777">
            <w:pPr>
              <w:jc w:val="center"/>
              <w:rPr>
                <w:rFonts w:ascii="Times New Roman" w:hAnsi="Times New Roman" w:cs="Times New Roman"/>
                <w:sz w:val="22"/>
                <w:szCs w:val="22"/>
              </w:rPr>
            </w:pPr>
            <w:r w:rsidRPr="0053176C">
              <w:rPr>
                <w:rFonts w:ascii="Times New Roman" w:hAnsi="Times New Roman" w:cs="Times New Roman"/>
                <w:sz w:val="22"/>
                <w:szCs w:val="22"/>
              </w:rPr>
              <w:t>$0.002</w:t>
            </w:r>
          </w:p>
        </w:tc>
      </w:tr>
      <w:tr w:rsidRPr="003E6BC0" w:rsidR="00BE4E59" w:rsidTr="00A11949" w14:paraId="07EB30FA" w14:textId="77777777">
        <w:trPr>
          <w:trHeight w:val="300"/>
        </w:trPr>
        <w:tc>
          <w:tcPr>
            <w:tcW w:w="1615" w:type="dxa"/>
            <w:noWrap/>
            <w:hideMark/>
          </w:tcPr>
          <w:p w:rsidRPr="0053176C" w:rsidR="00BE4E59" w:rsidP="00A11949" w:rsidRDefault="00BE4E59" w14:paraId="2CE24983"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lastRenderedPageBreak/>
              <w:t>Medical Treatment</w:t>
            </w:r>
          </w:p>
        </w:tc>
        <w:tc>
          <w:tcPr>
            <w:tcW w:w="810" w:type="dxa"/>
            <w:noWrap/>
            <w:hideMark/>
          </w:tcPr>
          <w:p w:rsidRPr="0053176C" w:rsidR="00BE4E59" w:rsidP="00A11949" w:rsidRDefault="00BE4E59" w14:paraId="002AF651"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$0.001</w:t>
            </w:r>
          </w:p>
        </w:tc>
        <w:tc>
          <w:tcPr>
            <w:tcW w:w="1170" w:type="dxa"/>
            <w:noWrap/>
            <w:hideMark/>
          </w:tcPr>
          <w:p w:rsidRPr="0053176C" w:rsidR="00BE4E59" w:rsidP="00A11949" w:rsidRDefault="00BE4E59" w14:paraId="0B383F18"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$14.8</w:t>
            </w:r>
          </w:p>
        </w:tc>
        <w:tc>
          <w:tcPr>
            <w:tcW w:w="990" w:type="dxa"/>
            <w:noWrap/>
            <w:hideMark/>
          </w:tcPr>
          <w:p w:rsidRPr="0053176C" w:rsidR="00BE4E59" w:rsidP="00A11949" w:rsidRDefault="00BE4E59" w14:paraId="07D94202"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$1.5</w:t>
            </w:r>
          </w:p>
        </w:tc>
        <w:tc>
          <w:tcPr>
            <w:tcW w:w="1350" w:type="dxa"/>
            <w:noWrap/>
            <w:hideMark/>
          </w:tcPr>
          <w:p w:rsidRPr="0053176C" w:rsidR="00BE4E59" w:rsidP="00A11949" w:rsidRDefault="00BE4E59" w14:paraId="34C5F0C1"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$0.01</w:t>
            </w:r>
          </w:p>
        </w:tc>
        <w:tc>
          <w:tcPr>
            <w:tcW w:w="1080" w:type="dxa"/>
          </w:tcPr>
          <w:p w:rsidRPr="0053176C" w:rsidR="00BE4E59" w:rsidP="00A11949" w:rsidRDefault="00BE4E59" w14:paraId="28B1E2E0" w14:textId="77777777">
            <w:pPr>
              <w:jc w:val="center"/>
              <w:rPr>
                <w:rFonts w:ascii="Times New Roman" w:hAnsi="Times New Roman" w:cs="Times New Roman"/>
                <w:sz w:val="22"/>
                <w:szCs w:val="22"/>
              </w:rPr>
            </w:pPr>
            <w:r w:rsidRPr="0053176C">
              <w:rPr>
                <w:rFonts w:ascii="Times New Roman" w:hAnsi="Times New Roman" w:cs="Times New Roman"/>
                <w:sz w:val="22"/>
                <w:szCs w:val="22"/>
              </w:rPr>
              <w:t>$0.03</w:t>
            </w:r>
          </w:p>
        </w:tc>
        <w:tc>
          <w:tcPr>
            <w:tcW w:w="990" w:type="dxa"/>
          </w:tcPr>
          <w:p w:rsidRPr="0053176C" w:rsidR="00BE4E59" w:rsidP="00A11949" w:rsidRDefault="00BE4E59" w14:paraId="4B597840" w14:textId="77777777">
            <w:pPr>
              <w:jc w:val="center"/>
              <w:rPr>
                <w:rFonts w:ascii="Times New Roman" w:hAnsi="Times New Roman" w:cs="Times New Roman"/>
                <w:sz w:val="22"/>
                <w:szCs w:val="22"/>
              </w:rPr>
            </w:pPr>
            <w:r w:rsidRPr="0053176C">
              <w:rPr>
                <w:rFonts w:ascii="Times New Roman" w:hAnsi="Times New Roman" w:cs="Times New Roman"/>
                <w:sz w:val="22"/>
                <w:szCs w:val="22"/>
              </w:rPr>
              <w:t>$0.01</w:t>
            </w:r>
          </w:p>
        </w:tc>
        <w:tc>
          <w:tcPr>
            <w:tcW w:w="1345" w:type="dxa"/>
          </w:tcPr>
          <w:p w:rsidRPr="0053176C" w:rsidR="00BE4E59" w:rsidP="00A11949" w:rsidRDefault="00BE4E59" w14:paraId="42671707" w14:textId="77777777">
            <w:pPr>
              <w:jc w:val="center"/>
              <w:rPr>
                <w:rFonts w:ascii="Times New Roman" w:hAnsi="Times New Roman" w:cs="Times New Roman"/>
                <w:sz w:val="22"/>
                <w:szCs w:val="22"/>
              </w:rPr>
            </w:pPr>
            <w:r w:rsidRPr="0053176C">
              <w:rPr>
                <w:rFonts w:ascii="Times New Roman" w:hAnsi="Times New Roman" w:cs="Times New Roman"/>
                <w:sz w:val="22"/>
                <w:szCs w:val="22"/>
              </w:rPr>
              <w:t>$0.0001</w:t>
            </w:r>
          </w:p>
        </w:tc>
      </w:tr>
      <w:tr w:rsidRPr="003E6BC0" w:rsidR="00BE4E59" w:rsidTr="00A11949" w14:paraId="387D856A" w14:textId="77777777">
        <w:trPr>
          <w:trHeight w:val="300"/>
        </w:trPr>
        <w:tc>
          <w:tcPr>
            <w:tcW w:w="1615" w:type="dxa"/>
            <w:noWrap/>
            <w:hideMark/>
          </w:tcPr>
          <w:p w:rsidRPr="0053176C" w:rsidR="00BE4E59" w:rsidP="00A11949" w:rsidRDefault="00BE4E59" w14:paraId="64C29A98"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Evacuations*</w:t>
            </w:r>
          </w:p>
        </w:tc>
        <w:tc>
          <w:tcPr>
            <w:tcW w:w="810" w:type="dxa"/>
            <w:noWrap/>
            <w:hideMark/>
          </w:tcPr>
          <w:p w:rsidRPr="0053176C" w:rsidR="00BE4E59" w:rsidP="00A11949" w:rsidRDefault="00BE4E59" w14:paraId="18B1A6C4" w14:textId="77777777">
            <w:pPr>
              <w:jc w:val="center"/>
              <w:rPr>
                <w:rFonts w:ascii="Times New Roman" w:hAnsi="Times New Roman" w:cs="Times New Roman"/>
                <w:sz w:val="22"/>
                <w:szCs w:val="22"/>
              </w:rPr>
            </w:pPr>
            <w:r w:rsidRPr="0053176C">
              <w:rPr>
                <w:rFonts w:ascii="Times New Roman" w:hAnsi="Times New Roman" w:cs="Times New Roman"/>
                <w:sz w:val="22"/>
                <w:szCs w:val="22"/>
              </w:rPr>
              <w:t>$0.0</w:t>
            </w:r>
          </w:p>
        </w:tc>
        <w:tc>
          <w:tcPr>
            <w:tcW w:w="1170" w:type="dxa"/>
            <w:noWrap/>
            <w:hideMark/>
          </w:tcPr>
          <w:p w:rsidRPr="0053176C" w:rsidR="00BE4E59" w:rsidP="00A11949" w:rsidRDefault="00BE4E59" w14:paraId="7257761B" w14:textId="77777777">
            <w:pPr>
              <w:jc w:val="center"/>
              <w:rPr>
                <w:rFonts w:ascii="Times New Roman" w:hAnsi="Times New Roman" w:cs="Times New Roman"/>
                <w:sz w:val="22"/>
                <w:szCs w:val="22"/>
              </w:rPr>
            </w:pPr>
            <w:r w:rsidRPr="0053176C">
              <w:rPr>
                <w:rFonts w:ascii="Times New Roman" w:hAnsi="Times New Roman" w:cs="Times New Roman"/>
                <w:sz w:val="22"/>
                <w:szCs w:val="22"/>
              </w:rPr>
              <w:t>$7.0</w:t>
            </w:r>
          </w:p>
        </w:tc>
        <w:tc>
          <w:tcPr>
            <w:tcW w:w="990" w:type="dxa"/>
            <w:noWrap/>
            <w:hideMark/>
          </w:tcPr>
          <w:p w:rsidRPr="0053176C" w:rsidR="00BE4E59" w:rsidP="00A11949" w:rsidRDefault="00BE4E59" w14:paraId="205ADFE6" w14:textId="77777777">
            <w:pPr>
              <w:jc w:val="center"/>
              <w:rPr>
                <w:rFonts w:ascii="Times New Roman" w:hAnsi="Times New Roman" w:cs="Times New Roman"/>
                <w:sz w:val="22"/>
                <w:szCs w:val="22"/>
              </w:rPr>
            </w:pPr>
            <w:r w:rsidRPr="0053176C">
              <w:rPr>
                <w:rFonts w:ascii="Times New Roman" w:hAnsi="Times New Roman" w:cs="Times New Roman"/>
                <w:sz w:val="22"/>
                <w:szCs w:val="22"/>
              </w:rPr>
              <w:t>$0.70</w:t>
            </w:r>
          </w:p>
        </w:tc>
        <w:tc>
          <w:tcPr>
            <w:tcW w:w="1350" w:type="dxa"/>
            <w:noWrap/>
            <w:hideMark/>
          </w:tcPr>
          <w:p w:rsidRPr="0053176C" w:rsidR="00BE4E59" w:rsidP="00A11949" w:rsidRDefault="00BE4E59" w14:paraId="594C3838" w14:textId="77777777">
            <w:pPr>
              <w:jc w:val="center"/>
              <w:rPr>
                <w:rFonts w:ascii="Times New Roman" w:hAnsi="Times New Roman" w:cs="Times New Roman"/>
                <w:sz w:val="22"/>
                <w:szCs w:val="22"/>
              </w:rPr>
            </w:pPr>
            <w:r w:rsidRPr="0053176C">
              <w:rPr>
                <w:rFonts w:ascii="Times New Roman" w:hAnsi="Times New Roman" w:cs="Times New Roman"/>
                <w:sz w:val="22"/>
                <w:szCs w:val="22"/>
              </w:rPr>
              <w:t>$0.005</w:t>
            </w:r>
          </w:p>
        </w:tc>
        <w:tc>
          <w:tcPr>
            <w:tcW w:w="1080" w:type="dxa"/>
          </w:tcPr>
          <w:p w:rsidRPr="0053176C" w:rsidR="00BE4E59" w:rsidP="00A11949" w:rsidRDefault="00BE4E59" w14:paraId="5C15A8FD" w14:textId="77777777">
            <w:pPr>
              <w:jc w:val="center"/>
              <w:rPr>
                <w:rFonts w:ascii="Times New Roman" w:hAnsi="Times New Roman" w:cs="Times New Roman"/>
                <w:sz w:val="22"/>
                <w:szCs w:val="22"/>
              </w:rPr>
            </w:pPr>
            <w:r w:rsidRPr="0053176C">
              <w:rPr>
                <w:rFonts w:ascii="Times New Roman" w:hAnsi="Times New Roman" w:cs="Times New Roman"/>
                <w:sz w:val="22"/>
                <w:szCs w:val="22"/>
              </w:rPr>
              <w:t>$1.0</w:t>
            </w:r>
          </w:p>
        </w:tc>
        <w:tc>
          <w:tcPr>
            <w:tcW w:w="990" w:type="dxa"/>
          </w:tcPr>
          <w:p w:rsidRPr="0053176C" w:rsidR="00BE4E59" w:rsidP="00A11949" w:rsidRDefault="00BE4E59" w14:paraId="4600DA49" w14:textId="77777777">
            <w:pPr>
              <w:jc w:val="center"/>
              <w:rPr>
                <w:rFonts w:ascii="Times New Roman" w:hAnsi="Times New Roman" w:cs="Times New Roman"/>
                <w:sz w:val="22"/>
                <w:szCs w:val="22"/>
              </w:rPr>
            </w:pPr>
            <w:r w:rsidRPr="0053176C">
              <w:rPr>
                <w:rFonts w:ascii="Times New Roman" w:hAnsi="Times New Roman" w:cs="Times New Roman"/>
                <w:sz w:val="22"/>
                <w:szCs w:val="22"/>
              </w:rPr>
              <w:t>$0.3</w:t>
            </w:r>
          </w:p>
        </w:tc>
        <w:tc>
          <w:tcPr>
            <w:tcW w:w="1345" w:type="dxa"/>
          </w:tcPr>
          <w:p w:rsidRPr="0053176C" w:rsidR="00BE4E59" w:rsidP="00A11949" w:rsidRDefault="00BE4E59" w14:paraId="29C2FD56" w14:textId="77777777">
            <w:pPr>
              <w:jc w:val="center"/>
              <w:rPr>
                <w:rFonts w:ascii="Times New Roman" w:hAnsi="Times New Roman" w:cs="Times New Roman"/>
                <w:sz w:val="22"/>
                <w:szCs w:val="22"/>
              </w:rPr>
            </w:pPr>
            <w:r w:rsidRPr="0053176C">
              <w:rPr>
                <w:rFonts w:ascii="Times New Roman" w:hAnsi="Times New Roman" w:cs="Times New Roman"/>
                <w:sz w:val="22"/>
                <w:szCs w:val="22"/>
              </w:rPr>
              <w:t>$0.003</w:t>
            </w:r>
          </w:p>
        </w:tc>
      </w:tr>
      <w:tr w:rsidRPr="003E6BC0" w:rsidR="00BE4E59" w:rsidTr="00A11949" w14:paraId="2B63A5A7" w14:textId="77777777">
        <w:trPr>
          <w:trHeight w:val="300"/>
        </w:trPr>
        <w:tc>
          <w:tcPr>
            <w:tcW w:w="1615" w:type="dxa"/>
            <w:noWrap/>
            <w:hideMark/>
          </w:tcPr>
          <w:p w:rsidRPr="0053176C" w:rsidR="00BE4E59" w:rsidP="00A11949" w:rsidRDefault="00BE4E59" w14:paraId="4273FDB0"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Sheltering in Place*</w:t>
            </w:r>
          </w:p>
        </w:tc>
        <w:tc>
          <w:tcPr>
            <w:tcW w:w="810" w:type="dxa"/>
            <w:noWrap/>
            <w:hideMark/>
          </w:tcPr>
          <w:p w:rsidRPr="0053176C" w:rsidR="00BE4E59" w:rsidP="00A11949" w:rsidRDefault="00BE4E59" w14:paraId="76D81C08" w14:textId="77777777">
            <w:pPr>
              <w:jc w:val="center"/>
              <w:rPr>
                <w:rFonts w:ascii="Times New Roman" w:hAnsi="Times New Roman" w:cs="Times New Roman"/>
                <w:sz w:val="22"/>
                <w:szCs w:val="22"/>
              </w:rPr>
            </w:pPr>
            <w:r w:rsidRPr="0053176C">
              <w:rPr>
                <w:rFonts w:ascii="Times New Roman" w:hAnsi="Times New Roman" w:cs="Times New Roman"/>
                <w:sz w:val="22"/>
                <w:szCs w:val="22"/>
              </w:rPr>
              <w:t>$0.0</w:t>
            </w:r>
          </w:p>
        </w:tc>
        <w:tc>
          <w:tcPr>
            <w:tcW w:w="1170" w:type="dxa"/>
            <w:noWrap/>
            <w:hideMark/>
          </w:tcPr>
          <w:p w:rsidRPr="0053176C" w:rsidR="00BE4E59" w:rsidP="00A11949" w:rsidRDefault="00BE4E59" w14:paraId="5BB8499A" w14:textId="77777777">
            <w:pPr>
              <w:jc w:val="center"/>
              <w:rPr>
                <w:rFonts w:ascii="Times New Roman" w:hAnsi="Times New Roman" w:cs="Times New Roman"/>
                <w:sz w:val="22"/>
                <w:szCs w:val="22"/>
              </w:rPr>
            </w:pPr>
            <w:r w:rsidRPr="0053176C">
              <w:rPr>
                <w:rFonts w:ascii="Times New Roman" w:hAnsi="Times New Roman" w:cs="Times New Roman"/>
                <w:sz w:val="22"/>
                <w:szCs w:val="22"/>
              </w:rPr>
              <w:t>$40.9</w:t>
            </w:r>
          </w:p>
        </w:tc>
        <w:tc>
          <w:tcPr>
            <w:tcW w:w="990" w:type="dxa"/>
            <w:noWrap/>
            <w:hideMark/>
          </w:tcPr>
          <w:p w:rsidRPr="0053176C" w:rsidR="00BE4E59" w:rsidP="00A11949" w:rsidRDefault="00BE4E59" w14:paraId="47EC8BF6" w14:textId="77777777">
            <w:pPr>
              <w:jc w:val="center"/>
              <w:rPr>
                <w:rFonts w:ascii="Times New Roman" w:hAnsi="Times New Roman" w:cs="Times New Roman"/>
                <w:sz w:val="22"/>
                <w:szCs w:val="22"/>
              </w:rPr>
            </w:pPr>
            <w:r w:rsidRPr="0053176C">
              <w:rPr>
                <w:rFonts w:ascii="Times New Roman" w:hAnsi="Times New Roman" w:cs="Times New Roman"/>
                <w:sz w:val="22"/>
                <w:szCs w:val="22"/>
              </w:rPr>
              <w:t>$4.1</w:t>
            </w:r>
          </w:p>
        </w:tc>
        <w:tc>
          <w:tcPr>
            <w:tcW w:w="1350" w:type="dxa"/>
            <w:noWrap/>
            <w:hideMark/>
          </w:tcPr>
          <w:p w:rsidRPr="0053176C" w:rsidR="00BE4E59" w:rsidP="00A11949" w:rsidRDefault="00BE4E59" w14:paraId="58C22F3D" w14:textId="77777777">
            <w:pPr>
              <w:jc w:val="center"/>
              <w:rPr>
                <w:rFonts w:ascii="Times New Roman" w:hAnsi="Times New Roman" w:cs="Times New Roman"/>
                <w:sz w:val="22"/>
                <w:szCs w:val="22"/>
              </w:rPr>
            </w:pPr>
            <w:r w:rsidRPr="0053176C">
              <w:rPr>
                <w:rFonts w:ascii="Times New Roman" w:hAnsi="Times New Roman" w:cs="Times New Roman"/>
                <w:sz w:val="22"/>
                <w:szCs w:val="22"/>
              </w:rPr>
              <w:t>$0.03</w:t>
            </w:r>
          </w:p>
        </w:tc>
        <w:tc>
          <w:tcPr>
            <w:tcW w:w="1080" w:type="dxa"/>
          </w:tcPr>
          <w:p w:rsidRPr="0053176C" w:rsidR="00BE4E59" w:rsidP="00A11949" w:rsidRDefault="00BE4E59" w14:paraId="2C9B0CF4" w14:textId="77777777">
            <w:pPr>
              <w:jc w:val="center"/>
              <w:rPr>
                <w:rFonts w:ascii="Times New Roman" w:hAnsi="Times New Roman" w:cs="Times New Roman"/>
                <w:sz w:val="22"/>
                <w:szCs w:val="22"/>
              </w:rPr>
            </w:pPr>
            <w:r w:rsidRPr="0053176C">
              <w:rPr>
                <w:rFonts w:ascii="Times New Roman" w:hAnsi="Times New Roman" w:cs="Times New Roman"/>
                <w:sz w:val="22"/>
                <w:szCs w:val="22"/>
              </w:rPr>
              <w:t>$3.4</w:t>
            </w:r>
          </w:p>
        </w:tc>
        <w:tc>
          <w:tcPr>
            <w:tcW w:w="990" w:type="dxa"/>
          </w:tcPr>
          <w:p w:rsidRPr="0053176C" w:rsidR="00BE4E59" w:rsidP="00A11949" w:rsidRDefault="00BE4E59" w14:paraId="534CC5A8" w14:textId="77777777">
            <w:pPr>
              <w:jc w:val="center"/>
              <w:rPr>
                <w:rFonts w:ascii="Times New Roman" w:hAnsi="Times New Roman" w:cs="Times New Roman"/>
                <w:sz w:val="22"/>
                <w:szCs w:val="22"/>
              </w:rPr>
            </w:pPr>
            <w:r w:rsidRPr="0053176C">
              <w:rPr>
                <w:rFonts w:ascii="Times New Roman" w:hAnsi="Times New Roman" w:cs="Times New Roman"/>
                <w:sz w:val="22"/>
                <w:szCs w:val="22"/>
              </w:rPr>
              <w:t>$1.1</w:t>
            </w:r>
          </w:p>
        </w:tc>
        <w:tc>
          <w:tcPr>
            <w:tcW w:w="1345" w:type="dxa"/>
          </w:tcPr>
          <w:p w:rsidRPr="0053176C" w:rsidR="00BE4E59" w:rsidP="00A11949" w:rsidRDefault="00BE4E59" w14:paraId="43478FC7" w14:textId="77777777">
            <w:pPr>
              <w:jc w:val="center"/>
              <w:rPr>
                <w:rFonts w:ascii="Times New Roman" w:hAnsi="Times New Roman" w:cs="Times New Roman"/>
                <w:sz w:val="22"/>
                <w:szCs w:val="22"/>
              </w:rPr>
            </w:pPr>
            <w:r w:rsidRPr="0053176C">
              <w:rPr>
                <w:rFonts w:ascii="Times New Roman" w:hAnsi="Times New Roman" w:cs="Times New Roman"/>
                <w:sz w:val="22"/>
                <w:szCs w:val="22"/>
              </w:rPr>
              <w:t>$0.01</w:t>
            </w:r>
          </w:p>
        </w:tc>
      </w:tr>
      <w:tr w:rsidRPr="003E6BC0" w:rsidR="00BE4E59" w:rsidTr="00A11949" w14:paraId="75EA9581" w14:textId="77777777">
        <w:trPr>
          <w:trHeight w:val="300"/>
        </w:trPr>
        <w:tc>
          <w:tcPr>
            <w:tcW w:w="1615" w:type="dxa"/>
            <w:noWrap/>
            <w:hideMark/>
          </w:tcPr>
          <w:p w:rsidRPr="0053176C" w:rsidR="00BE4E59" w:rsidP="00A11949" w:rsidRDefault="00BE4E59" w14:paraId="28D6C1C6" w14:textId="77777777">
            <w:pPr>
              <w:rPr>
                <w:rFonts w:ascii="Times New Roman" w:hAnsi="Times New Roman" w:eastAsia="Times New Roman" w:cs="Times New Roman"/>
                <w:sz w:val="22"/>
                <w:szCs w:val="22"/>
              </w:rPr>
            </w:pPr>
            <w:r w:rsidRPr="0053176C">
              <w:rPr>
                <w:rFonts w:ascii="Times New Roman" w:hAnsi="Times New Roman" w:eastAsia="Times New Roman" w:cs="Times New Roman"/>
                <w:sz w:val="22"/>
                <w:szCs w:val="22"/>
              </w:rPr>
              <w:t>Property Damage</w:t>
            </w:r>
          </w:p>
        </w:tc>
        <w:tc>
          <w:tcPr>
            <w:tcW w:w="810" w:type="dxa"/>
            <w:noWrap/>
            <w:hideMark/>
          </w:tcPr>
          <w:p w:rsidRPr="0053176C" w:rsidR="00BE4E59" w:rsidP="00A11949" w:rsidRDefault="00BE4E59" w14:paraId="51D4950E" w14:textId="77777777">
            <w:pPr>
              <w:jc w:val="center"/>
              <w:rPr>
                <w:rFonts w:ascii="Times New Roman" w:hAnsi="Times New Roman" w:eastAsia="Times New Roman" w:cs="Times New Roman"/>
                <w:sz w:val="22"/>
                <w:szCs w:val="22"/>
              </w:rPr>
            </w:pPr>
          </w:p>
        </w:tc>
        <w:tc>
          <w:tcPr>
            <w:tcW w:w="1170" w:type="dxa"/>
            <w:noWrap/>
            <w:hideMark/>
          </w:tcPr>
          <w:p w:rsidRPr="0053176C" w:rsidR="00BE4E59" w:rsidP="00A11949" w:rsidRDefault="00BE4E59" w14:paraId="636728E7"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$11.4</w:t>
            </w:r>
          </w:p>
        </w:tc>
        <w:tc>
          <w:tcPr>
            <w:tcW w:w="990" w:type="dxa"/>
            <w:noWrap/>
            <w:hideMark/>
          </w:tcPr>
          <w:p w:rsidRPr="0053176C" w:rsidR="00BE4E59" w:rsidP="00A11949" w:rsidRDefault="00BE4E59" w14:paraId="07991890"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$1.1</w:t>
            </w:r>
          </w:p>
        </w:tc>
        <w:tc>
          <w:tcPr>
            <w:tcW w:w="1350" w:type="dxa"/>
            <w:noWrap/>
            <w:hideMark/>
          </w:tcPr>
          <w:p w:rsidRPr="0053176C" w:rsidR="00BE4E59" w:rsidP="00A11949" w:rsidRDefault="00BE4E59" w14:paraId="174FFC58" w14:textId="77777777">
            <w:pPr>
              <w:jc w:val="center"/>
              <w:rPr>
                <w:rFonts w:ascii="Times New Roman" w:hAnsi="Times New Roman" w:eastAsia="Times New Roman" w:cs="Times New Roman"/>
                <w:sz w:val="22"/>
                <w:szCs w:val="22"/>
              </w:rPr>
            </w:pPr>
            <w:r w:rsidRPr="0053176C">
              <w:rPr>
                <w:rFonts w:ascii="Times New Roman" w:hAnsi="Times New Roman" w:cs="Times New Roman"/>
                <w:sz w:val="22"/>
                <w:szCs w:val="22"/>
              </w:rPr>
              <w:t>$0.008</w:t>
            </w:r>
          </w:p>
        </w:tc>
        <w:tc>
          <w:tcPr>
            <w:tcW w:w="1080" w:type="dxa"/>
          </w:tcPr>
          <w:p w:rsidRPr="0053176C" w:rsidR="00BE4E59" w:rsidP="00A11949" w:rsidRDefault="00BE4E59" w14:paraId="72908000" w14:textId="77777777">
            <w:pPr>
              <w:jc w:val="center"/>
              <w:rPr>
                <w:rFonts w:ascii="Times New Roman" w:hAnsi="Times New Roman" w:cs="Times New Roman"/>
                <w:sz w:val="22"/>
                <w:szCs w:val="22"/>
              </w:rPr>
            </w:pPr>
            <w:r w:rsidRPr="0053176C">
              <w:rPr>
                <w:rFonts w:ascii="Times New Roman" w:hAnsi="Times New Roman" w:cs="Times New Roman"/>
                <w:sz w:val="22"/>
                <w:szCs w:val="22"/>
              </w:rPr>
              <w:t>$5.1</w:t>
            </w:r>
          </w:p>
        </w:tc>
        <w:tc>
          <w:tcPr>
            <w:tcW w:w="990" w:type="dxa"/>
          </w:tcPr>
          <w:p w:rsidRPr="0053176C" w:rsidR="00BE4E59" w:rsidP="00A11949" w:rsidRDefault="00BE4E59" w14:paraId="2C8B7D82" w14:textId="77777777">
            <w:pPr>
              <w:jc w:val="center"/>
              <w:rPr>
                <w:rFonts w:ascii="Times New Roman" w:hAnsi="Times New Roman" w:cs="Times New Roman"/>
                <w:sz w:val="22"/>
                <w:szCs w:val="22"/>
              </w:rPr>
            </w:pPr>
            <w:r w:rsidRPr="0053176C">
              <w:rPr>
                <w:rFonts w:ascii="Times New Roman" w:hAnsi="Times New Roman" w:cs="Times New Roman"/>
                <w:sz w:val="22"/>
                <w:szCs w:val="22"/>
              </w:rPr>
              <w:t>$1.7</w:t>
            </w:r>
          </w:p>
        </w:tc>
        <w:tc>
          <w:tcPr>
            <w:tcW w:w="1345" w:type="dxa"/>
          </w:tcPr>
          <w:p w:rsidRPr="0053176C" w:rsidR="00BE4E59" w:rsidP="00A11949" w:rsidRDefault="00BE4E59" w14:paraId="7E5AA14A" w14:textId="77777777">
            <w:pPr>
              <w:jc w:val="center"/>
              <w:rPr>
                <w:rFonts w:ascii="Times New Roman" w:hAnsi="Times New Roman" w:cs="Times New Roman"/>
                <w:sz w:val="22"/>
                <w:szCs w:val="22"/>
              </w:rPr>
            </w:pPr>
            <w:r w:rsidRPr="0053176C">
              <w:rPr>
                <w:rFonts w:ascii="Times New Roman" w:hAnsi="Times New Roman" w:cs="Times New Roman"/>
                <w:sz w:val="22"/>
                <w:szCs w:val="22"/>
              </w:rPr>
              <w:t>$0.02</w:t>
            </w:r>
          </w:p>
        </w:tc>
      </w:tr>
      <w:tr w:rsidRPr="003E6BC0" w:rsidR="00BE4E59" w:rsidTr="00A11949" w14:paraId="706AA2BA" w14:textId="77777777">
        <w:trPr>
          <w:trHeight w:val="300"/>
        </w:trPr>
        <w:tc>
          <w:tcPr>
            <w:tcW w:w="1615" w:type="dxa"/>
            <w:noWrap/>
            <w:hideMark/>
          </w:tcPr>
          <w:p w:rsidRPr="0053176C" w:rsidR="00BE4E59" w:rsidP="00A11949" w:rsidRDefault="00BE4E59" w14:paraId="43767F5B"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Offsite Total</w:t>
            </w:r>
          </w:p>
        </w:tc>
        <w:tc>
          <w:tcPr>
            <w:tcW w:w="810" w:type="dxa"/>
            <w:noWrap/>
            <w:hideMark/>
          </w:tcPr>
          <w:p w:rsidRPr="0053176C" w:rsidR="00BE4E59" w:rsidP="00A11949" w:rsidRDefault="00BE4E59" w14:paraId="3400ABE3" w14:textId="77777777">
            <w:pPr>
              <w:jc w:val="center"/>
              <w:rPr>
                <w:rFonts w:ascii="Times New Roman" w:hAnsi="Times New Roman" w:eastAsia="Times New Roman" w:cs="Times New Roman"/>
                <w:b/>
                <w:bCs/>
                <w:color w:val="000000"/>
                <w:sz w:val="22"/>
                <w:szCs w:val="22"/>
              </w:rPr>
            </w:pPr>
          </w:p>
        </w:tc>
        <w:tc>
          <w:tcPr>
            <w:tcW w:w="1170" w:type="dxa"/>
            <w:noWrap/>
            <w:hideMark/>
          </w:tcPr>
          <w:p w:rsidRPr="0053176C" w:rsidR="00BE4E59" w:rsidP="00A11949" w:rsidRDefault="00BE4E59" w14:paraId="18CEF789"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$89.5</w:t>
            </w:r>
          </w:p>
        </w:tc>
        <w:tc>
          <w:tcPr>
            <w:tcW w:w="990" w:type="dxa"/>
            <w:noWrap/>
            <w:hideMark/>
          </w:tcPr>
          <w:p w:rsidRPr="0053176C" w:rsidR="00BE4E59" w:rsidP="00A11949" w:rsidRDefault="00BE4E59" w14:paraId="56FB14F7"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$8.9</w:t>
            </w:r>
          </w:p>
        </w:tc>
        <w:tc>
          <w:tcPr>
            <w:tcW w:w="1350" w:type="dxa"/>
            <w:noWrap/>
            <w:hideMark/>
          </w:tcPr>
          <w:p w:rsidRPr="0053176C" w:rsidR="00BE4E59" w:rsidP="00A11949" w:rsidRDefault="00BE4E59" w14:paraId="79602B88"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$0.06</w:t>
            </w:r>
          </w:p>
        </w:tc>
        <w:tc>
          <w:tcPr>
            <w:tcW w:w="1080" w:type="dxa"/>
          </w:tcPr>
          <w:p w:rsidRPr="0053176C" w:rsidR="00BE4E59" w:rsidP="00A11949" w:rsidRDefault="00BE4E59" w14:paraId="7972FE82"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$10.3</w:t>
            </w:r>
          </w:p>
        </w:tc>
        <w:tc>
          <w:tcPr>
            <w:tcW w:w="990" w:type="dxa"/>
          </w:tcPr>
          <w:p w:rsidRPr="0053176C" w:rsidR="00BE4E59" w:rsidP="00A11949" w:rsidRDefault="00BE4E59" w14:paraId="4B9AB60A"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$3.4</w:t>
            </w:r>
          </w:p>
        </w:tc>
        <w:tc>
          <w:tcPr>
            <w:tcW w:w="1345" w:type="dxa"/>
          </w:tcPr>
          <w:p w:rsidRPr="0053176C" w:rsidR="00BE4E59" w:rsidP="00A11949" w:rsidRDefault="00BE4E59" w14:paraId="09467E5E"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$0.03</w:t>
            </w:r>
          </w:p>
        </w:tc>
      </w:tr>
      <w:tr w:rsidRPr="003E6BC0" w:rsidR="00BE4E59" w:rsidTr="00A11949" w14:paraId="64F18731" w14:textId="77777777">
        <w:trPr>
          <w:trHeight w:val="300"/>
        </w:trPr>
        <w:tc>
          <w:tcPr>
            <w:tcW w:w="1615" w:type="dxa"/>
            <w:noWrap/>
            <w:hideMark/>
          </w:tcPr>
          <w:p w:rsidRPr="0053176C" w:rsidR="00BE4E59" w:rsidP="00A11949" w:rsidRDefault="00BE4E59" w14:paraId="45F1BDD2" w14:textId="77777777">
            <w:pPr>
              <w:jc w:val="center"/>
              <w:rPr>
                <w:rFonts w:ascii="Times New Roman" w:hAnsi="Times New Roman" w:eastAsia="Times New Roman" w:cs="Times New Roman"/>
                <w:b/>
                <w:bCs/>
                <w:color w:val="000000"/>
                <w:sz w:val="22"/>
                <w:szCs w:val="22"/>
              </w:rPr>
            </w:pPr>
            <w:r w:rsidRPr="0053176C">
              <w:rPr>
                <w:rFonts w:ascii="Times New Roman" w:hAnsi="Times New Roman" w:eastAsia="Times New Roman" w:cs="Times New Roman"/>
                <w:b/>
                <w:bCs/>
                <w:color w:val="000000"/>
                <w:sz w:val="22"/>
                <w:szCs w:val="22"/>
              </w:rPr>
              <w:t>Total</w:t>
            </w:r>
          </w:p>
        </w:tc>
        <w:tc>
          <w:tcPr>
            <w:tcW w:w="810" w:type="dxa"/>
            <w:noWrap/>
            <w:hideMark/>
          </w:tcPr>
          <w:p w:rsidRPr="0053176C" w:rsidR="00BE4E59" w:rsidP="00A11949" w:rsidRDefault="00BE4E59" w14:paraId="660BEBB1" w14:textId="77777777">
            <w:pPr>
              <w:jc w:val="center"/>
              <w:rPr>
                <w:rFonts w:ascii="Times New Roman" w:hAnsi="Times New Roman" w:eastAsia="Times New Roman" w:cs="Times New Roman"/>
                <w:b/>
                <w:bCs/>
                <w:color w:val="000000"/>
                <w:sz w:val="22"/>
                <w:szCs w:val="22"/>
              </w:rPr>
            </w:pPr>
          </w:p>
        </w:tc>
        <w:tc>
          <w:tcPr>
            <w:tcW w:w="1170" w:type="dxa"/>
            <w:noWrap/>
            <w:hideMark/>
          </w:tcPr>
          <w:p w:rsidRPr="0053176C" w:rsidR="00BE4E59" w:rsidP="00A11949" w:rsidRDefault="00BE4E59" w14:paraId="725DCD4C"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$2,747.3</w:t>
            </w:r>
          </w:p>
        </w:tc>
        <w:tc>
          <w:tcPr>
            <w:tcW w:w="990" w:type="dxa"/>
            <w:noWrap/>
            <w:hideMark/>
          </w:tcPr>
          <w:p w:rsidRPr="0053176C" w:rsidR="00BE4E59" w:rsidP="00A11949" w:rsidRDefault="00BE4E59" w14:paraId="1399E14F"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$274.7</w:t>
            </w:r>
          </w:p>
        </w:tc>
        <w:tc>
          <w:tcPr>
            <w:tcW w:w="1350" w:type="dxa"/>
            <w:noWrap/>
            <w:hideMark/>
          </w:tcPr>
          <w:p w:rsidRPr="0053176C" w:rsidR="00BE4E59" w:rsidP="00A11949" w:rsidRDefault="00BE4E59" w14:paraId="1165618E" w14:textId="77777777">
            <w:pPr>
              <w:jc w:val="center"/>
              <w:rPr>
                <w:rFonts w:ascii="Times New Roman" w:hAnsi="Times New Roman" w:cs="Times New Roman"/>
                <w:b/>
                <w:color w:val="000000"/>
                <w:sz w:val="22"/>
                <w:szCs w:val="22"/>
              </w:rPr>
            </w:pPr>
            <w:r w:rsidRPr="0053176C">
              <w:rPr>
                <w:rFonts w:ascii="Times New Roman" w:hAnsi="Times New Roman" w:cs="Times New Roman"/>
                <w:b/>
                <w:bCs/>
                <w:color w:val="000000"/>
                <w:sz w:val="22"/>
                <w:szCs w:val="22"/>
              </w:rPr>
              <w:t>$1.8</w:t>
            </w:r>
          </w:p>
        </w:tc>
        <w:tc>
          <w:tcPr>
            <w:tcW w:w="1080" w:type="dxa"/>
          </w:tcPr>
          <w:p w:rsidRPr="0053176C" w:rsidR="00BE4E59" w:rsidP="00A11949" w:rsidRDefault="00BE4E59" w14:paraId="795C2D7E"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$642.7</w:t>
            </w:r>
          </w:p>
        </w:tc>
        <w:tc>
          <w:tcPr>
            <w:tcW w:w="990" w:type="dxa"/>
          </w:tcPr>
          <w:p w:rsidRPr="0053176C" w:rsidR="00BE4E59" w:rsidP="00A11949" w:rsidRDefault="00BE4E59" w14:paraId="604A41B8"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$214.2</w:t>
            </w:r>
          </w:p>
        </w:tc>
        <w:tc>
          <w:tcPr>
            <w:tcW w:w="1345" w:type="dxa"/>
          </w:tcPr>
          <w:p w:rsidRPr="0053176C" w:rsidR="00BE4E59" w:rsidP="00A11949" w:rsidRDefault="00BE4E59" w14:paraId="1BC80EEE" w14:textId="77777777">
            <w:pPr>
              <w:jc w:val="center"/>
              <w:rPr>
                <w:rFonts w:ascii="Times New Roman" w:hAnsi="Times New Roman" w:cs="Times New Roman"/>
                <w:b/>
                <w:bCs/>
                <w:color w:val="000000"/>
                <w:sz w:val="22"/>
                <w:szCs w:val="22"/>
              </w:rPr>
            </w:pPr>
            <w:r w:rsidRPr="0053176C">
              <w:rPr>
                <w:rFonts w:ascii="Times New Roman" w:hAnsi="Times New Roman" w:cs="Times New Roman"/>
                <w:b/>
                <w:bCs/>
                <w:color w:val="000000"/>
                <w:sz w:val="22"/>
                <w:szCs w:val="22"/>
              </w:rPr>
              <w:t>$1.9</w:t>
            </w:r>
          </w:p>
        </w:tc>
      </w:tr>
    </w:tbl>
    <w:p w:rsidR="00BE4E59" w:rsidP="00BE4E59" w:rsidRDefault="00BE4E59" w14:paraId="20DC4EA0" w14:textId="77777777">
      <w:pPr>
        <w:spacing w:before="80" w:after="0" w:line="192" w:lineRule="auto"/>
        <w:rPr>
          <w:rFonts w:ascii="Times New Roman" w:hAnsi="Times New Roman" w:cs="Times New Roman"/>
          <w:sz w:val="20"/>
          <w:szCs w:val="20"/>
        </w:rPr>
      </w:pPr>
      <w:r w:rsidRPr="0053176C">
        <w:rPr>
          <w:rFonts w:ascii="Times New Roman" w:hAnsi="Times New Roman" w:cs="Times New Roman"/>
          <w:sz w:val="20"/>
          <w:szCs w:val="20"/>
        </w:rPr>
        <w:t xml:space="preserve">* The unit value for evacuations is less than </w:t>
      </w:r>
      <w:r>
        <w:rPr>
          <w:rFonts w:ascii="Times New Roman" w:hAnsi="Times New Roman" w:cs="Times New Roman"/>
          <w:sz w:val="20"/>
          <w:szCs w:val="20"/>
        </w:rPr>
        <w:t xml:space="preserve">$200 </w:t>
      </w:r>
      <w:r w:rsidRPr="0053176C">
        <w:rPr>
          <w:rFonts w:ascii="Times New Roman" w:hAnsi="Times New Roman" w:cs="Times New Roman"/>
          <w:sz w:val="20"/>
          <w:szCs w:val="20"/>
        </w:rPr>
        <w:t xml:space="preserve">and for sheltering in place is less than </w:t>
      </w:r>
      <w:r>
        <w:rPr>
          <w:rFonts w:ascii="Times New Roman" w:hAnsi="Times New Roman" w:cs="Times New Roman"/>
          <w:sz w:val="20"/>
          <w:szCs w:val="20"/>
        </w:rPr>
        <w:t xml:space="preserve">$100 </w:t>
      </w:r>
      <w:r w:rsidRPr="0053176C">
        <w:rPr>
          <w:rFonts w:ascii="Times New Roman" w:hAnsi="Times New Roman" w:cs="Times New Roman"/>
          <w:sz w:val="20"/>
          <w:szCs w:val="20"/>
        </w:rPr>
        <w:t>so when expressed in rounded millions</w:t>
      </w:r>
      <w:r>
        <w:rPr>
          <w:rFonts w:ascii="Times New Roman" w:hAnsi="Times New Roman" w:cs="Times New Roman"/>
          <w:sz w:val="20"/>
          <w:szCs w:val="20"/>
        </w:rPr>
        <w:t>,</w:t>
      </w:r>
      <w:r w:rsidRPr="0053176C">
        <w:rPr>
          <w:rFonts w:ascii="Times New Roman" w:hAnsi="Times New Roman" w:cs="Times New Roman"/>
          <w:sz w:val="20"/>
          <w:szCs w:val="20"/>
        </w:rPr>
        <w:t xml:space="preserve"> the value represented in the table is </w:t>
      </w:r>
      <w:r>
        <w:rPr>
          <w:rFonts w:ascii="Times New Roman" w:hAnsi="Times New Roman" w:cs="Times New Roman"/>
          <w:sz w:val="20"/>
          <w:szCs w:val="20"/>
        </w:rPr>
        <w:t>$0.</w:t>
      </w:r>
    </w:p>
    <w:p w:rsidRPr="00820AED" w:rsidR="00BE4E59" w:rsidP="00BE4E59" w:rsidRDefault="00BE4E59" w14:paraId="3EC11236" w14:textId="77777777">
      <w:pPr>
        <w:spacing w:before="80" w:after="0" w:line="192" w:lineRule="auto"/>
        <w:rPr>
          <w:rFonts w:ascii="Times New Roman" w:hAnsi="Times New Roman" w:cs="Times New Roman"/>
          <w:vertAlign w:val="superscript"/>
        </w:rPr>
      </w:pPr>
    </w:p>
    <w:p w:rsidR="00C57989" w:rsidP="00587204" w:rsidRDefault="00BE4E59" w14:paraId="03A596B5" w14:textId="35721603">
      <w:pPr>
        <w:spacing w:after="0" w:line="240" w:lineRule="auto"/>
        <w:ind w:firstLine="720"/>
        <w:rPr>
          <w:rFonts w:ascii="Times New Roman" w:hAnsi="Times New Roman" w:eastAsia="Calibri" w:cs="Times New Roman"/>
        </w:rPr>
      </w:pPr>
      <w:r>
        <w:rPr>
          <w:rFonts w:ascii="Times New Roman" w:hAnsi="Times New Roman" w:cs="Times New Roman"/>
        </w:rPr>
        <w:tab/>
        <w:t xml:space="preserve">The estimates of monetized accident damages for the two prior time periods give lower values; for example, the average per year is $275 million for 2004 to </w:t>
      </w:r>
      <w:proofErr w:type="gramStart"/>
      <w:r>
        <w:rPr>
          <w:rFonts w:ascii="Times New Roman" w:hAnsi="Times New Roman" w:cs="Times New Roman"/>
        </w:rPr>
        <w:t>2013, and</w:t>
      </w:r>
      <w:proofErr w:type="gramEnd"/>
      <w:r>
        <w:rPr>
          <w:rFonts w:ascii="Times New Roman" w:hAnsi="Times New Roman" w:cs="Times New Roman"/>
        </w:rPr>
        <w:t xml:space="preserve"> is $214 million for 2014 to 2016. The average per accident is $1.8 million for 2004 to 2013 and is $1.9 million for 2014 to 2016. Significant contributing factors to the higher values appearing in Exhibit 3-13 estimated for the most recent five-year period are the high</w:t>
      </w:r>
      <w:r w:rsidRPr="00BF42A8">
        <w:rPr>
          <w:rFonts w:ascii="Times New Roman" w:hAnsi="Times New Roman" w:cs="Times New Roman"/>
        </w:rPr>
        <w:t xml:space="preserve"> property damage</w:t>
      </w:r>
      <w:r>
        <w:rPr>
          <w:rFonts w:ascii="Times New Roman" w:hAnsi="Times New Roman" w:cs="Times New Roman"/>
        </w:rPr>
        <w:t xml:space="preserve"> and number of evacuations f</w:t>
      </w:r>
      <w:r w:rsidRPr="00BF42A8">
        <w:rPr>
          <w:rFonts w:ascii="Times New Roman" w:hAnsi="Times New Roman" w:cs="Times New Roman"/>
        </w:rPr>
        <w:t xml:space="preserve">rom </w:t>
      </w:r>
      <w:r>
        <w:rPr>
          <w:rFonts w:ascii="Times New Roman" w:hAnsi="Times New Roman" w:cs="Times New Roman"/>
        </w:rPr>
        <w:t>the TPC Group Chemical Plant explosion and fire</w:t>
      </w:r>
      <w:r w:rsidRPr="00BF42A8">
        <w:rPr>
          <w:rFonts w:ascii="Times New Roman" w:hAnsi="Times New Roman" w:cs="Times New Roman"/>
        </w:rPr>
        <w:t xml:space="preserve"> in Port Neches, TX in 2019</w:t>
      </w:r>
      <w:r>
        <w:rPr>
          <w:rFonts w:ascii="Times New Roman" w:hAnsi="Times New Roman" w:cs="Times New Roman"/>
        </w:rPr>
        <w:t>.</w:t>
      </w:r>
    </w:p>
    <w:p w:rsidRPr="00587204" w:rsidR="00253244" w:rsidP="00587204" w:rsidRDefault="00253244" w14:paraId="74C34B27" w14:textId="77777777">
      <w:pPr>
        <w:spacing w:after="0" w:line="240" w:lineRule="auto"/>
        <w:ind w:firstLine="720"/>
        <w:rPr>
          <w:rFonts w:ascii="Times New Roman" w:hAnsi="Times New Roman" w:eastAsia="Calibri" w:cs="Times New Roman"/>
        </w:rPr>
      </w:pPr>
    </w:p>
    <w:p w:rsidRPr="00587204" w:rsidR="00093C0A" w:rsidP="00813745" w:rsidRDefault="00093C0A" w14:paraId="5AF4CBF6" w14:textId="56453D5B">
      <w:pPr>
        <w:pStyle w:val="Heading2"/>
      </w:pPr>
      <w:bookmarkStart w:name="_Toc98856211" w:id="41"/>
      <w:bookmarkStart w:name="_Toc110502742" w:id="42"/>
      <w:r w:rsidRPr="00587204">
        <w:t>3.</w:t>
      </w:r>
      <w:r w:rsidR="00A25414">
        <w:t>5</w:t>
      </w:r>
      <w:r w:rsidRPr="00587204">
        <w:t xml:space="preserve"> Limitations</w:t>
      </w:r>
      <w:bookmarkEnd w:id="41"/>
      <w:bookmarkEnd w:id="42"/>
    </w:p>
    <w:p w:rsidR="00093C0A" w:rsidP="00305374" w:rsidRDefault="00BA064B" w14:paraId="1BF88265" w14:textId="64CC4260">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141984">
        <w:rPr>
          <w:rFonts w:ascii="Times New Roman" w:hAnsi="Times New Roman" w:eastAsia="Calibri" w:cs="Times New Roman"/>
        </w:rPr>
        <w:t xml:space="preserve">While it </w:t>
      </w:r>
      <w:r w:rsidRPr="00587204" w:rsidR="00E9299D">
        <w:rPr>
          <w:rFonts w:ascii="Times New Roman" w:hAnsi="Times New Roman" w:eastAsia="Calibri" w:cs="Times New Roman"/>
        </w:rPr>
        <w:t xml:space="preserve">is </w:t>
      </w:r>
      <w:r w:rsidRPr="00587204" w:rsidR="00141984">
        <w:rPr>
          <w:rFonts w:ascii="Times New Roman" w:hAnsi="Times New Roman" w:eastAsia="Calibri" w:cs="Times New Roman"/>
        </w:rPr>
        <w:t>standard practice fo</w:t>
      </w:r>
      <w:r w:rsidRPr="00587204" w:rsidR="00F95E96">
        <w:rPr>
          <w:rFonts w:ascii="Times New Roman" w:hAnsi="Times New Roman" w:eastAsia="Calibri" w:cs="Times New Roman"/>
        </w:rPr>
        <w:t xml:space="preserve">r EPA to assume </w:t>
      </w:r>
      <w:r w:rsidRPr="00587204" w:rsidR="00093C0A">
        <w:rPr>
          <w:rFonts w:ascii="Times New Roman" w:hAnsi="Times New Roman" w:eastAsia="Calibri" w:cs="Times New Roman"/>
        </w:rPr>
        <w:t xml:space="preserve">that every facility subject to the RMP </w:t>
      </w:r>
      <w:r w:rsidR="009644D8">
        <w:rPr>
          <w:rFonts w:ascii="Times New Roman" w:hAnsi="Times New Roman" w:eastAsia="Calibri" w:cs="Times New Roman"/>
        </w:rPr>
        <w:t>r</w:t>
      </w:r>
      <w:r w:rsidRPr="00587204" w:rsidR="00093C0A">
        <w:rPr>
          <w:rFonts w:ascii="Times New Roman" w:hAnsi="Times New Roman" w:eastAsia="Calibri" w:cs="Times New Roman"/>
        </w:rPr>
        <w:t xml:space="preserve">ule has registered with EPA and filed an RMP; EPA recognizes that </w:t>
      </w:r>
      <w:r w:rsidRPr="00587204" w:rsidR="0030268C">
        <w:rPr>
          <w:rFonts w:ascii="Times New Roman" w:hAnsi="Times New Roman" w:eastAsia="Calibri" w:cs="Times New Roman"/>
        </w:rPr>
        <w:t>assumption</w:t>
      </w:r>
      <w:r w:rsidRPr="00587204" w:rsidR="00093C0A">
        <w:rPr>
          <w:rFonts w:ascii="Times New Roman" w:hAnsi="Times New Roman" w:eastAsia="Calibri" w:cs="Times New Roman"/>
        </w:rPr>
        <w:t xml:space="preserve"> may not be accurate. EPA and delegated implementing agencies search for and occasionally identify RMP facilities that have failed to submit RMPs. Historically, relatively few of these “non-filers” have been found, but EPA </w:t>
      </w:r>
      <w:r w:rsidRPr="00587204" w:rsidR="0003075F">
        <w:rPr>
          <w:rFonts w:ascii="Times New Roman" w:hAnsi="Times New Roman" w:eastAsia="Calibri" w:cs="Times New Roman"/>
        </w:rPr>
        <w:t xml:space="preserve">is unable to </w:t>
      </w:r>
      <w:r w:rsidRPr="00587204" w:rsidR="00093C0A">
        <w:rPr>
          <w:rFonts w:ascii="Times New Roman" w:hAnsi="Times New Roman" w:eastAsia="Calibri" w:cs="Times New Roman"/>
        </w:rPr>
        <w:t>determin</w:t>
      </w:r>
      <w:r w:rsidRPr="00587204" w:rsidR="0003075F">
        <w:rPr>
          <w:rFonts w:ascii="Times New Roman" w:hAnsi="Times New Roman" w:eastAsia="Calibri" w:cs="Times New Roman"/>
        </w:rPr>
        <w:t>e</w:t>
      </w:r>
      <w:r w:rsidRPr="00587204" w:rsidR="00093C0A">
        <w:rPr>
          <w:rFonts w:ascii="Times New Roman" w:hAnsi="Times New Roman" w:eastAsia="Calibri" w:cs="Times New Roman"/>
        </w:rPr>
        <w:t xml:space="preserve"> the full extent of such non-compliance. </w:t>
      </w:r>
      <w:r w:rsidRPr="00587204" w:rsidR="004A505E">
        <w:rPr>
          <w:rFonts w:ascii="Times New Roman" w:hAnsi="Times New Roman" w:eastAsia="Calibri" w:cs="Times New Roman"/>
        </w:rPr>
        <w:t>In addition, EPA recognizes that</w:t>
      </w:r>
      <w:r w:rsidRPr="00587204" w:rsidR="00093C0A">
        <w:rPr>
          <w:rFonts w:ascii="Times New Roman" w:hAnsi="Times New Roman" w:eastAsia="Calibri" w:cs="Times New Roman"/>
        </w:rPr>
        <w:t xml:space="preserve"> the RMP </w:t>
      </w:r>
      <w:r w:rsidRPr="00587204" w:rsidR="00043AFE">
        <w:rPr>
          <w:rFonts w:ascii="Times New Roman" w:hAnsi="Times New Roman" w:eastAsia="Calibri" w:cs="Times New Roman"/>
        </w:rPr>
        <w:t>D</w:t>
      </w:r>
      <w:r w:rsidRPr="00587204" w:rsidR="00093C0A">
        <w:rPr>
          <w:rFonts w:ascii="Times New Roman" w:hAnsi="Times New Roman" w:eastAsia="Calibri" w:cs="Times New Roman"/>
        </w:rPr>
        <w:t>atabase may include facilities that are no longer operational</w:t>
      </w:r>
      <w:r w:rsidRPr="00587204" w:rsidR="004A505E">
        <w:rPr>
          <w:rFonts w:ascii="Times New Roman" w:hAnsi="Times New Roman" w:eastAsia="Calibri" w:cs="Times New Roman"/>
        </w:rPr>
        <w:t xml:space="preserve"> after</w:t>
      </w:r>
      <w:r w:rsidRPr="00587204" w:rsidR="00FD3285">
        <w:rPr>
          <w:rFonts w:ascii="Times New Roman" w:hAnsi="Times New Roman" w:eastAsia="Calibri" w:cs="Times New Roman"/>
        </w:rPr>
        <w:t xml:space="preserve"> December 31, </w:t>
      </w:r>
      <w:proofErr w:type="gramStart"/>
      <w:r w:rsidRPr="00587204" w:rsidR="00FD3285">
        <w:rPr>
          <w:rFonts w:ascii="Times New Roman" w:hAnsi="Times New Roman" w:eastAsia="Calibri" w:cs="Times New Roman"/>
        </w:rPr>
        <w:t>2020</w:t>
      </w:r>
      <w:proofErr w:type="gramEnd"/>
      <w:r w:rsidRPr="00587204" w:rsidR="00093C0A">
        <w:rPr>
          <w:rFonts w:ascii="Times New Roman" w:hAnsi="Times New Roman" w:eastAsia="Calibri" w:cs="Times New Roman"/>
        </w:rPr>
        <w:t xml:space="preserve"> but failed to follow the requirements to deregister.  </w:t>
      </w:r>
    </w:p>
    <w:p w:rsidR="00BA064B" w:rsidP="00305374" w:rsidRDefault="00BA064B" w14:paraId="75871893" w14:textId="477261C8">
      <w:pPr>
        <w:spacing w:after="0" w:line="240" w:lineRule="auto"/>
        <w:ind w:firstLine="360"/>
        <w:rPr>
          <w:rFonts w:ascii="Times New Roman" w:hAnsi="Times New Roman" w:eastAsia="Calibri" w:cs="Times New Roman"/>
        </w:rPr>
      </w:pPr>
    </w:p>
    <w:p w:rsidRPr="00587204" w:rsidR="0075046B" w:rsidP="00305374" w:rsidRDefault="008C03A9" w14:paraId="0179D71F" w14:textId="48DB761E">
      <w:pPr>
        <w:spacing w:after="0" w:line="240" w:lineRule="auto"/>
        <w:ind w:firstLine="360"/>
        <w:rPr>
          <w:rFonts w:ascii="Times New Roman" w:hAnsi="Times New Roman" w:eastAsia="Calibri" w:cs="Times New Roman"/>
        </w:rPr>
      </w:pPr>
      <w:r>
        <w:rPr>
          <w:rFonts w:ascii="Times New Roman" w:hAnsi="Times New Roman" w:eastAsia="Calibri" w:cs="Times New Roman"/>
        </w:rPr>
        <w:tab/>
      </w:r>
      <w:r w:rsidRPr="00587204" w:rsidR="00093C0A">
        <w:rPr>
          <w:rFonts w:ascii="Times New Roman" w:hAnsi="Times New Roman" w:eastAsia="Calibri" w:cs="Times New Roman"/>
        </w:rPr>
        <w:t>The number</w:t>
      </w:r>
      <w:r w:rsidRPr="00587204" w:rsidR="00FD3285">
        <w:rPr>
          <w:rFonts w:ascii="Times New Roman" w:hAnsi="Times New Roman" w:eastAsia="Calibri" w:cs="Times New Roman"/>
        </w:rPr>
        <w:t>s</w:t>
      </w:r>
      <w:r w:rsidRPr="00587204" w:rsidR="00093C0A">
        <w:rPr>
          <w:rFonts w:ascii="Times New Roman" w:hAnsi="Times New Roman" w:eastAsia="Calibri" w:cs="Times New Roman"/>
        </w:rPr>
        <w:t xml:space="preserve"> of RMP facilities and processes </w:t>
      </w:r>
      <w:r w:rsidRPr="00587204" w:rsidR="00FD3285">
        <w:rPr>
          <w:rFonts w:ascii="Times New Roman" w:hAnsi="Times New Roman" w:eastAsia="Calibri" w:cs="Times New Roman"/>
        </w:rPr>
        <w:t>are</w:t>
      </w:r>
      <w:r w:rsidRPr="00587204" w:rsidR="00093C0A">
        <w:rPr>
          <w:rFonts w:ascii="Times New Roman" w:hAnsi="Times New Roman" w:eastAsia="Calibri" w:cs="Times New Roman"/>
        </w:rPr>
        <w:t xml:space="preserve"> expected to change over the period of analysis because of firms that will grow, shrink, close, or open in the near or distant future. Despite these expected changes and other limitations, </w:t>
      </w:r>
      <w:r w:rsidRPr="00587204" w:rsidR="00440F89">
        <w:rPr>
          <w:rFonts w:ascii="Times New Roman" w:hAnsi="Times New Roman" w:eastAsia="Calibri" w:cs="Times New Roman"/>
        </w:rPr>
        <w:t>t</w:t>
      </w:r>
      <w:r w:rsidRPr="00587204" w:rsidR="00093C0A">
        <w:rPr>
          <w:rFonts w:ascii="Times New Roman" w:hAnsi="Times New Roman" w:eastAsia="Calibri" w:cs="Times New Roman"/>
        </w:rPr>
        <w:t xml:space="preserve">he analysis relies on the number and nature of RMP facilities and processes </w:t>
      </w:r>
      <w:r w:rsidRPr="00587204" w:rsidR="0003075F">
        <w:rPr>
          <w:rFonts w:ascii="Times New Roman" w:hAnsi="Times New Roman" w:eastAsia="Calibri" w:cs="Times New Roman"/>
        </w:rPr>
        <w:t xml:space="preserve">in the RMP Database as </w:t>
      </w:r>
      <w:r w:rsidRPr="00587204" w:rsidR="00093C0A">
        <w:rPr>
          <w:rFonts w:ascii="Times New Roman" w:hAnsi="Times New Roman" w:eastAsia="Calibri" w:cs="Times New Roman"/>
        </w:rPr>
        <w:t>of December 31, 2020, using the August 1, 2021</w:t>
      </w:r>
      <w:r w:rsidRPr="00587204" w:rsidR="00BF6585">
        <w:rPr>
          <w:rFonts w:ascii="Times New Roman" w:hAnsi="Times New Roman" w:eastAsia="Calibri" w:cs="Times New Roman"/>
        </w:rPr>
        <w:t>,</w:t>
      </w:r>
      <w:r w:rsidRPr="00587204" w:rsidR="00093C0A">
        <w:rPr>
          <w:rFonts w:ascii="Times New Roman" w:hAnsi="Times New Roman" w:eastAsia="Calibri" w:cs="Times New Roman"/>
        </w:rPr>
        <w:t xml:space="preserve"> RMP </w:t>
      </w:r>
      <w:r w:rsidRPr="00587204" w:rsidR="006B15C9">
        <w:rPr>
          <w:rFonts w:ascii="Times New Roman" w:hAnsi="Times New Roman" w:eastAsia="Calibri" w:cs="Times New Roman"/>
        </w:rPr>
        <w:t>D</w:t>
      </w:r>
      <w:r w:rsidRPr="00587204" w:rsidR="00093C0A">
        <w:rPr>
          <w:rFonts w:ascii="Times New Roman" w:hAnsi="Times New Roman" w:eastAsia="Calibri" w:cs="Times New Roman"/>
        </w:rPr>
        <w:t xml:space="preserve">atabase as a constant estimate of future RMP facilities/processes. EPA selected this database version </w:t>
      </w:r>
      <w:r w:rsidRPr="00587204" w:rsidR="0051061F">
        <w:rPr>
          <w:rFonts w:ascii="Times New Roman" w:hAnsi="Times New Roman" w:eastAsia="Calibri" w:cs="Times New Roman"/>
        </w:rPr>
        <w:t xml:space="preserve">to reflect the most recent information about RMP facility numbers and characteristics and </w:t>
      </w:r>
      <w:r w:rsidRPr="00587204" w:rsidR="00440F89">
        <w:rPr>
          <w:rFonts w:ascii="Times New Roman" w:hAnsi="Times New Roman" w:eastAsia="Calibri" w:cs="Times New Roman"/>
        </w:rPr>
        <w:t>because</w:t>
      </w:r>
      <w:r w:rsidRPr="00587204" w:rsidR="00093C0A">
        <w:rPr>
          <w:rFonts w:ascii="Times New Roman" w:hAnsi="Times New Roman" w:eastAsia="Calibri" w:cs="Times New Roman"/>
        </w:rPr>
        <w:t xml:space="preserve"> facilities are required to report accidents within six months</w:t>
      </w:r>
      <w:r w:rsidRPr="00587204" w:rsidR="00E53B06">
        <w:rPr>
          <w:rFonts w:ascii="Times New Roman" w:hAnsi="Times New Roman" w:eastAsia="Calibri" w:cs="Times New Roman"/>
        </w:rPr>
        <w:t>;</w:t>
      </w:r>
      <w:r w:rsidRPr="00587204" w:rsidR="00093C0A">
        <w:rPr>
          <w:rFonts w:ascii="Times New Roman" w:hAnsi="Times New Roman" w:eastAsia="Calibri" w:cs="Times New Roman"/>
        </w:rPr>
        <w:t xml:space="preserve"> therefore, a cutoff date of August 1, 2021</w:t>
      </w:r>
      <w:r w:rsidRPr="00587204" w:rsidR="00BF6585">
        <w:rPr>
          <w:rFonts w:ascii="Times New Roman" w:hAnsi="Times New Roman" w:eastAsia="Calibri" w:cs="Times New Roman"/>
        </w:rPr>
        <w:t>,</w:t>
      </w:r>
      <w:r w:rsidRPr="00587204" w:rsidR="00093C0A">
        <w:rPr>
          <w:rFonts w:ascii="Times New Roman" w:hAnsi="Times New Roman" w:eastAsia="Calibri" w:cs="Times New Roman"/>
        </w:rPr>
        <w:t xml:space="preserve"> should include all facilities reporting accidents as of December 31, 2020. </w:t>
      </w:r>
      <w:r w:rsidRPr="00587204" w:rsidR="00130541">
        <w:rPr>
          <w:rFonts w:ascii="Times New Roman" w:hAnsi="Times New Roman" w:eastAsia="Calibri" w:cs="Times New Roman"/>
        </w:rPr>
        <w:t xml:space="preserve">However, some facilities may have not reported </w:t>
      </w:r>
      <w:r w:rsidRPr="00587204" w:rsidR="00E53B06">
        <w:rPr>
          <w:rFonts w:ascii="Times New Roman" w:hAnsi="Times New Roman" w:eastAsia="Calibri" w:cs="Times New Roman"/>
        </w:rPr>
        <w:t xml:space="preserve">their </w:t>
      </w:r>
      <w:r w:rsidRPr="00587204" w:rsidR="00130541">
        <w:rPr>
          <w:rFonts w:ascii="Times New Roman" w:hAnsi="Times New Roman" w:eastAsia="Calibri" w:cs="Times New Roman"/>
        </w:rPr>
        <w:t>accidents</w:t>
      </w:r>
      <w:r w:rsidRPr="00587204" w:rsidR="00E53B06">
        <w:rPr>
          <w:rFonts w:ascii="Times New Roman" w:hAnsi="Times New Roman" w:eastAsia="Calibri" w:cs="Times New Roman"/>
        </w:rPr>
        <w:t xml:space="preserve"> as they are</w:t>
      </w:r>
      <w:r w:rsidRPr="00587204" w:rsidR="00130541">
        <w:rPr>
          <w:rFonts w:ascii="Times New Roman" w:hAnsi="Times New Roman" w:eastAsia="Calibri" w:cs="Times New Roman"/>
        </w:rPr>
        <w:t xml:space="preserve"> required</w:t>
      </w:r>
      <w:r w:rsidRPr="00587204" w:rsidR="00E53B06">
        <w:rPr>
          <w:rFonts w:ascii="Times New Roman" w:hAnsi="Times New Roman" w:eastAsia="Calibri" w:cs="Times New Roman"/>
        </w:rPr>
        <w:t xml:space="preserve"> to do.</w:t>
      </w:r>
    </w:p>
    <w:p w:rsidRPr="00587204" w:rsidR="0075046B" w:rsidP="00587204" w:rsidRDefault="0075046B" w14:paraId="79C3B6D0" w14:textId="77777777">
      <w:pPr>
        <w:spacing w:after="0" w:line="240" w:lineRule="auto"/>
        <w:rPr>
          <w:rFonts w:ascii="Times New Roman" w:hAnsi="Times New Roman" w:eastAsia="Calibri" w:cs="Times New Roman"/>
        </w:rPr>
      </w:pPr>
      <w:r w:rsidRPr="00587204">
        <w:rPr>
          <w:rFonts w:ascii="Times New Roman" w:hAnsi="Times New Roman" w:eastAsia="Calibri" w:cs="Times New Roman"/>
        </w:rPr>
        <w:br w:type="page"/>
      </w:r>
    </w:p>
    <w:p w:rsidRPr="007B78B6" w:rsidR="00C5384D" w:rsidP="000409BE" w:rsidRDefault="00C5384D" w14:paraId="18BA75E9" w14:textId="5A19453F">
      <w:pPr>
        <w:pStyle w:val="Heading1"/>
      </w:pPr>
      <w:bookmarkStart w:name="_Toc98856212" w:id="43"/>
      <w:bookmarkStart w:name="_Toc110502743" w:id="44"/>
      <w:r w:rsidRPr="007B78B6">
        <w:lastRenderedPageBreak/>
        <w:t>CHAPTER 4</w:t>
      </w:r>
      <w:r w:rsidR="00BF42A8">
        <w:t>:</w:t>
      </w:r>
      <w:r w:rsidRPr="007B78B6">
        <w:t xml:space="preserve"> Costs of </w:t>
      </w:r>
      <w:r w:rsidR="0065012C">
        <w:t xml:space="preserve">Proposed </w:t>
      </w:r>
      <w:r w:rsidRPr="007B78B6">
        <w:t>Rule Revisions</w:t>
      </w:r>
      <w:bookmarkEnd w:id="43"/>
      <w:bookmarkEnd w:id="44"/>
    </w:p>
    <w:p w:rsidRPr="004D4B61" w:rsidR="00E027B6" w:rsidP="00DB08C1" w:rsidRDefault="00BA064B" w14:paraId="29ECDF5E" w14:textId="7DF45C7F">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This chapter outlines the assumptions </w:t>
      </w:r>
      <w:r w:rsidRPr="004D4B61" w:rsidR="00E53B06">
        <w:rPr>
          <w:rFonts w:ascii="Times New Roman" w:hAnsi="Times New Roman" w:cs="Times New Roman"/>
        </w:rPr>
        <w:t xml:space="preserve">EPA </w:t>
      </w:r>
      <w:r w:rsidRPr="004D4B61" w:rsidR="00C5384D">
        <w:rPr>
          <w:rFonts w:ascii="Times New Roman" w:hAnsi="Times New Roman" w:cs="Times New Roman"/>
        </w:rPr>
        <w:t xml:space="preserve">used to estimate the incremental costs of the </w:t>
      </w:r>
      <w:r w:rsidRPr="004D4B61" w:rsidR="0065012C">
        <w:rPr>
          <w:rFonts w:ascii="Times New Roman" w:hAnsi="Times New Roman" w:cs="Times New Roman"/>
        </w:rPr>
        <w:t xml:space="preserve">proposed </w:t>
      </w:r>
      <w:r w:rsidRPr="004D4B61" w:rsidR="00C5384D">
        <w:rPr>
          <w:rFonts w:ascii="Times New Roman" w:hAnsi="Times New Roman" w:cs="Times New Roman"/>
        </w:rPr>
        <w:t xml:space="preserve">revisions to the Risk Management Program. </w:t>
      </w:r>
      <w:r w:rsidRPr="004D4B61" w:rsidR="000D2E5A">
        <w:rPr>
          <w:rFonts w:ascii="Times New Roman" w:hAnsi="Times New Roman" w:cs="Times New Roman"/>
        </w:rPr>
        <w:t>This RIA</w:t>
      </w:r>
      <w:r w:rsidRPr="004D4B61" w:rsidR="00C5384D">
        <w:rPr>
          <w:rFonts w:ascii="Times New Roman" w:hAnsi="Times New Roman" w:cs="Times New Roman"/>
        </w:rPr>
        <w:t xml:space="preserve"> does not estimate the baseline costs incurred to comply with the </w:t>
      </w:r>
      <w:r w:rsidR="00472B3B">
        <w:rPr>
          <w:rFonts w:ascii="Times New Roman" w:hAnsi="Times New Roman" w:cs="Times New Roman"/>
        </w:rPr>
        <w:t>current</w:t>
      </w:r>
      <w:r w:rsidRPr="004D4B61" w:rsidR="00C5384D">
        <w:rPr>
          <w:rFonts w:ascii="Times New Roman" w:hAnsi="Times New Roman" w:cs="Times New Roman"/>
        </w:rPr>
        <w:t xml:space="preserve"> RMP regulations</w:t>
      </w:r>
      <w:r w:rsidR="00B031A2">
        <w:rPr>
          <w:rFonts w:ascii="Times New Roman" w:hAnsi="Times New Roman" w:cs="Times New Roman"/>
        </w:rPr>
        <w:t xml:space="preserve"> – b</w:t>
      </w:r>
      <w:r w:rsidRPr="00B031A2" w:rsidR="00B031A2">
        <w:rPr>
          <w:rFonts w:ascii="Times New Roman" w:hAnsi="Times New Roman" w:cs="Times New Roman"/>
        </w:rPr>
        <w:t>aseline</w:t>
      </w:r>
      <w:r w:rsidR="00B031A2">
        <w:rPr>
          <w:rFonts w:ascii="Times New Roman" w:hAnsi="Times New Roman" w:cs="Times New Roman"/>
        </w:rPr>
        <w:t xml:space="preserve"> </w:t>
      </w:r>
      <w:r w:rsidRPr="00B031A2" w:rsidR="00B031A2">
        <w:rPr>
          <w:rFonts w:ascii="Times New Roman" w:hAnsi="Times New Roman" w:cs="Times New Roman"/>
        </w:rPr>
        <w:t>costs</w:t>
      </w:r>
      <w:r w:rsidR="00B031A2">
        <w:rPr>
          <w:rFonts w:ascii="Times New Roman" w:hAnsi="Times New Roman" w:cs="Times New Roman"/>
        </w:rPr>
        <w:t>,</w:t>
      </w:r>
      <w:r w:rsidRPr="00B031A2" w:rsidR="00B031A2">
        <w:rPr>
          <w:rFonts w:ascii="Times New Roman" w:hAnsi="Times New Roman" w:cs="Times New Roman"/>
        </w:rPr>
        <w:t xml:space="preserve"> which include costs to comply with the current RMP regulations</w:t>
      </w:r>
      <w:r w:rsidR="00B031A2">
        <w:rPr>
          <w:rFonts w:ascii="Times New Roman" w:hAnsi="Times New Roman" w:cs="Times New Roman"/>
        </w:rPr>
        <w:t>,</w:t>
      </w:r>
      <w:r w:rsidRPr="00B031A2" w:rsidR="00B031A2">
        <w:rPr>
          <w:rFonts w:ascii="Times New Roman" w:hAnsi="Times New Roman" w:cs="Times New Roman"/>
        </w:rPr>
        <w:t xml:space="preserve"> have been accounted for in previous RMP RIAs</w:t>
      </w:r>
      <w:r w:rsidR="00B031A2">
        <w:rPr>
          <w:rFonts w:ascii="Times New Roman" w:hAnsi="Times New Roman" w:cs="Times New Roman"/>
        </w:rPr>
        <w:t xml:space="preserve"> and</w:t>
      </w:r>
      <w:r w:rsidRPr="00B031A2" w:rsidR="00B031A2">
        <w:rPr>
          <w:rFonts w:ascii="Times New Roman" w:hAnsi="Times New Roman" w:cs="Times New Roman"/>
        </w:rPr>
        <w:t xml:space="preserve"> therefore have not</w:t>
      </w:r>
      <w:r w:rsidR="00B031A2">
        <w:rPr>
          <w:rFonts w:ascii="Times New Roman" w:hAnsi="Times New Roman" w:cs="Times New Roman"/>
        </w:rPr>
        <w:t xml:space="preserve"> been</w:t>
      </w:r>
      <w:r w:rsidRPr="00B031A2" w:rsidR="00B031A2">
        <w:rPr>
          <w:rFonts w:ascii="Times New Roman" w:hAnsi="Times New Roman" w:cs="Times New Roman"/>
        </w:rPr>
        <w:t xml:space="preserve"> repeated here</w:t>
      </w:r>
      <w:r w:rsidRPr="004D4B61" w:rsidR="00C5384D">
        <w:rPr>
          <w:rFonts w:ascii="Times New Roman" w:hAnsi="Times New Roman" w:cs="Times New Roman"/>
        </w:rPr>
        <w:t xml:space="preserve">. The Agency sought to quantify and monetize costs where possible. The time frame of analysis is 10 years. As several of the rule elements are required </w:t>
      </w:r>
      <w:r w:rsidRPr="004D4B61" w:rsidR="008D5C4E">
        <w:rPr>
          <w:rFonts w:ascii="Times New Roman" w:hAnsi="Times New Roman" w:cs="Times New Roman"/>
        </w:rPr>
        <w:t>once in</w:t>
      </w:r>
      <w:r w:rsidRPr="004D4B61" w:rsidR="00C5384D">
        <w:rPr>
          <w:rFonts w:ascii="Times New Roman" w:hAnsi="Times New Roman" w:cs="Times New Roman"/>
        </w:rPr>
        <w:t xml:space="preserve"> a five-year period, EPA included a time span long enough to capture two </w:t>
      </w:r>
      <w:r w:rsidRPr="004D4B61" w:rsidR="009268BD">
        <w:rPr>
          <w:rFonts w:ascii="Times New Roman" w:hAnsi="Times New Roman" w:cs="Times New Roman"/>
        </w:rPr>
        <w:t xml:space="preserve">five-year </w:t>
      </w:r>
      <w:r w:rsidRPr="004D4B61" w:rsidR="00C5384D">
        <w:rPr>
          <w:rFonts w:ascii="Times New Roman" w:hAnsi="Times New Roman" w:cs="Times New Roman"/>
        </w:rPr>
        <w:t xml:space="preserve">periods. Specific assumptions are outlined for each rule provision below. The analysis employs a model facility approach in which representative facility categories were developed to reflect a variety of features expected to influence costs (e.g., process complexity, number of </w:t>
      </w:r>
      <w:r w:rsidRPr="004D4B61" w:rsidR="003313AC">
        <w:rPr>
          <w:rFonts w:ascii="Times New Roman" w:hAnsi="Times New Roman" w:cs="Times New Roman"/>
        </w:rPr>
        <w:t>FTE</w:t>
      </w:r>
      <w:r w:rsidRPr="004D4B61" w:rsidR="009D4EC2">
        <w:rPr>
          <w:rFonts w:ascii="Times New Roman" w:hAnsi="Times New Roman" w:cs="Times New Roman"/>
        </w:rPr>
        <w:t>s</w:t>
      </w:r>
      <w:r w:rsidRPr="004D4B61" w:rsidR="00C5384D">
        <w:rPr>
          <w:rFonts w:ascii="Times New Roman" w:hAnsi="Times New Roman" w:cs="Times New Roman"/>
        </w:rPr>
        <w:t xml:space="preserve">, etc.). Cost assumptions were developed for each model facility type and addressed factors such as number of staff hours involved in implementing a provision, equipment costs, and fixed costs for contractor involvement. Prevailing wage rates were used to estimate per facility costs for rule provisions. With a model facility approach, the unit cost estimates represent averages that cover a wide variation in expected costs even within a single </w:t>
      </w:r>
      <w:proofErr w:type="gramStart"/>
      <w:r w:rsidRPr="004D4B61" w:rsidR="00C5384D">
        <w:rPr>
          <w:rFonts w:ascii="Times New Roman" w:hAnsi="Times New Roman" w:cs="Times New Roman"/>
        </w:rPr>
        <w:t>sector..</w:t>
      </w:r>
      <w:proofErr w:type="gramEnd"/>
      <w:r w:rsidRPr="004D4B61" w:rsidR="00C5384D">
        <w:rPr>
          <w:rFonts w:ascii="Times New Roman" w:hAnsi="Times New Roman" w:cs="Times New Roman"/>
        </w:rPr>
        <w:t xml:space="preserve"> </w:t>
      </w:r>
    </w:p>
    <w:p w:rsidRPr="004D4B61" w:rsidR="008B3854" w:rsidP="008B3854" w:rsidRDefault="008B3854" w14:paraId="22ED8A22" w14:textId="77777777">
      <w:pPr>
        <w:spacing w:after="0" w:line="240" w:lineRule="auto"/>
        <w:ind w:firstLine="720"/>
        <w:rPr>
          <w:rFonts w:ascii="Times New Roman" w:hAnsi="Times New Roman" w:cs="Times New Roman"/>
        </w:rPr>
      </w:pPr>
    </w:p>
    <w:p w:rsidRPr="004D4B61" w:rsidR="00C5384D" w:rsidP="00813745" w:rsidRDefault="00C5384D" w14:paraId="0CBBDAB8" w14:textId="7A988028">
      <w:pPr>
        <w:pStyle w:val="Heading2"/>
      </w:pPr>
      <w:bookmarkStart w:name="_Toc98856213" w:id="45"/>
      <w:bookmarkStart w:name="_Toc110502744" w:id="46"/>
      <w:r w:rsidRPr="004D4B61">
        <w:t>4.1 Analysis Baseline</w:t>
      </w:r>
      <w:bookmarkEnd w:id="45"/>
      <w:bookmarkEnd w:id="46"/>
    </w:p>
    <w:p w:rsidR="00A80E96" w:rsidP="00DB08C1" w:rsidRDefault="00BA064B" w14:paraId="6D3579DD" w14:textId="4E3734C9">
      <w:pPr>
        <w:spacing w:after="0" w:line="240" w:lineRule="auto"/>
        <w:ind w:firstLine="360"/>
        <w:rPr>
          <w:rFonts w:ascii="Times New Roman" w:hAnsi="Times New Roman" w:cs="Times New Roman"/>
        </w:rPr>
      </w:pPr>
      <w:r>
        <w:rPr>
          <w:rFonts w:ascii="Times New Roman" w:hAnsi="Times New Roman" w:cs="Times New Roman"/>
        </w:rPr>
        <w:tab/>
      </w:r>
      <w:r w:rsidRPr="004D4B61" w:rsidR="00806671">
        <w:rPr>
          <w:rFonts w:ascii="Times New Roman" w:hAnsi="Times New Roman" w:cs="Times New Roman"/>
        </w:rPr>
        <w:t>Th</w:t>
      </w:r>
      <w:r w:rsidRPr="004D4B61" w:rsidR="004E0EC6">
        <w:rPr>
          <w:rFonts w:ascii="Times New Roman" w:hAnsi="Times New Roman" w:cs="Times New Roman"/>
        </w:rPr>
        <w:t>is</w:t>
      </w:r>
      <w:r w:rsidRPr="004D4B61" w:rsidR="009F3495">
        <w:rPr>
          <w:rFonts w:ascii="Times New Roman" w:hAnsi="Times New Roman" w:cs="Times New Roman"/>
        </w:rPr>
        <w:t xml:space="preserve"> </w:t>
      </w:r>
      <w:r w:rsidRPr="004D4B61" w:rsidR="00806671">
        <w:rPr>
          <w:rFonts w:ascii="Times New Roman" w:hAnsi="Times New Roman" w:cs="Times New Roman"/>
        </w:rPr>
        <w:t xml:space="preserve">analysis estimates </w:t>
      </w:r>
      <w:r w:rsidRPr="004D4B61" w:rsidR="000017B3">
        <w:rPr>
          <w:rFonts w:ascii="Times New Roman" w:hAnsi="Times New Roman" w:cs="Times New Roman"/>
        </w:rPr>
        <w:t xml:space="preserve">only the incremental </w:t>
      </w:r>
      <w:r w:rsidRPr="004D4B61" w:rsidR="00806671">
        <w:rPr>
          <w:rFonts w:ascii="Times New Roman" w:hAnsi="Times New Roman" w:cs="Times New Roman"/>
        </w:rPr>
        <w:t>impacts</w:t>
      </w:r>
      <w:r w:rsidRPr="004D4B61" w:rsidR="000017B3">
        <w:rPr>
          <w:rFonts w:ascii="Times New Roman" w:hAnsi="Times New Roman" w:cs="Times New Roman"/>
        </w:rPr>
        <w:t xml:space="preserve"> of the proposed rule</w:t>
      </w:r>
      <w:r w:rsidR="009B30B9">
        <w:rPr>
          <w:rFonts w:ascii="Times New Roman" w:hAnsi="Times New Roman" w:cs="Times New Roman"/>
        </w:rPr>
        <w:t xml:space="preserve"> for those provisions that would impose new costs.</w:t>
      </w:r>
      <w:r w:rsidRPr="004D4B61" w:rsidR="00806671">
        <w:rPr>
          <w:rFonts w:ascii="Times New Roman" w:hAnsi="Times New Roman" w:cs="Times New Roman"/>
        </w:rPr>
        <w:t xml:space="preserve"> </w:t>
      </w:r>
      <w:r w:rsidRPr="004D4B61" w:rsidR="00430D8A">
        <w:rPr>
          <w:rFonts w:ascii="Times New Roman" w:hAnsi="Times New Roman" w:cs="Times New Roman"/>
        </w:rPr>
        <w:t>C</w:t>
      </w:r>
      <w:r w:rsidRPr="004D4B61" w:rsidR="00E402C3">
        <w:rPr>
          <w:rFonts w:ascii="Times New Roman" w:hAnsi="Times New Roman" w:cs="Times New Roman"/>
        </w:rPr>
        <w:t>omponents of</w:t>
      </w:r>
      <w:r w:rsidRPr="004D4B61" w:rsidR="00590E78">
        <w:rPr>
          <w:rFonts w:ascii="Times New Roman" w:hAnsi="Times New Roman" w:cs="Times New Roman"/>
        </w:rPr>
        <w:t xml:space="preserve"> </w:t>
      </w:r>
      <w:r w:rsidRPr="004D4B61" w:rsidR="009F3495">
        <w:rPr>
          <w:rFonts w:ascii="Times New Roman" w:hAnsi="Times New Roman" w:cs="Times New Roman"/>
        </w:rPr>
        <w:t>the Hazards Evaluation Amplification and the Emergency Response</w:t>
      </w:r>
      <w:r w:rsidRPr="004D4B61" w:rsidR="00430D8A">
        <w:rPr>
          <w:rFonts w:ascii="Times New Roman" w:hAnsi="Times New Roman" w:cs="Times New Roman"/>
        </w:rPr>
        <w:t xml:space="preserve"> </w:t>
      </w:r>
      <w:r w:rsidRPr="004D4B61" w:rsidR="00590E78">
        <w:rPr>
          <w:rFonts w:ascii="Times New Roman" w:hAnsi="Times New Roman" w:cs="Times New Roman"/>
        </w:rPr>
        <w:t xml:space="preserve">provisions impose no new burden because they codify existing industry practice </w:t>
      </w:r>
      <w:r w:rsidRPr="004D4B61" w:rsidR="00E402C3">
        <w:rPr>
          <w:rFonts w:ascii="Times New Roman" w:hAnsi="Times New Roman" w:cs="Times New Roman"/>
        </w:rPr>
        <w:t>or RMP requirements</w:t>
      </w:r>
      <w:r w:rsidRPr="004D4B61" w:rsidR="00430D8A">
        <w:rPr>
          <w:rFonts w:ascii="Times New Roman" w:hAnsi="Times New Roman" w:cs="Times New Roman"/>
        </w:rPr>
        <w:t xml:space="preserve">. </w:t>
      </w:r>
      <w:r w:rsidRPr="004D4B61" w:rsidR="00C75BDE">
        <w:rPr>
          <w:rFonts w:ascii="Times New Roman" w:hAnsi="Times New Roman" w:cs="Times New Roman"/>
        </w:rPr>
        <w:t xml:space="preserve">The proposed rule </w:t>
      </w:r>
      <w:r w:rsidRPr="004D4B61" w:rsidR="006610DA">
        <w:rPr>
          <w:rFonts w:ascii="Times New Roman" w:hAnsi="Times New Roman" w:cs="Times New Roman"/>
        </w:rPr>
        <w:t xml:space="preserve">revises regulatory text for </w:t>
      </w:r>
      <w:r w:rsidRPr="004D4B61" w:rsidR="00C75BDE">
        <w:rPr>
          <w:rFonts w:ascii="Times New Roman" w:hAnsi="Times New Roman" w:cs="Times New Roman"/>
        </w:rPr>
        <w:t xml:space="preserve">Program 2 and Program 3 hazard </w:t>
      </w:r>
      <w:r w:rsidRPr="004D4B61" w:rsidR="00AB5090">
        <w:rPr>
          <w:rFonts w:ascii="Times New Roman" w:hAnsi="Times New Roman" w:cs="Times New Roman"/>
        </w:rPr>
        <w:t xml:space="preserve">evaluations to </w:t>
      </w:r>
      <w:r w:rsidRPr="004D4B61" w:rsidR="00C75BDE">
        <w:rPr>
          <w:rFonts w:ascii="Times New Roman" w:hAnsi="Times New Roman" w:cs="Times New Roman"/>
        </w:rPr>
        <w:t xml:space="preserve">explicitly address </w:t>
      </w:r>
      <w:r w:rsidRPr="004D4B61" w:rsidR="00BD5D44">
        <w:rPr>
          <w:rFonts w:ascii="Times New Roman" w:hAnsi="Times New Roman" w:cs="Times New Roman"/>
        </w:rPr>
        <w:t xml:space="preserve">both </w:t>
      </w:r>
      <w:r w:rsidRPr="004D4B61" w:rsidR="00C75BDE">
        <w:rPr>
          <w:rFonts w:ascii="Times New Roman" w:hAnsi="Times New Roman" w:cs="Times New Roman"/>
        </w:rPr>
        <w:t xml:space="preserve">external events such as natural hazards, including those caused by climate change or other triggering events that could lead to an accidental release, </w:t>
      </w:r>
      <w:r w:rsidRPr="004D4B61" w:rsidR="00BD5D44">
        <w:rPr>
          <w:rFonts w:ascii="Times New Roman" w:hAnsi="Times New Roman" w:cs="Times New Roman"/>
        </w:rPr>
        <w:t>and</w:t>
      </w:r>
      <w:r w:rsidRPr="004D4B61" w:rsidR="00C75BDE">
        <w:rPr>
          <w:rFonts w:ascii="Times New Roman" w:hAnsi="Times New Roman" w:cs="Times New Roman"/>
        </w:rPr>
        <w:t xml:space="preserve"> standby or emergency power systems</w:t>
      </w:r>
      <w:r w:rsidRPr="004D4B61" w:rsidR="00BD5D44">
        <w:rPr>
          <w:rFonts w:ascii="Times New Roman" w:hAnsi="Times New Roman" w:cs="Times New Roman"/>
        </w:rPr>
        <w:t xml:space="preserve">. </w:t>
      </w:r>
      <w:r w:rsidRPr="004D4B61" w:rsidR="006E64F0">
        <w:rPr>
          <w:rFonts w:ascii="Times New Roman" w:hAnsi="Times New Roman" w:cs="Times New Roman"/>
        </w:rPr>
        <w:t>The revised regulatory text</w:t>
      </w:r>
      <w:r w:rsidRPr="004D4B61" w:rsidR="009E3E2A">
        <w:rPr>
          <w:rFonts w:ascii="Times New Roman" w:hAnsi="Times New Roman" w:cs="Times New Roman"/>
        </w:rPr>
        <w:t xml:space="preserve"> for P</w:t>
      </w:r>
      <w:r w:rsidRPr="004D4B61" w:rsidR="00B25082">
        <w:rPr>
          <w:rFonts w:ascii="Times New Roman" w:hAnsi="Times New Roman" w:cs="Times New Roman"/>
        </w:rPr>
        <w:t xml:space="preserve">rogram </w:t>
      </w:r>
      <w:r w:rsidRPr="004D4B61" w:rsidR="009E3E2A">
        <w:rPr>
          <w:rFonts w:ascii="Times New Roman" w:hAnsi="Times New Roman" w:cs="Times New Roman"/>
        </w:rPr>
        <w:t>2</w:t>
      </w:r>
      <w:r w:rsidRPr="004D4B61" w:rsidR="00C75BDE">
        <w:rPr>
          <w:rFonts w:ascii="Times New Roman" w:hAnsi="Times New Roman" w:cs="Times New Roman"/>
        </w:rPr>
        <w:t xml:space="preserve"> and </w:t>
      </w:r>
      <w:r w:rsidRPr="004D4B61" w:rsidR="009E3E2A">
        <w:rPr>
          <w:rFonts w:ascii="Times New Roman" w:hAnsi="Times New Roman" w:cs="Times New Roman"/>
        </w:rPr>
        <w:t>P</w:t>
      </w:r>
      <w:r w:rsidRPr="004D4B61" w:rsidR="00B25082">
        <w:rPr>
          <w:rFonts w:ascii="Times New Roman" w:hAnsi="Times New Roman" w:cs="Times New Roman"/>
        </w:rPr>
        <w:t xml:space="preserve">rogram </w:t>
      </w:r>
      <w:r w:rsidRPr="004D4B61" w:rsidR="009E3E2A">
        <w:rPr>
          <w:rFonts w:ascii="Times New Roman" w:hAnsi="Times New Roman" w:cs="Times New Roman"/>
        </w:rPr>
        <w:t>3 hazard evaluations</w:t>
      </w:r>
      <w:r w:rsidRPr="004D4B61" w:rsidR="006E64F0">
        <w:rPr>
          <w:rFonts w:ascii="Times New Roman" w:hAnsi="Times New Roman" w:cs="Times New Roman"/>
        </w:rPr>
        <w:t xml:space="preserve"> also </w:t>
      </w:r>
      <w:r w:rsidRPr="004D4B61" w:rsidR="00C75BDE">
        <w:rPr>
          <w:rFonts w:ascii="Times New Roman" w:hAnsi="Times New Roman" w:cs="Times New Roman"/>
        </w:rPr>
        <w:t>explicitly define</w:t>
      </w:r>
      <w:r w:rsidRPr="004D4B61" w:rsidR="009E3E2A">
        <w:rPr>
          <w:rFonts w:ascii="Times New Roman" w:hAnsi="Times New Roman" w:cs="Times New Roman"/>
        </w:rPr>
        <w:t>s</w:t>
      </w:r>
      <w:r w:rsidRPr="004D4B61" w:rsidR="00C75BDE">
        <w:rPr>
          <w:rFonts w:ascii="Times New Roman" w:hAnsi="Times New Roman" w:cs="Times New Roman"/>
        </w:rPr>
        <w:t xml:space="preserve"> stationary source siting as inclusive of the placement of processes, equipment, buildings within the facility, hazards posed by proximate facilities, and accidental release consequences posed by proximity to the public and public receptors. </w:t>
      </w:r>
      <w:r w:rsidRPr="004D4B61" w:rsidR="00151152">
        <w:rPr>
          <w:rFonts w:ascii="Times New Roman" w:hAnsi="Times New Roman" w:cs="Times New Roman"/>
        </w:rPr>
        <w:t>These requirements reflect existing industry practice</w:t>
      </w:r>
      <w:r w:rsidR="009B30B9">
        <w:rPr>
          <w:rFonts w:ascii="Times New Roman" w:hAnsi="Times New Roman" w:cs="Times New Roman"/>
        </w:rPr>
        <w:t xml:space="preserve">, and </w:t>
      </w:r>
      <w:r w:rsidR="0024748C">
        <w:rPr>
          <w:rFonts w:ascii="Times New Roman" w:hAnsi="Times New Roman" w:cs="Times New Roman"/>
        </w:rPr>
        <w:t>t</w:t>
      </w:r>
      <w:r w:rsidRPr="004D4B61" w:rsidR="00870DC6">
        <w:rPr>
          <w:rFonts w:ascii="Times New Roman" w:hAnsi="Times New Roman" w:cs="Times New Roman"/>
        </w:rPr>
        <w:t xml:space="preserve">herefore, EPA </w:t>
      </w:r>
      <w:r w:rsidR="009B30B9">
        <w:rPr>
          <w:rFonts w:ascii="Times New Roman" w:hAnsi="Times New Roman" w:cs="Times New Roman"/>
        </w:rPr>
        <w:t>assumes that t</w:t>
      </w:r>
      <w:r w:rsidRPr="004D4B61" w:rsidR="00870DC6">
        <w:rPr>
          <w:rFonts w:ascii="Times New Roman" w:hAnsi="Times New Roman" w:cs="Times New Roman"/>
        </w:rPr>
        <w:t xml:space="preserve">hese hazard evaluation </w:t>
      </w:r>
      <w:r w:rsidRPr="004D4B61" w:rsidR="00FD537E">
        <w:rPr>
          <w:rFonts w:ascii="Times New Roman" w:hAnsi="Times New Roman" w:cs="Times New Roman"/>
        </w:rPr>
        <w:t>amplifications</w:t>
      </w:r>
      <w:r w:rsidR="009B30B9">
        <w:rPr>
          <w:rFonts w:ascii="Times New Roman" w:hAnsi="Times New Roman" w:cs="Times New Roman"/>
        </w:rPr>
        <w:t xml:space="preserve"> would impose no new costs.</w:t>
      </w:r>
    </w:p>
    <w:p w:rsidR="009B30B9" w:rsidP="00DB08C1" w:rsidRDefault="009B30B9" w14:paraId="6CF8858D" w14:textId="77777777">
      <w:pPr>
        <w:spacing w:after="0" w:line="240" w:lineRule="auto"/>
        <w:ind w:firstLine="360"/>
        <w:rPr>
          <w:rFonts w:ascii="Times New Roman" w:hAnsi="Times New Roman" w:cs="Times New Roman"/>
        </w:rPr>
      </w:pPr>
    </w:p>
    <w:p w:rsidRPr="004D4B61" w:rsidR="00C5384D" w:rsidP="00DB08C1" w:rsidRDefault="00A80E96" w14:paraId="741FC0F8" w14:textId="228D8011">
      <w:pPr>
        <w:spacing w:after="0" w:line="240" w:lineRule="auto"/>
        <w:ind w:firstLine="360"/>
        <w:rPr>
          <w:rFonts w:ascii="Times New Roman" w:hAnsi="Times New Roman" w:cs="Times New Roman"/>
        </w:rPr>
      </w:pPr>
      <w:r>
        <w:rPr>
          <w:rFonts w:ascii="Times New Roman" w:hAnsi="Times New Roman" w:cs="Times New Roman"/>
        </w:rPr>
        <w:tab/>
      </w:r>
      <w:r w:rsidRPr="004D4B61" w:rsidR="002272E1">
        <w:rPr>
          <w:rFonts w:ascii="Times New Roman" w:hAnsi="Times New Roman" w:cs="Times New Roman"/>
        </w:rPr>
        <w:t xml:space="preserve">The proposed rule </w:t>
      </w:r>
      <w:r w:rsidRPr="004D4B61" w:rsidR="00456A5A">
        <w:rPr>
          <w:rFonts w:ascii="Times New Roman" w:hAnsi="Times New Roman" w:cs="Times New Roman"/>
        </w:rPr>
        <w:t>also</w:t>
      </w:r>
      <w:r w:rsidRPr="004D4B61" w:rsidR="002272E1">
        <w:rPr>
          <w:rFonts w:ascii="Times New Roman" w:hAnsi="Times New Roman" w:cs="Times New Roman"/>
        </w:rPr>
        <w:t xml:space="preserve"> revises emergency response provisions. The additional provision would</w:t>
      </w:r>
      <w:r w:rsidRPr="004D4B61" w:rsidR="00573B54">
        <w:rPr>
          <w:rFonts w:ascii="Times New Roman" w:hAnsi="Times New Roman" w:cs="Times New Roman"/>
        </w:rPr>
        <w:t xml:space="preserve"> revise regulatory text to </w:t>
      </w:r>
      <w:r w:rsidRPr="004D4B61" w:rsidR="002272E1">
        <w:rPr>
          <w:rFonts w:ascii="Times New Roman" w:hAnsi="Times New Roman" w:cs="Times New Roman"/>
        </w:rPr>
        <w:t xml:space="preserve">require facilities to </w:t>
      </w:r>
      <w:r w:rsidRPr="004D4B61" w:rsidR="00FD537E">
        <w:rPr>
          <w:rFonts w:ascii="Times New Roman" w:hAnsi="Times New Roman" w:cs="Times New Roman"/>
        </w:rPr>
        <w:t xml:space="preserve">develop </w:t>
      </w:r>
      <w:r w:rsidRPr="004D4B61" w:rsidR="002272E1">
        <w:rPr>
          <w:rFonts w:ascii="Times New Roman" w:hAnsi="Times New Roman" w:cs="Times New Roman"/>
        </w:rPr>
        <w:t xml:space="preserve">and implement, as necessary, procedures for informing the public and the appropriate emergency response agencies about accidental releases of RMP-regulated substances. </w:t>
      </w:r>
      <w:r w:rsidRPr="004D4B61" w:rsidR="00430D8A">
        <w:rPr>
          <w:rFonts w:ascii="Times New Roman" w:hAnsi="Times New Roman" w:cs="Times New Roman"/>
        </w:rPr>
        <w:t xml:space="preserve">Under </w:t>
      </w:r>
      <w:r w:rsidR="005C1B6F">
        <w:rPr>
          <w:rFonts w:ascii="Times New Roman" w:hAnsi="Times New Roman" w:cs="Times New Roman"/>
        </w:rPr>
        <w:t>current</w:t>
      </w:r>
      <w:r w:rsidRPr="004D4B61" w:rsidR="00430D8A">
        <w:rPr>
          <w:rFonts w:ascii="Times New Roman" w:hAnsi="Times New Roman" w:cs="Times New Roman"/>
        </w:rPr>
        <w:t xml:space="preserve"> regulatory requirements, r</w:t>
      </w:r>
      <w:r w:rsidRPr="004D4B61" w:rsidR="002272E1">
        <w:rPr>
          <w:rFonts w:ascii="Times New Roman" w:hAnsi="Times New Roman" w:cs="Times New Roman"/>
        </w:rPr>
        <w:t xml:space="preserve">esponding and non-responding facilities should already have mechanisms and procedures in place to notify the public through </w:t>
      </w:r>
      <w:r w:rsidRPr="004D4B61" w:rsidR="00FD537E">
        <w:rPr>
          <w:rFonts w:ascii="Times New Roman" w:hAnsi="Times New Roman" w:cs="Times New Roman"/>
        </w:rPr>
        <w:t xml:space="preserve">their </w:t>
      </w:r>
      <w:r w:rsidRPr="004D4B61" w:rsidR="002272E1">
        <w:rPr>
          <w:rFonts w:ascii="Times New Roman" w:hAnsi="Times New Roman" w:cs="Times New Roman"/>
        </w:rPr>
        <w:t xml:space="preserve">emergency response </w:t>
      </w:r>
      <w:r w:rsidRPr="004D4B61" w:rsidR="00573B54">
        <w:rPr>
          <w:rFonts w:ascii="Times New Roman" w:hAnsi="Times New Roman" w:cs="Times New Roman"/>
        </w:rPr>
        <w:t xml:space="preserve">programs or </w:t>
      </w:r>
      <w:r w:rsidRPr="004D4B61" w:rsidR="002272E1">
        <w:rPr>
          <w:rFonts w:ascii="Times New Roman" w:hAnsi="Times New Roman" w:cs="Times New Roman"/>
        </w:rPr>
        <w:t>plans</w:t>
      </w:r>
      <w:r w:rsidRPr="004D4B61" w:rsidR="00CA55CD">
        <w:rPr>
          <w:rFonts w:ascii="Times New Roman" w:hAnsi="Times New Roman" w:cs="Times New Roman"/>
        </w:rPr>
        <w:t>,</w:t>
      </w:r>
      <w:r w:rsidRPr="004D4B61" w:rsidR="00FD537E">
        <w:rPr>
          <w:rFonts w:ascii="Times New Roman" w:hAnsi="Times New Roman" w:cs="Times New Roman"/>
        </w:rPr>
        <w:t xml:space="preserve"> or </w:t>
      </w:r>
      <w:r w:rsidRPr="004D4B61" w:rsidR="00573B54">
        <w:rPr>
          <w:rFonts w:ascii="Times New Roman" w:hAnsi="Times New Roman" w:cs="Times New Roman"/>
        </w:rPr>
        <w:t xml:space="preserve">through coordination </w:t>
      </w:r>
      <w:r w:rsidRPr="004D4B61" w:rsidR="00FD537E">
        <w:rPr>
          <w:rFonts w:ascii="Times New Roman" w:hAnsi="Times New Roman" w:cs="Times New Roman"/>
        </w:rPr>
        <w:t>w</w:t>
      </w:r>
      <w:r w:rsidRPr="004D4B61" w:rsidR="00573B54">
        <w:rPr>
          <w:rFonts w:ascii="Times New Roman" w:hAnsi="Times New Roman" w:cs="Times New Roman"/>
        </w:rPr>
        <w:t>ith local responders</w:t>
      </w:r>
      <w:r w:rsidRPr="004D4B61" w:rsidR="00456A5A">
        <w:rPr>
          <w:rFonts w:ascii="Times New Roman" w:hAnsi="Times New Roman" w:cs="Times New Roman"/>
        </w:rPr>
        <w:t xml:space="preserve">. Therefore, EPA does not estimate any new costs associated with </w:t>
      </w:r>
      <w:r w:rsidRPr="004D4B61" w:rsidR="00161FBA">
        <w:rPr>
          <w:rFonts w:ascii="Times New Roman" w:hAnsi="Times New Roman" w:cs="Times New Roman"/>
        </w:rPr>
        <w:t>these components of the emergency</w:t>
      </w:r>
      <w:r w:rsidRPr="004D4B61" w:rsidR="001A2EA4">
        <w:rPr>
          <w:rFonts w:ascii="Times New Roman" w:hAnsi="Times New Roman" w:cs="Times New Roman"/>
        </w:rPr>
        <w:t xml:space="preserve"> response </w:t>
      </w:r>
      <w:r w:rsidRPr="004D4B61" w:rsidR="00161FBA">
        <w:rPr>
          <w:rFonts w:ascii="Times New Roman" w:hAnsi="Times New Roman" w:cs="Times New Roman"/>
        </w:rPr>
        <w:t>provisions.</w:t>
      </w:r>
      <w:r w:rsidRPr="004D4B61" w:rsidR="002272E1">
        <w:rPr>
          <w:rFonts w:ascii="Times New Roman" w:hAnsi="Times New Roman" w:cs="Times New Roman"/>
        </w:rPr>
        <w:t xml:space="preserve"> EPA does </w:t>
      </w:r>
      <w:r w:rsidRPr="004D4B61" w:rsidR="00161FBA">
        <w:rPr>
          <w:rFonts w:ascii="Times New Roman" w:hAnsi="Times New Roman" w:cs="Times New Roman"/>
        </w:rPr>
        <w:t>quantify</w:t>
      </w:r>
      <w:r w:rsidRPr="004D4B61" w:rsidR="002272E1">
        <w:rPr>
          <w:rFonts w:ascii="Times New Roman" w:hAnsi="Times New Roman" w:cs="Times New Roman"/>
        </w:rPr>
        <w:t xml:space="preserve"> the </w:t>
      </w:r>
      <w:r w:rsidRPr="004D4B61" w:rsidR="00161FBA">
        <w:rPr>
          <w:rFonts w:ascii="Times New Roman" w:hAnsi="Times New Roman" w:cs="Times New Roman"/>
        </w:rPr>
        <w:t xml:space="preserve">cost to </w:t>
      </w:r>
      <w:r w:rsidRPr="004D4B61" w:rsidR="00527157">
        <w:rPr>
          <w:rFonts w:ascii="Times New Roman" w:hAnsi="Times New Roman" w:cs="Times New Roman"/>
        </w:rPr>
        <w:t xml:space="preserve">ensure </w:t>
      </w:r>
      <w:r w:rsidRPr="004D4B61" w:rsidR="00BB2D35">
        <w:rPr>
          <w:rFonts w:ascii="Times New Roman" w:hAnsi="Times New Roman" w:cs="Times New Roman"/>
        </w:rPr>
        <w:t xml:space="preserve">that a </w:t>
      </w:r>
      <w:r w:rsidRPr="004D4B61" w:rsidR="002272E1">
        <w:rPr>
          <w:rFonts w:ascii="Times New Roman" w:hAnsi="Times New Roman" w:cs="Times New Roman"/>
        </w:rPr>
        <w:t>community</w:t>
      </w:r>
      <w:r w:rsidRPr="004D4B61" w:rsidR="00BB2D35">
        <w:rPr>
          <w:rFonts w:ascii="Times New Roman" w:hAnsi="Times New Roman" w:cs="Times New Roman"/>
        </w:rPr>
        <w:t xml:space="preserve"> notification system is in place </w:t>
      </w:r>
      <w:r w:rsidRPr="004D4B61" w:rsidR="00BB36C0">
        <w:rPr>
          <w:rFonts w:ascii="Times New Roman" w:hAnsi="Times New Roman" w:cs="Times New Roman"/>
        </w:rPr>
        <w:t xml:space="preserve">to warn the public </w:t>
      </w:r>
      <w:r w:rsidRPr="004D4B61" w:rsidR="002268D1">
        <w:rPr>
          <w:rFonts w:ascii="Times New Roman" w:hAnsi="Times New Roman" w:cs="Times New Roman"/>
        </w:rPr>
        <w:t xml:space="preserve">within the area threatened </w:t>
      </w:r>
      <w:r w:rsidRPr="004D4B61" w:rsidR="00BE3ACD">
        <w:rPr>
          <w:rFonts w:ascii="Times New Roman" w:hAnsi="Times New Roman" w:cs="Times New Roman"/>
        </w:rPr>
        <w:t xml:space="preserve">by a release; the discussion </w:t>
      </w:r>
      <w:r w:rsidRPr="004D4B61" w:rsidR="00CA55CD">
        <w:rPr>
          <w:rFonts w:ascii="Times New Roman" w:hAnsi="Times New Roman" w:cs="Times New Roman"/>
        </w:rPr>
        <w:t>can be found</w:t>
      </w:r>
      <w:r w:rsidRPr="004D4B61" w:rsidR="00BE3ACD">
        <w:rPr>
          <w:rFonts w:ascii="Times New Roman" w:hAnsi="Times New Roman" w:cs="Times New Roman"/>
        </w:rPr>
        <w:t xml:space="preserve"> later in this chapter.</w:t>
      </w:r>
    </w:p>
    <w:p w:rsidRPr="004D4B61" w:rsidR="00441B18" w:rsidP="00441B18" w:rsidRDefault="00441B18" w14:paraId="26C57D44" w14:textId="77777777">
      <w:pPr>
        <w:pStyle w:val="Default"/>
        <w:ind w:firstLine="720"/>
        <w:rPr>
          <w:rFonts w:ascii="Times New Roman" w:hAnsi="Times New Roman" w:cs="Times New Roman"/>
          <w:sz w:val="22"/>
          <w:szCs w:val="22"/>
        </w:rPr>
      </w:pPr>
    </w:p>
    <w:p w:rsidRPr="004D4B61" w:rsidR="00C5384D" w:rsidP="00813745" w:rsidRDefault="00C5384D" w14:paraId="013AD672" w14:textId="69673CBA">
      <w:pPr>
        <w:pStyle w:val="Heading2"/>
      </w:pPr>
      <w:bookmarkStart w:name="_Toc98856214" w:id="47"/>
      <w:bookmarkStart w:name="_Toc110502745" w:id="48"/>
      <w:r w:rsidRPr="004D4B61">
        <w:t>4.2 Wage Rates</w:t>
      </w:r>
      <w:bookmarkEnd w:id="47"/>
      <w:bookmarkEnd w:id="48"/>
      <w:r w:rsidRPr="004D4B61">
        <w:t xml:space="preserve"> </w:t>
      </w:r>
    </w:p>
    <w:p w:rsidRPr="004D4B61" w:rsidR="00C5384D" w:rsidP="00DB08C1" w:rsidRDefault="009130BD" w14:paraId="0291089A" w14:textId="0B1B378B">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The Agency used the Bureau of Labor Statistics </w:t>
      </w:r>
      <w:r w:rsidRPr="004D4B61" w:rsidR="005B3F66">
        <w:rPr>
          <w:rFonts w:ascii="Times New Roman" w:hAnsi="Times New Roman" w:cs="Times New Roman"/>
        </w:rPr>
        <w:t>(BLS)</w:t>
      </w:r>
      <w:r w:rsidRPr="004D4B61" w:rsidR="00C5384D">
        <w:rPr>
          <w:rFonts w:ascii="Times New Roman" w:hAnsi="Times New Roman" w:cs="Times New Roman"/>
        </w:rPr>
        <w:t xml:space="preserve"> May 2020 Occupational Employment and Wage Estimates</w:t>
      </w:r>
      <w:r w:rsidRPr="004D4B61" w:rsidR="00B978B5">
        <w:rPr>
          <w:rStyle w:val="FootnoteReference"/>
          <w:rFonts w:ascii="Times New Roman" w:hAnsi="Times New Roman" w:cs="Times New Roman"/>
        </w:rPr>
        <w:footnoteReference w:id="45"/>
      </w:r>
      <w:r w:rsidRPr="004D4B61" w:rsidR="00C5384D">
        <w:rPr>
          <w:rFonts w:ascii="Times New Roman" w:hAnsi="Times New Roman" w:cs="Times New Roman"/>
        </w:rPr>
        <w:t xml:space="preserve"> to construct a weighted wage rate for different occupation</w:t>
      </w:r>
      <w:r w:rsidRPr="004D4B61" w:rsidR="00CA55CD">
        <w:rPr>
          <w:rFonts w:ascii="Times New Roman" w:hAnsi="Times New Roman" w:cs="Times New Roman"/>
        </w:rPr>
        <w:t>al</w:t>
      </w:r>
      <w:r w:rsidRPr="004D4B61" w:rsidR="00C5384D">
        <w:rPr>
          <w:rFonts w:ascii="Times New Roman" w:hAnsi="Times New Roman" w:cs="Times New Roman"/>
        </w:rPr>
        <w:t xml:space="preserve"> categories. For all rule provisions, labor hours were assumed to be distributed across six general labor categories: Management, Corporate Management, Attorneys, Engineers, Production Staff, and Local Responders. The weighted wage rates for complex facilities (NAICS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correspond to the six general labor categories. </w:t>
      </w:r>
      <w:r w:rsidRPr="004D4B61" w:rsidR="00802847">
        <w:rPr>
          <w:rFonts w:ascii="Times New Roman" w:hAnsi="Times New Roman" w:cs="Times New Roman"/>
        </w:rPr>
        <w:t>BLS w</w:t>
      </w:r>
      <w:r w:rsidRPr="004D4B61" w:rsidR="0013776E">
        <w:rPr>
          <w:rFonts w:ascii="Times New Roman" w:hAnsi="Times New Roman" w:cs="Times New Roman"/>
        </w:rPr>
        <w:t xml:space="preserve">ages were then adjusted to account </w:t>
      </w:r>
      <w:r w:rsidRPr="004D4B61" w:rsidR="00C56CD6">
        <w:rPr>
          <w:rFonts w:ascii="Times New Roman" w:hAnsi="Times New Roman" w:cs="Times New Roman"/>
        </w:rPr>
        <w:t xml:space="preserve">for </w:t>
      </w:r>
      <w:r w:rsidRPr="004D4B61" w:rsidR="0013776E">
        <w:rPr>
          <w:rFonts w:ascii="Times New Roman" w:hAnsi="Times New Roman" w:cs="Times New Roman"/>
        </w:rPr>
        <w:t xml:space="preserve">fringe benefits and </w:t>
      </w:r>
      <w:r w:rsidRPr="004D4B61" w:rsidR="0013776E">
        <w:rPr>
          <w:rFonts w:ascii="Times New Roman" w:hAnsi="Times New Roman" w:cs="Times New Roman"/>
        </w:rPr>
        <w:lastRenderedPageBreak/>
        <w:t xml:space="preserve">overhead. Fringe benefits includes </w:t>
      </w:r>
      <w:r w:rsidRPr="004D4B61" w:rsidR="000B3BDD">
        <w:rPr>
          <w:rFonts w:ascii="Times New Roman" w:hAnsi="Times New Roman" w:cs="Times New Roman"/>
        </w:rPr>
        <w:t xml:space="preserve">payments to cover </w:t>
      </w:r>
      <w:r w:rsidRPr="004D4B61" w:rsidR="00A545E7">
        <w:rPr>
          <w:rFonts w:ascii="Times New Roman" w:hAnsi="Times New Roman" w:cs="Times New Roman"/>
        </w:rPr>
        <w:t>items such as</w:t>
      </w:r>
      <w:r w:rsidRPr="004D4B61" w:rsidR="000B3BDD">
        <w:rPr>
          <w:rFonts w:ascii="Times New Roman" w:hAnsi="Times New Roman" w:cs="Times New Roman"/>
        </w:rPr>
        <w:t xml:space="preserve"> paid leave, </w:t>
      </w:r>
      <w:r w:rsidRPr="004D4B61" w:rsidR="008F5A5A">
        <w:rPr>
          <w:rFonts w:ascii="Times New Roman" w:hAnsi="Times New Roman" w:cs="Times New Roman"/>
        </w:rPr>
        <w:t>supplemental pay, insurance, and retirement. Overhead includes</w:t>
      </w:r>
      <w:r w:rsidRPr="004D4B61" w:rsidR="001D2E97">
        <w:rPr>
          <w:rFonts w:ascii="Times New Roman" w:hAnsi="Times New Roman" w:cs="Times New Roman"/>
        </w:rPr>
        <w:t xml:space="preserve"> resources to cover </w:t>
      </w:r>
      <w:r w:rsidRPr="004D4B61" w:rsidR="004D188B">
        <w:rPr>
          <w:rFonts w:ascii="Times New Roman" w:hAnsi="Times New Roman" w:cs="Times New Roman"/>
        </w:rPr>
        <w:t>ite</w:t>
      </w:r>
      <w:r w:rsidRPr="004D4B61" w:rsidR="00B00C03">
        <w:rPr>
          <w:rFonts w:ascii="Times New Roman" w:hAnsi="Times New Roman" w:cs="Times New Roman"/>
        </w:rPr>
        <w:t>ms such as</w:t>
      </w:r>
      <w:r w:rsidRPr="004D4B61" w:rsidR="002B5C14">
        <w:rPr>
          <w:rFonts w:ascii="Times New Roman" w:hAnsi="Times New Roman" w:cs="Times New Roman"/>
        </w:rPr>
        <w:t xml:space="preserve"> </w:t>
      </w:r>
      <w:r w:rsidRPr="004D4B61" w:rsidR="001D2E97">
        <w:rPr>
          <w:rFonts w:ascii="Times New Roman" w:hAnsi="Times New Roman" w:cs="Times New Roman"/>
        </w:rPr>
        <w:t>office space</w:t>
      </w:r>
      <w:r w:rsidRPr="004D4B61" w:rsidR="002B5C14">
        <w:rPr>
          <w:rFonts w:ascii="Times New Roman" w:hAnsi="Times New Roman" w:cs="Times New Roman"/>
        </w:rPr>
        <w:t xml:space="preserve"> and administrative personnel issues.</w:t>
      </w:r>
      <w:r w:rsidRPr="004D4B61" w:rsidR="00FF4818">
        <w:rPr>
          <w:rFonts w:ascii="Times New Roman" w:hAnsi="Times New Roman" w:cs="Times New Roman"/>
        </w:rPr>
        <w:t xml:space="preserve"> </w:t>
      </w:r>
      <w:r w:rsidRPr="004D4B61" w:rsidR="0020448F">
        <w:rPr>
          <w:rFonts w:ascii="Times New Roman" w:hAnsi="Times New Roman" w:cs="Times New Roman"/>
        </w:rPr>
        <w:t>Applying the June 2020 national average benefit ratio of 0.46</w:t>
      </w:r>
      <w:r w:rsidRPr="004D4B61" w:rsidR="00F55CD4">
        <w:rPr>
          <w:rStyle w:val="FootnoteReference"/>
          <w:rFonts w:ascii="Times New Roman" w:hAnsi="Times New Roman" w:cs="Times New Roman"/>
        </w:rPr>
        <w:footnoteReference w:id="46"/>
      </w:r>
      <w:r w:rsidRPr="004D4B61" w:rsidR="0020448F">
        <w:rPr>
          <w:rFonts w:ascii="Times New Roman" w:hAnsi="Times New Roman" w:cs="Times New Roman"/>
        </w:rPr>
        <w:t xml:space="preserve"> and an overhead cost ratio not inclusive of benefits of 0.3, </w:t>
      </w:r>
      <w:r w:rsidRPr="004D4B61" w:rsidR="00C314D2">
        <w:rPr>
          <w:rFonts w:ascii="Times New Roman" w:hAnsi="Times New Roman" w:cs="Times New Roman"/>
        </w:rPr>
        <w:t>the Agency multipli</w:t>
      </w:r>
      <w:r w:rsidRPr="004D4B61" w:rsidR="00906108">
        <w:rPr>
          <w:rFonts w:ascii="Times New Roman" w:hAnsi="Times New Roman" w:cs="Times New Roman"/>
        </w:rPr>
        <w:t xml:space="preserve">ed the </w:t>
      </w:r>
      <w:r w:rsidRPr="004D4B61" w:rsidR="00C5384D">
        <w:rPr>
          <w:rFonts w:ascii="Times New Roman" w:hAnsi="Times New Roman" w:cs="Times New Roman"/>
        </w:rPr>
        <w:t xml:space="preserve">wage rates for each BLS Occupation Title </w:t>
      </w:r>
      <w:r w:rsidRPr="004D4B61" w:rsidR="00906108">
        <w:rPr>
          <w:rFonts w:ascii="Times New Roman" w:hAnsi="Times New Roman" w:cs="Times New Roman"/>
        </w:rPr>
        <w:t xml:space="preserve">by a factor of </w:t>
      </w:r>
      <w:r w:rsidRPr="004D4B61" w:rsidR="00641405">
        <w:rPr>
          <w:rFonts w:ascii="Times New Roman" w:hAnsi="Times New Roman" w:cs="Times New Roman"/>
        </w:rPr>
        <w:t xml:space="preserve">1.76 to </w:t>
      </w:r>
      <w:r w:rsidRPr="004D4B61" w:rsidR="00D93178">
        <w:rPr>
          <w:rFonts w:ascii="Times New Roman" w:hAnsi="Times New Roman" w:cs="Times New Roman"/>
        </w:rPr>
        <w:t>create a fully loaded wage rate</w:t>
      </w:r>
      <w:r w:rsidRPr="004D4B61" w:rsidR="00C5384D">
        <w:rPr>
          <w:rFonts w:ascii="Times New Roman" w:hAnsi="Times New Roman" w:cs="Times New Roman"/>
        </w:rPr>
        <w:t>.</w:t>
      </w:r>
      <w:r w:rsidRPr="004D4B61" w:rsidR="00C5384D">
        <w:rPr>
          <w:rStyle w:val="FootnoteReference"/>
          <w:rFonts w:ascii="Times New Roman" w:hAnsi="Times New Roman" w:cs="Times New Roman"/>
        </w:rPr>
        <w:footnoteReference w:id="47"/>
      </w:r>
      <w:r w:rsidR="00DB08C1">
        <w:rPr>
          <w:rFonts w:ascii="Times New Roman" w:hAnsi="Times New Roman" w:cs="Times New Roman"/>
        </w:rPr>
        <w:t xml:space="preserve"> </w:t>
      </w:r>
      <w:r w:rsidRPr="004D4B61" w:rsidR="00C5384D">
        <w:rPr>
          <w:rFonts w:ascii="Times New Roman" w:hAnsi="Times New Roman" w:cs="Times New Roman"/>
        </w:rPr>
        <w:t xml:space="preserve">After loaded wage rates were established for each industry, they were combined to form a weighted average based on </w:t>
      </w:r>
      <w:r w:rsidRPr="004D4B61" w:rsidR="00FC572C">
        <w:rPr>
          <w:rFonts w:ascii="Times New Roman" w:hAnsi="Times New Roman" w:cs="Times New Roman"/>
        </w:rPr>
        <w:t xml:space="preserve">the </w:t>
      </w:r>
      <w:r w:rsidRPr="004D4B61" w:rsidR="00C5384D">
        <w:rPr>
          <w:rFonts w:ascii="Times New Roman" w:hAnsi="Times New Roman" w:cs="Times New Roman"/>
        </w:rPr>
        <w:t>promine</w:t>
      </w:r>
      <w:r w:rsidRPr="004D4B61" w:rsidR="00FC572C">
        <w:rPr>
          <w:rFonts w:ascii="Times New Roman" w:hAnsi="Times New Roman" w:cs="Times New Roman"/>
        </w:rPr>
        <w:t>nce of</w:t>
      </w:r>
      <w:r w:rsidRPr="004D4B61" w:rsidR="00C5384D">
        <w:rPr>
          <w:rFonts w:ascii="Times New Roman" w:hAnsi="Times New Roman" w:cs="Times New Roman"/>
        </w:rPr>
        <w:t xml:space="preserve"> each industry within its universe of facilities, either simple or complex. Exhibit 4-1 presents the wage rates</w:t>
      </w:r>
      <w:r w:rsidRPr="004D4B61" w:rsidR="005A5AD7">
        <w:rPr>
          <w:rFonts w:ascii="Times New Roman" w:hAnsi="Times New Roman" w:cs="Times New Roman"/>
        </w:rPr>
        <w:t xml:space="preserve"> EPA used in the analysis.</w:t>
      </w:r>
    </w:p>
    <w:p w:rsidRPr="004D4B61" w:rsidR="005A5AD7" w:rsidP="00DB08C1" w:rsidRDefault="005A5AD7" w14:paraId="3D3B24EE" w14:textId="77777777">
      <w:pPr>
        <w:spacing w:after="0" w:line="240" w:lineRule="auto"/>
        <w:rPr>
          <w:rFonts w:ascii="Times New Roman" w:hAnsi="Times New Roman" w:cs="Times New Roman"/>
          <w:b/>
        </w:rPr>
      </w:pPr>
    </w:p>
    <w:p w:rsidRPr="00DB08C1" w:rsidR="00DB08C1" w:rsidP="00DB08C1" w:rsidRDefault="00DB08C1" w14:paraId="00E4550E" w14:textId="5FFA2AA7">
      <w:pPr>
        <w:pStyle w:val="Caption"/>
        <w:jc w:val="center"/>
        <w:rPr>
          <w:rFonts w:ascii="Times New Roman" w:hAnsi="Times New Roman" w:cs="Times New Roman"/>
          <w:b/>
          <w:bCs/>
          <w:i w:val="0"/>
          <w:iCs w:val="0"/>
          <w:color w:val="auto"/>
          <w:sz w:val="22"/>
          <w:szCs w:val="22"/>
        </w:rPr>
      </w:pPr>
      <w:r w:rsidRPr="00DB08C1">
        <w:rPr>
          <w:rFonts w:ascii="Times New Roman" w:hAnsi="Times New Roman" w:cs="Times New Roman"/>
          <w:b/>
          <w:bCs/>
          <w:i w:val="0"/>
          <w:iCs w:val="0"/>
          <w:color w:val="auto"/>
          <w:sz w:val="22"/>
          <w:szCs w:val="22"/>
        </w:rPr>
        <w:t>Exhibit 4-1: Weighted-Average Loaded Hourly Wage Rates (2020 Dollars).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7"/>
        <w:gridCol w:w="1678"/>
        <w:gridCol w:w="1858"/>
      </w:tblGrid>
      <w:tr w:rsidRPr="004D4B61" w:rsidR="00C5384D" w:rsidTr="00DB08C1" w14:paraId="00FA5F94" w14:textId="77777777">
        <w:trPr>
          <w:trHeight w:val="306"/>
          <w:tblHeader/>
          <w:jc w:val="center"/>
        </w:trPr>
        <w:tc>
          <w:tcPr>
            <w:tcW w:w="2377" w:type="dxa"/>
            <w:shd w:val="clear" w:color="auto" w:fill="D9D9D9"/>
            <w:vAlign w:val="center"/>
          </w:tcPr>
          <w:p w:rsidRPr="00D7128A" w:rsidR="00C5384D" w:rsidP="004D4B61" w:rsidRDefault="00C5384D" w14:paraId="542022E9" w14:textId="77777777">
            <w:pPr>
              <w:spacing w:after="0" w:line="240" w:lineRule="auto"/>
              <w:ind w:left="496"/>
              <w:rPr>
                <w:rFonts w:ascii="Times New Roman" w:hAnsi="Times New Roman" w:cs="Times New Roman"/>
                <w:b/>
                <w:sz w:val="20"/>
                <w:szCs w:val="20"/>
              </w:rPr>
            </w:pPr>
            <w:r w:rsidRPr="00D7128A">
              <w:rPr>
                <w:rFonts w:ascii="Times New Roman" w:hAnsi="Times New Roman" w:cs="Times New Roman"/>
                <w:b/>
                <w:sz w:val="20"/>
                <w:szCs w:val="20"/>
              </w:rPr>
              <w:t>Labor Category</w:t>
            </w:r>
          </w:p>
        </w:tc>
        <w:tc>
          <w:tcPr>
            <w:tcW w:w="1678" w:type="dxa"/>
            <w:shd w:val="clear" w:color="auto" w:fill="D9D9D9"/>
            <w:vAlign w:val="center"/>
          </w:tcPr>
          <w:p w:rsidRPr="00D7128A" w:rsidR="00C5384D" w:rsidP="00DB08C1" w:rsidRDefault="00C5384D" w14:paraId="6FE8205B" w14:textId="77777777">
            <w:pPr>
              <w:spacing w:after="0" w:line="240" w:lineRule="auto"/>
              <w:ind w:left="84" w:right="81"/>
              <w:jc w:val="center"/>
              <w:rPr>
                <w:rFonts w:ascii="Times New Roman" w:hAnsi="Times New Roman" w:cs="Times New Roman"/>
                <w:b/>
                <w:sz w:val="20"/>
                <w:szCs w:val="20"/>
              </w:rPr>
            </w:pPr>
            <w:r w:rsidRPr="00D7128A">
              <w:rPr>
                <w:rFonts w:ascii="Times New Roman" w:hAnsi="Times New Roman" w:cs="Times New Roman"/>
                <w:b/>
                <w:sz w:val="20"/>
                <w:szCs w:val="20"/>
              </w:rPr>
              <w:t>Simple Facilities</w:t>
            </w:r>
          </w:p>
        </w:tc>
        <w:tc>
          <w:tcPr>
            <w:tcW w:w="1858" w:type="dxa"/>
            <w:shd w:val="clear" w:color="auto" w:fill="D9D9D9"/>
            <w:vAlign w:val="center"/>
          </w:tcPr>
          <w:p w:rsidRPr="00D7128A" w:rsidR="00C5384D" w:rsidP="00DB08C1" w:rsidRDefault="00C5384D" w14:paraId="372E297D" w14:textId="77777777">
            <w:pPr>
              <w:spacing w:after="0" w:line="240" w:lineRule="auto"/>
              <w:ind w:left="87" w:right="81"/>
              <w:jc w:val="center"/>
              <w:rPr>
                <w:rFonts w:ascii="Times New Roman" w:hAnsi="Times New Roman" w:cs="Times New Roman"/>
                <w:b/>
                <w:sz w:val="20"/>
                <w:szCs w:val="20"/>
              </w:rPr>
            </w:pPr>
            <w:r w:rsidRPr="00D7128A">
              <w:rPr>
                <w:rFonts w:ascii="Times New Roman" w:hAnsi="Times New Roman" w:cs="Times New Roman"/>
                <w:b/>
                <w:sz w:val="20"/>
                <w:szCs w:val="20"/>
              </w:rPr>
              <w:t>Complex Facilities</w:t>
            </w:r>
          </w:p>
        </w:tc>
      </w:tr>
      <w:tr w:rsidRPr="004D4B61" w:rsidR="00C5384D" w:rsidTr="00DB08C1" w14:paraId="660F99BB" w14:textId="77777777">
        <w:trPr>
          <w:trHeight w:val="309"/>
          <w:jc w:val="center"/>
        </w:trPr>
        <w:tc>
          <w:tcPr>
            <w:tcW w:w="2377" w:type="dxa"/>
            <w:vAlign w:val="center"/>
          </w:tcPr>
          <w:p w:rsidRPr="00D7128A" w:rsidR="00C5384D" w:rsidP="004D4B61" w:rsidRDefault="00C5384D" w14:paraId="203168F7"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Management</w:t>
            </w:r>
          </w:p>
        </w:tc>
        <w:tc>
          <w:tcPr>
            <w:tcW w:w="1678" w:type="dxa"/>
            <w:vAlign w:val="center"/>
          </w:tcPr>
          <w:p w:rsidRPr="00D7128A" w:rsidR="00C5384D" w:rsidP="00DB08C1" w:rsidRDefault="00AB60F3" w14:paraId="2294880D" w14:textId="0E45E47F">
            <w:pPr>
              <w:spacing w:after="0" w:line="240" w:lineRule="auto"/>
              <w:ind w:left="84"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$103.06</w:t>
            </w:r>
          </w:p>
        </w:tc>
        <w:tc>
          <w:tcPr>
            <w:tcW w:w="1858" w:type="dxa"/>
            <w:vAlign w:val="center"/>
          </w:tcPr>
          <w:p w:rsidRPr="00D7128A" w:rsidR="00C5384D" w:rsidP="00DB08C1" w:rsidRDefault="00AB60F3" w14:paraId="3734222B" w14:textId="1592EC5B">
            <w:pPr>
              <w:spacing w:after="0" w:line="240" w:lineRule="auto"/>
              <w:ind w:left="85" w:right="81"/>
              <w:jc w:val="center"/>
              <w:rPr>
                <w:rFonts w:ascii="Times New Roman" w:hAnsi="Times New Roman" w:cs="Times New Roman"/>
                <w:sz w:val="20"/>
                <w:szCs w:val="20"/>
              </w:rPr>
            </w:pPr>
            <w:r w:rsidRPr="00D7128A">
              <w:rPr>
                <w:rFonts w:ascii="Times New Roman" w:hAnsi="Times New Roman" w:cs="Times New Roman"/>
                <w:color w:val="000000"/>
                <w:sz w:val="20"/>
                <w:szCs w:val="20"/>
              </w:rPr>
              <w:t>$135.63</w:t>
            </w:r>
          </w:p>
        </w:tc>
      </w:tr>
      <w:tr w:rsidRPr="004D4B61" w:rsidR="00C5384D" w:rsidTr="00DB08C1" w14:paraId="6CC23CC1" w14:textId="77777777">
        <w:trPr>
          <w:trHeight w:val="309"/>
          <w:jc w:val="center"/>
        </w:trPr>
        <w:tc>
          <w:tcPr>
            <w:tcW w:w="2377" w:type="dxa"/>
            <w:vAlign w:val="center"/>
          </w:tcPr>
          <w:p w:rsidRPr="00D7128A" w:rsidR="00C5384D" w:rsidP="004D4B61" w:rsidRDefault="00C5384D" w14:paraId="7F8995D0"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Corporate Management</w:t>
            </w:r>
          </w:p>
        </w:tc>
        <w:tc>
          <w:tcPr>
            <w:tcW w:w="1678" w:type="dxa"/>
            <w:vAlign w:val="center"/>
          </w:tcPr>
          <w:p w:rsidRPr="00D7128A" w:rsidR="00C5384D" w:rsidP="00DB08C1" w:rsidRDefault="00AB60F3" w14:paraId="5C454891" w14:textId="5C1320A7">
            <w:pPr>
              <w:spacing w:after="0" w:line="240" w:lineRule="auto"/>
              <w:ind w:left="84" w:right="81"/>
              <w:jc w:val="center"/>
              <w:rPr>
                <w:rFonts w:ascii="Times New Roman" w:hAnsi="Times New Roman" w:cs="Times New Roman"/>
                <w:sz w:val="20"/>
                <w:szCs w:val="20"/>
              </w:rPr>
            </w:pPr>
            <w:r w:rsidRPr="00D7128A">
              <w:rPr>
                <w:rFonts w:ascii="Times New Roman" w:hAnsi="Times New Roman" w:cs="Times New Roman"/>
                <w:color w:val="000000"/>
                <w:sz w:val="20"/>
                <w:szCs w:val="20"/>
              </w:rPr>
              <w:t>$105.24</w:t>
            </w:r>
          </w:p>
        </w:tc>
        <w:tc>
          <w:tcPr>
            <w:tcW w:w="1858" w:type="dxa"/>
            <w:vAlign w:val="center"/>
          </w:tcPr>
          <w:p w:rsidRPr="00D7128A" w:rsidR="00C5384D" w:rsidP="00DB08C1" w:rsidRDefault="00AB60F3" w14:paraId="68FDD431" w14:textId="614DE6D2">
            <w:pPr>
              <w:spacing w:after="0" w:line="240" w:lineRule="auto"/>
              <w:ind w:left="85" w:right="81"/>
              <w:jc w:val="center"/>
              <w:rPr>
                <w:rFonts w:ascii="Times New Roman" w:hAnsi="Times New Roman" w:cs="Times New Roman"/>
                <w:sz w:val="20"/>
                <w:szCs w:val="20"/>
              </w:rPr>
            </w:pPr>
            <w:r w:rsidRPr="00D7128A">
              <w:rPr>
                <w:rFonts w:ascii="Times New Roman" w:hAnsi="Times New Roman" w:cs="Times New Roman"/>
                <w:color w:val="000000"/>
                <w:sz w:val="20"/>
                <w:szCs w:val="20"/>
              </w:rPr>
              <w:t>$134.46</w:t>
            </w:r>
          </w:p>
        </w:tc>
      </w:tr>
      <w:tr w:rsidRPr="004D4B61" w:rsidR="00C5384D" w:rsidTr="00DB08C1" w14:paraId="58F04B67" w14:textId="77777777">
        <w:trPr>
          <w:trHeight w:val="309"/>
          <w:jc w:val="center"/>
        </w:trPr>
        <w:tc>
          <w:tcPr>
            <w:tcW w:w="2377" w:type="dxa"/>
            <w:vAlign w:val="center"/>
          </w:tcPr>
          <w:p w:rsidRPr="00D7128A" w:rsidR="00C5384D" w:rsidP="004D4B61" w:rsidRDefault="00C5384D" w14:paraId="72A1B9F6"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Attorneys</w:t>
            </w:r>
          </w:p>
        </w:tc>
        <w:tc>
          <w:tcPr>
            <w:tcW w:w="1678" w:type="dxa"/>
            <w:vAlign w:val="center"/>
          </w:tcPr>
          <w:p w:rsidRPr="00D7128A" w:rsidR="00C5384D" w:rsidP="00DB08C1" w:rsidRDefault="00AB60F3" w14:paraId="41680A54" w14:textId="10F607AC">
            <w:pPr>
              <w:spacing w:after="0" w:line="240" w:lineRule="auto"/>
              <w:ind w:left="84" w:right="76"/>
              <w:jc w:val="center"/>
              <w:rPr>
                <w:rFonts w:ascii="Times New Roman" w:hAnsi="Times New Roman" w:cs="Times New Roman"/>
                <w:sz w:val="20"/>
                <w:szCs w:val="20"/>
              </w:rPr>
            </w:pPr>
            <w:r w:rsidRPr="00D7128A">
              <w:rPr>
                <w:rFonts w:ascii="Times New Roman" w:hAnsi="Times New Roman" w:cs="Times New Roman"/>
                <w:color w:val="000000"/>
                <w:sz w:val="20"/>
                <w:szCs w:val="20"/>
              </w:rPr>
              <w:t>$132.14</w:t>
            </w:r>
          </w:p>
        </w:tc>
        <w:tc>
          <w:tcPr>
            <w:tcW w:w="1858" w:type="dxa"/>
            <w:vAlign w:val="center"/>
          </w:tcPr>
          <w:p w:rsidRPr="00D7128A" w:rsidR="00C5384D" w:rsidP="00DB08C1" w:rsidRDefault="00AB60F3" w14:paraId="4F610B03" w14:textId="5D4CADF5">
            <w:pPr>
              <w:spacing w:after="0" w:line="240" w:lineRule="auto"/>
              <w:ind w:left="85" w:right="81"/>
              <w:jc w:val="center"/>
              <w:rPr>
                <w:rFonts w:ascii="Times New Roman" w:hAnsi="Times New Roman" w:cs="Times New Roman"/>
                <w:sz w:val="20"/>
                <w:szCs w:val="20"/>
              </w:rPr>
            </w:pPr>
            <w:r w:rsidRPr="00D7128A">
              <w:rPr>
                <w:rFonts w:ascii="Times New Roman" w:hAnsi="Times New Roman" w:cs="Times New Roman"/>
                <w:color w:val="000000"/>
                <w:sz w:val="20"/>
                <w:szCs w:val="20"/>
              </w:rPr>
              <w:t>$157.85</w:t>
            </w:r>
          </w:p>
        </w:tc>
      </w:tr>
      <w:tr w:rsidRPr="004D4B61" w:rsidR="00C5384D" w:rsidTr="00DB08C1" w14:paraId="01692A6C" w14:textId="77777777">
        <w:trPr>
          <w:trHeight w:val="306"/>
          <w:jc w:val="center"/>
        </w:trPr>
        <w:tc>
          <w:tcPr>
            <w:tcW w:w="2377" w:type="dxa"/>
            <w:vAlign w:val="center"/>
          </w:tcPr>
          <w:p w:rsidRPr="00D7128A" w:rsidR="00C5384D" w:rsidP="004D4B61" w:rsidRDefault="00C5384D" w14:paraId="15899C0A"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Engineers</w:t>
            </w:r>
          </w:p>
        </w:tc>
        <w:tc>
          <w:tcPr>
            <w:tcW w:w="1678" w:type="dxa"/>
            <w:vAlign w:val="center"/>
          </w:tcPr>
          <w:p w:rsidRPr="00D7128A" w:rsidR="00C5384D" w:rsidP="00DB08C1" w:rsidRDefault="00AB60F3" w14:paraId="5B33FB81" w14:textId="4A3B9575">
            <w:pPr>
              <w:spacing w:after="0" w:line="240" w:lineRule="auto"/>
              <w:ind w:left="84" w:right="81"/>
              <w:jc w:val="center"/>
              <w:rPr>
                <w:rFonts w:ascii="Times New Roman" w:hAnsi="Times New Roman" w:cs="Times New Roman"/>
                <w:sz w:val="20"/>
                <w:szCs w:val="20"/>
              </w:rPr>
            </w:pPr>
            <w:r w:rsidRPr="00D7128A">
              <w:rPr>
                <w:rFonts w:ascii="Times New Roman" w:hAnsi="Times New Roman" w:cs="Times New Roman"/>
                <w:color w:val="000000"/>
                <w:sz w:val="20"/>
                <w:szCs w:val="20"/>
              </w:rPr>
              <w:t>$69.31</w:t>
            </w:r>
          </w:p>
        </w:tc>
        <w:tc>
          <w:tcPr>
            <w:tcW w:w="1858" w:type="dxa"/>
            <w:vAlign w:val="center"/>
          </w:tcPr>
          <w:p w:rsidRPr="00D7128A" w:rsidR="00C5384D" w:rsidP="00DB08C1" w:rsidRDefault="00AB60F3" w14:paraId="744475D4" w14:textId="6692CE7F">
            <w:pPr>
              <w:spacing w:after="0" w:line="240" w:lineRule="auto"/>
              <w:ind w:left="87"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$100.43</w:t>
            </w:r>
          </w:p>
        </w:tc>
      </w:tr>
      <w:tr w:rsidRPr="004D4B61" w:rsidR="00C5384D" w:rsidTr="00DB08C1" w14:paraId="2C26D8BC" w14:textId="77777777">
        <w:trPr>
          <w:trHeight w:val="309"/>
          <w:jc w:val="center"/>
        </w:trPr>
        <w:tc>
          <w:tcPr>
            <w:tcW w:w="2377" w:type="dxa"/>
            <w:vAlign w:val="center"/>
          </w:tcPr>
          <w:p w:rsidRPr="00D7128A" w:rsidR="00C5384D" w:rsidP="004D4B61" w:rsidRDefault="00C5384D" w14:paraId="3A8D33FF" w14:textId="77777777">
            <w:pPr>
              <w:keepNext/>
              <w:keepLines/>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Production Staff</w:t>
            </w:r>
          </w:p>
        </w:tc>
        <w:tc>
          <w:tcPr>
            <w:tcW w:w="1678" w:type="dxa"/>
            <w:vAlign w:val="center"/>
          </w:tcPr>
          <w:p w:rsidRPr="00D7128A" w:rsidR="00C5384D" w:rsidP="00DB08C1" w:rsidRDefault="00AB60F3" w14:paraId="56109168" w14:textId="4F5B79EC">
            <w:pPr>
              <w:keepNext/>
              <w:keepLines/>
              <w:spacing w:after="0" w:line="240" w:lineRule="auto"/>
              <w:ind w:left="84"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$39.69</w:t>
            </w:r>
          </w:p>
        </w:tc>
        <w:tc>
          <w:tcPr>
            <w:tcW w:w="1858" w:type="dxa"/>
            <w:vAlign w:val="center"/>
          </w:tcPr>
          <w:p w:rsidRPr="00D7128A" w:rsidR="00C5384D" w:rsidP="00DB08C1" w:rsidRDefault="00AB60F3" w14:paraId="54A72AEE" w14:textId="4231527D">
            <w:pPr>
              <w:keepNext/>
              <w:keepLines/>
              <w:spacing w:after="0" w:line="240" w:lineRule="auto"/>
              <w:ind w:left="87"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$56.61</w:t>
            </w:r>
          </w:p>
        </w:tc>
      </w:tr>
      <w:tr w:rsidRPr="004D4B61" w:rsidR="00C5384D" w:rsidTr="00DB08C1" w14:paraId="4C742355" w14:textId="77777777">
        <w:trPr>
          <w:trHeight w:val="309"/>
          <w:jc w:val="center"/>
        </w:trPr>
        <w:tc>
          <w:tcPr>
            <w:tcW w:w="2377" w:type="dxa"/>
            <w:vAlign w:val="center"/>
          </w:tcPr>
          <w:p w:rsidRPr="00D7128A" w:rsidR="00C5384D" w:rsidP="004D4B61" w:rsidRDefault="00C5384D" w14:paraId="695569D4" w14:textId="77777777">
            <w:pPr>
              <w:keepNext/>
              <w:keepLines/>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Local Responders</w:t>
            </w:r>
          </w:p>
        </w:tc>
        <w:tc>
          <w:tcPr>
            <w:tcW w:w="1678" w:type="dxa"/>
            <w:vAlign w:val="center"/>
          </w:tcPr>
          <w:p w:rsidRPr="00D7128A" w:rsidR="00C5384D" w:rsidP="00DB08C1" w:rsidRDefault="00AB60F3" w14:paraId="0CC9D970" w14:textId="35053687">
            <w:pPr>
              <w:keepNext/>
              <w:keepLines/>
              <w:spacing w:after="0" w:line="240" w:lineRule="auto"/>
              <w:ind w:left="84"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$71.19</w:t>
            </w:r>
          </w:p>
        </w:tc>
        <w:tc>
          <w:tcPr>
            <w:tcW w:w="1858" w:type="dxa"/>
            <w:vAlign w:val="center"/>
          </w:tcPr>
          <w:p w:rsidRPr="00D7128A" w:rsidR="00C5384D" w:rsidP="00DB08C1" w:rsidRDefault="00AB60F3" w14:paraId="36A754FC" w14:textId="21F5673A">
            <w:pPr>
              <w:keepNext/>
              <w:keepLines/>
              <w:spacing w:after="0" w:line="240" w:lineRule="auto"/>
              <w:ind w:left="87" w:right="80"/>
              <w:jc w:val="center"/>
              <w:rPr>
                <w:rFonts w:ascii="Times New Roman" w:hAnsi="Times New Roman" w:cs="Times New Roman"/>
                <w:sz w:val="20"/>
                <w:szCs w:val="20"/>
              </w:rPr>
            </w:pPr>
            <w:r w:rsidRPr="00D7128A">
              <w:rPr>
                <w:rFonts w:ascii="Times New Roman" w:hAnsi="Times New Roman" w:cs="Times New Roman"/>
                <w:color w:val="000000"/>
                <w:sz w:val="20"/>
                <w:szCs w:val="20"/>
              </w:rPr>
              <w:t>$71.19</w:t>
            </w:r>
          </w:p>
        </w:tc>
      </w:tr>
    </w:tbl>
    <w:p w:rsidRPr="003B1632" w:rsidR="00C5384D" w:rsidP="004D4B61" w:rsidRDefault="00FC572C" w14:paraId="1E7C6147" w14:textId="58953FE1">
      <w:pPr>
        <w:keepNext/>
        <w:keepLines/>
        <w:spacing w:after="0" w:line="240" w:lineRule="auto"/>
        <w:ind w:left="2070"/>
        <w:rPr>
          <w:rStyle w:val="Hyperlink"/>
          <w:rFonts w:ascii="Times New Roman" w:hAnsi="Times New Roman" w:cs="Times New Roman"/>
          <w:sz w:val="18"/>
          <w:szCs w:val="18"/>
          <w:u w:val="none"/>
        </w:rPr>
      </w:pPr>
      <w:r w:rsidRPr="004D4B61">
        <w:rPr>
          <w:rFonts w:ascii="Times New Roman" w:hAnsi="Times New Roman" w:cs="Times New Roman"/>
        </w:rPr>
        <w:tab/>
      </w:r>
      <w:r w:rsidRPr="003B1632">
        <w:rPr>
          <w:rFonts w:ascii="Times New Roman" w:hAnsi="Times New Roman" w:cs="Times New Roman"/>
          <w:sz w:val="18"/>
          <w:szCs w:val="18"/>
        </w:rPr>
        <w:t>Source:</w:t>
      </w:r>
      <w:r w:rsidRPr="003B1632">
        <w:rPr>
          <w:rFonts w:ascii="Times New Roman" w:hAnsi="Times New Roman" w:cs="Times New Roman"/>
          <w:b/>
          <w:sz w:val="18"/>
          <w:szCs w:val="18"/>
        </w:rPr>
        <w:t xml:space="preserve"> </w:t>
      </w:r>
      <w:hyperlink w:history="1" r:id="rId23">
        <w:r w:rsidRPr="003B1632">
          <w:rPr>
            <w:rStyle w:val="Hyperlink"/>
            <w:rFonts w:ascii="Times New Roman" w:hAnsi="Times New Roman" w:cs="Times New Roman"/>
            <w:sz w:val="18"/>
            <w:szCs w:val="18"/>
            <w:u w:val="none"/>
          </w:rPr>
          <w:t>https://www.bls.gov/oes/2020/may/oes_nat.htm</w:t>
        </w:r>
      </w:hyperlink>
      <w:r w:rsidRPr="003B1632">
        <w:rPr>
          <w:rStyle w:val="Hyperlink"/>
          <w:rFonts w:ascii="Times New Roman" w:hAnsi="Times New Roman" w:cs="Times New Roman"/>
          <w:sz w:val="18"/>
          <w:szCs w:val="18"/>
          <w:u w:val="none"/>
        </w:rPr>
        <w:t xml:space="preserve"> and</w:t>
      </w:r>
      <w:r w:rsidRPr="003B1632" w:rsidR="004F7953">
        <w:rPr>
          <w:rStyle w:val="Hyperlink"/>
          <w:rFonts w:ascii="Times New Roman" w:hAnsi="Times New Roman" w:cs="Times New Roman"/>
          <w:sz w:val="18"/>
          <w:szCs w:val="18"/>
          <w:u w:val="none"/>
        </w:rPr>
        <w:t xml:space="preserve"> </w:t>
      </w:r>
      <w:r w:rsidRPr="003B1632" w:rsidR="004F7953">
        <w:rPr>
          <w:rStyle w:val="Hyperlink"/>
          <w:rFonts w:ascii="Times New Roman" w:hAnsi="Times New Roman" w:cs="Times New Roman"/>
          <w:sz w:val="18"/>
          <w:szCs w:val="18"/>
          <w:u w:val="none"/>
        </w:rPr>
        <w:tab/>
      </w:r>
      <w:r w:rsidRPr="003B1632" w:rsidR="004F7953">
        <w:rPr>
          <w:rStyle w:val="Hyperlink"/>
          <w:rFonts w:ascii="Times New Roman" w:hAnsi="Times New Roman" w:cs="Times New Roman"/>
          <w:sz w:val="18"/>
          <w:szCs w:val="18"/>
          <w:u w:val="none"/>
        </w:rPr>
        <w:tab/>
      </w:r>
      <w:r w:rsidRPr="003B1632" w:rsidR="004F7953">
        <w:rPr>
          <w:rStyle w:val="Hyperlink"/>
          <w:rFonts w:ascii="Times New Roman" w:hAnsi="Times New Roman" w:cs="Times New Roman"/>
          <w:sz w:val="18"/>
          <w:szCs w:val="18"/>
          <w:u w:val="none"/>
        </w:rPr>
        <w:tab/>
      </w:r>
      <w:r w:rsidRPr="003B1632" w:rsidR="004F7953">
        <w:rPr>
          <w:rStyle w:val="Hyperlink"/>
          <w:rFonts w:ascii="Times New Roman" w:hAnsi="Times New Roman" w:cs="Times New Roman"/>
          <w:sz w:val="18"/>
          <w:szCs w:val="18"/>
          <w:u w:val="none"/>
        </w:rPr>
        <w:tab/>
      </w:r>
      <w:r w:rsidRPr="003B1632" w:rsidR="004F7953">
        <w:rPr>
          <w:rStyle w:val="Hyperlink"/>
          <w:rFonts w:ascii="Times New Roman" w:hAnsi="Times New Roman" w:cs="Times New Roman"/>
          <w:sz w:val="18"/>
          <w:szCs w:val="18"/>
          <w:u w:val="none"/>
        </w:rPr>
        <w:tab/>
      </w:r>
      <w:hyperlink w:history="1" r:id="rId24">
        <w:r w:rsidRPr="003B1632" w:rsidR="004F7953">
          <w:rPr>
            <w:rStyle w:val="Hyperlink"/>
            <w:rFonts w:ascii="Times New Roman" w:hAnsi="Times New Roman" w:cs="Times New Roman"/>
            <w:sz w:val="18"/>
            <w:szCs w:val="18"/>
            <w:u w:val="none"/>
          </w:rPr>
          <w:t>http://www.bls.gov/news.release/ecec.nr0.htm.</w:t>
        </w:r>
      </w:hyperlink>
    </w:p>
    <w:p w:rsidRPr="004D4B61" w:rsidR="00DB08C1" w:rsidP="004D4B61" w:rsidRDefault="00DB08C1" w14:paraId="70C07EC4" w14:textId="77777777">
      <w:pPr>
        <w:keepNext/>
        <w:keepLines/>
        <w:spacing w:after="0" w:line="240" w:lineRule="auto"/>
        <w:ind w:left="2070"/>
        <w:rPr>
          <w:rFonts w:ascii="Times New Roman" w:hAnsi="Times New Roman" w:cs="Times New Roman"/>
          <w:b/>
        </w:rPr>
      </w:pPr>
    </w:p>
    <w:p w:rsidRPr="004D4B61" w:rsidR="00C5384D" w:rsidP="00813745" w:rsidRDefault="00C5384D" w14:paraId="24AC9BC3" w14:textId="77777777">
      <w:pPr>
        <w:pStyle w:val="Heading2"/>
      </w:pPr>
      <w:bookmarkStart w:name="_Toc98856215" w:id="49"/>
      <w:bookmarkStart w:name="_Toc110502746" w:id="50"/>
      <w:r w:rsidRPr="004D4B61">
        <w:t>4.3 Rule Familiarization</w:t>
      </w:r>
      <w:bookmarkEnd w:id="49"/>
      <w:bookmarkEnd w:id="50"/>
      <w:r w:rsidRPr="004D4B61">
        <w:t xml:space="preserve"> </w:t>
      </w:r>
    </w:p>
    <w:p w:rsidR="00C5384D" w:rsidP="00DB08C1" w:rsidRDefault="009130BD" w14:paraId="431084C1" w14:textId="2FF359A2">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RMP facility staff will </w:t>
      </w:r>
      <w:r w:rsidRPr="004D4B61" w:rsidR="00E026E1">
        <w:rPr>
          <w:rFonts w:ascii="Times New Roman" w:hAnsi="Times New Roman" w:cs="Times New Roman"/>
        </w:rPr>
        <w:t xml:space="preserve">spend </w:t>
      </w:r>
      <w:r w:rsidRPr="004D4B61" w:rsidR="00C5384D">
        <w:rPr>
          <w:rFonts w:ascii="Times New Roman" w:hAnsi="Times New Roman" w:cs="Times New Roman"/>
        </w:rPr>
        <w:t xml:space="preserve">time to review the </w:t>
      </w:r>
      <w:r w:rsidRPr="004D4B61" w:rsidR="00492C4D">
        <w:rPr>
          <w:rFonts w:ascii="Times New Roman" w:hAnsi="Times New Roman" w:cs="Times New Roman"/>
        </w:rPr>
        <w:t>final</w:t>
      </w:r>
      <w:r w:rsidRPr="004D4B61" w:rsidR="00C5384D">
        <w:rPr>
          <w:rFonts w:ascii="Times New Roman" w:hAnsi="Times New Roman" w:cs="Times New Roman"/>
        </w:rPr>
        <w:t xml:space="preserve"> rule and determine which provisions apply to the</w:t>
      </w:r>
      <w:r w:rsidRPr="004D4B61" w:rsidR="004F7953">
        <w:rPr>
          <w:rFonts w:ascii="Times New Roman" w:hAnsi="Times New Roman" w:cs="Times New Roman"/>
        </w:rPr>
        <w:t>ir</w:t>
      </w:r>
      <w:r w:rsidRPr="004D4B61" w:rsidR="00C5384D">
        <w:rPr>
          <w:rFonts w:ascii="Times New Roman" w:hAnsi="Times New Roman" w:cs="Times New Roman"/>
        </w:rPr>
        <w:t xml:space="preserve"> facility. Most of the proposed provisions </w:t>
      </w:r>
      <w:r w:rsidRPr="004D4B61" w:rsidR="006076C9">
        <w:rPr>
          <w:rFonts w:ascii="Times New Roman" w:hAnsi="Times New Roman" w:cs="Times New Roman"/>
        </w:rPr>
        <w:t>revise</w:t>
      </w:r>
      <w:r w:rsidRPr="004D4B61" w:rsidR="00C5384D">
        <w:rPr>
          <w:rFonts w:ascii="Times New Roman" w:hAnsi="Times New Roman" w:cs="Times New Roman"/>
        </w:rPr>
        <w:t xml:space="preserve"> current requirements </w:t>
      </w:r>
      <w:r w:rsidRPr="004D4B61" w:rsidR="00E026E1">
        <w:rPr>
          <w:rFonts w:ascii="Times New Roman" w:hAnsi="Times New Roman" w:cs="Times New Roman"/>
        </w:rPr>
        <w:t xml:space="preserve">rather than </w:t>
      </w:r>
      <w:r w:rsidRPr="004D4B61" w:rsidR="00C5384D">
        <w:rPr>
          <w:rFonts w:ascii="Times New Roman" w:hAnsi="Times New Roman" w:cs="Times New Roman"/>
        </w:rPr>
        <w:t>introducing completely new provisions. Many of the provisions are straightforward</w:t>
      </w:r>
      <w:r w:rsidRPr="004D4B61" w:rsidR="00FC572C">
        <w:rPr>
          <w:rFonts w:ascii="Times New Roman" w:hAnsi="Times New Roman" w:cs="Times New Roman"/>
        </w:rPr>
        <w:t>,</w:t>
      </w:r>
      <w:r w:rsidRPr="004D4B61" w:rsidR="00C5384D">
        <w:rPr>
          <w:rFonts w:ascii="Times New Roman" w:hAnsi="Times New Roman" w:cs="Times New Roman"/>
        </w:rPr>
        <w:t xml:space="preserve"> </w:t>
      </w:r>
      <w:r w:rsidRPr="004D4B61" w:rsidR="00F10C31">
        <w:rPr>
          <w:rFonts w:ascii="Times New Roman" w:hAnsi="Times New Roman" w:cs="Times New Roman"/>
        </w:rPr>
        <w:t>e.g.,</w:t>
      </w:r>
      <w:r w:rsidRPr="004D4B61" w:rsidR="00C5384D">
        <w:rPr>
          <w:rFonts w:ascii="Times New Roman" w:hAnsi="Times New Roman" w:cs="Times New Roman"/>
        </w:rPr>
        <w:t xml:space="preserve"> those regarding </w:t>
      </w:r>
      <w:r w:rsidRPr="004D4B61" w:rsidR="00254DEC">
        <w:rPr>
          <w:rFonts w:ascii="Times New Roman" w:hAnsi="Times New Roman" w:cs="Times New Roman"/>
        </w:rPr>
        <w:t>Information Availability</w:t>
      </w:r>
      <w:r w:rsidRPr="004D4B61" w:rsidR="00C5384D">
        <w:rPr>
          <w:rFonts w:ascii="Times New Roman" w:hAnsi="Times New Roman" w:cs="Times New Roman"/>
        </w:rPr>
        <w:t>. Others apply only after an RMP</w:t>
      </w:r>
      <w:r w:rsidRPr="004D4B61" w:rsidR="00E14DD8">
        <w:rPr>
          <w:rFonts w:ascii="Times New Roman" w:hAnsi="Times New Roman" w:cs="Times New Roman"/>
        </w:rPr>
        <w:t>-</w:t>
      </w:r>
      <w:r w:rsidRPr="004D4B61" w:rsidR="00C5384D">
        <w:rPr>
          <w:rFonts w:ascii="Times New Roman" w:hAnsi="Times New Roman" w:cs="Times New Roman"/>
        </w:rPr>
        <w:t>reportable accident</w:t>
      </w:r>
      <w:r w:rsidRPr="004D4B61" w:rsidR="00F10C31">
        <w:rPr>
          <w:rFonts w:ascii="Times New Roman" w:hAnsi="Times New Roman" w:cs="Times New Roman"/>
        </w:rPr>
        <w:t>, e.g.,</w:t>
      </w:r>
      <w:r w:rsidRPr="004D4B61" w:rsidR="00C5384D">
        <w:rPr>
          <w:rFonts w:ascii="Times New Roman" w:hAnsi="Times New Roman" w:cs="Times New Roman"/>
        </w:rPr>
        <w:t xml:space="preserve"> root cause analysis. Still others</w:t>
      </w:r>
      <w:r w:rsidRPr="004D4B61" w:rsidR="00F10C31">
        <w:rPr>
          <w:rFonts w:ascii="Times New Roman" w:hAnsi="Times New Roman" w:cs="Times New Roman"/>
        </w:rPr>
        <w:t>,</w:t>
      </w:r>
      <w:r w:rsidRPr="004D4B61" w:rsidR="00C5384D">
        <w:rPr>
          <w:rFonts w:ascii="Times New Roman" w:hAnsi="Times New Roman" w:cs="Times New Roman"/>
        </w:rPr>
        <w:t xml:space="preserve"> such as the STAA</w:t>
      </w:r>
      <w:r w:rsidRPr="004D4B61" w:rsidR="00F10C31">
        <w:rPr>
          <w:rFonts w:ascii="Times New Roman" w:hAnsi="Times New Roman" w:cs="Times New Roman"/>
        </w:rPr>
        <w:t>,</w:t>
      </w:r>
      <w:r w:rsidRPr="004D4B61" w:rsidR="00C5384D">
        <w:rPr>
          <w:rFonts w:ascii="Times New Roman" w:hAnsi="Times New Roman" w:cs="Times New Roman"/>
        </w:rPr>
        <w:t xml:space="preserve"> are expected to take time to understand</w:t>
      </w:r>
      <w:r w:rsidRPr="004D4B61" w:rsidR="002B4A2F">
        <w:rPr>
          <w:rFonts w:ascii="Times New Roman" w:hAnsi="Times New Roman" w:cs="Times New Roman"/>
        </w:rPr>
        <w:t xml:space="preserve"> --</w:t>
      </w:r>
      <w:r w:rsidRPr="004D4B61" w:rsidR="00C5384D">
        <w:rPr>
          <w:rFonts w:ascii="Times New Roman" w:hAnsi="Times New Roman" w:cs="Times New Roman"/>
        </w:rPr>
        <w:t xml:space="preserve"> however</w:t>
      </w:r>
      <w:r w:rsidRPr="004D4B61" w:rsidR="002B4A2F">
        <w:rPr>
          <w:rFonts w:ascii="Times New Roman" w:hAnsi="Times New Roman" w:cs="Times New Roman"/>
        </w:rPr>
        <w:t xml:space="preserve"> they </w:t>
      </w:r>
      <w:r w:rsidRPr="004D4B61" w:rsidR="00C5384D">
        <w:rPr>
          <w:rFonts w:ascii="Times New Roman" w:hAnsi="Times New Roman" w:cs="Times New Roman"/>
        </w:rPr>
        <w:t>apply to a limited number of facilities. As such, EPA has adopted a methodology that assigns labor estimates based on facility types</w:t>
      </w:r>
      <w:r w:rsidRPr="004D4B61" w:rsidR="00530688">
        <w:rPr>
          <w:rFonts w:ascii="Times New Roman" w:hAnsi="Times New Roman" w:cs="Times New Roman"/>
        </w:rPr>
        <w:t xml:space="preserve"> to reflect </w:t>
      </w:r>
      <w:proofErr w:type="gramStart"/>
      <w:r w:rsidRPr="004D4B61" w:rsidR="00530688">
        <w:rPr>
          <w:rFonts w:ascii="Times New Roman" w:hAnsi="Times New Roman" w:cs="Times New Roman"/>
        </w:rPr>
        <w:t>that certain facilities</w:t>
      </w:r>
      <w:proofErr w:type="gramEnd"/>
      <w:r w:rsidRPr="004D4B61" w:rsidR="00530688">
        <w:rPr>
          <w:rFonts w:ascii="Times New Roman" w:hAnsi="Times New Roman" w:cs="Times New Roman"/>
        </w:rPr>
        <w:t xml:space="preserve"> will have to dedicate more time to familiarize themselves with</w:t>
      </w:r>
      <w:r w:rsidRPr="004D4B61" w:rsidR="008123BF">
        <w:rPr>
          <w:rFonts w:ascii="Times New Roman" w:hAnsi="Times New Roman" w:cs="Times New Roman"/>
        </w:rPr>
        <w:t xml:space="preserve"> rule</w:t>
      </w:r>
      <w:r w:rsidRPr="004D4B61" w:rsidR="00530688">
        <w:rPr>
          <w:rFonts w:ascii="Times New Roman" w:hAnsi="Times New Roman" w:cs="Times New Roman"/>
        </w:rPr>
        <w:t xml:space="preserve"> provisions that apply only to them.</w:t>
      </w:r>
    </w:p>
    <w:p w:rsidRPr="004D4B61" w:rsidR="00A80E96" w:rsidP="00DB08C1" w:rsidRDefault="00A80E96" w14:paraId="21A20E99" w14:textId="28D916E8">
      <w:pPr>
        <w:spacing w:after="0" w:line="240" w:lineRule="auto"/>
        <w:ind w:firstLine="360"/>
        <w:rPr>
          <w:rFonts w:ascii="Times New Roman" w:hAnsi="Times New Roman" w:cs="Times New Roman"/>
        </w:rPr>
      </w:pPr>
    </w:p>
    <w:p w:rsidRPr="004D4B61" w:rsidR="00C5384D" w:rsidP="00DB08C1" w:rsidRDefault="00A80E96" w14:paraId="7734130E" w14:textId="2976DB14">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EPA projects that t</w:t>
      </w:r>
      <w:r w:rsidRPr="004D4B61" w:rsidR="005D2188">
        <w:rPr>
          <w:rFonts w:ascii="Times New Roman" w:hAnsi="Times New Roman" w:cs="Times New Roman"/>
        </w:rPr>
        <w:t xml:space="preserve">he </w:t>
      </w:r>
      <w:r w:rsidRPr="004D4B61" w:rsidR="00C5384D">
        <w:rPr>
          <w:rFonts w:ascii="Times New Roman" w:hAnsi="Times New Roman" w:cs="Times New Roman"/>
        </w:rPr>
        <w:t xml:space="preserve">time facilities </w:t>
      </w:r>
      <w:r w:rsidRPr="004D4B61" w:rsidR="005D2188">
        <w:rPr>
          <w:rFonts w:ascii="Times New Roman" w:hAnsi="Times New Roman" w:cs="Times New Roman"/>
        </w:rPr>
        <w:t xml:space="preserve">spend </w:t>
      </w:r>
      <w:r w:rsidRPr="004D4B61" w:rsidR="00C5384D">
        <w:rPr>
          <w:rFonts w:ascii="Times New Roman" w:hAnsi="Times New Roman" w:cs="Times New Roman"/>
        </w:rPr>
        <w:t xml:space="preserve">to review the </w:t>
      </w:r>
      <w:r w:rsidRPr="004D4B61" w:rsidR="00183E2A">
        <w:rPr>
          <w:rFonts w:ascii="Times New Roman" w:hAnsi="Times New Roman" w:cs="Times New Roman"/>
        </w:rPr>
        <w:t>final</w:t>
      </w:r>
      <w:r w:rsidRPr="004D4B61" w:rsidR="00C5384D">
        <w:rPr>
          <w:rFonts w:ascii="Times New Roman" w:hAnsi="Times New Roman" w:cs="Times New Roman"/>
        </w:rPr>
        <w:t xml:space="preserve"> rule and determine which provisions apply will be consistent with the time </w:t>
      </w:r>
      <w:r w:rsidRPr="004D4B61" w:rsidR="005D2188">
        <w:rPr>
          <w:rFonts w:ascii="Times New Roman" w:hAnsi="Times New Roman" w:cs="Times New Roman"/>
        </w:rPr>
        <w:t xml:space="preserve">they </w:t>
      </w:r>
      <w:r w:rsidRPr="004D4B61" w:rsidR="00CA261F">
        <w:rPr>
          <w:rFonts w:ascii="Times New Roman" w:hAnsi="Times New Roman" w:cs="Times New Roman"/>
        </w:rPr>
        <w:t xml:space="preserve">spent </w:t>
      </w:r>
      <w:r w:rsidRPr="004D4B61" w:rsidR="00C5384D">
        <w:rPr>
          <w:rFonts w:ascii="Times New Roman" w:hAnsi="Times New Roman" w:cs="Times New Roman"/>
        </w:rPr>
        <w:t xml:space="preserve">to review the </w:t>
      </w:r>
      <w:r w:rsidR="00FE4910">
        <w:rPr>
          <w:rFonts w:ascii="Times New Roman" w:hAnsi="Times New Roman" w:cs="Times New Roman"/>
        </w:rPr>
        <w:t>2017 a</w:t>
      </w:r>
      <w:r w:rsidRPr="004D4B61" w:rsidR="00C5384D">
        <w:rPr>
          <w:rFonts w:ascii="Times New Roman" w:hAnsi="Times New Roman" w:cs="Times New Roman"/>
        </w:rPr>
        <w:t xml:space="preserve">mendments rule because the number and content of provisions are similar. EPA projects that all facilities with simple processes would need four hours to review the rule as would the few complex facilities in </w:t>
      </w:r>
      <w:r w:rsidRPr="004D4B61" w:rsidR="007F1F6B">
        <w:rPr>
          <w:rFonts w:ascii="Times New Roman" w:hAnsi="Times New Roman" w:cs="Times New Roman"/>
        </w:rPr>
        <w:t>Program 1</w:t>
      </w:r>
      <w:r w:rsidRPr="004D4B61" w:rsidR="00C5384D">
        <w:rPr>
          <w:rFonts w:ascii="Times New Roman" w:hAnsi="Times New Roman" w:cs="Times New Roman"/>
        </w:rPr>
        <w:t xml:space="preserve"> and </w:t>
      </w:r>
      <w:r w:rsidRPr="004D4B61" w:rsidR="005E22BE">
        <w:rPr>
          <w:rFonts w:ascii="Times New Roman" w:hAnsi="Times New Roman" w:cs="Times New Roman"/>
        </w:rPr>
        <w:t>Program 2</w:t>
      </w:r>
      <w:r w:rsidRPr="004D4B61" w:rsidR="00C5384D">
        <w:rPr>
          <w:rFonts w:ascii="Times New Roman" w:hAnsi="Times New Roman" w:cs="Times New Roman"/>
        </w:rPr>
        <w:t xml:space="preserve">. Complex facilities in </w:t>
      </w:r>
      <w:r w:rsidRPr="6ADBF1F7" w:rsidR="00AB34CF">
        <w:rPr>
          <w:rFonts w:ascii="Times New Roman" w:hAnsi="Times New Roman" w:cs="Times New Roman"/>
          <w:color w:val="000000" w:themeColor="text1"/>
        </w:rPr>
        <w:t>Program 3</w:t>
      </w:r>
      <w:r w:rsidRPr="004D4B61" w:rsidR="00C5384D">
        <w:rPr>
          <w:rFonts w:ascii="Times New Roman" w:hAnsi="Times New Roman" w:cs="Times New Roman"/>
        </w:rPr>
        <w:t xml:space="preserve"> are projected to spend 292 hours reviewing the rule. LEPC’s are projected to spend five hours reviewing the rule. Delegated </w:t>
      </w:r>
      <w:r w:rsidRPr="004D4B61" w:rsidR="008558A9">
        <w:rPr>
          <w:rFonts w:ascii="Times New Roman" w:hAnsi="Times New Roman" w:cs="Times New Roman"/>
        </w:rPr>
        <w:t>S</w:t>
      </w:r>
      <w:r w:rsidRPr="004D4B61" w:rsidR="00C5384D">
        <w:rPr>
          <w:rFonts w:ascii="Times New Roman" w:hAnsi="Times New Roman" w:cs="Times New Roman"/>
        </w:rPr>
        <w:t xml:space="preserve">tate and local implementing agencies are projected to spend four hours reviewing the rule. </w:t>
      </w:r>
      <w:r w:rsidRPr="004D4B61" w:rsidR="00852ADF">
        <w:rPr>
          <w:rFonts w:ascii="Times New Roman" w:hAnsi="Times New Roman" w:cs="Times New Roman"/>
        </w:rPr>
        <w:t>Exhibit 4-2 presents the</w:t>
      </w:r>
      <w:r w:rsidRPr="004D4B61" w:rsidR="00C5384D">
        <w:rPr>
          <w:rFonts w:ascii="Times New Roman" w:hAnsi="Times New Roman" w:cs="Times New Roman"/>
        </w:rPr>
        <w:t xml:space="preserve"> unit </w:t>
      </w:r>
      <w:r w:rsidRPr="004D4B61" w:rsidR="005D2188">
        <w:rPr>
          <w:rFonts w:ascii="Times New Roman" w:hAnsi="Times New Roman" w:cs="Times New Roman"/>
        </w:rPr>
        <w:t xml:space="preserve">burden hour and </w:t>
      </w:r>
      <w:r w:rsidRPr="004D4B61" w:rsidR="00C5384D">
        <w:rPr>
          <w:rFonts w:ascii="Times New Roman" w:hAnsi="Times New Roman" w:cs="Times New Roman"/>
        </w:rPr>
        <w:t>cost</w:t>
      </w:r>
      <w:r w:rsidRPr="004D4B61" w:rsidR="005D2188">
        <w:rPr>
          <w:rFonts w:ascii="Times New Roman" w:hAnsi="Times New Roman" w:cs="Times New Roman"/>
        </w:rPr>
        <w:t xml:space="preserve"> estimat</w:t>
      </w:r>
      <w:r w:rsidRPr="004D4B61" w:rsidR="009B4663">
        <w:rPr>
          <w:rFonts w:ascii="Times New Roman" w:hAnsi="Times New Roman" w:cs="Times New Roman"/>
        </w:rPr>
        <w:t>e</w:t>
      </w:r>
      <w:r w:rsidRPr="004D4B61" w:rsidR="005D2188">
        <w:rPr>
          <w:rFonts w:ascii="Times New Roman" w:hAnsi="Times New Roman" w:cs="Times New Roman"/>
        </w:rPr>
        <w:t>s</w:t>
      </w:r>
      <w:r w:rsidRPr="004D4B61" w:rsidR="00C5384D">
        <w:rPr>
          <w:rFonts w:ascii="Times New Roman" w:hAnsi="Times New Roman" w:cs="Times New Roman"/>
        </w:rPr>
        <w:t xml:space="preserve"> </w:t>
      </w:r>
      <w:r w:rsidRPr="004D4B61" w:rsidR="00852ADF">
        <w:rPr>
          <w:rFonts w:ascii="Times New Roman" w:hAnsi="Times New Roman" w:cs="Times New Roman"/>
        </w:rPr>
        <w:t>for rule familiarization.</w:t>
      </w:r>
    </w:p>
    <w:p w:rsidRPr="004D4B61" w:rsidR="00A80E96" w:rsidP="004D4B61" w:rsidRDefault="00A80E96" w14:paraId="12728360" w14:textId="4B61DA0B">
      <w:pPr>
        <w:spacing w:after="0" w:line="240" w:lineRule="auto"/>
        <w:ind w:firstLine="720"/>
        <w:rPr>
          <w:rFonts w:ascii="Times New Roman" w:hAnsi="Times New Roman" w:cs="Times New Roman"/>
        </w:rPr>
      </w:pPr>
    </w:p>
    <w:p w:rsidRPr="00DB08C1" w:rsidR="00DB08C1" w:rsidP="00DB08C1" w:rsidRDefault="00DB08C1" w14:paraId="5F2DC560" w14:textId="651F7F8B">
      <w:pPr>
        <w:pStyle w:val="Caption"/>
        <w:jc w:val="center"/>
        <w:rPr>
          <w:rFonts w:ascii="Times New Roman" w:hAnsi="Times New Roman" w:cs="Times New Roman"/>
          <w:b/>
          <w:bCs/>
          <w:i w:val="0"/>
          <w:iCs w:val="0"/>
          <w:color w:val="auto"/>
          <w:sz w:val="22"/>
          <w:szCs w:val="22"/>
        </w:rPr>
      </w:pPr>
      <w:r w:rsidRPr="00DB08C1">
        <w:rPr>
          <w:rFonts w:ascii="Times New Roman" w:hAnsi="Times New Roman" w:cs="Times New Roman"/>
          <w:b/>
          <w:bCs/>
          <w:i w:val="0"/>
          <w:iCs w:val="0"/>
          <w:color w:val="auto"/>
          <w:sz w:val="22"/>
          <w:szCs w:val="22"/>
        </w:rPr>
        <w:t>Exhibit 4-2: Estimated Unit Burden and Cost for Rule Familiarization (2020 Dollars).</w:t>
      </w:r>
    </w:p>
    <w:tbl>
      <w:tblPr>
        <w:tblW w:w="98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425"/>
        <w:gridCol w:w="1158"/>
        <w:gridCol w:w="1194"/>
        <w:gridCol w:w="1221"/>
        <w:gridCol w:w="1290"/>
        <w:gridCol w:w="1301"/>
        <w:gridCol w:w="1265"/>
      </w:tblGrid>
      <w:tr w:rsidRPr="004D4B61" w:rsidR="005C211C" w:rsidTr="00F068F8" w14:paraId="4F61129A" w14:textId="77777777">
        <w:trPr>
          <w:trHeight w:val="164"/>
          <w:tblHeader/>
          <w:jc w:val="center"/>
        </w:trPr>
        <w:tc>
          <w:tcPr>
            <w:tcW w:w="2425" w:type="dxa"/>
            <w:vMerge w:val="restart"/>
            <w:shd w:val="clear" w:color="auto" w:fill="D9D9D9" w:themeFill="background1" w:themeFillShade="D9"/>
            <w:vAlign w:val="center"/>
          </w:tcPr>
          <w:p w:rsidRPr="00D7128A" w:rsidR="00610B55" w:rsidP="00F068F8" w:rsidRDefault="00610B55" w14:paraId="2799E2F4" w14:textId="77777777">
            <w:pPr>
              <w:keepNext/>
              <w:spacing w:after="0" w:line="240" w:lineRule="auto"/>
              <w:rPr>
                <w:rFonts w:ascii="Times New Roman" w:hAnsi="Times New Roman" w:cs="Times New Roman"/>
                <w:b/>
                <w:sz w:val="20"/>
                <w:szCs w:val="20"/>
              </w:rPr>
            </w:pPr>
            <w:r w:rsidRPr="00D7128A">
              <w:rPr>
                <w:rFonts w:ascii="Times New Roman" w:hAnsi="Times New Roman" w:cs="Times New Roman"/>
                <w:b/>
                <w:sz w:val="20"/>
                <w:szCs w:val="20"/>
              </w:rPr>
              <w:t>Facility Type</w:t>
            </w:r>
          </w:p>
        </w:tc>
        <w:tc>
          <w:tcPr>
            <w:tcW w:w="6164" w:type="dxa"/>
            <w:gridSpan w:val="5"/>
            <w:shd w:val="clear" w:color="auto" w:fill="D9D9D9" w:themeFill="background1" w:themeFillShade="D9"/>
            <w:vAlign w:val="center"/>
          </w:tcPr>
          <w:p w:rsidRPr="00D7128A" w:rsidR="00610B55" w:rsidP="00F068F8" w:rsidRDefault="00610B55" w14:paraId="55A460BD" w14:textId="77777777">
            <w:pPr>
              <w:keepNext/>
              <w:spacing w:after="0" w:line="240" w:lineRule="auto"/>
              <w:ind w:right="-105"/>
              <w:jc w:val="center"/>
              <w:rPr>
                <w:rFonts w:ascii="Times New Roman" w:hAnsi="Times New Roman" w:cs="Times New Roman"/>
                <w:b/>
                <w:sz w:val="20"/>
                <w:szCs w:val="20"/>
              </w:rPr>
            </w:pPr>
            <w:r w:rsidRPr="00D7128A">
              <w:rPr>
                <w:rFonts w:ascii="Times New Roman" w:hAnsi="Times New Roman" w:cs="Times New Roman"/>
                <w:b/>
                <w:sz w:val="20"/>
                <w:szCs w:val="20"/>
              </w:rPr>
              <w:t>Labor Hours</w:t>
            </w:r>
          </w:p>
        </w:tc>
        <w:tc>
          <w:tcPr>
            <w:tcW w:w="1265" w:type="dxa"/>
            <w:vMerge w:val="restart"/>
            <w:shd w:val="clear" w:color="auto" w:fill="D9D9D9" w:themeFill="background1" w:themeFillShade="D9"/>
            <w:vAlign w:val="center"/>
          </w:tcPr>
          <w:p w:rsidRPr="00D7128A" w:rsidR="00610B55" w:rsidP="00F068F8" w:rsidRDefault="00610B55" w14:paraId="1E20120C"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Facility Cost</w:t>
            </w:r>
          </w:p>
        </w:tc>
      </w:tr>
      <w:tr w:rsidRPr="004D4B61" w:rsidR="00572B7C" w:rsidTr="00F068F8" w14:paraId="32398A5B" w14:textId="77777777">
        <w:trPr>
          <w:trHeight w:val="173"/>
          <w:tblHeader/>
          <w:jc w:val="center"/>
        </w:trPr>
        <w:tc>
          <w:tcPr>
            <w:tcW w:w="2425" w:type="dxa"/>
            <w:vMerge/>
            <w:vAlign w:val="center"/>
          </w:tcPr>
          <w:p w:rsidRPr="00D7128A" w:rsidR="00610B55" w:rsidP="00F068F8" w:rsidRDefault="00610B55" w14:paraId="5A137948" w14:textId="77777777">
            <w:pPr>
              <w:spacing w:after="0" w:line="240" w:lineRule="auto"/>
              <w:rPr>
                <w:rFonts w:ascii="Times New Roman" w:hAnsi="Times New Roman" w:cs="Times New Roman"/>
                <w:sz w:val="20"/>
                <w:szCs w:val="20"/>
              </w:rPr>
            </w:pPr>
          </w:p>
        </w:tc>
        <w:tc>
          <w:tcPr>
            <w:tcW w:w="1158" w:type="dxa"/>
            <w:shd w:val="clear" w:color="auto" w:fill="D9D9D9" w:themeFill="background1" w:themeFillShade="D9"/>
            <w:vAlign w:val="center"/>
          </w:tcPr>
          <w:p w:rsidRPr="00D7128A" w:rsidR="00610B55" w:rsidP="00DB08C1" w:rsidRDefault="00610B55" w14:paraId="3820A91B"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Managers</w:t>
            </w:r>
          </w:p>
        </w:tc>
        <w:tc>
          <w:tcPr>
            <w:tcW w:w="1194" w:type="dxa"/>
            <w:shd w:val="clear" w:color="auto" w:fill="D9D9D9" w:themeFill="background1" w:themeFillShade="D9"/>
            <w:vAlign w:val="center"/>
          </w:tcPr>
          <w:p w:rsidRPr="00D7128A" w:rsidR="00610B55" w:rsidP="00F068F8" w:rsidRDefault="00610B55" w14:paraId="58044481"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Corporate Mgmt.</w:t>
            </w:r>
          </w:p>
        </w:tc>
        <w:tc>
          <w:tcPr>
            <w:tcW w:w="1221" w:type="dxa"/>
            <w:shd w:val="clear" w:color="auto" w:fill="D9D9D9" w:themeFill="background1" w:themeFillShade="D9"/>
            <w:vAlign w:val="center"/>
          </w:tcPr>
          <w:p w:rsidRPr="00D7128A" w:rsidR="00610B55" w:rsidP="004D4B61" w:rsidRDefault="00610B55" w14:paraId="36C4DE95" w14:textId="77777777">
            <w:pPr>
              <w:keepNext/>
              <w:spacing w:after="0" w:line="240" w:lineRule="auto"/>
              <w:ind w:right="76"/>
              <w:jc w:val="center"/>
              <w:rPr>
                <w:rFonts w:ascii="Times New Roman" w:hAnsi="Times New Roman" w:cs="Times New Roman"/>
                <w:b/>
                <w:sz w:val="20"/>
                <w:szCs w:val="20"/>
              </w:rPr>
            </w:pPr>
            <w:r w:rsidRPr="00D7128A">
              <w:rPr>
                <w:rFonts w:ascii="Times New Roman" w:hAnsi="Times New Roman" w:cs="Times New Roman"/>
                <w:b/>
                <w:sz w:val="20"/>
                <w:szCs w:val="20"/>
              </w:rPr>
              <w:t>Attorneys</w:t>
            </w:r>
          </w:p>
        </w:tc>
        <w:tc>
          <w:tcPr>
            <w:tcW w:w="1290" w:type="dxa"/>
            <w:shd w:val="clear" w:color="auto" w:fill="D9D9D9" w:themeFill="background1" w:themeFillShade="D9"/>
            <w:vAlign w:val="center"/>
          </w:tcPr>
          <w:p w:rsidRPr="00D7128A" w:rsidR="00610B55" w:rsidP="004D4B61" w:rsidRDefault="00610B55" w14:paraId="399BCC2D" w14:textId="77777777">
            <w:pPr>
              <w:keepNext/>
              <w:spacing w:after="0" w:line="240" w:lineRule="auto"/>
              <w:ind w:right="132"/>
              <w:jc w:val="center"/>
              <w:rPr>
                <w:rFonts w:ascii="Times New Roman" w:hAnsi="Times New Roman" w:cs="Times New Roman"/>
                <w:b/>
                <w:sz w:val="20"/>
                <w:szCs w:val="20"/>
              </w:rPr>
            </w:pPr>
            <w:r w:rsidRPr="00D7128A">
              <w:rPr>
                <w:rFonts w:ascii="Times New Roman" w:hAnsi="Times New Roman" w:cs="Times New Roman"/>
                <w:b/>
                <w:sz w:val="20"/>
                <w:szCs w:val="20"/>
              </w:rPr>
              <w:t>Engineers</w:t>
            </w:r>
          </w:p>
        </w:tc>
        <w:tc>
          <w:tcPr>
            <w:tcW w:w="1301" w:type="dxa"/>
            <w:shd w:val="clear" w:color="auto" w:fill="D9D9D9" w:themeFill="background1" w:themeFillShade="D9"/>
            <w:vAlign w:val="center"/>
          </w:tcPr>
          <w:p w:rsidRPr="00D7128A" w:rsidR="00610B55" w:rsidP="00DB08C1" w:rsidRDefault="00610B55" w14:paraId="28F4B038"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Production</w:t>
            </w:r>
          </w:p>
        </w:tc>
        <w:tc>
          <w:tcPr>
            <w:tcW w:w="1265" w:type="dxa"/>
            <w:vMerge/>
            <w:vAlign w:val="center"/>
          </w:tcPr>
          <w:p w:rsidRPr="00D7128A" w:rsidR="00610B55" w:rsidP="00DB08C1" w:rsidRDefault="00610B55" w14:paraId="4E190DF7" w14:textId="77777777">
            <w:pPr>
              <w:spacing w:after="0" w:line="240" w:lineRule="auto"/>
              <w:jc w:val="center"/>
              <w:rPr>
                <w:rFonts w:ascii="Times New Roman" w:hAnsi="Times New Roman" w:cs="Times New Roman"/>
                <w:sz w:val="20"/>
                <w:szCs w:val="20"/>
              </w:rPr>
            </w:pPr>
          </w:p>
        </w:tc>
      </w:tr>
      <w:tr w:rsidRPr="004D4B61" w:rsidR="00766F25" w:rsidTr="00F068F8" w14:paraId="55032C41" w14:textId="77777777">
        <w:trPr>
          <w:trHeight w:val="288"/>
          <w:jc w:val="center"/>
        </w:trPr>
        <w:tc>
          <w:tcPr>
            <w:tcW w:w="2425" w:type="dxa"/>
            <w:vAlign w:val="center"/>
          </w:tcPr>
          <w:p w:rsidRPr="00D7128A" w:rsidR="00610B55" w:rsidP="00F068F8" w:rsidRDefault="00610B55" w14:paraId="434E2354" w14:textId="77777777">
            <w:pPr>
              <w:keepNext/>
              <w:spacing w:after="0" w:line="240" w:lineRule="auto"/>
              <w:rPr>
                <w:rFonts w:ascii="Times New Roman" w:hAnsi="Times New Roman" w:cs="Times New Roman"/>
                <w:sz w:val="20"/>
                <w:szCs w:val="20"/>
              </w:rPr>
            </w:pPr>
            <w:r w:rsidRPr="00D7128A">
              <w:rPr>
                <w:rFonts w:ascii="Times New Roman" w:hAnsi="Times New Roman" w:cs="Times New Roman"/>
                <w:sz w:val="20"/>
                <w:szCs w:val="20"/>
              </w:rPr>
              <w:t>Simple</w:t>
            </w:r>
          </w:p>
        </w:tc>
        <w:tc>
          <w:tcPr>
            <w:tcW w:w="1158" w:type="dxa"/>
            <w:vAlign w:val="center"/>
          </w:tcPr>
          <w:p w:rsidRPr="00D7128A" w:rsidR="00610B55" w:rsidP="004D4B61" w:rsidRDefault="00610B55" w14:paraId="27AE2B67" w14:textId="77777777">
            <w:pPr>
              <w:keepNext/>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1194" w:type="dxa"/>
            <w:vAlign w:val="center"/>
          </w:tcPr>
          <w:p w:rsidRPr="00D7128A" w:rsidR="00610B55" w:rsidP="004D4B61" w:rsidRDefault="00610B55" w14:paraId="5FC3D8BF" w14:textId="77777777">
            <w:pPr>
              <w:keepNext/>
              <w:spacing w:after="0" w:line="240" w:lineRule="auto"/>
              <w:ind w:left="3"/>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21" w:type="dxa"/>
            <w:vAlign w:val="center"/>
          </w:tcPr>
          <w:p w:rsidRPr="00D7128A" w:rsidR="00610B55" w:rsidP="004D4B61" w:rsidRDefault="00610B55" w14:paraId="775EF86A" w14:textId="77777777">
            <w:pPr>
              <w:keepNext/>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90" w:type="dxa"/>
            <w:vAlign w:val="center"/>
          </w:tcPr>
          <w:p w:rsidRPr="00D7128A" w:rsidR="00610B55" w:rsidP="004D4B61" w:rsidRDefault="00610B55" w14:paraId="116D0354" w14:textId="77777777">
            <w:pPr>
              <w:keepNext/>
              <w:spacing w:after="0" w:line="240" w:lineRule="auto"/>
              <w:ind w:left="4"/>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01" w:type="dxa"/>
            <w:vAlign w:val="center"/>
          </w:tcPr>
          <w:p w:rsidRPr="00D7128A" w:rsidR="00610B55" w:rsidP="004D4B61" w:rsidRDefault="00610B55" w14:paraId="1E257B12" w14:textId="77777777">
            <w:pPr>
              <w:keepNext/>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65" w:type="dxa"/>
            <w:vAlign w:val="center"/>
          </w:tcPr>
          <w:p w:rsidRPr="00D7128A" w:rsidR="00610B55" w:rsidP="004D4B61" w:rsidRDefault="00067E5C" w14:paraId="1EEF14F1" w14:textId="2054A339">
            <w:pPr>
              <w:keepNext/>
              <w:spacing w:after="0" w:line="240" w:lineRule="auto"/>
              <w:ind w:left="171" w:right="163"/>
              <w:jc w:val="center"/>
              <w:rPr>
                <w:rFonts w:ascii="Times New Roman" w:hAnsi="Times New Roman" w:cs="Times New Roman"/>
                <w:sz w:val="20"/>
                <w:szCs w:val="20"/>
              </w:rPr>
            </w:pPr>
            <w:r w:rsidRPr="00D7128A">
              <w:rPr>
                <w:rFonts w:ascii="Times New Roman" w:hAnsi="Times New Roman" w:cs="Times New Roman"/>
                <w:color w:val="000000"/>
                <w:sz w:val="20"/>
                <w:szCs w:val="20"/>
              </w:rPr>
              <w:t>$412</w:t>
            </w:r>
          </w:p>
        </w:tc>
      </w:tr>
      <w:tr w:rsidRPr="004D4B61" w:rsidR="00610B55" w:rsidTr="00F068F8" w14:paraId="29A058BD" w14:textId="77777777">
        <w:trPr>
          <w:trHeight w:val="263"/>
          <w:jc w:val="center"/>
        </w:trPr>
        <w:tc>
          <w:tcPr>
            <w:tcW w:w="2425" w:type="dxa"/>
            <w:vAlign w:val="center"/>
          </w:tcPr>
          <w:p w:rsidRPr="00D7128A" w:rsidR="00610B55" w:rsidP="00F068F8" w:rsidRDefault="00610B55" w14:paraId="3843747A" w14:textId="272019AB">
            <w:pPr>
              <w:spacing w:after="0" w:line="240" w:lineRule="auto"/>
              <w:rPr>
                <w:rFonts w:ascii="Times New Roman" w:hAnsi="Times New Roman" w:cs="Times New Roman"/>
                <w:sz w:val="20"/>
                <w:szCs w:val="20"/>
              </w:rPr>
            </w:pPr>
            <w:r w:rsidRPr="00D7128A">
              <w:rPr>
                <w:rFonts w:ascii="Times New Roman" w:hAnsi="Times New Roman" w:cs="Times New Roman"/>
                <w:sz w:val="20"/>
                <w:szCs w:val="20"/>
              </w:rPr>
              <w:t>P1 and P2</w:t>
            </w:r>
            <w:r w:rsidRPr="00D7128A" w:rsidR="00F068F8">
              <w:rPr>
                <w:rFonts w:ascii="Times New Roman" w:hAnsi="Times New Roman" w:cs="Times New Roman"/>
                <w:sz w:val="20"/>
                <w:szCs w:val="20"/>
              </w:rPr>
              <w:t>:</w:t>
            </w:r>
            <w:r w:rsidRPr="00D7128A">
              <w:rPr>
                <w:rFonts w:ascii="Times New Roman" w:hAnsi="Times New Roman" w:cs="Times New Roman"/>
                <w:sz w:val="20"/>
                <w:szCs w:val="20"/>
              </w:rPr>
              <w:t xml:space="preserve"> Complex</w:t>
            </w:r>
          </w:p>
        </w:tc>
        <w:tc>
          <w:tcPr>
            <w:tcW w:w="1158" w:type="dxa"/>
            <w:vAlign w:val="center"/>
          </w:tcPr>
          <w:p w:rsidRPr="00D7128A" w:rsidR="00610B55" w:rsidP="004D4B61" w:rsidRDefault="00610B55" w14:paraId="0ED83BAC" w14:textId="77777777">
            <w:pPr>
              <w:spacing w:after="0" w:line="240" w:lineRule="auto"/>
              <w:ind w:left="158" w:right="149"/>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1194" w:type="dxa"/>
            <w:vAlign w:val="center"/>
          </w:tcPr>
          <w:p w:rsidRPr="00D7128A" w:rsidR="00610B55" w:rsidP="004D4B61" w:rsidRDefault="00610B55" w14:paraId="1875F6AD" w14:textId="77777777">
            <w:pPr>
              <w:spacing w:after="0" w:line="240" w:lineRule="auto"/>
              <w:ind w:left="137" w:right="132"/>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21" w:type="dxa"/>
            <w:vAlign w:val="center"/>
          </w:tcPr>
          <w:p w:rsidRPr="00D7128A" w:rsidR="00610B55" w:rsidP="004D4B61" w:rsidRDefault="00610B55" w14:paraId="0084FF60"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90" w:type="dxa"/>
            <w:vAlign w:val="center"/>
          </w:tcPr>
          <w:p w:rsidRPr="00D7128A" w:rsidR="00610B55" w:rsidP="004D4B61" w:rsidRDefault="00610B55" w14:paraId="0945C604" w14:textId="77777777">
            <w:pPr>
              <w:spacing w:after="0" w:line="240" w:lineRule="auto"/>
              <w:ind w:left="137" w:right="130"/>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01" w:type="dxa"/>
            <w:vAlign w:val="center"/>
          </w:tcPr>
          <w:p w:rsidRPr="00D7128A" w:rsidR="00610B55" w:rsidP="004D4B61" w:rsidRDefault="00610B55" w14:paraId="54CA4D83" w14:textId="77777777">
            <w:pPr>
              <w:spacing w:after="0" w:line="240" w:lineRule="auto"/>
              <w:ind w:left="103" w:right="91"/>
              <w:jc w:val="center"/>
              <w:rPr>
                <w:rFonts w:ascii="Times New Roman" w:hAnsi="Times New Roman" w:eastAsia="Times New Roman" w:cs="Times New Roman"/>
                <w:sz w:val="20"/>
                <w:szCs w:val="20"/>
              </w:rPr>
            </w:pPr>
            <w:r w:rsidRPr="00D7128A">
              <w:rPr>
                <w:rFonts w:ascii="Times New Roman" w:hAnsi="Times New Roman" w:cs="Times New Roman"/>
                <w:sz w:val="20"/>
                <w:szCs w:val="20"/>
              </w:rPr>
              <w:t>0</w:t>
            </w:r>
          </w:p>
        </w:tc>
        <w:tc>
          <w:tcPr>
            <w:tcW w:w="1265" w:type="dxa"/>
            <w:vAlign w:val="center"/>
          </w:tcPr>
          <w:p w:rsidRPr="00D7128A" w:rsidR="00610B55" w:rsidP="004D4B61" w:rsidRDefault="00067E5C" w14:paraId="700C798F" w14:textId="6F724546">
            <w:pPr>
              <w:spacing w:after="0" w:line="240" w:lineRule="auto"/>
              <w:ind w:left="171" w:right="163"/>
              <w:jc w:val="center"/>
              <w:rPr>
                <w:rFonts w:ascii="Times New Roman" w:hAnsi="Times New Roman" w:cs="Times New Roman"/>
                <w:color w:val="000000" w:themeColor="text1"/>
                <w:sz w:val="20"/>
                <w:szCs w:val="20"/>
              </w:rPr>
            </w:pPr>
            <w:r w:rsidRPr="00D7128A">
              <w:rPr>
                <w:rFonts w:ascii="Times New Roman" w:hAnsi="Times New Roman" w:cs="Times New Roman"/>
                <w:color w:val="000000"/>
                <w:sz w:val="20"/>
                <w:szCs w:val="20"/>
              </w:rPr>
              <w:t>$54</w:t>
            </w:r>
            <w:r w:rsidRPr="00D7128A" w:rsidR="00B63DBF">
              <w:rPr>
                <w:rFonts w:ascii="Times New Roman" w:hAnsi="Times New Roman" w:cs="Times New Roman"/>
                <w:color w:val="000000"/>
                <w:sz w:val="20"/>
                <w:szCs w:val="20"/>
              </w:rPr>
              <w:t>3</w:t>
            </w:r>
          </w:p>
        </w:tc>
      </w:tr>
      <w:tr w:rsidRPr="004D4B61" w:rsidR="00610B55" w:rsidTr="00F068F8" w14:paraId="12E2E0A4" w14:textId="77777777">
        <w:trPr>
          <w:trHeight w:val="164"/>
          <w:jc w:val="center"/>
        </w:trPr>
        <w:tc>
          <w:tcPr>
            <w:tcW w:w="2425" w:type="dxa"/>
            <w:vAlign w:val="center"/>
          </w:tcPr>
          <w:p w:rsidRPr="00D7128A" w:rsidR="00610B55" w:rsidP="00F068F8" w:rsidRDefault="00610B55" w14:paraId="4AD3B2B1" w14:textId="64DF2272">
            <w:pPr>
              <w:spacing w:after="0" w:line="240" w:lineRule="auto"/>
              <w:rPr>
                <w:rFonts w:ascii="Times New Roman" w:hAnsi="Times New Roman" w:cs="Times New Roman"/>
                <w:sz w:val="20"/>
                <w:szCs w:val="20"/>
              </w:rPr>
            </w:pPr>
            <w:r w:rsidRPr="00D7128A">
              <w:rPr>
                <w:rFonts w:ascii="Times New Roman" w:hAnsi="Times New Roman" w:cs="Times New Roman"/>
                <w:sz w:val="20"/>
                <w:szCs w:val="20"/>
              </w:rPr>
              <w:lastRenderedPageBreak/>
              <w:t>P3</w:t>
            </w:r>
            <w:r w:rsidRPr="00D7128A" w:rsidR="00F068F8">
              <w:rPr>
                <w:rFonts w:ascii="Times New Roman" w:hAnsi="Times New Roman" w:cs="Times New Roman"/>
                <w:sz w:val="20"/>
                <w:szCs w:val="20"/>
              </w:rPr>
              <w:t>:</w:t>
            </w:r>
            <w:r w:rsidRPr="00D7128A">
              <w:rPr>
                <w:rFonts w:ascii="Times New Roman" w:hAnsi="Times New Roman" w:cs="Times New Roman"/>
                <w:sz w:val="20"/>
                <w:szCs w:val="20"/>
              </w:rPr>
              <w:t xml:space="preserve"> Complex</w:t>
            </w:r>
          </w:p>
        </w:tc>
        <w:tc>
          <w:tcPr>
            <w:tcW w:w="1158" w:type="dxa"/>
            <w:vAlign w:val="center"/>
          </w:tcPr>
          <w:p w:rsidRPr="00D7128A" w:rsidR="00610B55" w:rsidP="004D4B61" w:rsidRDefault="00610B55" w14:paraId="367B172E"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20</w:t>
            </w:r>
          </w:p>
        </w:tc>
        <w:tc>
          <w:tcPr>
            <w:tcW w:w="1194" w:type="dxa"/>
            <w:vAlign w:val="center"/>
          </w:tcPr>
          <w:p w:rsidRPr="00D7128A" w:rsidR="00610B55" w:rsidP="004D4B61" w:rsidRDefault="00610B55" w14:paraId="2B350240" w14:textId="77777777">
            <w:pPr>
              <w:spacing w:after="0" w:line="240" w:lineRule="auto"/>
              <w:ind w:left="3"/>
              <w:jc w:val="center"/>
              <w:rPr>
                <w:rFonts w:ascii="Times New Roman" w:hAnsi="Times New Roman" w:cs="Times New Roman"/>
                <w:sz w:val="20"/>
                <w:szCs w:val="20"/>
              </w:rPr>
            </w:pPr>
            <w:r w:rsidRPr="00D7128A">
              <w:rPr>
                <w:rFonts w:ascii="Times New Roman" w:hAnsi="Times New Roman" w:cs="Times New Roman"/>
                <w:sz w:val="20"/>
                <w:szCs w:val="20"/>
              </w:rPr>
              <w:t>48</w:t>
            </w:r>
          </w:p>
        </w:tc>
        <w:tc>
          <w:tcPr>
            <w:tcW w:w="1221" w:type="dxa"/>
            <w:vAlign w:val="center"/>
          </w:tcPr>
          <w:p w:rsidRPr="00D7128A" w:rsidR="00610B55" w:rsidP="004D4B61" w:rsidRDefault="00610B55" w14:paraId="2BA4101E"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12</w:t>
            </w:r>
          </w:p>
        </w:tc>
        <w:tc>
          <w:tcPr>
            <w:tcW w:w="1290" w:type="dxa"/>
            <w:vAlign w:val="center"/>
          </w:tcPr>
          <w:p w:rsidRPr="00D7128A" w:rsidR="00610B55" w:rsidP="004D4B61" w:rsidRDefault="00610B55" w14:paraId="500B1195" w14:textId="77777777">
            <w:pPr>
              <w:spacing w:after="0" w:line="240" w:lineRule="auto"/>
              <w:ind w:left="4"/>
              <w:jc w:val="center"/>
              <w:rPr>
                <w:rFonts w:ascii="Times New Roman" w:hAnsi="Times New Roman" w:cs="Times New Roman"/>
                <w:sz w:val="20"/>
                <w:szCs w:val="20"/>
              </w:rPr>
            </w:pPr>
            <w:r w:rsidRPr="00D7128A">
              <w:rPr>
                <w:rFonts w:ascii="Times New Roman" w:hAnsi="Times New Roman" w:cs="Times New Roman"/>
                <w:sz w:val="20"/>
                <w:szCs w:val="20"/>
              </w:rPr>
              <w:t>87</w:t>
            </w:r>
          </w:p>
        </w:tc>
        <w:tc>
          <w:tcPr>
            <w:tcW w:w="1301" w:type="dxa"/>
            <w:vAlign w:val="center"/>
          </w:tcPr>
          <w:p w:rsidRPr="00D7128A" w:rsidR="00610B55" w:rsidP="004D4B61" w:rsidRDefault="00610B55" w14:paraId="53AE744B"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125</w:t>
            </w:r>
          </w:p>
        </w:tc>
        <w:tc>
          <w:tcPr>
            <w:tcW w:w="1265" w:type="dxa"/>
            <w:vAlign w:val="center"/>
          </w:tcPr>
          <w:p w:rsidRPr="00D7128A" w:rsidR="00610B55" w:rsidP="004D4B61" w:rsidRDefault="00067E5C" w14:paraId="66B0420D" w14:textId="1C121DA5">
            <w:pPr>
              <w:spacing w:after="0" w:line="240" w:lineRule="auto"/>
              <w:ind w:left="171" w:right="163"/>
              <w:jc w:val="center"/>
              <w:rPr>
                <w:rFonts w:ascii="Times New Roman" w:hAnsi="Times New Roman" w:cs="Times New Roman"/>
                <w:color w:val="000000" w:themeColor="text1"/>
                <w:sz w:val="20"/>
                <w:szCs w:val="20"/>
              </w:rPr>
            </w:pPr>
            <w:r w:rsidRPr="00D7128A">
              <w:rPr>
                <w:rFonts w:ascii="Times New Roman" w:hAnsi="Times New Roman" w:cs="Times New Roman"/>
                <w:color w:val="000000"/>
                <w:sz w:val="20"/>
                <w:szCs w:val="20"/>
              </w:rPr>
              <w:t>$26,874</w:t>
            </w:r>
          </w:p>
        </w:tc>
      </w:tr>
      <w:tr w:rsidRPr="004D4B61" w:rsidR="00610B55" w:rsidTr="00F068F8" w14:paraId="3C8B86A2" w14:textId="77777777">
        <w:trPr>
          <w:trHeight w:val="173"/>
          <w:jc w:val="center"/>
        </w:trPr>
        <w:tc>
          <w:tcPr>
            <w:tcW w:w="2425" w:type="dxa"/>
            <w:vAlign w:val="center"/>
          </w:tcPr>
          <w:p w:rsidRPr="00D7128A" w:rsidR="00610B55" w:rsidP="00F068F8" w:rsidRDefault="00610B55" w14:paraId="24D0A6FB" w14:textId="77777777">
            <w:pPr>
              <w:spacing w:after="0" w:line="240" w:lineRule="auto"/>
              <w:rPr>
                <w:rFonts w:ascii="Times New Roman" w:hAnsi="Times New Roman" w:cs="Times New Roman"/>
                <w:b/>
                <w:sz w:val="20"/>
                <w:szCs w:val="20"/>
              </w:rPr>
            </w:pPr>
            <w:r w:rsidRPr="00D7128A">
              <w:rPr>
                <w:rFonts w:ascii="Times New Roman" w:hAnsi="Times New Roman" w:cs="Times New Roman"/>
                <w:sz w:val="20"/>
                <w:szCs w:val="20"/>
              </w:rPr>
              <w:t>LEPCs</w:t>
            </w:r>
          </w:p>
        </w:tc>
        <w:tc>
          <w:tcPr>
            <w:tcW w:w="1158" w:type="dxa"/>
            <w:vAlign w:val="center"/>
          </w:tcPr>
          <w:p w:rsidRPr="00D7128A" w:rsidR="00610B55" w:rsidP="004D4B61" w:rsidRDefault="00610B55" w14:paraId="73A2B5E2" w14:textId="0D4D11DA">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5</w:t>
            </w:r>
          </w:p>
        </w:tc>
        <w:tc>
          <w:tcPr>
            <w:tcW w:w="1194" w:type="dxa"/>
            <w:vAlign w:val="center"/>
          </w:tcPr>
          <w:p w:rsidRPr="00D7128A" w:rsidR="00610B55" w:rsidP="004D4B61" w:rsidRDefault="00610B55" w14:paraId="4428A2FA" w14:textId="3E03C761">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21" w:type="dxa"/>
            <w:vAlign w:val="center"/>
          </w:tcPr>
          <w:p w:rsidRPr="00D7128A" w:rsidR="00610B55" w:rsidP="004D4B61" w:rsidRDefault="00610B55" w14:paraId="66011EAB" w14:textId="77EA8EB2">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90" w:type="dxa"/>
            <w:vAlign w:val="center"/>
          </w:tcPr>
          <w:p w:rsidRPr="00D7128A" w:rsidR="00610B55" w:rsidP="004D4B61" w:rsidRDefault="00610B55" w14:paraId="54027BC2" w14:textId="1CDD75E7">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01" w:type="dxa"/>
            <w:vAlign w:val="center"/>
          </w:tcPr>
          <w:p w:rsidRPr="00D7128A" w:rsidR="00610B55" w:rsidP="004D4B61" w:rsidRDefault="00610B55" w14:paraId="7E52A20E" w14:textId="777168E4">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65" w:type="dxa"/>
            <w:vAlign w:val="center"/>
          </w:tcPr>
          <w:p w:rsidRPr="00D7128A" w:rsidR="00610B55" w:rsidP="004D4B61" w:rsidRDefault="00067E5C" w14:paraId="431FF875" w14:textId="1B5A919C">
            <w:pPr>
              <w:spacing w:after="0" w:line="240" w:lineRule="auto"/>
              <w:jc w:val="center"/>
              <w:rPr>
                <w:rFonts w:ascii="Times New Roman" w:hAnsi="Times New Roman" w:cs="Times New Roman"/>
                <w:color w:val="000000" w:themeColor="text1"/>
                <w:sz w:val="20"/>
                <w:szCs w:val="20"/>
              </w:rPr>
            </w:pPr>
            <w:r w:rsidRPr="00D7128A">
              <w:rPr>
                <w:rFonts w:ascii="Times New Roman" w:hAnsi="Times New Roman" w:cs="Times New Roman"/>
                <w:color w:val="000000"/>
                <w:sz w:val="20"/>
                <w:szCs w:val="20"/>
              </w:rPr>
              <w:t>$515</w:t>
            </w:r>
          </w:p>
        </w:tc>
      </w:tr>
      <w:tr w:rsidRPr="004D4B61" w:rsidR="00610B55" w:rsidTr="00F068F8" w14:paraId="23744F9D" w14:textId="77777777">
        <w:trPr>
          <w:trHeight w:val="455"/>
          <w:jc w:val="center"/>
        </w:trPr>
        <w:tc>
          <w:tcPr>
            <w:tcW w:w="2425" w:type="dxa"/>
            <w:vAlign w:val="center"/>
          </w:tcPr>
          <w:p w:rsidRPr="00D7128A" w:rsidR="00610B55" w:rsidP="00F068F8" w:rsidRDefault="00610B55" w14:paraId="7D6E6A08" w14:textId="77777777">
            <w:pPr>
              <w:spacing w:after="0" w:line="240" w:lineRule="auto"/>
              <w:rPr>
                <w:rFonts w:ascii="Times New Roman" w:hAnsi="Times New Roman" w:cs="Times New Roman"/>
                <w:sz w:val="20"/>
                <w:szCs w:val="20"/>
              </w:rPr>
            </w:pPr>
            <w:r w:rsidRPr="00D7128A">
              <w:rPr>
                <w:rFonts w:ascii="Times New Roman" w:hAnsi="Times New Roman" w:cs="Times New Roman"/>
                <w:sz w:val="20"/>
                <w:szCs w:val="20"/>
              </w:rPr>
              <w:t>Delegated Implementing Agencies</w:t>
            </w:r>
          </w:p>
        </w:tc>
        <w:tc>
          <w:tcPr>
            <w:tcW w:w="1158" w:type="dxa"/>
            <w:vAlign w:val="center"/>
          </w:tcPr>
          <w:p w:rsidRPr="00D7128A" w:rsidR="00610B55" w:rsidP="004D4B61" w:rsidRDefault="00610B55" w14:paraId="0FE6C093" w14:textId="77777777">
            <w:pPr>
              <w:spacing w:after="0" w:line="240" w:lineRule="auto"/>
              <w:ind w:left="158" w:right="149"/>
              <w:jc w:val="center"/>
              <w:rPr>
                <w:rFonts w:ascii="Times New Roman" w:hAnsi="Times New Roman" w:eastAsia="Times New Roman" w:cs="Times New Roman"/>
                <w:sz w:val="20"/>
                <w:szCs w:val="20"/>
              </w:rPr>
            </w:pPr>
            <w:r w:rsidRPr="00D7128A">
              <w:rPr>
                <w:rFonts w:ascii="Times New Roman" w:hAnsi="Times New Roman" w:cs="Times New Roman"/>
                <w:sz w:val="20"/>
                <w:szCs w:val="20"/>
              </w:rPr>
              <w:t>4</w:t>
            </w:r>
          </w:p>
        </w:tc>
        <w:tc>
          <w:tcPr>
            <w:tcW w:w="1194" w:type="dxa"/>
            <w:vAlign w:val="center"/>
          </w:tcPr>
          <w:p w:rsidRPr="00D7128A" w:rsidR="00610B55" w:rsidP="004D4B61" w:rsidRDefault="00610B55" w14:paraId="2276910F" w14:textId="77777777">
            <w:pPr>
              <w:spacing w:after="0" w:line="240" w:lineRule="auto"/>
              <w:ind w:left="137" w:right="132"/>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21" w:type="dxa"/>
            <w:vAlign w:val="center"/>
          </w:tcPr>
          <w:p w:rsidRPr="00D7128A" w:rsidR="00610B55" w:rsidP="004D4B61" w:rsidRDefault="00610B55" w14:paraId="39A7B521"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90" w:type="dxa"/>
            <w:vAlign w:val="center"/>
          </w:tcPr>
          <w:p w:rsidRPr="00D7128A" w:rsidR="00610B55" w:rsidP="004D4B61" w:rsidRDefault="00610B55" w14:paraId="71DC942B" w14:textId="77777777">
            <w:pPr>
              <w:spacing w:after="0" w:line="240" w:lineRule="auto"/>
              <w:ind w:left="137" w:right="130"/>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01" w:type="dxa"/>
            <w:vAlign w:val="center"/>
          </w:tcPr>
          <w:p w:rsidRPr="00D7128A" w:rsidR="00610B55" w:rsidP="004D4B61" w:rsidRDefault="00610B55" w14:paraId="362D2604" w14:textId="77777777">
            <w:pPr>
              <w:spacing w:after="0" w:line="240" w:lineRule="auto"/>
              <w:ind w:left="103" w:right="91"/>
              <w:jc w:val="center"/>
              <w:rPr>
                <w:rFonts w:ascii="Times New Roman" w:hAnsi="Times New Roman" w:eastAsia="Times New Roman" w:cs="Times New Roman"/>
                <w:sz w:val="20"/>
                <w:szCs w:val="20"/>
              </w:rPr>
            </w:pPr>
            <w:r w:rsidRPr="00D7128A">
              <w:rPr>
                <w:rFonts w:ascii="Times New Roman" w:hAnsi="Times New Roman" w:cs="Times New Roman"/>
                <w:sz w:val="20"/>
                <w:szCs w:val="20"/>
              </w:rPr>
              <w:t>0</w:t>
            </w:r>
          </w:p>
        </w:tc>
        <w:tc>
          <w:tcPr>
            <w:tcW w:w="1265" w:type="dxa"/>
            <w:vAlign w:val="center"/>
          </w:tcPr>
          <w:p w:rsidRPr="00D7128A" w:rsidR="00610B55" w:rsidP="004D4B61" w:rsidRDefault="00067E5C" w14:paraId="7D182C9C" w14:textId="19E03E39">
            <w:pPr>
              <w:spacing w:after="0" w:line="240" w:lineRule="auto"/>
              <w:ind w:left="171" w:right="163"/>
              <w:jc w:val="center"/>
              <w:rPr>
                <w:rFonts w:ascii="Times New Roman" w:hAnsi="Times New Roman" w:cs="Times New Roman"/>
                <w:color w:val="000000" w:themeColor="text1"/>
                <w:sz w:val="20"/>
                <w:szCs w:val="20"/>
              </w:rPr>
            </w:pPr>
            <w:r w:rsidRPr="00D7128A">
              <w:rPr>
                <w:rFonts w:ascii="Times New Roman" w:hAnsi="Times New Roman" w:cs="Times New Roman"/>
                <w:color w:val="000000"/>
                <w:sz w:val="20"/>
                <w:szCs w:val="20"/>
              </w:rPr>
              <w:t>$412</w:t>
            </w:r>
          </w:p>
        </w:tc>
      </w:tr>
    </w:tbl>
    <w:p w:rsidRPr="004D4B61" w:rsidR="00C5384D" w:rsidP="004D4B61" w:rsidRDefault="00C5384D" w14:paraId="2EAFD420" w14:textId="77777777">
      <w:pPr>
        <w:spacing w:after="0" w:line="240" w:lineRule="auto"/>
        <w:rPr>
          <w:rFonts w:ascii="Times New Roman" w:hAnsi="Times New Roman" w:cs="Times New Roman"/>
        </w:rPr>
      </w:pPr>
    </w:p>
    <w:p w:rsidR="00F068F8" w:rsidP="00813745" w:rsidRDefault="00C5384D" w14:paraId="41455177" w14:textId="2C269F7F">
      <w:pPr>
        <w:pStyle w:val="Heading2"/>
      </w:pPr>
      <w:bookmarkStart w:name="_Toc98856216" w:id="51"/>
      <w:bookmarkStart w:name="_Toc110502747" w:id="52"/>
      <w:r w:rsidRPr="004D4B61">
        <w:t>4.4 Prevention Program Provisions</w:t>
      </w:r>
      <w:bookmarkEnd w:id="51"/>
      <w:bookmarkEnd w:id="52"/>
      <w:r w:rsidRPr="004D4B61">
        <w:t xml:space="preserve"> </w:t>
      </w:r>
    </w:p>
    <w:p w:rsidRPr="004D4B61" w:rsidR="00900B2C" w:rsidP="002A7768" w:rsidRDefault="00900B2C" w14:paraId="71533BF9" w14:textId="77777777">
      <w:pPr>
        <w:spacing w:after="0" w:line="240" w:lineRule="auto"/>
        <w:rPr>
          <w:rFonts w:ascii="Times New Roman" w:hAnsi="Times New Roman" w:cs="Times New Roman"/>
          <w:i/>
        </w:rPr>
      </w:pPr>
      <w:r w:rsidRPr="004D4B61">
        <w:rPr>
          <w:rFonts w:ascii="Times New Roman" w:hAnsi="Times New Roman" w:cs="Times New Roman"/>
          <w:i/>
        </w:rPr>
        <w:t xml:space="preserve">Safer Technology and Alternatives Analysis (STAA) </w:t>
      </w:r>
    </w:p>
    <w:p w:rsidRPr="004D4B61" w:rsidR="00900B2C" w:rsidP="00900B2C" w:rsidRDefault="00900B2C" w14:paraId="2130A104" w14:textId="77777777">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The STAA proposed provision would require facilities with Program 3 regulated processes in NAICS 324 (petroleum and coal products manufacturing) and 325 (chemical manufacturing) located within one mile of another RMP-regulated facility process in NAICS 324 and 325, and all regulated facilities in NAICS 324 using HF in an alkylation unit, to conduct a STAA as part of their PHA, which occurs every five years. STAA is generally a process in which facility staff analyze their current processes and practices to determine whether there are safer alternatives to their current operating practice. This can range from small changes – such as upgrading valves – to large shifts like substituting less toxic or volatile chemicals. </w:t>
      </w:r>
    </w:p>
    <w:p w:rsidRPr="004D4B61" w:rsidR="00900B2C" w:rsidP="00900B2C" w:rsidRDefault="00900B2C" w14:paraId="619DDD1C" w14:textId="77777777">
      <w:pPr>
        <w:spacing w:after="0" w:line="240" w:lineRule="auto"/>
        <w:ind w:firstLine="360"/>
        <w:rPr>
          <w:rFonts w:ascii="Times New Roman" w:hAnsi="Times New Roman" w:cs="Times New Roman"/>
        </w:rPr>
      </w:pPr>
    </w:p>
    <w:p w:rsidRPr="004D4B61" w:rsidR="00900B2C" w:rsidP="00900B2C" w:rsidRDefault="00900B2C" w14:paraId="00386008" w14:textId="77777777">
      <w:pPr>
        <w:spacing w:after="0" w:line="240" w:lineRule="auto"/>
        <w:ind w:firstLine="720"/>
        <w:rPr>
          <w:rFonts w:ascii="Times New Roman" w:hAnsi="Times New Roman" w:cs="Times New Roman"/>
        </w:rPr>
      </w:pPr>
      <w:r w:rsidRPr="004D4B61">
        <w:rPr>
          <w:rFonts w:ascii="Times New Roman" w:hAnsi="Times New Roman" w:cs="Times New Roman"/>
        </w:rPr>
        <w:t xml:space="preserve">This RIA divides the STAA process into two parts: </w:t>
      </w:r>
    </w:p>
    <w:p w:rsidRPr="003A1AEF" w:rsidR="00900B2C" w:rsidP="003A1AEF" w:rsidRDefault="00900B2C" w14:paraId="677E5128" w14:textId="436E9EBD">
      <w:pPr>
        <w:numPr>
          <w:ilvl w:val="0"/>
          <w:numId w:val="6"/>
        </w:numPr>
        <w:spacing w:after="0" w:line="240" w:lineRule="auto"/>
        <w:rPr>
          <w:rFonts w:ascii="Times New Roman" w:hAnsi="Times New Roman" w:cs="Times New Roman"/>
        </w:rPr>
      </w:pPr>
      <w:r w:rsidRPr="004D4B61">
        <w:rPr>
          <w:rFonts w:ascii="Times New Roman" w:hAnsi="Times New Roman" w:cs="Times New Roman"/>
        </w:rPr>
        <w:t xml:space="preserve">The initial analysis to identify and document alternatives. </w:t>
      </w:r>
    </w:p>
    <w:p w:rsidRPr="004D4B61" w:rsidR="00900B2C" w:rsidP="00900B2C" w:rsidRDefault="00900B2C" w14:paraId="73FC58D4" w14:textId="77777777">
      <w:pPr>
        <w:numPr>
          <w:ilvl w:val="0"/>
          <w:numId w:val="6"/>
        </w:numPr>
        <w:spacing w:after="0" w:line="240" w:lineRule="auto"/>
        <w:rPr>
          <w:rFonts w:ascii="Times New Roman" w:hAnsi="Times New Roman" w:cs="Times New Roman"/>
        </w:rPr>
      </w:pPr>
      <w:r w:rsidRPr="004D4B61">
        <w:rPr>
          <w:rFonts w:ascii="Times New Roman" w:hAnsi="Times New Roman" w:cs="Times New Roman"/>
        </w:rPr>
        <w:t>A practicability study to determine the practicability of implementing identified alternatives and assess the reasonableness of implementing the change.</w:t>
      </w:r>
    </w:p>
    <w:p w:rsidRPr="004D4B61" w:rsidR="00900B2C" w:rsidP="00900B2C" w:rsidRDefault="00900B2C" w14:paraId="32E8C59C" w14:textId="77777777">
      <w:pPr>
        <w:spacing w:after="0" w:line="240" w:lineRule="auto"/>
        <w:ind w:left="1440"/>
        <w:rPr>
          <w:rFonts w:ascii="Times New Roman" w:hAnsi="Times New Roman" w:cs="Times New Roman"/>
        </w:rPr>
      </w:pPr>
    </w:p>
    <w:p w:rsidR="00900B2C" w:rsidP="00900B2C" w:rsidRDefault="00900B2C" w14:paraId="26F1D09C" w14:textId="4FBF4C02">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An initial analysis and documentation </w:t>
      </w:r>
      <w:proofErr w:type="gramStart"/>
      <w:r w:rsidRPr="004D4B61">
        <w:rPr>
          <w:rFonts w:ascii="Times New Roman" w:hAnsi="Times New Roman" w:cs="Times New Roman"/>
        </w:rPr>
        <w:t>is</w:t>
      </w:r>
      <w:proofErr w:type="gramEnd"/>
      <w:r w:rsidRPr="004D4B61">
        <w:rPr>
          <w:rFonts w:ascii="Times New Roman" w:hAnsi="Times New Roman" w:cs="Times New Roman"/>
        </w:rPr>
        <w:t xml:space="preserve"> required of all facility processes. EPA believes that some facilities may already have conducted such analyses but has taken the conservative approach of assuming that all facilities subject to the STAA </w:t>
      </w:r>
      <w:r w:rsidRPr="004D4B61" w:rsidR="6850DBC7">
        <w:rPr>
          <w:rFonts w:ascii="Times New Roman" w:hAnsi="Times New Roman" w:cs="Times New Roman"/>
        </w:rPr>
        <w:t>provision</w:t>
      </w:r>
      <w:r w:rsidRPr="004D4B61">
        <w:rPr>
          <w:rFonts w:ascii="Times New Roman" w:hAnsi="Times New Roman" w:cs="Times New Roman"/>
        </w:rPr>
        <w:t xml:space="preserve"> will conduct them for all processes </w:t>
      </w:r>
      <w:proofErr w:type="gramStart"/>
      <w:r w:rsidRPr="004D4B61">
        <w:rPr>
          <w:rFonts w:ascii="Times New Roman" w:hAnsi="Times New Roman" w:cs="Times New Roman"/>
        </w:rPr>
        <w:t>as a result of</w:t>
      </w:r>
      <w:proofErr w:type="gramEnd"/>
      <w:r w:rsidRPr="004D4B61">
        <w:rPr>
          <w:rFonts w:ascii="Times New Roman" w:hAnsi="Times New Roman" w:cs="Times New Roman"/>
        </w:rPr>
        <w:t xml:space="preserve"> the proposed rule. Following the initial analysis, EPA is proposing that a practicability assessment be conducted if the initial analysis determines the existence of inherently safer alternatives. EPA expects a practicability assessment to occur only when warranted by the outcome of an initial analysis. EPA also anticipates that some facilities will conduct practicability studies to address alternatives considered in multiple initial analyses. Consequently, some complex firms are assumed to conduct practicability studies that address up to 12 different alternatives.</w:t>
      </w:r>
      <w:r>
        <w:rPr>
          <w:rFonts w:ascii="Times New Roman" w:hAnsi="Times New Roman" w:cs="Times New Roman"/>
        </w:rPr>
        <w:t xml:space="preserve"> </w:t>
      </w:r>
      <w:r w:rsidRPr="004D4B61">
        <w:rPr>
          <w:rFonts w:ascii="Times New Roman" w:hAnsi="Times New Roman" w:cs="Times New Roman"/>
        </w:rPr>
        <w:t xml:space="preserve">EPA is retaining the estimates of the hours required to conduct an initial analysis from the </w:t>
      </w:r>
      <w:r w:rsidR="00FE4910">
        <w:rPr>
          <w:rFonts w:ascii="Times New Roman" w:hAnsi="Times New Roman" w:cs="Times New Roman"/>
        </w:rPr>
        <w:t>2017 a</w:t>
      </w:r>
      <w:r w:rsidRPr="004D4B61">
        <w:rPr>
          <w:rFonts w:ascii="Times New Roman" w:hAnsi="Times New Roman" w:cs="Times New Roman"/>
        </w:rPr>
        <w:t>mendments rule RIA and updating the costs to 2020 dollars. For large complex facilities, EPA estimates that a total of 738 engineering hours will be required,</w:t>
      </w:r>
      <w:r w:rsidRPr="004D4B61">
        <w:rPr>
          <w:rFonts w:ascii="Times New Roman" w:hAnsi="Times New Roman" w:cs="Times New Roman"/>
          <w:vertAlign w:val="superscript"/>
        </w:rPr>
        <w:footnoteReference w:id="48"/>
      </w:r>
      <w:r w:rsidRPr="004D4B61">
        <w:rPr>
          <w:rFonts w:ascii="Times New Roman" w:hAnsi="Times New Roman" w:cs="Times New Roman"/>
        </w:rPr>
        <w:t xml:space="preserve"> for Small/Medium facilities, a total of 130 hours will be required (20 hours of management, 0.5 hours of corporate management, 3.5 hours of attorney time, 82.5 hours of engineering, and 23.5 hours of production staff support).</w:t>
      </w:r>
      <w:r w:rsidRPr="004D4B61">
        <w:rPr>
          <w:rStyle w:val="FootnoteReference"/>
          <w:rFonts w:ascii="Times New Roman" w:hAnsi="Times New Roman" w:cs="Times New Roman"/>
        </w:rPr>
        <w:footnoteReference w:id="49"/>
      </w:r>
      <w:r>
        <w:rPr>
          <w:rFonts w:ascii="Times New Roman" w:hAnsi="Times New Roman" w:cs="Times New Roman"/>
        </w:rPr>
        <w:t xml:space="preserve"> See Exhibit 4-7.</w:t>
      </w:r>
    </w:p>
    <w:p w:rsidRPr="004D4B61" w:rsidR="00900B2C" w:rsidP="00900B2C" w:rsidRDefault="00900B2C" w14:paraId="25DCA978" w14:textId="77777777">
      <w:pPr>
        <w:spacing w:after="0" w:line="240" w:lineRule="auto"/>
        <w:ind w:firstLine="360"/>
        <w:rPr>
          <w:rFonts w:ascii="Times New Roman" w:hAnsi="Times New Roman" w:cs="Times New Roman"/>
        </w:rPr>
      </w:pPr>
    </w:p>
    <w:p w:rsidR="00900B2C" w:rsidP="00900B2C" w:rsidRDefault="00900B2C" w14:paraId="1D5E2E4C" w14:textId="21C56E30">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The technical practicability assessment considers the extent of process redesign, its engineering implications, and possible costs. To estimate the cost of the practicability study, referred to in some literature and comments as a feasibility study, EPA maintains the approach developed for the </w:t>
      </w:r>
      <w:r w:rsidR="00531CF8">
        <w:rPr>
          <w:rFonts w:ascii="Times New Roman" w:hAnsi="Times New Roman" w:cs="Times New Roman"/>
        </w:rPr>
        <w:t>a</w:t>
      </w:r>
      <w:r w:rsidRPr="004D4B61">
        <w:rPr>
          <w:rFonts w:ascii="Times New Roman" w:hAnsi="Times New Roman" w:cs="Times New Roman"/>
        </w:rPr>
        <w:t xml:space="preserve">mendments rule RIA. That approach is to identify “reference” STAA projects for the sectors affected by the provision, estimate costs of the reference projects, and apply a percentage to the project cost to calculate the practicability study cost. Public comments received on the proposed </w:t>
      </w:r>
      <w:r w:rsidR="00DE1D6B">
        <w:rPr>
          <w:rFonts w:ascii="Times New Roman" w:hAnsi="Times New Roman" w:cs="Times New Roman"/>
        </w:rPr>
        <w:t>a</w:t>
      </w:r>
      <w:r w:rsidRPr="004D4B61">
        <w:rPr>
          <w:rFonts w:ascii="Times New Roman" w:hAnsi="Times New Roman" w:cs="Times New Roman"/>
        </w:rPr>
        <w:t xml:space="preserve">mendments rule provided practicability study cost information specifically for STAA projects. This information was provided by American Water Works Association (AWWA), American Fuel &amp; Petrochemical Manufacturers (AFPM), American Petroleum Institute (API), and Chemical Safety </w:t>
      </w:r>
      <w:r w:rsidRPr="004D4B61">
        <w:rPr>
          <w:rFonts w:ascii="Times New Roman" w:hAnsi="Times New Roman" w:cs="Times New Roman"/>
        </w:rPr>
        <w:lastRenderedPageBreak/>
        <w:t>Advocacy Group (CSAG). EPA also identified sources examining feasibility studies of mining projects including Mackenzie and Cusworth (2007)</w:t>
      </w:r>
      <w:r w:rsidRPr="004D4B61">
        <w:rPr>
          <w:rStyle w:val="FootnoteReference"/>
          <w:rFonts w:ascii="Times New Roman" w:hAnsi="Times New Roman" w:cs="Times New Roman"/>
        </w:rPr>
        <w:footnoteReference w:id="50"/>
      </w:r>
      <w:r w:rsidRPr="004D4B61">
        <w:rPr>
          <w:rFonts w:ascii="Times New Roman" w:hAnsi="Times New Roman" w:cs="Times New Roman"/>
        </w:rPr>
        <w:t xml:space="preserve">. Since the </w:t>
      </w:r>
      <w:r w:rsidR="00DE1D6B">
        <w:rPr>
          <w:rFonts w:ascii="Times New Roman" w:hAnsi="Times New Roman" w:cs="Times New Roman"/>
        </w:rPr>
        <w:t>a</w:t>
      </w:r>
      <w:r w:rsidRPr="004D4B61">
        <w:rPr>
          <w:rFonts w:ascii="Times New Roman" w:hAnsi="Times New Roman" w:cs="Times New Roman"/>
        </w:rPr>
        <w:t>mendments rule</w:t>
      </w:r>
      <w:r w:rsidR="00C8335A">
        <w:rPr>
          <w:rFonts w:ascii="Times New Roman" w:hAnsi="Times New Roman" w:cs="Times New Roman"/>
        </w:rPr>
        <w:t xml:space="preserve"> was promulgated</w:t>
      </w:r>
      <w:r w:rsidRPr="004D4B61">
        <w:rPr>
          <w:rFonts w:ascii="Times New Roman" w:hAnsi="Times New Roman" w:cs="Times New Roman"/>
        </w:rPr>
        <w:t>, EPA identified an additional paper, McLeod (2021)</w:t>
      </w:r>
      <w:r w:rsidRPr="004D4B61">
        <w:rPr>
          <w:rStyle w:val="FootnoteReference"/>
          <w:rFonts w:ascii="Times New Roman" w:hAnsi="Times New Roman" w:cs="Times New Roman"/>
        </w:rPr>
        <w:footnoteReference w:id="51"/>
      </w:r>
      <w:r w:rsidRPr="004D4B61">
        <w:rPr>
          <w:rFonts w:ascii="Times New Roman" w:hAnsi="Times New Roman" w:cs="Times New Roman"/>
        </w:rPr>
        <w:t xml:space="preserve">, which summarizes lessons learned about practicability studies from the literature but does not provide additional data on costs. EPA was unable to locate new information on practicability study costs or those costs in relation to project costs. Thus, EPA adopts the same 1.2 percent of project costs that was estimated for the </w:t>
      </w:r>
      <w:r w:rsidR="00DE1D6B">
        <w:rPr>
          <w:rFonts w:ascii="Times New Roman" w:hAnsi="Times New Roman" w:cs="Times New Roman"/>
        </w:rPr>
        <w:t>a</w:t>
      </w:r>
      <w:r w:rsidRPr="004D4B61">
        <w:rPr>
          <w:rFonts w:ascii="Times New Roman" w:hAnsi="Times New Roman" w:cs="Times New Roman"/>
        </w:rPr>
        <w:t>mendments rule RIA.</w:t>
      </w:r>
      <w:r w:rsidRPr="004D4B61">
        <w:rPr>
          <w:rStyle w:val="FootnoteReference"/>
          <w:rFonts w:ascii="Times New Roman" w:hAnsi="Times New Roman" w:cs="Times New Roman"/>
        </w:rPr>
        <w:t xml:space="preserve"> </w:t>
      </w:r>
      <w:r w:rsidRPr="004D4B61">
        <w:rPr>
          <w:rStyle w:val="FootnoteReference"/>
          <w:rFonts w:ascii="Times New Roman" w:hAnsi="Times New Roman" w:cs="Times New Roman"/>
        </w:rPr>
        <w:footnoteReference w:id="52"/>
      </w:r>
    </w:p>
    <w:p w:rsidRPr="004D4B61" w:rsidR="00900B2C" w:rsidP="00900B2C" w:rsidRDefault="00900B2C" w14:paraId="4122DAF2" w14:textId="77777777">
      <w:pPr>
        <w:spacing w:after="0" w:line="240" w:lineRule="auto"/>
        <w:ind w:firstLine="360"/>
        <w:rPr>
          <w:rFonts w:ascii="Times New Roman" w:hAnsi="Times New Roman" w:cs="Times New Roman"/>
        </w:rPr>
      </w:pPr>
    </w:p>
    <w:p w:rsidRPr="004D4B61" w:rsidR="00900B2C" w:rsidP="00900B2C" w:rsidRDefault="00900B2C" w14:paraId="71365EBC" w14:textId="76C2614F">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The approach to estimating the costs of practicability studies identifies relevant reference projects for each affected sector, and cost estimates for each reference project. EPA then applies the 1.2 percentage estimate to project costs to estimate the practicability study cost. To estimate the cost of reference projects, EPA gathered new data combined with data used for the </w:t>
      </w:r>
      <w:r w:rsidR="00DE1D6B">
        <w:rPr>
          <w:rFonts w:ascii="Times New Roman" w:hAnsi="Times New Roman" w:cs="Times New Roman"/>
        </w:rPr>
        <w:t>a</w:t>
      </w:r>
      <w:r w:rsidRPr="004D4B61">
        <w:rPr>
          <w:rFonts w:ascii="Times New Roman" w:hAnsi="Times New Roman" w:cs="Times New Roman"/>
        </w:rPr>
        <w:t xml:space="preserve">mendments rule RIA. Several commenters on the proposed </w:t>
      </w:r>
      <w:r w:rsidR="00DE1D6B">
        <w:rPr>
          <w:rFonts w:ascii="Times New Roman" w:hAnsi="Times New Roman" w:cs="Times New Roman"/>
        </w:rPr>
        <w:t>a</w:t>
      </w:r>
      <w:r w:rsidRPr="004D4B61">
        <w:rPr>
          <w:rFonts w:ascii="Times New Roman" w:hAnsi="Times New Roman" w:cs="Times New Roman"/>
        </w:rPr>
        <w:t>mendments rule RIA provided estimates of the costs of potential STAA projects. AWWA offered cost estimates for four STAA projects (</w:t>
      </w:r>
      <w:r w:rsidR="00407228">
        <w:rPr>
          <w:rFonts w:ascii="Times New Roman" w:hAnsi="Times New Roman" w:cs="Times New Roman"/>
        </w:rPr>
        <w:t xml:space="preserve">see Exhibit 4-3 below and </w:t>
      </w:r>
      <w:r w:rsidRPr="004D4B61">
        <w:rPr>
          <w:rFonts w:ascii="Times New Roman" w:hAnsi="Times New Roman" w:cs="Times New Roman"/>
        </w:rPr>
        <w:t>Table 4-10 in the comments, p. 4-21).</w:t>
      </w:r>
      <w:r w:rsidRPr="004D4B61">
        <w:rPr>
          <w:rStyle w:val="FootnoteReference"/>
          <w:rFonts w:ascii="Times New Roman" w:hAnsi="Times New Roman" w:cs="Times New Roman"/>
        </w:rPr>
        <w:footnoteReference w:id="53"/>
      </w:r>
      <w:r w:rsidRPr="004D4B61">
        <w:rPr>
          <w:rFonts w:ascii="Times New Roman" w:hAnsi="Times New Roman" w:cs="Times New Roman"/>
        </w:rPr>
        <w:t xml:space="preserve"> These cost estimates are presented in Exhibit 4-5. The water industry would not be affected by the proposed rule STAA provision, but EPA used these project costs to benchmark similar reference project costs for the chemical manufacturing sector. </w:t>
      </w:r>
    </w:p>
    <w:p w:rsidRPr="004D4B61" w:rsidR="00900B2C" w:rsidP="00900B2C" w:rsidRDefault="00900B2C" w14:paraId="4DDD56EB" w14:textId="77777777">
      <w:pPr>
        <w:spacing w:after="0" w:line="240" w:lineRule="auto"/>
        <w:ind w:firstLine="360"/>
        <w:rPr>
          <w:rFonts w:ascii="Times New Roman" w:hAnsi="Times New Roman" w:cs="Times New Roman"/>
        </w:rPr>
      </w:pPr>
    </w:p>
    <w:p w:rsidRPr="004D4B61" w:rsidR="00900B2C" w:rsidP="00900B2C" w:rsidRDefault="00900B2C" w14:paraId="3F5C62B1" w14:textId="3745E92F">
      <w:pPr>
        <w:keepNext/>
        <w:spacing w:after="0" w:line="240" w:lineRule="auto"/>
        <w:ind w:firstLine="720"/>
        <w:jc w:val="center"/>
        <w:rPr>
          <w:rFonts w:ascii="Times New Roman" w:hAnsi="Times New Roman" w:cs="Times New Roman"/>
          <w:b/>
        </w:rPr>
      </w:pPr>
      <w:r w:rsidRPr="004D4B61">
        <w:rPr>
          <w:rFonts w:ascii="Times New Roman" w:hAnsi="Times New Roman" w:cs="Times New Roman"/>
          <w:b/>
        </w:rPr>
        <w:t>Exhibit 4-</w:t>
      </w:r>
      <w:r w:rsidR="007F6842">
        <w:rPr>
          <w:rFonts w:ascii="Times New Roman" w:hAnsi="Times New Roman" w:cs="Times New Roman"/>
          <w:b/>
        </w:rPr>
        <w:t>3</w:t>
      </w:r>
      <w:r w:rsidRPr="004D4B61">
        <w:rPr>
          <w:rFonts w:ascii="Times New Roman" w:hAnsi="Times New Roman" w:cs="Times New Roman"/>
          <w:b/>
        </w:rPr>
        <w:t xml:space="preserve">: AWWA Comment </w:t>
      </w:r>
      <w:r w:rsidR="00B1366E">
        <w:rPr>
          <w:rFonts w:ascii="Times New Roman" w:hAnsi="Times New Roman" w:cs="Times New Roman"/>
          <w:b/>
        </w:rPr>
        <w:t xml:space="preserve">on </w:t>
      </w:r>
      <w:r w:rsidRPr="004D4B61">
        <w:rPr>
          <w:rFonts w:ascii="Times New Roman" w:hAnsi="Times New Roman" w:cs="Times New Roman"/>
          <w:b/>
        </w:rPr>
        <w:t xml:space="preserve">Estimated Project Costs (2016) </w:t>
      </w:r>
    </w:p>
    <w:p w:rsidRPr="004D4B61" w:rsidR="00900B2C" w:rsidP="00900B2C" w:rsidRDefault="00900B2C" w14:paraId="5642FAAA" w14:textId="77777777">
      <w:pPr>
        <w:keepNext/>
        <w:spacing w:after="0" w:line="240" w:lineRule="auto"/>
        <w:ind w:firstLine="720"/>
        <w:jc w:val="center"/>
        <w:rPr>
          <w:rFonts w:ascii="Times New Roman" w:hAnsi="Times New Roman" w:cs="Times New Roman"/>
          <w:b/>
        </w:rPr>
      </w:pPr>
      <w:r w:rsidRPr="004D4B61">
        <w:rPr>
          <w:rFonts w:ascii="Times New Roman" w:hAnsi="Times New Roman" w:cs="Times New Roman"/>
          <w:b/>
        </w:rPr>
        <w:t>(</w:t>
      </w:r>
      <w:proofErr w:type="gramStart"/>
      <w:r w:rsidRPr="004D4B61">
        <w:rPr>
          <w:rFonts w:ascii="Times New Roman" w:hAnsi="Times New Roman" w:cs="Times New Roman"/>
          <w:b/>
        </w:rPr>
        <w:t>millions</w:t>
      </w:r>
      <w:proofErr w:type="gramEnd"/>
      <w:r w:rsidRPr="004D4B61">
        <w:rPr>
          <w:rFonts w:ascii="Times New Roman" w:hAnsi="Times New Roman" w:cs="Times New Roman"/>
          <w:b/>
        </w:rPr>
        <w:t>, 2020 dollars</w:t>
      </w:r>
      <w:r w:rsidRPr="00BF2406">
        <w:rPr>
          <w:rFonts w:ascii="Times New Roman" w:hAnsi="Times New Roman" w:cs="Times New Roman"/>
          <w:b/>
          <w:bCs/>
        </w:rPr>
        <w:t>).</w:t>
      </w:r>
    </w:p>
    <w:tbl>
      <w:tblPr>
        <w:tblStyle w:val="TableGrid"/>
        <w:tblW w:w="0" w:type="auto"/>
        <w:jc w:val="center"/>
        <w:tblLook w:val="04A0" w:firstRow="1" w:lastRow="0" w:firstColumn="1" w:lastColumn="0" w:noHBand="0" w:noVBand="1"/>
      </w:tblPr>
      <w:tblGrid>
        <w:gridCol w:w="1975"/>
        <w:gridCol w:w="1890"/>
      </w:tblGrid>
      <w:tr w:rsidRPr="004D4B61" w:rsidR="00900B2C" w:rsidTr="00E6210A" w14:paraId="648CE5AB" w14:textId="77777777">
        <w:trPr>
          <w:jc w:val="center"/>
        </w:trPr>
        <w:tc>
          <w:tcPr>
            <w:tcW w:w="1975" w:type="dxa"/>
            <w:shd w:val="clear" w:color="auto" w:fill="D9D9D9" w:themeFill="background1" w:themeFillShade="D9"/>
          </w:tcPr>
          <w:p w:rsidRPr="004D4B61" w:rsidR="00900B2C" w:rsidP="00E6210A" w:rsidRDefault="00900B2C" w14:paraId="629727D8" w14:textId="77777777">
            <w:pPr>
              <w:keepNext/>
              <w:spacing w:line="240" w:lineRule="auto"/>
              <w:jc w:val="center"/>
              <w:rPr>
                <w:b/>
                <w:sz w:val="22"/>
                <w:szCs w:val="22"/>
              </w:rPr>
            </w:pPr>
            <w:r w:rsidRPr="004D4B61">
              <w:rPr>
                <w:b/>
                <w:sz w:val="22"/>
                <w:szCs w:val="22"/>
              </w:rPr>
              <w:t>Disinfection Technology</w:t>
            </w:r>
          </w:p>
        </w:tc>
        <w:tc>
          <w:tcPr>
            <w:tcW w:w="1890" w:type="dxa"/>
            <w:shd w:val="clear" w:color="auto" w:fill="D9D9D9" w:themeFill="background1" w:themeFillShade="D9"/>
          </w:tcPr>
          <w:p w:rsidR="00900B2C" w:rsidP="00E6210A" w:rsidRDefault="00900B2C" w14:paraId="5BE06C5F" w14:textId="77777777">
            <w:pPr>
              <w:keepNext/>
              <w:spacing w:line="240" w:lineRule="auto"/>
              <w:jc w:val="center"/>
              <w:rPr>
                <w:b/>
                <w:sz w:val="22"/>
                <w:szCs w:val="22"/>
              </w:rPr>
            </w:pPr>
            <w:r w:rsidRPr="004D4B61">
              <w:rPr>
                <w:b/>
                <w:sz w:val="22"/>
                <w:szCs w:val="22"/>
              </w:rPr>
              <w:t xml:space="preserve">Capital Costs </w:t>
            </w:r>
          </w:p>
          <w:p w:rsidRPr="004D4B61" w:rsidR="00900B2C" w:rsidP="00E6210A" w:rsidRDefault="00900B2C" w14:paraId="4BAA6FB9" w14:textId="77777777">
            <w:pPr>
              <w:keepNext/>
              <w:spacing w:line="240" w:lineRule="auto"/>
              <w:jc w:val="center"/>
              <w:rPr>
                <w:b/>
                <w:sz w:val="22"/>
                <w:szCs w:val="22"/>
              </w:rPr>
            </w:pPr>
            <w:r w:rsidRPr="004D4B61">
              <w:rPr>
                <w:b/>
                <w:sz w:val="22"/>
                <w:szCs w:val="22"/>
              </w:rPr>
              <w:t>($)</w:t>
            </w:r>
          </w:p>
        </w:tc>
      </w:tr>
      <w:tr w:rsidRPr="004D4B61" w:rsidR="00900B2C" w:rsidTr="00E6210A" w14:paraId="7C0D88D1" w14:textId="77777777">
        <w:trPr>
          <w:jc w:val="center"/>
        </w:trPr>
        <w:tc>
          <w:tcPr>
            <w:tcW w:w="1975" w:type="dxa"/>
          </w:tcPr>
          <w:p w:rsidRPr="004D4B61" w:rsidR="00900B2C" w:rsidP="00E6210A" w:rsidRDefault="00900B2C" w14:paraId="0C53CCAE" w14:textId="77777777">
            <w:pPr>
              <w:spacing w:line="240" w:lineRule="auto"/>
              <w:jc w:val="center"/>
              <w:rPr>
                <w:sz w:val="22"/>
                <w:szCs w:val="22"/>
              </w:rPr>
            </w:pPr>
            <w:r w:rsidRPr="004D4B61">
              <w:rPr>
                <w:sz w:val="22"/>
                <w:szCs w:val="22"/>
              </w:rPr>
              <w:t>Hypochlorite</w:t>
            </w:r>
          </w:p>
        </w:tc>
        <w:tc>
          <w:tcPr>
            <w:tcW w:w="1890" w:type="dxa"/>
          </w:tcPr>
          <w:p w:rsidRPr="004D4B61" w:rsidR="00900B2C" w:rsidP="00E6210A" w:rsidRDefault="00900B2C" w14:paraId="05DFF6D9" w14:textId="77777777">
            <w:pPr>
              <w:spacing w:line="240" w:lineRule="auto"/>
              <w:jc w:val="center"/>
              <w:rPr>
                <w:sz w:val="22"/>
                <w:szCs w:val="22"/>
              </w:rPr>
            </w:pPr>
            <w:r w:rsidRPr="004D4B61">
              <w:rPr>
                <w:sz w:val="22"/>
                <w:szCs w:val="22"/>
              </w:rPr>
              <w:t>$2.0</w:t>
            </w:r>
          </w:p>
        </w:tc>
      </w:tr>
      <w:tr w:rsidRPr="004D4B61" w:rsidR="00900B2C" w:rsidTr="00E6210A" w14:paraId="25593E63" w14:textId="77777777">
        <w:trPr>
          <w:jc w:val="center"/>
        </w:trPr>
        <w:tc>
          <w:tcPr>
            <w:tcW w:w="1975" w:type="dxa"/>
          </w:tcPr>
          <w:p w:rsidRPr="004D4B61" w:rsidR="00900B2C" w:rsidP="00E6210A" w:rsidRDefault="00900B2C" w14:paraId="2E46BDA7" w14:textId="77777777">
            <w:pPr>
              <w:spacing w:line="240" w:lineRule="auto"/>
              <w:jc w:val="center"/>
              <w:rPr>
                <w:sz w:val="22"/>
                <w:szCs w:val="22"/>
              </w:rPr>
            </w:pPr>
            <w:r w:rsidRPr="004D4B61">
              <w:rPr>
                <w:sz w:val="22"/>
                <w:szCs w:val="22"/>
              </w:rPr>
              <w:t>Chlorine Dioxide</w:t>
            </w:r>
          </w:p>
        </w:tc>
        <w:tc>
          <w:tcPr>
            <w:tcW w:w="1890" w:type="dxa"/>
          </w:tcPr>
          <w:p w:rsidRPr="004D4B61" w:rsidR="00900B2C" w:rsidP="00E6210A" w:rsidRDefault="00900B2C" w14:paraId="6AE66FBB" w14:textId="77777777">
            <w:pPr>
              <w:spacing w:line="240" w:lineRule="auto"/>
              <w:jc w:val="center"/>
              <w:rPr>
                <w:sz w:val="22"/>
                <w:szCs w:val="22"/>
              </w:rPr>
            </w:pPr>
            <w:r w:rsidRPr="004D4B61">
              <w:rPr>
                <w:sz w:val="22"/>
                <w:szCs w:val="22"/>
              </w:rPr>
              <w:t>$0.9</w:t>
            </w:r>
          </w:p>
        </w:tc>
      </w:tr>
      <w:tr w:rsidRPr="004D4B61" w:rsidR="00900B2C" w:rsidTr="00E6210A" w14:paraId="3D894CD4" w14:textId="77777777">
        <w:trPr>
          <w:jc w:val="center"/>
        </w:trPr>
        <w:tc>
          <w:tcPr>
            <w:tcW w:w="1975" w:type="dxa"/>
          </w:tcPr>
          <w:p w:rsidRPr="004D4B61" w:rsidR="00900B2C" w:rsidP="00E6210A" w:rsidRDefault="00900B2C" w14:paraId="6BBB33B4" w14:textId="77777777">
            <w:pPr>
              <w:spacing w:line="240" w:lineRule="auto"/>
              <w:jc w:val="center"/>
              <w:rPr>
                <w:sz w:val="22"/>
                <w:szCs w:val="22"/>
              </w:rPr>
            </w:pPr>
            <w:r w:rsidRPr="004D4B61">
              <w:rPr>
                <w:sz w:val="22"/>
                <w:szCs w:val="22"/>
              </w:rPr>
              <w:t>Ultraviolet</w:t>
            </w:r>
          </w:p>
        </w:tc>
        <w:tc>
          <w:tcPr>
            <w:tcW w:w="1890" w:type="dxa"/>
          </w:tcPr>
          <w:p w:rsidRPr="004D4B61" w:rsidR="00900B2C" w:rsidP="00E6210A" w:rsidRDefault="00900B2C" w14:paraId="07BB7522" w14:textId="77777777">
            <w:pPr>
              <w:spacing w:line="240" w:lineRule="auto"/>
              <w:jc w:val="center"/>
              <w:rPr>
                <w:sz w:val="22"/>
                <w:szCs w:val="22"/>
              </w:rPr>
            </w:pPr>
            <w:r w:rsidRPr="004D4B61">
              <w:rPr>
                <w:sz w:val="22"/>
                <w:szCs w:val="22"/>
              </w:rPr>
              <w:t>$12.2</w:t>
            </w:r>
          </w:p>
        </w:tc>
      </w:tr>
      <w:tr w:rsidRPr="004D4B61" w:rsidR="00900B2C" w:rsidTr="00E6210A" w14:paraId="109D5BBE" w14:textId="77777777">
        <w:trPr>
          <w:jc w:val="center"/>
        </w:trPr>
        <w:tc>
          <w:tcPr>
            <w:tcW w:w="1975" w:type="dxa"/>
          </w:tcPr>
          <w:p w:rsidRPr="004D4B61" w:rsidR="00900B2C" w:rsidP="00E6210A" w:rsidRDefault="00900B2C" w14:paraId="575532B0" w14:textId="77777777">
            <w:pPr>
              <w:spacing w:line="240" w:lineRule="auto"/>
              <w:jc w:val="center"/>
              <w:rPr>
                <w:sz w:val="22"/>
                <w:szCs w:val="22"/>
              </w:rPr>
            </w:pPr>
            <w:r w:rsidRPr="004D4B61">
              <w:rPr>
                <w:sz w:val="22"/>
                <w:szCs w:val="22"/>
              </w:rPr>
              <w:t>Ozone</w:t>
            </w:r>
          </w:p>
        </w:tc>
        <w:tc>
          <w:tcPr>
            <w:tcW w:w="1890" w:type="dxa"/>
          </w:tcPr>
          <w:p w:rsidRPr="004D4B61" w:rsidR="00900B2C" w:rsidP="00E6210A" w:rsidRDefault="00900B2C" w14:paraId="7A866353" w14:textId="77777777">
            <w:pPr>
              <w:spacing w:line="240" w:lineRule="auto"/>
              <w:jc w:val="center"/>
              <w:rPr>
                <w:sz w:val="22"/>
                <w:szCs w:val="22"/>
              </w:rPr>
            </w:pPr>
            <w:r w:rsidRPr="004D4B61">
              <w:rPr>
                <w:sz w:val="22"/>
                <w:szCs w:val="22"/>
              </w:rPr>
              <w:t>$24.6</w:t>
            </w:r>
          </w:p>
        </w:tc>
      </w:tr>
    </w:tbl>
    <w:p w:rsidR="00900B2C" w:rsidP="00900B2C" w:rsidRDefault="00900B2C" w14:paraId="35FBC545" w14:textId="77777777">
      <w:pPr>
        <w:spacing w:after="0" w:line="240" w:lineRule="auto"/>
        <w:ind w:firstLine="720"/>
        <w:rPr>
          <w:rFonts w:ascii="Times New Roman" w:hAnsi="Times New Roman" w:cs="Times New Roman"/>
        </w:rPr>
      </w:pPr>
    </w:p>
    <w:p w:rsidR="00900B2C" w:rsidP="00900B2C" w:rsidRDefault="00900B2C" w14:paraId="16CBC91A" w14:textId="72FDC466">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An important potential STAA project for the proposed rule is the consideration by petroleum refiners of converting an HF alkylation to safer technologies that replace HF with substitutes such as sulfuric acid, ionic liquids, or solid acid. EPA was able to locate nine estimates of the costs to modify or replace an HF alkylation unit. Two were already identified for the </w:t>
      </w:r>
      <w:r w:rsidR="00DE1D6B">
        <w:rPr>
          <w:rFonts w:ascii="Times New Roman" w:hAnsi="Times New Roman" w:cs="Times New Roman"/>
        </w:rPr>
        <w:t>a</w:t>
      </w:r>
      <w:r w:rsidRPr="004D4B61">
        <w:rPr>
          <w:rFonts w:ascii="Times New Roman" w:hAnsi="Times New Roman" w:cs="Times New Roman"/>
        </w:rPr>
        <w:t>mendments rule RIA (including one provided by AFPM through public comments)</w:t>
      </w:r>
      <w:r w:rsidRPr="004D4B61">
        <w:rPr>
          <w:rStyle w:val="FootnoteReference"/>
          <w:rFonts w:ascii="Times New Roman" w:hAnsi="Times New Roman" w:cs="Times New Roman"/>
        </w:rPr>
        <w:footnoteReference w:id="54"/>
      </w:r>
      <w:r w:rsidRPr="004D4B61">
        <w:rPr>
          <w:rFonts w:ascii="Times New Roman" w:hAnsi="Times New Roman" w:cs="Times New Roman"/>
        </w:rPr>
        <w:t xml:space="preserve"> and seven became available </w:t>
      </w:r>
      <w:proofErr w:type="gramStart"/>
      <w:r w:rsidRPr="004D4B61">
        <w:rPr>
          <w:rFonts w:ascii="Times New Roman" w:hAnsi="Times New Roman" w:cs="Times New Roman"/>
        </w:rPr>
        <w:t>subsequent to</w:t>
      </w:r>
      <w:proofErr w:type="gramEnd"/>
      <w:r w:rsidRPr="004D4B61">
        <w:rPr>
          <w:rFonts w:ascii="Times New Roman" w:hAnsi="Times New Roman" w:cs="Times New Roman"/>
        </w:rPr>
        <w:t xml:space="preserve"> development of that RIA. Appendix A presents the cost estimates, which range from $50 million to $900 million, with a mean of $270 million, a median of $155 million, and a mode of $300 million. Thus, EPA has adopted an estimate of $300 million for this analysis, which is unchanged from the </w:t>
      </w:r>
      <w:r w:rsidR="00DE1D6B">
        <w:rPr>
          <w:rFonts w:ascii="Times New Roman" w:hAnsi="Times New Roman" w:cs="Times New Roman"/>
        </w:rPr>
        <w:t>a</w:t>
      </w:r>
      <w:r w:rsidRPr="004D4B61">
        <w:rPr>
          <w:rFonts w:ascii="Times New Roman" w:hAnsi="Times New Roman" w:cs="Times New Roman"/>
        </w:rPr>
        <w:t xml:space="preserve">mendments </w:t>
      </w:r>
      <w:r w:rsidR="00DE1D6B">
        <w:rPr>
          <w:rFonts w:ascii="Times New Roman" w:hAnsi="Times New Roman" w:cs="Times New Roman"/>
        </w:rPr>
        <w:t xml:space="preserve">rule </w:t>
      </w:r>
      <w:r w:rsidRPr="004D4B61">
        <w:rPr>
          <w:rFonts w:ascii="Times New Roman" w:hAnsi="Times New Roman" w:cs="Times New Roman"/>
        </w:rPr>
        <w:t xml:space="preserve">RIA. This may be a conservative estimate as recent advancements in technology target HF conversion and may be lowering conversion costs. Several recent articles discuss a new, </w:t>
      </w:r>
      <w:r w:rsidRPr="004D4B61">
        <w:rPr>
          <w:rFonts w:ascii="Times New Roman" w:hAnsi="Times New Roman" w:cs="Times New Roman"/>
        </w:rPr>
        <w:lastRenderedPageBreak/>
        <w:t>lower cost technology that converts existing HF alkylation units to use sulfuric acid and simultaneously allows an expansion of production capacity.</w:t>
      </w:r>
      <w:r w:rsidRPr="004D4B61">
        <w:rPr>
          <w:rStyle w:val="FootnoteReference"/>
          <w:rFonts w:ascii="Times New Roman" w:hAnsi="Times New Roman" w:cs="Times New Roman"/>
        </w:rPr>
        <w:footnoteReference w:id="55"/>
      </w:r>
      <w:r w:rsidRPr="004D4B61">
        <w:rPr>
          <w:rFonts w:ascii="Times New Roman" w:hAnsi="Times New Roman" w:cs="Times New Roman"/>
        </w:rPr>
        <w:t xml:space="preserve"> </w:t>
      </w:r>
    </w:p>
    <w:p w:rsidRPr="004D4B61" w:rsidR="00900B2C" w:rsidP="00900B2C" w:rsidRDefault="00900B2C" w14:paraId="22EEA68A" w14:textId="77777777">
      <w:pPr>
        <w:spacing w:after="0" w:line="240" w:lineRule="auto"/>
        <w:ind w:firstLine="360"/>
        <w:rPr>
          <w:rFonts w:ascii="Times New Roman" w:hAnsi="Times New Roman" w:cs="Times New Roman"/>
        </w:rPr>
      </w:pPr>
    </w:p>
    <w:p w:rsidR="00900B2C" w:rsidP="00900B2C" w:rsidRDefault="00900B2C" w14:paraId="3877C989" w14:textId="05CC9EA4">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Additional STAA projects that might be considered by petroleum refiners include piping replacement and miscellaneous small projects. For chemical manufacturers, STAA projects might include chemical conversion, piping</w:t>
      </w:r>
      <w:r w:rsidR="003A1AEF">
        <w:rPr>
          <w:rFonts w:ascii="Times New Roman" w:hAnsi="Times New Roman" w:cs="Times New Roman"/>
        </w:rPr>
        <w:t xml:space="preserve"> </w:t>
      </w:r>
      <w:r w:rsidRPr="004D4B61">
        <w:rPr>
          <w:rFonts w:ascii="Times New Roman" w:hAnsi="Times New Roman" w:cs="Times New Roman"/>
        </w:rPr>
        <w:t>replacement, and other miscellaneous small projects. See Appendix D in the 2016 RIA for a description of these projects and their estimated costs.</w:t>
      </w:r>
      <w:r w:rsidRPr="004D4B61">
        <w:rPr>
          <w:rStyle w:val="FootnoteReference"/>
          <w:rFonts w:ascii="Times New Roman" w:hAnsi="Times New Roman" w:cs="Times New Roman"/>
        </w:rPr>
        <w:footnoteReference w:id="56"/>
      </w:r>
      <w:r w:rsidRPr="004D4B61">
        <w:rPr>
          <w:rFonts w:ascii="Times New Roman" w:hAnsi="Times New Roman" w:cs="Times New Roman"/>
        </w:rPr>
        <w:t xml:space="preserve"> Note that the costs of the most expensive STAA projects will drive </w:t>
      </w:r>
      <w:proofErr w:type="gramStart"/>
      <w:r w:rsidRPr="004D4B61">
        <w:rPr>
          <w:rFonts w:ascii="Times New Roman" w:hAnsi="Times New Roman" w:cs="Times New Roman"/>
        </w:rPr>
        <w:t>the majority of</w:t>
      </w:r>
      <w:proofErr w:type="gramEnd"/>
      <w:r w:rsidRPr="004D4B61">
        <w:rPr>
          <w:rFonts w:ascii="Times New Roman" w:hAnsi="Times New Roman" w:cs="Times New Roman"/>
        </w:rPr>
        <w:t xml:space="preserve"> expenditures for practicability studies. The cost is then multiplied by the number of facilities in the affected sector (assuming the costs are spread over five years), and the costs for each sector are summed to calculate the overall costs of practicability studies. </w:t>
      </w:r>
    </w:p>
    <w:p w:rsidRPr="004D4B61" w:rsidR="00900B2C" w:rsidP="00900B2C" w:rsidRDefault="00900B2C" w14:paraId="667B5898" w14:textId="77777777">
      <w:pPr>
        <w:spacing w:after="0" w:line="240" w:lineRule="auto"/>
        <w:ind w:firstLine="360"/>
        <w:rPr>
          <w:rFonts w:ascii="Times New Roman" w:hAnsi="Times New Roman" w:cs="Times New Roman"/>
        </w:rPr>
      </w:pPr>
    </w:p>
    <w:p w:rsidRPr="004D4B61" w:rsidR="00900B2C" w:rsidP="00900B2C" w:rsidRDefault="00900B2C" w14:paraId="2502B888" w14:textId="392E1790">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Exhibit 4-</w:t>
      </w:r>
      <w:r w:rsidR="00C6654C">
        <w:rPr>
          <w:rFonts w:ascii="Times New Roman" w:hAnsi="Times New Roman" w:cs="Times New Roman"/>
        </w:rPr>
        <w:t>4</w:t>
      </w:r>
      <w:r w:rsidRPr="004D4B61">
        <w:rPr>
          <w:rFonts w:ascii="Times New Roman" w:hAnsi="Times New Roman" w:cs="Times New Roman"/>
        </w:rPr>
        <w:t xml:space="preserve"> illustrates the estimated costs for practicability studies using this approach; that is, it approximates the costs of practicability studies as 1.2 percent of reference project costs. EPA developed a unit cost estimate of the practicability study for each sector (petroleum refining and chemical manufacturing) by weighting the reference projects by the number of facilities estimated to require that type of practicability study. </w:t>
      </w:r>
    </w:p>
    <w:p w:rsidRPr="004D4B61" w:rsidR="00900B2C" w:rsidP="00900B2C" w:rsidRDefault="00900B2C" w14:paraId="746DEFCD" w14:textId="77777777">
      <w:pPr>
        <w:spacing w:after="0" w:line="240" w:lineRule="auto"/>
        <w:rPr>
          <w:rFonts w:ascii="Times New Roman" w:hAnsi="Times New Roman" w:cs="Times New Roman"/>
        </w:rPr>
      </w:pPr>
    </w:p>
    <w:p w:rsidRPr="004D4B61" w:rsidR="00900B2C" w:rsidP="00BB7BE3" w:rsidRDefault="00900B2C" w14:paraId="389586BB" w14:textId="189B62CB">
      <w:pPr>
        <w:keepNext/>
        <w:spacing w:after="120" w:line="240" w:lineRule="auto"/>
        <w:jc w:val="center"/>
        <w:rPr>
          <w:rFonts w:ascii="Times New Roman" w:hAnsi="Times New Roman" w:cs="Times New Roman"/>
          <w:b/>
        </w:rPr>
      </w:pPr>
      <w:r w:rsidRPr="004D4B61">
        <w:rPr>
          <w:rFonts w:ascii="Times New Roman" w:hAnsi="Times New Roman" w:cs="Times New Roman"/>
          <w:b/>
        </w:rPr>
        <w:t>Exhibit 4-</w:t>
      </w:r>
      <w:r w:rsidR="007F6842">
        <w:rPr>
          <w:rFonts w:ascii="Times New Roman" w:hAnsi="Times New Roman" w:cs="Times New Roman"/>
          <w:b/>
        </w:rPr>
        <w:t>4</w:t>
      </w:r>
      <w:r w:rsidRPr="004D4B61">
        <w:rPr>
          <w:rFonts w:ascii="Times New Roman" w:hAnsi="Times New Roman" w:cs="Times New Roman"/>
          <w:b/>
        </w:rPr>
        <w:t xml:space="preserve">: STAA Practicability Study Cost Table (millions, 2020 </w:t>
      </w:r>
      <w:r w:rsidR="00BB7BE3">
        <w:rPr>
          <w:rFonts w:ascii="Times New Roman" w:hAnsi="Times New Roman" w:cs="Times New Roman"/>
          <w:b/>
        </w:rPr>
        <w:t>d</w:t>
      </w:r>
      <w:r w:rsidRPr="004D4B61">
        <w:rPr>
          <w:rFonts w:ascii="Times New Roman" w:hAnsi="Times New Roman" w:cs="Times New Roman"/>
          <w:b/>
        </w:rPr>
        <w:t>ollars</w:t>
      </w:r>
      <w:r w:rsidRPr="004D4B61">
        <w:rPr>
          <w:rFonts w:ascii="Times New Roman" w:hAnsi="Times New Roman" w:cs="Times New Roman"/>
          <w:b/>
          <w:bCs/>
        </w:rPr>
        <w:t>)</w:t>
      </w:r>
      <w:r>
        <w:rPr>
          <w:rFonts w:ascii="Times New Roman" w:hAnsi="Times New Roman" w:cs="Times New Roman"/>
          <w:b/>
          <w:bCs/>
        </w:rPr>
        <w:t>.</w:t>
      </w:r>
    </w:p>
    <w:tbl>
      <w:tblPr>
        <w:tblW w:w="5000" w:type="pct"/>
        <w:tblLayout w:type="fixed"/>
        <w:tblLook w:val="04A0" w:firstRow="1" w:lastRow="0" w:firstColumn="1" w:lastColumn="0" w:noHBand="0" w:noVBand="1"/>
      </w:tblPr>
      <w:tblGrid>
        <w:gridCol w:w="2056"/>
        <w:gridCol w:w="1886"/>
        <w:gridCol w:w="1179"/>
        <w:gridCol w:w="988"/>
        <w:gridCol w:w="1345"/>
        <w:gridCol w:w="1436"/>
        <w:gridCol w:w="1070"/>
      </w:tblGrid>
      <w:tr w:rsidRPr="004D4B61" w:rsidR="00900B2C" w:rsidTr="00E6210A" w14:paraId="3733027E" w14:textId="77777777">
        <w:trPr>
          <w:trHeight w:val="526"/>
          <w:tblHeader/>
        </w:trPr>
        <w:tc>
          <w:tcPr>
            <w:tcW w:w="1032" w:type="pct"/>
            <w:tcBorders>
              <w:top w:val="single" w:color="auto" w:sz="4" w:space="0"/>
              <w:left w:val="single" w:color="auto" w:sz="8" w:space="0"/>
              <w:bottom w:val="single" w:color="auto" w:sz="8" w:space="0"/>
              <w:right w:val="single" w:color="auto" w:sz="8" w:space="0"/>
            </w:tcBorders>
            <w:shd w:val="clear" w:color="000000" w:fill="D9D9D9"/>
            <w:vAlign w:val="center"/>
            <w:hideMark/>
          </w:tcPr>
          <w:p w:rsidRPr="00D7128A" w:rsidR="00900B2C" w:rsidP="00E6210A" w:rsidRDefault="00900B2C" w14:paraId="5B5E8621" w14:textId="77777777">
            <w:pPr>
              <w:keepNext/>
              <w:spacing w:after="0" w:line="240" w:lineRule="auto"/>
              <w:ind w:left="-30"/>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Sector</w:t>
            </w:r>
          </w:p>
        </w:tc>
        <w:tc>
          <w:tcPr>
            <w:tcW w:w="947"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544C83CB" w14:textId="77777777">
            <w:pPr>
              <w:keepNext/>
              <w:spacing w:after="0" w:line="240" w:lineRule="auto"/>
              <w:ind w:left="-73"/>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Reference Project</w:t>
            </w:r>
          </w:p>
        </w:tc>
        <w:tc>
          <w:tcPr>
            <w:tcW w:w="592"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1668DA7D" w14:textId="77777777">
            <w:pPr>
              <w:keepNext/>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Reference Project Unit Cost</w:t>
            </w:r>
          </w:p>
        </w:tc>
        <w:tc>
          <w:tcPr>
            <w:tcW w:w="496"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4F92BBC9" w14:textId="77777777">
            <w:pPr>
              <w:keepNext/>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Number of Facilities</w:t>
            </w:r>
          </w:p>
        </w:tc>
        <w:tc>
          <w:tcPr>
            <w:tcW w:w="675"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4B3AE7B5" w14:textId="77777777">
            <w:pPr>
              <w:keepNext/>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Total Project Cost</w:t>
            </w:r>
          </w:p>
        </w:tc>
        <w:tc>
          <w:tcPr>
            <w:tcW w:w="721"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2DD7F4DB" w14:textId="77777777">
            <w:pPr>
              <w:keepNext/>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 xml:space="preserve">Weighted Average </w:t>
            </w:r>
            <w:r w:rsidRPr="00835820">
              <w:rPr>
                <w:rFonts w:ascii="Times New Roman" w:hAnsi="Times New Roman" w:cs="Times New Roman"/>
                <w:bCs/>
                <w:color w:val="000000"/>
                <w:sz w:val="20"/>
                <w:szCs w:val="20"/>
              </w:rPr>
              <w:t>[</w:t>
            </w:r>
            <w:r w:rsidRPr="00835820">
              <w:rPr>
                <w:rFonts w:ascii="Times New Roman" w:hAnsi="Times New Roman" w:cs="Times New Roman"/>
                <w:bCs/>
                <w:i/>
                <w:iCs/>
                <w:color w:val="000000"/>
                <w:sz w:val="20"/>
                <w:szCs w:val="20"/>
              </w:rPr>
              <w:t>(</w:t>
            </w:r>
            <w:r w:rsidRPr="00835820">
              <w:rPr>
                <w:rFonts w:ascii="Times New Roman" w:hAnsi="Times New Roman" w:cs="Times New Roman"/>
                <w:i/>
                <w:color w:val="000000"/>
                <w:sz w:val="20"/>
                <w:szCs w:val="20"/>
              </w:rPr>
              <w:t>Number of facilities x unit cost)/total number facilities</w:t>
            </w:r>
            <w:r>
              <w:rPr>
                <w:rFonts w:ascii="Times New Roman" w:hAnsi="Times New Roman" w:cs="Times New Roman"/>
                <w:bCs/>
                <w:i/>
                <w:iCs/>
                <w:color w:val="000000"/>
                <w:sz w:val="20"/>
                <w:szCs w:val="20"/>
              </w:rPr>
              <w:t>]</w:t>
            </w:r>
          </w:p>
        </w:tc>
        <w:tc>
          <w:tcPr>
            <w:tcW w:w="539" w:type="pct"/>
            <w:tcBorders>
              <w:top w:val="single" w:color="auto" w:sz="4" w:space="0"/>
              <w:left w:val="nil"/>
              <w:bottom w:val="single" w:color="auto" w:sz="8" w:space="0"/>
              <w:right w:val="single" w:color="auto" w:sz="8" w:space="0"/>
            </w:tcBorders>
            <w:shd w:val="clear" w:color="000000" w:fill="D9D9D9"/>
            <w:vAlign w:val="center"/>
            <w:hideMark/>
          </w:tcPr>
          <w:p w:rsidRPr="00D7128A" w:rsidR="00900B2C" w:rsidP="00E6210A" w:rsidRDefault="00900B2C" w14:paraId="50D930D4" w14:textId="77777777">
            <w:pPr>
              <w:keepNext/>
              <w:spacing w:after="0" w:line="240" w:lineRule="auto"/>
              <w:jc w:val="center"/>
              <w:rPr>
                <w:rFonts w:ascii="Times New Roman" w:hAnsi="Times New Roman" w:cs="Times New Roman"/>
                <w:b/>
                <w:color w:val="000000"/>
                <w:sz w:val="20"/>
                <w:szCs w:val="20"/>
              </w:rPr>
            </w:pPr>
            <w:r w:rsidRPr="00D7128A">
              <w:rPr>
                <w:rFonts w:ascii="Times New Roman" w:hAnsi="Times New Roman" w:cs="Times New Roman"/>
                <w:b/>
                <w:color w:val="000000"/>
                <w:sz w:val="20"/>
                <w:szCs w:val="20"/>
              </w:rPr>
              <w:t>1.2</w:t>
            </w:r>
            <w:r w:rsidRPr="00D7128A">
              <w:rPr>
                <w:rFonts w:ascii="Times New Roman" w:hAnsi="Times New Roman" w:cs="Times New Roman"/>
                <w:sz w:val="20"/>
                <w:szCs w:val="20"/>
              </w:rPr>
              <w:t xml:space="preserve"> </w:t>
            </w:r>
            <w:r w:rsidRPr="00D7128A">
              <w:rPr>
                <w:rFonts w:ascii="Times New Roman" w:hAnsi="Times New Roman" w:cs="Times New Roman"/>
                <w:b/>
                <w:sz w:val="20"/>
                <w:szCs w:val="20"/>
              </w:rPr>
              <w:t>percent</w:t>
            </w:r>
            <w:r w:rsidRPr="00D7128A">
              <w:rPr>
                <w:rFonts w:ascii="Times New Roman" w:hAnsi="Times New Roman" w:cs="Times New Roman"/>
                <w:b/>
                <w:color w:val="000000"/>
                <w:sz w:val="20"/>
                <w:szCs w:val="20"/>
              </w:rPr>
              <w:t xml:space="preserve"> of Weighted Average</w:t>
            </w:r>
          </w:p>
        </w:tc>
      </w:tr>
      <w:tr w:rsidRPr="004D4B61" w:rsidR="00900B2C" w:rsidTr="00E6210A" w14:paraId="34F2D321"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3AF36E92"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refining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27E5A5DE"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HF alkylation conversion*</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3018EC6C"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$326.0</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4732BC9B"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43</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007A6A3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$14,018.9</w:t>
            </w:r>
          </w:p>
        </w:tc>
        <w:tc>
          <w:tcPr>
            <w:tcW w:w="721" w:type="pct"/>
            <w:vMerge w:val="restar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73489225"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$195.5</w:t>
            </w:r>
          </w:p>
        </w:tc>
        <w:tc>
          <w:tcPr>
            <w:tcW w:w="539" w:type="pct"/>
            <w:vMerge w:val="restar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421B860F"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$2.5</w:t>
            </w:r>
          </w:p>
        </w:tc>
      </w:tr>
      <w:tr w:rsidRPr="004D4B61" w:rsidR="00900B2C" w:rsidTr="00E6210A" w14:paraId="5AF05E05"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629A5F1F"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refining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574002B3"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2 major piping replacements</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4DB47015"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$10.9</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1E3CB46A"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26</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19E217BC"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$565.1</w:t>
            </w:r>
          </w:p>
        </w:tc>
        <w:tc>
          <w:tcPr>
            <w:tcW w:w="721" w:type="pct"/>
            <w:vMerge/>
            <w:tcBorders>
              <w:top w:val="nil"/>
              <w:left w:val="single" w:color="auto" w:sz="8" w:space="0"/>
              <w:bottom w:val="single" w:color="auto" w:sz="8" w:space="0"/>
              <w:right w:val="single" w:color="auto" w:sz="8" w:space="0"/>
            </w:tcBorders>
            <w:vAlign w:val="center"/>
            <w:hideMark/>
          </w:tcPr>
          <w:p w:rsidRPr="00D7128A" w:rsidR="00900B2C" w:rsidP="00E6210A" w:rsidRDefault="00900B2C" w14:paraId="11B536E1" w14:textId="77777777">
            <w:pPr>
              <w:spacing w:after="0" w:line="240" w:lineRule="auto"/>
              <w:jc w:val="center"/>
              <w:rPr>
                <w:rFonts w:ascii="Times New Roman" w:hAnsi="Times New Roman" w:cs="Times New Roman"/>
                <w:color w:val="000000"/>
                <w:sz w:val="20"/>
                <w:szCs w:val="20"/>
              </w:rPr>
            </w:pPr>
          </w:p>
        </w:tc>
        <w:tc>
          <w:tcPr>
            <w:tcW w:w="539" w:type="pct"/>
            <w:vMerge/>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70071653" w14:textId="77777777">
            <w:pPr>
              <w:spacing w:after="0" w:line="240" w:lineRule="auto"/>
              <w:jc w:val="center"/>
              <w:rPr>
                <w:rFonts w:ascii="Times New Roman" w:hAnsi="Times New Roman" w:cs="Times New Roman"/>
                <w:color w:val="000000"/>
                <w:sz w:val="20"/>
                <w:szCs w:val="20"/>
              </w:rPr>
            </w:pPr>
          </w:p>
        </w:tc>
      </w:tr>
      <w:tr w:rsidRPr="004D4B61" w:rsidR="00900B2C" w:rsidTr="00E6210A" w14:paraId="4E219BCD"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5253C6FF"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Petroleum refining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73061507"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 xml:space="preserve">10 </w:t>
            </w:r>
            <w:proofErr w:type="gramStart"/>
            <w:r w:rsidRPr="00D7128A">
              <w:rPr>
                <w:rFonts w:ascii="Times New Roman" w:hAnsi="Times New Roman" w:cs="Times New Roman"/>
                <w:color w:val="000000"/>
                <w:sz w:val="20"/>
                <w:szCs w:val="20"/>
              </w:rPr>
              <w:t>other</w:t>
            </w:r>
            <w:proofErr w:type="gramEnd"/>
            <w:r w:rsidRPr="00D7128A">
              <w:rPr>
                <w:rFonts w:ascii="Times New Roman" w:hAnsi="Times New Roman" w:cs="Times New Roman"/>
                <w:color w:val="000000"/>
                <w:sz w:val="20"/>
                <w:szCs w:val="20"/>
              </w:rPr>
              <w:t xml:space="preserve"> small STAA projects</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4B619911"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$0.1</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7A39EDD3"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69</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1B65B0E4"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$75.0</w:t>
            </w:r>
          </w:p>
        </w:tc>
        <w:tc>
          <w:tcPr>
            <w:tcW w:w="721" w:type="pct"/>
            <w:vMerge/>
            <w:tcBorders>
              <w:top w:val="nil"/>
              <w:left w:val="single" w:color="auto" w:sz="8" w:space="0"/>
              <w:bottom w:val="single" w:color="auto" w:sz="8" w:space="0"/>
              <w:right w:val="single" w:color="auto" w:sz="8" w:space="0"/>
            </w:tcBorders>
            <w:vAlign w:val="center"/>
            <w:hideMark/>
          </w:tcPr>
          <w:p w:rsidRPr="00D7128A" w:rsidR="00900B2C" w:rsidP="00E6210A" w:rsidRDefault="00900B2C" w14:paraId="273FCA69" w14:textId="77777777">
            <w:pPr>
              <w:spacing w:after="0" w:line="240" w:lineRule="auto"/>
              <w:jc w:val="center"/>
              <w:rPr>
                <w:rFonts w:ascii="Times New Roman" w:hAnsi="Times New Roman" w:cs="Times New Roman"/>
                <w:color w:val="000000"/>
                <w:sz w:val="20"/>
                <w:szCs w:val="20"/>
              </w:rPr>
            </w:pPr>
          </w:p>
        </w:tc>
        <w:tc>
          <w:tcPr>
            <w:tcW w:w="539" w:type="pct"/>
            <w:vMerge/>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5544DEBB" w14:textId="77777777">
            <w:pPr>
              <w:spacing w:after="0" w:line="240" w:lineRule="auto"/>
              <w:jc w:val="center"/>
              <w:rPr>
                <w:rFonts w:ascii="Times New Roman" w:hAnsi="Times New Roman" w:cs="Times New Roman"/>
                <w:color w:val="000000"/>
                <w:sz w:val="20"/>
                <w:szCs w:val="20"/>
              </w:rPr>
            </w:pPr>
          </w:p>
        </w:tc>
      </w:tr>
      <w:tr w:rsidRPr="004D4B61" w:rsidR="00900B2C" w:rsidTr="00E6210A" w14:paraId="18EB216B"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7A62E894"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3F815F31"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conversion**</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612DA427"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$5.4</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2EFF65B4"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102.2</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16ED75B2"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$555.3</w:t>
            </w:r>
          </w:p>
        </w:tc>
        <w:tc>
          <w:tcPr>
            <w:tcW w:w="721" w:type="pct"/>
            <w:vMerge w:val="restar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2EC8F632"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$2.3</w:t>
            </w:r>
          </w:p>
        </w:tc>
        <w:tc>
          <w:tcPr>
            <w:tcW w:w="539" w:type="pct"/>
            <w:vMerge w:val="restar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6E99AF68"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$.03</w:t>
            </w:r>
          </w:p>
        </w:tc>
      </w:tr>
      <w:tr w:rsidRPr="004D4B61" w:rsidR="00900B2C" w:rsidTr="00E6210A" w14:paraId="361FE94C"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0F6DCA6F"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01FBBF86"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Piping replacement</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31EF17D3"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$1.1</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3C71D092"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408.8</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755B567D"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$444.3</w:t>
            </w:r>
          </w:p>
        </w:tc>
        <w:tc>
          <w:tcPr>
            <w:tcW w:w="721" w:type="pct"/>
            <w:vMerge/>
            <w:tcBorders>
              <w:top w:val="nil"/>
              <w:left w:val="single" w:color="auto" w:sz="8" w:space="0"/>
              <w:bottom w:val="single" w:color="auto" w:sz="8" w:space="0"/>
              <w:right w:val="single" w:color="auto" w:sz="8" w:space="0"/>
            </w:tcBorders>
            <w:vAlign w:val="center"/>
            <w:hideMark/>
          </w:tcPr>
          <w:p w:rsidRPr="004D4B61" w:rsidR="00900B2C" w:rsidP="00E6210A" w:rsidRDefault="00900B2C" w14:paraId="4C11F75D" w14:textId="77777777">
            <w:pPr>
              <w:spacing w:after="0" w:line="240" w:lineRule="auto"/>
              <w:rPr>
                <w:rFonts w:ascii="Times New Roman" w:hAnsi="Times New Roman" w:eastAsia="Times New Roman" w:cs="Times New Roman"/>
                <w:color w:val="000000"/>
              </w:rPr>
            </w:pPr>
          </w:p>
        </w:tc>
        <w:tc>
          <w:tcPr>
            <w:tcW w:w="539" w:type="pct"/>
            <w:vMerge/>
            <w:tcBorders>
              <w:top w:val="nil"/>
              <w:left w:val="single" w:color="auto" w:sz="8" w:space="0"/>
              <w:bottom w:val="single" w:color="auto" w:sz="8" w:space="0"/>
              <w:right w:val="single" w:color="auto" w:sz="8" w:space="0"/>
            </w:tcBorders>
            <w:shd w:val="clear" w:color="auto" w:fill="auto"/>
            <w:vAlign w:val="center"/>
            <w:hideMark/>
          </w:tcPr>
          <w:p w:rsidRPr="004D4B61" w:rsidR="00900B2C" w:rsidP="00E6210A" w:rsidRDefault="00900B2C" w14:paraId="684B91A9" w14:textId="77777777">
            <w:pPr>
              <w:spacing w:after="0" w:line="240" w:lineRule="auto"/>
              <w:rPr>
                <w:rFonts w:ascii="Times New Roman" w:hAnsi="Times New Roman" w:eastAsia="Times New Roman" w:cs="Times New Roman"/>
                <w:color w:val="000000"/>
              </w:rPr>
            </w:pPr>
          </w:p>
        </w:tc>
      </w:tr>
      <w:tr w:rsidRPr="004D4B61" w:rsidR="00900B2C" w:rsidTr="00E6210A" w14:paraId="1F6477B8" w14:textId="77777777">
        <w:trPr>
          <w:trHeight w:val="353"/>
        </w:trPr>
        <w:tc>
          <w:tcPr>
            <w:tcW w:w="1032" w:type="pct"/>
            <w:tcBorders>
              <w:top w:val="nil"/>
              <w:left w:val="single" w:color="auto" w:sz="8" w:space="0"/>
              <w:bottom w:val="single" w:color="auto" w:sz="8" w:space="0"/>
              <w:right w:val="single" w:color="auto" w:sz="8" w:space="0"/>
            </w:tcBorders>
            <w:shd w:val="clear" w:color="auto" w:fill="auto"/>
            <w:vAlign w:val="center"/>
            <w:hideMark/>
          </w:tcPr>
          <w:p w:rsidRPr="00D7128A" w:rsidR="00900B2C" w:rsidP="00E6210A" w:rsidRDefault="00900B2C" w14:paraId="0145C77A" w14:textId="77777777">
            <w:pPr>
              <w:spacing w:after="0" w:line="240" w:lineRule="auto"/>
              <w:ind w:left="-30"/>
              <w:rPr>
                <w:rFonts w:ascii="Times New Roman" w:hAnsi="Times New Roman" w:cs="Times New Roman"/>
                <w:color w:val="000000"/>
                <w:sz w:val="20"/>
                <w:szCs w:val="20"/>
              </w:rPr>
            </w:pPr>
            <w:r w:rsidRPr="00D7128A">
              <w:rPr>
                <w:rFonts w:ascii="Times New Roman" w:hAnsi="Times New Roman" w:cs="Times New Roman"/>
                <w:color w:val="000000"/>
                <w:sz w:val="20"/>
                <w:szCs w:val="20"/>
              </w:rPr>
              <w:t>Chemical manufacturing</w:t>
            </w:r>
          </w:p>
        </w:tc>
        <w:tc>
          <w:tcPr>
            <w:tcW w:w="947"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6D025601" w14:textId="77777777">
            <w:pPr>
              <w:spacing w:after="0" w:line="240" w:lineRule="auto"/>
              <w:ind w:left="-73"/>
              <w:rPr>
                <w:rFonts w:ascii="Times New Roman" w:hAnsi="Times New Roman" w:cs="Times New Roman"/>
                <w:color w:val="000000"/>
                <w:sz w:val="20"/>
                <w:szCs w:val="20"/>
              </w:rPr>
            </w:pPr>
            <w:r w:rsidRPr="00D7128A">
              <w:rPr>
                <w:rFonts w:ascii="Times New Roman" w:hAnsi="Times New Roman" w:cs="Times New Roman"/>
                <w:color w:val="000000"/>
                <w:sz w:val="20"/>
                <w:szCs w:val="20"/>
              </w:rPr>
              <w:t xml:space="preserve">5 </w:t>
            </w:r>
            <w:proofErr w:type="gramStart"/>
            <w:r w:rsidRPr="00D7128A">
              <w:rPr>
                <w:rFonts w:ascii="Times New Roman" w:hAnsi="Times New Roman" w:cs="Times New Roman"/>
                <w:color w:val="000000"/>
                <w:sz w:val="20"/>
                <w:szCs w:val="20"/>
              </w:rPr>
              <w:t>other</w:t>
            </w:r>
            <w:proofErr w:type="gramEnd"/>
            <w:r w:rsidRPr="00D7128A">
              <w:rPr>
                <w:rFonts w:ascii="Times New Roman" w:hAnsi="Times New Roman" w:cs="Times New Roman"/>
                <w:color w:val="000000"/>
                <w:sz w:val="20"/>
                <w:szCs w:val="20"/>
              </w:rPr>
              <w:t xml:space="preserve"> small STAA projects</w:t>
            </w:r>
          </w:p>
        </w:tc>
        <w:tc>
          <w:tcPr>
            <w:tcW w:w="592"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0DAA5788"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$0.1</w:t>
            </w:r>
          </w:p>
        </w:tc>
        <w:tc>
          <w:tcPr>
            <w:tcW w:w="496"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5AECC276"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511</w:t>
            </w:r>
          </w:p>
        </w:tc>
        <w:tc>
          <w:tcPr>
            <w:tcW w:w="675" w:type="pct"/>
            <w:tcBorders>
              <w:top w:val="nil"/>
              <w:left w:val="nil"/>
              <w:bottom w:val="single" w:color="auto" w:sz="8" w:space="0"/>
              <w:right w:val="single" w:color="auto" w:sz="8" w:space="0"/>
            </w:tcBorders>
            <w:shd w:val="clear" w:color="auto" w:fill="auto"/>
            <w:vAlign w:val="center"/>
            <w:hideMark/>
          </w:tcPr>
          <w:p w:rsidRPr="00D7128A" w:rsidR="00900B2C" w:rsidP="00E6210A" w:rsidRDefault="00900B2C" w14:paraId="47ED22B3" w14:textId="77777777">
            <w:pPr>
              <w:spacing w:after="0" w:line="240" w:lineRule="auto"/>
              <w:jc w:val="center"/>
              <w:rPr>
                <w:rFonts w:ascii="Times New Roman" w:hAnsi="Times New Roman" w:cs="Times New Roman"/>
                <w:color w:val="000000"/>
                <w:sz w:val="20"/>
                <w:szCs w:val="20"/>
              </w:rPr>
            </w:pPr>
            <w:r w:rsidRPr="00D7128A">
              <w:rPr>
                <w:rFonts w:ascii="Times New Roman" w:hAnsi="Times New Roman" w:cs="Times New Roman"/>
                <w:color w:val="000000"/>
                <w:sz w:val="20"/>
                <w:szCs w:val="20"/>
              </w:rPr>
              <w:t>$277.7</w:t>
            </w:r>
          </w:p>
        </w:tc>
        <w:tc>
          <w:tcPr>
            <w:tcW w:w="721" w:type="pct"/>
            <w:vMerge/>
            <w:tcBorders>
              <w:top w:val="nil"/>
              <w:left w:val="single" w:color="auto" w:sz="8" w:space="0"/>
              <w:bottom w:val="single" w:color="auto" w:sz="8" w:space="0"/>
              <w:right w:val="single" w:color="auto" w:sz="8" w:space="0"/>
            </w:tcBorders>
            <w:vAlign w:val="center"/>
            <w:hideMark/>
          </w:tcPr>
          <w:p w:rsidRPr="004D4B61" w:rsidR="00900B2C" w:rsidP="00E6210A" w:rsidRDefault="00900B2C" w14:paraId="6F591433" w14:textId="77777777">
            <w:pPr>
              <w:spacing w:after="0" w:line="240" w:lineRule="auto"/>
              <w:rPr>
                <w:rFonts w:ascii="Times New Roman" w:hAnsi="Times New Roman" w:eastAsia="Times New Roman" w:cs="Times New Roman"/>
                <w:color w:val="000000"/>
              </w:rPr>
            </w:pPr>
          </w:p>
        </w:tc>
        <w:tc>
          <w:tcPr>
            <w:tcW w:w="539" w:type="pct"/>
            <w:vMerge/>
            <w:tcBorders>
              <w:top w:val="nil"/>
              <w:left w:val="single" w:color="auto" w:sz="8" w:space="0"/>
              <w:bottom w:val="single" w:color="auto" w:sz="8" w:space="0"/>
              <w:right w:val="single" w:color="auto" w:sz="8" w:space="0"/>
            </w:tcBorders>
            <w:shd w:val="clear" w:color="auto" w:fill="auto"/>
            <w:vAlign w:val="center"/>
            <w:hideMark/>
          </w:tcPr>
          <w:p w:rsidRPr="004D4B61" w:rsidR="00900B2C" w:rsidP="00E6210A" w:rsidRDefault="00900B2C" w14:paraId="4768ED4D" w14:textId="77777777">
            <w:pPr>
              <w:spacing w:after="0" w:line="240" w:lineRule="auto"/>
              <w:rPr>
                <w:rFonts w:ascii="Times New Roman" w:hAnsi="Times New Roman" w:eastAsia="Times New Roman" w:cs="Times New Roman"/>
                <w:color w:val="000000"/>
              </w:rPr>
            </w:pPr>
          </w:p>
        </w:tc>
      </w:tr>
    </w:tbl>
    <w:p w:rsidRPr="00835820" w:rsidR="00900B2C" w:rsidP="00900B2C" w:rsidRDefault="00900B2C" w14:paraId="6C519207" w14:textId="77777777">
      <w:pPr>
        <w:spacing w:after="0" w:line="240" w:lineRule="auto"/>
        <w:rPr>
          <w:rFonts w:ascii="Times New Roman" w:hAnsi="Times New Roman" w:cs="Times New Roman"/>
          <w:sz w:val="18"/>
          <w:szCs w:val="18"/>
        </w:rPr>
      </w:pPr>
      <w:r w:rsidRPr="00835820">
        <w:rPr>
          <w:rFonts w:ascii="Times New Roman" w:hAnsi="Times New Roman" w:cs="Times New Roman"/>
          <w:sz w:val="18"/>
          <w:szCs w:val="18"/>
        </w:rPr>
        <w:t xml:space="preserve">*Assumes all refineries with HF alkylation processes study conversion, remainder study two major piping replacement projects and all study 10 small STAA projects. </w:t>
      </w:r>
    </w:p>
    <w:p w:rsidRPr="00835820" w:rsidR="00900B2C" w:rsidP="00900B2C" w:rsidRDefault="00900B2C" w14:paraId="105BFBA0" w14:textId="77777777">
      <w:pPr>
        <w:spacing w:after="0" w:line="240" w:lineRule="auto"/>
        <w:rPr>
          <w:rFonts w:ascii="Times New Roman" w:hAnsi="Times New Roman" w:cs="Times New Roman"/>
          <w:sz w:val="18"/>
          <w:szCs w:val="18"/>
        </w:rPr>
      </w:pPr>
      <w:r w:rsidRPr="00835820">
        <w:rPr>
          <w:rFonts w:ascii="Times New Roman" w:hAnsi="Times New Roman" w:cs="Times New Roman"/>
          <w:sz w:val="18"/>
          <w:szCs w:val="18"/>
        </w:rPr>
        <w:t xml:space="preserve">**Assumes 20 percent of </w:t>
      </w:r>
      <w:r w:rsidRPr="00835820">
        <w:rPr>
          <w:rFonts w:ascii="Times New Roman" w:hAnsi="Times New Roman" w:cs="Times New Roman"/>
          <w:color w:val="000000"/>
          <w:sz w:val="18"/>
          <w:szCs w:val="18"/>
        </w:rPr>
        <w:t>Program 3</w:t>
      </w:r>
      <w:r w:rsidRPr="00835820">
        <w:rPr>
          <w:rFonts w:ascii="Times New Roman" w:hAnsi="Times New Roman" w:cs="Times New Roman"/>
          <w:sz w:val="18"/>
          <w:szCs w:val="18"/>
        </w:rPr>
        <w:t xml:space="preserve"> chemical facilities study conversion, remainder study minor piping replacement and all study five small STAA projects. </w:t>
      </w:r>
    </w:p>
    <w:p w:rsidRPr="004D4B61" w:rsidR="00900B2C" w:rsidP="00900B2C" w:rsidRDefault="00900B2C" w14:paraId="33D0DDF3" w14:textId="77777777">
      <w:pPr>
        <w:spacing w:after="0" w:line="240" w:lineRule="auto"/>
        <w:rPr>
          <w:rFonts w:ascii="Times New Roman" w:hAnsi="Times New Roman" w:cs="Times New Roman"/>
        </w:rPr>
      </w:pPr>
    </w:p>
    <w:p w:rsidR="00900B2C" w:rsidP="00900B2C" w:rsidRDefault="00900B2C" w14:paraId="6EDF8F49" w14:textId="77777777">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Based on this analysis, the STAA practicability study cost for a facility in petroleum refining is $2.5 million over a five-year period ($.5 million annualized) and for a facility in chemical manufacturing, the cost is $30,000 ($6,000 annualized). </w:t>
      </w:r>
    </w:p>
    <w:p w:rsidR="00900B2C" w:rsidP="00900B2C" w:rsidRDefault="00900B2C" w14:paraId="1188E5D3" w14:textId="77777777">
      <w:pPr>
        <w:spacing w:after="0" w:line="240" w:lineRule="auto"/>
        <w:ind w:firstLine="360"/>
        <w:rPr>
          <w:rFonts w:ascii="Times New Roman" w:hAnsi="Times New Roman" w:cs="Times New Roman"/>
        </w:rPr>
      </w:pPr>
    </w:p>
    <w:p w:rsidRPr="004D4B61" w:rsidR="00900B2C" w:rsidP="00900B2C" w:rsidRDefault="00900B2C" w14:paraId="4BE57E55" w14:textId="0F7EDE50">
      <w:pPr>
        <w:spacing w:after="0" w:line="240" w:lineRule="auto"/>
        <w:ind w:firstLine="360"/>
        <w:rPr>
          <w:rFonts w:ascii="Times New Roman" w:hAnsi="Times New Roman" w:cs="Times New Roman"/>
        </w:rPr>
      </w:pPr>
      <w:r>
        <w:rPr>
          <w:rFonts w:ascii="Times New Roman" w:hAnsi="Times New Roman" w:cs="Times New Roman"/>
        </w:rPr>
        <w:lastRenderedPageBreak/>
        <w:tab/>
      </w:r>
      <w:r w:rsidRPr="004D4B61">
        <w:rPr>
          <w:rFonts w:ascii="Times New Roman" w:hAnsi="Times New Roman" w:cs="Times New Roman"/>
        </w:rPr>
        <w:t>Exhibit 4-</w:t>
      </w:r>
      <w:r w:rsidR="00C6654C">
        <w:rPr>
          <w:rFonts w:ascii="Times New Roman" w:hAnsi="Times New Roman" w:cs="Times New Roman"/>
        </w:rPr>
        <w:t>5</w:t>
      </w:r>
      <w:r w:rsidRPr="004D4B61">
        <w:rPr>
          <w:rFonts w:ascii="Times New Roman" w:hAnsi="Times New Roman" w:cs="Times New Roman"/>
        </w:rPr>
        <w:t xml:space="preserve"> displays the hours and costs assumed for each task by labor category and type of facility, and the resulting per facility cost estimates.</w:t>
      </w:r>
    </w:p>
    <w:p w:rsidRPr="004D4B61" w:rsidR="00900B2C" w:rsidP="00900B2C" w:rsidRDefault="00900B2C" w14:paraId="3E2C62F0" w14:textId="77777777">
      <w:pPr>
        <w:spacing w:after="0" w:line="240" w:lineRule="auto"/>
        <w:rPr>
          <w:rFonts w:ascii="Times New Roman" w:hAnsi="Times New Roman" w:cs="Times New Roman"/>
        </w:rPr>
      </w:pPr>
    </w:p>
    <w:p w:rsidRPr="00835820" w:rsidR="00900B2C" w:rsidP="00900B2C" w:rsidRDefault="00900B2C" w14:paraId="47DC65C8" w14:textId="6B19404E">
      <w:pPr>
        <w:pStyle w:val="Caption"/>
        <w:keepNext/>
        <w:jc w:val="center"/>
        <w:rPr>
          <w:rFonts w:ascii="Times New Roman" w:hAnsi="Times New Roman" w:cs="Times New Roman"/>
          <w:b/>
          <w:bCs/>
          <w:i w:val="0"/>
          <w:iCs w:val="0"/>
          <w:color w:val="auto"/>
          <w:sz w:val="22"/>
          <w:szCs w:val="22"/>
        </w:rPr>
      </w:pPr>
      <w:r w:rsidRPr="00835820">
        <w:rPr>
          <w:rFonts w:ascii="Times New Roman" w:hAnsi="Times New Roman" w:cs="Times New Roman"/>
          <w:b/>
          <w:bCs/>
          <w:i w:val="0"/>
          <w:iCs w:val="0"/>
          <w:color w:val="auto"/>
          <w:sz w:val="22"/>
          <w:szCs w:val="22"/>
        </w:rPr>
        <w:t>Exhibit</w:t>
      </w:r>
      <w:r>
        <w:t xml:space="preserve"> </w:t>
      </w:r>
      <w:r w:rsidRPr="00835820">
        <w:rPr>
          <w:rFonts w:ascii="Times New Roman" w:hAnsi="Times New Roman" w:cs="Times New Roman"/>
          <w:b/>
          <w:bCs/>
          <w:i w:val="0"/>
          <w:iCs w:val="0"/>
          <w:color w:val="auto"/>
          <w:sz w:val="22"/>
          <w:szCs w:val="22"/>
        </w:rPr>
        <w:t>4-</w:t>
      </w:r>
      <w:r w:rsidR="007F6842">
        <w:rPr>
          <w:rFonts w:ascii="Times New Roman" w:hAnsi="Times New Roman" w:cs="Times New Roman"/>
          <w:b/>
          <w:bCs/>
          <w:i w:val="0"/>
          <w:iCs w:val="0"/>
          <w:color w:val="auto"/>
          <w:sz w:val="22"/>
          <w:szCs w:val="22"/>
        </w:rPr>
        <w:t>5</w:t>
      </w:r>
      <w:r w:rsidRPr="00835820">
        <w:rPr>
          <w:rFonts w:ascii="Times New Roman" w:hAnsi="Times New Roman" w:cs="Times New Roman"/>
          <w:b/>
          <w:bCs/>
          <w:i w:val="0"/>
          <w:iCs w:val="0"/>
          <w:color w:val="auto"/>
          <w:sz w:val="22"/>
          <w:szCs w:val="22"/>
        </w:rPr>
        <w:t>: Hourly Labor and Unit Costs for STAA (2020 dollars).</w:t>
      </w:r>
    </w:p>
    <w:tbl>
      <w:tblPr>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26"/>
        <w:gridCol w:w="1169"/>
        <w:gridCol w:w="1170"/>
        <w:gridCol w:w="581"/>
        <w:gridCol w:w="589"/>
        <w:gridCol w:w="1080"/>
        <w:gridCol w:w="1163"/>
        <w:gridCol w:w="1261"/>
      </w:tblGrid>
      <w:tr w:rsidRPr="004D4B61" w:rsidR="00900B2C" w:rsidTr="00E6210A" w14:paraId="36BF7C74" w14:textId="77777777">
        <w:trPr>
          <w:trHeight w:val="301"/>
          <w:jc w:val="center"/>
        </w:trPr>
        <w:tc>
          <w:tcPr>
            <w:tcW w:w="1526" w:type="dxa"/>
            <w:vMerge w:val="restart"/>
            <w:shd w:val="clear" w:color="auto" w:fill="D9D9D9" w:themeFill="background1" w:themeFillShade="D9"/>
            <w:vAlign w:val="center"/>
          </w:tcPr>
          <w:p w:rsidRPr="00835820" w:rsidR="00900B2C" w:rsidP="00E6210A" w:rsidRDefault="00900B2C" w14:paraId="6D398644" w14:textId="77777777">
            <w:pPr>
              <w:keepNext/>
              <w:keepLines/>
              <w:spacing w:after="0" w:line="240" w:lineRule="auto"/>
              <w:ind w:left="180"/>
              <w:jc w:val="center"/>
              <w:rPr>
                <w:rFonts w:ascii="Times New Roman" w:hAnsi="Times New Roman" w:cs="Times New Roman"/>
                <w:b/>
                <w:sz w:val="20"/>
                <w:szCs w:val="20"/>
              </w:rPr>
            </w:pPr>
            <w:r w:rsidRPr="00835820">
              <w:rPr>
                <w:rFonts w:ascii="Times New Roman" w:hAnsi="Times New Roman" w:cs="Times New Roman"/>
                <w:b/>
                <w:sz w:val="20"/>
                <w:szCs w:val="20"/>
              </w:rPr>
              <w:t>Sector</w:t>
            </w:r>
          </w:p>
        </w:tc>
        <w:tc>
          <w:tcPr>
            <w:tcW w:w="5752" w:type="dxa"/>
            <w:gridSpan w:val="6"/>
            <w:shd w:val="clear" w:color="auto" w:fill="D9D9D9" w:themeFill="background1" w:themeFillShade="D9"/>
            <w:vAlign w:val="center"/>
          </w:tcPr>
          <w:p w:rsidRPr="00835820" w:rsidR="00900B2C" w:rsidP="00E6210A" w:rsidRDefault="00900B2C" w14:paraId="52E0CC06" w14:textId="77777777">
            <w:pPr>
              <w:keepNext/>
              <w:keepLines/>
              <w:spacing w:after="0" w:line="240" w:lineRule="auto"/>
              <w:ind w:left="2884" w:right="34" w:hanging="2777"/>
              <w:jc w:val="center"/>
              <w:rPr>
                <w:rFonts w:ascii="Times New Roman" w:hAnsi="Times New Roman" w:cs="Times New Roman"/>
                <w:b/>
                <w:sz w:val="20"/>
                <w:szCs w:val="20"/>
              </w:rPr>
            </w:pPr>
            <w:r w:rsidRPr="00835820">
              <w:rPr>
                <w:rFonts w:ascii="Times New Roman" w:hAnsi="Times New Roman" w:cs="Times New Roman"/>
                <w:b/>
                <w:sz w:val="20"/>
                <w:szCs w:val="20"/>
              </w:rPr>
              <w:t>Labor Hours</w:t>
            </w:r>
          </w:p>
        </w:tc>
        <w:tc>
          <w:tcPr>
            <w:tcW w:w="1261" w:type="dxa"/>
            <w:vMerge w:val="restart"/>
            <w:shd w:val="clear" w:color="auto" w:fill="D9D9D9" w:themeFill="background1" w:themeFillShade="D9"/>
            <w:vAlign w:val="center"/>
          </w:tcPr>
          <w:p w:rsidRPr="00835820" w:rsidR="00900B2C" w:rsidP="00E6210A" w:rsidRDefault="00900B2C" w14:paraId="14FFDC9F" w14:textId="77777777">
            <w:pPr>
              <w:keepNext/>
              <w:keepLines/>
              <w:spacing w:after="0" w:line="240" w:lineRule="auto"/>
              <w:ind w:left="304" w:right="152" w:hanging="118"/>
              <w:jc w:val="center"/>
              <w:rPr>
                <w:rFonts w:ascii="Times New Roman" w:hAnsi="Times New Roman" w:cs="Times New Roman"/>
                <w:b/>
                <w:sz w:val="20"/>
                <w:szCs w:val="20"/>
              </w:rPr>
            </w:pPr>
            <w:r w:rsidRPr="00835820">
              <w:rPr>
                <w:rFonts w:ascii="Times New Roman" w:hAnsi="Times New Roman" w:cs="Times New Roman"/>
                <w:b/>
                <w:sz w:val="20"/>
                <w:szCs w:val="20"/>
              </w:rPr>
              <w:t>Facility Cost</w:t>
            </w:r>
          </w:p>
        </w:tc>
      </w:tr>
      <w:tr w:rsidRPr="004D4B61" w:rsidR="00900B2C" w:rsidTr="00E6210A" w14:paraId="47000FF0" w14:textId="77777777">
        <w:trPr>
          <w:trHeight w:val="510"/>
          <w:jc w:val="center"/>
        </w:trPr>
        <w:tc>
          <w:tcPr>
            <w:tcW w:w="1526" w:type="dxa"/>
            <w:vMerge/>
            <w:tcBorders>
              <w:top w:val="nil"/>
            </w:tcBorders>
            <w:shd w:val="clear" w:color="auto" w:fill="D9D9D9"/>
            <w:vAlign w:val="center"/>
          </w:tcPr>
          <w:p w:rsidRPr="00835820" w:rsidR="00900B2C" w:rsidP="00E6210A" w:rsidRDefault="00900B2C" w14:paraId="6B164CEC" w14:textId="77777777">
            <w:pPr>
              <w:keepNext/>
              <w:keepLines/>
              <w:spacing w:after="0" w:line="240" w:lineRule="auto"/>
              <w:jc w:val="center"/>
              <w:rPr>
                <w:rFonts w:ascii="Times New Roman" w:hAnsi="Times New Roman" w:cs="Times New Roman"/>
                <w:sz w:val="20"/>
                <w:szCs w:val="20"/>
              </w:rPr>
            </w:pPr>
          </w:p>
        </w:tc>
        <w:tc>
          <w:tcPr>
            <w:tcW w:w="1169" w:type="dxa"/>
            <w:shd w:val="clear" w:color="auto" w:fill="D9D9D9"/>
            <w:vAlign w:val="center"/>
          </w:tcPr>
          <w:p w:rsidRPr="00835820" w:rsidR="00900B2C" w:rsidP="00E6210A" w:rsidRDefault="00900B2C" w14:paraId="5191F152" w14:textId="77777777">
            <w:pPr>
              <w:keepNext/>
              <w:keepLines/>
              <w:spacing w:after="0" w:line="240" w:lineRule="auto"/>
              <w:ind w:left="127" w:right="119"/>
              <w:jc w:val="center"/>
              <w:rPr>
                <w:rFonts w:ascii="Times New Roman" w:hAnsi="Times New Roman" w:cs="Times New Roman"/>
                <w:b/>
                <w:sz w:val="20"/>
                <w:szCs w:val="20"/>
              </w:rPr>
            </w:pPr>
            <w:r w:rsidRPr="00835820">
              <w:rPr>
                <w:rFonts w:ascii="Times New Roman" w:hAnsi="Times New Roman" w:cs="Times New Roman"/>
                <w:b/>
                <w:sz w:val="20"/>
                <w:szCs w:val="20"/>
              </w:rPr>
              <w:t>Manager</w:t>
            </w:r>
          </w:p>
        </w:tc>
        <w:tc>
          <w:tcPr>
            <w:tcW w:w="1170" w:type="dxa"/>
            <w:shd w:val="clear" w:color="auto" w:fill="D9D9D9"/>
            <w:vAlign w:val="center"/>
          </w:tcPr>
          <w:p w:rsidRPr="00835820" w:rsidR="00900B2C" w:rsidP="00E6210A" w:rsidRDefault="00900B2C" w14:paraId="66E3ACBB" w14:textId="77777777">
            <w:pPr>
              <w:keepNext/>
              <w:keepLines/>
              <w:spacing w:after="0" w:line="240" w:lineRule="auto"/>
              <w:ind w:left="120" w:right="116"/>
              <w:jc w:val="center"/>
              <w:rPr>
                <w:rFonts w:ascii="Times New Roman" w:hAnsi="Times New Roman" w:cs="Times New Roman"/>
                <w:b/>
                <w:sz w:val="20"/>
                <w:szCs w:val="20"/>
              </w:rPr>
            </w:pPr>
            <w:r w:rsidRPr="00835820">
              <w:rPr>
                <w:rFonts w:ascii="Times New Roman" w:hAnsi="Times New Roman" w:cs="Times New Roman"/>
                <w:b/>
                <w:sz w:val="20"/>
                <w:szCs w:val="20"/>
              </w:rPr>
              <w:t>Corporate</w:t>
            </w:r>
          </w:p>
          <w:p w:rsidRPr="00835820" w:rsidR="00900B2C" w:rsidP="00E6210A" w:rsidRDefault="00900B2C" w14:paraId="476668E3" w14:textId="77777777">
            <w:pPr>
              <w:keepNext/>
              <w:keepLines/>
              <w:spacing w:after="0" w:line="240" w:lineRule="auto"/>
              <w:ind w:left="120" w:right="112"/>
              <w:jc w:val="center"/>
              <w:rPr>
                <w:rFonts w:ascii="Times New Roman" w:hAnsi="Times New Roman" w:cs="Times New Roman"/>
                <w:b/>
                <w:sz w:val="20"/>
                <w:szCs w:val="20"/>
              </w:rPr>
            </w:pPr>
            <w:r w:rsidRPr="00835820">
              <w:rPr>
                <w:rFonts w:ascii="Times New Roman" w:hAnsi="Times New Roman" w:cs="Times New Roman"/>
                <w:b/>
                <w:sz w:val="20"/>
                <w:szCs w:val="20"/>
              </w:rPr>
              <w:t>Mgmt.</w:t>
            </w:r>
          </w:p>
        </w:tc>
        <w:tc>
          <w:tcPr>
            <w:tcW w:w="1170" w:type="dxa"/>
            <w:gridSpan w:val="2"/>
            <w:shd w:val="clear" w:color="auto" w:fill="D9D9D9"/>
            <w:vAlign w:val="center"/>
          </w:tcPr>
          <w:p w:rsidRPr="00835820" w:rsidR="00900B2C" w:rsidP="00E6210A" w:rsidRDefault="00900B2C" w14:paraId="3ED295F8" w14:textId="77777777">
            <w:pPr>
              <w:keepNext/>
              <w:keepLines/>
              <w:spacing w:after="0" w:line="240" w:lineRule="auto"/>
              <w:ind w:left="1"/>
              <w:jc w:val="center"/>
              <w:rPr>
                <w:rFonts w:ascii="Times New Roman" w:hAnsi="Times New Roman" w:cs="Times New Roman"/>
                <w:b/>
                <w:sz w:val="20"/>
                <w:szCs w:val="20"/>
              </w:rPr>
            </w:pPr>
            <w:r w:rsidRPr="00835820">
              <w:rPr>
                <w:rFonts w:ascii="Times New Roman" w:hAnsi="Times New Roman" w:cs="Times New Roman"/>
                <w:b/>
                <w:sz w:val="20"/>
                <w:szCs w:val="20"/>
              </w:rPr>
              <w:t>Attorneys</w:t>
            </w:r>
          </w:p>
        </w:tc>
        <w:tc>
          <w:tcPr>
            <w:tcW w:w="1080" w:type="dxa"/>
            <w:shd w:val="clear" w:color="auto" w:fill="D9D9D9"/>
            <w:vAlign w:val="center"/>
          </w:tcPr>
          <w:p w:rsidRPr="00835820" w:rsidR="00900B2C" w:rsidP="00E6210A" w:rsidRDefault="00900B2C" w14:paraId="2FD02C34" w14:textId="77777777">
            <w:pPr>
              <w:keepNext/>
              <w:keepLines/>
              <w:spacing w:after="0" w:line="240" w:lineRule="auto"/>
              <w:ind w:left="100" w:right="79"/>
              <w:jc w:val="center"/>
              <w:rPr>
                <w:rFonts w:ascii="Times New Roman" w:hAnsi="Times New Roman" w:cs="Times New Roman"/>
                <w:b/>
                <w:sz w:val="20"/>
                <w:szCs w:val="20"/>
              </w:rPr>
            </w:pPr>
            <w:r w:rsidRPr="00835820">
              <w:rPr>
                <w:rFonts w:ascii="Times New Roman" w:hAnsi="Times New Roman" w:cs="Times New Roman"/>
                <w:b/>
                <w:sz w:val="20"/>
                <w:szCs w:val="20"/>
              </w:rPr>
              <w:t>Engineers</w:t>
            </w:r>
          </w:p>
        </w:tc>
        <w:tc>
          <w:tcPr>
            <w:tcW w:w="1163" w:type="dxa"/>
            <w:shd w:val="clear" w:color="auto" w:fill="D9D9D9"/>
            <w:vAlign w:val="center"/>
          </w:tcPr>
          <w:p w:rsidRPr="00835820" w:rsidR="00900B2C" w:rsidP="00E6210A" w:rsidRDefault="00900B2C" w14:paraId="603C89F3" w14:textId="77777777">
            <w:pPr>
              <w:keepNext/>
              <w:keepLines/>
              <w:spacing w:after="0" w:line="240" w:lineRule="auto"/>
              <w:ind w:left="97" w:right="76"/>
              <w:jc w:val="center"/>
              <w:rPr>
                <w:rFonts w:ascii="Times New Roman" w:hAnsi="Times New Roman" w:cs="Times New Roman"/>
                <w:b/>
                <w:sz w:val="20"/>
                <w:szCs w:val="20"/>
              </w:rPr>
            </w:pPr>
            <w:r w:rsidRPr="00835820">
              <w:rPr>
                <w:rFonts w:ascii="Times New Roman" w:hAnsi="Times New Roman" w:cs="Times New Roman"/>
                <w:b/>
                <w:sz w:val="20"/>
                <w:szCs w:val="20"/>
              </w:rPr>
              <w:t>Production</w:t>
            </w:r>
          </w:p>
        </w:tc>
        <w:tc>
          <w:tcPr>
            <w:tcW w:w="1261" w:type="dxa"/>
            <w:vMerge/>
            <w:shd w:val="clear" w:color="auto" w:fill="D9D9D9"/>
            <w:vAlign w:val="center"/>
          </w:tcPr>
          <w:p w:rsidRPr="00835820" w:rsidR="00900B2C" w:rsidP="00E6210A" w:rsidRDefault="00900B2C" w14:paraId="0D851EED" w14:textId="77777777">
            <w:pPr>
              <w:keepNext/>
              <w:keepLines/>
              <w:spacing w:after="0" w:line="240" w:lineRule="auto"/>
              <w:jc w:val="center"/>
              <w:rPr>
                <w:rFonts w:ascii="Times New Roman" w:hAnsi="Times New Roman" w:cs="Times New Roman"/>
                <w:sz w:val="20"/>
                <w:szCs w:val="20"/>
              </w:rPr>
            </w:pPr>
          </w:p>
        </w:tc>
      </w:tr>
      <w:tr w:rsidRPr="004D4B61" w:rsidR="00900B2C" w:rsidTr="00E6210A" w14:paraId="345F0431" w14:textId="77777777">
        <w:trPr>
          <w:trHeight w:val="301"/>
          <w:jc w:val="center"/>
        </w:trPr>
        <w:tc>
          <w:tcPr>
            <w:tcW w:w="8539" w:type="dxa"/>
            <w:gridSpan w:val="8"/>
            <w:shd w:val="clear" w:color="auto" w:fill="F1F1F1"/>
            <w:vAlign w:val="center"/>
          </w:tcPr>
          <w:p w:rsidRPr="00835820" w:rsidR="00900B2C" w:rsidP="00E6210A" w:rsidRDefault="00900B2C" w14:paraId="6870399C" w14:textId="77777777">
            <w:pPr>
              <w:keepNext/>
              <w:keepLines/>
              <w:spacing w:after="0" w:line="240" w:lineRule="auto"/>
              <w:ind w:left="3708" w:right="84" w:hanging="3618"/>
              <w:jc w:val="center"/>
              <w:rPr>
                <w:rFonts w:ascii="Times New Roman" w:hAnsi="Times New Roman" w:cs="Times New Roman"/>
                <w:b/>
                <w:sz w:val="20"/>
                <w:szCs w:val="20"/>
              </w:rPr>
            </w:pPr>
            <w:r w:rsidRPr="00835820">
              <w:rPr>
                <w:rFonts w:ascii="Times New Roman" w:hAnsi="Times New Roman" w:cs="Times New Roman"/>
                <w:b/>
                <w:sz w:val="20"/>
                <w:szCs w:val="20"/>
              </w:rPr>
              <w:t>Initial Analysis</w:t>
            </w:r>
          </w:p>
        </w:tc>
      </w:tr>
      <w:tr w:rsidRPr="004D4B61" w:rsidR="00900B2C" w:rsidTr="00E6210A" w14:paraId="5D88AE03" w14:textId="77777777">
        <w:trPr>
          <w:trHeight w:val="146"/>
          <w:jc w:val="center"/>
        </w:trPr>
        <w:tc>
          <w:tcPr>
            <w:tcW w:w="1526" w:type="dxa"/>
            <w:vAlign w:val="center"/>
          </w:tcPr>
          <w:p w:rsidRPr="00835820" w:rsidR="00900B2C" w:rsidP="00E6210A" w:rsidRDefault="00900B2C" w14:paraId="3C30A291" w14:textId="77777777">
            <w:pPr>
              <w:keepNext/>
              <w:keepLines/>
              <w:spacing w:after="0" w:line="240" w:lineRule="auto"/>
              <w:ind w:left="107"/>
              <w:rPr>
                <w:rFonts w:ascii="Times New Roman" w:hAnsi="Times New Roman" w:cs="Times New Roman"/>
                <w:sz w:val="20"/>
                <w:szCs w:val="20"/>
              </w:rPr>
            </w:pPr>
            <w:r w:rsidRPr="00835820">
              <w:rPr>
                <w:rFonts w:ascii="Times New Roman" w:hAnsi="Times New Roman" w:cs="Times New Roman"/>
                <w:sz w:val="20"/>
                <w:szCs w:val="20"/>
              </w:rPr>
              <w:t>Refineries</w:t>
            </w:r>
          </w:p>
        </w:tc>
        <w:tc>
          <w:tcPr>
            <w:tcW w:w="1169" w:type="dxa"/>
            <w:vAlign w:val="center"/>
          </w:tcPr>
          <w:p w:rsidRPr="00835820" w:rsidR="00900B2C" w:rsidP="00E6210A" w:rsidRDefault="00900B2C" w14:paraId="30D97B8E" w14:textId="77777777">
            <w:pPr>
              <w:keepNext/>
              <w:keepLines/>
              <w:spacing w:after="0" w:line="240" w:lineRule="auto"/>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170" w:type="dxa"/>
            <w:vAlign w:val="center"/>
          </w:tcPr>
          <w:p w:rsidRPr="00835820" w:rsidR="00900B2C" w:rsidP="00E6210A" w:rsidRDefault="00900B2C" w14:paraId="2265B920" w14:textId="77777777">
            <w:pPr>
              <w:keepNext/>
              <w:keepLines/>
              <w:spacing w:after="0" w:line="240" w:lineRule="auto"/>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170" w:type="dxa"/>
            <w:gridSpan w:val="2"/>
            <w:vAlign w:val="center"/>
          </w:tcPr>
          <w:p w:rsidRPr="00835820" w:rsidR="00900B2C" w:rsidP="00E6210A" w:rsidRDefault="00900B2C" w14:paraId="337BBF7E" w14:textId="77777777">
            <w:pPr>
              <w:keepNext/>
              <w:keepLines/>
              <w:spacing w:after="0" w:line="240" w:lineRule="auto"/>
              <w:ind w:left="16"/>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080" w:type="dxa"/>
            <w:vAlign w:val="center"/>
          </w:tcPr>
          <w:p w:rsidRPr="00835820" w:rsidR="00900B2C" w:rsidP="00E6210A" w:rsidRDefault="00900B2C" w14:paraId="2D6E0776" w14:textId="77777777">
            <w:pPr>
              <w:keepNext/>
              <w:keepLines/>
              <w:spacing w:after="0" w:line="240" w:lineRule="auto"/>
              <w:ind w:right="79"/>
              <w:jc w:val="center"/>
              <w:rPr>
                <w:rFonts w:ascii="Times New Roman" w:hAnsi="Times New Roman" w:cs="Times New Roman"/>
                <w:sz w:val="20"/>
                <w:szCs w:val="20"/>
              </w:rPr>
            </w:pPr>
            <w:r w:rsidRPr="00835820">
              <w:rPr>
                <w:rFonts w:ascii="Times New Roman" w:hAnsi="Times New Roman" w:cs="Times New Roman"/>
                <w:sz w:val="20"/>
                <w:szCs w:val="20"/>
              </w:rPr>
              <w:t>738</w:t>
            </w:r>
          </w:p>
        </w:tc>
        <w:tc>
          <w:tcPr>
            <w:tcW w:w="1163" w:type="dxa"/>
            <w:vAlign w:val="center"/>
          </w:tcPr>
          <w:p w:rsidRPr="00835820" w:rsidR="00900B2C" w:rsidP="00E6210A" w:rsidRDefault="00900B2C" w14:paraId="712106AA" w14:textId="77777777">
            <w:pPr>
              <w:keepNext/>
              <w:keepLines/>
              <w:spacing w:after="0" w:line="240" w:lineRule="auto"/>
              <w:ind w:left="18"/>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261" w:type="dxa"/>
            <w:vAlign w:val="center"/>
          </w:tcPr>
          <w:p w:rsidRPr="00835820" w:rsidR="00900B2C" w:rsidP="00E6210A" w:rsidRDefault="00900B2C" w14:paraId="1B09AEEE" w14:textId="77777777">
            <w:pPr>
              <w:keepNext/>
              <w:keepLines/>
              <w:spacing w:after="0" w:line="240" w:lineRule="auto"/>
              <w:ind w:left="131" w:right="111"/>
              <w:jc w:val="center"/>
              <w:rPr>
                <w:rFonts w:ascii="Times New Roman" w:hAnsi="Times New Roman" w:cs="Times New Roman"/>
                <w:sz w:val="20"/>
                <w:szCs w:val="20"/>
              </w:rPr>
            </w:pPr>
            <w:r w:rsidRPr="00835820">
              <w:rPr>
                <w:rFonts w:ascii="Times New Roman" w:hAnsi="Times New Roman" w:cs="Times New Roman"/>
                <w:color w:val="000000"/>
                <w:sz w:val="20"/>
                <w:szCs w:val="20"/>
              </w:rPr>
              <w:t>$74,000</w:t>
            </w:r>
          </w:p>
        </w:tc>
      </w:tr>
      <w:tr w:rsidRPr="004D4B61" w:rsidR="00900B2C" w:rsidTr="00E6210A" w14:paraId="1A7AB002" w14:textId="77777777">
        <w:trPr>
          <w:trHeight w:val="272"/>
          <w:jc w:val="center"/>
        </w:trPr>
        <w:tc>
          <w:tcPr>
            <w:tcW w:w="1526" w:type="dxa"/>
            <w:vAlign w:val="center"/>
          </w:tcPr>
          <w:p w:rsidRPr="00835820" w:rsidR="00900B2C" w:rsidP="00E6210A" w:rsidRDefault="00900B2C" w14:paraId="5F8882DA" w14:textId="77777777">
            <w:pPr>
              <w:keepNext/>
              <w:keepLines/>
              <w:spacing w:after="0" w:line="240" w:lineRule="auto"/>
              <w:ind w:left="107"/>
              <w:rPr>
                <w:rFonts w:ascii="Times New Roman" w:hAnsi="Times New Roman" w:cs="Times New Roman"/>
                <w:sz w:val="20"/>
                <w:szCs w:val="20"/>
              </w:rPr>
            </w:pPr>
            <w:r w:rsidRPr="00835820">
              <w:rPr>
                <w:rFonts w:ascii="Times New Roman" w:hAnsi="Times New Roman" w:cs="Times New Roman"/>
                <w:sz w:val="20"/>
                <w:szCs w:val="20"/>
              </w:rPr>
              <w:t>Chemical Manufacturers</w:t>
            </w:r>
          </w:p>
        </w:tc>
        <w:tc>
          <w:tcPr>
            <w:tcW w:w="1169" w:type="dxa"/>
            <w:vAlign w:val="center"/>
          </w:tcPr>
          <w:p w:rsidRPr="00835820" w:rsidR="00900B2C" w:rsidP="00E6210A" w:rsidRDefault="00900B2C" w14:paraId="1310D644" w14:textId="77777777">
            <w:pPr>
              <w:keepNext/>
              <w:keepLines/>
              <w:spacing w:after="0" w:line="240" w:lineRule="auto"/>
              <w:ind w:left="94" w:right="119"/>
              <w:jc w:val="center"/>
              <w:rPr>
                <w:rFonts w:ascii="Times New Roman" w:hAnsi="Times New Roman" w:cs="Times New Roman"/>
                <w:sz w:val="20"/>
                <w:szCs w:val="20"/>
              </w:rPr>
            </w:pPr>
            <w:r>
              <w:rPr>
                <w:rFonts w:ascii="Times New Roman" w:hAnsi="Times New Roman" w:cs="Times New Roman"/>
                <w:sz w:val="20"/>
                <w:szCs w:val="20"/>
              </w:rPr>
              <w:t xml:space="preserve"> </w:t>
            </w:r>
            <w:r w:rsidRPr="00835820">
              <w:rPr>
                <w:rFonts w:ascii="Times New Roman" w:hAnsi="Times New Roman" w:cs="Times New Roman"/>
                <w:sz w:val="20"/>
                <w:szCs w:val="20"/>
              </w:rPr>
              <w:t>20</w:t>
            </w:r>
          </w:p>
        </w:tc>
        <w:tc>
          <w:tcPr>
            <w:tcW w:w="1170" w:type="dxa"/>
            <w:vAlign w:val="center"/>
          </w:tcPr>
          <w:p w:rsidRPr="00835820" w:rsidR="00900B2C" w:rsidP="00E6210A" w:rsidRDefault="00900B2C" w14:paraId="07F8A5DB" w14:textId="77777777">
            <w:pPr>
              <w:keepNext/>
              <w:keepLines/>
              <w:spacing w:after="0" w:line="240" w:lineRule="auto"/>
              <w:ind w:left="94" w:right="112"/>
              <w:jc w:val="center"/>
              <w:rPr>
                <w:rFonts w:ascii="Times New Roman" w:hAnsi="Times New Roman" w:cs="Times New Roman"/>
                <w:sz w:val="20"/>
                <w:szCs w:val="20"/>
              </w:rPr>
            </w:pPr>
            <w:r w:rsidRPr="00835820">
              <w:rPr>
                <w:rFonts w:ascii="Times New Roman" w:hAnsi="Times New Roman" w:cs="Times New Roman"/>
                <w:sz w:val="20"/>
                <w:szCs w:val="20"/>
              </w:rPr>
              <w:t>0.5</w:t>
            </w:r>
          </w:p>
        </w:tc>
        <w:tc>
          <w:tcPr>
            <w:tcW w:w="1170" w:type="dxa"/>
            <w:gridSpan w:val="2"/>
            <w:vAlign w:val="center"/>
          </w:tcPr>
          <w:p w:rsidRPr="00835820" w:rsidR="00900B2C" w:rsidP="00E6210A" w:rsidRDefault="00900B2C" w14:paraId="68FF6A0B" w14:textId="77777777">
            <w:pPr>
              <w:keepNext/>
              <w:keepLines/>
              <w:spacing w:after="0" w:line="240" w:lineRule="auto"/>
              <w:ind w:left="94" w:right="34"/>
              <w:jc w:val="center"/>
              <w:rPr>
                <w:rFonts w:ascii="Times New Roman" w:hAnsi="Times New Roman" w:cs="Times New Roman"/>
                <w:sz w:val="20"/>
                <w:szCs w:val="20"/>
              </w:rPr>
            </w:pPr>
            <w:r w:rsidRPr="00835820">
              <w:rPr>
                <w:rFonts w:ascii="Times New Roman" w:hAnsi="Times New Roman" w:cs="Times New Roman"/>
                <w:sz w:val="20"/>
                <w:szCs w:val="20"/>
              </w:rPr>
              <w:t>3.5</w:t>
            </w:r>
          </w:p>
        </w:tc>
        <w:tc>
          <w:tcPr>
            <w:tcW w:w="1080" w:type="dxa"/>
            <w:vAlign w:val="center"/>
          </w:tcPr>
          <w:p w:rsidRPr="00835820" w:rsidR="00900B2C" w:rsidP="00E6210A" w:rsidRDefault="00900B2C" w14:paraId="29941DA3" w14:textId="77777777">
            <w:pPr>
              <w:keepNext/>
              <w:keepLines/>
              <w:spacing w:after="0" w:line="240" w:lineRule="auto"/>
              <w:ind w:left="94" w:right="79"/>
              <w:jc w:val="center"/>
              <w:rPr>
                <w:rFonts w:ascii="Times New Roman" w:hAnsi="Times New Roman" w:cs="Times New Roman"/>
                <w:sz w:val="20"/>
                <w:szCs w:val="20"/>
              </w:rPr>
            </w:pPr>
            <w:r w:rsidRPr="00835820">
              <w:rPr>
                <w:rFonts w:ascii="Times New Roman" w:hAnsi="Times New Roman" w:cs="Times New Roman"/>
                <w:sz w:val="20"/>
                <w:szCs w:val="20"/>
              </w:rPr>
              <w:t>82.5</w:t>
            </w:r>
          </w:p>
        </w:tc>
        <w:tc>
          <w:tcPr>
            <w:tcW w:w="1163" w:type="dxa"/>
            <w:vAlign w:val="center"/>
          </w:tcPr>
          <w:p w:rsidRPr="00835820" w:rsidR="00900B2C" w:rsidP="00E6210A" w:rsidRDefault="00900B2C" w14:paraId="3241B06F" w14:textId="77777777">
            <w:pPr>
              <w:keepNext/>
              <w:keepLines/>
              <w:spacing w:after="0" w:line="240" w:lineRule="auto"/>
              <w:ind w:left="94" w:right="111"/>
              <w:jc w:val="center"/>
              <w:rPr>
                <w:rFonts w:ascii="Times New Roman" w:hAnsi="Times New Roman" w:cs="Times New Roman"/>
                <w:sz w:val="20"/>
                <w:szCs w:val="20"/>
              </w:rPr>
            </w:pPr>
            <w:r w:rsidRPr="00835820">
              <w:rPr>
                <w:rFonts w:ascii="Times New Roman" w:hAnsi="Times New Roman" w:cs="Times New Roman"/>
                <w:sz w:val="20"/>
                <w:szCs w:val="20"/>
              </w:rPr>
              <w:t>23.5</w:t>
            </w:r>
          </w:p>
        </w:tc>
        <w:tc>
          <w:tcPr>
            <w:tcW w:w="1261" w:type="dxa"/>
            <w:vAlign w:val="center"/>
          </w:tcPr>
          <w:p w:rsidRPr="00835820" w:rsidR="00900B2C" w:rsidP="00E6210A" w:rsidRDefault="00900B2C" w14:paraId="1D1A7156" w14:textId="77777777">
            <w:pPr>
              <w:keepNext/>
              <w:keepLines/>
              <w:spacing w:after="0" w:line="240" w:lineRule="auto"/>
              <w:ind w:left="94" w:right="111"/>
              <w:jc w:val="center"/>
              <w:rPr>
                <w:rFonts w:ascii="Times New Roman" w:hAnsi="Times New Roman" w:cs="Times New Roman"/>
                <w:sz w:val="20"/>
                <w:szCs w:val="20"/>
              </w:rPr>
            </w:pPr>
            <w:r w:rsidRPr="00835820">
              <w:rPr>
                <w:rFonts w:ascii="Times New Roman" w:hAnsi="Times New Roman" w:cs="Times New Roman"/>
                <w:color w:val="000000"/>
                <w:sz w:val="20"/>
                <w:szCs w:val="20"/>
              </w:rPr>
              <w:t>$13,000</w:t>
            </w:r>
          </w:p>
        </w:tc>
      </w:tr>
      <w:tr w:rsidRPr="004D4B61" w:rsidR="00900B2C" w:rsidTr="00E6210A" w14:paraId="58058F85" w14:textId="77777777">
        <w:trPr>
          <w:trHeight w:val="299"/>
          <w:jc w:val="center"/>
        </w:trPr>
        <w:tc>
          <w:tcPr>
            <w:tcW w:w="4446" w:type="dxa"/>
            <w:gridSpan w:val="4"/>
            <w:shd w:val="clear" w:color="auto" w:fill="D9D9D9"/>
            <w:vAlign w:val="center"/>
          </w:tcPr>
          <w:p w:rsidRPr="00835820" w:rsidR="00900B2C" w:rsidP="00E6210A" w:rsidRDefault="00900B2C" w14:paraId="6FBF064E" w14:textId="77777777">
            <w:pPr>
              <w:keepNext/>
              <w:keepLines/>
              <w:spacing w:after="0" w:line="240" w:lineRule="auto"/>
              <w:ind w:left="2039" w:right="129" w:hanging="1949"/>
              <w:jc w:val="center"/>
              <w:rPr>
                <w:rFonts w:ascii="Times New Roman" w:hAnsi="Times New Roman" w:cs="Times New Roman"/>
                <w:b/>
                <w:sz w:val="20"/>
                <w:szCs w:val="20"/>
              </w:rPr>
            </w:pPr>
            <w:r w:rsidRPr="00835820">
              <w:rPr>
                <w:rFonts w:ascii="Times New Roman" w:hAnsi="Times New Roman" w:cs="Times New Roman"/>
                <w:b/>
                <w:sz w:val="20"/>
                <w:szCs w:val="20"/>
              </w:rPr>
              <w:t>Sector</w:t>
            </w:r>
          </w:p>
        </w:tc>
        <w:tc>
          <w:tcPr>
            <w:tcW w:w="4093" w:type="dxa"/>
            <w:gridSpan w:val="4"/>
            <w:shd w:val="clear" w:color="auto" w:fill="D9D9D9"/>
            <w:vAlign w:val="center"/>
          </w:tcPr>
          <w:p w:rsidRPr="00835820" w:rsidR="00900B2C" w:rsidP="00E6210A" w:rsidRDefault="00900B2C" w14:paraId="0E61C66A" w14:textId="77777777">
            <w:pPr>
              <w:keepNext/>
              <w:keepLines/>
              <w:spacing w:after="0" w:line="240" w:lineRule="auto"/>
              <w:ind w:left="89" w:right="87"/>
              <w:jc w:val="center"/>
              <w:rPr>
                <w:rFonts w:ascii="Times New Roman" w:hAnsi="Times New Roman" w:cs="Times New Roman"/>
                <w:b/>
                <w:sz w:val="20"/>
                <w:szCs w:val="20"/>
              </w:rPr>
            </w:pPr>
            <w:r w:rsidRPr="00835820">
              <w:rPr>
                <w:rFonts w:ascii="Times New Roman" w:hAnsi="Times New Roman" w:cs="Times New Roman"/>
                <w:b/>
                <w:sz w:val="20"/>
                <w:szCs w:val="20"/>
              </w:rPr>
              <w:t>Facility Cost</w:t>
            </w:r>
          </w:p>
        </w:tc>
      </w:tr>
      <w:tr w:rsidRPr="004D4B61" w:rsidR="00900B2C" w:rsidTr="00E6210A" w14:paraId="3FF9ECE5" w14:textId="77777777">
        <w:trPr>
          <w:trHeight w:val="299"/>
          <w:jc w:val="center"/>
        </w:trPr>
        <w:tc>
          <w:tcPr>
            <w:tcW w:w="8539" w:type="dxa"/>
            <w:gridSpan w:val="8"/>
            <w:shd w:val="clear" w:color="auto" w:fill="F1F1F1"/>
            <w:vAlign w:val="center"/>
          </w:tcPr>
          <w:p w:rsidRPr="00835820" w:rsidR="00900B2C" w:rsidP="00E6210A" w:rsidRDefault="00900B2C" w14:paraId="685FD84D" w14:textId="77777777">
            <w:pPr>
              <w:keepNext/>
              <w:keepLines/>
              <w:spacing w:after="0" w:line="240" w:lineRule="auto"/>
              <w:ind w:left="8360" w:right="84" w:hanging="8270"/>
              <w:jc w:val="center"/>
              <w:rPr>
                <w:rFonts w:ascii="Times New Roman" w:hAnsi="Times New Roman" w:cs="Times New Roman"/>
                <w:b/>
                <w:sz w:val="20"/>
                <w:szCs w:val="20"/>
              </w:rPr>
            </w:pPr>
            <w:r w:rsidRPr="00835820">
              <w:rPr>
                <w:rFonts w:ascii="Times New Roman" w:hAnsi="Times New Roman" w:cs="Times New Roman"/>
                <w:b/>
                <w:sz w:val="20"/>
                <w:szCs w:val="20"/>
              </w:rPr>
              <w:t>Practicability Analysis</w:t>
            </w:r>
          </w:p>
        </w:tc>
      </w:tr>
      <w:tr w:rsidRPr="004D4B61" w:rsidR="00900B2C" w:rsidTr="00E6210A" w14:paraId="263074F8" w14:textId="77777777">
        <w:trPr>
          <w:trHeight w:val="345"/>
          <w:jc w:val="center"/>
        </w:trPr>
        <w:tc>
          <w:tcPr>
            <w:tcW w:w="4446" w:type="dxa"/>
            <w:gridSpan w:val="4"/>
            <w:vAlign w:val="center"/>
          </w:tcPr>
          <w:p w:rsidRPr="00835820" w:rsidR="00900B2C" w:rsidP="00E6210A" w:rsidRDefault="00900B2C" w14:paraId="7201EEBF" w14:textId="77777777">
            <w:pPr>
              <w:keepNext/>
              <w:keepLines/>
              <w:spacing w:after="0" w:line="240" w:lineRule="auto"/>
              <w:ind w:left="107"/>
              <w:jc w:val="center"/>
              <w:rPr>
                <w:rFonts w:ascii="Times New Roman" w:hAnsi="Times New Roman" w:cs="Times New Roman"/>
                <w:sz w:val="20"/>
                <w:szCs w:val="20"/>
              </w:rPr>
            </w:pPr>
            <w:r w:rsidRPr="00835820">
              <w:rPr>
                <w:rFonts w:ascii="Times New Roman" w:hAnsi="Times New Roman" w:cs="Times New Roman"/>
                <w:sz w:val="20"/>
                <w:szCs w:val="20"/>
              </w:rPr>
              <w:t>Refineries</w:t>
            </w:r>
          </w:p>
        </w:tc>
        <w:tc>
          <w:tcPr>
            <w:tcW w:w="4093" w:type="dxa"/>
            <w:gridSpan w:val="4"/>
            <w:vAlign w:val="center"/>
          </w:tcPr>
          <w:p w:rsidRPr="00835820" w:rsidR="00900B2C" w:rsidP="00E6210A" w:rsidRDefault="00900B2C" w14:paraId="4F310242" w14:textId="77777777">
            <w:pPr>
              <w:keepNext/>
              <w:keepLines/>
              <w:spacing w:after="0" w:line="240" w:lineRule="auto"/>
              <w:ind w:left="1889" w:right="-6" w:hanging="1797"/>
              <w:jc w:val="center"/>
              <w:rPr>
                <w:rFonts w:ascii="Times New Roman" w:hAnsi="Times New Roman" w:cs="Times New Roman"/>
                <w:sz w:val="20"/>
                <w:szCs w:val="20"/>
              </w:rPr>
            </w:pPr>
            <w:r w:rsidRPr="00835820">
              <w:rPr>
                <w:rFonts w:ascii="Times New Roman" w:hAnsi="Times New Roman" w:cs="Times New Roman"/>
                <w:sz w:val="20"/>
                <w:szCs w:val="20"/>
              </w:rPr>
              <w:t>$2.5 million</w:t>
            </w:r>
          </w:p>
        </w:tc>
      </w:tr>
      <w:tr w:rsidRPr="004D4B61" w:rsidR="00900B2C" w:rsidTr="00E6210A" w14:paraId="02A9F2FB" w14:textId="77777777">
        <w:trPr>
          <w:trHeight w:val="343"/>
          <w:jc w:val="center"/>
        </w:trPr>
        <w:tc>
          <w:tcPr>
            <w:tcW w:w="4446" w:type="dxa"/>
            <w:gridSpan w:val="4"/>
            <w:vAlign w:val="center"/>
          </w:tcPr>
          <w:p w:rsidRPr="00835820" w:rsidR="00900B2C" w:rsidP="00E6210A" w:rsidRDefault="00900B2C" w14:paraId="2C042383" w14:textId="77777777">
            <w:pPr>
              <w:keepNext/>
              <w:keepLines/>
              <w:spacing w:after="0" w:line="240" w:lineRule="auto"/>
              <w:ind w:left="107"/>
              <w:jc w:val="center"/>
              <w:rPr>
                <w:rFonts w:ascii="Times New Roman" w:hAnsi="Times New Roman" w:cs="Times New Roman"/>
                <w:sz w:val="20"/>
                <w:szCs w:val="20"/>
              </w:rPr>
            </w:pPr>
            <w:r w:rsidRPr="00835820">
              <w:rPr>
                <w:rFonts w:ascii="Times New Roman" w:hAnsi="Times New Roman" w:cs="Times New Roman"/>
                <w:sz w:val="20"/>
                <w:szCs w:val="20"/>
              </w:rPr>
              <w:t>Chemical Manufacturers</w:t>
            </w:r>
          </w:p>
        </w:tc>
        <w:tc>
          <w:tcPr>
            <w:tcW w:w="4093" w:type="dxa"/>
            <w:gridSpan w:val="4"/>
            <w:vAlign w:val="center"/>
          </w:tcPr>
          <w:p w:rsidRPr="00835820" w:rsidR="00900B2C" w:rsidP="00E6210A" w:rsidRDefault="00900B2C" w14:paraId="35D33521" w14:textId="77777777">
            <w:pPr>
              <w:keepNext/>
              <w:keepLines/>
              <w:spacing w:after="0" w:line="240" w:lineRule="auto"/>
              <w:ind w:left="1889" w:right="-6" w:hanging="1797"/>
              <w:jc w:val="center"/>
              <w:rPr>
                <w:rFonts w:ascii="Times New Roman" w:hAnsi="Times New Roman" w:cs="Times New Roman"/>
                <w:sz w:val="20"/>
                <w:szCs w:val="20"/>
              </w:rPr>
            </w:pPr>
            <w:r w:rsidRPr="00835820">
              <w:rPr>
                <w:rFonts w:ascii="Times New Roman" w:hAnsi="Times New Roman" w:cs="Times New Roman"/>
                <w:sz w:val="20"/>
                <w:szCs w:val="20"/>
              </w:rPr>
              <w:t>$30,000</w:t>
            </w:r>
          </w:p>
        </w:tc>
      </w:tr>
    </w:tbl>
    <w:p w:rsidR="00F068F8" w:rsidP="004D4B61" w:rsidRDefault="00F068F8" w14:paraId="2CB13C6C" w14:textId="77777777">
      <w:pPr>
        <w:keepNext/>
        <w:autoSpaceDE w:val="0"/>
        <w:autoSpaceDN w:val="0"/>
        <w:adjustRightInd w:val="0"/>
        <w:spacing w:after="0" w:line="240" w:lineRule="auto"/>
        <w:rPr>
          <w:rFonts w:ascii="Times New Roman" w:hAnsi="Times New Roman" w:cs="Times New Roman"/>
          <w:i/>
          <w:iCs/>
          <w:color w:val="000000"/>
        </w:rPr>
      </w:pPr>
    </w:p>
    <w:p w:rsidRPr="004D4B61" w:rsidR="0022422B" w:rsidP="0022422B" w:rsidRDefault="0022422B" w14:paraId="629615E2" w14:textId="77777777">
      <w:pPr>
        <w:spacing w:after="0" w:line="240" w:lineRule="auto"/>
        <w:rPr>
          <w:rFonts w:ascii="Times New Roman" w:hAnsi="Times New Roman" w:cs="Times New Roman"/>
          <w:i/>
        </w:rPr>
      </w:pPr>
      <w:r w:rsidRPr="004D4B61">
        <w:rPr>
          <w:rFonts w:ascii="Times New Roman" w:hAnsi="Times New Roman" w:cs="Times New Roman"/>
          <w:i/>
        </w:rPr>
        <w:t xml:space="preserve">Root Cause Analysis </w:t>
      </w:r>
    </w:p>
    <w:p w:rsidR="0022422B" w:rsidP="0022422B" w:rsidRDefault="0022422B" w14:paraId="32D26F1F" w14:textId="77777777">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This proposed rule provision would require that facilities in Programs 2 and 3 that have had an RMP-reportable accident determine the underlying causes as part of their incident investigation. A root cause analysis is a structured process led by a person trained in the methodology. The time required may vary considerably based on the complexity of the processes involved. </w:t>
      </w:r>
    </w:p>
    <w:p w:rsidRPr="004D4B61" w:rsidR="0022422B" w:rsidP="0022422B" w:rsidRDefault="0022422B" w14:paraId="4DFDC0F1" w14:textId="77777777">
      <w:pPr>
        <w:spacing w:after="0" w:line="240" w:lineRule="auto"/>
        <w:ind w:firstLine="360"/>
        <w:rPr>
          <w:rFonts w:ascii="Times New Roman" w:hAnsi="Times New Roman" w:cs="Times New Roman"/>
        </w:rPr>
      </w:pPr>
    </w:p>
    <w:p w:rsidR="0022422B" w:rsidP="0022422B" w:rsidRDefault="0022422B" w14:paraId="1ADFBEBC" w14:textId="77777777">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In the baseline, facilities are already required to conduct incident investigations. Management time is expected to be devoted primarily to decisions concerning resolution of corrective actions arising from the investigation. EPA assumes that these activities would require roughly the same amount of time whether corrective actions relate to root causes or other contributing causes. For simple facilities</w:t>
      </w:r>
      <w:r w:rsidRPr="004D4B61" w:rsidDel="00F55CD4">
        <w:rPr>
          <w:rFonts w:ascii="Times New Roman" w:hAnsi="Times New Roman" w:cs="Times New Roman"/>
        </w:rPr>
        <w:t xml:space="preserve">, </w:t>
      </w:r>
      <w:r w:rsidRPr="004D4B61">
        <w:rPr>
          <w:rFonts w:ascii="Times New Roman" w:hAnsi="Times New Roman" w:cs="Times New Roman"/>
        </w:rPr>
        <w:t>EPA assumed that labor for root cause analyses would require management time and additional time evenly distributed between production staff and engineers. For complex facilities, in addition to facility management, EPA estimated that due to the facility’s size and complexity, attorney hours would be required, along with the acknowledgment of corporate management, requiring 0.5 hours of corporate manager time. EPA also estimated that multiple hours of engineering and production staff would be required to conduct the analysis.</w:t>
      </w:r>
    </w:p>
    <w:p w:rsidRPr="004D4B61" w:rsidR="0022422B" w:rsidP="0022422B" w:rsidRDefault="0022422B" w14:paraId="14A4FC54" w14:textId="77777777">
      <w:pPr>
        <w:spacing w:after="0" w:line="240" w:lineRule="auto"/>
        <w:ind w:firstLine="360"/>
        <w:rPr>
          <w:rFonts w:ascii="Times New Roman" w:hAnsi="Times New Roman" w:cs="Times New Roman"/>
        </w:rPr>
      </w:pPr>
    </w:p>
    <w:p w:rsidR="0022422B" w:rsidP="0022422B" w:rsidRDefault="0022422B" w14:paraId="1870E7AD" w14:textId="77777777">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Complex facilities are estimated to require 132.5 total hours (68 hours of management, 0.5 hours of corporate management, 6 hours of attorneys, 30 hours of engineers, and 28 hours of production staff) for a root cause analysis and simple facilities are estimated to require 14 total hours (6 hours of management, 4 hours of engineering, and 4 hours of production). These hour estimates apply to root cause analyses of RMP-reportable accidents and reflect the additional time required for root cause analyses over and above incident investigation</w:t>
      </w:r>
      <w:r>
        <w:rPr>
          <w:rFonts w:ascii="Times New Roman" w:hAnsi="Times New Roman" w:cs="Times New Roman"/>
        </w:rPr>
        <w:t>.</w:t>
      </w:r>
    </w:p>
    <w:p w:rsidRPr="004D4B61" w:rsidR="0022422B" w:rsidP="0022422B" w:rsidRDefault="0022422B" w14:paraId="3E74A46D" w14:textId="77777777">
      <w:pPr>
        <w:spacing w:after="0" w:line="240" w:lineRule="auto"/>
        <w:ind w:firstLine="360"/>
        <w:rPr>
          <w:rFonts w:ascii="Times New Roman" w:hAnsi="Times New Roman" w:cs="Times New Roman"/>
        </w:rPr>
      </w:pPr>
    </w:p>
    <w:p w:rsidR="0022422B" w:rsidP="0022422B" w:rsidRDefault="0022422B" w14:paraId="1BD4B581" w14:textId="606F80D9">
      <w:pPr>
        <w:spacing w:after="0" w:line="240" w:lineRule="auto"/>
        <w:ind w:firstLine="360"/>
        <w:rPr>
          <w:rFonts w:ascii="Times New Roman" w:hAnsi="Times New Roman" w:cs="Times New Roman"/>
        </w:rPr>
      </w:pPr>
      <w:r>
        <w:rPr>
          <w:rFonts w:ascii="Times New Roman" w:hAnsi="Times New Roman" w:cs="Times New Roman"/>
        </w:rPr>
        <w:tab/>
      </w:r>
      <w:r w:rsidRPr="004D4B61">
        <w:rPr>
          <w:rFonts w:ascii="Times New Roman" w:hAnsi="Times New Roman" w:cs="Times New Roman"/>
        </w:rPr>
        <w:t xml:space="preserve">EPA is retaining the estimate in the </w:t>
      </w:r>
      <w:r w:rsidR="00DE1D6B">
        <w:rPr>
          <w:rFonts w:ascii="Times New Roman" w:hAnsi="Times New Roman" w:cs="Times New Roman"/>
        </w:rPr>
        <w:t>a</w:t>
      </w:r>
      <w:r w:rsidRPr="004D4B61">
        <w:rPr>
          <w:rFonts w:ascii="Times New Roman" w:hAnsi="Times New Roman" w:cs="Times New Roman"/>
        </w:rPr>
        <w:t>mendments rule RIA that simple facility costs include $1,000 for a trained facilitator to assist with the investigation and updating it to 2020 dollars. Complex facilities generally have staff familiar with the methodology and would conduct the root cause analysis in-house. Exhibit 4-</w:t>
      </w:r>
      <w:r w:rsidR="00C6654C">
        <w:rPr>
          <w:rFonts w:ascii="Times New Roman" w:hAnsi="Times New Roman" w:cs="Times New Roman"/>
        </w:rPr>
        <w:t>6</w:t>
      </w:r>
      <w:r w:rsidRPr="004D4B61">
        <w:rPr>
          <w:rFonts w:ascii="Times New Roman" w:hAnsi="Times New Roman" w:cs="Times New Roman"/>
        </w:rPr>
        <w:t xml:space="preserve"> displays the hours assumed for each labor category for each type of facility, and the estimated cost per facility. </w:t>
      </w:r>
    </w:p>
    <w:p w:rsidR="00CB6D74" w:rsidP="0022422B" w:rsidRDefault="00CB6D74" w14:paraId="7ADB166D" w14:textId="77777777">
      <w:pPr>
        <w:spacing w:after="0" w:line="240" w:lineRule="auto"/>
        <w:ind w:firstLine="360"/>
        <w:rPr>
          <w:rFonts w:ascii="Times New Roman" w:hAnsi="Times New Roman" w:cs="Times New Roman"/>
        </w:rPr>
      </w:pPr>
    </w:p>
    <w:p w:rsidR="00CB6D74" w:rsidP="0022422B" w:rsidRDefault="00CB6D74" w14:paraId="6F5A69B7" w14:textId="32620DD1">
      <w:pPr>
        <w:spacing w:after="0" w:line="240" w:lineRule="auto"/>
        <w:ind w:firstLine="360"/>
        <w:rPr>
          <w:rFonts w:ascii="Times New Roman" w:hAnsi="Times New Roman" w:cs="Times New Roman"/>
        </w:rPr>
      </w:pPr>
    </w:p>
    <w:p w:rsidR="006B58F2" w:rsidP="0022422B" w:rsidRDefault="006B58F2" w14:paraId="76B8CA63" w14:textId="2A393266">
      <w:pPr>
        <w:spacing w:after="0" w:line="240" w:lineRule="auto"/>
        <w:ind w:firstLine="360"/>
        <w:rPr>
          <w:rFonts w:ascii="Times New Roman" w:hAnsi="Times New Roman" w:cs="Times New Roman"/>
        </w:rPr>
      </w:pPr>
    </w:p>
    <w:p w:rsidR="006B58F2" w:rsidP="0022422B" w:rsidRDefault="006B58F2" w14:paraId="6F4F4566" w14:textId="4F264BCC">
      <w:pPr>
        <w:spacing w:after="0" w:line="240" w:lineRule="auto"/>
        <w:ind w:firstLine="360"/>
        <w:rPr>
          <w:rFonts w:ascii="Times New Roman" w:hAnsi="Times New Roman" w:cs="Times New Roman"/>
        </w:rPr>
      </w:pPr>
    </w:p>
    <w:p w:rsidR="00E32931" w:rsidP="0022422B" w:rsidRDefault="00E32931" w14:paraId="6F3A3F02" w14:textId="77777777">
      <w:pPr>
        <w:spacing w:after="0" w:line="240" w:lineRule="auto"/>
        <w:ind w:firstLine="360"/>
        <w:rPr>
          <w:rFonts w:ascii="Times New Roman" w:hAnsi="Times New Roman" w:cs="Times New Roman"/>
        </w:rPr>
      </w:pPr>
    </w:p>
    <w:p w:rsidRPr="004D4B61" w:rsidR="006B58F2" w:rsidP="0022422B" w:rsidRDefault="006B58F2" w14:paraId="0B36A0C3" w14:textId="77777777">
      <w:pPr>
        <w:spacing w:after="0" w:line="240" w:lineRule="auto"/>
        <w:ind w:firstLine="360"/>
        <w:rPr>
          <w:rFonts w:ascii="Times New Roman" w:hAnsi="Times New Roman" w:cs="Times New Roman"/>
        </w:rPr>
      </w:pPr>
    </w:p>
    <w:p w:rsidRPr="004D4B61" w:rsidR="0022422B" w:rsidP="0022422B" w:rsidRDefault="0022422B" w14:paraId="4A43C96A" w14:textId="77777777">
      <w:pPr>
        <w:spacing w:after="0" w:line="240" w:lineRule="auto"/>
        <w:ind w:firstLine="360"/>
        <w:rPr>
          <w:rFonts w:ascii="Times New Roman" w:hAnsi="Times New Roman" w:cs="Times New Roman"/>
        </w:rPr>
      </w:pPr>
    </w:p>
    <w:p w:rsidRPr="00F068F8" w:rsidR="0022422B" w:rsidP="0022422B" w:rsidRDefault="0022422B" w14:paraId="2592C026" w14:textId="2F7D45E3">
      <w:pPr>
        <w:pStyle w:val="Caption"/>
        <w:jc w:val="center"/>
        <w:rPr>
          <w:rFonts w:ascii="Times New Roman" w:hAnsi="Times New Roman" w:cs="Times New Roman"/>
          <w:b/>
          <w:bCs/>
          <w:i w:val="0"/>
          <w:iCs w:val="0"/>
          <w:color w:val="auto"/>
          <w:sz w:val="22"/>
          <w:szCs w:val="22"/>
        </w:rPr>
      </w:pPr>
      <w:r w:rsidRPr="00F068F8">
        <w:rPr>
          <w:rFonts w:ascii="Times New Roman" w:hAnsi="Times New Roman" w:cs="Times New Roman"/>
          <w:b/>
          <w:bCs/>
          <w:i w:val="0"/>
          <w:iCs w:val="0"/>
          <w:color w:val="auto"/>
          <w:sz w:val="22"/>
          <w:szCs w:val="22"/>
        </w:rPr>
        <w:lastRenderedPageBreak/>
        <w:t>Exhibit 4-</w:t>
      </w:r>
      <w:r w:rsidR="007F6842">
        <w:rPr>
          <w:rFonts w:ascii="Times New Roman" w:hAnsi="Times New Roman" w:cs="Times New Roman"/>
          <w:b/>
          <w:bCs/>
          <w:i w:val="0"/>
          <w:iCs w:val="0"/>
          <w:color w:val="auto"/>
          <w:sz w:val="22"/>
          <w:szCs w:val="22"/>
        </w:rPr>
        <w:t>6</w:t>
      </w:r>
      <w:r w:rsidRPr="00F068F8">
        <w:rPr>
          <w:rFonts w:ascii="Times New Roman" w:hAnsi="Times New Roman" w:cs="Times New Roman"/>
          <w:b/>
          <w:bCs/>
          <w:i w:val="0"/>
          <w:iCs w:val="0"/>
          <w:color w:val="auto"/>
          <w:sz w:val="22"/>
          <w:szCs w:val="22"/>
        </w:rPr>
        <w:t>: Unit Cost for Root Cause Analysis</w:t>
      </w:r>
      <w:r w:rsidR="00AA37B3">
        <w:rPr>
          <w:rFonts w:ascii="Times New Roman" w:hAnsi="Times New Roman" w:cs="Times New Roman"/>
          <w:b/>
          <w:bCs/>
          <w:i w:val="0"/>
          <w:iCs w:val="0"/>
          <w:color w:val="auto"/>
          <w:sz w:val="22"/>
          <w:szCs w:val="22"/>
        </w:rPr>
        <w:t xml:space="preserve"> </w:t>
      </w:r>
      <w:r w:rsidRPr="00835820" w:rsidR="00462FA3">
        <w:rPr>
          <w:rFonts w:ascii="Times New Roman" w:hAnsi="Times New Roman" w:cs="Times New Roman"/>
          <w:b/>
          <w:bCs/>
          <w:i w:val="0"/>
          <w:iCs w:val="0"/>
          <w:color w:val="auto"/>
          <w:sz w:val="22"/>
          <w:szCs w:val="22"/>
        </w:rPr>
        <w:t>(2020 dollars)</w:t>
      </w:r>
      <w:r w:rsidRPr="00F068F8">
        <w:rPr>
          <w:rFonts w:ascii="Times New Roman" w:hAnsi="Times New Roman" w:cs="Times New Roman"/>
          <w:b/>
          <w:bCs/>
          <w:i w:val="0"/>
          <w:iCs w:val="0"/>
          <w:color w:val="auto"/>
          <w:sz w:val="22"/>
          <w:szCs w:val="22"/>
        </w:rPr>
        <w:t>.</w:t>
      </w:r>
    </w:p>
    <w:tbl>
      <w:tblPr>
        <w:tblW w:w="9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172"/>
        <w:gridCol w:w="1168"/>
        <w:gridCol w:w="1170"/>
        <w:gridCol w:w="1260"/>
        <w:gridCol w:w="1260"/>
        <w:gridCol w:w="990"/>
        <w:gridCol w:w="1170"/>
      </w:tblGrid>
      <w:tr w:rsidRPr="004D4B61" w:rsidR="0022422B" w:rsidTr="00E6210A" w14:paraId="695021E5" w14:textId="77777777">
        <w:trPr>
          <w:trHeight w:val="458"/>
          <w:jc w:val="center"/>
        </w:trPr>
        <w:tc>
          <w:tcPr>
            <w:tcW w:w="1435" w:type="dxa"/>
            <w:vMerge w:val="restart"/>
            <w:shd w:val="clear" w:color="auto" w:fill="D9D9D9"/>
            <w:vAlign w:val="bottom"/>
          </w:tcPr>
          <w:p w:rsidRPr="00D7128A" w:rsidR="0022422B" w:rsidP="00E6210A" w:rsidRDefault="0022422B" w14:paraId="09E24714"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Facility Type</w:t>
            </w:r>
          </w:p>
        </w:tc>
        <w:tc>
          <w:tcPr>
            <w:tcW w:w="6030" w:type="dxa"/>
            <w:gridSpan w:val="5"/>
            <w:shd w:val="clear" w:color="auto" w:fill="D9D9D9"/>
            <w:vAlign w:val="center"/>
          </w:tcPr>
          <w:p w:rsidRPr="00D7128A" w:rsidR="0022422B" w:rsidP="00E6210A" w:rsidRDefault="0022422B" w14:paraId="48CD7280" w14:textId="77777777">
            <w:pPr>
              <w:keepNext/>
              <w:spacing w:after="0" w:line="240" w:lineRule="auto"/>
              <w:ind w:right="2412"/>
              <w:jc w:val="right"/>
              <w:rPr>
                <w:rFonts w:ascii="Times New Roman" w:hAnsi="Times New Roman" w:cs="Times New Roman"/>
                <w:b/>
                <w:sz w:val="20"/>
                <w:szCs w:val="20"/>
              </w:rPr>
            </w:pPr>
            <w:r w:rsidRPr="00D7128A">
              <w:rPr>
                <w:rFonts w:ascii="Times New Roman" w:hAnsi="Times New Roman" w:cs="Times New Roman"/>
                <w:b/>
                <w:sz w:val="20"/>
                <w:szCs w:val="20"/>
              </w:rPr>
              <w:t>Labor Hours</w:t>
            </w:r>
          </w:p>
        </w:tc>
        <w:tc>
          <w:tcPr>
            <w:tcW w:w="990" w:type="dxa"/>
            <w:vMerge w:val="restart"/>
            <w:shd w:val="clear" w:color="auto" w:fill="D9D9D9"/>
            <w:vAlign w:val="bottom"/>
          </w:tcPr>
          <w:p w:rsidRPr="00D7128A" w:rsidR="0022422B" w:rsidP="00E6210A" w:rsidRDefault="0022422B" w14:paraId="0CAE8719" w14:textId="77777777">
            <w:pPr>
              <w:keepNext/>
              <w:spacing w:after="0" w:line="240" w:lineRule="auto"/>
              <w:ind w:right="87" w:hanging="2"/>
              <w:jc w:val="center"/>
              <w:rPr>
                <w:rFonts w:ascii="Times New Roman" w:hAnsi="Times New Roman" w:cs="Times New Roman"/>
                <w:b/>
                <w:sz w:val="20"/>
                <w:szCs w:val="20"/>
              </w:rPr>
            </w:pPr>
            <w:r w:rsidRPr="00D7128A">
              <w:rPr>
                <w:rFonts w:ascii="Times New Roman" w:hAnsi="Times New Roman" w:cs="Times New Roman"/>
                <w:b/>
                <w:sz w:val="20"/>
                <w:szCs w:val="20"/>
              </w:rPr>
              <w:t>Other Costs</w:t>
            </w:r>
          </w:p>
        </w:tc>
        <w:tc>
          <w:tcPr>
            <w:tcW w:w="1170" w:type="dxa"/>
            <w:vMerge w:val="restart"/>
            <w:shd w:val="clear" w:color="auto" w:fill="D9D9D9"/>
            <w:vAlign w:val="bottom"/>
          </w:tcPr>
          <w:p w:rsidRPr="00D7128A" w:rsidR="0022422B" w:rsidP="00E6210A" w:rsidRDefault="0022422B" w14:paraId="1E818175" w14:textId="77777777">
            <w:pPr>
              <w:keepNext/>
              <w:spacing w:after="0" w:line="240" w:lineRule="auto"/>
              <w:ind w:right="204"/>
              <w:jc w:val="center"/>
              <w:rPr>
                <w:rFonts w:ascii="Times New Roman" w:hAnsi="Times New Roman" w:cs="Times New Roman"/>
                <w:b/>
                <w:sz w:val="20"/>
                <w:szCs w:val="20"/>
              </w:rPr>
            </w:pPr>
            <w:r w:rsidRPr="00D7128A">
              <w:rPr>
                <w:rFonts w:ascii="Times New Roman" w:hAnsi="Times New Roman" w:cs="Times New Roman"/>
                <w:b/>
                <w:sz w:val="20"/>
                <w:szCs w:val="20"/>
              </w:rPr>
              <w:t>Facility Cost</w:t>
            </w:r>
          </w:p>
        </w:tc>
      </w:tr>
      <w:tr w:rsidRPr="004D4B61" w:rsidR="0022422B" w:rsidTr="00E6210A" w14:paraId="4EAADEB7" w14:textId="77777777">
        <w:trPr>
          <w:trHeight w:val="712"/>
          <w:jc w:val="center"/>
        </w:trPr>
        <w:tc>
          <w:tcPr>
            <w:tcW w:w="1435" w:type="dxa"/>
            <w:vMerge/>
            <w:tcBorders>
              <w:top w:val="nil"/>
            </w:tcBorders>
            <w:shd w:val="clear" w:color="auto" w:fill="D9D9D9"/>
            <w:vAlign w:val="center"/>
          </w:tcPr>
          <w:p w:rsidRPr="00D7128A" w:rsidR="0022422B" w:rsidP="00E6210A" w:rsidRDefault="0022422B" w14:paraId="42313777" w14:textId="77777777">
            <w:pPr>
              <w:keepNext/>
              <w:spacing w:after="0" w:line="240" w:lineRule="auto"/>
              <w:jc w:val="center"/>
              <w:rPr>
                <w:rFonts w:ascii="Times New Roman" w:hAnsi="Times New Roman" w:cs="Times New Roman"/>
                <w:sz w:val="20"/>
                <w:szCs w:val="20"/>
              </w:rPr>
            </w:pPr>
          </w:p>
        </w:tc>
        <w:tc>
          <w:tcPr>
            <w:tcW w:w="1172" w:type="dxa"/>
            <w:shd w:val="clear" w:color="auto" w:fill="D9D9D9"/>
            <w:vAlign w:val="center"/>
          </w:tcPr>
          <w:p w:rsidRPr="00D7128A" w:rsidR="0022422B" w:rsidP="00E6210A" w:rsidRDefault="0022422B" w14:paraId="7529B1EF" w14:textId="77777777">
            <w:pPr>
              <w:keepNext/>
              <w:spacing w:after="0" w:line="240" w:lineRule="auto"/>
              <w:ind w:right="113"/>
              <w:jc w:val="center"/>
              <w:rPr>
                <w:rFonts w:ascii="Times New Roman" w:hAnsi="Times New Roman" w:cs="Times New Roman"/>
                <w:b/>
                <w:sz w:val="20"/>
                <w:szCs w:val="20"/>
              </w:rPr>
            </w:pPr>
            <w:r w:rsidRPr="00D7128A">
              <w:rPr>
                <w:rFonts w:ascii="Times New Roman" w:hAnsi="Times New Roman" w:cs="Times New Roman"/>
                <w:b/>
                <w:sz w:val="20"/>
                <w:szCs w:val="20"/>
              </w:rPr>
              <w:t>Managers</w:t>
            </w:r>
          </w:p>
        </w:tc>
        <w:tc>
          <w:tcPr>
            <w:tcW w:w="1168" w:type="dxa"/>
            <w:shd w:val="clear" w:color="auto" w:fill="D9D9D9"/>
            <w:vAlign w:val="center"/>
          </w:tcPr>
          <w:p w:rsidRPr="00D7128A" w:rsidR="0022422B" w:rsidP="00E6210A" w:rsidRDefault="0022422B" w14:paraId="5B9C18A1" w14:textId="77777777">
            <w:pPr>
              <w:keepNext/>
              <w:spacing w:after="0" w:line="240" w:lineRule="auto"/>
              <w:ind w:right="119"/>
              <w:jc w:val="center"/>
              <w:rPr>
                <w:rFonts w:ascii="Times New Roman" w:hAnsi="Times New Roman" w:cs="Times New Roman"/>
                <w:b/>
                <w:sz w:val="20"/>
                <w:szCs w:val="20"/>
              </w:rPr>
            </w:pPr>
            <w:r w:rsidRPr="00D7128A">
              <w:rPr>
                <w:rFonts w:ascii="Times New Roman" w:hAnsi="Times New Roman" w:cs="Times New Roman"/>
                <w:b/>
                <w:sz w:val="20"/>
                <w:szCs w:val="20"/>
              </w:rPr>
              <w:t>Corporate Mgmt.</w:t>
            </w:r>
          </w:p>
        </w:tc>
        <w:tc>
          <w:tcPr>
            <w:tcW w:w="1170" w:type="dxa"/>
            <w:shd w:val="clear" w:color="auto" w:fill="D9D9D9"/>
            <w:vAlign w:val="center"/>
          </w:tcPr>
          <w:p w:rsidRPr="00D7128A" w:rsidR="0022422B" w:rsidP="00E6210A" w:rsidRDefault="0022422B" w14:paraId="0E69CD9B" w14:textId="77777777">
            <w:pPr>
              <w:keepNext/>
              <w:spacing w:after="0" w:line="240" w:lineRule="auto"/>
              <w:ind w:right="76"/>
              <w:jc w:val="center"/>
              <w:rPr>
                <w:rFonts w:ascii="Times New Roman" w:hAnsi="Times New Roman" w:cs="Times New Roman"/>
                <w:b/>
                <w:sz w:val="20"/>
                <w:szCs w:val="20"/>
              </w:rPr>
            </w:pPr>
            <w:r w:rsidRPr="00D7128A">
              <w:rPr>
                <w:rFonts w:ascii="Times New Roman" w:hAnsi="Times New Roman" w:cs="Times New Roman"/>
                <w:b/>
                <w:sz w:val="20"/>
                <w:szCs w:val="20"/>
              </w:rPr>
              <w:t>Attorneys</w:t>
            </w:r>
          </w:p>
        </w:tc>
        <w:tc>
          <w:tcPr>
            <w:tcW w:w="1260" w:type="dxa"/>
            <w:shd w:val="clear" w:color="auto" w:fill="D9D9D9"/>
            <w:vAlign w:val="center"/>
          </w:tcPr>
          <w:p w:rsidRPr="00D7128A" w:rsidR="0022422B" w:rsidP="00E6210A" w:rsidRDefault="0022422B" w14:paraId="0C01631E" w14:textId="77777777">
            <w:pPr>
              <w:keepNext/>
              <w:spacing w:after="0" w:line="240" w:lineRule="auto"/>
              <w:ind w:right="132" w:firstLine="87"/>
              <w:jc w:val="center"/>
              <w:rPr>
                <w:rFonts w:ascii="Times New Roman" w:hAnsi="Times New Roman" w:cs="Times New Roman"/>
                <w:b/>
                <w:sz w:val="20"/>
                <w:szCs w:val="20"/>
              </w:rPr>
            </w:pPr>
            <w:r w:rsidRPr="00D7128A">
              <w:rPr>
                <w:rFonts w:ascii="Times New Roman" w:hAnsi="Times New Roman" w:cs="Times New Roman"/>
                <w:b/>
                <w:sz w:val="20"/>
                <w:szCs w:val="20"/>
              </w:rPr>
              <w:t>Engineers</w:t>
            </w:r>
          </w:p>
        </w:tc>
        <w:tc>
          <w:tcPr>
            <w:tcW w:w="1260" w:type="dxa"/>
            <w:shd w:val="clear" w:color="auto" w:fill="D9D9D9"/>
            <w:vAlign w:val="center"/>
          </w:tcPr>
          <w:p w:rsidRPr="00D7128A" w:rsidR="0022422B" w:rsidP="00E6210A" w:rsidRDefault="0022422B" w14:paraId="2C442508" w14:textId="77777777">
            <w:pPr>
              <w:keepNext/>
              <w:spacing w:after="0" w:line="240" w:lineRule="auto"/>
              <w:ind w:right="91" w:firstLine="89"/>
              <w:jc w:val="center"/>
              <w:rPr>
                <w:rFonts w:ascii="Times New Roman" w:hAnsi="Times New Roman" w:cs="Times New Roman"/>
                <w:b/>
                <w:sz w:val="20"/>
                <w:szCs w:val="20"/>
              </w:rPr>
            </w:pPr>
            <w:r w:rsidRPr="00D7128A">
              <w:rPr>
                <w:rFonts w:ascii="Times New Roman" w:hAnsi="Times New Roman" w:cs="Times New Roman"/>
                <w:b/>
                <w:sz w:val="20"/>
                <w:szCs w:val="20"/>
              </w:rPr>
              <w:t>Production</w:t>
            </w:r>
          </w:p>
        </w:tc>
        <w:tc>
          <w:tcPr>
            <w:tcW w:w="990" w:type="dxa"/>
            <w:vMerge/>
            <w:tcBorders>
              <w:top w:val="nil"/>
            </w:tcBorders>
            <w:shd w:val="clear" w:color="auto" w:fill="D9D9D9"/>
            <w:vAlign w:val="center"/>
          </w:tcPr>
          <w:p w:rsidRPr="00D7128A" w:rsidR="0022422B" w:rsidP="00E6210A" w:rsidRDefault="0022422B" w14:paraId="4D4D610C" w14:textId="77777777">
            <w:pPr>
              <w:keepNext/>
              <w:spacing w:after="0" w:line="240" w:lineRule="auto"/>
              <w:jc w:val="center"/>
              <w:rPr>
                <w:rFonts w:ascii="Times New Roman" w:hAnsi="Times New Roman" w:cs="Times New Roman"/>
                <w:sz w:val="20"/>
                <w:szCs w:val="20"/>
              </w:rPr>
            </w:pPr>
          </w:p>
        </w:tc>
        <w:tc>
          <w:tcPr>
            <w:tcW w:w="1170" w:type="dxa"/>
            <w:vMerge/>
            <w:tcBorders>
              <w:top w:val="nil"/>
            </w:tcBorders>
            <w:shd w:val="clear" w:color="auto" w:fill="D9D9D9"/>
            <w:vAlign w:val="center"/>
          </w:tcPr>
          <w:p w:rsidRPr="00D7128A" w:rsidR="0022422B" w:rsidP="00E6210A" w:rsidRDefault="0022422B" w14:paraId="2C90EB98" w14:textId="77777777">
            <w:pPr>
              <w:keepNext/>
              <w:spacing w:after="0" w:line="240" w:lineRule="auto"/>
              <w:jc w:val="center"/>
              <w:rPr>
                <w:rFonts w:ascii="Times New Roman" w:hAnsi="Times New Roman" w:cs="Times New Roman"/>
                <w:sz w:val="20"/>
                <w:szCs w:val="20"/>
              </w:rPr>
            </w:pPr>
          </w:p>
        </w:tc>
      </w:tr>
      <w:tr w:rsidRPr="004D4B61" w:rsidR="0022422B" w:rsidTr="00E6210A" w14:paraId="7C7FEEB7" w14:textId="77777777">
        <w:trPr>
          <w:trHeight w:val="455"/>
          <w:jc w:val="center"/>
        </w:trPr>
        <w:tc>
          <w:tcPr>
            <w:tcW w:w="1435" w:type="dxa"/>
            <w:vAlign w:val="center"/>
          </w:tcPr>
          <w:p w:rsidRPr="00D7128A" w:rsidR="0022422B" w:rsidP="00E6210A" w:rsidRDefault="0022422B" w14:paraId="0C2EEAAD" w14:textId="77777777">
            <w:pPr>
              <w:keepNext/>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P2 - Simple</w:t>
            </w:r>
          </w:p>
        </w:tc>
        <w:tc>
          <w:tcPr>
            <w:tcW w:w="1172" w:type="dxa"/>
            <w:vAlign w:val="center"/>
          </w:tcPr>
          <w:p w:rsidRPr="00D7128A" w:rsidR="0022422B" w:rsidP="00E6210A" w:rsidRDefault="0022422B" w14:paraId="7EED9A4D" w14:textId="77777777">
            <w:pPr>
              <w:keepNext/>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6</w:t>
            </w:r>
          </w:p>
        </w:tc>
        <w:tc>
          <w:tcPr>
            <w:tcW w:w="1168" w:type="dxa"/>
            <w:vAlign w:val="center"/>
          </w:tcPr>
          <w:p w:rsidRPr="00D7128A" w:rsidR="0022422B" w:rsidP="00E6210A" w:rsidRDefault="0022422B" w14:paraId="7C4589A9" w14:textId="77777777">
            <w:pPr>
              <w:keepNext/>
              <w:spacing w:after="0" w:line="240" w:lineRule="auto"/>
              <w:ind w:left="3"/>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22422B" w:rsidP="00E6210A" w:rsidRDefault="0022422B" w14:paraId="12BF04D2" w14:textId="77777777">
            <w:pPr>
              <w:keepNext/>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60" w:type="dxa"/>
            <w:vAlign w:val="center"/>
          </w:tcPr>
          <w:p w:rsidRPr="00D7128A" w:rsidR="0022422B" w:rsidP="00E6210A" w:rsidRDefault="0022422B" w14:paraId="45289979" w14:textId="77777777">
            <w:pPr>
              <w:keepNext/>
              <w:spacing w:after="0" w:line="240" w:lineRule="auto"/>
              <w:ind w:left="4"/>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1260" w:type="dxa"/>
            <w:vAlign w:val="center"/>
          </w:tcPr>
          <w:p w:rsidRPr="00D7128A" w:rsidR="0022422B" w:rsidP="00E6210A" w:rsidRDefault="0022422B" w14:paraId="41947EBD" w14:textId="77777777">
            <w:pPr>
              <w:keepNext/>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990" w:type="dxa"/>
            <w:vAlign w:val="center"/>
          </w:tcPr>
          <w:p w:rsidRPr="00D7128A" w:rsidR="0022422B" w:rsidP="00E6210A" w:rsidRDefault="0022422B" w14:paraId="78CEF2F2" w14:textId="77777777">
            <w:pPr>
              <w:keepNext/>
              <w:spacing w:after="0" w:line="240" w:lineRule="auto"/>
              <w:ind w:left="136" w:right="129"/>
              <w:jc w:val="center"/>
              <w:rPr>
                <w:rFonts w:ascii="Times New Roman" w:hAnsi="Times New Roman" w:cs="Times New Roman"/>
                <w:sz w:val="20"/>
                <w:szCs w:val="20"/>
              </w:rPr>
            </w:pPr>
            <w:r w:rsidRPr="00D7128A">
              <w:rPr>
                <w:rFonts w:ascii="Times New Roman" w:hAnsi="Times New Roman" w:cs="Times New Roman"/>
                <w:sz w:val="20"/>
                <w:szCs w:val="20"/>
              </w:rPr>
              <w:t>$1,087</w:t>
            </w:r>
          </w:p>
        </w:tc>
        <w:tc>
          <w:tcPr>
            <w:tcW w:w="1170" w:type="dxa"/>
            <w:vAlign w:val="center"/>
          </w:tcPr>
          <w:p w:rsidRPr="00D7128A" w:rsidR="0022422B" w:rsidP="00E6210A" w:rsidRDefault="0022422B" w14:paraId="364B2966" w14:textId="77777777">
            <w:pPr>
              <w:keepNext/>
              <w:spacing w:after="0" w:line="240" w:lineRule="auto"/>
              <w:ind w:left="171" w:right="163"/>
              <w:jc w:val="center"/>
              <w:rPr>
                <w:rFonts w:ascii="Times New Roman" w:hAnsi="Times New Roman" w:cs="Times New Roman"/>
                <w:sz w:val="20"/>
                <w:szCs w:val="20"/>
              </w:rPr>
            </w:pPr>
            <w:r w:rsidRPr="00D7128A">
              <w:rPr>
                <w:rFonts w:ascii="Times New Roman" w:hAnsi="Times New Roman" w:cs="Times New Roman"/>
                <w:color w:val="000000"/>
                <w:sz w:val="20"/>
                <w:szCs w:val="20"/>
              </w:rPr>
              <w:t>$2,141</w:t>
            </w:r>
          </w:p>
        </w:tc>
      </w:tr>
      <w:tr w:rsidRPr="004D4B61" w:rsidR="0022422B" w:rsidTr="00E6210A" w14:paraId="4291E158" w14:textId="77777777">
        <w:trPr>
          <w:trHeight w:val="455"/>
          <w:jc w:val="center"/>
        </w:trPr>
        <w:tc>
          <w:tcPr>
            <w:tcW w:w="1435" w:type="dxa"/>
            <w:vAlign w:val="center"/>
          </w:tcPr>
          <w:p w:rsidRPr="00D7128A" w:rsidR="0022422B" w:rsidP="00E6210A" w:rsidRDefault="0022422B" w14:paraId="52F5D951"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P2 - Complex</w:t>
            </w:r>
          </w:p>
        </w:tc>
        <w:tc>
          <w:tcPr>
            <w:tcW w:w="1172" w:type="dxa"/>
            <w:vAlign w:val="center"/>
          </w:tcPr>
          <w:p w:rsidRPr="00D7128A" w:rsidR="0022422B" w:rsidP="00E6210A" w:rsidRDefault="0022422B" w14:paraId="3C9ED590" w14:textId="77777777">
            <w:pPr>
              <w:spacing w:after="0" w:line="240" w:lineRule="auto"/>
              <w:ind w:left="158" w:right="149"/>
              <w:jc w:val="center"/>
              <w:rPr>
                <w:rFonts w:ascii="Times New Roman" w:hAnsi="Times New Roman" w:cs="Times New Roman"/>
                <w:sz w:val="20"/>
                <w:szCs w:val="20"/>
              </w:rPr>
            </w:pPr>
            <w:r w:rsidRPr="00D7128A">
              <w:rPr>
                <w:rFonts w:ascii="Times New Roman" w:hAnsi="Times New Roman" w:cs="Times New Roman"/>
                <w:sz w:val="20"/>
                <w:szCs w:val="20"/>
              </w:rPr>
              <w:t>68</w:t>
            </w:r>
          </w:p>
        </w:tc>
        <w:tc>
          <w:tcPr>
            <w:tcW w:w="1168" w:type="dxa"/>
            <w:vAlign w:val="center"/>
          </w:tcPr>
          <w:p w:rsidRPr="00D7128A" w:rsidR="0022422B" w:rsidP="00E6210A" w:rsidRDefault="0022422B" w14:paraId="3473C6B0" w14:textId="77777777">
            <w:pPr>
              <w:spacing w:after="0" w:line="240" w:lineRule="auto"/>
              <w:ind w:left="137" w:right="132"/>
              <w:jc w:val="center"/>
              <w:rPr>
                <w:rFonts w:ascii="Times New Roman" w:hAnsi="Times New Roman" w:cs="Times New Roman"/>
                <w:sz w:val="20"/>
                <w:szCs w:val="20"/>
              </w:rPr>
            </w:pPr>
            <w:r w:rsidRPr="00D7128A">
              <w:rPr>
                <w:rFonts w:ascii="Times New Roman" w:hAnsi="Times New Roman" w:cs="Times New Roman"/>
                <w:sz w:val="20"/>
                <w:szCs w:val="20"/>
              </w:rPr>
              <w:t>0.5</w:t>
            </w:r>
          </w:p>
        </w:tc>
        <w:tc>
          <w:tcPr>
            <w:tcW w:w="1170" w:type="dxa"/>
            <w:vAlign w:val="center"/>
          </w:tcPr>
          <w:p w:rsidRPr="00D7128A" w:rsidR="0022422B" w:rsidP="00E6210A" w:rsidRDefault="0022422B" w14:paraId="589A0B74"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6</w:t>
            </w:r>
          </w:p>
        </w:tc>
        <w:tc>
          <w:tcPr>
            <w:tcW w:w="1260" w:type="dxa"/>
            <w:vAlign w:val="center"/>
          </w:tcPr>
          <w:p w:rsidRPr="00D7128A" w:rsidR="0022422B" w:rsidP="00E6210A" w:rsidRDefault="0022422B" w14:paraId="28B63FDA" w14:textId="77777777">
            <w:pPr>
              <w:spacing w:after="0" w:line="240" w:lineRule="auto"/>
              <w:ind w:left="137" w:right="130"/>
              <w:jc w:val="center"/>
              <w:rPr>
                <w:rFonts w:ascii="Times New Roman" w:hAnsi="Times New Roman" w:cs="Times New Roman"/>
                <w:sz w:val="20"/>
                <w:szCs w:val="20"/>
              </w:rPr>
            </w:pPr>
            <w:r w:rsidRPr="00D7128A">
              <w:rPr>
                <w:rFonts w:ascii="Times New Roman" w:hAnsi="Times New Roman" w:cs="Times New Roman"/>
                <w:sz w:val="20"/>
                <w:szCs w:val="20"/>
              </w:rPr>
              <w:t>30</w:t>
            </w:r>
          </w:p>
        </w:tc>
        <w:tc>
          <w:tcPr>
            <w:tcW w:w="1260" w:type="dxa"/>
            <w:vAlign w:val="center"/>
          </w:tcPr>
          <w:p w:rsidRPr="00D7128A" w:rsidR="0022422B" w:rsidP="00E6210A" w:rsidRDefault="0022422B" w14:paraId="72BC5872" w14:textId="77777777">
            <w:pPr>
              <w:spacing w:after="0" w:line="240" w:lineRule="auto"/>
              <w:ind w:left="103" w:right="91"/>
              <w:jc w:val="center"/>
              <w:rPr>
                <w:rFonts w:ascii="Times New Roman" w:hAnsi="Times New Roman" w:cs="Times New Roman"/>
                <w:sz w:val="20"/>
                <w:szCs w:val="20"/>
              </w:rPr>
            </w:pPr>
            <w:r w:rsidRPr="00D7128A">
              <w:rPr>
                <w:rFonts w:ascii="Times New Roman" w:hAnsi="Times New Roman" w:cs="Times New Roman"/>
                <w:sz w:val="20"/>
                <w:szCs w:val="20"/>
              </w:rPr>
              <w:t>28</w:t>
            </w:r>
          </w:p>
        </w:tc>
        <w:tc>
          <w:tcPr>
            <w:tcW w:w="990" w:type="dxa"/>
            <w:vAlign w:val="center"/>
          </w:tcPr>
          <w:p w:rsidRPr="00D7128A" w:rsidR="0022422B" w:rsidP="00E6210A" w:rsidRDefault="0022422B" w14:paraId="3E9A0DD7" w14:textId="77777777">
            <w:pPr>
              <w:spacing w:after="0" w:line="240" w:lineRule="auto"/>
              <w:ind w:left="136" w:right="12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22422B" w:rsidP="00E6210A" w:rsidRDefault="0022422B" w14:paraId="3711D7D5" w14:textId="77777777">
            <w:pPr>
              <w:spacing w:after="0" w:line="240" w:lineRule="auto"/>
              <w:ind w:left="171" w:right="163"/>
              <w:jc w:val="center"/>
              <w:rPr>
                <w:rFonts w:ascii="Times New Roman" w:hAnsi="Times New Roman" w:cs="Times New Roman"/>
                <w:sz w:val="20"/>
                <w:szCs w:val="20"/>
              </w:rPr>
            </w:pPr>
            <w:r w:rsidRPr="00D7128A">
              <w:rPr>
                <w:rFonts w:ascii="Times New Roman" w:hAnsi="Times New Roman" w:cs="Times New Roman"/>
                <w:color w:val="000000"/>
                <w:sz w:val="20"/>
                <w:szCs w:val="20"/>
              </w:rPr>
              <w:t>$14,835</w:t>
            </w:r>
          </w:p>
        </w:tc>
      </w:tr>
      <w:tr w:rsidRPr="004D4B61" w:rsidR="0022422B" w:rsidTr="00E6210A" w14:paraId="1C55C53F" w14:textId="77777777">
        <w:trPr>
          <w:trHeight w:val="458"/>
          <w:jc w:val="center"/>
        </w:trPr>
        <w:tc>
          <w:tcPr>
            <w:tcW w:w="1435" w:type="dxa"/>
            <w:vAlign w:val="center"/>
          </w:tcPr>
          <w:p w:rsidRPr="00D7128A" w:rsidR="0022422B" w:rsidP="00E6210A" w:rsidRDefault="0022422B" w14:paraId="717EB413"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P3 - Simple</w:t>
            </w:r>
          </w:p>
        </w:tc>
        <w:tc>
          <w:tcPr>
            <w:tcW w:w="1172" w:type="dxa"/>
            <w:vAlign w:val="center"/>
          </w:tcPr>
          <w:p w:rsidRPr="00D7128A" w:rsidR="0022422B" w:rsidP="00E6210A" w:rsidRDefault="0022422B" w14:paraId="24CF2534"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6</w:t>
            </w:r>
          </w:p>
        </w:tc>
        <w:tc>
          <w:tcPr>
            <w:tcW w:w="1168" w:type="dxa"/>
            <w:vAlign w:val="center"/>
          </w:tcPr>
          <w:p w:rsidRPr="00D7128A" w:rsidR="0022422B" w:rsidP="00E6210A" w:rsidRDefault="0022422B" w14:paraId="39D30FBC" w14:textId="77777777">
            <w:pPr>
              <w:spacing w:after="0" w:line="240" w:lineRule="auto"/>
              <w:ind w:left="3"/>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22422B" w:rsidP="00E6210A" w:rsidRDefault="0022422B" w14:paraId="710F82F3"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260" w:type="dxa"/>
            <w:vAlign w:val="center"/>
          </w:tcPr>
          <w:p w:rsidRPr="00D7128A" w:rsidR="0022422B" w:rsidP="00E6210A" w:rsidRDefault="0022422B" w14:paraId="7B1F9471" w14:textId="77777777">
            <w:pPr>
              <w:spacing w:after="0" w:line="240" w:lineRule="auto"/>
              <w:ind w:left="4"/>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1260" w:type="dxa"/>
            <w:vAlign w:val="center"/>
          </w:tcPr>
          <w:p w:rsidRPr="00D7128A" w:rsidR="0022422B" w:rsidP="00E6210A" w:rsidRDefault="0022422B" w14:paraId="058EB01C"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4</w:t>
            </w:r>
          </w:p>
        </w:tc>
        <w:tc>
          <w:tcPr>
            <w:tcW w:w="990" w:type="dxa"/>
            <w:vAlign w:val="center"/>
          </w:tcPr>
          <w:p w:rsidRPr="00D7128A" w:rsidR="0022422B" w:rsidP="00E6210A" w:rsidRDefault="0022422B" w14:paraId="4E06DBCB" w14:textId="77777777">
            <w:pPr>
              <w:spacing w:after="0" w:line="240" w:lineRule="auto"/>
              <w:ind w:left="136" w:right="129"/>
              <w:jc w:val="center"/>
              <w:rPr>
                <w:rFonts w:ascii="Times New Roman" w:hAnsi="Times New Roman" w:cs="Times New Roman"/>
                <w:sz w:val="20"/>
                <w:szCs w:val="20"/>
              </w:rPr>
            </w:pPr>
            <w:r w:rsidRPr="00D7128A">
              <w:rPr>
                <w:rFonts w:ascii="Times New Roman" w:hAnsi="Times New Roman" w:cs="Times New Roman"/>
                <w:sz w:val="20"/>
                <w:szCs w:val="20"/>
              </w:rPr>
              <w:t>$1,087</w:t>
            </w:r>
          </w:p>
        </w:tc>
        <w:tc>
          <w:tcPr>
            <w:tcW w:w="1170" w:type="dxa"/>
            <w:vAlign w:val="center"/>
          </w:tcPr>
          <w:p w:rsidRPr="00D7128A" w:rsidR="0022422B" w:rsidP="00E6210A" w:rsidRDefault="0022422B" w14:paraId="782AC85E" w14:textId="77777777">
            <w:pPr>
              <w:spacing w:after="0" w:line="240" w:lineRule="auto"/>
              <w:ind w:left="171" w:right="163"/>
              <w:jc w:val="center"/>
              <w:rPr>
                <w:rFonts w:ascii="Times New Roman" w:hAnsi="Times New Roman" w:cs="Times New Roman"/>
                <w:sz w:val="20"/>
                <w:szCs w:val="20"/>
              </w:rPr>
            </w:pPr>
            <w:r w:rsidRPr="00D7128A">
              <w:rPr>
                <w:rFonts w:ascii="Times New Roman" w:hAnsi="Times New Roman" w:cs="Times New Roman"/>
                <w:color w:val="000000"/>
                <w:sz w:val="20"/>
                <w:szCs w:val="20"/>
              </w:rPr>
              <w:t>$2,141</w:t>
            </w:r>
          </w:p>
        </w:tc>
      </w:tr>
      <w:tr w:rsidRPr="004D4B61" w:rsidR="0022422B" w:rsidTr="00E6210A" w14:paraId="63BA1828" w14:textId="77777777">
        <w:trPr>
          <w:trHeight w:val="455"/>
          <w:jc w:val="center"/>
        </w:trPr>
        <w:tc>
          <w:tcPr>
            <w:tcW w:w="1435" w:type="dxa"/>
            <w:vAlign w:val="center"/>
          </w:tcPr>
          <w:p w:rsidRPr="00D7128A" w:rsidR="0022422B" w:rsidP="00E6210A" w:rsidRDefault="0022422B" w14:paraId="217CC88C"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P3 - Complex</w:t>
            </w:r>
          </w:p>
        </w:tc>
        <w:tc>
          <w:tcPr>
            <w:tcW w:w="1172" w:type="dxa"/>
            <w:vAlign w:val="center"/>
          </w:tcPr>
          <w:p w:rsidRPr="00D7128A" w:rsidR="0022422B" w:rsidP="00E6210A" w:rsidRDefault="0022422B" w14:paraId="4B266159" w14:textId="77777777">
            <w:pPr>
              <w:spacing w:after="0" w:line="240" w:lineRule="auto"/>
              <w:ind w:left="158" w:right="149"/>
              <w:jc w:val="center"/>
              <w:rPr>
                <w:rFonts w:ascii="Times New Roman" w:hAnsi="Times New Roman" w:cs="Times New Roman"/>
                <w:sz w:val="20"/>
                <w:szCs w:val="20"/>
              </w:rPr>
            </w:pPr>
            <w:r w:rsidRPr="00D7128A">
              <w:rPr>
                <w:rFonts w:ascii="Times New Roman" w:hAnsi="Times New Roman" w:cs="Times New Roman"/>
                <w:sz w:val="20"/>
                <w:szCs w:val="20"/>
              </w:rPr>
              <w:t>68</w:t>
            </w:r>
          </w:p>
        </w:tc>
        <w:tc>
          <w:tcPr>
            <w:tcW w:w="1168" w:type="dxa"/>
            <w:vAlign w:val="center"/>
          </w:tcPr>
          <w:p w:rsidRPr="00D7128A" w:rsidR="0022422B" w:rsidP="00E6210A" w:rsidRDefault="0022422B" w14:paraId="1A717FE8" w14:textId="77777777">
            <w:pPr>
              <w:spacing w:after="0" w:line="240" w:lineRule="auto"/>
              <w:ind w:left="137" w:right="132"/>
              <w:jc w:val="center"/>
              <w:rPr>
                <w:rFonts w:ascii="Times New Roman" w:hAnsi="Times New Roman" w:cs="Times New Roman"/>
                <w:sz w:val="20"/>
                <w:szCs w:val="20"/>
              </w:rPr>
            </w:pPr>
            <w:r w:rsidRPr="00D7128A">
              <w:rPr>
                <w:rFonts w:ascii="Times New Roman" w:hAnsi="Times New Roman" w:cs="Times New Roman"/>
                <w:sz w:val="20"/>
                <w:szCs w:val="20"/>
              </w:rPr>
              <w:t>0.5</w:t>
            </w:r>
          </w:p>
        </w:tc>
        <w:tc>
          <w:tcPr>
            <w:tcW w:w="1170" w:type="dxa"/>
            <w:vAlign w:val="center"/>
          </w:tcPr>
          <w:p w:rsidRPr="00D7128A" w:rsidR="0022422B" w:rsidP="00E6210A" w:rsidRDefault="0022422B" w14:paraId="0F44A254" w14:textId="77777777">
            <w:pPr>
              <w:spacing w:after="0" w:line="240" w:lineRule="auto"/>
              <w:ind w:left="5"/>
              <w:jc w:val="center"/>
              <w:rPr>
                <w:rFonts w:ascii="Times New Roman" w:hAnsi="Times New Roman" w:cs="Times New Roman"/>
                <w:sz w:val="20"/>
                <w:szCs w:val="20"/>
              </w:rPr>
            </w:pPr>
            <w:r w:rsidRPr="00D7128A">
              <w:rPr>
                <w:rFonts w:ascii="Times New Roman" w:hAnsi="Times New Roman" w:cs="Times New Roman"/>
                <w:sz w:val="20"/>
                <w:szCs w:val="20"/>
              </w:rPr>
              <w:t>6</w:t>
            </w:r>
          </w:p>
        </w:tc>
        <w:tc>
          <w:tcPr>
            <w:tcW w:w="1260" w:type="dxa"/>
            <w:vAlign w:val="center"/>
          </w:tcPr>
          <w:p w:rsidRPr="00D7128A" w:rsidR="0022422B" w:rsidP="00E6210A" w:rsidRDefault="0022422B" w14:paraId="57142916" w14:textId="77777777">
            <w:pPr>
              <w:spacing w:after="0" w:line="240" w:lineRule="auto"/>
              <w:ind w:left="137" w:right="130"/>
              <w:jc w:val="center"/>
              <w:rPr>
                <w:rFonts w:ascii="Times New Roman" w:hAnsi="Times New Roman" w:cs="Times New Roman"/>
                <w:sz w:val="20"/>
                <w:szCs w:val="20"/>
              </w:rPr>
            </w:pPr>
            <w:r w:rsidRPr="00D7128A">
              <w:rPr>
                <w:rFonts w:ascii="Times New Roman" w:hAnsi="Times New Roman" w:cs="Times New Roman"/>
                <w:sz w:val="20"/>
                <w:szCs w:val="20"/>
              </w:rPr>
              <w:t>30</w:t>
            </w:r>
          </w:p>
        </w:tc>
        <w:tc>
          <w:tcPr>
            <w:tcW w:w="1260" w:type="dxa"/>
            <w:vAlign w:val="center"/>
          </w:tcPr>
          <w:p w:rsidRPr="00D7128A" w:rsidR="0022422B" w:rsidP="00E6210A" w:rsidRDefault="0022422B" w14:paraId="3B791027" w14:textId="77777777">
            <w:pPr>
              <w:spacing w:after="0" w:line="240" w:lineRule="auto"/>
              <w:ind w:left="103" w:right="91"/>
              <w:jc w:val="center"/>
              <w:rPr>
                <w:rFonts w:ascii="Times New Roman" w:hAnsi="Times New Roman" w:cs="Times New Roman"/>
                <w:sz w:val="20"/>
                <w:szCs w:val="20"/>
              </w:rPr>
            </w:pPr>
            <w:r w:rsidRPr="00D7128A">
              <w:rPr>
                <w:rFonts w:ascii="Times New Roman" w:hAnsi="Times New Roman" w:cs="Times New Roman"/>
                <w:sz w:val="20"/>
                <w:szCs w:val="20"/>
              </w:rPr>
              <w:t>28</w:t>
            </w:r>
          </w:p>
        </w:tc>
        <w:tc>
          <w:tcPr>
            <w:tcW w:w="990" w:type="dxa"/>
            <w:vAlign w:val="center"/>
          </w:tcPr>
          <w:p w:rsidRPr="00D7128A" w:rsidR="0022422B" w:rsidP="00E6210A" w:rsidRDefault="0022422B" w14:paraId="2E6D75DF" w14:textId="77777777">
            <w:pPr>
              <w:spacing w:after="0" w:line="240" w:lineRule="auto"/>
              <w:ind w:left="136" w:right="125"/>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22422B" w:rsidP="00E6210A" w:rsidRDefault="0022422B" w14:paraId="384FAD5A" w14:textId="77777777">
            <w:pPr>
              <w:spacing w:after="0" w:line="240" w:lineRule="auto"/>
              <w:ind w:left="171" w:right="163"/>
              <w:jc w:val="center"/>
              <w:rPr>
                <w:rFonts w:ascii="Times New Roman" w:hAnsi="Times New Roman" w:cs="Times New Roman"/>
                <w:sz w:val="20"/>
                <w:szCs w:val="20"/>
              </w:rPr>
            </w:pPr>
            <w:r w:rsidRPr="00D7128A">
              <w:rPr>
                <w:rFonts w:ascii="Times New Roman" w:hAnsi="Times New Roman" w:cs="Times New Roman"/>
                <w:color w:val="000000"/>
                <w:sz w:val="20"/>
                <w:szCs w:val="20"/>
              </w:rPr>
              <w:t>$14,835</w:t>
            </w:r>
          </w:p>
        </w:tc>
      </w:tr>
    </w:tbl>
    <w:p w:rsidR="0022422B" w:rsidP="0022422B" w:rsidRDefault="0022422B" w14:paraId="753D94CA" w14:textId="77777777">
      <w:pPr>
        <w:spacing w:after="0" w:line="240" w:lineRule="auto"/>
        <w:rPr>
          <w:rFonts w:ascii="Times New Roman" w:hAnsi="Times New Roman" w:cs="Times New Roman"/>
          <w:b/>
          <w:bCs/>
        </w:rPr>
      </w:pPr>
    </w:p>
    <w:p w:rsidRPr="004D4B61" w:rsidR="00C5384D" w:rsidP="004D4B61" w:rsidRDefault="00C5384D" w14:paraId="5075CCEC" w14:textId="71D206B2">
      <w:pPr>
        <w:keepNext/>
        <w:autoSpaceDE w:val="0"/>
        <w:autoSpaceDN w:val="0"/>
        <w:adjustRightInd w:val="0"/>
        <w:spacing w:after="0" w:line="240" w:lineRule="auto"/>
        <w:rPr>
          <w:rFonts w:ascii="Times New Roman" w:hAnsi="Times New Roman" w:cs="Times New Roman"/>
          <w:i/>
          <w:color w:val="000000"/>
        </w:rPr>
      </w:pPr>
      <w:r w:rsidRPr="004D4B61">
        <w:rPr>
          <w:rFonts w:ascii="Times New Roman" w:hAnsi="Times New Roman" w:cs="Times New Roman"/>
          <w:i/>
          <w:color w:val="000000"/>
        </w:rPr>
        <w:t xml:space="preserve">Third-party Audits </w:t>
      </w:r>
    </w:p>
    <w:p w:rsidR="00C5384D" w:rsidP="00F068F8" w:rsidRDefault="00A80E96" w14:paraId="7A20F4A2" w14:textId="412B0C70">
      <w:pPr>
        <w:keepNext/>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ab/>
      </w:r>
      <w:r w:rsidRPr="004D4B61" w:rsidR="00C5384D">
        <w:rPr>
          <w:rFonts w:ascii="Times New Roman" w:hAnsi="Times New Roman" w:cs="Times New Roman"/>
          <w:color w:val="000000"/>
        </w:rPr>
        <w:t xml:space="preserve">The </w:t>
      </w:r>
      <w:r w:rsidR="00654300">
        <w:rPr>
          <w:rFonts w:ascii="Times New Roman" w:hAnsi="Times New Roman" w:cs="Times New Roman"/>
          <w:color w:val="000000"/>
        </w:rPr>
        <w:t>current</w:t>
      </w:r>
      <w:r w:rsidRPr="004D4B61" w:rsidR="00C5384D">
        <w:rPr>
          <w:rFonts w:ascii="Times New Roman" w:hAnsi="Times New Roman" w:cs="Times New Roman"/>
          <w:color w:val="000000"/>
        </w:rPr>
        <w:t xml:space="preserve"> rule requires </w:t>
      </w:r>
      <w:r w:rsidRPr="004D4B61" w:rsidR="005E22BE">
        <w:rPr>
          <w:rFonts w:ascii="Times New Roman" w:hAnsi="Times New Roman" w:cs="Times New Roman"/>
        </w:rPr>
        <w:t>Progr</w:t>
      </w:r>
      <w:r w:rsidR="006A5912">
        <w:rPr>
          <w:rFonts w:ascii="Times New Roman" w:hAnsi="Times New Roman" w:cs="Times New Roman"/>
        </w:rPr>
        <w:t>a</w:t>
      </w:r>
      <w:r w:rsidRPr="004D4B61" w:rsidR="005E22BE">
        <w:rPr>
          <w:rFonts w:ascii="Times New Roman" w:hAnsi="Times New Roman" w:cs="Times New Roman"/>
        </w:rPr>
        <w:t>m 2</w:t>
      </w:r>
      <w:r w:rsidRPr="004D4B61" w:rsidR="00C5384D">
        <w:rPr>
          <w:rFonts w:ascii="Times New Roman" w:hAnsi="Times New Roman" w:cs="Times New Roman"/>
          <w:color w:val="000000"/>
        </w:rPr>
        <w:t xml:space="preserve"> and </w:t>
      </w:r>
      <w:r w:rsidRPr="004D4B61" w:rsidR="00AB34CF">
        <w:rPr>
          <w:rFonts w:ascii="Times New Roman" w:hAnsi="Times New Roman" w:cs="Times New Roman"/>
          <w:color w:val="000000"/>
        </w:rPr>
        <w:t>Program 3</w:t>
      </w:r>
      <w:r w:rsidRPr="004D4B61" w:rsidR="00C5384D">
        <w:rPr>
          <w:rFonts w:ascii="Times New Roman" w:hAnsi="Times New Roman" w:cs="Times New Roman"/>
          <w:color w:val="000000"/>
        </w:rPr>
        <w:t xml:space="preserve"> facilities to conduct a compliance audit at least once every </w:t>
      </w:r>
      <w:r w:rsidRPr="004D4B61" w:rsidR="004D390E">
        <w:rPr>
          <w:rFonts w:ascii="Times New Roman" w:hAnsi="Times New Roman" w:cs="Times New Roman"/>
          <w:color w:val="000000"/>
        </w:rPr>
        <w:t>three</w:t>
      </w:r>
      <w:r w:rsidRPr="004D4B61" w:rsidR="00C5384D">
        <w:rPr>
          <w:rFonts w:ascii="Times New Roman" w:hAnsi="Times New Roman" w:cs="Times New Roman"/>
          <w:color w:val="000000"/>
        </w:rPr>
        <w:t xml:space="preserve"> years. The proposed rule would require </w:t>
      </w:r>
      <w:r w:rsidRPr="004D4B61" w:rsidR="004755F8">
        <w:rPr>
          <w:rFonts w:ascii="Times New Roman" w:hAnsi="Times New Roman" w:cs="Times New Roman"/>
        </w:rPr>
        <w:t>Program 2</w:t>
      </w:r>
      <w:r w:rsidRPr="004D4B61" w:rsidR="004755F8">
        <w:rPr>
          <w:rFonts w:ascii="Times New Roman" w:hAnsi="Times New Roman" w:cs="Times New Roman"/>
          <w:color w:val="000000"/>
        </w:rPr>
        <w:t xml:space="preserve"> and Program 3 </w:t>
      </w:r>
      <w:r w:rsidRPr="004D4B61" w:rsidR="00C5384D">
        <w:rPr>
          <w:rFonts w:ascii="Times New Roman" w:hAnsi="Times New Roman" w:cs="Times New Roman"/>
          <w:color w:val="000000"/>
        </w:rPr>
        <w:t xml:space="preserve">facilities that have had </w:t>
      </w:r>
      <w:r w:rsidRPr="004D4B61" w:rsidR="00E14DD8">
        <w:rPr>
          <w:rFonts w:ascii="Times New Roman" w:hAnsi="Times New Roman" w:cs="Times New Roman"/>
          <w:color w:val="000000"/>
        </w:rPr>
        <w:t xml:space="preserve">two </w:t>
      </w:r>
      <w:r w:rsidRPr="004D4B61" w:rsidR="00C5384D">
        <w:rPr>
          <w:rFonts w:ascii="Times New Roman" w:hAnsi="Times New Roman" w:cs="Times New Roman"/>
          <w:color w:val="000000"/>
        </w:rPr>
        <w:t>RMP</w:t>
      </w:r>
      <w:r w:rsidRPr="004D4B61" w:rsidR="00CA261F">
        <w:rPr>
          <w:rFonts w:ascii="Times New Roman" w:hAnsi="Times New Roman" w:cs="Times New Roman"/>
          <w:color w:val="000000"/>
        </w:rPr>
        <w:t>-</w:t>
      </w:r>
      <w:r w:rsidRPr="004D4B61" w:rsidR="00C5384D">
        <w:rPr>
          <w:rFonts w:ascii="Times New Roman" w:hAnsi="Times New Roman" w:cs="Times New Roman"/>
          <w:color w:val="000000"/>
        </w:rPr>
        <w:t>reportable accidents</w:t>
      </w:r>
      <w:r w:rsidRPr="004D4B61" w:rsidR="00E14DD8">
        <w:rPr>
          <w:rFonts w:ascii="Times New Roman" w:hAnsi="Times New Roman" w:cs="Times New Roman"/>
          <w:color w:val="000000"/>
        </w:rPr>
        <w:t xml:space="preserve"> within </w:t>
      </w:r>
      <w:r w:rsidRPr="004D4B61" w:rsidR="009275F6">
        <w:rPr>
          <w:rFonts w:ascii="Times New Roman" w:hAnsi="Times New Roman" w:cs="Times New Roman"/>
          <w:color w:val="000000"/>
        </w:rPr>
        <w:t xml:space="preserve">the past </w:t>
      </w:r>
      <w:r w:rsidRPr="004D4B61" w:rsidR="006647B0">
        <w:rPr>
          <w:rFonts w:ascii="Times New Roman" w:hAnsi="Times New Roman" w:cs="Times New Roman"/>
          <w:color w:val="000000"/>
        </w:rPr>
        <w:t>five years</w:t>
      </w:r>
      <w:r w:rsidRPr="004D4B61" w:rsidR="00534F99">
        <w:rPr>
          <w:rFonts w:ascii="Times New Roman" w:hAnsi="Times New Roman" w:cs="Times New Roman"/>
          <w:color w:val="000000"/>
        </w:rPr>
        <w:t>,</w:t>
      </w:r>
      <w:r w:rsidRPr="004D4B61" w:rsidR="00E14DD8">
        <w:rPr>
          <w:rFonts w:ascii="Times New Roman" w:hAnsi="Times New Roman" w:cs="Times New Roman"/>
          <w:color w:val="000000"/>
        </w:rPr>
        <w:t xml:space="preserve"> or</w:t>
      </w:r>
      <w:r w:rsidRPr="004D4B61" w:rsidR="00C5384D">
        <w:rPr>
          <w:rFonts w:ascii="Times New Roman" w:hAnsi="Times New Roman" w:cs="Times New Roman"/>
          <w:color w:val="000000"/>
        </w:rPr>
        <w:t xml:space="preserve"> </w:t>
      </w:r>
      <w:r w:rsidRPr="004D4B61" w:rsidR="002A5DCA">
        <w:rPr>
          <w:rFonts w:ascii="Times New Roman" w:hAnsi="Times New Roman" w:cs="Times New Roman"/>
          <w:color w:val="000000"/>
        </w:rPr>
        <w:t xml:space="preserve">facilities </w:t>
      </w:r>
      <w:r w:rsidRPr="004D4B61" w:rsidR="002A5DCA">
        <w:rPr>
          <w:rFonts w:ascii="Times New Roman" w:hAnsi="Times New Roman" w:cs="Times New Roman"/>
        </w:rPr>
        <w:t xml:space="preserve">with </w:t>
      </w:r>
      <w:r w:rsidR="004C6B62">
        <w:rPr>
          <w:rFonts w:ascii="Times New Roman" w:hAnsi="Times New Roman" w:cs="Times New Roman"/>
        </w:rPr>
        <w:t xml:space="preserve">a Program 3 </w:t>
      </w:r>
      <w:r w:rsidRPr="004D4B61" w:rsidR="002A5DCA">
        <w:rPr>
          <w:rFonts w:ascii="Times New Roman" w:hAnsi="Times New Roman" w:cs="Times New Roman"/>
        </w:rPr>
        <w:t>process in NAICS codes 324 or 325 within one mile of another facility with a process in NAICS codes 324 or 325</w:t>
      </w:r>
      <w:r w:rsidRPr="004D4B61" w:rsidR="00A01BB6">
        <w:rPr>
          <w:rFonts w:ascii="Times New Roman" w:hAnsi="Times New Roman" w:cs="Times New Roman"/>
        </w:rPr>
        <w:t>,</w:t>
      </w:r>
      <w:r w:rsidRPr="004D4B61" w:rsidR="00C5384D">
        <w:rPr>
          <w:rFonts w:ascii="Times New Roman" w:hAnsi="Times New Roman" w:cs="Times New Roman"/>
          <w:color w:val="000000"/>
        </w:rPr>
        <w:t xml:space="preserve"> to contract with an independent third-party to conduct the</w:t>
      </w:r>
      <w:r w:rsidRPr="004D4B61" w:rsidR="009275F6">
        <w:rPr>
          <w:rFonts w:ascii="Times New Roman" w:hAnsi="Times New Roman" w:cs="Times New Roman"/>
          <w:color w:val="000000"/>
        </w:rPr>
        <w:t xml:space="preserve"> next required</w:t>
      </w:r>
      <w:r w:rsidRPr="004D4B61" w:rsidR="00C5384D">
        <w:rPr>
          <w:rFonts w:ascii="Times New Roman" w:hAnsi="Times New Roman" w:cs="Times New Roman"/>
          <w:color w:val="000000"/>
        </w:rPr>
        <w:t xml:space="preserve"> audit. The </w:t>
      </w:r>
      <w:r w:rsidR="00DE1D6B">
        <w:rPr>
          <w:rFonts w:ascii="Times New Roman" w:hAnsi="Times New Roman" w:cs="Times New Roman"/>
          <w:color w:val="000000"/>
        </w:rPr>
        <w:t>a</w:t>
      </w:r>
      <w:r w:rsidRPr="004D4B61" w:rsidR="00C5384D">
        <w:rPr>
          <w:rFonts w:ascii="Times New Roman" w:hAnsi="Times New Roman" w:cs="Times New Roman"/>
          <w:color w:val="000000"/>
        </w:rPr>
        <w:t xml:space="preserve">mendments rule RIA estimated the cost of hiring a third-party to conduct an audit. The audit required under this proposed rule would have the same estimated cost, so the estimated </w:t>
      </w:r>
      <w:r w:rsidRPr="004D4B61" w:rsidR="00827551">
        <w:rPr>
          <w:rFonts w:ascii="Times New Roman" w:hAnsi="Times New Roman" w:cs="Times New Roman"/>
          <w:color w:val="000000"/>
        </w:rPr>
        <w:t>costs</w:t>
      </w:r>
      <w:r w:rsidRPr="004D4B61" w:rsidR="00C41CE0">
        <w:rPr>
          <w:rFonts w:ascii="Times New Roman" w:hAnsi="Times New Roman" w:cs="Times New Roman"/>
          <w:color w:val="000000"/>
        </w:rPr>
        <w:t xml:space="preserve"> here</w:t>
      </w:r>
      <w:r w:rsidRPr="004D4B61" w:rsidR="00827551">
        <w:rPr>
          <w:rFonts w:ascii="Times New Roman" w:hAnsi="Times New Roman" w:cs="Times New Roman"/>
          <w:color w:val="000000"/>
        </w:rPr>
        <w:t xml:space="preserve"> </w:t>
      </w:r>
      <w:r w:rsidRPr="004D4B61" w:rsidR="00C5384D">
        <w:rPr>
          <w:rFonts w:ascii="Times New Roman" w:hAnsi="Times New Roman" w:cs="Times New Roman"/>
          <w:color w:val="000000"/>
        </w:rPr>
        <w:t xml:space="preserve">are based on the unit costs and labor hours estimated under the </w:t>
      </w:r>
      <w:r w:rsidR="00DE1D6B">
        <w:rPr>
          <w:rFonts w:ascii="Times New Roman" w:hAnsi="Times New Roman" w:cs="Times New Roman"/>
          <w:color w:val="000000"/>
        </w:rPr>
        <w:t>a</w:t>
      </w:r>
      <w:r w:rsidRPr="004D4B61" w:rsidR="00C5384D">
        <w:rPr>
          <w:rFonts w:ascii="Times New Roman" w:hAnsi="Times New Roman" w:cs="Times New Roman"/>
          <w:color w:val="000000"/>
        </w:rPr>
        <w:t>mendments rule</w:t>
      </w:r>
      <w:r w:rsidRPr="004D4B61" w:rsidR="00827551">
        <w:rPr>
          <w:rFonts w:ascii="Times New Roman" w:hAnsi="Times New Roman" w:cs="Times New Roman"/>
          <w:color w:val="000000"/>
        </w:rPr>
        <w:t>,</w:t>
      </w:r>
      <w:r w:rsidRPr="004D4B61" w:rsidR="00C5384D">
        <w:rPr>
          <w:rFonts w:ascii="Times New Roman" w:hAnsi="Times New Roman" w:cs="Times New Roman"/>
          <w:color w:val="000000"/>
        </w:rPr>
        <w:t xml:space="preserve"> updated to 2020 dollars.</w:t>
      </w:r>
      <w:r w:rsidRPr="004D4B61" w:rsidR="00C5384D">
        <w:rPr>
          <w:rFonts w:ascii="Times New Roman" w:hAnsi="Times New Roman" w:cs="Times New Roman"/>
          <w:color w:val="000000"/>
          <w:vertAlign w:val="superscript"/>
        </w:rPr>
        <w:footnoteReference w:id="57"/>
      </w:r>
      <w:r w:rsidRPr="004D4B61" w:rsidR="00C5384D">
        <w:rPr>
          <w:rFonts w:ascii="Times New Roman" w:hAnsi="Times New Roman" w:cs="Times New Roman"/>
          <w:color w:val="000000"/>
        </w:rPr>
        <w:t xml:space="preserve"> </w:t>
      </w:r>
    </w:p>
    <w:p w:rsidRPr="004D4B61" w:rsidR="00A80E96" w:rsidP="00F068F8" w:rsidRDefault="00A80E96" w14:paraId="3DEEDAB2" w14:textId="377A3195">
      <w:pPr>
        <w:keepNext/>
        <w:autoSpaceDE w:val="0"/>
        <w:autoSpaceDN w:val="0"/>
        <w:adjustRightInd w:val="0"/>
        <w:spacing w:after="0" w:line="240" w:lineRule="auto"/>
        <w:ind w:firstLine="360"/>
        <w:rPr>
          <w:rFonts w:ascii="Times New Roman" w:hAnsi="Times New Roman" w:cs="Times New Roman"/>
        </w:rPr>
      </w:pPr>
    </w:p>
    <w:p w:rsidRPr="004D4B61" w:rsidR="00B0126C" w:rsidP="00F068F8" w:rsidRDefault="00A80E96" w14:paraId="412CB24B" w14:textId="5C3DA748">
      <w:pPr>
        <w:keepNext/>
        <w:autoSpaceDE w:val="0"/>
        <w:autoSpaceDN w:val="0"/>
        <w:adjustRightInd w:val="0"/>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The </w:t>
      </w:r>
      <w:r w:rsidRPr="004D4B61" w:rsidR="00F9541E">
        <w:rPr>
          <w:rFonts w:ascii="Times New Roman" w:hAnsi="Times New Roman" w:cs="Times New Roman"/>
        </w:rPr>
        <w:t>t</w:t>
      </w:r>
      <w:r w:rsidRPr="004D4B61" w:rsidR="00C5384D">
        <w:rPr>
          <w:rFonts w:ascii="Times New Roman" w:hAnsi="Times New Roman" w:cs="Times New Roman"/>
        </w:rPr>
        <w:t xml:space="preserve">hird-party </w:t>
      </w:r>
      <w:r w:rsidRPr="004D4B61" w:rsidR="00F9541E">
        <w:rPr>
          <w:rFonts w:ascii="Times New Roman" w:hAnsi="Times New Roman" w:cs="Times New Roman"/>
        </w:rPr>
        <w:t>a</w:t>
      </w:r>
      <w:r w:rsidRPr="004D4B61" w:rsidR="00C5384D">
        <w:rPr>
          <w:rFonts w:ascii="Times New Roman" w:hAnsi="Times New Roman" w:cs="Times New Roman"/>
        </w:rPr>
        <w:t xml:space="preserve">udit analysis estimates </w:t>
      </w:r>
      <w:r w:rsidRPr="004D4B61" w:rsidR="0069057E">
        <w:rPr>
          <w:rFonts w:ascii="Times New Roman" w:hAnsi="Times New Roman" w:cs="Times New Roman"/>
        </w:rPr>
        <w:t xml:space="preserve">assume </w:t>
      </w:r>
      <w:r w:rsidRPr="004D4B61" w:rsidR="00C5384D">
        <w:rPr>
          <w:rFonts w:ascii="Times New Roman" w:hAnsi="Times New Roman" w:cs="Times New Roman"/>
        </w:rPr>
        <w:t>that the time required to contract for a third-party audit would vary with the complexity of the processes to be covered and multiple facility staff would be involved, except for the smallest category of facilities. At a minimum, one manager and one engineer would be involved to identify potential auditors and write the statement of work on which the auditor would base its bid. For larger firms that routinely contract and have contract</w:t>
      </w:r>
      <w:r w:rsidRPr="004D4B61" w:rsidR="00EB703A">
        <w:rPr>
          <w:rFonts w:ascii="Times New Roman" w:hAnsi="Times New Roman" w:cs="Times New Roman"/>
        </w:rPr>
        <w:t>ing</w:t>
      </w:r>
      <w:r w:rsidRPr="004D4B61" w:rsidR="00C5384D">
        <w:rPr>
          <w:rFonts w:ascii="Times New Roman" w:hAnsi="Times New Roman" w:cs="Times New Roman"/>
        </w:rPr>
        <w:t xml:space="preserve"> departments, a contracts specialist and attorney would be part of the process. Many large firms and all governments </w:t>
      </w:r>
      <w:r w:rsidRPr="004D4B61" w:rsidR="0083390A">
        <w:rPr>
          <w:rFonts w:ascii="Times New Roman" w:hAnsi="Times New Roman" w:cs="Times New Roman"/>
        </w:rPr>
        <w:t xml:space="preserve">are assumed to </w:t>
      </w:r>
      <w:r w:rsidRPr="004D4B61" w:rsidR="00C5384D">
        <w:rPr>
          <w:rFonts w:ascii="Times New Roman" w:hAnsi="Times New Roman" w:cs="Times New Roman"/>
        </w:rPr>
        <w:t xml:space="preserve">have standard contract language. Governments are estimated to spend more time on the contracting process, however, because most are required to solicit competitive bids and document the basis for the selection. Private firms may use a similar process but are not required to do so. Private firms are likely to spend time negotiating contract language after the award. </w:t>
      </w:r>
      <w:r w:rsidRPr="004D4B61" w:rsidR="00420F40">
        <w:rPr>
          <w:rFonts w:ascii="Times New Roman" w:hAnsi="Times New Roman" w:cs="Times New Roman"/>
        </w:rPr>
        <w:t>H</w:t>
      </w:r>
      <w:r w:rsidRPr="004D4B61" w:rsidR="00C5384D">
        <w:rPr>
          <w:rFonts w:ascii="Times New Roman" w:hAnsi="Times New Roman" w:cs="Times New Roman"/>
        </w:rPr>
        <w:t>ourly assumptions and costs for a third-party audit are shown in Exhibit 4-</w:t>
      </w:r>
      <w:r w:rsidR="00C6654C">
        <w:rPr>
          <w:rFonts w:ascii="Times New Roman" w:hAnsi="Times New Roman" w:cs="Times New Roman"/>
        </w:rPr>
        <w:t>7</w:t>
      </w:r>
      <w:r w:rsidRPr="004D4B61" w:rsidR="004F05D5">
        <w:rPr>
          <w:rFonts w:ascii="Times New Roman" w:hAnsi="Times New Roman" w:cs="Times New Roman"/>
        </w:rPr>
        <w:t>.</w:t>
      </w:r>
    </w:p>
    <w:p w:rsidR="00F068F8" w:rsidP="00F068F8" w:rsidRDefault="00F068F8" w14:paraId="7C3934CF" w14:textId="77777777">
      <w:pPr>
        <w:pStyle w:val="Caption"/>
      </w:pPr>
    </w:p>
    <w:p w:rsidRPr="00F068F8" w:rsidR="00F068F8" w:rsidP="00F068F8" w:rsidRDefault="00F068F8" w14:paraId="6EBD9388" w14:textId="236DBAD6">
      <w:pPr>
        <w:pStyle w:val="Caption"/>
        <w:jc w:val="center"/>
        <w:rPr>
          <w:rFonts w:ascii="Times New Roman" w:hAnsi="Times New Roman" w:cs="Times New Roman"/>
          <w:b/>
          <w:bCs/>
          <w:i w:val="0"/>
          <w:iCs w:val="0"/>
          <w:color w:val="auto"/>
          <w:sz w:val="22"/>
          <w:szCs w:val="22"/>
        </w:rPr>
      </w:pPr>
      <w:r w:rsidRPr="00F068F8">
        <w:rPr>
          <w:rFonts w:ascii="Times New Roman" w:hAnsi="Times New Roman" w:cs="Times New Roman"/>
          <w:b/>
          <w:bCs/>
          <w:i w:val="0"/>
          <w:iCs w:val="0"/>
          <w:color w:val="auto"/>
          <w:sz w:val="22"/>
          <w:szCs w:val="22"/>
        </w:rPr>
        <w:t>Exhibit 4-</w:t>
      </w:r>
      <w:r w:rsidR="007F6842">
        <w:rPr>
          <w:rFonts w:ascii="Times New Roman" w:hAnsi="Times New Roman" w:cs="Times New Roman"/>
          <w:b/>
          <w:bCs/>
          <w:i w:val="0"/>
          <w:iCs w:val="0"/>
          <w:color w:val="auto"/>
          <w:sz w:val="22"/>
          <w:szCs w:val="22"/>
        </w:rPr>
        <w:t>7</w:t>
      </w:r>
      <w:r w:rsidRPr="00F068F8">
        <w:rPr>
          <w:rFonts w:ascii="Times New Roman" w:hAnsi="Times New Roman" w:cs="Times New Roman"/>
          <w:b/>
          <w:bCs/>
          <w:i w:val="0"/>
          <w:iCs w:val="0"/>
          <w:color w:val="auto"/>
          <w:sz w:val="22"/>
          <w:szCs w:val="22"/>
        </w:rPr>
        <w:t>: Hourly Labor and Unit Costs for Hiring Third-party Auditors</w:t>
      </w:r>
      <w:r w:rsidR="004D2850">
        <w:rPr>
          <w:rFonts w:ascii="Times New Roman" w:hAnsi="Times New Roman" w:cs="Times New Roman"/>
          <w:b/>
          <w:bCs/>
          <w:i w:val="0"/>
          <w:iCs w:val="0"/>
          <w:color w:val="auto"/>
          <w:sz w:val="22"/>
          <w:szCs w:val="22"/>
        </w:rPr>
        <w:t xml:space="preserve"> </w:t>
      </w:r>
      <w:r w:rsidRPr="00835820" w:rsidR="004D2850">
        <w:rPr>
          <w:rFonts w:ascii="Times New Roman" w:hAnsi="Times New Roman" w:cs="Times New Roman"/>
          <w:b/>
          <w:bCs/>
          <w:i w:val="0"/>
          <w:iCs w:val="0"/>
          <w:color w:val="auto"/>
          <w:sz w:val="22"/>
          <w:szCs w:val="22"/>
        </w:rPr>
        <w:t>(2020 dollars)</w:t>
      </w:r>
      <w:r w:rsidRPr="00F068F8">
        <w:rPr>
          <w:rFonts w:ascii="Times New Roman" w:hAnsi="Times New Roman" w:cs="Times New Roman"/>
          <w:b/>
          <w:bCs/>
          <w:i w:val="0"/>
          <w:iCs w:val="0"/>
          <w:color w:val="auto"/>
          <w:sz w:val="22"/>
          <w:szCs w:val="22"/>
        </w:rPr>
        <w:t>.</w:t>
      </w: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990"/>
        <w:gridCol w:w="1260"/>
        <w:gridCol w:w="1350"/>
        <w:gridCol w:w="1170"/>
        <w:gridCol w:w="1170"/>
        <w:gridCol w:w="1530"/>
      </w:tblGrid>
      <w:tr w:rsidRPr="004D4B61" w:rsidR="00167F64" w:rsidTr="00F068F8" w14:paraId="690BC1D1" w14:textId="77777777">
        <w:trPr>
          <w:trHeight w:val="455"/>
          <w:tblHeader/>
        </w:trPr>
        <w:tc>
          <w:tcPr>
            <w:tcW w:w="2340" w:type="dxa"/>
            <w:shd w:val="clear" w:color="auto" w:fill="D9D9D9"/>
            <w:vAlign w:val="center"/>
          </w:tcPr>
          <w:p w:rsidRPr="00D7128A" w:rsidR="00C5384D" w:rsidP="004D4B61" w:rsidRDefault="00C5384D" w14:paraId="0C61E974" w14:textId="77777777">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Facility Type</w:t>
            </w:r>
          </w:p>
        </w:tc>
        <w:tc>
          <w:tcPr>
            <w:tcW w:w="3600" w:type="dxa"/>
            <w:gridSpan w:val="3"/>
            <w:shd w:val="clear" w:color="auto" w:fill="D9D9D9"/>
            <w:vAlign w:val="center"/>
          </w:tcPr>
          <w:p w:rsidRPr="00D7128A" w:rsidR="00C5384D" w:rsidP="00F068F8" w:rsidRDefault="00C5384D" w14:paraId="431B27D5" w14:textId="7C05792C">
            <w:pPr>
              <w:keepNext/>
              <w:spacing w:after="0" w:line="240" w:lineRule="auto"/>
              <w:jc w:val="center"/>
              <w:rPr>
                <w:rFonts w:ascii="Times New Roman" w:hAnsi="Times New Roman" w:cs="Times New Roman"/>
                <w:b/>
                <w:sz w:val="20"/>
                <w:szCs w:val="20"/>
              </w:rPr>
            </w:pPr>
            <w:r w:rsidRPr="00D7128A">
              <w:rPr>
                <w:rFonts w:ascii="Times New Roman" w:hAnsi="Times New Roman" w:cs="Times New Roman"/>
                <w:b/>
                <w:sz w:val="20"/>
                <w:szCs w:val="20"/>
              </w:rPr>
              <w:t>Total Hours for Contracting Process</w:t>
            </w:r>
          </w:p>
        </w:tc>
        <w:tc>
          <w:tcPr>
            <w:tcW w:w="1170" w:type="dxa"/>
            <w:shd w:val="clear" w:color="auto" w:fill="D9D9D9"/>
            <w:vAlign w:val="center"/>
          </w:tcPr>
          <w:p w:rsidRPr="00D7128A" w:rsidR="00C5384D" w:rsidP="004D4B61" w:rsidRDefault="00C5384D" w14:paraId="03D3EC2D" w14:textId="77777777">
            <w:pPr>
              <w:keepNext/>
              <w:spacing w:after="0" w:line="240" w:lineRule="auto"/>
              <w:ind w:right="93"/>
              <w:jc w:val="center"/>
              <w:rPr>
                <w:rFonts w:ascii="Times New Roman" w:hAnsi="Times New Roman" w:cs="Times New Roman"/>
                <w:b/>
                <w:sz w:val="20"/>
                <w:szCs w:val="20"/>
              </w:rPr>
            </w:pPr>
            <w:r w:rsidRPr="00D7128A">
              <w:rPr>
                <w:rFonts w:ascii="Times New Roman" w:hAnsi="Times New Roman" w:cs="Times New Roman"/>
                <w:b/>
                <w:sz w:val="20"/>
                <w:szCs w:val="20"/>
              </w:rPr>
              <w:t>Facility Labor Cost</w:t>
            </w:r>
          </w:p>
        </w:tc>
        <w:tc>
          <w:tcPr>
            <w:tcW w:w="1170" w:type="dxa"/>
            <w:shd w:val="clear" w:color="auto" w:fill="D9D9D9"/>
            <w:vAlign w:val="center"/>
          </w:tcPr>
          <w:p w:rsidRPr="00D7128A" w:rsidR="00C5384D" w:rsidP="00F068F8" w:rsidRDefault="00C5384D" w14:paraId="74182CFF" w14:textId="77777777">
            <w:pPr>
              <w:keepNext/>
              <w:spacing w:after="0" w:line="240" w:lineRule="auto"/>
              <w:ind w:right="81"/>
              <w:jc w:val="center"/>
              <w:rPr>
                <w:rFonts w:ascii="Times New Roman" w:hAnsi="Times New Roman" w:cs="Times New Roman"/>
                <w:b/>
                <w:sz w:val="20"/>
                <w:szCs w:val="20"/>
              </w:rPr>
            </w:pPr>
            <w:r w:rsidRPr="00D7128A">
              <w:rPr>
                <w:rFonts w:ascii="Times New Roman" w:hAnsi="Times New Roman" w:cs="Times New Roman"/>
                <w:b/>
                <w:sz w:val="20"/>
                <w:szCs w:val="20"/>
              </w:rPr>
              <w:t>Auditor Fee</w:t>
            </w:r>
          </w:p>
        </w:tc>
        <w:tc>
          <w:tcPr>
            <w:tcW w:w="1530" w:type="dxa"/>
            <w:shd w:val="clear" w:color="auto" w:fill="D9D9D9"/>
            <w:vAlign w:val="center"/>
          </w:tcPr>
          <w:p w:rsidRPr="00D7128A" w:rsidR="00C5384D" w:rsidP="004D4B61" w:rsidRDefault="00C5384D" w14:paraId="5E832ABF" w14:textId="77777777">
            <w:pPr>
              <w:keepNext/>
              <w:spacing w:after="0" w:line="240" w:lineRule="auto"/>
              <w:ind w:right="91"/>
              <w:jc w:val="center"/>
              <w:rPr>
                <w:rFonts w:ascii="Times New Roman" w:hAnsi="Times New Roman" w:cs="Times New Roman"/>
                <w:b/>
                <w:sz w:val="20"/>
                <w:szCs w:val="20"/>
              </w:rPr>
            </w:pPr>
            <w:r w:rsidRPr="00D7128A">
              <w:rPr>
                <w:rFonts w:ascii="Times New Roman" w:hAnsi="Times New Roman" w:cs="Times New Roman"/>
                <w:b/>
                <w:sz w:val="20"/>
                <w:szCs w:val="20"/>
              </w:rPr>
              <w:t>Total Facility Cost</w:t>
            </w:r>
          </w:p>
        </w:tc>
      </w:tr>
      <w:tr w:rsidRPr="004D4B61" w:rsidR="00167F64" w:rsidTr="00F068F8" w14:paraId="73BE2D64" w14:textId="77777777">
        <w:trPr>
          <w:trHeight w:val="455"/>
          <w:tblHeader/>
        </w:trPr>
        <w:tc>
          <w:tcPr>
            <w:tcW w:w="2340" w:type="dxa"/>
            <w:tcBorders>
              <w:top w:val="nil"/>
            </w:tcBorders>
            <w:shd w:val="clear" w:color="auto" w:fill="D9D9D9"/>
            <w:vAlign w:val="center"/>
          </w:tcPr>
          <w:p w:rsidRPr="00D7128A" w:rsidR="00C5384D" w:rsidP="00F068F8" w:rsidRDefault="00C5384D" w14:paraId="0317665E" w14:textId="77777777">
            <w:pPr>
              <w:spacing w:after="0" w:line="240" w:lineRule="auto"/>
              <w:jc w:val="center"/>
              <w:rPr>
                <w:rFonts w:ascii="Times New Roman" w:hAnsi="Times New Roman" w:cs="Times New Roman"/>
                <w:sz w:val="20"/>
                <w:szCs w:val="20"/>
              </w:rPr>
            </w:pPr>
          </w:p>
        </w:tc>
        <w:tc>
          <w:tcPr>
            <w:tcW w:w="990" w:type="dxa"/>
            <w:shd w:val="clear" w:color="auto" w:fill="D9D9D9"/>
            <w:vAlign w:val="center"/>
          </w:tcPr>
          <w:p w:rsidRPr="00D7128A" w:rsidR="00C5384D" w:rsidP="004D4B61" w:rsidRDefault="00C5384D" w14:paraId="33BEC5CB" w14:textId="77777777">
            <w:pPr>
              <w:spacing w:after="0" w:line="240" w:lineRule="auto"/>
              <w:jc w:val="center"/>
              <w:rPr>
                <w:rFonts w:ascii="Times New Roman" w:hAnsi="Times New Roman" w:cs="Times New Roman"/>
                <w:b/>
                <w:sz w:val="20"/>
                <w:szCs w:val="20"/>
              </w:rPr>
            </w:pPr>
          </w:p>
          <w:p w:rsidRPr="00D7128A" w:rsidR="00C5384D" w:rsidP="004D4B61" w:rsidRDefault="00C5384D" w14:paraId="38B6C594" w14:textId="6957764C">
            <w:pPr>
              <w:spacing w:after="0" w:line="240" w:lineRule="auto"/>
              <w:ind w:left="88" w:right="79"/>
              <w:jc w:val="center"/>
              <w:rPr>
                <w:rFonts w:ascii="Times New Roman" w:hAnsi="Times New Roman" w:cs="Times New Roman"/>
                <w:b/>
                <w:sz w:val="20"/>
                <w:szCs w:val="20"/>
              </w:rPr>
            </w:pPr>
            <w:proofErr w:type="spellStart"/>
            <w:r w:rsidRPr="00D7128A">
              <w:rPr>
                <w:rFonts w:ascii="Times New Roman" w:hAnsi="Times New Roman" w:cs="Times New Roman"/>
                <w:b/>
                <w:sz w:val="20"/>
                <w:szCs w:val="20"/>
              </w:rPr>
              <w:t>M</w:t>
            </w:r>
            <w:r w:rsidRPr="00D7128A" w:rsidR="00813277">
              <w:rPr>
                <w:rFonts w:ascii="Times New Roman" w:hAnsi="Times New Roman" w:cs="Times New Roman"/>
                <w:b/>
                <w:sz w:val="20"/>
                <w:szCs w:val="20"/>
              </w:rPr>
              <w:t>g</w:t>
            </w:r>
            <w:r w:rsidRPr="00D7128A" w:rsidR="006B175D">
              <w:rPr>
                <w:rFonts w:ascii="Times New Roman" w:hAnsi="Times New Roman" w:cs="Times New Roman"/>
                <w:b/>
                <w:sz w:val="20"/>
                <w:szCs w:val="20"/>
              </w:rPr>
              <w:t>m’</w:t>
            </w:r>
            <w:r w:rsidRPr="00D7128A">
              <w:rPr>
                <w:rFonts w:ascii="Times New Roman" w:hAnsi="Times New Roman" w:cs="Times New Roman"/>
                <w:b/>
                <w:sz w:val="20"/>
                <w:szCs w:val="20"/>
              </w:rPr>
              <w:t>t</w:t>
            </w:r>
            <w:proofErr w:type="spellEnd"/>
          </w:p>
        </w:tc>
        <w:tc>
          <w:tcPr>
            <w:tcW w:w="1260" w:type="dxa"/>
            <w:shd w:val="clear" w:color="auto" w:fill="D9D9D9"/>
            <w:vAlign w:val="center"/>
          </w:tcPr>
          <w:p w:rsidRPr="00D7128A" w:rsidR="00C5384D" w:rsidP="00F068F8" w:rsidRDefault="00C5384D" w14:paraId="56C69E86" w14:textId="77777777">
            <w:pPr>
              <w:spacing w:after="0" w:line="240" w:lineRule="auto"/>
              <w:jc w:val="center"/>
              <w:rPr>
                <w:rFonts w:ascii="Times New Roman" w:hAnsi="Times New Roman" w:cs="Times New Roman"/>
                <w:b/>
                <w:sz w:val="20"/>
                <w:szCs w:val="20"/>
              </w:rPr>
            </w:pPr>
          </w:p>
          <w:p w:rsidRPr="00D7128A" w:rsidR="00C5384D" w:rsidP="00F068F8" w:rsidRDefault="00C5384D" w14:paraId="1CBC59C4" w14:textId="77777777">
            <w:pPr>
              <w:spacing w:after="0" w:line="240" w:lineRule="auto"/>
              <w:ind w:left="89" w:right="148"/>
              <w:jc w:val="center"/>
              <w:rPr>
                <w:rFonts w:ascii="Times New Roman" w:hAnsi="Times New Roman" w:cs="Times New Roman"/>
                <w:b/>
                <w:sz w:val="20"/>
                <w:szCs w:val="20"/>
              </w:rPr>
            </w:pPr>
            <w:r w:rsidRPr="00D7128A">
              <w:rPr>
                <w:rFonts w:ascii="Times New Roman" w:hAnsi="Times New Roman" w:cs="Times New Roman"/>
                <w:b/>
                <w:sz w:val="20"/>
                <w:szCs w:val="20"/>
              </w:rPr>
              <w:t>Attorneys</w:t>
            </w:r>
          </w:p>
        </w:tc>
        <w:tc>
          <w:tcPr>
            <w:tcW w:w="1350" w:type="dxa"/>
            <w:shd w:val="clear" w:color="auto" w:fill="D9D9D9"/>
            <w:vAlign w:val="center"/>
          </w:tcPr>
          <w:p w:rsidRPr="00D7128A" w:rsidR="00C5384D" w:rsidP="00F068F8" w:rsidRDefault="00C5384D" w14:paraId="00CC7AF1" w14:textId="77777777">
            <w:pPr>
              <w:spacing w:after="0" w:line="240" w:lineRule="auto"/>
              <w:jc w:val="center"/>
              <w:rPr>
                <w:rFonts w:ascii="Times New Roman" w:hAnsi="Times New Roman" w:cs="Times New Roman"/>
                <w:b/>
                <w:sz w:val="20"/>
                <w:szCs w:val="20"/>
              </w:rPr>
            </w:pPr>
          </w:p>
          <w:p w:rsidRPr="00D7128A" w:rsidR="00C5384D" w:rsidP="00F068F8" w:rsidRDefault="00C5384D" w14:paraId="3F950EA5" w14:textId="77777777">
            <w:pPr>
              <w:spacing w:after="0" w:line="240" w:lineRule="auto"/>
              <w:ind w:left="107" w:right="83"/>
              <w:jc w:val="center"/>
              <w:rPr>
                <w:rFonts w:ascii="Times New Roman" w:hAnsi="Times New Roman" w:cs="Times New Roman"/>
                <w:b/>
                <w:sz w:val="20"/>
                <w:szCs w:val="20"/>
              </w:rPr>
            </w:pPr>
            <w:r w:rsidRPr="00D7128A">
              <w:rPr>
                <w:rFonts w:ascii="Times New Roman" w:hAnsi="Times New Roman" w:cs="Times New Roman"/>
                <w:b/>
                <w:sz w:val="20"/>
                <w:szCs w:val="20"/>
              </w:rPr>
              <w:t>Engineers</w:t>
            </w:r>
          </w:p>
        </w:tc>
        <w:tc>
          <w:tcPr>
            <w:tcW w:w="1170" w:type="dxa"/>
            <w:tcBorders>
              <w:top w:val="nil"/>
            </w:tcBorders>
            <w:shd w:val="clear" w:color="auto" w:fill="D9D9D9"/>
            <w:vAlign w:val="center"/>
          </w:tcPr>
          <w:p w:rsidRPr="00D7128A" w:rsidR="00C5384D" w:rsidP="00F068F8" w:rsidRDefault="00C5384D" w14:paraId="545FB864" w14:textId="77777777">
            <w:pPr>
              <w:spacing w:after="0" w:line="240" w:lineRule="auto"/>
              <w:jc w:val="center"/>
              <w:rPr>
                <w:rFonts w:ascii="Times New Roman" w:hAnsi="Times New Roman" w:cs="Times New Roman"/>
                <w:sz w:val="20"/>
                <w:szCs w:val="20"/>
              </w:rPr>
            </w:pPr>
          </w:p>
        </w:tc>
        <w:tc>
          <w:tcPr>
            <w:tcW w:w="1170" w:type="dxa"/>
            <w:tcBorders>
              <w:top w:val="nil"/>
            </w:tcBorders>
            <w:shd w:val="clear" w:color="auto" w:fill="D9D9D9"/>
            <w:vAlign w:val="center"/>
          </w:tcPr>
          <w:p w:rsidRPr="00D7128A" w:rsidR="00C5384D" w:rsidP="00F068F8" w:rsidRDefault="00C5384D" w14:paraId="7731C192" w14:textId="77777777">
            <w:pPr>
              <w:spacing w:after="0" w:line="240" w:lineRule="auto"/>
              <w:jc w:val="center"/>
              <w:rPr>
                <w:rFonts w:ascii="Times New Roman" w:hAnsi="Times New Roman" w:cs="Times New Roman"/>
                <w:sz w:val="20"/>
                <w:szCs w:val="20"/>
              </w:rPr>
            </w:pPr>
          </w:p>
        </w:tc>
        <w:tc>
          <w:tcPr>
            <w:tcW w:w="1530" w:type="dxa"/>
            <w:tcBorders>
              <w:top w:val="nil"/>
            </w:tcBorders>
            <w:shd w:val="clear" w:color="auto" w:fill="D9D9D9"/>
            <w:vAlign w:val="center"/>
          </w:tcPr>
          <w:p w:rsidRPr="00D7128A" w:rsidR="00C5384D" w:rsidP="00F068F8" w:rsidRDefault="00C5384D" w14:paraId="4ADBF7CC" w14:textId="77777777">
            <w:pPr>
              <w:spacing w:after="0" w:line="240" w:lineRule="auto"/>
              <w:jc w:val="center"/>
              <w:rPr>
                <w:rFonts w:ascii="Times New Roman" w:hAnsi="Times New Roman" w:cs="Times New Roman"/>
                <w:sz w:val="20"/>
                <w:szCs w:val="20"/>
              </w:rPr>
            </w:pPr>
          </w:p>
        </w:tc>
      </w:tr>
      <w:tr w:rsidRPr="004D4B61" w:rsidR="00C5384D" w:rsidTr="00F068F8" w14:paraId="2B1C14C8" w14:textId="77777777">
        <w:trPr>
          <w:trHeight w:val="455"/>
        </w:trPr>
        <w:tc>
          <w:tcPr>
            <w:tcW w:w="2340" w:type="dxa"/>
            <w:vAlign w:val="center"/>
          </w:tcPr>
          <w:p w:rsidRPr="00D7128A" w:rsidR="00A46B98" w:rsidP="004D4B61" w:rsidRDefault="00C5384D" w14:paraId="783A280F"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Simple w/</w:t>
            </w:r>
          </w:p>
          <w:p w:rsidRPr="00D7128A" w:rsidR="00C5384D" w:rsidP="004D4B61" w:rsidRDefault="00C5384D" w14:paraId="72D71B43" w14:textId="64E31F71">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 xml:space="preserve"> 0-19 FTEs</w:t>
            </w:r>
          </w:p>
        </w:tc>
        <w:tc>
          <w:tcPr>
            <w:tcW w:w="990" w:type="dxa"/>
            <w:vAlign w:val="center"/>
          </w:tcPr>
          <w:p w:rsidRPr="00D7128A" w:rsidR="00C5384D" w:rsidP="004D4B61" w:rsidRDefault="00C5384D" w14:paraId="7A2639F7" w14:textId="77777777">
            <w:pPr>
              <w:spacing w:after="0" w:line="240" w:lineRule="auto"/>
              <w:ind w:right="78"/>
              <w:jc w:val="center"/>
              <w:rPr>
                <w:rFonts w:ascii="Times New Roman" w:hAnsi="Times New Roman" w:cs="Times New Roman"/>
                <w:sz w:val="20"/>
                <w:szCs w:val="20"/>
              </w:rPr>
            </w:pPr>
            <w:r w:rsidRPr="00D7128A">
              <w:rPr>
                <w:rFonts w:ascii="Times New Roman" w:hAnsi="Times New Roman" w:cs="Times New Roman"/>
                <w:sz w:val="20"/>
                <w:szCs w:val="20"/>
              </w:rPr>
              <w:t>64</w:t>
            </w:r>
          </w:p>
        </w:tc>
        <w:tc>
          <w:tcPr>
            <w:tcW w:w="1260" w:type="dxa"/>
            <w:vAlign w:val="center"/>
          </w:tcPr>
          <w:p w:rsidRPr="00D7128A" w:rsidR="00C5384D" w:rsidP="004D4B61" w:rsidRDefault="00C5384D" w14:paraId="0ECEA732" w14:textId="77777777">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4D4B61" w:rsidRDefault="00C5384D" w14:paraId="39FD0062" w14:textId="77777777">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C5384D" w:rsidP="004D4B61" w:rsidRDefault="003A087D" w14:paraId="3A04786F" w14:textId="607088D3">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$7,653</w:t>
            </w:r>
          </w:p>
        </w:tc>
        <w:tc>
          <w:tcPr>
            <w:tcW w:w="1170" w:type="dxa"/>
            <w:vAlign w:val="center"/>
          </w:tcPr>
          <w:p w:rsidRPr="00D7128A" w:rsidR="00C5384D" w:rsidP="00F068F8" w:rsidRDefault="00C5384D" w14:paraId="588D0314" w14:textId="77777777">
            <w:pPr>
              <w:spacing w:after="0" w:line="240" w:lineRule="auto"/>
              <w:ind w:left="180"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$32,602</w:t>
            </w:r>
          </w:p>
        </w:tc>
        <w:tc>
          <w:tcPr>
            <w:tcW w:w="1530" w:type="dxa"/>
            <w:vAlign w:val="center"/>
          </w:tcPr>
          <w:p w:rsidRPr="00D7128A" w:rsidR="00C5384D" w:rsidP="004D4B61" w:rsidRDefault="003A087D" w14:paraId="34BBFE6B" w14:textId="4DD27944">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$40,255</w:t>
            </w:r>
          </w:p>
        </w:tc>
      </w:tr>
      <w:tr w:rsidRPr="004D4B61" w:rsidR="00C5384D" w:rsidTr="00F068F8" w14:paraId="7A0E8F3C" w14:textId="77777777">
        <w:trPr>
          <w:trHeight w:val="457"/>
        </w:trPr>
        <w:tc>
          <w:tcPr>
            <w:tcW w:w="2340" w:type="dxa"/>
            <w:vAlign w:val="center"/>
          </w:tcPr>
          <w:p w:rsidRPr="00D7128A" w:rsidR="006B175D" w:rsidP="004D4B61" w:rsidRDefault="00C5384D" w14:paraId="7828CB74"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 xml:space="preserve">Simple w/ </w:t>
            </w:r>
          </w:p>
          <w:p w:rsidRPr="00D7128A" w:rsidR="00C5384D" w:rsidP="004D4B61" w:rsidRDefault="00C5384D" w14:paraId="519EDADB" w14:textId="0AF51B66">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20-99 FTEs</w:t>
            </w:r>
          </w:p>
        </w:tc>
        <w:tc>
          <w:tcPr>
            <w:tcW w:w="990" w:type="dxa"/>
            <w:vAlign w:val="center"/>
          </w:tcPr>
          <w:p w:rsidRPr="00D7128A" w:rsidR="00C5384D" w:rsidP="004D4B61" w:rsidRDefault="00C5384D" w14:paraId="563EE14B" w14:textId="77777777">
            <w:pPr>
              <w:spacing w:after="0" w:line="240" w:lineRule="auto"/>
              <w:ind w:right="78"/>
              <w:jc w:val="center"/>
              <w:rPr>
                <w:rFonts w:ascii="Times New Roman" w:hAnsi="Times New Roman" w:cs="Times New Roman"/>
                <w:sz w:val="20"/>
                <w:szCs w:val="20"/>
              </w:rPr>
            </w:pPr>
            <w:r w:rsidRPr="00D7128A">
              <w:rPr>
                <w:rFonts w:ascii="Times New Roman" w:hAnsi="Times New Roman" w:cs="Times New Roman"/>
                <w:sz w:val="20"/>
                <w:szCs w:val="20"/>
              </w:rPr>
              <w:t>88</w:t>
            </w:r>
          </w:p>
        </w:tc>
        <w:tc>
          <w:tcPr>
            <w:tcW w:w="1260" w:type="dxa"/>
            <w:vAlign w:val="center"/>
          </w:tcPr>
          <w:p w:rsidRPr="00D7128A" w:rsidR="00C5384D" w:rsidP="004D4B61" w:rsidRDefault="00C5384D" w14:paraId="4555DD00" w14:textId="77777777">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F068F8" w:rsidRDefault="00C5384D" w14:paraId="0A0C3247" w14:textId="77777777">
            <w:pPr>
              <w:spacing w:after="0" w:line="240" w:lineRule="auto"/>
              <w:jc w:val="center"/>
              <w:rPr>
                <w:rFonts w:ascii="Times New Roman" w:hAnsi="Times New Roman" w:cs="Times New Roman"/>
                <w:sz w:val="20"/>
                <w:szCs w:val="20"/>
              </w:rPr>
            </w:pPr>
            <w:r w:rsidRPr="00D7128A">
              <w:rPr>
                <w:rFonts w:ascii="Times New Roman" w:hAnsi="Times New Roman" w:cs="Times New Roman"/>
                <w:sz w:val="20"/>
                <w:szCs w:val="20"/>
              </w:rPr>
              <w:t>36</w:t>
            </w:r>
          </w:p>
        </w:tc>
        <w:tc>
          <w:tcPr>
            <w:tcW w:w="1170" w:type="dxa"/>
            <w:vAlign w:val="center"/>
          </w:tcPr>
          <w:p w:rsidRPr="00D7128A" w:rsidR="00C5384D" w:rsidP="004D4B61" w:rsidRDefault="003A087D" w14:paraId="10F18924" w14:textId="5BD990EA">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$12,622</w:t>
            </w:r>
          </w:p>
        </w:tc>
        <w:tc>
          <w:tcPr>
            <w:tcW w:w="1170" w:type="dxa"/>
            <w:vAlign w:val="center"/>
          </w:tcPr>
          <w:p w:rsidRPr="00D7128A" w:rsidR="00C5384D" w:rsidP="00F068F8" w:rsidRDefault="00C5384D" w14:paraId="1D26D829" w14:textId="77777777">
            <w:pPr>
              <w:spacing w:after="0" w:line="240" w:lineRule="auto"/>
              <w:ind w:left="180"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$32,602</w:t>
            </w:r>
          </w:p>
        </w:tc>
        <w:tc>
          <w:tcPr>
            <w:tcW w:w="1530" w:type="dxa"/>
            <w:vAlign w:val="center"/>
          </w:tcPr>
          <w:p w:rsidRPr="00D7128A" w:rsidR="00C5384D" w:rsidP="004D4B61" w:rsidRDefault="003A087D" w14:paraId="763F6B91" w14:textId="2577E7CE">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$45,224</w:t>
            </w:r>
          </w:p>
        </w:tc>
      </w:tr>
      <w:tr w:rsidRPr="004D4B61" w:rsidR="00C5384D" w:rsidTr="00F068F8" w14:paraId="108936D4" w14:textId="77777777">
        <w:trPr>
          <w:trHeight w:val="455"/>
        </w:trPr>
        <w:tc>
          <w:tcPr>
            <w:tcW w:w="2340" w:type="dxa"/>
            <w:vAlign w:val="center"/>
          </w:tcPr>
          <w:p w:rsidRPr="00D7128A" w:rsidR="00C5384D" w:rsidP="004D4B61" w:rsidRDefault="00C5384D" w14:paraId="7BB99F01"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Simple w/ 100+ FTEs</w:t>
            </w:r>
          </w:p>
        </w:tc>
        <w:tc>
          <w:tcPr>
            <w:tcW w:w="990" w:type="dxa"/>
            <w:vAlign w:val="center"/>
          </w:tcPr>
          <w:p w:rsidRPr="00D7128A" w:rsidR="00C5384D" w:rsidP="004D4B61" w:rsidRDefault="00C5384D" w14:paraId="1B15D1F7" w14:textId="77777777">
            <w:pPr>
              <w:spacing w:after="0" w:line="240" w:lineRule="auto"/>
              <w:ind w:left="88" w:right="78"/>
              <w:jc w:val="center"/>
              <w:rPr>
                <w:rFonts w:ascii="Times New Roman" w:hAnsi="Times New Roman" w:cs="Times New Roman"/>
                <w:sz w:val="20"/>
                <w:szCs w:val="20"/>
              </w:rPr>
            </w:pPr>
            <w:r w:rsidRPr="00D7128A">
              <w:rPr>
                <w:rFonts w:ascii="Times New Roman" w:hAnsi="Times New Roman" w:cs="Times New Roman"/>
                <w:sz w:val="20"/>
                <w:szCs w:val="20"/>
              </w:rPr>
              <w:t>60</w:t>
            </w:r>
          </w:p>
        </w:tc>
        <w:tc>
          <w:tcPr>
            <w:tcW w:w="1260" w:type="dxa"/>
            <w:vAlign w:val="center"/>
          </w:tcPr>
          <w:p w:rsidRPr="00D7128A" w:rsidR="00C5384D" w:rsidP="004D4B61" w:rsidRDefault="00C5384D" w14:paraId="2F24BA16"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4D4B61" w:rsidRDefault="00C5384D" w14:paraId="2F03B12A" w14:textId="77777777">
            <w:pPr>
              <w:spacing w:after="0" w:line="240" w:lineRule="auto"/>
              <w:ind w:left="423" w:right="415"/>
              <w:jc w:val="center"/>
              <w:rPr>
                <w:rFonts w:ascii="Times New Roman" w:hAnsi="Times New Roman" w:cs="Times New Roman"/>
                <w:sz w:val="20"/>
                <w:szCs w:val="20"/>
              </w:rPr>
            </w:pPr>
            <w:r w:rsidRPr="00D7128A">
              <w:rPr>
                <w:rFonts w:ascii="Times New Roman" w:hAnsi="Times New Roman" w:cs="Times New Roman"/>
                <w:sz w:val="20"/>
                <w:szCs w:val="20"/>
              </w:rPr>
              <w:t>112</w:t>
            </w:r>
          </w:p>
        </w:tc>
        <w:tc>
          <w:tcPr>
            <w:tcW w:w="1170" w:type="dxa"/>
            <w:vAlign w:val="center"/>
          </w:tcPr>
          <w:p w:rsidRPr="00D7128A" w:rsidR="00C5384D" w:rsidP="004D4B61" w:rsidRDefault="003A087D" w14:paraId="3BB06390" w14:textId="4736B433">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$15,004</w:t>
            </w:r>
          </w:p>
        </w:tc>
        <w:tc>
          <w:tcPr>
            <w:tcW w:w="1170" w:type="dxa"/>
            <w:vAlign w:val="center"/>
          </w:tcPr>
          <w:p w:rsidRPr="00D7128A" w:rsidR="00C5384D" w:rsidP="00F068F8" w:rsidRDefault="00C5384D" w14:paraId="78E853D7" w14:textId="77777777">
            <w:pPr>
              <w:spacing w:after="0" w:line="240" w:lineRule="auto"/>
              <w:ind w:left="180"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$32,602</w:t>
            </w:r>
          </w:p>
        </w:tc>
        <w:tc>
          <w:tcPr>
            <w:tcW w:w="1530" w:type="dxa"/>
            <w:vAlign w:val="center"/>
          </w:tcPr>
          <w:p w:rsidRPr="00D7128A" w:rsidR="00C5384D" w:rsidP="004D4B61" w:rsidRDefault="003A087D" w14:paraId="03E558B8" w14:textId="3CDAA5A1">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$47,606</w:t>
            </w:r>
          </w:p>
        </w:tc>
      </w:tr>
      <w:tr w:rsidRPr="004D4B61" w:rsidR="00C5384D" w:rsidTr="00F068F8" w14:paraId="64643332" w14:textId="77777777">
        <w:trPr>
          <w:trHeight w:val="712"/>
        </w:trPr>
        <w:tc>
          <w:tcPr>
            <w:tcW w:w="2340" w:type="dxa"/>
            <w:vAlign w:val="center"/>
          </w:tcPr>
          <w:p w:rsidRPr="00D7128A" w:rsidR="00C5384D" w:rsidP="004D4B61" w:rsidRDefault="00C5384D" w14:paraId="2A45A831" w14:textId="5CF60322">
            <w:pPr>
              <w:spacing w:after="0" w:line="240" w:lineRule="auto"/>
              <w:ind w:left="107" w:right="479"/>
              <w:rPr>
                <w:rFonts w:ascii="Times New Roman" w:hAnsi="Times New Roman" w:cs="Times New Roman"/>
                <w:sz w:val="20"/>
                <w:szCs w:val="20"/>
              </w:rPr>
            </w:pPr>
            <w:r w:rsidRPr="00D7128A">
              <w:rPr>
                <w:rFonts w:ascii="Times New Roman" w:hAnsi="Times New Roman" w:cs="Times New Roman"/>
                <w:sz w:val="20"/>
                <w:szCs w:val="20"/>
              </w:rPr>
              <w:lastRenderedPageBreak/>
              <w:t xml:space="preserve">Complex w/ 0-19 </w:t>
            </w:r>
            <w:r w:rsidRPr="00D7128A" w:rsidR="00A46B98">
              <w:rPr>
                <w:rFonts w:ascii="Times New Roman" w:hAnsi="Times New Roman" w:cs="Times New Roman"/>
                <w:sz w:val="20"/>
                <w:szCs w:val="20"/>
              </w:rPr>
              <w:t>F</w:t>
            </w:r>
            <w:r w:rsidRPr="00D7128A">
              <w:rPr>
                <w:rFonts w:ascii="Times New Roman" w:hAnsi="Times New Roman" w:cs="Times New Roman"/>
                <w:sz w:val="20"/>
                <w:szCs w:val="20"/>
              </w:rPr>
              <w:t>TEs</w:t>
            </w:r>
          </w:p>
        </w:tc>
        <w:tc>
          <w:tcPr>
            <w:tcW w:w="990" w:type="dxa"/>
            <w:vAlign w:val="center"/>
          </w:tcPr>
          <w:p w:rsidRPr="00D7128A" w:rsidR="00C5384D" w:rsidP="004D4B61" w:rsidRDefault="00C5384D" w14:paraId="4D522F00" w14:textId="77777777">
            <w:pPr>
              <w:spacing w:after="0" w:line="240" w:lineRule="auto"/>
              <w:ind w:left="88" w:right="78"/>
              <w:jc w:val="center"/>
              <w:rPr>
                <w:rFonts w:ascii="Times New Roman" w:hAnsi="Times New Roman" w:cs="Times New Roman"/>
                <w:sz w:val="20"/>
                <w:szCs w:val="20"/>
              </w:rPr>
            </w:pPr>
            <w:r w:rsidRPr="00D7128A">
              <w:rPr>
                <w:rFonts w:ascii="Times New Roman" w:hAnsi="Times New Roman" w:cs="Times New Roman"/>
                <w:sz w:val="20"/>
                <w:szCs w:val="20"/>
              </w:rPr>
              <w:t>64</w:t>
            </w:r>
          </w:p>
        </w:tc>
        <w:tc>
          <w:tcPr>
            <w:tcW w:w="1260" w:type="dxa"/>
            <w:vAlign w:val="center"/>
          </w:tcPr>
          <w:p w:rsidRPr="00D7128A" w:rsidR="00C5384D" w:rsidP="004D4B61" w:rsidRDefault="00C5384D" w14:paraId="64E1EC9D"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4D4B61" w:rsidRDefault="00C5384D" w14:paraId="4A3F262A" w14:textId="77777777">
            <w:pPr>
              <w:spacing w:after="0" w:line="240" w:lineRule="auto"/>
              <w:ind w:left="11"/>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170" w:type="dxa"/>
            <w:vAlign w:val="center"/>
          </w:tcPr>
          <w:p w:rsidRPr="00D7128A" w:rsidR="00C5384D" w:rsidP="004D4B61" w:rsidRDefault="003A087D" w14:paraId="73A7FF02" w14:textId="15CD19AD">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$9,943</w:t>
            </w:r>
          </w:p>
        </w:tc>
        <w:tc>
          <w:tcPr>
            <w:tcW w:w="1170" w:type="dxa"/>
            <w:vAlign w:val="center"/>
          </w:tcPr>
          <w:p w:rsidRPr="00D7128A" w:rsidR="00C5384D" w:rsidP="00D7128A" w:rsidRDefault="00C5384D" w14:paraId="0EEEE332" w14:textId="00C77E24">
            <w:pPr>
              <w:spacing w:after="0" w:line="240" w:lineRule="auto"/>
              <w:ind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$86,939</w:t>
            </w:r>
          </w:p>
        </w:tc>
        <w:tc>
          <w:tcPr>
            <w:tcW w:w="1530" w:type="dxa"/>
            <w:vAlign w:val="center"/>
          </w:tcPr>
          <w:p w:rsidRPr="00D7128A" w:rsidR="00C5384D" w:rsidP="004D4B61" w:rsidRDefault="003A087D" w14:paraId="7D8EA531" w14:textId="42D60A8D">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$96,882</w:t>
            </w:r>
          </w:p>
        </w:tc>
      </w:tr>
      <w:tr w:rsidRPr="004D4B61" w:rsidR="00C5384D" w:rsidTr="00F068F8" w14:paraId="0E89A448" w14:textId="77777777">
        <w:trPr>
          <w:trHeight w:val="712"/>
        </w:trPr>
        <w:tc>
          <w:tcPr>
            <w:tcW w:w="2340" w:type="dxa"/>
            <w:vAlign w:val="center"/>
          </w:tcPr>
          <w:p w:rsidRPr="00D7128A" w:rsidR="00C5384D" w:rsidP="004D4B61" w:rsidRDefault="00C5384D" w14:paraId="552C3D7A" w14:textId="77777777">
            <w:pPr>
              <w:spacing w:after="0" w:line="240" w:lineRule="auto"/>
              <w:ind w:left="107" w:right="373"/>
              <w:rPr>
                <w:rFonts w:ascii="Times New Roman" w:hAnsi="Times New Roman" w:cs="Times New Roman"/>
                <w:sz w:val="20"/>
                <w:szCs w:val="20"/>
              </w:rPr>
            </w:pPr>
            <w:r w:rsidRPr="00D7128A">
              <w:rPr>
                <w:rFonts w:ascii="Times New Roman" w:hAnsi="Times New Roman" w:cs="Times New Roman"/>
                <w:sz w:val="20"/>
                <w:szCs w:val="20"/>
              </w:rPr>
              <w:t>Complex w/ 20-99 FTEs</w:t>
            </w:r>
          </w:p>
        </w:tc>
        <w:tc>
          <w:tcPr>
            <w:tcW w:w="990" w:type="dxa"/>
            <w:vAlign w:val="center"/>
          </w:tcPr>
          <w:p w:rsidRPr="00D7128A" w:rsidR="00C5384D" w:rsidP="004D4B61" w:rsidRDefault="00C5384D" w14:paraId="1D3F45C4" w14:textId="77777777">
            <w:pPr>
              <w:spacing w:after="0" w:line="240" w:lineRule="auto"/>
              <w:ind w:left="88" w:right="78"/>
              <w:jc w:val="center"/>
              <w:rPr>
                <w:rFonts w:ascii="Times New Roman" w:hAnsi="Times New Roman" w:cs="Times New Roman"/>
                <w:sz w:val="20"/>
                <w:szCs w:val="20"/>
              </w:rPr>
            </w:pPr>
            <w:r w:rsidRPr="00D7128A">
              <w:rPr>
                <w:rFonts w:ascii="Times New Roman" w:hAnsi="Times New Roman" w:cs="Times New Roman"/>
                <w:sz w:val="20"/>
                <w:szCs w:val="20"/>
              </w:rPr>
              <w:t>88</w:t>
            </w:r>
          </w:p>
        </w:tc>
        <w:tc>
          <w:tcPr>
            <w:tcW w:w="1260" w:type="dxa"/>
            <w:vAlign w:val="center"/>
          </w:tcPr>
          <w:p w:rsidRPr="00D7128A" w:rsidR="00C5384D" w:rsidP="004D4B61" w:rsidRDefault="00C5384D" w14:paraId="1F643EE1"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4D4B61" w:rsidRDefault="00C5384D" w14:paraId="63CD0CF0" w14:textId="77777777">
            <w:pPr>
              <w:spacing w:after="0" w:line="240" w:lineRule="auto"/>
              <w:ind w:left="423" w:right="413"/>
              <w:jc w:val="center"/>
              <w:rPr>
                <w:rFonts w:ascii="Times New Roman" w:hAnsi="Times New Roman" w:cs="Times New Roman"/>
                <w:sz w:val="20"/>
                <w:szCs w:val="20"/>
              </w:rPr>
            </w:pPr>
            <w:r w:rsidRPr="00D7128A">
              <w:rPr>
                <w:rFonts w:ascii="Times New Roman" w:hAnsi="Times New Roman" w:cs="Times New Roman"/>
                <w:sz w:val="20"/>
                <w:szCs w:val="20"/>
              </w:rPr>
              <w:t>36</w:t>
            </w:r>
          </w:p>
        </w:tc>
        <w:tc>
          <w:tcPr>
            <w:tcW w:w="1170" w:type="dxa"/>
            <w:vAlign w:val="center"/>
          </w:tcPr>
          <w:p w:rsidRPr="00D7128A" w:rsidR="00C5384D" w:rsidP="004D4B61" w:rsidRDefault="003A087D" w14:paraId="4C762CCD" w14:textId="65A3D435">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$16,814</w:t>
            </w:r>
          </w:p>
        </w:tc>
        <w:tc>
          <w:tcPr>
            <w:tcW w:w="1170" w:type="dxa"/>
            <w:vAlign w:val="center"/>
          </w:tcPr>
          <w:p w:rsidRPr="00D7128A" w:rsidR="00C5384D" w:rsidP="00F068F8" w:rsidRDefault="00C5384D" w14:paraId="6CA1979A" w14:textId="2919B73E">
            <w:pPr>
              <w:spacing w:after="0" w:line="240" w:lineRule="auto"/>
              <w:ind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$86,939</w:t>
            </w:r>
          </w:p>
        </w:tc>
        <w:tc>
          <w:tcPr>
            <w:tcW w:w="1530" w:type="dxa"/>
            <w:vAlign w:val="center"/>
          </w:tcPr>
          <w:p w:rsidRPr="00D7128A" w:rsidR="00C5384D" w:rsidP="004D4B61" w:rsidRDefault="003A087D" w14:paraId="0E41D4B4" w14:textId="75D74EF7">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$103,753</w:t>
            </w:r>
          </w:p>
        </w:tc>
      </w:tr>
      <w:tr w:rsidRPr="004D4B61" w:rsidR="00C5384D" w:rsidTr="00F068F8" w14:paraId="319EA960" w14:textId="77777777">
        <w:trPr>
          <w:trHeight w:val="712"/>
        </w:trPr>
        <w:tc>
          <w:tcPr>
            <w:tcW w:w="2340" w:type="dxa"/>
            <w:vAlign w:val="center"/>
          </w:tcPr>
          <w:p w:rsidRPr="00D7128A" w:rsidR="00C5384D" w:rsidP="004D4B61" w:rsidRDefault="00C5384D" w14:paraId="54F0D38C" w14:textId="77777777">
            <w:pPr>
              <w:spacing w:after="0" w:line="240" w:lineRule="auto"/>
              <w:ind w:left="107" w:right="439"/>
              <w:rPr>
                <w:rFonts w:ascii="Times New Roman" w:hAnsi="Times New Roman" w:cs="Times New Roman"/>
                <w:sz w:val="20"/>
                <w:szCs w:val="20"/>
              </w:rPr>
            </w:pPr>
            <w:r w:rsidRPr="00D7128A">
              <w:rPr>
                <w:rFonts w:ascii="Times New Roman" w:hAnsi="Times New Roman" w:cs="Times New Roman"/>
                <w:sz w:val="20"/>
                <w:szCs w:val="20"/>
              </w:rPr>
              <w:t>Complex w/ 100+ FTEs</w:t>
            </w:r>
          </w:p>
        </w:tc>
        <w:tc>
          <w:tcPr>
            <w:tcW w:w="990" w:type="dxa"/>
            <w:vAlign w:val="center"/>
          </w:tcPr>
          <w:p w:rsidRPr="00D7128A" w:rsidR="00C5384D" w:rsidP="004D4B61" w:rsidRDefault="00C5384D" w14:paraId="35F07DDF" w14:textId="77777777">
            <w:pPr>
              <w:spacing w:after="0" w:line="240" w:lineRule="auto"/>
              <w:ind w:left="88" w:right="78"/>
              <w:jc w:val="center"/>
              <w:rPr>
                <w:rFonts w:ascii="Times New Roman" w:hAnsi="Times New Roman" w:cs="Times New Roman"/>
                <w:sz w:val="20"/>
                <w:szCs w:val="20"/>
              </w:rPr>
            </w:pPr>
            <w:r w:rsidRPr="00D7128A">
              <w:rPr>
                <w:rFonts w:ascii="Times New Roman" w:hAnsi="Times New Roman" w:cs="Times New Roman"/>
                <w:sz w:val="20"/>
                <w:szCs w:val="20"/>
              </w:rPr>
              <w:t>60</w:t>
            </w:r>
          </w:p>
        </w:tc>
        <w:tc>
          <w:tcPr>
            <w:tcW w:w="1260" w:type="dxa"/>
            <w:vAlign w:val="center"/>
          </w:tcPr>
          <w:p w:rsidRPr="00D7128A" w:rsidR="00C5384D" w:rsidP="004D4B61" w:rsidRDefault="00C5384D" w14:paraId="6619AFF2"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8</w:t>
            </w:r>
          </w:p>
        </w:tc>
        <w:tc>
          <w:tcPr>
            <w:tcW w:w="1350" w:type="dxa"/>
            <w:vAlign w:val="center"/>
          </w:tcPr>
          <w:p w:rsidRPr="00D7128A" w:rsidR="00C5384D" w:rsidP="004D4B61" w:rsidRDefault="00C5384D" w14:paraId="027FD240" w14:textId="77777777">
            <w:pPr>
              <w:spacing w:after="0" w:line="240" w:lineRule="auto"/>
              <w:ind w:left="423" w:right="415"/>
              <w:jc w:val="center"/>
              <w:rPr>
                <w:rFonts w:ascii="Times New Roman" w:hAnsi="Times New Roman" w:cs="Times New Roman"/>
                <w:sz w:val="20"/>
                <w:szCs w:val="20"/>
              </w:rPr>
            </w:pPr>
            <w:r w:rsidRPr="00D7128A">
              <w:rPr>
                <w:rFonts w:ascii="Times New Roman" w:hAnsi="Times New Roman" w:cs="Times New Roman"/>
                <w:sz w:val="20"/>
                <w:szCs w:val="20"/>
              </w:rPr>
              <w:t>112</w:t>
            </w:r>
          </w:p>
        </w:tc>
        <w:tc>
          <w:tcPr>
            <w:tcW w:w="1170" w:type="dxa"/>
            <w:vAlign w:val="center"/>
          </w:tcPr>
          <w:p w:rsidRPr="00D7128A" w:rsidR="00C5384D" w:rsidP="004D4B61" w:rsidRDefault="003A087D" w14:paraId="7CB193F9" w14:textId="79CAE500">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$20,648</w:t>
            </w:r>
          </w:p>
        </w:tc>
        <w:tc>
          <w:tcPr>
            <w:tcW w:w="1170" w:type="dxa"/>
            <w:vAlign w:val="center"/>
          </w:tcPr>
          <w:p w:rsidRPr="00D7128A" w:rsidR="00C5384D" w:rsidP="00D7128A" w:rsidRDefault="00C5384D" w14:paraId="4386B68A" w14:textId="00DB3A71">
            <w:pPr>
              <w:spacing w:after="0" w:line="240" w:lineRule="auto"/>
              <w:ind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$86,939</w:t>
            </w:r>
          </w:p>
        </w:tc>
        <w:tc>
          <w:tcPr>
            <w:tcW w:w="1530" w:type="dxa"/>
            <w:vAlign w:val="center"/>
          </w:tcPr>
          <w:p w:rsidRPr="00D7128A" w:rsidR="00C5384D" w:rsidP="004D4B61" w:rsidRDefault="003A087D" w14:paraId="22159916" w14:textId="158CB648">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$107,587</w:t>
            </w:r>
          </w:p>
        </w:tc>
      </w:tr>
      <w:tr w:rsidRPr="004D4B61" w:rsidR="00C5384D" w:rsidTr="00F068F8" w14:paraId="1867EBE9" w14:textId="77777777">
        <w:trPr>
          <w:trHeight w:val="458"/>
        </w:trPr>
        <w:tc>
          <w:tcPr>
            <w:tcW w:w="2340" w:type="dxa"/>
            <w:vAlign w:val="center"/>
          </w:tcPr>
          <w:p w:rsidRPr="00D7128A" w:rsidR="00C5384D" w:rsidP="004D4B61" w:rsidRDefault="00C5384D" w14:paraId="2B391E97"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Small Government</w:t>
            </w:r>
          </w:p>
        </w:tc>
        <w:tc>
          <w:tcPr>
            <w:tcW w:w="990" w:type="dxa"/>
            <w:vAlign w:val="center"/>
          </w:tcPr>
          <w:p w:rsidRPr="00D7128A" w:rsidR="00C5384D" w:rsidP="004D4B61" w:rsidRDefault="00C5384D" w14:paraId="49574A84" w14:textId="77777777">
            <w:pPr>
              <w:spacing w:after="0" w:line="240" w:lineRule="auto"/>
              <w:ind w:left="88" w:right="78"/>
              <w:jc w:val="center"/>
              <w:rPr>
                <w:rFonts w:ascii="Times New Roman" w:hAnsi="Times New Roman" w:cs="Times New Roman"/>
                <w:sz w:val="20"/>
                <w:szCs w:val="20"/>
              </w:rPr>
            </w:pPr>
            <w:r w:rsidRPr="00D7128A">
              <w:rPr>
                <w:rFonts w:ascii="Times New Roman" w:hAnsi="Times New Roman" w:cs="Times New Roman"/>
                <w:sz w:val="20"/>
                <w:szCs w:val="20"/>
              </w:rPr>
              <w:t>60</w:t>
            </w:r>
          </w:p>
        </w:tc>
        <w:tc>
          <w:tcPr>
            <w:tcW w:w="1260" w:type="dxa"/>
            <w:vAlign w:val="center"/>
          </w:tcPr>
          <w:p w:rsidRPr="00D7128A" w:rsidR="00C5384D" w:rsidP="004D4B61" w:rsidRDefault="00C5384D" w14:paraId="34D2849E"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50" w:type="dxa"/>
            <w:vAlign w:val="center"/>
          </w:tcPr>
          <w:p w:rsidRPr="00D7128A" w:rsidR="00C5384D" w:rsidP="004D4B61" w:rsidRDefault="00C5384D" w14:paraId="0B367300" w14:textId="77777777">
            <w:pPr>
              <w:spacing w:after="0" w:line="240" w:lineRule="auto"/>
              <w:ind w:left="423" w:right="413"/>
              <w:jc w:val="center"/>
              <w:rPr>
                <w:rFonts w:ascii="Times New Roman" w:hAnsi="Times New Roman" w:cs="Times New Roman"/>
                <w:sz w:val="20"/>
                <w:szCs w:val="20"/>
              </w:rPr>
            </w:pPr>
            <w:r w:rsidRPr="00D7128A">
              <w:rPr>
                <w:rFonts w:ascii="Times New Roman" w:hAnsi="Times New Roman" w:cs="Times New Roman"/>
                <w:sz w:val="20"/>
                <w:szCs w:val="20"/>
              </w:rPr>
              <w:t>50</w:t>
            </w:r>
          </w:p>
        </w:tc>
        <w:tc>
          <w:tcPr>
            <w:tcW w:w="1170" w:type="dxa"/>
            <w:vAlign w:val="center"/>
          </w:tcPr>
          <w:p w:rsidRPr="00D7128A" w:rsidR="00C5384D" w:rsidP="004D4B61" w:rsidRDefault="003A087D" w14:paraId="42E6730F" w14:textId="240C9F8D">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$9,649</w:t>
            </w:r>
          </w:p>
        </w:tc>
        <w:tc>
          <w:tcPr>
            <w:tcW w:w="1170" w:type="dxa"/>
            <w:vAlign w:val="center"/>
          </w:tcPr>
          <w:p w:rsidRPr="00D7128A" w:rsidR="00C5384D" w:rsidP="00F068F8" w:rsidRDefault="00C5384D" w14:paraId="1DD8D8CC" w14:textId="77777777">
            <w:pPr>
              <w:spacing w:after="0" w:line="240" w:lineRule="auto"/>
              <w:ind w:left="180"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$32,602</w:t>
            </w:r>
          </w:p>
        </w:tc>
        <w:tc>
          <w:tcPr>
            <w:tcW w:w="1530" w:type="dxa"/>
            <w:vAlign w:val="center"/>
          </w:tcPr>
          <w:p w:rsidRPr="00D7128A" w:rsidR="00C5384D" w:rsidP="004D4B61" w:rsidRDefault="003A087D" w14:paraId="2301D57D" w14:textId="07A14131">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$42,252</w:t>
            </w:r>
          </w:p>
        </w:tc>
      </w:tr>
      <w:tr w:rsidRPr="004D4B61" w:rsidR="00C5384D" w:rsidTr="00F068F8" w14:paraId="035B5853" w14:textId="77777777">
        <w:trPr>
          <w:trHeight w:val="455"/>
        </w:trPr>
        <w:tc>
          <w:tcPr>
            <w:tcW w:w="2340" w:type="dxa"/>
            <w:vAlign w:val="center"/>
          </w:tcPr>
          <w:p w:rsidRPr="00D7128A" w:rsidR="00C5384D" w:rsidP="004D4B61" w:rsidRDefault="00C5384D" w14:paraId="480D1036" w14:textId="77777777">
            <w:pPr>
              <w:spacing w:after="0" w:line="240" w:lineRule="auto"/>
              <w:ind w:left="107"/>
              <w:rPr>
                <w:rFonts w:ascii="Times New Roman" w:hAnsi="Times New Roman" w:cs="Times New Roman"/>
                <w:sz w:val="20"/>
                <w:szCs w:val="20"/>
              </w:rPr>
            </w:pPr>
            <w:r w:rsidRPr="00D7128A">
              <w:rPr>
                <w:rFonts w:ascii="Times New Roman" w:hAnsi="Times New Roman" w:cs="Times New Roman"/>
                <w:sz w:val="20"/>
                <w:szCs w:val="20"/>
              </w:rPr>
              <w:t>Large Government</w:t>
            </w:r>
          </w:p>
        </w:tc>
        <w:tc>
          <w:tcPr>
            <w:tcW w:w="990" w:type="dxa"/>
            <w:vAlign w:val="center"/>
          </w:tcPr>
          <w:p w:rsidRPr="00D7128A" w:rsidR="00C5384D" w:rsidP="004D4B61" w:rsidRDefault="00C5384D" w14:paraId="3833CEDF" w14:textId="77777777">
            <w:pPr>
              <w:spacing w:after="0" w:line="240" w:lineRule="auto"/>
              <w:ind w:left="87" w:right="79"/>
              <w:jc w:val="center"/>
              <w:rPr>
                <w:rFonts w:ascii="Times New Roman" w:hAnsi="Times New Roman" w:cs="Times New Roman"/>
                <w:sz w:val="20"/>
                <w:szCs w:val="20"/>
              </w:rPr>
            </w:pPr>
            <w:r w:rsidRPr="00D7128A">
              <w:rPr>
                <w:rFonts w:ascii="Times New Roman" w:hAnsi="Times New Roman" w:cs="Times New Roman"/>
                <w:sz w:val="20"/>
                <w:szCs w:val="20"/>
              </w:rPr>
              <w:t>120</w:t>
            </w:r>
          </w:p>
        </w:tc>
        <w:tc>
          <w:tcPr>
            <w:tcW w:w="1260" w:type="dxa"/>
            <w:vAlign w:val="center"/>
          </w:tcPr>
          <w:p w:rsidRPr="00D7128A" w:rsidR="00C5384D" w:rsidP="004D4B61" w:rsidRDefault="00C5384D" w14:paraId="36940007" w14:textId="77777777">
            <w:pPr>
              <w:spacing w:after="0" w:line="240" w:lineRule="auto"/>
              <w:ind w:left="8"/>
              <w:jc w:val="center"/>
              <w:rPr>
                <w:rFonts w:ascii="Times New Roman" w:hAnsi="Times New Roman" w:cs="Times New Roman"/>
                <w:sz w:val="20"/>
                <w:szCs w:val="20"/>
              </w:rPr>
            </w:pPr>
            <w:r w:rsidRPr="00D7128A">
              <w:rPr>
                <w:rFonts w:ascii="Times New Roman" w:hAnsi="Times New Roman" w:cs="Times New Roman"/>
                <w:sz w:val="20"/>
                <w:szCs w:val="20"/>
              </w:rPr>
              <w:t>0</w:t>
            </w:r>
          </w:p>
        </w:tc>
        <w:tc>
          <w:tcPr>
            <w:tcW w:w="1350" w:type="dxa"/>
            <w:vAlign w:val="center"/>
          </w:tcPr>
          <w:p w:rsidRPr="00D7128A" w:rsidR="00C5384D" w:rsidP="004D4B61" w:rsidRDefault="00C5384D" w14:paraId="66D1DD2A" w14:textId="77777777">
            <w:pPr>
              <w:spacing w:after="0" w:line="240" w:lineRule="auto"/>
              <w:ind w:left="423" w:right="413"/>
              <w:jc w:val="center"/>
              <w:rPr>
                <w:rFonts w:ascii="Times New Roman" w:hAnsi="Times New Roman" w:cs="Times New Roman"/>
                <w:sz w:val="20"/>
                <w:szCs w:val="20"/>
              </w:rPr>
            </w:pPr>
            <w:r w:rsidRPr="00D7128A">
              <w:rPr>
                <w:rFonts w:ascii="Times New Roman" w:hAnsi="Times New Roman" w:cs="Times New Roman"/>
                <w:sz w:val="20"/>
                <w:szCs w:val="20"/>
              </w:rPr>
              <w:t>78</w:t>
            </w:r>
          </w:p>
        </w:tc>
        <w:tc>
          <w:tcPr>
            <w:tcW w:w="1170" w:type="dxa"/>
            <w:vAlign w:val="center"/>
          </w:tcPr>
          <w:p w:rsidRPr="00D7128A" w:rsidR="00C5384D" w:rsidP="004D4B61" w:rsidRDefault="003A087D" w14:paraId="1C1E7F2F" w14:textId="40C48B31">
            <w:pPr>
              <w:spacing w:after="0" w:line="240" w:lineRule="auto"/>
              <w:ind w:left="212" w:right="207"/>
              <w:jc w:val="center"/>
              <w:rPr>
                <w:rFonts w:ascii="Times New Roman" w:hAnsi="Times New Roman" w:cs="Times New Roman"/>
                <w:sz w:val="20"/>
                <w:szCs w:val="20"/>
              </w:rPr>
            </w:pPr>
            <w:r w:rsidRPr="00D7128A">
              <w:rPr>
                <w:rFonts w:ascii="Times New Roman" w:hAnsi="Times New Roman" w:cs="Times New Roman"/>
                <w:color w:val="000000"/>
                <w:sz w:val="20"/>
                <w:szCs w:val="20"/>
              </w:rPr>
              <w:t>$24,109</w:t>
            </w:r>
          </w:p>
        </w:tc>
        <w:tc>
          <w:tcPr>
            <w:tcW w:w="1170" w:type="dxa"/>
            <w:vAlign w:val="center"/>
          </w:tcPr>
          <w:p w:rsidRPr="00D7128A" w:rsidR="00C5384D" w:rsidP="00F068F8" w:rsidRDefault="00C5384D" w14:paraId="5901E944" w14:textId="77777777">
            <w:pPr>
              <w:spacing w:after="0" w:line="240" w:lineRule="auto"/>
              <w:ind w:left="180" w:right="85"/>
              <w:jc w:val="center"/>
              <w:rPr>
                <w:rFonts w:ascii="Times New Roman" w:hAnsi="Times New Roman" w:cs="Times New Roman"/>
                <w:sz w:val="20"/>
                <w:szCs w:val="20"/>
              </w:rPr>
            </w:pPr>
            <w:r w:rsidRPr="00D7128A">
              <w:rPr>
                <w:rFonts w:ascii="Times New Roman" w:hAnsi="Times New Roman" w:cs="Times New Roman"/>
                <w:color w:val="000000"/>
                <w:sz w:val="20"/>
                <w:szCs w:val="20"/>
              </w:rPr>
              <w:t>$86,939</w:t>
            </w:r>
          </w:p>
        </w:tc>
        <w:tc>
          <w:tcPr>
            <w:tcW w:w="1530" w:type="dxa"/>
            <w:vAlign w:val="center"/>
          </w:tcPr>
          <w:p w:rsidRPr="00D7128A" w:rsidR="00C5384D" w:rsidP="004D4B61" w:rsidRDefault="003A087D" w14:paraId="395EC293" w14:textId="73052FB2">
            <w:pPr>
              <w:spacing w:after="0" w:line="240" w:lineRule="auto"/>
              <w:ind w:left="270" w:right="268"/>
              <w:jc w:val="center"/>
              <w:rPr>
                <w:rFonts w:ascii="Times New Roman" w:hAnsi="Times New Roman" w:cs="Times New Roman"/>
                <w:sz w:val="20"/>
                <w:szCs w:val="20"/>
              </w:rPr>
            </w:pPr>
            <w:r w:rsidRPr="00D7128A">
              <w:rPr>
                <w:rFonts w:ascii="Times New Roman" w:hAnsi="Times New Roman" w:cs="Times New Roman"/>
                <w:color w:val="000000"/>
                <w:sz w:val="20"/>
                <w:szCs w:val="20"/>
              </w:rPr>
              <w:t>$111,048</w:t>
            </w:r>
          </w:p>
        </w:tc>
      </w:tr>
    </w:tbl>
    <w:p w:rsidRPr="004D4B61" w:rsidR="00C5384D" w:rsidP="004D4B61" w:rsidRDefault="00C5384D" w14:paraId="6258103D" w14:textId="77777777">
      <w:pPr>
        <w:spacing w:after="0" w:line="240" w:lineRule="auto"/>
        <w:ind w:firstLine="720"/>
        <w:rPr>
          <w:rFonts w:ascii="Times New Roman" w:hAnsi="Times New Roman" w:cs="Times New Roman"/>
          <w:b/>
        </w:rPr>
      </w:pPr>
    </w:p>
    <w:p w:rsidRPr="004D4B61" w:rsidR="00796CBE" w:rsidP="004D4B61" w:rsidRDefault="00C5384D" w14:paraId="595C2047" w14:textId="653BF90A">
      <w:pPr>
        <w:spacing w:after="0" w:line="240" w:lineRule="auto"/>
        <w:rPr>
          <w:rFonts w:ascii="Times New Roman" w:hAnsi="Times New Roman" w:cs="Times New Roman"/>
          <w:i/>
        </w:rPr>
      </w:pPr>
      <w:r w:rsidRPr="004D4B61">
        <w:rPr>
          <w:rFonts w:ascii="Times New Roman" w:hAnsi="Times New Roman" w:cs="Times New Roman"/>
          <w:i/>
        </w:rPr>
        <w:t>Employee Participation</w:t>
      </w:r>
      <w:r w:rsidRPr="004D4B61" w:rsidR="00D04BF0">
        <w:rPr>
          <w:rFonts w:ascii="Times New Roman" w:hAnsi="Times New Roman" w:cs="Times New Roman"/>
          <w:i/>
        </w:rPr>
        <w:t xml:space="preserve"> Plan</w:t>
      </w:r>
    </w:p>
    <w:p w:rsidR="00F42ABB" w:rsidP="00835820" w:rsidRDefault="00823228" w14:paraId="08F8195C" w14:textId="209765E1">
      <w:pPr>
        <w:spacing w:after="0" w:line="240" w:lineRule="auto"/>
        <w:ind w:firstLine="360"/>
        <w:rPr>
          <w:rFonts w:ascii="Times New Roman" w:hAnsi="Times New Roman" w:cs="Times New Roman"/>
        </w:rPr>
      </w:pPr>
      <w:r>
        <w:rPr>
          <w:rFonts w:ascii="Times New Roman" w:hAnsi="Times New Roman" w:cs="Times New Roman"/>
        </w:rPr>
        <w:tab/>
      </w:r>
      <w:r w:rsidRPr="004D4B61" w:rsidR="00F42ABB">
        <w:rPr>
          <w:rFonts w:ascii="Times New Roman" w:hAnsi="Times New Roman" w:cs="Times New Roman"/>
        </w:rPr>
        <w:t xml:space="preserve">EPA </w:t>
      </w:r>
      <w:r w:rsidRPr="004D4B61" w:rsidR="00BE3AC9">
        <w:rPr>
          <w:rFonts w:ascii="Times New Roman" w:hAnsi="Times New Roman" w:cs="Times New Roman"/>
        </w:rPr>
        <w:t xml:space="preserve">is </w:t>
      </w:r>
      <w:r w:rsidRPr="004D4B61" w:rsidR="00F42ABB">
        <w:rPr>
          <w:rFonts w:ascii="Times New Roman" w:hAnsi="Times New Roman" w:cs="Times New Roman"/>
        </w:rPr>
        <w:t xml:space="preserve">proposing to require employers to consult with employees when making decisions on implementing recommendations from PHAs, compliance audits, and incident investigations; provide employees the opportunity to stop work under certain circumstances; and provide opportunities for employees to </w:t>
      </w:r>
      <w:r w:rsidRPr="004D4B61" w:rsidR="00037366">
        <w:rPr>
          <w:rFonts w:ascii="Times New Roman" w:hAnsi="Times New Roman" w:cs="Times New Roman"/>
        </w:rPr>
        <w:t xml:space="preserve">anonymously </w:t>
      </w:r>
      <w:r w:rsidRPr="004D4B61" w:rsidR="00F42ABB">
        <w:rPr>
          <w:rFonts w:ascii="Times New Roman" w:hAnsi="Times New Roman" w:cs="Times New Roman"/>
        </w:rPr>
        <w:t>report</w:t>
      </w:r>
      <w:r w:rsidRPr="004D4B61" w:rsidR="00037366">
        <w:rPr>
          <w:rFonts w:ascii="Times New Roman" w:hAnsi="Times New Roman" w:cs="Times New Roman"/>
        </w:rPr>
        <w:t xml:space="preserve"> certain problems</w:t>
      </w:r>
      <w:r w:rsidRPr="004D4B61" w:rsidR="00720D95">
        <w:rPr>
          <w:rFonts w:ascii="Times New Roman" w:hAnsi="Times New Roman" w:cs="Times New Roman"/>
        </w:rPr>
        <w:t xml:space="preserve">. </w:t>
      </w:r>
      <w:r w:rsidRPr="004D4B61" w:rsidR="00BE3AC9">
        <w:rPr>
          <w:rFonts w:ascii="Times New Roman" w:hAnsi="Times New Roman" w:cs="Times New Roman"/>
        </w:rPr>
        <w:t>Specifically,</w:t>
      </w:r>
      <w:r w:rsidRPr="004D4B61" w:rsidR="0030171C">
        <w:rPr>
          <w:rFonts w:ascii="Times New Roman" w:hAnsi="Times New Roman" w:cs="Times New Roman"/>
        </w:rPr>
        <w:t xml:space="preserve"> </w:t>
      </w:r>
      <w:r w:rsidRPr="004D4B61" w:rsidR="00037366">
        <w:rPr>
          <w:rFonts w:ascii="Times New Roman" w:hAnsi="Times New Roman" w:cs="Times New Roman"/>
        </w:rPr>
        <w:t>t</w:t>
      </w:r>
      <w:r w:rsidRPr="004D4B61" w:rsidR="00C5384D">
        <w:rPr>
          <w:rFonts w:ascii="Times New Roman" w:hAnsi="Times New Roman" w:cs="Times New Roman"/>
        </w:rPr>
        <w:t>he proposed rule w</w:t>
      </w:r>
      <w:r w:rsidRPr="004D4B61" w:rsidR="0088723E">
        <w:rPr>
          <w:rFonts w:ascii="Times New Roman" w:hAnsi="Times New Roman" w:cs="Times New Roman"/>
        </w:rPr>
        <w:t>ould</w:t>
      </w:r>
      <w:r w:rsidRPr="004D4B61" w:rsidR="00C5384D">
        <w:rPr>
          <w:rFonts w:ascii="Times New Roman" w:hAnsi="Times New Roman" w:cs="Times New Roman"/>
        </w:rPr>
        <w:t xml:space="preserve"> require that the </w:t>
      </w:r>
      <w:r w:rsidRPr="004D4B61" w:rsidR="00354D92">
        <w:rPr>
          <w:rFonts w:ascii="Times New Roman" w:hAnsi="Times New Roman" w:cs="Times New Roman"/>
        </w:rPr>
        <w:t>employee participation plan</w:t>
      </w:r>
      <w:r w:rsidRPr="004D4B61" w:rsidR="00C5384D">
        <w:rPr>
          <w:rFonts w:ascii="Times New Roman" w:hAnsi="Times New Roman" w:cs="Times New Roman"/>
        </w:rPr>
        <w:t>, at 40 CFR 68.83, include and ensure effective methods are in place so that employees and their representatives have authority to refuse to perform a task when doing so could reasonably result in a catastrophic release and to recommend to the operator in charge of a unit that an operation or process be partially or completely shut down based on the potential for a catastrophic release. The proposed rule would require facilities with Program 3 processes to include in their employee participation plan explicit language that includes information for reporting of RMP</w:t>
      </w:r>
      <w:r w:rsidRPr="004D4B61" w:rsidR="002C5463">
        <w:rPr>
          <w:rFonts w:ascii="Times New Roman" w:hAnsi="Times New Roman" w:cs="Times New Roman"/>
        </w:rPr>
        <w:t>-</w:t>
      </w:r>
      <w:r w:rsidRPr="004D4B61" w:rsidR="00C5384D">
        <w:rPr>
          <w:rFonts w:ascii="Times New Roman" w:hAnsi="Times New Roman" w:cs="Times New Roman"/>
        </w:rPr>
        <w:t xml:space="preserve">reportable accidents or other related RMP non-compliance issues. This would require facilities with Program 3 processes to update their </w:t>
      </w:r>
      <w:r w:rsidR="005C1B6F">
        <w:rPr>
          <w:rFonts w:ascii="Times New Roman" w:hAnsi="Times New Roman" w:cs="Times New Roman"/>
        </w:rPr>
        <w:t>current</w:t>
      </w:r>
      <w:r w:rsidRPr="004D4B61" w:rsidR="00C5384D">
        <w:rPr>
          <w:rFonts w:ascii="Times New Roman" w:hAnsi="Times New Roman" w:cs="Times New Roman"/>
        </w:rPr>
        <w:t xml:space="preserve"> </w:t>
      </w:r>
      <w:r w:rsidRPr="004D4B61" w:rsidR="00354D92">
        <w:rPr>
          <w:rFonts w:ascii="Times New Roman" w:hAnsi="Times New Roman" w:cs="Times New Roman"/>
        </w:rPr>
        <w:t>employee participation plan</w:t>
      </w:r>
      <w:r w:rsidRPr="004D4B61" w:rsidR="003D6BFB">
        <w:rPr>
          <w:rFonts w:ascii="Times New Roman" w:hAnsi="Times New Roman" w:cs="Times New Roman"/>
        </w:rPr>
        <w:t>s</w:t>
      </w:r>
      <w:r w:rsidRPr="004D4B61" w:rsidR="00C5384D">
        <w:rPr>
          <w:rFonts w:ascii="Times New Roman" w:hAnsi="Times New Roman" w:cs="Times New Roman"/>
        </w:rPr>
        <w:t xml:space="preserve">. </w:t>
      </w:r>
    </w:p>
    <w:p w:rsidRPr="004D4B61" w:rsidR="003D2F8B" w:rsidP="00835820" w:rsidRDefault="003D2F8B" w14:paraId="76D31DF4" w14:textId="77777777">
      <w:pPr>
        <w:spacing w:after="0" w:line="240" w:lineRule="auto"/>
        <w:ind w:firstLine="360"/>
        <w:rPr>
          <w:rFonts w:ascii="Times New Roman" w:hAnsi="Times New Roman" w:cs="Times New Roman"/>
        </w:rPr>
      </w:pPr>
    </w:p>
    <w:p w:rsidR="00C5384D" w:rsidP="00835820" w:rsidRDefault="003D2F8B" w14:paraId="4D633095" w14:textId="27A7DA60">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Facilities with Program 2 processes are not currently required to have an </w:t>
      </w:r>
      <w:r w:rsidRPr="004D4B61" w:rsidR="00354D92">
        <w:rPr>
          <w:rFonts w:ascii="Times New Roman" w:hAnsi="Times New Roman" w:cs="Times New Roman"/>
        </w:rPr>
        <w:t>employee participation plan</w:t>
      </w:r>
      <w:r w:rsidRPr="004D4B61" w:rsidR="00C5384D">
        <w:rPr>
          <w:rFonts w:ascii="Times New Roman" w:hAnsi="Times New Roman" w:cs="Times New Roman"/>
        </w:rPr>
        <w:t>. Therefore, they w</w:t>
      </w:r>
      <w:r w:rsidRPr="004D4B61" w:rsidR="00344FDD">
        <w:rPr>
          <w:rFonts w:ascii="Times New Roman" w:hAnsi="Times New Roman" w:cs="Times New Roman"/>
        </w:rPr>
        <w:t>ould</w:t>
      </w:r>
      <w:r w:rsidRPr="004D4B61" w:rsidR="00C5384D">
        <w:rPr>
          <w:rFonts w:ascii="Times New Roman" w:hAnsi="Times New Roman" w:cs="Times New Roman"/>
        </w:rPr>
        <w:t xml:space="preserve"> need to develop an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 Training employees on the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 or the updated </w:t>
      </w:r>
      <w:r w:rsidRPr="004D4B61" w:rsidR="00354D92">
        <w:rPr>
          <w:rFonts w:ascii="Times New Roman" w:hAnsi="Times New Roman" w:cs="Times New Roman"/>
        </w:rPr>
        <w:t>plan</w:t>
      </w:r>
      <w:r w:rsidRPr="004D4B61" w:rsidR="00C5384D">
        <w:rPr>
          <w:rFonts w:ascii="Times New Roman" w:hAnsi="Times New Roman" w:cs="Times New Roman"/>
        </w:rPr>
        <w:t xml:space="preserve"> is assumed to be covered by ongoing training related to the prevention program. Therefore, EPA estimates the cost for </w:t>
      </w:r>
      <w:r w:rsidRPr="004D4B61" w:rsidR="005E22BE">
        <w:rPr>
          <w:rFonts w:ascii="Times New Roman" w:hAnsi="Times New Roman" w:cs="Times New Roman"/>
        </w:rPr>
        <w:t>Program 2</w:t>
      </w:r>
      <w:r w:rsidRPr="004D4B61" w:rsidR="00C5384D">
        <w:rPr>
          <w:rFonts w:ascii="Times New Roman" w:hAnsi="Times New Roman" w:cs="Times New Roman"/>
        </w:rPr>
        <w:t xml:space="preserve"> facilities to develop a new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 and </w:t>
      </w:r>
      <w:r w:rsidRPr="0153A962" w:rsidR="00AB34CF">
        <w:rPr>
          <w:rFonts w:ascii="Times New Roman" w:hAnsi="Times New Roman" w:cs="Times New Roman"/>
          <w:color w:val="000000" w:themeColor="text1"/>
        </w:rPr>
        <w:t>Program 3</w:t>
      </w:r>
      <w:r w:rsidRPr="004D4B61" w:rsidR="00C5384D">
        <w:rPr>
          <w:rFonts w:ascii="Times New Roman" w:hAnsi="Times New Roman" w:cs="Times New Roman"/>
        </w:rPr>
        <w:t xml:space="preserve"> facilities to make minor adjustments to </w:t>
      </w:r>
      <w:r w:rsidR="005C1B6F">
        <w:rPr>
          <w:rFonts w:ascii="Times New Roman" w:hAnsi="Times New Roman" w:cs="Times New Roman"/>
        </w:rPr>
        <w:t>current</w:t>
      </w:r>
      <w:r w:rsidRPr="004D4B61" w:rsidR="00C5384D">
        <w:rPr>
          <w:rFonts w:ascii="Times New Roman" w:hAnsi="Times New Roman" w:cs="Times New Roman"/>
        </w:rPr>
        <w:t xml:space="preserve">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s.  </w:t>
      </w:r>
    </w:p>
    <w:p w:rsidRPr="004D4B61" w:rsidR="003D2F8B" w:rsidP="00835820" w:rsidRDefault="003D2F8B" w14:paraId="22DE76C3" w14:textId="77777777">
      <w:pPr>
        <w:spacing w:after="0" w:line="240" w:lineRule="auto"/>
        <w:ind w:firstLine="360"/>
        <w:rPr>
          <w:rFonts w:ascii="Times New Roman" w:hAnsi="Times New Roman" w:cs="Times New Roman"/>
        </w:rPr>
      </w:pPr>
    </w:p>
    <w:p w:rsidRPr="004D4B61" w:rsidR="00C5384D" w:rsidP="00835820" w:rsidRDefault="003D2F8B" w14:paraId="714BA396" w14:textId="5106ED28">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EPA assumes that the development of an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 for a facility with Program 2 processes is a comparable burden to that for developing an </w:t>
      </w:r>
      <w:r w:rsidRPr="004D4B61" w:rsidR="00354D92">
        <w:rPr>
          <w:rFonts w:ascii="Times New Roman" w:hAnsi="Times New Roman" w:cs="Times New Roman"/>
        </w:rPr>
        <w:t>employee participation plan</w:t>
      </w:r>
      <w:r w:rsidRPr="004D4B61" w:rsidR="00C5384D">
        <w:rPr>
          <w:rFonts w:ascii="Times New Roman" w:hAnsi="Times New Roman" w:cs="Times New Roman"/>
        </w:rPr>
        <w:t xml:space="preserve"> for a facility with Program 3 processes. The 1996 RMP RIA did not include costs for </w:t>
      </w:r>
      <w:r w:rsidRPr="004D4B61" w:rsidR="00354D92">
        <w:rPr>
          <w:rFonts w:ascii="Times New Roman" w:hAnsi="Times New Roman" w:cs="Times New Roman"/>
        </w:rPr>
        <w:t>employee participation plan</w:t>
      </w:r>
      <w:r w:rsidRPr="004D4B61" w:rsidR="003D6BFB">
        <w:rPr>
          <w:rFonts w:ascii="Times New Roman" w:hAnsi="Times New Roman" w:cs="Times New Roman"/>
        </w:rPr>
        <w:t>s</w:t>
      </w:r>
      <w:r w:rsidRPr="004D4B61" w:rsidR="00860CFA">
        <w:rPr>
          <w:rFonts w:ascii="Times New Roman" w:hAnsi="Times New Roman" w:cs="Times New Roman"/>
        </w:rPr>
        <w:t xml:space="preserve"> </w:t>
      </w:r>
      <w:r w:rsidRPr="004D4B61" w:rsidR="00C5384D">
        <w:rPr>
          <w:rFonts w:ascii="Times New Roman" w:hAnsi="Times New Roman" w:cs="Times New Roman"/>
        </w:rPr>
        <w:t xml:space="preserve">for facilities with Program 3 processes, based on the assumption that those costs were already adequately accounted for under the OSHA PSM program. EPA therefore relied on the 1992 OSHA PSM RIA as the basis for the costs for </w:t>
      </w:r>
      <w:r w:rsidRPr="004D4B61" w:rsidR="00354D92">
        <w:rPr>
          <w:rFonts w:ascii="Times New Roman" w:hAnsi="Times New Roman" w:cs="Times New Roman"/>
        </w:rPr>
        <w:t>employee participation plan</w:t>
      </w:r>
      <w:r w:rsidRPr="004D4B61" w:rsidR="00C5384D">
        <w:rPr>
          <w:rFonts w:ascii="Times New Roman" w:hAnsi="Times New Roman" w:cs="Times New Roman"/>
        </w:rPr>
        <w:t>s</w:t>
      </w:r>
      <w:r w:rsidRPr="004D4B61" w:rsidR="00860CFA">
        <w:rPr>
          <w:rFonts w:ascii="Times New Roman" w:hAnsi="Times New Roman" w:cs="Times New Roman"/>
        </w:rPr>
        <w:t xml:space="preserve"> </w:t>
      </w:r>
      <w:r w:rsidRPr="004D4B61" w:rsidR="00C5384D">
        <w:rPr>
          <w:rFonts w:ascii="Times New Roman" w:hAnsi="Times New Roman" w:cs="Times New Roman"/>
        </w:rPr>
        <w:t>for facilities with Program 2 processes.</w:t>
      </w:r>
      <w:r w:rsidRPr="004D4B61" w:rsidR="00705A1B">
        <w:rPr>
          <w:rFonts w:ascii="Times New Roman" w:hAnsi="Times New Roman" w:cs="Times New Roman"/>
        </w:rPr>
        <w:t xml:space="preserve"> The resulting estimates of hours by labor category for each </w:t>
      </w:r>
      <w:r w:rsidRPr="004D4B61" w:rsidR="005F10A1">
        <w:rPr>
          <w:rFonts w:ascii="Times New Roman" w:hAnsi="Times New Roman" w:cs="Times New Roman"/>
        </w:rPr>
        <w:t>facility type are presented in Exhibit 4-</w:t>
      </w:r>
      <w:r w:rsidRPr="004D4B61" w:rsidR="006E233C">
        <w:rPr>
          <w:rFonts w:ascii="Times New Roman" w:hAnsi="Times New Roman" w:cs="Times New Roman"/>
        </w:rPr>
        <w:t>8</w:t>
      </w:r>
      <w:r w:rsidRPr="004D4B61" w:rsidR="005F10A1">
        <w:rPr>
          <w:rFonts w:ascii="Times New Roman" w:hAnsi="Times New Roman" w:cs="Times New Roman"/>
        </w:rPr>
        <w:t>.</w:t>
      </w:r>
    </w:p>
    <w:p w:rsidR="00A02711" w:rsidP="004D4B61" w:rsidRDefault="00A02711" w14:paraId="2BACF73C" w14:textId="77777777">
      <w:pPr>
        <w:spacing w:after="0" w:line="240" w:lineRule="auto"/>
        <w:ind w:firstLine="720"/>
        <w:rPr>
          <w:rFonts w:ascii="Times New Roman" w:hAnsi="Times New Roman" w:cs="Times New Roman"/>
        </w:rPr>
      </w:pPr>
    </w:p>
    <w:p w:rsidR="00F12679" w:rsidP="004D4B61" w:rsidRDefault="00F12679" w14:paraId="1342F436" w14:textId="77777777">
      <w:pPr>
        <w:spacing w:after="0" w:line="240" w:lineRule="auto"/>
        <w:jc w:val="center"/>
        <w:rPr>
          <w:rFonts w:ascii="Times New Roman" w:hAnsi="Times New Roman" w:cs="Times New Roman"/>
          <w:b/>
        </w:rPr>
      </w:pPr>
    </w:p>
    <w:p w:rsidR="00F12679" w:rsidP="004D4B61" w:rsidRDefault="00F12679" w14:paraId="24839A37" w14:textId="77777777">
      <w:pPr>
        <w:spacing w:after="0" w:line="240" w:lineRule="auto"/>
        <w:jc w:val="center"/>
        <w:rPr>
          <w:rFonts w:ascii="Times New Roman" w:hAnsi="Times New Roman" w:cs="Times New Roman"/>
          <w:b/>
        </w:rPr>
      </w:pPr>
    </w:p>
    <w:p w:rsidR="00F12679" w:rsidP="004D4B61" w:rsidRDefault="00F12679" w14:paraId="4BF25E39" w14:textId="77777777">
      <w:pPr>
        <w:spacing w:after="0" w:line="240" w:lineRule="auto"/>
        <w:jc w:val="center"/>
        <w:rPr>
          <w:rFonts w:ascii="Times New Roman" w:hAnsi="Times New Roman" w:cs="Times New Roman"/>
          <w:b/>
        </w:rPr>
      </w:pPr>
    </w:p>
    <w:p w:rsidR="00F12679" w:rsidP="004D4B61" w:rsidRDefault="00F12679" w14:paraId="4F8284C6" w14:textId="77777777">
      <w:pPr>
        <w:spacing w:after="0" w:line="240" w:lineRule="auto"/>
        <w:jc w:val="center"/>
        <w:rPr>
          <w:rFonts w:ascii="Times New Roman" w:hAnsi="Times New Roman" w:cs="Times New Roman"/>
          <w:b/>
        </w:rPr>
      </w:pPr>
    </w:p>
    <w:p w:rsidR="00F12679" w:rsidP="004D4B61" w:rsidRDefault="00F12679" w14:paraId="10F46D76" w14:textId="77777777">
      <w:pPr>
        <w:spacing w:after="0" w:line="240" w:lineRule="auto"/>
        <w:jc w:val="center"/>
        <w:rPr>
          <w:rFonts w:ascii="Times New Roman" w:hAnsi="Times New Roman" w:cs="Times New Roman"/>
          <w:b/>
        </w:rPr>
      </w:pPr>
    </w:p>
    <w:p w:rsidR="00F12679" w:rsidP="004D4B61" w:rsidRDefault="00F12679" w14:paraId="117F14B6" w14:textId="77777777">
      <w:pPr>
        <w:spacing w:after="0" w:line="240" w:lineRule="auto"/>
        <w:jc w:val="center"/>
        <w:rPr>
          <w:rFonts w:ascii="Times New Roman" w:hAnsi="Times New Roman" w:cs="Times New Roman"/>
          <w:b/>
        </w:rPr>
      </w:pPr>
    </w:p>
    <w:p w:rsidR="00F12679" w:rsidP="004D4B61" w:rsidRDefault="00F12679" w14:paraId="60ED901D" w14:textId="77777777">
      <w:pPr>
        <w:spacing w:after="0" w:line="240" w:lineRule="auto"/>
        <w:jc w:val="center"/>
        <w:rPr>
          <w:rFonts w:ascii="Times New Roman" w:hAnsi="Times New Roman" w:cs="Times New Roman"/>
          <w:b/>
        </w:rPr>
      </w:pPr>
    </w:p>
    <w:p w:rsidR="000C4BCE" w:rsidP="004D4B61" w:rsidRDefault="00C5384D" w14:paraId="08301CB1" w14:textId="534A355A">
      <w:pPr>
        <w:spacing w:after="0" w:line="240" w:lineRule="auto"/>
        <w:jc w:val="center"/>
        <w:rPr>
          <w:rFonts w:ascii="Times New Roman" w:hAnsi="Times New Roman" w:cs="Times New Roman"/>
          <w:b/>
        </w:rPr>
      </w:pPr>
      <w:r w:rsidRPr="004D4B61">
        <w:rPr>
          <w:rFonts w:ascii="Times New Roman" w:hAnsi="Times New Roman" w:cs="Times New Roman"/>
          <w:b/>
        </w:rPr>
        <w:lastRenderedPageBreak/>
        <w:t>Exhibit 4-</w:t>
      </w:r>
      <w:r w:rsidRPr="004D4B61" w:rsidR="006E233C">
        <w:rPr>
          <w:rFonts w:ascii="Times New Roman" w:hAnsi="Times New Roman" w:cs="Times New Roman"/>
          <w:b/>
          <w:bCs/>
        </w:rPr>
        <w:t>8</w:t>
      </w:r>
      <w:r w:rsidRPr="004D4B61">
        <w:rPr>
          <w:rFonts w:ascii="Times New Roman" w:hAnsi="Times New Roman" w:cs="Times New Roman"/>
          <w:b/>
        </w:rPr>
        <w:t xml:space="preserve">: Hourly </w:t>
      </w:r>
      <w:r w:rsidRPr="004D4B61" w:rsidR="008B3D42">
        <w:rPr>
          <w:rFonts w:ascii="Times New Roman" w:hAnsi="Times New Roman" w:cs="Times New Roman"/>
          <w:b/>
        </w:rPr>
        <w:t>Labor</w:t>
      </w:r>
      <w:r w:rsidRPr="004D4B61">
        <w:rPr>
          <w:rFonts w:ascii="Times New Roman" w:hAnsi="Times New Roman" w:cs="Times New Roman"/>
          <w:b/>
        </w:rPr>
        <w:t xml:space="preserve"> and </w:t>
      </w:r>
      <w:bookmarkStart w:name="_Hlk98509348" w:id="53"/>
      <w:r w:rsidRPr="004D4B61">
        <w:rPr>
          <w:rFonts w:ascii="Times New Roman" w:hAnsi="Times New Roman" w:cs="Times New Roman"/>
          <w:b/>
        </w:rPr>
        <w:t xml:space="preserve">Unit Costs for </w:t>
      </w:r>
      <w:r w:rsidR="004B48AF">
        <w:rPr>
          <w:rFonts w:ascii="Times New Roman" w:hAnsi="Times New Roman" w:cs="Times New Roman"/>
          <w:b/>
        </w:rPr>
        <w:t xml:space="preserve">Employee </w:t>
      </w:r>
      <w:r w:rsidRPr="004D4B61">
        <w:rPr>
          <w:rFonts w:ascii="Times New Roman" w:hAnsi="Times New Roman" w:cs="Times New Roman"/>
          <w:b/>
        </w:rPr>
        <w:t>Participation Plan Development</w:t>
      </w:r>
      <w:bookmarkEnd w:id="53"/>
      <w:r w:rsidRPr="004D4B61">
        <w:rPr>
          <w:rFonts w:ascii="Times New Roman" w:hAnsi="Times New Roman" w:cs="Times New Roman"/>
          <w:b/>
        </w:rPr>
        <w:t xml:space="preserve">: </w:t>
      </w:r>
    </w:p>
    <w:p w:rsidRPr="004D4B61" w:rsidR="00C5384D" w:rsidP="00BB7BE3" w:rsidRDefault="00C5384D" w14:paraId="7DCF9B10" w14:textId="22CD75ED">
      <w:pPr>
        <w:spacing w:after="120" w:line="240" w:lineRule="auto"/>
        <w:jc w:val="center"/>
        <w:rPr>
          <w:rFonts w:ascii="Times New Roman" w:hAnsi="Times New Roman" w:cs="Times New Roman"/>
          <w:b/>
        </w:rPr>
      </w:pPr>
      <w:r w:rsidRPr="004D4B61">
        <w:rPr>
          <w:rFonts w:ascii="Times New Roman" w:hAnsi="Times New Roman" w:cs="Times New Roman"/>
          <w:b/>
        </w:rPr>
        <w:t>Facilities with Program 2 Processes</w:t>
      </w:r>
      <w:r w:rsidR="00AA37B3">
        <w:rPr>
          <w:rFonts w:ascii="Times New Roman" w:hAnsi="Times New Roman" w:cs="Times New Roman"/>
          <w:b/>
        </w:rPr>
        <w:t xml:space="preserve"> (2020 </w:t>
      </w:r>
      <w:r w:rsidR="004D2850">
        <w:rPr>
          <w:rFonts w:ascii="Times New Roman" w:hAnsi="Times New Roman" w:cs="Times New Roman"/>
          <w:b/>
        </w:rPr>
        <w:t>d</w:t>
      </w:r>
      <w:r w:rsidR="00AA37B3">
        <w:rPr>
          <w:rFonts w:ascii="Times New Roman" w:hAnsi="Times New Roman" w:cs="Times New Roman"/>
          <w:b/>
        </w:rPr>
        <w:t>ollars)</w:t>
      </w:r>
      <w:r w:rsidR="00835820">
        <w:rPr>
          <w:rFonts w:ascii="Times New Roman" w:hAnsi="Times New Roman" w:cs="Times New Roman"/>
          <w:b/>
          <w:bCs/>
        </w:rPr>
        <w:t>.</w:t>
      </w:r>
    </w:p>
    <w:tbl>
      <w:tblPr>
        <w:tblW w:w="3742" w:type="pct"/>
        <w:jc w:val="center"/>
        <w:tblLook w:val="04A0" w:firstRow="1" w:lastRow="0" w:firstColumn="1" w:lastColumn="0" w:noHBand="0" w:noVBand="1"/>
      </w:tblPr>
      <w:tblGrid>
        <w:gridCol w:w="2155"/>
        <w:gridCol w:w="997"/>
        <w:gridCol w:w="933"/>
        <w:gridCol w:w="781"/>
        <w:gridCol w:w="718"/>
        <w:gridCol w:w="839"/>
        <w:gridCol w:w="1039"/>
      </w:tblGrid>
      <w:tr w:rsidRPr="004D4B61" w:rsidR="00C5384D" w:rsidTr="00835820" w14:paraId="2909EB73" w14:textId="77777777">
        <w:trPr>
          <w:trHeight w:val="641"/>
          <w:jc w:val="center"/>
        </w:trPr>
        <w:tc>
          <w:tcPr>
            <w:tcW w:w="14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207CB278"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Facility Type</w:t>
            </w:r>
          </w:p>
        </w:tc>
        <w:tc>
          <w:tcPr>
            <w:tcW w:w="668"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6AD77098"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Mgr.</w:t>
            </w:r>
          </w:p>
        </w:tc>
        <w:tc>
          <w:tcPr>
            <w:tcW w:w="625"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6607709A"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Corp</w:t>
            </w:r>
            <w:r w:rsidRPr="00835820" w:rsidR="005A136C">
              <w:rPr>
                <w:rFonts w:ascii="Times New Roman" w:hAnsi="Times New Roman" w:cs="Times New Roman"/>
                <w:b/>
                <w:color w:val="000000"/>
                <w:sz w:val="20"/>
                <w:szCs w:val="20"/>
              </w:rPr>
              <w:t>.</w:t>
            </w:r>
            <w:r w:rsidRPr="00835820">
              <w:rPr>
                <w:rFonts w:ascii="Times New Roman" w:hAnsi="Times New Roman" w:cs="Times New Roman"/>
                <w:b/>
                <w:color w:val="000000"/>
                <w:sz w:val="20"/>
                <w:szCs w:val="20"/>
              </w:rPr>
              <w:t xml:space="preserve"> Mgr.</w:t>
            </w:r>
          </w:p>
        </w:tc>
        <w:tc>
          <w:tcPr>
            <w:tcW w:w="523"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4677A7AD"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Atty.</w:t>
            </w:r>
          </w:p>
        </w:tc>
        <w:tc>
          <w:tcPr>
            <w:tcW w:w="481"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7768689E"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Eng.</w:t>
            </w:r>
          </w:p>
        </w:tc>
        <w:tc>
          <w:tcPr>
            <w:tcW w:w="562" w:type="pct"/>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835820" w:rsidR="00C5384D" w:rsidP="004D4B61" w:rsidRDefault="00C5384D" w14:paraId="7B826E41"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Prod. Staff</w:t>
            </w:r>
          </w:p>
        </w:tc>
        <w:tc>
          <w:tcPr>
            <w:tcW w:w="696"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835820" w:rsidR="00C5384D" w:rsidP="004D4B61" w:rsidRDefault="00C5384D" w14:paraId="55CCB35D"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Facility Cost</w:t>
            </w:r>
          </w:p>
        </w:tc>
      </w:tr>
      <w:tr w:rsidRPr="004D4B61" w:rsidR="00C5384D" w:rsidTr="00835820" w14:paraId="472D9794" w14:textId="77777777">
        <w:trPr>
          <w:trHeight w:val="317"/>
          <w:jc w:val="center"/>
        </w:trPr>
        <w:tc>
          <w:tcPr>
            <w:tcW w:w="1444" w:type="pct"/>
            <w:tcBorders>
              <w:top w:val="nil"/>
              <w:left w:val="single" w:color="auto" w:sz="4" w:space="0"/>
              <w:bottom w:val="single" w:color="auto" w:sz="4" w:space="0"/>
              <w:right w:val="single" w:color="auto" w:sz="4" w:space="0"/>
            </w:tcBorders>
            <w:shd w:val="clear" w:color="auto" w:fill="auto"/>
            <w:vAlign w:val="center"/>
            <w:hideMark/>
          </w:tcPr>
          <w:p w:rsidRPr="00835820" w:rsidR="00C5384D" w:rsidP="00835820" w:rsidRDefault="00C5384D" w14:paraId="7C9A6D7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Simple (&lt;20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4B678F5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625"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5EF37764"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23"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3D380F4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481"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2AAF9387"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1</w:t>
            </w:r>
          </w:p>
        </w:tc>
        <w:tc>
          <w:tcPr>
            <w:tcW w:w="562"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2CBB6F5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696" w:type="pct"/>
            <w:tcBorders>
              <w:top w:val="nil"/>
              <w:left w:val="nil"/>
              <w:bottom w:val="single" w:color="auto" w:sz="4" w:space="0"/>
              <w:right w:val="single" w:color="auto" w:sz="4" w:space="0"/>
            </w:tcBorders>
            <w:vAlign w:val="center"/>
          </w:tcPr>
          <w:p w:rsidRPr="00835820" w:rsidR="00C5384D" w:rsidP="004D4B61" w:rsidRDefault="00C5384D" w14:paraId="2DAC545F" w14:textId="5DC444FF">
            <w:pPr>
              <w:keepNext/>
              <w:spacing w:after="0" w:line="240" w:lineRule="auto"/>
              <w:jc w:val="center"/>
              <w:rPr>
                <w:rFonts w:ascii="Times New Roman" w:hAnsi="Times New Roman" w:cs="Times New Roman"/>
                <w:color w:val="000000"/>
                <w:sz w:val="20"/>
                <w:szCs w:val="20"/>
                <w:highlight w:val="yellow"/>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89</w:t>
            </w:r>
          </w:p>
        </w:tc>
      </w:tr>
      <w:tr w:rsidRPr="004D4B61" w:rsidR="00C5384D" w:rsidTr="00835820" w14:paraId="35D19082" w14:textId="77777777">
        <w:trPr>
          <w:trHeight w:val="249"/>
          <w:jc w:val="center"/>
        </w:trPr>
        <w:tc>
          <w:tcPr>
            <w:tcW w:w="1444" w:type="pct"/>
            <w:tcBorders>
              <w:top w:val="nil"/>
              <w:left w:val="single" w:color="auto" w:sz="4" w:space="0"/>
              <w:bottom w:val="single" w:color="auto" w:sz="4" w:space="0"/>
              <w:right w:val="single" w:color="auto" w:sz="4" w:space="0"/>
            </w:tcBorders>
            <w:shd w:val="clear" w:color="auto" w:fill="auto"/>
            <w:vAlign w:val="center"/>
          </w:tcPr>
          <w:p w:rsidRPr="00835820" w:rsidR="00C5384D" w:rsidP="00835820" w:rsidRDefault="00C5384D" w14:paraId="3B1CE527"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Simple (20+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5E8FE195"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625"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50CDF7D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23"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08AA6786"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481"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0C5246CA"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3</w:t>
            </w:r>
          </w:p>
        </w:tc>
        <w:tc>
          <w:tcPr>
            <w:tcW w:w="562"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4B727552"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696" w:type="pct"/>
            <w:tcBorders>
              <w:top w:val="nil"/>
              <w:left w:val="nil"/>
              <w:bottom w:val="single" w:color="auto" w:sz="4" w:space="0"/>
              <w:right w:val="single" w:color="auto" w:sz="4" w:space="0"/>
            </w:tcBorders>
            <w:vAlign w:val="center"/>
          </w:tcPr>
          <w:p w:rsidRPr="00835820" w:rsidR="00C5384D" w:rsidP="004D4B61" w:rsidRDefault="00C5384D" w14:paraId="010B9EA3" w14:textId="51FD5221">
            <w:pPr>
              <w:keepNext/>
              <w:spacing w:after="0" w:line="240" w:lineRule="auto"/>
              <w:jc w:val="center"/>
              <w:rPr>
                <w:rFonts w:ascii="Times New Roman" w:hAnsi="Times New Roman" w:cs="Times New Roman"/>
                <w:color w:val="000000"/>
                <w:sz w:val="20"/>
                <w:szCs w:val="20"/>
                <w:highlight w:val="yellow"/>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228</w:t>
            </w:r>
          </w:p>
        </w:tc>
      </w:tr>
      <w:tr w:rsidRPr="004D4B61" w:rsidR="00C5384D" w:rsidTr="00835820" w14:paraId="367C14AC" w14:textId="77777777">
        <w:trPr>
          <w:trHeight w:val="249"/>
          <w:jc w:val="center"/>
        </w:trPr>
        <w:tc>
          <w:tcPr>
            <w:tcW w:w="1444" w:type="pct"/>
            <w:tcBorders>
              <w:top w:val="nil"/>
              <w:left w:val="single" w:color="auto" w:sz="4" w:space="0"/>
              <w:bottom w:val="single" w:color="auto" w:sz="4" w:space="0"/>
              <w:right w:val="single" w:color="auto" w:sz="4" w:space="0"/>
            </w:tcBorders>
            <w:shd w:val="clear" w:color="auto" w:fill="auto"/>
            <w:vAlign w:val="center"/>
          </w:tcPr>
          <w:p w:rsidRPr="00835820" w:rsidR="00C5384D" w:rsidP="00835820" w:rsidRDefault="00C5384D" w14:paraId="43A19508"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Complex (&lt;20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28DF35FD"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625"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1626FBD6"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23"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7097FAC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481"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117DCEA3"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1</w:t>
            </w:r>
          </w:p>
        </w:tc>
        <w:tc>
          <w:tcPr>
            <w:tcW w:w="562"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226D0B5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696" w:type="pct"/>
            <w:tcBorders>
              <w:top w:val="nil"/>
              <w:left w:val="nil"/>
              <w:bottom w:val="single" w:color="auto" w:sz="4" w:space="0"/>
              <w:right w:val="single" w:color="auto" w:sz="4" w:space="0"/>
            </w:tcBorders>
            <w:vAlign w:val="center"/>
          </w:tcPr>
          <w:p w:rsidRPr="00835820" w:rsidR="00C5384D" w:rsidP="004D4B61" w:rsidRDefault="00C5384D" w14:paraId="4C5A1247" w14:textId="2AA75B7F">
            <w:pPr>
              <w:keepNext/>
              <w:spacing w:after="0" w:line="240" w:lineRule="auto"/>
              <w:jc w:val="center"/>
              <w:rPr>
                <w:rFonts w:ascii="Times New Roman" w:hAnsi="Times New Roman" w:cs="Times New Roman"/>
                <w:color w:val="000000"/>
                <w:sz w:val="20"/>
                <w:szCs w:val="20"/>
                <w:highlight w:val="yellow"/>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129</w:t>
            </w:r>
          </w:p>
        </w:tc>
      </w:tr>
      <w:tr w:rsidRPr="004D4B61" w:rsidR="00C5384D" w:rsidTr="00835820" w14:paraId="2BC9BAD5" w14:textId="77777777">
        <w:trPr>
          <w:trHeight w:val="253"/>
          <w:jc w:val="center"/>
        </w:trPr>
        <w:tc>
          <w:tcPr>
            <w:tcW w:w="1444" w:type="pct"/>
            <w:tcBorders>
              <w:top w:val="nil"/>
              <w:left w:val="single" w:color="auto" w:sz="4" w:space="0"/>
              <w:bottom w:val="single" w:color="auto" w:sz="4" w:space="0"/>
              <w:right w:val="single" w:color="auto" w:sz="4" w:space="0"/>
            </w:tcBorders>
            <w:shd w:val="clear" w:color="auto" w:fill="auto"/>
            <w:vAlign w:val="center"/>
            <w:hideMark/>
          </w:tcPr>
          <w:p w:rsidRPr="00835820" w:rsidR="00C5384D" w:rsidP="00835820" w:rsidRDefault="00C5384D" w14:paraId="5131CD05"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Complex (20+ FTE)</w:t>
            </w:r>
          </w:p>
        </w:tc>
        <w:tc>
          <w:tcPr>
            <w:tcW w:w="668" w:type="pct"/>
            <w:tcBorders>
              <w:top w:val="nil"/>
              <w:left w:val="nil"/>
              <w:bottom w:val="single" w:color="auto" w:sz="4" w:space="0"/>
              <w:right w:val="single" w:color="auto" w:sz="4" w:space="0"/>
            </w:tcBorders>
            <w:shd w:val="clear" w:color="auto" w:fill="auto"/>
            <w:noWrap/>
            <w:vAlign w:val="center"/>
          </w:tcPr>
          <w:p w:rsidRPr="00835820" w:rsidR="00C5384D" w:rsidP="004D4B61" w:rsidRDefault="00C5384D" w14:paraId="7E931E0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625"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6CF4750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23"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793B1A4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481"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6B6D3784" w14:textId="610648C6">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3</w:t>
            </w:r>
          </w:p>
        </w:tc>
        <w:tc>
          <w:tcPr>
            <w:tcW w:w="562" w:type="pct"/>
            <w:tcBorders>
              <w:top w:val="nil"/>
              <w:left w:val="nil"/>
              <w:bottom w:val="single" w:color="auto" w:sz="4" w:space="0"/>
              <w:right w:val="single" w:color="auto" w:sz="4" w:space="0"/>
            </w:tcBorders>
            <w:shd w:val="clear" w:color="auto" w:fill="auto"/>
            <w:noWrap/>
            <w:vAlign w:val="center"/>
            <w:hideMark/>
          </w:tcPr>
          <w:p w:rsidRPr="00835820" w:rsidR="00C5384D" w:rsidP="004D4B61" w:rsidRDefault="00C5384D" w14:paraId="57F7B5A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696" w:type="pct"/>
            <w:tcBorders>
              <w:top w:val="nil"/>
              <w:left w:val="nil"/>
              <w:bottom w:val="single" w:color="auto" w:sz="4" w:space="0"/>
              <w:right w:val="single" w:color="auto" w:sz="4" w:space="0"/>
            </w:tcBorders>
            <w:vAlign w:val="center"/>
          </w:tcPr>
          <w:p w:rsidRPr="00835820" w:rsidR="00C5384D" w:rsidP="004D4B61" w:rsidRDefault="00C5384D" w14:paraId="55013E8E" w14:textId="1F4A14F2">
            <w:pPr>
              <w:keepNext/>
              <w:spacing w:after="0" w:line="240" w:lineRule="auto"/>
              <w:jc w:val="center"/>
              <w:rPr>
                <w:rFonts w:ascii="Times New Roman" w:hAnsi="Times New Roman" w:cs="Times New Roman"/>
                <w:color w:val="000000"/>
                <w:sz w:val="20"/>
                <w:szCs w:val="20"/>
                <w:highlight w:val="yellow"/>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330</w:t>
            </w:r>
          </w:p>
        </w:tc>
      </w:tr>
    </w:tbl>
    <w:p w:rsidRPr="004D4B61" w:rsidR="00C5384D" w:rsidP="004D4B61" w:rsidRDefault="00C5384D" w14:paraId="751150C5" w14:textId="77777777">
      <w:pPr>
        <w:spacing w:after="0" w:line="240" w:lineRule="auto"/>
        <w:ind w:firstLine="720"/>
        <w:rPr>
          <w:rFonts w:ascii="Times New Roman" w:hAnsi="Times New Roman" w:cs="Times New Roman"/>
        </w:rPr>
      </w:pPr>
      <w:r w:rsidRPr="004D4B61">
        <w:rPr>
          <w:rFonts w:ascii="Times New Roman" w:hAnsi="Times New Roman" w:cs="Times New Roman"/>
        </w:rPr>
        <w:t xml:space="preserve">   </w:t>
      </w:r>
    </w:p>
    <w:p w:rsidRPr="004D4B61" w:rsidR="00C5384D" w:rsidP="00835820" w:rsidRDefault="003D2F8B" w14:paraId="34549C23" w14:textId="329780D4">
      <w:pPr>
        <w:spacing w:after="0" w:line="240" w:lineRule="auto"/>
        <w:ind w:firstLine="360"/>
        <w:rPr>
          <w:rFonts w:ascii="Times New Roman" w:hAnsi="Times New Roman" w:eastAsia="Calibri" w:cs="Times New Roman"/>
          <w:kern w:val="24"/>
        </w:rPr>
      </w:pPr>
      <w:r>
        <w:rPr>
          <w:rFonts w:ascii="Times New Roman" w:hAnsi="Times New Roman" w:eastAsia="Calibri" w:cs="Times New Roman"/>
          <w:kern w:val="24"/>
        </w:rPr>
        <w:tab/>
      </w:r>
      <w:r w:rsidRPr="004D4B61" w:rsidR="00C5384D">
        <w:rPr>
          <w:rFonts w:ascii="Times New Roman" w:hAnsi="Times New Roman" w:eastAsia="Calibri" w:cs="Times New Roman"/>
          <w:kern w:val="24"/>
        </w:rPr>
        <w:t>Facilities with Program 3 processes will need to update</w:t>
      </w:r>
      <w:r w:rsidRPr="004D4B61" w:rsidR="002E65E5">
        <w:rPr>
          <w:rFonts w:ascii="Times New Roman" w:hAnsi="Times New Roman" w:eastAsia="Calibri" w:cs="Times New Roman"/>
          <w:kern w:val="24"/>
        </w:rPr>
        <w:t xml:space="preserve"> </w:t>
      </w:r>
      <w:r w:rsidR="005C1B6F">
        <w:rPr>
          <w:rFonts w:ascii="Times New Roman" w:hAnsi="Times New Roman" w:eastAsia="Calibri" w:cs="Times New Roman"/>
          <w:kern w:val="24"/>
        </w:rPr>
        <w:t>current</w:t>
      </w:r>
      <w:r w:rsidRPr="004D4B61" w:rsidR="00C5384D">
        <w:rPr>
          <w:rFonts w:ascii="Times New Roman" w:hAnsi="Times New Roman" w:eastAsia="Calibri" w:cs="Times New Roman"/>
          <w:kern w:val="24"/>
        </w:rPr>
        <w:t xml:space="preserve"> </w:t>
      </w:r>
      <w:r w:rsidRPr="004D4B61" w:rsidR="00354D92">
        <w:rPr>
          <w:rFonts w:ascii="Times New Roman" w:hAnsi="Times New Roman" w:eastAsia="Calibri" w:cs="Times New Roman"/>
          <w:kern w:val="24"/>
        </w:rPr>
        <w:t>employee participation plan</w:t>
      </w:r>
      <w:r w:rsidRPr="004D4B61" w:rsidR="00995B13">
        <w:rPr>
          <w:rFonts w:ascii="Times New Roman" w:hAnsi="Times New Roman" w:eastAsia="Calibri" w:cs="Times New Roman"/>
          <w:kern w:val="24"/>
        </w:rPr>
        <w:t>s</w:t>
      </w:r>
      <w:r w:rsidRPr="004D4B61" w:rsidR="00C5384D">
        <w:rPr>
          <w:rFonts w:ascii="Times New Roman" w:hAnsi="Times New Roman" w:eastAsia="Calibri" w:cs="Times New Roman"/>
          <w:kern w:val="24"/>
        </w:rPr>
        <w:t>. EPA assumes that this would be a minimal effort, and that regardless of facility complexity, 0.5 hours for an engineer and 0.5 hours for a production level staff would be required.</w:t>
      </w:r>
      <w:r w:rsidRPr="004D4B61" w:rsidR="0056591B">
        <w:rPr>
          <w:rFonts w:ascii="Times New Roman" w:hAnsi="Times New Roman" w:eastAsia="Calibri" w:cs="Times New Roman"/>
          <w:kern w:val="24"/>
        </w:rPr>
        <w:t xml:space="preserve"> </w:t>
      </w:r>
      <w:r w:rsidRPr="004D4B61" w:rsidR="00085DEA">
        <w:rPr>
          <w:rFonts w:ascii="Times New Roman" w:hAnsi="Times New Roman" w:eastAsia="Calibri" w:cs="Times New Roman"/>
          <w:kern w:val="24"/>
        </w:rPr>
        <w:t>The resulting unit costs, and these assumptions, are presented in Exhibit 4-</w:t>
      </w:r>
      <w:r w:rsidRPr="004D4B61" w:rsidR="006E233C">
        <w:rPr>
          <w:rFonts w:ascii="Times New Roman" w:hAnsi="Times New Roman" w:eastAsia="Calibri" w:cs="Times New Roman"/>
          <w:kern w:val="24"/>
        </w:rPr>
        <w:t>9</w:t>
      </w:r>
      <w:r w:rsidRPr="004D4B61" w:rsidR="00085DEA">
        <w:rPr>
          <w:rFonts w:ascii="Times New Roman" w:hAnsi="Times New Roman" w:eastAsia="Calibri" w:cs="Times New Roman"/>
          <w:kern w:val="24"/>
        </w:rPr>
        <w:t>.</w:t>
      </w:r>
    </w:p>
    <w:p w:rsidRPr="004D4B61" w:rsidR="0051219A" w:rsidP="004D4B61" w:rsidRDefault="0051219A" w14:paraId="61AE33DC" w14:textId="7E809785">
      <w:pPr>
        <w:keepNext/>
        <w:spacing w:after="0" w:line="240" w:lineRule="auto"/>
        <w:rPr>
          <w:rFonts w:ascii="Times New Roman" w:hAnsi="Times New Roman" w:eastAsia="Calibri" w:cs="Times New Roman"/>
          <w:kern w:val="24"/>
        </w:rPr>
      </w:pPr>
    </w:p>
    <w:p w:rsidRPr="004D4B61" w:rsidR="00C5384D" w:rsidP="004D4B61" w:rsidRDefault="00C5384D" w14:paraId="2CF6CD3F" w14:textId="75E3BEA2">
      <w:pPr>
        <w:keepNext/>
        <w:spacing w:after="0" w:line="240" w:lineRule="auto"/>
        <w:jc w:val="center"/>
        <w:rPr>
          <w:rFonts w:ascii="Times New Roman" w:hAnsi="Times New Roman" w:cs="Times New Roman"/>
          <w:b/>
        </w:rPr>
      </w:pPr>
      <w:r w:rsidRPr="004D4B61">
        <w:rPr>
          <w:rFonts w:ascii="Times New Roman" w:hAnsi="Times New Roman" w:cs="Times New Roman"/>
          <w:b/>
        </w:rPr>
        <w:t>Exhibit 4-</w:t>
      </w:r>
      <w:r w:rsidRPr="004D4B61" w:rsidR="006E233C">
        <w:rPr>
          <w:rFonts w:ascii="Times New Roman" w:hAnsi="Times New Roman" w:cs="Times New Roman"/>
          <w:b/>
        </w:rPr>
        <w:t>9</w:t>
      </w:r>
      <w:r w:rsidRPr="004D4B61">
        <w:rPr>
          <w:rFonts w:ascii="Times New Roman" w:hAnsi="Times New Roman" w:cs="Times New Roman"/>
          <w:b/>
        </w:rPr>
        <w:t xml:space="preserve">: Hourly </w:t>
      </w:r>
      <w:r w:rsidRPr="004D4B61" w:rsidR="008B3D42">
        <w:rPr>
          <w:rFonts w:ascii="Times New Roman" w:hAnsi="Times New Roman" w:cs="Times New Roman"/>
          <w:b/>
        </w:rPr>
        <w:t xml:space="preserve">Labor </w:t>
      </w:r>
      <w:r w:rsidRPr="004D4B61">
        <w:rPr>
          <w:rFonts w:ascii="Times New Roman" w:hAnsi="Times New Roman" w:cs="Times New Roman"/>
          <w:b/>
        </w:rPr>
        <w:t>and Unit Costs for Employee Participation Plan Update</w:t>
      </w:r>
      <w:r w:rsidR="004D2850">
        <w:rPr>
          <w:rFonts w:ascii="Times New Roman" w:hAnsi="Times New Roman" w:cs="Times New Roman"/>
          <w:b/>
        </w:rPr>
        <w:t xml:space="preserve"> </w:t>
      </w:r>
      <w:r w:rsidRPr="00835820" w:rsidR="004D2850">
        <w:rPr>
          <w:rFonts w:ascii="Times New Roman" w:hAnsi="Times New Roman" w:cs="Times New Roman"/>
          <w:b/>
          <w:bCs/>
        </w:rPr>
        <w:t>(2020 dollars)</w:t>
      </w:r>
      <w:r w:rsidR="00835820">
        <w:rPr>
          <w:rFonts w:ascii="Times New Roman" w:hAnsi="Times New Roman" w:cs="Times New Roman"/>
          <w:b/>
          <w:bCs/>
        </w:rPr>
        <w:t>.</w:t>
      </w:r>
    </w:p>
    <w:p w:rsidRPr="004D4B61" w:rsidR="00835820" w:rsidP="004D4B61" w:rsidRDefault="00835820" w14:paraId="24C72461" w14:textId="77777777">
      <w:pPr>
        <w:keepNext/>
        <w:spacing w:after="0" w:line="240" w:lineRule="auto"/>
        <w:jc w:val="center"/>
        <w:rPr>
          <w:rFonts w:ascii="Times New Roman" w:hAnsi="Times New Roman" w:cs="Times New Roman"/>
          <w:b/>
          <w:bCs/>
        </w:rPr>
      </w:pPr>
    </w:p>
    <w:tbl>
      <w:tblPr>
        <w:tblW w:w="4076" w:type="pct"/>
        <w:jc w:val="center"/>
        <w:tblLook w:val="04A0" w:firstRow="1" w:lastRow="0" w:firstColumn="1" w:lastColumn="0" w:noHBand="0" w:noVBand="1"/>
      </w:tblPr>
      <w:tblGrid>
        <w:gridCol w:w="1786"/>
        <w:gridCol w:w="1143"/>
        <w:gridCol w:w="1143"/>
        <w:gridCol w:w="875"/>
        <w:gridCol w:w="902"/>
        <w:gridCol w:w="1143"/>
        <w:gridCol w:w="1136"/>
      </w:tblGrid>
      <w:tr w:rsidRPr="004D4B61" w:rsidR="00C5384D" w:rsidTr="00835820" w14:paraId="7C8A5246" w14:textId="77777777">
        <w:trPr>
          <w:trHeight w:val="221"/>
          <w:jc w:val="center"/>
        </w:trPr>
        <w:tc>
          <w:tcPr>
            <w:tcW w:w="109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132CBE42"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Facility Type</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368BB1AF"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Mgr.</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282C59E5"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Corp Mgr.</w:t>
            </w:r>
          </w:p>
        </w:tc>
        <w:tc>
          <w:tcPr>
            <w:tcW w:w="538"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48817F6E"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Atty.</w:t>
            </w:r>
          </w:p>
        </w:tc>
        <w:tc>
          <w:tcPr>
            <w:tcW w:w="555"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2B02859D"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Eng.</w:t>
            </w:r>
          </w:p>
        </w:tc>
        <w:tc>
          <w:tcPr>
            <w:tcW w:w="703" w:type="pct"/>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835820" w:rsidR="00C5384D" w:rsidP="004D4B61" w:rsidRDefault="00C5384D" w14:paraId="1ACCAC08"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Prod. Staff</w:t>
            </w:r>
          </w:p>
        </w:tc>
        <w:tc>
          <w:tcPr>
            <w:tcW w:w="700" w:type="pct"/>
            <w:tcBorders>
              <w:top w:val="single" w:color="auto" w:sz="4" w:space="0"/>
              <w:left w:val="nil"/>
              <w:bottom w:val="single" w:color="auto" w:sz="4" w:space="0"/>
              <w:right w:val="single" w:color="auto" w:sz="4" w:space="0"/>
            </w:tcBorders>
            <w:shd w:val="clear" w:color="auto" w:fill="D9D9D9" w:themeFill="background1" w:themeFillShade="D9"/>
            <w:vAlign w:val="bottom"/>
          </w:tcPr>
          <w:p w:rsidRPr="00835820" w:rsidR="00C5384D" w:rsidP="004D4B61" w:rsidRDefault="00C5384D" w14:paraId="38F07A23" w14:textId="77777777">
            <w:pPr>
              <w:keepNext/>
              <w:spacing w:after="0" w:line="240" w:lineRule="auto"/>
              <w:jc w:val="center"/>
              <w:rPr>
                <w:rFonts w:ascii="Times New Roman" w:hAnsi="Times New Roman" w:cs="Times New Roman"/>
                <w:b/>
                <w:color w:val="000000"/>
                <w:sz w:val="20"/>
                <w:szCs w:val="20"/>
              </w:rPr>
            </w:pPr>
            <w:r w:rsidRPr="00835820">
              <w:rPr>
                <w:rFonts w:ascii="Times New Roman" w:hAnsi="Times New Roman" w:cs="Times New Roman"/>
                <w:b/>
                <w:color w:val="000000"/>
                <w:sz w:val="20"/>
                <w:szCs w:val="20"/>
              </w:rPr>
              <w:t>Facility Cost</w:t>
            </w:r>
          </w:p>
        </w:tc>
      </w:tr>
      <w:tr w:rsidRPr="004D4B61" w:rsidR="00C5384D" w:rsidTr="00835820" w14:paraId="68F4418A" w14:textId="77777777">
        <w:trPr>
          <w:trHeight w:val="249"/>
          <w:jc w:val="center"/>
        </w:trPr>
        <w:tc>
          <w:tcPr>
            <w:tcW w:w="1099" w:type="pct"/>
            <w:tcBorders>
              <w:top w:val="nil"/>
              <w:left w:val="single" w:color="auto" w:sz="4" w:space="0"/>
              <w:bottom w:val="single" w:color="auto" w:sz="4" w:space="0"/>
              <w:right w:val="single" w:color="auto" w:sz="4" w:space="0"/>
            </w:tcBorders>
            <w:shd w:val="clear" w:color="auto" w:fill="auto"/>
            <w:vAlign w:val="bottom"/>
            <w:hideMark/>
          </w:tcPr>
          <w:p w:rsidRPr="00835820" w:rsidR="00C5384D" w:rsidP="004D4B61" w:rsidRDefault="00C5384D" w14:paraId="61834528" w14:textId="77777777">
            <w:pPr>
              <w:keepNext/>
              <w:spacing w:after="0" w:line="240" w:lineRule="auto"/>
              <w:rPr>
                <w:rFonts w:ascii="Times New Roman" w:hAnsi="Times New Roman" w:cs="Times New Roman"/>
                <w:color w:val="000000"/>
                <w:sz w:val="20"/>
                <w:szCs w:val="20"/>
              </w:rPr>
            </w:pPr>
            <w:r w:rsidRPr="00835820">
              <w:rPr>
                <w:rFonts w:ascii="Times New Roman" w:hAnsi="Times New Roman" w:cs="Times New Roman"/>
                <w:color w:val="000000"/>
                <w:sz w:val="20"/>
                <w:szCs w:val="20"/>
              </w:rPr>
              <w:t>Simple</w:t>
            </w:r>
          </w:p>
        </w:tc>
        <w:tc>
          <w:tcPr>
            <w:tcW w:w="703"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040107F2"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703" w:type="pct"/>
            <w:tcBorders>
              <w:top w:val="nil"/>
              <w:left w:val="nil"/>
              <w:bottom w:val="single" w:color="auto" w:sz="4" w:space="0"/>
              <w:right w:val="single" w:color="auto" w:sz="4" w:space="0"/>
            </w:tcBorders>
            <w:shd w:val="clear" w:color="auto" w:fill="auto"/>
            <w:noWrap/>
            <w:vAlign w:val="bottom"/>
            <w:hideMark/>
          </w:tcPr>
          <w:p w:rsidRPr="00835820" w:rsidR="00C5384D" w:rsidP="004D4B61" w:rsidRDefault="00C5384D" w14:paraId="369A7E6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38" w:type="pct"/>
            <w:tcBorders>
              <w:top w:val="nil"/>
              <w:left w:val="nil"/>
              <w:bottom w:val="single" w:color="auto" w:sz="4" w:space="0"/>
              <w:right w:val="single" w:color="auto" w:sz="4" w:space="0"/>
            </w:tcBorders>
            <w:shd w:val="clear" w:color="auto" w:fill="auto"/>
            <w:noWrap/>
            <w:vAlign w:val="bottom"/>
            <w:hideMark/>
          </w:tcPr>
          <w:p w:rsidRPr="00835820" w:rsidR="00C5384D" w:rsidP="004D4B61" w:rsidRDefault="00C5384D" w14:paraId="5FF0AEDA"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55" w:type="pct"/>
            <w:tcBorders>
              <w:top w:val="nil"/>
              <w:left w:val="nil"/>
              <w:bottom w:val="single" w:color="auto" w:sz="4" w:space="0"/>
              <w:right w:val="single" w:color="auto" w:sz="4" w:space="0"/>
            </w:tcBorders>
            <w:shd w:val="clear" w:color="auto" w:fill="auto"/>
            <w:noWrap/>
            <w:vAlign w:val="bottom"/>
            <w:hideMark/>
          </w:tcPr>
          <w:p w:rsidRPr="00835820" w:rsidR="00C5384D" w:rsidP="004D4B61" w:rsidRDefault="00C5384D" w14:paraId="2F70D530"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703" w:type="pct"/>
            <w:tcBorders>
              <w:top w:val="nil"/>
              <w:left w:val="nil"/>
              <w:bottom w:val="single" w:color="auto" w:sz="4" w:space="0"/>
              <w:right w:val="single" w:color="auto" w:sz="4" w:space="0"/>
            </w:tcBorders>
            <w:shd w:val="clear" w:color="auto" w:fill="auto"/>
            <w:noWrap/>
            <w:vAlign w:val="bottom"/>
            <w:hideMark/>
          </w:tcPr>
          <w:p w:rsidRPr="00835820" w:rsidR="00C5384D" w:rsidP="004D4B61" w:rsidRDefault="00C5384D" w14:paraId="16AF4CCF"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700" w:type="pct"/>
            <w:tcBorders>
              <w:top w:val="nil"/>
              <w:left w:val="nil"/>
              <w:bottom w:val="single" w:color="auto" w:sz="4" w:space="0"/>
              <w:right w:val="single" w:color="auto" w:sz="4" w:space="0"/>
            </w:tcBorders>
            <w:vAlign w:val="bottom"/>
          </w:tcPr>
          <w:p w:rsidRPr="00835820" w:rsidR="00C5384D" w:rsidP="004D4B61" w:rsidRDefault="00C5384D" w14:paraId="5E2267C8" w14:textId="19A6119F">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55</w:t>
            </w:r>
          </w:p>
        </w:tc>
      </w:tr>
      <w:tr w:rsidRPr="004D4B61" w:rsidR="00C5384D" w:rsidTr="00835820" w14:paraId="31AE555C" w14:textId="77777777">
        <w:trPr>
          <w:trHeight w:val="249"/>
          <w:jc w:val="center"/>
        </w:trPr>
        <w:tc>
          <w:tcPr>
            <w:tcW w:w="1099" w:type="pct"/>
            <w:tcBorders>
              <w:top w:val="nil"/>
              <w:left w:val="single" w:color="auto" w:sz="4" w:space="0"/>
              <w:bottom w:val="single" w:color="auto" w:sz="4" w:space="0"/>
              <w:right w:val="single" w:color="auto" w:sz="4" w:space="0"/>
            </w:tcBorders>
            <w:shd w:val="clear" w:color="auto" w:fill="auto"/>
            <w:vAlign w:val="bottom"/>
          </w:tcPr>
          <w:p w:rsidRPr="00835820" w:rsidR="00C5384D" w:rsidP="004D4B61" w:rsidRDefault="00C5384D" w14:paraId="7D833BD2" w14:textId="77777777">
            <w:pPr>
              <w:keepNext/>
              <w:spacing w:after="0" w:line="240" w:lineRule="auto"/>
              <w:rPr>
                <w:rFonts w:ascii="Times New Roman" w:hAnsi="Times New Roman" w:cs="Times New Roman"/>
                <w:color w:val="000000"/>
                <w:sz w:val="20"/>
                <w:szCs w:val="20"/>
              </w:rPr>
            </w:pPr>
            <w:r w:rsidRPr="00835820">
              <w:rPr>
                <w:rFonts w:ascii="Times New Roman" w:hAnsi="Times New Roman" w:cs="Times New Roman"/>
                <w:color w:val="000000"/>
                <w:sz w:val="20"/>
                <w:szCs w:val="20"/>
              </w:rPr>
              <w:t>Complex</w:t>
            </w:r>
          </w:p>
        </w:tc>
        <w:tc>
          <w:tcPr>
            <w:tcW w:w="703"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2E9AEEB0"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703"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08C3921C"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38"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51C8EA2D"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w:t>
            </w:r>
          </w:p>
        </w:tc>
        <w:tc>
          <w:tcPr>
            <w:tcW w:w="555"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23CCAE6B"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703" w:type="pct"/>
            <w:tcBorders>
              <w:top w:val="nil"/>
              <w:left w:val="nil"/>
              <w:bottom w:val="single" w:color="auto" w:sz="4" w:space="0"/>
              <w:right w:val="single" w:color="auto" w:sz="4" w:space="0"/>
            </w:tcBorders>
            <w:shd w:val="clear" w:color="auto" w:fill="auto"/>
            <w:noWrap/>
            <w:vAlign w:val="bottom"/>
          </w:tcPr>
          <w:p w:rsidRPr="00835820" w:rsidR="00C5384D" w:rsidP="004D4B61" w:rsidRDefault="00C5384D" w14:paraId="7E4C1230" w14:textId="77777777">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0.5</w:t>
            </w:r>
          </w:p>
        </w:tc>
        <w:tc>
          <w:tcPr>
            <w:tcW w:w="700" w:type="pct"/>
            <w:tcBorders>
              <w:top w:val="nil"/>
              <w:left w:val="nil"/>
              <w:bottom w:val="single" w:color="auto" w:sz="4" w:space="0"/>
              <w:right w:val="single" w:color="auto" w:sz="4" w:space="0"/>
            </w:tcBorders>
            <w:vAlign w:val="bottom"/>
          </w:tcPr>
          <w:p w:rsidRPr="00835820" w:rsidR="00C5384D" w:rsidP="004D4B61" w:rsidRDefault="00C5384D" w14:paraId="4762BB0A" w14:textId="534CD260">
            <w:pPr>
              <w:keepNext/>
              <w:spacing w:after="0" w:line="240" w:lineRule="auto"/>
              <w:jc w:val="center"/>
              <w:rPr>
                <w:rFonts w:ascii="Times New Roman" w:hAnsi="Times New Roman" w:cs="Times New Roman"/>
                <w:color w:val="000000"/>
                <w:sz w:val="20"/>
                <w:szCs w:val="20"/>
              </w:rPr>
            </w:pPr>
            <w:r w:rsidRPr="00835820">
              <w:rPr>
                <w:rFonts w:ascii="Times New Roman" w:hAnsi="Times New Roman" w:cs="Times New Roman"/>
                <w:color w:val="000000"/>
                <w:sz w:val="20"/>
                <w:szCs w:val="20"/>
              </w:rPr>
              <w:t>$</w:t>
            </w:r>
            <w:r w:rsidRPr="00835820" w:rsidR="00C72817">
              <w:rPr>
                <w:rFonts w:ascii="Times New Roman" w:hAnsi="Times New Roman" w:cs="Times New Roman"/>
                <w:color w:val="000000"/>
                <w:sz w:val="20"/>
                <w:szCs w:val="20"/>
              </w:rPr>
              <w:t>79</w:t>
            </w:r>
          </w:p>
        </w:tc>
      </w:tr>
    </w:tbl>
    <w:p w:rsidR="00C5384D" w:rsidP="004D4B61" w:rsidRDefault="00C5384D" w14:paraId="080D8563" w14:textId="3C27DE4D">
      <w:pPr>
        <w:spacing w:after="0" w:line="240" w:lineRule="auto"/>
        <w:rPr>
          <w:rFonts w:ascii="Times New Roman" w:hAnsi="Times New Roman" w:eastAsia="Calibri" w:cs="Times New Roman"/>
          <w:kern w:val="24"/>
        </w:rPr>
      </w:pPr>
    </w:p>
    <w:p w:rsidRPr="004D4B61" w:rsidR="00C10DD0" w:rsidP="00C10DD0" w:rsidRDefault="00C10DD0" w14:paraId="41CD3982" w14:textId="77777777">
      <w:pPr>
        <w:autoSpaceDE w:val="0"/>
        <w:autoSpaceDN w:val="0"/>
        <w:adjustRightInd w:val="0"/>
        <w:spacing w:after="0" w:line="240" w:lineRule="auto"/>
        <w:rPr>
          <w:rFonts w:ascii="Times New Roman" w:hAnsi="Times New Roman" w:cs="Times New Roman"/>
          <w:i/>
          <w:color w:val="000000"/>
        </w:rPr>
      </w:pPr>
      <w:r>
        <w:rPr>
          <w:rFonts w:ascii="Times New Roman" w:hAnsi="Times New Roman" w:cs="Times New Roman"/>
          <w:i/>
          <w:color w:val="000000"/>
        </w:rPr>
        <w:t>E</w:t>
      </w:r>
      <w:r w:rsidRPr="004D4B61">
        <w:rPr>
          <w:rFonts w:ascii="Times New Roman" w:hAnsi="Times New Roman" w:cs="Times New Roman"/>
          <w:i/>
          <w:color w:val="000000"/>
        </w:rPr>
        <w:t>mergency Backup Power for Perimeter Monitors</w:t>
      </w:r>
    </w:p>
    <w:p w:rsidRPr="004D4B61" w:rsidR="00C10DD0" w:rsidP="00C10DD0" w:rsidRDefault="00C10DD0" w14:paraId="7923F502" w14:textId="2B8908F1">
      <w:pPr>
        <w:spacing w:after="0" w:line="240" w:lineRule="auto"/>
        <w:ind w:firstLine="360"/>
        <w:rPr>
          <w:rFonts w:ascii="Times New Roman" w:hAnsi="Times New Roman" w:cs="Times New Roman"/>
          <w:color w:val="000000"/>
        </w:rPr>
      </w:pPr>
      <w:r>
        <w:rPr>
          <w:rFonts w:ascii="Times New Roman" w:hAnsi="Times New Roman" w:cs="Times New Roman"/>
        </w:rPr>
        <w:tab/>
      </w:r>
      <w:r w:rsidRPr="004D4B61">
        <w:rPr>
          <w:rFonts w:ascii="Times New Roman" w:hAnsi="Times New Roman" w:cs="Times New Roman"/>
        </w:rPr>
        <w:t xml:space="preserve">EPA is proposing to require perimeter monitoring equipment associated with prevention and detection of accidental releases from RMP-regulated processes to have standby or backup power to ensure compliance with the intent of the rule. </w:t>
      </w:r>
      <w:r w:rsidRPr="004D4B61">
        <w:rPr>
          <w:rFonts w:ascii="Times New Roman" w:hAnsi="Times New Roman" w:cs="Times New Roman"/>
          <w:color w:val="000000"/>
        </w:rPr>
        <w:t>Facilities with perimeter monitoring equipment that do not have backup power would need to acquire backup power. Many continuous emissions monitoring systems have low power requirements.</w:t>
      </w:r>
      <w:r w:rsidRPr="004D4B61">
        <w:rPr>
          <w:rStyle w:val="FootnoteReference"/>
          <w:rFonts w:ascii="Times New Roman" w:hAnsi="Times New Roman" w:cs="Times New Roman"/>
          <w:color w:val="000000"/>
        </w:rPr>
        <w:footnoteReference w:id="58"/>
      </w:r>
      <w:r w:rsidRPr="004D4B61">
        <w:rPr>
          <w:rFonts w:ascii="Times New Roman" w:hAnsi="Times New Roman" w:cs="Times New Roman"/>
          <w:color w:val="000000"/>
        </w:rPr>
        <w:t xml:space="preserve"> EPA assumes that affected facilities will implement backup power using a small generator at a </w:t>
      </w:r>
      <w:r w:rsidR="004F5191">
        <w:rPr>
          <w:rFonts w:ascii="Times New Roman" w:hAnsi="Times New Roman" w:cs="Times New Roman"/>
          <w:color w:val="000000"/>
        </w:rPr>
        <w:t xml:space="preserve">total </w:t>
      </w:r>
      <w:r w:rsidRPr="004D4B61">
        <w:rPr>
          <w:rFonts w:ascii="Times New Roman" w:hAnsi="Times New Roman" w:cs="Times New Roman"/>
          <w:color w:val="000000"/>
        </w:rPr>
        <w:t>cost of $1,000 for their monitoring equipment</w:t>
      </w:r>
      <w:r>
        <w:rPr>
          <w:rFonts w:ascii="Times New Roman" w:hAnsi="Times New Roman" w:cs="Times New Roman"/>
          <w:color w:val="000000"/>
        </w:rPr>
        <w:t>.</w:t>
      </w:r>
      <w:r w:rsidRPr="004D4B61">
        <w:rPr>
          <w:rStyle w:val="FootnoteReference"/>
          <w:rFonts w:ascii="Times New Roman" w:hAnsi="Times New Roman" w:cs="Times New Roman"/>
          <w:color w:val="000000"/>
        </w:rPr>
        <w:footnoteReference w:id="59"/>
      </w:r>
    </w:p>
    <w:p w:rsidRPr="00E52D45" w:rsidR="00AA76C5" w:rsidP="004D4B61" w:rsidRDefault="00AA76C5" w14:paraId="1FE23D7A" w14:textId="77777777">
      <w:pPr>
        <w:spacing w:after="0" w:line="240" w:lineRule="auto"/>
        <w:rPr>
          <w:rFonts w:ascii="Times New Roman" w:hAnsi="Times New Roman" w:eastAsia="Calibri" w:cs="Times New Roman"/>
          <w:kern w:val="24"/>
        </w:rPr>
      </w:pPr>
    </w:p>
    <w:p w:rsidRPr="00835820" w:rsidR="00835820" w:rsidP="00813745" w:rsidRDefault="00C5384D" w14:paraId="212E436E" w14:textId="125064BC">
      <w:pPr>
        <w:pStyle w:val="Heading2"/>
      </w:pPr>
      <w:bookmarkStart w:name="_Toc110502748" w:id="54"/>
      <w:bookmarkStart w:name="_Toc98856217" w:id="55"/>
      <w:r w:rsidRPr="00CB6D74">
        <w:t>4.5</w:t>
      </w:r>
      <w:r w:rsidRPr="004D4B61">
        <w:t xml:space="preserve"> </w:t>
      </w:r>
      <w:r w:rsidRPr="00CB6D74">
        <w:t>Emergency Response</w:t>
      </w:r>
      <w:bookmarkEnd w:id="54"/>
      <w:r w:rsidRPr="00CB6D74">
        <w:t xml:space="preserve"> </w:t>
      </w:r>
      <w:bookmarkEnd w:id="55"/>
    </w:p>
    <w:p w:rsidRPr="00486057" w:rsidR="00C5384D" w:rsidP="004D4B61" w:rsidRDefault="00C5384D" w14:paraId="714AB59E" w14:textId="1A0A78EC">
      <w:pPr>
        <w:spacing w:after="0" w:line="240" w:lineRule="auto"/>
        <w:rPr>
          <w:rFonts w:ascii="Times New Roman" w:hAnsi="Times New Roman" w:cs="Times New Roman"/>
          <w:bCs/>
          <w:i/>
          <w:iCs/>
        </w:rPr>
      </w:pPr>
      <w:r w:rsidRPr="00486057">
        <w:rPr>
          <w:rFonts w:ascii="Times New Roman" w:hAnsi="Times New Roman" w:cs="Times New Roman"/>
          <w:bCs/>
          <w:i/>
          <w:iCs/>
        </w:rPr>
        <w:t xml:space="preserve"> Community Notification</w:t>
      </w:r>
      <w:r w:rsidR="00AA76C5">
        <w:rPr>
          <w:rFonts w:ascii="Times New Roman" w:hAnsi="Times New Roman" w:cs="Times New Roman"/>
          <w:bCs/>
          <w:i/>
          <w:iCs/>
        </w:rPr>
        <w:t xml:space="preserve"> of RMP Accidents</w:t>
      </w:r>
    </w:p>
    <w:p w:rsidR="00835820" w:rsidP="00835820" w:rsidRDefault="003D2F8B" w14:paraId="5BBF5D10" w14:textId="4BD81C4B">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The proposed rule would require all facilities with Program 2 or 3 processes to provide accidental release notification and data to local responders and ensure</w:t>
      </w:r>
      <w:r w:rsidRPr="004D4B61" w:rsidR="002D2DAE">
        <w:rPr>
          <w:rFonts w:ascii="Times New Roman" w:hAnsi="Times New Roman" w:cs="Times New Roman"/>
        </w:rPr>
        <w:t xml:space="preserve"> that</w:t>
      </w:r>
      <w:r w:rsidRPr="004D4B61" w:rsidR="00C5384D">
        <w:rPr>
          <w:rFonts w:ascii="Times New Roman" w:hAnsi="Times New Roman" w:cs="Times New Roman"/>
        </w:rPr>
        <w:t xml:space="preserve"> a community notification system is in place</w:t>
      </w:r>
      <w:r w:rsidRPr="004D4B61" w:rsidR="00C5384D">
        <w:rPr>
          <w:rFonts w:ascii="Times New Roman" w:hAnsi="Times New Roman" w:cs="Times New Roman"/>
          <w:bCs/>
        </w:rPr>
        <w:t>. T</w:t>
      </w:r>
      <w:r w:rsidRPr="004D4B61" w:rsidR="00C5384D">
        <w:rPr>
          <w:rFonts w:ascii="Times New Roman" w:hAnsi="Times New Roman" w:cs="Times New Roman"/>
        </w:rPr>
        <w:t xml:space="preserve">he presence of </w:t>
      </w:r>
      <w:r w:rsidRPr="004D4B61" w:rsidR="002E65E5">
        <w:rPr>
          <w:rFonts w:ascii="Times New Roman" w:hAnsi="Times New Roman" w:cs="Times New Roman"/>
        </w:rPr>
        <w:t>S</w:t>
      </w:r>
      <w:r w:rsidRPr="004D4B61" w:rsidR="00C5384D">
        <w:rPr>
          <w:rFonts w:ascii="Times New Roman" w:hAnsi="Times New Roman" w:cs="Times New Roman"/>
        </w:rPr>
        <w:t xml:space="preserve">tate and/or local </w:t>
      </w:r>
      <w:r w:rsidRPr="004D4B61" w:rsidR="00BD162E">
        <w:rPr>
          <w:rFonts w:ascii="Times New Roman" w:hAnsi="Times New Roman" w:cs="Times New Roman"/>
        </w:rPr>
        <w:t>Integrated Public</w:t>
      </w:r>
      <w:r w:rsidRPr="004D4B61" w:rsidR="002041EC">
        <w:rPr>
          <w:rFonts w:ascii="Times New Roman" w:hAnsi="Times New Roman" w:cs="Times New Roman"/>
        </w:rPr>
        <w:t xml:space="preserve"> Alert and Warning System</w:t>
      </w:r>
      <w:r w:rsidRPr="004D4B61" w:rsidR="00BD162E">
        <w:rPr>
          <w:rFonts w:ascii="Times New Roman" w:hAnsi="Times New Roman" w:cs="Times New Roman"/>
        </w:rPr>
        <w:t xml:space="preserve"> </w:t>
      </w:r>
      <w:r w:rsidRPr="004D4B61" w:rsidR="002041EC">
        <w:rPr>
          <w:rFonts w:ascii="Times New Roman" w:hAnsi="Times New Roman" w:cs="Times New Roman"/>
        </w:rPr>
        <w:t>(</w:t>
      </w:r>
      <w:r w:rsidRPr="004D4B61" w:rsidR="00C5384D">
        <w:rPr>
          <w:rFonts w:ascii="Times New Roman" w:hAnsi="Times New Roman" w:cs="Times New Roman"/>
        </w:rPr>
        <w:t>IPAWS</w:t>
      </w:r>
      <w:r w:rsidRPr="004D4B61" w:rsidR="002041EC">
        <w:rPr>
          <w:rFonts w:ascii="Times New Roman" w:hAnsi="Times New Roman" w:cs="Times New Roman"/>
        </w:rPr>
        <w:t>)</w:t>
      </w:r>
      <w:r w:rsidRPr="004D4B61" w:rsidR="00FC2D52">
        <w:rPr>
          <w:rStyle w:val="FootnoteReference"/>
          <w:rFonts w:ascii="Times New Roman" w:hAnsi="Times New Roman" w:cs="Times New Roman"/>
        </w:rPr>
        <w:footnoteReference w:id="60"/>
      </w:r>
      <w:r w:rsidRPr="004D4B61" w:rsidR="00C5384D">
        <w:rPr>
          <w:rFonts w:ascii="Times New Roman" w:hAnsi="Times New Roman" w:cs="Times New Roman"/>
        </w:rPr>
        <w:t xml:space="preserve"> alerting authorities covering all 50 </w:t>
      </w:r>
      <w:r w:rsidRPr="004D4B61" w:rsidR="004E2172">
        <w:rPr>
          <w:rFonts w:ascii="Times New Roman" w:hAnsi="Times New Roman" w:cs="Times New Roman"/>
        </w:rPr>
        <w:t>S</w:t>
      </w:r>
      <w:r w:rsidRPr="004D4B61" w:rsidR="00C5384D">
        <w:rPr>
          <w:rFonts w:ascii="Times New Roman" w:hAnsi="Times New Roman" w:cs="Times New Roman"/>
        </w:rPr>
        <w:t xml:space="preserve">tates plus </w:t>
      </w:r>
      <w:r w:rsidR="00843659">
        <w:rPr>
          <w:rFonts w:ascii="Times New Roman" w:hAnsi="Times New Roman" w:cs="Times New Roman"/>
        </w:rPr>
        <w:t>D.C.</w:t>
      </w:r>
      <w:r w:rsidRPr="004D4B61" w:rsidR="00C5384D">
        <w:rPr>
          <w:rFonts w:ascii="Times New Roman" w:hAnsi="Times New Roman" w:cs="Times New Roman"/>
        </w:rPr>
        <w:t>, Puerto Rico, and the U</w:t>
      </w:r>
      <w:r w:rsidRPr="004D4B61" w:rsidR="00100977">
        <w:rPr>
          <w:rFonts w:ascii="Times New Roman" w:hAnsi="Times New Roman" w:cs="Times New Roman"/>
        </w:rPr>
        <w:t>.</w:t>
      </w:r>
      <w:r w:rsidRPr="004D4B61" w:rsidR="00C5384D">
        <w:rPr>
          <w:rFonts w:ascii="Times New Roman" w:hAnsi="Times New Roman" w:cs="Times New Roman"/>
        </w:rPr>
        <w:t>S</w:t>
      </w:r>
      <w:r w:rsidRPr="004D4B61" w:rsidR="00100977">
        <w:rPr>
          <w:rFonts w:ascii="Times New Roman" w:hAnsi="Times New Roman" w:cs="Times New Roman"/>
        </w:rPr>
        <w:t>.</w:t>
      </w:r>
      <w:r w:rsidRPr="004D4B61" w:rsidR="00C5384D">
        <w:rPr>
          <w:rFonts w:ascii="Times New Roman" w:hAnsi="Times New Roman" w:cs="Times New Roman"/>
        </w:rPr>
        <w:t xml:space="preserve"> Virgin Islands implies that the infrastructure is in place nationwide for facilities to ensure community notification. Therefore, the direct cost associated with the proposed provision would be coordination between the facilities and local responders.</w:t>
      </w:r>
    </w:p>
    <w:p w:rsidR="003D2F8B" w:rsidP="00835820" w:rsidRDefault="003D2F8B" w14:paraId="17B74EE6" w14:textId="77777777">
      <w:pPr>
        <w:spacing w:after="0" w:line="240" w:lineRule="auto"/>
        <w:ind w:firstLine="360"/>
        <w:rPr>
          <w:rFonts w:ascii="Times New Roman" w:hAnsi="Times New Roman" w:cs="Times New Roman"/>
        </w:rPr>
      </w:pPr>
    </w:p>
    <w:p w:rsidRPr="004D4B61" w:rsidR="00C5384D" w:rsidP="00835820" w:rsidRDefault="003D2F8B" w14:paraId="0C8DFCCE" w14:textId="6E5A952F">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EPA assumes all facilities with Program 2 or 3 processes will have to take some additional steps to coordinate with local responders to ensure a </w:t>
      </w:r>
      <w:r w:rsidRPr="004D4B61" w:rsidR="007E3388">
        <w:rPr>
          <w:rFonts w:ascii="Times New Roman" w:hAnsi="Times New Roman" w:cs="Times New Roman"/>
        </w:rPr>
        <w:t xml:space="preserve">process </w:t>
      </w:r>
      <w:r w:rsidRPr="004D4B61" w:rsidR="009D4D50">
        <w:rPr>
          <w:rFonts w:ascii="Times New Roman" w:hAnsi="Times New Roman" w:cs="Times New Roman"/>
        </w:rPr>
        <w:t xml:space="preserve">is </w:t>
      </w:r>
      <w:r w:rsidRPr="004D4B61" w:rsidR="007E3388">
        <w:rPr>
          <w:rFonts w:ascii="Times New Roman" w:hAnsi="Times New Roman" w:cs="Times New Roman"/>
        </w:rPr>
        <w:t>in place to transfer accidental release notification and data to local responders and ensure the ability to</w:t>
      </w:r>
      <w:r w:rsidRPr="004D4B61" w:rsidR="00FD77BA">
        <w:rPr>
          <w:rFonts w:ascii="Times New Roman" w:hAnsi="Times New Roman" w:cs="Times New Roman"/>
        </w:rPr>
        <w:t xml:space="preserve"> </w:t>
      </w:r>
      <w:r w:rsidRPr="004D4B61" w:rsidR="004E7CBE">
        <w:rPr>
          <w:rFonts w:ascii="Times New Roman" w:hAnsi="Times New Roman" w:cs="Times New Roman"/>
        </w:rPr>
        <w:t xml:space="preserve">use </w:t>
      </w:r>
      <w:r w:rsidRPr="004D4B61" w:rsidR="00C5384D">
        <w:rPr>
          <w:rFonts w:ascii="Times New Roman" w:hAnsi="Times New Roman" w:cs="Times New Roman"/>
        </w:rPr>
        <w:t xml:space="preserve">a community notification system. EPA assumes simple facilities would require an additional 2 hours of facility management time and an additional 1 hour of local responder time for them to communicate with each other about a community notification system and for the facility to provide any additional information necessary </w:t>
      </w:r>
      <w:r w:rsidRPr="004D4B61" w:rsidR="00F9368D">
        <w:rPr>
          <w:rFonts w:ascii="Times New Roman" w:hAnsi="Times New Roman" w:cs="Times New Roman"/>
        </w:rPr>
        <w:t>for coordination</w:t>
      </w:r>
      <w:r w:rsidRPr="004D4B61" w:rsidR="00C5384D">
        <w:rPr>
          <w:rFonts w:ascii="Times New Roman" w:hAnsi="Times New Roman" w:cs="Times New Roman"/>
        </w:rPr>
        <w:t xml:space="preserve"> and document this additional coordination. EPA assumes </w:t>
      </w:r>
      <w:r w:rsidRPr="004D4B61" w:rsidR="00C5384D">
        <w:rPr>
          <w:rFonts w:ascii="Times New Roman" w:hAnsi="Times New Roman" w:cs="Times New Roman"/>
        </w:rPr>
        <w:lastRenderedPageBreak/>
        <w:t>the additional coordination time will be approximately double for complex facilities. The unit costs are shown in Exhibit 4-</w:t>
      </w:r>
      <w:r w:rsidRPr="004D4B61" w:rsidR="006E233C">
        <w:rPr>
          <w:rFonts w:ascii="Times New Roman" w:hAnsi="Times New Roman" w:cs="Times New Roman"/>
        </w:rPr>
        <w:t>10</w:t>
      </w:r>
      <w:r w:rsidRPr="004D4B61" w:rsidR="00C5384D">
        <w:rPr>
          <w:rFonts w:ascii="Times New Roman" w:hAnsi="Times New Roman" w:cs="Times New Roman"/>
        </w:rPr>
        <w:t xml:space="preserve">. </w:t>
      </w:r>
    </w:p>
    <w:p w:rsidRPr="004D4B61" w:rsidR="00835820" w:rsidP="00835820" w:rsidRDefault="00835820" w14:paraId="67E9F537" w14:textId="77777777">
      <w:pPr>
        <w:spacing w:after="0" w:line="240" w:lineRule="auto"/>
        <w:ind w:firstLine="360"/>
        <w:rPr>
          <w:rFonts w:ascii="Times New Roman" w:hAnsi="Times New Roman" w:cs="Times New Roman"/>
        </w:rPr>
      </w:pPr>
    </w:p>
    <w:p w:rsidRPr="00835820" w:rsidR="00835820" w:rsidP="00835820" w:rsidRDefault="00835820" w14:paraId="1552F1DE" w14:textId="75C3DD9F">
      <w:pPr>
        <w:pStyle w:val="Caption"/>
        <w:jc w:val="center"/>
        <w:rPr>
          <w:rFonts w:ascii="Times New Roman" w:hAnsi="Times New Roman" w:cs="Times New Roman"/>
          <w:b/>
          <w:bCs/>
          <w:i w:val="0"/>
          <w:iCs w:val="0"/>
          <w:color w:val="auto"/>
          <w:sz w:val="22"/>
          <w:szCs w:val="22"/>
        </w:rPr>
      </w:pPr>
      <w:r w:rsidRPr="00835820">
        <w:rPr>
          <w:rFonts w:ascii="Times New Roman" w:hAnsi="Times New Roman" w:cs="Times New Roman"/>
          <w:b/>
          <w:bCs/>
          <w:i w:val="0"/>
          <w:iCs w:val="0"/>
          <w:color w:val="auto"/>
          <w:sz w:val="22"/>
          <w:szCs w:val="22"/>
        </w:rPr>
        <w:t>Exhibit 4-10: Hourly Labor and Unit Costs for Community Notification</w:t>
      </w:r>
      <w:r w:rsidR="004D2850">
        <w:rPr>
          <w:rFonts w:ascii="Times New Roman" w:hAnsi="Times New Roman" w:cs="Times New Roman"/>
          <w:b/>
          <w:bCs/>
          <w:i w:val="0"/>
          <w:iCs w:val="0"/>
          <w:color w:val="auto"/>
          <w:sz w:val="22"/>
          <w:szCs w:val="22"/>
        </w:rPr>
        <w:t xml:space="preserve"> </w:t>
      </w:r>
      <w:r w:rsidRPr="00835820" w:rsidR="004D2850">
        <w:rPr>
          <w:rFonts w:ascii="Times New Roman" w:hAnsi="Times New Roman" w:cs="Times New Roman"/>
          <w:b/>
          <w:bCs/>
          <w:i w:val="0"/>
          <w:iCs w:val="0"/>
          <w:color w:val="auto"/>
          <w:sz w:val="22"/>
          <w:szCs w:val="22"/>
        </w:rPr>
        <w:t>(2020 dollars)</w:t>
      </w:r>
      <w:r w:rsidRPr="00835820">
        <w:rPr>
          <w:rFonts w:ascii="Times New Roman" w:hAnsi="Times New Roman" w:cs="Times New Roman"/>
          <w:b/>
          <w:bCs/>
          <w:i w:val="0"/>
          <w:iCs w:val="0"/>
          <w:color w:val="auto"/>
          <w:sz w:val="22"/>
          <w:szCs w:val="22"/>
        </w:rPr>
        <w:t>.</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1418"/>
        <w:gridCol w:w="1562"/>
        <w:gridCol w:w="1874"/>
      </w:tblGrid>
      <w:tr w:rsidRPr="004D4B61" w:rsidR="00C5384D" w:rsidTr="00835820" w14:paraId="1541E3B3" w14:textId="77777777">
        <w:trPr>
          <w:trHeight w:val="393"/>
          <w:jc w:val="center"/>
        </w:trPr>
        <w:tc>
          <w:tcPr>
            <w:tcW w:w="1817" w:type="dxa"/>
            <w:shd w:val="clear" w:color="auto" w:fill="D9D9D9"/>
            <w:vAlign w:val="center"/>
          </w:tcPr>
          <w:p w:rsidRPr="00835820" w:rsidR="00C5384D" w:rsidP="00835820" w:rsidRDefault="00C5384D" w14:paraId="22E9822B" w14:textId="77777777">
            <w:pPr>
              <w:spacing w:after="0" w:line="240" w:lineRule="auto"/>
              <w:ind w:left="90"/>
              <w:jc w:val="center"/>
              <w:rPr>
                <w:rFonts w:ascii="Times New Roman" w:hAnsi="Times New Roman" w:cs="Times New Roman"/>
                <w:b/>
                <w:sz w:val="20"/>
                <w:szCs w:val="20"/>
              </w:rPr>
            </w:pPr>
            <w:r w:rsidRPr="00835820">
              <w:rPr>
                <w:rFonts w:ascii="Times New Roman" w:hAnsi="Times New Roman" w:cs="Times New Roman"/>
                <w:b/>
                <w:sz w:val="20"/>
                <w:szCs w:val="20"/>
              </w:rPr>
              <w:t>Facility Type</w:t>
            </w:r>
          </w:p>
        </w:tc>
        <w:tc>
          <w:tcPr>
            <w:tcW w:w="1418" w:type="dxa"/>
            <w:shd w:val="clear" w:color="auto" w:fill="D9D9D9"/>
            <w:vAlign w:val="center"/>
          </w:tcPr>
          <w:p w:rsidRPr="00835820" w:rsidR="00C5384D" w:rsidP="004D4B61" w:rsidRDefault="00C5384D" w14:paraId="733360E4" w14:textId="77777777">
            <w:pPr>
              <w:spacing w:after="0" w:line="240" w:lineRule="auto"/>
              <w:ind w:left="91" w:right="75"/>
              <w:jc w:val="center"/>
              <w:rPr>
                <w:rFonts w:ascii="Times New Roman" w:hAnsi="Times New Roman" w:cs="Times New Roman"/>
                <w:b/>
                <w:sz w:val="20"/>
                <w:szCs w:val="20"/>
              </w:rPr>
            </w:pPr>
            <w:r w:rsidRPr="00835820">
              <w:rPr>
                <w:rFonts w:ascii="Times New Roman" w:hAnsi="Times New Roman" w:cs="Times New Roman"/>
                <w:b/>
                <w:sz w:val="20"/>
                <w:szCs w:val="20"/>
              </w:rPr>
              <w:t>Managers</w:t>
            </w:r>
          </w:p>
        </w:tc>
        <w:tc>
          <w:tcPr>
            <w:tcW w:w="1562" w:type="dxa"/>
            <w:shd w:val="clear" w:color="auto" w:fill="D9D9D9"/>
            <w:vAlign w:val="center"/>
          </w:tcPr>
          <w:p w:rsidRPr="00835820" w:rsidR="00C5384D" w:rsidP="004D4B61" w:rsidRDefault="00C5384D" w14:paraId="151910A7" w14:textId="77777777">
            <w:pPr>
              <w:spacing w:after="0" w:line="240" w:lineRule="auto"/>
              <w:ind w:left="89" w:right="75"/>
              <w:jc w:val="center"/>
              <w:rPr>
                <w:rFonts w:ascii="Times New Roman" w:hAnsi="Times New Roman" w:cs="Times New Roman"/>
                <w:b/>
                <w:sz w:val="20"/>
                <w:szCs w:val="20"/>
              </w:rPr>
            </w:pPr>
            <w:r w:rsidRPr="00835820">
              <w:rPr>
                <w:rFonts w:ascii="Times New Roman" w:hAnsi="Times New Roman" w:cs="Times New Roman"/>
                <w:b/>
                <w:sz w:val="20"/>
                <w:szCs w:val="20"/>
              </w:rPr>
              <w:t>Local Responders</w:t>
            </w:r>
          </w:p>
        </w:tc>
        <w:tc>
          <w:tcPr>
            <w:tcW w:w="1874" w:type="dxa"/>
            <w:shd w:val="clear" w:color="auto" w:fill="D9D9D9"/>
            <w:vAlign w:val="center"/>
          </w:tcPr>
          <w:p w:rsidRPr="00835820" w:rsidR="00C5384D" w:rsidP="004D4B61" w:rsidRDefault="00C5384D" w14:paraId="7DA09A06" w14:textId="77777777">
            <w:pPr>
              <w:spacing w:after="0" w:line="240" w:lineRule="auto"/>
              <w:ind w:left="89" w:right="75"/>
              <w:jc w:val="center"/>
              <w:rPr>
                <w:rFonts w:ascii="Times New Roman" w:hAnsi="Times New Roman" w:cs="Times New Roman"/>
                <w:b/>
                <w:sz w:val="20"/>
                <w:szCs w:val="20"/>
              </w:rPr>
            </w:pPr>
            <w:r w:rsidRPr="00835820">
              <w:rPr>
                <w:rFonts w:ascii="Times New Roman" w:hAnsi="Times New Roman" w:cs="Times New Roman"/>
                <w:b/>
                <w:sz w:val="20"/>
                <w:szCs w:val="20"/>
              </w:rPr>
              <w:t>Facility Cost</w:t>
            </w:r>
          </w:p>
        </w:tc>
      </w:tr>
      <w:tr w:rsidRPr="004D4B61" w:rsidR="00C5384D" w:rsidTr="00835820" w14:paraId="1C686558" w14:textId="77777777">
        <w:trPr>
          <w:trHeight w:val="434"/>
          <w:jc w:val="center"/>
        </w:trPr>
        <w:tc>
          <w:tcPr>
            <w:tcW w:w="1817" w:type="dxa"/>
            <w:vAlign w:val="center"/>
          </w:tcPr>
          <w:p w:rsidRPr="00835820" w:rsidR="00C5384D" w:rsidP="00835820" w:rsidRDefault="006C78D3" w14:paraId="1BC905E6" w14:textId="2956C383">
            <w:pPr>
              <w:spacing w:after="0" w:line="240" w:lineRule="auto"/>
              <w:ind w:left="90"/>
              <w:jc w:val="center"/>
              <w:rPr>
                <w:rFonts w:ascii="Times New Roman" w:hAnsi="Times New Roman" w:cs="Times New Roman"/>
                <w:sz w:val="20"/>
                <w:szCs w:val="20"/>
              </w:rPr>
            </w:pPr>
            <w:r w:rsidRPr="00835820">
              <w:rPr>
                <w:rFonts w:ascii="Times New Roman" w:hAnsi="Times New Roman" w:cs="Times New Roman"/>
                <w:sz w:val="20"/>
                <w:szCs w:val="20"/>
              </w:rPr>
              <w:t>Simple</w:t>
            </w:r>
            <w:r w:rsidRPr="00835820" w:rsidR="00C5384D">
              <w:rPr>
                <w:rFonts w:ascii="Times New Roman" w:hAnsi="Times New Roman" w:cs="Times New Roman"/>
                <w:sz w:val="20"/>
                <w:szCs w:val="20"/>
              </w:rPr>
              <w:t xml:space="preserve"> Facilities</w:t>
            </w:r>
          </w:p>
        </w:tc>
        <w:tc>
          <w:tcPr>
            <w:tcW w:w="1418" w:type="dxa"/>
            <w:vAlign w:val="center"/>
          </w:tcPr>
          <w:p w:rsidRPr="00835820" w:rsidR="00C5384D" w:rsidP="004D4B61" w:rsidRDefault="006C78D3" w14:paraId="09F4010E" w14:textId="009742C6">
            <w:pPr>
              <w:spacing w:after="0" w:line="240" w:lineRule="auto"/>
              <w:ind w:left="14"/>
              <w:jc w:val="center"/>
              <w:rPr>
                <w:rFonts w:ascii="Times New Roman" w:hAnsi="Times New Roman" w:cs="Times New Roman"/>
                <w:sz w:val="20"/>
                <w:szCs w:val="20"/>
              </w:rPr>
            </w:pPr>
            <w:r w:rsidRPr="00835820">
              <w:rPr>
                <w:rFonts w:ascii="Times New Roman" w:hAnsi="Times New Roman" w:cs="Times New Roman"/>
                <w:sz w:val="20"/>
                <w:szCs w:val="20"/>
              </w:rPr>
              <w:t>2</w:t>
            </w:r>
          </w:p>
        </w:tc>
        <w:tc>
          <w:tcPr>
            <w:tcW w:w="1562" w:type="dxa"/>
            <w:vAlign w:val="center"/>
          </w:tcPr>
          <w:p w:rsidRPr="00835820" w:rsidR="00C5384D" w:rsidP="004D4B61" w:rsidRDefault="006C78D3" w14:paraId="70D927E9" w14:textId="45E952A9">
            <w:pPr>
              <w:spacing w:after="0" w:line="240" w:lineRule="auto"/>
              <w:ind w:left="86" w:right="75"/>
              <w:jc w:val="center"/>
              <w:rPr>
                <w:rFonts w:ascii="Times New Roman" w:hAnsi="Times New Roman" w:cs="Times New Roman"/>
                <w:sz w:val="20"/>
                <w:szCs w:val="20"/>
              </w:rPr>
            </w:pPr>
            <w:r w:rsidRPr="00835820">
              <w:rPr>
                <w:rFonts w:ascii="Times New Roman" w:hAnsi="Times New Roman" w:cs="Times New Roman"/>
                <w:sz w:val="20"/>
                <w:szCs w:val="20"/>
              </w:rPr>
              <w:t>1</w:t>
            </w:r>
          </w:p>
        </w:tc>
        <w:tc>
          <w:tcPr>
            <w:tcW w:w="1874" w:type="dxa"/>
            <w:vAlign w:val="center"/>
          </w:tcPr>
          <w:p w:rsidRPr="00835820" w:rsidR="00C5384D" w:rsidP="004D4B61" w:rsidRDefault="00C5384D" w14:paraId="55DD0DD4" w14:textId="047F55CB">
            <w:pPr>
              <w:spacing w:after="0" w:line="240" w:lineRule="auto"/>
              <w:ind w:left="86" w:right="75"/>
              <w:jc w:val="center"/>
              <w:rPr>
                <w:rFonts w:ascii="Times New Roman" w:hAnsi="Times New Roman" w:cs="Times New Roman"/>
                <w:sz w:val="20"/>
                <w:szCs w:val="20"/>
              </w:rPr>
            </w:pPr>
            <w:r w:rsidRPr="00835820">
              <w:rPr>
                <w:rFonts w:ascii="Times New Roman" w:hAnsi="Times New Roman" w:cs="Times New Roman"/>
                <w:sz w:val="20"/>
                <w:szCs w:val="20"/>
              </w:rPr>
              <w:t>$</w:t>
            </w:r>
            <w:r w:rsidRPr="00835820" w:rsidR="006C78D3">
              <w:rPr>
                <w:rFonts w:ascii="Times New Roman" w:hAnsi="Times New Roman" w:cs="Times New Roman"/>
                <w:sz w:val="20"/>
                <w:szCs w:val="20"/>
              </w:rPr>
              <w:t>2</w:t>
            </w:r>
            <w:r w:rsidRPr="00835820" w:rsidR="00543C76">
              <w:rPr>
                <w:rFonts w:ascii="Times New Roman" w:hAnsi="Times New Roman" w:cs="Times New Roman"/>
                <w:sz w:val="20"/>
                <w:szCs w:val="20"/>
              </w:rPr>
              <w:t>77</w:t>
            </w:r>
          </w:p>
        </w:tc>
      </w:tr>
      <w:tr w:rsidRPr="004D4B61" w:rsidR="00C5384D" w:rsidTr="00835820" w14:paraId="728193CC" w14:textId="77777777">
        <w:trPr>
          <w:trHeight w:val="434"/>
          <w:jc w:val="center"/>
        </w:trPr>
        <w:tc>
          <w:tcPr>
            <w:tcW w:w="1817" w:type="dxa"/>
            <w:vAlign w:val="center"/>
          </w:tcPr>
          <w:p w:rsidRPr="00835820" w:rsidR="00C5384D" w:rsidP="00835820" w:rsidRDefault="006C78D3" w14:paraId="6C04A6F3" w14:textId="78E458D5">
            <w:pPr>
              <w:spacing w:after="0" w:line="240" w:lineRule="auto"/>
              <w:ind w:left="90"/>
              <w:jc w:val="center"/>
              <w:rPr>
                <w:rFonts w:ascii="Times New Roman" w:hAnsi="Times New Roman" w:cs="Times New Roman"/>
                <w:sz w:val="20"/>
                <w:szCs w:val="20"/>
              </w:rPr>
            </w:pPr>
            <w:r w:rsidRPr="00835820">
              <w:rPr>
                <w:rFonts w:ascii="Times New Roman" w:hAnsi="Times New Roman" w:cs="Times New Roman"/>
                <w:sz w:val="20"/>
                <w:szCs w:val="20"/>
              </w:rPr>
              <w:t>Complex</w:t>
            </w:r>
            <w:r w:rsidRPr="00835820" w:rsidR="00C5384D">
              <w:rPr>
                <w:rFonts w:ascii="Times New Roman" w:hAnsi="Times New Roman" w:cs="Times New Roman"/>
                <w:sz w:val="20"/>
                <w:szCs w:val="20"/>
              </w:rPr>
              <w:t xml:space="preserve"> Facilities</w:t>
            </w:r>
          </w:p>
        </w:tc>
        <w:tc>
          <w:tcPr>
            <w:tcW w:w="1418" w:type="dxa"/>
            <w:vAlign w:val="center"/>
          </w:tcPr>
          <w:p w:rsidRPr="00835820" w:rsidR="00C5384D" w:rsidP="004D4B61" w:rsidRDefault="006C78D3" w14:paraId="0985AB25" w14:textId="6B30D498">
            <w:pPr>
              <w:spacing w:after="0" w:line="240" w:lineRule="auto"/>
              <w:ind w:left="14"/>
              <w:jc w:val="center"/>
              <w:rPr>
                <w:rFonts w:ascii="Times New Roman" w:hAnsi="Times New Roman" w:cs="Times New Roman"/>
                <w:sz w:val="20"/>
                <w:szCs w:val="20"/>
              </w:rPr>
            </w:pPr>
            <w:r w:rsidRPr="00835820">
              <w:rPr>
                <w:rFonts w:ascii="Times New Roman" w:hAnsi="Times New Roman" w:cs="Times New Roman"/>
                <w:sz w:val="20"/>
                <w:szCs w:val="20"/>
              </w:rPr>
              <w:t>4</w:t>
            </w:r>
          </w:p>
        </w:tc>
        <w:tc>
          <w:tcPr>
            <w:tcW w:w="1562" w:type="dxa"/>
            <w:vAlign w:val="center"/>
          </w:tcPr>
          <w:p w:rsidRPr="00835820" w:rsidR="00C5384D" w:rsidP="004D4B61" w:rsidRDefault="006C78D3" w14:paraId="68036F73" w14:textId="4B58B6BE">
            <w:pPr>
              <w:spacing w:after="0" w:line="240" w:lineRule="auto"/>
              <w:ind w:left="86" w:right="75"/>
              <w:jc w:val="center"/>
              <w:rPr>
                <w:rFonts w:ascii="Times New Roman" w:hAnsi="Times New Roman" w:cs="Times New Roman"/>
                <w:sz w:val="20"/>
                <w:szCs w:val="20"/>
              </w:rPr>
            </w:pPr>
            <w:r w:rsidRPr="00835820">
              <w:rPr>
                <w:rFonts w:ascii="Times New Roman" w:hAnsi="Times New Roman" w:cs="Times New Roman"/>
                <w:sz w:val="20"/>
                <w:szCs w:val="20"/>
              </w:rPr>
              <w:t>2</w:t>
            </w:r>
          </w:p>
        </w:tc>
        <w:tc>
          <w:tcPr>
            <w:tcW w:w="1874" w:type="dxa"/>
            <w:vAlign w:val="center"/>
          </w:tcPr>
          <w:p w:rsidRPr="00835820" w:rsidR="00C5384D" w:rsidP="004D4B61" w:rsidRDefault="00C5384D" w14:paraId="66D773C7" w14:textId="0E855077">
            <w:pPr>
              <w:spacing w:after="0" w:line="240" w:lineRule="auto"/>
              <w:ind w:left="86" w:right="75"/>
              <w:jc w:val="center"/>
              <w:rPr>
                <w:rFonts w:ascii="Times New Roman" w:hAnsi="Times New Roman" w:cs="Times New Roman"/>
                <w:sz w:val="20"/>
                <w:szCs w:val="20"/>
              </w:rPr>
            </w:pPr>
            <w:r w:rsidRPr="00835820">
              <w:rPr>
                <w:rFonts w:ascii="Times New Roman" w:hAnsi="Times New Roman" w:cs="Times New Roman"/>
                <w:sz w:val="20"/>
                <w:szCs w:val="20"/>
              </w:rPr>
              <w:t>$</w:t>
            </w:r>
            <w:r w:rsidRPr="00835820" w:rsidR="00AE0F01">
              <w:rPr>
                <w:rFonts w:ascii="Times New Roman" w:hAnsi="Times New Roman" w:cs="Times New Roman"/>
                <w:sz w:val="20"/>
                <w:szCs w:val="20"/>
              </w:rPr>
              <w:t>685</w:t>
            </w:r>
          </w:p>
        </w:tc>
      </w:tr>
    </w:tbl>
    <w:p w:rsidRPr="004D4B61" w:rsidR="00C5384D" w:rsidP="004D4B61" w:rsidRDefault="00C5384D" w14:paraId="700FF8A2" w14:textId="64D615AD">
      <w:pPr>
        <w:spacing w:after="0" w:line="240" w:lineRule="auto"/>
        <w:rPr>
          <w:rFonts w:ascii="Times New Roman" w:hAnsi="Times New Roman" w:cs="Times New Roman"/>
        </w:rPr>
      </w:pPr>
      <w:bookmarkStart w:name="_Toc98239706" w:id="56"/>
      <w:bookmarkEnd w:id="56"/>
    </w:p>
    <w:p w:rsidR="00835820" w:rsidP="00813745" w:rsidRDefault="00C5384D" w14:paraId="04435012" w14:textId="1E06A171">
      <w:pPr>
        <w:pStyle w:val="Heading2"/>
      </w:pPr>
      <w:bookmarkStart w:name="_Toc98856218" w:id="57"/>
      <w:bookmarkStart w:name="_Toc110502749" w:id="58"/>
      <w:r w:rsidRPr="00CB6D74">
        <w:t>4.6 Information Availability</w:t>
      </w:r>
      <w:bookmarkEnd w:id="57"/>
      <w:bookmarkEnd w:id="58"/>
    </w:p>
    <w:p w:rsidR="00C5384D" w:rsidP="00835820" w:rsidRDefault="003D2F8B" w14:paraId="6485C148" w14:textId="241A1ECB">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 xml:space="preserve">The proposed rule would require </w:t>
      </w:r>
      <w:r w:rsidRPr="004D4B61" w:rsidR="00F9368D">
        <w:rPr>
          <w:rFonts w:ascii="Times New Roman" w:hAnsi="Times New Roman" w:cs="Times New Roman"/>
        </w:rPr>
        <w:t xml:space="preserve">facilities </w:t>
      </w:r>
      <w:r w:rsidRPr="004D4B61" w:rsidR="00C5384D">
        <w:rPr>
          <w:rFonts w:ascii="Times New Roman" w:hAnsi="Times New Roman" w:cs="Times New Roman"/>
        </w:rPr>
        <w:t xml:space="preserve">to make certain information available upon request to community members living within 6 miles of a facility either through file sharing, providing information at a public library or other public offices, or providing it via e-mail or on the facility’s website. The provision would require facilities to inform the public </w:t>
      </w:r>
      <w:r w:rsidRPr="004D4B61" w:rsidR="0085019C">
        <w:rPr>
          <w:rFonts w:ascii="Times New Roman" w:hAnsi="Times New Roman" w:cs="Times New Roman"/>
        </w:rPr>
        <w:t>about</w:t>
      </w:r>
      <w:r w:rsidRPr="004D4B61" w:rsidR="00C5384D">
        <w:rPr>
          <w:rFonts w:ascii="Times New Roman" w:hAnsi="Times New Roman" w:cs="Times New Roman"/>
        </w:rPr>
        <w:t xml:space="preserve"> how to obtain the requested information. The information elements should be readily available to facility managers because most of the information is already compiled for compliance with various health and safety regulations. The </w:t>
      </w:r>
      <w:r w:rsidRPr="004D4B61" w:rsidR="00D74D0E">
        <w:rPr>
          <w:rFonts w:ascii="Times New Roman" w:hAnsi="Times New Roman" w:cs="Times New Roman"/>
        </w:rPr>
        <w:t>SDSs</w:t>
      </w:r>
      <w:r w:rsidRPr="004D4B61" w:rsidR="00C5384D">
        <w:rPr>
          <w:rFonts w:ascii="Times New Roman" w:hAnsi="Times New Roman" w:cs="Times New Roman"/>
        </w:rPr>
        <w:t xml:space="preserve"> are documents that OSHA requires every facility to have available for its employees, and which contain chemical hazard information required under 29 CFR 1910.1200. The names of chemicals and </w:t>
      </w:r>
      <w:r w:rsidRPr="004D4B61" w:rsidR="007479B8">
        <w:rPr>
          <w:rFonts w:ascii="Times New Roman" w:hAnsi="Times New Roman" w:cs="Times New Roman"/>
        </w:rPr>
        <w:t>five-year</w:t>
      </w:r>
      <w:r w:rsidRPr="004D4B61" w:rsidR="00C5384D">
        <w:rPr>
          <w:rFonts w:ascii="Times New Roman" w:hAnsi="Times New Roman" w:cs="Times New Roman"/>
        </w:rPr>
        <w:t xml:space="preserve"> accident history are already collected for reporting in the RMP. Especially for simple facilities, this information is unlikely to change much from year to year; the only cost associated with this element is the time required to collect and review the information for accuracy. </w:t>
      </w:r>
    </w:p>
    <w:p w:rsidRPr="004D4B61" w:rsidR="003D2F8B" w:rsidP="00835820" w:rsidRDefault="003D2F8B" w14:paraId="638B272B" w14:textId="77777777">
      <w:pPr>
        <w:spacing w:after="0" w:line="240" w:lineRule="auto"/>
        <w:ind w:firstLine="360"/>
        <w:rPr>
          <w:rFonts w:ascii="Times New Roman" w:hAnsi="Times New Roman" w:cs="Times New Roman"/>
        </w:rPr>
      </w:pPr>
    </w:p>
    <w:p w:rsidRPr="004D4B61" w:rsidR="00C5384D" w:rsidP="00835820" w:rsidRDefault="003D2F8B" w14:paraId="25C3CB87" w14:textId="6C6A9661">
      <w:pPr>
        <w:spacing w:after="0" w:line="240" w:lineRule="auto"/>
        <w:ind w:firstLine="360"/>
        <w:rPr>
          <w:rFonts w:ascii="Times New Roman" w:hAnsi="Times New Roman" w:cs="Times New Roman"/>
        </w:rPr>
      </w:pPr>
      <w:r>
        <w:rPr>
          <w:rFonts w:ascii="Times New Roman" w:hAnsi="Times New Roman" w:cs="Times New Roman"/>
        </w:rPr>
        <w:tab/>
      </w:r>
      <w:r w:rsidRPr="004D4B61" w:rsidR="00C5384D">
        <w:rPr>
          <w:rFonts w:ascii="Times New Roman" w:hAnsi="Times New Roman" w:cs="Times New Roman"/>
        </w:rPr>
        <w:t>EPA has estimated that 50</w:t>
      </w:r>
      <w:r w:rsidRPr="004D4B61" w:rsidR="00115223">
        <w:rPr>
          <w:rFonts w:ascii="Times New Roman" w:hAnsi="Times New Roman" w:cs="Times New Roman"/>
        </w:rPr>
        <w:t xml:space="preserve"> percent</w:t>
      </w:r>
      <w:r w:rsidRPr="004D4B61" w:rsidR="00C5384D">
        <w:rPr>
          <w:rFonts w:ascii="Times New Roman" w:hAnsi="Times New Roman" w:cs="Times New Roman"/>
        </w:rPr>
        <w:t xml:space="preserve"> of facilities will receive one information request in any given year. The analysis estimates that simple facilities would spend 2 hours reviewing the information to ensure that it is </w:t>
      </w:r>
      <w:proofErr w:type="gramStart"/>
      <w:r w:rsidRPr="004D4B61" w:rsidR="00C5384D">
        <w:rPr>
          <w:rFonts w:ascii="Times New Roman" w:hAnsi="Times New Roman" w:cs="Times New Roman"/>
        </w:rPr>
        <w:t>up-to-date</w:t>
      </w:r>
      <w:proofErr w:type="gramEnd"/>
      <w:r w:rsidRPr="004D4B61" w:rsidR="00C5384D">
        <w:rPr>
          <w:rFonts w:ascii="Times New Roman" w:hAnsi="Times New Roman" w:cs="Times New Roman"/>
        </w:rPr>
        <w:t>. Complex facilities may have more information to review because they may manufacture, process, and use multiple regulated substances in multiple processes. The analysis estimate</w:t>
      </w:r>
      <w:r w:rsidRPr="004D4B61" w:rsidR="00EF0743">
        <w:rPr>
          <w:rFonts w:ascii="Times New Roman" w:hAnsi="Times New Roman" w:cs="Times New Roman"/>
        </w:rPr>
        <w:t>s</w:t>
      </w:r>
      <w:r w:rsidRPr="004D4B61" w:rsidR="00C5384D">
        <w:rPr>
          <w:rFonts w:ascii="Times New Roman" w:hAnsi="Times New Roman" w:cs="Times New Roman"/>
        </w:rPr>
        <w:t xml:space="preserve"> that small complex facilities would spend 4 hours collecting and reviewing the information. Large complex facilities were estimated to spend 54 hours because management and possibly counsel would need to ensure that the information was not subject to any restrictions related to security or confidential business </w:t>
      </w:r>
      <w:r w:rsidRPr="004D4B61" w:rsidR="00EF0743">
        <w:rPr>
          <w:rFonts w:ascii="Times New Roman" w:hAnsi="Times New Roman" w:cs="Times New Roman"/>
        </w:rPr>
        <w:t xml:space="preserve">information </w:t>
      </w:r>
      <w:r w:rsidRPr="004D4B61" w:rsidR="00C5384D">
        <w:rPr>
          <w:rFonts w:ascii="Times New Roman" w:hAnsi="Times New Roman" w:cs="Times New Roman"/>
        </w:rPr>
        <w:t>concerns. Labor and facility costs are presented in Exhibit 4-</w:t>
      </w:r>
      <w:r w:rsidRPr="004D4B61" w:rsidR="0069023E">
        <w:rPr>
          <w:rFonts w:ascii="Times New Roman" w:hAnsi="Times New Roman" w:cs="Times New Roman"/>
        </w:rPr>
        <w:t>1</w:t>
      </w:r>
      <w:r w:rsidRPr="004D4B61" w:rsidR="006E233C">
        <w:rPr>
          <w:rFonts w:ascii="Times New Roman" w:hAnsi="Times New Roman" w:cs="Times New Roman"/>
        </w:rPr>
        <w:t>1</w:t>
      </w:r>
      <w:r w:rsidRPr="004D4B61" w:rsidR="00C5384D">
        <w:rPr>
          <w:rFonts w:ascii="Times New Roman" w:hAnsi="Times New Roman" w:cs="Times New Roman"/>
        </w:rPr>
        <w:t>.</w:t>
      </w:r>
    </w:p>
    <w:p w:rsidRPr="004D4B61" w:rsidR="0054582A" w:rsidP="004D4B61" w:rsidRDefault="0054582A" w14:paraId="57295993" w14:textId="77777777">
      <w:pPr>
        <w:spacing w:after="0" w:line="240" w:lineRule="auto"/>
        <w:rPr>
          <w:rFonts w:ascii="Times New Roman" w:hAnsi="Times New Roman" w:cs="Times New Roman"/>
        </w:rPr>
      </w:pPr>
    </w:p>
    <w:p w:rsidRPr="00BF4D0A" w:rsidR="00BF4D0A" w:rsidP="00BF4D0A" w:rsidRDefault="00BF4D0A" w14:paraId="00ADEA55" w14:textId="62EA20A5">
      <w:pPr>
        <w:pStyle w:val="Caption"/>
        <w:jc w:val="center"/>
        <w:rPr>
          <w:rFonts w:ascii="Times New Roman" w:hAnsi="Times New Roman" w:cs="Times New Roman"/>
          <w:b/>
          <w:bCs/>
          <w:i w:val="0"/>
          <w:iCs w:val="0"/>
          <w:color w:val="auto"/>
          <w:sz w:val="22"/>
          <w:szCs w:val="22"/>
        </w:rPr>
      </w:pPr>
      <w:r w:rsidRPr="00BF4D0A">
        <w:rPr>
          <w:rFonts w:ascii="Times New Roman" w:hAnsi="Times New Roman" w:cs="Times New Roman"/>
          <w:b/>
          <w:bCs/>
          <w:i w:val="0"/>
          <w:iCs w:val="0"/>
          <w:color w:val="auto"/>
          <w:sz w:val="22"/>
          <w:szCs w:val="22"/>
        </w:rPr>
        <w:t>Exhibit 4-11: Hourly Labor and Facility Costs for Information Availability</w:t>
      </w:r>
      <w:r w:rsidR="004D2850">
        <w:rPr>
          <w:rFonts w:ascii="Times New Roman" w:hAnsi="Times New Roman" w:cs="Times New Roman"/>
          <w:b/>
          <w:bCs/>
          <w:i w:val="0"/>
          <w:iCs w:val="0"/>
          <w:color w:val="auto"/>
          <w:sz w:val="22"/>
          <w:szCs w:val="22"/>
        </w:rPr>
        <w:t xml:space="preserve"> </w:t>
      </w:r>
      <w:r w:rsidRPr="00835820" w:rsidR="004D2850">
        <w:rPr>
          <w:rFonts w:ascii="Times New Roman" w:hAnsi="Times New Roman" w:cs="Times New Roman"/>
          <w:b/>
          <w:bCs/>
          <w:i w:val="0"/>
          <w:iCs w:val="0"/>
          <w:color w:val="auto"/>
          <w:sz w:val="22"/>
          <w:szCs w:val="22"/>
        </w:rPr>
        <w:t>(2020 dollars)</w:t>
      </w:r>
      <w:r w:rsidRPr="00BF4D0A">
        <w:rPr>
          <w:rFonts w:ascii="Times New Roman" w:hAnsi="Times New Roman" w:cs="Times New Roman"/>
          <w:b/>
          <w:bCs/>
          <w:i w:val="0"/>
          <w:iCs w:val="0"/>
          <w:color w:val="auto"/>
          <w:sz w:val="22"/>
          <w:szCs w:val="22"/>
        </w:rPr>
        <w:t>.</w:t>
      </w:r>
    </w:p>
    <w:tbl>
      <w:tblP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0"/>
        <w:gridCol w:w="1440"/>
        <w:gridCol w:w="1710"/>
        <w:gridCol w:w="1260"/>
        <w:gridCol w:w="1350"/>
        <w:gridCol w:w="900"/>
        <w:gridCol w:w="990"/>
      </w:tblGrid>
      <w:tr w:rsidRPr="004D4B61" w:rsidR="00C5384D" w:rsidTr="00BF4D0A" w14:paraId="18CD65B3" w14:textId="77777777">
        <w:trPr>
          <w:trHeight w:val="376"/>
          <w:jc w:val="center"/>
        </w:trPr>
        <w:tc>
          <w:tcPr>
            <w:tcW w:w="1710" w:type="dxa"/>
            <w:vMerge w:val="restart"/>
            <w:shd w:val="clear" w:color="auto" w:fill="D9D9D9"/>
            <w:vAlign w:val="center"/>
          </w:tcPr>
          <w:p w:rsidRPr="00835820" w:rsidR="00C5384D" w:rsidP="004D4B61" w:rsidRDefault="00C5384D" w14:paraId="04E477E2" w14:textId="77777777">
            <w:pPr>
              <w:keepNext/>
              <w:spacing w:after="0" w:line="240" w:lineRule="auto"/>
              <w:jc w:val="center"/>
              <w:rPr>
                <w:rFonts w:ascii="Times New Roman" w:hAnsi="Times New Roman" w:cs="Times New Roman"/>
                <w:b/>
                <w:sz w:val="20"/>
                <w:szCs w:val="20"/>
              </w:rPr>
            </w:pPr>
          </w:p>
          <w:p w:rsidRPr="00835820" w:rsidR="00C5384D" w:rsidP="004D4B61" w:rsidRDefault="00C5384D" w14:paraId="4BD7DF4F" w14:textId="77777777">
            <w:pPr>
              <w:keepNext/>
              <w:spacing w:after="0" w:line="240" w:lineRule="auto"/>
              <w:ind w:left="444" w:right="317" w:hanging="101"/>
              <w:jc w:val="center"/>
              <w:rPr>
                <w:rFonts w:ascii="Times New Roman" w:hAnsi="Times New Roman" w:cs="Times New Roman"/>
                <w:b/>
                <w:sz w:val="20"/>
                <w:szCs w:val="20"/>
              </w:rPr>
            </w:pPr>
            <w:r w:rsidRPr="00835820">
              <w:rPr>
                <w:rFonts w:ascii="Times New Roman" w:hAnsi="Times New Roman" w:cs="Times New Roman"/>
                <w:b/>
                <w:sz w:val="20"/>
                <w:szCs w:val="20"/>
              </w:rPr>
              <w:t>Facility Type</w:t>
            </w:r>
          </w:p>
        </w:tc>
        <w:tc>
          <w:tcPr>
            <w:tcW w:w="1440" w:type="dxa"/>
            <w:vMerge w:val="restart"/>
            <w:shd w:val="clear" w:color="auto" w:fill="D9D9D9"/>
            <w:vAlign w:val="center"/>
          </w:tcPr>
          <w:p w:rsidRPr="00835820" w:rsidR="00C5384D" w:rsidP="004D4B61" w:rsidRDefault="00C5384D" w14:paraId="339EBB1B" w14:textId="77777777">
            <w:pPr>
              <w:keepNext/>
              <w:spacing w:after="0" w:line="240" w:lineRule="auto"/>
              <w:jc w:val="center"/>
              <w:rPr>
                <w:rFonts w:ascii="Times New Roman" w:hAnsi="Times New Roman" w:cs="Times New Roman"/>
                <w:b/>
                <w:sz w:val="20"/>
                <w:szCs w:val="20"/>
              </w:rPr>
            </w:pPr>
          </w:p>
          <w:p w:rsidRPr="00835820" w:rsidR="00C5384D" w:rsidP="00BF4D0A" w:rsidRDefault="00C5384D" w14:paraId="6B7CD9BE" w14:textId="77777777">
            <w:pPr>
              <w:keepNext/>
              <w:spacing w:after="0" w:line="240" w:lineRule="auto"/>
              <w:ind w:left="114" w:right="85" w:hanging="20"/>
              <w:jc w:val="center"/>
              <w:rPr>
                <w:rFonts w:ascii="Times New Roman" w:hAnsi="Times New Roman" w:cs="Times New Roman"/>
                <w:b/>
                <w:sz w:val="20"/>
                <w:szCs w:val="20"/>
              </w:rPr>
            </w:pPr>
            <w:r w:rsidRPr="00835820">
              <w:rPr>
                <w:rFonts w:ascii="Times New Roman" w:hAnsi="Times New Roman" w:cs="Times New Roman"/>
                <w:b/>
                <w:sz w:val="20"/>
                <w:szCs w:val="20"/>
              </w:rPr>
              <w:t>Annual Frequency</w:t>
            </w:r>
          </w:p>
        </w:tc>
        <w:tc>
          <w:tcPr>
            <w:tcW w:w="4320" w:type="dxa"/>
            <w:gridSpan w:val="3"/>
            <w:shd w:val="clear" w:color="auto" w:fill="D9D9D9"/>
            <w:vAlign w:val="center"/>
          </w:tcPr>
          <w:p w:rsidRPr="00835820" w:rsidR="00C5384D" w:rsidP="004D4B61" w:rsidRDefault="00C5384D" w14:paraId="2FBA2D2F" w14:textId="77777777">
            <w:pPr>
              <w:keepNext/>
              <w:spacing w:after="0" w:line="240" w:lineRule="auto"/>
              <w:ind w:left="1425" w:right="1416"/>
              <w:jc w:val="center"/>
              <w:rPr>
                <w:rFonts w:ascii="Times New Roman" w:hAnsi="Times New Roman" w:cs="Times New Roman"/>
                <w:b/>
                <w:sz w:val="20"/>
                <w:szCs w:val="20"/>
              </w:rPr>
            </w:pPr>
            <w:r w:rsidRPr="00835820">
              <w:rPr>
                <w:rFonts w:ascii="Times New Roman" w:hAnsi="Times New Roman" w:cs="Times New Roman"/>
                <w:b/>
                <w:sz w:val="20"/>
                <w:szCs w:val="20"/>
              </w:rPr>
              <w:t>Labor Hours</w:t>
            </w:r>
          </w:p>
        </w:tc>
        <w:tc>
          <w:tcPr>
            <w:tcW w:w="900" w:type="dxa"/>
            <w:vMerge w:val="restart"/>
            <w:shd w:val="clear" w:color="auto" w:fill="D9D9D9"/>
            <w:vAlign w:val="center"/>
          </w:tcPr>
          <w:p w:rsidRPr="00835820" w:rsidR="00C5384D" w:rsidP="00BF4D0A" w:rsidRDefault="00C5384D" w14:paraId="62DC205F" w14:textId="77777777">
            <w:pPr>
              <w:keepNext/>
              <w:spacing w:after="0" w:line="240" w:lineRule="auto"/>
              <w:jc w:val="center"/>
              <w:rPr>
                <w:rFonts w:ascii="Times New Roman" w:hAnsi="Times New Roman" w:cs="Times New Roman"/>
                <w:b/>
                <w:sz w:val="20"/>
                <w:szCs w:val="20"/>
              </w:rPr>
            </w:pPr>
            <w:r w:rsidRPr="00835820">
              <w:rPr>
                <w:rFonts w:ascii="Times New Roman" w:hAnsi="Times New Roman" w:cs="Times New Roman"/>
                <w:b/>
                <w:sz w:val="20"/>
                <w:szCs w:val="20"/>
              </w:rPr>
              <w:t>Other Costs</w:t>
            </w:r>
          </w:p>
        </w:tc>
        <w:tc>
          <w:tcPr>
            <w:tcW w:w="990" w:type="dxa"/>
            <w:vMerge w:val="restart"/>
            <w:shd w:val="clear" w:color="auto" w:fill="D9D9D9"/>
            <w:vAlign w:val="center"/>
          </w:tcPr>
          <w:p w:rsidRPr="00835820" w:rsidR="00C5384D" w:rsidP="00BF4D0A" w:rsidRDefault="00C5384D" w14:paraId="7CAD20B9" w14:textId="77777777">
            <w:pPr>
              <w:keepNext/>
              <w:spacing w:after="0" w:line="240" w:lineRule="auto"/>
              <w:ind w:left="91" w:right="169"/>
              <w:jc w:val="center"/>
              <w:rPr>
                <w:rFonts w:ascii="Times New Roman" w:hAnsi="Times New Roman" w:cs="Times New Roman"/>
                <w:b/>
                <w:sz w:val="20"/>
                <w:szCs w:val="20"/>
              </w:rPr>
            </w:pPr>
            <w:r w:rsidRPr="00835820">
              <w:rPr>
                <w:rFonts w:ascii="Times New Roman" w:hAnsi="Times New Roman" w:cs="Times New Roman"/>
                <w:b/>
                <w:sz w:val="20"/>
                <w:szCs w:val="20"/>
              </w:rPr>
              <w:t>Facility Costs</w:t>
            </w:r>
          </w:p>
        </w:tc>
      </w:tr>
      <w:tr w:rsidRPr="004D4B61" w:rsidR="00C5384D" w:rsidTr="00BF4D0A" w14:paraId="6BFDC4FC" w14:textId="77777777">
        <w:trPr>
          <w:trHeight w:val="164"/>
          <w:jc w:val="center"/>
        </w:trPr>
        <w:tc>
          <w:tcPr>
            <w:tcW w:w="1710" w:type="dxa"/>
            <w:vMerge/>
            <w:tcBorders>
              <w:top w:val="nil"/>
            </w:tcBorders>
            <w:shd w:val="clear" w:color="auto" w:fill="D9D9D9"/>
            <w:vAlign w:val="center"/>
          </w:tcPr>
          <w:p w:rsidRPr="00835820" w:rsidR="00C5384D" w:rsidP="00835820" w:rsidRDefault="00C5384D" w14:paraId="1AC34DAF" w14:textId="77777777">
            <w:pPr>
              <w:keepNext/>
              <w:spacing w:after="0" w:line="240" w:lineRule="auto"/>
              <w:jc w:val="center"/>
              <w:rPr>
                <w:rFonts w:ascii="Times New Roman" w:hAnsi="Times New Roman" w:cs="Times New Roman"/>
                <w:sz w:val="20"/>
                <w:szCs w:val="20"/>
              </w:rPr>
            </w:pPr>
          </w:p>
        </w:tc>
        <w:tc>
          <w:tcPr>
            <w:tcW w:w="1440" w:type="dxa"/>
            <w:vMerge/>
            <w:tcBorders>
              <w:top w:val="nil"/>
            </w:tcBorders>
            <w:shd w:val="clear" w:color="auto" w:fill="D9D9D9"/>
            <w:vAlign w:val="center"/>
          </w:tcPr>
          <w:p w:rsidRPr="00835820" w:rsidR="00C5384D" w:rsidP="00835820" w:rsidRDefault="00C5384D" w14:paraId="5187FB41" w14:textId="77777777">
            <w:pPr>
              <w:keepNext/>
              <w:spacing w:after="0" w:line="240" w:lineRule="auto"/>
              <w:jc w:val="center"/>
              <w:rPr>
                <w:rFonts w:ascii="Times New Roman" w:hAnsi="Times New Roman" w:cs="Times New Roman"/>
                <w:sz w:val="20"/>
                <w:szCs w:val="20"/>
              </w:rPr>
            </w:pPr>
          </w:p>
        </w:tc>
        <w:tc>
          <w:tcPr>
            <w:tcW w:w="1710" w:type="dxa"/>
            <w:shd w:val="clear" w:color="auto" w:fill="D9D9D9"/>
            <w:vAlign w:val="center"/>
          </w:tcPr>
          <w:p w:rsidRPr="00835820" w:rsidR="00C5384D" w:rsidP="00835820" w:rsidRDefault="00C5384D" w14:paraId="68BECDCB" w14:textId="77777777">
            <w:pPr>
              <w:keepNext/>
              <w:spacing w:after="0" w:line="240" w:lineRule="auto"/>
              <w:ind w:left="129" w:right="124"/>
              <w:jc w:val="center"/>
              <w:rPr>
                <w:rFonts w:ascii="Times New Roman" w:hAnsi="Times New Roman" w:cs="Times New Roman"/>
                <w:b/>
                <w:sz w:val="20"/>
                <w:szCs w:val="20"/>
              </w:rPr>
            </w:pPr>
            <w:r w:rsidRPr="00835820">
              <w:rPr>
                <w:rFonts w:ascii="Times New Roman" w:hAnsi="Times New Roman" w:cs="Times New Roman"/>
                <w:b/>
                <w:sz w:val="20"/>
                <w:szCs w:val="20"/>
              </w:rPr>
              <w:t>Management</w:t>
            </w:r>
          </w:p>
        </w:tc>
        <w:tc>
          <w:tcPr>
            <w:tcW w:w="1260" w:type="dxa"/>
            <w:shd w:val="clear" w:color="auto" w:fill="D9D9D9"/>
            <w:vAlign w:val="center"/>
          </w:tcPr>
          <w:p w:rsidRPr="00835820" w:rsidR="00C5384D" w:rsidP="00835820" w:rsidRDefault="00C5384D" w14:paraId="7AE9D523" w14:textId="77777777">
            <w:pPr>
              <w:keepNext/>
              <w:spacing w:after="0" w:line="240" w:lineRule="auto"/>
              <w:ind w:left="137" w:right="131"/>
              <w:jc w:val="center"/>
              <w:rPr>
                <w:rFonts w:ascii="Times New Roman" w:hAnsi="Times New Roman" w:cs="Times New Roman"/>
                <w:b/>
                <w:sz w:val="20"/>
                <w:szCs w:val="20"/>
              </w:rPr>
            </w:pPr>
            <w:r w:rsidRPr="00835820">
              <w:rPr>
                <w:rFonts w:ascii="Times New Roman" w:hAnsi="Times New Roman" w:cs="Times New Roman"/>
                <w:b/>
                <w:sz w:val="20"/>
                <w:szCs w:val="20"/>
              </w:rPr>
              <w:t>Attorney</w:t>
            </w:r>
          </w:p>
        </w:tc>
        <w:tc>
          <w:tcPr>
            <w:tcW w:w="1350" w:type="dxa"/>
            <w:shd w:val="clear" w:color="auto" w:fill="D9D9D9"/>
            <w:vAlign w:val="center"/>
          </w:tcPr>
          <w:p w:rsidRPr="00835820" w:rsidR="00C5384D" w:rsidP="00835820" w:rsidRDefault="00C5384D" w14:paraId="77A28B3C" w14:textId="77777777">
            <w:pPr>
              <w:keepNext/>
              <w:spacing w:after="0" w:line="240" w:lineRule="auto"/>
              <w:ind w:left="244" w:right="236"/>
              <w:jc w:val="center"/>
              <w:rPr>
                <w:rFonts w:ascii="Times New Roman" w:hAnsi="Times New Roman" w:cs="Times New Roman"/>
                <w:b/>
                <w:sz w:val="20"/>
                <w:szCs w:val="20"/>
              </w:rPr>
            </w:pPr>
            <w:r w:rsidRPr="00835820">
              <w:rPr>
                <w:rFonts w:ascii="Times New Roman" w:hAnsi="Times New Roman" w:cs="Times New Roman"/>
                <w:b/>
                <w:sz w:val="20"/>
                <w:szCs w:val="20"/>
              </w:rPr>
              <w:t>Engineer</w:t>
            </w:r>
          </w:p>
        </w:tc>
        <w:tc>
          <w:tcPr>
            <w:tcW w:w="900" w:type="dxa"/>
            <w:vMerge/>
            <w:tcBorders>
              <w:top w:val="nil"/>
            </w:tcBorders>
            <w:shd w:val="clear" w:color="auto" w:fill="D9D9D9"/>
            <w:vAlign w:val="center"/>
          </w:tcPr>
          <w:p w:rsidRPr="00835820" w:rsidR="00C5384D" w:rsidP="00835820" w:rsidRDefault="00C5384D" w14:paraId="31C46FD0" w14:textId="77777777">
            <w:pPr>
              <w:keepNext/>
              <w:spacing w:after="0" w:line="240" w:lineRule="auto"/>
              <w:jc w:val="center"/>
              <w:rPr>
                <w:rFonts w:ascii="Times New Roman" w:hAnsi="Times New Roman" w:cs="Times New Roman"/>
                <w:sz w:val="20"/>
                <w:szCs w:val="20"/>
              </w:rPr>
            </w:pPr>
          </w:p>
        </w:tc>
        <w:tc>
          <w:tcPr>
            <w:tcW w:w="990" w:type="dxa"/>
            <w:vMerge/>
            <w:tcBorders>
              <w:top w:val="nil"/>
            </w:tcBorders>
            <w:shd w:val="clear" w:color="auto" w:fill="D9D9D9"/>
            <w:vAlign w:val="center"/>
          </w:tcPr>
          <w:p w:rsidRPr="00835820" w:rsidR="00C5384D" w:rsidP="00835820" w:rsidRDefault="00C5384D" w14:paraId="58025182" w14:textId="77777777">
            <w:pPr>
              <w:keepNext/>
              <w:spacing w:after="0" w:line="240" w:lineRule="auto"/>
              <w:jc w:val="center"/>
              <w:rPr>
                <w:rFonts w:ascii="Times New Roman" w:hAnsi="Times New Roman" w:cs="Times New Roman"/>
                <w:sz w:val="20"/>
                <w:szCs w:val="20"/>
              </w:rPr>
            </w:pPr>
          </w:p>
        </w:tc>
      </w:tr>
      <w:tr w:rsidRPr="004D4B61" w:rsidR="00FF55C7" w:rsidTr="00BF4D0A" w14:paraId="623BF2F9" w14:textId="77777777">
        <w:trPr>
          <w:trHeight w:val="308"/>
          <w:jc w:val="center"/>
        </w:trPr>
        <w:tc>
          <w:tcPr>
            <w:tcW w:w="1710" w:type="dxa"/>
            <w:vAlign w:val="center"/>
          </w:tcPr>
          <w:p w:rsidRPr="00835820" w:rsidR="00FF55C7" w:rsidP="00BF4D0A" w:rsidRDefault="00FF55C7" w14:paraId="1159E57D" w14:textId="77777777">
            <w:pPr>
              <w:keepNext/>
              <w:spacing w:after="0" w:line="240" w:lineRule="auto"/>
              <w:ind w:left="180" w:right="87"/>
              <w:jc w:val="center"/>
              <w:rPr>
                <w:rFonts w:ascii="Times New Roman" w:hAnsi="Times New Roman" w:cs="Times New Roman"/>
                <w:sz w:val="20"/>
                <w:szCs w:val="20"/>
              </w:rPr>
            </w:pPr>
            <w:r w:rsidRPr="00835820">
              <w:rPr>
                <w:rFonts w:ascii="Times New Roman" w:hAnsi="Times New Roman" w:cs="Times New Roman"/>
                <w:sz w:val="20"/>
                <w:szCs w:val="20"/>
              </w:rPr>
              <w:t>Simple Facilities</w:t>
            </w:r>
          </w:p>
        </w:tc>
        <w:tc>
          <w:tcPr>
            <w:tcW w:w="1440" w:type="dxa"/>
            <w:vAlign w:val="center"/>
          </w:tcPr>
          <w:p w:rsidRPr="00835820" w:rsidR="00FF55C7" w:rsidP="004D4B61" w:rsidRDefault="00FF55C7" w14:paraId="40C5A654" w14:textId="77777777">
            <w:pPr>
              <w:keepNext/>
              <w:spacing w:after="0" w:line="240" w:lineRule="auto"/>
              <w:ind w:left="277" w:right="267"/>
              <w:jc w:val="center"/>
              <w:rPr>
                <w:rFonts w:ascii="Times New Roman" w:hAnsi="Times New Roman" w:cs="Times New Roman"/>
                <w:sz w:val="20"/>
                <w:szCs w:val="20"/>
              </w:rPr>
            </w:pPr>
            <w:r w:rsidRPr="00835820">
              <w:rPr>
                <w:rFonts w:ascii="Times New Roman" w:hAnsi="Times New Roman" w:cs="Times New Roman"/>
                <w:sz w:val="20"/>
                <w:szCs w:val="20"/>
              </w:rPr>
              <w:t>0.5</w:t>
            </w:r>
          </w:p>
        </w:tc>
        <w:tc>
          <w:tcPr>
            <w:tcW w:w="1710" w:type="dxa"/>
            <w:vAlign w:val="center"/>
          </w:tcPr>
          <w:p w:rsidRPr="00835820" w:rsidR="00FF55C7" w:rsidP="004D4B61" w:rsidRDefault="00FF55C7" w14:paraId="798ACE03" w14:textId="77777777">
            <w:pPr>
              <w:keepNext/>
              <w:spacing w:after="0" w:line="240" w:lineRule="auto"/>
              <w:ind w:left="5"/>
              <w:jc w:val="center"/>
              <w:rPr>
                <w:rFonts w:ascii="Times New Roman" w:hAnsi="Times New Roman" w:cs="Times New Roman"/>
                <w:sz w:val="20"/>
                <w:szCs w:val="20"/>
              </w:rPr>
            </w:pPr>
            <w:r w:rsidRPr="00835820">
              <w:rPr>
                <w:rFonts w:ascii="Times New Roman" w:hAnsi="Times New Roman" w:cs="Times New Roman"/>
                <w:sz w:val="20"/>
                <w:szCs w:val="20"/>
              </w:rPr>
              <w:t>1</w:t>
            </w:r>
          </w:p>
        </w:tc>
        <w:tc>
          <w:tcPr>
            <w:tcW w:w="1260" w:type="dxa"/>
            <w:vAlign w:val="center"/>
          </w:tcPr>
          <w:p w:rsidRPr="00835820" w:rsidR="00FF55C7" w:rsidP="004D4B61" w:rsidRDefault="00FF55C7" w14:paraId="5D0E3FB3" w14:textId="77777777">
            <w:pPr>
              <w:keepNext/>
              <w:spacing w:after="0" w:line="240" w:lineRule="auto"/>
              <w:ind w:left="7"/>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350" w:type="dxa"/>
            <w:vAlign w:val="center"/>
          </w:tcPr>
          <w:p w:rsidRPr="00835820" w:rsidR="00FF55C7" w:rsidP="004D4B61" w:rsidRDefault="00FF55C7" w14:paraId="06AEA48D" w14:textId="77777777">
            <w:pPr>
              <w:keepNext/>
              <w:spacing w:after="0" w:line="240" w:lineRule="auto"/>
              <w:ind w:left="9"/>
              <w:jc w:val="center"/>
              <w:rPr>
                <w:rFonts w:ascii="Times New Roman" w:hAnsi="Times New Roman" w:cs="Times New Roman"/>
                <w:sz w:val="20"/>
                <w:szCs w:val="20"/>
              </w:rPr>
            </w:pPr>
            <w:r w:rsidRPr="00835820">
              <w:rPr>
                <w:rFonts w:ascii="Times New Roman" w:hAnsi="Times New Roman" w:cs="Times New Roman"/>
                <w:sz w:val="20"/>
                <w:szCs w:val="20"/>
              </w:rPr>
              <w:t>1</w:t>
            </w:r>
          </w:p>
        </w:tc>
        <w:tc>
          <w:tcPr>
            <w:tcW w:w="900" w:type="dxa"/>
            <w:vAlign w:val="center"/>
          </w:tcPr>
          <w:p w:rsidRPr="00835820" w:rsidR="00FF55C7" w:rsidP="004D4B61" w:rsidRDefault="00FF55C7" w14:paraId="74EB65A0" w14:textId="77777777">
            <w:pPr>
              <w:keepNext/>
              <w:spacing w:after="0" w:line="240" w:lineRule="auto"/>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990" w:type="dxa"/>
            <w:vAlign w:val="center"/>
          </w:tcPr>
          <w:p w:rsidRPr="00835820" w:rsidR="00FF55C7" w:rsidP="004D4B61" w:rsidRDefault="00FF55C7" w14:paraId="05A69201" w14:textId="116F92DA">
            <w:pPr>
              <w:keepNext/>
              <w:spacing w:after="0" w:line="240" w:lineRule="auto"/>
              <w:ind w:left="189" w:right="183"/>
              <w:jc w:val="center"/>
              <w:rPr>
                <w:rFonts w:ascii="Times New Roman" w:hAnsi="Times New Roman" w:cs="Times New Roman"/>
                <w:sz w:val="20"/>
                <w:szCs w:val="20"/>
              </w:rPr>
            </w:pPr>
            <w:r w:rsidRPr="00835820">
              <w:rPr>
                <w:rFonts w:ascii="Times New Roman" w:hAnsi="Times New Roman" w:cs="Times New Roman"/>
                <w:sz w:val="20"/>
                <w:szCs w:val="20"/>
              </w:rPr>
              <w:t>$17</w:t>
            </w:r>
            <w:r w:rsidRPr="00835820" w:rsidR="00C8402B">
              <w:rPr>
                <w:rFonts w:ascii="Times New Roman" w:hAnsi="Times New Roman" w:cs="Times New Roman"/>
                <w:sz w:val="20"/>
                <w:szCs w:val="20"/>
              </w:rPr>
              <w:t>2</w:t>
            </w:r>
          </w:p>
        </w:tc>
      </w:tr>
      <w:tr w:rsidRPr="004D4B61" w:rsidR="00C5384D" w:rsidTr="00BF4D0A" w14:paraId="22AB62A9" w14:textId="77777777">
        <w:trPr>
          <w:trHeight w:val="254"/>
          <w:jc w:val="center"/>
        </w:trPr>
        <w:tc>
          <w:tcPr>
            <w:tcW w:w="1710" w:type="dxa"/>
            <w:vAlign w:val="center"/>
          </w:tcPr>
          <w:p w:rsidRPr="00835820" w:rsidR="00C5384D" w:rsidP="00BF4D0A" w:rsidRDefault="00C5384D" w14:paraId="017AF2CF" w14:textId="77777777">
            <w:pPr>
              <w:keepNext/>
              <w:spacing w:after="0" w:line="240" w:lineRule="auto"/>
              <w:ind w:left="180" w:right="87"/>
              <w:jc w:val="center"/>
              <w:rPr>
                <w:rFonts w:ascii="Times New Roman" w:hAnsi="Times New Roman" w:cs="Times New Roman"/>
                <w:sz w:val="20"/>
                <w:szCs w:val="20"/>
              </w:rPr>
            </w:pPr>
            <w:r w:rsidRPr="00835820">
              <w:rPr>
                <w:rFonts w:ascii="Times New Roman" w:hAnsi="Times New Roman" w:cs="Times New Roman"/>
                <w:sz w:val="20"/>
                <w:szCs w:val="20"/>
              </w:rPr>
              <w:t>Small Complex</w:t>
            </w:r>
          </w:p>
        </w:tc>
        <w:tc>
          <w:tcPr>
            <w:tcW w:w="1440" w:type="dxa"/>
            <w:vAlign w:val="center"/>
          </w:tcPr>
          <w:p w:rsidRPr="00835820" w:rsidR="00C5384D" w:rsidP="004D4B61" w:rsidRDefault="00C5384D" w14:paraId="64C19B08" w14:textId="77777777">
            <w:pPr>
              <w:keepNext/>
              <w:spacing w:after="0" w:line="240" w:lineRule="auto"/>
              <w:ind w:left="277" w:right="267"/>
              <w:jc w:val="center"/>
              <w:rPr>
                <w:rFonts w:ascii="Times New Roman" w:hAnsi="Times New Roman" w:cs="Times New Roman"/>
                <w:sz w:val="20"/>
                <w:szCs w:val="20"/>
              </w:rPr>
            </w:pPr>
            <w:r w:rsidRPr="00835820">
              <w:rPr>
                <w:rFonts w:ascii="Times New Roman" w:hAnsi="Times New Roman" w:cs="Times New Roman"/>
                <w:sz w:val="20"/>
                <w:szCs w:val="20"/>
              </w:rPr>
              <w:t>0.5</w:t>
            </w:r>
          </w:p>
        </w:tc>
        <w:tc>
          <w:tcPr>
            <w:tcW w:w="1710" w:type="dxa"/>
            <w:vAlign w:val="center"/>
          </w:tcPr>
          <w:p w:rsidRPr="00835820" w:rsidR="00C5384D" w:rsidP="004D4B61" w:rsidRDefault="00C5384D" w14:paraId="726565B6" w14:textId="77777777">
            <w:pPr>
              <w:keepNext/>
              <w:spacing w:after="0" w:line="240" w:lineRule="auto"/>
              <w:ind w:left="5"/>
              <w:jc w:val="center"/>
              <w:rPr>
                <w:rFonts w:ascii="Times New Roman" w:hAnsi="Times New Roman" w:cs="Times New Roman"/>
                <w:sz w:val="20"/>
                <w:szCs w:val="20"/>
              </w:rPr>
            </w:pPr>
            <w:r w:rsidRPr="00835820">
              <w:rPr>
                <w:rFonts w:ascii="Times New Roman" w:hAnsi="Times New Roman" w:cs="Times New Roman"/>
                <w:sz w:val="20"/>
                <w:szCs w:val="20"/>
              </w:rPr>
              <w:t>2</w:t>
            </w:r>
          </w:p>
        </w:tc>
        <w:tc>
          <w:tcPr>
            <w:tcW w:w="1260" w:type="dxa"/>
            <w:vAlign w:val="center"/>
          </w:tcPr>
          <w:p w:rsidRPr="00835820" w:rsidR="00C5384D" w:rsidP="004D4B61" w:rsidRDefault="00C5384D" w14:paraId="36FBDA53" w14:textId="77777777">
            <w:pPr>
              <w:keepNext/>
              <w:spacing w:after="0" w:line="240" w:lineRule="auto"/>
              <w:ind w:left="7"/>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1350" w:type="dxa"/>
            <w:vAlign w:val="center"/>
          </w:tcPr>
          <w:p w:rsidRPr="00835820" w:rsidR="00C5384D" w:rsidP="004D4B61" w:rsidRDefault="00C5384D" w14:paraId="76F36882" w14:textId="77777777">
            <w:pPr>
              <w:keepNext/>
              <w:spacing w:after="0" w:line="240" w:lineRule="auto"/>
              <w:ind w:left="9"/>
              <w:jc w:val="center"/>
              <w:rPr>
                <w:rFonts w:ascii="Times New Roman" w:hAnsi="Times New Roman" w:cs="Times New Roman"/>
                <w:sz w:val="20"/>
                <w:szCs w:val="20"/>
              </w:rPr>
            </w:pPr>
            <w:r w:rsidRPr="00835820">
              <w:rPr>
                <w:rFonts w:ascii="Times New Roman" w:hAnsi="Times New Roman" w:cs="Times New Roman"/>
                <w:sz w:val="20"/>
                <w:szCs w:val="20"/>
              </w:rPr>
              <w:t>2</w:t>
            </w:r>
          </w:p>
        </w:tc>
        <w:tc>
          <w:tcPr>
            <w:tcW w:w="900" w:type="dxa"/>
            <w:vAlign w:val="center"/>
          </w:tcPr>
          <w:p w:rsidRPr="00835820" w:rsidR="00C5384D" w:rsidP="004D4B61" w:rsidRDefault="00C5384D" w14:paraId="72FD3291" w14:textId="77777777">
            <w:pPr>
              <w:keepNext/>
              <w:spacing w:after="0" w:line="240" w:lineRule="auto"/>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990" w:type="dxa"/>
            <w:vAlign w:val="center"/>
          </w:tcPr>
          <w:p w:rsidRPr="00835820" w:rsidR="00C5384D" w:rsidP="004D4B61" w:rsidRDefault="00C5384D" w14:paraId="7689E1E1" w14:textId="181ABA91">
            <w:pPr>
              <w:keepNext/>
              <w:spacing w:after="0" w:line="240" w:lineRule="auto"/>
              <w:ind w:left="189" w:right="183"/>
              <w:jc w:val="center"/>
              <w:rPr>
                <w:rFonts w:ascii="Times New Roman" w:hAnsi="Times New Roman" w:cs="Times New Roman"/>
                <w:sz w:val="20"/>
                <w:szCs w:val="20"/>
              </w:rPr>
            </w:pPr>
            <w:r w:rsidRPr="00835820">
              <w:rPr>
                <w:rFonts w:ascii="Times New Roman" w:hAnsi="Times New Roman" w:cs="Times New Roman"/>
                <w:sz w:val="20"/>
                <w:szCs w:val="20"/>
              </w:rPr>
              <w:t>$4</w:t>
            </w:r>
            <w:r w:rsidRPr="00835820" w:rsidR="00DE4099">
              <w:rPr>
                <w:rFonts w:ascii="Times New Roman" w:hAnsi="Times New Roman" w:cs="Times New Roman"/>
                <w:sz w:val="20"/>
                <w:szCs w:val="20"/>
              </w:rPr>
              <w:t>7</w:t>
            </w:r>
            <w:r w:rsidRPr="00835820">
              <w:rPr>
                <w:rFonts w:ascii="Times New Roman" w:hAnsi="Times New Roman" w:cs="Times New Roman"/>
                <w:sz w:val="20"/>
                <w:szCs w:val="20"/>
              </w:rPr>
              <w:t>2</w:t>
            </w:r>
          </w:p>
        </w:tc>
      </w:tr>
      <w:tr w:rsidRPr="004D4B61" w:rsidR="00C5384D" w:rsidTr="00BF4D0A" w14:paraId="59C575D0" w14:textId="77777777">
        <w:trPr>
          <w:trHeight w:val="263"/>
          <w:jc w:val="center"/>
        </w:trPr>
        <w:tc>
          <w:tcPr>
            <w:tcW w:w="1710" w:type="dxa"/>
            <w:vAlign w:val="center"/>
          </w:tcPr>
          <w:p w:rsidRPr="00835820" w:rsidR="00C5384D" w:rsidP="00BF4D0A" w:rsidRDefault="00C5384D" w14:paraId="23F4B2DB" w14:textId="77777777">
            <w:pPr>
              <w:spacing w:after="0" w:line="240" w:lineRule="auto"/>
              <w:ind w:left="180" w:right="87"/>
              <w:jc w:val="center"/>
              <w:rPr>
                <w:rFonts w:ascii="Times New Roman" w:hAnsi="Times New Roman" w:cs="Times New Roman"/>
                <w:sz w:val="20"/>
                <w:szCs w:val="20"/>
              </w:rPr>
            </w:pPr>
            <w:r w:rsidRPr="00835820">
              <w:rPr>
                <w:rFonts w:ascii="Times New Roman" w:hAnsi="Times New Roman" w:cs="Times New Roman"/>
                <w:sz w:val="20"/>
                <w:szCs w:val="20"/>
              </w:rPr>
              <w:t>Large Complex</w:t>
            </w:r>
          </w:p>
        </w:tc>
        <w:tc>
          <w:tcPr>
            <w:tcW w:w="1440" w:type="dxa"/>
            <w:vAlign w:val="center"/>
          </w:tcPr>
          <w:p w:rsidRPr="00835820" w:rsidR="00C5384D" w:rsidP="004D4B61" w:rsidRDefault="00C5384D" w14:paraId="7D7E3DA4" w14:textId="77777777">
            <w:pPr>
              <w:spacing w:after="0" w:line="240" w:lineRule="auto"/>
              <w:ind w:left="277" w:right="267"/>
              <w:jc w:val="center"/>
              <w:rPr>
                <w:rFonts w:ascii="Times New Roman" w:hAnsi="Times New Roman" w:cs="Times New Roman"/>
                <w:sz w:val="20"/>
                <w:szCs w:val="20"/>
              </w:rPr>
            </w:pPr>
            <w:r w:rsidRPr="00835820">
              <w:rPr>
                <w:rFonts w:ascii="Times New Roman" w:hAnsi="Times New Roman" w:cs="Times New Roman"/>
                <w:sz w:val="20"/>
                <w:szCs w:val="20"/>
              </w:rPr>
              <w:t>0.5</w:t>
            </w:r>
          </w:p>
        </w:tc>
        <w:tc>
          <w:tcPr>
            <w:tcW w:w="1710" w:type="dxa"/>
            <w:vAlign w:val="center"/>
          </w:tcPr>
          <w:p w:rsidRPr="00835820" w:rsidR="00C5384D" w:rsidP="004D4B61" w:rsidRDefault="00C5384D" w14:paraId="6F0FC4B8" w14:textId="77777777">
            <w:pPr>
              <w:spacing w:after="0" w:line="240" w:lineRule="auto"/>
              <w:ind w:left="5"/>
              <w:jc w:val="center"/>
              <w:rPr>
                <w:rFonts w:ascii="Times New Roman" w:hAnsi="Times New Roman" w:cs="Times New Roman"/>
                <w:sz w:val="20"/>
                <w:szCs w:val="20"/>
              </w:rPr>
            </w:pPr>
            <w:r w:rsidRPr="00835820">
              <w:rPr>
                <w:rFonts w:ascii="Times New Roman" w:hAnsi="Times New Roman" w:cs="Times New Roman"/>
                <w:sz w:val="20"/>
                <w:szCs w:val="20"/>
              </w:rPr>
              <w:t>8</w:t>
            </w:r>
          </w:p>
        </w:tc>
        <w:tc>
          <w:tcPr>
            <w:tcW w:w="1260" w:type="dxa"/>
            <w:vAlign w:val="center"/>
          </w:tcPr>
          <w:p w:rsidRPr="00835820" w:rsidR="00C5384D" w:rsidP="004D4B61" w:rsidRDefault="00C5384D" w14:paraId="4AFAC8B2" w14:textId="77777777">
            <w:pPr>
              <w:spacing w:after="0" w:line="240" w:lineRule="auto"/>
              <w:ind w:left="137" w:right="127"/>
              <w:jc w:val="center"/>
              <w:rPr>
                <w:rFonts w:ascii="Times New Roman" w:hAnsi="Times New Roman" w:cs="Times New Roman"/>
                <w:sz w:val="20"/>
                <w:szCs w:val="20"/>
              </w:rPr>
            </w:pPr>
            <w:r w:rsidRPr="00835820">
              <w:rPr>
                <w:rFonts w:ascii="Times New Roman" w:hAnsi="Times New Roman" w:cs="Times New Roman"/>
                <w:sz w:val="20"/>
                <w:szCs w:val="20"/>
              </w:rPr>
              <w:t>10</w:t>
            </w:r>
          </w:p>
        </w:tc>
        <w:tc>
          <w:tcPr>
            <w:tcW w:w="1350" w:type="dxa"/>
            <w:vAlign w:val="center"/>
          </w:tcPr>
          <w:p w:rsidRPr="00835820" w:rsidR="00C5384D" w:rsidP="004D4B61" w:rsidRDefault="00C5384D" w14:paraId="11F22644" w14:textId="77777777">
            <w:pPr>
              <w:spacing w:after="0" w:line="240" w:lineRule="auto"/>
              <w:ind w:left="243" w:right="236"/>
              <w:jc w:val="center"/>
              <w:rPr>
                <w:rFonts w:ascii="Times New Roman" w:hAnsi="Times New Roman" w:cs="Times New Roman"/>
                <w:sz w:val="20"/>
                <w:szCs w:val="20"/>
              </w:rPr>
            </w:pPr>
            <w:r w:rsidRPr="00835820">
              <w:rPr>
                <w:rFonts w:ascii="Times New Roman" w:hAnsi="Times New Roman" w:cs="Times New Roman"/>
                <w:sz w:val="20"/>
                <w:szCs w:val="20"/>
              </w:rPr>
              <w:t>36</w:t>
            </w:r>
          </w:p>
        </w:tc>
        <w:tc>
          <w:tcPr>
            <w:tcW w:w="900" w:type="dxa"/>
            <w:vAlign w:val="center"/>
          </w:tcPr>
          <w:p w:rsidRPr="00835820" w:rsidR="00C5384D" w:rsidP="004D4B61" w:rsidRDefault="00C5384D" w14:paraId="11B2AAC4" w14:textId="77777777">
            <w:pPr>
              <w:spacing w:after="0" w:line="240" w:lineRule="auto"/>
              <w:jc w:val="center"/>
              <w:rPr>
                <w:rFonts w:ascii="Times New Roman" w:hAnsi="Times New Roman" w:cs="Times New Roman"/>
                <w:sz w:val="20"/>
                <w:szCs w:val="20"/>
              </w:rPr>
            </w:pPr>
            <w:r w:rsidRPr="00835820">
              <w:rPr>
                <w:rFonts w:ascii="Times New Roman" w:hAnsi="Times New Roman" w:cs="Times New Roman"/>
                <w:sz w:val="20"/>
                <w:szCs w:val="20"/>
              </w:rPr>
              <w:t>$0</w:t>
            </w:r>
          </w:p>
        </w:tc>
        <w:tc>
          <w:tcPr>
            <w:tcW w:w="990" w:type="dxa"/>
            <w:vAlign w:val="center"/>
          </w:tcPr>
          <w:p w:rsidRPr="00835820" w:rsidR="00C5384D" w:rsidP="004D4B61" w:rsidRDefault="00C5384D" w14:paraId="0E4DCD30" w14:textId="2EE648D0">
            <w:pPr>
              <w:spacing w:after="0" w:line="240" w:lineRule="auto"/>
              <w:ind w:left="191" w:right="183"/>
              <w:jc w:val="center"/>
              <w:rPr>
                <w:rFonts w:ascii="Times New Roman" w:hAnsi="Times New Roman" w:cs="Times New Roman"/>
                <w:sz w:val="20"/>
                <w:szCs w:val="20"/>
              </w:rPr>
            </w:pPr>
            <w:r w:rsidRPr="00835820">
              <w:rPr>
                <w:rFonts w:ascii="Times New Roman" w:hAnsi="Times New Roman" w:cs="Times New Roman"/>
                <w:sz w:val="20"/>
                <w:szCs w:val="20"/>
              </w:rPr>
              <w:t>$</w:t>
            </w:r>
            <w:r w:rsidRPr="00835820" w:rsidR="00C8402B">
              <w:rPr>
                <w:rFonts w:ascii="Times New Roman" w:hAnsi="Times New Roman" w:cs="Times New Roman"/>
                <w:sz w:val="20"/>
                <w:szCs w:val="20"/>
              </w:rPr>
              <w:t>6</w:t>
            </w:r>
            <w:r w:rsidRPr="00835820">
              <w:rPr>
                <w:rFonts w:ascii="Times New Roman" w:hAnsi="Times New Roman" w:cs="Times New Roman"/>
                <w:sz w:val="20"/>
                <w:szCs w:val="20"/>
              </w:rPr>
              <w:t>,</w:t>
            </w:r>
            <w:r w:rsidRPr="00835820" w:rsidR="00C8402B">
              <w:rPr>
                <w:rFonts w:ascii="Times New Roman" w:hAnsi="Times New Roman" w:cs="Times New Roman"/>
                <w:sz w:val="20"/>
                <w:szCs w:val="20"/>
              </w:rPr>
              <w:t>279</w:t>
            </w:r>
          </w:p>
        </w:tc>
      </w:tr>
    </w:tbl>
    <w:p w:rsidRPr="004D4B61" w:rsidR="00EF7CF0" w:rsidP="004D4B61" w:rsidRDefault="00EF7CF0" w14:paraId="1DA7A131" w14:textId="4ED673AC">
      <w:pPr>
        <w:spacing w:after="0" w:line="240" w:lineRule="auto"/>
        <w:rPr>
          <w:rFonts w:ascii="Times New Roman" w:hAnsi="Times New Roman" w:eastAsia="Calibri" w:cs="Times New Roman"/>
          <w:b/>
        </w:rPr>
      </w:pPr>
      <w:r w:rsidRPr="004D4B61">
        <w:rPr>
          <w:rFonts w:ascii="Times New Roman" w:hAnsi="Times New Roman" w:eastAsia="Calibri" w:cs="Times New Roman"/>
          <w:b/>
        </w:rPr>
        <w:br w:type="page"/>
      </w:r>
    </w:p>
    <w:p w:rsidR="00435210" w:rsidP="00435210" w:rsidRDefault="00435210" w14:paraId="7DCFCDD4" w14:textId="77777777">
      <w:pPr>
        <w:spacing w:line="288" w:lineRule="auto"/>
        <w:sectPr w:rsidR="00435210" w:rsidSect="00AE3231">
          <w:footerReference w:type="default" r:id="rId25"/>
          <w:pgSz w:w="12240" w:h="15840"/>
          <w:pgMar w:top="1500" w:right="1100" w:bottom="920" w:left="1160" w:header="0" w:footer="738" w:gutter="0"/>
          <w:pgNumType w:start="6"/>
          <w:cols w:space="720"/>
        </w:sectPr>
      </w:pPr>
    </w:p>
    <w:p w:rsidR="00F97F47" w:rsidP="000409BE" w:rsidRDefault="00435210" w14:paraId="42FB8B77" w14:textId="1D304440">
      <w:pPr>
        <w:pStyle w:val="Heading1"/>
      </w:pPr>
      <w:bookmarkStart w:name="CHAPTER_5:__TOTAL_COSTS" w:id="59"/>
      <w:bookmarkStart w:name="_bookmark69" w:id="60"/>
      <w:bookmarkStart w:name="_Toc110502750" w:id="61"/>
      <w:bookmarkStart w:name="_Toc98856219" w:id="62"/>
      <w:bookmarkEnd w:id="59"/>
      <w:bookmarkEnd w:id="60"/>
      <w:r w:rsidRPr="00200686">
        <w:lastRenderedPageBreak/>
        <w:t>CHAPT</w:t>
      </w:r>
      <w:r w:rsidRPr="005051E9">
        <w:t>ER 5</w:t>
      </w:r>
      <w:r w:rsidR="00BF42A8">
        <w:t>: Total Estimated Costs</w:t>
      </w:r>
      <w:r w:rsidR="00045CAD">
        <w:t xml:space="preserve"> of the Proposed </w:t>
      </w:r>
      <w:r w:rsidRPr="007B78B6" w:rsidR="00045CAD">
        <w:t>Rule</w:t>
      </w:r>
      <w:bookmarkEnd w:id="61"/>
    </w:p>
    <w:bookmarkEnd w:id="62"/>
    <w:p w:rsidRPr="00BF4D0A" w:rsidR="00435210" w:rsidP="00576F93" w:rsidRDefault="003D2F8B" w14:paraId="448DC24C" w14:textId="263B824B">
      <w:pPr>
        <w:spacing w:after="0" w:line="240" w:lineRule="auto"/>
        <w:ind w:right="389"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This chapter presents the </w:t>
      </w:r>
      <w:r w:rsidRPr="00BF4D0A" w:rsidR="00813277">
        <w:rPr>
          <w:rFonts w:ascii="Times New Roman" w:hAnsi="Times New Roman" w:cs="Times New Roman"/>
        </w:rPr>
        <w:t>estimate</w:t>
      </w:r>
      <w:r w:rsidRPr="00BF4D0A" w:rsidR="009F4534">
        <w:rPr>
          <w:rFonts w:ascii="Times New Roman" w:hAnsi="Times New Roman" w:cs="Times New Roman"/>
        </w:rPr>
        <w:t>d</w:t>
      </w:r>
      <w:r w:rsidRPr="00BF4D0A" w:rsidR="00813277">
        <w:rPr>
          <w:rFonts w:ascii="Times New Roman" w:hAnsi="Times New Roman" w:cs="Times New Roman"/>
        </w:rPr>
        <w:t xml:space="preserve"> </w:t>
      </w:r>
      <w:r w:rsidRPr="00BF4D0A" w:rsidR="00435210">
        <w:rPr>
          <w:rFonts w:ascii="Times New Roman" w:hAnsi="Times New Roman" w:cs="Times New Roman"/>
        </w:rPr>
        <w:t xml:space="preserve">costs of </w:t>
      </w:r>
      <w:r w:rsidRPr="00BF4D0A" w:rsidR="006E2FEC">
        <w:rPr>
          <w:rFonts w:ascii="Times New Roman" w:hAnsi="Times New Roman" w:cs="Times New Roman"/>
        </w:rPr>
        <w:t>each</w:t>
      </w:r>
      <w:r w:rsidRPr="00BF4D0A" w:rsidR="00200686">
        <w:rPr>
          <w:rFonts w:ascii="Times New Roman" w:hAnsi="Times New Roman" w:cs="Times New Roman"/>
        </w:rPr>
        <w:t xml:space="preserve"> proposed rule provision</w:t>
      </w:r>
      <w:r w:rsidRPr="00BF4D0A" w:rsidR="00EF0743">
        <w:rPr>
          <w:rFonts w:ascii="Times New Roman" w:hAnsi="Times New Roman" w:cs="Times New Roman"/>
        </w:rPr>
        <w:t xml:space="preserve"> </w:t>
      </w:r>
      <w:r w:rsidRPr="00BF4D0A" w:rsidR="00435210">
        <w:rPr>
          <w:rFonts w:ascii="Times New Roman" w:hAnsi="Times New Roman" w:cs="Times New Roman"/>
        </w:rPr>
        <w:t>as well as</w:t>
      </w:r>
      <w:r w:rsidRPr="00BF4D0A" w:rsidR="00813277">
        <w:rPr>
          <w:rFonts w:ascii="Times New Roman" w:hAnsi="Times New Roman" w:cs="Times New Roman"/>
        </w:rPr>
        <w:t xml:space="preserve"> estimated</w:t>
      </w:r>
      <w:r w:rsidRPr="00BF4D0A" w:rsidR="00435210">
        <w:rPr>
          <w:rFonts w:ascii="Times New Roman" w:hAnsi="Times New Roman" w:cs="Times New Roman"/>
        </w:rPr>
        <w:t xml:space="preserve"> total, undiscounted, discounted, and annualized</w:t>
      </w:r>
      <w:r w:rsidRPr="00BF4D0A" w:rsidR="00C96ED3">
        <w:rPr>
          <w:rFonts w:ascii="Times New Roman" w:hAnsi="Times New Roman" w:cs="Times New Roman"/>
        </w:rPr>
        <w:t xml:space="preserve"> </w:t>
      </w:r>
      <w:r w:rsidRPr="00BF4D0A" w:rsidR="00EF0743">
        <w:rPr>
          <w:rFonts w:ascii="Times New Roman" w:hAnsi="Times New Roman" w:cs="Times New Roman"/>
        </w:rPr>
        <w:t xml:space="preserve">proposed rule </w:t>
      </w:r>
      <w:r w:rsidRPr="00BF4D0A" w:rsidR="00C96ED3">
        <w:rPr>
          <w:rFonts w:ascii="Times New Roman" w:hAnsi="Times New Roman" w:cs="Times New Roman"/>
        </w:rPr>
        <w:t>costs</w:t>
      </w:r>
      <w:r w:rsidRPr="00BF4D0A" w:rsidR="00435210">
        <w:rPr>
          <w:rFonts w:ascii="Times New Roman" w:hAnsi="Times New Roman" w:cs="Times New Roman"/>
        </w:rPr>
        <w:t xml:space="preserve"> projected over 10 years and discounted at 3 percent and 7 percent</w:t>
      </w:r>
      <w:r w:rsidRPr="00BF4D0A" w:rsidR="00EF0743">
        <w:rPr>
          <w:rFonts w:ascii="Times New Roman" w:hAnsi="Times New Roman" w:cs="Times New Roman"/>
        </w:rPr>
        <w:t>, as required by the Office of Management and Budget</w:t>
      </w:r>
      <w:r w:rsidRPr="00BF4D0A" w:rsidR="00C45259">
        <w:rPr>
          <w:rFonts w:ascii="Times New Roman" w:hAnsi="Times New Roman" w:cs="Times New Roman"/>
        </w:rPr>
        <w:t xml:space="preserve"> (OMB).</w:t>
      </w:r>
      <w:r w:rsidRPr="00BF4D0A" w:rsidR="000173AF">
        <w:rPr>
          <w:rStyle w:val="FootnoteReference"/>
          <w:rFonts w:ascii="Times New Roman" w:hAnsi="Times New Roman" w:cs="Times New Roman"/>
        </w:rPr>
        <w:footnoteReference w:id="61"/>
      </w:r>
      <w:r w:rsidRPr="00BF4D0A" w:rsidR="00435210">
        <w:rPr>
          <w:rFonts w:ascii="Times New Roman" w:hAnsi="Times New Roman" w:cs="Times New Roman"/>
        </w:rPr>
        <w:t xml:space="preserve"> The </w:t>
      </w:r>
      <w:r w:rsidRPr="00BF4D0A" w:rsidR="00F9541E">
        <w:rPr>
          <w:rFonts w:ascii="Times New Roman" w:hAnsi="Times New Roman" w:cs="Times New Roman"/>
        </w:rPr>
        <w:t xml:space="preserve">10-year </w:t>
      </w:r>
      <w:r w:rsidRPr="00BF4D0A" w:rsidR="00EF0743">
        <w:rPr>
          <w:rFonts w:ascii="Times New Roman" w:hAnsi="Times New Roman" w:cs="Times New Roman"/>
        </w:rPr>
        <w:t>annualization</w:t>
      </w:r>
      <w:r w:rsidRPr="00BF4D0A" w:rsidR="00435210">
        <w:rPr>
          <w:rFonts w:ascii="Times New Roman" w:hAnsi="Times New Roman" w:cs="Times New Roman"/>
        </w:rPr>
        <w:t xml:space="preserve"> period was chosen because</w:t>
      </w:r>
      <w:r w:rsidRPr="00BF4D0A" w:rsidR="00EA23F3">
        <w:rPr>
          <w:rFonts w:ascii="Times New Roman" w:hAnsi="Times New Roman" w:cs="Times New Roman"/>
        </w:rPr>
        <w:t xml:space="preserve"> it covers two cycles</w:t>
      </w:r>
      <w:r w:rsidRPr="00BF4D0A" w:rsidR="00435210">
        <w:rPr>
          <w:rFonts w:ascii="Times New Roman" w:hAnsi="Times New Roman" w:cs="Times New Roman"/>
        </w:rPr>
        <w:t xml:space="preserve"> of the activities which occur</w:t>
      </w:r>
      <w:r w:rsidRPr="00BF4D0A" w:rsidR="00EA23F3">
        <w:rPr>
          <w:rFonts w:ascii="Times New Roman" w:hAnsi="Times New Roman" w:cs="Times New Roman"/>
        </w:rPr>
        <w:t xml:space="preserve"> least frequently,</w:t>
      </w:r>
      <w:r w:rsidRPr="00BF4D0A" w:rsidR="00435210">
        <w:rPr>
          <w:rFonts w:ascii="Times New Roman" w:hAnsi="Times New Roman" w:cs="Times New Roman"/>
        </w:rPr>
        <w:t xml:space="preserve"> every five years.</w:t>
      </w:r>
      <w:r w:rsidRPr="00BF4D0A" w:rsidR="00691603">
        <w:rPr>
          <w:rFonts w:ascii="Times New Roman" w:hAnsi="Times New Roman" w:cs="Times New Roman"/>
        </w:rPr>
        <w:t xml:space="preserve"> Total </w:t>
      </w:r>
      <w:r w:rsidRPr="00BF4D0A" w:rsidR="00EA23F3">
        <w:rPr>
          <w:rFonts w:ascii="Times New Roman" w:hAnsi="Times New Roman" w:cs="Times New Roman"/>
        </w:rPr>
        <w:t xml:space="preserve">estimated </w:t>
      </w:r>
      <w:r w:rsidRPr="00BF4D0A" w:rsidR="00691603">
        <w:rPr>
          <w:rFonts w:ascii="Times New Roman" w:hAnsi="Times New Roman" w:cs="Times New Roman"/>
        </w:rPr>
        <w:t xml:space="preserve">costs are developed by applying the </w:t>
      </w:r>
      <w:r w:rsidRPr="00BF4D0A" w:rsidR="008441BA">
        <w:rPr>
          <w:rFonts w:ascii="Times New Roman" w:hAnsi="Times New Roman" w:cs="Times New Roman"/>
        </w:rPr>
        <w:t xml:space="preserve">estimated </w:t>
      </w:r>
      <w:r w:rsidRPr="00BF4D0A" w:rsidR="00691603">
        <w:rPr>
          <w:rFonts w:ascii="Times New Roman" w:hAnsi="Times New Roman" w:cs="Times New Roman"/>
        </w:rPr>
        <w:t xml:space="preserve">unit costs discussed in Chapter 4 to the </w:t>
      </w:r>
      <w:r w:rsidRPr="00BF4D0A" w:rsidR="00395E92">
        <w:rPr>
          <w:rFonts w:ascii="Times New Roman" w:hAnsi="Times New Roman" w:cs="Times New Roman"/>
        </w:rPr>
        <w:t xml:space="preserve">universe of </w:t>
      </w:r>
      <w:r w:rsidRPr="00BF4D0A" w:rsidR="00A83261">
        <w:rPr>
          <w:rFonts w:ascii="Times New Roman" w:hAnsi="Times New Roman" w:cs="Times New Roman"/>
        </w:rPr>
        <w:t xml:space="preserve">affected </w:t>
      </w:r>
      <w:r w:rsidRPr="00BF4D0A" w:rsidR="00395E92">
        <w:rPr>
          <w:rFonts w:ascii="Times New Roman" w:hAnsi="Times New Roman" w:cs="Times New Roman"/>
        </w:rPr>
        <w:t>facilities</w:t>
      </w:r>
      <w:r w:rsidRPr="00BF4D0A" w:rsidR="00A83261">
        <w:rPr>
          <w:rFonts w:ascii="Times New Roman" w:hAnsi="Times New Roman" w:cs="Times New Roman"/>
        </w:rPr>
        <w:t xml:space="preserve"> </w:t>
      </w:r>
      <w:r w:rsidRPr="00BF4D0A" w:rsidR="00395E92">
        <w:rPr>
          <w:rFonts w:ascii="Times New Roman" w:hAnsi="Times New Roman" w:cs="Times New Roman"/>
        </w:rPr>
        <w:t>presented</w:t>
      </w:r>
      <w:r w:rsidRPr="00BF4D0A" w:rsidR="00A83261">
        <w:rPr>
          <w:rFonts w:ascii="Times New Roman" w:hAnsi="Times New Roman" w:cs="Times New Roman"/>
        </w:rPr>
        <w:t xml:space="preserve"> in Chapter 3.</w:t>
      </w:r>
    </w:p>
    <w:p w:rsidR="00576F93" w:rsidP="00576F93" w:rsidRDefault="00576F93" w14:paraId="162DFD16" w14:textId="77777777">
      <w:pPr>
        <w:spacing w:after="0" w:line="240" w:lineRule="auto"/>
        <w:ind w:right="389" w:firstLine="360"/>
        <w:rPr>
          <w:rFonts w:ascii="Times New Roman" w:hAnsi="Times New Roman" w:cs="Times New Roman"/>
        </w:rPr>
      </w:pPr>
    </w:p>
    <w:p w:rsidRPr="00BF4D0A" w:rsidR="00435210" w:rsidP="00576F93" w:rsidRDefault="00435210" w14:paraId="476192DA" w14:textId="77777777">
      <w:pPr>
        <w:spacing w:after="0" w:line="240" w:lineRule="auto"/>
        <w:ind w:right="389" w:firstLine="360"/>
        <w:rPr>
          <w:rFonts w:ascii="Times New Roman" w:hAnsi="Times New Roman" w:cs="Times New Roman"/>
        </w:rPr>
      </w:pPr>
      <w:r w:rsidRPr="00BF4D0A">
        <w:rPr>
          <w:rFonts w:ascii="Times New Roman" w:hAnsi="Times New Roman" w:cs="Times New Roman"/>
        </w:rPr>
        <w:t>This chapter is organized as follows:</w:t>
      </w:r>
    </w:p>
    <w:p w:rsidRPr="00BF4D0A" w:rsidR="00435210" w:rsidP="00576F93" w:rsidRDefault="00435210" w14:paraId="3F02FAB5" w14:textId="77777777">
      <w:pPr>
        <w:numPr>
          <w:ilvl w:val="0"/>
          <w:numId w:val="5"/>
        </w:numPr>
        <w:spacing w:after="0" w:line="240" w:lineRule="auto"/>
        <w:rPr>
          <w:rFonts w:ascii="Times New Roman" w:hAnsi="Times New Roman" w:cs="Times New Roman"/>
        </w:rPr>
      </w:pPr>
      <w:r w:rsidRPr="00BF4D0A">
        <w:rPr>
          <w:rFonts w:ascii="Times New Roman" w:hAnsi="Times New Roman" w:cs="Times New Roman"/>
        </w:rPr>
        <w:t>Section 5.1 presents the broad analytical assumptions used in the analysis focusing primarily on the annual frequency of rule provision activities.</w:t>
      </w:r>
    </w:p>
    <w:p w:rsidRPr="00BF4D0A" w:rsidR="00435210" w:rsidP="00576F93" w:rsidRDefault="00435210" w14:paraId="7058D734" w14:textId="69DDCA76">
      <w:pPr>
        <w:numPr>
          <w:ilvl w:val="0"/>
          <w:numId w:val="5"/>
        </w:numPr>
        <w:spacing w:after="0" w:line="240" w:lineRule="auto"/>
        <w:rPr>
          <w:rFonts w:ascii="Times New Roman" w:hAnsi="Times New Roman" w:cs="Times New Roman"/>
        </w:rPr>
      </w:pPr>
      <w:r w:rsidRPr="00BF4D0A">
        <w:rPr>
          <w:rFonts w:ascii="Times New Roman" w:hAnsi="Times New Roman" w:cs="Times New Roman"/>
        </w:rPr>
        <w:t xml:space="preserve">Section 5.2 </w:t>
      </w:r>
      <w:r w:rsidRPr="00BF4D0A" w:rsidR="008441BA">
        <w:rPr>
          <w:rFonts w:ascii="Times New Roman" w:hAnsi="Times New Roman" w:cs="Times New Roman"/>
        </w:rPr>
        <w:t>presents</w:t>
      </w:r>
      <w:r w:rsidRPr="00BF4D0A">
        <w:rPr>
          <w:rFonts w:ascii="Times New Roman" w:hAnsi="Times New Roman" w:cs="Times New Roman"/>
        </w:rPr>
        <w:t xml:space="preserve"> the </w:t>
      </w:r>
      <w:r w:rsidRPr="00BF4D0A" w:rsidR="00584894">
        <w:rPr>
          <w:rFonts w:ascii="Times New Roman" w:hAnsi="Times New Roman" w:cs="Times New Roman"/>
        </w:rPr>
        <w:t xml:space="preserve">estimated </w:t>
      </w:r>
      <w:r w:rsidRPr="00BF4D0A">
        <w:rPr>
          <w:rFonts w:ascii="Times New Roman" w:hAnsi="Times New Roman" w:cs="Times New Roman"/>
        </w:rPr>
        <w:t>rule familiarization costs.</w:t>
      </w:r>
    </w:p>
    <w:p w:rsidRPr="00BF4D0A" w:rsidR="00200686" w:rsidP="00576F93" w:rsidRDefault="00200686" w14:paraId="798FD42A" w14:textId="1F45CAB3">
      <w:pPr>
        <w:numPr>
          <w:ilvl w:val="0"/>
          <w:numId w:val="5"/>
        </w:numPr>
        <w:spacing w:after="0" w:line="240" w:lineRule="auto"/>
        <w:rPr>
          <w:rFonts w:ascii="Times New Roman" w:hAnsi="Times New Roman" w:cs="Times New Roman"/>
        </w:rPr>
      </w:pPr>
      <w:r w:rsidRPr="00BF4D0A">
        <w:rPr>
          <w:rFonts w:ascii="Times New Roman" w:hAnsi="Times New Roman" w:cs="Times New Roman"/>
        </w:rPr>
        <w:t>Section 5.3 describes the</w:t>
      </w:r>
      <w:r w:rsidRPr="00BF4D0A" w:rsidR="00584894">
        <w:rPr>
          <w:rFonts w:ascii="Times New Roman" w:hAnsi="Times New Roman" w:cs="Times New Roman"/>
        </w:rPr>
        <w:t xml:space="preserve"> estimated</w:t>
      </w:r>
      <w:r w:rsidRPr="00BF4D0A">
        <w:rPr>
          <w:rFonts w:ascii="Times New Roman" w:hAnsi="Times New Roman" w:cs="Times New Roman"/>
        </w:rPr>
        <w:t xml:space="preserve"> </w:t>
      </w:r>
      <w:r w:rsidRPr="00BF4D0A" w:rsidR="00584894">
        <w:rPr>
          <w:rFonts w:ascii="Times New Roman" w:hAnsi="Times New Roman" w:cs="Times New Roman"/>
        </w:rPr>
        <w:t xml:space="preserve">total </w:t>
      </w:r>
      <w:r w:rsidRPr="00BF4D0A">
        <w:rPr>
          <w:rFonts w:ascii="Times New Roman" w:hAnsi="Times New Roman" w:cs="Times New Roman"/>
        </w:rPr>
        <w:t xml:space="preserve">costs for </w:t>
      </w:r>
      <w:r w:rsidR="00351B42">
        <w:rPr>
          <w:rFonts w:ascii="Times New Roman" w:hAnsi="Times New Roman" w:cs="Times New Roman"/>
        </w:rPr>
        <w:t>new prevention</w:t>
      </w:r>
      <w:r w:rsidR="00064A3A">
        <w:rPr>
          <w:rFonts w:ascii="Times New Roman" w:hAnsi="Times New Roman" w:cs="Times New Roman"/>
        </w:rPr>
        <w:t xml:space="preserve"> program</w:t>
      </w:r>
      <w:r w:rsidR="00351B42">
        <w:rPr>
          <w:rFonts w:ascii="Times New Roman" w:hAnsi="Times New Roman" w:cs="Times New Roman"/>
        </w:rPr>
        <w:t xml:space="preserve"> rule provisions, including </w:t>
      </w:r>
      <w:r w:rsidRPr="00BF4D0A" w:rsidR="00B7091A">
        <w:rPr>
          <w:rFonts w:ascii="Times New Roman" w:hAnsi="Times New Roman" w:cs="Times New Roman"/>
        </w:rPr>
        <w:t>STAA</w:t>
      </w:r>
      <w:r w:rsidR="00B7091A">
        <w:rPr>
          <w:rFonts w:ascii="Times New Roman" w:hAnsi="Times New Roman" w:cs="Times New Roman"/>
        </w:rPr>
        <w:t xml:space="preserve">, root cause analysis, </w:t>
      </w:r>
      <w:r w:rsidRPr="00BF4D0A" w:rsidR="00B7091A">
        <w:rPr>
          <w:rFonts w:ascii="Times New Roman" w:hAnsi="Times New Roman" w:cs="Times New Roman"/>
        </w:rPr>
        <w:t xml:space="preserve">third-party </w:t>
      </w:r>
      <w:proofErr w:type="gramStart"/>
      <w:r w:rsidRPr="00BF4D0A" w:rsidR="00B7091A">
        <w:rPr>
          <w:rFonts w:ascii="Times New Roman" w:hAnsi="Times New Roman" w:cs="Times New Roman"/>
        </w:rPr>
        <w:t>audits</w:t>
      </w:r>
      <w:proofErr w:type="gramEnd"/>
      <w:r w:rsidRPr="00BF4D0A">
        <w:rPr>
          <w:rFonts w:ascii="Times New Roman" w:hAnsi="Times New Roman" w:cs="Times New Roman"/>
        </w:rPr>
        <w:t xml:space="preserve"> and </w:t>
      </w:r>
      <w:r w:rsidR="00B7091A">
        <w:rPr>
          <w:rFonts w:ascii="Times New Roman" w:hAnsi="Times New Roman" w:cs="Times New Roman"/>
        </w:rPr>
        <w:t xml:space="preserve">the </w:t>
      </w:r>
      <w:r w:rsidRPr="00BF4D0A" w:rsidR="008441BA">
        <w:rPr>
          <w:rFonts w:ascii="Times New Roman" w:hAnsi="Times New Roman" w:cs="Times New Roman"/>
        </w:rPr>
        <w:t>employee participation plan</w:t>
      </w:r>
      <w:r w:rsidRPr="00BF4D0A">
        <w:rPr>
          <w:rFonts w:ascii="Times New Roman" w:hAnsi="Times New Roman" w:cs="Times New Roman"/>
        </w:rPr>
        <w:t>.</w:t>
      </w:r>
    </w:p>
    <w:p w:rsidRPr="00BF4D0A" w:rsidR="00200686" w:rsidP="00576F93" w:rsidRDefault="00200686" w14:paraId="1DCB41E7" w14:textId="194FC958">
      <w:pPr>
        <w:numPr>
          <w:ilvl w:val="0"/>
          <w:numId w:val="5"/>
        </w:numPr>
        <w:spacing w:after="0" w:line="240" w:lineRule="auto"/>
        <w:rPr>
          <w:rFonts w:ascii="Times New Roman" w:hAnsi="Times New Roman" w:cs="Times New Roman"/>
        </w:rPr>
      </w:pPr>
      <w:r w:rsidRPr="00BF4D0A">
        <w:rPr>
          <w:rFonts w:ascii="Times New Roman" w:hAnsi="Times New Roman" w:cs="Times New Roman"/>
        </w:rPr>
        <w:t xml:space="preserve">Section 5.4 describes the </w:t>
      </w:r>
      <w:r w:rsidRPr="00BF4D0A" w:rsidR="00584894">
        <w:rPr>
          <w:rFonts w:ascii="Times New Roman" w:hAnsi="Times New Roman" w:cs="Times New Roman"/>
        </w:rPr>
        <w:t xml:space="preserve">estimated </w:t>
      </w:r>
      <w:r w:rsidRPr="00BF4D0A">
        <w:rPr>
          <w:rFonts w:ascii="Times New Roman" w:hAnsi="Times New Roman" w:cs="Times New Roman"/>
        </w:rPr>
        <w:t>total costs associated with the</w:t>
      </w:r>
      <w:r w:rsidR="00351B42">
        <w:rPr>
          <w:rFonts w:ascii="Times New Roman" w:hAnsi="Times New Roman" w:cs="Times New Roman"/>
        </w:rPr>
        <w:t xml:space="preserve"> emergency response</w:t>
      </w:r>
      <w:r w:rsidRPr="00BF4D0A">
        <w:rPr>
          <w:rFonts w:ascii="Times New Roman" w:hAnsi="Times New Roman" w:cs="Times New Roman"/>
        </w:rPr>
        <w:t xml:space="preserve"> proposed </w:t>
      </w:r>
      <w:r w:rsidR="00351B42">
        <w:rPr>
          <w:rFonts w:ascii="Times New Roman" w:hAnsi="Times New Roman" w:cs="Times New Roman"/>
        </w:rPr>
        <w:t>rule provisions, including</w:t>
      </w:r>
      <w:r w:rsidR="00B7091A">
        <w:rPr>
          <w:rFonts w:ascii="Times New Roman" w:hAnsi="Times New Roman" w:cs="Times New Roman"/>
        </w:rPr>
        <w:t xml:space="preserve"> </w:t>
      </w:r>
      <w:r w:rsidRPr="00BF4D0A" w:rsidR="00B7091A">
        <w:rPr>
          <w:rFonts w:ascii="Times New Roman" w:hAnsi="Times New Roman" w:cs="Times New Roman"/>
        </w:rPr>
        <w:t>emergency backup power</w:t>
      </w:r>
      <w:r w:rsidR="00351B42">
        <w:rPr>
          <w:rFonts w:ascii="Times New Roman" w:hAnsi="Times New Roman" w:cs="Times New Roman"/>
        </w:rPr>
        <w:t xml:space="preserve"> and </w:t>
      </w:r>
      <w:r w:rsidRPr="00BF4D0A" w:rsidR="00351B42">
        <w:rPr>
          <w:rFonts w:ascii="Times New Roman" w:hAnsi="Times New Roman" w:cs="Times New Roman"/>
        </w:rPr>
        <w:t>community notification system</w:t>
      </w:r>
      <w:r w:rsidR="00351B42">
        <w:rPr>
          <w:rFonts w:ascii="Times New Roman" w:hAnsi="Times New Roman" w:cs="Times New Roman"/>
        </w:rPr>
        <w:t>.</w:t>
      </w:r>
    </w:p>
    <w:p w:rsidRPr="00BF4D0A" w:rsidR="00200686" w:rsidP="00576F93" w:rsidRDefault="00200686" w14:paraId="19ABEB19" w14:textId="1EAC0D49">
      <w:pPr>
        <w:numPr>
          <w:ilvl w:val="0"/>
          <w:numId w:val="5"/>
        </w:numPr>
        <w:spacing w:after="0" w:line="240" w:lineRule="auto"/>
        <w:rPr>
          <w:rFonts w:ascii="Times New Roman" w:hAnsi="Times New Roman" w:cs="Times New Roman"/>
        </w:rPr>
      </w:pPr>
      <w:r w:rsidRPr="00BF4D0A">
        <w:rPr>
          <w:rFonts w:ascii="Times New Roman" w:hAnsi="Times New Roman" w:cs="Times New Roman"/>
        </w:rPr>
        <w:t>Section 5.5 describes the</w:t>
      </w:r>
      <w:r w:rsidRPr="00BF4D0A" w:rsidR="00F158B9">
        <w:rPr>
          <w:rFonts w:ascii="Times New Roman" w:hAnsi="Times New Roman" w:cs="Times New Roman"/>
        </w:rPr>
        <w:t xml:space="preserve"> estimated</w:t>
      </w:r>
      <w:r w:rsidRPr="00BF4D0A">
        <w:rPr>
          <w:rFonts w:ascii="Times New Roman" w:hAnsi="Times New Roman" w:cs="Times New Roman"/>
        </w:rPr>
        <w:t xml:space="preserve"> total costs associated with the proposed provision for information </w:t>
      </w:r>
      <w:r w:rsidR="00351B42">
        <w:rPr>
          <w:rFonts w:ascii="Times New Roman" w:hAnsi="Times New Roman" w:cs="Times New Roman"/>
        </w:rPr>
        <w:t xml:space="preserve">availability. </w:t>
      </w:r>
    </w:p>
    <w:p w:rsidRPr="00BF4D0A" w:rsidR="00435210" w:rsidP="00576F93" w:rsidRDefault="00200686" w14:paraId="679AE36C" w14:textId="12106E8F">
      <w:pPr>
        <w:numPr>
          <w:ilvl w:val="0"/>
          <w:numId w:val="5"/>
        </w:numPr>
        <w:spacing w:after="0" w:line="240" w:lineRule="auto"/>
        <w:rPr>
          <w:rFonts w:ascii="Times New Roman" w:hAnsi="Times New Roman" w:cs="Times New Roman"/>
        </w:rPr>
      </w:pPr>
      <w:r w:rsidRPr="00BF4D0A">
        <w:rPr>
          <w:rFonts w:ascii="Times New Roman" w:hAnsi="Times New Roman" w:cs="Times New Roman"/>
        </w:rPr>
        <w:t xml:space="preserve">Section 5.6 </w:t>
      </w:r>
      <w:r w:rsidRPr="00BF4D0A" w:rsidR="000858D7">
        <w:rPr>
          <w:rFonts w:ascii="Times New Roman" w:hAnsi="Times New Roman" w:cs="Times New Roman"/>
        </w:rPr>
        <w:t xml:space="preserve">discusses uncertainties </w:t>
      </w:r>
      <w:r w:rsidR="00BA6F74">
        <w:rPr>
          <w:rFonts w:ascii="Times New Roman" w:hAnsi="Times New Roman" w:cs="Times New Roman"/>
        </w:rPr>
        <w:t xml:space="preserve">associated </w:t>
      </w:r>
      <w:r w:rsidRPr="00BF4D0A" w:rsidR="000858D7">
        <w:rPr>
          <w:rFonts w:ascii="Times New Roman" w:hAnsi="Times New Roman" w:cs="Times New Roman"/>
        </w:rPr>
        <w:t xml:space="preserve">with </w:t>
      </w:r>
      <w:r w:rsidR="00BA6F74">
        <w:rPr>
          <w:rFonts w:ascii="Times New Roman" w:hAnsi="Times New Roman" w:cs="Times New Roman"/>
        </w:rPr>
        <w:t xml:space="preserve">the </w:t>
      </w:r>
      <w:r w:rsidRPr="00BF4D0A" w:rsidR="000858D7">
        <w:rPr>
          <w:rFonts w:ascii="Times New Roman" w:hAnsi="Times New Roman" w:cs="Times New Roman"/>
        </w:rPr>
        <w:t>cost estimates</w:t>
      </w:r>
      <w:r w:rsidRPr="00BF4D0A">
        <w:rPr>
          <w:rFonts w:ascii="Times New Roman" w:hAnsi="Times New Roman" w:cs="Times New Roman"/>
        </w:rPr>
        <w:t>.</w:t>
      </w:r>
    </w:p>
    <w:p w:rsidRPr="00BF4D0A" w:rsidR="000858D7" w:rsidP="00576F93" w:rsidRDefault="000858D7" w14:paraId="751B0042" w14:textId="7F004D91">
      <w:pPr>
        <w:numPr>
          <w:ilvl w:val="0"/>
          <w:numId w:val="5"/>
        </w:numPr>
        <w:spacing w:after="0" w:line="240" w:lineRule="auto"/>
        <w:rPr>
          <w:rFonts w:ascii="Times New Roman" w:hAnsi="Times New Roman" w:cs="Times New Roman"/>
        </w:rPr>
      </w:pPr>
      <w:bookmarkStart w:name="5.1__Analytical_Assumptions" w:id="63"/>
      <w:bookmarkStart w:name="_bookmark70" w:id="64"/>
      <w:bookmarkEnd w:id="63"/>
      <w:bookmarkEnd w:id="64"/>
      <w:r w:rsidRPr="00BF4D0A">
        <w:rPr>
          <w:rFonts w:ascii="Times New Roman" w:hAnsi="Times New Roman" w:cs="Times New Roman"/>
        </w:rPr>
        <w:t xml:space="preserve">Section 5.7 shows the </w:t>
      </w:r>
      <w:r w:rsidRPr="00BF4D0A" w:rsidR="00C72DDA">
        <w:rPr>
          <w:rFonts w:ascii="Times New Roman" w:hAnsi="Times New Roman" w:cs="Times New Roman"/>
        </w:rPr>
        <w:t xml:space="preserve">estimated </w:t>
      </w:r>
      <w:r w:rsidRPr="00BF4D0A">
        <w:rPr>
          <w:rFonts w:ascii="Times New Roman" w:hAnsi="Times New Roman" w:cs="Times New Roman"/>
        </w:rPr>
        <w:t>total costs for each rule provision, as well as the</w:t>
      </w:r>
      <w:r w:rsidRPr="00BF4D0A" w:rsidR="00C72DDA">
        <w:rPr>
          <w:rFonts w:ascii="Times New Roman" w:hAnsi="Times New Roman" w:cs="Times New Roman"/>
        </w:rPr>
        <w:t xml:space="preserve"> estimated</w:t>
      </w:r>
      <w:r w:rsidRPr="00BF4D0A">
        <w:rPr>
          <w:rFonts w:ascii="Times New Roman" w:hAnsi="Times New Roman" w:cs="Times New Roman"/>
        </w:rPr>
        <w:t xml:space="preserve"> total cost for the proposed rule.</w:t>
      </w:r>
    </w:p>
    <w:p w:rsidRPr="00BF4D0A" w:rsidR="00C31776" w:rsidP="00576F93" w:rsidRDefault="00C31776" w14:paraId="7D3E58D7" w14:textId="77777777">
      <w:pPr>
        <w:widowControl w:val="0"/>
        <w:tabs>
          <w:tab w:val="left" w:pos="431"/>
        </w:tabs>
        <w:autoSpaceDE w:val="0"/>
        <w:autoSpaceDN w:val="0"/>
        <w:spacing w:after="0" w:line="240" w:lineRule="auto"/>
        <w:ind w:left="994"/>
        <w:rPr>
          <w:rFonts w:ascii="Times New Roman" w:hAnsi="Times New Roman" w:cs="Times New Roman"/>
          <w:spacing w:val="2"/>
          <w:w w:val="105"/>
        </w:rPr>
      </w:pPr>
    </w:p>
    <w:p w:rsidRPr="00BF4D0A" w:rsidR="00435210" w:rsidP="00813745" w:rsidRDefault="000409BE" w14:paraId="3C139966" w14:textId="1A61708B">
      <w:pPr>
        <w:pStyle w:val="Heading2"/>
      </w:pPr>
      <w:bookmarkStart w:name="_Toc98856220" w:id="65"/>
      <w:bookmarkStart w:name="_Toc110502751" w:id="66"/>
      <w:r w:rsidRPr="00BF4D0A">
        <w:t xml:space="preserve">5.1 </w:t>
      </w:r>
      <w:r w:rsidRPr="00BF4D0A" w:rsidR="00435210">
        <w:t>Analytical</w:t>
      </w:r>
      <w:r w:rsidRPr="00BF4D0A" w:rsidR="00435210">
        <w:rPr>
          <w:spacing w:val="-14"/>
        </w:rPr>
        <w:t xml:space="preserve"> </w:t>
      </w:r>
      <w:r w:rsidRPr="00BF4D0A" w:rsidR="00435210">
        <w:t>Assumptions</w:t>
      </w:r>
      <w:bookmarkEnd w:id="65"/>
      <w:bookmarkEnd w:id="66"/>
    </w:p>
    <w:p w:rsidRPr="00576F93" w:rsidR="00435210" w:rsidP="00576F93" w:rsidRDefault="00435210" w14:paraId="56F0BEDC" w14:textId="151575B6">
      <w:pPr>
        <w:spacing w:after="0" w:line="240" w:lineRule="auto"/>
        <w:rPr>
          <w:rFonts w:ascii="Times New Roman" w:hAnsi="Times New Roman" w:cs="Times New Roman"/>
          <w:i/>
        </w:rPr>
      </w:pPr>
      <w:r w:rsidRPr="00576F93">
        <w:rPr>
          <w:rFonts w:ascii="Times New Roman" w:hAnsi="Times New Roman" w:cs="Times New Roman"/>
          <w:i/>
        </w:rPr>
        <w:t>Annual Frequency</w:t>
      </w:r>
    </w:p>
    <w:p w:rsidRPr="00BF4D0A" w:rsidR="00B22C13" w:rsidP="00576F93" w:rsidRDefault="00435210" w14:paraId="1E81F96B" w14:textId="670BDFFB">
      <w:pPr>
        <w:spacing w:after="0" w:line="240" w:lineRule="auto"/>
        <w:ind w:firstLine="720"/>
        <w:rPr>
          <w:rFonts w:ascii="Times New Roman" w:hAnsi="Times New Roman" w:cs="Times New Roman"/>
        </w:rPr>
      </w:pPr>
      <w:r w:rsidRPr="00BF4D0A">
        <w:rPr>
          <w:rFonts w:ascii="Times New Roman" w:hAnsi="Times New Roman" w:cs="Times New Roman"/>
        </w:rPr>
        <w:t xml:space="preserve">The analysis generally divided total costs into initial year costs and ongoing costs. For provisions in which the activity occurs in </w:t>
      </w:r>
      <w:r w:rsidRPr="00BF4D0A" w:rsidR="00BC2381">
        <w:rPr>
          <w:rFonts w:ascii="Times New Roman" w:hAnsi="Times New Roman" w:cs="Times New Roman"/>
        </w:rPr>
        <w:t>multiple-</w:t>
      </w:r>
      <w:r w:rsidRPr="00BF4D0A">
        <w:rPr>
          <w:rFonts w:ascii="Times New Roman" w:hAnsi="Times New Roman" w:cs="Times New Roman"/>
        </w:rPr>
        <w:t xml:space="preserve">year increments, the annual frequency is a fraction representing </w:t>
      </w:r>
      <w:r w:rsidRPr="00BF4D0A" w:rsidR="00BC2381">
        <w:rPr>
          <w:rFonts w:ascii="Times New Roman" w:hAnsi="Times New Roman" w:cs="Times New Roman"/>
        </w:rPr>
        <w:t>the</w:t>
      </w:r>
      <w:r w:rsidRPr="00BF4D0A">
        <w:rPr>
          <w:rFonts w:ascii="Times New Roman" w:hAnsi="Times New Roman" w:cs="Times New Roman"/>
        </w:rPr>
        <w:t xml:space="preserve"> portion of facilities </w:t>
      </w:r>
      <w:r w:rsidRPr="00BF4D0A" w:rsidR="002752D4">
        <w:rPr>
          <w:rFonts w:ascii="Times New Roman" w:hAnsi="Times New Roman" w:cs="Times New Roman"/>
        </w:rPr>
        <w:t>assumed</w:t>
      </w:r>
      <w:r w:rsidRPr="00BF4D0A">
        <w:rPr>
          <w:rFonts w:ascii="Times New Roman" w:hAnsi="Times New Roman" w:cs="Times New Roman"/>
        </w:rPr>
        <w:t xml:space="preserve"> </w:t>
      </w:r>
      <w:r w:rsidRPr="00BF4D0A" w:rsidR="00BC2381">
        <w:rPr>
          <w:rFonts w:ascii="Times New Roman" w:hAnsi="Times New Roman" w:cs="Times New Roman"/>
        </w:rPr>
        <w:t>to i</w:t>
      </w:r>
      <w:r w:rsidRPr="00BF4D0A">
        <w:rPr>
          <w:rFonts w:ascii="Times New Roman" w:hAnsi="Times New Roman" w:cs="Times New Roman"/>
        </w:rPr>
        <w:t xml:space="preserve">mplement the provision in any given year. For example, if an activity is expected to </w:t>
      </w:r>
      <w:r w:rsidRPr="00BF4D0A" w:rsidR="002752D4">
        <w:rPr>
          <w:rFonts w:ascii="Times New Roman" w:hAnsi="Times New Roman" w:cs="Times New Roman"/>
        </w:rPr>
        <w:t>be conducted</w:t>
      </w:r>
      <w:r w:rsidRPr="00BF4D0A">
        <w:rPr>
          <w:rFonts w:ascii="Times New Roman" w:hAnsi="Times New Roman" w:cs="Times New Roman"/>
        </w:rPr>
        <w:t xml:space="preserve"> once every </w:t>
      </w:r>
      <w:r w:rsidRPr="00BF4D0A" w:rsidR="006647B0">
        <w:rPr>
          <w:rFonts w:ascii="Times New Roman" w:hAnsi="Times New Roman" w:cs="Times New Roman"/>
        </w:rPr>
        <w:t>five years</w:t>
      </w:r>
      <w:r w:rsidRPr="00BF4D0A" w:rsidR="00B22C13">
        <w:rPr>
          <w:rFonts w:ascii="Times New Roman" w:hAnsi="Times New Roman" w:cs="Times New Roman"/>
        </w:rPr>
        <w:t>, t</w:t>
      </w:r>
      <w:r w:rsidRPr="00BF4D0A">
        <w:rPr>
          <w:rFonts w:ascii="Times New Roman" w:hAnsi="Times New Roman" w:cs="Times New Roman"/>
        </w:rPr>
        <w:t xml:space="preserve">he annual frequency would be 0.2, </w:t>
      </w:r>
      <w:r w:rsidRPr="00BF4D0A" w:rsidR="002C4310">
        <w:rPr>
          <w:rFonts w:ascii="Times New Roman" w:hAnsi="Times New Roman" w:cs="Times New Roman"/>
        </w:rPr>
        <w:t xml:space="preserve">with </w:t>
      </w:r>
      <w:r w:rsidRPr="00BF4D0A">
        <w:rPr>
          <w:rFonts w:ascii="Times New Roman" w:hAnsi="Times New Roman" w:cs="Times New Roman"/>
        </w:rPr>
        <w:t xml:space="preserve">20 percent of the applicable facilities </w:t>
      </w:r>
      <w:r w:rsidRPr="00BF4D0A" w:rsidR="002752D4">
        <w:rPr>
          <w:rFonts w:ascii="Times New Roman" w:hAnsi="Times New Roman" w:cs="Times New Roman"/>
        </w:rPr>
        <w:t>assumed to implement</w:t>
      </w:r>
      <w:r w:rsidRPr="00BF4D0A">
        <w:rPr>
          <w:rFonts w:ascii="Times New Roman" w:hAnsi="Times New Roman" w:cs="Times New Roman"/>
        </w:rPr>
        <w:t xml:space="preserve"> </w:t>
      </w:r>
      <w:r w:rsidRPr="00BF4D0A" w:rsidR="766A628D">
        <w:rPr>
          <w:rFonts w:ascii="Times New Roman" w:hAnsi="Times New Roman" w:cs="Times New Roman"/>
        </w:rPr>
        <w:t>the activity</w:t>
      </w:r>
      <w:r w:rsidRPr="00BF4D0A">
        <w:rPr>
          <w:rFonts w:ascii="Times New Roman" w:hAnsi="Times New Roman" w:cs="Times New Roman"/>
        </w:rPr>
        <w:t xml:space="preserve"> in any given year. The assumption that implementation would be distributed evenly across time may overstate the costs </w:t>
      </w:r>
      <w:r w:rsidRPr="00BF4D0A">
        <w:rPr>
          <w:rFonts w:ascii="Times New Roman" w:hAnsi="Times New Roman" w:cs="Times New Roman"/>
          <w:spacing w:val="2"/>
        </w:rPr>
        <w:t xml:space="preserve">for </w:t>
      </w:r>
      <w:r w:rsidRPr="00BF4D0A">
        <w:rPr>
          <w:rFonts w:ascii="Times New Roman" w:hAnsi="Times New Roman" w:cs="Times New Roman"/>
        </w:rPr>
        <w:t xml:space="preserve">some years and understate them </w:t>
      </w:r>
      <w:r w:rsidRPr="00BF4D0A">
        <w:rPr>
          <w:rFonts w:ascii="Times New Roman" w:hAnsi="Times New Roman" w:cs="Times New Roman"/>
          <w:spacing w:val="2"/>
        </w:rPr>
        <w:t xml:space="preserve">for </w:t>
      </w:r>
      <w:r w:rsidRPr="00BF4D0A">
        <w:rPr>
          <w:rFonts w:ascii="Times New Roman" w:hAnsi="Times New Roman" w:cs="Times New Roman"/>
        </w:rPr>
        <w:t xml:space="preserve">others. This </w:t>
      </w:r>
      <w:r w:rsidRPr="00BF4D0A">
        <w:rPr>
          <w:rFonts w:ascii="Times New Roman" w:hAnsi="Times New Roman" w:cs="Times New Roman"/>
          <w:spacing w:val="2"/>
        </w:rPr>
        <w:t xml:space="preserve">issue </w:t>
      </w:r>
      <w:r w:rsidRPr="00BF4D0A">
        <w:rPr>
          <w:rFonts w:ascii="Times New Roman" w:hAnsi="Times New Roman" w:cs="Times New Roman"/>
        </w:rPr>
        <w:t xml:space="preserve">primarily concerns the STAA and third-party audits. The STAA </w:t>
      </w:r>
      <w:r w:rsidRPr="00BF4D0A">
        <w:rPr>
          <w:rFonts w:ascii="Times New Roman" w:hAnsi="Times New Roman" w:cs="Times New Roman"/>
          <w:spacing w:val="4"/>
        </w:rPr>
        <w:t xml:space="preserve">is </w:t>
      </w:r>
      <w:r w:rsidRPr="00BF4D0A">
        <w:rPr>
          <w:rFonts w:ascii="Times New Roman" w:hAnsi="Times New Roman" w:cs="Times New Roman"/>
        </w:rPr>
        <w:t>part of the P</w:t>
      </w:r>
      <w:r w:rsidRPr="00BF4D0A" w:rsidR="002752D4">
        <w:rPr>
          <w:rFonts w:ascii="Times New Roman" w:hAnsi="Times New Roman" w:cs="Times New Roman"/>
        </w:rPr>
        <w:t>rocess Hazard Analysis (P</w:t>
      </w:r>
      <w:r w:rsidRPr="00BF4D0A">
        <w:rPr>
          <w:rFonts w:ascii="Times New Roman" w:hAnsi="Times New Roman" w:cs="Times New Roman"/>
        </w:rPr>
        <w:t>HA</w:t>
      </w:r>
      <w:r w:rsidRPr="00BF4D0A" w:rsidR="002752D4">
        <w:rPr>
          <w:rFonts w:ascii="Times New Roman" w:hAnsi="Times New Roman" w:cs="Times New Roman"/>
        </w:rPr>
        <w:t>)</w:t>
      </w:r>
      <w:r w:rsidRPr="00BF4D0A">
        <w:rPr>
          <w:rFonts w:ascii="Times New Roman" w:hAnsi="Times New Roman" w:cs="Times New Roman"/>
        </w:rPr>
        <w:t xml:space="preserve">, which must be updated </w:t>
      </w:r>
      <w:r w:rsidRPr="00BF4D0A">
        <w:rPr>
          <w:rFonts w:ascii="Times New Roman" w:hAnsi="Times New Roman" w:cs="Times New Roman"/>
          <w:spacing w:val="3"/>
        </w:rPr>
        <w:t xml:space="preserve">every </w:t>
      </w:r>
      <w:r w:rsidRPr="00BF4D0A" w:rsidR="006647B0">
        <w:rPr>
          <w:rFonts w:ascii="Times New Roman" w:hAnsi="Times New Roman" w:cs="Times New Roman"/>
        </w:rPr>
        <w:t>five years</w:t>
      </w:r>
      <w:r w:rsidRPr="00BF4D0A" w:rsidR="00B22C13">
        <w:rPr>
          <w:rFonts w:ascii="Times New Roman" w:hAnsi="Times New Roman" w:cs="Times New Roman"/>
        </w:rPr>
        <w:t xml:space="preserve"> or more frequently because of process or procedural changes, accidental releases, or information on risks that triggered an updated PHA or compliance audit.</w:t>
      </w:r>
    </w:p>
    <w:p w:rsidR="00576F93" w:rsidP="00576F93" w:rsidRDefault="00576F93" w14:paraId="7225B844" w14:textId="77777777">
      <w:pPr>
        <w:spacing w:after="0" w:line="240" w:lineRule="auto"/>
        <w:rPr>
          <w:rFonts w:ascii="Times New Roman" w:hAnsi="Times New Roman" w:cs="Times New Roman"/>
          <w:u w:val="single"/>
        </w:rPr>
      </w:pPr>
    </w:p>
    <w:p w:rsidRPr="00576F93" w:rsidR="00435210" w:rsidP="00576F93" w:rsidRDefault="00435210" w14:paraId="4AC0A475" w14:textId="77777777">
      <w:pPr>
        <w:spacing w:after="0" w:line="240" w:lineRule="auto"/>
        <w:rPr>
          <w:rFonts w:ascii="Times New Roman" w:hAnsi="Times New Roman" w:cs="Times New Roman"/>
          <w:i/>
        </w:rPr>
      </w:pPr>
      <w:r w:rsidRPr="00576F93">
        <w:rPr>
          <w:rFonts w:ascii="Times New Roman" w:hAnsi="Times New Roman" w:cs="Times New Roman"/>
          <w:i/>
        </w:rPr>
        <w:t>Initial and Ongoing Costs</w:t>
      </w:r>
    </w:p>
    <w:p w:rsidRPr="00BF4D0A" w:rsidR="00435210" w:rsidP="00576F93" w:rsidRDefault="003D2F8B" w14:paraId="3E1E3E7A" w14:textId="4016E2F2">
      <w:pPr>
        <w:spacing w:after="0" w:line="240" w:lineRule="auto"/>
        <w:ind w:firstLine="360"/>
        <w:rPr>
          <w:rFonts w:ascii="Times New Roman" w:hAnsi="Times New Roman" w:cs="Times New Roman"/>
        </w:rPr>
      </w:pPr>
      <w:r>
        <w:rPr>
          <w:rFonts w:ascii="Times New Roman" w:hAnsi="Times New Roman" w:cs="Times New Roman"/>
        </w:rPr>
        <w:tab/>
      </w:r>
      <w:r w:rsidRPr="00BF4D0A" w:rsidR="00021070">
        <w:rPr>
          <w:rFonts w:ascii="Times New Roman" w:hAnsi="Times New Roman" w:cs="Times New Roman"/>
        </w:rPr>
        <w:t>Ongoing costs differ from the initial costs only for rule familiarization (Section 5.2).</w:t>
      </w:r>
      <w:r w:rsidR="00576F93">
        <w:rPr>
          <w:rFonts w:ascii="Times New Roman" w:hAnsi="Times New Roman" w:cs="Times New Roman"/>
        </w:rPr>
        <w:t xml:space="preserve"> </w:t>
      </w:r>
      <w:r w:rsidRPr="00BF4D0A" w:rsidR="00435210">
        <w:rPr>
          <w:rFonts w:ascii="Times New Roman" w:hAnsi="Times New Roman" w:cs="Times New Roman"/>
        </w:rPr>
        <w:t>The analysis used an ongoing cost when costs for years 2</w:t>
      </w:r>
      <w:r w:rsidRPr="00BF4D0A" w:rsidR="00B818AD">
        <w:rPr>
          <w:rFonts w:ascii="Times New Roman" w:hAnsi="Times New Roman" w:cs="Times New Roman"/>
        </w:rPr>
        <w:t xml:space="preserve"> through </w:t>
      </w:r>
      <w:r w:rsidRPr="00BF4D0A" w:rsidR="00435210">
        <w:rPr>
          <w:rFonts w:ascii="Times New Roman" w:hAnsi="Times New Roman" w:cs="Times New Roman"/>
        </w:rPr>
        <w:t xml:space="preserve">10 were </w:t>
      </w:r>
      <w:r w:rsidRPr="00BF4D0A" w:rsidR="00F024FF">
        <w:rPr>
          <w:rFonts w:ascii="Times New Roman" w:hAnsi="Times New Roman" w:cs="Times New Roman"/>
        </w:rPr>
        <w:t xml:space="preserve">different from </w:t>
      </w:r>
      <w:r w:rsidRPr="00BF4D0A" w:rsidR="00435210">
        <w:rPr>
          <w:rFonts w:ascii="Times New Roman" w:hAnsi="Times New Roman" w:cs="Times New Roman"/>
        </w:rPr>
        <w:t>the initial cost components. If costs for years 2</w:t>
      </w:r>
      <w:r w:rsidRPr="00BF4D0A" w:rsidR="00B818AD">
        <w:rPr>
          <w:rFonts w:ascii="Times New Roman" w:hAnsi="Times New Roman" w:cs="Times New Roman"/>
        </w:rPr>
        <w:t xml:space="preserve"> through </w:t>
      </w:r>
      <w:r w:rsidRPr="00BF4D0A" w:rsidR="00435210">
        <w:rPr>
          <w:rFonts w:ascii="Times New Roman" w:hAnsi="Times New Roman" w:cs="Times New Roman"/>
        </w:rPr>
        <w:t xml:space="preserve">10 were the same as the initial year (with some variation based on the annual frequency), then multiplying the initial cost by the annual frequency accounted for any continuing costs. </w:t>
      </w:r>
    </w:p>
    <w:p w:rsidR="00576F93" w:rsidP="00576F93" w:rsidRDefault="00576F93" w14:paraId="0E2AD47D" w14:textId="77777777">
      <w:pPr>
        <w:spacing w:after="0" w:line="240" w:lineRule="auto"/>
        <w:rPr>
          <w:rFonts w:ascii="Times New Roman" w:hAnsi="Times New Roman" w:cs="Times New Roman"/>
          <w:u w:val="single"/>
        </w:rPr>
      </w:pPr>
    </w:p>
    <w:p w:rsidRPr="00576F93" w:rsidR="00435210" w:rsidP="00576F93" w:rsidRDefault="00435210" w14:paraId="70129D24" w14:textId="77777777">
      <w:pPr>
        <w:spacing w:after="0" w:line="240" w:lineRule="auto"/>
        <w:rPr>
          <w:rFonts w:ascii="Times New Roman" w:hAnsi="Times New Roman" w:cs="Times New Roman"/>
          <w:i/>
        </w:rPr>
      </w:pPr>
      <w:r w:rsidRPr="00576F93">
        <w:rPr>
          <w:rFonts w:ascii="Times New Roman" w:hAnsi="Times New Roman" w:cs="Times New Roman"/>
          <w:i/>
        </w:rPr>
        <w:t>Capital Costs</w:t>
      </w:r>
    </w:p>
    <w:p w:rsidRPr="00BF4D0A" w:rsidR="00435210" w:rsidP="00576F93" w:rsidRDefault="003D2F8B" w14:paraId="0A2DFEA3" w14:textId="6ADE8451">
      <w:pPr>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The analysis </w:t>
      </w:r>
      <w:r w:rsidRPr="00BF4D0A" w:rsidR="00A1214F">
        <w:rPr>
          <w:rFonts w:ascii="Times New Roman" w:hAnsi="Times New Roman" w:cs="Times New Roman"/>
          <w:spacing w:val="2"/>
        </w:rPr>
        <w:t xml:space="preserve">included </w:t>
      </w:r>
      <w:r w:rsidRPr="00BF4D0A" w:rsidR="008B14D4">
        <w:rPr>
          <w:rFonts w:ascii="Times New Roman" w:hAnsi="Times New Roman" w:cs="Times New Roman"/>
          <w:spacing w:val="2"/>
        </w:rPr>
        <w:t>the</w:t>
      </w:r>
      <w:r w:rsidRPr="00BF4D0A" w:rsidR="00435210">
        <w:rPr>
          <w:rFonts w:ascii="Times New Roman" w:hAnsi="Times New Roman" w:cs="Times New Roman"/>
          <w:spacing w:val="2"/>
        </w:rPr>
        <w:t xml:space="preserve"> </w:t>
      </w:r>
      <w:r w:rsidRPr="00BF4D0A" w:rsidR="00435210">
        <w:rPr>
          <w:rFonts w:ascii="Times New Roman" w:hAnsi="Times New Roman" w:cs="Times New Roman"/>
        </w:rPr>
        <w:t xml:space="preserve">capital cost </w:t>
      </w:r>
      <w:r w:rsidRPr="00BF4D0A" w:rsidR="007B29B4">
        <w:rPr>
          <w:rFonts w:ascii="Times New Roman" w:hAnsi="Times New Roman" w:cs="Times New Roman"/>
        </w:rPr>
        <w:t xml:space="preserve">associated with </w:t>
      </w:r>
      <w:r w:rsidRPr="00BF4D0A" w:rsidR="00B05535">
        <w:rPr>
          <w:rFonts w:ascii="Times New Roman" w:hAnsi="Times New Roman" w:cs="Times New Roman"/>
        </w:rPr>
        <w:t xml:space="preserve">acquiring a generator to provide backup power for </w:t>
      </w:r>
      <w:r w:rsidRPr="00BF4D0A" w:rsidR="00EC2FD4">
        <w:rPr>
          <w:rFonts w:ascii="Times New Roman" w:hAnsi="Times New Roman" w:cs="Times New Roman"/>
        </w:rPr>
        <w:t>perimeter monitoring.</w:t>
      </w:r>
      <w:r w:rsidRPr="00BF4D0A" w:rsidR="00435210">
        <w:rPr>
          <w:rFonts w:ascii="Times New Roman" w:hAnsi="Times New Roman" w:cs="Times New Roman"/>
        </w:rPr>
        <w:t xml:space="preserve"> The costs</w:t>
      </w:r>
      <w:r w:rsidRPr="00BF4D0A" w:rsidR="00435210">
        <w:rPr>
          <w:rFonts w:ascii="Times New Roman" w:hAnsi="Times New Roman" w:cs="Times New Roman"/>
          <w:spacing w:val="14"/>
        </w:rPr>
        <w:t xml:space="preserve"> </w:t>
      </w:r>
      <w:r w:rsidRPr="00BF4D0A" w:rsidR="00435210">
        <w:rPr>
          <w:rFonts w:ascii="Times New Roman" w:hAnsi="Times New Roman" w:cs="Times New Roman"/>
        </w:rPr>
        <w:t>of</w:t>
      </w:r>
      <w:r w:rsidRPr="00BF4D0A" w:rsidR="00435210">
        <w:rPr>
          <w:rFonts w:ascii="Times New Roman" w:hAnsi="Times New Roman" w:cs="Times New Roman"/>
          <w:spacing w:val="-1"/>
        </w:rPr>
        <w:t xml:space="preserve"> </w:t>
      </w:r>
      <w:r w:rsidRPr="00BF4D0A" w:rsidR="00435210">
        <w:rPr>
          <w:rFonts w:ascii="Times New Roman" w:hAnsi="Times New Roman" w:cs="Times New Roman"/>
          <w:spacing w:val="3"/>
        </w:rPr>
        <w:t>equipment</w:t>
      </w:r>
      <w:r w:rsidRPr="00BF4D0A" w:rsidR="00435210">
        <w:rPr>
          <w:rFonts w:ascii="Times New Roman" w:hAnsi="Times New Roman" w:cs="Times New Roman"/>
          <w:spacing w:val="-10"/>
        </w:rPr>
        <w:t xml:space="preserve"> </w:t>
      </w:r>
      <w:r w:rsidRPr="00BF4D0A" w:rsidR="00435210">
        <w:rPr>
          <w:rFonts w:ascii="Times New Roman" w:hAnsi="Times New Roman" w:cs="Times New Roman"/>
        </w:rPr>
        <w:t>purchased</w:t>
      </w:r>
      <w:r w:rsidRPr="00BF4D0A" w:rsidR="00435210">
        <w:rPr>
          <w:rFonts w:ascii="Times New Roman" w:hAnsi="Times New Roman" w:cs="Times New Roman"/>
          <w:spacing w:val="-7"/>
        </w:rPr>
        <w:t xml:space="preserve"> </w:t>
      </w:r>
      <w:r w:rsidRPr="00BF4D0A" w:rsidR="00435210">
        <w:rPr>
          <w:rFonts w:ascii="Times New Roman" w:hAnsi="Times New Roman" w:cs="Times New Roman"/>
          <w:spacing w:val="2"/>
        </w:rPr>
        <w:t>for</w:t>
      </w:r>
      <w:r w:rsidRPr="00BF4D0A" w:rsidR="00435210">
        <w:rPr>
          <w:rFonts w:ascii="Times New Roman" w:hAnsi="Times New Roman" w:cs="Times New Roman"/>
          <w:spacing w:val="-15"/>
        </w:rPr>
        <w:t xml:space="preserve"> </w:t>
      </w:r>
      <w:r w:rsidRPr="00BF4D0A" w:rsidR="00435210">
        <w:rPr>
          <w:rFonts w:ascii="Times New Roman" w:hAnsi="Times New Roman" w:cs="Times New Roman"/>
          <w:spacing w:val="2"/>
        </w:rPr>
        <w:t>facilities</w:t>
      </w:r>
      <w:r w:rsidRPr="00BF4D0A" w:rsidR="00435210">
        <w:rPr>
          <w:rFonts w:ascii="Times New Roman" w:hAnsi="Times New Roman" w:cs="Times New Roman"/>
          <w:spacing w:val="-6"/>
        </w:rPr>
        <w:t xml:space="preserve"> </w:t>
      </w:r>
      <w:r w:rsidRPr="00BF4D0A" w:rsidR="00837963">
        <w:rPr>
          <w:rFonts w:ascii="Times New Roman" w:hAnsi="Times New Roman" w:cs="Times New Roman"/>
          <w:spacing w:val="-3"/>
        </w:rPr>
        <w:t>required to implement backup power</w:t>
      </w:r>
      <w:r w:rsidRPr="00BF4D0A" w:rsidR="00D32BA7">
        <w:rPr>
          <w:rFonts w:ascii="Times New Roman" w:hAnsi="Times New Roman" w:cs="Times New Roman"/>
          <w:spacing w:val="-3"/>
        </w:rPr>
        <w:t xml:space="preserve"> are </w:t>
      </w:r>
      <w:r w:rsidRPr="00BF4D0A" w:rsidR="00435210">
        <w:rPr>
          <w:rFonts w:ascii="Times New Roman" w:hAnsi="Times New Roman" w:cs="Times New Roman"/>
          <w:spacing w:val="-3"/>
        </w:rPr>
        <w:t>not amortized</w:t>
      </w:r>
      <w:r w:rsidRPr="00BF4D0A" w:rsidR="00200686">
        <w:rPr>
          <w:rFonts w:ascii="Times New Roman" w:hAnsi="Times New Roman" w:cs="Times New Roman"/>
        </w:rPr>
        <w:t>.</w:t>
      </w:r>
      <w:r w:rsidRPr="00BF4D0A" w:rsidR="00435210">
        <w:rPr>
          <w:rFonts w:ascii="Times New Roman" w:hAnsi="Times New Roman" w:cs="Times New Roman"/>
          <w:spacing w:val="7"/>
        </w:rPr>
        <w:t xml:space="preserve"> </w:t>
      </w:r>
      <w:r w:rsidRPr="00BF4D0A" w:rsidR="00435210">
        <w:rPr>
          <w:rFonts w:ascii="Times New Roman" w:hAnsi="Times New Roman" w:cs="Times New Roman"/>
          <w:spacing w:val="-4"/>
        </w:rPr>
        <w:t xml:space="preserve">Although </w:t>
      </w:r>
      <w:r w:rsidRPr="00BF4D0A" w:rsidR="00435210">
        <w:rPr>
          <w:rFonts w:ascii="Times New Roman" w:hAnsi="Times New Roman" w:cs="Times New Roman"/>
          <w:spacing w:val="2"/>
        </w:rPr>
        <w:t xml:space="preserve">individual </w:t>
      </w:r>
      <w:r w:rsidRPr="00BF4D0A" w:rsidR="00435210">
        <w:rPr>
          <w:rFonts w:ascii="Times New Roman" w:hAnsi="Times New Roman" w:cs="Times New Roman"/>
        </w:rPr>
        <w:t xml:space="preserve">equipment </w:t>
      </w:r>
      <w:r w:rsidRPr="00BF4D0A" w:rsidR="00032DCD">
        <w:rPr>
          <w:rFonts w:ascii="Times New Roman" w:hAnsi="Times New Roman" w:cs="Times New Roman"/>
        </w:rPr>
        <w:t>items</w:t>
      </w:r>
      <w:r w:rsidRPr="00BF4D0A" w:rsidR="00435210">
        <w:rPr>
          <w:rFonts w:ascii="Times New Roman" w:hAnsi="Times New Roman" w:cs="Times New Roman"/>
        </w:rPr>
        <w:t xml:space="preserve"> </w:t>
      </w:r>
      <w:r w:rsidRPr="00BF4D0A" w:rsidR="00435210">
        <w:rPr>
          <w:rFonts w:ascii="Times New Roman" w:hAnsi="Times New Roman" w:cs="Times New Roman"/>
          <w:spacing w:val="-3"/>
        </w:rPr>
        <w:t xml:space="preserve">are </w:t>
      </w:r>
      <w:r w:rsidRPr="00BF4D0A" w:rsidR="00435210">
        <w:rPr>
          <w:rFonts w:ascii="Times New Roman" w:hAnsi="Times New Roman" w:cs="Times New Roman"/>
        </w:rPr>
        <w:t xml:space="preserve">relatively </w:t>
      </w:r>
      <w:r w:rsidRPr="00BF4D0A" w:rsidR="00435210">
        <w:rPr>
          <w:rFonts w:ascii="Times New Roman" w:hAnsi="Times New Roman" w:cs="Times New Roman"/>
          <w:spacing w:val="3"/>
        </w:rPr>
        <w:t xml:space="preserve">low </w:t>
      </w:r>
      <w:r w:rsidRPr="00BF4D0A" w:rsidR="00435210">
        <w:rPr>
          <w:rFonts w:ascii="Times New Roman" w:hAnsi="Times New Roman" w:cs="Times New Roman"/>
        </w:rPr>
        <w:t>cost, some facilities</w:t>
      </w:r>
      <w:r w:rsidRPr="00BF4D0A" w:rsidR="00F024FF">
        <w:rPr>
          <w:rFonts w:ascii="Times New Roman" w:hAnsi="Times New Roman" w:cs="Times New Roman"/>
        </w:rPr>
        <w:t xml:space="preserve"> may</w:t>
      </w:r>
      <w:r w:rsidRPr="00BF4D0A" w:rsidR="00435210">
        <w:rPr>
          <w:rFonts w:ascii="Times New Roman" w:hAnsi="Times New Roman" w:cs="Times New Roman"/>
        </w:rPr>
        <w:t xml:space="preserve"> choose to finance equipment purchases to spread the costs </w:t>
      </w:r>
      <w:r w:rsidRPr="00BF4D0A" w:rsidR="00435210">
        <w:rPr>
          <w:rFonts w:ascii="Times New Roman" w:hAnsi="Times New Roman" w:cs="Times New Roman"/>
          <w:spacing w:val="3"/>
        </w:rPr>
        <w:t xml:space="preserve">over </w:t>
      </w:r>
      <w:r w:rsidRPr="00BF4D0A" w:rsidR="00435210">
        <w:rPr>
          <w:rFonts w:ascii="Times New Roman" w:hAnsi="Times New Roman" w:cs="Times New Roman"/>
        </w:rPr>
        <w:t xml:space="preserve">several years, while others may treat them as an operating </w:t>
      </w:r>
      <w:r w:rsidRPr="00BF4D0A" w:rsidR="00435210">
        <w:rPr>
          <w:rFonts w:ascii="Times New Roman" w:hAnsi="Times New Roman" w:cs="Times New Roman"/>
          <w:spacing w:val="4"/>
        </w:rPr>
        <w:t xml:space="preserve">expense and </w:t>
      </w:r>
      <w:r w:rsidRPr="00BF4D0A" w:rsidR="00435210">
        <w:rPr>
          <w:rFonts w:ascii="Times New Roman" w:hAnsi="Times New Roman" w:cs="Times New Roman"/>
        </w:rPr>
        <w:t xml:space="preserve">pay </w:t>
      </w:r>
      <w:r w:rsidRPr="00BF4D0A" w:rsidR="00F024FF">
        <w:rPr>
          <w:rFonts w:ascii="Times New Roman" w:hAnsi="Times New Roman" w:cs="Times New Roman"/>
        </w:rPr>
        <w:t xml:space="preserve">them </w:t>
      </w:r>
      <w:r w:rsidRPr="00BF4D0A" w:rsidR="00435210">
        <w:rPr>
          <w:rFonts w:ascii="Times New Roman" w:hAnsi="Times New Roman" w:cs="Times New Roman"/>
          <w:spacing w:val="4"/>
        </w:rPr>
        <w:t xml:space="preserve">in </w:t>
      </w:r>
      <w:r w:rsidRPr="00BF4D0A" w:rsidR="00435210">
        <w:rPr>
          <w:rFonts w:ascii="Times New Roman" w:hAnsi="Times New Roman" w:cs="Times New Roman"/>
        </w:rPr>
        <w:t xml:space="preserve">a </w:t>
      </w:r>
      <w:r w:rsidRPr="00BF4D0A" w:rsidR="00435210">
        <w:rPr>
          <w:rFonts w:ascii="Times New Roman" w:hAnsi="Times New Roman" w:cs="Times New Roman"/>
          <w:spacing w:val="3"/>
        </w:rPr>
        <w:t xml:space="preserve">single </w:t>
      </w:r>
      <w:r w:rsidRPr="00BF4D0A" w:rsidR="00435210">
        <w:rPr>
          <w:rFonts w:ascii="Times New Roman" w:hAnsi="Times New Roman" w:cs="Times New Roman"/>
        </w:rPr>
        <w:t xml:space="preserve">year. By not amortizing equipment costs </w:t>
      </w:r>
      <w:r w:rsidRPr="00BF4D0A" w:rsidR="00435210">
        <w:rPr>
          <w:rFonts w:ascii="Times New Roman" w:hAnsi="Times New Roman" w:cs="Times New Roman"/>
          <w:spacing w:val="4"/>
        </w:rPr>
        <w:t xml:space="preserve">in </w:t>
      </w:r>
      <w:r w:rsidRPr="00BF4D0A" w:rsidR="00435210">
        <w:rPr>
          <w:rFonts w:ascii="Times New Roman" w:hAnsi="Times New Roman" w:cs="Times New Roman"/>
        </w:rPr>
        <w:t xml:space="preserve">this analysis, EPA </w:t>
      </w:r>
      <w:r w:rsidRPr="00BF4D0A" w:rsidR="00435210">
        <w:rPr>
          <w:rFonts w:ascii="Times New Roman" w:hAnsi="Times New Roman" w:cs="Times New Roman"/>
          <w:spacing w:val="4"/>
        </w:rPr>
        <w:t xml:space="preserve">is </w:t>
      </w:r>
      <w:r w:rsidRPr="00BF4D0A" w:rsidR="00435210">
        <w:rPr>
          <w:rFonts w:ascii="Times New Roman" w:hAnsi="Times New Roman" w:cs="Times New Roman"/>
        </w:rPr>
        <w:t>making the conservative</w:t>
      </w:r>
      <w:r w:rsidRPr="00BF4D0A" w:rsidR="00435210">
        <w:rPr>
          <w:rFonts w:ascii="Times New Roman" w:hAnsi="Times New Roman" w:cs="Times New Roman"/>
          <w:spacing w:val="-10"/>
        </w:rPr>
        <w:t xml:space="preserve"> </w:t>
      </w:r>
      <w:r w:rsidRPr="00BF4D0A" w:rsidR="00435210">
        <w:rPr>
          <w:rFonts w:ascii="Times New Roman" w:hAnsi="Times New Roman" w:cs="Times New Roman"/>
        </w:rPr>
        <w:t>assumption</w:t>
      </w:r>
      <w:r w:rsidRPr="00BF4D0A" w:rsidR="00435210">
        <w:rPr>
          <w:rFonts w:ascii="Times New Roman" w:hAnsi="Times New Roman" w:cs="Times New Roman"/>
          <w:spacing w:val="-16"/>
        </w:rPr>
        <w:t xml:space="preserve"> </w:t>
      </w:r>
      <w:r w:rsidRPr="00BF4D0A" w:rsidR="00435210">
        <w:rPr>
          <w:rFonts w:ascii="Times New Roman" w:hAnsi="Times New Roman" w:cs="Times New Roman"/>
        </w:rPr>
        <w:t>that</w:t>
      </w:r>
      <w:r w:rsidRPr="00BF4D0A" w:rsidR="00435210">
        <w:rPr>
          <w:rFonts w:ascii="Times New Roman" w:hAnsi="Times New Roman" w:cs="Times New Roman"/>
          <w:spacing w:val="-19"/>
        </w:rPr>
        <w:t xml:space="preserve"> </w:t>
      </w:r>
      <w:r w:rsidRPr="00BF4D0A" w:rsidR="00435210">
        <w:rPr>
          <w:rFonts w:ascii="Times New Roman" w:hAnsi="Times New Roman" w:cs="Times New Roman"/>
        </w:rPr>
        <w:t>facilities</w:t>
      </w:r>
      <w:r w:rsidRPr="00BF4D0A" w:rsidR="00435210">
        <w:rPr>
          <w:rFonts w:ascii="Times New Roman" w:hAnsi="Times New Roman" w:cs="Times New Roman"/>
          <w:spacing w:val="-15"/>
        </w:rPr>
        <w:t xml:space="preserve"> </w:t>
      </w:r>
      <w:r w:rsidRPr="00BF4D0A" w:rsidR="00435210">
        <w:rPr>
          <w:rFonts w:ascii="Times New Roman" w:hAnsi="Times New Roman" w:cs="Times New Roman"/>
        </w:rPr>
        <w:t>will</w:t>
      </w:r>
      <w:r w:rsidRPr="00BF4D0A" w:rsidR="00435210">
        <w:rPr>
          <w:rFonts w:ascii="Times New Roman" w:hAnsi="Times New Roman" w:cs="Times New Roman"/>
          <w:spacing w:val="-10"/>
        </w:rPr>
        <w:t xml:space="preserve"> </w:t>
      </w:r>
      <w:r w:rsidRPr="00BF4D0A" w:rsidR="00435210">
        <w:rPr>
          <w:rFonts w:ascii="Times New Roman" w:hAnsi="Times New Roman" w:cs="Times New Roman"/>
        </w:rPr>
        <w:t>pay</w:t>
      </w:r>
      <w:r w:rsidRPr="00BF4D0A" w:rsidR="00435210">
        <w:rPr>
          <w:rFonts w:ascii="Times New Roman" w:hAnsi="Times New Roman" w:cs="Times New Roman"/>
          <w:spacing w:val="-14"/>
        </w:rPr>
        <w:t xml:space="preserve"> </w:t>
      </w:r>
      <w:r w:rsidRPr="00BF4D0A" w:rsidR="00435210">
        <w:rPr>
          <w:rFonts w:ascii="Times New Roman" w:hAnsi="Times New Roman" w:cs="Times New Roman"/>
        </w:rPr>
        <w:t>these</w:t>
      </w:r>
      <w:r w:rsidRPr="00BF4D0A" w:rsidR="00435210">
        <w:rPr>
          <w:rFonts w:ascii="Times New Roman" w:hAnsi="Times New Roman" w:cs="Times New Roman"/>
          <w:spacing w:val="-10"/>
        </w:rPr>
        <w:t xml:space="preserve"> </w:t>
      </w:r>
      <w:r w:rsidRPr="00BF4D0A" w:rsidR="00435210">
        <w:rPr>
          <w:rFonts w:ascii="Times New Roman" w:hAnsi="Times New Roman" w:cs="Times New Roman"/>
        </w:rPr>
        <w:t>initial</w:t>
      </w:r>
      <w:r w:rsidRPr="00BF4D0A" w:rsidR="00435210">
        <w:rPr>
          <w:rFonts w:ascii="Times New Roman" w:hAnsi="Times New Roman" w:cs="Times New Roman"/>
          <w:spacing w:val="-25"/>
        </w:rPr>
        <w:t xml:space="preserve"> </w:t>
      </w:r>
      <w:r w:rsidRPr="00BF4D0A" w:rsidR="00435210">
        <w:rPr>
          <w:rFonts w:ascii="Times New Roman" w:hAnsi="Times New Roman" w:cs="Times New Roman"/>
        </w:rPr>
        <w:t>costs</w:t>
      </w:r>
      <w:r w:rsidRPr="00BF4D0A" w:rsidR="00435210">
        <w:rPr>
          <w:rFonts w:ascii="Times New Roman" w:hAnsi="Times New Roman" w:cs="Times New Roman"/>
          <w:spacing w:val="-16"/>
        </w:rPr>
        <w:t xml:space="preserve"> </w:t>
      </w:r>
      <w:r w:rsidRPr="00BF4D0A" w:rsidR="00435210">
        <w:rPr>
          <w:rFonts w:ascii="Times New Roman" w:hAnsi="Times New Roman" w:cs="Times New Roman"/>
          <w:spacing w:val="4"/>
        </w:rPr>
        <w:t>in</w:t>
      </w:r>
      <w:r w:rsidRPr="00BF4D0A" w:rsidR="00435210">
        <w:rPr>
          <w:rFonts w:ascii="Times New Roman" w:hAnsi="Times New Roman" w:cs="Times New Roman"/>
          <w:spacing w:val="-17"/>
        </w:rPr>
        <w:t xml:space="preserve"> </w:t>
      </w:r>
      <w:r w:rsidRPr="00BF4D0A" w:rsidR="00435210">
        <w:rPr>
          <w:rFonts w:ascii="Times New Roman" w:hAnsi="Times New Roman" w:cs="Times New Roman"/>
        </w:rPr>
        <w:t>a</w:t>
      </w:r>
      <w:r w:rsidRPr="00BF4D0A" w:rsidR="00435210">
        <w:rPr>
          <w:rFonts w:ascii="Times New Roman" w:hAnsi="Times New Roman" w:cs="Times New Roman"/>
          <w:spacing w:val="-5"/>
        </w:rPr>
        <w:t xml:space="preserve"> </w:t>
      </w:r>
      <w:r w:rsidRPr="00BF4D0A" w:rsidR="00435210">
        <w:rPr>
          <w:rFonts w:ascii="Times New Roman" w:hAnsi="Times New Roman" w:cs="Times New Roman"/>
          <w:spacing w:val="3"/>
        </w:rPr>
        <w:t>single</w:t>
      </w:r>
      <w:r w:rsidRPr="00BF4D0A" w:rsidR="00435210">
        <w:rPr>
          <w:rFonts w:ascii="Times New Roman" w:hAnsi="Times New Roman" w:cs="Times New Roman"/>
          <w:spacing w:val="-9"/>
        </w:rPr>
        <w:t xml:space="preserve"> </w:t>
      </w:r>
      <w:r w:rsidRPr="00BF4D0A" w:rsidR="00435210">
        <w:rPr>
          <w:rFonts w:ascii="Times New Roman" w:hAnsi="Times New Roman" w:cs="Times New Roman"/>
        </w:rPr>
        <w:t>year</w:t>
      </w:r>
      <w:r w:rsidR="00B031A2">
        <w:rPr>
          <w:rFonts w:ascii="Times New Roman" w:hAnsi="Times New Roman" w:cs="Times New Roman"/>
        </w:rPr>
        <w:t xml:space="preserve"> (year 1)</w:t>
      </w:r>
      <w:r w:rsidRPr="00BF4D0A" w:rsidR="00032DCD">
        <w:rPr>
          <w:rFonts w:ascii="Times New Roman" w:hAnsi="Times New Roman" w:cs="Times New Roman"/>
        </w:rPr>
        <w:t>,</w:t>
      </w:r>
      <w:r w:rsidRPr="00BF4D0A" w:rsidR="00C95661">
        <w:rPr>
          <w:rFonts w:ascii="Times New Roman" w:hAnsi="Times New Roman" w:cs="Times New Roman"/>
        </w:rPr>
        <w:t xml:space="preserve"> which is likely given </w:t>
      </w:r>
      <w:r w:rsidRPr="00BF4D0A" w:rsidR="00C95661">
        <w:rPr>
          <w:rFonts w:ascii="Times New Roman" w:hAnsi="Times New Roman" w:cs="Times New Roman"/>
        </w:rPr>
        <w:lastRenderedPageBreak/>
        <w:t>that EPA assumes the generator for backup power cost will cost</w:t>
      </w:r>
      <w:r w:rsidRPr="00BF4D0A" w:rsidR="00F024FF">
        <w:rPr>
          <w:rFonts w:ascii="Times New Roman" w:hAnsi="Times New Roman" w:cs="Times New Roman"/>
        </w:rPr>
        <w:t xml:space="preserve"> </w:t>
      </w:r>
      <w:r w:rsidRPr="00BF4D0A" w:rsidR="00C95661">
        <w:rPr>
          <w:rFonts w:ascii="Times New Roman" w:hAnsi="Times New Roman" w:cs="Times New Roman"/>
        </w:rPr>
        <w:t>$1,000</w:t>
      </w:r>
      <w:r w:rsidRPr="00BF4D0A" w:rsidR="00A243CD">
        <w:rPr>
          <w:rFonts w:ascii="Times New Roman" w:hAnsi="Times New Roman" w:cs="Times New Roman"/>
        </w:rPr>
        <w:t xml:space="preserve"> and that each facility will </w:t>
      </w:r>
      <w:r w:rsidRPr="00BF4D0A" w:rsidR="00F024FF">
        <w:rPr>
          <w:rFonts w:ascii="Times New Roman" w:hAnsi="Times New Roman" w:cs="Times New Roman"/>
        </w:rPr>
        <w:t>purchase only</w:t>
      </w:r>
      <w:r w:rsidRPr="00BF4D0A" w:rsidR="00A243CD">
        <w:rPr>
          <w:rFonts w:ascii="Times New Roman" w:hAnsi="Times New Roman" w:cs="Times New Roman"/>
        </w:rPr>
        <w:t xml:space="preserve"> one generator</w:t>
      </w:r>
      <w:r w:rsidR="00B44C88">
        <w:rPr>
          <w:rFonts w:ascii="Times New Roman" w:hAnsi="Times New Roman" w:cs="Times New Roman"/>
        </w:rPr>
        <w:t xml:space="preserve"> that will last for the entire </w:t>
      </w:r>
      <w:proofErr w:type="gramStart"/>
      <w:r w:rsidR="00B44C88">
        <w:rPr>
          <w:rFonts w:ascii="Times New Roman" w:hAnsi="Times New Roman" w:cs="Times New Roman"/>
        </w:rPr>
        <w:t>10 year</w:t>
      </w:r>
      <w:proofErr w:type="gramEnd"/>
      <w:r w:rsidR="00B44C88">
        <w:rPr>
          <w:rFonts w:ascii="Times New Roman" w:hAnsi="Times New Roman" w:cs="Times New Roman"/>
        </w:rPr>
        <w:t xml:space="preserve"> period of analysis and beyond</w:t>
      </w:r>
      <w:r w:rsidRPr="00BF4D0A" w:rsidR="00435210">
        <w:rPr>
          <w:rFonts w:ascii="Times New Roman" w:hAnsi="Times New Roman" w:cs="Times New Roman"/>
        </w:rPr>
        <w:t>.</w:t>
      </w:r>
    </w:p>
    <w:p w:rsidRPr="00BF4D0A" w:rsidR="00576F93" w:rsidP="00576F93" w:rsidRDefault="00576F93" w14:paraId="7F962562" w14:textId="77777777">
      <w:pPr>
        <w:spacing w:after="0" w:line="240" w:lineRule="auto"/>
        <w:ind w:firstLine="360"/>
        <w:rPr>
          <w:rFonts w:ascii="Times New Roman" w:hAnsi="Times New Roman" w:cs="Times New Roman"/>
        </w:rPr>
      </w:pPr>
    </w:p>
    <w:p w:rsidRPr="00BF4D0A" w:rsidR="00435210" w:rsidP="00813745" w:rsidRDefault="000409BE" w14:paraId="6CDB9EEE" w14:textId="1D1C7D94">
      <w:pPr>
        <w:pStyle w:val="Heading2"/>
      </w:pPr>
      <w:bookmarkStart w:name="5.2__Rule_Familiarization" w:id="67"/>
      <w:bookmarkStart w:name="_bookmark72" w:id="68"/>
      <w:bookmarkStart w:name="_Toc98856221" w:id="69"/>
      <w:bookmarkStart w:name="_Toc110502752" w:id="70"/>
      <w:bookmarkEnd w:id="67"/>
      <w:bookmarkEnd w:id="68"/>
      <w:r w:rsidRPr="00BF4D0A">
        <w:t xml:space="preserve">5.2 </w:t>
      </w:r>
      <w:r w:rsidRPr="00BF4D0A" w:rsidR="00435210">
        <w:t>Rule</w:t>
      </w:r>
      <w:r w:rsidRPr="00BF4D0A" w:rsidR="00435210">
        <w:rPr>
          <w:spacing w:val="-12"/>
        </w:rPr>
        <w:t xml:space="preserve"> </w:t>
      </w:r>
      <w:r w:rsidRPr="00BF4D0A" w:rsidR="00435210">
        <w:t>Familiarization</w:t>
      </w:r>
      <w:bookmarkEnd w:id="69"/>
      <w:bookmarkEnd w:id="70"/>
    </w:p>
    <w:p w:rsidR="00435210" w:rsidP="00576F93" w:rsidRDefault="003D2F8B" w14:paraId="318A0DED" w14:textId="53362251">
      <w:pPr>
        <w:spacing w:after="0" w:line="240" w:lineRule="auto"/>
        <w:ind w:right="388"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EPA </w:t>
      </w:r>
      <w:r w:rsidRPr="00BF4D0A" w:rsidR="00F21C96">
        <w:rPr>
          <w:rFonts w:ascii="Times New Roman" w:hAnsi="Times New Roman" w:cs="Times New Roman"/>
        </w:rPr>
        <w:t>analyzed the cost of</w:t>
      </w:r>
      <w:r w:rsidRPr="00BF4D0A" w:rsidR="00200686">
        <w:rPr>
          <w:rFonts w:ascii="Times New Roman" w:hAnsi="Times New Roman" w:cs="Times New Roman"/>
        </w:rPr>
        <w:t xml:space="preserve"> </w:t>
      </w:r>
      <w:r w:rsidRPr="00BF4D0A" w:rsidR="00435210">
        <w:rPr>
          <w:rFonts w:ascii="Times New Roman" w:hAnsi="Times New Roman" w:cs="Times New Roman"/>
        </w:rPr>
        <w:t xml:space="preserve">rule familiarization, </w:t>
      </w:r>
      <w:r w:rsidRPr="00BF4D0A" w:rsidR="00597B7C">
        <w:rPr>
          <w:rFonts w:ascii="Times New Roman" w:hAnsi="Times New Roman" w:cs="Times New Roman"/>
        </w:rPr>
        <w:t>which</w:t>
      </w:r>
      <w:r w:rsidR="00B4726A">
        <w:rPr>
          <w:rFonts w:ascii="Times New Roman" w:hAnsi="Times New Roman" w:cs="Times New Roman"/>
        </w:rPr>
        <w:t xml:space="preserve"> while not a provision of the proposed rule,</w:t>
      </w:r>
      <w:r w:rsidRPr="00BF4D0A" w:rsidR="00435210">
        <w:rPr>
          <w:rFonts w:ascii="Times New Roman" w:hAnsi="Times New Roman" w:cs="Times New Roman"/>
        </w:rPr>
        <w:t xml:space="preserve"> </w:t>
      </w:r>
      <w:r w:rsidR="00B4726A">
        <w:rPr>
          <w:rFonts w:ascii="Times New Roman" w:hAnsi="Times New Roman" w:cs="Times New Roman"/>
        </w:rPr>
        <w:t>is an activity that occurs under every</w:t>
      </w:r>
      <w:r w:rsidRPr="00BF4D0A" w:rsidR="00435210">
        <w:rPr>
          <w:rFonts w:ascii="Times New Roman" w:hAnsi="Times New Roman" w:cs="Times New Roman"/>
        </w:rPr>
        <w:t xml:space="preserve"> rulemaking. </w:t>
      </w:r>
      <w:r w:rsidR="00AC10A1">
        <w:rPr>
          <w:rFonts w:ascii="Times New Roman" w:hAnsi="Times New Roman" w:cs="Times New Roman"/>
        </w:rPr>
        <w:t>See Exhibit 5-1.</w:t>
      </w:r>
    </w:p>
    <w:p w:rsidRPr="00BF4D0A" w:rsidR="00C84234" w:rsidP="00576F93" w:rsidRDefault="00C84234" w14:paraId="70E56901" w14:textId="77777777">
      <w:pPr>
        <w:spacing w:after="0" w:line="240" w:lineRule="auto"/>
        <w:ind w:right="388" w:firstLine="360"/>
        <w:rPr>
          <w:rFonts w:ascii="Times New Roman" w:hAnsi="Times New Roman" w:cs="Times New Roman"/>
        </w:rPr>
      </w:pPr>
    </w:p>
    <w:p w:rsidRPr="00576F93" w:rsidR="00576F93" w:rsidP="00576F93" w:rsidRDefault="00576F93" w14:paraId="1D301436" w14:textId="728BA97E">
      <w:pPr>
        <w:pStyle w:val="Caption"/>
        <w:jc w:val="center"/>
        <w:rPr>
          <w:rFonts w:ascii="Times New Roman" w:hAnsi="Times New Roman" w:cs="Times New Roman"/>
          <w:b/>
          <w:bCs/>
          <w:i w:val="0"/>
          <w:iCs w:val="0"/>
          <w:color w:val="auto"/>
          <w:sz w:val="22"/>
          <w:szCs w:val="22"/>
        </w:rPr>
      </w:pPr>
      <w:bookmarkStart w:name="_Hlk107997755" w:id="71"/>
      <w:r w:rsidRPr="00576F93">
        <w:rPr>
          <w:rFonts w:ascii="Times New Roman" w:hAnsi="Times New Roman" w:cs="Times New Roman"/>
          <w:b/>
          <w:bCs/>
          <w:i w:val="0"/>
          <w:iCs w:val="0"/>
          <w:color w:val="auto"/>
          <w:sz w:val="22"/>
          <w:szCs w:val="22"/>
        </w:rPr>
        <w:t xml:space="preserve">Exhibit 5-1: Rule Familiarization (2020 </w:t>
      </w:r>
      <w:r w:rsidR="004D2850">
        <w:rPr>
          <w:rFonts w:ascii="Times New Roman" w:hAnsi="Times New Roman" w:cs="Times New Roman"/>
          <w:b/>
          <w:bCs/>
          <w:i w:val="0"/>
          <w:iCs w:val="0"/>
          <w:color w:val="auto"/>
          <w:sz w:val="22"/>
          <w:szCs w:val="22"/>
        </w:rPr>
        <w:t>d</w:t>
      </w:r>
      <w:r w:rsidRPr="00576F93">
        <w:rPr>
          <w:rFonts w:ascii="Times New Roman" w:hAnsi="Times New Roman" w:cs="Times New Roman"/>
          <w:b/>
          <w:bCs/>
          <w:i w:val="0"/>
          <w:iCs w:val="0"/>
          <w:color w:val="auto"/>
          <w:sz w:val="22"/>
          <w:szCs w:val="22"/>
        </w:rPr>
        <w:t>ollars).</w:t>
      </w:r>
    </w:p>
    <w:tbl>
      <w:tblPr>
        <w:tblW w:w="0" w:type="auto"/>
        <w:tblInd w:w="13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70"/>
        <w:gridCol w:w="1020"/>
        <w:gridCol w:w="1190"/>
        <w:gridCol w:w="1620"/>
      </w:tblGrid>
      <w:tr w:rsidRPr="00BF4D0A" w:rsidR="00435210" w:rsidTr="00576F93" w14:paraId="3DE75253" w14:textId="77777777">
        <w:trPr>
          <w:trHeight w:val="525"/>
        </w:trPr>
        <w:tc>
          <w:tcPr>
            <w:tcW w:w="3370" w:type="dxa"/>
            <w:tcBorders>
              <w:left w:val="single" w:color="000000" w:sz="8" w:space="0"/>
            </w:tcBorders>
            <w:shd w:val="clear" w:color="auto" w:fill="DADADA"/>
            <w:vAlign w:val="center"/>
          </w:tcPr>
          <w:p w:rsidRPr="00576F93" w:rsidR="00435210" w:rsidP="00D21E4B" w:rsidRDefault="00435210" w14:paraId="417B01B9" w14:textId="77777777">
            <w:pPr>
              <w:spacing w:after="0" w:line="240" w:lineRule="auto"/>
              <w:ind w:left="2516" w:hanging="2430"/>
              <w:jc w:val="center"/>
              <w:rPr>
                <w:rFonts w:ascii="Times New Roman" w:hAnsi="Times New Roman" w:cs="Times New Roman"/>
                <w:b/>
                <w:sz w:val="20"/>
                <w:szCs w:val="20"/>
              </w:rPr>
            </w:pPr>
            <w:r w:rsidRPr="00576F93">
              <w:rPr>
                <w:rFonts w:ascii="Times New Roman" w:hAnsi="Times New Roman" w:cs="Times New Roman"/>
                <w:b/>
                <w:sz w:val="20"/>
                <w:szCs w:val="20"/>
              </w:rPr>
              <w:t>Facility Type</w:t>
            </w:r>
          </w:p>
        </w:tc>
        <w:tc>
          <w:tcPr>
            <w:tcW w:w="1020" w:type="dxa"/>
            <w:shd w:val="clear" w:color="auto" w:fill="DADADA"/>
            <w:vAlign w:val="center"/>
          </w:tcPr>
          <w:p w:rsidRPr="00576F93" w:rsidR="00435210" w:rsidP="00576F93" w:rsidRDefault="00435210" w14:paraId="26FDDAC5" w14:textId="77777777">
            <w:pPr>
              <w:spacing w:after="0" w:line="240" w:lineRule="auto"/>
              <w:ind w:left="94" w:right="37"/>
              <w:jc w:val="center"/>
              <w:rPr>
                <w:rFonts w:ascii="Times New Roman" w:hAnsi="Times New Roman" w:cs="Times New Roman"/>
                <w:b/>
                <w:sz w:val="20"/>
                <w:szCs w:val="20"/>
              </w:rPr>
            </w:pPr>
            <w:r w:rsidRPr="00576F93">
              <w:rPr>
                <w:rFonts w:ascii="Times New Roman" w:hAnsi="Times New Roman" w:cs="Times New Roman"/>
                <w:b/>
                <w:sz w:val="20"/>
                <w:szCs w:val="20"/>
              </w:rPr>
              <w:t>Unit Cost</w:t>
            </w:r>
          </w:p>
        </w:tc>
        <w:tc>
          <w:tcPr>
            <w:tcW w:w="1190" w:type="dxa"/>
            <w:tcBorders>
              <w:right w:val="single" w:color="000000" w:sz="8" w:space="0"/>
            </w:tcBorders>
            <w:shd w:val="clear" w:color="auto" w:fill="DADADA"/>
            <w:vAlign w:val="center"/>
          </w:tcPr>
          <w:p w:rsidRPr="00576F93" w:rsidR="00435210" w:rsidP="00576F93" w:rsidRDefault="00435210" w14:paraId="73BE72C2" w14:textId="77777777">
            <w:pPr>
              <w:spacing w:after="0" w:line="240" w:lineRule="auto"/>
              <w:ind w:left="77" w:right="51"/>
              <w:jc w:val="center"/>
              <w:rPr>
                <w:rFonts w:ascii="Times New Roman" w:hAnsi="Times New Roman" w:cs="Times New Roman"/>
                <w:b/>
                <w:sz w:val="20"/>
                <w:szCs w:val="20"/>
              </w:rPr>
            </w:pPr>
            <w:r w:rsidRPr="00576F93">
              <w:rPr>
                <w:rFonts w:ascii="Times New Roman" w:hAnsi="Times New Roman" w:cs="Times New Roman"/>
                <w:b/>
                <w:sz w:val="20"/>
                <w:szCs w:val="20"/>
              </w:rPr>
              <w:t>Facilities</w:t>
            </w:r>
          </w:p>
        </w:tc>
        <w:tc>
          <w:tcPr>
            <w:tcW w:w="1620" w:type="dxa"/>
            <w:tcBorders>
              <w:left w:val="single" w:color="000000" w:sz="8" w:space="0"/>
            </w:tcBorders>
            <w:shd w:val="clear" w:color="auto" w:fill="DADADA"/>
            <w:vAlign w:val="center"/>
          </w:tcPr>
          <w:p w:rsidRPr="00576F93" w:rsidR="00435210" w:rsidP="00576F93" w:rsidRDefault="00435210" w14:paraId="6C456958" w14:textId="23DB5BF9">
            <w:pPr>
              <w:spacing w:after="0" w:line="240" w:lineRule="auto"/>
              <w:ind w:left="91" w:right="36"/>
              <w:jc w:val="center"/>
              <w:rPr>
                <w:rFonts w:ascii="Times New Roman" w:hAnsi="Times New Roman" w:cs="Times New Roman"/>
                <w:b/>
                <w:sz w:val="20"/>
                <w:szCs w:val="20"/>
              </w:rPr>
            </w:pPr>
            <w:r w:rsidRPr="00576F93">
              <w:rPr>
                <w:rFonts w:ascii="Times New Roman" w:hAnsi="Times New Roman" w:cs="Times New Roman"/>
                <w:b/>
                <w:sz w:val="20"/>
                <w:szCs w:val="20"/>
              </w:rPr>
              <w:t>Total Cost</w:t>
            </w:r>
            <w:r w:rsidRPr="00576F93" w:rsidR="00C96ED3">
              <w:rPr>
                <w:rFonts w:ascii="Times New Roman" w:hAnsi="Times New Roman" w:cs="Times New Roman"/>
                <w:b/>
                <w:sz w:val="20"/>
                <w:szCs w:val="20"/>
              </w:rPr>
              <w:t xml:space="preserve"> (incurred in Year 1)</w:t>
            </w:r>
          </w:p>
        </w:tc>
      </w:tr>
      <w:tr w:rsidRPr="00BF4D0A" w:rsidR="00435210" w:rsidTr="00576F93" w14:paraId="666D07D0" w14:textId="77777777">
        <w:trPr>
          <w:trHeight w:val="282"/>
        </w:trPr>
        <w:tc>
          <w:tcPr>
            <w:tcW w:w="3370" w:type="dxa"/>
            <w:tcBorders>
              <w:left w:val="single" w:color="000000" w:sz="8" w:space="0"/>
              <w:bottom w:val="single" w:color="000000" w:sz="8" w:space="0"/>
            </w:tcBorders>
            <w:vAlign w:val="center"/>
          </w:tcPr>
          <w:p w:rsidRPr="00576F93" w:rsidR="00435210" w:rsidP="00D21E4B" w:rsidRDefault="00435210" w14:paraId="6E4E0FA5" w14:textId="77777777">
            <w:pPr>
              <w:spacing w:after="0" w:line="240" w:lineRule="auto"/>
              <w:ind w:left="125"/>
              <w:rPr>
                <w:rFonts w:ascii="Times New Roman" w:hAnsi="Times New Roman" w:cs="Times New Roman"/>
                <w:sz w:val="20"/>
                <w:szCs w:val="20"/>
              </w:rPr>
            </w:pPr>
            <w:r w:rsidRPr="00576F93">
              <w:rPr>
                <w:rFonts w:ascii="Times New Roman" w:hAnsi="Times New Roman" w:cs="Times New Roman"/>
                <w:sz w:val="20"/>
                <w:szCs w:val="20"/>
              </w:rPr>
              <w:t>Simple</w:t>
            </w:r>
          </w:p>
        </w:tc>
        <w:tc>
          <w:tcPr>
            <w:tcW w:w="1020" w:type="dxa"/>
            <w:tcBorders>
              <w:bottom w:val="single" w:color="000000" w:sz="8" w:space="0"/>
            </w:tcBorders>
            <w:vAlign w:val="center"/>
          </w:tcPr>
          <w:p w:rsidRPr="00576F93" w:rsidR="00435210" w:rsidP="00576F93" w:rsidRDefault="00161C68" w14:paraId="43BB1072" w14:textId="008F75C9">
            <w:pPr>
              <w:spacing w:after="0" w:line="240" w:lineRule="auto"/>
              <w:ind w:left="94"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$412</w:t>
            </w:r>
          </w:p>
        </w:tc>
        <w:tc>
          <w:tcPr>
            <w:tcW w:w="1190" w:type="dxa"/>
            <w:tcBorders>
              <w:bottom w:val="single" w:color="000000" w:sz="8" w:space="0"/>
              <w:right w:val="single" w:color="000000" w:sz="8" w:space="0"/>
            </w:tcBorders>
            <w:vAlign w:val="center"/>
          </w:tcPr>
          <w:p w:rsidRPr="00576F93" w:rsidR="00435210" w:rsidP="00576F93" w:rsidRDefault="00435210" w14:paraId="7A72C7A4" w14:textId="70300483">
            <w:pPr>
              <w:spacing w:after="0" w:line="240" w:lineRule="auto"/>
              <w:ind w:left="77" w:right="45"/>
              <w:jc w:val="center"/>
              <w:rPr>
                <w:rFonts w:ascii="Times New Roman" w:hAnsi="Times New Roman" w:cs="Times New Roman"/>
                <w:sz w:val="20"/>
                <w:szCs w:val="20"/>
              </w:rPr>
            </w:pPr>
            <w:r w:rsidRPr="00576F93">
              <w:rPr>
                <w:rFonts w:ascii="Times New Roman" w:hAnsi="Times New Roman" w:cs="Times New Roman"/>
                <w:sz w:val="20"/>
                <w:szCs w:val="20"/>
              </w:rPr>
              <w:t>10,</w:t>
            </w:r>
            <w:r w:rsidRPr="00576F93" w:rsidR="000A6340">
              <w:rPr>
                <w:rFonts w:ascii="Times New Roman" w:hAnsi="Times New Roman" w:cs="Times New Roman"/>
                <w:sz w:val="20"/>
                <w:szCs w:val="20"/>
              </w:rPr>
              <w:t>082</w:t>
            </w:r>
          </w:p>
        </w:tc>
        <w:tc>
          <w:tcPr>
            <w:tcW w:w="1620" w:type="dxa"/>
            <w:tcBorders>
              <w:left w:val="single" w:color="000000" w:sz="8" w:space="0"/>
              <w:bottom w:val="single" w:color="000000" w:sz="8" w:space="0"/>
            </w:tcBorders>
            <w:vAlign w:val="center"/>
          </w:tcPr>
          <w:p w:rsidRPr="00576F93" w:rsidR="00435210" w:rsidP="00576F93" w:rsidRDefault="002E4DFD" w14:paraId="2061E3CE" w14:textId="01BD6F5A">
            <w:pPr>
              <w:spacing w:after="0" w:line="240" w:lineRule="auto"/>
              <w:ind w:left="91" w:right="49"/>
              <w:jc w:val="center"/>
              <w:rPr>
                <w:rFonts w:ascii="Times New Roman" w:hAnsi="Times New Roman" w:cs="Times New Roman"/>
                <w:sz w:val="20"/>
                <w:szCs w:val="20"/>
              </w:rPr>
            </w:pPr>
            <w:r w:rsidRPr="00576F93">
              <w:rPr>
                <w:rFonts w:ascii="Times New Roman" w:hAnsi="Times New Roman" w:cs="Times New Roman"/>
                <w:color w:val="000000"/>
                <w:sz w:val="20"/>
                <w:szCs w:val="20"/>
              </w:rPr>
              <w:t>$4,156,336</w:t>
            </w:r>
          </w:p>
        </w:tc>
      </w:tr>
      <w:tr w:rsidRPr="00BF4D0A" w:rsidR="00435210" w:rsidTr="00576F93" w14:paraId="2DCD83D5" w14:textId="77777777">
        <w:trPr>
          <w:trHeight w:val="295"/>
        </w:trPr>
        <w:tc>
          <w:tcPr>
            <w:tcW w:w="3370" w:type="dxa"/>
            <w:tcBorders>
              <w:top w:val="single" w:color="000000" w:sz="8" w:space="0"/>
              <w:left w:val="single" w:color="000000" w:sz="8" w:space="0"/>
              <w:bottom w:val="single" w:color="000000" w:sz="8" w:space="0"/>
            </w:tcBorders>
            <w:vAlign w:val="center"/>
          </w:tcPr>
          <w:p w:rsidRPr="00576F93" w:rsidR="00435210" w:rsidP="00D21E4B" w:rsidRDefault="00435210" w14:paraId="7FD19651" w14:textId="681D2226">
            <w:pPr>
              <w:spacing w:after="0" w:line="240" w:lineRule="auto"/>
              <w:ind w:left="125"/>
              <w:rPr>
                <w:rFonts w:ascii="Times New Roman" w:hAnsi="Times New Roman" w:cs="Times New Roman"/>
                <w:sz w:val="20"/>
                <w:szCs w:val="20"/>
              </w:rPr>
            </w:pPr>
            <w:r w:rsidRPr="00576F93">
              <w:rPr>
                <w:rFonts w:ascii="Times New Roman" w:hAnsi="Times New Roman" w:cs="Times New Roman"/>
                <w:sz w:val="20"/>
                <w:szCs w:val="20"/>
              </w:rPr>
              <w:t>P</w:t>
            </w:r>
            <w:r w:rsidRPr="00576F93" w:rsidR="00A346C6">
              <w:rPr>
                <w:rFonts w:ascii="Times New Roman" w:hAnsi="Times New Roman" w:cs="Times New Roman"/>
                <w:sz w:val="20"/>
                <w:szCs w:val="20"/>
              </w:rPr>
              <w:t xml:space="preserve">rogram </w:t>
            </w:r>
            <w:r w:rsidRPr="00576F93">
              <w:rPr>
                <w:rFonts w:ascii="Times New Roman" w:hAnsi="Times New Roman" w:cs="Times New Roman"/>
                <w:sz w:val="20"/>
                <w:szCs w:val="20"/>
              </w:rPr>
              <w:t>1 and P</w:t>
            </w:r>
            <w:r w:rsidRPr="00576F93" w:rsidR="00A346C6">
              <w:rPr>
                <w:rFonts w:ascii="Times New Roman" w:hAnsi="Times New Roman" w:cs="Times New Roman"/>
                <w:sz w:val="20"/>
                <w:szCs w:val="20"/>
              </w:rPr>
              <w:t xml:space="preserve">rogram </w:t>
            </w:r>
            <w:r w:rsidRPr="00576F93">
              <w:rPr>
                <w:rFonts w:ascii="Times New Roman" w:hAnsi="Times New Roman" w:cs="Times New Roman"/>
                <w:sz w:val="20"/>
                <w:szCs w:val="20"/>
              </w:rPr>
              <w:t>2 Complex</w:t>
            </w:r>
          </w:p>
        </w:tc>
        <w:tc>
          <w:tcPr>
            <w:tcW w:w="1020" w:type="dxa"/>
            <w:tcBorders>
              <w:top w:val="single" w:color="000000" w:sz="8" w:space="0"/>
              <w:bottom w:val="single" w:color="000000" w:sz="8" w:space="0"/>
            </w:tcBorders>
            <w:vAlign w:val="center"/>
          </w:tcPr>
          <w:p w:rsidRPr="00576F93" w:rsidR="00435210" w:rsidP="00576F93" w:rsidRDefault="002E4DFD" w14:paraId="2680A6E0" w14:textId="31D4CD50">
            <w:pPr>
              <w:spacing w:after="0" w:line="240" w:lineRule="auto"/>
              <w:ind w:left="94"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$543</w:t>
            </w:r>
          </w:p>
        </w:tc>
        <w:tc>
          <w:tcPr>
            <w:tcW w:w="1190" w:type="dxa"/>
            <w:tcBorders>
              <w:top w:val="single" w:color="000000" w:sz="8" w:space="0"/>
              <w:bottom w:val="single" w:color="000000" w:sz="8" w:space="0"/>
              <w:right w:val="single" w:color="000000" w:sz="8" w:space="0"/>
            </w:tcBorders>
            <w:vAlign w:val="center"/>
          </w:tcPr>
          <w:p w:rsidRPr="00576F93" w:rsidR="00435210" w:rsidP="00576F93" w:rsidRDefault="000A6340" w14:paraId="308EA62F" w14:textId="5A6C7534">
            <w:pPr>
              <w:spacing w:after="0" w:line="240" w:lineRule="auto"/>
              <w:ind w:left="77" w:right="45"/>
              <w:jc w:val="center"/>
              <w:rPr>
                <w:rFonts w:ascii="Times New Roman" w:hAnsi="Times New Roman" w:cs="Times New Roman"/>
                <w:sz w:val="20"/>
                <w:szCs w:val="20"/>
              </w:rPr>
            </w:pPr>
            <w:r w:rsidRPr="00576F93">
              <w:rPr>
                <w:rFonts w:ascii="Times New Roman" w:hAnsi="Times New Roman" w:cs="Times New Roman"/>
                <w:sz w:val="20"/>
                <w:szCs w:val="20"/>
              </w:rPr>
              <w:t>131</w:t>
            </w:r>
          </w:p>
        </w:tc>
        <w:tc>
          <w:tcPr>
            <w:tcW w:w="1620" w:type="dxa"/>
            <w:tcBorders>
              <w:top w:val="single" w:color="000000" w:sz="8" w:space="0"/>
              <w:left w:val="single" w:color="000000" w:sz="8" w:space="0"/>
              <w:bottom w:val="single" w:color="000000" w:sz="8" w:space="0"/>
            </w:tcBorders>
            <w:vAlign w:val="center"/>
          </w:tcPr>
          <w:p w:rsidRPr="00576F93" w:rsidR="00435210" w:rsidP="00576F93" w:rsidRDefault="002E4DFD" w14:paraId="6B8A2580" w14:textId="114B967C">
            <w:pPr>
              <w:spacing w:after="0" w:line="240" w:lineRule="auto"/>
              <w:ind w:left="91" w:right="49"/>
              <w:jc w:val="center"/>
              <w:rPr>
                <w:rFonts w:ascii="Times New Roman" w:hAnsi="Times New Roman" w:cs="Times New Roman"/>
                <w:sz w:val="20"/>
                <w:szCs w:val="20"/>
              </w:rPr>
            </w:pPr>
            <w:r w:rsidRPr="00576F93">
              <w:rPr>
                <w:rFonts w:ascii="Times New Roman" w:hAnsi="Times New Roman" w:cs="Times New Roman"/>
                <w:color w:val="000000"/>
                <w:sz w:val="20"/>
                <w:szCs w:val="20"/>
              </w:rPr>
              <w:t>$71,070</w:t>
            </w:r>
          </w:p>
        </w:tc>
      </w:tr>
      <w:tr w:rsidRPr="00BF4D0A" w:rsidR="00435210" w:rsidTr="00576F93" w14:paraId="58609CD1" w14:textId="77777777">
        <w:trPr>
          <w:trHeight w:val="282"/>
        </w:trPr>
        <w:tc>
          <w:tcPr>
            <w:tcW w:w="3370" w:type="dxa"/>
            <w:tcBorders>
              <w:top w:val="single" w:color="000000" w:sz="8" w:space="0"/>
              <w:left w:val="single" w:color="000000" w:sz="8" w:space="0"/>
            </w:tcBorders>
            <w:vAlign w:val="center"/>
          </w:tcPr>
          <w:p w:rsidRPr="00576F93" w:rsidR="00435210" w:rsidP="00D21E4B" w:rsidRDefault="00435210" w14:paraId="40473E3F" w14:textId="40B3F4C8">
            <w:pPr>
              <w:spacing w:after="0" w:line="240" w:lineRule="auto"/>
              <w:ind w:left="125"/>
              <w:rPr>
                <w:rFonts w:ascii="Times New Roman" w:hAnsi="Times New Roman" w:cs="Times New Roman"/>
                <w:sz w:val="20"/>
                <w:szCs w:val="20"/>
              </w:rPr>
            </w:pPr>
            <w:r w:rsidRPr="00576F93">
              <w:rPr>
                <w:rFonts w:ascii="Times New Roman" w:hAnsi="Times New Roman" w:cs="Times New Roman"/>
                <w:sz w:val="20"/>
                <w:szCs w:val="20"/>
              </w:rPr>
              <w:t>P</w:t>
            </w:r>
            <w:r w:rsidRPr="00576F93" w:rsidR="00A346C6">
              <w:rPr>
                <w:rFonts w:ascii="Times New Roman" w:hAnsi="Times New Roman" w:cs="Times New Roman"/>
                <w:sz w:val="20"/>
                <w:szCs w:val="20"/>
              </w:rPr>
              <w:t xml:space="preserve">rogram </w:t>
            </w:r>
            <w:r w:rsidRPr="00576F93">
              <w:rPr>
                <w:rFonts w:ascii="Times New Roman" w:hAnsi="Times New Roman" w:cs="Times New Roman"/>
                <w:sz w:val="20"/>
                <w:szCs w:val="20"/>
              </w:rPr>
              <w:t>3 Complex</w:t>
            </w:r>
          </w:p>
        </w:tc>
        <w:tc>
          <w:tcPr>
            <w:tcW w:w="1020" w:type="dxa"/>
            <w:tcBorders>
              <w:top w:val="single" w:color="000000" w:sz="8" w:space="0"/>
            </w:tcBorders>
            <w:vAlign w:val="center"/>
          </w:tcPr>
          <w:p w:rsidRPr="00576F93" w:rsidR="00435210" w:rsidP="00576F93" w:rsidRDefault="00161C68" w14:paraId="082BD5C0" w14:textId="6ACE2107">
            <w:pPr>
              <w:spacing w:after="0" w:line="240" w:lineRule="auto"/>
              <w:ind w:left="94"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$26,874</w:t>
            </w:r>
          </w:p>
        </w:tc>
        <w:tc>
          <w:tcPr>
            <w:tcW w:w="1190" w:type="dxa"/>
            <w:tcBorders>
              <w:top w:val="single" w:color="000000" w:sz="8" w:space="0"/>
              <w:right w:val="single" w:color="000000" w:sz="8" w:space="0"/>
            </w:tcBorders>
            <w:vAlign w:val="center"/>
          </w:tcPr>
          <w:p w:rsidRPr="00576F93" w:rsidR="00435210" w:rsidP="00576F93" w:rsidRDefault="00435210" w14:paraId="14B3D895" w14:textId="618D4CF8">
            <w:pPr>
              <w:spacing w:after="0" w:line="240" w:lineRule="auto"/>
              <w:ind w:left="77" w:right="30"/>
              <w:jc w:val="center"/>
              <w:rPr>
                <w:rFonts w:ascii="Times New Roman" w:hAnsi="Times New Roman" w:cs="Times New Roman"/>
                <w:sz w:val="20"/>
                <w:szCs w:val="20"/>
              </w:rPr>
            </w:pPr>
            <w:r w:rsidRPr="00576F93">
              <w:rPr>
                <w:rFonts w:ascii="Times New Roman" w:hAnsi="Times New Roman" w:cs="Times New Roman"/>
                <w:sz w:val="20"/>
                <w:szCs w:val="20"/>
              </w:rPr>
              <w:t>1</w:t>
            </w:r>
            <w:r w:rsidRPr="00576F93" w:rsidR="00825B57">
              <w:rPr>
                <w:rFonts w:ascii="Times New Roman" w:hAnsi="Times New Roman" w:cs="Times New Roman"/>
                <w:sz w:val="20"/>
                <w:szCs w:val="20"/>
              </w:rPr>
              <w:t>,</w:t>
            </w:r>
            <w:r w:rsidRPr="00576F93" w:rsidR="000A6340">
              <w:rPr>
                <w:rFonts w:ascii="Times New Roman" w:hAnsi="Times New Roman" w:cs="Times New Roman"/>
                <w:sz w:val="20"/>
                <w:szCs w:val="20"/>
              </w:rPr>
              <w:t>527</w:t>
            </w:r>
          </w:p>
        </w:tc>
        <w:tc>
          <w:tcPr>
            <w:tcW w:w="1620" w:type="dxa"/>
            <w:tcBorders>
              <w:top w:val="single" w:color="000000" w:sz="8" w:space="0"/>
              <w:left w:val="single" w:color="000000" w:sz="8" w:space="0"/>
            </w:tcBorders>
            <w:vAlign w:val="center"/>
          </w:tcPr>
          <w:p w:rsidRPr="00576F93" w:rsidR="00435210" w:rsidP="00576F93" w:rsidRDefault="002E4DFD" w14:paraId="52887796" w14:textId="30C61D96">
            <w:pPr>
              <w:spacing w:after="0" w:line="240" w:lineRule="auto"/>
              <w:ind w:left="91"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$41,036,980</w:t>
            </w:r>
          </w:p>
        </w:tc>
      </w:tr>
      <w:tr w:rsidRPr="00BF4D0A" w:rsidR="00435210" w:rsidTr="00576F93" w14:paraId="00B01DEF" w14:textId="77777777">
        <w:trPr>
          <w:trHeight w:val="300"/>
        </w:trPr>
        <w:tc>
          <w:tcPr>
            <w:tcW w:w="3370" w:type="dxa"/>
            <w:tcBorders>
              <w:left w:val="single" w:color="000000" w:sz="8" w:space="0"/>
            </w:tcBorders>
            <w:vAlign w:val="center"/>
          </w:tcPr>
          <w:p w:rsidRPr="00576F93" w:rsidR="00435210" w:rsidP="00D21E4B" w:rsidRDefault="00435210" w14:paraId="0D6CEA47" w14:textId="77777777">
            <w:pPr>
              <w:spacing w:after="0" w:line="240" w:lineRule="auto"/>
              <w:ind w:left="125"/>
              <w:rPr>
                <w:rFonts w:ascii="Times New Roman" w:hAnsi="Times New Roman" w:cs="Times New Roman"/>
                <w:sz w:val="20"/>
                <w:szCs w:val="20"/>
              </w:rPr>
            </w:pPr>
            <w:r w:rsidRPr="00576F93">
              <w:rPr>
                <w:rFonts w:ascii="Times New Roman" w:hAnsi="Times New Roman" w:cs="Times New Roman"/>
                <w:sz w:val="20"/>
                <w:szCs w:val="20"/>
              </w:rPr>
              <w:t>LEPCs</w:t>
            </w:r>
          </w:p>
        </w:tc>
        <w:tc>
          <w:tcPr>
            <w:tcW w:w="1020" w:type="dxa"/>
            <w:vAlign w:val="center"/>
          </w:tcPr>
          <w:p w:rsidRPr="00576F93" w:rsidR="00435210" w:rsidP="00576F93" w:rsidRDefault="00161C68" w14:paraId="26644BEF" w14:textId="58E9916D">
            <w:pPr>
              <w:spacing w:after="0" w:line="240" w:lineRule="auto"/>
              <w:ind w:left="94" w:right="49"/>
              <w:jc w:val="center"/>
              <w:rPr>
                <w:rFonts w:ascii="Times New Roman" w:hAnsi="Times New Roman" w:cs="Times New Roman"/>
                <w:sz w:val="20"/>
                <w:szCs w:val="20"/>
              </w:rPr>
            </w:pPr>
            <w:r w:rsidRPr="00576F93">
              <w:rPr>
                <w:rFonts w:ascii="Times New Roman" w:hAnsi="Times New Roman" w:cs="Times New Roman"/>
                <w:color w:val="000000"/>
                <w:sz w:val="20"/>
                <w:szCs w:val="20"/>
              </w:rPr>
              <w:t>$515</w:t>
            </w:r>
          </w:p>
        </w:tc>
        <w:tc>
          <w:tcPr>
            <w:tcW w:w="1190" w:type="dxa"/>
            <w:tcBorders>
              <w:right w:val="single" w:color="000000" w:sz="8" w:space="0"/>
            </w:tcBorders>
            <w:vAlign w:val="center"/>
          </w:tcPr>
          <w:p w:rsidRPr="00576F93" w:rsidR="00435210" w:rsidP="00576F93" w:rsidRDefault="0098457C" w14:paraId="70C1D4C1" w14:textId="04CEA003">
            <w:pPr>
              <w:spacing w:after="0" w:line="240" w:lineRule="auto"/>
              <w:ind w:left="77" w:right="30"/>
              <w:jc w:val="center"/>
              <w:rPr>
                <w:rFonts w:ascii="Times New Roman" w:hAnsi="Times New Roman" w:cs="Times New Roman"/>
                <w:sz w:val="20"/>
                <w:szCs w:val="20"/>
              </w:rPr>
            </w:pPr>
            <w:r w:rsidRPr="00576F93">
              <w:rPr>
                <w:rFonts w:ascii="Times New Roman" w:hAnsi="Times New Roman" w:cs="Times New Roman"/>
                <w:sz w:val="20"/>
                <w:szCs w:val="20"/>
              </w:rPr>
              <w:t>2</w:t>
            </w:r>
            <w:r w:rsidRPr="00576F93" w:rsidR="00825B57">
              <w:rPr>
                <w:rFonts w:ascii="Times New Roman" w:hAnsi="Times New Roman" w:cs="Times New Roman"/>
                <w:sz w:val="20"/>
                <w:szCs w:val="20"/>
              </w:rPr>
              <w:t>,</w:t>
            </w:r>
            <w:r w:rsidRPr="00576F93">
              <w:rPr>
                <w:rFonts w:ascii="Times New Roman" w:hAnsi="Times New Roman" w:cs="Times New Roman"/>
                <w:sz w:val="20"/>
                <w:szCs w:val="20"/>
              </w:rPr>
              <w:t>473</w:t>
            </w:r>
          </w:p>
        </w:tc>
        <w:tc>
          <w:tcPr>
            <w:tcW w:w="1620" w:type="dxa"/>
            <w:tcBorders>
              <w:left w:val="single" w:color="000000" w:sz="8" w:space="0"/>
            </w:tcBorders>
            <w:vAlign w:val="center"/>
          </w:tcPr>
          <w:p w:rsidRPr="00576F93" w:rsidR="00435210" w:rsidP="00576F93" w:rsidRDefault="002E4DFD" w14:paraId="570BF483" w14:textId="3A79B783">
            <w:pPr>
              <w:spacing w:after="0" w:line="240" w:lineRule="auto"/>
              <w:ind w:left="91" w:right="49"/>
              <w:jc w:val="center"/>
              <w:rPr>
                <w:rFonts w:ascii="Times New Roman" w:hAnsi="Times New Roman" w:cs="Times New Roman"/>
                <w:sz w:val="20"/>
                <w:szCs w:val="20"/>
              </w:rPr>
            </w:pPr>
            <w:r w:rsidRPr="00576F93">
              <w:rPr>
                <w:rFonts w:ascii="Times New Roman" w:hAnsi="Times New Roman" w:cs="Times New Roman"/>
                <w:color w:val="000000"/>
                <w:sz w:val="20"/>
                <w:szCs w:val="20"/>
              </w:rPr>
              <w:t>$1,274,37</w:t>
            </w:r>
            <w:r w:rsidRPr="00576F93" w:rsidR="008374EB">
              <w:rPr>
                <w:rFonts w:ascii="Times New Roman" w:hAnsi="Times New Roman" w:cs="Times New Roman"/>
                <w:color w:val="000000"/>
                <w:sz w:val="20"/>
                <w:szCs w:val="20"/>
              </w:rPr>
              <w:t>8</w:t>
            </w:r>
          </w:p>
        </w:tc>
      </w:tr>
      <w:tr w:rsidRPr="00BF4D0A" w:rsidR="00435210" w:rsidTr="00576F93" w14:paraId="3EE6B8C4" w14:textId="77777777">
        <w:trPr>
          <w:trHeight w:val="285"/>
        </w:trPr>
        <w:tc>
          <w:tcPr>
            <w:tcW w:w="3370" w:type="dxa"/>
            <w:tcBorders>
              <w:left w:val="single" w:color="000000" w:sz="8" w:space="0"/>
            </w:tcBorders>
            <w:vAlign w:val="center"/>
          </w:tcPr>
          <w:p w:rsidRPr="00576F93" w:rsidR="00435210" w:rsidP="00D21E4B" w:rsidRDefault="00435210" w14:paraId="7F791337" w14:textId="77777777">
            <w:pPr>
              <w:spacing w:after="0" w:line="240" w:lineRule="auto"/>
              <w:ind w:left="125"/>
              <w:rPr>
                <w:rFonts w:ascii="Times New Roman" w:hAnsi="Times New Roman" w:cs="Times New Roman"/>
                <w:sz w:val="20"/>
                <w:szCs w:val="20"/>
              </w:rPr>
            </w:pPr>
            <w:r w:rsidRPr="00576F93">
              <w:rPr>
                <w:rFonts w:ascii="Times New Roman" w:hAnsi="Times New Roman" w:cs="Times New Roman"/>
                <w:sz w:val="20"/>
                <w:szCs w:val="20"/>
              </w:rPr>
              <w:t>Delegated Implementing Agencies</w:t>
            </w:r>
          </w:p>
        </w:tc>
        <w:tc>
          <w:tcPr>
            <w:tcW w:w="1020" w:type="dxa"/>
            <w:vAlign w:val="center"/>
          </w:tcPr>
          <w:p w:rsidRPr="00576F93" w:rsidR="00435210" w:rsidP="00576F93" w:rsidRDefault="00161C68" w14:paraId="62E32A6D" w14:textId="4F5AC83F">
            <w:pPr>
              <w:spacing w:after="0" w:line="240" w:lineRule="auto"/>
              <w:ind w:left="94"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$412</w:t>
            </w:r>
          </w:p>
        </w:tc>
        <w:tc>
          <w:tcPr>
            <w:tcW w:w="1190" w:type="dxa"/>
            <w:tcBorders>
              <w:right w:val="single" w:color="000000" w:sz="8" w:space="0"/>
            </w:tcBorders>
            <w:vAlign w:val="center"/>
          </w:tcPr>
          <w:p w:rsidRPr="00576F93" w:rsidR="00435210" w:rsidP="00576F93" w:rsidRDefault="00435210" w14:paraId="3FDF904F" w14:textId="2298082B">
            <w:pPr>
              <w:spacing w:after="0" w:line="240" w:lineRule="auto"/>
              <w:ind w:left="77" w:right="30"/>
              <w:jc w:val="center"/>
              <w:rPr>
                <w:rFonts w:ascii="Times New Roman" w:hAnsi="Times New Roman" w:cs="Times New Roman"/>
                <w:sz w:val="20"/>
                <w:szCs w:val="20"/>
              </w:rPr>
            </w:pPr>
            <w:r w:rsidRPr="00576F93">
              <w:rPr>
                <w:rFonts w:ascii="Times New Roman" w:hAnsi="Times New Roman" w:cs="Times New Roman"/>
                <w:sz w:val="20"/>
                <w:szCs w:val="20"/>
              </w:rPr>
              <w:t>1</w:t>
            </w:r>
            <w:r w:rsidRPr="00576F93" w:rsidR="007335A7">
              <w:rPr>
                <w:rFonts w:ascii="Times New Roman" w:hAnsi="Times New Roman" w:cs="Times New Roman"/>
                <w:sz w:val="20"/>
                <w:szCs w:val="20"/>
              </w:rPr>
              <w:t>3</w:t>
            </w:r>
          </w:p>
        </w:tc>
        <w:tc>
          <w:tcPr>
            <w:tcW w:w="1620" w:type="dxa"/>
            <w:tcBorders>
              <w:left w:val="single" w:color="000000" w:sz="8" w:space="0"/>
            </w:tcBorders>
            <w:vAlign w:val="center"/>
          </w:tcPr>
          <w:p w:rsidRPr="00576F93" w:rsidR="00435210" w:rsidP="00576F93" w:rsidRDefault="002E4DFD" w14:paraId="7EAFF213" w14:textId="6666EAD5">
            <w:pPr>
              <w:spacing w:after="0" w:line="240" w:lineRule="auto"/>
              <w:ind w:left="91" w:right="34"/>
              <w:jc w:val="center"/>
              <w:rPr>
                <w:rFonts w:ascii="Times New Roman" w:hAnsi="Times New Roman" w:cs="Times New Roman"/>
                <w:sz w:val="20"/>
                <w:szCs w:val="20"/>
              </w:rPr>
            </w:pPr>
            <w:r w:rsidRPr="00576F93">
              <w:rPr>
                <w:rFonts w:ascii="Times New Roman" w:hAnsi="Times New Roman" w:cs="Times New Roman"/>
                <w:color w:val="000000"/>
                <w:sz w:val="20"/>
                <w:szCs w:val="20"/>
              </w:rPr>
              <w:t>$5,359</w:t>
            </w:r>
          </w:p>
        </w:tc>
      </w:tr>
      <w:tr w:rsidRPr="00BF4D0A" w:rsidR="00435210" w:rsidTr="00576F93" w14:paraId="07212F49" w14:textId="77777777">
        <w:trPr>
          <w:trHeight w:val="282"/>
        </w:trPr>
        <w:tc>
          <w:tcPr>
            <w:tcW w:w="3370" w:type="dxa"/>
            <w:tcBorders>
              <w:left w:val="single" w:color="000000" w:sz="8" w:space="0"/>
              <w:bottom w:val="single" w:color="000000" w:sz="8" w:space="0"/>
            </w:tcBorders>
            <w:vAlign w:val="center"/>
          </w:tcPr>
          <w:p w:rsidRPr="00576F93" w:rsidR="00435210" w:rsidP="00576F93" w:rsidRDefault="00435210" w14:paraId="344B0667" w14:textId="77777777">
            <w:pPr>
              <w:spacing w:after="0" w:line="240" w:lineRule="auto"/>
              <w:ind w:left="1340" w:right="1292"/>
              <w:jc w:val="center"/>
              <w:rPr>
                <w:rFonts w:ascii="Times New Roman" w:hAnsi="Times New Roman" w:cs="Times New Roman"/>
                <w:b/>
                <w:sz w:val="20"/>
                <w:szCs w:val="20"/>
              </w:rPr>
            </w:pPr>
            <w:r w:rsidRPr="00576F93">
              <w:rPr>
                <w:rFonts w:ascii="Times New Roman" w:hAnsi="Times New Roman" w:cs="Times New Roman"/>
                <w:b/>
                <w:sz w:val="20"/>
                <w:szCs w:val="20"/>
              </w:rPr>
              <w:t>Total</w:t>
            </w:r>
          </w:p>
        </w:tc>
        <w:tc>
          <w:tcPr>
            <w:tcW w:w="1020" w:type="dxa"/>
            <w:tcBorders>
              <w:bottom w:val="single" w:color="000000" w:sz="8" w:space="0"/>
            </w:tcBorders>
            <w:vAlign w:val="center"/>
          </w:tcPr>
          <w:p w:rsidRPr="00576F93" w:rsidR="00435210" w:rsidP="00576F93" w:rsidRDefault="00435210" w14:paraId="3D417708" w14:textId="77777777">
            <w:pPr>
              <w:spacing w:after="0" w:line="240" w:lineRule="auto"/>
              <w:jc w:val="center"/>
              <w:rPr>
                <w:rFonts w:ascii="Times New Roman" w:hAnsi="Times New Roman" w:cs="Times New Roman"/>
                <w:sz w:val="20"/>
                <w:szCs w:val="20"/>
              </w:rPr>
            </w:pPr>
          </w:p>
        </w:tc>
        <w:tc>
          <w:tcPr>
            <w:tcW w:w="1190" w:type="dxa"/>
            <w:tcBorders>
              <w:bottom w:val="single" w:color="000000" w:sz="8" w:space="0"/>
              <w:right w:val="single" w:color="000000" w:sz="8" w:space="0"/>
            </w:tcBorders>
            <w:vAlign w:val="center"/>
          </w:tcPr>
          <w:p w:rsidRPr="00576F93" w:rsidR="00435210" w:rsidP="00576F93" w:rsidRDefault="00435210" w14:paraId="1380510A" w14:textId="2838502D">
            <w:pPr>
              <w:spacing w:after="0" w:line="240" w:lineRule="auto"/>
              <w:ind w:left="77" w:right="45"/>
              <w:jc w:val="center"/>
              <w:rPr>
                <w:rFonts w:ascii="Times New Roman" w:hAnsi="Times New Roman" w:cs="Times New Roman"/>
                <w:b/>
                <w:sz w:val="20"/>
                <w:szCs w:val="20"/>
              </w:rPr>
            </w:pPr>
            <w:r w:rsidRPr="00576F93">
              <w:rPr>
                <w:rFonts w:ascii="Times New Roman" w:hAnsi="Times New Roman" w:cs="Times New Roman"/>
                <w:b/>
                <w:sz w:val="20"/>
                <w:szCs w:val="20"/>
              </w:rPr>
              <w:t>14,2</w:t>
            </w:r>
            <w:r w:rsidRPr="00576F93" w:rsidR="000F7061">
              <w:rPr>
                <w:rFonts w:ascii="Times New Roman" w:hAnsi="Times New Roman" w:cs="Times New Roman"/>
                <w:b/>
                <w:sz w:val="20"/>
                <w:szCs w:val="20"/>
              </w:rPr>
              <w:t>2</w:t>
            </w:r>
            <w:r w:rsidRPr="00576F93">
              <w:rPr>
                <w:rFonts w:ascii="Times New Roman" w:hAnsi="Times New Roman" w:cs="Times New Roman"/>
                <w:b/>
                <w:sz w:val="20"/>
                <w:szCs w:val="20"/>
              </w:rPr>
              <w:t>6</w:t>
            </w:r>
          </w:p>
        </w:tc>
        <w:tc>
          <w:tcPr>
            <w:tcW w:w="1620" w:type="dxa"/>
            <w:tcBorders>
              <w:left w:val="single" w:color="000000" w:sz="8" w:space="0"/>
              <w:bottom w:val="single" w:color="000000" w:sz="8" w:space="0"/>
            </w:tcBorders>
            <w:vAlign w:val="center"/>
          </w:tcPr>
          <w:p w:rsidRPr="00576F93" w:rsidR="00435210" w:rsidP="00576F93" w:rsidRDefault="002E4DFD" w14:paraId="3CB1AC06" w14:textId="275ADA60">
            <w:pPr>
              <w:spacing w:after="0" w:line="240" w:lineRule="auto"/>
              <w:ind w:left="91" w:right="49"/>
              <w:jc w:val="center"/>
              <w:rPr>
                <w:rFonts w:ascii="Times New Roman" w:hAnsi="Times New Roman" w:cs="Times New Roman"/>
                <w:b/>
                <w:sz w:val="20"/>
                <w:szCs w:val="20"/>
              </w:rPr>
            </w:pPr>
            <w:r w:rsidRPr="00576F93">
              <w:rPr>
                <w:rFonts w:ascii="Times New Roman" w:hAnsi="Times New Roman" w:cs="Times New Roman"/>
                <w:b/>
                <w:color w:val="000000"/>
                <w:sz w:val="20"/>
                <w:szCs w:val="20"/>
              </w:rPr>
              <w:t>$46,544,12</w:t>
            </w:r>
            <w:r w:rsidRPr="00576F93" w:rsidR="008374EB">
              <w:rPr>
                <w:rFonts w:ascii="Times New Roman" w:hAnsi="Times New Roman" w:cs="Times New Roman"/>
                <w:b/>
                <w:color w:val="000000"/>
                <w:sz w:val="20"/>
                <w:szCs w:val="20"/>
              </w:rPr>
              <w:t>4</w:t>
            </w:r>
          </w:p>
        </w:tc>
      </w:tr>
    </w:tbl>
    <w:p w:rsidRPr="00BF4D0A" w:rsidR="00435210" w:rsidP="00576F93" w:rsidRDefault="00435210" w14:paraId="1F1FB37A" w14:textId="77777777">
      <w:pPr>
        <w:spacing w:after="0" w:line="240" w:lineRule="auto"/>
        <w:rPr>
          <w:rFonts w:ascii="Times New Roman" w:hAnsi="Times New Roman" w:cs="Times New Roman"/>
          <w:b/>
        </w:rPr>
      </w:pPr>
    </w:p>
    <w:p w:rsidRPr="00BF4D0A" w:rsidR="00435210" w:rsidP="00813745" w:rsidRDefault="000409BE" w14:paraId="1E350C64" w14:textId="674B46D0">
      <w:pPr>
        <w:pStyle w:val="Heading2"/>
      </w:pPr>
      <w:bookmarkStart w:name="5.3_Prevention_Program_Rule_Provisions" w:id="72"/>
      <w:bookmarkStart w:name="_bookmark73" w:id="73"/>
      <w:bookmarkStart w:name="_Toc98856222" w:id="74"/>
      <w:bookmarkStart w:name="_Toc110502753" w:id="75"/>
      <w:bookmarkEnd w:id="72"/>
      <w:bookmarkEnd w:id="73"/>
      <w:r w:rsidRPr="00BF4D0A">
        <w:t xml:space="preserve">5.3 </w:t>
      </w:r>
      <w:r w:rsidRPr="00BF4D0A" w:rsidR="00435210">
        <w:t>Prevention</w:t>
      </w:r>
      <w:r w:rsidRPr="00BF4D0A" w:rsidR="00435210">
        <w:rPr>
          <w:spacing w:val="-22"/>
        </w:rPr>
        <w:t xml:space="preserve"> </w:t>
      </w:r>
      <w:r w:rsidRPr="00BF4D0A" w:rsidR="00435210">
        <w:t>Program</w:t>
      </w:r>
      <w:r w:rsidRPr="00BF4D0A" w:rsidR="00435210">
        <w:rPr>
          <w:spacing w:val="-25"/>
        </w:rPr>
        <w:t xml:space="preserve"> </w:t>
      </w:r>
      <w:r w:rsidRPr="00BF4D0A" w:rsidR="00435210">
        <w:t>Rule</w:t>
      </w:r>
      <w:r w:rsidRPr="00BF4D0A" w:rsidR="00435210">
        <w:rPr>
          <w:spacing w:val="-11"/>
        </w:rPr>
        <w:t xml:space="preserve"> </w:t>
      </w:r>
      <w:r w:rsidRPr="00BF4D0A" w:rsidR="00435210">
        <w:t>Provisions</w:t>
      </w:r>
      <w:bookmarkEnd w:id="74"/>
      <w:bookmarkEnd w:id="75"/>
    </w:p>
    <w:bookmarkEnd w:id="71"/>
    <w:p w:rsidRPr="00142C57" w:rsidR="000257ED" w:rsidP="000257ED" w:rsidRDefault="000257ED" w14:paraId="3FF4710E" w14:textId="77777777">
      <w:pPr>
        <w:spacing w:after="0" w:line="240" w:lineRule="auto"/>
        <w:rPr>
          <w:rFonts w:ascii="Times New Roman" w:hAnsi="Times New Roman" w:cs="Times New Roman"/>
          <w:bCs/>
          <w:i/>
          <w:iCs/>
        </w:rPr>
      </w:pPr>
      <w:r w:rsidRPr="00142C57">
        <w:rPr>
          <w:rFonts w:ascii="Times New Roman" w:hAnsi="Times New Roman" w:cs="Times New Roman"/>
          <w:bCs/>
          <w:i/>
          <w:iCs/>
        </w:rPr>
        <w:t>Safer Technology Alternatives Analysis (STAA)</w:t>
      </w:r>
    </w:p>
    <w:p w:rsidRPr="00BF4D0A" w:rsidR="000257ED" w:rsidP="000257ED" w:rsidRDefault="000257ED" w14:paraId="1FA1FDD4" w14:textId="28DB525D">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The RMP rule currently does not require facilities to conduct a STAA.</w:t>
      </w:r>
      <w:r>
        <w:rPr>
          <w:rFonts w:ascii="Times New Roman" w:hAnsi="Times New Roman" w:cs="Times New Roman"/>
          <w:iCs/>
        </w:rPr>
        <w:t xml:space="preserve"> </w:t>
      </w:r>
      <w:r w:rsidRPr="00BF4D0A">
        <w:rPr>
          <w:rFonts w:ascii="Times New Roman" w:hAnsi="Times New Roman" w:cs="Times New Roman"/>
        </w:rPr>
        <w:t xml:space="preserve">The proposed rule’s STAA provision would apply to a subset of processes – those in NAICS 324 (petroleum and coal products manufacturing) and 325 (chemical manufacturing) that either have an HF unit or are within one mile of another facility with processes in NAICS 324 or 325. The provision would require owners/operators to conduct an initial evaluation and practicability study of potential safer technologies every five years as part of the PHA. EPA believes States with existing requirements </w:t>
      </w:r>
      <w:proofErr w:type="gramStart"/>
      <w:r w:rsidRPr="00BF4D0A">
        <w:rPr>
          <w:rFonts w:ascii="Times New Roman" w:hAnsi="Times New Roman" w:cs="Times New Roman"/>
        </w:rPr>
        <w:t>similar to</w:t>
      </w:r>
      <w:proofErr w:type="gramEnd"/>
      <w:r w:rsidRPr="00BF4D0A">
        <w:rPr>
          <w:rFonts w:ascii="Times New Roman" w:hAnsi="Times New Roman" w:cs="Times New Roman"/>
        </w:rPr>
        <w:t xml:space="preserve"> the proposed STAA requirement are likely already conducting activities that would satisfy EPA’s proposed requirement. EPA </w:t>
      </w:r>
      <w:r w:rsidRPr="00BF4D0A" w:rsidDel="003446B9">
        <w:rPr>
          <w:rFonts w:ascii="Times New Roman" w:hAnsi="Times New Roman" w:cs="Times New Roman"/>
        </w:rPr>
        <w:t>also</w:t>
      </w:r>
      <w:r w:rsidRPr="00BF4D0A">
        <w:rPr>
          <w:rFonts w:ascii="Times New Roman" w:hAnsi="Times New Roman" w:cs="Times New Roman"/>
        </w:rPr>
        <w:t xml:space="preserve"> believes this cost would be reduced over 10 years after the first five-year PHA cycle because after the initial PHA, EPA requires owner/operators to update and revalidate a PHA to ensure that the PHA is consistent with the current processes. This is a much less costly activity than conducting the initial PHA and STAA. In order to estimate costs conservatively, EPA estimates this cost as identical in both the </w:t>
      </w:r>
      <w:proofErr w:type="gramStart"/>
      <w:r w:rsidRPr="00BF4D0A">
        <w:rPr>
          <w:rFonts w:ascii="Times New Roman" w:hAnsi="Times New Roman" w:cs="Times New Roman"/>
        </w:rPr>
        <w:t>first and second year</w:t>
      </w:r>
      <w:proofErr w:type="gramEnd"/>
      <w:r w:rsidRPr="00BF4D0A">
        <w:rPr>
          <w:rFonts w:ascii="Times New Roman" w:hAnsi="Times New Roman" w:cs="Times New Roman"/>
        </w:rPr>
        <w:t xml:space="preserve"> cycles in the period of analysis</w:t>
      </w:r>
      <w:r w:rsidRPr="00BF4D0A" w:rsidDel="003446B9">
        <w:rPr>
          <w:rFonts w:ascii="Times New Roman" w:hAnsi="Times New Roman" w:cs="Times New Roman"/>
        </w:rPr>
        <w:t>.</w:t>
      </w:r>
      <w:r w:rsidRPr="00BF4D0A">
        <w:rPr>
          <w:rFonts w:ascii="Times New Roman" w:hAnsi="Times New Roman" w:cs="Times New Roman"/>
        </w:rPr>
        <w:t xml:space="preserve"> EPA is not proposing to require implementation of </w:t>
      </w:r>
      <w:r w:rsidRPr="00BF4D0A" w:rsidDel="003446B9">
        <w:rPr>
          <w:rFonts w:ascii="Times New Roman" w:hAnsi="Times New Roman" w:cs="Times New Roman"/>
        </w:rPr>
        <w:t xml:space="preserve">any </w:t>
      </w:r>
      <w:proofErr w:type="gramStart"/>
      <w:r w:rsidRPr="00BF4D0A" w:rsidDel="003446B9">
        <w:rPr>
          <w:rFonts w:ascii="Times New Roman" w:hAnsi="Times New Roman" w:cs="Times New Roman"/>
        </w:rPr>
        <w:t>particular</w:t>
      </w:r>
      <w:r w:rsidRPr="00BF4D0A">
        <w:rPr>
          <w:rFonts w:ascii="Times New Roman" w:hAnsi="Times New Roman" w:cs="Times New Roman"/>
        </w:rPr>
        <w:t xml:space="preserve"> alternative</w:t>
      </w:r>
      <w:proofErr w:type="gramEnd"/>
      <w:r w:rsidRPr="00BF4D0A">
        <w:rPr>
          <w:rFonts w:ascii="Times New Roman" w:hAnsi="Times New Roman" w:cs="Times New Roman"/>
        </w:rPr>
        <w:t xml:space="preserve"> technologies identified in the STAA. Exhibit 5-</w:t>
      </w:r>
      <w:r w:rsidR="00C84234">
        <w:rPr>
          <w:rFonts w:ascii="Times New Roman" w:hAnsi="Times New Roman" w:cs="Times New Roman"/>
        </w:rPr>
        <w:t>2</w:t>
      </w:r>
      <w:r w:rsidRPr="00BF4D0A">
        <w:rPr>
          <w:rFonts w:ascii="Times New Roman" w:hAnsi="Times New Roman" w:cs="Times New Roman"/>
        </w:rPr>
        <w:t xml:space="preserve"> presents the estimated costs for the provision.</w:t>
      </w:r>
      <w:r>
        <w:br/>
      </w:r>
    </w:p>
    <w:p w:rsidR="000257ED" w:rsidP="000257ED" w:rsidRDefault="000257ED" w14:paraId="24937C65" w14:textId="5309FD08">
      <w:pPr>
        <w:pStyle w:val="Caption"/>
        <w:jc w:val="center"/>
      </w:pPr>
      <w:r w:rsidRPr="00B87FD9">
        <w:rPr>
          <w:rFonts w:ascii="Times New Roman" w:hAnsi="Times New Roman" w:cs="Times New Roman"/>
          <w:b/>
          <w:bCs/>
          <w:i w:val="0"/>
          <w:iCs w:val="0"/>
          <w:color w:val="auto"/>
          <w:sz w:val="22"/>
          <w:szCs w:val="22"/>
        </w:rPr>
        <w:t xml:space="preserve">Exhibit </w:t>
      </w:r>
      <w:r w:rsidRPr="00D21E4B">
        <w:rPr>
          <w:rFonts w:ascii="Times New Roman" w:hAnsi="Times New Roman" w:cs="Times New Roman"/>
          <w:b/>
          <w:bCs/>
          <w:i w:val="0"/>
          <w:iCs w:val="0"/>
          <w:color w:val="auto"/>
          <w:sz w:val="22"/>
          <w:szCs w:val="22"/>
        </w:rPr>
        <w:t>5-</w:t>
      </w:r>
      <w:r w:rsidR="00C84234">
        <w:rPr>
          <w:rFonts w:ascii="Times New Roman" w:hAnsi="Times New Roman" w:cs="Times New Roman"/>
          <w:b/>
          <w:bCs/>
          <w:i w:val="0"/>
          <w:iCs w:val="0"/>
          <w:color w:val="auto"/>
          <w:sz w:val="22"/>
          <w:szCs w:val="22"/>
        </w:rPr>
        <w:t>2</w:t>
      </w:r>
      <w:r w:rsidRPr="00D21E4B">
        <w:rPr>
          <w:rFonts w:ascii="Times New Roman" w:hAnsi="Times New Roman" w:cs="Times New Roman"/>
          <w:b/>
          <w:bCs/>
          <w:i w:val="0"/>
          <w:iCs w:val="0"/>
          <w:color w:val="auto"/>
          <w:sz w:val="22"/>
          <w:szCs w:val="22"/>
        </w:rPr>
        <w:t xml:space="preserve">: Estimated Annualized Costs for STAA Provision (2020 </w:t>
      </w:r>
      <w:r w:rsidR="004D2850">
        <w:rPr>
          <w:rFonts w:ascii="Times New Roman" w:hAnsi="Times New Roman" w:cs="Times New Roman"/>
          <w:b/>
          <w:bCs/>
          <w:i w:val="0"/>
          <w:iCs w:val="0"/>
          <w:color w:val="auto"/>
          <w:sz w:val="22"/>
          <w:szCs w:val="22"/>
        </w:rPr>
        <w:t>d</w:t>
      </w:r>
      <w:r w:rsidRPr="00D21E4B">
        <w:rPr>
          <w:rFonts w:ascii="Times New Roman" w:hAnsi="Times New Roman" w:cs="Times New Roman"/>
          <w:b/>
          <w:bCs/>
          <w:i w:val="0"/>
          <w:iCs w:val="0"/>
          <w:color w:val="auto"/>
          <w:sz w:val="22"/>
          <w:szCs w:val="22"/>
        </w:rPr>
        <w:t>ollars).</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520"/>
        <w:gridCol w:w="1080"/>
        <w:gridCol w:w="1170"/>
        <w:gridCol w:w="1170"/>
        <w:gridCol w:w="1534"/>
        <w:gridCol w:w="7"/>
      </w:tblGrid>
      <w:tr w:rsidRPr="00BF4D0A" w:rsidR="000257ED" w:rsidTr="00E6210A" w14:paraId="1A11A617" w14:textId="77777777">
        <w:trPr>
          <w:gridAfter w:val="1"/>
          <w:wAfter w:w="7" w:type="dxa"/>
          <w:trHeight w:val="537"/>
          <w:jc w:val="center"/>
        </w:trPr>
        <w:tc>
          <w:tcPr>
            <w:tcW w:w="2520" w:type="dxa"/>
            <w:tcBorders>
              <w:bottom w:val="single" w:color="000000" w:sz="8" w:space="0"/>
            </w:tcBorders>
            <w:shd w:val="clear" w:color="auto" w:fill="DADADA"/>
            <w:vAlign w:val="center"/>
          </w:tcPr>
          <w:p w:rsidRPr="00D21E4B" w:rsidR="000257ED" w:rsidP="00E6210A" w:rsidRDefault="000257ED" w14:paraId="4917E204" w14:textId="77777777">
            <w:pPr>
              <w:keepNext/>
              <w:spacing w:after="0" w:line="240" w:lineRule="auto"/>
              <w:ind w:left="183" w:right="171"/>
              <w:jc w:val="center"/>
              <w:rPr>
                <w:rFonts w:ascii="Times New Roman" w:hAnsi="Times New Roman" w:cs="Times New Roman"/>
                <w:b/>
                <w:sz w:val="20"/>
                <w:szCs w:val="20"/>
              </w:rPr>
            </w:pPr>
            <w:r w:rsidRPr="00D21E4B">
              <w:rPr>
                <w:rFonts w:ascii="Times New Roman" w:hAnsi="Times New Roman" w:cs="Times New Roman"/>
                <w:b/>
                <w:sz w:val="20"/>
                <w:szCs w:val="20"/>
              </w:rPr>
              <w:t>Facility Type</w:t>
            </w:r>
          </w:p>
        </w:tc>
        <w:tc>
          <w:tcPr>
            <w:tcW w:w="1080" w:type="dxa"/>
            <w:tcBorders>
              <w:bottom w:val="single" w:color="000000" w:sz="8" w:space="0"/>
            </w:tcBorders>
            <w:shd w:val="clear" w:color="auto" w:fill="DADADA"/>
            <w:vAlign w:val="center"/>
          </w:tcPr>
          <w:p w:rsidRPr="00D21E4B" w:rsidR="000257ED" w:rsidP="00E6210A" w:rsidRDefault="000257ED" w14:paraId="34469D8D" w14:textId="77777777">
            <w:pPr>
              <w:keepNext/>
              <w:spacing w:after="0" w:line="240" w:lineRule="auto"/>
              <w:ind w:left="93" w:right="57"/>
              <w:jc w:val="center"/>
              <w:rPr>
                <w:rFonts w:ascii="Times New Roman" w:hAnsi="Times New Roman" w:cs="Times New Roman"/>
                <w:b/>
                <w:sz w:val="20"/>
                <w:szCs w:val="20"/>
              </w:rPr>
            </w:pPr>
            <w:r w:rsidRPr="00D21E4B">
              <w:rPr>
                <w:rFonts w:ascii="Times New Roman" w:hAnsi="Times New Roman" w:cs="Times New Roman"/>
                <w:b/>
                <w:sz w:val="20"/>
                <w:szCs w:val="20"/>
              </w:rPr>
              <w:t>Annual</w:t>
            </w:r>
          </w:p>
          <w:p w:rsidRPr="00D21E4B" w:rsidR="000257ED" w:rsidP="00E6210A" w:rsidRDefault="000257ED" w14:paraId="14170BDB" w14:textId="77777777">
            <w:pPr>
              <w:keepNext/>
              <w:spacing w:after="0" w:line="240" w:lineRule="auto"/>
              <w:ind w:left="88" w:right="64"/>
              <w:jc w:val="center"/>
              <w:rPr>
                <w:rFonts w:ascii="Times New Roman" w:hAnsi="Times New Roman" w:cs="Times New Roman"/>
                <w:b/>
                <w:sz w:val="20"/>
                <w:szCs w:val="20"/>
              </w:rPr>
            </w:pPr>
            <w:r w:rsidRPr="00D21E4B">
              <w:rPr>
                <w:rFonts w:ascii="Times New Roman" w:hAnsi="Times New Roman" w:cs="Times New Roman"/>
                <w:b/>
                <w:sz w:val="20"/>
                <w:szCs w:val="20"/>
              </w:rPr>
              <w:t>Frequency</w:t>
            </w:r>
          </w:p>
        </w:tc>
        <w:tc>
          <w:tcPr>
            <w:tcW w:w="1170" w:type="dxa"/>
            <w:tcBorders>
              <w:bottom w:val="single" w:color="000000" w:sz="8" w:space="0"/>
            </w:tcBorders>
            <w:shd w:val="clear" w:color="auto" w:fill="DADADA"/>
            <w:vAlign w:val="center"/>
          </w:tcPr>
          <w:p w:rsidRPr="00D21E4B" w:rsidR="000257ED" w:rsidP="00E6210A" w:rsidRDefault="000257ED" w14:paraId="532E9E09" w14:textId="77777777">
            <w:pPr>
              <w:keepNext/>
              <w:spacing w:after="0" w:line="240" w:lineRule="auto"/>
              <w:ind w:left="93"/>
              <w:jc w:val="center"/>
              <w:rPr>
                <w:rFonts w:ascii="Times New Roman" w:hAnsi="Times New Roman" w:cs="Times New Roman"/>
                <w:b/>
                <w:sz w:val="20"/>
                <w:szCs w:val="20"/>
              </w:rPr>
            </w:pPr>
            <w:r w:rsidRPr="00D21E4B">
              <w:rPr>
                <w:rFonts w:ascii="Times New Roman" w:hAnsi="Times New Roman" w:cs="Times New Roman"/>
                <w:b/>
                <w:sz w:val="20"/>
                <w:szCs w:val="20"/>
              </w:rPr>
              <w:t>Unit Cost</w:t>
            </w:r>
          </w:p>
        </w:tc>
        <w:tc>
          <w:tcPr>
            <w:tcW w:w="1170" w:type="dxa"/>
            <w:tcBorders>
              <w:bottom w:val="single" w:color="000000" w:sz="8" w:space="0"/>
            </w:tcBorders>
            <w:shd w:val="clear" w:color="auto" w:fill="DADADA"/>
            <w:vAlign w:val="center"/>
          </w:tcPr>
          <w:p w:rsidRPr="00D21E4B" w:rsidR="000257ED" w:rsidP="00E6210A" w:rsidRDefault="000257ED" w14:paraId="3E719211" w14:textId="77777777">
            <w:pPr>
              <w:keepNext/>
              <w:spacing w:after="0" w:line="240" w:lineRule="auto"/>
              <w:ind w:left="98" w:right="76"/>
              <w:jc w:val="center"/>
              <w:rPr>
                <w:rFonts w:ascii="Times New Roman" w:hAnsi="Times New Roman" w:cs="Times New Roman"/>
                <w:b/>
                <w:sz w:val="20"/>
                <w:szCs w:val="20"/>
              </w:rPr>
            </w:pPr>
            <w:r w:rsidRPr="00D21E4B">
              <w:rPr>
                <w:rFonts w:ascii="Times New Roman" w:hAnsi="Times New Roman" w:cs="Times New Roman"/>
                <w:b/>
                <w:sz w:val="20"/>
                <w:szCs w:val="20"/>
              </w:rPr>
              <w:t>Processes</w:t>
            </w:r>
          </w:p>
        </w:tc>
        <w:tc>
          <w:tcPr>
            <w:tcW w:w="1534" w:type="dxa"/>
            <w:tcBorders>
              <w:bottom w:val="single" w:color="000000" w:sz="8" w:space="0"/>
            </w:tcBorders>
            <w:shd w:val="clear" w:color="auto" w:fill="DADADA"/>
            <w:vAlign w:val="center"/>
          </w:tcPr>
          <w:p w:rsidRPr="00D21E4B" w:rsidR="000257ED" w:rsidP="00E6210A" w:rsidRDefault="000257ED" w14:paraId="25FD6501" w14:textId="77777777">
            <w:pPr>
              <w:keepNext/>
              <w:spacing w:after="0" w:line="240" w:lineRule="auto"/>
              <w:ind w:left="91" w:right="55"/>
              <w:jc w:val="center"/>
              <w:rPr>
                <w:rFonts w:ascii="Times New Roman" w:hAnsi="Times New Roman" w:cs="Times New Roman"/>
                <w:b/>
                <w:sz w:val="20"/>
                <w:szCs w:val="20"/>
              </w:rPr>
            </w:pPr>
            <w:r w:rsidRPr="00D21E4B">
              <w:rPr>
                <w:rFonts w:ascii="Times New Roman" w:hAnsi="Times New Roman" w:cs="Times New Roman"/>
                <w:b/>
                <w:sz w:val="20"/>
                <w:szCs w:val="20"/>
              </w:rPr>
              <w:t>Total Annualized</w:t>
            </w:r>
          </w:p>
          <w:p w:rsidRPr="00D21E4B" w:rsidR="000257ED" w:rsidP="00E6210A" w:rsidRDefault="000257ED" w14:paraId="05188E24" w14:textId="77777777">
            <w:pPr>
              <w:keepNext/>
              <w:spacing w:after="0" w:line="240" w:lineRule="auto"/>
              <w:ind w:left="82" w:right="55"/>
              <w:jc w:val="center"/>
              <w:rPr>
                <w:rFonts w:ascii="Times New Roman" w:hAnsi="Times New Roman" w:cs="Times New Roman"/>
                <w:b/>
                <w:sz w:val="20"/>
                <w:szCs w:val="20"/>
              </w:rPr>
            </w:pPr>
            <w:r w:rsidRPr="00D21E4B">
              <w:rPr>
                <w:rFonts w:ascii="Times New Roman" w:hAnsi="Times New Roman" w:cs="Times New Roman"/>
                <w:b/>
                <w:sz w:val="20"/>
                <w:szCs w:val="20"/>
              </w:rPr>
              <w:t>Cost</w:t>
            </w:r>
          </w:p>
        </w:tc>
      </w:tr>
      <w:tr w:rsidRPr="00BF4D0A" w:rsidR="000257ED" w:rsidTr="00E6210A" w14:paraId="3072B2B9" w14:textId="77777777">
        <w:trPr>
          <w:trHeight w:val="295"/>
          <w:jc w:val="center"/>
        </w:trPr>
        <w:tc>
          <w:tcPr>
            <w:tcW w:w="7481" w:type="dxa"/>
            <w:gridSpan w:val="6"/>
            <w:tcBorders>
              <w:top w:val="single" w:color="000000" w:sz="8" w:space="0"/>
              <w:bottom w:val="single" w:color="000000" w:sz="8" w:space="0"/>
            </w:tcBorders>
            <w:shd w:val="clear" w:color="auto" w:fill="F2F2F2"/>
            <w:vAlign w:val="center"/>
          </w:tcPr>
          <w:p w:rsidRPr="00D21E4B" w:rsidR="000257ED" w:rsidP="00E6210A" w:rsidRDefault="000257ED" w14:paraId="321D7DDF" w14:textId="77777777">
            <w:pPr>
              <w:keepNext/>
              <w:spacing w:after="0" w:line="240" w:lineRule="auto"/>
              <w:ind w:left="183" w:right="83"/>
              <w:rPr>
                <w:rFonts w:ascii="Times New Roman" w:hAnsi="Times New Roman" w:cs="Times New Roman"/>
                <w:b/>
                <w:sz w:val="20"/>
                <w:szCs w:val="20"/>
              </w:rPr>
            </w:pPr>
            <w:r w:rsidRPr="00D21E4B">
              <w:rPr>
                <w:rFonts w:ascii="Times New Roman" w:hAnsi="Times New Roman" w:cs="Times New Roman"/>
                <w:b/>
                <w:sz w:val="20"/>
                <w:szCs w:val="20"/>
              </w:rPr>
              <w:t>Initial Phase Analysis</w:t>
            </w:r>
          </w:p>
        </w:tc>
      </w:tr>
      <w:tr w:rsidRPr="00BF4D0A" w:rsidR="000257ED" w:rsidTr="00E6210A" w14:paraId="624064DF" w14:textId="77777777">
        <w:trPr>
          <w:gridAfter w:val="1"/>
          <w:wAfter w:w="7" w:type="dxa"/>
          <w:trHeight w:val="282"/>
          <w:jc w:val="center"/>
        </w:trPr>
        <w:tc>
          <w:tcPr>
            <w:tcW w:w="2520" w:type="dxa"/>
            <w:tcBorders>
              <w:top w:val="single" w:color="000000" w:sz="8" w:space="0"/>
            </w:tcBorders>
            <w:vAlign w:val="center"/>
          </w:tcPr>
          <w:p w:rsidRPr="00D21E4B" w:rsidR="000257ED" w:rsidP="00E6210A" w:rsidRDefault="000257ED" w14:paraId="3B3F2D76" w14:textId="77777777">
            <w:pPr>
              <w:keepNext/>
              <w:spacing w:after="0" w:line="240" w:lineRule="auto"/>
              <w:ind w:left="183"/>
              <w:rPr>
                <w:rFonts w:ascii="Times New Roman" w:hAnsi="Times New Roman" w:cs="Times New Roman"/>
                <w:sz w:val="20"/>
                <w:szCs w:val="20"/>
              </w:rPr>
            </w:pPr>
            <w:r w:rsidRPr="00D21E4B">
              <w:rPr>
                <w:rFonts w:ascii="Times New Roman" w:hAnsi="Times New Roman" w:cs="Times New Roman"/>
                <w:sz w:val="20"/>
                <w:szCs w:val="20"/>
              </w:rPr>
              <w:t>Refineries</w:t>
            </w:r>
          </w:p>
        </w:tc>
        <w:tc>
          <w:tcPr>
            <w:tcW w:w="1080" w:type="dxa"/>
            <w:tcBorders>
              <w:top w:val="single" w:color="000000" w:sz="8" w:space="0"/>
            </w:tcBorders>
            <w:vAlign w:val="center"/>
          </w:tcPr>
          <w:p w:rsidRPr="00D21E4B" w:rsidR="000257ED" w:rsidP="00E6210A" w:rsidRDefault="000257ED" w14:paraId="01BFE1EF" w14:textId="77777777">
            <w:pPr>
              <w:keepNext/>
              <w:spacing w:after="0" w:line="240" w:lineRule="auto"/>
              <w:ind w:left="93" w:right="62"/>
              <w:jc w:val="center"/>
              <w:rPr>
                <w:rFonts w:ascii="Times New Roman" w:hAnsi="Times New Roman" w:cs="Times New Roman"/>
                <w:sz w:val="20"/>
                <w:szCs w:val="20"/>
              </w:rPr>
            </w:pPr>
            <w:r w:rsidRPr="00D21E4B">
              <w:rPr>
                <w:rFonts w:ascii="Times New Roman" w:hAnsi="Times New Roman" w:cs="Times New Roman"/>
                <w:sz w:val="20"/>
                <w:szCs w:val="20"/>
              </w:rPr>
              <w:t>0.2</w:t>
            </w:r>
          </w:p>
        </w:tc>
        <w:tc>
          <w:tcPr>
            <w:tcW w:w="1170" w:type="dxa"/>
            <w:tcBorders>
              <w:top w:val="single" w:color="000000" w:sz="8" w:space="0"/>
            </w:tcBorders>
            <w:vAlign w:val="center"/>
          </w:tcPr>
          <w:p w:rsidRPr="00D21E4B" w:rsidR="000257ED" w:rsidP="00E6210A" w:rsidRDefault="000257ED" w14:paraId="394B4E0A" w14:textId="77777777">
            <w:pPr>
              <w:keepNext/>
              <w:spacing w:after="0" w:line="240" w:lineRule="auto"/>
              <w:ind w:left="93"/>
              <w:jc w:val="center"/>
              <w:rPr>
                <w:rFonts w:ascii="Times New Roman" w:hAnsi="Times New Roman" w:cs="Times New Roman"/>
                <w:sz w:val="20"/>
                <w:szCs w:val="20"/>
              </w:rPr>
            </w:pPr>
            <w:r w:rsidRPr="00D21E4B">
              <w:rPr>
                <w:rFonts w:ascii="Times New Roman" w:hAnsi="Times New Roman" w:cs="Times New Roman"/>
                <w:color w:val="000000"/>
                <w:sz w:val="20"/>
                <w:szCs w:val="20"/>
              </w:rPr>
              <w:t>$74,115</w:t>
            </w:r>
          </w:p>
        </w:tc>
        <w:tc>
          <w:tcPr>
            <w:tcW w:w="1170" w:type="dxa"/>
            <w:tcBorders>
              <w:top w:val="single" w:color="000000" w:sz="8" w:space="0"/>
            </w:tcBorders>
            <w:vAlign w:val="center"/>
          </w:tcPr>
          <w:p w:rsidRPr="00D21E4B" w:rsidR="000257ED" w:rsidP="00E6210A" w:rsidRDefault="000257ED" w14:paraId="18FDA2AA" w14:textId="77777777">
            <w:pPr>
              <w:keepNext/>
              <w:spacing w:after="0" w:line="240" w:lineRule="auto"/>
              <w:ind w:left="98" w:right="69"/>
              <w:jc w:val="center"/>
              <w:rPr>
                <w:rFonts w:ascii="Times New Roman" w:hAnsi="Times New Roman" w:cs="Times New Roman"/>
                <w:sz w:val="20"/>
                <w:szCs w:val="20"/>
              </w:rPr>
            </w:pPr>
            <w:r w:rsidRPr="00D21E4B">
              <w:rPr>
                <w:rFonts w:ascii="Times New Roman" w:hAnsi="Times New Roman" w:cs="Times New Roman"/>
                <w:sz w:val="20"/>
                <w:szCs w:val="20"/>
              </w:rPr>
              <w:t>796</w:t>
            </w:r>
          </w:p>
        </w:tc>
        <w:tc>
          <w:tcPr>
            <w:tcW w:w="1534" w:type="dxa"/>
            <w:tcBorders>
              <w:top w:val="single" w:color="000000" w:sz="8" w:space="0"/>
            </w:tcBorders>
            <w:vAlign w:val="center"/>
          </w:tcPr>
          <w:p w:rsidRPr="00D21E4B" w:rsidR="000257ED" w:rsidP="00E6210A" w:rsidRDefault="000257ED" w14:paraId="555613BF" w14:textId="77777777">
            <w:pPr>
              <w:keepNext/>
              <w:spacing w:after="0" w:line="240" w:lineRule="auto"/>
              <w:ind w:left="84" w:right="55"/>
              <w:jc w:val="center"/>
              <w:rPr>
                <w:rFonts w:ascii="Times New Roman" w:hAnsi="Times New Roman" w:cs="Times New Roman"/>
                <w:sz w:val="20"/>
                <w:szCs w:val="20"/>
              </w:rPr>
            </w:pPr>
            <w:r w:rsidRPr="00D21E4B">
              <w:rPr>
                <w:rFonts w:ascii="Times New Roman" w:hAnsi="Times New Roman" w:cs="Times New Roman"/>
                <w:color w:val="000000"/>
                <w:sz w:val="20"/>
                <w:szCs w:val="20"/>
              </w:rPr>
              <w:t>$11,799,138</w:t>
            </w:r>
          </w:p>
        </w:tc>
      </w:tr>
      <w:tr w:rsidRPr="00BF4D0A" w:rsidR="000257ED" w:rsidTr="00E6210A" w14:paraId="1774177D" w14:textId="77777777">
        <w:trPr>
          <w:gridAfter w:val="1"/>
          <w:wAfter w:w="7" w:type="dxa"/>
          <w:trHeight w:val="285"/>
          <w:jc w:val="center"/>
        </w:trPr>
        <w:tc>
          <w:tcPr>
            <w:tcW w:w="2520" w:type="dxa"/>
            <w:vAlign w:val="center"/>
          </w:tcPr>
          <w:p w:rsidRPr="00D21E4B" w:rsidR="000257ED" w:rsidP="00E6210A" w:rsidRDefault="000257ED" w14:paraId="5B6A9AB9" w14:textId="77777777">
            <w:pPr>
              <w:spacing w:after="0" w:line="240" w:lineRule="auto"/>
              <w:ind w:left="183"/>
              <w:rPr>
                <w:rFonts w:ascii="Times New Roman" w:hAnsi="Times New Roman" w:cs="Times New Roman"/>
                <w:sz w:val="20"/>
                <w:szCs w:val="20"/>
              </w:rPr>
            </w:pPr>
            <w:r w:rsidRPr="00D21E4B">
              <w:rPr>
                <w:rFonts w:ascii="Times New Roman" w:hAnsi="Times New Roman" w:cs="Times New Roman"/>
                <w:sz w:val="20"/>
                <w:szCs w:val="20"/>
              </w:rPr>
              <w:t>Chemical Manufacturers</w:t>
            </w:r>
          </w:p>
        </w:tc>
        <w:tc>
          <w:tcPr>
            <w:tcW w:w="1080" w:type="dxa"/>
            <w:vAlign w:val="center"/>
          </w:tcPr>
          <w:p w:rsidRPr="00D21E4B" w:rsidR="000257ED" w:rsidP="00E6210A" w:rsidRDefault="000257ED" w14:paraId="23BE91A3" w14:textId="77777777">
            <w:pPr>
              <w:spacing w:after="0" w:line="240" w:lineRule="auto"/>
              <w:ind w:left="93" w:right="62"/>
              <w:jc w:val="center"/>
              <w:rPr>
                <w:rFonts w:ascii="Times New Roman" w:hAnsi="Times New Roman" w:cs="Times New Roman"/>
                <w:sz w:val="20"/>
                <w:szCs w:val="20"/>
              </w:rPr>
            </w:pPr>
            <w:r w:rsidRPr="00D21E4B">
              <w:rPr>
                <w:rFonts w:ascii="Times New Roman" w:hAnsi="Times New Roman" w:cs="Times New Roman"/>
                <w:sz w:val="20"/>
                <w:szCs w:val="20"/>
              </w:rPr>
              <w:t>0.2</w:t>
            </w:r>
          </w:p>
        </w:tc>
        <w:tc>
          <w:tcPr>
            <w:tcW w:w="1170" w:type="dxa"/>
            <w:vAlign w:val="center"/>
          </w:tcPr>
          <w:p w:rsidRPr="00D21E4B" w:rsidR="000257ED" w:rsidP="00E6210A" w:rsidRDefault="000257ED" w14:paraId="60E5D94E" w14:textId="77777777">
            <w:pPr>
              <w:spacing w:after="0" w:line="240" w:lineRule="auto"/>
              <w:ind w:left="93"/>
              <w:jc w:val="center"/>
              <w:rPr>
                <w:rFonts w:ascii="Times New Roman" w:hAnsi="Times New Roman" w:cs="Times New Roman"/>
                <w:sz w:val="20"/>
                <w:szCs w:val="20"/>
              </w:rPr>
            </w:pPr>
            <w:r w:rsidRPr="00D21E4B">
              <w:rPr>
                <w:rFonts w:ascii="Times New Roman" w:hAnsi="Times New Roman" w:cs="Times New Roman"/>
                <w:color w:val="000000"/>
                <w:sz w:val="20"/>
                <w:szCs w:val="20"/>
              </w:rPr>
              <w:t>$12,881</w:t>
            </w:r>
          </w:p>
        </w:tc>
        <w:tc>
          <w:tcPr>
            <w:tcW w:w="1170" w:type="dxa"/>
            <w:vAlign w:val="center"/>
          </w:tcPr>
          <w:p w:rsidRPr="00D21E4B" w:rsidR="000257ED" w:rsidP="00E6210A" w:rsidRDefault="000257ED" w14:paraId="6CCE5CED" w14:textId="77777777">
            <w:pPr>
              <w:spacing w:after="0" w:line="240" w:lineRule="auto"/>
              <w:ind w:left="98" w:right="69"/>
              <w:jc w:val="center"/>
              <w:rPr>
                <w:rFonts w:ascii="Times New Roman" w:hAnsi="Times New Roman" w:cs="Times New Roman"/>
                <w:sz w:val="20"/>
                <w:szCs w:val="20"/>
              </w:rPr>
            </w:pPr>
            <w:r w:rsidRPr="00D21E4B">
              <w:rPr>
                <w:rFonts w:ascii="Times New Roman" w:hAnsi="Times New Roman" w:cs="Times New Roman"/>
                <w:sz w:val="20"/>
                <w:szCs w:val="20"/>
              </w:rPr>
              <w:t>826</w:t>
            </w:r>
          </w:p>
        </w:tc>
        <w:tc>
          <w:tcPr>
            <w:tcW w:w="1534" w:type="dxa"/>
            <w:vAlign w:val="center"/>
          </w:tcPr>
          <w:p w:rsidRPr="00D21E4B" w:rsidR="000257ED" w:rsidP="00E6210A" w:rsidRDefault="000257ED" w14:paraId="43CFD6E6" w14:textId="77777777">
            <w:pPr>
              <w:spacing w:after="0" w:line="240" w:lineRule="auto"/>
              <w:ind w:left="69" w:right="55"/>
              <w:jc w:val="center"/>
              <w:rPr>
                <w:rFonts w:ascii="Times New Roman" w:hAnsi="Times New Roman" w:cs="Times New Roman"/>
                <w:sz w:val="20"/>
                <w:szCs w:val="20"/>
              </w:rPr>
            </w:pPr>
            <w:r w:rsidRPr="00D21E4B">
              <w:rPr>
                <w:rFonts w:ascii="Times New Roman" w:hAnsi="Times New Roman" w:cs="Times New Roman"/>
                <w:color w:val="000000"/>
                <w:sz w:val="20"/>
                <w:szCs w:val="20"/>
              </w:rPr>
              <w:t>$2,127,881</w:t>
            </w:r>
          </w:p>
        </w:tc>
      </w:tr>
      <w:tr w:rsidRPr="00BF4D0A" w:rsidR="000257ED" w:rsidTr="00E6210A" w14:paraId="2AE4A9CB" w14:textId="77777777">
        <w:trPr>
          <w:gridAfter w:val="1"/>
          <w:wAfter w:w="7" w:type="dxa"/>
          <w:trHeight w:val="285"/>
          <w:jc w:val="center"/>
        </w:trPr>
        <w:tc>
          <w:tcPr>
            <w:tcW w:w="2520" w:type="dxa"/>
            <w:vAlign w:val="center"/>
          </w:tcPr>
          <w:p w:rsidRPr="00D21E4B" w:rsidR="000257ED" w:rsidP="00E6210A" w:rsidRDefault="000257ED" w14:paraId="5BB5D965" w14:textId="77777777">
            <w:pPr>
              <w:spacing w:after="0" w:line="240" w:lineRule="auto"/>
              <w:ind w:left="183"/>
              <w:rPr>
                <w:rFonts w:ascii="Times New Roman" w:hAnsi="Times New Roman" w:cs="Times New Roman"/>
                <w:b/>
                <w:sz w:val="20"/>
                <w:szCs w:val="20"/>
              </w:rPr>
            </w:pPr>
            <w:r w:rsidRPr="00D21E4B">
              <w:rPr>
                <w:rFonts w:ascii="Times New Roman" w:hAnsi="Times New Roman" w:cs="Times New Roman"/>
                <w:b/>
                <w:sz w:val="20"/>
                <w:szCs w:val="20"/>
              </w:rPr>
              <w:t>Total</w:t>
            </w:r>
          </w:p>
        </w:tc>
        <w:tc>
          <w:tcPr>
            <w:tcW w:w="1080" w:type="dxa"/>
            <w:vAlign w:val="center"/>
          </w:tcPr>
          <w:p w:rsidRPr="00D21E4B" w:rsidR="000257ED" w:rsidP="00E6210A" w:rsidRDefault="000257ED" w14:paraId="6A61E05D" w14:textId="77777777">
            <w:pPr>
              <w:spacing w:after="0" w:line="240" w:lineRule="auto"/>
              <w:ind w:left="93" w:right="62"/>
              <w:jc w:val="center"/>
              <w:rPr>
                <w:rFonts w:ascii="Times New Roman" w:hAnsi="Times New Roman" w:cs="Times New Roman"/>
                <w:b/>
                <w:sz w:val="20"/>
                <w:szCs w:val="20"/>
              </w:rPr>
            </w:pPr>
          </w:p>
        </w:tc>
        <w:tc>
          <w:tcPr>
            <w:tcW w:w="1170" w:type="dxa"/>
            <w:vAlign w:val="center"/>
          </w:tcPr>
          <w:p w:rsidRPr="00D21E4B" w:rsidR="000257ED" w:rsidP="00E6210A" w:rsidRDefault="000257ED" w14:paraId="47E94679" w14:textId="77777777">
            <w:pPr>
              <w:spacing w:after="0" w:line="240" w:lineRule="auto"/>
              <w:ind w:left="93"/>
              <w:jc w:val="center"/>
              <w:rPr>
                <w:rFonts w:ascii="Times New Roman" w:hAnsi="Times New Roman" w:cs="Times New Roman"/>
                <w:b/>
                <w:sz w:val="20"/>
                <w:szCs w:val="20"/>
              </w:rPr>
            </w:pPr>
          </w:p>
        </w:tc>
        <w:tc>
          <w:tcPr>
            <w:tcW w:w="1170" w:type="dxa"/>
            <w:vAlign w:val="center"/>
          </w:tcPr>
          <w:p w:rsidRPr="00D21E4B" w:rsidR="000257ED" w:rsidP="00E6210A" w:rsidRDefault="000257ED" w14:paraId="5B415F01" w14:textId="77777777">
            <w:pPr>
              <w:spacing w:after="0" w:line="240" w:lineRule="auto"/>
              <w:ind w:left="98" w:right="69"/>
              <w:jc w:val="center"/>
              <w:rPr>
                <w:rFonts w:ascii="Times New Roman" w:hAnsi="Times New Roman" w:cs="Times New Roman"/>
                <w:b/>
                <w:sz w:val="20"/>
                <w:szCs w:val="20"/>
              </w:rPr>
            </w:pPr>
            <w:r w:rsidRPr="00D21E4B">
              <w:rPr>
                <w:rFonts w:ascii="Times New Roman" w:hAnsi="Times New Roman" w:cs="Times New Roman"/>
                <w:b/>
                <w:sz w:val="20"/>
                <w:szCs w:val="20"/>
              </w:rPr>
              <w:t>1,622</w:t>
            </w:r>
          </w:p>
        </w:tc>
        <w:tc>
          <w:tcPr>
            <w:tcW w:w="1534" w:type="dxa"/>
            <w:vAlign w:val="center"/>
          </w:tcPr>
          <w:p w:rsidRPr="00D21E4B" w:rsidR="000257ED" w:rsidP="00E6210A" w:rsidRDefault="000257ED" w14:paraId="75E69B67" w14:textId="77777777">
            <w:pPr>
              <w:spacing w:after="0" w:line="240" w:lineRule="auto"/>
              <w:ind w:left="69" w:right="55"/>
              <w:jc w:val="center"/>
              <w:rPr>
                <w:rFonts w:ascii="Times New Roman" w:hAnsi="Times New Roman" w:cs="Times New Roman"/>
                <w:b/>
                <w:sz w:val="20"/>
                <w:szCs w:val="20"/>
              </w:rPr>
            </w:pPr>
            <w:r w:rsidRPr="00D21E4B">
              <w:rPr>
                <w:rFonts w:ascii="Times New Roman" w:hAnsi="Times New Roman" w:cs="Times New Roman"/>
                <w:b/>
                <w:color w:val="000000"/>
                <w:sz w:val="20"/>
                <w:szCs w:val="20"/>
              </w:rPr>
              <w:t>$13,927,019</w:t>
            </w:r>
          </w:p>
        </w:tc>
      </w:tr>
      <w:tr w:rsidRPr="00BF4D0A" w:rsidR="000257ED" w:rsidTr="00E6210A" w14:paraId="77567CFA" w14:textId="77777777">
        <w:trPr>
          <w:trHeight w:val="285"/>
          <w:jc w:val="center"/>
        </w:trPr>
        <w:tc>
          <w:tcPr>
            <w:tcW w:w="7481" w:type="dxa"/>
            <w:gridSpan w:val="6"/>
            <w:shd w:val="clear" w:color="auto" w:fill="F2F2F2"/>
            <w:vAlign w:val="center"/>
          </w:tcPr>
          <w:p w:rsidRPr="00D21E4B" w:rsidR="000257ED" w:rsidP="00E6210A" w:rsidRDefault="000257ED" w14:paraId="21528F77" w14:textId="77777777">
            <w:pPr>
              <w:spacing w:after="0" w:line="240" w:lineRule="auto"/>
              <w:ind w:left="183" w:right="83"/>
              <w:rPr>
                <w:rFonts w:ascii="Times New Roman" w:hAnsi="Times New Roman" w:cs="Times New Roman"/>
                <w:b/>
                <w:sz w:val="20"/>
                <w:szCs w:val="20"/>
              </w:rPr>
            </w:pPr>
            <w:r w:rsidRPr="00D21E4B">
              <w:rPr>
                <w:rFonts w:ascii="Times New Roman" w:hAnsi="Times New Roman" w:cs="Times New Roman"/>
                <w:b/>
                <w:sz w:val="20"/>
                <w:szCs w:val="20"/>
              </w:rPr>
              <w:t>Practicability Analysis</w:t>
            </w:r>
          </w:p>
        </w:tc>
      </w:tr>
      <w:tr w:rsidRPr="00BF4D0A" w:rsidR="000257ED" w:rsidTr="00E6210A" w14:paraId="4BD2C6EB" w14:textId="77777777">
        <w:trPr>
          <w:gridAfter w:val="1"/>
          <w:wAfter w:w="7" w:type="dxa"/>
          <w:trHeight w:val="300"/>
          <w:jc w:val="center"/>
        </w:trPr>
        <w:tc>
          <w:tcPr>
            <w:tcW w:w="2520" w:type="dxa"/>
            <w:vAlign w:val="center"/>
          </w:tcPr>
          <w:p w:rsidRPr="00D21E4B" w:rsidR="000257ED" w:rsidP="00E6210A" w:rsidRDefault="000257ED" w14:paraId="4C057E3A" w14:textId="77777777">
            <w:pPr>
              <w:spacing w:after="0" w:line="240" w:lineRule="auto"/>
              <w:ind w:left="183"/>
              <w:rPr>
                <w:rFonts w:ascii="Times New Roman" w:hAnsi="Times New Roman" w:cs="Times New Roman"/>
                <w:sz w:val="20"/>
                <w:szCs w:val="20"/>
              </w:rPr>
            </w:pPr>
            <w:r w:rsidRPr="00D21E4B">
              <w:rPr>
                <w:rFonts w:ascii="Times New Roman" w:hAnsi="Times New Roman" w:cs="Times New Roman"/>
                <w:sz w:val="20"/>
                <w:szCs w:val="20"/>
              </w:rPr>
              <w:t>Refineries</w:t>
            </w:r>
          </w:p>
        </w:tc>
        <w:tc>
          <w:tcPr>
            <w:tcW w:w="1080" w:type="dxa"/>
            <w:vAlign w:val="center"/>
          </w:tcPr>
          <w:p w:rsidRPr="00D21E4B" w:rsidR="000257ED" w:rsidP="00E6210A" w:rsidRDefault="000257ED" w14:paraId="09C85735" w14:textId="77777777">
            <w:pPr>
              <w:spacing w:after="0" w:line="240" w:lineRule="auto"/>
              <w:ind w:left="93" w:right="62"/>
              <w:jc w:val="center"/>
              <w:rPr>
                <w:rFonts w:ascii="Times New Roman" w:hAnsi="Times New Roman" w:cs="Times New Roman"/>
                <w:sz w:val="20"/>
                <w:szCs w:val="20"/>
              </w:rPr>
            </w:pPr>
            <w:r w:rsidRPr="00D21E4B">
              <w:rPr>
                <w:rFonts w:ascii="Times New Roman" w:hAnsi="Times New Roman" w:cs="Times New Roman"/>
                <w:sz w:val="20"/>
                <w:szCs w:val="20"/>
              </w:rPr>
              <w:t>0.2</w:t>
            </w:r>
          </w:p>
        </w:tc>
        <w:tc>
          <w:tcPr>
            <w:tcW w:w="1170" w:type="dxa"/>
            <w:vAlign w:val="center"/>
          </w:tcPr>
          <w:p w:rsidRPr="00D21E4B" w:rsidR="000257ED" w:rsidP="00E6210A" w:rsidRDefault="000257ED" w14:paraId="65C64173" w14:textId="77777777">
            <w:pPr>
              <w:spacing w:after="0" w:line="240" w:lineRule="auto"/>
              <w:ind w:left="93"/>
              <w:jc w:val="center"/>
              <w:rPr>
                <w:rFonts w:ascii="Times New Roman" w:hAnsi="Times New Roman" w:cs="Times New Roman"/>
                <w:sz w:val="20"/>
                <w:szCs w:val="20"/>
              </w:rPr>
            </w:pPr>
            <w:r w:rsidRPr="00D21E4B">
              <w:rPr>
                <w:rFonts w:ascii="Times New Roman" w:hAnsi="Times New Roman" w:cs="Times New Roman"/>
                <w:sz w:val="20"/>
                <w:szCs w:val="20"/>
              </w:rPr>
              <w:t>$2,549,389</w:t>
            </w:r>
          </w:p>
        </w:tc>
        <w:tc>
          <w:tcPr>
            <w:tcW w:w="1170" w:type="dxa"/>
            <w:vAlign w:val="center"/>
          </w:tcPr>
          <w:p w:rsidRPr="00D21E4B" w:rsidR="000257ED" w:rsidP="00E6210A" w:rsidRDefault="000257ED" w14:paraId="01C9D7A3" w14:textId="77777777">
            <w:pPr>
              <w:spacing w:after="0" w:line="240" w:lineRule="auto"/>
              <w:ind w:left="98" w:right="69"/>
              <w:jc w:val="center"/>
              <w:rPr>
                <w:rFonts w:ascii="Times New Roman" w:hAnsi="Times New Roman" w:cs="Times New Roman"/>
                <w:sz w:val="20"/>
                <w:szCs w:val="20"/>
              </w:rPr>
            </w:pPr>
            <w:r w:rsidRPr="00D21E4B">
              <w:rPr>
                <w:rFonts w:ascii="Times New Roman" w:hAnsi="Times New Roman" w:cs="Times New Roman"/>
                <w:sz w:val="20"/>
                <w:szCs w:val="20"/>
              </w:rPr>
              <w:t>67</w:t>
            </w:r>
          </w:p>
        </w:tc>
        <w:tc>
          <w:tcPr>
            <w:tcW w:w="1534" w:type="dxa"/>
            <w:vAlign w:val="center"/>
          </w:tcPr>
          <w:p w:rsidRPr="00D21E4B" w:rsidR="000257ED" w:rsidP="00E6210A" w:rsidRDefault="000257ED" w14:paraId="3762292F" w14:textId="77777777">
            <w:pPr>
              <w:spacing w:after="0" w:line="240" w:lineRule="auto"/>
              <w:ind w:left="84" w:right="55"/>
              <w:jc w:val="center"/>
              <w:rPr>
                <w:rFonts w:ascii="Times New Roman" w:hAnsi="Times New Roman" w:cs="Times New Roman"/>
                <w:sz w:val="20"/>
                <w:szCs w:val="20"/>
              </w:rPr>
            </w:pPr>
            <w:r w:rsidRPr="00D21E4B">
              <w:rPr>
                <w:rFonts w:ascii="Times New Roman" w:hAnsi="Times New Roman" w:cs="Times New Roman"/>
                <w:sz w:val="20"/>
                <w:szCs w:val="20"/>
              </w:rPr>
              <w:t>$35,072,025</w:t>
            </w:r>
          </w:p>
        </w:tc>
      </w:tr>
      <w:tr w:rsidRPr="00BF4D0A" w:rsidR="000257ED" w:rsidTr="00E6210A" w14:paraId="3BB38016" w14:textId="77777777">
        <w:trPr>
          <w:gridAfter w:val="1"/>
          <w:wAfter w:w="7" w:type="dxa"/>
          <w:trHeight w:val="282"/>
          <w:jc w:val="center"/>
        </w:trPr>
        <w:tc>
          <w:tcPr>
            <w:tcW w:w="2520" w:type="dxa"/>
            <w:tcBorders>
              <w:bottom w:val="single" w:color="000000" w:sz="8" w:space="0"/>
            </w:tcBorders>
            <w:vAlign w:val="center"/>
          </w:tcPr>
          <w:p w:rsidRPr="00D21E4B" w:rsidR="000257ED" w:rsidP="00E6210A" w:rsidRDefault="000257ED" w14:paraId="702603DA" w14:textId="77777777">
            <w:pPr>
              <w:spacing w:after="0" w:line="240" w:lineRule="auto"/>
              <w:ind w:left="183"/>
              <w:rPr>
                <w:rFonts w:ascii="Times New Roman" w:hAnsi="Times New Roman" w:cs="Times New Roman"/>
                <w:sz w:val="20"/>
                <w:szCs w:val="20"/>
              </w:rPr>
            </w:pPr>
            <w:r w:rsidRPr="00D21E4B">
              <w:rPr>
                <w:rFonts w:ascii="Times New Roman" w:hAnsi="Times New Roman" w:cs="Times New Roman"/>
                <w:sz w:val="20"/>
                <w:szCs w:val="20"/>
              </w:rPr>
              <w:t>Chemical Manufacturers</w:t>
            </w:r>
          </w:p>
        </w:tc>
        <w:tc>
          <w:tcPr>
            <w:tcW w:w="1080" w:type="dxa"/>
            <w:tcBorders>
              <w:bottom w:val="single" w:color="000000" w:sz="8" w:space="0"/>
            </w:tcBorders>
            <w:vAlign w:val="center"/>
          </w:tcPr>
          <w:p w:rsidRPr="00D21E4B" w:rsidR="000257ED" w:rsidP="00E6210A" w:rsidRDefault="000257ED" w14:paraId="7D6EC444" w14:textId="77777777">
            <w:pPr>
              <w:spacing w:after="0" w:line="240" w:lineRule="auto"/>
              <w:ind w:left="93" w:right="62"/>
              <w:jc w:val="center"/>
              <w:rPr>
                <w:rFonts w:ascii="Times New Roman" w:hAnsi="Times New Roman" w:cs="Times New Roman"/>
                <w:sz w:val="20"/>
                <w:szCs w:val="20"/>
              </w:rPr>
            </w:pPr>
            <w:r w:rsidRPr="00D21E4B">
              <w:rPr>
                <w:rFonts w:ascii="Times New Roman" w:hAnsi="Times New Roman" w:cs="Times New Roman"/>
                <w:sz w:val="20"/>
                <w:szCs w:val="20"/>
              </w:rPr>
              <w:t>0.2</w:t>
            </w:r>
          </w:p>
        </w:tc>
        <w:tc>
          <w:tcPr>
            <w:tcW w:w="1170" w:type="dxa"/>
            <w:tcBorders>
              <w:bottom w:val="single" w:color="000000" w:sz="8" w:space="0"/>
            </w:tcBorders>
            <w:vAlign w:val="center"/>
          </w:tcPr>
          <w:p w:rsidRPr="00D21E4B" w:rsidR="000257ED" w:rsidP="00E6210A" w:rsidRDefault="000257ED" w14:paraId="1D6C717F" w14:textId="77777777">
            <w:pPr>
              <w:spacing w:after="0" w:line="240" w:lineRule="auto"/>
              <w:ind w:left="93"/>
              <w:jc w:val="center"/>
              <w:rPr>
                <w:rFonts w:ascii="Times New Roman" w:hAnsi="Times New Roman" w:cs="Times New Roman"/>
                <w:sz w:val="20"/>
                <w:szCs w:val="20"/>
              </w:rPr>
            </w:pPr>
            <w:r w:rsidRPr="00D21E4B">
              <w:rPr>
                <w:rFonts w:ascii="Times New Roman" w:hAnsi="Times New Roman" w:cs="Times New Roman"/>
                <w:sz w:val="20"/>
                <w:szCs w:val="20"/>
              </w:rPr>
              <w:t>$29,994</w:t>
            </w:r>
          </w:p>
        </w:tc>
        <w:tc>
          <w:tcPr>
            <w:tcW w:w="1170" w:type="dxa"/>
            <w:tcBorders>
              <w:bottom w:val="single" w:color="000000" w:sz="8" w:space="0"/>
            </w:tcBorders>
            <w:vAlign w:val="center"/>
          </w:tcPr>
          <w:p w:rsidRPr="00D21E4B" w:rsidR="000257ED" w:rsidP="00E6210A" w:rsidRDefault="000257ED" w14:paraId="644AD44D" w14:textId="77777777">
            <w:pPr>
              <w:spacing w:after="0" w:line="240" w:lineRule="auto"/>
              <w:ind w:left="98" w:right="69"/>
              <w:jc w:val="center"/>
              <w:rPr>
                <w:rFonts w:ascii="Times New Roman" w:hAnsi="Times New Roman" w:cs="Times New Roman"/>
                <w:sz w:val="20"/>
                <w:szCs w:val="20"/>
              </w:rPr>
            </w:pPr>
            <w:r w:rsidRPr="00D21E4B">
              <w:rPr>
                <w:rFonts w:ascii="Times New Roman" w:hAnsi="Times New Roman" w:cs="Times New Roman"/>
                <w:sz w:val="20"/>
                <w:szCs w:val="20"/>
              </w:rPr>
              <w:t>470</w:t>
            </w:r>
          </w:p>
        </w:tc>
        <w:tc>
          <w:tcPr>
            <w:tcW w:w="1534" w:type="dxa"/>
            <w:tcBorders>
              <w:bottom w:val="single" w:color="000000" w:sz="8" w:space="0"/>
            </w:tcBorders>
            <w:vAlign w:val="center"/>
          </w:tcPr>
          <w:p w:rsidRPr="00D21E4B" w:rsidR="000257ED" w:rsidP="00E6210A" w:rsidRDefault="000257ED" w14:paraId="25BF6C89" w14:textId="77777777">
            <w:pPr>
              <w:spacing w:after="0" w:line="240" w:lineRule="auto"/>
              <w:ind w:left="84" w:right="55"/>
              <w:jc w:val="center"/>
              <w:rPr>
                <w:rFonts w:ascii="Times New Roman" w:hAnsi="Times New Roman" w:cs="Times New Roman"/>
                <w:sz w:val="20"/>
                <w:szCs w:val="20"/>
              </w:rPr>
            </w:pPr>
            <w:r w:rsidRPr="00D21E4B">
              <w:rPr>
                <w:rFonts w:ascii="Times New Roman" w:hAnsi="Times New Roman" w:cs="Times New Roman"/>
                <w:sz w:val="20"/>
                <w:szCs w:val="20"/>
              </w:rPr>
              <w:t>$2,819,429</w:t>
            </w:r>
          </w:p>
        </w:tc>
      </w:tr>
      <w:tr w:rsidRPr="00BF4D0A" w:rsidR="000257ED" w:rsidTr="00E6210A" w14:paraId="37DA7F92" w14:textId="77777777">
        <w:trPr>
          <w:gridAfter w:val="1"/>
          <w:wAfter w:w="7" w:type="dxa"/>
          <w:trHeight w:val="282"/>
          <w:jc w:val="center"/>
        </w:trPr>
        <w:tc>
          <w:tcPr>
            <w:tcW w:w="2520" w:type="dxa"/>
            <w:tcBorders>
              <w:bottom w:val="single" w:color="000000" w:sz="8" w:space="0"/>
            </w:tcBorders>
            <w:vAlign w:val="center"/>
          </w:tcPr>
          <w:p w:rsidRPr="00D21E4B" w:rsidR="000257ED" w:rsidP="00E6210A" w:rsidRDefault="000257ED" w14:paraId="7045AE4C" w14:textId="77777777">
            <w:pPr>
              <w:spacing w:after="0" w:line="240" w:lineRule="auto"/>
              <w:ind w:left="183"/>
              <w:rPr>
                <w:rFonts w:ascii="Times New Roman" w:hAnsi="Times New Roman" w:cs="Times New Roman"/>
                <w:b/>
                <w:sz w:val="20"/>
                <w:szCs w:val="20"/>
              </w:rPr>
            </w:pPr>
            <w:r w:rsidRPr="00D21E4B">
              <w:rPr>
                <w:rFonts w:ascii="Times New Roman" w:hAnsi="Times New Roman" w:cs="Times New Roman"/>
                <w:b/>
                <w:sz w:val="20"/>
                <w:szCs w:val="20"/>
              </w:rPr>
              <w:t>Total</w:t>
            </w:r>
          </w:p>
        </w:tc>
        <w:tc>
          <w:tcPr>
            <w:tcW w:w="1080" w:type="dxa"/>
            <w:tcBorders>
              <w:bottom w:val="single" w:color="000000" w:sz="8" w:space="0"/>
            </w:tcBorders>
            <w:vAlign w:val="center"/>
          </w:tcPr>
          <w:p w:rsidRPr="00D21E4B" w:rsidR="000257ED" w:rsidP="00E6210A" w:rsidRDefault="000257ED" w14:paraId="3C3C7F70" w14:textId="77777777">
            <w:pPr>
              <w:spacing w:after="0" w:line="240" w:lineRule="auto"/>
              <w:ind w:left="93" w:right="62"/>
              <w:jc w:val="center"/>
              <w:rPr>
                <w:rFonts w:ascii="Times New Roman" w:hAnsi="Times New Roman" w:cs="Times New Roman"/>
                <w:b/>
                <w:sz w:val="20"/>
                <w:szCs w:val="20"/>
              </w:rPr>
            </w:pPr>
          </w:p>
        </w:tc>
        <w:tc>
          <w:tcPr>
            <w:tcW w:w="1170" w:type="dxa"/>
            <w:tcBorders>
              <w:bottom w:val="single" w:color="000000" w:sz="8" w:space="0"/>
            </w:tcBorders>
            <w:vAlign w:val="center"/>
          </w:tcPr>
          <w:p w:rsidRPr="00D21E4B" w:rsidR="000257ED" w:rsidP="00E6210A" w:rsidRDefault="000257ED" w14:paraId="77F1BFD4" w14:textId="77777777">
            <w:pPr>
              <w:spacing w:after="0" w:line="240" w:lineRule="auto"/>
              <w:ind w:left="292"/>
              <w:jc w:val="center"/>
              <w:rPr>
                <w:rFonts w:ascii="Times New Roman" w:hAnsi="Times New Roman" w:cs="Times New Roman"/>
                <w:b/>
                <w:sz w:val="20"/>
                <w:szCs w:val="20"/>
              </w:rPr>
            </w:pPr>
          </w:p>
        </w:tc>
        <w:tc>
          <w:tcPr>
            <w:tcW w:w="1170" w:type="dxa"/>
            <w:tcBorders>
              <w:bottom w:val="single" w:color="000000" w:sz="8" w:space="0"/>
            </w:tcBorders>
            <w:vAlign w:val="center"/>
          </w:tcPr>
          <w:p w:rsidRPr="00D21E4B" w:rsidR="000257ED" w:rsidP="00E6210A" w:rsidRDefault="000257ED" w14:paraId="1059278C" w14:textId="77777777">
            <w:pPr>
              <w:spacing w:after="0" w:line="240" w:lineRule="auto"/>
              <w:ind w:left="98" w:right="69"/>
              <w:jc w:val="center"/>
              <w:rPr>
                <w:rFonts w:ascii="Times New Roman" w:hAnsi="Times New Roman" w:cs="Times New Roman"/>
                <w:b/>
                <w:sz w:val="20"/>
                <w:szCs w:val="20"/>
              </w:rPr>
            </w:pPr>
            <w:r w:rsidRPr="00D21E4B">
              <w:rPr>
                <w:rFonts w:ascii="Times New Roman" w:hAnsi="Times New Roman" w:cs="Times New Roman"/>
                <w:b/>
                <w:sz w:val="20"/>
                <w:szCs w:val="20"/>
              </w:rPr>
              <w:t>537</w:t>
            </w:r>
          </w:p>
        </w:tc>
        <w:tc>
          <w:tcPr>
            <w:tcW w:w="1534" w:type="dxa"/>
            <w:tcBorders>
              <w:bottom w:val="single" w:color="000000" w:sz="8" w:space="0"/>
            </w:tcBorders>
            <w:vAlign w:val="center"/>
          </w:tcPr>
          <w:p w:rsidRPr="00D21E4B" w:rsidR="000257ED" w:rsidP="00E6210A" w:rsidRDefault="000257ED" w14:paraId="474EDF54" w14:textId="77777777">
            <w:pPr>
              <w:spacing w:after="0" w:line="240" w:lineRule="auto"/>
              <w:ind w:left="84" w:right="55"/>
              <w:jc w:val="center"/>
              <w:rPr>
                <w:rFonts w:ascii="Times New Roman" w:hAnsi="Times New Roman" w:cs="Times New Roman"/>
                <w:b/>
                <w:sz w:val="20"/>
                <w:szCs w:val="20"/>
              </w:rPr>
            </w:pPr>
            <w:r w:rsidRPr="00D21E4B">
              <w:rPr>
                <w:rFonts w:ascii="Times New Roman" w:hAnsi="Times New Roman" w:cs="Times New Roman"/>
                <w:b/>
                <w:sz w:val="20"/>
                <w:szCs w:val="20"/>
              </w:rPr>
              <w:t>$37,891,454</w:t>
            </w:r>
          </w:p>
        </w:tc>
      </w:tr>
      <w:tr w:rsidRPr="00BF4D0A" w:rsidR="000257ED" w:rsidTr="00E6210A" w14:paraId="6E5F9562" w14:textId="77777777">
        <w:trPr>
          <w:gridAfter w:val="1"/>
          <w:wAfter w:w="7" w:type="dxa"/>
          <w:trHeight w:val="282"/>
          <w:jc w:val="center"/>
        </w:trPr>
        <w:tc>
          <w:tcPr>
            <w:tcW w:w="2520" w:type="dxa"/>
            <w:tcBorders>
              <w:top w:val="single" w:color="000000" w:sz="8" w:space="0"/>
            </w:tcBorders>
            <w:vAlign w:val="center"/>
          </w:tcPr>
          <w:p w:rsidRPr="00D21E4B" w:rsidR="000257ED" w:rsidP="00E6210A" w:rsidRDefault="000257ED" w14:paraId="545CC6A6" w14:textId="77777777">
            <w:pPr>
              <w:keepNext/>
              <w:spacing w:after="0" w:line="240" w:lineRule="auto"/>
              <w:ind w:left="183" w:right="82"/>
              <w:rPr>
                <w:rFonts w:ascii="Times New Roman" w:hAnsi="Times New Roman" w:cs="Times New Roman"/>
                <w:b/>
                <w:sz w:val="20"/>
                <w:szCs w:val="20"/>
              </w:rPr>
            </w:pPr>
            <w:r w:rsidRPr="00D21E4B">
              <w:rPr>
                <w:rFonts w:ascii="Times New Roman" w:hAnsi="Times New Roman" w:cs="Times New Roman"/>
                <w:b/>
                <w:sz w:val="20"/>
                <w:szCs w:val="20"/>
              </w:rPr>
              <w:lastRenderedPageBreak/>
              <w:t>Grand Total</w:t>
            </w:r>
          </w:p>
        </w:tc>
        <w:tc>
          <w:tcPr>
            <w:tcW w:w="1080" w:type="dxa"/>
            <w:tcBorders>
              <w:top w:val="single" w:color="000000" w:sz="8" w:space="0"/>
            </w:tcBorders>
            <w:vAlign w:val="center"/>
          </w:tcPr>
          <w:p w:rsidRPr="00D21E4B" w:rsidR="000257ED" w:rsidP="00E6210A" w:rsidRDefault="000257ED" w14:paraId="063DBA81" w14:textId="77777777">
            <w:pPr>
              <w:keepNext/>
              <w:spacing w:after="0" w:line="240" w:lineRule="auto"/>
              <w:jc w:val="center"/>
              <w:rPr>
                <w:rFonts w:ascii="Times New Roman" w:hAnsi="Times New Roman" w:cs="Times New Roman"/>
                <w:sz w:val="20"/>
                <w:szCs w:val="20"/>
              </w:rPr>
            </w:pPr>
          </w:p>
        </w:tc>
        <w:tc>
          <w:tcPr>
            <w:tcW w:w="1170" w:type="dxa"/>
            <w:tcBorders>
              <w:top w:val="single" w:color="000000" w:sz="8" w:space="0"/>
            </w:tcBorders>
            <w:vAlign w:val="center"/>
          </w:tcPr>
          <w:p w:rsidRPr="00D21E4B" w:rsidR="000257ED" w:rsidP="00E6210A" w:rsidRDefault="000257ED" w14:paraId="0928A56F" w14:textId="77777777">
            <w:pPr>
              <w:keepNext/>
              <w:spacing w:after="0" w:line="240" w:lineRule="auto"/>
              <w:jc w:val="center"/>
              <w:rPr>
                <w:rFonts w:ascii="Times New Roman" w:hAnsi="Times New Roman" w:cs="Times New Roman"/>
                <w:sz w:val="20"/>
                <w:szCs w:val="20"/>
              </w:rPr>
            </w:pPr>
          </w:p>
        </w:tc>
        <w:tc>
          <w:tcPr>
            <w:tcW w:w="1170" w:type="dxa"/>
            <w:tcBorders>
              <w:top w:val="single" w:color="000000" w:sz="8" w:space="0"/>
            </w:tcBorders>
            <w:vAlign w:val="center"/>
          </w:tcPr>
          <w:p w:rsidRPr="00D21E4B" w:rsidR="000257ED" w:rsidP="00E6210A" w:rsidRDefault="000257ED" w14:paraId="775F3A22" w14:textId="77777777">
            <w:pPr>
              <w:keepNext/>
              <w:spacing w:after="0" w:line="240" w:lineRule="auto"/>
              <w:ind w:left="90" w:right="76"/>
              <w:jc w:val="center"/>
              <w:rPr>
                <w:rFonts w:ascii="Times New Roman" w:hAnsi="Times New Roman" w:cs="Times New Roman"/>
                <w:b/>
                <w:sz w:val="20"/>
                <w:szCs w:val="20"/>
              </w:rPr>
            </w:pPr>
          </w:p>
        </w:tc>
        <w:tc>
          <w:tcPr>
            <w:tcW w:w="1534" w:type="dxa"/>
            <w:tcBorders>
              <w:top w:val="single" w:color="000000" w:sz="8" w:space="0"/>
            </w:tcBorders>
            <w:vAlign w:val="center"/>
          </w:tcPr>
          <w:p w:rsidRPr="00D21E4B" w:rsidR="000257ED" w:rsidP="00E6210A" w:rsidRDefault="000257ED" w14:paraId="1B462E01" w14:textId="77777777">
            <w:pPr>
              <w:keepNext/>
              <w:spacing w:after="0" w:line="240" w:lineRule="auto"/>
              <w:ind w:left="77" w:right="55"/>
              <w:jc w:val="center"/>
              <w:rPr>
                <w:rFonts w:ascii="Times New Roman" w:hAnsi="Times New Roman" w:cs="Times New Roman"/>
                <w:b/>
                <w:sz w:val="20"/>
                <w:szCs w:val="20"/>
              </w:rPr>
            </w:pPr>
            <w:r w:rsidRPr="00D21E4B">
              <w:rPr>
                <w:rFonts w:ascii="Times New Roman" w:hAnsi="Times New Roman" w:cs="Times New Roman"/>
                <w:b/>
                <w:sz w:val="20"/>
                <w:szCs w:val="20"/>
              </w:rPr>
              <w:t>$51,818,473</w:t>
            </w:r>
          </w:p>
        </w:tc>
      </w:tr>
    </w:tbl>
    <w:p w:rsidRPr="00D21E4B" w:rsidR="000257ED" w:rsidP="000257ED" w:rsidRDefault="000257ED" w14:paraId="63F2B335" w14:textId="77777777">
      <w:pPr>
        <w:keepNext/>
        <w:spacing w:after="0" w:line="240" w:lineRule="auto"/>
        <w:ind w:left="640"/>
        <w:rPr>
          <w:rFonts w:ascii="Times New Roman" w:hAnsi="Times New Roman" w:cs="Times New Roman"/>
          <w:sz w:val="18"/>
          <w:szCs w:val="18"/>
        </w:rPr>
      </w:pPr>
      <w:r w:rsidRPr="00D21E4B">
        <w:rPr>
          <w:rFonts w:ascii="Times New Roman" w:hAnsi="Times New Roman" w:cs="Times New Roman"/>
          <w:w w:val="105"/>
          <w:position w:val="6"/>
          <w:sz w:val="18"/>
          <w:szCs w:val="18"/>
        </w:rPr>
        <w:t>*</w:t>
      </w:r>
      <w:r w:rsidRPr="00D21E4B">
        <w:rPr>
          <w:rFonts w:ascii="Times New Roman" w:hAnsi="Times New Roman" w:cs="Times New Roman"/>
          <w:w w:val="105"/>
          <w:sz w:val="18"/>
          <w:szCs w:val="18"/>
        </w:rPr>
        <w:t>Totals may not sum due to rounding</w:t>
      </w:r>
      <w:r>
        <w:rPr>
          <w:rFonts w:ascii="Times New Roman" w:hAnsi="Times New Roman" w:cs="Times New Roman"/>
          <w:w w:val="105"/>
          <w:sz w:val="18"/>
          <w:szCs w:val="18"/>
        </w:rPr>
        <w:t>.</w:t>
      </w:r>
    </w:p>
    <w:p w:rsidR="000257ED" w:rsidP="00576F93" w:rsidRDefault="000257ED" w14:paraId="7BFC41FD" w14:textId="77777777">
      <w:pPr>
        <w:spacing w:after="0" w:line="240" w:lineRule="auto"/>
        <w:rPr>
          <w:rFonts w:ascii="Times New Roman" w:hAnsi="Times New Roman" w:cs="Times New Roman"/>
          <w:i/>
          <w:iCs/>
        </w:rPr>
      </w:pPr>
    </w:p>
    <w:p w:rsidRPr="00C31BC2" w:rsidR="00435210" w:rsidP="00576F93" w:rsidRDefault="00435210" w14:paraId="15B07EAA" w14:textId="30021DEC">
      <w:pPr>
        <w:keepNext/>
        <w:keepLines/>
        <w:spacing w:after="0" w:line="240" w:lineRule="auto"/>
        <w:rPr>
          <w:rFonts w:ascii="Times New Roman" w:hAnsi="Times New Roman" w:cs="Times New Roman"/>
          <w:bCs/>
          <w:i/>
          <w:iCs/>
        </w:rPr>
      </w:pPr>
      <w:r w:rsidRPr="00C31BC2">
        <w:rPr>
          <w:rFonts w:ascii="Times New Roman" w:hAnsi="Times New Roman" w:cs="Times New Roman"/>
          <w:bCs/>
          <w:i/>
          <w:iCs/>
        </w:rPr>
        <w:t>Root Cause Analysi</w:t>
      </w:r>
      <w:r w:rsidR="00142C57">
        <w:rPr>
          <w:rFonts w:ascii="Times New Roman" w:hAnsi="Times New Roman" w:cs="Times New Roman"/>
          <w:bCs/>
          <w:i/>
          <w:iCs/>
        </w:rPr>
        <w:t>s</w:t>
      </w:r>
    </w:p>
    <w:p w:rsidRPr="00BF4D0A" w:rsidR="00435210" w:rsidP="00576F93" w:rsidRDefault="003D2F8B" w14:paraId="39F384B3" w14:textId="0BEF5325">
      <w:pPr>
        <w:keepNext/>
        <w:keepLines/>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The RMP rule currently requires the owner or operator of a facility to investigate each incident </w:t>
      </w:r>
      <w:r w:rsidRPr="00BF4D0A" w:rsidR="009E2365">
        <w:rPr>
          <w:rFonts w:ascii="Times New Roman" w:hAnsi="Times New Roman" w:cs="Times New Roman"/>
        </w:rPr>
        <w:t>that</w:t>
      </w:r>
      <w:r w:rsidRPr="00BF4D0A" w:rsidR="00435210">
        <w:rPr>
          <w:rFonts w:ascii="Times New Roman" w:hAnsi="Times New Roman" w:cs="Times New Roman"/>
        </w:rPr>
        <w:t xml:space="preserve"> resulted </w:t>
      </w:r>
      <w:r w:rsidRPr="00BF4D0A" w:rsidR="00AF4EF4">
        <w:rPr>
          <w:rFonts w:ascii="Times New Roman" w:hAnsi="Times New Roman" w:cs="Times New Roman"/>
        </w:rPr>
        <w:t>in or could have reasonably resulted in</w:t>
      </w:r>
      <w:r w:rsidRPr="00BF4D0A" w:rsidR="00435210">
        <w:rPr>
          <w:rFonts w:ascii="Times New Roman" w:hAnsi="Times New Roman" w:cs="Times New Roman"/>
        </w:rPr>
        <w:t xml:space="preserve"> a catastrophic release</w:t>
      </w:r>
      <w:r w:rsidRPr="00BF4D0A" w:rsidR="009643E0">
        <w:rPr>
          <w:rFonts w:ascii="Times New Roman" w:hAnsi="Times New Roman" w:cs="Times New Roman"/>
        </w:rPr>
        <w:t>.</w:t>
      </w:r>
      <w:r w:rsidR="00576F93">
        <w:rPr>
          <w:rFonts w:ascii="Times New Roman" w:hAnsi="Times New Roman" w:cs="Times New Roman"/>
        </w:rPr>
        <w:t xml:space="preserve"> </w:t>
      </w:r>
      <w:r w:rsidRPr="00BF4D0A" w:rsidR="00435210">
        <w:rPr>
          <w:rFonts w:ascii="Times New Roman" w:hAnsi="Times New Roman" w:cs="Times New Roman"/>
        </w:rPr>
        <w:t xml:space="preserve">The </w:t>
      </w:r>
      <w:r w:rsidRPr="00BF4D0A" w:rsidR="00E60B87">
        <w:rPr>
          <w:rFonts w:ascii="Times New Roman" w:hAnsi="Times New Roman" w:cs="Times New Roman"/>
        </w:rPr>
        <w:t>proposed rule</w:t>
      </w:r>
      <w:r w:rsidRPr="00BF4D0A" w:rsidR="00435210">
        <w:rPr>
          <w:rFonts w:ascii="Times New Roman" w:hAnsi="Times New Roman" w:cs="Times New Roman"/>
        </w:rPr>
        <w:t xml:space="preserve"> would require </w:t>
      </w:r>
      <w:r w:rsidRPr="00BF4D0A" w:rsidR="00D76FBA">
        <w:rPr>
          <w:rFonts w:ascii="Times New Roman" w:hAnsi="Times New Roman" w:cs="Times New Roman"/>
        </w:rPr>
        <w:t xml:space="preserve">all </w:t>
      </w:r>
      <w:r w:rsidRPr="00BF4D0A" w:rsidR="00B849E6">
        <w:rPr>
          <w:rFonts w:ascii="Times New Roman" w:hAnsi="Times New Roman" w:cs="Times New Roman"/>
        </w:rPr>
        <w:t>Program 2</w:t>
      </w:r>
      <w:r w:rsidRPr="00BF4D0A" w:rsidR="00E60B87">
        <w:rPr>
          <w:rFonts w:ascii="Times New Roman" w:hAnsi="Times New Roman" w:cs="Times New Roman"/>
        </w:rPr>
        <w:t xml:space="preserve"> and </w:t>
      </w:r>
      <w:r w:rsidRPr="6A0ED392" w:rsidR="00845762">
        <w:rPr>
          <w:rFonts w:ascii="Times New Roman" w:hAnsi="Times New Roman" w:cs="Times New Roman"/>
          <w:color w:val="000000" w:themeColor="text1"/>
        </w:rPr>
        <w:t>Program 3</w:t>
      </w:r>
      <w:r w:rsidRPr="00BF4D0A" w:rsidR="00435210">
        <w:rPr>
          <w:rFonts w:ascii="Times New Roman" w:hAnsi="Times New Roman" w:cs="Times New Roman"/>
        </w:rPr>
        <w:t xml:space="preserve"> facilities to conduct </w:t>
      </w:r>
      <w:r w:rsidRPr="00BF4D0A" w:rsidR="0006228B">
        <w:rPr>
          <w:rFonts w:ascii="Times New Roman" w:hAnsi="Times New Roman" w:cs="Times New Roman"/>
        </w:rPr>
        <w:t xml:space="preserve">a </w:t>
      </w:r>
      <w:r w:rsidRPr="00BF4D0A" w:rsidR="00435210">
        <w:rPr>
          <w:rFonts w:ascii="Times New Roman" w:hAnsi="Times New Roman" w:cs="Times New Roman"/>
        </w:rPr>
        <w:t>root cause analys</w:t>
      </w:r>
      <w:r w:rsidRPr="00BF4D0A" w:rsidR="0006228B">
        <w:rPr>
          <w:rFonts w:ascii="Times New Roman" w:hAnsi="Times New Roman" w:cs="Times New Roman"/>
        </w:rPr>
        <w:t>i</w:t>
      </w:r>
      <w:r w:rsidRPr="00BF4D0A" w:rsidR="00435210">
        <w:rPr>
          <w:rFonts w:ascii="Times New Roman" w:hAnsi="Times New Roman" w:cs="Times New Roman"/>
        </w:rPr>
        <w:t>s for any RMP</w:t>
      </w:r>
      <w:r w:rsidRPr="00BF4D0A" w:rsidR="002C5463">
        <w:rPr>
          <w:rFonts w:ascii="Times New Roman" w:hAnsi="Times New Roman" w:cs="Times New Roman"/>
        </w:rPr>
        <w:t>-</w:t>
      </w:r>
      <w:r w:rsidRPr="00BF4D0A" w:rsidR="00435210">
        <w:rPr>
          <w:rFonts w:ascii="Times New Roman" w:hAnsi="Times New Roman" w:cs="Times New Roman"/>
        </w:rPr>
        <w:t>reportable accident.</w:t>
      </w:r>
      <w:r w:rsidRPr="00BF4D0A" w:rsidR="00842ED0">
        <w:rPr>
          <w:rFonts w:ascii="Times New Roman" w:hAnsi="Times New Roman" w:cs="Times New Roman"/>
        </w:rPr>
        <w:t xml:space="preserve"> </w:t>
      </w:r>
      <w:r w:rsidRPr="00BF4D0A" w:rsidR="00435210">
        <w:rPr>
          <w:rFonts w:ascii="Times New Roman" w:hAnsi="Times New Roman" w:cs="Times New Roman"/>
        </w:rPr>
        <w:t>Accident numbers are drawn from the data on RMP</w:t>
      </w:r>
      <w:r w:rsidRPr="00BF4D0A" w:rsidR="0006228B">
        <w:rPr>
          <w:rFonts w:ascii="Times New Roman" w:hAnsi="Times New Roman" w:cs="Times New Roman"/>
        </w:rPr>
        <w:t>-</w:t>
      </w:r>
      <w:r w:rsidRPr="00BF4D0A" w:rsidR="00435210">
        <w:rPr>
          <w:rFonts w:ascii="Times New Roman" w:hAnsi="Times New Roman" w:cs="Times New Roman"/>
        </w:rPr>
        <w:t>reportable accidents, referenced in Exhibit 3-9.</w:t>
      </w:r>
      <w:r w:rsidRPr="00BF4D0A" w:rsidR="001D4793">
        <w:rPr>
          <w:rFonts w:ascii="Times New Roman" w:hAnsi="Times New Roman" w:cs="Times New Roman"/>
        </w:rPr>
        <w:t xml:space="preserve"> The total costs of this provision are provided in Exhibit 5-</w:t>
      </w:r>
      <w:r w:rsidR="00C84234">
        <w:rPr>
          <w:rFonts w:ascii="Times New Roman" w:hAnsi="Times New Roman" w:cs="Times New Roman"/>
        </w:rPr>
        <w:t>3</w:t>
      </w:r>
      <w:r w:rsidRPr="00BF4D0A" w:rsidR="001D4793">
        <w:rPr>
          <w:rFonts w:ascii="Times New Roman" w:hAnsi="Times New Roman" w:cs="Times New Roman"/>
        </w:rPr>
        <w:t>.</w:t>
      </w:r>
      <w:r w:rsidR="00BA7A0C">
        <w:br/>
      </w:r>
    </w:p>
    <w:p w:rsidRPr="00D21E4B" w:rsidR="00D21E4B" w:rsidP="00D21E4B" w:rsidRDefault="00D21E4B" w14:paraId="15B1A37C" w14:textId="5D92FC9F">
      <w:pPr>
        <w:pStyle w:val="Caption"/>
        <w:jc w:val="center"/>
        <w:rPr>
          <w:rFonts w:ascii="Times New Roman" w:hAnsi="Times New Roman" w:cs="Times New Roman" w:eastAsiaTheme="majorEastAsia"/>
          <w:b/>
          <w:bCs/>
          <w:i w:val="0"/>
          <w:iCs w:val="0"/>
          <w:color w:val="auto"/>
          <w:sz w:val="22"/>
          <w:szCs w:val="22"/>
        </w:rPr>
      </w:pPr>
      <w:r w:rsidRPr="00D21E4B">
        <w:rPr>
          <w:rFonts w:ascii="Times New Roman" w:hAnsi="Times New Roman" w:cs="Times New Roman"/>
          <w:b/>
          <w:bCs/>
          <w:i w:val="0"/>
          <w:iCs w:val="0"/>
          <w:color w:val="auto"/>
          <w:sz w:val="22"/>
          <w:szCs w:val="22"/>
        </w:rPr>
        <w:t>Exhibit 5-</w:t>
      </w:r>
      <w:r w:rsidR="00C84234">
        <w:rPr>
          <w:rFonts w:ascii="Times New Roman" w:hAnsi="Times New Roman" w:cs="Times New Roman"/>
          <w:b/>
          <w:bCs/>
          <w:i w:val="0"/>
          <w:iCs w:val="0"/>
          <w:color w:val="auto"/>
          <w:sz w:val="22"/>
          <w:szCs w:val="22"/>
        </w:rPr>
        <w:t>3:</w:t>
      </w:r>
      <w:r w:rsidRPr="00D21E4B">
        <w:rPr>
          <w:rFonts w:ascii="Times New Roman" w:hAnsi="Times New Roman" w:cs="Times New Roman"/>
          <w:b/>
          <w:bCs/>
          <w:i w:val="0"/>
          <w:iCs w:val="0"/>
          <w:color w:val="auto"/>
          <w:sz w:val="22"/>
          <w:szCs w:val="22"/>
        </w:rPr>
        <w:t xml:space="preserve"> Total Undiscounted Costs for Root Cause Incident Investigation (2020 </w:t>
      </w:r>
      <w:r w:rsidR="00794F08">
        <w:rPr>
          <w:rFonts w:ascii="Times New Roman" w:hAnsi="Times New Roman" w:cs="Times New Roman"/>
          <w:b/>
          <w:bCs/>
          <w:i w:val="0"/>
          <w:iCs w:val="0"/>
          <w:color w:val="auto"/>
          <w:sz w:val="22"/>
          <w:szCs w:val="22"/>
        </w:rPr>
        <w:t>d</w:t>
      </w:r>
      <w:r w:rsidRPr="00D21E4B">
        <w:rPr>
          <w:rFonts w:ascii="Times New Roman" w:hAnsi="Times New Roman" w:cs="Times New Roman"/>
          <w:b/>
          <w:bCs/>
          <w:i w:val="0"/>
          <w:iCs w:val="0"/>
          <w:color w:val="auto"/>
          <w:sz w:val="22"/>
          <w:szCs w:val="22"/>
        </w:rPr>
        <w:t>ollars).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50"/>
        <w:gridCol w:w="990"/>
        <w:gridCol w:w="1980"/>
        <w:gridCol w:w="1530"/>
      </w:tblGrid>
      <w:tr w:rsidRPr="00BF4D0A" w:rsidR="00167F64" w:rsidTr="00D21E4B" w14:paraId="12D3F491" w14:textId="77777777">
        <w:trPr>
          <w:trHeight w:val="537"/>
          <w:jc w:val="center"/>
        </w:trPr>
        <w:tc>
          <w:tcPr>
            <w:tcW w:w="2250" w:type="dxa"/>
            <w:tcBorders>
              <w:left w:val="single" w:color="000000" w:sz="6" w:space="0"/>
              <w:bottom w:val="single" w:color="000000" w:sz="6" w:space="0"/>
              <w:right w:val="single" w:color="000000" w:sz="6" w:space="0"/>
            </w:tcBorders>
            <w:shd w:val="clear" w:color="auto" w:fill="DADADA"/>
            <w:vAlign w:val="center"/>
          </w:tcPr>
          <w:p w:rsidRPr="00D21E4B" w:rsidR="00435210" w:rsidP="00D21E4B" w:rsidRDefault="00435210" w14:paraId="5B193530" w14:textId="77777777">
            <w:pPr>
              <w:keepNext/>
              <w:spacing w:after="0" w:line="240" w:lineRule="auto"/>
              <w:ind w:left="176"/>
              <w:jc w:val="center"/>
              <w:rPr>
                <w:rFonts w:ascii="Times New Roman" w:hAnsi="Times New Roman" w:cs="Times New Roman"/>
                <w:b/>
                <w:sz w:val="20"/>
                <w:szCs w:val="20"/>
              </w:rPr>
            </w:pPr>
            <w:r w:rsidRPr="00D21E4B">
              <w:rPr>
                <w:rFonts w:ascii="Times New Roman" w:hAnsi="Times New Roman" w:cs="Times New Roman"/>
                <w:b/>
                <w:sz w:val="20"/>
                <w:szCs w:val="20"/>
              </w:rPr>
              <w:t>Facility Type</w:t>
            </w:r>
          </w:p>
        </w:tc>
        <w:tc>
          <w:tcPr>
            <w:tcW w:w="990" w:type="dxa"/>
            <w:tcBorders>
              <w:left w:val="single" w:color="000000" w:sz="6" w:space="0"/>
              <w:bottom w:val="single" w:color="000000" w:sz="6" w:space="0"/>
            </w:tcBorders>
            <w:shd w:val="clear" w:color="auto" w:fill="DADADA"/>
            <w:vAlign w:val="center"/>
          </w:tcPr>
          <w:p w:rsidRPr="00D21E4B" w:rsidR="00435210" w:rsidP="00D21E4B" w:rsidRDefault="00435210" w14:paraId="711A5F61" w14:textId="77777777">
            <w:pPr>
              <w:keepNext/>
              <w:spacing w:after="0" w:line="240" w:lineRule="auto"/>
              <w:ind w:left="80" w:right="50"/>
              <w:jc w:val="center"/>
              <w:rPr>
                <w:rFonts w:ascii="Times New Roman" w:hAnsi="Times New Roman" w:cs="Times New Roman"/>
                <w:b/>
                <w:sz w:val="20"/>
                <w:szCs w:val="20"/>
              </w:rPr>
            </w:pPr>
            <w:r w:rsidRPr="00D21E4B">
              <w:rPr>
                <w:rFonts w:ascii="Times New Roman" w:hAnsi="Times New Roman" w:cs="Times New Roman"/>
                <w:b/>
                <w:sz w:val="20"/>
                <w:szCs w:val="20"/>
              </w:rPr>
              <w:t>Unit Cost</w:t>
            </w:r>
          </w:p>
        </w:tc>
        <w:tc>
          <w:tcPr>
            <w:tcW w:w="1980" w:type="dxa"/>
            <w:tcBorders>
              <w:bottom w:val="single" w:color="000000" w:sz="6" w:space="0"/>
              <w:right w:val="single" w:color="000000" w:sz="6" w:space="0"/>
            </w:tcBorders>
            <w:shd w:val="clear" w:color="auto" w:fill="DADADA"/>
            <w:vAlign w:val="center"/>
          </w:tcPr>
          <w:p w:rsidRPr="00D21E4B" w:rsidR="00435210" w:rsidP="00D21E4B" w:rsidRDefault="000774CC" w14:paraId="1BCA107D" w14:textId="68D77589">
            <w:pPr>
              <w:keepNext/>
              <w:spacing w:after="0" w:line="240" w:lineRule="auto"/>
              <w:ind w:left="61" w:right="67"/>
              <w:jc w:val="center"/>
              <w:rPr>
                <w:rFonts w:ascii="Times New Roman" w:hAnsi="Times New Roman" w:cs="Times New Roman"/>
                <w:b/>
                <w:sz w:val="20"/>
                <w:szCs w:val="20"/>
              </w:rPr>
            </w:pPr>
            <w:r w:rsidRPr="00D21E4B">
              <w:rPr>
                <w:rFonts w:ascii="Times New Roman" w:hAnsi="Times New Roman" w:cs="Times New Roman"/>
                <w:b/>
                <w:sz w:val="20"/>
                <w:szCs w:val="20"/>
              </w:rPr>
              <w:t xml:space="preserve">Avg. Annual Number of </w:t>
            </w:r>
            <w:r w:rsidRPr="00D21E4B" w:rsidR="007B2C60">
              <w:rPr>
                <w:rFonts w:ascii="Times New Roman" w:hAnsi="Times New Roman" w:cs="Times New Roman"/>
                <w:b/>
                <w:sz w:val="20"/>
                <w:szCs w:val="20"/>
              </w:rPr>
              <w:t>Accidents</w:t>
            </w:r>
            <w:r w:rsidRPr="00D21E4B" w:rsidR="004933E7">
              <w:rPr>
                <w:rFonts w:ascii="Times New Roman" w:hAnsi="Times New Roman" w:cs="Times New Roman"/>
                <w:b/>
                <w:sz w:val="20"/>
                <w:szCs w:val="20"/>
              </w:rPr>
              <w:t xml:space="preserve"> </w:t>
            </w:r>
            <w:r w:rsidRPr="00D21E4B" w:rsidR="00945F52">
              <w:rPr>
                <w:rFonts w:ascii="Times New Roman" w:hAnsi="Times New Roman" w:cs="Times New Roman"/>
                <w:b/>
                <w:sz w:val="20"/>
                <w:szCs w:val="20"/>
              </w:rPr>
              <w:t>(2016-2020)</w:t>
            </w:r>
            <w:r w:rsidRPr="00D21E4B" w:rsidR="005E7CC6">
              <w:rPr>
                <w:rFonts w:ascii="Times New Roman" w:hAnsi="Times New Roman" w:cs="Times New Roman"/>
                <w:b/>
                <w:sz w:val="20"/>
                <w:szCs w:val="20"/>
              </w:rPr>
              <w:t xml:space="preserve"> </w:t>
            </w:r>
            <w:r w:rsidRPr="00D21E4B" w:rsidR="004933E7">
              <w:rPr>
                <w:rFonts w:ascii="Times New Roman" w:hAnsi="Times New Roman" w:cs="Times New Roman"/>
                <w:b/>
                <w:sz w:val="20"/>
                <w:szCs w:val="20"/>
              </w:rPr>
              <w:t>per year</w:t>
            </w:r>
          </w:p>
        </w:tc>
        <w:tc>
          <w:tcPr>
            <w:tcW w:w="1530" w:type="dxa"/>
            <w:tcBorders>
              <w:left w:val="single" w:color="000000" w:sz="6" w:space="0"/>
              <w:bottom w:val="single" w:color="000000" w:sz="6" w:space="0"/>
            </w:tcBorders>
            <w:shd w:val="clear" w:color="auto" w:fill="DADADA"/>
            <w:vAlign w:val="center"/>
          </w:tcPr>
          <w:p w:rsidRPr="00D21E4B" w:rsidR="009E2365" w:rsidP="00D21E4B" w:rsidRDefault="00435210" w14:paraId="4E9F58A4" w14:textId="77777777">
            <w:pPr>
              <w:keepNext/>
              <w:spacing w:after="0" w:line="240" w:lineRule="auto"/>
              <w:ind w:left="81" w:right="51"/>
              <w:jc w:val="center"/>
              <w:rPr>
                <w:rFonts w:ascii="Times New Roman" w:hAnsi="Times New Roman" w:cs="Times New Roman"/>
                <w:b/>
                <w:sz w:val="20"/>
                <w:szCs w:val="20"/>
              </w:rPr>
            </w:pPr>
            <w:r w:rsidRPr="00D21E4B">
              <w:rPr>
                <w:rFonts w:ascii="Times New Roman" w:hAnsi="Times New Roman" w:cs="Times New Roman"/>
                <w:b/>
                <w:sz w:val="20"/>
                <w:szCs w:val="20"/>
              </w:rPr>
              <w:t xml:space="preserve">Total </w:t>
            </w:r>
            <w:r w:rsidRPr="00D21E4B" w:rsidR="004933E7">
              <w:rPr>
                <w:rFonts w:ascii="Times New Roman" w:hAnsi="Times New Roman" w:cs="Times New Roman"/>
                <w:b/>
                <w:sz w:val="20"/>
                <w:szCs w:val="20"/>
              </w:rPr>
              <w:t>Annualized</w:t>
            </w:r>
          </w:p>
          <w:p w:rsidRPr="00D21E4B" w:rsidR="00435210" w:rsidP="00D21E4B" w:rsidRDefault="00435210" w14:paraId="31E755D1" w14:textId="64849D9C">
            <w:pPr>
              <w:keepNext/>
              <w:spacing w:after="0" w:line="240" w:lineRule="auto"/>
              <w:ind w:left="81" w:right="51"/>
              <w:jc w:val="center"/>
              <w:rPr>
                <w:rFonts w:ascii="Times New Roman" w:hAnsi="Times New Roman" w:cs="Times New Roman"/>
                <w:b/>
                <w:sz w:val="20"/>
                <w:szCs w:val="20"/>
              </w:rPr>
            </w:pPr>
            <w:r w:rsidRPr="00D21E4B">
              <w:rPr>
                <w:rFonts w:ascii="Times New Roman" w:hAnsi="Times New Roman" w:cs="Times New Roman"/>
                <w:b/>
                <w:sz w:val="20"/>
                <w:szCs w:val="20"/>
              </w:rPr>
              <w:t>Cost</w:t>
            </w:r>
          </w:p>
        </w:tc>
      </w:tr>
      <w:tr w:rsidRPr="00BF4D0A" w:rsidR="00435210" w:rsidTr="00D21E4B" w14:paraId="4313873A" w14:textId="77777777">
        <w:trPr>
          <w:trHeight w:val="285"/>
          <w:jc w:val="center"/>
        </w:trPr>
        <w:tc>
          <w:tcPr>
            <w:tcW w:w="2250" w:type="dxa"/>
            <w:tcBorders>
              <w:top w:val="single" w:color="000000" w:sz="6" w:space="0"/>
              <w:left w:val="single" w:color="000000" w:sz="6" w:space="0"/>
              <w:bottom w:val="single" w:color="000000" w:sz="6" w:space="0"/>
              <w:right w:val="single" w:color="000000" w:sz="6" w:space="0"/>
            </w:tcBorders>
            <w:vAlign w:val="center"/>
          </w:tcPr>
          <w:p w:rsidRPr="00D21E4B" w:rsidR="00435210" w:rsidP="00D21E4B" w:rsidRDefault="00435210" w14:paraId="581188D6" w14:textId="77777777">
            <w:pPr>
              <w:keepNext/>
              <w:spacing w:after="0" w:line="240" w:lineRule="auto"/>
              <w:ind w:left="112"/>
              <w:jc w:val="center"/>
              <w:rPr>
                <w:rFonts w:ascii="Times New Roman" w:hAnsi="Times New Roman" w:cs="Times New Roman"/>
                <w:sz w:val="20"/>
                <w:szCs w:val="20"/>
              </w:rPr>
            </w:pPr>
            <w:r w:rsidRPr="00D21E4B">
              <w:rPr>
                <w:rFonts w:ascii="Times New Roman" w:hAnsi="Times New Roman" w:cs="Times New Roman"/>
                <w:sz w:val="20"/>
                <w:szCs w:val="20"/>
              </w:rPr>
              <w:t>P2 Accident - Simple</w:t>
            </w:r>
          </w:p>
        </w:tc>
        <w:tc>
          <w:tcPr>
            <w:tcW w:w="990" w:type="dxa"/>
            <w:tcBorders>
              <w:top w:val="single" w:color="000000" w:sz="6" w:space="0"/>
              <w:left w:val="single" w:color="000000" w:sz="6" w:space="0"/>
              <w:bottom w:val="single" w:color="000000" w:sz="6" w:space="0"/>
            </w:tcBorders>
            <w:vAlign w:val="center"/>
          </w:tcPr>
          <w:p w:rsidRPr="00D21E4B" w:rsidR="00435210" w:rsidP="00D21E4B" w:rsidRDefault="006C1061" w14:paraId="33BB71C7" w14:textId="658AA75F">
            <w:pPr>
              <w:keepNext/>
              <w:spacing w:after="0" w:line="240" w:lineRule="auto"/>
              <w:ind w:left="67" w:right="50"/>
              <w:jc w:val="center"/>
              <w:rPr>
                <w:rFonts w:ascii="Times New Roman" w:hAnsi="Times New Roman" w:cs="Times New Roman"/>
                <w:sz w:val="20"/>
                <w:szCs w:val="20"/>
              </w:rPr>
            </w:pPr>
            <w:r w:rsidRPr="00D21E4B">
              <w:rPr>
                <w:rFonts w:ascii="Times New Roman" w:hAnsi="Times New Roman" w:cs="Times New Roman"/>
                <w:color w:val="000000"/>
                <w:sz w:val="20"/>
                <w:szCs w:val="20"/>
              </w:rPr>
              <w:t>$2,141</w:t>
            </w:r>
          </w:p>
        </w:tc>
        <w:tc>
          <w:tcPr>
            <w:tcW w:w="1980" w:type="dxa"/>
            <w:tcBorders>
              <w:top w:val="single" w:color="000000" w:sz="6" w:space="0"/>
              <w:bottom w:val="single" w:color="000000" w:sz="6" w:space="0"/>
              <w:right w:val="single" w:color="000000" w:sz="6" w:space="0"/>
            </w:tcBorders>
            <w:vAlign w:val="center"/>
          </w:tcPr>
          <w:p w:rsidRPr="00D21E4B" w:rsidR="00435210" w:rsidP="00D21E4B" w:rsidRDefault="00D90F35" w14:paraId="3908B8AF" w14:textId="0F588F10">
            <w:pPr>
              <w:keepNext/>
              <w:spacing w:after="0" w:line="240" w:lineRule="auto"/>
              <w:ind w:left="93" w:right="1"/>
              <w:jc w:val="center"/>
              <w:rPr>
                <w:rFonts w:ascii="Times New Roman" w:hAnsi="Times New Roman" w:cs="Times New Roman"/>
                <w:sz w:val="20"/>
                <w:szCs w:val="20"/>
              </w:rPr>
            </w:pPr>
            <w:r w:rsidRPr="00D21E4B">
              <w:rPr>
                <w:rFonts w:ascii="Times New Roman" w:hAnsi="Times New Roman" w:cs="Times New Roman"/>
                <w:sz w:val="20"/>
                <w:szCs w:val="20"/>
              </w:rPr>
              <w:t>12.8</w:t>
            </w:r>
          </w:p>
        </w:tc>
        <w:tc>
          <w:tcPr>
            <w:tcW w:w="1530" w:type="dxa"/>
            <w:tcBorders>
              <w:top w:val="single" w:color="000000" w:sz="6" w:space="0"/>
              <w:left w:val="single" w:color="000000" w:sz="6" w:space="0"/>
              <w:bottom w:val="single" w:color="000000" w:sz="6" w:space="0"/>
            </w:tcBorders>
            <w:vAlign w:val="center"/>
          </w:tcPr>
          <w:p w:rsidRPr="00D21E4B" w:rsidR="00435210" w:rsidP="00D21E4B" w:rsidRDefault="003627E9" w14:paraId="1EA1DFCD" w14:textId="54AD87E2">
            <w:pPr>
              <w:keepNext/>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$27,406</w:t>
            </w:r>
          </w:p>
        </w:tc>
      </w:tr>
      <w:tr w:rsidRPr="00BF4D0A" w:rsidR="00435210" w:rsidTr="00D21E4B" w14:paraId="796ACDA7" w14:textId="77777777">
        <w:trPr>
          <w:trHeight w:val="300"/>
          <w:jc w:val="center"/>
        </w:trPr>
        <w:tc>
          <w:tcPr>
            <w:tcW w:w="2250" w:type="dxa"/>
            <w:tcBorders>
              <w:top w:val="single" w:color="000000" w:sz="6" w:space="0"/>
              <w:left w:val="single" w:color="000000" w:sz="6" w:space="0"/>
              <w:bottom w:val="single" w:color="000000" w:sz="6" w:space="0"/>
              <w:right w:val="single" w:color="000000" w:sz="6" w:space="0"/>
            </w:tcBorders>
            <w:vAlign w:val="center"/>
          </w:tcPr>
          <w:p w:rsidRPr="00D21E4B" w:rsidR="00435210" w:rsidP="00D21E4B" w:rsidRDefault="00435210" w14:paraId="5F37880C" w14:textId="77777777">
            <w:pPr>
              <w:keepNext/>
              <w:spacing w:after="0" w:line="240" w:lineRule="auto"/>
              <w:ind w:left="112"/>
              <w:jc w:val="center"/>
              <w:rPr>
                <w:rFonts w:ascii="Times New Roman" w:hAnsi="Times New Roman" w:cs="Times New Roman"/>
                <w:sz w:val="20"/>
                <w:szCs w:val="20"/>
              </w:rPr>
            </w:pPr>
            <w:r w:rsidRPr="00D21E4B">
              <w:rPr>
                <w:rFonts w:ascii="Times New Roman" w:hAnsi="Times New Roman" w:cs="Times New Roman"/>
                <w:sz w:val="20"/>
                <w:szCs w:val="20"/>
              </w:rPr>
              <w:t>P2 Accident - Complex</w:t>
            </w:r>
          </w:p>
        </w:tc>
        <w:tc>
          <w:tcPr>
            <w:tcW w:w="990" w:type="dxa"/>
            <w:tcBorders>
              <w:top w:val="single" w:color="000000" w:sz="6" w:space="0"/>
              <w:left w:val="single" w:color="000000" w:sz="6" w:space="0"/>
              <w:bottom w:val="single" w:color="000000" w:sz="6" w:space="0"/>
            </w:tcBorders>
            <w:vAlign w:val="center"/>
          </w:tcPr>
          <w:p w:rsidRPr="00D21E4B" w:rsidR="00435210" w:rsidP="00D21E4B" w:rsidRDefault="006C1061" w14:paraId="706B153D" w14:textId="6DF4FE36">
            <w:pPr>
              <w:keepNext/>
              <w:spacing w:after="0" w:line="240" w:lineRule="auto"/>
              <w:ind w:left="67" w:right="50"/>
              <w:jc w:val="center"/>
              <w:rPr>
                <w:rFonts w:ascii="Times New Roman" w:hAnsi="Times New Roman" w:cs="Times New Roman"/>
                <w:sz w:val="20"/>
                <w:szCs w:val="20"/>
              </w:rPr>
            </w:pPr>
            <w:r w:rsidRPr="00D21E4B">
              <w:rPr>
                <w:rFonts w:ascii="Times New Roman" w:hAnsi="Times New Roman" w:cs="Times New Roman"/>
                <w:color w:val="000000"/>
                <w:sz w:val="20"/>
                <w:szCs w:val="20"/>
              </w:rPr>
              <w:t>$14,835</w:t>
            </w:r>
          </w:p>
        </w:tc>
        <w:tc>
          <w:tcPr>
            <w:tcW w:w="1980" w:type="dxa"/>
            <w:tcBorders>
              <w:top w:val="single" w:color="000000" w:sz="6" w:space="0"/>
              <w:bottom w:val="single" w:color="000000" w:sz="6" w:space="0"/>
              <w:right w:val="single" w:color="000000" w:sz="6" w:space="0"/>
            </w:tcBorders>
            <w:vAlign w:val="center"/>
          </w:tcPr>
          <w:p w:rsidRPr="00D21E4B" w:rsidR="00435210" w:rsidP="00D21E4B" w:rsidRDefault="003F1E89" w14:paraId="571AC00B" w14:textId="1805A2D4">
            <w:pPr>
              <w:keepNext/>
              <w:spacing w:after="0" w:line="240" w:lineRule="auto"/>
              <w:ind w:left="93" w:right="1"/>
              <w:jc w:val="center"/>
              <w:rPr>
                <w:rFonts w:ascii="Times New Roman" w:hAnsi="Times New Roman" w:cs="Times New Roman"/>
                <w:sz w:val="20"/>
                <w:szCs w:val="20"/>
              </w:rPr>
            </w:pPr>
            <w:r w:rsidRPr="00D21E4B">
              <w:rPr>
                <w:rFonts w:ascii="Times New Roman" w:hAnsi="Times New Roman" w:cs="Times New Roman"/>
                <w:sz w:val="20"/>
                <w:szCs w:val="20"/>
              </w:rPr>
              <w:t>0</w:t>
            </w:r>
            <w:r w:rsidRPr="00D21E4B" w:rsidR="000C341A">
              <w:rPr>
                <w:rFonts w:ascii="Times New Roman" w:hAnsi="Times New Roman" w:cs="Times New Roman"/>
                <w:sz w:val="20"/>
                <w:szCs w:val="20"/>
              </w:rPr>
              <w:t>.2</w:t>
            </w:r>
          </w:p>
        </w:tc>
        <w:tc>
          <w:tcPr>
            <w:tcW w:w="1530" w:type="dxa"/>
            <w:tcBorders>
              <w:top w:val="single" w:color="000000" w:sz="6" w:space="0"/>
              <w:left w:val="single" w:color="000000" w:sz="6" w:space="0"/>
              <w:bottom w:val="single" w:color="000000" w:sz="6" w:space="0"/>
            </w:tcBorders>
            <w:vAlign w:val="center"/>
          </w:tcPr>
          <w:p w:rsidRPr="00D21E4B" w:rsidR="00435210" w:rsidP="00D21E4B" w:rsidRDefault="00435210" w14:paraId="38463BA4" w14:textId="3D17DF65">
            <w:pPr>
              <w:keepNext/>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w:t>
            </w:r>
            <w:r w:rsidRPr="00D21E4B" w:rsidR="00367F91">
              <w:rPr>
                <w:rFonts w:ascii="Times New Roman" w:hAnsi="Times New Roman" w:cs="Times New Roman"/>
                <w:color w:val="000000"/>
                <w:sz w:val="20"/>
                <w:szCs w:val="20"/>
              </w:rPr>
              <w:t>2,</w:t>
            </w:r>
            <w:r w:rsidRPr="00D21E4B" w:rsidR="003627E9">
              <w:rPr>
                <w:rFonts w:ascii="Times New Roman" w:hAnsi="Times New Roman" w:cs="Times New Roman"/>
                <w:color w:val="000000"/>
                <w:sz w:val="20"/>
                <w:szCs w:val="20"/>
              </w:rPr>
              <w:t>967</w:t>
            </w:r>
          </w:p>
        </w:tc>
      </w:tr>
      <w:tr w:rsidRPr="00BF4D0A" w:rsidR="00435210" w:rsidTr="00D21E4B" w14:paraId="077D6BB3" w14:textId="77777777">
        <w:trPr>
          <w:trHeight w:val="282"/>
          <w:jc w:val="center"/>
        </w:trPr>
        <w:tc>
          <w:tcPr>
            <w:tcW w:w="2250" w:type="dxa"/>
            <w:tcBorders>
              <w:top w:val="single" w:color="000000" w:sz="6" w:space="0"/>
              <w:left w:val="single" w:color="000000" w:sz="6" w:space="0"/>
              <w:right w:val="single" w:color="000000" w:sz="6" w:space="0"/>
            </w:tcBorders>
            <w:vAlign w:val="center"/>
          </w:tcPr>
          <w:p w:rsidRPr="00D21E4B" w:rsidR="00435210" w:rsidP="00D21E4B" w:rsidRDefault="00435210" w14:paraId="11608006" w14:textId="77777777">
            <w:pPr>
              <w:keepNext/>
              <w:spacing w:after="0" w:line="240" w:lineRule="auto"/>
              <w:ind w:left="112"/>
              <w:jc w:val="center"/>
              <w:rPr>
                <w:rFonts w:ascii="Times New Roman" w:hAnsi="Times New Roman" w:cs="Times New Roman"/>
                <w:sz w:val="20"/>
                <w:szCs w:val="20"/>
              </w:rPr>
            </w:pPr>
            <w:r w:rsidRPr="00D21E4B">
              <w:rPr>
                <w:rFonts w:ascii="Times New Roman" w:hAnsi="Times New Roman" w:cs="Times New Roman"/>
                <w:sz w:val="20"/>
                <w:szCs w:val="20"/>
              </w:rPr>
              <w:t>P3 Accident - Simple</w:t>
            </w:r>
          </w:p>
        </w:tc>
        <w:tc>
          <w:tcPr>
            <w:tcW w:w="990" w:type="dxa"/>
            <w:tcBorders>
              <w:top w:val="single" w:color="000000" w:sz="6" w:space="0"/>
              <w:left w:val="single" w:color="000000" w:sz="6" w:space="0"/>
            </w:tcBorders>
            <w:vAlign w:val="center"/>
          </w:tcPr>
          <w:p w:rsidRPr="00D21E4B" w:rsidR="00435210" w:rsidP="00D21E4B" w:rsidRDefault="006C1061" w14:paraId="3E1C1F80" w14:textId="46972A04">
            <w:pPr>
              <w:keepNext/>
              <w:spacing w:after="0" w:line="240" w:lineRule="auto"/>
              <w:ind w:left="67" w:right="50"/>
              <w:jc w:val="center"/>
              <w:rPr>
                <w:rFonts w:ascii="Times New Roman" w:hAnsi="Times New Roman" w:cs="Times New Roman"/>
                <w:sz w:val="20"/>
                <w:szCs w:val="20"/>
              </w:rPr>
            </w:pPr>
            <w:r w:rsidRPr="00D21E4B">
              <w:rPr>
                <w:rFonts w:ascii="Times New Roman" w:hAnsi="Times New Roman" w:cs="Times New Roman"/>
                <w:color w:val="000000"/>
                <w:sz w:val="20"/>
                <w:szCs w:val="20"/>
              </w:rPr>
              <w:t>$2,141</w:t>
            </w:r>
          </w:p>
        </w:tc>
        <w:tc>
          <w:tcPr>
            <w:tcW w:w="1980" w:type="dxa"/>
            <w:tcBorders>
              <w:top w:val="single" w:color="000000" w:sz="6" w:space="0"/>
              <w:right w:val="single" w:color="000000" w:sz="6" w:space="0"/>
            </w:tcBorders>
            <w:vAlign w:val="center"/>
          </w:tcPr>
          <w:p w:rsidRPr="00D21E4B" w:rsidR="00435210" w:rsidP="00D21E4B" w:rsidRDefault="003F1E89" w14:paraId="57F1499D" w14:textId="28420DDD">
            <w:pPr>
              <w:keepNext/>
              <w:spacing w:after="0" w:line="240" w:lineRule="auto"/>
              <w:ind w:left="93" w:right="65"/>
              <w:jc w:val="center"/>
              <w:rPr>
                <w:rFonts w:ascii="Times New Roman" w:hAnsi="Times New Roman" w:cs="Times New Roman"/>
                <w:sz w:val="20"/>
                <w:szCs w:val="20"/>
              </w:rPr>
            </w:pPr>
            <w:r w:rsidRPr="00D21E4B">
              <w:rPr>
                <w:rFonts w:ascii="Times New Roman" w:hAnsi="Times New Roman" w:cs="Times New Roman"/>
                <w:sz w:val="20"/>
                <w:szCs w:val="20"/>
              </w:rPr>
              <w:t>40</w:t>
            </w:r>
            <w:r w:rsidRPr="00D21E4B" w:rsidR="00D90F35">
              <w:rPr>
                <w:rFonts w:ascii="Times New Roman" w:hAnsi="Times New Roman" w:cs="Times New Roman"/>
                <w:sz w:val="20"/>
                <w:szCs w:val="20"/>
              </w:rPr>
              <w:t>.2</w:t>
            </w:r>
          </w:p>
        </w:tc>
        <w:tc>
          <w:tcPr>
            <w:tcW w:w="1530" w:type="dxa"/>
            <w:tcBorders>
              <w:top w:val="single" w:color="000000" w:sz="6" w:space="0"/>
              <w:left w:val="single" w:color="000000" w:sz="6" w:space="0"/>
            </w:tcBorders>
            <w:vAlign w:val="center"/>
          </w:tcPr>
          <w:p w:rsidRPr="00D21E4B" w:rsidR="00435210" w:rsidP="00D21E4B" w:rsidRDefault="003627E9" w14:paraId="5EA1FD40" w14:textId="131221B8">
            <w:pPr>
              <w:keepNext/>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$86,073</w:t>
            </w:r>
          </w:p>
        </w:tc>
      </w:tr>
      <w:tr w:rsidRPr="00BF4D0A" w:rsidR="00435210" w:rsidTr="00D21E4B" w14:paraId="6312AB4F" w14:textId="77777777">
        <w:trPr>
          <w:trHeight w:val="295"/>
          <w:jc w:val="center"/>
        </w:trPr>
        <w:tc>
          <w:tcPr>
            <w:tcW w:w="2250" w:type="dxa"/>
            <w:tcBorders>
              <w:left w:val="single" w:color="000000" w:sz="6" w:space="0"/>
              <w:right w:val="single" w:color="000000" w:sz="6" w:space="0"/>
            </w:tcBorders>
            <w:vAlign w:val="center"/>
          </w:tcPr>
          <w:p w:rsidRPr="00D21E4B" w:rsidR="00435210" w:rsidP="00D21E4B" w:rsidRDefault="00435210" w14:paraId="719977A2" w14:textId="77777777">
            <w:pPr>
              <w:keepNext/>
              <w:spacing w:after="0" w:line="240" w:lineRule="auto"/>
              <w:ind w:left="112"/>
              <w:jc w:val="center"/>
              <w:rPr>
                <w:rFonts w:ascii="Times New Roman" w:hAnsi="Times New Roman" w:cs="Times New Roman"/>
                <w:sz w:val="20"/>
                <w:szCs w:val="20"/>
              </w:rPr>
            </w:pPr>
            <w:r w:rsidRPr="00D21E4B">
              <w:rPr>
                <w:rFonts w:ascii="Times New Roman" w:hAnsi="Times New Roman" w:cs="Times New Roman"/>
                <w:sz w:val="20"/>
                <w:szCs w:val="20"/>
              </w:rPr>
              <w:t>P3 Accident - Complex</w:t>
            </w:r>
          </w:p>
        </w:tc>
        <w:tc>
          <w:tcPr>
            <w:tcW w:w="990" w:type="dxa"/>
            <w:tcBorders>
              <w:left w:val="single" w:color="000000" w:sz="6" w:space="0"/>
            </w:tcBorders>
            <w:vAlign w:val="center"/>
          </w:tcPr>
          <w:p w:rsidRPr="00D21E4B" w:rsidR="00435210" w:rsidP="00D21E4B" w:rsidRDefault="006C1061" w14:paraId="278F783D" w14:textId="568C0D1D">
            <w:pPr>
              <w:keepNext/>
              <w:spacing w:after="0" w:line="240" w:lineRule="auto"/>
              <w:ind w:left="67" w:right="50"/>
              <w:jc w:val="center"/>
              <w:rPr>
                <w:rFonts w:ascii="Times New Roman" w:hAnsi="Times New Roman" w:cs="Times New Roman"/>
                <w:sz w:val="20"/>
                <w:szCs w:val="20"/>
              </w:rPr>
            </w:pPr>
            <w:r w:rsidRPr="00D21E4B">
              <w:rPr>
                <w:rFonts w:ascii="Times New Roman" w:hAnsi="Times New Roman" w:cs="Times New Roman"/>
                <w:color w:val="000000"/>
                <w:sz w:val="20"/>
                <w:szCs w:val="20"/>
              </w:rPr>
              <w:t>$14,835</w:t>
            </w:r>
          </w:p>
        </w:tc>
        <w:tc>
          <w:tcPr>
            <w:tcW w:w="1980" w:type="dxa"/>
            <w:tcBorders>
              <w:right w:val="single" w:color="000000" w:sz="6" w:space="0"/>
            </w:tcBorders>
            <w:vAlign w:val="center"/>
          </w:tcPr>
          <w:p w:rsidRPr="00D21E4B" w:rsidR="00435210" w:rsidP="00D21E4B" w:rsidRDefault="003F1E89" w14:paraId="460495B3" w14:textId="7DE22B9C">
            <w:pPr>
              <w:keepNext/>
              <w:spacing w:after="0" w:line="240" w:lineRule="auto"/>
              <w:ind w:left="93" w:right="65"/>
              <w:jc w:val="center"/>
              <w:rPr>
                <w:rFonts w:ascii="Times New Roman" w:hAnsi="Times New Roman" w:cs="Times New Roman"/>
                <w:sz w:val="20"/>
                <w:szCs w:val="20"/>
              </w:rPr>
            </w:pPr>
            <w:r w:rsidRPr="00D21E4B">
              <w:rPr>
                <w:rFonts w:ascii="Times New Roman" w:hAnsi="Times New Roman" w:cs="Times New Roman"/>
                <w:sz w:val="20"/>
                <w:szCs w:val="20"/>
              </w:rPr>
              <w:t>41</w:t>
            </w:r>
            <w:r w:rsidRPr="00D21E4B" w:rsidR="00D90F35">
              <w:rPr>
                <w:rFonts w:ascii="Times New Roman" w:hAnsi="Times New Roman" w:cs="Times New Roman"/>
                <w:sz w:val="20"/>
                <w:szCs w:val="20"/>
              </w:rPr>
              <w:t>.2</w:t>
            </w:r>
          </w:p>
        </w:tc>
        <w:tc>
          <w:tcPr>
            <w:tcW w:w="1530" w:type="dxa"/>
            <w:tcBorders>
              <w:left w:val="single" w:color="000000" w:sz="6" w:space="0"/>
            </w:tcBorders>
            <w:vAlign w:val="center"/>
          </w:tcPr>
          <w:p w:rsidRPr="00D21E4B" w:rsidR="00435210" w:rsidP="00D21E4B" w:rsidRDefault="003627E9" w14:paraId="38EFD031" w14:textId="717D4701">
            <w:pPr>
              <w:keepNext/>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$611,205</w:t>
            </w:r>
          </w:p>
        </w:tc>
      </w:tr>
      <w:tr w:rsidRPr="00BF4D0A" w:rsidR="00435210" w:rsidTr="00D21E4B" w14:paraId="565BC7B6" w14:textId="77777777">
        <w:trPr>
          <w:trHeight w:val="282"/>
          <w:jc w:val="center"/>
        </w:trPr>
        <w:tc>
          <w:tcPr>
            <w:tcW w:w="2250" w:type="dxa"/>
            <w:tcBorders>
              <w:left w:val="single" w:color="000000" w:sz="6" w:space="0"/>
              <w:bottom w:val="single" w:color="000000" w:sz="6" w:space="0"/>
              <w:right w:val="single" w:color="000000" w:sz="6" w:space="0"/>
            </w:tcBorders>
            <w:vAlign w:val="center"/>
          </w:tcPr>
          <w:p w:rsidRPr="00D21E4B" w:rsidR="00435210" w:rsidP="00D21E4B" w:rsidRDefault="00435210" w14:paraId="5E42E8CA" w14:textId="77777777">
            <w:pPr>
              <w:keepNext/>
              <w:spacing w:after="0" w:line="240" w:lineRule="auto"/>
              <w:ind w:right="887"/>
              <w:jc w:val="center"/>
              <w:rPr>
                <w:rFonts w:ascii="Times New Roman" w:hAnsi="Times New Roman" w:cs="Times New Roman"/>
                <w:b/>
                <w:sz w:val="20"/>
                <w:szCs w:val="20"/>
              </w:rPr>
            </w:pPr>
            <w:r w:rsidRPr="00D21E4B">
              <w:rPr>
                <w:rFonts w:ascii="Times New Roman" w:hAnsi="Times New Roman" w:cs="Times New Roman"/>
                <w:b/>
                <w:sz w:val="20"/>
                <w:szCs w:val="20"/>
              </w:rPr>
              <w:t>Total</w:t>
            </w:r>
          </w:p>
        </w:tc>
        <w:tc>
          <w:tcPr>
            <w:tcW w:w="990" w:type="dxa"/>
            <w:tcBorders>
              <w:left w:val="single" w:color="000000" w:sz="6" w:space="0"/>
              <w:bottom w:val="single" w:color="000000" w:sz="6" w:space="0"/>
            </w:tcBorders>
            <w:vAlign w:val="center"/>
          </w:tcPr>
          <w:p w:rsidRPr="00D21E4B" w:rsidR="00435210" w:rsidP="00D21E4B" w:rsidRDefault="00435210" w14:paraId="47E96739" w14:textId="77777777">
            <w:pPr>
              <w:keepNext/>
              <w:spacing w:after="0" w:line="240" w:lineRule="auto"/>
              <w:jc w:val="center"/>
              <w:rPr>
                <w:rFonts w:ascii="Times New Roman" w:hAnsi="Times New Roman" w:cs="Times New Roman"/>
                <w:sz w:val="20"/>
                <w:szCs w:val="20"/>
              </w:rPr>
            </w:pPr>
          </w:p>
        </w:tc>
        <w:tc>
          <w:tcPr>
            <w:tcW w:w="1980" w:type="dxa"/>
            <w:tcBorders>
              <w:bottom w:val="single" w:color="000000" w:sz="6" w:space="0"/>
              <w:right w:val="single" w:color="000000" w:sz="6" w:space="0"/>
            </w:tcBorders>
            <w:vAlign w:val="center"/>
          </w:tcPr>
          <w:p w:rsidRPr="00D21E4B" w:rsidR="00435210" w:rsidP="00D21E4B" w:rsidRDefault="00C01646" w14:paraId="6029C761" w14:textId="10F39172">
            <w:pPr>
              <w:keepNext/>
              <w:spacing w:after="0" w:line="240" w:lineRule="auto"/>
              <w:ind w:left="67" w:right="67"/>
              <w:jc w:val="center"/>
              <w:rPr>
                <w:rFonts w:ascii="Times New Roman" w:hAnsi="Times New Roman" w:cs="Times New Roman"/>
                <w:b/>
                <w:sz w:val="20"/>
                <w:szCs w:val="20"/>
              </w:rPr>
            </w:pPr>
            <w:r w:rsidRPr="00D21E4B">
              <w:rPr>
                <w:rFonts w:ascii="Times New Roman" w:hAnsi="Times New Roman" w:cs="Times New Roman"/>
                <w:b/>
                <w:sz w:val="20"/>
                <w:szCs w:val="20"/>
              </w:rPr>
              <w:t>94</w:t>
            </w:r>
            <w:r w:rsidRPr="00D21E4B" w:rsidR="00D90F35">
              <w:rPr>
                <w:rFonts w:ascii="Times New Roman" w:hAnsi="Times New Roman" w:cs="Times New Roman"/>
                <w:b/>
                <w:sz w:val="20"/>
                <w:szCs w:val="20"/>
              </w:rPr>
              <w:t>.4</w:t>
            </w:r>
          </w:p>
        </w:tc>
        <w:tc>
          <w:tcPr>
            <w:tcW w:w="1530" w:type="dxa"/>
            <w:tcBorders>
              <w:left w:val="single" w:color="000000" w:sz="6" w:space="0"/>
              <w:bottom w:val="single" w:color="000000" w:sz="6" w:space="0"/>
            </w:tcBorders>
            <w:vAlign w:val="center"/>
          </w:tcPr>
          <w:p w:rsidRPr="00D21E4B" w:rsidR="00435210" w:rsidP="00D21E4B" w:rsidRDefault="003627E9" w14:paraId="3DD2ADA1" w14:textId="73B9E067">
            <w:pPr>
              <w:keepNext/>
              <w:spacing w:after="0" w:line="240" w:lineRule="auto"/>
              <w:ind w:left="83" w:right="51"/>
              <w:jc w:val="center"/>
              <w:rPr>
                <w:rFonts w:ascii="Times New Roman" w:hAnsi="Times New Roman" w:cs="Times New Roman"/>
                <w:b/>
                <w:sz w:val="20"/>
                <w:szCs w:val="20"/>
              </w:rPr>
            </w:pPr>
            <w:r w:rsidRPr="00D21E4B">
              <w:rPr>
                <w:rFonts w:ascii="Times New Roman" w:hAnsi="Times New Roman" w:cs="Times New Roman"/>
                <w:b/>
                <w:color w:val="000000"/>
                <w:sz w:val="20"/>
                <w:szCs w:val="20"/>
              </w:rPr>
              <w:t>$727,651</w:t>
            </w:r>
          </w:p>
        </w:tc>
      </w:tr>
    </w:tbl>
    <w:p w:rsidR="00576F93" w:rsidP="00576F93" w:rsidRDefault="00576F93" w14:paraId="7940CF26" w14:textId="77777777">
      <w:pPr>
        <w:spacing w:after="0" w:line="240" w:lineRule="auto"/>
        <w:rPr>
          <w:rFonts w:ascii="Times New Roman" w:hAnsi="Times New Roman" w:cs="Times New Roman"/>
          <w:b/>
          <w:bCs/>
        </w:rPr>
      </w:pPr>
    </w:p>
    <w:p w:rsidRPr="00576F93" w:rsidR="000257ED" w:rsidP="000257ED" w:rsidRDefault="000257ED" w14:paraId="76E22161" w14:textId="3DF3C5E8">
      <w:pPr>
        <w:spacing w:after="0" w:line="240" w:lineRule="auto"/>
        <w:rPr>
          <w:rFonts w:ascii="Times New Roman" w:hAnsi="Times New Roman" w:cs="Times New Roman"/>
          <w:i/>
        </w:rPr>
      </w:pPr>
      <w:r w:rsidRPr="00C31BC2">
        <w:rPr>
          <w:rFonts w:ascii="Times New Roman" w:hAnsi="Times New Roman" w:cs="Times New Roman"/>
          <w:i/>
          <w:iCs/>
        </w:rPr>
        <w:t>T</w:t>
      </w:r>
      <w:r w:rsidRPr="00576F93">
        <w:rPr>
          <w:rFonts w:ascii="Times New Roman" w:hAnsi="Times New Roman" w:cs="Times New Roman"/>
          <w:i/>
        </w:rPr>
        <w:t>hird-party Audits</w:t>
      </w:r>
    </w:p>
    <w:p w:rsidR="000257ED" w:rsidP="000257ED" w:rsidRDefault="000257ED" w14:paraId="5C278FE1" w14:textId="77777777">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The RMP rule currently requires Program 2 and </w:t>
      </w:r>
      <w:r w:rsidRPr="6A0ED392">
        <w:rPr>
          <w:rFonts w:ascii="Times New Roman" w:hAnsi="Times New Roman" w:cs="Times New Roman"/>
          <w:color w:val="000000" w:themeColor="text1"/>
        </w:rPr>
        <w:t xml:space="preserve">Program </w:t>
      </w:r>
      <w:r w:rsidRPr="00BF4D0A">
        <w:rPr>
          <w:rFonts w:ascii="Times New Roman" w:hAnsi="Times New Roman" w:cs="Times New Roman"/>
        </w:rPr>
        <w:t xml:space="preserve">3 facilities to conduct a compliance audit at least once every three </w:t>
      </w:r>
      <w:proofErr w:type="spellStart"/>
      <w:r w:rsidRPr="00BF4D0A">
        <w:rPr>
          <w:rFonts w:ascii="Times New Roman" w:hAnsi="Times New Roman" w:cs="Times New Roman"/>
        </w:rPr>
        <w:t>years.The</w:t>
      </w:r>
      <w:proofErr w:type="spellEnd"/>
      <w:r w:rsidRPr="00BF4D0A">
        <w:rPr>
          <w:rFonts w:ascii="Times New Roman" w:hAnsi="Times New Roman" w:cs="Times New Roman"/>
        </w:rPr>
        <w:t xml:space="preserve"> proposed rule would require that the next scheduled compliance audit be conducted by a contracted third-party for any Program 2 or </w:t>
      </w:r>
      <w:r w:rsidRPr="6A0ED392">
        <w:rPr>
          <w:rFonts w:ascii="Times New Roman" w:hAnsi="Times New Roman" w:cs="Times New Roman"/>
          <w:color w:val="000000" w:themeColor="text1"/>
        </w:rPr>
        <w:t>Program 3</w:t>
      </w:r>
      <w:r w:rsidRPr="00BF4D0A">
        <w:rPr>
          <w:rFonts w:ascii="Times New Roman" w:hAnsi="Times New Roman" w:cs="Times New Roman"/>
        </w:rPr>
        <w:t xml:space="preserve"> facility that had two or more reportable accidental releases in the past five years; and for any facility with a NAICS 324 or 325 </w:t>
      </w:r>
      <w:r w:rsidRPr="6A0ED392">
        <w:rPr>
          <w:rFonts w:ascii="Times New Roman" w:hAnsi="Times New Roman" w:cs="Times New Roman"/>
          <w:color w:val="000000" w:themeColor="text1"/>
        </w:rPr>
        <w:t>Program 3</w:t>
      </w:r>
      <w:r w:rsidRPr="00BF4D0A">
        <w:rPr>
          <w:rFonts w:ascii="Times New Roman" w:hAnsi="Times New Roman" w:cs="Times New Roman"/>
        </w:rPr>
        <w:t xml:space="preserve"> process with one or more reportable accidental releases in the past five years that is located within a mile of another facility with 324 or 325 processes. </w:t>
      </w:r>
    </w:p>
    <w:p w:rsidRPr="00BF4D0A" w:rsidR="000257ED" w:rsidP="000257ED" w:rsidRDefault="000257ED" w14:paraId="74C79E80" w14:textId="77777777">
      <w:pPr>
        <w:spacing w:after="0" w:line="240" w:lineRule="auto"/>
        <w:ind w:firstLine="360"/>
        <w:rPr>
          <w:rFonts w:ascii="Times New Roman" w:hAnsi="Times New Roman" w:cs="Times New Roman"/>
        </w:rPr>
      </w:pPr>
    </w:p>
    <w:p w:rsidR="000257ED" w:rsidP="000257ED" w:rsidRDefault="000257ED" w14:paraId="291886B1" w14:textId="2684F17A">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Accident numbers are based on the RMP data from RMP-reportable accidents, referenced in Exhibit 3-9. Numbers of affected facilities are estimated based on the number of facilities (active as of December 31, 2020) that had two or more reportable accidents from 2016 to 2020 and the number of active facilities with a NAICS 324 or 325 process that had one reportable accident from 2016 to 2020. The RMP Database contains data on accidents with and without reportable impacts. Because this proposed provision does not require third-party audits for accidents with no reportable impacts, EPA deducted those accidents from the total in the RMP Database. </w:t>
      </w:r>
    </w:p>
    <w:p w:rsidR="000257ED" w:rsidP="000257ED" w:rsidRDefault="000257ED" w14:paraId="2CF4073F" w14:textId="77777777">
      <w:pPr>
        <w:spacing w:after="0" w:line="240" w:lineRule="auto"/>
        <w:ind w:firstLine="360"/>
        <w:rPr>
          <w:rFonts w:ascii="Times New Roman" w:hAnsi="Times New Roman" w:cs="Times New Roman"/>
        </w:rPr>
      </w:pPr>
    </w:p>
    <w:p w:rsidRPr="00BF4D0A" w:rsidR="000257ED" w:rsidP="000257ED" w:rsidRDefault="000257ED" w14:paraId="28C6D8A6" w14:textId="19E899A0">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The analysis projects that the annual number and distribution of accidents among types of facilities will remain the same and that in any one year, the number of facilities conducting a third-party audit will be equal to the number of active facilities with two or more accidents, or one accident at a facility with a NAICS 324 or 325 Program 3 process within 1 mile of another facility with a 324 or 325 process within a five-year period.</w:t>
      </w:r>
      <w:r w:rsidRPr="00BF4D0A">
        <w:rPr>
          <w:rFonts w:ascii="Times New Roman" w:hAnsi="Times New Roman" w:cs="Times New Roman"/>
          <w:vertAlign w:val="superscript"/>
        </w:rPr>
        <w:footnoteReference w:id="62"/>
      </w:r>
      <w:r w:rsidRPr="00BF4D0A">
        <w:rPr>
          <w:rFonts w:ascii="Times New Roman" w:hAnsi="Times New Roman" w:cs="Times New Roman"/>
        </w:rPr>
        <w:t xml:space="preserve"> That is, although the approximately 109 third-party audits for the Program 2 and </w:t>
      </w:r>
      <w:r w:rsidRPr="00BF4D0A">
        <w:rPr>
          <w:rFonts w:ascii="Times New Roman" w:hAnsi="Times New Roman" w:cs="Times New Roman"/>
          <w:color w:val="000000"/>
        </w:rPr>
        <w:t xml:space="preserve">Program </w:t>
      </w:r>
      <w:r w:rsidRPr="00BF4D0A">
        <w:rPr>
          <w:rFonts w:ascii="Times New Roman" w:hAnsi="Times New Roman" w:cs="Times New Roman"/>
        </w:rPr>
        <w:t xml:space="preserve">3 facilities that had two or more reportable accidents (and facilities with a </w:t>
      </w:r>
      <w:r w:rsidR="0059366C">
        <w:rPr>
          <w:rFonts w:ascii="Times New Roman" w:hAnsi="Times New Roman" w:cs="Times New Roman"/>
        </w:rPr>
        <w:t xml:space="preserve">Program 3 </w:t>
      </w:r>
      <w:r w:rsidRPr="00BF4D0A">
        <w:rPr>
          <w:rFonts w:ascii="Times New Roman" w:hAnsi="Times New Roman" w:cs="Times New Roman"/>
        </w:rPr>
        <w:t>NAICS 324 or 325 process that had one reportable accident) from 2016 to 2020 may occur up to three years after the five-year period of releases, depending on when the previous audit occurred, the analysis projects over time that 109 facilities would conduct such an audit each year.</w:t>
      </w:r>
      <w:r w:rsidRPr="00BF4D0A">
        <w:rPr>
          <w:rFonts w:ascii="Times New Roman" w:hAnsi="Times New Roman" w:cs="Times New Roman"/>
          <w:vertAlign w:val="superscript"/>
        </w:rPr>
        <w:footnoteReference w:id="63"/>
      </w:r>
      <w:r w:rsidRPr="00BF4D0A">
        <w:rPr>
          <w:rFonts w:ascii="Times New Roman" w:hAnsi="Times New Roman" w:cs="Times New Roman"/>
          <w:vertAlign w:val="superscript"/>
        </w:rPr>
        <w:t xml:space="preserve"> </w:t>
      </w:r>
      <w:r w:rsidRPr="00BF4D0A">
        <w:rPr>
          <w:rFonts w:ascii="Times New Roman" w:hAnsi="Times New Roman" w:cs="Times New Roman"/>
        </w:rPr>
        <w:t>The breakout for total costs is shown in Exhibit 5-</w:t>
      </w:r>
      <w:r w:rsidR="00C84234">
        <w:rPr>
          <w:rFonts w:ascii="Times New Roman" w:hAnsi="Times New Roman" w:cs="Times New Roman"/>
        </w:rPr>
        <w:t>4</w:t>
      </w:r>
      <w:r w:rsidRPr="00BF4D0A">
        <w:rPr>
          <w:rFonts w:ascii="Times New Roman" w:hAnsi="Times New Roman" w:cs="Times New Roman"/>
        </w:rPr>
        <w:t>:</w:t>
      </w:r>
      <w:r w:rsidRPr="00BF4D0A">
        <w:rPr>
          <w:rFonts w:ascii="Times New Roman" w:hAnsi="Times New Roman" w:cs="Times New Roman"/>
        </w:rPr>
        <w:br/>
      </w:r>
    </w:p>
    <w:p w:rsidR="000257ED" w:rsidP="000257ED" w:rsidRDefault="000257ED" w14:paraId="6F722D32" w14:textId="4F35C895">
      <w:pPr>
        <w:keepNext/>
        <w:spacing w:after="0" w:line="240" w:lineRule="auto"/>
        <w:jc w:val="center"/>
        <w:rPr>
          <w:rFonts w:ascii="Times New Roman" w:hAnsi="Times New Roman" w:cs="Times New Roman"/>
          <w:b/>
        </w:rPr>
      </w:pPr>
      <w:r w:rsidRPr="00D21E4B">
        <w:rPr>
          <w:rFonts w:ascii="Times New Roman" w:hAnsi="Times New Roman" w:cs="Times New Roman"/>
          <w:b/>
          <w:bCs/>
        </w:rPr>
        <w:lastRenderedPageBreak/>
        <w:t xml:space="preserve">Exhibit </w:t>
      </w:r>
      <w:r w:rsidRPr="00BF4D0A">
        <w:rPr>
          <w:rFonts w:ascii="Times New Roman" w:hAnsi="Times New Roman" w:cs="Times New Roman"/>
          <w:b/>
        </w:rPr>
        <w:t>5-</w:t>
      </w:r>
      <w:r w:rsidR="00C84234">
        <w:rPr>
          <w:rFonts w:ascii="Times New Roman" w:hAnsi="Times New Roman" w:cs="Times New Roman"/>
          <w:b/>
        </w:rPr>
        <w:t>4</w:t>
      </w:r>
      <w:r w:rsidRPr="00BF4D0A">
        <w:rPr>
          <w:rFonts w:ascii="Times New Roman" w:hAnsi="Times New Roman" w:cs="Times New Roman"/>
          <w:b/>
        </w:rPr>
        <w:t xml:space="preserve">: Total Annual Undiscounted Costs for Third-party Audits (2020 </w:t>
      </w:r>
      <w:r w:rsidR="00794F08">
        <w:rPr>
          <w:rFonts w:ascii="Times New Roman" w:hAnsi="Times New Roman" w:cs="Times New Roman"/>
          <w:b/>
        </w:rPr>
        <w:t>d</w:t>
      </w:r>
      <w:r w:rsidRPr="00BF4D0A">
        <w:rPr>
          <w:rFonts w:ascii="Times New Roman" w:hAnsi="Times New Roman" w:cs="Times New Roman"/>
          <w:b/>
        </w:rPr>
        <w:t>ollars)</w:t>
      </w:r>
      <w:r>
        <w:rPr>
          <w:rFonts w:ascii="Times New Roman" w:hAnsi="Times New Roman" w:cs="Times New Roman"/>
          <w:b/>
        </w:rPr>
        <w:t>.</w:t>
      </w:r>
    </w:p>
    <w:p w:rsidRPr="00BF4D0A" w:rsidR="000257ED" w:rsidP="000257ED" w:rsidRDefault="000257ED" w14:paraId="0A3CCFA7" w14:textId="77777777">
      <w:pPr>
        <w:keepNext/>
        <w:spacing w:after="0" w:line="240" w:lineRule="auto"/>
        <w:jc w:val="center"/>
        <w:rPr>
          <w:rFonts w:ascii="Times New Roman" w:hAnsi="Times New Roman" w:cs="Times New Roman"/>
          <w:b/>
        </w:rPr>
      </w:pP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20"/>
        <w:gridCol w:w="1137"/>
        <w:gridCol w:w="1170"/>
        <w:gridCol w:w="990"/>
        <w:gridCol w:w="1620"/>
      </w:tblGrid>
      <w:tr w:rsidRPr="00BF4D0A" w:rsidR="000257ED" w:rsidTr="00E6210A" w14:paraId="4F838A68" w14:textId="77777777">
        <w:trPr>
          <w:trHeight w:val="520"/>
          <w:jc w:val="center"/>
        </w:trPr>
        <w:tc>
          <w:tcPr>
            <w:tcW w:w="2220" w:type="dxa"/>
            <w:tcBorders>
              <w:left w:val="single" w:color="000000" w:sz="6" w:space="0"/>
              <w:right w:val="single" w:color="000000" w:sz="6" w:space="0"/>
            </w:tcBorders>
            <w:shd w:val="clear" w:color="auto" w:fill="DADADA"/>
            <w:vAlign w:val="center"/>
          </w:tcPr>
          <w:p w:rsidRPr="00D21E4B" w:rsidR="000257ED" w:rsidP="00E6210A" w:rsidRDefault="000257ED" w14:paraId="59F6F024" w14:textId="77777777">
            <w:pPr>
              <w:spacing w:after="0" w:line="240" w:lineRule="auto"/>
              <w:ind w:left="121"/>
              <w:jc w:val="center"/>
              <w:rPr>
                <w:rFonts w:ascii="Times New Roman" w:hAnsi="Times New Roman" w:cs="Times New Roman"/>
                <w:b/>
                <w:sz w:val="20"/>
                <w:szCs w:val="20"/>
              </w:rPr>
            </w:pPr>
            <w:r w:rsidRPr="00D21E4B">
              <w:rPr>
                <w:rFonts w:ascii="Times New Roman" w:hAnsi="Times New Roman" w:cs="Times New Roman"/>
                <w:b/>
                <w:sz w:val="20"/>
                <w:szCs w:val="20"/>
              </w:rPr>
              <w:t>Facility Type</w:t>
            </w:r>
          </w:p>
        </w:tc>
        <w:tc>
          <w:tcPr>
            <w:tcW w:w="1137" w:type="dxa"/>
            <w:tcBorders>
              <w:left w:val="single" w:color="000000" w:sz="6" w:space="0"/>
              <w:right w:val="single" w:color="000000" w:sz="6" w:space="0"/>
            </w:tcBorders>
            <w:shd w:val="clear" w:color="auto" w:fill="DADADA"/>
            <w:vAlign w:val="center"/>
          </w:tcPr>
          <w:p w:rsidRPr="00D21E4B" w:rsidR="000257ED" w:rsidP="00E6210A" w:rsidRDefault="000257ED" w14:paraId="716770F0" w14:textId="77777777">
            <w:pPr>
              <w:spacing w:after="0" w:line="240" w:lineRule="auto"/>
              <w:ind w:left="96" w:right="57"/>
              <w:jc w:val="center"/>
              <w:rPr>
                <w:rFonts w:ascii="Times New Roman" w:hAnsi="Times New Roman" w:cs="Times New Roman"/>
                <w:b/>
                <w:sz w:val="20"/>
                <w:szCs w:val="20"/>
              </w:rPr>
            </w:pPr>
            <w:r w:rsidRPr="00D21E4B">
              <w:rPr>
                <w:rFonts w:ascii="Times New Roman" w:hAnsi="Times New Roman" w:cs="Times New Roman"/>
                <w:b/>
                <w:sz w:val="20"/>
                <w:szCs w:val="20"/>
              </w:rPr>
              <w:t>Annual Frequency</w:t>
            </w:r>
          </w:p>
        </w:tc>
        <w:tc>
          <w:tcPr>
            <w:tcW w:w="1170" w:type="dxa"/>
            <w:tcBorders>
              <w:left w:val="single" w:color="000000" w:sz="6" w:space="0"/>
            </w:tcBorders>
            <w:shd w:val="clear" w:color="auto" w:fill="DADADA"/>
            <w:vAlign w:val="center"/>
          </w:tcPr>
          <w:p w:rsidRPr="00D21E4B" w:rsidR="000257ED" w:rsidP="00E6210A" w:rsidRDefault="000257ED" w14:paraId="28649B8E" w14:textId="77777777">
            <w:pPr>
              <w:spacing w:after="0" w:line="240" w:lineRule="auto"/>
              <w:ind w:left="92" w:right="32"/>
              <w:jc w:val="center"/>
              <w:rPr>
                <w:rFonts w:ascii="Times New Roman" w:hAnsi="Times New Roman" w:cs="Times New Roman"/>
                <w:b/>
                <w:sz w:val="20"/>
                <w:szCs w:val="20"/>
              </w:rPr>
            </w:pPr>
            <w:r w:rsidRPr="00D21E4B">
              <w:rPr>
                <w:rFonts w:ascii="Times New Roman" w:hAnsi="Times New Roman" w:cs="Times New Roman"/>
                <w:b/>
                <w:sz w:val="20"/>
                <w:szCs w:val="20"/>
              </w:rPr>
              <w:t>Unit Cost</w:t>
            </w:r>
          </w:p>
        </w:tc>
        <w:tc>
          <w:tcPr>
            <w:tcW w:w="990" w:type="dxa"/>
            <w:tcBorders>
              <w:right w:val="single" w:color="000000" w:sz="6" w:space="0"/>
            </w:tcBorders>
            <w:shd w:val="clear" w:color="auto" w:fill="DADADA"/>
            <w:vAlign w:val="center"/>
          </w:tcPr>
          <w:p w:rsidRPr="00D21E4B" w:rsidR="000257ED" w:rsidP="00E6210A" w:rsidRDefault="000257ED" w14:paraId="36B04D82" w14:textId="77777777">
            <w:pPr>
              <w:spacing w:after="0" w:line="240" w:lineRule="auto"/>
              <w:ind w:left="61" w:right="67"/>
              <w:jc w:val="center"/>
              <w:rPr>
                <w:rFonts w:ascii="Times New Roman" w:hAnsi="Times New Roman" w:cs="Times New Roman"/>
                <w:b/>
                <w:sz w:val="20"/>
                <w:szCs w:val="20"/>
              </w:rPr>
            </w:pPr>
            <w:r w:rsidRPr="00D21E4B">
              <w:rPr>
                <w:rFonts w:ascii="Times New Roman" w:hAnsi="Times New Roman" w:cs="Times New Roman"/>
                <w:b/>
                <w:sz w:val="20"/>
                <w:szCs w:val="20"/>
              </w:rPr>
              <w:t>Facilities</w:t>
            </w:r>
          </w:p>
        </w:tc>
        <w:tc>
          <w:tcPr>
            <w:tcW w:w="1620" w:type="dxa"/>
            <w:tcBorders>
              <w:left w:val="single" w:color="000000" w:sz="6" w:space="0"/>
            </w:tcBorders>
            <w:shd w:val="clear" w:color="auto" w:fill="DADADA"/>
            <w:vAlign w:val="center"/>
          </w:tcPr>
          <w:p w:rsidRPr="00D21E4B" w:rsidR="000257ED" w:rsidP="00E6210A" w:rsidRDefault="000257ED" w14:paraId="249A538A" w14:textId="77777777">
            <w:pPr>
              <w:spacing w:after="0" w:line="240" w:lineRule="auto"/>
              <w:ind w:left="81" w:right="51"/>
              <w:jc w:val="center"/>
              <w:rPr>
                <w:rFonts w:ascii="Times New Roman" w:hAnsi="Times New Roman" w:cs="Times New Roman"/>
                <w:b/>
                <w:sz w:val="20"/>
                <w:szCs w:val="20"/>
              </w:rPr>
            </w:pPr>
            <w:r w:rsidRPr="00D21E4B">
              <w:rPr>
                <w:rFonts w:ascii="Times New Roman" w:hAnsi="Times New Roman" w:cs="Times New Roman"/>
                <w:b/>
                <w:sz w:val="20"/>
                <w:szCs w:val="20"/>
              </w:rPr>
              <w:t>Total Initial Cost</w:t>
            </w:r>
          </w:p>
        </w:tc>
      </w:tr>
      <w:tr w:rsidRPr="00BF4D0A" w:rsidR="000257ED" w:rsidTr="00E6210A" w14:paraId="21A82330" w14:textId="77777777">
        <w:trPr>
          <w:trHeight w:val="295"/>
          <w:jc w:val="center"/>
        </w:trPr>
        <w:tc>
          <w:tcPr>
            <w:tcW w:w="2220" w:type="dxa"/>
            <w:tcBorders>
              <w:left w:val="single" w:color="000000" w:sz="6" w:space="0"/>
              <w:right w:val="single" w:color="000000" w:sz="6" w:space="0"/>
            </w:tcBorders>
            <w:vAlign w:val="center"/>
          </w:tcPr>
          <w:p w:rsidRPr="00D21E4B" w:rsidR="000257ED" w:rsidP="00E6210A" w:rsidRDefault="000257ED" w14:paraId="0461973E"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Simple w/ 0-19 FTEs</w:t>
            </w:r>
          </w:p>
        </w:tc>
        <w:tc>
          <w:tcPr>
            <w:tcW w:w="1137" w:type="dxa"/>
            <w:tcBorders>
              <w:left w:val="single" w:color="000000" w:sz="6" w:space="0"/>
              <w:right w:val="single" w:color="000000" w:sz="6" w:space="0"/>
            </w:tcBorders>
            <w:vAlign w:val="center"/>
          </w:tcPr>
          <w:p w:rsidRPr="00D21E4B" w:rsidR="000257ED" w:rsidP="00E6210A" w:rsidRDefault="000257ED" w14:paraId="2EF3E8BC"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left w:val="single" w:color="000000" w:sz="6" w:space="0"/>
            </w:tcBorders>
            <w:vAlign w:val="center"/>
          </w:tcPr>
          <w:p w:rsidRPr="00D21E4B" w:rsidR="000257ED" w:rsidP="00E6210A" w:rsidRDefault="000257ED" w14:paraId="5E344B83"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$40,255</w:t>
            </w:r>
          </w:p>
        </w:tc>
        <w:tc>
          <w:tcPr>
            <w:tcW w:w="990" w:type="dxa"/>
            <w:tcBorders>
              <w:right w:val="single" w:color="000000" w:sz="6" w:space="0"/>
            </w:tcBorders>
            <w:vAlign w:val="center"/>
          </w:tcPr>
          <w:p w:rsidRPr="00D21E4B" w:rsidR="000257ED" w:rsidP="00E6210A" w:rsidRDefault="000257ED" w14:paraId="1741CAEA" w14:textId="77777777">
            <w:pPr>
              <w:spacing w:after="0" w:line="240" w:lineRule="auto"/>
              <w:ind w:left="77" w:right="65"/>
              <w:jc w:val="center"/>
              <w:rPr>
                <w:rFonts w:ascii="Times New Roman" w:hAnsi="Times New Roman" w:cs="Times New Roman"/>
                <w:sz w:val="20"/>
                <w:szCs w:val="20"/>
              </w:rPr>
            </w:pPr>
            <w:r w:rsidRPr="00D21E4B">
              <w:rPr>
                <w:rFonts w:ascii="Times New Roman" w:hAnsi="Times New Roman" w:cs="Times New Roman"/>
                <w:sz w:val="20"/>
                <w:szCs w:val="20"/>
              </w:rPr>
              <w:t>5</w:t>
            </w:r>
          </w:p>
        </w:tc>
        <w:tc>
          <w:tcPr>
            <w:tcW w:w="1620" w:type="dxa"/>
            <w:tcBorders>
              <w:left w:val="single" w:color="000000" w:sz="6" w:space="0"/>
            </w:tcBorders>
            <w:vAlign w:val="center"/>
          </w:tcPr>
          <w:p w:rsidRPr="00D21E4B" w:rsidR="000257ED" w:rsidP="00E6210A" w:rsidRDefault="000257ED" w14:paraId="5212432E"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$201,276</w:t>
            </w:r>
          </w:p>
        </w:tc>
      </w:tr>
      <w:tr w:rsidRPr="00BF4D0A" w:rsidR="000257ED" w:rsidTr="00E6210A" w14:paraId="15C14F21" w14:textId="77777777">
        <w:trPr>
          <w:trHeight w:val="282"/>
          <w:jc w:val="center"/>
        </w:trPr>
        <w:tc>
          <w:tcPr>
            <w:tcW w:w="2220" w:type="dxa"/>
            <w:tcBorders>
              <w:left w:val="single" w:color="000000" w:sz="6" w:space="0"/>
              <w:bottom w:val="single" w:color="000000" w:sz="6" w:space="0"/>
              <w:right w:val="single" w:color="000000" w:sz="6" w:space="0"/>
            </w:tcBorders>
            <w:vAlign w:val="center"/>
          </w:tcPr>
          <w:p w:rsidRPr="00D21E4B" w:rsidR="000257ED" w:rsidP="00E6210A" w:rsidRDefault="000257ED" w14:paraId="4A5ABC5B"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Simple w/ 20-99 FTEs</w:t>
            </w:r>
          </w:p>
        </w:tc>
        <w:tc>
          <w:tcPr>
            <w:tcW w:w="1137" w:type="dxa"/>
            <w:tcBorders>
              <w:left w:val="single" w:color="000000" w:sz="6" w:space="0"/>
              <w:bottom w:val="single" w:color="000000" w:sz="6" w:space="0"/>
              <w:right w:val="single" w:color="000000" w:sz="6" w:space="0"/>
            </w:tcBorders>
            <w:vAlign w:val="center"/>
          </w:tcPr>
          <w:p w:rsidRPr="00D21E4B" w:rsidR="000257ED" w:rsidP="00E6210A" w:rsidRDefault="000257ED" w14:paraId="15F8D9AF"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left w:val="single" w:color="000000" w:sz="6" w:space="0"/>
              <w:bottom w:val="single" w:color="000000" w:sz="6" w:space="0"/>
            </w:tcBorders>
            <w:vAlign w:val="center"/>
          </w:tcPr>
          <w:p w:rsidRPr="00D21E4B" w:rsidR="000257ED" w:rsidP="00E6210A" w:rsidRDefault="000257ED" w14:paraId="06C3D443"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$45,224</w:t>
            </w:r>
          </w:p>
        </w:tc>
        <w:tc>
          <w:tcPr>
            <w:tcW w:w="990" w:type="dxa"/>
            <w:tcBorders>
              <w:bottom w:val="single" w:color="000000" w:sz="6" w:space="0"/>
              <w:right w:val="single" w:color="000000" w:sz="6" w:space="0"/>
            </w:tcBorders>
            <w:vAlign w:val="center"/>
          </w:tcPr>
          <w:p w:rsidRPr="00D21E4B" w:rsidR="000257ED" w:rsidP="00E6210A" w:rsidRDefault="000257ED" w14:paraId="21B2BEF8" w14:textId="77777777">
            <w:pPr>
              <w:spacing w:after="0" w:line="240" w:lineRule="auto"/>
              <w:ind w:left="77" w:right="65"/>
              <w:jc w:val="center"/>
              <w:rPr>
                <w:rFonts w:ascii="Times New Roman" w:hAnsi="Times New Roman" w:cs="Times New Roman"/>
                <w:sz w:val="20"/>
                <w:szCs w:val="20"/>
              </w:rPr>
            </w:pPr>
            <w:r w:rsidRPr="00D21E4B">
              <w:rPr>
                <w:rFonts w:ascii="Times New Roman" w:hAnsi="Times New Roman" w:cs="Times New Roman"/>
                <w:sz w:val="20"/>
                <w:szCs w:val="20"/>
              </w:rPr>
              <w:t>4</w:t>
            </w:r>
          </w:p>
        </w:tc>
        <w:tc>
          <w:tcPr>
            <w:tcW w:w="1620" w:type="dxa"/>
            <w:tcBorders>
              <w:left w:val="single" w:color="000000" w:sz="6" w:space="0"/>
              <w:bottom w:val="single" w:color="000000" w:sz="6" w:space="0"/>
            </w:tcBorders>
            <w:vAlign w:val="center"/>
          </w:tcPr>
          <w:p w:rsidRPr="00D21E4B" w:rsidR="000257ED" w:rsidP="00E6210A" w:rsidRDefault="000257ED" w14:paraId="61550583"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$180,896</w:t>
            </w:r>
          </w:p>
        </w:tc>
      </w:tr>
      <w:tr w:rsidRPr="00BF4D0A" w:rsidR="000257ED" w:rsidTr="00E6210A" w14:paraId="05DDE48D" w14:textId="77777777">
        <w:trPr>
          <w:trHeight w:val="300"/>
          <w:jc w:val="center"/>
        </w:trPr>
        <w:tc>
          <w:tcPr>
            <w:tcW w:w="2220"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340564FA"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Simple w/ 100+ FTEs</w:t>
            </w:r>
          </w:p>
        </w:tc>
        <w:tc>
          <w:tcPr>
            <w:tcW w:w="1137"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4DFFA94E"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top w:val="single" w:color="000000" w:sz="6" w:space="0"/>
              <w:left w:val="single" w:color="000000" w:sz="6" w:space="0"/>
              <w:bottom w:val="single" w:color="000000" w:sz="6" w:space="0"/>
            </w:tcBorders>
            <w:vAlign w:val="center"/>
          </w:tcPr>
          <w:p w:rsidRPr="00D21E4B" w:rsidR="000257ED" w:rsidP="00E6210A" w:rsidRDefault="000257ED" w14:paraId="640EF10C"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$47,606</w:t>
            </w:r>
          </w:p>
        </w:tc>
        <w:tc>
          <w:tcPr>
            <w:tcW w:w="990" w:type="dxa"/>
            <w:tcBorders>
              <w:top w:val="single" w:color="000000" w:sz="6" w:space="0"/>
              <w:bottom w:val="single" w:color="000000" w:sz="6" w:space="0"/>
              <w:right w:val="single" w:color="000000" w:sz="6" w:space="0"/>
            </w:tcBorders>
            <w:vAlign w:val="center"/>
          </w:tcPr>
          <w:p w:rsidRPr="00D21E4B" w:rsidR="000257ED" w:rsidP="00E6210A" w:rsidRDefault="000257ED" w14:paraId="2C423FCA" w14:textId="77777777">
            <w:pPr>
              <w:spacing w:after="0" w:line="240" w:lineRule="auto"/>
              <w:ind w:left="77" w:right="65"/>
              <w:jc w:val="center"/>
              <w:rPr>
                <w:rFonts w:ascii="Times New Roman" w:hAnsi="Times New Roman" w:cs="Times New Roman"/>
                <w:sz w:val="20"/>
                <w:szCs w:val="20"/>
              </w:rPr>
            </w:pPr>
            <w:r w:rsidRPr="00D21E4B">
              <w:rPr>
                <w:rFonts w:ascii="Times New Roman" w:hAnsi="Times New Roman" w:cs="Times New Roman"/>
                <w:sz w:val="20"/>
                <w:szCs w:val="20"/>
              </w:rPr>
              <w:t>11</w:t>
            </w:r>
          </w:p>
        </w:tc>
        <w:tc>
          <w:tcPr>
            <w:tcW w:w="1620" w:type="dxa"/>
            <w:tcBorders>
              <w:top w:val="single" w:color="000000" w:sz="6" w:space="0"/>
              <w:left w:val="single" w:color="000000" w:sz="6" w:space="0"/>
              <w:bottom w:val="single" w:color="000000" w:sz="6" w:space="0"/>
            </w:tcBorders>
            <w:vAlign w:val="center"/>
          </w:tcPr>
          <w:p w:rsidRPr="00D21E4B" w:rsidR="000257ED" w:rsidP="00E6210A" w:rsidRDefault="000257ED" w14:paraId="0495E77A"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$523,668</w:t>
            </w:r>
          </w:p>
        </w:tc>
      </w:tr>
      <w:tr w:rsidRPr="00BF4D0A" w:rsidR="000257ED" w:rsidTr="00E6210A" w14:paraId="1591CD89" w14:textId="77777777">
        <w:trPr>
          <w:trHeight w:val="285"/>
          <w:jc w:val="center"/>
        </w:trPr>
        <w:tc>
          <w:tcPr>
            <w:tcW w:w="2220"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2C95B5AA"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Complex w/ 0-19 FTEs</w:t>
            </w:r>
          </w:p>
        </w:tc>
        <w:tc>
          <w:tcPr>
            <w:tcW w:w="1137"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0666F654"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top w:val="single" w:color="000000" w:sz="6" w:space="0"/>
              <w:left w:val="single" w:color="000000" w:sz="6" w:space="0"/>
              <w:bottom w:val="single" w:color="000000" w:sz="6" w:space="0"/>
            </w:tcBorders>
            <w:vAlign w:val="center"/>
          </w:tcPr>
          <w:p w:rsidRPr="00D21E4B" w:rsidR="000257ED" w:rsidP="00E6210A" w:rsidRDefault="000257ED" w14:paraId="3704B781" w14:textId="77777777">
            <w:pPr>
              <w:spacing w:after="0" w:line="240" w:lineRule="auto"/>
              <w:ind w:left="92" w:right="31"/>
              <w:jc w:val="center"/>
              <w:rPr>
                <w:rFonts w:ascii="Times New Roman" w:hAnsi="Times New Roman" w:cs="Times New Roman"/>
                <w:sz w:val="20"/>
                <w:szCs w:val="20"/>
              </w:rPr>
            </w:pPr>
            <w:r w:rsidRPr="00D21E4B">
              <w:rPr>
                <w:rFonts w:ascii="Times New Roman" w:hAnsi="Times New Roman" w:cs="Times New Roman"/>
                <w:color w:val="000000"/>
                <w:sz w:val="20"/>
                <w:szCs w:val="20"/>
              </w:rPr>
              <w:t>$96,882</w:t>
            </w:r>
          </w:p>
        </w:tc>
        <w:tc>
          <w:tcPr>
            <w:tcW w:w="990" w:type="dxa"/>
            <w:tcBorders>
              <w:top w:val="single" w:color="000000" w:sz="6" w:space="0"/>
              <w:bottom w:val="single" w:color="000000" w:sz="6" w:space="0"/>
              <w:right w:val="single" w:color="000000" w:sz="6" w:space="0"/>
            </w:tcBorders>
            <w:vAlign w:val="center"/>
          </w:tcPr>
          <w:p w:rsidRPr="00D21E4B" w:rsidR="000257ED" w:rsidP="00E6210A" w:rsidRDefault="000257ED" w14:paraId="4B00922D" w14:textId="77777777">
            <w:pPr>
              <w:spacing w:after="0" w:line="240" w:lineRule="auto"/>
              <w:ind w:right="1"/>
              <w:jc w:val="center"/>
              <w:rPr>
                <w:rFonts w:ascii="Times New Roman" w:hAnsi="Times New Roman" w:cs="Times New Roman"/>
                <w:sz w:val="20"/>
                <w:szCs w:val="20"/>
              </w:rPr>
            </w:pPr>
            <w:r w:rsidRPr="00D21E4B">
              <w:rPr>
                <w:rFonts w:ascii="Times New Roman" w:hAnsi="Times New Roman" w:cs="Times New Roman"/>
                <w:sz w:val="20"/>
                <w:szCs w:val="20"/>
              </w:rPr>
              <w:t>3</w:t>
            </w:r>
          </w:p>
        </w:tc>
        <w:tc>
          <w:tcPr>
            <w:tcW w:w="1620" w:type="dxa"/>
            <w:tcBorders>
              <w:top w:val="single" w:color="000000" w:sz="6" w:space="0"/>
              <w:left w:val="single" w:color="000000" w:sz="6" w:space="0"/>
              <w:bottom w:val="single" w:color="000000" w:sz="6" w:space="0"/>
            </w:tcBorders>
            <w:vAlign w:val="center"/>
          </w:tcPr>
          <w:p w:rsidRPr="00D21E4B" w:rsidR="000257ED" w:rsidP="00E6210A" w:rsidRDefault="000257ED" w14:paraId="6FF498AB"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$290,646</w:t>
            </w:r>
          </w:p>
        </w:tc>
      </w:tr>
      <w:tr w:rsidRPr="00BF4D0A" w:rsidR="000257ED" w:rsidTr="00E6210A" w14:paraId="48F70EC7" w14:textId="77777777">
        <w:trPr>
          <w:trHeight w:val="315"/>
          <w:jc w:val="center"/>
        </w:trPr>
        <w:tc>
          <w:tcPr>
            <w:tcW w:w="2220"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1586CC86"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Complex w/ 20-99 FTEs</w:t>
            </w:r>
          </w:p>
        </w:tc>
        <w:tc>
          <w:tcPr>
            <w:tcW w:w="1137"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6F60FCA8"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top w:val="single" w:color="000000" w:sz="6" w:space="0"/>
              <w:left w:val="single" w:color="000000" w:sz="6" w:space="0"/>
              <w:bottom w:val="single" w:color="000000" w:sz="6" w:space="0"/>
            </w:tcBorders>
            <w:vAlign w:val="center"/>
          </w:tcPr>
          <w:p w:rsidRPr="00D21E4B" w:rsidR="000257ED" w:rsidP="00E6210A" w:rsidRDefault="000257ED" w14:paraId="76C999E9"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$103,753</w:t>
            </w:r>
          </w:p>
        </w:tc>
        <w:tc>
          <w:tcPr>
            <w:tcW w:w="990" w:type="dxa"/>
            <w:tcBorders>
              <w:top w:val="single" w:color="000000" w:sz="6" w:space="0"/>
              <w:bottom w:val="single" w:color="000000" w:sz="6" w:space="0"/>
              <w:right w:val="single" w:color="000000" w:sz="6" w:space="0"/>
            </w:tcBorders>
            <w:vAlign w:val="center"/>
          </w:tcPr>
          <w:p w:rsidRPr="00D21E4B" w:rsidR="000257ED" w:rsidP="00E6210A" w:rsidRDefault="000257ED" w14:paraId="2F227A9A" w14:textId="77777777">
            <w:pPr>
              <w:spacing w:after="0" w:line="240" w:lineRule="auto"/>
              <w:ind w:left="77" w:right="65"/>
              <w:jc w:val="center"/>
              <w:rPr>
                <w:rFonts w:ascii="Times New Roman" w:hAnsi="Times New Roman" w:cs="Times New Roman"/>
                <w:sz w:val="20"/>
                <w:szCs w:val="20"/>
              </w:rPr>
            </w:pPr>
            <w:r w:rsidRPr="00D21E4B">
              <w:rPr>
                <w:rFonts w:ascii="Times New Roman" w:hAnsi="Times New Roman" w:cs="Times New Roman"/>
                <w:sz w:val="20"/>
                <w:szCs w:val="20"/>
              </w:rPr>
              <w:t>13</w:t>
            </w:r>
          </w:p>
        </w:tc>
        <w:tc>
          <w:tcPr>
            <w:tcW w:w="1620" w:type="dxa"/>
            <w:tcBorders>
              <w:top w:val="single" w:color="000000" w:sz="6" w:space="0"/>
              <w:left w:val="single" w:color="000000" w:sz="6" w:space="0"/>
              <w:bottom w:val="single" w:color="000000" w:sz="6" w:space="0"/>
            </w:tcBorders>
            <w:vAlign w:val="center"/>
          </w:tcPr>
          <w:p w:rsidRPr="00D21E4B" w:rsidR="000257ED" w:rsidP="00E6210A" w:rsidRDefault="000257ED" w14:paraId="58C642A1"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$1,348,783</w:t>
            </w:r>
          </w:p>
        </w:tc>
      </w:tr>
      <w:tr w:rsidRPr="00BF4D0A" w:rsidR="000257ED" w:rsidTr="00E6210A" w14:paraId="77FC84DC" w14:textId="77777777">
        <w:trPr>
          <w:trHeight w:val="285"/>
          <w:jc w:val="center"/>
        </w:trPr>
        <w:tc>
          <w:tcPr>
            <w:tcW w:w="2220"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48FEBE89"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Complex w/ 100+ FTEs</w:t>
            </w:r>
          </w:p>
        </w:tc>
        <w:tc>
          <w:tcPr>
            <w:tcW w:w="1137" w:type="dxa"/>
            <w:tcBorders>
              <w:top w:val="single" w:color="000000" w:sz="6" w:space="0"/>
              <w:left w:val="single" w:color="000000" w:sz="6" w:space="0"/>
              <w:bottom w:val="single" w:color="000000" w:sz="6" w:space="0"/>
              <w:right w:val="single" w:color="000000" w:sz="6" w:space="0"/>
            </w:tcBorders>
            <w:vAlign w:val="center"/>
          </w:tcPr>
          <w:p w:rsidRPr="00D21E4B" w:rsidR="000257ED" w:rsidP="00E6210A" w:rsidRDefault="000257ED" w14:paraId="6FE06A3A"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top w:val="single" w:color="000000" w:sz="6" w:space="0"/>
              <w:left w:val="single" w:color="000000" w:sz="6" w:space="0"/>
              <w:bottom w:val="single" w:color="000000" w:sz="6" w:space="0"/>
            </w:tcBorders>
            <w:vAlign w:val="center"/>
          </w:tcPr>
          <w:p w:rsidRPr="00D21E4B" w:rsidR="000257ED" w:rsidP="00E6210A" w:rsidRDefault="000257ED" w14:paraId="0F5838D2"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$107,587</w:t>
            </w:r>
          </w:p>
        </w:tc>
        <w:tc>
          <w:tcPr>
            <w:tcW w:w="990" w:type="dxa"/>
            <w:tcBorders>
              <w:top w:val="single" w:color="000000" w:sz="6" w:space="0"/>
              <w:bottom w:val="single" w:color="000000" w:sz="6" w:space="0"/>
              <w:right w:val="single" w:color="000000" w:sz="6" w:space="0"/>
            </w:tcBorders>
            <w:vAlign w:val="center"/>
          </w:tcPr>
          <w:p w:rsidRPr="00D21E4B" w:rsidR="000257ED" w:rsidP="00E6210A" w:rsidRDefault="000257ED" w14:paraId="46888C9B" w14:textId="77777777">
            <w:pPr>
              <w:spacing w:after="0" w:line="240" w:lineRule="auto"/>
              <w:ind w:left="77" w:right="65"/>
              <w:jc w:val="center"/>
              <w:rPr>
                <w:rFonts w:ascii="Times New Roman" w:hAnsi="Times New Roman" w:cs="Times New Roman"/>
                <w:sz w:val="20"/>
                <w:szCs w:val="20"/>
              </w:rPr>
            </w:pPr>
            <w:r w:rsidRPr="00D21E4B">
              <w:rPr>
                <w:rFonts w:ascii="Times New Roman" w:hAnsi="Times New Roman" w:cs="Times New Roman"/>
                <w:sz w:val="20"/>
                <w:szCs w:val="20"/>
              </w:rPr>
              <w:t>70</w:t>
            </w:r>
          </w:p>
        </w:tc>
        <w:tc>
          <w:tcPr>
            <w:tcW w:w="1620" w:type="dxa"/>
            <w:tcBorders>
              <w:top w:val="single" w:color="000000" w:sz="6" w:space="0"/>
              <w:left w:val="single" w:color="000000" w:sz="6" w:space="0"/>
              <w:bottom w:val="single" w:color="000000" w:sz="6" w:space="0"/>
            </w:tcBorders>
            <w:vAlign w:val="center"/>
          </w:tcPr>
          <w:p w:rsidRPr="00D21E4B" w:rsidR="000257ED" w:rsidP="00E6210A" w:rsidRDefault="000257ED" w14:paraId="7F86F89C" w14:textId="77777777">
            <w:pPr>
              <w:spacing w:after="0" w:line="240" w:lineRule="auto"/>
              <w:ind w:left="68"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$7,531,114</w:t>
            </w:r>
          </w:p>
        </w:tc>
      </w:tr>
      <w:tr w:rsidRPr="00BF4D0A" w:rsidR="000257ED" w:rsidTr="00E6210A" w14:paraId="6A9CDCE3" w14:textId="77777777">
        <w:trPr>
          <w:trHeight w:val="282"/>
          <w:jc w:val="center"/>
        </w:trPr>
        <w:tc>
          <w:tcPr>
            <w:tcW w:w="2220" w:type="dxa"/>
            <w:tcBorders>
              <w:top w:val="single" w:color="000000" w:sz="6" w:space="0"/>
              <w:left w:val="single" w:color="000000" w:sz="6" w:space="0"/>
              <w:right w:val="single" w:color="000000" w:sz="6" w:space="0"/>
            </w:tcBorders>
            <w:vAlign w:val="center"/>
          </w:tcPr>
          <w:p w:rsidRPr="00D21E4B" w:rsidR="000257ED" w:rsidP="00E6210A" w:rsidRDefault="000257ED" w14:paraId="2D81E66E"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Small Government</w:t>
            </w:r>
          </w:p>
        </w:tc>
        <w:tc>
          <w:tcPr>
            <w:tcW w:w="1137" w:type="dxa"/>
            <w:tcBorders>
              <w:top w:val="single" w:color="000000" w:sz="6" w:space="0"/>
              <w:left w:val="single" w:color="000000" w:sz="6" w:space="0"/>
              <w:right w:val="single" w:color="000000" w:sz="6" w:space="0"/>
            </w:tcBorders>
            <w:vAlign w:val="center"/>
          </w:tcPr>
          <w:p w:rsidRPr="00D21E4B" w:rsidR="000257ED" w:rsidP="00E6210A" w:rsidRDefault="000257ED" w14:paraId="6B71E333"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top w:val="single" w:color="000000" w:sz="6" w:space="0"/>
              <w:left w:val="single" w:color="000000" w:sz="6" w:space="0"/>
            </w:tcBorders>
            <w:vAlign w:val="center"/>
          </w:tcPr>
          <w:p w:rsidRPr="00D21E4B" w:rsidR="000257ED" w:rsidP="00E6210A" w:rsidRDefault="000257ED" w14:paraId="0B26022F"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$42,252</w:t>
            </w:r>
          </w:p>
        </w:tc>
        <w:tc>
          <w:tcPr>
            <w:tcW w:w="990" w:type="dxa"/>
            <w:tcBorders>
              <w:top w:val="single" w:color="000000" w:sz="6" w:space="0"/>
              <w:right w:val="single" w:color="000000" w:sz="6" w:space="0"/>
            </w:tcBorders>
            <w:vAlign w:val="center"/>
          </w:tcPr>
          <w:p w:rsidRPr="00D21E4B" w:rsidR="000257ED" w:rsidP="00E6210A" w:rsidRDefault="000257ED" w14:paraId="4C2E72DB" w14:textId="77777777">
            <w:pPr>
              <w:spacing w:after="0" w:line="240" w:lineRule="auto"/>
              <w:ind w:right="1"/>
              <w:jc w:val="center"/>
              <w:rPr>
                <w:rFonts w:ascii="Times New Roman" w:hAnsi="Times New Roman" w:cs="Times New Roman"/>
                <w:sz w:val="20"/>
                <w:szCs w:val="20"/>
              </w:rPr>
            </w:pPr>
            <w:r w:rsidRPr="00D21E4B">
              <w:rPr>
                <w:rFonts w:ascii="Times New Roman" w:hAnsi="Times New Roman" w:cs="Times New Roman"/>
                <w:sz w:val="20"/>
                <w:szCs w:val="20"/>
              </w:rPr>
              <w:t>2</w:t>
            </w:r>
          </w:p>
        </w:tc>
        <w:tc>
          <w:tcPr>
            <w:tcW w:w="1620" w:type="dxa"/>
            <w:tcBorders>
              <w:top w:val="single" w:color="000000" w:sz="6" w:space="0"/>
              <w:left w:val="single" w:color="000000" w:sz="6" w:space="0"/>
            </w:tcBorders>
            <w:vAlign w:val="center"/>
          </w:tcPr>
          <w:p w:rsidRPr="00D21E4B" w:rsidR="000257ED" w:rsidP="00E6210A" w:rsidRDefault="000257ED" w14:paraId="2CF914BA" w14:textId="77777777">
            <w:pPr>
              <w:spacing w:after="0" w:line="240" w:lineRule="auto"/>
              <w:ind w:left="68"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$84,503</w:t>
            </w:r>
          </w:p>
        </w:tc>
      </w:tr>
      <w:tr w:rsidRPr="00BF4D0A" w:rsidR="000257ED" w:rsidTr="00E6210A" w14:paraId="4D6C5477" w14:textId="77777777">
        <w:trPr>
          <w:trHeight w:val="295"/>
          <w:jc w:val="center"/>
        </w:trPr>
        <w:tc>
          <w:tcPr>
            <w:tcW w:w="2220" w:type="dxa"/>
            <w:tcBorders>
              <w:left w:val="single" w:color="000000" w:sz="6" w:space="0"/>
              <w:right w:val="single" w:color="000000" w:sz="6" w:space="0"/>
            </w:tcBorders>
            <w:vAlign w:val="center"/>
          </w:tcPr>
          <w:p w:rsidRPr="00D21E4B" w:rsidR="000257ED" w:rsidP="00E6210A" w:rsidRDefault="000257ED" w14:paraId="1ED2EEF2" w14:textId="77777777">
            <w:pPr>
              <w:spacing w:after="0" w:line="240" w:lineRule="auto"/>
              <w:ind w:left="127"/>
              <w:rPr>
                <w:rFonts w:ascii="Times New Roman" w:hAnsi="Times New Roman" w:cs="Times New Roman"/>
                <w:sz w:val="20"/>
                <w:szCs w:val="20"/>
              </w:rPr>
            </w:pPr>
            <w:r w:rsidRPr="00D21E4B">
              <w:rPr>
                <w:rFonts w:ascii="Times New Roman" w:hAnsi="Times New Roman" w:cs="Times New Roman"/>
                <w:sz w:val="20"/>
                <w:szCs w:val="20"/>
              </w:rPr>
              <w:t>Large Government</w:t>
            </w:r>
          </w:p>
        </w:tc>
        <w:tc>
          <w:tcPr>
            <w:tcW w:w="1137" w:type="dxa"/>
            <w:tcBorders>
              <w:left w:val="single" w:color="000000" w:sz="6" w:space="0"/>
              <w:right w:val="single" w:color="000000" w:sz="6" w:space="0"/>
            </w:tcBorders>
            <w:vAlign w:val="center"/>
          </w:tcPr>
          <w:p w:rsidRPr="00D21E4B" w:rsidR="000257ED" w:rsidP="00E6210A" w:rsidRDefault="000257ED" w14:paraId="1D2584C5" w14:textId="77777777">
            <w:pPr>
              <w:spacing w:after="0" w:line="240" w:lineRule="auto"/>
              <w:ind w:left="3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170" w:type="dxa"/>
            <w:tcBorders>
              <w:left w:val="single" w:color="000000" w:sz="6" w:space="0"/>
            </w:tcBorders>
            <w:vAlign w:val="center"/>
          </w:tcPr>
          <w:p w:rsidRPr="00D21E4B" w:rsidR="000257ED" w:rsidP="00E6210A" w:rsidRDefault="000257ED" w14:paraId="43633EA7" w14:textId="77777777">
            <w:pPr>
              <w:spacing w:after="0" w:line="240" w:lineRule="auto"/>
              <w:ind w:left="92" w:right="30"/>
              <w:jc w:val="center"/>
              <w:rPr>
                <w:rFonts w:ascii="Times New Roman" w:hAnsi="Times New Roman" w:cs="Times New Roman"/>
                <w:sz w:val="20"/>
                <w:szCs w:val="20"/>
              </w:rPr>
            </w:pPr>
            <w:r w:rsidRPr="00D21E4B">
              <w:rPr>
                <w:rFonts w:ascii="Times New Roman" w:hAnsi="Times New Roman" w:cs="Times New Roman"/>
                <w:color w:val="000000"/>
                <w:sz w:val="20"/>
                <w:szCs w:val="20"/>
              </w:rPr>
              <w:t>$111,048</w:t>
            </w:r>
          </w:p>
        </w:tc>
        <w:tc>
          <w:tcPr>
            <w:tcW w:w="990" w:type="dxa"/>
            <w:tcBorders>
              <w:right w:val="single" w:color="000000" w:sz="6" w:space="0"/>
            </w:tcBorders>
            <w:vAlign w:val="center"/>
          </w:tcPr>
          <w:p w:rsidRPr="00D21E4B" w:rsidR="000257ED" w:rsidP="00E6210A" w:rsidRDefault="000257ED" w14:paraId="51675247" w14:textId="77777777">
            <w:pPr>
              <w:spacing w:after="0" w:line="240" w:lineRule="auto"/>
              <w:ind w:right="1"/>
              <w:jc w:val="center"/>
              <w:rPr>
                <w:rFonts w:ascii="Times New Roman" w:hAnsi="Times New Roman" w:cs="Times New Roman"/>
                <w:sz w:val="20"/>
                <w:szCs w:val="20"/>
              </w:rPr>
            </w:pPr>
            <w:r w:rsidRPr="00D21E4B">
              <w:rPr>
                <w:rFonts w:ascii="Times New Roman" w:hAnsi="Times New Roman" w:cs="Times New Roman"/>
                <w:sz w:val="20"/>
                <w:szCs w:val="20"/>
              </w:rPr>
              <w:t>1</w:t>
            </w:r>
          </w:p>
        </w:tc>
        <w:tc>
          <w:tcPr>
            <w:tcW w:w="1620" w:type="dxa"/>
            <w:tcBorders>
              <w:left w:val="single" w:color="000000" w:sz="6" w:space="0"/>
            </w:tcBorders>
            <w:vAlign w:val="center"/>
          </w:tcPr>
          <w:p w:rsidRPr="00D21E4B" w:rsidR="000257ED" w:rsidP="00E6210A" w:rsidRDefault="000257ED" w14:paraId="03CC3DD2" w14:textId="77777777">
            <w:pPr>
              <w:spacing w:after="0" w:line="240" w:lineRule="auto"/>
              <w:ind w:left="83" w:right="51"/>
              <w:jc w:val="center"/>
              <w:rPr>
                <w:rFonts w:ascii="Times New Roman" w:hAnsi="Times New Roman" w:cs="Times New Roman"/>
                <w:sz w:val="20"/>
                <w:szCs w:val="20"/>
              </w:rPr>
            </w:pPr>
            <w:r w:rsidRPr="00D21E4B">
              <w:rPr>
                <w:rFonts w:ascii="Times New Roman" w:hAnsi="Times New Roman" w:cs="Times New Roman"/>
                <w:color w:val="000000"/>
                <w:sz w:val="20"/>
                <w:szCs w:val="20"/>
              </w:rPr>
              <w:t>$111,048</w:t>
            </w:r>
          </w:p>
        </w:tc>
      </w:tr>
      <w:tr w:rsidRPr="00BF4D0A" w:rsidR="000257ED" w:rsidTr="00E6210A" w14:paraId="0DCA6EA4" w14:textId="77777777">
        <w:trPr>
          <w:trHeight w:val="295"/>
          <w:jc w:val="center"/>
        </w:trPr>
        <w:tc>
          <w:tcPr>
            <w:tcW w:w="2220" w:type="dxa"/>
            <w:tcBorders>
              <w:left w:val="single" w:color="000000" w:sz="6" w:space="0"/>
              <w:right w:val="single" w:color="000000" w:sz="6" w:space="0"/>
            </w:tcBorders>
            <w:vAlign w:val="center"/>
          </w:tcPr>
          <w:p w:rsidRPr="00D21E4B" w:rsidR="000257ED" w:rsidP="00E6210A" w:rsidRDefault="000257ED" w14:paraId="4FF13564" w14:textId="77777777">
            <w:pPr>
              <w:spacing w:after="0" w:line="240" w:lineRule="auto"/>
              <w:ind w:left="127"/>
              <w:rPr>
                <w:rFonts w:ascii="Times New Roman" w:hAnsi="Times New Roman" w:cs="Times New Roman"/>
                <w:b/>
                <w:sz w:val="20"/>
                <w:szCs w:val="20"/>
              </w:rPr>
            </w:pPr>
            <w:r w:rsidRPr="00D21E4B">
              <w:rPr>
                <w:rFonts w:ascii="Times New Roman" w:hAnsi="Times New Roman" w:cs="Times New Roman"/>
                <w:b/>
                <w:sz w:val="20"/>
                <w:szCs w:val="20"/>
              </w:rPr>
              <w:t>Total</w:t>
            </w:r>
          </w:p>
        </w:tc>
        <w:tc>
          <w:tcPr>
            <w:tcW w:w="1137" w:type="dxa"/>
            <w:tcBorders>
              <w:left w:val="single" w:color="000000" w:sz="6" w:space="0"/>
              <w:right w:val="single" w:color="000000" w:sz="6" w:space="0"/>
            </w:tcBorders>
            <w:vAlign w:val="center"/>
          </w:tcPr>
          <w:p w:rsidRPr="00D21E4B" w:rsidR="000257ED" w:rsidP="00E6210A" w:rsidRDefault="000257ED" w14:paraId="739A2733" w14:textId="77777777">
            <w:pPr>
              <w:spacing w:after="0" w:line="240" w:lineRule="auto"/>
              <w:ind w:left="31"/>
              <w:jc w:val="center"/>
              <w:rPr>
                <w:rFonts w:ascii="Times New Roman" w:hAnsi="Times New Roman" w:cs="Times New Roman"/>
                <w:b/>
                <w:sz w:val="20"/>
                <w:szCs w:val="20"/>
              </w:rPr>
            </w:pPr>
          </w:p>
        </w:tc>
        <w:tc>
          <w:tcPr>
            <w:tcW w:w="1170" w:type="dxa"/>
            <w:tcBorders>
              <w:left w:val="single" w:color="000000" w:sz="6" w:space="0"/>
            </w:tcBorders>
            <w:vAlign w:val="center"/>
          </w:tcPr>
          <w:p w:rsidRPr="00D21E4B" w:rsidR="000257ED" w:rsidP="00E6210A" w:rsidRDefault="000257ED" w14:paraId="7BDEC29D" w14:textId="77777777">
            <w:pPr>
              <w:spacing w:after="0" w:line="240" w:lineRule="auto"/>
              <w:ind w:left="92" w:right="30"/>
              <w:jc w:val="center"/>
              <w:rPr>
                <w:rFonts w:ascii="Times New Roman" w:hAnsi="Times New Roman" w:cs="Times New Roman"/>
                <w:b/>
                <w:sz w:val="20"/>
                <w:szCs w:val="20"/>
              </w:rPr>
            </w:pPr>
          </w:p>
        </w:tc>
        <w:tc>
          <w:tcPr>
            <w:tcW w:w="990" w:type="dxa"/>
            <w:tcBorders>
              <w:right w:val="single" w:color="000000" w:sz="6" w:space="0"/>
            </w:tcBorders>
            <w:vAlign w:val="center"/>
          </w:tcPr>
          <w:p w:rsidRPr="00D21E4B" w:rsidR="000257ED" w:rsidP="00E6210A" w:rsidRDefault="000257ED" w14:paraId="2BDD013D" w14:textId="77777777">
            <w:pPr>
              <w:spacing w:after="0" w:line="240" w:lineRule="auto"/>
              <w:ind w:right="1"/>
              <w:jc w:val="center"/>
              <w:rPr>
                <w:rFonts w:ascii="Times New Roman" w:hAnsi="Times New Roman" w:cs="Times New Roman"/>
                <w:b/>
                <w:sz w:val="20"/>
                <w:szCs w:val="20"/>
              </w:rPr>
            </w:pPr>
            <w:r w:rsidRPr="00D21E4B">
              <w:rPr>
                <w:rFonts w:ascii="Times New Roman" w:hAnsi="Times New Roman" w:cs="Times New Roman"/>
                <w:b/>
                <w:sz w:val="20"/>
                <w:szCs w:val="20"/>
              </w:rPr>
              <w:t>109</w:t>
            </w:r>
          </w:p>
        </w:tc>
        <w:tc>
          <w:tcPr>
            <w:tcW w:w="1620" w:type="dxa"/>
            <w:tcBorders>
              <w:left w:val="single" w:color="000000" w:sz="6" w:space="0"/>
            </w:tcBorders>
            <w:vAlign w:val="center"/>
          </w:tcPr>
          <w:p w:rsidRPr="00D21E4B" w:rsidR="000257ED" w:rsidP="00E6210A" w:rsidRDefault="000257ED" w14:paraId="588552E8" w14:textId="77777777">
            <w:pPr>
              <w:spacing w:after="0" w:line="240" w:lineRule="auto"/>
              <w:ind w:left="83" w:right="51"/>
              <w:jc w:val="center"/>
              <w:rPr>
                <w:rFonts w:ascii="Times New Roman" w:hAnsi="Times New Roman" w:cs="Times New Roman"/>
                <w:b/>
                <w:sz w:val="20"/>
                <w:szCs w:val="20"/>
              </w:rPr>
            </w:pPr>
            <w:r w:rsidRPr="00D21E4B">
              <w:rPr>
                <w:rFonts w:ascii="Times New Roman" w:hAnsi="Times New Roman" w:cs="Times New Roman"/>
                <w:b/>
                <w:color w:val="000000"/>
                <w:sz w:val="20"/>
                <w:szCs w:val="20"/>
              </w:rPr>
              <w:t>$10,271,934</w:t>
            </w:r>
          </w:p>
        </w:tc>
      </w:tr>
    </w:tbl>
    <w:p w:rsidR="000257ED" w:rsidP="000257ED" w:rsidRDefault="000257ED" w14:paraId="2A0353AF" w14:textId="77777777">
      <w:pPr>
        <w:keepNext/>
        <w:keepLines/>
        <w:spacing w:after="0" w:line="240" w:lineRule="auto"/>
        <w:rPr>
          <w:rFonts w:ascii="Times New Roman" w:hAnsi="Times New Roman" w:cs="Times New Roman"/>
          <w:b/>
          <w:bCs/>
        </w:rPr>
      </w:pPr>
    </w:p>
    <w:p w:rsidRPr="00142C57" w:rsidR="00200686" w:rsidP="00576F93" w:rsidRDefault="00200686" w14:paraId="4CF60652" w14:textId="66FFFC99">
      <w:pPr>
        <w:spacing w:after="0" w:line="240" w:lineRule="auto"/>
        <w:rPr>
          <w:rFonts w:ascii="Times New Roman" w:hAnsi="Times New Roman" w:cs="Times New Roman"/>
          <w:bCs/>
          <w:i/>
          <w:iCs/>
        </w:rPr>
      </w:pPr>
      <w:r w:rsidRPr="00142C57">
        <w:rPr>
          <w:rFonts w:ascii="Times New Roman" w:hAnsi="Times New Roman" w:cs="Times New Roman"/>
          <w:bCs/>
          <w:i/>
          <w:iCs/>
        </w:rPr>
        <w:t>Employee Participation Pla</w:t>
      </w:r>
      <w:r w:rsidRPr="00142C57" w:rsidR="003C2EBD">
        <w:rPr>
          <w:rFonts w:ascii="Times New Roman" w:hAnsi="Times New Roman" w:cs="Times New Roman"/>
          <w:bCs/>
          <w:i/>
          <w:iCs/>
        </w:rPr>
        <w:t>n</w:t>
      </w:r>
    </w:p>
    <w:p w:rsidRPr="00BF4D0A" w:rsidR="00200686" w:rsidP="00576F93" w:rsidRDefault="00E235AD" w14:paraId="21724E31" w14:textId="01FCC850">
      <w:pPr>
        <w:spacing w:after="0" w:line="240" w:lineRule="auto"/>
        <w:ind w:firstLine="360"/>
        <w:rPr>
          <w:rFonts w:ascii="Times New Roman" w:hAnsi="Times New Roman" w:cs="Times New Roman"/>
        </w:rPr>
      </w:pPr>
      <w:r>
        <w:rPr>
          <w:rFonts w:ascii="Times New Roman" w:hAnsi="Times New Roman" w:cs="Times New Roman"/>
        </w:rPr>
        <w:tab/>
      </w:r>
      <w:r w:rsidRPr="00BF4D0A" w:rsidR="003C2EBD">
        <w:rPr>
          <w:rFonts w:ascii="Times New Roman" w:hAnsi="Times New Roman" w:cs="Times New Roman"/>
        </w:rPr>
        <w:t xml:space="preserve">The RMP rule currently requires only facilities with Program 3 processes to develop an </w:t>
      </w:r>
      <w:r w:rsidRPr="00BF4D0A" w:rsidR="00354D92">
        <w:rPr>
          <w:rFonts w:ascii="Times New Roman" w:hAnsi="Times New Roman" w:cs="Times New Roman"/>
        </w:rPr>
        <w:t>employee participation plan</w:t>
      </w:r>
      <w:r w:rsidRPr="00BF4D0A" w:rsidR="003C2EBD">
        <w:rPr>
          <w:rFonts w:ascii="Times New Roman" w:hAnsi="Times New Roman" w:cs="Times New Roman"/>
        </w:rPr>
        <w:t>.</w:t>
      </w:r>
      <w:r w:rsidR="00576F93">
        <w:rPr>
          <w:rFonts w:ascii="Times New Roman" w:hAnsi="Times New Roman" w:cs="Times New Roman"/>
        </w:rPr>
        <w:t xml:space="preserve"> </w:t>
      </w:r>
      <w:r w:rsidRPr="00BF4D0A" w:rsidR="00200686">
        <w:rPr>
          <w:rFonts w:ascii="Times New Roman" w:hAnsi="Times New Roman" w:cs="Times New Roman"/>
        </w:rPr>
        <w:t>The proposed rule</w:t>
      </w:r>
      <w:r w:rsidRPr="00BF4D0A" w:rsidR="00376DDB">
        <w:rPr>
          <w:rFonts w:ascii="Times New Roman" w:hAnsi="Times New Roman" w:cs="Times New Roman"/>
        </w:rPr>
        <w:t xml:space="preserve"> </w:t>
      </w:r>
      <w:r w:rsidRPr="00BF4D0A" w:rsidR="00200686">
        <w:rPr>
          <w:rFonts w:ascii="Times New Roman" w:hAnsi="Times New Roman" w:cs="Times New Roman"/>
        </w:rPr>
        <w:t xml:space="preserve">would require </w:t>
      </w:r>
      <w:r w:rsidRPr="00BF4D0A" w:rsidR="00376DDB">
        <w:rPr>
          <w:rFonts w:ascii="Times New Roman" w:hAnsi="Times New Roman" w:cs="Times New Roman"/>
        </w:rPr>
        <w:t xml:space="preserve">all facilities with a Program 2 process to newly develop an </w:t>
      </w:r>
      <w:r w:rsidRPr="00BF4D0A" w:rsidR="00354D92">
        <w:rPr>
          <w:rFonts w:ascii="Times New Roman" w:hAnsi="Times New Roman" w:cs="Times New Roman"/>
        </w:rPr>
        <w:t>employee participation plan</w:t>
      </w:r>
      <w:r w:rsidR="00C31BC2">
        <w:rPr>
          <w:rFonts w:ascii="Times New Roman" w:hAnsi="Times New Roman" w:cs="Times New Roman"/>
        </w:rPr>
        <w:t>, in addition to facilities with Program 3 processes</w:t>
      </w:r>
      <w:r w:rsidRPr="00BF4D0A" w:rsidR="00376DDB">
        <w:rPr>
          <w:rFonts w:ascii="Times New Roman" w:hAnsi="Times New Roman" w:cs="Times New Roman"/>
        </w:rPr>
        <w:t xml:space="preserve">. These newly developed </w:t>
      </w:r>
      <w:r w:rsidRPr="00BF4D0A" w:rsidR="00354D92">
        <w:rPr>
          <w:rFonts w:ascii="Times New Roman" w:hAnsi="Times New Roman" w:cs="Times New Roman"/>
        </w:rPr>
        <w:t>employee participation plan</w:t>
      </w:r>
      <w:r w:rsidRPr="00BF4D0A" w:rsidR="00376DDB">
        <w:rPr>
          <w:rFonts w:ascii="Times New Roman" w:hAnsi="Times New Roman" w:cs="Times New Roman"/>
        </w:rPr>
        <w:t>s, as well as a</w:t>
      </w:r>
      <w:r w:rsidRPr="00BF4D0A" w:rsidR="00200686">
        <w:rPr>
          <w:rFonts w:ascii="Times New Roman" w:hAnsi="Times New Roman" w:cs="Times New Roman"/>
        </w:rPr>
        <w:t xml:space="preserve">ll facilities with Program 3 processes </w:t>
      </w:r>
      <w:r w:rsidRPr="00BF4D0A" w:rsidR="00376DDB">
        <w:rPr>
          <w:rFonts w:ascii="Times New Roman" w:hAnsi="Times New Roman" w:cs="Times New Roman"/>
        </w:rPr>
        <w:t xml:space="preserve">which already have an </w:t>
      </w:r>
      <w:r w:rsidRPr="00BF4D0A" w:rsidR="00354D92">
        <w:rPr>
          <w:rFonts w:ascii="Times New Roman" w:hAnsi="Times New Roman" w:cs="Times New Roman"/>
        </w:rPr>
        <w:t>employee participation plan</w:t>
      </w:r>
      <w:r w:rsidRPr="00BF4D0A" w:rsidR="00376DDB">
        <w:rPr>
          <w:rFonts w:ascii="Times New Roman" w:hAnsi="Times New Roman" w:cs="Times New Roman"/>
        </w:rPr>
        <w:t xml:space="preserve">, would need </w:t>
      </w:r>
      <w:r w:rsidRPr="00BF4D0A" w:rsidR="00200686">
        <w:rPr>
          <w:rFonts w:ascii="Times New Roman" w:hAnsi="Times New Roman" w:cs="Times New Roman"/>
        </w:rPr>
        <w:t>to include</w:t>
      </w:r>
      <w:r w:rsidRPr="00BF4D0A" w:rsidR="003446B9">
        <w:rPr>
          <w:rFonts w:ascii="Times New Roman" w:hAnsi="Times New Roman" w:cs="Times New Roman"/>
        </w:rPr>
        <w:t xml:space="preserve"> newl</w:t>
      </w:r>
      <w:r w:rsidRPr="00BF4D0A" w:rsidR="000859D7">
        <w:rPr>
          <w:rFonts w:ascii="Times New Roman" w:hAnsi="Times New Roman" w:cs="Times New Roman"/>
        </w:rPr>
        <w:t>y</w:t>
      </w:r>
      <w:r w:rsidRPr="00BF4D0A" w:rsidR="00200686">
        <w:rPr>
          <w:rFonts w:ascii="Times New Roman" w:hAnsi="Times New Roman" w:cs="Times New Roman"/>
        </w:rPr>
        <w:t xml:space="preserve"> explicit language for reporting RMP</w:t>
      </w:r>
      <w:r w:rsidRPr="00BF4D0A" w:rsidR="002C5463">
        <w:rPr>
          <w:rFonts w:ascii="Times New Roman" w:hAnsi="Times New Roman" w:cs="Times New Roman"/>
        </w:rPr>
        <w:t>-</w:t>
      </w:r>
      <w:r w:rsidRPr="00BF4D0A" w:rsidR="00200686">
        <w:rPr>
          <w:rFonts w:ascii="Times New Roman" w:hAnsi="Times New Roman" w:cs="Times New Roman"/>
        </w:rPr>
        <w:t>reportable accidents or other related RMP non-compliance issues. Exhibit 5-</w:t>
      </w:r>
      <w:r w:rsidR="00C84234">
        <w:rPr>
          <w:rFonts w:ascii="Times New Roman" w:hAnsi="Times New Roman" w:cs="Times New Roman"/>
        </w:rPr>
        <w:t>5</w:t>
      </w:r>
      <w:r w:rsidRPr="00BF4D0A" w:rsidR="00200686">
        <w:rPr>
          <w:rFonts w:ascii="Times New Roman" w:hAnsi="Times New Roman" w:cs="Times New Roman"/>
        </w:rPr>
        <w:t xml:space="preserve"> presents the costs for the provision.</w:t>
      </w:r>
    </w:p>
    <w:p w:rsidRPr="00BF4D0A" w:rsidR="003C2EBD" w:rsidP="00576F93" w:rsidRDefault="003C2EBD" w14:paraId="4B87DEE8" w14:textId="77777777">
      <w:pPr>
        <w:spacing w:after="0" w:line="240" w:lineRule="auto"/>
        <w:ind w:firstLine="720"/>
        <w:rPr>
          <w:rFonts w:ascii="Times New Roman" w:hAnsi="Times New Roman" w:cs="Times New Roman"/>
        </w:rPr>
      </w:pPr>
    </w:p>
    <w:p w:rsidRPr="00B87FD9" w:rsidR="00B87FD9" w:rsidP="00B87FD9" w:rsidRDefault="00B87FD9" w14:paraId="7FC57F6A" w14:textId="665BD41F">
      <w:pPr>
        <w:pStyle w:val="Caption"/>
        <w:jc w:val="center"/>
        <w:rPr>
          <w:rFonts w:ascii="Times New Roman" w:hAnsi="Times New Roman" w:cs="Times New Roman"/>
          <w:b/>
          <w:bCs/>
          <w:i w:val="0"/>
          <w:iCs w:val="0"/>
          <w:color w:val="auto"/>
          <w:sz w:val="22"/>
          <w:szCs w:val="22"/>
        </w:rPr>
      </w:pPr>
      <w:r w:rsidRPr="00B87FD9">
        <w:rPr>
          <w:rFonts w:ascii="Times New Roman" w:hAnsi="Times New Roman" w:cs="Times New Roman"/>
          <w:b/>
          <w:bCs/>
          <w:i w:val="0"/>
          <w:iCs w:val="0"/>
          <w:color w:val="auto"/>
          <w:sz w:val="22"/>
          <w:szCs w:val="22"/>
        </w:rPr>
        <w:t>Exhibit 5-</w:t>
      </w:r>
      <w:r w:rsidR="00C84234">
        <w:rPr>
          <w:rFonts w:ascii="Times New Roman" w:hAnsi="Times New Roman" w:cs="Times New Roman"/>
          <w:b/>
          <w:bCs/>
          <w:i w:val="0"/>
          <w:iCs w:val="0"/>
          <w:color w:val="auto"/>
          <w:sz w:val="22"/>
          <w:szCs w:val="22"/>
        </w:rPr>
        <w:t>5</w:t>
      </w:r>
      <w:r w:rsidRPr="00B87FD9">
        <w:rPr>
          <w:rFonts w:ascii="Times New Roman" w:hAnsi="Times New Roman" w:cs="Times New Roman"/>
          <w:b/>
          <w:bCs/>
          <w:i w:val="0"/>
          <w:iCs w:val="0"/>
          <w:color w:val="auto"/>
          <w:sz w:val="22"/>
          <w:szCs w:val="22"/>
        </w:rPr>
        <w:t xml:space="preserve">: Estimated Costs for Employee Participation Plan Provision (2020 </w:t>
      </w:r>
      <w:r w:rsidR="00794F08">
        <w:rPr>
          <w:rFonts w:ascii="Times New Roman" w:hAnsi="Times New Roman" w:cs="Times New Roman"/>
          <w:b/>
          <w:bCs/>
          <w:i w:val="0"/>
          <w:iCs w:val="0"/>
          <w:color w:val="auto"/>
          <w:sz w:val="22"/>
          <w:szCs w:val="22"/>
        </w:rPr>
        <w:t>d</w:t>
      </w:r>
      <w:r w:rsidRPr="00B87FD9">
        <w:rPr>
          <w:rFonts w:ascii="Times New Roman" w:hAnsi="Times New Roman" w:cs="Times New Roman"/>
          <w:b/>
          <w:bCs/>
          <w:i w:val="0"/>
          <w:iCs w:val="0"/>
          <w:color w:val="auto"/>
          <w:sz w:val="22"/>
          <w:szCs w:val="22"/>
        </w:rPr>
        <w:t>ollars).</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92"/>
        <w:gridCol w:w="1170"/>
        <w:gridCol w:w="1062"/>
        <w:gridCol w:w="1080"/>
        <w:gridCol w:w="1188"/>
      </w:tblGrid>
      <w:tr w:rsidRPr="00BF4D0A" w:rsidR="00200686" w:rsidTr="00B87FD9" w14:paraId="59938FEF" w14:textId="77777777">
        <w:trPr>
          <w:trHeight w:val="537"/>
          <w:tblHeader/>
          <w:jc w:val="center"/>
        </w:trPr>
        <w:tc>
          <w:tcPr>
            <w:tcW w:w="3492" w:type="dxa"/>
            <w:tcBorders>
              <w:bottom w:val="single" w:color="000000" w:sz="8" w:space="0"/>
            </w:tcBorders>
            <w:shd w:val="clear" w:color="auto" w:fill="DADADA"/>
            <w:vAlign w:val="center"/>
          </w:tcPr>
          <w:p w:rsidRPr="00BF4D0A" w:rsidR="00200686" w:rsidP="00B87FD9" w:rsidRDefault="00200686" w14:paraId="01A3D1A0" w14:textId="77777777">
            <w:pPr>
              <w:keepNext/>
              <w:spacing w:after="0" w:line="240" w:lineRule="auto"/>
              <w:ind w:left="1335" w:right="87" w:hanging="1162"/>
              <w:jc w:val="center"/>
              <w:rPr>
                <w:rFonts w:ascii="Times New Roman" w:hAnsi="Times New Roman" w:cs="Times New Roman"/>
                <w:b/>
              </w:rPr>
            </w:pPr>
            <w:r w:rsidRPr="00BF4D0A">
              <w:rPr>
                <w:rFonts w:ascii="Times New Roman" w:hAnsi="Times New Roman" w:cs="Times New Roman"/>
                <w:b/>
              </w:rPr>
              <w:t>Facility Type</w:t>
            </w:r>
          </w:p>
        </w:tc>
        <w:tc>
          <w:tcPr>
            <w:tcW w:w="1170" w:type="dxa"/>
            <w:tcBorders>
              <w:bottom w:val="single" w:color="000000" w:sz="8" w:space="0"/>
            </w:tcBorders>
            <w:shd w:val="clear" w:color="auto" w:fill="DADADA"/>
            <w:vAlign w:val="center"/>
          </w:tcPr>
          <w:p w:rsidRPr="00BF4D0A" w:rsidR="00200686" w:rsidP="00B87FD9" w:rsidRDefault="00200686" w14:paraId="04ADA6F8" w14:textId="77777777">
            <w:pPr>
              <w:keepNext/>
              <w:spacing w:after="0" w:line="240" w:lineRule="auto"/>
              <w:ind w:left="93" w:right="57"/>
              <w:jc w:val="center"/>
              <w:rPr>
                <w:rFonts w:ascii="Times New Roman" w:hAnsi="Times New Roman" w:cs="Times New Roman"/>
                <w:b/>
              </w:rPr>
            </w:pPr>
            <w:r w:rsidRPr="00BF4D0A">
              <w:rPr>
                <w:rFonts w:ascii="Times New Roman" w:hAnsi="Times New Roman" w:cs="Times New Roman"/>
                <w:b/>
              </w:rPr>
              <w:t>Annual</w:t>
            </w:r>
          </w:p>
          <w:p w:rsidRPr="00BF4D0A" w:rsidR="00200686" w:rsidP="00B87FD9" w:rsidRDefault="00200686" w14:paraId="14EB2248" w14:textId="77777777">
            <w:pPr>
              <w:keepNext/>
              <w:spacing w:after="0" w:line="240" w:lineRule="auto"/>
              <w:ind w:left="88" w:right="64"/>
              <w:jc w:val="center"/>
              <w:rPr>
                <w:rFonts w:ascii="Times New Roman" w:hAnsi="Times New Roman" w:cs="Times New Roman"/>
                <w:b/>
              </w:rPr>
            </w:pPr>
            <w:r w:rsidRPr="00BF4D0A">
              <w:rPr>
                <w:rFonts w:ascii="Times New Roman" w:hAnsi="Times New Roman" w:cs="Times New Roman"/>
                <w:b/>
              </w:rPr>
              <w:t>Frequency</w:t>
            </w:r>
          </w:p>
        </w:tc>
        <w:tc>
          <w:tcPr>
            <w:tcW w:w="1062" w:type="dxa"/>
            <w:tcBorders>
              <w:bottom w:val="single" w:color="000000" w:sz="8" w:space="0"/>
            </w:tcBorders>
            <w:shd w:val="clear" w:color="auto" w:fill="DADADA"/>
            <w:vAlign w:val="center"/>
          </w:tcPr>
          <w:p w:rsidRPr="00BF4D0A" w:rsidR="00200686" w:rsidP="00B87FD9" w:rsidRDefault="00200686" w14:paraId="1B8EED3F" w14:textId="77777777">
            <w:pPr>
              <w:keepNext/>
              <w:spacing w:after="0" w:line="240" w:lineRule="auto"/>
              <w:ind w:left="72"/>
              <w:jc w:val="center"/>
              <w:rPr>
                <w:rFonts w:ascii="Times New Roman" w:hAnsi="Times New Roman" w:cs="Times New Roman"/>
                <w:b/>
              </w:rPr>
            </w:pPr>
            <w:r w:rsidRPr="00BF4D0A">
              <w:rPr>
                <w:rFonts w:ascii="Times New Roman" w:hAnsi="Times New Roman" w:cs="Times New Roman"/>
                <w:b/>
              </w:rPr>
              <w:t>Unit Cost</w:t>
            </w:r>
          </w:p>
        </w:tc>
        <w:tc>
          <w:tcPr>
            <w:tcW w:w="1080" w:type="dxa"/>
            <w:tcBorders>
              <w:bottom w:val="single" w:color="000000" w:sz="8" w:space="0"/>
            </w:tcBorders>
            <w:shd w:val="clear" w:color="auto" w:fill="DADADA"/>
            <w:vAlign w:val="center"/>
          </w:tcPr>
          <w:p w:rsidRPr="00BF4D0A" w:rsidR="00200686" w:rsidP="00B87FD9" w:rsidRDefault="00200686" w14:paraId="5530503A" w14:textId="77777777">
            <w:pPr>
              <w:keepNext/>
              <w:spacing w:after="0" w:line="240" w:lineRule="auto"/>
              <w:ind w:left="98" w:right="76"/>
              <w:jc w:val="center"/>
              <w:rPr>
                <w:rFonts w:ascii="Times New Roman" w:hAnsi="Times New Roman" w:cs="Times New Roman"/>
                <w:b/>
              </w:rPr>
            </w:pPr>
            <w:r w:rsidRPr="00BF4D0A">
              <w:rPr>
                <w:rFonts w:ascii="Times New Roman" w:hAnsi="Times New Roman" w:cs="Times New Roman"/>
                <w:b/>
              </w:rPr>
              <w:t>Facilities</w:t>
            </w:r>
          </w:p>
        </w:tc>
        <w:tc>
          <w:tcPr>
            <w:tcW w:w="1188" w:type="dxa"/>
            <w:tcBorders>
              <w:bottom w:val="single" w:color="000000" w:sz="8" w:space="0"/>
            </w:tcBorders>
            <w:shd w:val="clear" w:color="auto" w:fill="DADADA"/>
            <w:vAlign w:val="center"/>
          </w:tcPr>
          <w:p w:rsidRPr="00BF4D0A" w:rsidR="00200686" w:rsidP="00B87FD9" w:rsidRDefault="00200686" w14:paraId="398291EB" w14:textId="2F29412F">
            <w:pPr>
              <w:keepNext/>
              <w:spacing w:after="0" w:line="240" w:lineRule="auto"/>
              <w:ind w:left="91" w:right="55"/>
              <w:jc w:val="center"/>
              <w:rPr>
                <w:rFonts w:ascii="Times New Roman" w:hAnsi="Times New Roman" w:cs="Times New Roman"/>
                <w:b/>
              </w:rPr>
            </w:pPr>
            <w:r w:rsidRPr="00BF4D0A">
              <w:rPr>
                <w:rFonts w:ascii="Times New Roman" w:hAnsi="Times New Roman" w:cs="Times New Roman"/>
                <w:b/>
              </w:rPr>
              <w:t>Total</w:t>
            </w:r>
          </w:p>
          <w:p w:rsidRPr="00BF4D0A" w:rsidR="00200686" w:rsidP="00B87FD9" w:rsidRDefault="00200686" w14:paraId="6124BDD5" w14:textId="77777777">
            <w:pPr>
              <w:keepNext/>
              <w:spacing w:after="0" w:line="240" w:lineRule="auto"/>
              <w:ind w:left="82" w:right="55"/>
              <w:jc w:val="center"/>
              <w:rPr>
                <w:rFonts w:ascii="Times New Roman" w:hAnsi="Times New Roman" w:cs="Times New Roman"/>
                <w:b/>
              </w:rPr>
            </w:pPr>
            <w:r w:rsidRPr="00BF4D0A">
              <w:rPr>
                <w:rFonts w:ascii="Times New Roman" w:hAnsi="Times New Roman" w:cs="Times New Roman"/>
                <w:b/>
              </w:rPr>
              <w:t>Cost</w:t>
            </w:r>
          </w:p>
        </w:tc>
      </w:tr>
      <w:tr w:rsidRPr="00BF4D0A" w:rsidR="00200686" w:rsidTr="00B87FD9" w14:paraId="2E8391A4" w14:textId="77777777">
        <w:trPr>
          <w:trHeight w:val="295"/>
          <w:jc w:val="center"/>
        </w:trPr>
        <w:tc>
          <w:tcPr>
            <w:tcW w:w="7992" w:type="dxa"/>
            <w:gridSpan w:val="5"/>
            <w:tcBorders>
              <w:top w:val="single" w:color="000000" w:sz="8" w:space="0"/>
              <w:bottom w:val="single" w:color="000000" w:sz="8" w:space="0"/>
            </w:tcBorders>
            <w:shd w:val="clear" w:color="auto" w:fill="F2F2F2"/>
            <w:vAlign w:val="center"/>
          </w:tcPr>
          <w:p w:rsidRPr="00BF4D0A" w:rsidR="00200686" w:rsidP="00B87FD9" w:rsidRDefault="00200686" w14:paraId="0D05B1D3" w14:textId="4A86E92D">
            <w:pPr>
              <w:keepNext/>
              <w:spacing w:after="0" w:line="240" w:lineRule="auto"/>
              <w:ind w:left="165" w:right="79" w:hanging="90"/>
              <w:rPr>
                <w:rFonts w:ascii="Times New Roman" w:hAnsi="Times New Roman" w:cs="Times New Roman"/>
                <w:b/>
              </w:rPr>
            </w:pPr>
            <w:r w:rsidRPr="00BF4D0A">
              <w:rPr>
                <w:rFonts w:ascii="Times New Roman" w:hAnsi="Times New Roman" w:cs="Times New Roman"/>
                <w:b/>
              </w:rPr>
              <w:t>P</w:t>
            </w:r>
            <w:r w:rsidRPr="00BF4D0A" w:rsidR="00202CF3">
              <w:rPr>
                <w:rFonts w:ascii="Times New Roman" w:hAnsi="Times New Roman" w:cs="Times New Roman"/>
                <w:b/>
              </w:rPr>
              <w:t xml:space="preserve">rogram </w:t>
            </w:r>
            <w:r w:rsidRPr="00BF4D0A">
              <w:rPr>
                <w:rFonts w:ascii="Times New Roman" w:hAnsi="Times New Roman" w:cs="Times New Roman"/>
                <w:b/>
              </w:rPr>
              <w:t xml:space="preserve">2 </w:t>
            </w:r>
            <w:r w:rsidR="005C1B6F">
              <w:rPr>
                <w:rFonts w:ascii="Times New Roman" w:hAnsi="Times New Roman" w:cs="Times New Roman"/>
                <w:b/>
              </w:rPr>
              <w:t>r</w:t>
            </w:r>
            <w:r w:rsidRPr="00BF4D0A">
              <w:rPr>
                <w:rFonts w:ascii="Times New Roman" w:hAnsi="Times New Roman" w:cs="Times New Roman"/>
                <w:b/>
              </w:rPr>
              <w:t xml:space="preserve">equirement to </w:t>
            </w:r>
            <w:r w:rsidR="005C1B6F">
              <w:rPr>
                <w:rFonts w:ascii="Times New Roman" w:hAnsi="Times New Roman" w:cs="Times New Roman"/>
                <w:b/>
              </w:rPr>
              <w:t>d</w:t>
            </w:r>
            <w:r w:rsidRPr="00BF4D0A">
              <w:rPr>
                <w:rFonts w:ascii="Times New Roman" w:hAnsi="Times New Roman" w:cs="Times New Roman"/>
                <w:b/>
              </w:rPr>
              <w:t xml:space="preserve">evelop </w:t>
            </w:r>
            <w:r w:rsidR="005C1B6F">
              <w:rPr>
                <w:rFonts w:ascii="Times New Roman" w:hAnsi="Times New Roman" w:cs="Times New Roman"/>
                <w:b/>
              </w:rPr>
              <w:t>n</w:t>
            </w:r>
            <w:r w:rsidRPr="00BF4D0A">
              <w:rPr>
                <w:rFonts w:ascii="Times New Roman" w:hAnsi="Times New Roman" w:cs="Times New Roman"/>
                <w:b/>
              </w:rPr>
              <w:t xml:space="preserve">ew </w:t>
            </w:r>
            <w:r w:rsidRPr="00BF4D0A" w:rsidR="00354D92">
              <w:rPr>
                <w:rFonts w:ascii="Times New Roman" w:hAnsi="Times New Roman" w:cs="Times New Roman"/>
                <w:b/>
              </w:rPr>
              <w:t>employee participation plan</w:t>
            </w:r>
          </w:p>
        </w:tc>
      </w:tr>
      <w:tr w:rsidRPr="00BF4D0A" w:rsidR="00200686" w:rsidTr="00B87FD9" w14:paraId="1589269D" w14:textId="77777777">
        <w:trPr>
          <w:trHeight w:val="282"/>
          <w:jc w:val="center"/>
        </w:trPr>
        <w:tc>
          <w:tcPr>
            <w:tcW w:w="3492" w:type="dxa"/>
            <w:tcBorders>
              <w:top w:val="single" w:color="000000" w:sz="8" w:space="0"/>
            </w:tcBorders>
            <w:vAlign w:val="center"/>
          </w:tcPr>
          <w:p w:rsidRPr="00BF4D0A" w:rsidR="00200686" w:rsidP="00B87FD9" w:rsidRDefault="00200686" w14:paraId="08771DF1" w14:textId="77777777">
            <w:pPr>
              <w:keepNext/>
              <w:spacing w:after="0" w:line="240" w:lineRule="auto"/>
              <w:ind w:left="112"/>
              <w:rPr>
                <w:rFonts w:ascii="Times New Roman" w:hAnsi="Times New Roman" w:cs="Times New Roman"/>
              </w:rPr>
            </w:pPr>
            <w:r w:rsidRPr="00BF4D0A">
              <w:rPr>
                <w:rFonts w:ascii="Times New Roman" w:hAnsi="Times New Roman" w:cs="Times New Roman"/>
              </w:rPr>
              <w:t>Simple 0-19 FTEs</w:t>
            </w:r>
          </w:p>
        </w:tc>
        <w:tc>
          <w:tcPr>
            <w:tcW w:w="1170" w:type="dxa"/>
            <w:tcBorders>
              <w:top w:val="single" w:color="000000" w:sz="8" w:space="0"/>
            </w:tcBorders>
            <w:vAlign w:val="center"/>
          </w:tcPr>
          <w:p w:rsidRPr="00BF4D0A" w:rsidR="00200686" w:rsidP="00B87FD9" w:rsidRDefault="00200686" w14:paraId="5CC46677" w14:textId="77777777">
            <w:pPr>
              <w:keepNext/>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tcBorders>
              <w:top w:val="single" w:color="000000" w:sz="8" w:space="0"/>
            </w:tcBorders>
            <w:vAlign w:val="center"/>
          </w:tcPr>
          <w:p w:rsidRPr="00BF4D0A" w:rsidR="00200686" w:rsidP="00B87FD9" w:rsidRDefault="00200686" w14:paraId="759BBABE" w14:textId="48F24E62">
            <w:pPr>
              <w:keepNext/>
              <w:spacing w:after="0" w:line="240" w:lineRule="auto"/>
              <w:ind w:left="72"/>
              <w:jc w:val="center"/>
              <w:rPr>
                <w:rFonts w:ascii="Times New Roman" w:hAnsi="Times New Roman" w:cs="Times New Roman"/>
              </w:rPr>
            </w:pPr>
            <w:r w:rsidRPr="00BF4D0A">
              <w:rPr>
                <w:rFonts w:ascii="Times New Roman" w:hAnsi="Times New Roman" w:cs="Times New Roman"/>
                <w:color w:val="000000"/>
              </w:rPr>
              <w:t>$</w:t>
            </w:r>
            <w:r w:rsidRPr="00BF4D0A" w:rsidR="008572D2">
              <w:rPr>
                <w:rFonts w:ascii="Times New Roman" w:hAnsi="Times New Roman" w:cs="Times New Roman"/>
                <w:color w:val="000000"/>
              </w:rPr>
              <w:t>89</w:t>
            </w:r>
          </w:p>
        </w:tc>
        <w:tc>
          <w:tcPr>
            <w:tcW w:w="1080" w:type="dxa"/>
            <w:tcBorders>
              <w:top w:val="single" w:color="000000" w:sz="8" w:space="0"/>
            </w:tcBorders>
            <w:vAlign w:val="center"/>
          </w:tcPr>
          <w:p w:rsidRPr="00BF4D0A" w:rsidR="00200686" w:rsidP="00B87FD9" w:rsidRDefault="00200686" w14:paraId="72581138" w14:textId="77777777">
            <w:pPr>
              <w:keepNext/>
              <w:spacing w:after="0" w:line="240" w:lineRule="auto"/>
              <w:ind w:left="98" w:right="69"/>
              <w:jc w:val="center"/>
              <w:rPr>
                <w:rFonts w:ascii="Times New Roman" w:hAnsi="Times New Roman" w:cs="Times New Roman"/>
              </w:rPr>
            </w:pPr>
            <w:r w:rsidRPr="00BF4D0A">
              <w:rPr>
                <w:rFonts w:ascii="Times New Roman" w:hAnsi="Times New Roman" w:cs="Times New Roman"/>
              </w:rPr>
              <w:t>3,415</w:t>
            </w:r>
          </w:p>
        </w:tc>
        <w:tc>
          <w:tcPr>
            <w:tcW w:w="1188" w:type="dxa"/>
            <w:tcBorders>
              <w:top w:val="single" w:color="000000" w:sz="8" w:space="0"/>
            </w:tcBorders>
            <w:vAlign w:val="center"/>
          </w:tcPr>
          <w:p w:rsidRPr="00BF4D0A" w:rsidR="00200686" w:rsidP="00B87FD9" w:rsidRDefault="008572D2" w14:paraId="37997779" w14:textId="1B2C8F0D">
            <w:pPr>
              <w:keepNext/>
              <w:spacing w:after="0" w:line="240" w:lineRule="auto"/>
              <w:ind w:left="84" w:right="55"/>
              <w:jc w:val="center"/>
              <w:rPr>
                <w:rFonts w:ascii="Times New Roman" w:hAnsi="Times New Roman" w:cs="Times New Roman"/>
              </w:rPr>
            </w:pPr>
            <w:r w:rsidRPr="00BF4D0A">
              <w:rPr>
                <w:rFonts w:ascii="Times New Roman" w:hAnsi="Times New Roman" w:cs="Times New Roman"/>
                <w:color w:val="000000"/>
              </w:rPr>
              <w:t>$304,47</w:t>
            </w:r>
            <w:r w:rsidRPr="00BF4D0A" w:rsidR="00E15A42">
              <w:rPr>
                <w:rFonts w:ascii="Times New Roman" w:hAnsi="Times New Roman" w:cs="Times New Roman"/>
                <w:color w:val="000000"/>
              </w:rPr>
              <w:t>6</w:t>
            </w:r>
          </w:p>
        </w:tc>
      </w:tr>
      <w:tr w:rsidRPr="00BF4D0A" w:rsidR="00200686" w:rsidTr="00B87FD9" w14:paraId="713900CD" w14:textId="77777777">
        <w:trPr>
          <w:trHeight w:val="285"/>
          <w:jc w:val="center"/>
        </w:trPr>
        <w:tc>
          <w:tcPr>
            <w:tcW w:w="3492" w:type="dxa"/>
            <w:vAlign w:val="center"/>
          </w:tcPr>
          <w:p w:rsidRPr="00BF4D0A" w:rsidR="00200686" w:rsidP="00B87FD9" w:rsidRDefault="00200686" w14:paraId="499B1DB7" w14:textId="77777777">
            <w:pPr>
              <w:spacing w:after="0" w:line="240" w:lineRule="auto"/>
              <w:ind w:left="112"/>
              <w:rPr>
                <w:rFonts w:ascii="Times New Roman" w:hAnsi="Times New Roman" w:cs="Times New Roman"/>
              </w:rPr>
            </w:pPr>
            <w:bookmarkStart w:name="_Hlk98192408" w:id="76"/>
            <w:r w:rsidRPr="00BF4D0A">
              <w:rPr>
                <w:rFonts w:ascii="Times New Roman" w:hAnsi="Times New Roman" w:cs="Times New Roman"/>
              </w:rPr>
              <w:t>Simple 20+ FTEs</w:t>
            </w:r>
          </w:p>
        </w:tc>
        <w:tc>
          <w:tcPr>
            <w:tcW w:w="1170" w:type="dxa"/>
            <w:vAlign w:val="center"/>
          </w:tcPr>
          <w:p w:rsidRPr="00BF4D0A" w:rsidR="00200686" w:rsidP="00B87FD9" w:rsidRDefault="00200686" w14:paraId="5ECFD6A9" w14:textId="77777777">
            <w:pPr>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vAlign w:val="center"/>
          </w:tcPr>
          <w:p w:rsidRPr="00BF4D0A" w:rsidR="00200686" w:rsidP="00B87FD9" w:rsidRDefault="00200686" w14:paraId="666B01C9" w14:textId="6660C2B0">
            <w:pPr>
              <w:spacing w:after="0" w:line="240" w:lineRule="auto"/>
              <w:ind w:left="72"/>
              <w:jc w:val="center"/>
              <w:rPr>
                <w:rFonts w:ascii="Times New Roman" w:hAnsi="Times New Roman" w:cs="Times New Roman"/>
              </w:rPr>
            </w:pPr>
            <w:r w:rsidRPr="00BF4D0A">
              <w:rPr>
                <w:rFonts w:ascii="Times New Roman" w:hAnsi="Times New Roman" w:cs="Times New Roman"/>
                <w:color w:val="000000"/>
              </w:rPr>
              <w:t>$</w:t>
            </w:r>
            <w:r w:rsidRPr="00BF4D0A" w:rsidR="008572D2">
              <w:rPr>
                <w:rFonts w:ascii="Times New Roman" w:hAnsi="Times New Roman" w:cs="Times New Roman"/>
                <w:color w:val="000000"/>
              </w:rPr>
              <w:t>228</w:t>
            </w:r>
          </w:p>
        </w:tc>
        <w:tc>
          <w:tcPr>
            <w:tcW w:w="1080" w:type="dxa"/>
            <w:vAlign w:val="center"/>
          </w:tcPr>
          <w:p w:rsidRPr="00BF4D0A" w:rsidR="00200686" w:rsidP="00B87FD9" w:rsidRDefault="00200686" w14:paraId="3230678B" w14:textId="77777777">
            <w:pPr>
              <w:spacing w:after="0" w:line="240" w:lineRule="auto"/>
              <w:ind w:left="98" w:right="69"/>
              <w:jc w:val="center"/>
              <w:rPr>
                <w:rFonts w:ascii="Times New Roman" w:hAnsi="Times New Roman" w:cs="Times New Roman"/>
              </w:rPr>
            </w:pPr>
            <w:r w:rsidRPr="00BF4D0A">
              <w:rPr>
                <w:rFonts w:ascii="Times New Roman" w:hAnsi="Times New Roman" w:cs="Times New Roman"/>
              </w:rPr>
              <w:t>496</w:t>
            </w:r>
          </w:p>
        </w:tc>
        <w:tc>
          <w:tcPr>
            <w:tcW w:w="1188" w:type="dxa"/>
            <w:vAlign w:val="center"/>
          </w:tcPr>
          <w:p w:rsidRPr="00BF4D0A" w:rsidR="00200686" w:rsidP="00B87FD9" w:rsidRDefault="008572D2" w14:paraId="06010C14" w14:textId="160A0878">
            <w:pPr>
              <w:spacing w:after="0" w:line="240" w:lineRule="auto"/>
              <w:ind w:left="69" w:right="55"/>
              <w:jc w:val="center"/>
              <w:rPr>
                <w:rFonts w:ascii="Times New Roman" w:hAnsi="Times New Roman" w:cs="Times New Roman"/>
              </w:rPr>
            </w:pPr>
            <w:r w:rsidRPr="00BF4D0A">
              <w:rPr>
                <w:rFonts w:ascii="Times New Roman" w:hAnsi="Times New Roman" w:cs="Times New Roman"/>
                <w:color w:val="000000"/>
              </w:rPr>
              <w:t>$112,98</w:t>
            </w:r>
            <w:r w:rsidRPr="00BF4D0A" w:rsidR="00E15A42">
              <w:rPr>
                <w:rFonts w:ascii="Times New Roman" w:hAnsi="Times New Roman" w:cs="Times New Roman"/>
                <w:color w:val="000000"/>
              </w:rPr>
              <w:t>2</w:t>
            </w:r>
          </w:p>
        </w:tc>
      </w:tr>
      <w:tr w:rsidRPr="00BF4D0A" w:rsidR="00200686" w:rsidTr="00B87FD9" w14:paraId="168F0FDB" w14:textId="77777777">
        <w:trPr>
          <w:trHeight w:val="285"/>
          <w:jc w:val="center"/>
        </w:trPr>
        <w:tc>
          <w:tcPr>
            <w:tcW w:w="3492" w:type="dxa"/>
            <w:vAlign w:val="center"/>
          </w:tcPr>
          <w:p w:rsidRPr="00BF4D0A" w:rsidR="00200686" w:rsidP="00B87FD9" w:rsidRDefault="00200686" w14:paraId="32E0B8C0" w14:textId="77777777">
            <w:pPr>
              <w:spacing w:after="0" w:line="240" w:lineRule="auto"/>
              <w:ind w:left="112"/>
              <w:rPr>
                <w:rFonts w:ascii="Times New Roman" w:hAnsi="Times New Roman" w:cs="Times New Roman"/>
              </w:rPr>
            </w:pPr>
            <w:bookmarkStart w:name="_Hlk98192419" w:id="77"/>
            <w:r w:rsidRPr="00BF4D0A">
              <w:rPr>
                <w:rFonts w:ascii="Times New Roman" w:hAnsi="Times New Roman" w:cs="Times New Roman"/>
              </w:rPr>
              <w:t>Complex 0-19 FTEs</w:t>
            </w:r>
          </w:p>
        </w:tc>
        <w:tc>
          <w:tcPr>
            <w:tcW w:w="1170" w:type="dxa"/>
            <w:vAlign w:val="center"/>
          </w:tcPr>
          <w:p w:rsidRPr="00BF4D0A" w:rsidR="00200686" w:rsidP="00B87FD9" w:rsidRDefault="00200686" w14:paraId="721C7663" w14:textId="77777777">
            <w:pPr>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vAlign w:val="center"/>
          </w:tcPr>
          <w:p w:rsidRPr="00BF4D0A" w:rsidR="00200686" w:rsidP="00B87FD9" w:rsidRDefault="00200686" w14:paraId="48F6AF99" w14:textId="5AD0626E">
            <w:pPr>
              <w:spacing w:after="0" w:line="240" w:lineRule="auto"/>
              <w:ind w:left="72"/>
              <w:jc w:val="center"/>
              <w:rPr>
                <w:rFonts w:ascii="Times New Roman" w:hAnsi="Times New Roman" w:cs="Times New Roman"/>
              </w:rPr>
            </w:pPr>
            <w:r w:rsidRPr="00BF4D0A">
              <w:rPr>
                <w:rFonts w:ascii="Times New Roman" w:hAnsi="Times New Roman" w:cs="Times New Roman"/>
                <w:color w:val="000000"/>
              </w:rPr>
              <w:t>$</w:t>
            </w:r>
            <w:r w:rsidRPr="00BF4D0A" w:rsidR="008572D2">
              <w:rPr>
                <w:rFonts w:ascii="Times New Roman" w:hAnsi="Times New Roman" w:cs="Times New Roman"/>
                <w:color w:val="000000"/>
              </w:rPr>
              <w:t>129</w:t>
            </w:r>
          </w:p>
        </w:tc>
        <w:tc>
          <w:tcPr>
            <w:tcW w:w="1080" w:type="dxa"/>
            <w:vAlign w:val="center"/>
          </w:tcPr>
          <w:p w:rsidRPr="00BF4D0A" w:rsidR="00200686" w:rsidP="00B87FD9" w:rsidRDefault="00200686" w14:paraId="3ABB4F55" w14:textId="77777777">
            <w:pPr>
              <w:spacing w:after="0" w:line="240" w:lineRule="auto"/>
              <w:ind w:left="98" w:right="69"/>
              <w:jc w:val="center"/>
              <w:rPr>
                <w:rFonts w:ascii="Times New Roman" w:hAnsi="Times New Roman" w:cs="Times New Roman"/>
              </w:rPr>
            </w:pPr>
            <w:r w:rsidRPr="00BF4D0A">
              <w:rPr>
                <w:rFonts w:ascii="Times New Roman" w:hAnsi="Times New Roman" w:cs="Times New Roman"/>
              </w:rPr>
              <w:t>29</w:t>
            </w:r>
          </w:p>
        </w:tc>
        <w:tc>
          <w:tcPr>
            <w:tcW w:w="1188" w:type="dxa"/>
            <w:vAlign w:val="center"/>
          </w:tcPr>
          <w:p w:rsidRPr="00BF4D0A" w:rsidR="00200686" w:rsidP="00B87FD9" w:rsidRDefault="00200686" w14:paraId="3EDF460C" w14:textId="7104CEAD">
            <w:pPr>
              <w:spacing w:after="0" w:line="240" w:lineRule="auto"/>
              <w:ind w:left="69" w:right="55"/>
              <w:jc w:val="center"/>
              <w:rPr>
                <w:rFonts w:ascii="Times New Roman" w:hAnsi="Times New Roman" w:cs="Times New Roman"/>
              </w:rPr>
            </w:pPr>
            <w:r w:rsidRPr="00BF4D0A">
              <w:rPr>
                <w:rFonts w:ascii="Times New Roman" w:hAnsi="Times New Roman" w:cs="Times New Roman"/>
                <w:color w:val="000000"/>
              </w:rPr>
              <w:t>$3,</w:t>
            </w:r>
            <w:r w:rsidRPr="00BF4D0A" w:rsidR="008572D2">
              <w:rPr>
                <w:rFonts w:ascii="Times New Roman" w:hAnsi="Times New Roman" w:cs="Times New Roman"/>
                <w:color w:val="000000"/>
              </w:rPr>
              <w:t>733</w:t>
            </w:r>
          </w:p>
        </w:tc>
      </w:tr>
      <w:tr w:rsidRPr="00BF4D0A" w:rsidR="00200686" w:rsidTr="00B87FD9" w14:paraId="6000E844" w14:textId="77777777">
        <w:trPr>
          <w:trHeight w:val="285"/>
          <w:jc w:val="center"/>
        </w:trPr>
        <w:tc>
          <w:tcPr>
            <w:tcW w:w="3492" w:type="dxa"/>
            <w:vAlign w:val="center"/>
          </w:tcPr>
          <w:p w:rsidRPr="00BF4D0A" w:rsidR="00200686" w:rsidP="00B87FD9" w:rsidRDefault="00200686" w14:paraId="096001B4" w14:textId="77777777">
            <w:pPr>
              <w:spacing w:after="0" w:line="240" w:lineRule="auto"/>
              <w:ind w:left="112"/>
              <w:rPr>
                <w:rFonts w:ascii="Times New Roman" w:hAnsi="Times New Roman" w:cs="Times New Roman"/>
              </w:rPr>
            </w:pPr>
            <w:r w:rsidRPr="00BF4D0A">
              <w:rPr>
                <w:rFonts w:ascii="Times New Roman" w:hAnsi="Times New Roman" w:cs="Times New Roman"/>
              </w:rPr>
              <w:t>Complex 20+ FTEs</w:t>
            </w:r>
          </w:p>
        </w:tc>
        <w:tc>
          <w:tcPr>
            <w:tcW w:w="1170" w:type="dxa"/>
            <w:vAlign w:val="center"/>
          </w:tcPr>
          <w:p w:rsidRPr="00BF4D0A" w:rsidR="00200686" w:rsidP="00B87FD9" w:rsidRDefault="00200686" w14:paraId="432E1242" w14:textId="77777777">
            <w:pPr>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vAlign w:val="center"/>
          </w:tcPr>
          <w:p w:rsidRPr="00BF4D0A" w:rsidR="00200686" w:rsidP="00B87FD9" w:rsidRDefault="00200686" w14:paraId="597F4CD6" w14:textId="12D2E3DF">
            <w:pPr>
              <w:spacing w:after="0" w:line="240" w:lineRule="auto"/>
              <w:ind w:left="72"/>
              <w:jc w:val="center"/>
              <w:rPr>
                <w:rFonts w:ascii="Times New Roman" w:hAnsi="Times New Roman" w:cs="Times New Roman"/>
              </w:rPr>
            </w:pPr>
            <w:r w:rsidRPr="00BF4D0A">
              <w:rPr>
                <w:rFonts w:ascii="Times New Roman" w:hAnsi="Times New Roman" w:cs="Times New Roman"/>
                <w:color w:val="000000"/>
              </w:rPr>
              <w:t>$</w:t>
            </w:r>
            <w:r w:rsidRPr="00BF4D0A" w:rsidR="008572D2">
              <w:rPr>
                <w:rFonts w:ascii="Times New Roman" w:hAnsi="Times New Roman" w:cs="Times New Roman"/>
                <w:color w:val="000000"/>
              </w:rPr>
              <w:t>330</w:t>
            </w:r>
          </w:p>
        </w:tc>
        <w:tc>
          <w:tcPr>
            <w:tcW w:w="1080" w:type="dxa"/>
            <w:vAlign w:val="center"/>
          </w:tcPr>
          <w:p w:rsidRPr="00BF4D0A" w:rsidR="00200686" w:rsidP="00B87FD9" w:rsidRDefault="00200686" w14:paraId="03B385F0" w14:textId="77777777">
            <w:pPr>
              <w:spacing w:after="0" w:line="240" w:lineRule="auto"/>
              <w:ind w:left="98" w:right="69"/>
              <w:jc w:val="center"/>
              <w:rPr>
                <w:rFonts w:ascii="Times New Roman" w:hAnsi="Times New Roman" w:cs="Times New Roman"/>
              </w:rPr>
            </w:pPr>
            <w:r w:rsidRPr="00BF4D0A">
              <w:rPr>
                <w:rFonts w:ascii="Times New Roman" w:hAnsi="Times New Roman" w:cs="Times New Roman"/>
              </w:rPr>
              <w:t>35</w:t>
            </w:r>
          </w:p>
        </w:tc>
        <w:tc>
          <w:tcPr>
            <w:tcW w:w="1188" w:type="dxa"/>
            <w:vAlign w:val="center"/>
          </w:tcPr>
          <w:p w:rsidRPr="00BF4D0A" w:rsidR="00200686" w:rsidP="00B87FD9" w:rsidRDefault="008572D2" w14:paraId="1925F3A6" w14:textId="6D48154B">
            <w:pPr>
              <w:spacing w:after="0" w:line="240" w:lineRule="auto"/>
              <w:ind w:left="69" w:right="55"/>
              <w:jc w:val="center"/>
              <w:rPr>
                <w:rFonts w:ascii="Times New Roman" w:hAnsi="Times New Roman" w:cs="Times New Roman"/>
              </w:rPr>
            </w:pPr>
            <w:r w:rsidRPr="00BF4D0A">
              <w:rPr>
                <w:rFonts w:ascii="Times New Roman" w:hAnsi="Times New Roman" w:cs="Times New Roman"/>
                <w:color w:val="000000"/>
              </w:rPr>
              <w:t>$11,53</w:t>
            </w:r>
            <w:r w:rsidRPr="00BF4D0A" w:rsidR="00E15A42">
              <w:rPr>
                <w:rFonts w:ascii="Times New Roman" w:hAnsi="Times New Roman" w:cs="Times New Roman"/>
                <w:color w:val="000000"/>
              </w:rPr>
              <w:t>6</w:t>
            </w:r>
          </w:p>
        </w:tc>
      </w:tr>
      <w:bookmarkEnd w:id="76"/>
      <w:bookmarkEnd w:id="77"/>
      <w:tr w:rsidRPr="00BF4D0A" w:rsidR="00200686" w:rsidTr="00B87FD9" w14:paraId="522A01BA" w14:textId="77777777">
        <w:trPr>
          <w:trHeight w:val="285"/>
          <w:jc w:val="center"/>
        </w:trPr>
        <w:tc>
          <w:tcPr>
            <w:tcW w:w="3492" w:type="dxa"/>
            <w:vAlign w:val="center"/>
          </w:tcPr>
          <w:p w:rsidRPr="00BF4D0A" w:rsidR="00200686" w:rsidP="00B87FD9" w:rsidRDefault="00200686" w14:paraId="1DDB650D" w14:textId="77777777">
            <w:pPr>
              <w:spacing w:after="0" w:line="240" w:lineRule="auto"/>
              <w:ind w:left="112"/>
              <w:rPr>
                <w:rFonts w:ascii="Times New Roman" w:hAnsi="Times New Roman" w:cs="Times New Roman"/>
                <w:b/>
              </w:rPr>
            </w:pPr>
            <w:r w:rsidRPr="00BF4D0A">
              <w:rPr>
                <w:rFonts w:ascii="Times New Roman" w:hAnsi="Times New Roman" w:cs="Times New Roman"/>
                <w:b/>
              </w:rPr>
              <w:t>Total</w:t>
            </w:r>
          </w:p>
        </w:tc>
        <w:tc>
          <w:tcPr>
            <w:tcW w:w="1170" w:type="dxa"/>
            <w:vAlign w:val="center"/>
          </w:tcPr>
          <w:p w:rsidRPr="00BF4D0A" w:rsidR="00200686" w:rsidP="00B87FD9" w:rsidRDefault="00200686" w14:paraId="04C0703A" w14:textId="77777777">
            <w:pPr>
              <w:spacing w:after="0" w:line="240" w:lineRule="auto"/>
              <w:ind w:left="93" w:right="62"/>
              <w:jc w:val="center"/>
              <w:rPr>
                <w:rFonts w:ascii="Times New Roman" w:hAnsi="Times New Roman" w:cs="Times New Roman"/>
                <w:b/>
              </w:rPr>
            </w:pPr>
          </w:p>
        </w:tc>
        <w:tc>
          <w:tcPr>
            <w:tcW w:w="1062" w:type="dxa"/>
            <w:vAlign w:val="center"/>
          </w:tcPr>
          <w:p w:rsidRPr="00BF4D0A" w:rsidR="00200686" w:rsidP="00B87FD9" w:rsidRDefault="00200686" w14:paraId="659E2601" w14:textId="77777777">
            <w:pPr>
              <w:spacing w:after="0" w:line="240" w:lineRule="auto"/>
              <w:ind w:left="247"/>
              <w:jc w:val="center"/>
              <w:rPr>
                <w:rFonts w:ascii="Times New Roman" w:hAnsi="Times New Roman" w:cs="Times New Roman"/>
                <w:b/>
              </w:rPr>
            </w:pPr>
          </w:p>
        </w:tc>
        <w:tc>
          <w:tcPr>
            <w:tcW w:w="1080" w:type="dxa"/>
            <w:vAlign w:val="center"/>
          </w:tcPr>
          <w:p w:rsidRPr="00BF4D0A" w:rsidR="00200686" w:rsidP="00B87FD9" w:rsidRDefault="00200686" w14:paraId="7F24D265" w14:textId="77777777">
            <w:pPr>
              <w:spacing w:after="0" w:line="240" w:lineRule="auto"/>
              <w:ind w:left="98" w:right="69"/>
              <w:jc w:val="center"/>
              <w:rPr>
                <w:rFonts w:ascii="Times New Roman" w:hAnsi="Times New Roman" w:cs="Times New Roman"/>
                <w:b/>
              </w:rPr>
            </w:pPr>
            <w:r w:rsidRPr="00BF4D0A">
              <w:rPr>
                <w:rFonts w:ascii="Times New Roman" w:hAnsi="Times New Roman" w:cs="Times New Roman"/>
                <w:b/>
              </w:rPr>
              <w:t>3,975</w:t>
            </w:r>
          </w:p>
        </w:tc>
        <w:tc>
          <w:tcPr>
            <w:tcW w:w="1188" w:type="dxa"/>
            <w:vAlign w:val="center"/>
          </w:tcPr>
          <w:p w:rsidRPr="00BF4D0A" w:rsidR="00200686" w:rsidP="00B87FD9" w:rsidRDefault="008572D2" w14:paraId="42A86B52" w14:textId="6BF5ABEB">
            <w:pPr>
              <w:spacing w:after="0" w:line="240" w:lineRule="auto"/>
              <w:ind w:left="69" w:right="55"/>
              <w:jc w:val="center"/>
              <w:rPr>
                <w:rFonts w:ascii="Times New Roman" w:hAnsi="Times New Roman" w:cs="Times New Roman"/>
                <w:b/>
              </w:rPr>
            </w:pPr>
            <w:r w:rsidRPr="00BF4D0A">
              <w:rPr>
                <w:rFonts w:ascii="Times New Roman" w:hAnsi="Times New Roman" w:cs="Times New Roman"/>
                <w:b/>
                <w:color w:val="000000"/>
              </w:rPr>
              <w:t>$432,726</w:t>
            </w:r>
          </w:p>
        </w:tc>
      </w:tr>
      <w:tr w:rsidRPr="00BF4D0A" w:rsidR="00200686" w:rsidTr="00B87FD9" w14:paraId="4C938398" w14:textId="77777777">
        <w:trPr>
          <w:trHeight w:val="285"/>
          <w:jc w:val="center"/>
        </w:trPr>
        <w:tc>
          <w:tcPr>
            <w:tcW w:w="7992" w:type="dxa"/>
            <w:gridSpan w:val="5"/>
            <w:shd w:val="clear" w:color="auto" w:fill="F2F2F2"/>
            <w:vAlign w:val="center"/>
          </w:tcPr>
          <w:p w:rsidRPr="00BF4D0A" w:rsidR="00200686" w:rsidP="00B87FD9" w:rsidRDefault="00200686" w14:paraId="30912DB7" w14:textId="02FC49A2">
            <w:pPr>
              <w:spacing w:after="0" w:line="240" w:lineRule="auto"/>
              <w:ind w:right="79" w:firstLine="75"/>
              <w:rPr>
                <w:rFonts w:ascii="Times New Roman" w:hAnsi="Times New Roman" w:cs="Times New Roman"/>
                <w:b/>
              </w:rPr>
            </w:pPr>
            <w:r w:rsidRPr="00BF4D0A">
              <w:rPr>
                <w:rFonts w:ascii="Times New Roman" w:hAnsi="Times New Roman" w:cs="Times New Roman"/>
                <w:b/>
              </w:rPr>
              <w:t>P</w:t>
            </w:r>
            <w:r w:rsidRPr="00BF4D0A" w:rsidR="00202CF3">
              <w:rPr>
                <w:rFonts w:ascii="Times New Roman" w:hAnsi="Times New Roman" w:cs="Times New Roman"/>
                <w:b/>
              </w:rPr>
              <w:t xml:space="preserve">rogram </w:t>
            </w:r>
            <w:r w:rsidRPr="00BF4D0A">
              <w:rPr>
                <w:rFonts w:ascii="Times New Roman" w:hAnsi="Times New Roman" w:cs="Times New Roman"/>
                <w:b/>
              </w:rPr>
              <w:t xml:space="preserve">3 </w:t>
            </w:r>
            <w:r w:rsidR="005C1B6F">
              <w:rPr>
                <w:rFonts w:ascii="Times New Roman" w:hAnsi="Times New Roman" w:cs="Times New Roman"/>
                <w:b/>
              </w:rPr>
              <w:t>r</w:t>
            </w:r>
            <w:r w:rsidRPr="00BF4D0A">
              <w:rPr>
                <w:rFonts w:ascii="Times New Roman" w:hAnsi="Times New Roman" w:cs="Times New Roman"/>
                <w:b/>
              </w:rPr>
              <w:t xml:space="preserve">equirement to </w:t>
            </w:r>
            <w:r w:rsidR="005C1B6F">
              <w:rPr>
                <w:rFonts w:ascii="Times New Roman" w:hAnsi="Times New Roman" w:cs="Times New Roman"/>
                <w:b/>
              </w:rPr>
              <w:t>u</w:t>
            </w:r>
            <w:r w:rsidRPr="00BF4D0A">
              <w:rPr>
                <w:rFonts w:ascii="Times New Roman" w:hAnsi="Times New Roman" w:cs="Times New Roman"/>
                <w:b/>
              </w:rPr>
              <w:t xml:space="preserve">pdate </w:t>
            </w:r>
            <w:r w:rsidR="005C1B6F">
              <w:rPr>
                <w:rFonts w:ascii="Times New Roman" w:hAnsi="Times New Roman" w:cs="Times New Roman"/>
                <w:b/>
              </w:rPr>
              <w:t>current</w:t>
            </w:r>
            <w:r w:rsidRPr="00BF4D0A">
              <w:rPr>
                <w:rFonts w:ascii="Times New Roman" w:hAnsi="Times New Roman" w:cs="Times New Roman"/>
                <w:b/>
              </w:rPr>
              <w:t xml:space="preserve"> </w:t>
            </w:r>
            <w:r w:rsidRPr="00BF4D0A" w:rsidR="00354D92">
              <w:rPr>
                <w:rFonts w:ascii="Times New Roman" w:hAnsi="Times New Roman" w:cs="Times New Roman"/>
                <w:b/>
              </w:rPr>
              <w:t>employee participation plan</w:t>
            </w:r>
          </w:p>
        </w:tc>
      </w:tr>
      <w:tr w:rsidRPr="00BF4D0A" w:rsidR="00200686" w:rsidTr="00B87FD9" w14:paraId="514C7E1B" w14:textId="77777777">
        <w:trPr>
          <w:trHeight w:val="300"/>
          <w:jc w:val="center"/>
        </w:trPr>
        <w:tc>
          <w:tcPr>
            <w:tcW w:w="3492" w:type="dxa"/>
            <w:vAlign w:val="center"/>
          </w:tcPr>
          <w:p w:rsidRPr="00BF4D0A" w:rsidR="00200686" w:rsidP="00B87FD9" w:rsidRDefault="00200686" w14:paraId="522C4E50" w14:textId="77777777">
            <w:pPr>
              <w:spacing w:after="0" w:line="240" w:lineRule="auto"/>
              <w:ind w:left="112"/>
              <w:rPr>
                <w:rFonts w:ascii="Times New Roman" w:hAnsi="Times New Roman" w:cs="Times New Roman"/>
              </w:rPr>
            </w:pPr>
            <w:r w:rsidRPr="00BF4D0A">
              <w:rPr>
                <w:rFonts w:ascii="Times New Roman" w:hAnsi="Times New Roman" w:cs="Times New Roman"/>
              </w:rPr>
              <w:t>Simple</w:t>
            </w:r>
          </w:p>
        </w:tc>
        <w:tc>
          <w:tcPr>
            <w:tcW w:w="1170" w:type="dxa"/>
            <w:vAlign w:val="center"/>
          </w:tcPr>
          <w:p w:rsidRPr="00BF4D0A" w:rsidR="00200686" w:rsidP="00B87FD9" w:rsidRDefault="00200686" w14:paraId="08C522B7" w14:textId="77777777">
            <w:pPr>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vAlign w:val="center"/>
          </w:tcPr>
          <w:p w:rsidRPr="00BF4D0A" w:rsidR="00200686" w:rsidP="00B87FD9" w:rsidRDefault="00200686" w14:paraId="0DD17D2E" w14:textId="571DA0E6">
            <w:pPr>
              <w:spacing w:after="0" w:line="240" w:lineRule="auto"/>
              <w:ind w:left="247"/>
              <w:jc w:val="center"/>
              <w:rPr>
                <w:rFonts w:ascii="Times New Roman" w:hAnsi="Times New Roman" w:cs="Times New Roman"/>
              </w:rPr>
            </w:pPr>
            <w:r w:rsidRPr="00BF4D0A">
              <w:rPr>
                <w:rFonts w:ascii="Times New Roman" w:hAnsi="Times New Roman" w:cs="Times New Roman"/>
                <w:color w:val="000000"/>
              </w:rPr>
              <w:t>$</w:t>
            </w:r>
            <w:r w:rsidRPr="00BF4D0A" w:rsidR="00AC1150">
              <w:rPr>
                <w:rFonts w:ascii="Times New Roman" w:hAnsi="Times New Roman" w:cs="Times New Roman"/>
                <w:color w:val="000000"/>
              </w:rPr>
              <w:t>55</w:t>
            </w:r>
          </w:p>
        </w:tc>
        <w:tc>
          <w:tcPr>
            <w:tcW w:w="1080" w:type="dxa"/>
            <w:vAlign w:val="center"/>
          </w:tcPr>
          <w:p w:rsidRPr="00BF4D0A" w:rsidR="00200686" w:rsidP="00B87FD9" w:rsidRDefault="00200686" w14:paraId="38BC181E" w14:textId="77777777">
            <w:pPr>
              <w:spacing w:after="0" w:line="240" w:lineRule="auto"/>
              <w:ind w:left="98" w:right="69"/>
              <w:jc w:val="center"/>
              <w:rPr>
                <w:rFonts w:ascii="Times New Roman" w:hAnsi="Times New Roman" w:cs="Times New Roman"/>
              </w:rPr>
            </w:pPr>
            <w:r w:rsidRPr="00BF4D0A">
              <w:rPr>
                <w:rFonts w:ascii="Times New Roman" w:hAnsi="Times New Roman" w:cs="Times New Roman"/>
              </w:rPr>
              <w:t>5,578</w:t>
            </w:r>
          </w:p>
        </w:tc>
        <w:tc>
          <w:tcPr>
            <w:tcW w:w="1188" w:type="dxa"/>
            <w:vAlign w:val="center"/>
          </w:tcPr>
          <w:p w:rsidRPr="00BF4D0A" w:rsidR="00200686" w:rsidP="00B87FD9" w:rsidRDefault="00AC1150" w14:paraId="22F5F88A" w14:textId="48CC23EF">
            <w:pPr>
              <w:spacing w:after="0" w:line="240" w:lineRule="auto"/>
              <w:ind w:left="84" w:right="55"/>
              <w:jc w:val="center"/>
              <w:rPr>
                <w:rFonts w:ascii="Times New Roman" w:hAnsi="Times New Roman" w:cs="Times New Roman"/>
              </w:rPr>
            </w:pPr>
            <w:r w:rsidRPr="00BF4D0A">
              <w:rPr>
                <w:rFonts w:ascii="Times New Roman" w:hAnsi="Times New Roman" w:cs="Times New Roman"/>
                <w:color w:val="000000"/>
              </w:rPr>
              <w:t>$304,00</w:t>
            </w:r>
            <w:r w:rsidRPr="00BF4D0A" w:rsidR="00E15A42">
              <w:rPr>
                <w:rFonts w:ascii="Times New Roman" w:hAnsi="Times New Roman" w:cs="Times New Roman"/>
                <w:color w:val="000000"/>
              </w:rPr>
              <w:t>9</w:t>
            </w:r>
          </w:p>
        </w:tc>
      </w:tr>
      <w:tr w:rsidRPr="00BF4D0A" w:rsidR="00200686" w:rsidTr="00B87FD9" w14:paraId="194F0207" w14:textId="77777777">
        <w:trPr>
          <w:trHeight w:val="282"/>
          <w:jc w:val="center"/>
        </w:trPr>
        <w:tc>
          <w:tcPr>
            <w:tcW w:w="3492" w:type="dxa"/>
            <w:tcBorders>
              <w:bottom w:val="single" w:color="000000" w:sz="8" w:space="0"/>
            </w:tcBorders>
            <w:vAlign w:val="center"/>
          </w:tcPr>
          <w:p w:rsidRPr="00BF4D0A" w:rsidR="00200686" w:rsidP="00B87FD9" w:rsidRDefault="00200686" w14:paraId="7E8E9F95" w14:textId="77777777">
            <w:pPr>
              <w:spacing w:after="0" w:line="240" w:lineRule="auto"/>
              <w:ind w:left="112"/>
              <w:rPr>
                <w:rFonts w:ascii="Times New Roman" w:hAnsi="Times New Roman" w:cs="Times New Roman"/>
              </w:rPr>
            </w:pPr>
            <w:r w:rsidRPr="00BF4D0A">
              <w:rPr>
                <w:rFonts w:ascii="Times New Roman" w:hAnsi="Times New Roman" w:cs="Times New Roman"/>
              </w:rPr>
              <w:t>Complex</w:t>
            </w:r>
          </w:p>
        </w:tc>
        <w:tc>
          <w:tcPr>
            <w:tcW w:w="1170" w:type="dxa"/>
            <w:tcBorders>
              <w:bottom w:val="single" w:color="000000" w:sz="8" w:space="0"/>
            </w:tcBorders>
            <w:vAlign w:val="center"/>
          </w:tcPr>
          <w:p w:rsidRPr="00BF4D0A" w:rsidR="00200686" w:rsidP="00B87FD9" w:rsidRDefault="00200686" w14:paraId="408D05CC" w14:textId="77777777">
            <w:pPr>
              <w:spacing w:after="0" w:line="240" w:lineRule="auto"/>
              <w:ind w:left="93" w:right="62"/>
              <w:jc w:val="center"/>
              <w:rPr>
                <w:rFonts w:ascii="Times New Roman" w:hAnsi="Times New Roman" w:cs="Times New Roman"/>
              </w:rPr>
            </w:pPr>
            <w:r w:rsidRPr="00BF4D0A">
              <w:rPr>
                <w:rFonts w:ascii="Times New Roman" w:hAnsi="Times New Roman" w:cs="Times New Roman"/>
              </w:rPr>
              <w:t>1</w:t>
            </w:r>
          </w:p>
        </w:tc>
        <w:tc>
          <w:tcPr>
            <w:tcW w:w="1062" w:type="dxa"/>
            <w:tcBorders>
              <w:bottom w:val="single" w:color="000000" w:sz="8" w:space="0"/>
            </w:tcBorders>
            <w:vAlign w:val="center"/>
          </w:tcPr>
          <w:p w:rsidRPr="00BF4D0A" w:rsidR="00200686" w:rsidP="00B87FD9" w:rsidRDefault="00200686" w14:paraId="7D2447E2" w14:textId="26590581">
            <w:pPr>
              <w:spacing w:after="0" w:line="240" w:lineRule="auto"/>
              <w:ind w:left="292"/>
              <w:jc w:val="center"/>
              <w:rPr>
                <w:rFonts w:ascii="Times New Roman" w:hAnsi="Times New Roman" w:cs="Times New Roman"/>
              </w:rPr>
            </w:pPr>
            <w:r w:rsidRPr="00BF4D0A">
              <w:rPr>
                <w:rFonts w:ascii="Times New Roman" w:hAnsi="Times New Roman" w:cs="Times New Roman"/>
                <w:color w:val="000000"/>
              </w:rPr>
              <w:t>$</w:t>
            </w:r>
            <w:r w:rsidRPr="00BF4D0A" w:rsidR="00AC1150">
              <w:rPr>
                <w:rFonts w:ascii="Times New Roman" w:hAnsi="Times New Roman" w:cs="Times New Roman"/>
                <w:color w:val="000000"/>
              </w:rPr>
              <w:t>79</w:t>
            </w:r>
          </w:p>
        </w:tc>
        <w:tc>
          <w:tcPr>
            <w:tcW w:w="1080" w:type="dxa"/>
            <w:tcBorders>
              <w:bottom w:val="single" w:color="000000" w:sz="8" w:space="0"/>
            </w:tcBorders>
            <w:vAlign w:val="center"/>
          </w:tcPr>
          <w:p w:rsidRPr="00BF4D0A" w:rsidR="00200686" w:rsidP="00B87FD9" w:rsidRDefault="00200686" w14:paraId="73E6B511" w14:textId="77777777">
            <w:pPr>
              <w:spacing w:after="0" w:line="240" w:lineRule="auto"/>
              <w:ind w:left="98" w:right="69"/>
              <w:jc w:val="center"/>
              <w:rPr>
                <w:rFonts w:ascii="Times New Roman" w:hAnsi="Times New Roman" w:cs="Times New Roman"/>
              </w:rPr>
            </w:pPr>
            <w:r w:rsidRPr="00BF4D0A">
              <w:rPr>
                <w:rFonts w:ascii="Times New Roman" w:hAnsi="Times New Roman" w:cs="Times New Roman"/>
              </w:rPr>
              <w:t>1,527</w:t>
            </w:r>
          </w:p>
        </w:tc>
        <w:tc>
          <w:tcPr>
            <w:tcW w:w="1188" w:type="dxa"/>
            <w:tcBorders>
              <w:bottom w:val="single" w:color="000000" w:sz="8" w:space="0"/>
            </w:tcBorders>
            <w:vAlign w:val="center"/>
          </w:tcPr>
          <w:p w:rsidRPr="00BF4D0A" w:rsidR="00200686" w:rsidP="00B87FD9" w:rsidRDefault="00AC1150" w14:paraId="74BD32B3" w14:textId="1E7DA216">
            <w:pPr>
              <w:spacing w:after="0" w:line="240" w:lineRule="auto"/>
              <w:ind w:left="84" w:right="55"/>
              <w:jc w:val="center"/>
              <w:rPr>
                <w:rFonts w:ascii="Times New Roman" w:hAnsi="Times New Roman" w:cs="Times New Roman"/>
              </w:rPr>
            </w:pPr>
            <w:r w:rsidRPr="00BF4D0A">
              <w:rPr>
                <w:rFonts w:ascii="Times New Roman" w:hAnsi="Times New Roman" w:cs="Times New Roman"/>
                <w:color w:val="000000"/>
              </w:rPr>
              <w:t>$119,89</w:t>
            </w:r>
            <w:r w:rsidRPr="00BF4D0A" w:rsidR="00E15A42">
              <w:rPr>
                <w:rFonts w:ascii="Times New Roman" w:hAnsi="Times New Roman" w:cs="Times New Roman"/>
                <w:color w:val="000000"/>
              </w:rPr>
              <w:t>8</w:t>
            </w:r>
          </w:p>
        </w:tc>
      </w:tr>
      <w:tr w:rsidRPr="00BF4D0A" w:rsidR="00200686" w:rsidTr="00B87FD9" w14:paraId="7386FFCC" w14:textId="77777777">
        <w:trPr>
          <w:trHeight w:val="282"/>
          <w:jc w:val="center"/>
        </w:trPr>
        <w:tc>
          <w:tcPr>
            <w:tcW w:w="3492" w:type="dxa"/>
            <w:tcBorders>
              <w:bottom w:val="single" w:color="000000" w:sz="8" w:space="0"/>
            </w:tcBorders>
            <w:vAlign w:val="center"/>
          </w:tcPr>
          <w:p w:rsidRPr="00BF4D0A" w:rsidR="00200686" w:rsidP="00B87FD9" w:rsidRDefault="00200686" w14:paraId="070D89E8" w14:textId="77777777">
            <w:pPr>
              <w:spacing w:after="0" w:line="240" w:lineRule="auto"/>
              <w:ind w:left="112"/>
              <w:rPr>
                <w:rFonts w:ascii="Times New Roman" w:hAnsi="Times New Roman" w:cs="Times New Roman"/>
                <w:b/>
              </w:rPr>
            </w:pPr>
            <w:r w:rsidRPr="00BF4D0A">
              <w:rPr>
                <w:rFonts w:ascii="Times New Roman" w:hAnsi="Times New Roman" w:cs="Times New Roman"/>
                <w:b/>
              </w:rPr>
              <w:t>Total</w:t>
            </w:r>
          </w:p>
        </w:tc>
        <w:tc>
          <w:tcPr>
            <w:tcW w:w="1170" w:type="dxa"/>
            <w:tcBorders>
              <w:bottom w:val="single" w:color="000000" w:sz="8" w:space="0"/>
            </w:tcBorders>
            <w:vAlign w:val="center"/>
          </w:tcPr>
          <w:p w:rsidRPr="00BF4D0A" w:rsidR="00200686" w:rsidP="00B87FD9" w:rsidRDefault="00200686" w14:paraId="2D704813" w14:textId="77777777">
            <w:pPr>
              <w:spacing w:after="0" w:line="240" w:lineRule="auto"/>
              <w:ind w:left="93" w:right="62"/>
              <w:jc w:val="center"/>
              <w:rPr>
                <w:rFonts w:ascii="Times New Roman" w:hAnsi="Times New Roman" w:cs="Times New Roman"/>
                <w:b/>
              </w:rPr>
            </w:pPr>
          </w:p>
        </w:tc>
        <w:tc>
          <w:tcPr>
            <w:tcW w:w="1062" w:type="dxa"/>
            <w:tcBorders>
              <w:bottom w:val="single" w:color="000000" w:sz="8" w:space="0"/>
            </w:tcBorders>
            <w:vAlign w:val="center"/>
          </w:tcPr>
          <w:p w:rsidRPr="00BF4D0A" w:rsidR="00200686" w:rsidP="00B87FD9" w:rsidRDefault="00200686" w14:paraId="4789BC9F" w14:textId="77777777">
            <w:pPr>
              <w:spacing w:after="0" w:line="240" w:lineRule="auto"/>
              <w:ind w:left="292"/>
              <w:jc w:val="center"/>
              <w:rPr>
                <w:rFonts w:ascii="Times New Roman" w:hAnsi="Times New Roman" w:cs="Times New Roman"/>
                <w:b/>
              </w:rPr>
            </w:pPr>
          </w:p>
        </w:tc>
        <w:tc>
          <w:tcPr>
            <w:tcW w:w="1080" w:type="dxa"/>
            <w:tcBorders>
              <w:bottom w:val="single" w:color="000000" w:sz="8" w:space="0"/>
            </w:tcBorders>
            <w:vAlign w:val="center"/>
          </w:tcPr>
          <w:p w:rsidRPr="00BF4D0A" w:rsidR="00200686" w:rsidP="00B87FD9" w:rsidRDefault="00200686" w14:paraId="0A15F0B0" w14:textId="77777777">
            <w:pPr>
              <w:spacing w:after="0" w:line="240" w:lineRule="auto"/>
              <w:ind w:left="98" w:right="69"/>
              <w:jc w:val="center"/>
              <w:rPr>
                <w:rFonts w:ascii="Times New Roman" w:hAnsi="Times New Roman" w:cs="Times New Roman"/>
                <w:b/>
              </w:rPr>
            </w:pPr>
            <w:r w:rsidRPr="00BF4D0A">
              <w:rPr>
                <w:rFonts w:ascii="Times New Roman" w:hAnsi="Times New Roman" w:cs="Times New Roman"/>
                <w:b/>
              </w:rPr>
              <w:t>7,105</w:t>
            </w:r>
          </w:p>
        </w:tc>
        <w:tc>
          <w:tcPr>
            <w:tcW w:w="1188" w:type="dxa"/>
            <w:tcBorders>
              <w:bottom w:val="single" w:color="000000" w:sz="8" w:space="0"/>
            </w:tcBorders>
            <w:vAlign w:val="center"/>
          </w:tcPr>
          <w:p w:rsidRPr="00BF4D0A" w:rsidR="00200686" w:rsidP="00B87FD9" w:rsidRDefault="00AC1150" w14:paraId="06BF4A03" w14:textId="0E635564">
            <w:pPr>
              <w:spacing w:after="0" w:line="240" w:lineRule="auto"/>
              <w:ind w:left="84" w:right="55"/>
              <w:jc w:val="center"/>
              <w:rPr>
                <w:rFonts w:ascii="Times New Roman" w:hAnsi="Times New Roman" w:cs="Times New Roman"/>
                <w:b/>
              </w:rPr>
            </w:pPr>
            <w:r w:rsidRPr="00BF4D0A">
              <w:rPr>
                <w:rFonts w:ascii="Times New Roman" w:hAnsi="Times New Roman" w:cs="Times New Roman"/>
                <w:color w:val="000000"/>
              </w:rPr>
              <w:t>$423,906</w:t>
            </w:r>
          </w:p>
        </w:tc>
      </w:tr>
      <w:tr w:rsidRPr="00BF4D0A" w:rsidR="00200686" w:rsidTr="00B87FD9" w14:paraId="70759392" w14:textId="77777777">
        <w:trPr>
          <w:trHeight w:val="282"/>
          <w:jc w:val="center"/>
        </w:trPr>
        <w:tc>
          <w:tcPr>
            <w:tcW w:w="3492" w:type="dxa"/>
            <w:tcBorders>
              <w:top w:val="single" w:color="000000" w:sz="8" w:space="0"/>
            </w:tcBorders>
            <w:vAlign w:val="center"/>
          </w:tcPr>
          <w:p w:rsidRPr="00BF4D0A" w:rsidR="00200686" w:rsidP="00B87FD9" w:rsidRDefault="00200686" w14:paraId="1D10237B" w14:textId="77777777">
            <w:pPr>
              <w:keepNext/>
              <w:spacing w:after="0" w:line="240" w:lineRule="auto"/>
              <w:ind w:left="1318" w:right="177" w:hanging="1243"/>
              <w:jc w:val="center"/>
              <w:rPr>
                <w:rFonts w:ascii="Times New Roman" w:hAnsi="Times New Roman" w:cs="Times New Roman"/>
                <w:b/>
              </w:rPr>
            </w:pPr>
            <w:r w:rsidRPr="00BF4D0A">
              <w:rPr>
                <w:rFonts w:ascii="Times New Roman" w:hAnsi="Times New Roman" w:cs="Times New Roman"/>
                <w:b/>
              </w:rPr>
              <w:t>Grand Total</w:t>
            </w:r>
          </w:p>
        </w:tc>
        <w:tc>
          <w:tcPr>
            <w:tcW w:w="1170" w:type="dxa"/>
            <w:tcBorders>
              <w:top w:val="single" w:color="000000" w:sz="8" w:space="0"/>
            </w:tcBorders>
            <w:vAlign w:val="center"/>
          </w:tcPr>
          <w:p w:rsidRPr="00BF4D0A" w:rsidR="00200686" w:rsidP="00B87FD9" w:rsidRDefault="00200686" w14:paraId="0F2DEE98" w14:textId="77777777">
            <w:pPr>
              <w:keepNext/>
              <w:spacing w:after="0" w:line="240" w:lineRule="auto"/>
              <w:jc w:val="center"/>
              <w:rPr>
                <w:rFonts w:ascii="Times New Roman" w:hAnsi="Times New Roman" w:cs="Times New Roman"/>
              </w:rPr>
            </w:pPr>
          </w:p>
        </w:tc>
        <w:tc>
          <w:tcPr>
            <w:tcW w:w="1062" w:type="dxa"/>
            <w:tcBorders>
              <w:top w:val="single" w:color="000000" w:sz="8" w:space="0"/>
            </w:tcBorders>
            <w:vAlign w:val="center"/>
          </w:tcPr>
          <w:p w:rsidRPr="00BF4D0A" w:rsidR="00200686" w:rsidP="00B87FD9" w:rsidRDefault="00200686" w14:paraId="7026E694" w14:textId="77777777">
            <w:pPr>
              <w:keepNext/>
              <w:spacing w:after="0" w:line="240" w:lineRule="auto"/>
              <w:jc w:val="center"/>
              <w:rPr>
                <w:rFonts w:ascii="Times New Roman" w:hAnsi="Times New Roman" w:cs="Times New Roman"/>
              </w:rPr>
            </w:pPr>
          </w:p>
        </w:tc>
        <w:tc>
          <w:tcPr>
            <w:tcW w:w="1080" w:type="dxa"/>
            <w:tcBorders>
              <w:top w:val="single" w:color="000000" w:sz="8" w:space="0"/>
            </w:tcBorders>
            <w:vAlign w:val="center"/>
          </w:tcPr>
          <w:p w:rsidRPr="00BF4D0A" w:rsidR="00200686" w:rsidP="00B87FD9" w:rsidRDefault="00200686" w14:paraId="1F689FCC" w14:textId="77777777">
            <w:pPr>
              <w:keepNext/>
              <w:spacing w:after="0" w:line="240" w:lineRule="auto"/>
              <w:ind w:left="90" w:right="76"/>
              <w:jc w:val="center"/>
              <w:rPr>
                <w:rFonts w:ascii="Times New Roman" w:hAnsi="Times New Roman" w:cs="Times New Roman"/>
                <w:b/>
              </w:rPr>
            </w:pPr>
            <w:r w:rsidRPr="00BF4D0A">
              <w:rPr>
                <w:rFonts w:ascii="Times New Roman" w:hAnsi="Times New Roman" w:cs="Times New Roman"/>
                <w:b/>
              </w:rPr>
              <w:t>11,080</w:t>
            </w:r>
          </w:p>
        </w:tc>
        <w:tc>
          <w:tcPr>
            <w:tcW w:w="1188" w:type="dxa"/>
            <w:tcBorders>
              <w:top w:val="single" w:color="000000" w:sz="8" w:space="0"/>
            </w:tcBorders>
            <w:vAlign w:val="center"/>
          </w:tcPr>
          <w:p w:rsidRPr="00BF4D0A" w:rsidR="00200686" w:rsidP="00B87FD9" w:rsidRDefault="00E15A42" w14:paraId="0BC71B78" w14:textId="0C93981C">
            <w:pPr>
              <w:keepNext/>
              <w:spacing w:after="0" w:line="240" w:lineRule="auto"/>
              <w:ind w:right="55"/>
              <w:jc w:val="center"/>
              <w:rPr>
                <w:rFonts w:ascii="Times New Roman" w:hAnsi="Times New Roman" w:cs="Times New Roman"/>
                <w:b/>
              </w:rPr>
            </w:pPr>
            <w:r w:rsidRPr="00BF4D0A">
              <w:rPr>
                <w:rFonts w:ascii="Times New Roman" w:hAnsi="Times New Roman" w:cs="Times New Roman"/>
                <w:b/>
                <w:color w:val="000000"/>
              </w:rPr>
              <w:t>$856,633</w:t>
            </w:r>
          </w:p>
        </w:tc>
      </w:tr>
    </w:tbl>
    <w:p w:rsidRPr="00BF4D0A" w:rsidR="00200686" w:rsidP="00576F93" w:rsidRDefault="00200686" w14:paraId="14D8FA97" w14:textId="77777777">
      <w:pPr>
        <w:keepNext/>
        <w:spacing w:after="0" w:line="240" w:lineRule="auto"/>
        <w:ind w:left="640"/>
        <w:rPr>
          <w:rFonts w:ascii="Times New Roman" w:hAnsi="Times New Roman" w:cs="Times New Roman"/>
        </w:rPr>
      </w:pPr>
      <w:r w:rsidRPr="00BF4D0A">
        <w:rPr>
          <w:rFonts w:ascii="Times New Roman" w:hAnsi="Times New Roman" w:cs="Times New Roman"/>
          <w:w w:val="105"/>
          <w:position w:val="6"/>
        </w:rPr>
        <w:t>*</w:t>
      </w:r>
      <w:r w:rsidRPr="00BF4D0A">
        <w:rPr>
          <w:rFonts w:ascii="Times New Roman" w:hAnsi="Times New Roman" w:cs="Times New Roman"/>
          <w:w w:val="105"/>
        </w:rPr>
        <w:t>Totals may not sum due to rounding</w:t>
      </w:r>
      <w:r w:rsidRPr="00BF4D0A" w:rsidR="003D22EF">
        <w:rPr>
          <w:rFonts w:ascii="Times New Roman" w:hAnsi="Times New Roman" w:cs="Times New Roman"/>
          <w:w w:val="105"/>
        </w:rPr>
        <w:t>.</w:t>
      </w:r>
    </w:p>
    <w:p w:rsidR="00435210" w:rsidP="00CA3D57" w:rsidRDefault="00435210" w14:paraId="6B197400" w14:textId="34507C51">
      <w:pPr>
        <w:spacing w:after="0" w:line="240" w:lineRule="auto"/>
        <w:ind w:firstLine="360"/>
        <w:rPr>
          <w:rFonts w:ascii="Times New Roman" w:hAnsi="Times New Roman" w:cs="Times New Roman"/>
        </w:rPr>
      </w:pPr>
    </w:p>
    <w:p w:rsidRPr="00813745" w:rsidR="00C10DD0" w:rsidP="00813745" w:rsidRDefault="00C10DD0" w14:paraId="6424C077" w14:textId="17484EC7">
      <w:pPr>
        <w:spacing w:after="0" w:line="240" w:lineRule="auto"/>
        <w:rPr>
          <w:rFonts w:ascii="Times New Roman" w:hAnsi="Times New Roman" w:cs="Times New Roman"/>
          <w:i/>
          <w:iCs/>
        </w:rPr>
      </w:pPr>
      <w:bookmarkStart w:name="_Toc101350551" w:id="78"/>
      <w:bookmarkStart w:name="_Toc101350900" w:id="79"/>
      <w:bookmarkStart w:name="_Toc101351041" w:id="80"/>
      <w:bookmarkStart w:name="_Toc101351355" w:id="81"/>
      <w:r w:rsidRPr="00813745">
        <w:rPr>
          <w:rFonts w:ascii="Times New Roman" w:hAnsi="Times New Roman" w:cs="Times New Roman"/>
          <w:i/>
          <w:iCs/>
        </w:rPr>
        <w:t>Emergency Backup Power for Perimeter Monitors</w:t>
      </w:r>
      <w:bookmarkEnd w:id="78"/>
      <w:bookmarkEnd w:id="79"/>
      <w:bookmarkEnd w:id="80"/>
      <w:bookmarkEnd w:id="81"/>
    </w:p>
    <w:p w:rsidRPr="00142C57" w:rsidR="00C10DD0" w:rsidP="00813745" w:rsidRDefault="00C10DD0" w14:paraId="70F891AF" w14:textId="29A4E7CA">
      <w:pPr>
        <w:pStyle w:val="ListParagraph"/>
        <w:spacing w:after="0" w:line="240" w:lineRule="auto"/>
        <w:ind w:left="0" w:firstLine="360"/>
        <w:rPr>
          <w:rFonts w:ascii="Times New Roman" w:hAnsi="Times New Roman" w:cs="Times New Roman"/>
        </w:rPr>
      </w:pPr>
      <w:r w:rsidRPr="00142C57">
        <w:rPr>
          <w:rFonts w:ascii="Times New Roman" w:hAnsi="Times New Roman" w:cs="Times New Roman"/>
        </w:rPr>
        <w:tab/>
        <w:t xml:space="preserve">The proposed rule’s backup power provision would require facilities with processes that have perimeter monitors and have identified power loss as a major hazard to implement emergency backup power for their perimeter monitors. Among these facilities, those that have not yet implemented emergency backup power will incur a cost to purchase and install a backup generator for their perimeter monitors. EPA assumes the life of the backup generator to be </w:t>
      </w:r>
      <w:r w:rsidR="00B44C88">
        <w:rPr>
          <w:rFonts w:ascii="Times New Roman" w:hAnsi="Times New Roman" w:cs="Times New Roman"/>
        </w:rPr>
        <w:t xml:space="preserve">longer than the </w:t>
      </w:r>
      <w:proofErr w:type="gramStart"/>
      <w:r w:rsidR="00B44C88">
        <w:rPr>
          <w:rFonts w:ascii="Times New Roman" w:hAnsi="Times New Roman" w:cs="Times New Roman"/>
        </w:rPr>
        <w:t>10 year</w:t>
      </w:r>
      <w:proofErr w:type="gramEnd"/>
      <w:r w:rsidR="00B44C88">
        <w:rPr>
          <w:rFonts w:ascii="Times New Roman" w:hAnsi="Times New Roman" w:cs="Times New Roman"/>
        </w:rPr>
        <w:t xml:space="preserve"> time frame of analysis. EPA makes the conservative assumption that facilities will pay for the backup generator in a lump</w:t>
      </w:r>
      <w:r w:rsidR="00EB042B">
        <w:rPr>
          <w:rFonts w:ascii="Times New Roman" w:hAnsi="Times New Roman" w:cs="Times New Roman"/>
        </w:rPr>
        <w:t xml:space="preserve"> </w:t>
      </w:r>
      <w:r w:rsidR="00B44C88">
        <w:rPr>
          <w:rFonts w:ascii="Times New Roman" w:hAnsi="Times New Roman" w:cs="Times New Roman"/>
        </w:rPr>
        <w:t>sum in year 1</w:t>
      </w:r>
      <w:r w:rsidRPr="00142C57" w:rsidDel="00B031A2">
        <w:rPr>
          <w:rFonts w:ascii="Times New Roman" w:hAnsi="Times New Roman" w:cs="Times New Roman"/>
        </w:rPr>
        <w:t>.</w:t>
      </w:r>
      <w:r w:rsidRPr="00142C57">
        <w:rPr>
          <w:rFonts w:ascii="Times New Roman" w:hAnsi="Times New Roman" w:cs="Times New Roman"/>
        </w:rPr>
        <w:t xml:space="preserve"> Exhibit 5-</w:t>
      </w:r>
      <w:r>
        <w:rPr>
          <w:rFonts w:ascii="Times New Roman" w:hAnsi="Times New Roman" w:cs="Times New Roman"/>
        </w:rPr>
        <w:t>6</w:t>
      </w:r>
      <w:r w:rsidRPr="00142C57">
        <w:rPr>
          <w:rFonts w:ascii="Times New Roman" w:hAnsi="Times New Roman" w:cs="Times New Roman"/>
        </w:rPr>
        <w:t xml:space="preserve"> presents the costs for the </w:t>
      </w:r>
      <w:r w:rsidRPr="00142C57">
        <w:rPr>
          <w:rFonts w:ascii="Times New Roman" w:hAnsi="Times New Roman" w:cs="Times New Roman"/>
        </w:rPr>
        <w:lastRenderedPageBreak/>
        <w:t>provision.</w:t>
      </w:r>
      <w:r>
        <w:br/>
      </w:r>
    </w:p>
    <w:p w:rsidR="00C10DD0" w:rsidP="00C10DD0" w:rsidRDefault="00C10DD0" w14:paraId="0AF9DB77" w14:textId="53B55AF6">
      <w:pPr>
        <w:pStyle w:val="Caption"/>
        <w:spacing w:after="0"/>
        <w:ind w:left="1080"/>
        <w:jc w:val="center"/>
        <w:rPr>
          <w:rFonts w:ascii="Times New Roman" w:hAnsi="Times New Roman" w:cs="Times New Roman"/>
          <w:b/>
          <w:bCs/>
          <w:i w:val="0"/>
          <w:iCs w:val="0"/>
          <w:color w:val="auto"/>
          <w:sz w:val="22"/>
          <w:szCs w:val="22"/>
        </w:rPr>
      </w:pPr>
      <w:r w:rsidRPr="00576F93">
        <w:rPr>
          <w:rFonts w:ascii="Times New Roman" w:hAnsi="Times New Roman" w:cs="Times New Roman"/>
          <w:b/>
          <w:bCs/>
          <w:i w:val="0"/>
          <w:iCs w:val="0"/>
          <w:color w:val="auto"/>
          <w:sz w:val="22"/>
          <w:szCs w:val="22"/>
        </w:rPr>
        <w:t>Exhibit 5-</w:t>
      </w:r>
      <w:r w:rsidR="00464BAA">
        <w:rPr>
          <w:rFonts w:ascii="Times New Roman" w:hAnsi="Times New Roman" w:cs="Times New Roman"/>
          <w:b/>
          <w:bCs/>
          <w:i w:val="0"/>
          <w:iCs w:val="0"/>
          <w:color w:val="auto"/>
          <w:sz w:val="22"/>
          <w:szCs w:val="22"/>
        </w:rPr>
        <w:t>6</w:t>
      </w:r>
      <w:r w:rsidRPr="00576F93">
        <w:rPr>
          <w:rFonts w:ascii="Times New Roman" w:hAnsi="Times New Roman" w:cs="Times New Roman"/>
          <w:b/>
          <w:bCs/>
          <w:i w:val="0"/>
          <w:iCs w:val="0"/>
          <w:color w:val="auto"/>
          <w:sz w:val="22"/>
          <w:szCs w:val="22"/>
        </w:rPr>
        <w:t xml:space="preserve">: Total Undiscounted Costs for Backup Generator for Perimeter Monitors </w:t>
      </w:r>
    </w:p>
    <w:p w:rsidR="00C10DD0" w:rsidP="00C10DD0" w:rsidRDefault="00C10DD0" w14:paraId="2E65257F" w14:textId="77777777">
      <w:pPr>
        <w:pStyle w:val="Caption"/>
        <w:spacing w:after="0"/>
        <w:ind w:left="1080"/>
        <w:jc w:val="center"/>
        <w:rPr>
          <w:rFonts w:ascii="Times New Roman" w:hAnsi="Times New Roman" w:cs="Times New Roman"/>
          <w:b/>
          <w:bCs/>
          <w:i w:val="0"/>
          <w:iCs w:val="0"/>
          <w:color w:val="auto"/>
          <w:sz w:val="22"/>
          <w:szCs w:val="22"/>
        </w:rPr>
      </w:pPr>
      <w:r w:rsidRPr="00576F93">
        <w:rPr>
          <w:rFonts w:ascii="Times New Roman" w:hAnsi="Times New Roman" w:cs="Times New Roman"/>
          <w:b/>
          <w:bCs/>
          <w:i w:val="0"/>
          <w:iCs w:val="0"/>
          <w:color w:val="auto"/>
          <w:sz w:val="22"/>
          <w:szCs w:val="22"/>
        </w:rPr>
        <w:t xml:space="preserve">at Facilities with a Process that has a Perimeter Monitor and Power Loss Hazard </w:t>
      </w:r>
    </w:p>
    <w:p w:rsidRPr="00576F93" w:rsidR="00C10DD0" w:rsidP="00C10DD0" w:rsidRDefault="00C10DD0" w14:paraId="795C34A0" w14:textId="77777777">
      <w:pPr>
        <w:pStyle w:val="Caption"/>
        <w:spacing w:after="120"/>
        <w:ind w:left="108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without</w:t>
      </w:r>
      <w:r w:rsidRPr="00576F93">
        <w:rPr>
          <w:rFonts w:ascii="Times New Roman" w:hAnsi="Times New Roman" w:cs="Times New Roman"/>
          <w:b/>
          <w:bCs/>
          <w:i w:val="0"/>
          <w:iCs w:val="0"/>
          <w:color w:val="auto"/>
          <w:sz w:val="22"/>
          <w:szCs w:val="22"/>
        </w:rPr>
        <w:t xml:space="preserve"> Backup Power (2020 Dollars).</w:t>
      </w:r>
    </w:p>
    <w:tbl>
      <w:tblPr>
        <w:tblW w:w="53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20"/>
        <w:gridCol w:w="1440"/>
        <w:gridCol w:w="1170"/>
        <w:gridCol w:w="1080"/>
      </w:tblGrid>
      <w:tr w:rsidRPr="00BF4D0A" w:rsidR="00CE474F" w:rsidTr="003109F9" w14:paraId="5BB7D2F6" w14:textId="77777777">
        <w:trPr>
          <w:trHeight w:val="537"/>
          <w:jc w:val="center"/>
        </w:trPr>
        <w:tc>
          <w:tcPr>
            <w:tcW w:w="1620" w:type="dxa"/>
            <w:tcBorders>
              <w:bottom w:val="single" w:color="000000" w:sz="8" w:space="0"/>
            </w:tcBorders>
            <w:shd w:val="clear" w:color="auto" w:fill="DADADA"/>
            <w:vAlign w:val="center"/>
          </w:tcPr>
          <w:p w:rsidRPr="00576F93" w:rsidR="00CE474F" w:rsidP="00777F2C" w:rsidRDefault="00CE474F" w14:paraId="615BE6DE" w14:textId="77777777">
            <w:pPr>
              <w:keepNext/>
              <w:spacing w:after="0" w:line="240" w:lineRule="auto"/>
              <w:ind w:left="1345" w:right="78" w:hanging="1242"/>
              <w:jc w:val="center"/>
              <w:rPr>
                <w:rFonts w:ascii="Times New Roman" w:hAnsi="Times New Roman" w:cs="Times New Roman"/>
                <w:b/>
                <w:sz w:val="20"/>
                <w:szCs w:val="20"/>
              </w:rPr>
            </w:pPr>
            <w:r w:rsidRPr="00576F93">
              <w:rPr>
                <w:rFonts w:ascii="Times New Roman" w:hAnsi="Times New Roman" w:cs="Times New Roman"/>
                <w:b/>
                <w:sz w:val="20"/>
                <w:szCs w:val="20"/>
              </w:rPr>
              <w:t>Facility Type</w:t>
            </w:r>
          </w:p>
        </w:tc>
        <w:tc>
          <w:tcPr>
            <w:tcW w:w="1440" w:type="dxa"/>
            <w:tcBorders>
              <w:bottom w:val="single" w:color="000000" w:sz="8" w:space="0"/>
            </w:tcBorders>
            <w:shd w:val="clear" w:color="auto" w:fill="DADADA"/>
            <w:vAlign w:val="center"/>
          </w:tcPr>
          <w:p w:rsidRPr="00576F93" w:rsidR="00CE474F" w:rsidP="00777F2C" w:rsidRDefault="00CE474F" w14:paraId="18285440" w14:textId="77777777">
            <w:pPr>
              <w:keepNext/>
              <w:spacing w:after="0" w:line="240" w:lineRule="auto"/>
              <w:ind w:left="85"/>
              <w:jc w:val="center"/>
              <w:rPr>
                <w:rFonts w:ascii="Times New Roman" w:hAnsi="Times New Roman" w:cs="Times New Roman"/>
                <w:b/>
                <w:sz w:val="20"/>
                <w:szCs w:val="20"/>
              </w:rPr>
            </w:pPr>
            <w:r w:rsidRPr="00576F93">
              <w:rPr>
                <w:rFonts w:ascii="Times New Roman" w:hAnsi="Times New Roman" w:cs="Times New Roman"/>
                <w:b/>
                <w:sz w:val="20"/>
                <w:szCs w:val="20"/>
              </w:rPr>
              <w:t>Unit Cost</w:t>
            </w:r>
          </w:p>
        </w:tc>
        <w:tc>
          <w:tcPr>
            <w:tcW w:w="1170" w:type="dxa"/>
            <w:tcBorders>
              <w:bottom w:val="single" w:color="000000" w:sz="8" w:space="0"/>
            </w:tcBorders>
            <w:shd w:val="clear" w:color="auto" w:fill="DADADA"/>
            <w:vAlign w:val="center"/>
          </w:tcPr>
          <w:p w:rsidRPr="00576F93" w:rsidR="00CE474F" w:rsidP="00777F2C" w:rsidRDefault="00CE474F" w14:paraId="5E34D58B" w14:textId="77777777">
            <w:pPr>
              <w:keepNext/>
              <w:spacing w:after="0" w:line="240" w:lineRule="auto"/>
              <w:ind w:left="98" w:right="76"/>
              <w:jc w:val="center"/>
              <w:rPr>
                <w:rFonts w:ascii="Times New Roman" w:hAnsi="Times New Roman" w:cs="Times New Roman"/>
                <w:b/>
                <w:sz w:val="20"/>
                <w:szCs w:val="20"/>
              </w:rPr>
            </w:pPr>
            <w:r w:rsidRPr="00576F93">
              <w:rPr>
                <w:rFonts w:ascii="Times New Roman" w:hAnsi="Times New Roman" w:cs="Times New Roman"/>
                <w:b/>
                <w:sz w:val="20"/>
                <w:szCs w:val="20"/>
              </w:rPr>
              <w:t>Facilities</w:t>
            </w:r>
          </w:p>
        </w:tc>
        <w:tc>
          <w:tcPr>
            <w:tcW w:w="1080" w:type="dxa"/>
            <w:tcBorders>
              <w:bottom w:val="single" w:color="000000" w:sz="8" w:space="0"/>
            </w:tcBorders>
            <w:shd w:val="clear" w:color="auto" w:fill="DADADA"/>
            <w:vAlign w:val="center"/>
          </w:tcPr>
          <w:p w:rsidRPr="00576F93" w:rsidR="00CE474F" w:rsidP="00777F2C" w:rsidRDefault="00CE474F" w14:paraId="2BF11B7A" w14:textId="4C64BC8F">
            <w:pPr>
              <w:keepNext/>
              <w:spacing w:after="0" w:line="240" w:lineRule="auto"/>
              <w:ind w:left="91" w:right="55"/>
              <w:jc w:val="center"/>
              <w:rPr>
                <w:rFonts w:ascii="Times New Roman" w:hAnsi="Times New Roman" w:cs="Times New Roman"/>
                <w:b/>
                <w:sz w:val="20"/>
                <w:szCs w:val="20"/>
              </w:rPr>
            </w:pPr>
            <w:r w:rsidRPr="00576F93">
              <w:rPr>
                <w:rFonts w:ascii="Times New Roman" w:hAnsi="Times New Roman" w:cs="Times New Roman"/>
                <w:b/>
                <w:sz w:val="20"/>
                <w:szCs w:val="20"/>
              </w:rPr>
              <w:t>Total</w:t>
            </w:r>
            <w:r>
              <w:rPr>
                <w:rFonts w:ascii="Times New Roman" w:hAnsi="Times New Roman" w:cs="Times New Roman"/>
                <w:b/>
                <w:sz w:val="20"/>
                <w:szCs w:val="20"/>
              </w:rPr>
              <w:t xml:space="preserve"> </w:t>
            </w:r>
            <w:r w:rsidRPr="00576F93">
              <w:rPr>
                <w:rFonts w:ascii="Times New Roman" w:hAnsi="Times New Roman" w:cs="Times New Roman"/>
                <w:b/>
                <w:sz w:val="20"/>
                <w:szCs w:val="20"/>
              </w:rPr>
              <w:t>Cost</w:t>
            </w:r>
            <w:r>
              <w:rPr>
                <w:rFonts w:ascii="Times New Roman" w:hAnsi="Times New Roman" w:cs="Times New Roman"/>
                <w:b/>
                <w:sz w:val="20"/>
                <w:szCs w:val="20"/>
              </w:rPr>
              <w:t xml:space="preserve"> (incurred in Year 1)</w:t>
            </w:r>
          </w:p>
        </w:tc>
      </w:tr>
      <w:tr w:rsidRPr="00BF4D0A" w:rsidR="00CE474F" w:rsidTr="003109F9" w14:paraId="495D6701" w14:textId="77777777">
        <w:trPr>
          <w:trHeight w:val="285"/>
          <w:jc w:val="center"/>
        </w:trPr>
        <w:tc>
          <w:tcPr>
            <w:tcW w:w="1620" w:type="dxa"/>
            <w:vAlign w:val="center"/>
          </w:tcPr>
          <w:p w:rsidRPr="00576F93" w:rsidR="00CE474F" w:rsidP="00777F2C" w:rsidRDefault="00CE474F" w14:paraId="362517B0" w14:textId="77777777">
            <w:pPr>
              <w:keepNext/>
              <w:spacing w:after="0" w:line="240" w:lineRule="auto"/>
              <w:ind w:left="112"/>
              <w:jc w:val="center"/>
              <w:rPr>
                <w:rFonts w:ascii="Times New Roman" w:hAnsi="Times New Roman" w:cs="Times New Roman"/>
                <w:b/>
                <w:sz w:val="20"/>
                <w:szCs w:val="20"/>
              </w:rPr>
            </w:pPr>
            <w:r w:rsidRPr="00576F93">
              <w:rPr>
                <w:rFonts w:ascii="Times New Roman" w:hAnsi="Times New Roman" w:cs="Times New Roman"/>
                <w:b/>
                <w:sz w:val="20"/>
                <w:szCs w:val="20"/>
              </w:rPr>
              <w:t>Total</w:t>
            </w:r>
          </w:p>
        </w:tc>
        <w:tc>
          <w:tcPr>
            <w:tcW w:w="1440" w:type="dxa"/>
            <w:vAlign w:val="center"/>
          </w:tcPr>
          <w:p w:rsidRPr="00576F93" w:rsidR="00CE474F" w:rsidP="00777F2C" w:rsidRDefault="00CE474F" w14:paraId="54D5B7AF" w14:textId="77777777">
            <w:pPr>
              <w:keepNext/>
              <w:spacing w:after="0" w:line="240" w:lineRule="auto"/>
              <w:ind w:left="247"/>
              <w:jc w:val="center"/>
              <w:rPr>
                <w:rFonts w:ascii="Times New Roman" w:hAnsi="Times New Roman" w:cs="Times New Roman"/>
                <w:sz w:val="20"/>
                <w:szCs w:val="20"/>
              </w:rPr>
            </w:pPr>
            <w:r w:rsidRPr="00576F93">
              <w:rPr>
                <w:rFonts w:ascii="Times New Roman" w:hAnsi="Times New Roman" w:cs="Times New Roman"/>
                <w:sz w:val="20"/>
                <w:szCs w:val="20"/>
              </w:rPr>
              <w:t>$1,000</w:t>
            </w:r>
          </w:p>
        </w:tc>
        <w:tc>
          <w:tcPr>
            <w:tcW w:w="1170" w:type="dxa"/>
            <w:vAlign w:val="center"/>
          </w:tcPr>
          <w:p w:rsidRPr="00576F93" w:rsidR="00CE474F" w:rsidP="00777F2C" w:rsidRDefault="00CE474F" w14:paraId="25F4A678" w14:textId="77777777">
            <w:pPr>
              <w:keepNext/>
              <w:spacing w:after="0" w:line="240" w:lineRule="auto"/>
              <w:ind w:left="98" w:right="69"/>
              <w:jc w:val="center"/>
              <w:rPr>
                <w:rFonts w:ascii="Times New Roman" w:hAnsi="Times New Roman" w:cs="Times New Roman"/>
                <w:sz w:val="20"/>
                <w:szCs w:val="20"/>
              </w:rPr>
            </w:pPr>
            <w:r w:rsidRPr="00576F93">
              <w:rPr>
                <w:rFonts w:ascii="Times New Roman" w:hAnsi="Times New Roman" w:cs="Times New Roman"/>
                <w:sz w:val="20"/>
                <w:szCs w:val="20"/>
              </w:rPr>
              <w:t>392</w:t>
            </w:r>
          </w:p>
        </w:tc>
        <w:tc>
          <w:tcPr>
            <w:tcW w:w="1080" w:type="dxa"/>
            <w:vAlign w:val="center"/>
          </w:tcPr>
          <w:p w:rsidRPr="00576F93" w:rsidR="00CE474F" w:rsidP="00777F2C" w:rsidRDefault="00CE474F" w14:paraId="35A300AB" w14:textId="563E99D9">
            <w:pPr>
              <w:keepNext/>
              <w:spacing w:after="0" w:line="240" w:lineRule="auto"/>
              <w:ind w:left="69" w:right="55"/>
              <w:jc w:val="center"/>
              <w:rPr>
                <w:rFonts w:ascii="Times New Roman" w:hAnsi="Times New Roman" w:cs="Times New Roman"/>
                <w:sz w:val="20"/>
                <w:szCs w:val="20"/>
              </w:rPr>
            </w:pPr>
            <w:r w:rsidRPr="00576F93">
              <w:rPr>
                <w:rFonts w:ascii="Times New Roman" w:hAnsi="Times New Roman" w:cs="Times New Roman"/>
                <w:sz w:val="20"/>
                <w:szCs w:val="20"/>
              </w:rPr>
              <w:t>$</w:t>
            </w:r>
            <w:r>
              <w:rPr>
                <w:rFonts w:ascii="Times New Roman" w:hAnsi="Times New Roman" w:cs="Times New Roman"/>
                <w:sz w:val="20"/>
                <w:szCs w:val="20"/>
              </w:rPr>
              <w:t>392,0</w:t>
            </w:r>
            <w:r w:rsidRPr="00576F93">
              <w:rPr>
                <w:rFonts w:ascii="Times New Roman" w:hAnsi="Times New Roman" w:cs="Times New Roman"/>
                <w:sz w:val="20"/>
                <w:szCs w:val="20"/>
              </w:rPr>
              <w:t>00</w:t>
            </w:r>
          </w:p>
        </w:tc>
      </w:tr>
    </w:tbl>
    <w:p w:rsidRPr="00BF4D0A" w:rsidR="00C10DD0" w:rsidP="00D21960" w:rsidRDefault="00C10DD0" w14:paraId="7FE02B64" w14:textId="77777777">
      <w:pPr>
        <w:spacing w:after="0" w:line="240" w:lineRule="auto"/>
        <w:rPr>
          <w:rFonts w:ascii="Times New Roman" w:hAnsi="Times New Roman" w:cs="Times New Roman"/>
        </w:rPr>
      </w:pPr>
    </w:p>
    <w:p w:rsidRPr="00142C57" w:rsidR="00142C57" w:rsidP="00813745" w:rsidRDefault="008F56A0" w14:paraId="47738536" w14:textId="3D6DA5ED">
      <w:pPr>
        <w:pStyle w:val="Heading2"/>
      </w:pPr>
      <w:bookmarkStart w:name="5.4__Emergency_Response_Preparedness_Req" w:id="82"/>
      <w:bookmarkStart w:name="_bookmark78" w:id="83"/>
      <w:bookmarkStart w:name="_Toc98856223" w:id="84"/>
      <w:bookmarkStart w:name="_Toc110502754" w:id="85"/>
      <w:bookmarkEnd w:id="82"/>
      <w:bookmarkEnd w:id="83"/>
      <w:r>
        <w:t>5.4 E</w:t>
      </w:r>
      <w:r w:rsidRPr="000654A0" w:rsidR="00435210">
        <w:t>mergency Response</w:t>
      </w:r>
      <w:bookmarkEnd w:id="84"/>
      <w:bookmarkEnd w:id="85"/>
    </w:p>
    <w:p w:rsidRPr="001B544E" w:rsidR="00435210" w:rsidP="00576F93" w:rsidRDefault="00200686" w14:paraId="45EFE45E" w14:textId="21674AA7">
      <w:pPr>
        <w:spacing w:after="0" w:line="240" w:lineRule="auto"/>
        <w:rPr>
          <w:rFonts w:ascii="Times New Roman" w:hAnsi="Times New Roman" w:cs="Times New Roman"/>
          <w:bCs/>
          <w:i/>
          <w:iCs/>
          <w:lang w:bidi="en-US"/>
        </w:rPr>
      </w:pPr>
      <w:bookmarkStart w:name="5.4.1__Emergency_Response_Program_Coordi" w:id="86"/>
      <w:bookmarkEnd w:id="86"/>
      <w:r w:rsidRPr="001B544E">
        <w:rPr>
          <w:rFonts w:ascii="Times New Roman" w:hAnsi="Times New Roman" w:cs="Times New Roman"/>
          <w:bCs/>
          <w:i/>
          <w:iCs/>
          <w:lang w:bidi="en-US"/>
        </w:rPr>
        <w:t xml:space="preserve">Community Notification </w:t>
      </w:r>
      <w:r w:rsidR="002B2801">
        <w:rPr>
          <w:rFonts w:ascii="Times New Roman" w:hAnsi="Times New Roman" w:cs="Times New Roman"/>
          <w:bCs/>
          <w:i/>
          <w:iCs/>
          <w:lang w:bidi="en-US"/>
        </w:rPr>
        <w:t>of RMP Accidents</w:t>
      </w:r>
    </w:p>
    <w:p w:rsidRPr="00BF4D0A" w:rsidR="00435210" w:rsidP="00576F93" w:rsidRDefault="00E235AD" w14:paraId="4E0E26D8" w14:textId="20E75F22">
      <w:pPr>
        <w:spacing w:after="0" w:line="240" w:lineRule="auto"/>
        <w:ind w:right="338" w:firstLine="360"/>
        <w:rPr>
          <w:rFonts w:ascii="Times New Roman" w:hAnsi="Times New Roman" w:cs="Times New Roman"/>
        </w:rPr>
      </w:pPr>
      <w:r>
        <w:rPr>
          <w:rFonts w:ascii="Times New Roman" w:hAnsi="Times New Roman" w:cs="Times New Roman"/>
        </w:rPr>
        <w:tab/>
      </w:r>
      <w:r w:rsidRPr="00BF4D0A" w:rsidR="00D9245C">
        <w:rPr>
          <w:rFonts w:ascii="Times New Roman" w:hAnsi="Times New Roman" w:cs="Times New Roman"/>
        </w:rPr>
        <w:t xml:space="preserve">The RMP rule currently requires </w:t>
      </w:r>
      <w:r w:rsidRPr="00BF4D0A" w:rsidR="005D66EF">
        <w:rPr>
          <w:rFonts w:ascii="Times New Roman" w:hAnsi="Times New Roman" w:cs="Times New Roman"/>
        </w:rPr>
        <w:t xml:space="preserve">only </w:t>
      </w:r>
      <w:r w:rsidRPr="00BF4D0A" w:rsidR="00D9245C">
        <w:rPr>
          <w:rFonts w:ascii="Times New Roman" w:hAnsi="Times New Roman" w:cs="Times New Roman"/>
        </w:rPr>
        <w:t xml:space="preserve">responding </w:t>
      </w:r>
      <w:r w:rsidRPr="00BF4D0A" w:rsidR="00994579">
        <w:rPr>
          <w:rFonts w:ascii="Times New Roman" w:hAnsi="Times New Roman" w:cs="Times New Roman"/>
        </w:rPr>
        <w:t xml:space="preserve">Program 2 and 3 </w:t>
      </w:r>
      <w:r w:rsidRPr="00BF4D0A" w:rsidR="00D9245C">
        <w:rPr>
          <w:rFonts w:ascii="Times New Roman" w:hAnsi="Times New Roman" w:cs="Times New Roman"/>
        </w:rPr>
        <w:t xml:space="preserve">facilities to have procedures in place for informing the public and the appropriate Federal, State, and </w:t>
      </w:r>
      <w:r w:rsidRPr="000401F5" w:rsidR="00D9245C">
        <w:rPr>
          <w:rFonts w:ascii="Times New Roman" w:hAnsi="Times New Roman" w:cs="Times New Roman"/>
        </w:rPr>
        <w:t xml:space="preserve">local emergency response agencies about accidental releases. </w:t>
      </w:r>
      <w:r w:rsidRPr="000401F5" w:rsidR="00200686">
        <w:rPr>
          <w:rFonts w:ascii="Times New Roman" w:hAnsi="Times New Roman" w:cs="Times New Roman"/>
        </w:rPr>
        <w:t xml:space="preserve">The proposed rule would require </w:t>
      </w:r>
      <w:r w:rsidRPr="000401F5" w:rsidR="00D62DEA">
        <w:rPr>
          <w:rFonts w:ascii="Times New Roman" w:hAnsi="Times New Roman" w:cs="Times New Roman"/>
        </w:rPr>
        <w:t xml:space="preserve">both responding and non-responding </w:t>
      </w:r>
      <w:r w:rsidRPr="000401F5" w:rsidR="00200686">
        <w:rPr>
          <w:rFonts w:ascii="Times New Roman" w:hAnsi="Times New Roman" w:cs="Times New Roman"/>
        </w:rPr>
        <w:t>Program 2 and 3 facilities</w:t>
      </w:r>
      <w:r w:rsidRPr="000401F5" w:rsidR="000F3A26">
        <w:rPr>
          <w:rFonts w:ascii="Times New Roman" w:hAnsi="Times New Roman" w:cs="Times New Roman"/>
        </w:rPr>
        <w:t xml:space="preserve"> </w:t>
      </w:r>
      <w:r w:rsidRPr="000401F5" w:rsidR="00200686">
        <w:rPr>
          <w:rFonts w:ascii="Times New Roman" w:hAnsi="Times New Roman" w:cs="Times New Roman"/>
        </w:rPr>
        <w:t xml:space="preserve">to ensure a community notification system is in place. Facility counts are drawn from Exhibit 3-6. This analysis assumes that facilities are </w:t>
      </w:r>
      <w:r w:rsidRPr="000401F5" w:rsidR="00846C7B">
        <w:rPr>
          <w:rFonts w:ascii="Times New Roman" w:hAnsi="Times New Roman" w:cs="Times New Roman"/>
        </w:rPr>
        <w:t xml:space="preserve">coordinating </w:t>
      </w:r>
      <w:r w:rsidRPr="000401F5" w:rsidR="00200686">
        <w:rPr>
          <w:rFonts w:ascii="Times New Roman" w:hAnsi="Times New Roman" w:cs="Times New Roman"/>
        </w:rPr>
        <w:t>annually with LEPCs</w:t>
      </w:r>
      <w:r w:rsidRPr="00BF4D0A" w:rsidR="00200686">
        <w:rPr>
          <w:rFonts w:ascii="Times New Roman" w:hAnsi="Times New Roman" w:cs="Times New Roman"/>
        </w:rPr>
        <w:t xml:space="preserve"> to ensure a community notification system is</w:t>
      </w:r>
      <w:r w:rsidRPr="00BF4D0A" w:rsidR="006501DC">
        <w:rPr>
          <w:rFonts w:ascii="Times New Roman" w:hAnsi="Times New Roman" w:cs="Times New Roman"/>
        </w:rPr>
        <w:t xml:space="preserve"> used to communicate information about RMP-reportable accidents</w:t>
      </w:r>
      <w:r w:rsidRPr="00BF4D0A" w:rsidR="00200686">
        <w:rPr>
          <w:rFonts w:ascii="Times New Roman" w:hAnsi="Times New Roman" w:cs="Times New Roman"/>
        </w:rPr>
        <w:t>.</w:t>
      </w:r>
      <w:r w:rsidRPr="00BF4D0A" w:rsidR="003A5B52">
        <w:rPr>
          <w:rFonts w:ascii="Times New Roman" w:hAnsi="Times New Roman" w:cs="Times New Roman"/>
        </w:rPr>
        <w:t xml:space="preserve"> Exhibit 5-</w:t>
      </w:r>
      <w:r w:rsidR="000C6504">
        <w:rPr>
          <w:rFonts w:ascii="Times New Roman" w:hAnsi="Times New Roman" w:cs="Times New Roman"/>
        </w:rPr>
        <w:t>7</w:t>
      </w:r>
      <w:r w:rsidRPr="00BF4D0A" w:rsidR="003A5B52">
        <w:rPr>
          <w:rFonts w:ascii="Times New Roman" w:hAnsi="Times New Roman" w:cs="Times New Roman"/>
        </w:rPr>
        <w:t xml:space="preserve"> presents the cost for this provision.</w:t>
      </w:r>
    </w:p>
    <w:p w:rsidRPr="00BF4D0A" w:rsidR="009B0E5A" w:rsidP="00576F93" w:rsidRDefault="009B0E5A" w14:paraId="176365A6" w14:textId="77777777">
      <w:pPr>
        <w:spacing w:after="0" w:line="240" w:lineRule="auto"/>
        <w:ind w:firstLine="720"/>
        <w:rPr>
          <w:rFonts w:ascii="Times New Roman" w:hAnsi="Times New Roman" w:cs="Times New Roman"/>
        </w:rPr>
      </w:pPr>
    </w:p>
    <w:p w:rsidR="00B87FD9" w:rsidP="00B87FD9" w:rsidRDefault="00B87FD9" w14:paraId="7ABE7F9C" w14:textId="6F6F6E4C">
      <w:pPr>
        <w:keepNext/>
        <w:spacing w:after="0" w:line="240" w:lineRule="auto"/>
        <w:jc w:val="center"/>
        <w:rPr>
          <w:rFonts w:ascii="Times New Roman" w:hAnsi="Times New Roman" w:cs="Times New Roman"/>
          <w:b/>
        </w:rPr>
      </w:pPr>
      <w:r w:rsidRPr="00B87FD9">
        <w:rPr>
          <w:rFonts w:ascii="Times New Roman" w:hAnsi="Times New Roman" w:cs="Times New Roman"/>
          <w:b/>
          <w:bCs/>
        </w:rPr>
        <w:t>Exhibit</w:t>
      </w:r>
      <w:r>
        <w:t xml:space="preserve"> </w:t>
      </w:r>
      <w:r w:rsidRPr="00BF4D0A">
        <w:rPr>
          <w:rFonts w:ascii="Times New Roman" w:hAnsi="Times New Roman" w:cs="Times New Roman"/>
          <w:b/>
        </w:rPr>
        <w:t>5-</w:t>
      </w:r>
      <w:r w:rsidR="00464BAA">
        <w:rPr>
          <w:rFonts w:ascii="Times New Roman" w:hAnsi="Times New Roman" w:cs="Times New Roman"/>
          <w:b/>
          <w:bCs/>
        </w:rPr>
        <w:t>7</w:t>
      </w:r>
      <w:r w:rsidRPr="00BF4D0A">
        <w:rPr>
          <w:rFonts w:ascii="Times New Roman" w:hAnsi="Times New Roman" w:cs="Times New Roman"/>
          <w:b/>
        </w:rPr>
        <w:t xml:space="preserve">: Costs for Coordinating Community Notification (2020 </w:t>
      </w:r>
      <w:r w:rsidR="00794F08">
        <w:rPr>
          <w:rFonts w:ascii="Times New Roman" w:hAnsi="Times New Roman" w:cs="Times New Roman"/>
          <w:b/>
        </w:rPr>
        <w:t>d</w:t>
      </w:r>
      <w:r w:rsidRPr="00BF4D0A">
        <w:rPr>
          <w:rFonts w:ascii="Times New Roman" w:hAnsi="Times New Roman" w:cs="Times New Roman"/>
          <w:b/>
        </w:rPr>
        <w:t>ollars)</w:t>
      </w:r>
      <w:r>
        <w:rPr>
          <w:rFonts w:ascii="Times New Roman" w:hAnsi="Times New Roman" w:cs="Times New Roman"/>
          <w:b/>
        </w:rPr>
        <w:t>.</w:t>
      </w:r>
    </w:p>
    <w:p w:rsidRPr="00B87FD9" w:rsidR="00B87FD9" w:rsidP="00B87FD9" w:rsidRDefault="00B87FD9" w14:paraId="19F56366" w14:textId="77777777">
      <w:pPr>
        <w:keepNext/>
        <w:spacing w:after="0" w:line="240" w:lineRule="auto"/>
        <w:jc w:val="center"/>
        <w:rPr>
          <w:rFonts w:ascii="Times New Roman" w:hAnsi="Times New Roman" w:cs="Times New Roman"/>
          <w:b/>
        </w:rPr>
      </w:pPr>
    </w:p>
    <w:tbl>
      <w:tblPr>
        <w:tblW w:w="0" w:type="auto"/>
        <w:tblInd w:w="15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02"/>
        <w:gridCol w:w="1608"/>
        <w:gridCol w:w="1020"/>
        <w:gridCol w:w="1332"/>
        <w:gridCol w:w="1620"/>
      </w:tblGrid>
      <w:tr w:rsidRPr="00BF4D0A" w:rsidR="00435210" w:rsidTr="00B87FD9" w14:paraId="3FDF9D5A" w14:textId="77777777">
        <w:trPr>
          <w:trHeight w:val="525"/>
        </w:trPr>
        <w:tc>
          <w:tcPr>
            <w:tcW w:w="1602" w:type="dxa"/>
            <w:shd w:val="clear" w:color="auto" w:fill="DADADA"/>
            <w:vAlign w:val="bottom"/>
          </w:tcPr>
          <w:p w:rsidRPr="00BF4D0A" w:rsidR="00435210" w:rsidP="00B87FD9" w:rsidRDefault="00B87FD9" w14:paraId="067E7EED" w14:textId="6C47A9E1">
            <w:pPr>
              <w:keepNext/>
              <w:spacing w:after="0" w:line="240" w:lineRule="auto"/>
              <w:ind w:hanging="17"/>
              <w:rPr>
                <w:rFonts w:ascii="Times New Roman" w:hAnsi="Times New Roman" w:cs="Times New Roman"/>
                <w:b/>
              </w:rPr>
            </w:pPr>
            <w:r>
              <w:rPr>
                <w:rFonts w:ascii="Times New Roman" w:hAnsi="Times New Roman" w:cs="Times New Roman"/>
                <w:b/>
              </w:rPr>
              <w:t xml:space="preserve">  </w:t>
            </w:r>
            <w:r w:rsidRPr="00BF4D0A" w:rsidR="00435210">
              <w:rPr>
                <w:rFonts w:ascii="Times New Roman" w:hAnsi="Times New Roman" w:cs="Times New Roman"/>
                <w:b/>
              </w:rPr>
              <w:t>Facility Type</w:t>
            </w:r>
          </w:p>
        </w:tc>
        <w:tc>
          <w:tcPr>
            <w:tcW w:w="1608" w:type="dxa"/>
            <w:shd w:val="clear" w:color="auto" w:fill="DADADA"/>
            <w:vAlign w:val="bottom"/>
          </w:tcPr>
          <w:p w:rsidRPr="00BF4D0A" w:rsidR="00435210" w:rsidP="00576F93" w:rsidRDefault="00435210" w14:paraId="3DD7FEEC" w14:textId="77777777">
            <w:pPr>
              <w:keepNext/>
              <w:spacing w:after="0" w:line="240" w:lineRule="auto"/>
              <w:ind w:left="103" w:right="49"/>
              <w:jc w:val="center"/>
              <w:rPr>
                <w:rFonts w:ascii="Times New Roman" w:hAnsi="Times New Roman" w:cs="Times New Roman"/>
                <w:b/>
              </w:rPr>
            </w:pPr>
            <w:r w:rsidRPr="00BF4D0A">
              <w:rPr>
                <w:rFonts w:ascii="Times New Roman" w:hAnsi="Times New Roman" w:cs="Times New Roman"/>
                <w:b/>
              </w:rPr>
              <w:t>Annual Frequency</w:t>
            </w:r>
          </w:p>
        </w:tc>
        <w:tc>
          <w:tcPr>
            <w:tcW w:w="1020" w:type="dxa"/>
            <w:shd w:val="clear" w:color="auto" w:fill="DADADA"/>
            <w:vAlign w:val="bottom"/>
          </w:tcPr>
          <w:p w:rsidRPr="00BF4D0A" w:rsidR="00435210" w:rsidP="00576F93" w:rsidRDefault="00435210" w14:paraId="225B7FC0" w14:textId="77777777">
            <w:pPr>
              <w:keepNext/>
              <w:spacing w:after="0" w:line="240" w:lineRule="auto"/>
              <w:ind w:left="79" w:right="52"/>
              <w:jc w:val="center"/>
              <w:rPr>
                <w:rFonts w:ascii="Times New Roman" w:hAnsi="Times New Roman" w:cs="Times New Roman"/>
                <w:b/>
              </w:rPr>
            </w:pPr>
            <w:r w:rsidRPr="00BF4D0A">
              <w:rPr>
                <w:rFonts w:ascii="Times New Roman" w:hAnsi="Times New Roman" w:cs="Times New Roman"/>
                <w:b/>
              </w:rPr>
              <w:t>Unit Cost</w:t>
            </w:r>
          </w:p>
        </w:tc>
        <w:tc>
          <w:tcPr>
            <w:tcW w:w="1332" w:type="dxa"/>
            <w:tcBorders>
              <w:right w:val="single" w:color="000000" w:sz="8" w:space="0"/>
            </w:tcBorders>
            <w:shd w:val="clear" w:color="auto" w:fill="DADADA"/>
            <w:vAlign w:val="bottom"/>
          </w:tcPr>
          <w:p w:rsidRPr="00BF4D0A" w:rsidR="00435210" w:rsidP="00576F93" w:rsidRDefault="00435210" w14:paraId="2B409E53" w14:textId="77777777">
            <w:pPr>
              <w:keepNext/>
              <w:spacing w:after="0" w:line="240" w:lineRule="auto"/>
              <w:ind w:left="66" w:right="67"/>
              <w:jc w:val="center"/>
              <w:rPr>
                <w:rFonts w:ascii="Times New Roman" w:hAnsi="Times New Roman" w:cs="Times New Roman"/>
                <w:b/>
              </w:rPr>
            </w:pPr>
            <w:r w:rsidRPr="00BF4D0A">
              <w:rPr>
                <w:rFonts w:ascii="Times New Roman" w:hAnsi="Times New Roman" w:cs="Times New Roman"/>
                <w:b/>
              </w:rPr>
              <w:t>Facilities</w:t>
            </w:r>
          </w:p>
        </w:tc>
        <w:tc>
          <w:tcPr>
            <w:tcW w:w="1620" w:type="dxa"/>
            <w:tcBorders>
              <w:left w:val="single" w:color="000000" w:sz="8" w:space="0"/>
            </w:tcBorders>
            <w:shd w:val="clear" w:color="auto" w:fill="DADADA"/>
            <w:vAlign w:val="bottom"/>
          </w:tcPr>
          <w:p w:rsidRPr="00BF4D0A" w:rsidR="00435210" w:rsidP="00576F93" w:rsidRDefault="00435210" w14:paraId="6906AB1E" w14:textId="591B192A">
            <w:pPr>
              <w:keepNext/>
              <w:spacing w:after="0" w:line="240" w:lineRule="auto"/>
              <w:ind w:left="76" w:right="51"/>
              <w:jc w:val="center"/>
              <w:rPr>
                <w:rFonts w:ascii="Times New Roman" w:hAnsi="Times New Roman" w:cs="Times New Roman"/>
                <w:b/>
              </w:rPr>
            </w:pPr>
            <w:r w:rsidRPr="00BF4D0A">
              <w:rPr>
                <w:rFonts w:ascii="Times New Roman" w:hAnsi="Times New Roman" w:cs="Times New Roman"/>
                <w:b/>
              </w:rPr>
              <w:t>Total Cost</w:t>
            </w:r>
          </w:p>
        </w:tc>
      </w:tr>
      <w:tr w:rsidRPr="00BF4D0A" w:rsidR="00200686" w:rsidTr="00167F64" w14:paraId="16F8D930" w14:textId="77777777">
        <w:trPr>
          <w:trHeight w:val="285"/>
        </w:trPr>
        <w:tc>
          <w:tcPr>
            <w:tcW w:w="7182" w:type="dxa"/>
            <w:gridSpan w:val="5"/>
            <w:shd w:val="clear" w:color="auto" w:fill="F2F2F2" w:themeFill="background1" w:themeFillShade="F2"/>
          </w:tcPr>
          <w:p w:rsidRPr="00BF4D0A" w:rsidR="00200686" w:rsidP="00B87FD9" w:rsidRDefault="00200686" w14:paraId="051BCFA0" w14:textId="1A479D6E">
            <w:pPr>
              <w:spacing w:after="0" w:line="240" w:lineRule="auto"/>
              <w:ind w:left="63" w:right="51" w:firstLine="10"/>
              <w:rPr>
                <w:rFonts w:ascii="Times New Roman" w:hAnsi="Times New Roman" w:cs="Times New Roman"/>
                <w:b/>
              </w:rPr>
            </w:pPr>
            <w:r w:rsidRPr="00BF4D0A">
              <w:rPr>
                <w:rFonts w:ascii="Times New Roman" w:hAnsi="Times New Roman" w:cs="Times New Roman"/>
                <w:b/>
              </w:rPr>
              <w:t>Facility Burden</w:t>
            </w:r>
          </w:p>
        </w:tc>
      </w:tr>
      <w:tr w:rsidRPr="00BF4D0A" w:rsidR="00435210" w:rsidTr="00B87FD9" w14:paraId="0DE66084" w14:textId="77777777">
        <w:trPr>
          <w:trHeight w:val="285"/>
        </w:trPr>
        <w:tc>
          <w:tcPr>
            <w:tcW w:w="1602" w:type="dxa"/>
            <w:vAlign w:val="bottom"/>
          </w:tcPr>
          <w:p w:rsidRPr="00BF4D0A" w:rsidR="00435210" w:rsidP="00B87FD9" w:rsidRDefault="00435210" w14:paraId="00A45E6A" w14:textId="77777777">
            <w:pPr>
              <w:spacing w:after="0" w:line="240" w:lineRule="auto"/>
              <w:ind w:left="73"/>
              <w:rPr>
                <w:rFonts w:ascii="Times New Roman" w:hAnsi="Times New Roman" w:cs="Times New Roman"/>
              </w:rPr>
            </w:pPr>
            <w:r w:rsidRPr="00BF4D0A">
              <w:rPr>
                <w:rFonts w:ascii="Times New Roman" w:hAnsi="Times New Roman" w:cs="Times New Roman"/>
              </w:rPr>
              <w:t>Simple P2/3</w:t>
            </w:r>
          </w:p>
        </w:tc>
        <w:tc>
          <w:tcPr>
            <w:tcW w:w="1608" w:type="dxa"/>
            <w:vAlign w:val="bottom"/>
          </w:tcPr>
          <w:p w:rsidRPr="00BF4D0A" w:rsidR="00435210" w:rsidP="00576F93" w:rsidRDefault="00435210" w14:paraId="3CC6BE62" w14:textId="77777777">
            <w:pPr>
              <w:spacing w:after="0" w:line="240" w:lineRule="auto"/>
              <w:ind w:left="46"/>
              <w:jc w:val="center"/>
              <w:rPr>
                <w:rFonts w:ascii="Times New Roman" w:hAnsi="Times New Roman" w:cs="Times New Roman"/>
              </w:rPr>
            </w:pPr>
            <w:r w:rsidRPr="00BF4D0A">
              <w:rPr>
                <w:rFonts w:ascii="Times New Roman" w:hAnsi="Times New Roman" w:cs="Times New Roman"/>
              </w:rPr>
              <w:t>1</w:t>
            </w:r>
          </w:p>
        </w:tc>
        <w:tc>
          <w:tcPr>
            <w:tcW w:w="1020" w:type="dxa"/>
            <w:vAlign w:val="bottom"/>
          </w:tcPr>
          <w:p w:rsidRPr="00BF4D0A" w:rsidR="00435210" w:rsidP="00576F93" w:rsidRDefault="00435210" w14:paraId="2F828015" w14:textId="3599C376">
            <w:pPr>
              <w:spacing w:after="0" w:line="240" w:lineRule="auto"/>
              <w:ind w:left="82" w:right="52"/>
              <w:jc w:val="center"/>
              <w:rPr>
                <w:rFonts w:ascii="Times New Roman" w:hAnsi="Times New Roman" w:cs="Times New Roman"/>
              </w:rPr>
            </w:pPr>
            <w:r w:rsidRPr="00BF4D0A">
              <w:rPr>
                <w:rFonts w:ascii="Times New Roman" w:hAnsi="Times New Roman" w:cs="Times New Roman"/>
              </w:rPr>
              <w:t>$</w:t>
            </w:r>
            <w:r w:rsidRPr="00BF4D0A" w:rsidR="00D26236">
              <w:rPr>
                <w:rFonts w:ascii="Times New Roman" w:hAnsi="Times New Roman" w:cs="Times New Roman"/>
              </w:rPr>
              <w:t>206</w:t>
            </w:r>
          </w:p>
        </w:tc>
        <w:tc>
          <w:tcPr>
            <w:tcW w:w="1332" w:type="dxa"/>
            <w:tcBorders>
              <w:right w:val="single" w:color="000000" w:sz="8" w:space="0"/>
            </w:tcBorders>
            <w:vAlign w:val="bottom"/>
          </w:tcPr>
          <w:p w:rsidRPr="00BF4D0A" w:rsidR="00435210" w:rsidP="00576F93" w:rsidRDefault="00200686" w14:paraId="3C7879B3" w14:textId="5563CED6">
            <w:pPr>
              <w:spacing w:after="0" w:line="240" w:lineRule="auto"/>
              <w:ind w:left="69" w:right="67"/>
              <w:jc w:val="center"/>
              <w:rPr>
                <w:rFonts w:ascii="Times New Roman" w:hAnsi="Times New Roman" w:cs="Times New Roman"/>
              </w:rPr>
            </w:pPr>
            <w:r w:rsidRPr="00BF4D0A">
              <w:rPr>
                <w:rFonts w:ascii="Times New Roman" w:hAnsi="Times New Roman" w:cs="Times New Roman"/>
              </w:rPr>
              <w:t>9,288</w:t>
            </w:r>
          </w:p>
        </w:tc>
        <w:tc>
          <w:tcPr>
            <w:tcW w:w="1620" w:type="dxa"/>
            <w:tcBorders>
              <w:left w:val="single" w:color="000000" w:sz="8" w:space="0"/>
            </w:tcBorders>
            <w:vAlign w:val="bottom"/>
          </w:tcPr>
          <w:p w:rsidRPr="00BF4D0A" w:rsidR="00435210" w:rsidP="00576F93" w:rsidRDefault="00200686" w14:paraId="74E19A39" w14:textId="258D5FA2">
            <w:pPr>
              <w:spacing w:after="0" w:line="240" w:lineRule="auto"/>
              <w:ind w:left="63" w:right="51"/>
              <w:jc w:val="center"/>
              <w:rPr>
                <w:rFonts w:ascii="Times New Roman" w:hAnsi="Times New Roman" w:cs="Times New Roman"/>
              </w:rPr>
            </w:pPr>
            <w:r w:rsidRPr="00BF4D0A">
              <w:rPr>
                <w:rFonts w:ascii="Times New Roman" w:hAnsi="Times New Roman" w:cs="Times New Roman"/>
              </w:rPr>
              <w:t>$1,</w:t>
            </w:r>
            <w:r w:rsidRPr="00BF4D0A" w:rsidR="00E665EC">
              <w:rPr>
                <w:rFonts w:ascii="Times New Roman" w:hAnsi="Times New Roman" w:cs="Times New Roman"/>
              </w:rPr>
              <w:t>914</w:t>
            </w:r>
            <w:r w:rsidRPr="00BF4D0A">
              <w:rPr>
                <w:rFonts w:ascii="Times New Roman" w:hAnsi="Times New Roman" w:cs="Times New Roman"/>
              </w:rPr>
              <w:t>,</w:t>
            </w:r>
            <w:r w:rsidRPr="00BF4D0A" w:rsidR="007D6134">
              <w:rPr>
                <w:rFonts w:ascii="Times New Roman" w:hAnsi="Times New Roman" w:cs="Times New Roman"/>
              </w:rPr>
              <w:t>504</w:t>
            </w:r>
          </w:p>
        </w:tc>
      </w:tr>
      <w:tr w:rsidRPr="00BF4D0A" w:rsidR="00435210" w:rsidTr="00B87FD9" w14:paraId="26271076" w14:textId="77777777">
        <w:trPr>
          <w:trHeight w:val="300"/>
        </w:trPr>
        <w:tc>
          <w:tcPr>
            <w:tcW w:w="1602" w:type="dxa"/>
            <w:vAlign w:val="bottom"/>
          </w:tcPr>
          <w:p w:rsidRPr="00BF4D0A" w:rsidR="00435210" w:rsidP="00B87FD9" w:rsidRDefault="00435210" w14:paraId="5A115954" w14:textId="77777777">
            <w:pPr>
              <w:spacing w:after="0" w:line="240" w:lineRule="auto"/>
              <w:ind w:left="73"/>
              <w:rPr>
                <w:rFonts w:ascii="Times New Roman" w:hAnsi="Times New Roman" w:cs="Times New Roman"/>
              </w:rPr>
            </w:pPr>
            <w:r w:rsidRPr="00BF4D0A">
              <w:rPr>
                <w:rFonts w:ascii="Times New Roman" w:hAnsi="Times New Roman" w:cs="Times New Roman"/>
              </w:rPr>
              <w:t>Complex P2/3</w:t>
            </w:r>
          </w:p>
        </w:tc>
        <w:tc>
          <w:tcPr>
            <w:tcW w:w="1608" w:type="dxa"/>
            <w:vAlign w:val="bottom"/>
          </w:tcPr>
          <w:p w:rsidRPr="00BF4D0A" w:rsidR="00435210" w:rsidP="00576F93" w:rsidRDefault="00435210" w14:paraId="669CE040" w14:textId="77777777">
            <w:pPr>
              <w:spacing w:after="0" w:line="240" w:lineRule="auto"/>
              <w:ind w:left="46"/>
              <w:jc w:val="center"/>
              <w:rPr>
                <w:rFonts w:ascii="Times New Roman" w:hAnsi="Times New Roman" w:cs="Times New Roman"/>
              </w:rPr>
            </w:pPr>
            <w:r w:rsidRPr="00BF4D0A">
              <w:rPr>
                <w:rFonts w:ascii="Times New Roman" w:hAnsi="Times New Roman" w:cs="Times New Roman"/>
              </w:rPr>
              <w:t>1</w:t>
            </w:r>
          </w:p>
        </w:tc>
        <w:tc>
          <w:tcPr>
            <w:tcW w:w="1020" w:type="dxa"/>
            <w:vAlign w:val="bottom"/>
          </w:tcPr>
          <w:p w:rsidRPr="00BF4D0A" w:rsidR="00435210" w:rsidP="00576F93" w:rsidRDefault="00435210" w14:paraId="2B53F74E" w14:textId="77586D22">
            <w:pPr>
              <w:spacing w:after="0" w:line="240" w:lineRule="auto"/>
              <w:ind w:left="82" w:right="52"/>
              <w:jc w:val="center"/>
              <w:rPr>
                <w:rFonts w:ascii="Times New Roman" w:hAnsi="Times New Roman" w:cs="Times New Roman"/>
              </w:rPr>
            </w:pPr>
            <w:r w:rsidRPr="00BF4D0A">
              <w:rPr>
                <w:rFonts w:ascii="Times New Roman" w:hAnsi="Times New Roman" w:cs="Times New Roman"/>
              </w:rPr>
              <w:t>$</w:t>
            </w:r>
            <w:r w:rsidRPr="00BF4D0A" w:rsidR="00D26236">
              <w:rPr>
                <w:rFonts w:ascii="Times New Roman" w:hAnsi="Times New Roman" w:cs="Times New Roman"/>
              </w:rPr>
              <w:t>543</w:t>
            </w:r>
          </w:p>
        </w:tc>
        <w:tc>
          <w:tcPr>
            <w:tcW w:w="1332" w:type="dxa"/>
            <w:tcBorders>
              <w:right w:val="single" w:color="000000" w:sz="8" w:space="0"/>
            </w:tcBorders>
            <w:vAlign w:val="bottom"/>
          </w:tcPr>
          <w:p w:rsidRPr="00BF4D0A" w:rsidR="00435210" w:rsidP="00576F93" w:rsidRDefault="00435210" w14:paraId="4F432F12" w14:textId="162FBD90">
            <w:pPr>
              <w:spacing w:after="0" w:line="240" w:lineRule="auto"/>
              <w:ind w:left="77" w:right="60"/>
              <w:jc w:val="center"/>
              <w:rPr>
                <w:rFonts w:ascii="Times New Roman" w:hAnsi="Times New Roman" w:cs="Times New Roman"/>
              </w:rPr>
            </w:pPr>
            <w:r w:rsidRPr="00BF4D0A">
              <w:rPr>
                <w:rFonts w:ascii="Times New Roman" w:hAnsi="Times New Roman" w:cs="Times New Roman"/>
              </w:rPr>
              <w:t>1,</w:t>
            </w:r>
            <w:r w:rsidRPr="00BF4D0A" w:rsidR="00200686">
              <w:rPr>
                <w:rFonts w:ascii="Times New Roman" w:hAnsi="Times New Roman" w:cs="Times New Roman"/>
              </w:rPr>
              <w:t>792</w:t>
            </w:r>
          </w:p>
        </w:tc>
        <w:tc>
          <w:tcPr>
            <w:tcW w:w="1620" w:type="dxa"/>
            <w:tcBorders>
              <w:left w:val="single" w:color="000000" w:sz="8" w:space="0"/>
            </w:tcBorders>
            <w:vAlign w:val="bottom"/>
          </w:tcPr>
          <w:p w:rsidRPr="00BF4D0A" w:rsidR="00435210" w:rsidP="00576F93" w:rsidRDefault="00200686" w14:paraId="5F71A72B" w14:textId="66C3E006">
            <w:pPr>
              <w:spacing w:after="0" w:line="240" w:lineRule="auto"/>
              <w:ind w:left="78" w:right="51"/>
              <w:jc w:val="center"/>
              <w:rPr>
                <w:rFonts w:ascii="Times New Roman" w:hAnsi="Times New Roman" w:cs="Times New Roman"/>
              </w:rPr>
            </w:pPr>
            <w:r w:rsidRPr="00BF4D0A">
              <w:rPr>
                <w:rFonts w:ascii="Times New Roman" w:hAnsi="Times New Roman" w:cs="Times New Roman"/>
              </w:rPr>
              <w:t>$</w:t>
            </w:r>
            <w:r w:rsidRPr="00BF4D0A" w:rsidR="00293C5F">
              <w:rPr>
                <w:rFonts w:ascii="Times New Roman" w:hAnsi="Times New Roman" w:cs="Times New Roman"/>
              </w:rPr>
              <w:t>972</w:t>
            </w:r>
            <w:r w:rsidRPr="00BF4D0A">
              <w:rPr>
                <w:rFonts w:ascii="Times New Roman" w:hAnsi="Times New Roman" w:cs="Times New Roman"/>
              </w:rPr>
              <w:t>,</w:t>
            </w:r>
            <w:r w:rsidRPr="00BF4D0A" w:rsidR="00293C5F">
              <w:rPr>
                <w:rFonts w:ascii="Times New Roman" w:hAnsi="Times New Roman" w:cs="Times New Roman"/>
              </w:rPr>
              <w:t>199</w:t>
            </w:r>
          </w:p>
        </w:tc>
      </w:tr>
      <w:tr w:rsidRPr="00BF4D0A" w:rsidR="00435210" w:rsidTr="00B87FD9" w14:paraId="764F6F5D" w14:textId="77777777">
        <w:trPr>
          <w:trHeight w:val="282"/>
        </w:trPr>
        <w:tc>
          <w:tcPr>
            <w:tcW w:w="1602" w:type="dxa"/>
            <w:vAlign w:val="bottom"/>
          </w:tcPr>
          <w:p w:rsidRPr="00BF4D0A" w:rsidR="00435210" w:rsidP="00B87FD9" w:rsidRDefault="00B87FD9" w14:paraId="43AF51AA" w14:textId="29850D46">
            <w:pPr>
              <w:spacing w:after="0" w:line="240" w:lineRule="auto"/>
              <w:rPr>
                <w:rFonts w:ascii="Times New Roman" w:hAnsi="Times New Roman" w:cs="Times New Roman"/>
                <w:b/>
              </w:rPr>
            </w:pPr>
            <w:r>
              <w:rPr>
                <w:rFonts w:ascii="Times New Roman" w:hAnsi="Times New Roman" w:cs="Times New Roman"/>
                <w:b/>
              </w:rPr>
              <w:t xml:space="preserve"> </w:t>
            </w:r>
            <w:r w:rsidRPr="00BF4D0A" w:rsidR="00435210">
              <w:rPr>
                <w:rFonts w:ascii="Times New Roman" w:hAnsi="Times New Roman" w:cs="Times New Roman"/>
                <w:b/>
              </w:rPr>
              <w:t>Total</w:t>
            </w:r>
          </w:p>
        </w:tc>
        <w:tc>
          <w:tcPr>
            <w:tcW w:w="1608" w:type="dxa"/>
            <w:vAlign w:val="bottom"/>
          </w:tcPr>
          <w:p w:rsidRPr="00BF4D0A" w:rsidR="00435210" w:rsidP="00576F93" w:rsidRDefault="00435210" w14:paraId="37DCB595" w14:textId="77777777">
            <w:pPr>
              <w:spacing w:after="0" w:line="240" w:lineRule="auto"/>
              <w:jc w:val="center"/>
              <w:rPr>
                <w:rFonts w:ascii="Times New Roman" w:hAnsi="Times New Roman" w:cs="Times New Roman"/>
              </w:rPr>
            </w:pPr>
          </w:p>
        </w:tc>
        <w:tc>
          <w:tcPr>
            <w:tcW w:w="1020" w:type="dxa"/>
            <w:vAlign w:val="bottom"/>
          </w:tcPr>
          <w:p w:rsidRPr="00BF4D0A" w:rsidR="00435210" w:rsidP="00576F93" w:rsidRDefault="00435210" w14:paraId="292EF244" w14:textId="77777777">
            <w:pPr>
              <w:spacing w:after="0" w:line="240" w:lineRule="auto"/>
              <w:jc w:val="center"/>
              <w:rPr>
                <w:rFonts w:ascii="Times New Roman" w:hAnsi="Times New Roman" w:cs="Times New Roman"/>
              </w:rPr>
            </w:pPr>
          </w:p>
        </w:tc>
        <w:tc>
          <w:tcPr>
            <w:tcW w:w="1332" w:type="dxa"/>
            <w:tcBorders>
              <w:right w:val="single" w:color="000000" w:sz="8" w:space="0"/>
            </w:tcBorders>
            <w:vAlign w:val="bottom"/>
          </w:tcPr>
          <w:p w:rsidRPr="00BF4D0A" w:rsidR="00435210" w:rsidP="00576F93" w:rsidRDefault="00435210" w14:paraId="0910EC14" w14:textId="06DA5048">
            <w:pPr>
              <w:spacing w:after="0" w:line="240" w:lineRule="auto"/>
              <w:ind w:left="69" w:right="67"/>
              <w:jc w:val="center"/>
              <w:rPr>
                <w:rFonts w:ascii="Times New Roman" w:hAnsi="Times New Roman" w:cs="Times New Roman"/>
                <w:b/>
              </w:rPr>
            </w:pPr>
            <w:r w:rsidRPr="00BF4D0A">
              <w:rPr>
                <w:rFonts w:ascii="Times New Roman" w:hAnsi="Times New Roman" w:cs="Times New Roman"/>
                <w:b/>
              </w:rPr>
              <w:t>11,</w:t>
            </w:r>
            <w:r w:rsidRPr="00BF4D0A" w:rsidR="00200686">
              <w:rPr>
                <w:rFonts w:ascii="Times New Roman" w:hAnsi="Times New Roman" w:cs="Times New Roman"/>
                <w:b/>
              </w:rPr>
              <w:t>080</w:t>
            </w:r>
          </w:p>
        </w:tc>
        <w:tc>
          <w:tcPr>
            <w:tcW w:w="1620" w:type="dxa"/>
            <w:tcBorders>
              <w:left w:val="single" w:color="000000" w:sz="8" w:space="0"/>
            </w:tcBorders>
            <w:vAlign w:val="bottom"/>
          </w:tcPr>
          <w:p w:rsidRPr="00BF4D0A" w:rsidR="00435210" w:rsidP="00576F93" w:rsidRDefault="00200686" w14:paraId="693D78C8" w14:textId="452ADA37">
            <w:pPr>
              <w:spacing w:after="0" w:line="240" w:lineRule="auto"/>
              <w:ind w:left="63" w:right="51"/>
              <w:jc w:val="center"/>
              <w:rPr>
                <w:rFonts w:ascii="Times New Roman" w:hAnsi="Times New Roman" w:cs="Times New Roman"/>
                <w:b/>
              </w:rPr>
            </w:pPr>
            <w:r w:rsidRPr="00BF4D0A">
              <w:rPr>
                <w:rFonts w:ascii="Times New Roman" w:hAnsi="Times New Roman" w:cs="Times New Roman"/>
                <w:b/>
              </w:rPr>
              <w:t>$2,</w:t>
            </w:r>
            <w:r w:rsidRPr="00BF4D0A" w:rsidR="00293C5F">
              <w:rPr>
                <w:rFonts w:ascii="Times New Roman" w:hAnsi="Times New Roman" w:cs="Times New Roman"/>
                <w:b/>
              </w:rPr>
              <w:t>886</w:t>
            </w:r>
            <w:r w:rsidRPr="00BF4D0A">
              <w:rPr>
                <w:rFonts w:ascii="Times New Roman" w:hAnsi="Times New Roman" w:cs="Times New Roman"/>
                <w:b/>
              </w:rPr>
              <w:t>,</w:t>
            </w:r>
            <w:r w:rsidRPr="00BF4D0A" w:rsidR="00293C5F">
              <w:rPr>
                <w:rFonts w:ascii="Times New Roman" w:hAnsi="Times New Roman" w:cs="Times New Roman"/>
                <w:b/>
              </w:rPr>
              <w:t>703</w:t>
            </w:r>
          </w:p>
        </w:tc>
      </w:tr>
      <w:tr w:rsidRPr="00BF4D0A" w:rsidR="00200686" w:rsidTr="00167F64" w14:paraId="558DACF1" w14:textId="77777777">
        <w:trPr>
          <w:trHeight w:val="282"/>
        </w:trPr>
        <w:tc>
          <w:tcPr>
            <w:tcW w:w="7182" w:type="dxa"/>
            <w:gridSpan w:val="5"/>
            <w:shd w:val="clear" w:color="auto" w:fill="F2F2F2" w:themeFill="background1" w:themeFillShade="F2"/>
          </w:tcPr>
          <w:p w:rsidRPr="00BF4D0A" w:rsidR="00200686" w:rsidP="00B87FD9" w:rsidRDefault="00200686" w14:paraId="7E2E6961" w14:textId="24BB8DBC">
            <w:pPr>
              <w:spacing w:after="0" w:line="240" w:lineRule="auto"/>
              <w:ind w:left="73" w:right="51"/>
              <w:rPr>
                <w:rFonts w:ascii="Times New Roman" w:hAnsi="Times New Roman" w:cs="Times New Roman"/>
                <w:b/>
              </w:rPr>
            </w:pPr>
            <w:r w:rsidRPr="00BF4D0A">
              <w:rPr>
                <w:rFonts w:ascii="Times New Roman" w:hAnsi="Times New Roman" w:cs="Times New Roman"/>
                <w:b/>
              </w:rPr>
              <w:t>LEPC Burden</w:t>
            </w:r>
          </w:p>
        </w:tc>
      </w:tr>
      <w:tr w:rsidRPr="00BF4D0A" w:rsidR="00200686" w:rsidTr="00B87FD9" w14:paraId="31133681" w14:textId="77777777">
        <w:trPr>
          <w:trHeight w:val="282"/>
        </w:trPr>
        <w:tc>
          <w:tcPr>
            <w:tcW w:w="1602" w:type="dxa"/>
          </w:tcPr>
          <w:p w:rsidRPr="00BF4D0A" w:rsidR="00200686" w:rsidP="00B87FD9" w:rsidRDefault="00200686" w14:paraId="2F456923" w14:textId="55DAAF2B">
            <w:pPr>
              <w:spacing w:after="0" w:line="240" w:lineRule="auto"/>
              <w:ind w:left="73"/>
              <w:rPr>
                <w:rFonts w:ascii="Times New Roman" w:hAnsi="Times New Roman" w:cs="Times New Roman"/>
                <w:b/>
              </w:rPr>
            </w:pPr>
            <w:r w:rsidRPr="00BF4D0A">
              <w:rPr>
                <w:rFonts w:ascii="Times New Roman" w:hAnsi="Times New Roman" w:cs="Times New Roman"/>
              </w:rPr>
              <w:t>Simple P2/3</w:t>
            </w:r>
          </w:p>
        </w:tc>
        <w:tc>
          <w:tcPr>
            <w:tcW w:w="1608" w:type="dxa"/>
          </w:tcPr>
          <w:p w:rsidRPr="00BF4D0A" w:rsidR="00200686" w:rsidP="00576F93" w:rsidRDefault="00200686" w14:paraId="14DF262E" w14:textId="7A350505">
            <w:pPr>
              <w:spacing w:after="0" w:line="240" w:lineRule="auto"/>
              <w:jc w:val="center"/>
              <w:rPr>
                <w:rFonts w:ascii="Times New Roman" w:hAnsi="Times New Roman" w:cs="Times New Roman"/>
              </w:rPr>
            </w:pPr>
            <w:r w:rsidRPr="00BF4D0A">
              <w:rPr>
                <w:rFonts w:ascii="Times New Roman" w:hAnsi="Times New Roman" w:cs="Times New Roman"/>
              </w:rPr>
              <w:t>1</w:t>
            </w:r>
          </w:p>
        </w:tc>
        <w:tc>
          <w:tcPr>
            <w:tcW w:w="1020" w:type="dxa"/>
          </w:tcPr>
          <w:p w:rsidRPr="00BF4D0A" w:rsidR="00200686" w:rsidP="00576F93" w:rsidRDefault="00200686" w14:paraId="4FC86A9B" w14:textId="4359A312">
            <w:pPr>
              <w:spacing w:after="0" w:line="240" w:lineRule="auto"/>
              <w:jc w:val="center"/>
              <w:rPr>
                <w:rFonts w:ascii="Times New Roman" w:hAnsi="Times New Roman" w:cs="Times New Roman"/>
              </w:rPr>
            </w:pPr>
            <w:r w:rsidRPr="00BF4D0A">
              <w:rPr>
                <w:rFonts w:ascii="Times New Roman" w:hAnsi="Times New Roman" w:cs="Times New Roman"/>
              </w:rPr>
              <w:t>$</w:t>
            </w:r>
            <w:r w:rsidRPr="00BF4D0A" w:rsidR="00BE2DA9">
              <w:rPr>
                <w:rFonts w:ascii="Times New Roman" w:hAnsi="Times New Roman" w:cs="Times New Roman"/>
              </w:rPr>
              <w:t>7</w:t>
            </w:r>
            <w:r w:rsidRPr="00BF4D0A">
              <w:rPr>
                <w:rFonts w:ascii="Times New Roman" w:hAnsi="Times New Roman" w:cs="Times New Roman"/>
              </w:rPr>
              <w:t>1</w:t>
            </w:r>
          </w:p>
        </w:tc>
        <w:tc>
          <w:tcPr>
            <w:tcW w:w="1332" w:type="dxa"/>
            <w:tcBorders>
              <w:right w:val="single" w:color="000000" w:sz="8" w:space="0"/>
            </w:tcBorders>
          </w:tcPr>
          <w:p w:rsidRPr="00BF4D0A" w:rsidR="00200686" w:rsidP="00576F93" w:rsidRDefault="00200686" w14:paraId="56AEA97A" w14:textId="2840D1FC">
            <w:pPr>
              <w:spacing w:after="0" w:line="240" w:lineRule="auto"/>
              <w:ind w:left="69" w:right="67"/>
              <w:jc w:val="center"/>
              <w:rPr>
                <w:rFonts w:ascii="Times New Roman" w:hAnsi="Times New Roman" w:cs="Times New Roman"/>
                <w:b/>
              </w:rPr>
            </w:pPr>
            <w:r w:rsidRPr="00BF4D0A">
              <w:rPr>
                <w:rFonts w:ascii="Times New Roman" w:hAnsi="Times New Roman" w:cs="Times New Roman"/>
              </w:rPr>
              <w:t>9,288</w:t>
            </w:r>
          </w:p>
        </w:tc>
        <w:tc>
          <w:tcPr>
            <w:tcW w:w="1620" w:type="dxa"/>
            <w:tcBorders>
              <w:left w:val="single" w:color="000000" w:sz="8" w:space="0"/>
            </w:tcBorders>
          </w:tcPr>
          <w:p w:rsidRPr="00BF4D0A" w:rsidR="00200686" w:rsidP="00576F93" w:rsidRDefault="00200686" w14:paraId="05A8A01D" w14:textId="0CF1400C">
            <w:pPr>
              <w:spacing w:after="0" w:line="240" w:lineRule="auto"/>
              <w:ind w:left="63" w:right="51"/>
              <w:jc w:val="center"/>
              <w:rPr>
                <w:rFonts w:ascii="Times New Roman" w:hAnsi="Times New Roman" w:cs="Times New Roman"/>
                <w:b/>
              </w:rPr>
            </w:pPr>
            <w:r w:rsidRPr="00BF4D0A">
              <w:rPr>
                <w:rFonts w:ascii="Times New Roman" w:hAnsi="Times New Roman" w:cs="Times New Roman"/>
              </w:rPr>
              <w:t>$6</w:t>
            </w:r>
            <w:r w:rsidRPr="00BF4D0A" w:rsidR="00BE2DA9">
              <w:rPr>
                <w:rFonts w:ascii="Times New Roman" w:hAnsi="Times New Roman" w:cs="Times New Roman"/>
              </w:rPr>
              <w:t>61</w:t>
            </w:r>
            <w:r w:rsidRPr="00BF4D0A">
              <w:rPr>
                <w:rFonts w:ascii="Times New Roman" w:hAnsi="Times New Roman" w:cs="Times New Roman"/>
              </w:rPr>
              <w:t>,</w:t>
            </w:r>
            <w:r w:rsidRPr="00BF4D0A" w:rsidR="00943B6E">
              <w:rPr>
                <w:rFonts w:ascii="Times New Roman" w:hAnsi="Times New Roman" w:cs="Times New Roman"/>
              </w:rPr>
              <w:t>231</w:t>
            </w:r>
          </w:p>
        </w:tc>
      </w:tr>
      <w:tr w:rsidRPr="00BF4D0A" w:rsidR="00200686" w:rsidTr="00B87FD9" w14:paraId="1B5FBA09" w14:textId="77777777">
        <w:trPr>
          <w:trHeight w:val="282"/>
        </w:trPr>
        <w:tc>
          <w:tcPr>
            <w:tcW w:w="1602" w:type="dxa"/>
          </w:tcPr>
          <w:p w:rsidRPr="00BF4D0A" w:rsidR="00200686" w:rsidP="00B87FD9" w:rsidRDefault="00200686" w14:paraId="491EAEA8" w14:textId="3C56F8F6">
            <w:pPr>
              <w:spacing w:after="0" w:line="240" w:lineRule="auto"/>
              <w:ind w:left="73"/>
              <w:rPr>
                <w:rFonts w:ascii="Times New Roman" w:hAnsi="Times New Roman" w:cs="Times New Roman"/>
                <w:b/>
              </w:rPr>
            </w:pPr>
            <w:r w:rsidRPr="00BF4D0A">
              <w:rPr>
                <w:rFonts w:ascii="Times New Roman" w:hAnsi="Times New Roman" w:cs="Times New Roman"/>
              </w:rPr>
              <w:t>Complex P2/3</w:t>
            </w:r>
          </w:p>
        </w:tc>
        <w:tc>
          <w:tcPr>
            <w:tcW w:w="1608" w:type="dxa"/>
          </w:tcPr>
          <w:p w:rsidRPr="00BF4D0A" w:rsidR="00200686" w:rsidP="00576F93" w:rsidRDefault="00200686" w14:paraId="391F3AEC" w14:textId="103B1FBC">
            <w:pPr>
              <w:spacing w:after="0" w:line="240" w:lineRule="auto"/>
              <w:jc w:val="center"/>
              <w:rPr>
                <w:rFonts w:ascii="Times New Roman" w:hAnsi="Times New Roman" w:cs="Times New Roman"/>
              </w:rPr>
            </w:pPr>
            <w:r w:rsidRPr="00BF4D0A">
              <w:rPr>
                <w:rFonts w:ascii="Times New Roman" w:hAnsi="Times New Roman" w:cs="Times New Roman"/>
              </w:rPr>
              <w:t>1</w:t>
            </w:r>
          </w:p>
        </w:tc>
        <w:tc>
          <w:tcPr>
            <w:tcW w:w="1020" w:type="dxa"/>
          </w:tcPr>
          <w:p w:rsidRPr="00BF4D0A" w:rsidR="00200686" w:rsidP="00576F93" w:rsidRDefault="00200686" w14:paraId="7E244C0B" w14:textId="6B1E87F3">
            <w:pPr>
              <w:spacing w:after="0" w:line="240" w:lineRule="auto"/>
              <w:jc w:val="center"/>
              <w:rPr>
                <w:rFonts w:ascii="Times New Roman" w:hAnsi="Times New Roman" w:cs="Times New Roman"/>
              </w:rPr>
            </w:pPr>
            <w:r w:rsidRPr="00BF4D0A">
              <w:rPr>
                <w:rFonts w:ascii="Times New Roman" w:hAnsi="Times New Roman" w:cs="Times New Roman"/>
              </w:rPr>
              <w:t>$1</w:t>
            </w:r>
            <w:r w:rsidRPr="00BF4D0A" w:rsidR="00BE2DA9">
              <w:rPr>
                <w:rFonts w:ascii="Times New Roman" w:hAnsi="Times New Roman" w:cs="Times New Roman"/>
              </w:rPr>
              <w:t>4</w:t>
            </w:r>
            <w:r w:rsidRPr="00BF4D0A">
              <w:rPr>
                <w:rFonts w:ascii="Times New Roman" w:hAnsi="Times New Roman" w:cs="Times New Roman"/>
              </w:rPr>
              <w:t>2</w:t>
            </w:r>
          </w:p>
        </w:tc>
        <w:tc>
          <w:tcPr>
            <w:tcW w:w="1332" w:type="dxa"/>
            <w:tcBorders>
              <w:right w:val="single" w:color="000000" w:sz="8" w:space="0"/>
            </w:tcBorders>
          </w:tcPr>
          <w:p w:rsidRPr="00BF4D0A" w:rsidR="00200686" w:rsidP="00576F93" w:rsidRDefault="00200686" w14:paraId="518639CE" w14:textId="1A540110">
            <w:pPr>
              <w:spacing w:after="0" w:line="240" w:lineRule="auto"/>
              <w:ind w:left="69" w:right="67"/>
              <w:jc w:val="center"/>
              <w:rPr>
                <w:rFonts w:ascii="Times New Roman" w:hAnsi="Times New Roman" w:cs="Times New Roman"/>
                <w:b/>
              </w:rPr>
            </w:pPr>
            <w:r w:rsidRPr="00BF4D0A">
              <w:rPr>
                <w:rFonts w:ascii="Times New Roman" w:hAnsi="Times New Roman" w:cs="Times New Roman"/>
              </w:rPr>
              <w:t>1,792</w:t>
            </w:r>
          </w:p>
        </w:tc>
        <w:tc>
          <w:tcPr>
            <w:tcW w:w="1620" w:type="dxa"/>
            <w:tcBorders>
              <w:left w:val="single" w:color="000000" w:sz="8" w:space="0"/>
            </w:tcBorders>
          </w:tcPr>
          <w:p w:rsidRPr="00BF4D0A" w:rsidR="00200686" w:rsidP="00576F93" w:rsidRDefault="00200686" w14:paraId="25647EC3" w14:textId="79F71642">
            <w:pPr>
              <w:spacing w:after="0" w:line="240" w:lineRule="auto"/>
              <w:ind w:left="63" w:right="51"/>
              <w:jc w:val="center"/>
              <w:rPr>
                <w:rFonts w:ascii="Times New Roman" w:hAnsi="Times New Roman" w:cs="Times New Roman"/>
                <w:b/>
              </w:rPr>
            </w:pPr>
            <w:r w:rsidRPr="00BF4D0A">
              <w:rPr>
                <w:rFonts w:ascii="Times New Roman" w:hAnsi="Times New Roman" w:cs="Times New Roman"/>
              </w:rPr>
              <w:t>$2</w:t>
            </w:r>
            <w:r w:rsidRPr="00BF4D0A" w:rsidR="00EF09FB">
              <w:rPr>
                <w:rFonts w:ascii="Times New Roman" w:hAnsi="Times New Roman" w:cs="Times New Roman"/>
              </w:rPr>
              <w:t>55</w:t>
            </w:r>
            <w:r w:rsidRPr="00BF4D0A">
              <w:rPr>
                <w:rFonts w:ascii="Times New Roman" w:hAnsi="Times New Roman" w:cs="Times New Roman"/>
              </w:rPr>
              <w:t>,</w:t>
            </w:r>
            <w:r w:rsidRPr="00BF4D0A" w:rsidR="00EF09FB">
              <w:rPr>
                <w:rFonts w:ascii="Times New Roman" w:hAnsi="Times New Roman" w:cs="Times New Roman"/>
              </w:rPr>
              <w:t>152</w:t>
            </w:r>
          </w:p>
        </w:tc>
      </w:tr>
      <w:tr w:rsidRPr="00BF4D0A" w:rsidR="00200686" w:rsidTr="00B87FD9" w14:paraId="7B6A8A99" w14:textId="77777777">
        <w:trPr>
          <w:trHeight w:val="282"/>
        </w:trPr>
        <w:tc>
          <w:tcPr>
            <w:tcW w:w="1602" w:type="dxa"/>
          </w:tcPr>
          <w:p w:rsidRPr="00BF4D0A" w:rsidR="00200686" w:rsidP="00B87FD9" w:rsidRDefault="00200686" w14:paraId="171F88C9" w14:textId="1598FF41">
            <w:pPr>
              <w:spacing w:after="0" w:line="240" w:lineRule="auto"/>
              <w:ind w:left="73"/>
              <w:rPr>
                <w:rFonts w:ascii="Times New Roman" w:hAnsi="Times New Roman" w:cs="Times New Roman"/>
                <w:b/>
              </w:rPr>
            </w:pPr>
            <w:bookmarkStart w:name="_Hlk98189242" w:id="87"/>
            <w:r w:rsidRPr="00BF4D0A">
              <w:rPr>
                <w:rFonts w:ascii="Times New Roman" w:hAnsi="Times New Roman" w:cs="Times New Roman"/>
                <w:b/>
              </w:rPr>
              <w:t>Total</w:t>
            </w:r>
          </w:p>
        </w:tc>
        <w:tc>
          <w:tcPr>
            <w:tcW w:w="1608" w:type="dxa"/>
          </w:tcPr>
          <w:p w:rsidRPr="00BF4D0A" w:rsidR="00200686" w:rsidP="00576F93" w:rsidRDefault="00200686" w14:paraId="2FCF34A7" w14:textId="77777777">
            <w:pPr>
              <w:spacing w:after="0" w:line="240" w:lineRule="auto"/>
              <w:jc w:val="center"/>
              <w:rPr>
                <w:rFonts w:ascii="Times New Roman" w:hAnsi="Times New Roman" w:cs="Times New Roman"/>
              </w:rPr>
            </w:pPr>
          </w:p>
        </w:tc>
        <w:tc>
          <w:tcPr>
            <w:tcW w:w="1020" w:type="dxa"/>
          </w:tcPr>
          <w:p w:rsidRPr="00BF4D0A" w:rsidR="00200686" w:rsidP="00576F93" w:rsidRDefault="00200686" w14:paraId="3B23B5E6" w14:textId="77777777">
            <w:pPr>
              <w:spacing w:after="0" w:line="240" w:lineRule="auto"/>
              <w:jc w:val="center"/>
              <w:rPr>
                <w:rFonts w:ascii="Times New Roman" w:hAnsi="Times New Roman" w:cs="Times New Roman"/>
              </w:rPr>
            </w:pPr>
          </w:p>
        </w:tc>
        <w:tc>
          <w:tcPr>
            <w:tcW w:w="1332" w:type="dxa"/>
            <w:tcBorders>
              <w:right w:val="single" w:color="000000" w:sz="8" w:space="0"/>
            </w:tcBorders>
          </w:tcPr>
          <w:p w:rsidRPr="00BF4D0A" w:rsidR="00200686" w:rsidP="00576F93" w:rsidRDefault="00200686" w14:paraId="6405FA1D" w14:textId="133F5C62">
            <w:pPr>
              <w:spacing w:after="0" w:line="240" w:lineRule="auto"/>
              <w:ind w:left="69" w:right="67"/>
              <w:jc w:val="center"/>
              <w:rPr>
                <w:rFonts w:ascii="Times New Roman" w:hAnsi="Times New Roman" w:cs="Times New Roman"/>
                <w:b/>
              </w:rPr>
            </w:pPr>
            <w:r w:rsidRPr="00BF4D0A">
              <w:rPr>
                <w:rFonts w:ascii="Times New Roman" w:hAnsi="Times New Roman" w:cs="Times New Roman"/>
                <w:b/>
              </w:rPr>
              <w:t>11,080</w:t>
            </w:r>
          </w:p>
        </w:tc>
        <w:tc>
          <w:tcPr>
            <w:tcW w:w="1620" w:type="dxa"/>
            <w:tcBorders>
              <w:left w:val="single" w:color="000000" w:sz="8" w:space="0"/>
            </w:tcBorders>
          </w:tcPr>
          <w:p w:rsidRPr="00BF4D0A" w:rsidR="00200686" w:rsidP="00576F93" w:rsidRDefault="00200686" w14:paraId="54592844" w14:textId="5589ED55">
            <w:pPr>
              <w:spacing w:after="0" w:line="240" w:lineRule="auto"/>
              <w:ind w:left="63" w:right="51"/>
              <w:jc w:val="center"/>
              <w:rPr>
                <w:rFonts w:ascii="Times New Roman" w:hAnsi="Times New Roman" w:cs="Times New Roman"/>
                <w:b/>
              </w:rPr>
            </w:pPr>
            <w:r w:rsidRPr="00BF4D0A">
              <w:rPr>
                <w:rFonts w:ascii="Times New Roman" w:hAnsi="Times New Roman" w:cs="Times New Roman"/>
                <w:b/>
              </w:rPr>
              <w:t>$</w:t>
            </w:r>
            <w:r w:rsidRPr="00BF4D0A" w:rsidR="00EF09FB">
              <w:rPr>
                <w:rFonts w:ascii="Times New Roman" w:hAnsi="Times New Roman" w:cs="Times New Roman"/>
                <w:b/>
              </w:rPr>
              <w:t>916</w:t>
            </w:r>
            <w:r w:rsidRPr="00BF4D0A">
              <w:rPr>
                <w:rFonts w:ascii="Times New Roman" w:hAnsi="Times New Roman" w:cs="Times New Roman"/>
                <w:b/>
              </w:rPr>
              <w:t>,</w:t>
            </w:r>
            <w:r w:rsidRPr="00BF4D0A" w:rsidR="00AA77A0">
              <w:rPr>
                <w:rFonts w:ascii="Times New Roman" w:hAnsi="Times New Roman" w:cs="Times New Roman"/>
                <w:b/>
              </w:rPr>
              <w:t>383</w:t>
            </w:r>
          </w:p>
        </w:tc>
      </w:tr>
      <w:tr w:rsidRPr="00BF4D0A" w:rsidR="00093EAB" w:rsidTr="00FC1ACA" w14:paraId="39E6406E" w14:textId="77777777">
        <w:trPr>
          <w:trHeight w:val="282"/>
        </w:trPr>
        <w:tc>
          <w:tcPr>
            <w:tcW w:w="7182" w:type="dxa"/>
            <w:gridSpan w:val="5"/>
            <w:shd w:val="clear" w:color="auto" w:fill="E7E6E6" w:themeFill="background2"/>
          </w:tcPr>
          <w:p w:rsidRPr="00BF4D0A" w:rsidR="00093EAB" w:rsidP="00B87FD9" w:rsidRDefault="00093EAB" w14:paraId="77DB7A0D" w14:textId="27548087">
            <w:pPr>
              <w:spacing w:after="0" w:line="240" w:lineRule="auto"/>
              <w:ind w:left="63" w:right="51"/>
              <w:rPr>
                <w:rFonts w:ascii="Times New Roman" w:hAnsi="Times New Roman" w:cs="Times New Roman"/>
                <w:b/>
              </w:rPr>
            </w:pPr>
            <w:r w:rsidRPr="00BF4D0A">
              <w:rPr>
                <w:rFonts w:ascii="Times New Roman" w:hAnsi="Times New Roman" w:cs="Times New Roman"/>
                <w:b/>
              </w:rPr>
              <w:t>Facility + LEPC BURDEN</w:t>
            </w:r>
          </w:p>
        </w:tc>
      </w:tr>
      <w:tr w:rsidRPr="00BF4D0A" w:rsidR="00200686" w:rsidTr="00B87FD9" w14:paraId="615FB23B" w14:textId="77777777">
        <w:trPr>
          <w:trHeight w:val="282"/>
        </w:trPr>
        <w:tc>
          <w:tcPr>
            <w:tcW w:w="1602" w:type="dxa"/>
          </w:tcPr>
          <w:p w:rsidRPr="00BF4D0A" w:rsidR="00200686" w:rsidP="00B87FD9" w:rsidRDefault="00B87FD9" w14:paraId="00D4476B" w14:textId="29A7634B">
            <w:pPr>
              <w:spacing w:after="0" w:line="240" w:lineRule="auto"/>
              <w:rPr>
                <w:rFonts w:ascii="Times New Roman" w:hAnsi="Times New Roman" w:cs="Times New Roman"/>
                <w:b/>
              </w:rPr>
            </w:pPr>
            <w:r>
              <w:rPr>
                <w:rFonts w:ascii="Times New Roman" w:hAnsi="Times New Roman" w:cs="Times New Roman"/>
                <w:b/>
              </w:rPr>
              <w:t xml:space="preserve"> </w:t>
            </w:r>
            <w:r w:rsidRPr="00BF4D0A" w:rsidR="00200686">
              <w:rPr>
                <w:rFonts w:ascii="Times New Roman" w:hAnsi="Times New Roman" w:cs="Times New Roman"/>
                <w:b/>
              </w:rPr>
              <w:t>Grand Total</w:t>
            </w:r>
          </w:p>
        </w:tc>
        <w:tc>
          <w:tcPr>
            <w:tcW w:w="1608" w:type="dxa"/>
          </w:tcPr>
          <w:p w:rsidRPr="00BF4D0A" w:rsidR="00200686" w:rsidP="00576F93" w:rsidRDefault="00200686" w14:paraId="6AC48AF1" w14:textId="77777777">
            <w:pPr>
              <w:spacing w:after="0" w:line="240" w:lineRule="auto"/>
              <w:jc w:val="center"/>
              <w:rPr>
                <w:rFonts w:ascii="Times New Roman" w:hAnsi="Times New Roman" w:cs="Times New Roman"/>
              </w:rPr>
            </w:pPr>
          </w:p>
        </w:tc>
        <w:tc>
          <w:tcPr>
            <w:tcW w:w="1020" w:type="dxa"/>
          </w:tcPr>
          <w:p w:rsidRPr="00BF4D0A" w:rsidR="00200686" w:rsidP="00576F93" w:rsidRDefault="00200686" w14:paraId="11132CCD" w14:textId="77777777">
            <w:pPr>
              <w:spacing w:after="0" w:line="240" w:lineRule="auto"/>
              <w:jc w:val="center"/>
              <w:rPr>
                <w:rFonts w:ascii="Times New Roman" w:hAnsi="Times New Roman" w:cs="Times New Roman"/>
              </w:rPr>
            </w:pPr>
          </w:p>
        </w:tc>
        <w:tc>
          <w:tcPr>
            <w:tcW w:w="1332" w:type="dxa"/>
            <w:tcBorders>
              <w:right w:val="single" w:color="000000" w:sz="8" w:space="0"/>
            </w:tcBorders>
          </w:tcPr>
          <w:p w:rsidRPr="00BF4D0A" w:rsidR="00200686" w:rsidP="00576F93" w:rsidRDefault="00200686" w14:paraId="27AA6D0C" w14:textId="6060462D">
            <w:pPr>
              <w:spacing w:after="0" w:line="240" w:lineRule="auto"/>
              <w:ind w:left="69" w:right="67"/>
              <w:jc w:val="center"/>
              <w:rPr>
                <w:rFonts w:ascii="Times New Roman" w:hAnsi="Times New Roman" w:cs="Times New Roman"/>
                <w:b/>
              </w:rPr>
            </w:pPr>
          </w:p>
        </w:tc>
        <w:tc>
          <w:tcPr>
            <w:tcW w:w="1620" w:type="dxa"/>
            <w:tcBorders>
              <w:left w:val="single" w:color="000000" w:sz="8" w:space="0"/>
            </w:tcBorders>
          </w:tcPr>
          <w:p w:rsidRPr="00BF4D0A" w:rsidR="00200686" w:rsidP="00576F93" w:rsidRDefault="002C50C4" w14:paraId="50261E28" w14:textId="0773E8C4">
            <w:pPr>
              <w:spacing w:after="0" w:line="240" w:lineRule="auto"/>
              <w:ind w:left="63" w:right="51"/>
              <w:jc w:val="center"/>
              <w:rPr>
                <w:rFonts w:ascii="Times New Roman" w:hAnsi="Times New Roman" w:cs="Times New Roman"/>
                <w:b/>
              </w:rPr>
            </w:pPr>
            <w:r w:rsidRPr="00BF4D0A">
              <w:rPr>
                <w:rFonts w:ascii="Times New Roman" w:hAnsi="Times New Roman" w:cs="Times New Roman"/>
                <w:b/>
              </w:rPr>
              <w:t>$3,803,086</w:t>
            </w:r>
          </w:p>
        </w:tc>
      </w:tr>
    </w:tbl>
    <w:p w:rsidR="00CA3D57" w:rsidP="00813745" w:rsidRDefault="00CA3D57" w14:paraId="03EAD3E0" w14:textId="77777777">
      <w:pPr>
        <w:pStyle w:val="Heading2"/>
      </w:pPr>
      <w:bookmarkStart w:name="5.5_Information_Disclosure_Rule_Provisio" w:id="88"/>
      <w:bookmarkStart w:name="_bookmark86" w:id="89"/>
      <w:bookmarkStart w:name="_Toc98856224" w:id="90"/>
      <w:bookmarkEnd w:id="87"/>
      <w:bookmarkEnd w:id="88"/>
      <w:bookmarkEnd w:id="89"/>
    </w:p>
    <w:p w:rsidRPr="00BF4D0A" w:rsidR="00435210" w:rsidP="00813745" w:rsidRDefault="00164381" w14:paraId="2597089A" w14:textId="13113B0E">
      <w:pPr>
        <w:pStyle w:val="Heading2"/>
      </w:pPr>
      <w:bookmarkStart w:name="_Toc110502755" w:id="91"/>
      <w:r w:rsidRPr="00BF4D0A">
        <w:t xml:space="preserve">5.5 </w:t>
      </w:r>
      <w:r w:rsidRPr="00BF4D0A" w:rsidR="00A91A23">
        <w:t>Information Availability</w:t>
      </w:r>
      <w:r w:rsidRPr="00BF4D0A" w:rsidR="00435210">
        <w:t xml:space="preserve"> </w:t>
      </w:r>
      <w:r w:rsidRPr="00BF4D0A" w:rsidR="00ED6417">
        <w:t>to the Public</w:t>
      </w:r>
      <w:bookmarkEnd w:id="90"/>
      <w:bookmarkEnd w:id="91"/>
    </w:p>
    <w:p w:rsidR="00274846" w:rsidP="00AC10A1" w:rsidRDefault="00E235AD" w14:paraId="24DB9DE0" w14:textId="67396933">
      <w:pPr>
        <w:spacing w:after="0" w:line="240" w:lineRule="auto"/>
        <w:ind w:firstLine="360"/>
        <w:rPr>
          <w:rFonts w:ascii="Times New Roman" w:hAnsi="Times New Roman" w:cs="Times New Roman"/>
        </w:rPr>
      </w:pPr>
      <w:bookmarkStart w:name="5.5.1__Public_Meeting" w:id="92"/>
      <w:bookmarkEnd w:id="92"/>
      <w:r>
        <w:rPr>
          <w:rFonts w:ascii="Times New Roman" w:hAnsi="Times New Roman" w:cs="Times New Roman"/>
        </w:rPr>
        <w:tab/>
      </w:r>
      <w:r w:rsidRPr="00354967" w:rsidR="00354967">
        <w:rPr>
          <w:rFonts w:ascii="Times New Roman" w:hAnsi="Times New Roman" w:cs="Times New Roman"/>
        </w:rPr>
        <w:t>The RMP</w:t>
      </w:r>
      <w:r w:rsidR="00354967">
        <w:rPr>
          <w:rFonts w:ascii="Times New Roman" w:hAnsi="Times New Roman" w:cs="Times New Roman"/>
        </w:rPr>
        <w:t xml:space="preserve"> rule currently</w:t>
      </w:r>
      <w:r w:rsidR="00E91967">
        <w:rPr>
          <w:rFonts w:ascii="Times New Roman" w:hAnsi="Times New Roman" w:cs="Times New Roman"/>
        </w:rPr>
        <w:t xml:space="preserve"> does not</w:t>
      </w:r>
      <w:r w:rsidR="00354967">
        <w:rPr>
          <w:rFonts w:ascii="Times New Roman" w:hAnsi="Times New Roman" w:cs="Times New Roman"/>
        </w:rPr>
        <w:t xml:space="preserve"> </w:t>
      </w:r>
      <w:r w:rsidR="00BC5DA9">
        <w:rPr>
          <w:rFonts w:ascii="Times New Roman" w:hAnsi="Times New Roman" w:cs="Times New Roman"/>
        </w:rPr>
        <w:t>require</w:t>
      </w:r>
      <w:r w:rsidR="00E91967">
        <w:rPr>
          <w:rFonts w:ascii="Times New Roman" w:hAnsi="Times New Roman" w:cs="Times New Roman"/>
        </w:rPr>
        <w:t xml:space="preserve"> facilities to </w:t>
      </w:r>
      <w:r w:rsidRPr="00E91967" w:rsidR="00E91967">
        <w:rPr>
          <w:rFonts w:ascii="Times New Roman" w:hAnsi="Times New Roman" w:cs="Times New Roman"/>
        </w:rPr>
        <w:t>conduct</w:t>
      </w:r>
      <w:r w:rsidRPr="00E91967" w:rsidR="00BC5DA9">
        <w:rPr>
          <w:rFonts w:ascii="Times New Roman" w:hAnsi="Times New Roman" w:cs="Times New Roman"/>
        </w:rPr>
        <w:t xml:space="preserve"> </w:t>
      </w:r>
      <w:r w:rsidRPr="00E91967" w:rsidR="00E91967">
        <w:rPr>
          <w:rFonts w:ascii="Times New Roman" w:hAnsi="Times New Roman" w:cs="Times New Roman"/>
        </w:rPr>
        <w:t>i</w:t>
      </w:r>
      <w:r w:rsidRPr="00E91967" w:rsidR="00354967">
        <w:rPr>
          <w:rFonts w:ascii="Times New Roman" w:hAnsi="Times New Roman" w:cs="Times New Roman"/>
        </w:rPr>
        <w:t>nfor</w:t>
      </w:r>
      <w:r w:rsidRPr="00E91967" w:rsidR="00BC5DA9">
        <w:rPr>
          <w:rFonts w:ascii="Times New Roman" w:hAnsi="Times New Roman" w:cs="Times New Roman"/>
        </w:rPr>
        <w:t xml:space="preserve">mation </w:t>
      </w:r>
      <w:r w:rsidRPr="00E91967" w:rsidR="00E91967">
        <w:rPr>
          <w:rFonts w:ascii="Times New Roman" w:hAnsi="Times New Roman" w:cs="Times New Roman"/>
        </w:rPr>
        <w:t>availability</w:t>
      </w:r>
      <w:r w:rsidRPr="00E91967" w:rsidR="00BC5DA9">
        <w:rPr>
          <w:rFonts w:ascii="Times New Roman" w:hAnsi="Times New Roman" w:cs="Times New Roman"/>
        </w:rPr>
        <w:t xml:space="preserve"> activities.</w:t>
      </w:r>
      <w:r w:rsidR="00576F93">
        <w:rPr>
          <w:rFonts w:ascii="Times New Roman" w:hAnsi="Times New Roman" w:cs="Times New Roman"/>
        </w:rPr>
        <w:t xml:space="preserve"> </w:t>
      </w:r>
      <w:r w:rsidRPr="00BF4D0A" w:rsidR="00EA319C">
        <w:rPr>
          <w:rFonts w:ascii="Times New Roman" w:hAnsi="Times New Roman" w:cs="Times New Roman"/>
        </w:rPr>
        <w:t>Th</w:t>
      </w:r>
      <w:r w:rsidRPr="00BF4D0A" w:rsidR="00BC5DA9">
        <w:rPr>
          <w:rFonts w:ascii="Times New Roman" w:hAnsi="Times New Roman" w:cs="Times New Roman"/>
        </w:rPr>
        <w:t>e</w:t>
      </w:r>
      <w:r w:rsidRPr="00BF4D0A" w:rsidR="00EA319C">
        <w:rPr>
          <w:rFonts w:ascii="Times New Roman" w:hAnsi="Times New Roman" w:cs="Times New Roman"/>
        </w:rPr>
        <w:t xml:space="preserve"> </w:t>
      </w:r>
      <w:r w:rsidRPr="00BF4D0A" w:rsidR="00BC5DA9">
        <w:rPr>
          <w:rFonts w:ascii="Times New Roman" w:hAnsi="Times New Roman" w:cs="Times New Roman"/>
        </w:rPr>
        <w:t>proposed rule</w:t>
      </w:r>
      <w:r w:rsidRPr="00BF4D0A" w:rsidR="00EA319C">
        <w:rPr>
          <w:rFonts w:ascii="Times New Roman" w:hAnsi="Times New Roman" w:cs="Times New Roman"/>
        </w:rPr>
        <w:t xml:space="preserve"> would require </w:t>
      </w:r>
      <w:r w:rsidRPr="00BF4D0A" w:rsidR="00BC5DA9">
        <w:rPr>
          <w:rFonts w:ascii="Times New Roman" w:hAnsi="Times New Roman" w:cs="Times New Roman"/>
        </w:rPr>
        <w:t xml:space="preserve">all </w:t>
      </w:r>
      <w:r w:rsidRPr="00BF4D0A" w:rsidR="00EA319C">
        <w:rPr>
          <w:rFonts w:ascii="Times New Roman" w:hAnsi="Times New Roman" w:cs="Times New Roman"/>
        </w:rPr>
        <w:t>facilit</w:t>
      </w:r>
      <w:r w:rsidRPr="00BF4D0A" w:rsidR="00CF40A1">
        <w:rPr>
          <w:rFonts w:ascii="Times New Roman" w:hAnsi="Times New Roman" w:cs="Times New Roman"/>
        </w:rPr>
        <w:t>ies</w:t>
      </w:r>
      <w:r w:rsidRPr="00BF4D0A" w:rsidR="00BC5DA9">
        <w:rPr>
          <w:rFonts w:ascii="Times New Roman" w:hAnsi="Times New Roman" w:cs="Times New Roman"/>
        </w:rPr>
        <w:t xml:space="preserve">, including those with Program 1 processes, to </w:t>
      </w:r>
      <w:r w:rsidRPr="00BF4D0A" w:rsidR="00EA319C">
        <w:rPr>
          <w:rFonts w:ascii="Times New Roman" w:hAnsi="Times New Roman" w:cs="Times New Roman"/>
        </w:rPr>
        <w:t>make information</w:t>
      </w:r>
      <w:r w:rsidRPr="00BF4D0A" w:rsidR="003108C7">
        <w:rPr>
          <w:rFonts w:ascii="Times New Roman" w:hAnsi="Times New Roman" w:cs="Times New Roman"/>
        </w:rPr>
        <w:t xml:space="preserve"> related to RMP compliance </w:t>
      </w:r>
      <w:r w:rsidRPr="00BF4D0A" w:rsidR="00EA319C">
        <w:rPr>
          <w:rFonts w:ascii="Times New Roman" w:hAnsi="Times New Roman" w:cs="Times New Roman"/>
        </w:rPr>
        <w:t xml:space="preserve">available </w:t>
      </w:r>
      <w:r w:rsidRPr="00BF4D0A" w:rsidR="00694A02">
        <w:rPr>
          <w:rFonts w:ascii="Times New Roman" w:hAnsi="Times New Roman" w:cs="Times New Roman"/>
        </w:rPr>
        <w:t>upon request</w:t>
      </w:r>
      <w:r w:rsidRPr="00BF4D0A" w:rsidR="00EA319C">
        <w:rPr>
          <w:rFonts w:ascii="Times New Roman" w:hAnsi="Times New Roman" w:cs="Times New Roman"/>
        </w:rPr>
        <w:t xml:space="preserve"> in a manner that is easily accessible to </w:t>
      </w:r>
      <w:r w:rsidRPr="00BF4D0A" w:rsidR="00A8001F">
        <w:rPr>
          <w:rFonts w:ascii="Times New Roman" w:hAnsi="Times New Roman" w:cs="Times New Roman"/>
        </w:rPr>
        <w:t>community members living</w:t>
      </w:r>
      <w:r w:rsidRPr="00BF4D0A" w:rsidR="00FA61F4">
        <w:rPr>
          <w:rFonts w:ascii="Times New Roman" w:hAnsi="Times New Roman" w:cs="Times New Roman"/>
        </w:rPr>
        <w:t xml:space="preserve"> within 6 miles of the facility</w:t>
      </w:r>
      <w:r w:rsidRPr="00BF4D0A" w:rsidR="00077321">
        <w:rPr>
          <w:rFonts w:ascii="Times New Roman" w:hAnsi="Times New Roman" w:cs="Times New Roman"/>
        </w:rPr>
        <w:t>. The information would</w:t>
      </w:r>
      <w:r w:rsidRPr="00BF4D0A" w:rsidR="00EA319C">
        <w:rPr>
          <w:rFonts w:ascii="Times New Roman" w:hAnsi="Times New Roman" w:cs="Times New Roman"/>
        </w:rPr>
        <w:t xml:space="preserve"> includ</w:t>
      </w:r>
      <w:r w:rsidRPr="00BF4D0A" w:rsidR="00077321">
        <w:rPr>
          <w:rFonts w:ascii="Times New Roman" w:hAnsi="Times New Roman" w:cs="Times New Roman"/>
        </w:rPr>
        <w:t>e</w:t>
      </w:r>
      <w:r w:rsidRPr="00BF4D0A" w:rsidR="00EA319C">
        <w:rPr>
          <w:rFonts w:ascii="Times New Roman" w:hAnsi="Times New Roman" w:cs="Times New Roman"/>
        </w:rPr>
        <w:t xml:space="preserve"> </w:t>
      </w:r>
      <w:r w:rsidRPr="00BF4D0A" w:rsidR="00994579">
        <w:rPr>
          <w:rFonts w:ascii="Times New Roman" w:hAnsi="Times New Roman" w:cs="Times New Roman"/>
        </w:rPr>
        <w:t>t</w:t>
      </w:r>
      <w:r w:rsidRPr="00BF4D0A" w:rsidR="00EA319C">
        <w:rPr>
          <w:rFonts w:ascii="Times New Roman" w:hAnsi="Times New Roman" w:cs="Times New Roman"/>
        </w:rPr>
        <w:t>he names and Safety Data Sheets of regulated substances used at the facility, the facility’s accident history, emergency response program information, and LEPC contact information.</w:t>
      </w:r>
      <w:r w:rsidRPr="00BF4D0A" w:rsidR="00093EAB">
        <w:rPr>
          <w:rFonts w:ascii="Times New Roman" w:hAnsi="Times New Roman" w:cs="Times New Roman"/>
        </w:rPr>
        <w:t xml:space="preserve"> The assumption is that each facility receives 1 request per year from a community member residing within 6 miles of the facility. </w:t>
      </w:r>
      <w:r w:rsidRPr="00BF4D0A" w:rsidR="00435210">
        <w:rPr>
          <w:rFonts w:ascii="Times New Roman" w:hAnsi="Times New Roman" w:cs="Times New Roman"/>
        </w:rPr>
        <w:t xml:space="preserve">The breakout of costs related to </w:t>
      </w:r>
      <w:r w:rsidRPr="00BF4D0A" w:rsidR="00254DEC">
        <w:rPr>
          <w:rFonts w:ascii="Times New Roman" w:hAnsi="Times New Roman" w:cs="Times New Roman"/>
        </w:rPr>
        <w:t>Information Availability</w:t>
      </w:r>
      <w:r w:rsidRPr="00BF4D0A" w:rsidR="00435210">
        <w:rPr>
          <w:rFonts w:ascii="Times New Roman" w:hAnsi="Times New Roman" w:cs="Times New Roman"/>
        </w:rPr>
        <w:t xml:space="preserve"> is in Exhibit 5-</w:t>
      </w:r>
      <w:r w:rsidR="000C6504">
        <w:rPr>
          <w:rFonts w:ascii="Times New Roman" w:hAnsi="Times New Roman" w:cs="Times New Roman"/>
        </w:rPr>
        <w:t>8</w:t>
      </w:r>
      <w:r w:rsidR="00AC10A1">
        <w:rPr>
          <w:rFonts w:ascii="Times New Roman" w:hAnsi="Times New Roman" w:cs="Times New Roman"/>
        </w:rPr>
        <w:t>.</w:t>
      </w:r>
      <w:bookmarkStart w:name="_Hlk99525702" w:id="93"/>
      <w:r w:rsidRPr="001910CA" w:rsidR="001910CA">
        <w:t xml:space="preserve"> </w:t>
      </w:r>
      <w:r w:rsidRPr="001910CA" w:rsidR="001910CA">
        <w:rPr>
          <w:rFonts w:ascii="Times New Roman" w:hAnsi="Times New Roman" w:cs="Times New Roman"/>
        </w:rPr>
        <w:t>EPA does not consider the costs to the public in requesting this information</w:t>
      </w:r>
      <w:r w:rsidR="001910CA">
        <w:rPr>
          <w:rFonts w:ascii="Times New Roman" w:hAnsi="Times New Roman" w:cs="Times New Roman"/>
        </w:rPr>
        <w:t xml:space="preserve"> but </w:t>
      </w:r>
      <w:r w:rsidRPr="001910CA" w:rsidR="001910CA">
        <w:rPr>
          <w:rFonts w:ascii="Times New Roman" w:hAnsi="Times New Roman" w:cs="Times New Roman"/>
        </w:rPr>
        <w:t>expects these costs to be minimal.</w:t>
      </w:r>
    </w:p>
    <w:p w:rsidR="00AC10A1" w:rsidP="00AC10A1" w:rsidRDefault="00AC10A1" w14:paraId="2BC2956D" w14:textId="3E1D2654">
      <w:pPr>
        <w:spacing w:after="0" w:line="240" w:lineRule="auto"/>
        <w:ind w:firstLine="360"/>
        <w:rPr>
          <w:rFonts w:ascii="Times New Roman" w:hAnsi="Times New Roman" w:cs="Times New Roman"/>
          <w:b/>
          <w:bCs/>
          <w:i/>
          <w:iCs/>
        </w:rPr>
      </w:pPr>
    </w:p>
    <w:p w:rsidR="000401F5" w:rsidP="00AC10A1" w:rsidRDefault="000401F5" w14:paraId="7F5431C3" w14:textId="5C061075">
      <w:pPr>
        <w:spacing w:after="0" w:line="240" w:lineRule="auto"/>
        <w:ind w:firstLine="360"/>
        <w:rPr>
          <w:rFonts w:ascii="Times New Roman" w:hAnsi="Times New Roman" w:cs="Times New Roman"/>
          <w:b/>
          <w:bCs/>
          <w:i/>
          <w:iCs/>
        </w:rPr>
      </w:pPr>
    </w:p>
    <w:p w:rsidR="000401F5" w:rsidP="00AC10A1" w:rsidRDefault="000401F5" w14:paraId="6FB233D7" w14:textId="227BA90E">
      <w:pPr>
        <w:spacing w:after="0" w:line="240" w:lineRule="auto"/>
        <w:ind w:firstLine="360"/>
        <w:rPr>
          <w:rFonts w:ascii="Times New Roman" w:hAnsi="Times New Roman" w:cs="Times New Roman"/>
          <w:b/>
          <w:bCs/>
          <w:i/>
          <w:iCs/>
        </w:rPr>
      </w:pPr>
    </w:p>
    <w:p w:rsidR="000401F5" w:rsidP="00AC10A1" w:rsidRDefault="000401F5" w14:paraId="7D1151ED" w14:textId="1C80FB1E">
      <w:pPr>
        <w:spacing w:after="0" w:line="240" w:lineRule="auto"/>
        <w:ind w:firstLine="360"/>
        <w:rPr>
          <w:rFonts w:ascii="Times New Roman" w:hAnsi="Times New Roman" w:cs="Times New Roman"/>
          <w:b/>
          <w:bCs/>
          <w:i/>
          <w:iCs/>
        </w:rPr>
      </w:pPr>
    </w:p>
    <w:p w:rsidRPr="002D372A" w:rsidR="002D372A" w:rsidP="002D372A" w:rsidRDefault="002D372A" w14:paraId="3E325159" w14:textId="46038ED7">
      <w:pPr>
        <w:pStyle w:val="Caption"/>
        <w:jc w:val="center"/>
        <w:rPr>
          <w:rFonts w:ascii="Times New Roman" w:hAnsi="Times New Roman" w:cs="Times New Roman"/>
          <w:b/>
          <w:bCs/>
          <w:i w:val="0"/>
          <w:iCs w:val="0"/>
          <w:color w:val="auto"/>
          <w:sz w:val="22"/>
          <w:szCs w:val="22"/>
        </w:rPr>
      </w:pPr>
      <w:r w:rsidRPr="002D372A">
        <w:rPr>
          <w:rFonts w:ascii="Times New Roman" w:hAnsi="Times New Roman" w:cs="Times New Roman"/>
          <w:b/>
          <w:bCs/>
          <w:i w:val="0"/>
          <w:iCs w:val="0"/>
          <w:color w:val="auto"/>
          <w:sz w:val="22"/>
          <w:szCs w:val="22"/>
        </w:rPr>
        <w:lastRenderedPageBreak/>
        <w:t>Exhibit 5-</w:t>
      </w:r>
      <w:r w:rsidR="00340C2A">
        <w:rPr>
          <w:rFonts w:ascii="Times New Roman" w:hAnsi="Times New Roman" w:cs="Times New Roman"/>
          <w:b/>
          <w:bCs/>
          <w:i w:val="0"/>
          <w:iCs w:val="0"/>
          <w:color w:val="auto"/>
          <w:sz w:val="22"/>
          <w:szCs w:val="22"/>
        </w:rPr>
        <w:t>8</w:t>
      </w:r>
      <w:r w:rsidRPr="002D372A">
        <w:rPr>
          <w:rFonts w:ascii="Times New Roman" w:hAnsi="Times New Roman" w:cs="Times New Roman"/>
          <w:b/>
          <w:bCs/>
          <w:i w:val="0"/>
          <w:iCs w:val="0"/>
          <w:color w:val="auto"/>
          <w:sz w:val="22"/>
          <w:szCs w:val="22"/>
        </w:rPr>
        <w:t xml:space="preserve">: Costs for Information Availability Information Sharing Provision (2020 </w:t>
      </w:r>
      <w:r w:rsidR="00794F08">
        <w:rPr>
          <w:rFonts w:ascii="Times New Roman" w:hAnsi="Times New Roman" w:cs="Times New Roman"/>
          <w:b/>
          <w:bCs/>
          <w:i w:val="0"/>
          <w:iCs w:val="0"/>
          <w:color w:val="auto"/>
          <w:sz w:val="22"/>
          <w:szCs w:val="22"/>
        </w:rPr>
        <w:t>d</w:t>
      </w:r>
      <w:r w:rsidRPr="002D372A">
        <w:rPr>
          <w:rFonts w:ascii="Times New Roman" w:hAnsi="Times New Roman" w:cs="Times New Roman"/>
          <w:b/>
          <w:bCs/>
          <w:i w:val="0"/>
          <w:iCs w:val="0"/>
          <w:color w:val="auto"/>
          <w:sz w:val="22"/>
          <w:szCs w:val="22"/>
        </w:rPr>
        <w:t>ollars).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82"/>
        <w:gridCol w:w="1440"/>
        <w:gridCol w:w="1350"/>
        <w:gridCol w:w="1770"/>
        <w:gridCol w:w="1812"/>
      </w:tblGrid>
      <w:tr w:rsidRPr="00BF4D0A" w:rsidR="00435210" w:rsidTr="002D372A" w14:paraId="02815385" w14:textId="77777777">
        <w:trPr>
          <w:trHeight w:val="520"/>
          <w:jc w:val="center"/>
        </w:trPr>
        <w:tc>
          <w:tcPr>
            <w:tcW w:w="1782" w:type="dxa"/>
            <w:tcBorders>
              <w:left w:val="single" w:color="000000" w:sz="6" w:space="0"/>
              <w:right w:val="single" w:color="000000" w:sz="6" w:space="0"/>
            </w:tcBorders>
            <w:shd w:val="clear" w:color="auto" w:fill="DADADA"/>
            <w:vAlign w:val="bottom"/>
          </w:tcPr>
          <w:p w:rsidRPr="002D372A" w:rsidR="00435210" w:rsidP="002D372A" w:rsidRDefault="00435210" w14:paraId="6BBB6BF5" w14:textId="77777777">
            <w:pPr>
              <w:keepNext/>
              <w:spacing w:after="0" w:line="240" w:lineRule="auto"/>
              <w:ind w:left="1087" w:hanging="1017"/>
              <w:jc w:val="center"/>
              <w:rPr>
                <w:rFonts w:ascii="Times New Roman" w:hAnsi="Times New Roman" w:cs="Times New Roman"/>
                <w:b/>
                <w:sz w:val="20"/>
                <w:szCs w:val="20"/>
              </w:rPr>
            </w:pPr>
            <w:r w:rsidRPr="002D372A">
              <w:rPr>
                <w:rFonts w:ascii="Times New Roman" w:hAnsi="Times New Roman" w:cs="Times New Roman"/>
                <w:b/>
                <w:sz w:val="20"/>
                <w:szCs w:val="20"/>
              </w:rPr>
              <w:t>Facility Type</w:t>
            </w:r>
          </w:p>
        </w:tc>
        <w:tc>
          <w:tcPr>
            <w:tcW w:w="1440" w:type="dxa"/>
            <w:tcBorders>
              <w:left w:val="single" w:color="000000" w:sz="6" w:space="0"/>
              <w:right w:val="single" w:color="000000" w:sz="6" w:space="0"/>
            </w:tcBorders>
            <w:shd w:val="clear" w:color="auto" w:fill="DADADA"/>
            <w:vAlign w:val="bottom"/>
          </w:tcPr>
          <w:p w:rsidRPr="002D372A" w:rsidR="00435210" w:rsidP="00576F93" w:rsidRDefault="00435210" w14:paraId="10297A56" w14:textId="77777777">
            <w:pPr>
              <w:keepNext/>
              <w:spacing w:after="0" w:line="240" w:lineRule="auto"/>
              <w:ind w:left="91" w:right="55"/>
              <w:jc w:val="center"/>
              <w:rPr>
                <w:rFonts w:ascii="Times New Roman" w:hAnsi="Times New Roman" w:cs="Times New Roman"/>
                <w:b/>
                <w:sz w:val="20"/>
                <w:szCs w:val="20"/>
              </w:rPr>
            </w:pPr>
            <w:r w:rsidRPr="002D372A">
              <w:rPr>
                <w:rFonts w:ascii="Times New Roman" w:hAnsi="Times New Roman" w:cs="Times New Roman"/>
                <w:b/>
                <w:sz w:val="20"/>
                <w:szCs w:val="20"/>
              </w:rPr>
              <w:t>Annual</w:t>
            </w:r>
          </w:p>
          <w:p w:rsidRPr="002D372A" w:rsidR="00435210" w:rsidP="00576F93" w:rsidRDefault="00435210" w14:paraId="2246F11D" w14:textId="77777777">
            <w:pPr>
              <w:keepNext/>
              <w:spacing w:after="0" w:line="240" w:lineRule="auto"/>
              <w:ind w:left="79" w:right="55"/>
              <w:jc w:val="center"/>
              <w:rPr>
                <w:rFonts w:ascii="Times New Roman" w:hAnsi="Times New Roman" w:cs="Times New Roman"/>
                <w:b/>
                <w:sz w:val="20"/>
                <w:szCs w:val="20"/>
              </w:rPr>
            </w:pPr>
            <w:r w:rsidRPr="002D372A">
              <w:rPr>
                <w:rFonts w:ascii="Times New Roman" w:hAnsi="Times New Roman" w:cs="Times New Roman"/>
                <w:b/>
                <w:sz w:val="20"/>
                <w:szCs w:val="20"/>
              </w:rPr>
              <w:t>Frequency</w:t>
            </w:r>
          </w:p>
        </w:tc>
        <w:tc>
          <w:tcPr>
            <w:tcW w:w="1350" w:type="dxa"/>
            <w:tcBorders>
              <w:left w:val="single" w:color="000000" w:sz="6" w:space="0"/>
              <w:right w:val="single" w:color="000000" w:sz="6" w:space="0"/>
            </w:tcBorders>
            <w:shd w:val="clear" w:color="auto" w:fill="DADADA"/>
            <w:vAlign w:val="bottom"/>
          </w:tcPr>
          <w:p w:rsidRPr="002D372A" w:rsidR="00435210" w:rsidP="002D372A" w:rsidRDefault="00435210" w14:paraId="169C9E09" w14:textId="77777777">
            <w:pPr>
              <w:keepNext/>
              <w:spacing w:after="0" w:line="240" w:lineRule="auto"/>
              <w:ind w:left="75" w:right="133"/>
              <w:jc w:val="center"/>
              <w:rPr>
                <w:rFonts w:ascii="Times New Roman" w:hAnsi="Times New Roman" w:cs="Times New Roman"/>
                <w:b/>
                <w:sz w:val="20"/>
                <w:szCs w:val="20"/>
              </w:rPr>
            </w:pPr>
            <w:r w:rsidRPr="002D372A">
              <w:rPr>
                <w:rFonts w:ascii="Times New Roman" w:hAnsi="Times New Roman" w:cs="Times New Roman"/>
                <w:b/>
                <w:sz w:val="20"/>
                <w:szCs w:val="20"/>
              </w:rPr>
              <w:t>Unit Cost</w:t>
            </w:r>
          </w:p>
        </w:tc>
        <w:tc>
          <w:tcPr>
            <w:tcW w:w="1770" w:type="dxa"/>
            <w:tcBorders>
              <w:left w:val="single" w:color="000000" w:sz="6" w:space="0"/>
              <w:right w:val="single" w:color="000000" w:sz="6" w:space="0"/>
            </w:tcBorders>
            <w:shd w:val="clear" w:color="auto" w:fill="DADADA"/>
            <w:vAlign w:val="bottom"/>
          </w:tcPr>
          <w:p w:rsidRPr="002D372A" w:rsidR="00202CF3" w:rsidP="002D372A" w:rsidRDefault="00435210" w14:paraId="1167711A" w14:textId="39B0B295">
            <w:pPr>
              <w:keepNext/>
              <w:spacing w:after="0" w:line="240" w:lineRule="auto"/>
              <w:ind w:left="72"/>
              <w:jc w:val="center"/>
              <w:rPr>
                <w:rFonts w:ascii="Times New Roman" w:hAnsi="Times New Roman" w:cs="Times New Roman"/>
                <w:b/>
                <w:sz w:val="20"/>
                <w:szCs w:val="20"/>
              </w:rPr>
            </w:pPr>
            <w:r w:rsidRPr="002D372A">
              <w:rPr>
                <w:rFonts w:ascii="Times New Roman" w:hAnsi="Times New Roman" w:cs="Times New Roman"/>
                <w:b/>
                <w:sz w:val="20"/>
                <w:szCs w:val="20"/>
              </w:rPr>
              <w:t>Facilities</w:t>
            </w:r>
          </w:p>
          <w:p w:rsidRPr="002D372A" w:rsidR="00435210" w:rsidP="002D372A" w:rsidRDefault="00435210" w14:paraId="486A9DE7" w14:textId="3A775CC2">
            <w:pPr>
              <w:keepNext/>
              <w:spacing w:after="0" w:line="240" w:lineRule="auto"/>
              <w:ind w:left="72"/>
              <w:jc w:val="center"/>
              <w:rPr>
                <w:rFonts w:ascii="Times New Roman" w:hAnsi="Times New Roman" w:cs="Times New Roman"/>
                <w:b/>
                <w:sz w:val="20"/>
                <w:szCs w:val="20"/>
              </w:rPr>
            </w:pPr>
          </w:p>
        </w:tc>
        <w:tc>
          <w:tcPr>
            <w:tcW w:w="1812" w:type="dxa"/>
            <w:tcBorders>
              <w:left w:val="single" w:color="000000" w:sz="6" w:space="0"/>
              <w:right w:val="single" w:color="000000" w:sz="6" w:space="0"/>
            </w:tcBorders>
            <w:shd w:val="clear" w:color="auto" w:fill="DADADA"/>
            <w:vAlign w:val="bottom"/>
          </w:tcPr>
          <w:p w:rsidRPr="002D372A" w:rsidR="00435210" w:rsidP="002D372A" w:rsidRDefault="00435210" w14:paraId="3DB5CCDF" w14:textId="3981DC50">
            <w:pPr>
              <w:keepNext/>
              <w:spacing w:after="0" w:line="240" w:lineRule="auto"/>
              <w:ind w:left="99" w:right="238"/>
              <w:jc w:val="center"/>
              <w:rPr>
                <w:rFonts w:ascii="Times New Roman" w:hAnsi="Times New Roman" w:cs="Times New Roman"/>
                <w:b/>
                <w:sz w:val="20"/>
                <w:szCs w:val="20"/>
              </w:rPr>
            </w:pPr>
            <w:r w:rsidRPr="002D372A">
              <w:rPr>
                <w:rFonts w:ascii="Times New Roman" w:hAnsi="Times New Roman" w:cs="Times New Roman"/>
                <w:b/>
                <w:sz w:val="20"/>
                <w:szCs w:val="20"/>
              </w:rPr>
              <w:t xml:space="preserve">Total </w:t>
            </w:r>
            <w:r w:rsidRPr="002D372A" w:rsidR="00721E84">
              <w:rPr>
                <w:rFonts w:ascii="Times New Roman" w:hAnsi="Times New Roman" w:cs="Times New Roman"/>
                <w:b/>
                <w:sz w:val="20"/>
                <w:szCs w:val="20"/>
              </w:rPr>
              <w:t>Annualized</w:t>
            </w:r>
            <w:r w:rsidRPr="002D372A" w:rsidR="00860CFA">
              <w:rPr>
                <w:rFonts w:ascii="Times New Roman" w:hAnsi="Times New Roman" w:cs="Times New Roman"/>
                <w:b/>
                <w:sz w:val="20"/>
                <w:szCs w:val="20"/>
              </w:rPr>
              <w:t xml:space="preserve"> </w:t>
            </w:r>
            <w:r w:rsidRPr="002D372A">
              <w:rPr>
                <w:rFonts w:ascii="Times New Roman" w:hAnsi="Times New Roman" w:cs="Times New Roman"/>
                <w:b/>
                <w:sz w:val="20"/>
                <w:szCs w:val="20"/>
              </w:rPr>
              <w:t>Cost</w:t>
            </w:r>
          </w:p>
        </w:tc>
      </w:tr>
      <w:tr w:rsidRPr="00BF4D0A" w:rsidR="004873A3" w:rsidTr="002D372A" w14:paraId="4B227A59" w14:textId="77777777">
        <w:trPr>
          <w:trHeight w:val="250"/>
          <w:jc w:val="center"/>
        </w:trPr>
        <w:tc>
          <w:tcPr>
            <w:tcW w:w="1782" w:type="dxa"/>
            <w:tcBorders>
              <w:left w:val="single" w:color="000000" w:sz="6" w:space="0"/>
              <w:right w:val="single" w:color="000000" w:sz="6" w:space="0"/>
            </w:tcBorders>
            <w:vAlign w:val="bottom"/>
          </w:tcPr>
          <w:p w:rsidRPr="002D372A" w:rsidR="004873A3" w:rsidP="00576F93" w:rsidRDefault="004873A3" w14:paraId="357EBB66" w14:textId="02F87F8A">
            <w:pPr>
              <w:keepNext/>
              <w:spacing w:after="0" w:line="240" w:lineRule="auto"/>
              <w:ind w:left="127"/>
              <w:rPr>
                <w:rFonts w:ascii="Times New Roman" w:hAnsi="Times New Roman" w:cs="Times New Roman"/>
                <w:sz w:val="20"/>
                <w:szCs w:val="20"/>
              </w:rPr>
            </w:pPr>
            <w:r w:rsidRPr="002D372A">
              <w:rPr>
                <w:rFonts w:ascii="Times New Roman" w:hAnsi="Times New Roman" w:cs="Times New Roman"/>
                <w:sz w:val="20"/>
                <w:szCs w:val="20"/>
              </w:rPr>
              <w:t>Simple</w:t>
            </w:r>
          </w:p>
        </w:tc>
        <w:tc>
          <w:tcPr>
            <w:tcW w:w="1440" w:type="dxa"/>
            <w:tcBorders>
              <w:left w:val="single" w:color="000000" w:sz="6" w:space="0"/>
              <w:right w:val="single" w:color="000000" w:sz="6" w:space="0"/>
            </w:tcBorders>
            <w:vAlign w:val="bottom"/>
          </w:tcPr>
          <w:p w:rsidRPr="002D372A" w:rsidR="004873A3" w:rsidP="00576F93" w:rsidRDefault="004873A3" w14:paraId="59E7FE56" w14:textId="124174CD">
            <w:pPr>
              <w:keepNext/>
              <w:spacing w:after="0" w:line="240" w:lineRule="auto"/>
              <w:ind w:left="16"/>
              <w:jc w:val="center"/>
              <w:rPr>
                <w:rFonts w:ascii="Times New Roman" w:hAnsi="Times New Roman" w:cs="Times New Roman"/>
                <w:sz w:val="20"/>
                <w:szCs w:val="20"/>
              </w:rPr>
            </w:pPr>
            <w:r w:rsidRPr="002D372A">
              <w:rPr>
                <w:rFonts w:ascii="Times New Roman" w:hAnsi="Times New Roman" w:cs="Times New Roman"/>
                <w:sz w:val="20"/>
                <w:szCs w:val="20"/>
              </w:rPr>
              <w:t>1</w:t>
            </w:r>
          </w:p>
        </w:tc>
        <w:tc>
          <w:tcPr>
            <w:tcW w:w="1350" w:type="dxa"/>
            <w:tcBorders>
              <w:left w:val="single" w:color="000000" w:sz="6" w:space="0"/>
              <w:right w:val="single" w:color="000000" w:sz="6" w:space="0"/>
            </w:tcBorders>
            <w:vAlign w:val="bottom"/>
          </w:tcPr>
          <w:p w:rsidRPr="002D372A" w:rsidR="004873A3" w:rsidP="002D372A" w:rsidRDefault="004873A3" w14:paraId="3415119E" w14:textId="742AA1A2">
            <w:pPr>
              <w:keepNext/>
              <w:spacing w:after="0" w:line="240" w:lineRule="auto"/>
              <w:ind w:left="75" w:right="133"/>
              <w:jc w:val="center"/>
              <w:rPr>
                <w:rFonts w:ascii="Times New Roman" w:hAnsi="Times New Roman" w:cs="Times New Roman"/>
                <w:color w:val="000000"/>
                <w:sz w:val="20"/>
                <w:szCs w:val="20"/>
              </w:rPr>
            </w:pPr>
            <w:r w:rsidRPr="002D372A">
              <w:rPr>
                <w:rFonts w:ascii="Times New Roman" w:hAnsi="Times New Roman" w:cs="Times New Roman"/>
                <w:color w:val="000000"/>
                <w:sz w:val="20"/>
                <w:szCs w:val="20"/>
              </w:rPr>
              <w:t>$172</w:t>
            </w:r>
          </w:p>
        </w:tc>
        <w:tc>
          <w:tcPr>
            <w:tcW w:w="1770" w:type="dxa"/>
            <w:tcBorders>
              <w:left w:val="single" w:color="000000" w:sz="6" w:space="0"/>
              <w:right w:val="single" w:color="000000" w:sz="6" w:space="0"/>
            </w:tcBorders>
            <w:vAlign w:val="bottom"/>
          </w:tcPr>
          <w:p w:rsidRPr="002D372A" w:rsidR="004873A3" w:rsidP="002D372A" w:rsidRDefault="004873A3" w14:paraId="2751B537" w14:textId="2287A76F">
            <w:pPr>
              <w:keepNext/>
              <w:spacing w:after="0" w:line="240" w:lineRule="auto"/>
              <w:ind w:left="72" w:right="164"/>
              <w:jc w:val="center"/>
              <w:rPr>
                <w:rFonts w:ascii="Times New Roman" w:hAnsi="Times New Roman" w:cs="Times New Roman"/>
                <w:sz w:val="20"/>
                <w:szCs w:val="20"/>
              </w:rPr>
            </w:pPr>
            <w:r w:rsidRPr="002D372A">
              <w:rPr>
                <w:rFonts w:ascii="Times New Roman" w:hAnsi="Times New Roman" w:cs="Times New Roman"/>
                <w:sz w:val="20"/>
                <w:szCs w:val="20"/>
              </w:rPr>
              <w:t>10,082</w:t>
            </w:r>
          </w:p>
        </w:tc>
        <w:tc>
          <w:tcPr>
            <w:tcW w:w="1812" w:type="dxa"/>
            <w:tcBorders>
              <w:left w:val="single" w:color="000000" w:sz="6" w:space="0"/>
              <w:right w:val="single" w:color="000000" w:sz="6" w:space="0"/>
            </w:tcBorders>
            <w:vAlign w:val="bottom"/>
          </w:tcPr>
          <w:p w:rsidRPr="002D372A" w:rsidR="004873A3" w:rsidP="002D372A" w:rsidRDefault="004873A3" w14:paraId="04A1B828" w14:textId="492F103C">
            <w:pPr>
              <w:keepNext/>
              <w:spacing w:after="0" w:line="240" w:lineRule="auto"/>
              <w:ind w:left="99"/>
              <w:jc w:val="center"/>
              <w:rPr>
                <w:rFonts w:ascii="Times New Roman" w:hAnsi="Times New Roman" w:cs="Times New Roman"/>
                <w:color w:val="000000"/>
                <w:sz w:val="20"/>
                <w:szCs w:val="20"/>
              </w:rPr>
            </w:pPr>
            <w:r w:rsidRPr="002D372A">
              <w:rPr>
                <w:rFonts w:ascii="Times New Roman" w:hAnsi="Times New Roman" w:cs="Times New Roman"/>
                <w:color w:val="000000"/>
                <w:sz w:val="20"/>
                <w:szCs w:val="20"/>
              </w:rPr>
              <w:t>$868,953</w:t>
            </w:r>
          </w:p>
        </w:tc>
      </w:tr>
      <w:tr w:rsidRPr="00BF4D0A" w:rsidR="004873A3" w:rsidTr="002D372A" w14:paraId="1EF511DE" w14:textId="77777777">
        <w:trPr>
          <w:trHeight w:val="250"/>
          <w:jc w:val="center"/>
        </w:trPr>
        <w:tc>
          <w:tcPr>
            <w:tcW w:w="1782" w:type="dxa"/>
            <w:tcBorders>
              <w:left w:val="single" w:color="000000" w:sz="6" w:space="0"/>
              <w:right w:val="single" w:color="000000" w:sz="6" w:space="0"/>
            </w:tcBorders>
            <w:vAlign w:val="bottom"/>
          </w:tcPr>
          <w:p w:rsidRPr="002D372A" w:rsidR="004873A3" w:rsidP="00576F93" w:rsidRDefault="004873A3" w14:paraId="36FCC2C5" w14:textId="77777777">
            <w:pPr>
              <w:keepNext/>
              <w:spacing w:after="0" w:line="240" w:lineRule="auto"/>
              <w:ind w:left="127"/>
              <w:rPr>
                <w:rFonts w:ascii="Times New Roman" w:hAnsi="Times New Roman" w:cs="Times New Roman"/>
                <w:sz w:val="20"/>
                <w:szCs w:val="20"/>
              </w:rPr>
            </w:pPr>
            <w:r w:rsidRPr="002D372A">
              <w:rPr>
                <w:rFonts w:ascii="Times New Roman" w:hAnsi="Times New Roman" w:cs="Times New Roman"/>
                <w:sz w:val="20"/>
                <w:szCs w:val="20"/>
              </w:rPr>
              <w:t>Small Complex</w:t>
            </w:r>
          </w:p>
        </w:tc>
        <w:tc>
          <w:tcPr>
            <w:tcW w:w="1440" w:type="dxa"/>
            <w:tcBorders>
              <w:left w:val="single" w:color="000000" w:sz="6" w:space="0"/>
              <w:right w:val="single" w:color="000000" w:sz="6" w:space="0"/>
            </w:tcBorders>
            <w:vAlign w:val="bottom"/>
          </w:tcPr>
          <w:p w:rsidRPr="002D372A" w:rsidR="004873A3" w:rsidP="00576F93" w:rsidRDefault="004873A3" w14:paraId="19C8CF4B" w14:textId="77777777">
            <w:pPr>
              <w:keepNext/>
              <w:spacing w:after="0" w:line="240" w:lineRule="auto"/>
              <w:ind w:left="16"/>
              <w:jc w:val="center"/>
              <w:rPr>
                <w:rFonts w:ascii="Times New Roman" w:hAnsi="Times New Roman" w:cs="Times New Roman"/>
                <w:sz w:val="20"/>
                <w:szCs w:val="20"/>
              </w:rPr>
            </w:pPr>
            <w:r w:rsidRPr="002D372A">
              <w:rPr>
                <w:rFonts w:ascii="Times New Roman" w:hAnsi="Times New Roman" w:cs="Times New Roman"/>
                <w:sz w:val="20"/>
                <w:szCs w:val="20"/>
              </w:rPr>
              <w:t>1</w:t>
            </w:r>
          </w:p>
        </w:tc>
        <w:tc>
          <w:tcPr>
            <w:tcW w:w="1350" w:type="dxa"/>
            <w:tcBorders>
              <w:left w:val="single" w:color="000000" w:sz="6" w:space="0"/>
              <w:right w:val="single" w:color="000000" w:sz="6" w:space="0"/>
            </w:tcBorders>
            <w:vAlign w:val="bottom"/>
          </w:tcPr>
          <w:p w:rsidRPr="002D372A" w:rsidR="004873A3" w:rsidP="002D372A" w:rsidRDefault="004873A3" w14:paraId="47C52DE9" w14:textId="37BA7597">
            <w:pPr>
              <w:keepNext/>
              <w:spacing w:after="0" w:line="240" w:lineRule="auto"/>
              <w:ind w:left="75" w:right="133"/>
              <w:jc w:val="center"/>
              <w:rPr>
                <w:rFonts w:ascii="Times New Roman" w:hAnsi="Times New Roman" w:cs="Times New Roman"/>
                <w:sz w:val="20"/>
                <w:szCs w:val="20"/>
              </w:rPr>
            </w:pPr>
            <w:r w:rsidRPr="002D372A">
              <w:rPr>
                <w:rFonts w:ascii="Times New Roman" w:hAnsi="Times New Roman" w:cs="Times New Roman"/>
                <w:color w:val="000000"/>
                <w:sz w:val="20"/>
                <w:szCs w:val="20"/>
              </w:rPr>
              <w:t>$472</w:t>
            </w:r>
          </w:p>
        </w:tc>
        <w:tc>
          <w:tcPr>
            <w:tcW w:w="1770" w:type="dxa"/>
            <w:tcBorders>
              <w:left w:val="single" w:color="000000" w:sz="6" w:space="0"/>
              <w:right w:val="single" w:color="000000" w:sz="6" w:space="0"/>
            </w:tcBorders>
            <w:vAlign w:val="bottom"/>
          </w:tcPr>
          <w:p w:rsidRPr="002D372A" w:rsidR="004873A3" w:rsidP="002D372A" w:rsidRDefault="004873A3" w14:paraId="727F304A" w14:textId="0195D5A7">
            <w:pPr>
              <w:keepNext/>
              <w:spacing w:after="0" w:line="240" w:lineRule="auto"/>
              <w:ind w:left="72" w:right="164"/>
              <w:jc w:val="center"/>
              <w:rPr>
                <w:rFonts w:ascii="Times New Roman" w:hAnsi="Times New Roman" w:cs="Times New Roman"/>
                <w:sz w:val="20"/>
                <w:szCs w:val="20"/>
              </w:rPr>
            </w:pPr>
            <w:r w:rsidRPr="002D372A">
              <w:rPr>
                <w:rFonts w:ascii="Times New Roman" w:hAnsi="Times New Roman" w:cs="Times New Roman"/>
                <w:sz w:val="20"/>
                <w:szCs w:val="20"/>
              </w:rPr>
              <w:t>1,050</w:t>
            </w:r>
          </w:p>
        </w:tc>
        <w:tc>
          <w:tcPr>
            <w:tcW w:w="1812" w:type="dxa"/>
            <w:tcBorders>
              <w:left w:val="single" w:color="000000" w:sz="6" w:space="0"/>
              <w:right w:val="single" w:color="000000" w:sz="6" w:space="0"/>
            </w:tcBorders>
            <w:vAlign w:val="bottom"/>
          </w:tcPr>
          <w:p w:rsidRPr="002D372A" w:rsidR="004873A3" w:rsidP="002D372A" w:rsidRDefault="004873A3" w14:paraId="146C6F43" w14:textId="363EDAE2">
            <w:pPr>
              <w:keepNext/>
              <w:spacing w:after="0" w:line="240" w:lineRule="auto"/>
              <w:ind w:left="99"/>
              <w:jc w:val="center"/>
              <w:rPr>
                <w:rFonts w:ascii="Times New Roman" w:hAnsi="Times New Roman" w:cs="Times New Roman"/>
                <w:sz w:val="20"/>
                <w:szCs w:val="20"/>
              </w:rPr>
            </w:pPr>
            <w:r w:rsidRPr="002D372A">
              <w:rPr>
                <w:rFonts w:ascii="Times New Roman" w:hAnsi="Times New Roman" w:cs="Times New Roman"/>
                <w:color w:val="000000"/>
                <w:sz w:val="20"/>
                <w:szCs w:val="20"/>
              </w:rPr>
              <w:t>$247,860</w:t>
            </w:r>
          </w:p>
        </w:tc>
      </w:tr>
      <w:tr w:rsidRPr="00BF4D0A" w:rsidR="004873A3" w:rsidTr="002D372A" w14:paraId="5322FED1" w14:textId="77777777">
        <w:trPr>
          <w:trHeight w:val="237"/>
          <w:jc w:val="center"/>
        </w:trPr>
        <w:tc>
          <w:tcPr>
            <w:tcW w:w="1782" w:type="dxa"/>
            <w:tcBorders>
              <w:left w:val="single" w:color="000000" w:sz="6" w:space="0"/>
              <w:bottom w:val="single" w:color="000000" w:sz="6" w:space="0"/>
              <w:right w:val="single" w:color="000000" w:sz="6" w:space="0"/>
            </w:tcBorders>
            <w:vAlign w:val="bottom"/>
          </w:tcPr>
          <w:p w:rsidRPr="002D372A" w:rsidR="004873A3" w:rsidP="00576F93" w:rsidRDefault="004873A3" w14:paraId="3ABB31CA" w14:textId="77777777">
            <w:pPr>
              <w:spacing w:after="0" w:line="240" w:lineRule="auto"/>
              <w:ind w:left="127"/>
              <w:rPr>
                <w:rFonts w:ascii="Times New Roman" w:hAnsi="Times New Roman" w:cs="Times New Roman"/>
                <w:sz w:val="20"/>
                <w:szCs w:val="20"/>
              </w:rPr>
            </w:pPr>
            <w:r w:rsidRPr="002D372A">
              <w:rPr>
                <w:rFonts w:ascii="Times New Roman" w:hAnsi="Times New Roman" w:cs="Times New Roman"/>
                <w:sz w:val="20"/>
                <w:szCs w:val="20"/>
              </w:rPr>
              <w:t>Large Complex</w:t>
            </w:r>
          </w:p>
        </w:tc>
        <w:tc>
          <w:tcPr>
            <w:tcW w:w="1440" w:type="dxa"/>
            <w:tcBorders>
              <w:left w:val="single" w:color="000000" w:sz="6" w:space="0"/>
              <w:bottom w:val="single" w:color="000000" w:sz="6" w:space="0"/>
              <w:right w:val="single" w:color="000000" w:sz="6" w:space="0"/>
            </w:tcBorders>
            <w:vAlign w:val="bottom"/>
          </w:tcPr>
          <w:p w:rsidRPr="002D372A" w:rsidR="004873A3" w:rsidP="00576F93" w:rsidRDefault="004873A3" w14:paraId="3A71D871" w14:textId="77777777">
            <w:pPr>
              <w:spacing w:after="0" w:line="240" w:lineRule="auto"/>
              <w:ind w:left="16"/>
              <w:jc w:val="center"/>
              <w:rPr>
                <w:rFonts w:ascii="Times New Roman" w:hAnsi="Times New Roman" w:cs="Times New Roman"/>
                <w:sz w:val="20"/>
                <w:szCs w:val="20"/>
              </w:rPr>
            </w:pPr>
            <w:r w:rsidRPr="002D372A">
              <w:rPr>
                <w:rFonts w:ascii="Times New Roman" w:hAnsi="Times New Roman" w:cs="Times New Roman"/>
                <w:sz w:val="20"/>
                <w:szCs w:val="20"/>
              </w:rPr>
              <w:t>1</w:t>
            </w:r>
          </w:p>
        </w:tc>
        <w:tc>
          <w:tcPr>
            <w:tcW w:w="1350" w:type="dxa"/>
            <w:tcBorders>
              <w:left w:val="single" w:color="000000" w:sz="6" w:space="0"/>
              <w:bottom w:val="single" w:color="000000" w:sz="6" w:space="0"/>
              <w:right w:val="single" w:color="000000" w:sz="6" w:space="0"/>
            </w:tcBorders>
            <w:vAlign w:val="bottom"/>
          </w:tcPr>
          <w:p w:rsidRPr="002D372A" w:rsidR="004873A3" w:rsidP="002D372A" w:rsidRDefault="004873A3" w14:paraId="3C893A85" w14:textId="6E865D80">
            <w:pPr>
              <w:spacing w:after="0" w:line="240" w:lineRule="auto"/>
              <w:ind w:left="75" w:right="133"/>
              <w:jc w:val="center"/>
              <w:rPr>
                <w:rFonts w:ascii="Times New Roman" w:hAnsi="Times New Roman" w:cs="Times New Roman"/>
                <w:sz w:val="20"/>
                <w:szCs w:val="20"/>
              </w:rPr>
            </w:pPr>
            <w:r w:rsidRPr="002D372A">
              <w:rPr>
                <w:rFonts w:ascii="Times New Roman" w:hAnsi="Times New Roman" w:cs="Times New Roman"/>
                <w:color w:val="000000"/>
                <w:sz w:val="20"/>
                <w:szCs w:val="20"/>
              </w:rPr>
              <w:t>$6,279</w:t>
            </w:r>
          </w:p>
        </w:tc>
        <w:tc>
          <w:tcPr>
            <w:tcW w:w="1770" w:type="dxa"/>
            <w:tcBorders>
              <w:left w:val="single" w:color="000000" w:sz="6" w:space="0"/>
              <w:bottom w:val="single" w:color="000000" w:sz="6" w:space="0"/>
              <w:right w:val="single" w:color="000000" w:sz="6" w:space="0"/>
            </w:tcBorders>
            <w:vAlign w:val="bottom"/>
          </w:tcPr>
          <w:p w:rsidRPr="002D372A" w:rsidR="004873A3" w:rsidP="002D372A" w:rsidRDefault="004873A3" w14:paraId="7796E77D" w14:textId="3164C3C9">
            <w:pPr>
              <w:spacing w:after="0" w:line="240" w:lineRule="auto"/>
              <w:ind w:left="72" w:right="155"/>
              <w:jc w:val="center"/>
              <w:rPr>
                <w:rFonts w:ascii="Times New Roman" w:hAnsi="Times New Roman" w:cs="Times New Roman"/>
                <w:sz w:val="20"/>
                <w:szCs w:val="20"/>
              </w:rPr>
            </w:pPr>
            <w:r w:rsidRPr="002D372A">
              <w:rPr>
                <w:rFonts w:ascii="Times New Roman" w:hAnsi="Times New Roman" w:cs="Times New Roman"/>
                <w:sz w:val="20"/>
                <w:szCs w:val="20"/>
              </w:rPr>
              <w:t>608</w:t>
            </w:r>
          </w:p>
        </w:tc>
        <w:tc>
          <w:tcPr>
            <w:tcW w:w="1812" w:type="dxa"/>
            <w:tcBorders>
              <w:left w:val="single" w:color="000000" w:sz="6" w:space="0"/>
              <w:bottom w:val="single" w:color="000000" w:sz="6" w:space="0"/>
              <w:right w:val="single" w:color="000000" w:sz="6" w:space="0"/>
            </w:tcBorders>
            <w:vAlign w:val="bottom"/>
          </w:tcPr>
          <w:p w:rsidRPr="002D372A" w:rsidR="004873A3" w:rsidP="002D372A" w:rsidRDefault="004873A3" w14:paraId="733BAB2E" w14:textId="17A1E623">
            <w:pPr>
              <w:spacing w:after="0" w:line="240" w:lineRule="auto"/>
              <w:ind w:left="99"/>
              <w:jc w:val="center"/>
              <w:rPr>
                <w:rFonts w:ascii="Times New Roman" w:hAnsi="Times New Roman" w:cs="Times New Roman"/>
                <w:sz w:val="20"/>
                <w:szCs w:val="20"/>
              </w:rPr>
            </w:pPr>
            <w:r w:rsidRPr="002D372A">
              <w:rPr>
                <w:rFonts w:ascii="Times New Roman" w:hAnsi="Times New Roman" w:cs="Times New Roman"/>
                <w:color w:val="000000"/>
                <w:sz w:val="20"/>
                <w:szCs w:val="20"/>
              </w:rPr>
              <w:t>$1,908,780</w:t>
            </w:r>
          </w:p>
        </w:tc>
      </w:tr>
      <w:tr w:rsidRPr="00BF4D0A" w:rsidR="004873A3" w:rsidTr="002D372A" w14:paraId="648C6287" w14:textId="77777777">
        <w:trPr>
          <w:trHeight w:val="255"/>
          <w:jc w:val="center"/>
        </w:trPr>
        <w:tc>
          <w:tcPr>
            <w:tcW w:w="1782" w:type="dxa"/>
            <w:tcBorders>
              <w:top w:val="single" w:color="000000" w:sz="6" w:space="0"/>
              <w:left w:val="single" w:color="000000" w:sz="6" w:space="0"/>
              <w:bottom w:val="single" w:color="000000" w:sz="6" w:space="0"/>
              <w:right w:val="single" w:color="000000" w:sz="6" w:space="0"/>
            </w:tcBorders>
            <w:vAlign w:val="bottom"/>
          </w:tcPr>
          <w:p w:rsidRPr="002D372A" w:rsidR="004873A3" w:rsidP="00576F93" w:rsidRDefault="004873A3" w14:paraId="42E56D3E" w14:textId="77777777">
            <w:pPr>
              <w:spacing w:after="0" w:line="240" w:lineRule="auto"/>
              <w:ind w:left="246" w:right="210"/>
              <w:rPr>
                <w:rFonts w:ascii="Times New Roman" w:hAnsi="Times New Roman" w:cs="Times New Roman"/>
                <w:b/>
                <w:sz w:val="20"/>
                <w:szCs w:val="20"/>
              </w:rPr>
            </w:pPr>
            <w:r w:rsidRPr="002D372A">
              <w:rPr>
                <w:rFonts w:ascii="Times New Roman" w:hAnsi="Times New Roman" w:cs="Times New Roman"/>
                <w:b/>
                <w:sz w:val="20"/>
                <w:szCs w:val="20"/>
              </w:rPr>
              <w:t>Total</w:t>
            </w:r>
          </w:p>
        </w:tc>
        <w:tc>
          <w:tcPr>
            <w:tcW w:w="1440" w:type="dxa"/>
            <w:tcBorders>
              <w:top w:val="single" w:color="000000" w:sz="6" w:space="0"/>
              <w:left w:val="single" w:color="000000" w:sz="6" w:space="0"/>
              <w:bottom w:val="single" w:color="000000" w:sz="6" w:space="0"/>
              <w:right w:val="single" w:color="000000" w:sz="6" w:space="0"/>
            </w:tcBorders>
            <w:vAlign w:val="bottom"/>
          </w:tcPr>
          <w:p w:rsidRPr="002D372A" w:rsidR="004873A3" w:rsidP="00576F93" w:rsidRDefault="004873A3" w14:paraId="769CB8B7" w14:textId="77777777">
            <w:pPr>
              <w:spacing w:after="0" w:line="240" w:lineRule="auto"/>
              <w:jc w:val="center"/>
              <w:rPr>
                <w:rFonts w:ascii="Times New Roman" w:hAnsi="Times New Roman" w:cs="Times New Roman"/>
                <w:sz w:val="20"/>
                <w:szCs w:val="20"/>
              </w:rPr>
            </w:pPr>
          </w:p>
        </w:tc>
        <w:tc>
          <w:tcPr>
            <w:tcW w:w="1350" w:type="dxa"/>
            <w:tcBorders>
              <w:top w:val="single" w:color="000000" w:sz="6" w:space="0"/>
              <w:left w:val="single" w:color="000000" w:sz="6" w:space="0"/>
              <w:bottom w:val="single" w:color="000000" w:sz="6" w:space="0"/>
              <w:right w:val="single" w:color="000000" w:sz="6" w:space="0"/>
            </w:tcBorders>
            <w:vAlign w:val="bottom"/>
          </w:tcPr>
          <w:p w:rsidRPr="002D372A" w:rsidR="004873A3" w:rsidP="00576F93" w:rsidRDefault="004873A3" w14:paraId="75673DF0" w14:textId="77777777">
            <w:pPr>
              <w:spacing w:after="0" w:line="240" w:lineRule="auto"/>
              <w:jc w:val="center"/>
              <w:rPr>
                <w:rFonts w:ascii="Times New Roman" w:hAnsi="Times New Roman" w:cs="Times New Roman"/>
                <w:sz w:val="20"/>
                <w:szCs w:val="20"/>
              </w:rPr>
            </w:pPr>
          </w:p>
        </w:tc>
        <w:tc>
          <w:tcPr>
            <w:tcW w:w="1770" w:type="dxa"/>
            <w:tcBorders>
              <w:top w:val="single" w:color="000000" w:sz="6" w:space="0"/>
              <w:left w:val="single" w:color="000000" w:sz="6" w:space="0"/>
              <w:bottom w:val="single" w:color="000000" w:sz="6" w:space="0"/>
              <w:right w:val="single" w:color="000000" w:sz="6" w:space="0"/>
            </w:tcBorders>
            <w:vAlign w:val="bottom"/>
          </w:tcPr>
          <w:p w:rsidRPr="002D372A" w:rsidR="004873A3" w:rsidP="002D372A" w:rsidRDefault="004873A3" w14:paraId="14C00AF7" w14:textId="0FE118AF">
            <w:pPr>
              <w:spacing w:after="0" w:line="240" w:lineRule="auto"/>
              <w:ind w:left="72"/>
              <w:jc w:val="center"/>
              <w:rPr>
                <w:rFonts w:ascii="Times New Roman" w:hAnsi="Times New Roman" w:cs="Times New Roman"/>
                <w:b/>
                <w:sz w:val="20"/>
                <w:szCs w:val="20"/>
              </w:rPr>
            </w:pPr>
            <w:r w:rsidRPr="002D372A">
              <w:rPr>
                <w:rFonts w:ascii="Times New Roman" w:hAnsi="Times New Roman" w:cs="Times New Roman"/>
                <w:b/>
                <w:sz w:val="20"/>
                <w:szCs w:val="20"/>
              </w:rPr>
              <w:t>11,740</w:t>
            </w:r>
          </w:p>
        </w:tc>
        <w:tc>
          <w:tcPr>
            <w:tcW w:w="1812" w:type="dxa"/>
            <w:tcBorders>
              <w:top w:val="single" w:color="000000" w:sz="6" w:space="0"/>
              <w:left w:val="single" w:color="000000" w:sz="6" w:space="0"/>
              <w:bottom w:val="single" w:color="000000" w:sz="6" w:space="0"/>
              <w:right w:val="single" w:color="000000" w:sz="6" w:space="0"/>
            </w:tcBorders>
            <w:vAlign w:val="bottom"/>
          </w:tcPr>
          <w:p w:rsidRPr="002D372A" w:rsidR="004873A3" w:rsidP="002D372A" w:rsidRDefault="004873A3" w14:paraId="26715310" w14:textId="384BBCDD">
            <w:pPr>
              <w:spacing w:after="0" w:line="240" w:lineRule="auto"/>
              <w:ind w:left="99"/>
              <w:jc w:val="center"/>
              <w:rPr>
                <w:rFonts w:ascii="Times New Roman" w:hAnsi="Times New Roman" w:cs="Times New Roman"/>
                <w:b/>
                <w:sz w:val="20"/>
                <w:szCs w:val="20"/>
              </w:rPr>
            </w:pPr>
            <w:r w:rsidRPr="002D372A">
              <w:rPr>
                <w:rFonts w:ascii="Times New Roman" w:hAnsi="Times New Roman" w:cs="Times New Roman"/>
                <w:b/>
                <w:color w:val="000000"/>
                <w:sz w:val="20"/>
                <w:szCs w:val="20"/>
              </w:rPr>
              <w:t>$3,025,593</w:t>
            </w:r>
          </w:p>
        </w:tc>
      </w:tr>
    </w:tbl>
    <w:p w:rsidRPr="00BF4D0A" w:rsidR="00435210" w:rsidP="00576F93" w:rsidRDefault="00435210" w14:paraId="344DDAEB" w14:textId="77777777">
      <w:pPr>
        <w:spacing w:after="0" w:line="240" w:lineRule="auto"/>
        <w:rPr>
          <w:rFonts w:ascii="Times New Roman" w:hAnsi="Times New Roman" w:cs="Times New Roman"/>
        </w:rPr>
      </w:pPr>
      <w:bookmarkStart w:name="5.6__New_Responders" w:id="94"/>
      <w:bookmarkStart w:name="_bookmark88" w:id="95"/>
      <w:bookmarkEnd w:id="93"/>
      <w:bookmarkEnd w:id="94"/>
      <w:bookmarkEnd w:id="95"/>
    </w:p>
    <w:p w:rsidRPr="00CA3D57" w:rsidR="00435210" w:rsidP="00813745" w:rsidRDefault="00D41A5F" w14:paraId="29D4387F" w14:textId="6A98DBB9">
      <w:pPr>
        <w:pStyle w:val="Heading2"/>
      </w:pPr>
      <w:bookmarkStart w:name="5.7_Cost_Uncertainties_Associated_with_P" w:id="96"/>
      <w:bookmarkStart w:name="_bookmark92" w:id="97"/>
      <w:bookmarkStart w:name="_Toc98856225" w:id="98"/>
      <w:bookmarkStart w:name="_Toc110502756" w:id="99"/>
      <w:bookmarkEnd w:id="96"/>
      <w:bookmarkEnd w:id="97"/>
      <w:r w:rsidRPr="00CA3D57">
        <w:t xml:space="preserve">5.6 </w:t>
      </w:r>
      <w:r w:rsidRPr="00CA3D57" w:rsidR="00435210">
        <w:t>Cost</w:t>
      </w:r>
      <w:r w:rsidRPr="00CA3D57" w:rsidR="00435210">
        <w:rPr>
          <w:spacing w:val="-9"/>
        </w:rPr>
        <w:t xml:space="preserve"> </w:t>
      </w:r>
      <w:r w:rsidRPr="00CA3D57" w:rsidR="00435210">
        <w:t>Uncertainties</w:t>
      </w:r>
      <w:r w:rsidRPr="00CA3D57" w:rsidR="00435210">
        <w:rPr>
          <w:spacing w:val="-7"/>
        </w:rPr>
        <w:t xml:space="preserve"> </w:t>
      </w:r>
      <w:r w:rsidRPr="00CA3D57" w:rsidR="00435210">
        <w:t>Associated</w:t>
      </w:r>
      <w:r w:rsidRPr="00CA3D57" w:rsidR="00435210">
        <w:rPr>
          <w:spacing w:val="-19"/>
        </w:rPr>
        <w:t xml:space="preserve"> </w:t>
      </w:r>
      <w:r w:rsidRPr="00CA3D57" w:rsidR="00435210">
        <w:t>with</w:t>
      </w:r>
      <w:r w:rsidRPr="00CA3D57" w:rsidR="00435210">
        <w:rPr>
          <w:spacing w:val="-18"/>
        </w:rPr>
        <w:t xml:space="preserve"> </w:t>
      </w:r>
      <w:r w:rsidRPr="00CA3D57" w:rsidR="00435210">
        <w:t>Prevention</w:t>
      </w:r>
      <w:r w:rsidRPr="00CA3D57" w:rsidR="00435210">
        <w:rPr>
          <w:spacing w:val="-18"/>
        </w:rPr>
        <w:t xml:space="preserve"> </w:t>
      </w:r>
      <w:r w:rsidRPr="00CA3D57" w:rsidR="00435210">
        <w:t>Program</w:t>
      </w:r>
      <w:r w:rsidRPr="00CA3D57" w:rsidR="00435210">
        <w:rPr>
          <w:spacing w:val="-23"/>
        </w:rPr>
        <w:t xml:space="preserve"> </w:t>
      </w:r>
      <w:r w:rsidRPr="00CA3D57" w:rsidR="00435210">
        <w:t>Provisions</w:t>
      </w:r>
      <w:bookmarkEnd w:id="98"/>
      <w:bookmarkEnd w:id="99"/>
    </w:p>
    <w:p w:rsidRPr="00BF4D0A" w:rsidR="00435210" w:rsidP="00576F93" w:rsidRDefault="00E235AD" w14:paraId="58E68C52" w14:textId="700025A7">
      <w:pPr>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This section </w:t>
      </w:r>
      <w:r w:rsidRPr="00BF4D0A" w:rsidR="00093EAB">
        <w:rPr>
          <w:rFonts w:ascii="Times New Roman" w:hAnsi="Times New Roman" w:cs="Times New Roman"/>
        </w:rPr>
        <w:t>highlights some of</w:t>
      </w:r>
      <w:r w:rsidRPr="00BF4D0A" w:rsidR="00435210">
        <w:rPr>
          <w:rFonts w:ascii="Times New Roman" w:hAnsi="Times New Roman" w:cs="Times New Roman"/>
        </w:rPr>
        <w:t xml:space="preserve"> the uncertaint</w:t>
      </w:r>
      <w:r w:rsidRPr="00BF4D0A" w:rsidR="004F4310">
        <w:rPr>
          <w:rFonts w:ascii="Times New Roman" w:hAnsi="Times New Roman" w:cs="Times New Roman"/>
        </w:rPr>
        <w:t>ies</w:t>
      </w:r>
      <w:r w:rsidRPr="00BF4D0A" w:rsidR="00435210">
        <w:rPr>
          <w:rFonts w:ascii="Times New Roman" w:hAnsi="Times New Roman" w:cs="Times New Roman"/>
        </w:rPr>
        <w:t xml:space="preserve"> associated with estimating the costs of </w:t>
      </w:r>
      <w:r w:rsidRPr="00BF4D0A" w:rsidR="004F4310">
        <w:rPr>
          <w:rFonts w:ascii="Times New Roman" w:hAnsi="Times New Roman" w:cs="Times New Roman"/>
        </w:rPr>
        <w:t>the proposed rule provisions of</w:t>
      </w:r>
      <w:r w:rsidRPr="00BF4D0A" w:rsidR="00435210">
        <w:rPr>
          <w:rFonts w:ascii="Times New Roman" w:hAnsi="Times New Roman" w:cs="Times New Roman"/>
        </w:rPr>
        <w:t xml:space="preserve"> </w:t>
      </w:r>
      <w:r w:rsidRPr="00BF4D0A" w:rsidR="00A10237">
        <w:rPr>
          <w:rFonts w:ascii="Times New Roman" w:hAnsi="Times New Roman" w:cs="Times New Roman"/>
        </w:rPr>
        <w:t xml:space="preserve">the </w:t>
      </w:r>
      <w:r w:rsidRPr="00BF4D0A" w:rsidR="00FA3B63">
        <w:rPr>
          <w:rFonts w:ascii="Times New Roman" w:hAnsi="Times New Roman" w:cs="Times New Roman"/>
        </w:rPr>
        <w:t>STAA</w:t>
      </w:r>
      <w:r w:rsidR="00FA3B63">
        <w:rPr>
          <w:rFonts w:ascii="Times New Roman" w:hAnsi="Times New Roman" w:cs="Times New Roman"/>
        </w:rPr>
        <w:t>,</w:t>
      </w:r>
      <w:r w:rsidRPr="00BF4D0A" w:rsidR="00FA3B63">
        <w:rPr>
          <w:rFonts w:ascii="Times New Roman" w:hAnsi="Times New Roman" w:cs="Times New Roman"/>
        </w:rPr>
        <w:t xml:space="preserve"> </w:t>
      </w:r>
      <w:r w:rsidRPr="00BF4D0A" w:rsidR="006164B2">
        <w:rPr>
          <w:rFonts w:ascii="Times New Roman" w:hAnsi="Times New Roman" w:cs="Times New Roman"/>
        </w:rPr>
        <w:t xml:space="preserve">the root cause analysis and the </w:t>
      </w:r>
      <w:r w:rsidRPr="00BF4D0A" w:rsidR="00FA3B63">
        <w:rPr>
          <w:rFonts w:ascii="Times New Roman" w:hAnsi="Times New Roman" w:cs="Times New Roman"/>
        </w:rPr>
        <w:t xml:space="preserve">third-party audit </w:t>
      </w:r>
      <w:r w:rsidRPr="00BF4D0A" w:rsidR="00435210">
        <w:rPr>
          <w:rFonts w:ascii="Times New Roman" w:hAnsi="Times New Roman" w:cs="Times New Roman"/>
        </w:rPr>
        <w:t>provisions</w:t>
      </w:r>
      <w:r w:rsidRPr="00BF4D0A" w:rsidR="00574B58">
        <w:rPr>
          <w:rFonts w:ascii="Times New Roman" w:hAnsi="Times New Roman" w:cs="Times New Roman"/>
        </w:rPr>
        <w:t xml:space="preserve">. </w:t>
      </w:r>
      <w:proofErr w:type="gramStart"/>
      <w:r w:rsidRPr="00BF4D0A" w:rsidR="00574B58">
        <w:rPr>
          <w:rFonts w:ascii="Times New Roman" w:hAnsi="Times New Roman" w:cs="Times New Roman"/>
        </w:rPr>
        <w:t>I</w:t>
      </w:r>
      <w:r w:rsidRPr="00BF4D0A" w:rsidR="004364DB">
        <w:rPr>
          <w:rFonts w:ascii="Times New Roman" w:hAnsi="Times New Roman" w:cs="Times New Roman"/>
        </w:rPr>
        <w:t xml:space="preserve">n particular, </w:t>
      </w:r>
      <w:r w:rsidRPr="00BF4D0A" w:rsidR="00574B58">
        <w:rPr>
          <w:rFonts w:ascii="Times New Roman" w:hAnsi="Times New Roman" w:cs="Times New Roman"/>
        </w:rPr>
        <w:t>it</w:t>
      </w:r>
      <w:proofErr w:type="gramEnd"/>
      <w:r w:rsidRPr="00BF4D0A" w:rsidR="00574B58">
        <w:rPr>
          <w:rFonts w:ascii="Times New Roman" w:hAnsi="Times New Roman" w:cs="Times New Roman"/>
        </w:rPr>
        <w:t xml:space="preserve"> considers </w:t>
      </w:r>
      <w:r w:rsidRPr="00BF4D0A" w:rsidR="004364DB">
        <w:rPr>
          <w:rFonts w:ascii="Times New Roman" w:hAnsi="Times New Roman" w:cs="Times New Roman"/>
        </w:rPr>
        <w:t>the potential indirect</w:t>
      </w:r>
      <w:r w:rsidRPr="00BF4D0A" w:rsidR="008A713E">
        <w:rPr>
          <w:rFonts w:ascii="Times New Roman" w:hAnsi="Times New Roman" w:cs="Times New Roman"/>
        </w:rPr>
        <w:t>, follow-on</w:t>
      </w:r>
      <w:r w:rsidRPr="00BF4D0A" w:rsidR="004364DB">
        <w:rPr>
          <w:rFonts w:ascii="Times New Roman" w:hAnsi="Times New Roman" w:cs="Times New Roman"/>
        </w:rPr>
        <w:t xml:space="preserve"> costs that </w:t>
      </w:r>
      <w:r w:rsidRPr="00BF4D0A" w:rsidR="008A713E">
        <w:rPr>
          <w:rFonts w:ascii="Times New Roman" w:hAnsi="Times New Roman" w:cs="Times New Roman"/>
        </w:rPr>
        <w:t xml:space="preserve">facilities </w:t>
      </w:r>
      <w:r w:rsidRPr="00BF4D0A" w:rsidR="004364DB">
        <w:rPr>
          <w:rFonts w:ascii="Times New Roman" w:hAnsi="Times New Roman" w:cs="Times New Roman"/>
        </w:rPr>
        <w:t xml:space="preserve">could </w:t>
      </w:r>
      <w:proofErr w:type="spellStart"/>
      <w:r w:rsidRPr="00BF4D0A" w:rsidR="004364DB">
        <w:rPr>
          <w:rFonts w:ascii="Times New Roman" w:hAnsi="Times New Roman" w:cs="Times New Roman"/>
        </w:rPr>
        <w:t>incurr</w:t>
      </w:r>
      <w:proofErr w:type="spellEnd"/>
      <w:r w:rsidRPr="00BF4D0A" w:rsidR="004364DB">
        <w:rPr>
          <w:rFonts w:ascii="Times New Roman" w:hAnsi="Times New Roman" w:cs="Times New Roman"/>
        </w:rPr>
        <w:t xml:space="preserve"> if </w:t>
      </w:r>
      <w:r w:rsidRPr="00BF4D0A" w:rsidR="008A713E">
        <w:rPr>
          <w:rFonts w:ascii="Times New Roman" w:hAnsi="Times New Roman" w:cs="Times New Roman"/>
        </w:rPr>
        <w:t>they</w:t>
      </w:r>
      <w:r w:rsidRPr="00BF4D0A" w:rsidR="004364DB">
        <w:rPr>
          <w:rFonts w:ascii="Times New Roman" w:hAnsi="Times New Roman" w:cs="Times New Roman"/>
        </w:rPr>
        <w:t xml:space="preserve"> were to implement recommendations resulting from those </w:t>
      </w:r>
      <w:r w:rsidRPr="00BF4D0A" w:rsidR="008A713E">
        <w:rPr>
          <w:rFonts w:ascii="Times New Roman" w:hAnsi="Times New Roman" w:cs="Times New Roman"/>
        </w:rPr>
        <w:t>provisions</w:t>
      </w:r>
      <w:r w:rsidRPr="00BF4D0A" w:rsidR="004364DB">
        <w:rPr>
          <w:rFonts w:ascii="Times New Roman" w:hAnsi="Times New Roman" w:cs="Times New Roman"/>
        </w:rPr>
        <w:t>.</w:t>
      </w:r>
    </w:p>
    <w:p w:rsidR="00576F93" w:rsidP="00576F93" w:rsidRDefault="00576F93" w14:paraId="5C4A4938" w14:textId="77777777">
      <w:pPr>
        <w:keepNext/>
        <w:keepLines/>
        <w:spacing w:after="0" w:line="240" w:lineRule="auto"/>
        <w:rPr>
          <w:rFonts w:ascii="Times New Roman" w:hAnsi="Times New Roman" w:cs="Times New Roman"/>
          <w:i/>
          <w:u w:val="single"/>
        </w:rPr>
      </w:pPr>
    </w:p>
    <w:p w:rsidRPr="00576F93" w:rsidR="008B47E4" w:rsidP="008B47E4" w:rsidRDefault="008B47E4" w14:paraId="56703A88" w14:textId="77777777">
      <w:pPr>
        <w:spacing w:after="0" w:line="240" w:lineRule="auto"/>
        <w:rPr>
          <w:rFonts w:ascii="Times New Roman" w:hAnsi="Times New Roman" w:cs="Times New Roman"/>
          <w:i/>
        </w:rPr>
      </w:pPr>
      <w:r w:rsidRPr="00576F93">
        <w:rPr>
          <w:rFonts w:ascii="Times New Roman" w:hAnsi="Times New Roman" w:cs="Times New Roman"/>
          <w:i/>
        </w:rPr>
        <w:t>STAA</w:t>
      </w:r>
    </w:p>
    <w:p w:rsidR="008B47E4" w:rsidP="008B47E4" w:rsidRDefault="008B47E4" w14:paraId="2A825D22" w14:textId="77777777">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The proposed STAA requirement is intended to reveal potential opportunities for certain complex regulated facilities to eliminate or substantially reduce the hazards associated with regulated processes by performing a detailed analysis of alternative process technologies. The STAA provision would require the owner or operator to consider process hazard controls in the following descending order of preference: inherently safer technology (IST) or design, passive measures, active measures, and procedural measures. The provision also would require the owner or operator to determine the feasibility of the IST and designs considered.</w:t>
      </w:r>
    </w:p>
    <w:p w:rsidR="008B47E4" w:rsidP="008B47E4" w:rsidRDefault="008B47E4" w14:paraId="663BA024" w14:textId="77777777">
      <w:pPr>
        <w:spacing w:after="0" w:line="240" w:lineRule="auto"/>
        <w:ind w:firstLine="360"/>
        <w:rPr>
          <w:rFonts w:ascii="Times New Roman" w:hAnsi="Times New Roman" w:cs="Times New Roman"/>
          <w:i/>
          <w:u w:val="single"/>
        </w:rPr>
      </w:pPr>
    </w:p>
    <w:p w:rsidR="008B47E4" w:rsidP="008B47E4" w:rsidRDefault="008B47E4" w14:paraId="187B6729" w14:textId="77777777">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The proposed STAA provision is targeted at two sectors – petroleum and coal products manufacturing, and chemical manufacturing (NAICS codes 324 and 325, respectively) – that have had a high frequency of RMP-reportable accidents relative to other RMP-regulated industry sectors. The provisions would apply only to facilities in these two sectors with an HF unit and not currently conducting STAAs, or facilities within one mile of another facility in these two sectors. </w:t>
      </w:r>
    </w:p>
    <w:p w:rsidR="008B47E4" w:rsidP="008B47E4" w:rsidRDefault="008B47E4" w14:paraId="513160D1" w14:textId="77777777">
      <w:pPr>
        <w:spacing w:after="0" w:line="240" w:lineRule="auto"/>
        <w:ind w:firstLine="360"/>
        <w:rPr>
          <w:rFonts w:ascii="Times New Roman" w:hAnsi="Times New Roman" w:cs="Times New Roman"/>
          <w:i/>
          <w:u w:val="single"/>
        </w:rPr>
      </w:pPr>
    </w:p>
    <w:p w:rsidR="008B47E4" w:rsidP="008B47E4" w:rsidRDefault="008B47E4" w14:paraId="6E5C125B" w14:textId="77777777">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The current RMP rule already require owners and operators of most facilities in these sectors to perform a PHA. The PHA provision requires facilities to identify, evaluate, and control process hazards using appropriate engineering and administrative controls. However, the baseline requirement does not explicitly require the owner or operator to consider IST. EPA believes that requiring owners and operators of higher risk facilities to consider safer technologies and alternatives – with an emphasis on IST – may identify alternative hazard controls that were not considered in the baseline PHA requirement.</w:t>
      </w:r>
    </w:p>
    <w:p w:rsidR="008B47E4" w:rsidP="008B47E4" w:rsidRDefault="008B47E4" w14:paraId="5D39247E" w14:textId="77777777">
      <w:pPr>
        <w:spacing w:after="0" w:line="240" w:lineRule="auto"/>
        <w:ind w:firstLine="360"/>
        <w:rPr>
          <w:rFonts w:ascii="Times New Roman" w:hAnsi="Times New Roman" w:cs="Times New Roman"/>
          <w:i/>
          <w:u w:val="single"/>
        </w:rPr>
      </w:pPr>
    </w:p>
    <w:p w:rsidR="008B47E4" w:rsidP="008B47E4" w:rsidRDefault="008B47E4" w14:paraId="7439E44A" w14:textId="33A78873">
      <w:pPr>
        <w:spacing w:after="0" w:line="240" w:lineRule="auto"/>
        <w:ind w:firstLine="360"/>
        <w:rPr>
          <w:rFonts w:ascii="Times New Roman" w:hAnsi="Times New Roman" w:cs="Times New Roman"/>
        </w:rPr>
      </w:pPr>
      <w:r>
        <w:rPr>
          <w:rFonts w:ascii="Times New Roman" w:hAnsi="Times New Roman" w:cs="Times New Roman"/>
        </w:rPr>
        <w:tab/>
        <w:t>T</w:t>
      </w:r>
      <w:r w:rsidRPr="00BF4D0A">
        <w:rPr>
          <w:rFonts w:ascii="Times New Roman" w:hAnsi="Times New Roman" w:cs="Times New Roman"/>
        </w:rPr>
        <w:t xml:space="preserve">he proposed STAA provision does not require implementation of any process or operational changes identified as feasible. While implementation would be voluntary and therefore, beyond both the baseline and proposed rule STAA requirements, EPA believes that some facilities may voluntarily implement IST </w:t>
      </w:r>
      <w:proofErr w:type="gramStart"/>
      <w:r w:rsidRPr="00BF4D0A">
        <w:rPr>
          <w:rFonts w:ascii="Times New Roman" w:hAnsi="Times New Roman" w:cs="Times New Roman"/>
        </w:rPr>
        <w:t>as a result of</w:t>
      </w:r>
      <w:proofErr w:type="gramEnd"/>
      <w:r w:rsidRPr="00BF4D0A">
        <w:rPr>
          <w:rFonts w:ascii="Times New Roman" w:hAnsi="Times New Roman" w:cs="Times New Roman"/>
        </w:rPr>
        <w:t xml:space="preserve"> conducting the STAA. This is, in part, because the proposed definition of “feasible”</w:t>
      </w:r>
      <w:r w:rsidR="00256555">
        <w:t xml:space="preserve"> </w:t>
      </w:r>
      <w:r w:rsidRPr="00BF4D0A">
        <w:rPr>
          <w:rFonts w:ascii="Times New Roman" w:hAnsi="Times New Roman" w:cs="Times New Roman"/>
        </w:rPr>
        <w:t xml:space="preserve">may result in the adoption of alternatives that previously were not considered feasible (i.e., where barriers such as costs or environmental and legal factors previously had been judged as too high to warrant implementation). </w:t>
      </w:r>
      <w:r w:rsidR="004B0067">
        <w:rPr>
          <w:rFonts w:ascii="Times New Roman" w:hAnsi="Times New Roman" w:cs="Times New Roman"/>
        </w:rPr>
        <w:t>Add</w:t>
      </w:r>
      <w:r w:rsidR="2467B61F">
        <w:rPr>
          <w:rFonts w:ascii="Times New Roman" w:hAnsi="Times New Roman" w:cs="Times New Roman"/>
        </w:rPr>
        <w:t>i</w:t>
      </w:r>
      <w:r w:rsidR="004B0067">
        <w:rPr>
          <w:rFonts w:ascii="Times New Roman" w:hAnsi="Times New Roman" w:cs="Times New Roman"/>
        </w:rPr>
        <w:t>tionally, a</w:t>
      </w:r>
      <w:r w:rsidR="00C459AF">
        <w:rPr>
          <w:rFonts w:ascii="Times New Roman" w:hAnsi="Times New Roman" w:cs="Times New Roman"/>
        </w:rPr>
        <w:t xml:space="preserve">fter review </w:t>
      </w:r>
      <w:r w:rsidR="004B0067">
        <w:rPr>
          <w:rFonts w:ascii="Times New Roman" w:hAnsi="Times New Roman" w:cs="Times New Roman"/>
        </w:rPr>
        <w:t xml:space="preserve">of the </w:t>
      </w:r>
      <w:r w:rsidRPr="00BF4D0A">
        <w:rPr>
          <w:rFonts w:ascii="Times New Roman" w:hAnsi="Times New Roman" w:cs="Times New Roman"/>
        </w:rPr>
        <w:t>STAA and practicability analysis, the facility owner or operator may re-assess and decide to implement inherently safer alternative</w:t>
      </w:r>
      <w:r w:rsidR="00C459AF">
        <w:rPr>
          <w:rFonts w:ascii="Times New Roman" w:hAnsi="Times New Roman" w:cs="Times New Roman"/>
        </w:rPr>
        <w:t>s</w:t>
      </w:r>
      <w:r w:rsidR="004B0067">
        <w:rPr>
          <w:rFonts w:ascii="Times New Roman" w:hAnsi="Times New Roman" w:cs="Times New Roman"/>
        </w:rPr>
        <w:t>.</w:t>
      </w:r>
    </w:p>
    <w:p w:rsidR="008B47E4" w:rsidP="008B47E4" w:rsidRDefault="008B47E4" w14:paraId="6BF7E803" w14:textId="77777777">
      <w:pPr>
        <w:spacing w:after="0" w:line="240" w:lineRule="auto"/>
        <w:ind w:firstLine="360"/>
        <w:rPr>
          <w:rFonts w:ascii="Times New Roman" w:hAnsi="Times New Roman" w:cs="Times New Roman"/>
          <w:i/>
          <w:u w:val="single"/>
        </w:rPr>
      </w:pPr>
    </w:p>
    <w:p w:rsidR="008B47E4" w:rsidP="000D4AD7" w:rsidRDefault="008B47E4" w14:paraId="4E342972" w14:textId="118BAD1E">
      <w:pPr>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The costs of implementing recommendations resulting from the proposed STAA provision are uncertain. A facility owner or operator may voluntarily implement a high-cost change if they believe its benefits warrant the expense. EPA did not attempt to estimate the costs of voluntary implementation of alternative technologies identified in a STAA because of a high degree of uncertainty associated with which and how many facilities might </w:t>
      </w:r>
      <w:proofErr w:type="gramStart"/>
      <w:r w:rsidRPr="00BF4D0A">
        <w:rPr>
          <w:rFonts w:ascii="Times New Roman" w:hAnsi="Times New Roman" w:cs="Times New Roman"/>
        </w:rPr>
        <w:t>actually implement</w:t>
      </w:r>
      <w:proofErr w:type="gramEnd"/>
      <w:r w:rsidRPr="00BF4D0A">
        <w:rPr>
          <w:rFonts w:ascii="Times New Roman" w:hAnsi="Times New Roman" w:cs="Times New Roman"/>
        </w:rPr>
        <w:t xml:space="preserve"> </w:t>
      </w:r>
      <w:r w:rsidRPr="00BF4D0A" w:rsidDel="00856649">
        <w:rPr>
          <w:rFonts w:ascii="Times New Roman" w:hAnsi="Times New Roman" w:cs="Times New Roman"/>
        </w:rPr>
        <w:t xml:space="preserve">STAA projects. </w:t>
      </w:r>
      <w:r w:rsidRPr="00BF4D0A">
        <w:rPr>
          <w:rFonts w:ascii="Times New Roman" w:hAnsi="Times New Roman" w:cs="Times New Roman"/>
        </w:rPr>
        <w:t>Judgments regarding which changes are considered safer or inherently safer, and the feasibility of implementing such changes, is subjective.</w:t>
      </w:r>
    </w:p>
    <w:p w:rsidRPr="00576F93" w:rsidR="00435210" w:rsidP="00576F93" w:rsidRDefault="00435210" w14:paraId="36E1DBE5" w14:textId="18034FEA">
      <w:pPr>
        <w:spacing w:after="0" w:line="240" w:lineRule="auto"/>
        <w:rPr>
          <w:rFonts w:ascii="Times New Roman" w:hAnsi="Times New Roman" w:cs="Times New Roman"/>
          <w:i/>
        </w:rPr>
      </w:pPr>
      <w:r w:rsidRPr="00576F93">
        <w:rPr>
          <w:rFonts w:ascii="Times New Roman" w:hAnsi="Times New Roman" w:cs="Times New Roman"/>
          <w:i/>
        </w:rPr>
        <w:lastRenderedPageBreak/>
        <w:t>Root Cause Analysis</w:t>
      </w:r>
    </w:p>
    <w:p w:rsidR="00435210" w:rsidP="00576F93" w:rsidRDefault="00E235AD" w14:paraId="18F4BB7A" w14:textId="290F159D">
      <w:pPr>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The</w:t>
      </w:r>
      <w:r w:rsidRPr="00BF4D0A" w:rsidR="00993FEC">
        <w:rPr>
          <w:rFonts w:ascii="Times New Roman" w:hAnsi="Times New Roman" w:cs="Times New Roman"/>
        </w:rPr>
        <w:t xml:space="preserve"> RMP </w:t>
      </w:r>
      <w:r w:rsidRPr="00BF4D0A" w:rsidR="00435210">
        <w:rPr>
          <w:rFonts w:ascii="Times New Roman" w:hAnsi="Times New Roman" w:cs="Times New Roman"/>
        </w:rPr>
        <w:t>rule</w:t>
      </w:r>
      <w:r w:rsidRPr="00BF4D0A" w:rsidR="00993FEC">
        <w:rPr>
          <w:rFonts w:ascii="Times New Roman" w:hAnsi="Times New Roman" w:cs="Times New Roman"/>
        </w:rPr>
        <w:t xml:space="preserve"> currently</w:t>
      </w:r>
      <w:r w:rsidRPr="00BF4D0A" w:rsidR="00435210">
        <w:rPr>
          <w:rFonts w:ascii="Times New Roman" w:hAnsi="Times New Roman" w:cs="Times New Roman"/>
        </w:rPr>
        <w:t xml:space="preserve"> requires </w:t>
      </w:r>
      <w:r w:rsidRPr="00BF4D0A" w:rsidR="00993FEC">
        <w:rPr>
          <w:rFonts w:ascii="Times New Roman" w:hAnsi="Times New Roman" w:cs="Times New Roman"/>
        </w:rPr>
        <w:t xml:space="preserve">facilities to conduct </w:t>
      </w:r>
      <w:r w:rsidRPr="00BF4D0A" w:rsidR="00435210">
        <w:rPr>
          <w:rFonts w:ascii="Times New Roman" w:hAnsi="Times New Roman" w:cs="Times New Roman"/>
        </w:rPr>
        <w:t xml:space="preserve">incident investigations and </w:t>
      </w:r>
      <w:r w:rsidRPr="00BF4D0A" w:rsidR="00993FEC">
        <w:rPr>
          <w:rFonts w:ascii="Times New Roman" w:hAnsi="Times New Roman" w:cs="Times New Roman"/>
        </w:rPr>
        <w:t xml:space="preserve">address their </w:t>
      </w:r>
      <w:r w:rsidRPr="00BF4D0A" w:rsidR="00435210">
        <w:rPr>
          <w:rFonts w:ascii="Times New Roman" w:hAnsi="Times New Roman" w:cs="Times New Roman"/>
        </w:rPr>
        <w:t>finding</w:t>
      </w:r>
      <w:r w:rsidRPr="00BF4D0A" w:rsidR="00993FEC">
        <w:rPr>
          <w:rFonts w:ascii="Times New Roman" w:hAnsi="Times New Roman" w:cs="Times New Roman"/>
        </w:rPr>
        <w:t>s</w:t>
      </w:r>
      <w:r w:rsidRPr="00BF4D0A" w:rsidR="00435210">
        <w:rPr>
          <w:rFonts w:ascii="Times New Roman" w:hAnsi="Times New Roman" w:cs="Times New Roman"/>
        </w:rPr>
        <w:t xml:space="preserve">. However, the proposed rule contemplates a more thorough “root cause” investigation to identify underlying causes of an </w:t>
      </w:r>
      <w:r w:rsidRPr="00BF4D0A" w:rsidR="00F50A72">
        <w:rPr>
          <w:rFonts w:ascii="Times New Roman" w:hAnsi="Times New Roman" w:cs="Times New Roman"/>
        </w:rPr>
        <w:t>accident</w:t>
      </w:r>
      <w:r w:rsidRPr="00BF4D0A" w:rsidR="00435210">
        <w:rPr>
          <w:rFonts w:ascii="Times New Roman" w:hAnsi="Times New Roman" w:cs="Times New Roman"/>
        </w:rPr>
        <w:t>. The outcome of a root cause investigation could reveal more substantial system-related reasons why an incident occurred and identify correctable failures in</w:t>
      </w:r>
      <w:r w:rsidRPr="00BF4D0A" w:rsidR="00587546">
        <w:rPr>
          <w:rFonts w:ascii="Times New Roman" w:hAnsi="Times New Roman" w:cs="Times New Roman"/>
        </w:rPr>
        <w:t xml:space="preserve"> </w:t>
      </w:r>
      <w:r w:rsidRPr="00BF4D0A" w:rsidR="00435210">
        <w:rPr>
          <w:rFonts w:ascii="Times New Roman" w:hAnsi="Times New Roman" w:cs="Times New Roman"/>
        </w:rPr>
        <w:t>management systems. These underlying causes may not be identified under the baseline incident investigation provision.</w:t>
      </w:r>
      <w:r w:rsidR="00D80CD3">
        <w:rPr>
          <w:rFonts w:ascii="Times New Roman" w:hAnsi="Times New Roman" w:cs="Times New Roman"/>
        </w:rPr>
        <w:t xml:space="preserve"> </w:t>
      </w:r>
      <w:proofErr w:type="gramStart"/>
      <w:r w:rsidRPr="00BF4D0A" w:rsidR="00435210">
        <w:rPr>
          <w:rFonts w:ascii="Times New Roman" w:hAnsi="Times New Roman" w:cs="Times New Roman"/>
        </w:rPr>
        <w:t>Similar to</w:t>
      </w:r>
      <w:proofErr w:type="gramEnd"/>
      <w:r w:rsidRPr="00BF4D0A" w:rsidR="00435210">
        <w:rPr>
          <w:rFonts w:ascii="Times New Roman" w:hAnsi="Times New Roman" w:cs="Times New Roman"/>
        </w:rPr>
        <w:t xml:space="preserve"> </w:t>
      </w:r>
      <w:r w:rsidRPr="00BF4D0A" w:rsidR="00EF1BC3">
        <w:rPr>
          <w:rFonts w:ascii="Times New Roman" w:hAnsi="Times New Roman" w:cs="Times New Roman"/>
        </w:rPr>
        <w:t>compliance</w:t>
      </w:r>
      <w:r w:rsidRPr="00BF4D0A" w:rsidR="00435210">
        <w:rPr>
          <w:rFonts w:ascii="Times New Roman" w:hAnsi="Times New Roman" w:cs="Times New Roman"/>
        </w:rPr>
        <w:t xml:space="preserve"> audits, incident investigations can reveal a wide variety of causes</w:t>
      </w:r>
      <w:r w:rsidRPr="00BF4D0A" w:rsidR="00EF1BC3">
        <w:rPr>
          <w:rFonts w:ascii="Times New Roman" w:hAnsi="Times New Roman" w:cs="Times New Roman"/>
        </w:rPr>
        <w:t xml:space="preserve"> for an incident</w:t>
      </w:r>
      <w:r w:rsidR="00D80CD3">
        <w:rPr>
          <w:rFonts w:ascii="Times New Roman" w:hAnsi="Times New Roman" w:cs="Times New Roman"/>
        </w:rPr>
        <w:t>.</w:t>
      </w:r>
      <w:r w:rsidRPr="00BF4D0A" w:rsidR="00435210">
        <w:rPr>
          <w:rFonts w:ascii="Times New Roman" w:hAnsi="Times New Roman" w:cs="Times New Roman"/>
        </w:rPr>
        <w:t xml:space="preserve"> These can range from the immediate or proximate causes of an incident to its underlying, system-related cause or causes. For example, an investigation may reveal that the immediate cause of an incident was equipment failure (e.g., failure of a corroded pipe), or operator error (e.g., an operator performed procedural steps in an incorrect sequence). A deeper “root cause” investigation would go beyond these findings and identify the underlying reasons for why the equipment failed (e.g., underlying deficiencies in the facility’s mechanical integrity program) or why the operator made the error (e.g., underlying deficiencies in the facility’s operator training program).</w:t>
      </w:r>
    </w:p>
    <w:p w:rsidR="00E235AD" w:rsidP="00576F93" w:rsidRDefault="00E235AD" w14:paraId="76E89067" w14:textId="77777777">
      <w:pPr>
        <w:spacing w:after="0" w:line="240" w:lineRule="auto"/>
        <w:ind w:firstLine="360"/>
        <w:rPr>
          <w:rFonts w:ascii="Times New Roman" w:hAnsi="Times New Roman" w:cs="Times New Roman"/>
          <w:i/>
          <w:u w:val="single"/>
        </w:rPr>
      </w:pPr>
    </w:p>
    <w:p w:rsidR="00435210" w:rsidP="00576F93" w:rsidRDefault="00E235AD" w14:paraId="5A9C5D81" w14:textId="52F8C34A">
      <w:pPr>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The baseline incident investigation provision requires the owner or operator to determine “the factors that contributed to the incident,” but does not explicitly require the owner to perform a root cause investigation. Some regulated facilities may already interpret the baseline provision as requiring root cause investigations</w:t>
      </w:r>
      <w:r w:rsidRPr="00BF4D0A" w:rsidR="00574B58">
        <w:rPr>
          <w:rFonts w:ascii="Times New Roman" w:hAnsi="Times New Roman" w:cs="Times New Roman"/>
        </w:rPr>
        <w:t xml:space="preserve"> or may opt for a root cause investigation </w:t>
      </w:r>
      <w:proofErr w:type="gramStart"/>
      <w:r w:rsidRPr="00BF4D0A" w:rsidR="00574B58">
        <w:rPr>
          <w:rFonts w:ascii="Times New Roman" w:hAnsi="Times New Roman" w:cs="Times New Roman"/>
        </w:rPr>
        <w:t>in an effort to</w:t>
      </w:r>
      <w:proofErr w:type="gramEnd"/>
      <w:r w:rsidRPr="00BF4D0A" w:rsidR="00574B58">
        <w:rPr>
          <w:rFonts w:ascii="Times New Roman" w:hAnsi="Times New Roman" w:cs="Times New Roman"/>
        </w:rPr>
        <w:t xml:space="preserve"> uncover systemic problems</w:t>
      </w:r>
      <w:r w:rsidRPr="00BF4D0A" w:rsidR="00435210">
        <w:rPr>
          <w:rFonts w:ascii="Times New Roman" w:hAnsi="Times New Roman" w:cs="Times New Roman"/>
        </w:rPr>
        <w:t>, but EPA believes that many others do not. Because the proposed root cause investigation requirement is likely to result in many facilities identifying deeper</w:t>
      </w:r>
      <w:r w:rsidRPr="00BF4D0A" w:rsidR="00FE63C5">
        <w:rPr>
          <w:rFonts w:ascii="Times New Roman" w:hAnsi="Times New Roman" w:cs="Times New Roman"/>
        </w:rPr>
        <w:t>,</w:t>
      </w:r>
      <w:r w:rsidRPr="00BF4D0A" w:rsidR="00435210">
        <w:rPr>
          <w:rFonts w:ascii="Times New Roman" w:hAnsi="Times New Roman" w:cs="Times New Roman"/>
        </w:rPr>
        <w:t xml:space="preserve"> system-related causes of incidents, actions taken to resolve these </w:t>
      </w:r>
      <w:r w:rsidRPr="00BF4D0A" w:rsidR="00FE63C5">
        <w:rPr>
          <w:rFonts w:ascii="Times New Roman" w:hAnsi="Times New Roman" w:cs="Times New Roman"/>
        </w:rPr>
        <w:t xml:space="preserve">issues </w:t>
      </w:r>
      <w:r w:rsidRPr="00BF4D0A" w:rsidR="00435210">
        <w:rPr>
          <w:rFonts w:ascii="Times New Roman" w:hAnsi="Times New Roman" w:cs="Times New Roman"/>
        </w:rPr>
        <w:t xml:space="preserve">may require greater expenditures </w:t>
      </w:r>
      <w:r w:rsidRPr="00BF4D0A" w:rsidR="00FE63C5">
        <w:rPr>
          <w:rFonts w:ascii="Times New Roman" w:hAnsi="Times New Roman" w:cs="Times New Roman"/>
        </w:rPr>
        <w:t xml:space="preserve">what would occur under </w:t>
      </w:r>
      <w:r w:rsidRPr="00BF4D0A" w:rsidR="00435210">
        <w:rPr>
          <w:rFonts w:ascii="Times New Roman" w:hAnsi="Times New Roman" w:cs="Times New Roman"/>
        </w:rPr>
        <w:t xml:space="preserve">the baseline investigation requirement. For example, instead of replacing a single piece of failed piping, a root cause investigation </w:t>
      </w:r>
      <w:r w:rsidRPr="00BF4D0A" w:rsidR="00FE63C5">
        <w:rPr>
          <w:rFonts w:ascii="Times New Roman" w:hAnsi="Times New Roman" w:cs="Times New Roman"/>
        </w:rPr>
        <w:t>could</w:t>
      </w:r>
      <w:r w:rsidRPr="00BF4D0A" w:rsidR="00435210">
        <w:rPr>
          <w:rFonts w:ascii="Times New Roman" w:hAnsi="Times New Roman" w:cs="Times New Roman"/>
        </w:rPr>
        <w:t xml:space="preserve"> lead to facility-wide enhancements in piping inspections, and replacement of numerous additional piping sections where excessive corrosion was subsequently identified. Similarly, instead of providing additional training for a single operator, the root cause investigation </w:t>
      </w:r>
      <w:r w:rsidRPr="00BF4D0A" w:rsidR="00FE63C5">
        <w:rPr>
          <w:rFonts w:ascii="Times New Roman" w:hAnsi="Times New Roman" w:cs="Times New Roman"/>
        </w:rPr>
        <w:t>could</w:t>
      </w:r>
      <w:r w:rsidRPr="00BF4D0A" w:rsidR="00435210">
        <w:rPr>
          <w:rFonts w:ascii="Times New Roman" w:hAnsi="Times New Roman" w:cs="Times New Roman"/>
        </w:rPr>
        <w:t xml:space="preserve"> prompt a</w:t>
      </w:r>
      <w:r w:rsidRPr="00BF4D0A" w:rsidR="00FE63C5">
        <w:rPr>
          <w:rFonts w:ascii="Times New Roman" w:hAnsi="Times New Roman" w:cs="Times New Roman"/>
        </w:rPr>
        <w:t xml:space="preserve">n </w:t>
      </w:r>
      <w:r w:rsidRPr="00BF4D0A" w:rsidR="00435210">
        <w:rPr>
          <w:rFonts w:ascii="Times New Roman" w:hAnsi="Times New Roman" w:cs="Times New Roman"/>
        </w:rPr>
        <w:t>overhaul of the facility’s operator training program, including use of new training techniques</w:t>
      </w:r>
      <w:r w:rsidRPr="00BF4D0A" w:rsidR="00FE63C5">
        <w:rPr>
          <w:rFonts w:ascii="Times New Roman" w:hAnsi="Times New Roman" w:cs="Times New Roman"/>
        </w:rPr>
        <w:t xml:space="preserve"> </w:t>
      </w:r>
      <w:r w:rsidRPr="00BF4D0A" w:rsidR="00435210">
        <w:rPr>
          <w:rFonts w:ascii="Times New Roman" w:hAnsi="Times New Roman" w:cs="Times New Roman"/>
        </w:rPr>
        <w:t xml:space="preserve">and additional training for all process operators. Root cause investigations may also reveal multiple systemic accident causes. For example, in addition to identifying systemic training problems, the </w:t>
      </w:r>
      <w:r w:rsidRPr="00BF4D0A" w:rsidR="00FE63C5">
        <w:rPr>
          <w:rFonts w:ascii="Times New Roman" w:hAnsi="Times New Roman" w:cs="Times New Roman"/>
        </w:rPr>
        <w:t>i</w:t>
      </w:r>
      <w:r w:rsidRPr="00BF4D0A" w:rsidR="00435210">
        <w:rPr>
          <w:rFonts w:ascii="Times New Roman" w:hAnsi="Times New Roman" w:cs="Times New Roman"/>
        </w:rPr>
        <w:t>nvestigation may reveal other underlying root causes such as an equipment design problem that led the operator to make the error (e.g., confusing labeling or equipment configuration), or unclear operating procedures.</w:t>
      </w:r>
    </w:p>
    <w:p w:rsidR="00E235AD" w:rsidP="00576F93" w:rsidRDefault="00E235AD" w14:paraId="4EB6A85B" w14:textId="77777777">
      <w:pPr>
        <w:spacing w:after="0" w:line="240" w:lineRule="auto"/>
        <w:ind w:firstLine="360"/>
        <w:rPr>
          <w:rFonts w:ascii="Times New Roman" w:hAnsi="Times New Roman" w:cs="Times New Roman"/>
          <w:i/>
          <w:u w:val="single"/>
        </w:rPr>
      </w:pPr>
    </w:p>
    <w:p w:rsidR="00435210" w:rsidP="000D4AD7" w:rsidRDefault="00E235AD" w14:paraId="43A56ECA" w14:textId="50658BA4">
      <w:pPr>
        <w:widowControl w:val="0"/>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 xml:space="preserve">Resolving system-related deficiencies is expected, on average, to require greater expenditures than resolving investigation findings related to baseline (i.e., non-root-cause) investigations. However, </w:t>
      </w:r>
      <w:proofErr w:type="gramStart"/>
      <w:r w:rsidRPr="00BF4D0A" w:rsidR="00435210">
        <w:rPr>
          <w:rFonts w:ascii="Times New Roman" w:hAnsi="Times New Roman" w:cs="Times New Roman"/>
        </w:rPr>
        <w:t>similar to</w:t>
      </w:r>
      <w:proofErr w:type="gramEnd"/>
      <w:r w:rsidRPr="00BF4D0A" w:rsidR="00435210">
        <w:rPr>
          <w:rFonts w:ascii="Times New Roman" w:hAnsi="Times New Roman" w:cs="Times New Roman"/>
        </w:rPr>
        <w:t xml:space="preserve"> audits, EPA expects that resolving underlying problems will, in the long term, reduce the probability and magnitude of a future accident. </w:t>
      </w:r>
      <w:proofErr w:type="gramStart"/>
      <w:r w:rsidRPr="00BF4D0A" w:rsidR="00435210">
        <w:rPr>
          <w:rFonts w:ascii="Times New Roman" w:hAnsi="Times New Roman" w:cs="Times New Roman"/>
        </w:rPr>
        <w:t>Similar</w:t>
      </w:r>
      <w:r w:rsidRPr="00BF4D0A" w:rsidR="00970111">
        <w:rPr>
          <w:rFonts w:ascii="Times New Roman" w:hAnsi="Times New Roman" w:cs="Times New Roman"/>
        </w:rPr>
        <w:t xml:space="preserve"> </w:t>
      </w:r>
      <w:r w:rsidRPr="00BF4D0A" w:rsidR="00435210">
        <w:rPr>
          <w:rFonts w:ascii="Times New Roman" w:hAnsi="Times New Roman" w:cs="Times New Roman"/>
        </w:rPr>
        <w:t>to</w:t>
      </w:r>
      <w:proofErr w:type="gramEnd"/>
      <w:r w:rsidRPr="00BF4D0A" w:rsidR="00435210">
        <w:rPr>
          <w:rFonts w:ascii="Times New Roman" w:hAnsi="Times New Roman" w:cs="Times New Roman"/>
        </w:rPr>
        <w:t xml:space="preserve"> the audit, the incident investigation is intended to bring facilities into compliance by revealing deficient a</w:t>
      </w:r>
      <w:r w:rsidRPr="00BF4D0A" w:rsidR="00970111">
        <w:rPr>
          <w:rFonts w:ascii="Times New Roman" w:hAnsi="Times New Roman" w:cs="Times New Roman"/>
        </w:rPr>
        <w:t>reas</w:t>
      </w:r>
      <w:r w:rsidRPr="00BF4D0A" w:rsidR="00435210">
        <w:rPr>
          <w:rFonts w:ascii="Times New Roman" w:hAnsi="Times New Roman" w:cs="Times New Roman"/>
        </w:rPr>
        <w:t xml:space="preserve"> of facility operations – in this case, a</w:t>
      </w:r>
      <w:r w:rsidRPr="00BF4D0A" w:rsidR="00970111">
        <w:rPr>
          <w:rFonts w:ascii="Times New Roman" w:hAnsi="Times New Roman" w:cs="Times New Roman"/>
        </w:rPr>
        <w:t>reas</w:t>
      </w:r>
      <w:r w:rsidRPr="00BF4D0A" w:rsidR="00435210">
        <w:rPr>
          <w:rFonts w:ascii="Times New Roman" w:hAnsi="Times New Roman" w:cs="Times New Roman"/>
        </w:rPr>
        <w:t xml:space="preserve"> that have caused an accident and may cause future accidents. </w:t>
      </w:r>
      <w:r w:rsidRPr="00BF4D0A" w:rsidR="00574B58">
        <w:rPr>
          <w:rFonts w:ascii="Times New Roman" w:hAnsi="Times New Roman" w:cs="Times New Roman"/>
        </w:rPr>
        <w:t xml:space="preserve">However, EPA does not have information or data showing the increment in costs </w:t>
      </w:r>
      <w:r w:rsidRPr="00BF4D0A" w:rsidR="00856649">
        <w:rPr>
          <w:rFonts w:ascii="Times New Roman" w:hAnsi="Times New Roman" w:cs="Times New Roman"/>
        </w:rPr>
        <w:t xml:space="preserve">faced by a facility implementing changes recommended by a root cause analysis relative to a less deep incident investigation. </w:t>
      </w:r>
      <w:r w:rsidRPr="00BF4D0A" w:rsidR="007357EB">
        <w:rPr>
          <w:rFonts w:ascii="Times New Roman" w:hAnsi="Times New Roman" w:cs="Times New Roman"/>
        </w:rPr>
        <w:t xml:space="preserve">Due to these uncertainties and this lack of information, EPA did not </w:t>
      </w:r>
      <w:r w:rsidRPr="00BF4D0A" w:rsidR="00D13D38">
        <w:rPr>
          <w:rFonts w:ascii="Times New Roman" w:hAnsi="Times New Roman" w:cs="Times New Roman"/>
        </w:rPr>
        <w:t>e</w:t>
      </w:r>
      <w:r w:rsidRPr="00BF4D0A" w:rsidR="007357EB">
        <w:rPr>
          <w:rFonts w:ascii="Times New Roman" w:hAnsi="Times New Roman" w:cs="Times New Roman"/>
        </w:rPr>
        <w:t>stimate</w:t>
      </w:r>
      <w:r w:rsidRPr="00BF4D0A" w:rsidR="00D13D38">
        <w:rPr>
          <w:rFonts w:ascii="Times New Roman" w:hAnsi="Times New Roman" w:cs="Times New Roman"/>
        </w:rPr>
        <w:t xml:space="preserve"> potential</w:t>
      </w:r>
      <w:r w:rsidRPr="00BF4D0A" w:rsidR="007357EB">
        <w:rPr>
          <w:rFonts w:ascii="Times New Roman" w:hAnsi="Times New Roman" w:cs="Times New Roman"/>
        </w:rPr>
        <w:t xml:space="preserve"> </w:t>
      </w:r>
      <w:r w:rsidRPr="00BF4D0A" w:rsidR="00D13D38">
        <w:rPr>
          <w:rFonts w:ascii="Times New Roman" w:hAnsi="Times New Roman" w:cs="Times New Roman"/>
        </w:rPr>
        <w:t>c</w:t>
      </w:r>
      <w:r w:rsidRPr="00BF4D0A" w:rsidR="007357EB">
        <w:rPr>
          <w:rFonts w:ascii="Times New Roman" w:hAnsi="Times New Roman" w:cs="Times New Roman"/>
        </w:rPr>
        <w:t>osts from follow-up actions.</w:t>
      </w:r>
    </w:p>
    <w:p w:rsidR="008B47E4" w:rsidP="000D4AD7" w:rsidRDefault="008B47E4" w14:paraId="146CC288" w14:textId="77777777">
      <w:pPr>
        <w:widowControl w:val="0"/>
        <w:spacing w:after="0" w:line="240" w:lineRule="auto"/>
        <w:ind w:firstLine="360"/>
        <w:rPr>
          <w:rFonts w:ascii="Times New Roman" w:hAnsi="Times New Roman" w:cs="Times New Roman"/>
        </w:rPr>
      </w:pPr>
    </w:p>
    <w:p w:rsidRPr="00576F93" w:rsidR="008B47E4" w:rsidP="000D4AD7" w:rsidRDefault="008B47E4" w14:paraId="1FCA44CD" w14:textId="77777777">
      <w:pPr>
        <w:widowControl w:val="0"/>
        <w:spacing w:after="0" w:line="240" w:lineRule="auto"/>
        <w:rPr>
          <w:rFonts w:ascii="Times New Roman" w:hAnsi="Times New Roman" w:cs="Times New Roman"/>
          <w:i/>
        </w:rPr>
      </w:pPr>
      <w:r w:rsidRPr="00576F93">
        <w:rPr>
          <w:rFonts w:ascii="Times New Roman" w:hAnsi="Times New Roman" w:cs="Times New Roman"/>
          <w:i/>
        </w:rPr>
        <w:t>Third-party audits</w:t>
      </w:r>
    </w:p>
    <w:p w:rsidR="008B47E4" w:rsidP="000D4AD7" w:rsidRDefault="008B47E4" w14:paraId="2DBE2CD6" w14:textId="77777777">
      <w:pPr>
        <w:widowControl w:val="0"/>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The purpose of a compliance audit is to examine whether the facility’s accident prevention program – PHA, mechanical integrity program, operating procedures, etc. – is properly implemented and in compliance with 40 CFR part 68 requirements. Compliance audits can produce a wide range of findings. Changes recommended in the third-party audit relative to in-house compliance audits may be more costly.</w:t>
      </w:r>
    </w:p>
    <w:p w:rsidRPr="00BF4D0A" w:rsidR="008B47E4" w:rsidP="000D4AD7" w:rsidRDefault="008B47E4" w14:paraId="73CAE8B4" w14:textId="77777777">
      <w:pPr>
        <w:widowControl w:val="0"/>
        <w:spacing w:after="0" w:line="240" w:lineRule="auto"/>
        <w:ind w:firstLine="360"/>
        <w:rPr>
          <w:rFonts w:ascii="Times New Roman" w:hAnsi="Times New Roman" w:cs="Times New Roman"/>
        </w:rPr>
      </w:pPr>
    </w:p>
    <w:p w:rsidR="008B47E4" w:rsidP="000D4AD7" w:rsidRDefault="008B47E4" w14:paraId="4A4E2EDC" w14:textId="77777777">
      <w:pPr>
        <w:widowControl w:val="0"/>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Rigorous auditing by trained experts provides a detailed and thorough examination of potential problems and presents potential solutions to remedy those problems. Currently, compliance audits may be conducted by staff with less expertise or in-house staff that is not arms-length from the facility. The remedies suggested by a third-party audit are expected to be more efficient at identifying deficiencies and correcting hazards than remedies that would be recommended in the baseline. From this perspective, EPA expects that the more effective remedies suggested by third-party audits will impose different, but not necessarily additional, costs. They may </w:t>
      </w:r>
      <w:r w:rsidRPr="00BF4D0A">
        <w:rPr>
          <w:rFonts w:ascii="Times New Roman" w:hAnsi="Times New Roman" w:cs="Times New Roman"/>
        </w:rPr>
        <w:lastRenderedPageBreak/>
        <w:t>reveal underlying problems and remedies that result in a more efficient allocation of the resources targeted at bringing the facility into compliance with the RMP rule.</w:t>
      </w:r>
    </w:p>
    <w:p w:rsidRPr="00BF4D0A" w:rsidR="008B47E4" w:rsidP="008B47E4" w:rsidRDefault="008B47E4" w14:paraId="3468964C" w14:textId="77777777">
      <w:pPr>
        <w:keepNext/>
        <w:keepLines/>
        <w:spacing w:after="0" w:line="240" w:lineRule="auto"/>
        <w:ind w:firstLine="360"/>
        <w:rPr>
          <w:rFonts w:ascii="Times New Roman" w:hAnsi="Times New Roman" w:cs="Times New Roman"/>
        </w:rPr>
      </w:pPr>
    </w:p>
    <w:p w:rsidR="008B47E4" w:rsidP="008B47E4" w:rsidRDefault="008B47E4" w14:paraId="2B5ABC6D" w14:textId="77777777">
      <w:pPr>
        <w:keepNext/>
        <w:keepLines/>
        <w:spacing w:after="0" w:line="240" w:lineRule="auto"/>
        <w:ind w:firstLine="360"/>
        <w:rPr>
          <w:rFonts w:ascii="Times New Roman" w:hAnsi="Times New Roman" w:cs="Times New Roman"/>
        </w:rPr>
      </w:pPr>
      <w:r>
        <w:rPr>
          <w:rFonts w:ascii="Times New Roman" w:hAnsi="Times New Roman" w:cs="Times New Roman"/>
        </w:rPr>
        <w:tab/>
      </w:r>
      <w:r w:rsidRPr="00BF4D0A">
        <w:rPr>
          <w:rFonts w:ascii="Times New Roman" w:hAnsi="Times New Roman" w:cs="Times New Roman"/>
        </w:rPr>
        <w:t xml:space="preserve">Examples of potential actions resulting from third-party audits include more frequent equipment inspections, use of different or additional inspection methods, equipment upgrade or replacement, </w:t>
      </w:r>
      <w:proofErr w:type="gramStart"/>
      <w:r w:rsidRPr="00BF4D0A">
        <w:rPr>
          <w:rFonts w:ascii="Times New Roman" w:hAnsi="Times New Roman" w:cs="Times New Roman"/>
        </w:rPr>
        <w:t>installation</w:t>
      </w:r>
      <w:proofErr w:type="gramEnd"/>
      <w:r w:rsidRPr="00BF4D0A">
        <w:rPr>
          <w:rFonts w:ascii="Times New Roman" w:hAnsi="Times New Roman" w:cs="Times New Roman"/>
        </w:rPr>
        <w:t xml:space="preserve"> and use of different or additional hazard controls, altering process operating conditions, materials, or chemistry, modification of operating procedures, additional training, and staffing changes, among others. The wide scope of compliance audits and variation in potential follow up actions create uncertainty in estimating expected costs, which is exacerbated by a lack of information about the incremental difference in changes that result from a third-party audit compared to a baseline audit. Due to these uncertainties and this lack of information, EPA did not estimate the potential costs from follow-up actions.</w:t>
      </w:r>
    </w:p>
    <w:p w:rsidRPr="00BF4D0A" w:rsidR="007A3FB8" w:rsidP="008B47E4" w:rsidRDefault="007A3FB8" w14:paraId="51EC4737" w14:textId="77777777">
      <w:pPr>
        <w:keepNext/>
        <w:keepLines/>
        <w:spacing w:after="0" w:line="240" w:lineRule="auto"/>
        <w:ind w:firstLine="360"/>
        <w:rPr>
          <w:rFonts w:ascii="Times New Roman" w:hAnsi="Times New Roman" w:cs="Times New Roman"/>
        </w:rPr>
      </w:pPr>
    </w:p>
    <w:p w:rsidRPr="00BF4D0A" w:rsidR="00435210" w:rsidP="00813745" w:rsidRDefault="00217713" w14:paraId="6BD04586" w14:textId="179E7003">
      <w:pPr>
        <w:pStyle w:val="Heading2"/>
      </w:pPr>
      <w:bookmarkStart w:name="5.8__Total_Costs" w:id="100"/>
      <w:bookmarkStart w:name="_bookmark96" w:id="101"/>
      <w:bookmarkStart w:name="_Toc98856226" w:id="102"/>
      <w:bookmarkStart w:name="_Toc110502757" w:id="103"/>
      <w:bookmarkEnd w:id="100"/>
      <w:bookmarkEnd w:id="101"/>
      <w:r w:rsidRPr="00BF4D0A">
        <w:t xml:space="preserve">5.7 </w:t>
      </w:r>
      <w:r w:rsidRPr="00BF4D0A" w:rsidR="00435210">
        <w:t>Total</w:t>
      </w:r>
      <w:r w:rsidRPr="00BF4D0A" w:rsidR="00435210">
        <w:rPr>
          <w:spacing w:val="1"/>
        </w:rPr>
        <w:t xml:space="preserve"> </w:t>
      </w:r>
      <w:r w:rsidRPr="00BF4D0A" w:rsidR="00856649">
        <w:rPr>
          <w:spacing w:val="1"/>
        </w:rPr>
        <w:t xml:space="preserve">Estimated </w:t>
      </w:r>
      <w:r w:rsidRPr="00BF4D0A" w:rsidR="00435210">
        <w:t>Costs</w:t>
      </w:r>
      <w:bookmarkEnd w:id="102"/>
      <w:bookmarkEnd w:id="103"/>
    </w:p>
    <w:p w:rsidRPr="00576F93" w:rsidR="005B7518" w:rsidP="00576F93" w:rsidRDefault="00E235AD" w14:paraId="13261B8D" w14:textId="470B1089">
      <w:pPr>
        <w:spacing w:after="0" w:line="240" w:lineRule="auto"/>
        <w:ind w:firstLine="360"/>
        <w:rPr>
          <w:rFonts w:ascii="Times New Roman" w:hAnsi="Times New Roman" w:cs="Times New Roman"/>
        </w:rPr>
      </w:pPr>
      <w:r>
        <w:rPr>
          <w:rFonts w:ascii="Times New Roman" w:hAnsi="Times New Roman" w:cs="Times New Roman"/>
        </w:rPr>
        <w:tab/>
      </w:r>
      <w:r w:rsidRPr="00BF4D0A" w:rsidR="00435210">
        <w:rPr>
          <w:rFonts w:ascii="Times New Roman" w:hAnsi="Times New Roman" w:cs="Times New Roman"/>
        </w:rPr>
        <w:t>The analysis presents total costs as total undiscounted costs over the 10</w:t>
      </w:r>
      <w:r w:rsidRPr="00BF4D0A" w:rsidR="00CB69DF">
        <w:rPr>
          <w:rFonts w:ascii="Times New Roman" w:hAnsi="Times New Roman" w:cs="Times New Roman"/>
        </w:rPr>
        <w:t>-</w:t>
      </w:r>
      <w:r w:rsidRPr="00BF4D0A" w:rsidR="00435210">
        <w:rPr>
          <w:rFonts w:ascii="Times New Roman" w:hAnsi="Times New Roman" w:cs="Times New Roman"/>
        </w:rPr>
        <w:t>year period of analysis, total discounted (</w:t>
      </w:r>
      <w:r w:rsidRPr="00BF4D0A" w:rsidR="00B8445F">
        <w:rPr>
          <w:rFonts w:ascii="Times New Roman" w:hAnsi="Times New Roman" w:cs="Times New Roman"/>
        </w:rPr>
        <w:t xml:space="preserve">at </w:t>
      </w:r>
      <w:r w:rsidRPr="00BF4D0A" w:rsidR="00435210">
        <w:rPr>
          <w:rFonts w:ascii="Times New Roman" w:hAnsi="Times New Roman" w:cs="Times New Roman"/>
        </w:rPr>
        <w:t>3 percent and 7 percent), and annualized (</w:t>
      </w:r>
      <w:r w:rsidRPr="00BF4D0A" w:rsidR="00B8445F">
        <w:rPr>
          <w:rFonts w:ascii="Times New Roman" w:hAnsi="Times New Roman" w:cs="Times New Roman"/>
        </w:rPr>
        <w:t xml:space="preserve">at </w:t>
      </w:r>
      <w:r w:rsidRPr="00BF4D0A" w:rsidR="00435210">
        <w:rPr>
          <w:rFonts w:ascii="Times New Roman" w:hAnsi="Times New Roman" w:cs="Times New Roman"/>
        </w:rPr>
        <w:t xml:space="preserve">3 percent and 7 percent). When annual costs for different years are equal across the analysis </w:t>
      </w:r>
      <w:proofErr w:type="gramStart"/>
      <w:r w:rsidRPr="00BF4D0A" w:rsidR="00435210">
        <w:rPr>
          <w:rFonts w:ascii="Times New Roman" w:hAnsi="Times New Roman" w:cs="Times New Roman"/>
        </w:rPr>
        <w:t>time period</w:t>
      </w:r>
      <w:proofErr w:type="gramEnd"/>
      <w:r w:rsidRPr="00BF4D0A" w:rsidR="00435210">
        <w:rPr>
          <w:rFonts w:ascii="Times New Roman" w:hAnsi="Times New Roman" w:cs="Times New Roman"/>
        </w:rPr>
        <w:t>,</w:t>
      </w:r>
      <w:r w:rsidRPr="00BF4D0A" w:rsidR="00856649">
        <w:rPr>
          <w:rFonts w:ascii="Times New Roman" w:hAnsi="Times New Roman" w:cs="Times New Roman"/>
        </w:rPr>
        <w:t xml:space="preserve"> which is the case for all but </w:t>
      </w:r>
      <w:r w:rsidR="00175E30">
        <w:rPr>
          <w:rFonts w:ascii="Times New Roman" w:hAnsi="Times New Roman" w:cs="Times New Roman"/>
        </w:rPr>
        <w:t>two</w:t>
      </w:r>
      <w:r w:rsidRPr="00BF4D0A" w:rsidR="00856649">
        <w:rPr>
          <w:rFonts w:ascii="Times New Roman" w:hAnsi="Times New Roman" w:cs="Times New Roman"/>
        </w:rPr>
        <w:t xml:space="preserve"> proposed rule provision</w:t>
      </w:r>
      <w:r w:rsidR="00175E30">
        <w:rPr>
          <w:rFonts w:ascii="Times New Roman" w:hAnsi="Times New Roman" w:cs="Times New Roman"/>
        </w:rPr>
        <w:t>s (rule familiarization and backup power for perimeter monitors)</w:t>
      </w:r>
      <w:r w:rsidRPr="00BF4D0A" w:rsidR="00856649">
        <w:rPr>
          <w:rFonts w:ascii="Times New Roman" w:hAnsi="Times New Roman" w:cs="Times New Roman"/>
        </w:rPr>
        <w:t>,</w:t>
      </w:r>
      <w:r w:rsidRPr="00BF4D0A" w:rsidR="00435210">
        <w:rPr>
          <w:rFonts w:ascii="Times New Roman" w:hAnsi="Times New Roman" w:cs="Times New Roman"/>
        </w:rPr>
        <w:t xml:space="preserve"> the annualized costs calculated using different discount rates (e.g., 3 and 7 percent) are equal.</w:t>
      </w:r>
      <w:r w:rsidRPr="00BF4D0A" w:rsidR="00723D49">
        <w:rPr>
          <w:rFonts w:ascii="Times New Roman" w:hAnsi="Times New Roman" w:cs="Times New Roman"/>
        </w:rPr>
        <w:t xml:space="preserve"> </w:t>
      </w:r>
      <w:r w:rsidRPr="00BF4D0A" w:rsidR="00200686">
        <w:rPr>
          <w:rFonts w:ascii="Times New Roman" w:hAnsi="Times New Roman" w:cs="Times New Roman"/>
        </w:rPr>
        <w:t>Exhibit 5-</w:t>
      </w:r>
      <w:r w:rsidR="00E111F0">
        <w:rPr>
          <w:rFonts w:ascii="Times New Roman" w:hAnsi="Times New Roman" w:cs="Times New Roman"/>
        </w:rPr>
        <w:t>9</w:t>
      </w:r>
      <w:r w:rsidR="00C84234">
        <w:rPr>
          <w:rFonts w:ascii="Times New Roman" w:hAnsi="Times New Roman" w:cs="Times New Roman"/>
        </w:rPr>
        <w:t xml:space="preserve"> </w:t>
      </w:r>
      <w:r w:rsidRPr="00BF4D0A" w:rsidR="00200686">
        <w:rPr>
          <w:rFonts w:ascii="Times New Roman" w:hAnsi="Times New Roman" w:cs="Times New Roman"/>
        </w:rPr>
        <w:t xml:space="preserve">presents the total </w:t>
      </w:r>
      <w:r w:rsidRPr="00BF4D0A" w:rsidR="00CF053F">
        <w:rPr>
          <w:rFonts w:ascii="Times New Roman" w:hAnsi="Times New Roman" w:cs="Times New Roman"/>
        </w:rPr>
        <w:t xml:space="preserve">estimated </w:t>
      </w:r>
      <w:r w:rsidRPr="00BF4D0A" w:rsidR="00200686">
        <w:rPr>
          <w:rFonts w:ascii="Times New Roman" w:hAnsi="Times New Roman" w:cs="Times New Roman"/>
        </w:rPr>
        <w:t>cost</w:t>
      </w:r>
      <w:r w:rsidRPr="00BF4D0A" w:rsidR="00B8445F">
        <w:rPr>
          <w:rFonts w:ascii="Times New Roman" w:hAnsi="Times New Roman" w:cs="Times New Roman"/>
        </w:rPr>
        <w:t>s</w:t>
      </w:r>
      <w:r w:rsidRPr="00BF4D0A" w:rsidR="00200686">
        <w:rPr>
          <w:rFonts w:ascii="Times New Roman" w:hAnsi="Times New Roman" w:cs="Times New Roman"/>
        </w:rPr>
        <w:t xml:space="preserve"> for the proposed rule.</w:t>
      </w:r>
      <w:r w:rsidRPr="00BF4D0A" w:rsidR="00723D49">
        <w:rPr>
          <w:rFonts w:ascii="Times New Roman" w:hAnsi="Times New Roman" w:cs="Times New Roman"/>
        </w:rPr>
        <w:t xml:space="preserve"> In total, the proposed rule would cost $</w:t>
      </w:r>
      <w:r w:rsidRPr="00BF4D0A" w:rsidR="00B82548">
        <w:rPr>
          <w:rFonts w:ascii="Times New Roman" w:hAnsi="Times New Roman" w:cs="Times New Roman"/>
        </w:rPr>
        <w:t>75.</w:t>
      </w:r>
      <w:r w:rsidR="00405B56">
        <w:rPr>
          <w:rFonts w:ascii="Times New Roman" w:hAnsi="Times New Roman" w:cs="Times New Roman"/>
        </w:rPr>
        <w:t>8</w:t>
      </w:r>
      <w:r w:rsidRPr="00BF4D0A" w:rsidR="00B82548">
        <w:rPr>
          <w:rFonts w:ascii="Times New Roman" w:hAnsi="Times New Roman" w:cs="Times New Roman"/>
        </w:rPr>
        <w:t xml:space="preserve"> million per y</w:t>
      </w:r>
      <w:r w:rsidR="00C84234">
        <w:rPr>
          <w:rFonts w:ascii="Times New Roman" w:hAnsi="Times New Roman" w:cs="Times New Roman"/>
        </w:rPr>
        <w:t>e</w:t>
      </w:r>
      <w:r w:rsidRPr="00BF4D0A" w:rsidR="00B82548">
        <w:rPr>
          <w:rFonts w:ascii="Times New Roman" w:hAnsi="Times New Roman" w:cs="Times New Roman"/>
        </w:rPr>
        <w:t>ar</w:t>
      </w:r>
      <w:r w:rsidRPr="00BF4D0A" w:rsidR="00723D49">
        <w:rPr>
          <w:rFonts w:ascii="Times New Roman" w:hAnsi="Times New Roman" w:cs="Times New Roman"/>
        </w:rPr>
        <w:t xml:space="preserve"> (annualized </w:t>
      </w:r>
      <w:r w:rsidRPr="00BF4D0A" w:rsidR="008A47AE">
        <w:rPr>
          <w:rFonts w:ascii="Times New Roman" w:hAnsi="Times New Roman" w:cs="Times New Roman"/>
        </w:rPr>
        <w:t>at</w:t>
      </w:r>
      <w:r w:rsidRPr="00BF4D0A" w:rsidR="00723D49">
        <w:rPr>
          <w:rFonts w:ascii="Times New Roman" w:hAnsi="Times New Roman" w:cs="Times New Roman"/>
        </w:rPr>
        <w:t xml:space="preserve"> 3 percent) </w:t>
      </w:r>
      <w:r w:rsidR="00CD4C58">
        <w:rPr>
          <w:rFonts w:ascii="Times New Roman" w:hAnsi="Times New Roman" w:cs="Times New Roman"/>
        </w:rPr>
        <w:t>and</w:t>
      </w:r>
      <w:r w:rsidRPr="00BF4D0A" w:rsidR="00723D49">
        <w:rPr>
          <w:rFonts w:ascii="Times New Roman" w:hAnsi="Times New Roman" w:cs="Times New Roman"/>
        </w:rPr>
        <w:t xml:space="preserve"> $7</w:t>
      </w:r>
      <w:r w:rsidRPr="00BF4D0A" w:rsidR="00B82548">
        <w:rPr>
          <w:rFonts w:ascii="Times New Roman" w:hAnsi="Times New Roman" w:cs="Times New Roman"/>
        </w:rPr>
        <w:t>6.</w:t>
      </w:r>
      <w:r w:rsidR="00CD4C58">
        <w:rPr>
          <w:rFonts w:ascii="Times New Roman" w:hAnsi="Times New Roman" w:cs="Times New Roman"/>
        </w:rPr>
        <w:t>7</w:t>
      </w:r>
      <w:r w:rsidRPr="00BF4D0A" w:rsidR="00B82548">
        <w:rPr>
          <w:rFonts w:ascii="Times New Roman" w:hAnsi="Times New Roman" w:cs="Times New Roman"/>
        </w:rPr>
        <w:t xml:space="preserve"> million per year </w:t>
      </w:r>
      <w:r w:rsidRPr="00BF4D0A" w:rsidR="00723D49">
        <w:rPr>
          <w:rFonts w:ascii="Times New Roman" w:hAnsi="Times New Roman" w:cs="Times New Roman"/>
        </w:rPr>
        <w:t xml:space="preserve">(annualized </w:t>
      </w:r>
      <w:r w:rsidRPr="00BF4D0A" w:rsidR="008A47AE">
        <w:rPr>
          <w:rFonts w:ascii="Times New Roman" w:hAnsi="Times New Roman" w:cs="Times New Roman"/>
        </w:rPr>
        <w:t>at</w:t>
      </w:r>
      <w:r w:rsidRPr="00BF4D0A" w:rsidR="00723D49">
        <w:rPr>
          <w:rFonts w:ascii="Times New Roman" w:hAnsi="Times New Roman" w:cs="Times New Roman"/>
        </w:rPr>
        <w:t xml:space="preserve"> 7 percent).</w:t>
      </w:r>
      <w:r w:rsidR="00DC369D">
        <w:br/>
      </w:r>
    </w:p>
    <w:p w:rsidR="002D372A" w:rsidP="002D372A" w:rsidRDefault="002D372A" w14:paraId="0B0DD1BA" w14:textId="0E86234D">
      <w:pPr>
        <w:spacing w:after="0" w:line="240" w:lineRule="auto"/>
        <w:jc w:val="center"/>
        <w:rPr>
          <w:rFonts w:ascii="Times New Roman" w:hAnsi="Times New Roman" w:cs="Times New Roman"/>
          <w:b/>
        </w:rPr>
      </w:pPr>
      <w:r w:rsidRPr="002D372A">
        <w:rPr>
          <w:rFonts w:ascii="Times New Roman" w:hAnsi="Times New Roman" w:cs="Times New Roman"/>
          <w:b/>
          <w:bCs/>
        </w:rPr>
        <w:t xml:space="preserve">Exhibit </w:t>
      </w:r>
      <w:r w:rsidRPr="00BF4D0A">
        <w:rPr>
          <w:rFonts w:ascii="Times New Roman" w:hAnsi="Times New Roman" w:cs="Times New Roman"/>
          <w:b/>
        </w:rPr>
        <w:t>5-</w:t>
      </w:r>
      <w:r w:rsidR="00E111F0">
        <w:rPr>
          <w:rFonts w:ascii="Times New Roman" w:hAnsi="Times New Roman" w:cs="Times New Roman"/>
          <w:b/>
          <w:bCs/>
        </w:rPr>
        <w:t>9</w:t>
      </w:r>
      <w:r w:rsidRPr="00BF4D0A">
        <w:rPr>
          <w:rFonts w:ascii="Times New Roman" w:hAnsi="Times New Roman" w:cs="Times New Roman"/>
          <w:b/>
        </w:rPr>
        <w:t xml:space="preserve">: Total Estimated Costs of the Proposed Rule (millions, 2020 </w:t>
      </w:r>
      <w:r w:rsidR="00794F08">
        <w:rPr>
          <w:rFonts w:ascii="Times New Roman" w:hAnsi="Times New Roman" w:cs="Times New Roman"/>
          <w:b/>
        </w:rPr>
        <w:t>d</w:t>
      </w:r>
      <w:r w:rsidRPr="00BF4D0A">
        <w:rPr>
          <w:rFonts w:ascii="Times New Roman" w:hAnsi="Times New Roman" w:cs="Times New Roman"/>
          <w:b/>
        </w:rPr>
        <w:t>ollars)</w:t>
      </w:r>
      <w:r>
        <w:rPr>
          <w:rFonts w:ascii="Times New Roman" w:hAnsi="Times New Roman" w:cs="Times New Roman"/>
          <w:b/>
        </w:rPr>
        <w:t>.</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612"/>
        <w:gridCol w:w="1260"/>
        <w:gridCol w:w="1530"/>
        <w:gridCol w:w="1530"/>
        <w:gridCol w:w="1170"/>
        <w:gridCol w:w="1080"/>
      </w:tblGrid>
      <w:tr w:rsidRPr="00281014" w:rsidR="00E81DC0" w:rsidTr="00035E0B" w14:paraId="009DC6D7" w14:textId="77777777">
        <w:trPr>
          <w:trHeight w:val="552"/>
          <w:jc w:val="center"/>
        </w:trPr>
        <w:tc>
          <w:tcPr>
            <w:tcW w:w="1612" w:type="dxa"/>
            <w:tcBorders>
              <w:left w:val="single" w:color="000000" w:sz="6" w:space="0"/>
              <w:bottom w:val="single" w:color="000000" w:sz="6" w:space="0"/>
              <w:right w:val="single" w:color="000000" w:sz="6" w:space="0"/>
            </w:tcBorders>
            <w:shd w:val="clear" w:color="auto" w:fill="DADADA"/>
            <w:vAlign w:val="center"/>
          </w:tcPr>
          <w:p w:rsidRPr="00281014" w:rsidR="00E81DC0" w:rsidP="0054379B" w:rsidRDefault="00E81DC0" w14:paraId="319E772C" w14:textId="77777777">
            <w:pPr>
              <w:spacing w:after="0" w:line="240" w:lineRule="auto"/>
              <w:ind w:firstLine="79"/>
              <w:rPr>
                <w:rFonts w:ascii="Times New Roman" w:hAnsi="Times New Roman" w:cs="Times New Roman"/>
                <w:b/>
                <w:sz w:val="20"/>
                <w:szCs w:val="20"/>
              </w:rPr>
            </w:pPr>
            <w:r w:rsidRPr="00281014">
              <w:rPr>
                <w:rFonts w:ascii="Times New Roman" w:hAnsi="Times New Roman" w:cs="Times New Roman"/>
                <w:b/>
                <w:sz w:val="20"/>
                <w:szCs w:val="20"/>
              </w:rPr>
              <w:t>Cost Elements</w:t>
            </w:r>
          </w:p>
        </w:tc>
        <w:tc>
          <w:tcPr>
            <w:tcW w:w="1260" w:type="dxa"/>
            <w:tcBorders>
              <w:left w:val="single" w:color="000000" w:sz="6" w:space="0"/>
              <w:bottom w:val="single" w:color="000000" w:sz="6" w:space="0"/>
              <w:right w:val="single" w:color="000000" w:sz="6" w:space="0"/>
            </w:tcBorders>
            <w:shd w:val="clear" w:color="auto" w:fill="DADADA"/>
            <w:vAlign w:val="center"/>
          </w:tcPr>
          <w:p w:rsidRPr="00281014" w:rsidR="00E81DC0" w:rsidP="0054379B" w:rsidRDefault="00E81DC0" w14:paraId="274E8F14" w14:textId="77777777">
            <w:pPr>
              <w:spacing w:after="0" w:line="240" w:lineRule="auto"/>
              <w:jc w:val="center"/>
              <w:rPr>
                <w:rFonts w:ascii="Times New Roman" w:hAnsi="Times New Roman" w:cs="Times New Roman"/>
                <w:b/>
                <w:sz w:val="20"/>
                <w:szCs w:val="20"/>
              </w:rPr>
            </w:pPr>
            <w:r w:rsidRPr="00281014">
              <w:rPr>
                <w:rFonts w:ascii="Times New Roman" w:hAnsi="Times New Roman" w:cs="Times New Roman"/>
                <w:b/>
                <w:sz w:val="20"/>
                <w:szCs w:val="20"/>
              </w:rPr>
              <w:t>Total Undiscounted</w:t>
            </w:r>
          </w:p>
        </w:tc>
        <w:tc>
          <w:tcPr>
            <w:tcW w:w="1530" w:type="dxa"/>
            <w:tcBorders>
              <w:left w:val="single" w:color="000000" w:sz="6" w:space="0"/>
              <w:bottom w:val="single" w:color="000000" w:sz="6" w:space="0"/>
              <w:right w:val="single" w:color="000000" w:sz="6" w:space="0"/>
            </w:tcBorders>
            <w:shd w:val="clear" w:color="auto" w:fill="DADADA"/>
            <w:vAlign w:val="center"/>
          </w:tcPr>
          <w:p w:rsidR="00E81DC0" w:rsidP="0054379B" w:rsidRDefault="00E81DC0" w14:paraId="0BD3BFAC"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Total </w:t>
            </w:r>
          </w:p>
          <w:p w:rsidR="00E81DC0" w:rsidP="0054379B" w:rsidRDefault="00E81DC0" w14:paraId="556CCEF3"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Discounted</w:t>
            </w:r>
          </w:p>
          <w:p w:rsidRPr="00281014" w:rsidR="00E81DC0" w:rsidP="0054379B" w:rsidRDefault="00E81DC0" w14:paraId="4A4C1339" w14:textId="77777777">
            <w:pPr>
              <w:spacing w:after="0" w:line="240" w:lineRule="auto"/>
              <w:ind w:right="85"/>
              <w:jc w:val="center"/>
              <w:rPr>
                <w:rFonts w:ascii="Times New Roman" w:hAnsi="Times New Roman" w:cs="Times New Roman"/>
                <w:b/>
                <w:sz w:val="20"/>
                <w:szCs w:val="20"/>
              </w:rPr>
            </w:pPr>
            <w:r>
              <w:rPr>
                <w:rFonts w:ascii="Times New Roman" w:hAnsi="Times New Roman" w:cs="Times New Roman"/>
                <w:b/>
                <w:sz w:val="20"/>
                <w:szCs w:val="20"/>
              </w:rPr>
              <w:t xml:space="preserve"> </w:t>
            </w:r>
            <w:r w:rsidRPr="00281014">
              <w:rPr>
                <w:rFonts w:ascii="Times New Roman" w:hAnsi="Times New Roman" w:cs="Times New Roman"/>
                <w:b/>
                <w:sz w:val="20"/>
                <w:szCs w:val="20"/>
              </w:rPr>
              <w:t>(3%)</w:t>
            </w:r>
          </w:p>
        </w:tc>
        <w:tc>
          <w:tcPr>
            <w:tcW w:w="1530" w:type="dxa"/>
            <w:tcBorders>
              <w:left w:val="single" w:color="000000" w:sz="6" w:space="0"/>
              <w:bottom w:val="single" w:color="000000" w:sz="6" w:space="0"/>
              <w:right w:val="single" w:color="000000" w:sz="6" w:space="0"/>
            </w:tcBorders>
            <w:shd w:val="clear" w:color="auto" w:fill="DADADA"/>
            <w:vAlign w:val="center"/>
          </w:tcPr>
          <w:p w:rsidR="00E81DC0" w:rsidP="0054379B" w:rsidRDefault="00E81DC0" w14:paraId="638A4E77"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Total </w:t>
            </w:r>
          </w:p>
          <w:p w:rsidR="00E81DC0" w:rsidP="0054379B" w:rsidRDefault="00E81DC0" w14:paraId="4BF1267D"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 xml:space="preserve">Discounted </w:t>
            </w:r>
          </w:p>
          <w:p w:rsidRPr="00281014" w:rsidR="00E81DC0" w:rsidP="0054379B" w:rsidRDefault="00E81DC0" w14:paraId="7D5E5B87" w14:textId="77777777">
            <w:pPr>
              <w:spacing w:after="0" w:line="240" w:lineRule="auto"/>
              <w:ind w:right="85"/>
              <w:jc w:val="center"/>
              <w:rPr>
                <w:rFonts w:ascii="Times New Roman" w:hAnsi="Times New Roman" w:cs="Times New Roman"/>
                <w:b/>
                <w:sz w:val="20"/>
                <w:szCs w:val="20"/>
              </w:rPr>
            </w:pPr>
            <w:r w:rsidRPr="00281014">
              <w:rPr>
                <w:rFonts w:ascii="Times New Roman" w:hAnsi="Times New Roman" w:cs="Times New Roman"/>
                <w:b/>
                <w:sz w:val="20"/>
                <w:szCs w:val="20"/>
              </w:rPr>
              <w:t>(7%)</w:t>
            </w:r>
          </w:p>
        </w:tc>
        <w:tc>
          <w:tcPr>
            <w:tcW w:w="1170" w:type="dxa"/>
            <w:tcBorders>
              <w:left w:val="single" w:color="000000" w:sz="6" w:space="0"/>
              <w:bottom w:val="single" w:color="000000" w:sz="6" w:space="0"/>
              <w:right w:val="single" w:color="000000" w:sz="6" w:space="0"/>
            </w:tcBorders>
            <w:shd w:val="clear" w:color="auto" w:fill="DADADA"/>
            <w:vAlign w:val="center"/>
          </w:tcPr>
          <w:p w:rsidRPr="00281014" w:rsidR="00E81DC0" w:rsidP="0054379B" w:rsidRDefault="00E81DC0" w14:paraId="27EA4D3F" w14:textId="77777777">
            <w:pPr>
              <w:spacing w:after="0" w:line="240" w:lineRule="auto"/>
              <w:ind w:right="108"/>
              <w:jc w:val="center"/>
              <w:rPr>
                <w:rFonts w:ascii="Times New Roman" w:hAnsi="Times New Roman" w:cs="Times New Roman"/>
                <w:sz w:val="20"/>
                <w:szCs w:val="20"/>
              </w:rPr>
            </w:pPr>
            <w:r w:rsidRPr="00281014">
              <w:rPr>
                <w:rFonts w:ascii="Times New Roman" w:hAnsi="Times New Roman" w:cs="Times New Roman"/>
                <w:b/>
                <w:sz w:val="20"/>
                <w:szCs w:val="20"/>
              </w:rPr>
              <w:t>Annualized (3%)</w:t>
            </w:r>
          </w:p>
        </w:tc>
        <w:tc>
          <w:tcPr>
            <w:tcW w:w="1080" w:type="dxa"/>
            <w:tcBorders>
              <w:left w:val="single" w:color="000000" w:sz="6" w:space="0"/>
              <w:bottom w:val="single" w:color="000000" w:sz="6" w:space="0"/>
              <w:right w:val="single" w:color="000000" w:sz="6" w:space="0"/>
            </w:tcBorders>
            <w:shd w:val="clear" w:color="auto" w:fill="DADADA"/>
            <w:vAlign w:val="center"/>
          </w:tcPr>
          <w:p w:rsidRPr="00281014" w:rsidR="00E81DC0" w:rsidP="0054379B" w:rsidRDefault="00E81DC0" w14:paraId="62A21F75" w14:textId="77777777">
            <w:pPr>
              <w:spacing w:after="0" w:line="240" w:lineRule="auto"/>
              <w:ind w:right="78"/>
              <w:jc w:val="center"/>
              <w:rPr>
                <w:rFonts w:ascii="Times New Roman" w:hAnsi="Times New Roman" w:cs="Times New Roman"/>
                <w:b/>
                <w:sz w:val="20"/>
                <w:szCs w:val="20"/>
              </w:rPr>
            </w:pPr>
            <w:r w:rsidRPr="00281014">
              <w:rPr>
                <w:rFonts w:ascii="Times New Roman" w:hAnsi="Times New Roman" w:cs="Times New Roman"/>
                <w:b/>
                <w:sz w:val="20"/>
                <w:szCs w:val="20"/>
              </w:rPr>
              <w:t>Annualized (7%)</w:t>
            </w:r>
          </w:p>
        </w:tc>
      </w:tr>
      <w:tr w:rsidRPr="0055616D" w:rsidR="00E81DC0" w:rsidTr="00035E0B" w14:paraId="57648DB5" w14:textId="77777777">
        <w:trPr>
          <w:trHeight w:val="285"/>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FE1D8D5"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Rule Familiarization</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6483C18" w14:textId="77777777">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$46.5</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2C364C6C"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$45.2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A1E8DB2"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$43.5</w:t>
            </w:r>
          </w:p>
        </w:tc>
        <w:tc>
          <w:tcPr>
            <w:tcW w:w="1170" w:type="dxa"/>
            <w:tcBorders>
              <w:top w:val="single" w:color="000000" w:sz="6" w:space="0"/>
              <w:left w:val="single" w:color="000000" w:sz="6" w:space="0"/>
              <w:bottom w:val="single" w:color="000000" w:sz="6" w:space="0"/>
              <w:right w:val="single" w:color="000000" w:sz="6" w:space="0"/>
            </w:tcBorders>
            <w:vAlign w:val="center"/>
          </w:tcPr>
          <w:p w:rsidRPr="0055616D" w:rsidR="00E81DC0" w:rsidP="0054379B" w:rsidRDefault="00E81DC0" w14:paraId="412EC3ED" w14:textId="77777777">
            <w:pPr>
              <w:spacing w:after="0" w:line="240" w:lineRule="auto"/>
              <w:jc w:val="center"/>
              <w:rPr>
                <w:rFonts w:ascii="Times New Roman" w:hAnsi="Times New Roman" w:cs="Times New Roman"/>
                <w:sz w:val="20"/>
                <w:szCs w:val="20"/>
              </w:rPr>
            </w:pPr>
            <w:r w:rsidRPr="0055616D">
              <w:rPr>
                <w:rFonts w:ascii="Times New Roman" w:hAnsi="Times New Roman" w:cs="Times New Roman"/>
                <w:sz w:val="20"/>
                <w:szCs w:val="20"/>
              </w:rPr>
              <w:t>$5.3</w:t>
            </w:r>
          </w:p>
        </w:tc>
        <w:tc>
          <w:tcPr>
            <w:tcW w:w="1080" w:type="dxa"/>
            <w:tcBorders>
              <w:top w:val="single" w:color="000000" w:sz="6" w:space="0"/>
              <w:left w:val="single" w:color="000000" w:sz="6" w:space="0"/>
              <w:bottom w:val="single" w:color="000000" w:sz="6" w:space="0"/>
              <w:right w:val="single" w:color="000000" w:sz="6" w:space="0"/>
            </w:tcBorders>
            <w:vAlign w:val="center"/>
          </w:tcPr>
          <w:p w:rsidRPr="0055616D" w:rsidR="00E81DC0" w:rsidP="0054379B" w:rsidRDefault="00E81DC0" w14:paraId="3A1F21E8" w14:textId="77777777">
            <w:pPr>
              <w:spacing w:after="0" w:line="240" w:lineRule="auto"/>
              <w:ind w:left="75" w:right="59"/>
              <w:jc w:val="center"/>
              <w:rPr>
                <w:rFonts w:ascii="Times New Roman" w:hAnsi="Times New Roman" w:cs="Times New Roman"/>
                <w:sz w:val="20"/>
                <w:szCs w:val="20"/>
              </w:rPr>
            </w:pPr>
            <w:r w:rsidRPr="0055616D">
              <w:rPr>
                <w:rFonts w:ascii="Times New Roman" w:hAnsi="Times New Roman" w:cs="Times New Roman"/>
                <w:sz w:val="20"/>
                <w:szCs w:val="20"/>
              </w:rPr>
              <w:t>$6.2</w:t>
            </w:r>
          </w:p>
        </w:tc>
      </w:tr>
      <w:tr w:rsidRPr="00281014" w:rsidR="00E81DC0" w:rsidTr="00035E0B" w14:paraId="1EE5DEEB" w14:textId="77777777">
        <w:trPr>
          <w:trHeight w:val="285"/>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479D3D15"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Safer Technology Alternatives Analysis</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763D30C8" w14:textId="77777777">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$518.2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248566EA"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$442.0</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2CC9D508"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$364.0</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5FE6C52"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$51.8</w:t>
            </w:r>
          </w:p>
        </w:tc>
        <w:tc>
          <w:tcPr>
            <w:tcW w:w="108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1C8E6C85" w14:textId="7777777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$51.8</w:t>
            </w:r>
          </w:p>
        </w:tc>
      </w:tr>
      <w:tr w:rsidRPr="00281014" w:rsidR="00E81DC0" w:rsidTr="00035E0B" w14:paraId="20A825E8" w14:textId="77777777">
        <w:trPr>
          <w:trHeight w:val="285"/>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73A5A47A"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Root Cause Analysis</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4A3C49F" w14:textId="77777777">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$7.3</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09BADB9C"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$6.2</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6087ACF6"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$5.1</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0034989"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$0.7</w:t>
            </w:r>
          </w:p>
        </w:tc>
        <w:tc>
          <w:tcPr>
            <w:tcW w:w="108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2928E363" w14:textId="7777777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$0.7</w:t>
            </w:r>
          </w:p>
        </w:tc>
      </w:tr>
      <w:tr w:rsidRPr="00281014" w:rsidR="00E81DC0" w:rsidTr="00035E0B" w14:paraId="55E5FACC" w14:textId="77777777">
        <w:trPr>
          <w:trHeight w:val="285"/>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6DC3000F"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Third-party Audits</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6CE623ED" w14:textId="77777777">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$102.7</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3FD2B44"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$87.6</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271A665"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$72.1</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4D095099"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$10.3</w:t>
            </w:r>
          </w:p>
        </w:tc>
        <w:tc>
          <w:tcPr>
            <w:tcW w:w="108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7965EA99" w14:textId="7777777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$10.3</w:t>
            </w:r>
          </w:p>
        </w:tc>
      </w:tr>
      <w:tr w:rsidRPr="00281014" w:rsidR="00E81DC0" w:rsidTr="00035E0B" w14:paraId="6A442E6B" w14:textId="77777777">
        <w:trPr>
          <w:trHeight w:val="282"/>
          <w:jc w:val="center"/>
        </w:trPr>
        <w:tc>
          <w:tcPr>
            <w:tcW w:w="1612" w:type="dxa"/>
            <w:tcBorders>
              <w:top w:val="single" w:color="000000" w:sz="6" w:space="0"/>
              <w:left w:val="single" w:color="000000" w:sz="6" w:space="0"/>
              <w:right w:val="single" w:color="000000" w:sz="6" w:space="0"/>
            </w:tcBorders>
            <w:vAlign w:val="center"/>
          </w:tcPr>
          <w:p w:rsidRPr="00281014" w:rsidR="00E81DC0" w:rsidP="0054379B" w:rsidRDefault="00E81DC0" w14:paraId="72D350D4"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Employee Participation Plan</w:t>
            </w:r>
          </w:p>
        </w:tc>
        <w:tc>
          <w:tcPr>
            <w:tcW w:w="1260" w:type="dxa"/>
            <w:tcBorders>
              <w:top w:val="single" w:color="000000" w:sz="6" w:space="0"/>
              <w:left w:val="single" w:color="000000" w:sz="6" w:space="0"/>
              <w:right w:val="single" w:color="000000" w:sz="6" w:space="0"/>
            </w:tcBorders>
            <w:vAlign w:val="center"/>
          </w:tcPr>
          <w:p w:rsidRPr="00281014" w:rsidR="00E81DC0" w:rsidP="0054379B" w:rsidRDefault="00E81DC0" w14:paraId="2FD0C45C" w14:textId="77777777">
            <w:pPr>
              <w:spacing w:after="0" w:line="240" w:lineRule="auto"/>
              <w:ind w:left="131" w:right="115"/>
              <w:jc w:val="center"/>
              <w:rPr>
                <w:rFonts w:ascii="Times New Roman" w:hAnsi="Times New Roman" w:cs="Times New Roman"/>
                <w:sz w:val="20"/>
                <w:szCs w:val="20"/>
              </w:rPr>
            </w:pPr>
            <w:r w:rsidRPr="00281014">
              <w:rPr>
                <w:rFonts w:ascii="Times New Roman" w:hAnsi="Times New Roman" w:cs="Times New Roman"/>
                <w:sz w:val="20"/>
                <w:szCs w:val="20"/>
              </w:rPr>
              <w:t>$8.6</w:t>
            </w:r>
          </w:p>
        </w:tc>
        <w:tc>
          <w:tcPr>
            <w:tcW w:w="1530" w:type="dxa"/>
            <w:tcBorders>
              <w:top w:val="single" w:color="000000" w:sz="6" w:space="0"/>
              <w:left w:val="single" w:color="000000" w:sz="6" w:space="0"/>
              <w:right w:val="single" w:color="000000" w:sz="6" w:space="0"/>
            </w:tcBorders>
            <w:vAlign w:val="center"/>
          </w:tcPr>
          <w:p w:rsidRPr="00281014" w:rsidR="00E81DC0" w:rsidP="0054379B" w:rsidRDefault="00E81DC0" w14:paraId="7709D443" w14:textId="77777777">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$7.3</w:t>
            </w:r>
          </w:p>
        </w:tc>
        <w:tc>
          <w:tcPr>
            <w:tcW w:w="1530" w:type="dxa"/>
            <w:tcBorders>
              <w:top w:val="single" w:color="000000" w:sz="6" w:space="0"/>
              <w:left w:val="single" w:color="000000" w:sz="6" w:space="0"/>
              <w:right w:val="single" w:color="000000" w:sz="6" w:space="0"/>
            </w:tcBorders>
            <w:vAlign w:val="center"/>
          </w:tcPr>
          <w:p w:rsidRPr="00281014" w:rsidR="00E81DC0" w:rsidP="0054379B" w:rsidRDefault="00E81DC0" w14:paraId="4F20FC2F" w14:textId="77777777">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$6.0</w:t>
            </w:r>
          </w:p>
        </w:tc>
        <w:tc>
          <w:tcPr>
            <w:tcW w:w="1170" w:type="dxa"/>
            <w:tcBorders>
              <w:top w:val="single" w:color="000000" w:sz="6" w:space="0"/>
              <w:left w:val="single" w:color="000000" w:sz="6" w:space="0"/>
              <w:right w:val="single" w:color="000000" w:sz="6" w:space="0"/>
            </w:tcBorders>
            <w:vAlign w:val="center"/>
          </w:tcPr>
          <w:p w:rsidRPr="00281014" w:rsidR="00E81DC0" w:rsidP="0054379B" w:rsidRDefault="00E81DC0" w14:paraId="3F777C01"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$0.9</w:t>
            </w:r>
          </w:p>
        </w:tc>
        <w:tc>
          <w:tcPr>
            <w:tcW w:w="1080" w:type="dxa"/>
            <w:tcBorders>
              <w:top w:val="single" w:color="000000" w:sz="6" w:space="0"/>
              <w:left w:val="single" w:color="000000" w:sz="6" w:space="0"/>
              <w:right w:val="single" w:color="000000" w:sz="6" w:space="0"/>
            </w:tcBorders>
            <w:vAlign w:val="center"/>
          </w:tcPr>
          <w:p w:rsidRPr="00281014" w:rsidR="00E81DC0" w:rsidP="0054379B" w:rsidRDefault="00E81DC0" w14:paraId="65DCFF8A" w14:textId="7777777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$0.9</w:t>
            </w:r>
          </w:p>
        </w:tc>
      </w:tr>
      <w:tr w:rsidRPr="0055616D" w:rsidR="00E81DC0" w:rsidTr="00035E0B" w14:paraId="751B9D4B" w14:textId="77777777">
        <w:trPr>
          <w:trHeight w:val="552"/>
          <w:jc w:val="center"/>
        </w:trPr>
        <w:tc>
          <w:tcPr>
            <w:tcW w:w="1612" w:type="dxa"/>
            <w:tcBorders>
              <w:left w:val="single" w:color="000000" w:sz="6" w:space="0"/>
              <w:bottom w:val="single" w:color="000000" w:sz="6" w:space="0"/>
              <w:right w:val="single" w:color="000000" w:sz="6" w:space="0"/>
            </w:tcBorders>
            <w:vAlign w:val="center"/>
          </w:tcPr>
          <w:p w:rsidRPr="00281014" w:rsidR="00E81DC0" w:rsidP="0054379B" w:rsidRDefault="00E81DC0" w14:paraId="54B59E2E" w14:textId="77777777">
            <w:pPr>
              <w:spacing w:after="0" w:line="240" w:lineRule="auto"/>
              <w:ind w:left="112" w:right="85"/>
              <w:rPr>
                <w:rFonts w:ascii="Times New Roman" w:hAnsi="Times New Roman" w:cs="Times New Roman"/>
                <w:sz w:val="20"/>
                <w:szCs w:val="20"/>
              </w:rPr>
            </w:pPr>
            <w:r w:rsidRPr="00281014">
              <w:rPr>
                <w:rFonts w:ascii="Times New Roman" w:hAnsi="Times New Roman" w:cs="Times New Roman"/>
                <w:sz w:val="20"/>
                <w:szCs w:val="20"/>
              </w:rPr>
              <w:t>Backup Power for Perimeter Monitors</w:t>
            </w:r>
          </w:p>
        </w:tc>
        <w:tc>
          <w:tcPr>
            <w:tcW w:w="1260" w:type="dxa"/>
            <w:tcBorders>
              <w:left w:val="single" w:color="000000" w:sz="6" w:space="0"/>
              <w:bottom w:val="single" w:color="000000" w:sz="6" w:space="0"/>
              <w:right w:val="single" w:color="000000" w:sz="6" w:space="0"/>
            </w:tcBorders>
            <w:vAlign w:val="center"/>
          </w:tcPr>
          <w:p w:rsidRPr="0055616D" w:rsidR="00E81DC0" w:rsidP="0054379B" w:rsidRDefault="00E81DC0" w14:paraId="56822659" w14:textId="4261A39A">
            <w:pPr>
              <w:spacing w:after="0" w:line="240" w:lineRule="auto"/>
              <w:ind w:left="131" w:right="115"/>
              <w:jc w:val="center"/>
              <w:rPr>
                <w:rFonts w:ascii="Times New Roman" w:hAnsi="Times New Roman" w:cs="Times New Roman"/>
                <w:sz w:val="20"/>
                <w:szCs w:val="20"/>
              </w:rPr>
            </w:pPr>
            <w:r w:rsidRPr="0055616D">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w:t>
            </w:r>
            <w:r w:rsidRPr="0055616D">
              <w:rPr>
                <w:rFonts w:ascii="Times New Roman" w:hAnsi="Times New Roman" w:cs="Times New Roman"/>
                <w:sz w:val="20"/>
                <w:szCs w:val="20"/>
              </w:rPr>
              <w:t>4</w:t>
            </w:r>
          </w:p>
        </w:tc>
        <w:tc>
          <w:tcPr>
            <w:tcW w:w="1530" w:type="dxa"/>
            <w:tcBorders>
              <w:left w:val="single" w:color="000000" w:sz="6" w:space="0"/>
              <w:bottom w:val="single" w:color="000000" w:sz="6" w:space="0"/>
              <w:right w:val="single" w:color="000000" w:sz="6" w:space="0"/>
            </w:tcBorders>
            <w:vAlign w:val="center"/>
          </w:tcPr>
          <w:p w:rsidRPr="0055616D" w:rsidR="00E81DC0" w:rsidP="0054379B" w:rsidRDefault="00E81DC0" w14:paraId="5A0603CA" w14:textId="36CE1BCB">
            <w:pPr>
              <w:spacing w:after="0" w:line="240" w:lineRule="auto"/>
              <w:ind w:left="453" w:right="437"/>
              <w:jc w:val="center"/>
              <w:rPr>
                <w:rFonts w:ascii="Times New Roman" w:hAnsi="Times New Roman" w:cs="Times New Roman"/>
                <w:sz w:val="20"/>
                <w:szCs w:val="20"/>
              </w:rPr>
            </w:pPr>
            <w:r w:rsidRPr="0055616D">
              <w:rPr>
                <w:rFonts w:ascii="Times New Roman" w:hAnsi="Times New Roman" w:cs="Times New Roman"/>
                <w:sz w:val="20"/>
                <w:szCs w:val="20"/>
              </w:rPr>
              <w:t>$</w:t>
            </w:r>
            <w:r w:rsidR="002360E7">
              <w:rPr>
                <w:rFonts w:ascii="Times New Roman" w:hAnsi="Times New Roman" w:cs="Times New Roman"/>
                <w:sz w:val="20"/>
                <w:szCs w:val="20"/>
              </w:rPr>
              <w:t>0</w:t>
            </w:r>
            <w:r w:rsidRPr="0055616D">
              <w:rPr>
                <w:rFonts w:ascii="Times New Roman" w:hAnsi="Times New Roman" w:cs="Times New Roman"/>
                <w:sz w:val="20"/>
                <w:szCs w:val="20"/>
              </w:rPr>
              <w:t>.</w:t>
            </w:r>
            <w:r w:rsidR="00164442">
              <w:rPr>
                <w:rFonts w:ascii="Times New Roman" w:hAnsi="Times New Roman" w:cs="Times New Roman"/>
                <w:sz w:val="20"/>
                <w:szCs w:val="20"/>
              </w:rPr>
              <w:t>4</w:t>
            </w:r>
          </w:p>
        </w:tc>
        <w:tc>
          <w:tcPr>
            <w:tcW w:w="1530" w:type="dxa"/>
            <w:tcBorders>
              <w:left w:val="single" w:color="000000" w:sz="6" w:space="0"/>
              <w:bottom w:val="single" w:color="000000" w:sz="6" w:space="0"/>
              <w:right w:val="single" w:color="000000" w:sz="6" w:space="0"/>
            </w:tcBorders>
            <w:vAlign w:val="center"/>
          </w:tcPr>
          <w:p w:rsidRPr="0055616D" w:rsidR="00E81DC0" w:rsidP="0054379B" w:rsidRDefault="00E81DC0" w14:paraId="33CC45F5" w14:textId="38E0480D">
            <w:pPr>
              <w:spacing w:after="0" w:line="240" w:lineRule="auto"/>
              <w:ind w:left="453" w:right="437"/>
              <w:jc w:val="center"/>
              <w:rPr>
                <w:rFonts w:ascii="Times New Roman" w:hAnsi="Times New Roman" w:cs="Times New Roman"/>
                <w:sz w:val="20"/>
                <w:szCs w:val="20"/>
              </w:rPr>
            </w:pPr>
            <w:r w:rsidRPr="0055616D">
              <w:rPr>
                <w:rFonts w:ascii="Times New Roman" w:hAnsi="Times New Roman" w:cs="Times New Roman"/>
                <w:sz w:val="20"/>
                <w:szCs w:val="20"/>
              </w:rPr>
              <w:t>$0.</w:t>
            </w:r>
            <w:r w:rsidR="0036010E">
              <w:rPr>
                <w:rFonts w:ascii="Times New Roman" w:hAnsi="Times New Roman" w:cs="Times New Roman"/>
                <w:sz w:val="20"/>
                <w:szCs w:val="20"/>
              </w:rPr>
              <w:t>4</w:t>
            </w:r>
          </w:p>
        </w:tc>
        <w:tc>
          <w:tcPr>
            <w:tcW w:w="1170" w:type="dxa"/>
            <w:tcBorders>
              <w:left w:val="single" w:color="000000" w:sz="6" w:space="0"/>
              <w:bottom w:val="single" w:color="000000" w:sz="6" w:space="0"/>
              <w:right w:val="single" w:color="000000" w:sz="6" w:space="0"/>
            </w:tcBorders>
            <w:vAlign w:val="center"/>
          </w:tcPr>
          <w:p w:rsidRPr="0055616D" w:rsidR="00E81DC0" w:rsidP="0054379B" w:rsidRDefault="00E81DC0" w14:paraId="3EA49F39" w14:textId="77777777">
            <w:pPr>
              <w:spacing w:after="0" w:line="240" w:lineRule="auto"/>
              <w:jc w:val="center"/>
              <w:rPr>
                <w:rFonts w:ascii="Times New Roman" w:hAnsi="Times New Roman" w:cs="Times New Roman"/>
                <w:sz w:val="20"/>
                <w:szCs w:val="20"/>
              </w:rPr>
            </w:pPr>
            <w:r w:rsidRPr="0055616D">
              <w:rPr>
                <w:rFonts w:ascii="Times New Roman" w:hAnsi="Times New Roman" w:cs="Times New Roman"/>
                <w:sz w:val="20"/>
                <w:szCs w:val="20"/>
              </w:rPr>
              <w:t>$0.0**</w:t>
            </w:r>
          </w:p>
        </w:tc>
        <w:tc>
          <w:tcPr>
            <w:tcW w:w="1080" w:type="dxa"/>
            <w:tcBorders>
              <w:left w:val="single" w:color="000000" w:sz="6" w:space="0"/>
              <w:bottom w:val="single" w:color="000000" w:sz="6" w:space="0"/>
              <w:right w:val="single" w:color="000000" w:sz="6" w:space="0"/>
            </w:tcBorders>
            <w:vAlign w:val="center"/>
          </w:tcPr>
          <w:p w:rsidRPr="0055616D" w:rsidR="00E81DC0" w:rsidP="0054379B" w:rsidRDefault="00E81DC0" w14:paraId="4C7D11AB" w14:textId="77777777">
            <w:pPr>
              <w:spacing w:after="0" w:line="240" w:lineRule="auto"/>
              <w:ind w:left="89" w:right="58"/>
              <w:jc w:val="center"/>
              <w:rPr>
                <w:rFonts w:ascii="Times New Roman" w:hAnsi="Times New Roman" w:cs="Times New Roman"/>
                <w:sz w:val="20"/>
                <w:szCs w:val="20"/>
              </w:rPr>
            </w:pPr>
            <w:r w:rsidRPr="0055616D">
              <w:rPr>
                <w:rFonts w:ascii="Times New Roman" w:hAnsi="Times New Roman" w:cs="Times New Roman"/>
                <w:sz w:val="20"/>
                <w:szCs w:val="20"/>
              </w:rPr>
              <w:t>$0.0**</w:t>
            </w:r>
          </w:p>
        </w:tc>
      </w:tr>
      <w:tr w:rsidRPr="00281014" w:rsidR="00E81DC0" w:rsidTr="00035E0B" w14:paraId="3C5032AF" w14:textId="77777777">
        <w:trPr>
          <w:trHeight w:val="285"/>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F6E2DB9"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Community Notification System</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00DCE635" w14:textId="77777777">
            <w:pPr>
              <w:spacing w:after="0" w:line="240" w:lineRule="auto"/>
              <w:ind w:left="133" w:right="102"/>
              <w:jc w:val="center"/>
              <w:rPr>
                <w:rFonts w:ascii="Times New Roman" w:hAnsi="Times New Roman" w:cs="Times New Roman"/>
                <w:sz w:val="20"/>
                <w:szCs w:val="20"/>
              </w:rPr>
            </w:pPr>
            <w:r w:rsidRPr="00281014">
              <w:rPr>
                <w:rFonts w:ascii="Times New Roman" w:hAnsi="Times New Roman" w:cs="Times New Roman"/>
                <w:sz w:val="20"/>
                <w:szCs w:val="20"/>
              </w:rPr>
              <w:t>$38.0</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578241F"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$32.4</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D0E7AD3" w14:textId="77777777">
            <w:pPr>
              <w:spacing w:after="0" w:line="240" w:lineRule="auto"/>
              <w:ind w:left="468" w:right="437"/>
              <w:jc w:val="center"/>
              <w:rPr>
                <w:rFonts w:ascii="Times New Roman" w:hAnsi="Times New Roman" w:cs="Times New Roman"/>
                <w:sz w:val="20"/>
                <w:szCs w:val="20"/>
              </w:rPr>
            </w:pPr>
            <w:r w:rsidRPr="00281014">
              <w:rPr>
                <w:rFonts w:ascii="Times New Roman" w:hAnsi="Times New Roman" w:cs="Times New Roman"/>
                <w:sz w:val="20"/>
                <w:szCs w:val="20"/>
              </w:rPr>
              <w:t>$26.7</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0F8AD37C"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$3.8</w:t>
            </w:r>
          </w:p>
        </w:tc>
        <w:tc>
          <w:tcPr>
            <w:tcW w:w="108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5BE005ED" w14:textId="77777777">
            <w:pPr>
              <w:spacing w:after="0" w:line="240" w:lineRule="auto"/>
              <w:ind w:left="75" w:right="59"/>
              <w:jc w:val="center"/>
              <w:rPr>
                <w:rFonts w:ascii="Times New Roman" w:hAnsi="Times New Roman" w:cs="Times New Roman"/>
                <w:sz w:val="20"/>
                <w:szCs w:val="20"/>
              </w:rPr>
            </w:pPr>
            <w:r w:rsidRPr="00281014">
              <w:rPr>
                <w:rFonts w:ascii="Times New Roman" w:hAnsi="Times New Roman" w:cs="Times New Roman"/>
                <w:sz w:val="20"/>
                <w:szCs w:val="20"/>
              </w:rPr>
              <w:t>$3.8</w:t>
            </w:r>
          </w:p>
        </w:tc>
      </w:tr>
      <w:tr w:rsidRPr="00281014" w:rsidR="00E81DC0" w:rsidTr="00035E0B" w14:paraId="22B0B49F" w14:textId="77777777">
        <w:trPr>
          <w:trHeight w:val="300"/>
          <w:jc w:val="center"/>
        </w:trPr>
        <w:tc>
          <w:tcPr>
            <w:tcW w:w="1612"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6BB53864"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Information Availability</w:t>
            </w:r>
          </w:p>
        </w:tc>
        <w:tc>
          <w:tcPr>
            <w:tcW w:w="126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224145D9" w14:textId="77777777">
            <w:pPr>
              <w:spacing w:after="0" w:line="240" w:lineRule="auto"/>
              <w:ind w:left="131" w:right="115"/>
              <w:jc w:val="center"/>
              <w:rPr>
                <w:rFonts w:ascii="Times New Roman" w:hAnsi="Times New Roman" w:cs="Times New Roman"/>
                <w:sz w:val="20"/>
                <w:szCs w:val="20"/>
              </w:rPr>
            </w:pPr>
            <w:r w:rsidRPr="00281014">
              <w:rPr>
                <w:rFonts w:ascii="Times New Roman" w:hAnsi="Times New Roman" w:cs="Times New Roman"/>
                <w:sz w:val="20"/>
                <w:szCs w:val="20"/>
              </w:rPr>
              <w:t>$30.3</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3D215080" w14:textId="77777777">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$25.8</w:t>
            </w:r>
          </w:p>
        </w:tc>
        <w:tc>
          <w:tcPr>
            <w:tcW w:w="153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421A20F5" w14:textId="77777777">
            <w:pPr>
              <w:spacing w:after="0" w:line="240" w:lineRule="auto"/>
              <w:ind w:left="453" w:right="437"/>
              <w:jc w:val="center"/>
              <w:rPr>
                <w:rFonts w:ascii="Times New Roman" w:hAnsi="Times New Roman" w:cs="Times New Roman"/>
                <w:sz w:val="20"/>
                <w:szCs w:val="20"/>
              </w:rPr>
            </w:pPr>
            <w:r w:rsidRPr="00281014">
              <w:rPr>
                <w:rFonts w:ascii="Times New Roman" w:hAnsi="Times New Roman" w:cs="Times New Roman"/>
                <w:sz w:val="20"/>
                <w:szCs w:val="20"/>
              </w:rPr>
              <w:t>$21.3</w:t>
            </w:r>
          </w:p>
        </w:tc>
        <w:tc>
          <w:tcPr>
            <w:tcW w:w="117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7F6F2467" w14:textId="77777777">
            <w:pPr>
              <w:spacing w:after="0" w:line="240" w:lineRule="auto"/>
              <w:jc w:val="center"/>
              <w:rPr>
                <w:rFonts w:ascii="Times New Roman" w:hAnsi="Times New Roman" w:cs="Times New Roman"/>
                <w:sz w:val="20"/>
                <w:szCs w:val="20"/>
              </w:rPr>
            </w:pPr>
            <w:r w:rsidRPr="00281014">
              <w:rPr>
                <w:rFonts w:ascii="Times New Roman" w:hAnsi="Times New Roman" w:cs="Times New Roman"/>
                <w:sz w:val="20"/>
                <w:szCs w:val="20"/>
              </w:rPr>
              <w:t>$3.0</w:t>
            </w:r>
          </w:p>
        </w:tc>
        <w:tc>
          <w:tcPr>
            <w:tcW w:w="1080" w:type="dxa"/>
            <w:tcBorders>
              <w:top w:val="single" w:color="000000" w:sz="6" w:space="0"/>
              <w:left w:val="single" w:color="000000" w:sz="6" w:space="0"/>
              <w:bottom w:val="single" w:color="000000" w:sz="6" w:space="0"/>
              <w:right w:val="single" w:color="000000" w:sz="6" w:space="0"/>
            </w:tcBorders>
            <w:vAlign w:val="center"/>
          </w:tcPr>
          <w:p w:rsidRPr="00281014" w:rsidR="00E81DC0" w:rsidP="0054379B" w:rsidRDefault="00E81DC0" w14:paraId="65D4759B" w14:textId="77777777">
            <w:pPr>
              <w:spacing w:after="0" w:line="240" w:lineRule="auto"/>
              <w:ind w:left="89" w:right="58"/>
              <w:jc w:val="center"/>
              <w:rPr>
                <w:rFonts w:ascii="Times New Roman" w:hAnsi="Times New Roman" w:cs="Times New Roman"/>
                <w:sz w:val="20"/>
                <w:szCs w:val="20"/>
              </w:rPr>
            </w:pPr>
            <w:r w:rsidRPr="00281014">
              <w:rPr>
                <w:rFonts w:ascii="Times New Roman" w:hAnsi="Times New Roman" w:cs="Times New Roman"/>
                <w:sz w:val="20"/>
                <w:szCs w:val="20"/>
              </w:rPr>
              <w:t>$3.0</w:t>
            </w:r>
          </w:p>
        </w:tc>
      </w:tr>
      <w:tr w:rsidRPr="00281014" w:rsidR="00E81DC0" w:rsidTr="00035E0B" w14:paraId="05CBAE99" w14:textId="77777777">
        <w:trPr>
          <w:trHeight w:val="282"/>
          <w:jc w:val="center"/>
        </w:trPr>
        <w:tc>
          <w:tcPr>
            <w:tcW w:w="1612" w:type="dxa"/>
            <w:tcBorders>
              <w:left w:val="single" w:color="000000" w:sz="6" w:space="0"/>
              <w:bottom w:val="single" w:color="000000" w:sz="6" w:space="0"/>
              <w:right w:val="single" w:color="000000" w:sz="6" w:space="0"/>
            </w:tcBorders>
            <w:vAlign w:val="center"/>
          </w:tcPr>
          <w:p w:rsidRPr="00281014" w:rsidR="00E81DC0" w:rsidP="0054379B" w:rsidRDefault="00E81DC0" w14:paraId="700DEE28" w14:textId="77777777">
            <w:pPr>
              <w:spacing w:after="0" w:line="240" w:lineRule="auto"/>
              <w:ind w:left="517"/>
              <w:rPr>
                <w:rFonts w:ascii="Times New Roman" w:hAnsi="Times New Roman" w:cs="Times New Roman"/>
                <w:b/>
                <w:sz w:val="20"/>
                <w:szCs w:val="20"/>
              </w:rPr>
            </w:pPr>
            <w:r w:rsidRPr="00281014">
              <w:rPr>
                <w:rFonts w:ascii="Times New Roman" w:hAnsi="Times New Roman" w:cs="Times New Roman"/>
                <w:b/>
                <w:sz w:val="20"/>
                <w:szCs w:val="20"/>
              </w:rPr>
              <w:t>Total Cost*</w:t>
            </w:r>
          </w:p>
        </w:tc>
        <w:tc>
          <w:tcPr>
            <w:tcW w:w="1260" w:type="dxa"/>
            <w:tcBorders>
              <w:left w:val="single" w:color="000000" w:sz="6" w:space="0"/>
              <w:bottom w:val="single" w:color="000000" w:sz="6" w:space="0"/>
              <w:right w:val="single" w:color="000000" w:sz="6" w:space="0"/>
            </w:tcBorders>
            <w:vAlign w:val="center"/>
          </w:tcPr>
          <w:p w:rsidRPr="00281014" w:rsidR="00E81DC0" w:rsidP="0054379B" w:rsidRDefault="00E81DC0" w14:paraId="61766FC9" w14:textId="77777777">
            <w:pPr>
              <w:spacing w:after="0" w:line="240" w:lineRule="auto"/>
              <w:ind w:left="133" w:right="102"/>
              <w:jc w:val="center"/>
              <w:rPr>
                <w:rFonts w:ascii="Times New Roman" w:hAnsi="Times New Roman" w:cs="Times New Roman"/>
                <w:b/>
                <w:sz w:val="20"/>
                <w:szCs w:val="20"/>
              </w:rPr>
            </w:pPr>
            <w:r w:rsidRPr="00281014">
              <w:rPr>
                <w:rFonts w:ascii="Times New Roman" w:hAnsi="Times New Roman" w:cs="Times New Roman"/>
                <w:b/>
                <w:sz w:val="20"/>
                <w:szCs w:val="20"/>
              </w:rPr>
              <w:t>$</w:t>
            </w:r>
            <w:r w:rsidRPr="00405B56">
              <w:rPr>
                <w:rFonts w:ascii="Times New Roman" w:hAnsi="Times New Roman" w:cs="Times New Roman"/>
                <w:b/>
                <w:sz w:val="20"/>
                <w:szCs w:val="20"/>
              </w:rPr>
              <w:t>75</w:t>
            </w:r>
            <w:r w:rsidRPr="008D0837">
              <w:rPr>
                <w:rFonts w:ascii="Times New Roman" w:hAnsi="Times New Roman" w:cs="Times New Roman"/>
                <w:b/>
                <w:sz w:val="20"/>
                <w:szCs w:val="20"/>
              </w:rPr>
              <w:t>1.8</w:t>
            </w:r>
          </w:p>
        </w:tc>
        <w:tc>
          <w:tcPr>
            <w:tcW w:w="1530" w:type="dxa"/>
            <w:tcBorders>
              <w:left w:val="single" w:color="000000" w:sz="6" w:space="0"/>
              <w:bottom w:val="single" w:color="000000" w:sz="6" w:space="0"/>
              <w:right w:val="single" w:color="000000" w:sz="6" w:space="0"/>
            </w:tcBorders>
            <w:vAlign w:val="center"/>
          </w:tcPr>
          <w:p w:rsidRPr="00281014" w:rsidR="00E81DC0" w:rsidP="0054379B" w:rsidRDefault="00E81DC0" w14:paraId="17AB6A95" w14:textId="77777777">
            <w:pPr>
              <w:spacing w:after="0" w:line="240" w:lineRule="auto"/>
              <w:ind w:left="468" w:right="437"/>
              <w:jc w:val="center"/>
              <w:rPr>
                <w:rFonts w:ascii="Times New Roman" w:hAnsi="Times New Roman" w:cs="Times New Roman"/>
                <w:b/>
                <w:sz w:val="20"/>
                <w:szCs w:val="20"/>
              </w:rPr>
            </w:pPr>
            <w:r w:rsidRPr="00281014">
              <w:rPr>
                <w:rFonts w:ascii="Times New Roman" w:hAnsi="Times New Roman" w:cs="Times New Roman"/>
                <w:b/>
                <w:sz w:val="20"/>
                <w:szCs w:val="20"/>
              </w:rPr>
              <w:t>$</w:t>
            </w:r>
            <w:r w:rsidRPr="00176A05">
              <w:rPr>
                <w:rFonts w:ascii="Times New Roman" w:hAnsi="Times New Roman" w:cs="Times New Roman"/>
                <w:b/>
                <w:sz w:val="20"/>
                <w:szCs w:val="20"/>
              </w:rPr>
              <w:t>64</w:t>
            </w:r>
            <w:r w:rsidRPr="008D0837">
              <w:rPr>
                <w:rFonts w:ascii="Times New Roman" w:hAnsi="Times New Roman" w:cs="Times New Roman"/>
                <w:b/>
                <w:sz w:val="20"/>
                <w:szCs w:val="20"/>
              </w:rPr>
              <w:t>6.8</w:t>
            </w:r>
          </w:p>
        </w:tc>
        <w:tc>
          <w:tcPr>
            <w:tcW w:w="1530" w:type="dxa"/>
            <w:tcBorders>
              <w:left w:val="single" w:color="000000" w:sz="6" w:space="0"/>
              <w:bottom w:val="single" w:color="000000" w:sz="6" w:space="0"/>
              <w:right w:val="single" w:color="000000" w:sz="6" w:space="0"/>
            </w:tcBorders>
            <w:vAlign w:val="center"/>
          </w:tcPr>
          <w:p w:rsidRPr="00281014" w:rsidR="00E81DC0" w:rsidP="0054379B" w:rsidRDefault="00E81DC0" w14:paraId="26249392" w14:textId="77777777">
            <w:pPr>
              <w:spacing w:after="0" w:line="240" w:lineRule="auto"/>
              <w:ind w:left="468" w:right="437"/>
              <w:jc w:val="center"/>
              <w:rPr>
                <w:rFonts w:ascii="Times New Roman" w:hAnsi="Times New Roman" w:cs="Times New Roman"/>
                <w:b/>
                <w:sz w:val="20"/>
                <w:szCs w:val="20"/>
              </w:rPr>
            </w:pPr>
            <w:r w:rsidRPr="00281014">
              <w:rPr>
                <w:rFonts w:ascii="Times New Roman" w:hAnsi="Times New Roman" w:cs="Times New Roman"/>
                <w:b/>
                <w:sz w:val="20"/>
                <w:szCs w:val="20"/>
              </w:rPr>
              <w:t>$</w:t>
            </w:r>
            <w:r w:rsidRPr="00176A05">
              <w:rPr>
                <w:rFonts w:ascii="Times New Roman" w:hAnsi="Times New Roman" w:cs="Times New Roman"/>
                <w:b/>
                <w:sz w:val="20"/>
                <w:szCs w:val="20"/>
              </w:rPr>
              <w:t>53</w:t>
            </w:r>
            <w:r w:rsidRPr="008D0837">
              <w:rPr>
                <w:rFonts w:ascii="Times New Roman" w:hAnsi="Times New Roman" w:cs="Times New Roman"/>
                <w:b/>
                <w:sz w:val="20"/>
                <w:szCs w:val="20"/>
              </w:rPr>
              <w:t>8.8</w:t>
            </w:r>
          </w:p>
        </w:tc>
        <w:tc>
          <w:tcPr>
            <w:tcW w:w="1170" w:type="dxa"/>
            <w:tcBorders>
              <w:left w:val="single" w:color="000000" w:sz="6" w:space="0"/>
              <w:bottom w:val="single" w:color="000000" w:sz="6" w:space="0"/>
              <w:right w:val="single" w:color="000000" w:sz="6" w:space="0"/>
            </w:tcBorders>
            <w:vAlign w:val="center"/>
          </w:tcPr>
          <w:p w:rsidRPr="00281014" w:rsidR="00E81DC0" w:rsidP="0054379B" w:rsidRDefault="00E81DC0" w14:paraId="643E1FC7" w14:textId="77777777">
            <w:pPr>
              <w:spacing w:after="0" w:line="240" w:lineRule="auto"/>
              <w:ind w:hanging="5"/>
              <w:jc w:val="center"/>
              <w:rPr>
                <w:rFonts w:ascii="Times New Roman" w:hAnsi="Times New Roman" w:cs="Times New Roman"/>
                <w:b/>
                <w:sz w:val="20"/>
                <w:szCs w:val="20"/>
              </w:rPr>
            </w:pPr>
            <w:r w:rsidRPr="00281014">
              <w:rPr>
                <w:rFonts w:ascii="Times New Roman" w:hAnsi="Times New Roman" w:cs="Times New Roman"/>
                <w:b/>
                <w:sz w:val="20"/>
                <w:szCs w:val="20"/>
              </w:rPr>
              <w:t>$75.</w:t>
            </w:r>
            <w:r w:rsidRPr="008D0837">
              <w:rPr>
                <w:rFonts w:ascii="Times New Roman" w:hAnsi="Times New Roman" w:cs="Times New Roman"/>
                <w:b/>
                <w:sz w:val="20"/>
                <w:szCs w:val="20"/>
              </w:rPr>
              <w:t>8</w:t>
            </w:r>
          </w:p>
        </w:tc>
        <w:tc>
          <w:tcPr>
            <w:tcW w:w="1080" w:type="dxa"/>
            <w:tcBorders>
              <w:left w:val="single" w:color="000000" w:sz="6" w:space="0"/>
              <w:bottom w:val="single" w:color="000000" w:sz="6" w:space="0"/>
              <w:right w:val="single" w:color="000000" w:sz="6" w:space="0"/>
            </w:tcBorders>
            <w:vAlign w:val="center"/>
          </w:tcPr>
          <w:p w:rsidRPr="00281014" w:rsidR="00E81DC0" w:rsidP="0054379B" w:rsidRDefault="00E81DC0" w14:paraId="3E560A08" w14:textId="77777777">
            <w:pPr>
              <w:spacing w:after="0" w:line="240" w:lineRule="auto"/>
              <w:ind w:left="75" w:right="59"/>
              <w:jc w:val="center"/>
              <w:rPr>
                <w:rFonts w:ascii="Times New Roman" w:hAnsi="Times New Roman" w:cs="Times New Roman"/>
                <w:b/>
                <w:sz w:val="20"/>
                <w:szCs w:val="20"/>
              </w:rPr>
            </w:pPr>
            <w:r w:rsidRPr="00281014">
              <w:rPr>
                <w:rFonts w:ascii="Times New Roman" w:hAnsi="Times New Roman" w:cs="Times New Roman"/>
                <w:b/>
                <w:sz w:val="20"/>
                <w:szCs w:val="20"/>
              </w:rPr>
              <w:t>$76.</w:t>
            </w:r>
            <w:r w:rsidRPr="008D0837">
              <w:rPr>
                <w:rFonts w:ascii="Times New Roman" w:hAnsi="Times New Roman" w:cs="Times New Roman"/>
                <w:b/>
                <w:sz w:val="20"/>
                <w:szCs w:val="20"/>
              </w:rPr>
              <w:t>7</w:t>
            </w:r>
          </w:p>
        </w:tc>
      </w:tr>
    </w:tbl>
    <w:p w:rsidRPr="0036010E" w:rsidR="000A13CD" w:rsidP="00576F93" w:rsidRDefault="000A13CD" w14:paraId="13E989AC" w14:textId="1BC7877A">
      <w:pPr>
        <w:spacing w:after="0" w:line="240" w:lineRule="auto"/>
        <w:rPr>
          <w:rFonts w:ascii="Times New Roman" w:hAnsi="Times New Roman" w:cs="Times New Roman"/>
          <w:b/>
          <w:sz w:val="18"/>
          <w:szCs w:val="18"/>
        </w:rPr>
      </w:pPr>
      <w:r w:rsidRPr="0036010E">
        <w:rPr>
          <w:rFonts w:ascii="Times New Roman" w:hAnsi="Times New Roman" w:cs="Times New Roman"/>
          <w:b/>
          <w:sz w:val="18"/>
          <w:szCs w:val="18"/>
        </w:rPr>
        <w:t>*</w:t>
      </w:r>
      <w:r w:rsidRPr="0036010E">
        <w:rPr>
          <w:rFonts w:ascii="Times New Roman" w:hAnsi="Times New Roman" w:cs="Times New Roman"/>
          <w:w w:val="105"/>
          <w:position w:val="6"/>
          <w:sz w:val="18"/>
          <w:szCs w:val="18"/>
        </w:rPr>
        <w:t xml:space="preserve"> </w:t>
      </w:r>
      <w:r w:rsidRPr="0036010E">
        <w:rPr>
          <w:rFonts w:ascii="Times New Roman" w:hAnsi="Times New Roman" w:cs="Times New Roman"/>
          <w:w w:val="105"/>
          <w:sz w:val="18"/>
          <w:szCs w:val="18"/>
        </w:rPr>
        <w:t>Totals may not sum due to rounding.</w:t>
      </w:r>
    </w:p>
    <w:p w:rsidR="004C11CA" w:rsidP="004C11CA" w:rsidRDefault="00C103FB" w14:paraId="6AE76AAD" w14:textId="6ECD7A70">
      <w:pPr>
        <w:spacing w:line="256" w:lineRule="auto"/>
        <w:rPr>
          <w:rFonts w:ascii="Times New Roman" w:hAnsi="Times New Roman" w:cs="Times New Roman"/>
          <w:sz w:val="18"/>
          <w:szCs w:val="18"/>
        </w:rPr>
      </w:pPr>
      <w:r>
        <w:rPr>
          <w:rFonts w:ascii="Times New Roman" w:hAnsi="Times New Roman" w:cs="Times New Roman"/>
          <w:sz w:val="18"/>
          <w:szCs w:val="18"/>
        </w:rPr>
        <w:t xml:space="preserve">   ** Totals are zero due to rounding,</w:t>
      </w:r>
      <w:r w:rsidRPr="0036010E" w:rsidR="0036010E">
        <w:rPr>
          <w:rFonts w:ascii="Times New Roman" w:hAnsi="Times New Roman" w:cs="Times New Roman"/>
          <w:sz w:val="18"/>
          <w:szCs w:val="18"/>
        </w:rPr>
        <w:t xml:space="preserve"> </w:t>
      </w:r>
      <w:r w:rsidR="0036010E">
        <w:rPr>
          <w:rFonts w:ascii="Times New Roman" w:hAnsi="Times New Roman" w:cs="Times New Roman"/>
          <w:sz w:val="18"/>
          <w:szCs w:val="18"/>
        </w:rPr>
        <w:t>Unrounded totals are $44,600 at 3% and $52,200 at 7% discount rates</w:t>
      </w:r>
      <w:r>
        <w:rPr>
          <w:rFonts w:ascii="Times New Roman" w:hAnsi="Times New Roman" w:cs="Times New Roman"/>
          <w:sz w:val="18"/>
          <w:szCs w:val="18"/>
        </w:rPr>
        <w:t>.</w:t>
      </w:r>
    </w:p>
    <w:p w:rsidR="00762D32" w:rsidP="004C11CA" w:rsidRDefault="00DD38E1" w14:paraId="30762F5B" w14:textId="782B752F">
      <w:pPr>
        <w:spacing w:line="256" w:lineRule="auto"/>
        <w:rPr>
          <w:rFonts w:ascii="Times New Roman" w:hAnsi="Times New Roman" w:cs="Times New Roman"/>
          <w:sz w:val="18"/>
          <w:szCs w:val="18"/>
        </w:rPr>
      </w:pPr>
      <w:r>
        <w:rPr>
          <w:rFonts w:ascii="Times New Roman" w:hAnsi="Times New Roman" w:cs="Times New Roman"/>
        </w:rPr>
        <w:tab/>
        <w:t xml:space="preserve">Exhibit </w:t>
      </w:r>
      <w:r w:rsidR="00942DCB">
        <w:rPr>
          <w:rFonts w:ascii="Times New Roman" w:hAnsi="Times New Roman" w:cs="Times New Roman"/>
        </w:rPr>
        <w:t>5-10</w:t>
      </w:r>
      <w:r>
        <w:rPr>
          <w:rFonts w:ascii="Times New Roman" w:hAnsi="Times New Roman" w:cs="Times New Roman"/>
        </w:rPr>
        <w:t xml:space="preserve"> provides undiscounted yearly costs for the proposed rule provisions, for both Year 1 and Years 2-10. Rule familiarization and backup power for perimeter monitors costs are incurred only in Year 1, and therefore are $0 in subsequent years.</w:t>
      </w:r>
    </w:p>
    <w:p w:rsidR="00762D32" w:rsidP="004C11CA" w:rsidRDefault="00762D32" w14:paraId="3EE2912D" w14:textId="77777777">
      <w:pPr>
        <w:spacing w:line="256" w:lineRule="auto"/>
        <w:rPr>
          <w:rFonts w:ascii="Times New Roman" w:hAnsi="Times New Roman" w:cs="Times New Roman"/>
          <w:sz w:val="18"/>
          <w:szCs w:val="18"/>
        </w:rPr>
      </w:pPr>
    </w:p>
    <w:p w:rsidRPr="00281014" w:rsidR="00762D32" w:rsidP="00762D32" w:rsidRDefault="00762D32" w14:paraId="14E8542D" w14:textId="78227C32">
      <w:pPr>
        <w:pStyle w:val="Caption"/>
        <w:jc w:val="center"/>
        <w:rPr>
          <w:rFonts w:ascii="Times New Roman" w:hAnsi="Times New Roman" w:cs="Times New Roman"/>
          <w:b/>
          <w:bCs/>
          <w:i w:val="0"/>
          <w:iCs w:val="0"/>
          <w:color w:val="auto"/>
          <w:sz w:val="22"/>
          <w:szCs w:val="22"/>
        </w:rPr>
      </w:pPr>
      <w:r w:rsidRPr="00281014">
        <w:rPr>
          <w:rFonts w:ascii="Times New Roman" w:hAnsi="Times New Roman" w:cs="Times New Roman"/>
          <w:b/>
          <w:bCs/>
          <w:i w:val="0"/>
          <w:iCs w:val="0"/>
          <w:color w:val="auto"/>
          <w:sz w:val="22"/>
          <w:szCs w:val="22"/>
        </w:rPr>
        <w:lastRenderedPageBreak/>
        <w:t xml:space="preserve">Exhibit </w:t>
      </w:r>
      <w:r w:rsidR="00942DCB">
        <w:rPr>
          <w:rFonts w:ascii="Times New Roman" w:hAnsi="Times New Roman" w:cs="Times New Roman"/>
          <w:b/>
          <w:bCs/>
          <w:i w:val="0"/>
          <w:iCs w:val="0"/>
          <w:color w:val="auto"/>
          <w:sz w:val="22"/>
          <w:szCs w:val="22"/>
        </w:rPr>
        <w:t>5-10</w:t>
      </w:r>
      <w:r w:rsidRPr="00281014">
        <w:rPr>
          <w:rFonts w:ascii="Times New Roman" w:hAnsi="Times New Roman" w:cs="Times New Roman"/>
          <w:b/>
          <w:bCs/>
          <w:i w:val="0"/>
          <w:iCs w:val="0"/>
          <w:color w:val="auto"/>
          <w:sz w:val="22"/>
          <w:szCs w:val="22"/>
        </w:rPr>
        <w:t xml:space="preserve">. Summary of Estimated </w:t>
      </w:r>
      <w:r w:rsidR="00942DCB">
        <w:rPr>
          <w:rFonts w:ascii="Times New Roman" w:hAnsi="Times New Roman" w:cs="Times New Roman"/>
          <w:b/>
          <w:bCs/>
          <w:i w:val="0"/>
          <w:iCs w:val="0"/>
          <w:color w:val="auto"/>
          <w:sz w:val="22"/>
          <w:szCs w:val="22"/>
        </w:rPr>
        <w:t xml:space="preserve">Undiscounted </w:t>
      </w:r>
      <w:r w:rsidRPr="00DD38E1">
        <w:rPr>
          <w:rFonts w:ascii="Times New Roman" w:hAnsi="Times New Roman" w:cs="Times New Roman"/>
          <w:b/>
          <w:i w:val="0"/>
          <w:color w:val="auto"/>
          <w:sz w:val="22"/>
          <w:szCs w:val="22"/>
        </w:rPr>
        <w:t>Yearly</w:t>
      </w:r>
      <w:r w:rsidRPr="00DD38E1">
        <w:rPr>
          <w:rFonts w:ascii="Times New Roman" w:hAnsi="Times New Roman" w:cs="Times New Roman"/>
          <w:b/>
          <w:bCs/>
          <w:i w:val="0"/>
          <w:iCs w:val="0"/>
          <w:color w:val="auto"/>
          <w:sz w:val="22"/>
          <w:szCs w:val="22"/>
        </w:rPr>
        <w:t xml:space="preserve"> C</w:t>
      </w:r>
      <w:r w:rsidRPr="00281014">
        <w:rPr>
          <w:rFonts w:ascii="Times New Roman" w:hAnsi="Times New Roman" w:cs="Times New Roman"/>
          <w:b/>
          <w:bCs/>
          <w:i w:val="0"/>
          <w:iCs w:val="0"/>
          <w:color w:val="auto"/>
          <w:sz w:val="22"/>
          <w:szCs w:val="22"/>
        </w:rPr>
        <w:t>osts (millions, 2020 dollars).</w:t>
      </w: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52"/>
        <w:gridCol w:w="1620"/>
        <w:gridCol w:w="1890"/>
      </w:tblGrid>
      <w:tr w:rsidRPr="00C2595C" w:rsidR="00762D32" w:rsidTr="00035E0B" w14:paraId="2A96C2F7" w14:textId="77777777">
        <w:trPr>
          <w:trHeight w:val="552"/>
          <w:jc w:val="center"/>
        </w:trPr>
        <w:tc>
          <w:tcPr>
            <w:tcW w:w="2152" w:type="dxa"/>
            <w:tcBorders>
              <w:left w:val="single" w:color="000000" w:sz="6" w:space="0"/>
              <w:bottom w:val="single" w:color="000000" w:sz="6" w:space="0"/>
              <w:right w:val="single" w:color="000000" w:sz="6" w:space="0"/>
            </w:tcBorders>
            <w:shd w:val="clear" w:color="auto" w:fill="DADADA"/>
            <w:vAlign w:val="center"/>
          </w:tcPr>
          <w:p w:rsidRPr="00281014" w:rsidR="00762D32" w:rsidP="0054379B" w:rsidRDefault="00762D32" w14:paraId="2FF1FA3F" w14:textId="77777777">
            <w:pPr>
              <w:spacing w:after="0" w:line="240" w:lineRule="auto"/>
              <w:ind w:firstLine="79"/>
              <w:rPr>
                <w:rFonts w:ascii="Times New Roman" w:hAnsi="Times New Roman" w:cs="Times New Roman"/>
                <w:b/>
                <w:sz w:val="20"/>
                <w:szCs w:val="20"/>
              </w:rPr>
            </w:pPr>
            <w:r w:rsidRPr="00281014">
              <w:rPr>
                <w:rFonts w:ascii="Times New Roman" w:hAnsi="Times New Roman" w:cs="Times New Roman"/>
                <w:b/>
                <w:sz w:val="20"/>
                <w:szCs w:val="20"/>
              </w:rPr>
              <w:t>Cost Elements</w:t>
            </w:r>
          </w:p>
        </w:tc>
        <w:tc>
          <w:tcPr>
            <w:tcW w:w="1620" w:type="dxa"/>
            <w:tcBorders>
              <w:left w:val="single" w:color="000000" w:sz="6" w:space="0"/>
              <w:bottom w:val="single" w:color="000000" w:sz="6" w:space="0"/>
              <w:right w:val="single" w:color="000000" w:sz="6" w:space="0"/>
            </w:tcBorders>
            <w:shd w:val="clear" w:color="auto" w:fill="DADADA"/>
          </w:tcPr>
          <w:p w:rsidR="00762D32" w:rsidP="0054379B" w:rsidRDefault="00762D32" w14:paraId="711A09B1" w14:textId="77777777">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 xml:space="preserve">Year 1 Costs </w:t>
            </w:r>
          </w:p>
          <w:p w:rsidR="00762D32" w:rsidP="0054379B" w:rsidRDefault="00762D32" w14:paraId="0EF2BE18" w14:textId="77777777">
            <w:pPr>
              <w:spacing w:after="0" w:line="240" w:lineRule="auto"/>
              <w:ind w:right="78"/>
              <w:jc w:val="center"/>
              <w:rPr>
                <w:rFonts w:ascii="Times New Roman" w:hAnsi="Times New Roman" w:cs="Times New Roman"/>
                <w:b/>
                <w:sz w:val="20"/>
                <w:szCs w:val="20"/>
              </w:rPr>
            </w:pPr>
            <w:r>
              <w:rPr>
                <w:rFonts w:ascii="Times New Roman" w:hAnsi="Times New Roman" w:cs="Times New Roman"/>
                <w:b/>
                <w:sz w:val="20"/>
                <w:szCs w:val="20"/>
              </w:rPr>
              <w:t>Undiscounted</w:t>
            </w:r>
          </w:p>
        </w:tc>
        <w:tc>
          <w:tcPr>
            <w:tcW w:w="1890" w:type="dxa"/>
            <w:tcBorders>
              <w:left w:val="single" w:color="000000" w:sz="6" w:space="0"/>
              <w:bottom w:val="single" w:color="000000" w:sz="6" w:space="0"/>
              <w:right w:val="single" w:color="000000" w:sz="6" w:space="0"/>
            </w:tcBorders>
            <w:shd w:val="clear" w:color="auto" w:fill="DADADA"/>
          </w:tcPr>
          <w:p w:rsidRPr="00DD38E1" w:rsidR="00762D32" w:rsidP="0054379B" w:rsidRDefault="00762D32" w14:paraId="11735CB0" w14:textId="77777777">
            <w:pPr>
              <w:spacing w:after="0" w:line="240" w:lineRule="auto"/>
              <w:ind w:right="78"/>
              <w:jc w:val="center"/>
              <w:rPr>
                <w:rFonts w:ascii="Times New Roman" w:hAnsi="Times New Roman" w:cs="Times New Roman"/>
                <w:b/>
                <w:sz w:val="20"/>
                <w:szCs w:val="20"/>
              </w:rPr>
            </w:pPr>
            <w:r w:rsidRPr="00DD38E1">
              <w:rPr>
                <w:rFonts w:ascii="Times New Roman" w:hAnsi="Times New Roman" w:cs="Times New Roman"/>
                <w:b/>
                <w:sz w:val="20"/>
                <w:szCs w:val="20"/>
              </w:rPr>
              <w:t xml:space="preserve">Years </w:t>
            </w:r>
          </w:p>
          <w:p w:rsidRPr="00DD38E1" w:rsidR="00762D32" w:rsidP="0054379B" w:rsidRDefault="00762D32" w14:paraId="11B787BC" w14:textId="77777777">
            <w:pPr>
              <w:spacing w:after="0" w:line="240" w:lineRule="auto"/>
              <w:ind w:right="78"/>
              <w:jc w:val="center"/>
              <w:rPr>
                <w:rFonts w:ascii="Times New Roman" w:hAnsi="Times New Roman" w:cs="Times New Roman"/>
                <w:b/>
                <w:sz w:val="20"/>
                <w:szCs w:val="20"/>
              </w:rPr>
            </w:pPr>
            <w:r w:rsidRPr="00DD38E1">
              <w:rPr>
                <w:rFonts w:ascii="Times New Roman" w:hAnsi="Times New Roman" w:cs="Times New Roman"/>
                <w:b/>
                <w:sz w:val="20"/>
                <w:szCs w:val="20"/>
              </w:rPr>
              <w:t xml:space="preserve">2 – 10 </w:t>
            </w:r>
          </w:p>
          <w:p w:rsidRPr="00DD38E1" w:rsidR="00762D32" w:rsidP="0054379B" w:rsidRDefault="00762D32" w14:paraId="48DEE8D3" w14:textId="77777777">
            <w:pPr>
              <w:spacing w:after="0" w:line="240" w:lineRule="auto"/>
              <w:ind w:right="78"/>
              <w:jc w:val="center"/>
              <w:rPr>
                <w:rFonts w:ascii="Times New Roman" w:hAnsi="Times New Roman" w:cs="Times New Roman"/>
                <w:b/>
                <w:sz w:val="20"/>
                <w:szCs w:val="20"/>
              </w:rPr>
            </w:pPr>
            <w:r w:rsidRPr="00DD38E1">
              <w:rPr>
                <w:rFonts w:ascii="Times New Roman" w:hAnsi="Times New Roman" w:cs="Times New Roman"/>
                <w:b/>
                <w:sz w:val="20"/>
                <w:szCs w:val="20"/>
              </w:rPr>
              <w:t>Costs per Year Undiscounted</w:t>
            </w:r>
          </w:p>
        </w:tc>
      </w:tr>
      <w:tr w:rsidRPr="00C2595C" w:rsidR="00762D32" w:rsidTr="00035E0B" w14:paraId="065BAA7D" w14:textId="7777777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74C24F2D"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Rule Familiarization</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5D645C32"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$46.5</w:t>
            </w:r>
          </w:p>
        </w:tc>
        <w:tc>
          <w:tcPr>
            <w:tcW w:w="1890" w:type="dxa"/>
            <w:tcBorders>
              <w:top w:val="single" w:color="000000" w:sz="6" w:space="0"/>
              <w:left w:val="single" w:color="000000" w:sz="6" w:space="0"/>
              <w:bottom w:val="single" w:color="000000" w:sz="6" w:space="0"/>
              <w:right w:val="single" w:color="000000" w:sz="6" w:space="0"/>
            </w:tcBorders>
          </w:tcPr>
          <w:p w:rsidRPr="00DD38E1" w:rsidR="00762D32" w:rsidP="0054379B" w:rsidRDefault="00762D32" w14:paraId="6E31C4E6" w14:textId="77777777">
            <w:pPr>
              <w:spacing w:after="0" w:line="240" w:lineRule="auto"/>
              <w:ind w:left="75" w:right="59"/>
              <w:jc w:val="center"/>
              <w:rPr>
                <w:rFonts w:ascii="Times New Roman" w:hAnsi="Times New Roman" w:cs="Times New Roman"/>
                <w:sz w:val="20"/>
                <w:szCs w:val="20"/>
              </w:rPr>
            </w:pPr>
            <w:r w:rsidRPr="00DD38E1">
              <w:rPr>
                <w:rFonts w:ascii="Times New Roman" w:hAnsi="Times New Roman" w:cs="Times New Roman"/>
                <w:sz w:val="20"/>
                <w:szCs w:val="20"/>
              </w:rPr>
              <w:t>$0</w:t>
            </w:r>
          </w:p>
        </w:tc>
      </w:tr>
      <w:tr w:rsidRPr="00C2595C" w:rsidR="00762D32" w:rsidTr="00035E0B" w14:paraId="5270E936" w14:textId="7777777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05A82580"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Safer Technology Alternatives Analysis</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1EB359CC"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$51.8</w:t>
            </w:r>
          </w:p>
        </w:tc>
        <w:tc>
          <w:tcPr>
            <w:tcW w:w="189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6188A6B9"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$51.8</w:t>
            </w:r>
          </w:p>
        </w:tc>
      </w:tr>
      <w:tr w:rsidRPr="00C2595C" w:rsidR="00762D32" w:rsidTr="00035E0B" w14:paraId="730390CA" w14:textId="7777777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50AFACEF"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Root Cause Analysis</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7E8A3160" w14:textId="6EB9B33D">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.7</w:t>
            </w:r>
          </w:p>
        </w:tc>
        <w:tc>
          <w:tcPr>
            <w:tcW w:w="189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169526F0" w14:textId="651E1EB3">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.7</w:t>
            </w:r>
          </w:p>
        </w:tc>
      </w:tr>
      <w:tr w:rsidRPr="00C2595C" w:rsidR="00762D32" w:rsidTr="00035E0B" w14:paraId="1C47FC2D" w14:textId="7777777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6AD679C9"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Third-party Audits</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410AFD25"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$10.3</w:t>
            </w:r>
          </w:p>
        </w:tc>
        <w:tc>
          <w:tcPr>
            <w:tcW w:w="189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5D9E4849"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$10.3</w:t>
            </w:r>
          </w:p>
        </w:tc>
      </w:tr>
      <w:tr w:rsidRPr="00C2595C" w:rsidR="00762D32" w:rsidTr="00035E0B" w14:paraId="27626526" w14:textId="77777777">
        <w:trPr>
          <w:trHeight w:val="282"/>
          <w:jc w:val="center"/>
        </w:trPr>
        <w:tc>
          <w:tcPr>
            <w:tcW w:w="2152" w:type="dxa"/>
            <w:tcBorders>
              <w:top w:val="single" w:color="000000" w:sz="6" w:space="0"/>
              <w:left w:val="single" w:color="000000" w:sz="6" w:space="0"/>
              <w:right w:val="single" w:color="000000" w:sz="6" w:space="0"/>
            </w:tcBorders>
            <w:vAlign w:val="center"/>
          </w:tcPr>
          <w:p w:rsidRPr="00281014" w:rsidR="00762D32" w:rsidP="0054379B" w:rsidRDefault="00762D32" w14:paraId="10A21428"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Employee Participation Plan</w:t>
            </w:r>
          </w:p>
        </w:tc>
        <w:tc>
          <w:tcPr>
            <w:tcW w:w="1620" w:type="dxa"/>
            <w:tcBorders>
              <w:top w:val="single" w:color="000000" w:sz="6" w:space="0"/>
              <w:left w:val="single" w:color="000000" w:sz="6" w:space="0"/>
              <w:right w:val="single" w:color="000000" w:sz="6" w:space="0"/>
            </w:tcBorders>
          </w:tcPr>
          <w:p w:rsidRPr="00281014" w:rsidR="00762D32" w:rsidP="0054379B" w:rsidRDefault="00762D32" w14:paraId="34EBF2C9" w14:textId="5F751A1C">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.9</w:t>
            </w:r>
          </w:p>
        </w:tc>
        <w:tc>
          <w:tcPr>
            <w:tcW w:w="1890" w:type="dxa"/>
            <w:tcBorders>
              <w:top w:val="single" w:color="000000" w:sz="6" w:space="0"/>
              <w:left w:val="single" w:color="000000" w:sz="6" w:space="0"/>
              <w:right w:val="single" w:color="000000" w:sz="6" w:space="0"/>
            </w:tcBorders>
          </w:tcPr>
          <w:p w:rsidRPr="00281014" w:rsidR="00762D32" w:rsidP="0054379B" w:rsidRDefault="00762D32" w14:paraId="5ACDE1F5" w14:textId="4F8C9676">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.9</w:t>
            </w:r>
          </w:p>
        </w:tc>
      </w:tr>
      <w:tr w:rsidRPr="00C2595C" w:rsidR="00762D32" w:rsidTr="00035E0B" w14:paraId="494D67CD" w14:textId="77777777">
        <w:trPr>
          <w:trHeight w:val="552"/>
          <w:jc w:val="center"/>
        </w:trPr>
        <w:tc>
          <w:tcPr>
            <w:tcW w:w="2152" w:type="dxa"/>
            <w:tcBorders>
              <w:left w:val="single" w:color="000000" w:sz="6" w:space="0"/>
              <w:bottom w:val="single" w:color="000000" w:sz="6" w:space="0"/>
              <w:right w:val="single" w:color="000000" w:sz="6" w:space="0"/>
            </w:tcBorders>
            <w:vAlign w:val="center"/>
          </w:tcPr>
          <w:p w:rsidRPr="00281014" w:rsidR="00762D32" w:rsidP="0054379B" w:rsidRDefault="00762D32" w14:paraId="04CF20ED" w14:textId="77777777">
            <w:pPr>
              <w:spacing w:after="0" w:line="240" w:lineRule="auto"/>
              <w:ind w:left="112" w:right="85"/>
              <w:rPr>
                <w:rFonts w:ascii="Times New Roman" w:hAnsi="Times New Roman" w:cs="Times New Roman"/>
                <w:sz w:val="20"/>
                <w:szCs w:val="20"/>
              </w:rPr>
            </w:pPr>
            <w:r w:rsidRPr="00281014">
              <w:rPr>
                <w:rFonts w:ascii="Times New Roman" w:hAnsi="Times New Roman" w:cs="Times New Roman"/>
                <w:sz w:val="20"/>
                <w:szCs w:val="20"/>
              </w:rPr>
              <w:t>Backup Power for Perimeter Monitors</w:t>
            </w:r>
          </w:p>
        </w:tc>
        <w:tc>
          <w:tcPr>
            <w:tcW w:w="1620" w:type="dxa"/>
            <w:tcBorders>
              <w:left w:val="single" w:color="000000" w:sz="6" w:space="0"/>
              <w:bottom w:val="single" w:color="000000" w:sz="6" w:space="0"/>
              <w:right w:val="single" w:color="000000" w:sz="6" w:space="0"/>
            </w:tcBorders>
          </w:tcPr>
          <w:p w:rsidRPr="00281014" w:rsidR="00762D32" w:rsidP="0054379B" w:rsidRDefault="00762D32" w14:paraId="192EC777" w14:textId="2A779DEF">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w:t>
            </w:r>
            <w:r w:rsidR="002360E7">
              <w:rPr>
                <w:rFonts w:ascii="Times New Roman" w:hAnsi="Times New Roman" w:cs="Times New Roman"/>
                <w:sz w:val="20"/>
                <w:szCs w:val="20"/>
              </w:rPr>
              <w:t>0</w:t>
            </w:r>
            <w:r>
              <w:rPr>
                <w:rFonts w:ascii="Times New Roman" w:hAnsi="Times New Roman" w:cs="Times New Roman"/>
                <w:sz w:val="20"/>
                <w:szCs w:val="20"/>
              </w:rPr>
              <w:t>.4</w:t>
            </w:r>
          </w:p>
        </w:tc>
        <w:tc>
          <w:tcPr>
            <w:tcW w:w="1890" w:type="dxa"/>
            <w:tcBorders>
              <w:left w:val="single" w:color="000000" w:sz="6" w:space="0"/>
              <w:bottom w:val="single" w:color="000000" w:sz="6" w:space="0"/>
              <w:right w:val="single" w:color="000000" w:sz="6" w:space="0"/>
            </w:tcBorders>
          </w:tcPr>
          <w:p w:rsidRPr="00281014" w:rsidR="00762D32" w:rsidP="0054379B" w:rsidRDefault="00762D32" w14:paraId="32A6EFE1" w14:textId="7777777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$0</w:t>
            </w:r>
          </w:p>
        </w:tc>
      </w:tr>
      <w:tr w:rsidRPr="00C2595C" w:rsidR="00762D32" w:rsidTr="00035E0B" w14:paraId="757F2477" w14:textId="77777777">
        <w:trPr>
          <w:trHeight w:val="285"/>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3993EDE1"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Community Notification System</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7B19925F"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$3.8</w:t>
            </w:r>
          </w:p>
        </w:tc>
        <w:tc>
          <w:tcPr>
            <w:tcW w:w="189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1F114B36" w14:textId="77777777">
            <w:pPr>
              <w:spacing w:after="0" w:line="240" w:lineRule="auto"/>
              <w:ind w:left="75" w:right="59"/>
              <w:jc w:val="center"/>
              <w:rPr>
                <w:rFonts w:ascii="Times New Roman" w:hAnsi="Times New Roman" w:cs="Times New Roman"/>
                <w:sz w:val="20"/>
                <w:szCs w:val="20"/>
              </w:rPr>
            </w:pPr>
            <w:r>
              <w:rPr>
                <w:rFonts w:ascii="Times New Roman" w:hAnsi="Times New Roman" w:cs="Times New Roman"/>
                <w:sz w:val="20"/>
                <w:szCs w:val="20"/>
              </w:rPr>
              <w:t>$3.8</w:t>
            </w:r>
          </w:p>
        </w:tc>
      </w:tr>
      <w:tr w:rsidRPr="00C2595C" w:rsidR="00762D32" w:rsidTr="00035E0B" w14:paraId="32D029F6" w14:textId="77777777">
        <w:trPr>
          <w:trHeight w:val="300"/>
          <w:jc w:val="center"/>
        </w:trPr>
        <w:tc>
          <w:tcPr>
            <w:tcW w:w="2152" w:type="dxa"/>
            <w:tcBorders>
              <w:top w:val="single" w:color="000000" w:sz="6" w:space="0"/>
              <w:left w:val="single" w:color="000000" w:sz="6" w:space="0"/>
              <w:bottom w:val="single" w:color="000000" w:sz="6" w:space="0"/>
              <w:right w:val="single" w:color="000000" w:sz="6" w:space="0"/>
            </w:tcBorders>
            <w:vAlign w:val="center"/>
          </w:tcPr>
          <w:p w:rsidRPr="00281014" w:rsidR="00762D32" w:rsidP="0054379B" w:rsidRDefault="00762D32" w14:paraId="29A6DEDF" w14:textId="77777777">
            <w:pPr>
              <w:spacing w:after="0" w:line="240" w:lineRule="auto"/>
              <w:ind w:left="112"/>
              <w:rPr>
                <w:rFonts w:ascii="Times New Roman" w:hAnsi="Times New Roman" w:cs="Times New Roman"/>
                <w:sz w:val="20"/>
                <w:szCs w:val="20"/>
              </w:rPr>
            </w:pPr>
            <w:r w:rsidRPr="00281014">
              <w:rPr>
                <w:rFonts w:ascii="Times New Roman" w:hAnsi="Times New Roman" w:cs="Times New Roman"/>
                <w:sz w:val="20"/>
                <w:szCs w:val="20"/>
              </w:rPr>
              <w:t>Information Availability</w:t>
            </w:r>
          </w:p>
        </w:tc>
        <w:tc>
          <w:tcPr>
            <w:tcW w:w="162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01C0CB63" w14:textId="7777777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$3.1</w:t>
            </w:r>
          </w:p>
        </w:tc>
        <w:tc>
          <w:tcPr>
            <w:tcW w:w="1890" w:type="dxa"/>
            <w:tcBorders>
              <w:top w:val="single" w:color="000000" w:sz="6" w:space="0"/>
              <w:left w:val="single" w:color="000000" w:sz="6" w:space="0"/>
              <w:bottom w:val="single" w:color="000000" w:sz="6" w:space="0"/>
              <w:right w:val="single" w:color="000000" w:sz="6" w:space="0"/>
            </w:tcBorders>
          </w:tcPr>
          <w:p w:rsidRPr="00281014" w:rsidR="00762D32" w:rsidP="0054379B" w:rsidRDefault="00762D32" w14:paraId="5C47352F" w14:textId="77777777">
            <w:pPr>
              <w:spacing w:after="0" w:line="240" w:lineRule="auto"/>
              <w:ind w:left="89" w:right="58"/>
              <w:jc w:val="center"/>
              <w:rPr>
                <w:rFonts w:ascii="Times New Roman" w:hAnsi="Times New Roman" w:cs="Times New Roman"/>
                <w:sz w:val="20"/>
                <w:szCs w:val="20"/>
              </w:rPr>
            </w:pPr>
            <w:r>
              <w:rPr>
                <w:rFonts w:ascii="Times New Roman" w:hAnsi="Times New Roman" w:cs="Times New Roman"/>
                <w:sz w:val="20"/>
                <w:szCs w:val="20"/>
              </w:rPr>
              <w:t>$3.1</w:t>
            </w:r>
          </w:p>
        </w:tc>
      </w:tr>
      <w:tr w:rsidRPr="00C2595C" w:rsidR="00762D32" w:rsidTr="00035E0B" w14:paraId="583BC4A7" w14:textId="77777777">
        <w:trPr>
          <w:trHeight w:val="282"/>
          <w:jc w:val="center"/>
        </w:trPr>
        <w:tc>
          <w:tcPr>
            <w:tcW w:w="2152" w:type="dxa"/>
            <w:tcBorders>
              <w:left w:val="single" w:color="000000" w:sz="6" w:space="0"/>
              <w:bottom w:val="single" w:color="000000" w:sz="6" w:space="0"/>
              <w:right w:val="single" w:color="000000" w:sz="6" w:space="0"/>
            </w:tcBorders>
            <w:vAlign w:val="center"/>
          </w:tcPr>
          <w:p w:rsidRPr="00281014" w:rsidR="00762D32" w:rsidP="0054379B" w:rsidRDefault="00762D32" w14:paraId="76E6A3B2" w14:textId="77777777">
            <w:pPr>
              <w:spacing w:after="0" w:line="240" w:lineRule="auto"/>
              <w:ind w:left="517"/>
              <w:rPr>
                <w:rFonts w:ascii="Times New Roman" w:hAnsi="Times New Roman" w:cs="Times New Roman"/>
                <w:b/>
                <w:sz w:val="20"/>
                <w:szCs w:val="20"/>
              </w:rPr>
            </w:pPr>
            <w:r w:rsidRPr="00281014">
              <w:rPr>
                <w:rFonts w:ascii="Times New Roman" w:hAnsi="Times New Roman" w:cs="Times New Roman"/>
                <w:b/>
                <w:sz w:val="20"/>
                <w:szCs w:val="20"/>
              </w:rPr>
              <w:t>Total Cost*</w:t>
            </w:r>
          </w:p>
        </w:tc>
        <w:tc>
          <w:tcPr>
            <w:tcW w:w="1620" w:type="dxa"/>
            <w:tcBorders>
              <w:left w:val="single" w:color="000000" w:sz="6" w:space="0"/>
              <w:bottom w:val="single" w:color="000000" w:sz="6" w:space="0"/>
              <w:right w:val="single" w:color="000000" w:sz="6" w:space="0"/>
            </w:tcBorders>
          </w:tcPr>
          <w:p w:rsidRPr="00281014" w:rsidR="00762D32" w:rsidP="0054379B" w:rsidRDefault="00762D32" w14:paraId="0922E1FF" w14:textId="77777777">
            <w:pPr>
              <w:spacing w:after="0" w:line="240" w:lineRule="auto"/>
              <w:ind w:left="75" w:right="59"/>
              <w:jc w:val="center"/>
              <w:rPr>
                <w:rFonts w:ascii="Times New Roman" w:hAnsi="Times New Roman" w:cs="Times New Roman"/>
                <w:b/>
                <w:sz w:val="20"/>
                <w:szCs w:val="20"/>
              </w:rPr>
            </w:pPr>
            <w:r>
              <w:rPr>
                <w:rFonts w:ascii="Times New Roman" w:hAnsi="Times New Roman" w:cs="Times New Roman"/>
                <w:b/>
                <w:sz w:val="20"/>
                <w:szCs w:val="20"/>
              </w:rPr>
              <w:t>$117.4</w:t>
            </w:r>
          </w:p>
        </w:tc>
        <w:tc>
          <w:tcPr>
            <w:tcW w:w="1890" w:type="dxa"/>
            <w:tcBorders>
              <w:left w:val="single" w:color="000000" w:sz="6" w:space="0"/>
              <w:bottom w:val="single" w:color="000000" w:sz="6" w:space="0"/>
              <w:right w:val="single" w:color="000000" w:sz="6" w:space="0"/>
            </w:tcBorders>
          </w:tcPr>
          <w:p w:rsidRPr="00281014" w:rsidR="00762D32" w:rsidP="0054379B" w:rsidRDefault="00762D32" w14:paraId="1A44B0B5" w14:textId="77777777">
            <w:pPr>
              <w:spacing w:after="0" w:line="240" w:lineRule="auto"/>
              <w:ind w:left="75" w:right="59"/>
              <w:jc w:val="center"/>
              <w:rPr>
                <w:rFonts w:ascii="Times New Roman" w:hAnsi="Times New Roman" w:cs="Times New Roman"/>
                <w:b/>
                <w:sz w:val="20"/>
                <w:szCs w:val="20"/>
              </w:rPr>
            </w:pPr>
            <w:r>
              <w:rPr>
                <w:rFonts w:ascii="Times New Roman" w:hAnsi="Times New Roman" w:cs="Times New Roman"/>
                <w:b/>
                <w:sz w:val="20"/>
                <w:szCs w:val="20"/>
              </w:rPr>
              <w:t>$70.5</w:t>
            </w:r>
          </w:p>
        </w:tc>
      </w:tr>
    </w:tbl>
    <w:p w:rsidRPr="00281014" w:rsidR="00762D32" w:rsidP="00762D32" w:rsidRDefault="0036010E" w14:paraId="07F41DA7" w14:textId="048877F3">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762D32">
        <w:rPr>
          <w:rFonts w:ascii="Times New Roman" w:hAnsi="Times New Roman" w:cs="Times New Roman"/>
          <w:sz w:val="18"/>
          <w:szCs w:val="18"/>
        </w:rPr>
        <w:t xml:space="preserve">   </w:t>
      </w:r>
      <w:r w:rsidRPr="00281014" w:rsidR="00762D32">
        <w:rPr>
          <w:rFonts w:ascii="Times New Roman" w:hAnsi="Times New Roman" w:cs="Times New Roman"/>
          <w:sz w:val="18"/>
          <w:szCs w:val="18"/>
        </w:rPr>
        <w:t>*Totals may not sum due to rounding.</w:t>
      </w:r>
    </w:p>
    <w:p w:rsidRPr="00281014" w:rsidR="00762D32" w:rsidP="00762D32" w:rsidRDefault="00762D32" w14:paraId="3B22411F" w14:textId="4C5EE93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rsidR="00762D32" w:rsidP="004C11CA" w:rsidRDefault="00762D32" w14:paraId="2F2D6A2A" w14:textId="410383C2">
      <w:pPr>
        <w:spacing w:line="256" w:lineRule="auto"/>
        <w:rPr>
          <w:sz w:val="19"/>
        </w:rPr>
        <w:sectPr w:rsidR="00762D32">
          <w:pgSz w:w="12240" w:h="15840"/>
          <w:pgMar w:top="1380" w:right="1100" w:bottom="920" w:left="1160" w:header="0" w:footer="738" w:gutter="0"/>
          <w:cols w:space="720"/>
        </w:sectPr>
      </w:pPr>
    </w:p>
    <w:p w:rsidR="00673838" w:rsidP="00217713" w:rsidRDefault="00E93325" w14:paraId="3C3DFC84" w14:textId="4B04F80B">
      <w:pPr>
        <w:pStyle w:val="Heading1"/>
      </w:pPr>
      <w:bookmarkStart w:name="_bookmark47" w:id="104"/>
      <w:bookmarkStart w:name="_Toc110502758" w:id="105"/>
      <w:bookmarkStart w:name="_Toc98856227" w:id="106"/>
      <w:bookmarkEnd w:id="104"/>
      <w:r w:rsidRPr="00217713">
        <w:lastRenderedPageBreak/>
        <w:t>CHAPTER 6</w:t>
      </w:r>
      <w:r w:rsidR="002D372A">
        <w:t>:</w:t>
      </w:r>
      <w:r w:rsidR="00843659">
        <w:t xml:space="preserve"> </w:t>
      </w:r>
      <w:r w:rsidR="000D136F">
        <w:t xml:space="preserve">Total </w:t>
      </w:r>
      <w:r w:rsidR="002D372A">
        <w:t>Benefits</w:t>
      </w:r>
      <w:r w:rsidR="000D136F">
        <w:t xml:space="preserve"> of the Proposed Rule</w:t>
      </w:r>
      <w:bookmarkEnd w:id="105"/>
    </w:p>
    <w:bookmarkEnd w:id="106"/>
    <w:p w:rsidR="00374F85" w:rsidP="00BF42A8" w:rsidRDefault="00E235AD" w14:paraId="4C60FBF6" w14:textId="73390859">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Facilities subject to the RMP regulation pose significant risks to the public and the environment. </w:t>
      </w:r>
      <w:r w:rsidRPr="00374F85" w:rsidR="00374F85">
        <w:rPr>
          <w:rFonts w:ascii="Times New Roman" w:hAnsi="Times New Roman" w:cs="Times New Roman"/>
        </w:rPr>
        <w:t xml:space="preserve"> As EPA has discussed in prior RMP rulemaking RIAs, it is not possible to estimate quantitative benefits for the proposed rule as EPA has no data to project the specific </w:t>
      </w:r>
      <w:r w:rsidR="00E42552">
        <w:rPr>
          <w:rFonts w:ascii="Times New Roman" w:hAnsi="Times New Roman" w:cs="Times New Roman"/>
        </w:rPr>
        <w:t xml:space="preserve">contribution of </w:t>
      </w:r>
      <w:r w:rsidRPr="00374F85" w:rsidR="00E42552">
        <w:rPr>
          <w:rFonts w:ascii="Times New Roman" w:hAnsi="Times New Roman" w:cs="Times New Roman"/>
        </w:rPr>
        <w:t>each proposed rule provisio</w:t>
      </w:r>
      <w:r w:rsidR="00E42552">
        <w:rPr>
          <w:rFonts w:ascii="Times New Roman" w:hAnsi="Times New Roman" w:cs="Times New Roman"/>
        </w:rPr>
        <w:t xml:space="preserve">n to </w:t>
      </w:r>
      <w:r w:rsidR="00C53B08">
        <w:rPr>
          <w:rFonts w:ascii="Times New Roman" w:hAnsi="Times New Roman" w:cs="Times New Roman"/>
        </w:rPr>
        <w:t xml:space="preserve">an </w:t>
      </w:r>
      <w:r w:rsidRPr="00374F85" w:rsidR="00374F85">
        <w:rPr>
          <w:rFonts w:ascii="Times New Roman" w:hAnsi="Times New Roman" w:cs="Times New Roman"/>
        </w:rPr>
        <w:t>accident</w:t>
      </w:r>
      <w:r w:rsidR="00C53B08">
        <w:rPr>
          <w:rFonts w:ascii="Times New Roman" w:hAnsi="Times New Roman" w:cs="Times New Roman"/>
        </w:rPr>
        <w:t>’s</w:t>
      </w:r>
      <w:r w:rsidR="002D6FA7">
        <w:rPr>
          <w:rFonts w:ascii="Times New Roman" w:hAnsi="Times New Roman" w:cs="Times New Roman"/>
        </w:rPr>
        <w:t xml:space="preserve"> </w:t>
      </w:r>
      <w:r w:rsidR="00E42552">
        <w:rPr>
          <w:rFonts w:ascii="Times New Roman" w:hAnsi="Times New Roman" w:cs="Times New Roman"/>
        </w:rPr>
        <w:t>impact</w:t>
      </w:r>
      <w:r w:rsidR="00C53B08">
        <w:rPr>
          <w:rFonts w:ascii="Times New Roman" w:hAnsi="Times New Roman" w:cs="Times New Roman"/>
        </w:rPr>
        <w:t>s</w:t>
      </w:r>
      <w:r w:rsidRPr="00374F85" w:rsidR="00374F85">
        <w:rPr>
          <w:rFonts w:ascii="Times New Roman" w:hAnsi="Times New Roman" w:cs="Times New Roman"/>
        </w:rPr>
        <w:t xml:space="preserve">. As shown by accident trends, accident frequency and severity are difficult to predict. Based on RMP accident data and other data, chemical accidents can impose substantial costs on firms, employees, emergency responders, the community, and the broader economy. Reducing the risk of such accidents and the severity of the impacts when accidents occur, and improving information </w:t>
      </w:r>
      <w:r w:rsidR="00A82513">
        <w:rPr>
          <w:rFonts w:ascii="Times New Roman" w:hAnsi="Times New Roman" w:cs="Times New Roman"/>
        </w:rPr>
        <w:t>availability</w:t>
      </w:r>
      <w:r w:rsidRPr="00374F85" w:rsidR="00374F85">
        <w:rPr>
          <w:rFonts w:ascii="Times New Roman" w:hAnsi="Times New Roman" w:cs="Times New Roman"/>
        </w:rPr>
        <w:t>, as the proposed provisions intend, would provide benefits to the potentially affected members of society.</w:t>
      </w:r>
      <w:r w:rsidR="00BC7919">
        <w:rPr>
          <w:rFonts w:ascii="Times New Roman" w:hAnsi="Times New Roman" w:cs="Times New Roman"/>
        </w:rPr>
        <w:t xml:space="preserve"> </w:t>
      </w:r>
      <w:r w:rsidRPr="00BC7919" w:rsidR="00BC7919">
        <w:rPr>
          <w:rFonts w:ascii="Times New Roman" w:hAnsi="Times New Roman" w:cs="Times New Roman"/>
        </w:rPr>
        <w:t>The</w:t>
      </w:r>
      <w:r w:rsidR="007B117F">
        <w:rPr>
          <w:rFonts w:ascii="Times New Roman" w:hAnsi="Times New Roman" w:cs="Times New Roman"/>
        </w:rPr>
        <w:t>refore, the</w:t>
      </w:r>
      <w:r w:rsidRPr="00BC7919" w:rsidR="00BC7919">
        <w:rPr>
          <w:rFonts w:ascii="Times New Roman" w:hAnsi="Times New Roman" w:cs="Times New Roman"/>
        </w:rPr>
        <w:t xml:space="preserve"> discussion in this section qualitatively explains how the proposed rule provisions could prevent and mitigate accidents.</w:t>
      </w:r>
    </w:p>
    <w:p w:rsidR="00374F85" w:rsidP="00BF42A8" w:rsidRDefault="00374F85" w14:paraId="3246E1FF" w14:textId="77777777">
      <w:pPr>
        <w:spacing w:after="0" w:line="240" w:lineRule="auto"/>
        <w:ind w:firstLine="360"/>
        <w:rPr>
          <w:rFonts w:ascii="Times New Roman" w:hAnsi="Times New Roman" w:cs="Times New Roman"/>
        </w:rPr>
      </w:pPr>
    </w:p>
    <w:p w:rsidR="00BB51B0" w:rsidP="00A23544" w:rsidRDefault="00E93325" w14:paraId="5D011480" w14:textId="40382426">
      <w:pPr>
        <w:spacing w:after="0" w:line="240" w:lineRule="auto"/>
        <w:rPr>
          <w:rFonts w:ascii="Times New Roman" w:hAnsi="Times New Roman" w:cs="Times New Roman"/>
        </w:rPr>
      </w:pPr>
      <w:r w:rsidRPr="39C3D6F5">
        <w:rPr>
          <w:rFonts w:ascii="Times New Roman" w:hAnsi="Times New Roman" w:cs="Times New Roman"/>
        </w:rPr>
        <w:t xml:space="preserve">These risks stem from potential accidental chemical releases that can cause fires, explosions, and harmful vapor clouds. Chemical accidents and </w:t>
      </w:r>
      <w:r w:rsidRPr="39C3D6F5" w:rsidR="00354D92">
        <w:rPr>
          <w:rFonts w:ascii="Times New Roman" w:hAnsi="Times New Roman" w:cs="Times New Roman"/>
        </w:rPr>
        <w:t>their impacts</w:t>
      </w:r>
      <w:r w:rsidRPr="39C3D6F5">
        <w:rPr>
          <w:rFonts w:ascii="Times New Roman" w:hAnsi="Times New Roman" w:cs="Times New Roman"/>
        </w:rPr>
        <w:t xml:space="preserve"> not only kill and injure people, but also </w:t>
      </w:r>
      <w:proofErr w:type="gramStart"/>
      <w:r w:rsidRPr="39C3D6F5">
        <w:rPr>
          <w:rFonts w:ascii="Times New Roman" w:hAnsi="Times New Roman" w:cs="Times New Roman"/>
        </w:rPr>
        <w:t>can do</w:t>
      </w:r>
      <w:proofErr w:type="gramEnd"/>
      <w:r w:rsidRPr="39C3D6F5">
        <w:rPr>
          <w:rFonts w:ascii="Times New Roman" w:hAnsi="Times New Roman" w:cs="Times New Roman"/>
        </w:rPr>
        <w:t xml:space="preserve"> </w:t>
      </w:r>
      <w:r w:rsidRPr="39C3D6F5" w:rsidR="00725AC9">
        <w:rPr>
          <w:rFonts w:ascii="Times New Roman" w:hAnsi="Times New Roman" w:cs="Times New Roman"/>
        </w:rPr>
        <w:t>tremendous</w:t>
      </w:r>
      <w:r w:rsidRPr="39C3D6F5">
        <w:rPr>
          <w:rFonts w:ascii="Times New Roman" w:hAnsi="Times New Roman" w:cs="Times New Roman"/>
        </w:rPr>
        <w:t xml:space="preserve"> damage to property. Property damage can include damage to goods produced, plant equipment and structures, and nearby industrial, commercial, and residential buildings, equipment, and furnishings. Damage can also occur to the natural environment and negatively affect nearby ecosystems and wildlife. Resources, such as emergency personnel and equipment, are diverted to address the fire, explosion, or vapor cloud. Properties located near the accident may lose value </w:t>
      </w:r>
      <w:proofErr w:type="gramStart"/>
      <w:r w:rsidRPr="39C3D6F5">
        <w:rPr>
          <w:rFonts w:ascii="Times New Roman" w:hAnsi="Times New Roman" w:cs="Times New Roman"/>
        </w:rPr>
        <w:t>as a result of</w:t>
      </w:r>
      <w:proofErr w:type="gramEnd"/>
      <w:r w:rsidRPr="39C3D6F5">
        <w:rPr>
          <w:rFonts w:ascii="Times New Roman" w:hAnsi="Times New Roman" w:cs="Times New Roman"/>
        </w:rPr>
        <w:t xml:space="preserve"> the perceived risks and other </w:t>
      </w:r>
      <w:proofErr w:type="spellStart"/>
      <w:r w:rsidRPr="39C3D6F5">
        <w:rPr>
          <w:rFonts w:ascii="Times New Roman" w:hAnsi="Times New Roman" w:cs="Times New Roman"/>
        </w:rPr>
        <w:t>disamenities</w:t>
      </w:r>
      <w:proofErr w:type="spellEnd"/>
      <w:r w:rsidRPr="39C3D6F5" w:rsidR="007B71DF">
        <w:rPr>
          <w:rFonts w:ascii="Times New Roman" w:hAnsi="Times New Roman" w:cs="Times New Roman"/>
        </w:rPr>
        <w:t xml:space="preserve"> created </w:t>
      </w:r>
      <w:r w:rsidRPr="39C3D6F5">
        <w:rPr>
          <w:rFonts w:ascii="Times New Roman" w:hAnsi="Times New Roman" w:cs="Times New Roman"/>
        </w:rPr>
        <w:t>by proximity to the facility.</w:t>
      </w:r>
      <w:r w:rsidRPr="39C3D6F5" w:rsidR="00CA7F77">
        <w:rPr>
          <w:rFonts w:ascii="Times New Roman" w:hAnsi="Times New Roman" w:cs="Times New Roman"/>
        </w:rPr>
        <w:t xml:space="preserve"> </w:t>
      </w:r>
      <w:r w:rsidRPr="00BF42A8">
        <w:rPr>
          <w:rFonts w:ascii="Times New Roman" w:hAnsi="Times New Roman" w:cs="Times New Roman"/>
        </w:rPr>
        <w:t xml:space="preserve">Risks posed by RMP facilities are reduced by lowering the probability and magnitude of accidents, which is the objective of the </w:t>
      </w:r>
      <w:r w:rsidRPr="00BF42A8" w:rsidR="00936DFA">
        <w:rPr>
          <w:rFonts w:ascii="Times New Roman" w:hAnsi="Times New Roman" w:cs="Times New Roman"/>
        </w:rPr>
        <w:t>proposed</w:t>
      </w:r>
      <w:r w:rsidRPr="00BF42A8">
        <w:rPr>
          <w:rFonts w:ascii="Times New Roman" w:hAnsi="Times New Roman" w:cs="Times New Roman"/>
        </w:rPr>
        <w:t xml:space="preserve"> rule. </w:t>
      </w:r>
      <w:r w:rsidRPr="00BF42A8" w:rsidR="00BB51B0">
        <w:rPr>
          <w:rFonts w:ascii="Times New Roman" w:hAnsi="Times New Roman" w:cs="Times New Roman"/>
        </w:rPr>
        <w:t xml:space="preserve">While many of the proposed provisions reduce risks for a large segment of regulated facilities, several </w:t>
      </w:r>
      <w:r w:rsidRPr="00BF42A8" w:rsidR="00856649">
        <w:rPr>
          <w:rFonts w:ascii="Times New Roman" w:hAnsi="Times New Roman" w:cs="Times New Roman"/>
        </w:rPr>
        <w:t xml:space="preserve">proposed provisions </w:t>
      </w:r>
      <w:r w:rsidRPr="00BF42A8" w:rsidR="00BB51B0">
        <w:rPr>
          <w:rFonts w:ascii="Times New Roman" w:hAnsi="Times New Roman" w:cs="Times New Roman"/>
        </w:rPr>
        <w:t xml:space="preserve">are more targeted. </w:t>
      </w:r>
      <w:r w:rsidRPr="00BF42A8" w:rsidR="00996FCC">
        <w:rPr>
          <w:rFonts w:ascii="Times New Roman" w:hAnsi="Times New Roman" w:cs="Times New Roman"/>
        </w:rPr>
        <w:t xml:space="preserve">The </w:t>
      </w:r>
      <w:proofErr w:type="gramStart"/>
      <w:r w:rsidR="00A24EBA">
        <w:rPr>
          <w:rFonts w:ascii="Times New Roman" w:hAnsi="Times New Roman" w:cs="Times New Roman"/>
        </w:rPr>
        <w:t>t</w:t>
      </w:r>
      <w:r w:rsidRPr="00BF42A8" w:rsidR="00996FCC">
        <w:rPr>
          <w:rFonts w:ascii="Times New Roman" w:hAnsi="Times New Roman" w:cs="Times New Roman"/>
        </w:rPr>
        <w:t xml:space="preserve">hird </w:t>
      </w:r>
      <w:r w:rsidR="00A24EBA">
        <w:rPr>
          <w:rFonts w:ascii="Times New Roman" w:hAnsi="Times New Roman" w:cs="Times New Roman"/>
        </w:rPr>
        <w:t>p</w:t>
      </w:r>
      <w:r w:rsidRPr="00BF42A8" w:rsidR="00996FCC">
        <w:rPr>
          <w:rFonts w:ascii="Times New Roman" w:hAnsi="Times New Roman" w:cs="Times New Roman"/>
        </w:rPr>
        <w:t>arty</w:t>
      </w:r>
      <w:proofErr w:type="gramEnd"/>
      <w:r w:rsidRPr="00BF42A8" w:rsidR="00996FCC">
        <w:rPr>
          <w:rFonts w:ascii="Times New Roman" w:hAnsi="Times New Roman" w:cs="Times New Roman"/>
        </w:rPr>
        <w:t xml:space="preserve"> </w:t>
      </w:r>
      <w:r w:rsidR="00A24EBA">
        <w:rPr>
          <w:rFonts w:ascii="Times New Roman" w:hAnsi="Times New Roman" w:cs="Times New Roman"/>
        </w:rPr>
        <w:t>a</w:t>
      </w:r>
      <w:r w:rsidRPr="00BF42A8" w:rsidR="00996FCC">
        <w:rPr>
          <w:rFonts w:ascii="Times New Roman" w:hAnsi="Times New Roman" w:cs="Times New Roman"/>
        </w:rPr>
        <w:t xml:space="preserve">udit and </w:t>
      </w:r>
      <w:r w:rsidR="00A24EBA">
        <w:rPr>
          <w:rFonts w:ascii="Times New Roman" w:hAnsi="Times New Roman" w:cs="Times New Roman"/>
        </w:rPr>
        <w:t>r</w:t>
      </w:r>
      <w:r w:rsidRPr="00BF42A8" w:rsidR="00996FCC">
        <w:rPr>
          <w:rFonts w:ascii="Times New Roman" w:hAnsi="Times New Roman" w:cs="Times New Roman"/>
        </w:rPr>
        <w:t xml:space="preserve">oot </w:t>
      </w:r>
      <w:r w:rsidR="00A24EBA">
        <w:rPr>
          <w:rFonts w:ascii="Times New Roman" w:hAnsi="Times New Roman" w:cs="Times New Roman"/>
        </w:rPr>
        <w:t>c</w:t>
      </w:r>
      <w:r w:rsidRPr="00BF42A8" w:rsidR="00996FCC">
        <w:rPr>
          <w:rFonts w:ascii="Times New Roman" w:hAnsi="Times New Roman" w:cs="Times New Roman"/>
        </w:rPr>
        <w:t xml:space="preserve">ause </w:t>
      </w:r>
      <w:r w:rsidR="00A24EBA">
        <w:rPr>
          <w:rFonts w:ascii="Times New Roman" w:hAnsi="Times New Roman" w:cs="Times New Roman"/>
        </w:rPr>
        <w:t>a</w:t>
      </w:r>
      <w:r w:rsidRPr="00BF42A8" w:rsidR="00996FCC">
        <w:rPr>
          <w:rFonts w:ascii="Times New Roman" w:hAnsi="Times New Roman" w:cs="Times New Roman"/>
        </w:rPr>
        <w:t>nalysis requirements are focused on</w:t>
      </w:r>
      <w:r w:rsidRPr="00BF42A8" w:rsidR="00856649">
        <w:rPr>
          <w:rFonts w:ascii="Times New Roman" w:hAnsi="Times New Roman" w:cs="Times New Roman"/>
        </w:rPr>
        <w:t xml:space="preserve"> </w:t>
      </w:r>
      <w:r w:rsidRPr="00BF42A8" w:rsidR="00996FCC">
        <w:rPr>
          <w:rFonts w:ascii="Times New Roman" w:hAnsi="Times New Roman" w:cs="Times New Roman"/>
        </w:rPr>
        <w:t xml:space="preserve">lowering risks in </w:t>
      </w:r>
      <w:r w:rsidRPr="00BF42A8" w:rsidR="00856649">
        <w:rPr>
          <w:rFonts w:ascii="Times New Roman" w:hAnsi="Times New Roman" w:cs="Times New Roman"/>
        </w:rPr>
        <w:t xml:space="preserve">industrial sectors with greater rates of accidents or </w:t>
      </w:r>
      <w:r w:rsidRPr="00BF42A8" w:rsidR="00996FCC">
        <w:rPr>
          <w:rFonts w:ascii="Times New Roman" w:hAnsi="Times New Roman" w:cs="Times New Roman"/>
        </w:rPr>
        <w:t xml:space="preserve">at </w:t>
      </w:r>
      <w:r w:rsidRPr="00BF42A8" w:rsidR="00856649">
        <w:rPr>
          <w:rFonts w:ascii="Times New Roman" w:hAnsi="Times New Roman" w:cs="Times New Roman"/>
        </w:rPr>
        <w:t xml:space="preserve">facilities </w:t>
      </w:r>
      <w:r w:rsidRPr="00BF42A8" w:rsidR="00996FCC">
        <w:rPr>
          <w:rFonts w:ascii="Times New Roman" w:hAnsi="Times New Roman" w:cs="Times New Roman"/>
        </w:rPr>
        <w:t>that have experienced one or more recent accid</w:t>
      </w:r>
      <w:r w:rsidRPr="00BF42A8" w:rsidR="00856649">
        <w:rPr>
          <w:rFonts w:ascii="Times New Roman" w:hAnsi="Times New Roman" w:cs="Times New Roman"/>
        </w:rPr>
        <w:t>ent</w:t>
      </w:r>
      <w:r w:rsidRPr="00BF42A8" w:rsidR="00996FCC">
        <w:rPr>
          <w:rFonts w:ascii="Times New Roman" w:hAnsi="Times New Roman" w:cs="Times New Roman"/>
        </w:rPr>
        <w:t>s</w:t>
      </w:r>
      <w:r w:rsidRPr="00BF42A8" w:rsidR="00856649">
        <w:rPr>
          <w:rFonts w:ascii="Times New Roman" w:hAnsi="Times New Roman" w:cs="Times New Roman"/>
        </w:rPr>
        <w:t>.</w:t>
      </w:r>
      <w:r w:rsidR="00662606">
        <w:rPr>
          <w:rFonts w:ascii="Times New Roman" w:hAnsi="Times New Roman" w:cs="Times New Roman"/>
        </w:rPr>
        <w:t xml:space="preserve"> </w:t>
      </w:r>
      <w:r w:rsidRPr="00BF42A8" w:rsidR="00996FCC">
        <w:rPr>
          <w:rFonts w:ascii="Times New Roman" w:hAnsi="Times New Roman" w:cs="Times New Roman"/>
        </w:rPr>
        <w:t>The</w:t>
      </w:r>
      <w:r w:rsidR="00A24EBA">
        <w:rPr>
          <w:rFonts w:ascii="Times New Roman" w:hAnsi="Times New Roman" w:cs="Times New Roman"/>
        </w:rPr>
        <w:t xml:space="preserve"> </w:t>
      </w:r>
      <w:r w:rsidRPr="00BF42A8" w:rsidR="00A24EBA">
        <w:rPr>
          <w:rFonts w:ascii="Times New Roman" w:hAnsi="Times New Roman" w:cs="Times New Roman"/>
        </w:rPr>
        <w:t>STAA</w:t>
      </w:r>
      <w:r w:rsidR="00A24EBA">
        <w:rPr>
          <w:rFonts w:ascii="Times New Roman" w:hAnsi="Times New Roman" w:cs="Times New Roman"/>
        </w:rPr>
        <w:t xml:space="preserve"> and</w:t>
      </w:r>
      <w:r w:rsidRPr="00BF42A8" w:rsidR="00996FCC">
        <w:rPr>
          <w:rFonts w:ascii="Times New Roman" w:hAnsi="Times New Roman" w:cs="Times New Roman"/>
        </w:rPr>
        <w:t xml:space="preserve"> </w:t>
      </w:r>
      <w:proofErr w:type="gramStart"/>
      <w:r w:rsidR="00A24EBA">
        <w:rPr>
          <w:rFonts w:ascii="Times New Roman" w:hAnsi="Times New Roman" w:cs="Times New Roman"/>
        </w:rPr>
        <w:t>t</w:t>
      </w:r>
      <w:r w:rsidRPr="00BF42A8" w:rsidR="00996FCC">
        <w:rPr>
          <w:rFonts w:ascii="Times New Roman" w:hAnsi="Times New Roman" w:cs="Times New Roman"/>
        </w:rPr>
        <w:t xml:space="preserve">hird </w:t>
      </w:r>
      <w:r w:rsidR="00A24EBA">
        <w:rPr>
          <w:rFonts w:ascii="Times New Roman" w:hAnsi="Times New Roman" w:cs="Times New Roman"/>
        </w:rPr>
        <w:t>p</w:t>
      </w:r>
      <w:r w:rsidRPr="00BF42A8" w:rsidR="00996FCC">
        <w:rPr>
          <w:rFonts w:ascii="Times New Roman" w:hAnsi="Times New Roman" w:cs="Times New Roman"/>
        </w:rPr>
        <w:t>arty</w:t>
      </w:r>
      <w:proofErr w:type="gramEnd"/>
      <w:r w:rsidRPr="00BF42A8" w:rsidR="00996FCC">
        <w:rPr>
          <w:rFonts w:ascii="Times New Roman" w:hAnsi="Times New Roman" w:cs="Times New Roman"/>
        </w:rPr>
        <w:t xml:space="preserve"> </w:t>
      </w:r>
      <w:r w:rsidR="00A24EBA">
        <w:rPr>
          <w:rFonts w:ascii="Times New Roman" w:hAnsi="Times New Roman" w:cs="Times New Roman"/>
        </w:rPr>
        <w:t>a</w:t>
      </w:r>
      <w:r w:rsidRPr="00BF42A8" w:rsidR="00996FCC">
        <w:rPr>
          <w:rFonts w:ascii="Times New Roman" w:hAnsi="Times New Roman" w:cs="Times New Roman"/>
        </w:rPr>
        <w:t>udit provisions focus</w:t>
      </w:r>
      <w:r w:rsidRPr="00BF42A8" w:rsidR="00856649">
        <w:rPr>
          <w:rFonts w:ascii="Times New Roman" w:hAnsi="Times New Roman" w:cs="Times New Roman"/>
        </w:rPr>
        <w:t xml:space="preserve"> </w:t>
      </w:r>
      <w:r w:rsidRPr="00BF42A8" w:rsidR="00996FCC">
        <w:rPr>
          <w:rFonts w:ascii="Times New Roman" w:hAnsi="Times New Roman" w:cs="Times New Roman"/>
        </w:rPr>
        <w:t>on lowering risks in</w:t>
      </w:r>
      <w:r w:rsidRPr="00BF42A8" w:rsidR="00BB51B0">
        <w:rPr>
          <w:rFonts w:ascii="Times New Roman" w:hAnsi="Times New Roman" w:cs="Times New Roman"/>
        </w:rPr>
        <w:t xml:space="preserve"> areas </w:t>
      </w:r>
      <w:r w:rsidRPr="00BF42A8" w:rsidR="00996FCC">
        <w:rPr>
          <w:rFonts w:ascii="Times New Roman" w:hAnsi="Times New Roman" w:cs="Times New Roman"/>
        </w:rPr>
        <w:t xml:space="preserve">with more than one RMP facility. </w:t>
      </w:r>
      <w:r w:rsidRPr="00BF42A8" w:rsidR="00BB51B0">
        <w:rPr>
          <w:rFonts w:ascii="Times New Roman" w:hAnsi="Times New Roman" w:cs="Times New Roman"/>
        </w:rPr>
        <w:t xml:space="preserve"> </w:t>
      </w:r>
    </w:p>
    <w:p w:rsidR="00E235AD" w:rsidP="00BF42A8" w:rsidRDefault="00E235AD" w14:paraId="3A57B17F" w14:textId="77777777">
      <w:pPr>
        <w:spacing w:after="0" w:line="240" w:lineRule="auto"/>
        <w:ind w:firstLine="360"/>
        <w:rPr>
          <w:rFonts w:ascii="Times New Roman" w:hAnsi="Times New Roman" w:cs="Times New Roman"/>
        </w:rPr>
      </w:pPr>
    </w:p>
    <w:p w:rsidR="00F1727C" w:rsidP="00BF42A8" w:rsidRDefault="00E235AD" w14:paraId="1CCF875C" w14:textId="48765C2E">
      <w:pPr>
        <w:spacing w:after="0" w:line="240" w:lineRule="auto"/>
        <w:ind w:firstLine="360"/>
        <w:rPr>
          <w:rFonts w:ascii="Times New Roman" w:hAnsi="Times New Roman" w:cs="Times New Roman"/>
        </w:rPr>
      </w:pPr>
      <w:r>
        <w:rPr>
          <w:rFonts w:ascii="Times New Roman" w:hAnsi="Times New Roman" w:cs="Times New Roman"/>
        </w:rPr>
        <w:tab/>
      </w:r>
      <w:r w:rsidRPr="00BF42A8" w:rsidR="00996FCC">
        <w:rPr>
          <w:rFonts w:ascii="Times New Roman" w:hAnsi="Times New Roman" w:cs="Times New Roman"/>
        </w:rPr>
        <w:t>By lowering risks of accidents,</w:t>
      </w:r>
      <w:r w:rsidR="00662606">
        <w:rPr>
          <w:rFonts w:ascii="Times New Roman" w:hAnsi="Times New Roman" w:cs="Times New Roman"/>
        </w:rPr>
        <w:t xml:space="preserve"> </w:t>
      </w:r>
      <w:r w:rsidRPr="00BF42A8" w:rsidR="00996FCC">
        <w:rPr>
          <w:rFonts w:ascii="Times New Roman" w:hAnsi="Times New Roman" w:cs="Times New Roman"/>
        </w:rPr>
        <w:t>t</w:t>
      </w:r>
      <w:r w:rsidRPr="00BF42A8" w:rsidR="00E93325">
        <w:rPr>
          <w:rFonts w:ascii="Times New Roman" w:hAnsi="Times New Roman" w:cs="Times New Roman"/>
        </w:rPr>
        <w:t xml:space="preserve">he benefits of the </w:t>
      </w:r>
      <w:r w:rsidRPr="00BF42A8" w:rsidR="00936DFA">
        <w:rPr>
          <w:rFonts w:ascii="Times New Roman" w:hAnsi="Times New Roman" w:cs="Times New Roman"/>
        </w:rPr>
        <w:t>proposed</w:t>
      </w:r>
      <w:r w:rsidRPr="00BF42A8" w:rsidR="00E93325">
        <w:rPr>
          <w:rFonts w:ascii="Times New Roman" w:hAnsi="Times New Roman" w:cs="Times New Roman"/>
        </w:rPr>
        <w:t xml:space="preserve"> rule include reductions in the number</w:t>
      </w:r>
      <w:r w:rsidRPr="00BF42A8" w:rsidR="00833A33">
        <w:rPr>
          <w:rFonts w:ascii="Times New Roman" w:hAnsi="Times New Roman" w:cs="Times New Roman"/>
        </w:rPr>
        <w:t>s</w:t>
      </w:r>
      <w:r w:rsidRPr="00BF42A8" w:rsidR="00E93325">
        <w:rPr>
          <w:rFonts w:ascii="Times New Roman" w:hAnsi="Times New Roman" w:cs="Times New Roman"/>
        </w:rPr>
        <w:t xml:space="preserve"> of </w:t>
      </w:r>
      <w:r w:rsidRPr="00BF42A8" w:rsidR="00833A33">
        <w:rPr>
          <w:rFonts w:ascii="Times New Roman" w:hAnsi="Times New Roman" w:cs="Times New Roman"/>
        </w:rPr>
        <w:t xml:space="preserve">fatalities and </w:t>
      </w:r>
      <w:r w:rsidRPr="00BF42A8" w:rsidR="00E93325">
        <w:rPr>
          <w:rFonts w:ascii="Times New Roman" w:hAnsi="Times New Roman" w:cs="Times New Roman"/>
        </w:rPr>
        <w:t>injur</w:t>
      </w:r>
      <w:r w:rsidRPr="00BF42A8" w:rsidR="00833A33">
        <w:rPr>
          <w:rFonts w:ascii="Times New Roman" w:hAnsi="Times New Roman" w:cs="Times New Roman"/>
        </w:rPr>
        <w:t>ies</w:t>
      </w:r>
      <w:r w:rsidRPr="00BF42A8" w:rsidR="00CF053F">
        <w:rPr>
          <w:rFonts w:ascii="Times New Roman" w:hAnsi="Times New Roman" w:cs="Times New Roman"/>
        </w:rPr>
        <w:t xml:space="preserve"> both onsite and offsite</w:t>
      </w:r>
      <w:r w:rsidRPr="00BF42A8" w:rsidR="00E93325">
        <w:rPr>
          <w:rFonts w:ascii="Times New Roman" w:hAnsi="Times New Roman" w:cs="Times New Roman"/>
        </w:rPr>
        <w:t xml:space="preserve"> </w:t>
      </w:r>
      <w:r w:rsidRPr="00BF42A8" w:rsidR="00725AC9">
        <w:rPr>
          <w:rFonts w:ascii="Times New Roman" w:hAnsi="Times New Roman" w:cs="Times New Roman"/>
        </w:rPr>
        <w:t xml:space="preserve">and </w:t>
      </w:r>
      <w:r w:rsidRPr="00BF42A8" w:rsidR="00833A33">
        <w:rPr>
          <w:rFonts w:ascii="Times New Roman" w:hAnsi="Times New Roman" w:cs="Times New Roman"/>
        </w:rPr>
        <w:t>residents</w:t>
      </w:r>
      <w:r w:rsidRPr="00BF42A8" w:rsidR="00E93325">
        <w:rPr>
          <w:rFonts w:ascii="Times New Roman" w:hAnsi="Times New Roman" w:cs="Times New Roman"/>
        </w:rPr>
        <w:t xml:space="preserve"> evacuated or otherwise inconvenienced by sheltering in place; reductions in the damage caused to property </w:t>
      </w:r>
      <w:r w:rsidRPr="00BF42A8" w:rsidR="00986800">
        <w:rPr>
          <w:rFonts w:ascii="Times New Roman" w:hAnsi="Times New Roman" w:cs="Times New Roman"/>
        </w:rPr>
        <w:t>onsite</w:t>
      </w:r>
      <w:r w:rsidRPr="00BF42A8" w:rsidR="00E93325">
        <w:rPr>
          <w:rFonts w:ascii="Times New Roman" w:hAnsi="Times New Roman" w:cs="Times New Roman"/>
        </w:rPr>
        <w:t xml:space="preserve"> and </w:t>
      </w:r>
      <w:r w:rsidRPr="00BF42A8" w:rsidR="00986800">
        <w:rPr>
          <w:rFonts w:ascii="Times New Roman" w:hAnsi="Times New Roman" w:cs="Times New Roman"/>
        </w:rPr>
        <w:t>offsite</w:t>
      </w:r>
      <w:r w:rsidRPr="00BF42A8" w:rsidR="00E93325">
        <w:rPr>
          <w:rFonts w:ascii="Times New Roman" w:hAnsi="Times New Roman" w:cs="Times New Roman"/>
        </w:rPr>
        <w:t xml:space="preserve"> </w:t>
      </w:r>
      <w:r w:rsidRPr="00BF42A8" w:rsidR="00833A33">
        <w:rPr>
          <w:rFonts w:ascii="Times New Roman" w:hAnsi="Times New Roman" w:cs="Times New Roman"/>
        </w:rPr>
        <w:t>of the facility</w:t>
      </w:r>
      <w:r w:rsidRPr="00BF42A8" w:rsidR="00E93325">
        <w:rPr>
          <w:rFonts w:ascii="Times New Roman" w:hAnsi="Times New Roman" w:cs="Times New Roman"/>
        </w:rPr>
        <w:t xml:space="preserve"> including</w:t>
      </w:r>
      <w:r w:rsidRPr="00BF42A8" w:rsidR="00672135">
        <w:rPr>
          <w:rFonts w:ascii="Times New Roman" w:hAnsi="Times New Roman" w:cs="Times New Roman"/>
        </w:rPr>
        <w:t xml:space="preserve"> </w:t>
      </w:r>
      <w:r w:rsidR="00662606">
        <w:rPr>
          <w:rFonts w:ascii="Times New Roman" w:hAnsi="Times New Roman" w:cs="Times New Roman"/>
        </w:rPr>
        <w:t xml:space="preserve">damages </w:t>
      </w:r>
      <w:r w:rsidRPr="00BF42A8" w:rsidR="00672135">
        <w:rPr>
          <w:rFonts w:ascii="Times New Roman" w:hAnsi="Times New Roman" w:cs="Times New Roman"/>
        </w:rPr>
        <w:t>to</w:t>
      </w:r>
      <w:r w:rsidRPr="00BF42A8" w:rsidR="00E93325">
        <w:rPr>
          <w:rFonts w:ascii="Times New Roman" w:hAnsi="Times New Roman" w:cs="Times New Roman"/>
        </w:rPr>
        <w:t xml:space="preserve"> product, equipment, and buildings; reductions in damages to the environment and ecosystems; and reductions in resources diverted to extinguish fires and clean</w:t>
      </w:r>
      <w:r w:rsidR="00662606">
        <w:rPr>
          <w:rFonts w:ascii="Times New Roman" w:hAnsi="Times New Roman" w:cs="Times New Roman"/>
        </w:rPr>
        <w:t>-</w:t>
      </w:r>
      <w:r w:rsidRPr="00BF42A8" w:rsidR="00E93325">
        <w:rPr>
          <w:rFonts w:ascii="Times New Roman" w:hAnsi="Times New Roman" w:cs="Times New Roman"/>
        </w:rPr>
        <w:t xml:space="preserve">up affected areas. </w:t>
      </w:r>
    </w:p>
    <w:p w:rsidR="00E235AD" w:rsidP="00BF42A8" w:rsidRDefault="00E235AD" w14:paraId="4BF08749" w14:textId="77777777">
      <w:pPr>
        <w:spacing w:after="0" w:line="240" w:lineRule="auto"/>
        <w:ind w:firstLine="360"/>
        <w:rPr>
          <w:rFonts w:ascii="Times New Roman" w:hAnsi="Times New Roman" w:cs="Times New Roman"/>
        </w:rPr>
      </w:pPr>
    </w:p>
    <w:p w:rsidR="008A0882" w:rsidP="00BF42A8" w:rsidRDefault="00E235AD" w14:paraId="47D855D8" w14:textId="0608BFB7">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The </w:t>
      </w:r>
      <w:r w:rsidRPr="00BF42A8" w:rsidR="00936DFA">
        <w:rPr>
          <w:rFonts w:ascii="Times New Roman" w:hAnsi="Times New Roman" w:cs="Times New Roman"/>
        </w:rPr>
        <w:t>proposed</w:t>
      </w:r>
      <w:r w:rsidRPr="00BF42A8" w:rsidR="00E93325">
        <w:rPr>
          <w:rFonts w:ascii="Times New Roman" w:hAnsi="Times New Roman" w:cs="Times New Roman"/>
        </w:rPr>
        <w:t xml:space="preserve"> rule also </w:t>
      </w:r>
      <w:r w:rsidRPr="00BF42A8" w:rsidR="009F3058">
        <w:rPr>
          <w:rFonts w:ascii="Times New Roman" w:hAnsi="Times New Roman" w:cs="Times New Roman"/>
        </w:rPr>
        <w:t>would</w:t>
      </w:r>
      <w:r w:rsidRPr="00BF42A8" w:rsidR="00E93325">
        <w:rPr>
          <w:rFonts w:ascii="Times New Roman" w:hAnsi="Times New Roman" w:cs="Times New Roman"/>
        </w:rPr>
        <w:t xml:space="preserve"> </w:t>
      </w:r>
      <w:r w:rsidRPr="00BF42A8" w:rsidR="00672135">
        <w:rPr>
          <w:rFonts w:ascii="Times New Roman" w:hAnsi="Times New Roman" w:cs="Times New Roman"/>
        </w:rPr>
        <w:t>generate</w:t>
      </w:r>
      <w:r w:rsidRPr="00BF42A8" w:rsidR="00E93325">
        <w:rPr>
          <w:rFonts w:ascii="Times New Roman" w:hAnsi="Times New Roman" w:cs="Times New Roman"/>
        </w:rPr>
        <w:t xml:space="preserve"> other benefits, such as </w:t>
      </w:r>
      <w:r w:rsidR="00662606">
        <w:rPr>
          <w:rFonts w:ascii="Times New Roman" w:hAnsi="Times New Roman" w:cs="Times New Roman"/>
        </w:rPr>
        <w:t xml:space="preserve">from </w:t>
      </w:r>
      <w:r w:rsidRPr="00BF42A8" w:rsidR="00E93325">
        <w:rPr>
          <w:rFonts w:ascii="Times New Roman" w:hAnsi="Times New Roman" w:cs="Times New Roman"/>
        </w:rPr>
        <w:t>increased</w:t>
      </w:r>
      <w:r w:rsidRPr="00BF42A8" w:rsidR="00672135">
        <w:rPr>
          <w:rFonts w:ascii="Times New Roman" w:hAnsi="Times New Roman" w:cs="Times New Roman"/>
        </w:rPr>
        <w:t xml:space="preserve"> public information availability. I</w:t>
      </w:r>
      <w:r w:rsidRPr="00BF42A8" w:rsidR="00E93325">
        <w:rPr>
          <w:rFonts w:ascii="Times New Roman" w:hAnsi="Times New Roman" w:cs="Times New Roman"/>
        </w:rPr>
        <w:t xml:space="preserve">n addition to helping to minimize the impacts of accidents on the public, </w:t>
      </w:r>
      <w:r w:rsidRPr="00BF42A8" w:rsidR="00A0476C">
        <w:rPr>
          <w:rFonts w:ascii="Times New Roman" w:hAnsi="Times New Roman" w:cs="Times New Roman"/>
        </w:rPr>
        <w:t xml:space="preserve">including reductions in the numbers of </w:t>
      </w:r>
      <w:r w:rsidRPr="00BF42A8" w:rsidR="00662606">
        <w:rPr>
          <w:rFonts w:ascii="Times New Roman" w:hAnsi="Times New Roman" w:cs="Times New Roman"/>
        </w:rPr>
        <w:t>on</w:t>
      </w:r>
      <w:r w:rsidR="00662606">
        <w:rPr>
          <w:rFonts w:ascii="Times New Roman" w:hAnsi="Times New Roman" w:cs="Times New Roman"/>
        </w:rPr>
        <w:t>site</w:t>
      </w:r>
      <w:r w:rsidRPr="00BF42A8" w:rsidR="00662606">
        <w:rPr>
          <w:rFonts w:ascii="Times New Roman" w:hAnsi="Times New Roman" w:cs="Times New Roman"/>
        </w:rPr>
        <w:t xml:space="preserve"> and offsite </w:t>
      </w:r>
      <w:r w:rsidRPr="00BF42A8" w:rsidR="00A0476C">
        <w:rPr>
          <w:rFonts w:ascii="Times New Roman" w:hAnsi="Times New Roman" w:cs="Times New Roman"/>
        </w:rPr>
        <w:t xml:space="preserve">injuries </w:t>
      </w:r>
      <w:r w:rsidR="00662606">
        <w:rPr>
          <w:rFonts w:ascii="Times New Roman" w:hAnsi="Times New Roman" w:cs="Times New Roman"/>
        </w:rPr>
        <w:t xml:space="preserve">and </w:t>
      </w:r>
      <w:r w:rsidRPr="00BF42A8" w:rsidR="00662606">
        <w:rPr>
          <w:rFonts w:ascii="Times New Roman" w:hAnsi="Times New Roman" w:cs="Times New Roman"/>
        </w:rPr>
        <w:t>fatalities</w:t>
      </w:r>
      <w:r w:rsidRPr="00BF42A8" w:rsidR="00A0476C">
        <w:rPr>
          <w:rFonts w:ascii="Times New Roman" w:hAnsi="Times New Roman" w:cs="Times New Roman"/>
        </w:rPr>
        <w:t>, and residents evacuated</w:t>
      </w:r>
      <w:r w:rsidRPr="00BF42A8" w:rsidR="00F1727C">
        <w:rPr>
          <w:rFonts w:ascii="Times New Roman" w:hAnsi="Times New Roman" w:cs="Times New Roman"/>
        </w:rPr>
        <w:t>,</w:t>
      </w:r>
      <w:r w:rsidRPr="00BF42A8" w:rsidR="00A0476C">
        <w:rPr>
          <w:rFonts w:ascii="Times New Roman" w:hAnsi="Times New Roman" w:cs="Times New Roman"/>
        </w:rPr>
        <w:t xml:space="preserve"> </w:t>
      </w:r>
      <w:r w:rsidR="00662606">
        <w:rPr>
          <w:rFonts w:ascii="Times New Roman" w:hAnsi="Times New Roman" w:cs="Times New Roman"/>
        </w:rPr>
        <w:t>this proposed provision</w:t>
      </w:r>
      <w:r w:rsidRPr="00BF42A8" w:rsidR="00A0476C">
        <w:rPr>
          <w:rFonts w:ascii="Times New Roman" w:hAnsi="Times New Roman" w:cs="Times New Roman"/>
        </w:rPr>
        <w:t xml:space="preserve"> </w:t>
      </w:r>
      <w:r w:rsidRPr="00BF42A8" w:rsidR="00E93325">
        <w:rPr>
          <w:rFonts w:ascii="Times New Roman" w:hAnsi="Times New Roman" w:cs="Times New Roman"/>
        </w:rPr>
        <w:t>may also lead to more efficient property markets in areas near RMP facilities. More detailed information about nearby risks allows participants in property markets to refine the values they place on nearby properties and decisions about where to locate. The outcome should be values that more closely reflect actual risks and decisions that better reflect true preferences.</w:t>
      </w:r>
    </w:p>
    <w:p w:rsidR="00E235AD" w:rsidP="00BF42A8" w:rsidRDefault="00E235AD" w14:paraId="68EF28B1" w14:textId="77777777">
      <w:pPr>
        <w:spacing w:after="0" w:line="240" w:lineRule="auto"/>
        <w:ind w:firstLine="360"/>
        <w:rPr>
          <w:rFonts w:ascii="Times New Roman" w:hAnsi="Times New Roman" w:cs="Times New Roman"/>
        </w:rPr>
      </w:pPr>
    </w:p>
    <w:p w:rsidR="004126F4" w:rsidP="00BF42A8" w:rsidRDefault="00E235AD" w14:paraId="2A5DEE36" w14:textId="1D0A3F66">
      <w:pPr>
        <w:spacing w:after="0" w:line="240" w:lineRule="auto"/>
        <w:ind w:firstLine="360"/>
        <w:rPr>
          <w:rFonts w:ascii="Times New Roman" w:hAnsi="Times New Roman" w:cs="Times New Roman"/>
        </w:rPr>
      </w:pPr>
      <w:bookmarkStart w:name="_bookmark48" w:id="107"/>
      <w:bookmarkEnd w:id="107"/>
      <w:r>
        <w:rPr>
          <w:rFonts w:ascii="Times New Roman" w:hAnsi="Times New Roman" w:cs="Times New Roman"/>
        </w:rPr>
        <w:tab/>
      </w:r>
      <w:r w:rsidRPr="00BF42A8" w:rsidR="00D32598">
        <w:rPr>
          <w:rFonts w:ascii="Times New Roman" w:hAnsi="Times New Roman" w:cs="Times New Roman"/>
        </w:rPr>
        <w:t xml:space="preserve">EPA presents this </w:t>
      </w:r>
      <w:r w:rsidRPr="00BF42A8" w:rsidR="00C450E8">
        <w:rPr>
          <w:rFonts w:ascii="Times New Roman" w:hAnsi="Times New Roman" w:cs="Times New Roman"/>
        </w:rPr>
        <w:t>b</w:t>
      </w:r>
      <w:r w:rsidRPr="00BF42A8" w:rsidR="00D32598">
        <w:rPr>
          <w:rFonts w:ascii="Times New Roman" w:hAnsi="Times New Roman" w:cs="Times New Roman"/>
        </w:rPr>
        <w:t>enefits</w:t>
      </w:r>
      <w:r w:rsidRPr="00BF42A8" w:rsidR="00C450E8">
        <w:rPr>
          <w:rFonts w:ascii="Times New Roman" w:hAnsi="Times New Roman" w:cs="Times New Roman"/>
        </w:rPr>
        <w:t xml:space="preserve"> a</w:t>
      </w:r>
      <w:r w:rsidRPr="00BF42A8" w:rsidR="00D32598">
        <w:rPr>
          <w:rFonts w:ascii="Times New Roman" w:hAnsi="Times New Roman" w:cs="Times New Roman"/>
        </w:rPr>
        <w:t>nalysis based on th</w:t>
      </w:r>
      <w:r w:rsidR="00C51552">
        <w:rPr>
          <w:rFonts w:ascii="Times New Roman" w:hAnsi="Times New Roman" w:cs="Times New Roman"/>
        </w:rPr>
        <w:t>e</w:t>
      </w:r>
      <w:r w:rsidRPr="00BF42A8" w:rsidR="00D32598">
        <w:rPr>
          <w:rFonts w:ascii="Times New Roman" w:hAnsi="Times New Roman" w:cs="Times New Roman"/>
        </w:rPr>
        <w:t xml:space="preserve"> proposed rule.</w:t>
      </w:r>
      <w:r w:rsidRPr="00BF42A8" w:rsidR="00A244AD">
        <w:rPr>
          <w:rFonts w:ascii="Times New Roman" w:hAnsi="Times New Roman" w:cs="Times New Roman"/>
        </w:rPr>
        <w:t xml:space="preserve"> The </w:t>
      </w:r>
      <w:r w:rsidR="00DC5ABE">
        <w:rPr>
          <w:rFonts w:ascii="Times New Roman" w:hAnsi="Times New Roman" w:cs="Times New Roman"/>
        </w:rPr>
        <w:t>2017 a</w:t>
      </w:r>
      <w:r w:rsidRPr="00BF42A8" w:rsidR="00A244AD">
        <w:rPr>
          <w:rFonts w:ascii="Times New Roman" w:hAnsi="Times New Roman" w:cs="Times New Roman"/>
        </w:rPr>
        <w:t>mendments rule contained various new provisions applicable to RMP-regulated facilities addressing prevention program elements (</w:t>
      </w:r>
      <w:r w:rsidRPr="00BF42A8" w:rsidR="00A858B4">
        <w:rPr>
          <w:rFonts w:ascii="Times New Roman" w:hAnsi="Times New Roman" w:cs="Times New Roman"/>
        </w:rPr>
        <w:t xml:space="preserve">including </w:t>
      </w:r>
      <w:r w:rsidRPr="00BF42A8" w:rsidR="00A244AD">
        <w:rPr>
          <w:rFonts w:ascii="Times New Roman" w:hAnsi="Times New Roman" w:cs="Times New Roman"/>
        </w:rPr>
        <w:t xml:space="preserve">STAA, root cause analysis, and third-party audits), emergency response coordination with local responders (including emergency response exercises), and information availability to the public. </w:t>
      </w:r>
      <w:r w:rsidRPr="00BF42A8" w:rsidR="00A858B4">
        <w:rPr>
          <w:rFonts w:ascii="Times New Roman" w:hAnsi="Times New Roman" w:cs="Times New Roman"/>
        </w:rPr>
        <w:t xml:space="preserve">The </w:t>
      </w:r>
      <w:r w:rsidRPr="00BF42A8" w:rsidR="00B546D1">
        <w:rPr>
          <w:rFonts w:ascii="Times New Roman" w:hAnsi="Times New Roman" w:cs="Times New Roman"/>
        </w:rPr>
        <w:t>RIA</w:t>
      </w:r>
      <w:r w:rsidRPr="00BF42A8" w:rsidR="00A858B4">
        <w:rPr>
          <w:rFonts w:ascii="Times New Roman" w:hAnsi="Times New Roman" w:cs="Times New Roman"/>
        </w:rPr>
        <w:t xml:space="preserve"> for</w:t>
      </w:r>
      <w:r w:rsidRPr="00BF42A8" w:rsidR="00A244AD">
        <w:rPr>
          <w:rFonts w:ascii="Times New Roman" w:hAnsi="Times New Roman" w:cs="Times New Roman"/>
        </w:rPr>
        <w:t xml:space="preserve"> that rule </w:t>
      </w:r>
      <w:r w:rsidRPr="00BF42A8" w:rsidR="00A858B4">
        <w:rPr>
          <w:rFonts w:ascii="Times New Roman" w:hAnsi="Times New Roman" w:cs="Times New Roman"/>
        </w:rPr>
        <w:t xml:space="preserve">qualitatively and quantitatively discussed </w:t>
      </w:r>
      <w:r w:rsidRPr="00BF42A8" w:rsidR="00A244AD">
        <w:rPr>
          <w:rFonts w:ascii="Times New Roman" w:hAnsi="Times New Roman" w:cs="Times New Roman"/>
        </w:rPr>
        <w:t xml:space="preserve">benefits related to accident prevention, mitigation, and </w:t>
      </w:r>
      <w:r w:rsidRPr="00BF42A8" w:rsidR="00AC36EE">
        <w:rPr>
          <w:rFonts w:ascii="Times New Roman" w:hAnsi="Times New Roman" w:cs="Times New Roman"/>
        </w:rPr>
        <w:t xml:space="preserve">information disclosure. </w:t>
      </w:r>
      <w:r w:rsidRPr="00BF42A8" w:rsidR="00A244AD">
        <w:rPr>
          <w:rFonts w:ascii="Times New Roman" w:hAnsi="Times New Roman" w:cs="Times New Roman"/>
        </w:rPr>
        <w:t xml:space="preserve">In December 2019, the </w:t>
      </w:r>
      <w:r w:rsidR="003E44E0">
        <w:rPr>
          <w:rFonts w:ascii="Times New Roman" w:hAnsi="Times New Roman" w:cs="Times New Roman"/>
        </w:rPr>
        <w:t>2019 r</w:t>
      </w:r>
      <w:r w:rsidRPr="00BF42A8" w:rsidR="00A244AD">
        <w:rPr>
          <w:rFonts w:ascii="Times New Roman" w:hAnsi="Times New Roman" w:cs="Times New Roman"/>
        </w:rPr>
        <w:t>econsideration rul</w:t>
      </w:r>
      <w:r w:rsidRPr="00BF42A8" w:rsidR="00AC36EE">
        <w:rPr>
          <w:rFonts w:ascii="Times New Roman" w:hAnsi="Times New Roman" w:cs="Times New Roman"/>
        </w:rPr>
        <w:t>e</w:t>
      </w:r>
      <w:r w:rsidRPr="00BF42A8" w:rsidR="00A244AD">
        <w:rPr>
          <w:rFonts w:ascii="Times New Roman" w:hAnsi="Times New Roman" w:cs="Times New Roman"/>
        </w:rPr>
        <w:t xml:space="preserve"> </w:t>
      </w:r>
      <w:r w:rsidRPr="00BF42A8" w:rsidR="00A244AD">
        <w:rPr>
          <w:rFonts w:ascii="Times New Roman" w:hAnsi="Times New Roman" w:cs="Times New Roman"/>
        </w:rPr>
        <w:lastRenderedPageBreak/>
        <w:t xml:space="preserve">rescinded certain </w:t>
      </w:r>
      <w:r w:rsidR="00C51552">
        <w:rPr>
          <w:rFonts w:ascii="Times New Roman" w:hAnsi="Times New Roman" w:cs="Times New Roman"/>
        </w:rPr>
        <w:t>i</w:t>
      </w:r>
      <w:r w:rsidRPr="00BF42A8" w:rsidR="00A91A23">
        <w:rPr>
          <w:rFonts w:ascii="Times New Roman" w:hAnsi="Times New Roman" w:cs="Times New Roman"/>
        </w:rPr>
        <w:t xml:space="preserve">nformation </w:t>
      </w:r>
      <w:r w:rsidR="00C51552">
        <w:rPr>
          <w:rFonts w:ascii="Times New Roman" w:hAnsi="Times New Roman" w:cs="Times New Roman"/>
        </w:rPr>
        <w:t>disclosure</w:t>
      </w:r>
      <w:r w:rsidRPr="00BF42A8" w:rsidR="00A244AD">
        <w:rPr>
          <w:rFonts w:ascii="Times New Roman" w:hAnsi="Times New Roman" w:cs="Times New Roman"/>
        </w:rPr>
        <w:t xml:space="preserve"> provisions of the </w:t>
      </w:r>
      <w:r w:rsidR="00DC5ABE">
        <w:rPr>
          <w:rFonts w:ascii="Times New Roman" w:hAnsi="Times New Roman" w:cs="Times New Roman"/>
        </w:rPr>
        <w:t>2017 a</w:t>
      </w:r>
      <w:r w:rsidRPr="00BF42A8" w:rsidR="00AC36EE">
        <w:rPr>
          <w:rFonts w:ascii="Times New Roman" w:hAnsi="Times New Roman" w:cs="Times New Roman"/>
        </w:rPr>
        <w:t>mendments</w:t>
      </w:r>
      <w:r w:rsidRPr="00BF42A8" w:rsidR="00A244AD">
        <w:rPr>
          <w:rFonts w:ascii="Times New Roman" w:hAnsi="Times New Roman" w:cs="Times New Roman"/>
        </w:rPr>
        <w:t xml:space="preserve"> rule, removed most new accident prevention requirements added by the </w:t>
      </w:r>
      <w:r w:rsidR="00DC5ABE">
        <w:rPr>
          <w:rFonts w:ascii="Times New Roman" w:hAnsi="Times New Roman" w:cs="Times New Roman"/>
        </w:rPr>
        <w:t>2017 a</w:t>
      </w:r>
      <w:r w:rsidRPr="00BF42A8" w:rsidR="00AC36EE">
        <w:rPr>
          <w:rFonts w:ascii="Times New Roman" w:hAnsi="Times New Roman" w:cs="Times New Roman"/>
        </w:rPr>
        <w:t xml:space="preserve">mendments </w:t>
      </w:r>
      <w:r w:rsidRPr="00BF42A8" w:rsidR="00A244AD">
        <w:rPr>
          <w:rFonts w:ascii="Times New Roman" w:hAnsi="Times New Roman" w:cs="Times New Roman"/>
        </w:rPr>
        <w:t>rule, and modifi</w:t>
      </w:r>
      <w:r w:rsidRPr="00BF42A8" w:rsidR="00A858B4">
        <w:rPr>
          <w:rFonts w:ascii="Times New Roman" w:hAnsi="Times New Roman" w:cs="Times New Roman"/>
        </w:rPr>
        <w:t>ed</w:t>
      </w:r>
      <w:r w:rsidRPr="00BF42A8" w:rsidR="00A244AD">
        <w:rPr>
          <w:rFonts w:ascii="Times New Roman" w:hAnsi="Times New Roman" w:cs="Times New Roman"/>
        </w:rPr>
        <w:t xml:space="preserve"> some other provisions</w:t>
      </w:r>
      <w:r w:rsidRPr="00BF42A8" w:rsidR="00AC36EE">
        <w:rPr>
          <w:rFonts w:ascii="Times New Roman" w:hAnsi="Times New Roman" w:cs="Times New Roman"/>
        </w:rPr>
        <w:t xml:space="preserve">. </w:t>
      </w:r>
      <w:r w:rsidRPr="00BF42A8" w:rsidR="00345362">
        <w:rPr>
          <w:rFonts w:ascii="Times New Roman" w:hAnsi="Times New Roman" w:cs="Times New Roman"/>
        </w:rPr>
        <w:t xml:space="preserve">The benefits that would have been generated by the modified </w:t>
      </w:r>
      <w:r w:rsidRPr="00BF42A8" w:rsidR="006B4150">
        <w:rPr>
          <w:rFonts w:ascii="Times New Roman" w:hAnsi="Times New Roman" w:cs="Times New Roman"/>
        </w:rPr>
        <w:t xml:space="preserve">and </w:t>
      </w:r>
      <w:r w:rsidRPr="00BF42A8" w:rsidR="00345362">
        <w:rPr>
          <w:rFonts w:ascii="Times New Roman" w:hAnsi="Times New Roman" w:cs="Times New Roman"/>
        </w:rPr>
        <w:t xml:space="preserve">rolled back </w:t>
      </w:r>
      <w:r w:rsidRPr="00BF42A8" w:rsidR="006B4150">
        <w:rPr>
          <w:rFonts w:ascii="Times New Roman" w:hAnsi="Times New Roman" w:cs="Times New Roman"/>
        </w:rPr>
        <w:t xml:space="preserve">provisions were also eliminated. </w:t>
      </w:r>
      <w:r w:rsidRPr="00BF42A8" w:rsidR="000503A8">
        <w:rPr>
          <w:rFonts w:ascii="Times New Roman" w:hAnsi="Times New Roman" w:cs="Times New Roman"/>
        </w:rPr>
        <w:t xml:space="preserve">Under this proposed rule, those benefits would be restored to the extent that provisions are the same. For example, the STAA provision </w:t>
      </w:r>
      <w:r w:rsidRPr="00BF42A8" w:rsidR="00F76851">
        <w:rPr>
          <w:rFonts w:ascii="Times New Roman" w:hAnsi="Times New Roman" w:cs="Times New Roman"/>
        </w:rPr>
        <w:t xml:space="preserve">is being restored, although </w:t>
      </w:r>
      <w:r w:rsidR="00C51552">
        <w:rPr>
          <w:rFonts w:ascii="Times New Roman" w:hAnsi="Times New Roman" w:cs="Times New Roman"/>
        </w:rPr>
        <w:t xml:space="preserve">it would apply </w:t>
      </w:r>
      <w:r w:rsidRPr="00BF42A8" w:rsidR="00F76851">
        <w:rPr>
          <w:rFonts w:ascii="Times New Roman" w:hAnsi="Times New Roman" w:cs="Times New Roman"/>
        </w:rPr>
        <w:t>to a smaller set</w:t>
      </w:r>
      <w:r w:rsidRPr="00BF42A8" w:rsidR="00A244AD">
        <w:rPr>
          <w:rFonts w:ascii="Times New Roman" w:hAnsi="Times New Roman" w:cs="Times New Roman"/>
        </w:rPr>
        <w:t xml:space="preserve"> of </w:t>
      </w:r>
      <w:r w:rsidRPr="00BF42A8" w:rsidR="001462E1">
        <w:rPr>
          <w:rFonts w:ascii="Times New Roman" w:hAnsi="Times New Roman" w:cs="Times New Roman"/>
        </w:rPr>
        <w:t xml:space="preserve">facilities compared to </w:t>
      </w:r>
      <w:r w:rsidRPr="00BF42A8" w:rsidR="00A244AD">
        <w:rPr>
          <w:rFonts w:ascii="Times New Roman" w:hAnsi="Times New Roman" w:cs="Times New Roman"/>
        </w:rPr>
        <w:t xml:space="preserve">the </w:t>
      </w:r>
      <w:r w:rsidR="00DC5ABE">
        <w:rPr>
          <w:rFonts w:ascii="Times New Roman" w:hAnsi="Times New Roman" w:cs="Times New Roman"/>
        </w:rPr>
        <w:t>2</w:t>
      </w:r>
      <w:r w:rsidR="00BC07B6">
        <w:rPr>
          <w:rFonts w:ascii="Times New Roman" w:hAnsi="Times New Roman" w:cs="Times New Roman"/>
        </w:rPr>
        <w:t>017 a</w:t>
      </w:r>
      <w:r w:rsidRPr="00BF42A8" w:rsidR="00AC36EE">
        <w:rPr>
          <w:rFonts w:ascii="Times New Roman" w:hAnsi="Times New Roman" w:cs="Times New Roman"/>
        </w:rPr>
        <w:t xml:space="preserve">mendments rule. </w:t>
      </w:r>
      <w:r w:rsidRPr="00BF42A8" w:rsidR="0002397E">
        <w:rPr>
          <w:rFonts w:ascii="Times New Roman" w:hAnsi="Times New Roman" w:cs="Times New Roman"/>
        </w:rPr>
        <w:t>The</w:t>
      </w:r>
      <w:r w:rsidRPr="00BF42A8" w:rsidR="001462E1">
        <w:rPr>
          <w:rFonts w:ascii="Times New Roman" w:hAnsi="Times New Roman" w:cs="Times New Roman"/>
        </w:rPr>
        <w:t xml:space="preserve"> benefits generated by</w:t>
      </w:r>
      <w:r w:rsidRPr="00BF42A8" w:rsidR="0002397E">
        <w:rPr>
          <w:rFonts w:ascii="Times New Roman" w:hAnsi="Times New Roman" w:cs="Times New Roman"/>
        </w:rPr>
        <w:t xml:space="preserve"> </w:t>
      </w:r>
      <w:r w:rsidRPr="00BF42A8" w:rsidR="00F76851">
        <w:rPr>
          <w:rFonts w:ascii="Times New Roman" w:hAnsi="Times New Roman" w:cs="Times New Roman"/>
        </w:rPr>
        <w:t>th</w:t>
      </w:r>
      <w:r w:rsidRPr="00BF42A8" w:rsidR="001462E1">
        <w:rPr>
          <w:rFonts w:ascii="Times New Roman" w:hAnsi="Times New Roman" w:cs="Times New Roman"/>
        </w:rPr>
        <w:t xml:space="preserve">ose </w:t>
      </w:r>
      <w:r w:rsidRPr="00BF42A8" w:rsidR="00F76851">
        <w:rPr>
          <w:rFonts w:ascii="Times New Roman" w:hAnsi="Times New Roman" w:cs="Times New Roman"/>
        </w:rPr>
        <w:t>provision</w:t>
      </w:r>
      <w:r w:rsidRPr="00BF42A8" w:rsidR="00D66204">
        <w:rPr>
          <w:rFonts w:ascii="Times New Roman" w:hAnsi="Times New Roman" w:cs="Times New Roman"/>
        </w:rPr>
        <w:t>s</w:t>
      </w:r>
      <w:r w:rsidRPr="00BF42A8" w:rsidR="00F76851">
        <w:rPr>
          <w:rFonts w:ascii="Times New Roman" w:hAnsi="Times New Roman" w:cs="Times New Roman"/>
        </w:rPr>
        <w:t xml:space="preserve"> are expected to again be realized</w:t>
      </w:r>
      <w:r w:rsidRPr="00BF42A8" w:rsidR="00EB1D9F">
        <w:rPr>
          <w:rFonts w:ascii="Times New Roman" w:hAnsi="Times New Roman" w:cs="Times New Roman"/>
        </w:rPr>
        <w:t xml:space="preserve"> if</w:t>
      </w:r>
      <w:r w:rsidRPr="00BF42A8" w:rsidR="00AC36EE">
        <w:rPr>
          <w:rFonts w:ascii="Times New Roman" w:hAnsi="Times New Roman" w:cs="Times New Roman"/>
        </w:rPr>
        <w:t xml:space="preserve"> the </w:t>
      </w:r>
      <w:r w:rsidRPr="00BF42A8" w:rsidR="00EB1D9F">
        <w:rPr>
          <w:rFonts w:ascii="Times New Roman" w:hAnsi="Times New Roman" w:cs="Times New Roman"/>
        </w:rPr>
        <w:t>proposed rule is</w:t>
      </w:r>
      <w:r w:rsidRPr="00BF42A8" w:rsidR="005B5904">
        <w:rPr>
          <w:rFonts w:ascii="Times New Roman" w:hAnsi="Times New Roman" w:cs="Times New Roman"/>
        </w:rPr>
        <w:t xml:space="preserve"> </w:t>
      </w:r>
      <w:r w:rsidRPr="00BF42A8" w:rsidR="00EB1D9F">
        <w:rPr>
          <w:rFonts w:ascii="Times New Roman" w:hAnsi="Times New Roman" w:cs="Times New Roman"/>
        </w:rPr>
        <w:t>finalized</w:t>
      </w:r>
      <w:r w:rsidR="00C51552">
        <w:rPr>
          <w:rFonts w:ascii="Times New Roman" w:hAnsi="Times New Roman" w:cs="Times New Roman"/>
        </w:rPr>
        <w:t xml:space="preserve"> in its current form.</w:t>
      </w:r>
      <w:r w:rsidRPr="00BF42A8" w:rsidR="005B5904">
        <w:rPr>
          <w:rFonts w:ascii="Times New Roman" w:hAnsi="Times New Roman" w:cs="Times New Roman"/>
        </w:rPr>
        <w:t xml:space="preserve"> </w:t>
      </w:r>
      <w:r w:rsidRPr="00BF42A8" w:rsidR="002202C3">
        <w:rPr>
          <w:rFonts w:ascii="Times New Roman" w:hAnsi="Times New Roman" w:cs="Times New Roman"/>
        </w:rPr>
        <w:t xml:space="preserve">EPA presents and updates much of the benefits analysis developed </w:t>
      </w:r>
      <w:r w:rsidRPr="00BF42A8" w:rsidR="00EB1D9F">
        <w:rPr>
          <w:rFonts w:ascii="Times New Roman" w:hAnsi="Times New Roman" w:cs="Times New Roman"/>
        </w:rPr>
        <w:t>for</w:t>
      </w:r>
      <w:r w:rsidRPr="00BF42A8" w:rsidR="002202C3">
        <w:rPr>
          <w:rFonts w:ascii="Times New Roman" w:hAnsi="Times New Roman" w:cs="Times New Roman"/>
        </w:rPr>
        <w:t xml:space="preserve"> the </w:t>
      </w:r>
      <w:r w:rsidR="00BC07B6">
        <w:rPr>
          <w:rFonts w:ascii="Times New Roman" w:hAnsi="Times New Roman" w:cs="Times New Roman"/>
        </w:rPr>
        <w:t>2017 a</w:t>
      </w:r>
      <w:r w:rsidRPr="00BF42A8" w:rsidR="002202C3">
        <w:rPr>
          <w:rFonts w:ascii="Times New Roman" w:hAnsi="Times New Roman" w:cs="Times New Roman"/>
        </w:rPr>
        <w:t>mendments rule</w:t>
      </w:r>
      <w:r w:rsidRPr="00BF42A8" w:rsidR="002408E5">
        <w:rPr>
          <w:rFonts w:ascii="Times New Roman" w:hAnsi="Times New Roman" w:cs="Times New Roman"/>
        </w:rPr>
        <w:t xml:space="preserve"> that discusses the types of benefits that </w:t>
      </w:r>
      <w:r w:rsidR="00C51552">
        <w:rPr>
          <w:rFonts w:ascii="Times New Roman" w:hAnsi="Times New Roman" w:cs="Times New Roman"/>
        </w:rPr>
        <w:t xml:space="preserve">would be </w:t>
      </w:r>
      <w:proofErr w:type="gramStart"/>
      <w:r w:rsidR="00C51552">
        <w:rPr>
          <w:rFonts w:ascii="Times New Roman" w:hAnsi="Times New Roman" w:cs="Times New Roman"/>
        </w:rPr>
        <w:t xml:space="preserve">generated, </w:t>
      </w:r>
      <w:r w:rsidRPr="00BF42A8" w:rsidR="00AD2B28">
        <w:rPr>
          <w:rFonts w:ascii="Times New Roman" w:hAnsi="Times New Roman" w:cs="Times New Roman"/>
        </w:rPr>
        <w:t>and</w:t>
      </w:r>
      <w:proofErr w:type="gramEnd"/>
      <w:r w:rsidRPr="00BF42A8" w:rsidR="002408E5">
        <w:rPr>
          <w:rFonts w:ascii="Times New Roman" w:hAnsi="Times New Roman" w:cs="Times New Roman"/>
        </w:rPr>
        <w:t xml:space="preserve"> monetiz</w:t>
      </w:r>
      <w:r w:rsidRPr="00BF42A8" w:rsidR="00AD2B28">
        <w:rPr>
          <w:rFonts w:ascii="Times New Roman" w:hAnsi="Times New Roman" w:cs="Times New Roman"/>
        </w:rPr>
        <w:t>es</w:t>
      </w:r>
      <w:r w:rsidRPr="00BF42A8" w:rsidR="002408E5">
        <w:rPr>
          <w:rFonts w:ascii="Times New Roman" w:hAnsi="Times New Roman" w:cs="Times New Roman"/>
        </w:rPr>
        <w:t xml:space="preserve"> historic </w:t>
      </w:r>
      <w:r w:rsidRPr="00BF42A8" w:rsidR="0002397E">
        <w:rPr>
          <w:rFonts w:ascii="Times New Roman" w:hAnsi="Times New Roman" w:cs="Times New Roman"/>
        </w:rPr>
        <w:t xml:space="preserve">accident </w:t>
      </w:r>
      <w:r w:rsidRPr="00BF42A8" w:rsidR="002408E5">
        <w:rPr>
          <w:rFonts w:ascii="Times New Roman" w:hAnsi="Times New Roman" w:cs="Times New Roman"/>
        </w:rPr>
        <w:t>data</w:t>
      </w:r>
      <w:r w:rsidRPr="00BF42A8" w:rsidR="00AD2B28">
        <w:rPr>
          <w:rFonts w:ascii="Times New Roman" w:hAnsi="Times New Roman" w:cs="Times New Roman"/>
        </w:rPr>
        <w:t xml:space="preserve"> that allows for some comparison</w:t>
      </w:r>
      <w:r w:rsidR="00C51552">
        <w:rPr>
          <w:rFonts w:ascii="Times New Roman" w:hAnsi="Times New Roman" w:cs="Times New Roman"/>
        </w:rPr>
        <w:t>s</w:t>
      </w:r>
      <w:r w:rsidRPr="00BF42A8" w:rsidR="00AD2B28">
        <w:rPr>
          <w:rFonts w:ascii="Times New Roman" w:hAnsi="Times New Roman" w:cs="Times New Roman"/>
        </w:rPr>
        <w:t xml:space="preserve"> of </w:t>
      </w:r>
      <w:r w:rsidRPr="00BF42A8" w:rsidR="0098185E">
        <w:rPr>
          <w:rFonts w:ascii="Times New Roman" w:hAnsi="Times New Roman" w:cs="Times New Roman"/>
        </w:rPr>
        <w:t xml:space="preserve">the </w:t>
      </w:r>
      <w:r w:rsidRPr="00BF42A8" w:rsidR="00AD2B28">
        <w:rPr>
          <w:rFonts w:ascii="Times New Roman" w:hAnsi="Times New Roman" w:cs="Times New Roman"/>
        </w:rPr>
        <w:t xml:space="preserve">costs of </w:t>
      </w:r>
      <w:r w:rsidRPr="00BF42A8" w:rsidR="0098185E">
        <w:rPr>
          <w:rFonts w:ascii="Times New Roman" w:hAnsi="Times New Roman" w:cs="Times New Roman"/>
        </w:rPr>
        <w:t>the proposed rule</w:t>
      </w:r>
      <w:r w:rsidRPr="00BF42A8" w:rsidR="00AD2B28">
        <w:rPr>
          <w:rFonts w:ascii="Times New Roman" w:hAnsi="Times New Roman" w:cs="Times New Roman"/>
        </w:rPr>
        <w:t xml:space="preserve"> to expected benefits.</w:t>
      </w:r>
    </w:p>
    <w:p w:rsidRPr="00BF42A8" w:rsidR="00BF42A8" w:rsidP="00BF42A8" w:rsidRDefault="00BF42A8" w14:paraId="3BF5F76C" w14:textId="77777777">
      <w:pPr>
        <w:spacing w:after="0" w:line="240" w:lineRule="auto"/>
        <w:ind w:firstLine="360"/>
        <w:rPr>
          <w:rFonts w:ascii="Times New Roman" w:hAnsi="Times New Roman" w:cs="Times New Roman"/>
        </w:rPr>
      </w:pPr>
    </w:p>
    <w:p w:rsidRPr="00BF42A8" w:rsidR="00E93325" w:rsidP="00813745" w:rsidRDefault="003E2B86" w14:paraId="49A7C072" w14:textId="773D4043">
      <w:pPr>
        <w:pStyle w:val="Heading2"/>
      </w:pPr>
      <w:bookmarkStart w:name="_Toc98856228" w:id="108"/>
      <w:bookmarkStart w:name="_Toc110502759" w:id="109"/>
      <w:r w:rsidRPr="00BF42A8">
        <w:t xml:space="preserve">6.1 </w:t>
      </w:r>
      <w:r w:rsidRPr="00BF42A8" w:rsidR="00E93325">
        <w:t>Benefit Categories</w:t>
      </w:r>
      <w:bookmarkEnd w:id="108"/>
      <w:bookmarkEnd w:id="109"/>
    </w:p>
    <w:p w:rsidR="00E93325" w:rsidP="00BF42A8" w:rsidRDefault="00E235AD" w14:paraId="438EA882" w14:textId="39F909B5">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Exhibit 6-1 illustrates the social benefits associated with each </w:t>
      </w:r>
      <w:r w:rsidRPr="00BF42A8" w:rsidR="00470780">
        <w:rPr>
          <w:rFonts w:ascii="Times New Roman" w:hAnsi="Times New Roman" w:cs="Times New Roman"/>
        </w:rPr>
        <w:t>proposed</w:t>
      </w:r>
      <w:r w:rsidRPr="00BF42A8" w:rsidR="00E93325">
        <w:rPr>
          <w:rFonts w:ascii="Times New Roman" w:hAnsi="Times New Roman" w:cs="Times New Roman"/>
        </w:rPr>
        <w:t xml:space="preserve"> rule provision. </w:t>
      </w:r>
      <w:r w:rsidRPr="00BF42A8" w:rsidR="00EB1D9F">
        <w:rPr>
          <w:rFonts w:ascii="Times New Roman" w:hAnsi="Times New Roman" w:cs="Times New Roman"/>
        </w:rPr>
        <w:t xml:space="preserve">EPA identified </w:t>
      </w:r>
      <w:r w:rsidRPr="00BF42A8" w:rsidR="00E93325">
        <w:rPr>
          <w:rFonts w:ascii="Times New Roman" w:hAnsi="Times New Roman" w:cs="Times New Roman"/>
        </w:rPr>
        <w:t>four primary social benefit categories:</w:t>
      </w:r>
    </w:p>
    <w:p w:rsidRPr="00BF42A8" w:rsidR="0072688F" w:rsidP="00BF42A8" w:rsidRDefault="0072688F" w14:paraId="6B9CD642" w14:textId="77777777">
      <w:pPr>
        <w:spacing w:after="0" w:line="240" w:lineRule="auto"/>
        <w:ind w:firstLine="360"/>
        <w:rPr>
          <w:rFonts w:ascii="Times New Roman" w:hAnsi="Times New Roman" w:cs="Times New Roman"/>
        </w:rPr>
      </w:pPr>
    </w:p>
    <w:p w:rsidR="00E93325" w:rsidP="00BF42A8" w:rsidRDefault="00E93325" w14:paraId="52E36DEC" w14:textId="4DA60D0B">
      <w:pPr>
        <w:pStyle w:val="BodyText"/>
        <w:numPr>
          <w:ilvl w:val="0"/>
          <w:numId w:val="13"/>
        </w:numPr>
        <w:rPr>
          <w:rFonts w:ascii="Times New Roman" w:hAnsi="Times New Roman" w:cs="Times New Roman"/>
        </w:rPr>
      </w:pPr>
      <w:r w:rsidRPr="00BF42A8">
        <w:rPr>
          <w:rFonts w:ascii="Times New Roman" w:hAnsi="Times New Roman" w:cs="Times New Roman"/>
          <w:i/>
        </w:rPr>
        <w:t>Prevention of Future RMP Accidents</w:t>
      </w:r>
      <w:r w:rsidRPr="00BF42A8">
        <w:rPr>
          <w:rFonts w:ascii="Times New Roman" w:hAnsi="Times New Roman" w:cs="Times New Roman"/>
        </w:rPr>
        <w:t xml:space="preserve">: Several </w:t>
      </w:r>
      <w:r w:rsidRPr="00BF42A8" w:rsidR="00F05307">
        <w:rPr>
          <w:rFonts w:ascii="Times New Roman" w:hAnsi="Times New Roman" w:cs="Times New Roman"/>
        </w:rPr>
        <w:t xml:space="preserve">proposed </w:t>
      </w:r>
      <w:r w:rsidRPr="00BF42A8">
        <w:rPr>
          <w:rFonts w:ascii="Times New Roman" w:hAnsi="Times New Roman" w:cs="Times New Roman"/>
        </w:rPr>
        <w:t xml:space="preserve">rule provisions </w:t>
      </w:r>
      <w:r w:rsidRPr="00BF42A8" w:rsidR="00EB1D9F">
        <w:rPr>
          <w:rFonts w:ascii="Times New Roman" w:hAnsi="Times New Roman" w:cs="Times New Roman"/>
        </w:rPr>
        <w:t xml:space="preserve">would </w:t>
      </w:r>
      <w:r w:rsidRPr="00BF42A8">
        <w:rPr>
          <w:rFonts w:ascii="Times New Roman" w:hAnsi="Times New Roman" w:cs="Times New Roman"/>
        </w:rPr>
        <w:t>help prevent accidents by triggering improvements in plant design, equipment, procedures, or operator training. Preventing serious accidents avoids numerous direct costs, including worker, responder, and public fatalities and injuries, public evacuations, public</w:t>
      </w:r>
      <w:r w:rsidRPr="00BF42A8" w:rsidR="00835781">
        <w:rPr>
          <w:rFonts w:ascii="Times New Roman" w:hAnsi="Times New Roman" w:cs="Times New Roman"/>
        </w:rPr>
        <w:t xml:space="preserve"> sheltering in place</w:t>
      </w:r>
      <w:r w:rsidRPr="00BF42A8">
        <w:rPr>
          <w:rFonts w:ascii="Times New Roman" w:hAnsi="Times New Roman" w:cs="Times New Roman"/>
        </w:rPr>
        <w:t xml:space="preserve">, and property and environmental damage. It also avoids indirect costs, such as lost productivity due to </w:t>
      </w:r>
      <w:r w:rsidRPr="00BF42A8" w:rsidR="006B4150">
        <w:rPr>
          <w:rFonts w:ascii="Times New Roman" w:hAnsi="Times New Roman" w:cs="Times New Roman"/>
        </w:rPr>
        <w:t>lost or damaged</w:t>
      </w:r>
      <w:r w:rsidRPr="00BF42A8">
        <w:rPr>
          <w:rFonts w:ascii="Times New Roman" w:hAnsi="Times New Roman" w:cs="Times New Roman"/>
        </w:rPr>
        <w:t xml:space="preserve"> </w:t>
      </w:r>
      <w:r w:rsidRPr="00BF42A8" w:rsidR="00D66204">
        <w:rPr>
          <w:rFonts w:ascii="Times New Roman" w:hAnsi="Times New Roman" w:cs="Times New Roman"/>
        </w:rPr>
        <w:t xml:space="preserve">property </w:t>
      </w:r>
      <w:r w:rsidRPr="00BF42A8">
        <w:rPr>
          <w:rFonts w:ascii="Times New Roman" w:hAnsi="Times New Roman" w:cs="Times New Roman"/>
        </w:rPr>
        <w:t xml:space="preserve">and business interruption both </w:t>
      </w:r>
      <w:r w:rsidRPr="00BF42A8" w:rsidR="00986800">
        <w:rPr>
          <w:rFonts w:ascii="Times New Roman" w:hAnsi="Times New Roman" w:cs="Times New Roman"/>
        </w:rPr>
        <w:t>onsite</w:t>
      </w:r>
      <w:r w:rsidRPr="00BF42A8">
        <w:rPr>
          <w:rFonts w:ascii="Times New Roman" w:hAnsi="Times New Roman" w:cs="Times New Roman"/>
        </w:rPr>
        <w:t xml:space="preserve"> and </w:t>
      </w:r>
      <w:r w:rsidRPr="00BF42A8" w:rsidR="00986800">
        <w:rPr>
          <w:rFonts w:ascii="Times New Roman" w:hAnsi="Times New Roman" w:cs="Times New Roman"/>
        </w:rPr>
        <w:t>offsite</w:t>
      </w:r>
      <w:r w:rsidRPr="00BF42A8">
        <w:rPr>
          <w:rFonts w:ascii="Times New Roman" w:hAnsi="Times New Roman" w:cs="Times New Roman"/>
        </w:rPr>
        <w:t xml:space="preserve">, expenditure of emergency response resources and attendant transaction costs, and reduced </w:t>
      </w:r>
      <w:r w:rsidRPr="00BF42A8" w:rsidR="00986800">
        <w:rPr>
          <w:rFonts w:ascii="Times New Roman" w:hAnsi="Times New Roman" w:cs="Times New Roman"/>
        </w:rPr>
        <w:t>offsite</w:t>
      </w:r>
      <w:r w:rsidRPr="00BF42A8">
        <w:rPr>
          <w:rFonts w:ascii="Times New Roman" w:hAnsi="Times New Roman" w:cs="Times New Roman"/>
        </w:rPr>
        <w:t xml:space="preserve"> property</w:t>
      </w:r>
      <w:r w:rsidRPr="00BF42A8">
        <w:rPr>
          <w:rFonts w:ascii="Times New Roman" w:hAnsi="Times New Roman" w:cs="Times New Roman"/>
          <w:spacing w:val="-9"/>
        </w:rPr>
        <w:t xml:space="preserve"> </w:t>
      </w:r>
      <w:r w:rsidRPr="00BF42A8">
        <w:rPr>
          <w:rFonts w:ascii="Times New Roman" w:hAnsi="Times New Roman" w:cs="Times New Roman"/>
        </w:rPr>
        <w:t>values.</w:t>
      </w:r>
    </w:p>
    <w:p w:rsidRPr="00BF42A8" w:rsidR="00E235AD" w:rsidP="00E235AD" w:rsidRDefault="00E235AD" w14:paraId="7FBAB427" w14:textId="77777777">
      <w:pPr>
        <w:pStyle w:val="BodyText"/>
        <w:ind w:left="720"/>
        <w:rPr>
          <w:rFonts w:ascii="Times New Roman" w:hAnsi="Times New Roman" w:cs="Times New Roman"/>
        </w:rPr>
      </w:pPr>
    </w:p>
    <w:p w:rsidR="00E93325" w:rsidP="00BF42A8" w:rsidRDefault="00E93325" w14:paraId="7C68D2B3" w14:textId="00F387F1">
      <w:pPr>
        <w:pStyle w:val="BodyText"/>
        <w:numPr>
          <w:ilvl w:val="0"/>
          <w:numId w:val="13"/>
        </w:numPr>
        <w:rPr>
          <w:rFonts w:ascii="Times New Roman" w:hAnsi="Times New Roman" w:cs="Times New Roman"/>
        </w:rPr>
      </w:pPr>
      <w:r w:rsidRPr="00BF42A8">
        <w:rPr>
          <w:rFonts w:ascii="Times New Roman" w:hAnsi="Times New Roman" w:cs="Times New Roman"/>
          <w:i/>
        </w:rPr>
        <w:t>Mitigation of Future RMP Accidents</w:t>
      </w:r>
      <w:r w:rsidRPr="00BF42A8">
        <w:rPr>
          <w:rFonts w:ascii="Times New Roman" w:hAnsi="Times New Roman" w:cs="Times New Roman"/>
        </w:rPr>
        <w:t xml:space="preserve">: Several </w:t>
      </w:r>
      <w:r w:rsidRPr="00BF42A8" w:rsidR="00F05307">
        <w:rPr>
          <w:rFonts w:ascii="Times New Roman" w:hAnsi="Times New Roman" w:cs="Times New Roman"/>
        </w:rPr>
        <w:t xml:space="preserve">proposed </w:t>
      </w:r>
      <w:r w:rsidRPr="00BF42A8">
        <w:rPr>
          <w:rFonts w:ascii="Times New Roman" w:hAnsi="Times New Roman" w:cs="Times New Roman"/>
        </w:rPr>
        <w:t xml:space="preserve">rule provisions </w:t>
      </w:r>
      <w:r w:rsidR="005B39D0">
        <w:rPr>
          <w:rFonts w:ascii="Times New Roman" w:hAnsi="Times New Roman" w:cs="Times New Roman"/>
        </w:rPr>
        <w:t xml:space="preserve">would </w:t>
      </w:r>
      <w:r w:rsidRPr="00BF42A8">
        <w:rPr>
          <w:rFonts w:ascii="Times New Roman" w:hAnsi="Times New Roman" w:cs="Times New Roman"/>
        </w:rPr>
        <w:t xml:space="preserve">reduce the impacts </w:t>
      </w:r>
      <w:r w:rsidRPr="00BF42A8" w:rsidR="00D66204">
        <w:rPr>
          <w:rFonts w:ascii="Times New Roman" w:hAnsi="Times New Roman" w:cs="Times New Roman"/>
        </w:rPr>
        <w:t xml:space="preserve">or severity </w:t>
      </w:r>
      <w:r w:rsidRPr="00BF42A8">
        <w:rPr>
          <w:rFonts w:ascii="Times New Roman" w:hAnsi="Times New Roman" w:cs="Times New Roman"/>
        </w:rPr>
        <w:t>of accidents by promoting a more rapid and efficient response to these incidents. If a serious chemical accident or major catastrophe occurs, mitigating its impacts benefits society by reducing the number of fatalities and injuries, reducing the magnitude of property damage</w:t>
      </w:r>
      <w:r w:rsidRPr="00BF42A8">
        <w:rPr>
          <w:rFonts w:ascii="Times New Roman" w:hAnsi="Times New Roman" w:cs="Times New Roman"/>
          <w:spacing w:val="-21"/>
        </w:rPr>
        <w:t xml:space="preserve"> </w:t>
      </w:r>
      <w:r w:rsidRPr="00BF42A8">
        <w:rPr>
          <w:rFonts w:ascii="Times New Roman" w:hAnsi="Times New Roman" w:cs="Times New Roman"/>
        </w:rPr>
        <w:t>and</w:t>
      </w:r>
      <w:r w:rsidRPr="00BF42A8" w:rsidR="008A0882">
        <w:rPr>
          <w:rFonts w:ascii="Times New Roman" w:hAnsi="Times New Roman" w:cs="Times New Roman"/>
        </w:rPr>
        <w:t xml:space="preserve"> </w:t>
      </w:r>
      <w:r w:rsidRPr="00BF42A8">
        <w:rPr>
          <w:rFonts w:ascii="Times New Roman" w:hAnsi="Times New Roman" w:cs="Times New Roman"/>
        </w:rPr>
        <w:t xml:space="preserve">lost productivity both </w:t>
      </w:r>
      <w:r w:rsidRPr="00BF42A8" w:rsidR="00986800">
        <w:rPr>
          <w:rFonts w:ascii="Times New Roman" w:hAnsi="Times New Roman" w:cs="Times New Roman"/>
        </w:rPr>
        <w:t>onsite</w:t>
      </w:r>
      <w:r w:rsidRPr="00BF42A8">
        <w:rPr>
          <w:rFonts w:ascii="Times New Roman" w:hAnsi="Times New Roman" w:cs="Times New Roman"/>
        </w:rPr>
        <w:t xml:space="preserve"> and </w:t>
      </w:r>
      <w:r w:rsidRPr="00BF42A8" w:rsidR="00986800">
        <w:rPr>
          <w:rFonts w:ascii="Times New Roman" w:hAnsi="Times New Roman" w:cs="Times New Roman"/>
        </w:rPr>
        <w:t>offsite</w:t>
      </w:r>
      <w:r w:rsidRPr="00BF42A8">
        <w:rPr>
          <w:rFonts w:ascii="Times New Roman" w:hAnsi="Times New Roman" w:cs="Times New Roman"/>
        </w:rPr>
        <w:t xml:space="preserve">, and reducing the extent of public </w:t>
      </w:r>
      <w:r w:rsidRPr="00BF42A8" w:rsidR="008A0882">
        <w:rPr>
          <w:rFonts w:ascii="Times New Roman" w:hAnsi="Times New Roman" w:cs="Times New Roman"/>
        </w:rPr>
        <w:t>e</w:t>
      </w:r>
      <w:r w:rsidRPr="00BF42A8">
        <w:rPr>
          <w:rFonts w:ascii="Times New Roman" w:hAnsi="Times New Roman" w:cs="Times New Roman"/>
        </w:rPr>
        <w:t>vacuations, sheltering</w:t>
      </w:r>
      <w:r w:rsidRPr="00BF42A8" w:rsidR="00F05307">
        <w:rPr>
          <w:rFonts w:ascii="Times New Roman" w:hAnsi="Times New Roman" w:cs="Times New Roman"/>
        </w:rPr>
        <w:t xml:space="preserve"> in place</w:t>
      </w:r>
      <w:r w:rsidRPr="00BF42A8">
        <w:rPr>
          <w:rFonts w:ascii="Times New Roman" w:hAnsi="Times New Roman" w:cs="Times New Roman"/>
        </w:rPr>
        <w:t xml:space="preserve"> and expenditure of emergency response resources.</w:t>
      </w:r>
    </w:p>
    <w:p w:rsidRPr="00BF42A8" w:rsidR="00E235AD" w:rsidP="00E235AD" w:rsidRDefault="00E235AD" w14:paraId="29E93566" w14:textId="77777777">
      <w:pPr>
        <w:pStyle w:val="BodyText"/>
        <w:ind w:left="720"/>
        <w:rPr>
          <w:rFonts w:ascii="Times New Roman" w:hAnsi="Times New Roman" w:cs="Times New Roman"/>
        </w:rPr>
      </w:pPr>
    </w:p>
    <w:p w:rsidR="00E93325" w:rsidP="00BF42A8" w:rsidRDefault="00E93325" w14:paraId="5C682A6A" w14:textId="5FA360DD">
      <w:pPr>
        <w:pStyle w:val="BodyText"/>
        <w:numPr>
          <w:ilvl w:val="0"/>
          <w:numId w:val="13"/>
        </w:numPr>
        <w:rPr>
          <w:rFonts w:ascii="Times New Roman" w:hAnsi="Times New Roman" w:cs="Times New Roman"/>
        </w:rPr>
      </w:pPr>
      <w:r w:rsidRPr="00BF42A8">
        <w:rPr>
          <w:rFonts w:ascii="Times New Roman" w:hAnsi="Times New Roman" w:cs="Times New Roman"/>
          <w:i/>
        </w:rPr>
        <w:t xml:space="preserve">Improved </w:t>
      </w:r>
      <w:r w:rsidRPr="00BF42A8" w:rsidR="00C54570">
        <w:rPr>
          <w:rFonts w:ascii="Times New Roman" w:hAnsi="Times New Roman" w:cs="Times New Roman"/>
          <w:i/>
        </w:rPr>
        <w:t xml:space="preserve">Public </w:t>
      </w:r>
      <w:r w:rsidRPr="00BF42A8">
        <w:rPr>
          <w:rFonts w:ascii="Times New Roman" w:hAnsi="Times New Roman" w:cs="Times New Roman"/>
          <w:i/>
        </w:rPr>
        <w:t>Information</w:t>
      </w:r>
      <w:r w:rsidRPr="00BF42A8" w:rsidR="00EE337E">
        <w:rPr>
          <w:rFonts w:ascii="Times New Roman" w:hAnsi="Times New Roman" w:cs="Times New Roman"/>
          <w:i/>
        </w:rPr>
        <w:t xml:space="preserve"> Availability</w:t>
      </w:r>
      <w:r w:rsidRPr="00BF42A8">
        <w:rPr>
          <w:rFonts w:ascii="Times New Roman" w:hAnsi="Times New Roman" w:cs="Times New Roman"/>
        </w:rPr>
        <w:t xml:space="preserve">: </w:t>
      </w:r>
      <w:r w:rsidRPr="00BF42A8" w:rsidR="00C16E88">
        <w:rPr>
          <w:rFonts w:ascii="Times New Roman" w:hAnsi="Times New Roman" w:cs="Times New Roman"/>
        </w:rPr>
        <w:t xml:space="preserve">EPA is proposing that notification procedures be available upon request to the public living </w:t>
      </w:r>
      <w:r w:rsidRPr="00BF42A8" w:rsidR="00DD3947">
        <w:rPr>
          <w:rFonts w:ascii="Times New Roman" w:hAnsi="Times New Roman" w:cs="Times New Roman"/>
        </w:rPr>
        <w:t>within 6</w:t>
      </w:r>
      <w:r w:rsidRPr="00BF42A8" w:rsidR="005B5904">
        <w:rPr>
          <w:rFonts w:ascii="Times New Roman" w:hAnsi="Times New Roman" w:cs="Times New Roman"/>
        </w:rPr>
        <w:t xml:space="preserve"> </w:t>
      </w:r>
      <w:r w:rsidRPr="00BF42A8" w:rsidR="00DD3947">
        <w:rPr>
          <w:rFonts w:ascii="Times New Roman" w:hAnsi="Times New Roman" w:cs="Times New Roman"/>
        </w:rPr>
        <w:t>miles</w:t>
      </w:r>
      <w:r w:rsidRPr="00BF42A8" w:rsidR="005B5904">
        <w:rPr>
          <w:rFonts w:ascii="Times New Roman" w:hAnsi="Times New Roman" w:cs="Times New Roman"/>
        </w:rPr>
        <w:t xml:space="preserve"> of</w:t>
      </w:r>
      <w:r w:rsidRPr="00BF42A8" w:rsidR="00C16E88">
        <w:rPr>
          <w:rFonts w:ascii="Times New Roman" w:hAnsi="Times New Roman" w:cs="Times New Roman"/>
        </w:rPr>
        <w:t xml:space="preserve"> </w:t>
      </w:r>
      <w:r w:rsidRPr="00BF42A8" w:rsidR="005B5904">
        <w:rPr>
          <w:rFonts w:ascii="Times New Roman" w:hAnsi="Times New Roman" w:cs="Times New Roman"/>
        </w:rPr>
        <w:t>an</w:t>
      </w:r>
      <w:r w:rsidRPr="00BF42A8" w:rsidR="00C16E88">
        <w:rPr>
          <w:rFonts w:ascii="Times New Roman" w:hAnsi="Times New Roman" w:cs="Times New Roman"/>
        </w:rPr>
        <w:t xml:space="preserve"> RMP facilit</w:t>
      </w:r>
      <w:r w:rsidRPr="00BF42A8" w:rsidR="005B5904">
        <w:rPr>
          <w:rFonts w:ascii="Times New Roman" w:hAnsi="Times New Roman" w:cs="Times New Roman"/>
        </w:rPr>
        <w:t>y</w:t>
      </w:r>
      <w:r w:rsidRPr="00BF42A8" w:rsidR="00721364">
        <w:rPr>
          <w:rFonts w:ascii="Times New Roman" w:hAnsi="Times New Roman" w:cs="Times New Roman"/>
        </w:rPr>
        <w:t>.</w:t>
      </w:r>
      <w:r w:rsidRPr="00BF42A8">
        <w:rPr>
          <w:rFonts w:ascii="Times New Roman" w:hAnsi="Times New Roman" w:cs="Times New Roman"/>
        </w:rPr>
        <w:t xml:space="preserve"> </w:t>
      </w:r>
      <w:r w:rsidRPr="00BF42A8" w:rsidR="00FE1671">
        <w:rPr>
          <w:rFonts w:ascii="Times New Roman" w:hAnsi="Times New Roman" w:cs="Times New Roman"/>
        </w:rPr>
        <w:t xml:space="preserve">EPA is also proposing that facilities </w:t>
      </w:r>
      <w:r w:rsidRPr="00BF42A8" w:rsidR="005B5904">
        <w:rPr>
          <w:rFonts w:ascii="Times New Roman" w:hAnsi="Times New Roman" w:cs="Times New Roman"/>
        </w:rPr>
        <w:t>be</w:t>
      </w:r>
      <w:r w:rsidRPr="00BF42A8" w:rsidR="00FE1671">
        <w:rPr>
          <w:rFonts w:ascii="Times New Roman" w:hAnsi="Times New Roman" w:cs="Times New Roman"/>
        </w:rPr>
        <w:t xml:space="preserve"> required to ensure a community notification system is in place to warn the public within the area threatened by a release. </w:t>
      </w:r>
      <w:r w:rsidRPr="00BF42A8" w:rsidR="00303026">
        <w:rPr>
          <w:rFonts w:ascii="Times New Roman" w:hAnsi="Times New Roman" w:cs="Times New Roman"/>
        </w:rPr>
        <w:t>In addition</w:t>
      </w:r>
      <w:r w:rsidRPr="00BF42A8" w:rsidR="00B578A0">
        <w:rPr>
          <w:rFonts w:ascii="Times New Roman" w:hAnsi="Times New Roman" w:cs="Times New Roman"/>
        </w:rPr>
        <w:t>,</w:t>
      </w:r>
      <w:r w:rsidRPr="00BF42A8" w:rsidR="00303026">
        <w:rPr>
          <w:rFonts w:ascii="Times New Roman" w:hAnsi="Times New Roman" w:cs="Times New Roman"/>
        </w:rPr>
        <w:t xml:space="preserve"> EPA would require </w:t>
      </w:r>
      <w:r w:rsidRPr="00BF42A8" w:rsidR="00124614">
        <w:rPr>
          <w:rFonts w:ascii="Times New Roman" w:hAnsi="Times New Roman" w:cs="Times New Roman"/>
        </w:rPr>
        <w:t xml:space="preserve">facilities to provide entities, including the public, with initial RMP accidental release information during releases of regulated substances. </w:t>
      </w:r>
      <w:r w:rsidRPr="00BF42A8" w:rsidR="000B0D0E">
        <w:rPr>
          <w:rFonts w:ascii="Times New Roman" w:hAnsi="Times New Roman" w:cs="Times New Roman"/>
        </w:rPr>
        <w:t xml:space="preserve">EPA expects this </w:t>
      </w:r>
      <w:r w:rsidRPr="00BF42A8" w:rsidR="005B5904">
        <w:rPr>
          <w:rFonts w:ascii="Times New Roman" w:hAnsi="Times New Roman" w:cs="Times New Roman"/>
        </w:rPr>
        <w:t xml:space="preserve">requirement </w:t>
      </w:r>
      <w:r w:rsidRPr="00BF42A8" w:rsidR="000B0D0E">
        <w:rPr>
          <w:rFonts w:ascii="Times New Roman" w:hAnsi="Times New Roman" w:cs="Times New Roman"/>
        </w:rPr>
        <w:t xml:space="preserve">to </w:t>
      </w:r>
      <w:r w:rsidRPr="00BF42A8" w:rsidR="005B5904">
        <w:rPr>
          <w:rFonts w:ascii="Times New Roman" w:hAnsi="Times New Roman" w:cs="Times New Roman"/>
        </w:rPr>
        <w:t>generate benefits</w:t>
      </w:r>
      <w:r w:rsidRPr="00BF42A8">
        <w:rPr>
          <w:rFonts w:ascii="Times New Roman" w:hAnsi="Times New Roman" w:cs="Times New Roman"/>
        </w:rPr>
        <w:t xml:space="preserve"> because it may result in more efficient allocation of public response resources by improving the ability of planners and responders to make appropriate decisions concerning equipment, training, and procedures. Improved information may also improve local contingency planning and training of emergency responders. </w:t>
      </w:r>
      <w:r w:rsidRPr="00BF42A8" w:rsidR="00B66675">
        <w:rPr>
          <w:rFonts w:ascii="Times New Roman" w:hAnsi="Times New Roman" w:cs="Times New Roman"/>
        </w:rPr>
        <w:t xml:space="preserve">In addition, more timely information and accessible alerts through the community notification system </w:t>
      </w:r>
      <w:r w:rsidRPr="00BF42A8" w:rsidR="000164C6">
        <w:rPr>
          <w:rFonts w:ascii="Times New Roman" w:hAnsi="Times New Roman" w:cs="Times New Roman"/>
        </w:rPr>
        <w:t xml:space="preserve">ensure the public </w:t>
      </w:r>
      <w:r w:rsidRPr="00BF42A8" w:rsidR="00D24A9D">
        <w:rPr>
          <w:rFonts w:ascii="Times New Roman" w:hAnsi="Times New Roman" w:cs="Times New Roman"/>
        </w:rPr>
        <w:t>can</w:t>
      </w:r>
      <w:r w:rsidRPr="00BF42A8" w:rsidR="000164C6">
        <w:rPr>
          <w:rFonts w:ascii="Times New Roman" w:hAnsi="Times New Roman" w:cs="Times New Roman"/>
        </w:rPr>
        <w:t xml:space="preserve"> receive authenticated</w:t>
      </w:r>
      <w:r w:rsidRPr="00BF42A8" w:rsidR="00B84574">
        <w:rPr>
          <w:rFonts w:ascii="Times New Roman" w:hAnsi="Times New Roman" w:cs="Times New Roman"/>
        </w:rPr>
        <w:t xml:space="preserve"> emergency </w:t>
      </w:r>
      <w:r w:rsidRPr="00BF42A8" w:rsidR="00ED25DF">
        <w:rPr>
          <w:rFonts w:ascii="Times New Roman" w:hAnsi="Times New Roman" w:cs="Times New Roman"/>
        </w:rPr>
        <w:t xml:space="preserve">and life-saving alerts when there is an </w:t>
      </w:r>
      <w:r w:rsidR="0044790B">
        <w:rPr>
          <w:rFonts w:ascii="Times New Roman" w:hAnsi="Times New Roman" w:cs="Times New Roman"/>
        </w:rPr>
        <w:t>accident</w:t>
      </w:r>
      <w:r w:rsidRPr="00BF42A8" w:rsidR="00ED25DF">
        <w:rPr>
          <w:rFonts w:ascii="Times New Roman" w:hAnsi="Times New Roman" w:cs="Times New Roman"/>
        </w:rPr>
        <w:t xml:space="preserve">. </w:t>
      </w:r>
    </w:p>
    <w:p w:rsidRPr="00BF42A8" w:rsidR="00E235AD" w:rsidP="00E235AD" w:rsidRDefault="00E235AD" w14:paraId="0DF54D22" w14:textId="77777777">
      <w:pPr>
        <w:pStyle w:val="BodyText"/>
        <w:ind w:left="720"/>
        <w:rPr>
          <w:rFonts w:ascii="Times New Roman" w:hAnsi="Times New Roman" w:cs="Times New Roman"/>
        </w:rPr>
      </w:pPr>
    </w:p>
    <w:p w:rsidR="008B46D8" w:rsidP="00BF42A8" w:rsidRDefault="00E93325" w14:paraId="2659F7F4" w14:textId="1BD7A6DC">
      <w:pPr>
        <w:pStyle w:val="BodyText"/>
        <w:numPr>
          <w:ilvl w:val="0"/>
          <w:numId w:val="13"/>
        </w:numPr>
        <w:rPr>
          <w:rFonts w:ascii="Times New Roman" w:hAnsi="Times New Roman" w:cs="Times New Roman"/>
        </w:rPr>
      </w:pPr>
      <w:r w:rsidRPr="00BF42A8">
        <w:rPr>
          <w:rFonts w:ascii="Times New Roman" w:hAnsi="Times New Roman" w:cs="Times New Roman"/>
          <w:i/>
        </w:rPr>
        <w:t>Prevention and Mitigation of Future non-RMP Accidents at RMP Facilities</w:t>
      </w:r>
      <w:r w:rsidRPr="00BF42A8">
        <w:rPr>
          <w:rFonts w:ascii="Times New Roman" w:hAnsi="Times New Roman" w:cs="Times New Roman"/>
        </w:rPr>
        <w:t xml:space="preserve">: Actions that prevent or reduce the severity of accidents in RMP-covered processes are also likely to prevent or mitigate non-RMP accidents at the same facilities because the same or similar actions can be taken </w:t>
      </w:r>
      <w:r w:rsidRPr="00BF42A8" w:rsidR="00851D20">
        <w:rPr>
          <w:rFonts w:ascii="Times New Roman" w:hAnsi="Times New Roman" w:cs="Times New Roman"/>
        </w:rPr>
        <w:t xml:space="preserve">for </w:t>
      </w:r>
      <w:r w:rsidRPr="00BF42A8">
        <w:rPr>
          <w:rFonts w:ascii="Times New Roman" w:hAnsi="Times New Roman" w:cs="Times New Roman"/>
        </w:rPr>
        <w:t xml:space="preserve">processes and equipment not subject to the regulation, often at minimal additional cost. For example, </w:t>
      </w:r>
      <w:r w:rsidRPr="00BF42A8" w:rsidR="00851D20">
        <w:rPr>
          <w:rFonts w:ascii="Times New Roman" w:hAnsi="Times New Roman" w:cs="Times New Roman"/>
        </w:rPr>
        <w:t xml:space="preserve">new </w:t>
      </w:r>
      <w:r w:rsidRPr="00BF42A8">
        <w:rPr>
          <w:rFonts w:ascii="Times New Roman" w:hAnsi="Times New Roman" w:cs="Times New Roman"/>
        </w:rPr>
        <w:t>operational safety policies</w:t>
      </w:r>
      <w:r w:rsidRPr="00BF42A8" w:rsidR="00851D20">
        <w:rPr>
          <w:rFonts w:ascii="Times New Roman" w:hAnsi="Times New Roman" w:cs="Times New Roman"/>
        </w:rPr>
        <w:t xml:space="preserve"> implemented by an owner or operator </w:t>
      </w:r>
      <w:r w:rsidRPr="00BF42A8">
        <w:rPr>
          <w:rFonts w:ascii="Times New Roman" w:hAnsi="Times New Roman" w:cs="Times New Roman"/>
        </w:rPr>
        <w:t xml:space="preserve">to prevent or respond to an RMP-related emergency will also improve their ability to respond to any </w:t>
      </w:r>
      <w:r w:rsidRPr="00BF42A8">
        <w:rPr>
          <w:rFonts w:ascii="Times New Roman" w:hAnsi="Times New Roman" w:cs="Times New Roman"/>
        </w:rPr>
        <w:lastRenderedPageBreak/>
        <w:t>emergency or accident at the facility</w:t>
      </w:r>
      <w:r w:rsidRPr="00BF42A8" w:rsidR="00851D20">
        <w:rPr>
          <w:rFonts w:ascii="Times New Roman" w:hAnsi="Times New Roman" w:cs="Times New Roman"/>
        </w:rPr>
        <w:t>.</w:t>
      </w:r>
    </w:p>
    <w:p w:rsidR="00964C0A" w:rsidP="00964C0A" w:rsidRDefault="00964C0A" w14:paraId="2F474AEA" w14:textId="77777777">
      <w:pPr>
        <w:spacing w:after="0" w:line="240" w:lineRule="auto"/>
        <w:jc w:val="center"/>
      </w:pPr>
    </w:p>
    <w:p w:rsidR="00964C0A" w:rsidP="00964C0A" w:rsidRDefault="00964C0A" w14:paraId="5C042D64" w14:textId="5E71312A">
      <w:pPr>
        <w:spacing w:after="0" w:line="240" w:lineRule="auto"/>
        <w:jc w:val="center"/>
        <w:rPr>
          <w:rFonts w:ascii="Times New Roman" w:hAnsi="Times New Roman" w:cs="Times New Roman"/>
          <w:b/>
        </w:rPr>
      </w:pPr>
      <w:r w:rsidRPr="00964C0A">
        <w:rPr>
          <w:rFonts w:ascii="Times New Roman" w:hAnsi="Times New Roman" w:cs="Times New Roman"/>
          <w:b/>
          <w:bCs/>
        </w:rPr>
        <w:t>Exhibit 6-1: Social Benefits of Proposed Rule Provisions</w:t>
      </w:r>
      <w:r>
        <w:rPr>
          <w:rFonts w:ascii="Times New Roman" w:hAnsi="Times New Roman" w:cs="Times New Roman"/>
          <w:b/>
        </w:rPr>
        <w:t>.</w:t>
      </w:r>
    </w:p>
    <w:p w:rsidRPr="00BF42A8" w:rsidR="00964C0A" w:rsidP="00964C0A" w:rsidRDefault="00964C0A" w14:paraId="3777FED6" w14:textId="77777777">
      <w:pPr>
        <w:spacing w:after="0" w:line="240" w:lineRule="auto"/>
        <w:jc w:val="center"/>
        <w:rPr>
          <w:rFonts w:ascii="Times New Roman" w:hAnsi="Times New Roman" w:cs="Times New Roman"/>
          <w:b/>
        </w:rPr>
      </w:pPr>
    </w:p>
    <w:tbl>
      <w:tblPr>
        <w:tblW w:w="9005" w:type="dxa"/>
        <w:tblInd w:w="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91"/>
        <w:gridCol w:w="5414"/>
      </w:tblGrid>
      <w:tr w:rsidRPr="00BF42A8" w:rsidR="00E93325" w:rsidTr="00964C0A" w14:paraId="35DB6ADE" w14:textId="77777777">
        <w:trPr>
          <w:trHeight w:val="294"/>
        </w:trPr>
        <w:tc>
          <w:tcPr>
            <w:tcW w:w="3591" w:type="dxa"/>
            <w:shd w:val="clear" w:color="auto" w:fill="D9D9D9" w:themeFill="background1" w:themeFillShade="D9"/>
          </w:tcPr>
          <w:p w:rsidRPr="00BF42A8" w:rsidR="00E93325" w:rsidP="00BF42A8" w:rsidRDefault="00E93325" w14:paraId="053F2F88" w14:textId="77777777">
            <w:pPr>
              <w:spacing w:after="0" w:line="240" w:lineRule="auto"/>
              <w:ind w:left="107"/>
              <w:rPr>
                <w:rFonts w:ascii="Times New Roman" w:hAnsi="Times New Roman" w:cs="Times New Roman"/>
                <w:b/>
              </w:rPr>
            </w:pPr>
            <w:r w:rsidRPr="00BF42A8">
              <w:rPr>
                <w:rFonts w:ascii="Times New Roman" w:hAnsi="Times New Roman" w:cs="Times New Roman"/>
                <w:b/>
              </w:rPr>
              <w:t>Rule Provision</w:t>
            </w:r>
          </w:p>
        </w:tc>
        <w:tc>
          <w:tcPr>
            <w:tcW w:w="5414" w:type="dxa"/>
            <w:shd w:val="clear" w:color="auto" w:fill="D9D9D9" w:themeFill="background1" w:themeFillShade="D9"/>
          </w:tcPr>
          <w:p w:rsidRPr="00BF42A8" w:rsidR="00E93325" w:rsidP="00964C0A" w:rsidRDefault="00E93325" w14:paraId="640F3119" w14:textId="77777777">
            <w:pPr>
              <w:spacing w:after="0" w:line="240" w:lineRule="auto"/>
              <w:ind w:left="112" w:right="69"/>
              <w:rPr>
                <w:rFonts w:ascii="Times New Roman" w:hAnsi="Times New Roman" w:cs="Times New Roman"/>
                <w:b/>
              </w:rPr>
            </w:pPr>
            <w:r w:rsidRPr="00BF42A8">
              <w:rPr>
                <w:rFonts w:ascii="Times New Roman" w:hAnsi="Times New Roman" w:cs="Times New Roman"/>
                <w:b/>
              </w:rPr>
              <w:t>Social Benefits (primary social benefit in bold)</w:t>
            </w:r>
          </w:p>
        </w:tc>
      </w:tr>
      <w:tr w:rsidRPr="00BF42A8" w:rsidR="00B536DF" w:rsidTr="00964C0A" w14:paraId="7005467C" w14:textId="77777777">
        <w:trPr>
          <w:trHeight w:val="297"/>
        </w:trPr>
        <w:tc>
          <w:tcPr>
            <w:tcW w:w="3591" w:type="dxa"/>
          </w:tcPr>
          <w:p w:rsidRPr="00964C0A" w:rsidR="00B536DF" w:rsidP="00BF42A8" w:rsidRDefault="00B536DF" w14:paraId="3D9F97DF" w14:textId="41C1795A">
            <w:pPr>
              <w:spacing w:after="0" w:line="240" w:lineRule="auto"/>
              <w:ind w:left="107"/>
              <w:rPr>
                <w:rFonts w:ascii="Times New Roman" w:hAnsi="Times New Roman" w:cs="Times New Roman"/>
              </w:rPr>
            </w:pPr>
            <w:r w:rsidRPr="00964C0A">
              <w:rPr>
                <w:rFonts w:ascii="Times New Roman" w:hAnsi="Times New Roman" w:cs="Times New Roman"/>
              </w:rPr>
              <w:t>1.</w:t>
            </w:r>
            <w:r w:rsidRPr="00964C0A" w:rsidR="0044790B">
              <w:rPr>
                <w:rFonts w:ascii="Times New Roman" w:hAnsi="Times New Roman" w:cs="Times New Roman"/>
              </w:rPr>
              <w:t xml:space="preserve"> Safer Technology and Alternatives Analysis*</w:t>
            </w:r>
          </w:p>
        </w:tc>
        <w:tc>
          <w:tcPr>
            <w:tcW w:w="5414" w:type="dxa"/>
            <w:vMerge w:val="restart"/>
          </w:tcPr>
          <w:p w:rsidRPr="00BF42A8" w:rsidR="00B536DF" w:rsidP="00964C0A" w:rsidRDefault="00B536DF" w14:paraId="73CC8E22" w14:textId="77777777">
            <w:pPr>
              <w:spacing w:after="0" w:line="240" w:lineRule="auto"/>
              <w:ind w:left="112" w:right="69"/>
              <w:rPr>
                <w:rFonts w:ascii="Times New Roman" w:hAnsi="Times New Roman" w:cs="Times New Roman"/>
                <w:b/>
              </w:rPr>
            </w:pPr>
            <w:r w:rsidRPr="00BF42A8">
              <w:rPr>
                <w:rFonts w:ascii="Times New Roman" w:hAnsi="Times New Roman" w:cs="Times New Roman"/>
                <w:b/>
              </w:rPr>
              <w:t>Prevention of future RMP facility accidents</w:t>
            </w:r>
          </w:p>
          <w:p w:rsidRPr="00BF42A8" w:rsidR="00B536DF" w:rsidP="00964C0A" w:rsidRDefault="00B536DF" w14:paraId="09759DD9" w14:textId="0E774F3F">
            <w:pPr>
              <w:spacing w:after="0" w:line="240" w:lineRule="auto"/>
              <w:ind w:left="112" w:right="69"/>
              <w:rPr>
                <w:rFonts w:ascii="Times New Roman" w:hAnsi="Times New Roman" w:cs="Times New Roman"/>
              </w:rPr>
            </w:pPr>
            <w:r w:rsidRPr="00BF42A8">
              <w:rPr>
                <w:rFonts w:ascii="Times New Roman" w:hAnsi="Times New Roman" w:cs="Times New Roman"/>
              </w:rPr>
              <w:t>Mitigation of future RMP facility</w:t>
            </w:r>
            <w:r w:rsidR="0044790B">
              <w:rPr>
                <w:rFonts w:ascii="Times New Roman" w:hAnsi="Times New Roman" w:cs="Times New Roman"/>
              </w:rPr>
              <w:t xml:space="preserve"> </w:t>
            </w:r>
            <w:r w:rsidRPr="00BF42A8">
              <w:rPr>
                <w:rFonts w:ascii="Times New Roman" w:hAnsi="Times New Roman" w:cs="Times New Roman"/>
              </w:rPr>
              <w:t>accidents</w:t>
            </w:r>
          </w:p>
          <w:p w:rsidRPr="00BF42A8" w:rsidR="00B536DF" w:rsidP="00964C0A" w:rsidRDefault="00B536DF" w14:paraId="00354C1A" w14:textId="77777777">
            <w:pPr>
              <w:spacing w:after="0" w:line="240" w:lineRule="auto"/>
              <w:ind w:left="112" w:right="69"/>
              <w:rPr>
                <w:rFonts w:ascii="Times New Roman" w:hAnsi="Times New Roman" w:cs="Times New Roman"/>
              </w:rPr>
            </w:pPr>
            <w:r w:rsidRPr="00964C0A">
              <w:rPr>
                <w:rFonts w:ascii="Times New Roman" w:hAnsi="Times New Roman" w:cs="Times New Roman"/>
              </w:rPr>
              <w:t>Prevention and mitigation of future non-RMP accidents at RMP facilities</w:t>
            </w:r>
          </w:p>
          <w:p w:rsidRPr="00BF42A8" w:rsidR="00B536DF" w:rsidP="00964C0A" w:rsidRDefault="00B536DF" w14:paraId="603BDE50" w14:textId="31C10C25">
            <w:pPr>
              <w:spacing w:after="0" w:line="240" w:lineRule="auto"/>
              <w:ind w:left="112" w:right="69"/>
              <w:rPr>
                <w:rFonts w:ascii="Times New Roman" w:hAnsi="Times New Roman" w:cs="Times New Roman"/>
                <w:b/>
              </w:rPr>
            </w:pPr>
          </w:p>
        </w:tc>
      </w:tr>
      <w:tr w:rsidRPr="00BF42A8" w:rsidR="00B536DF" w:rsidTr="00964C0A" w14:paraId="5B97B007" w14:textId="77777777">
        <w:trPr>
          <w:trHeight w:val="297"/>
        </w:trPr>
        <w:tc>
          <w:tcPr>
            <w:tcW w:w="3591" w:type="dxa"/>
          </w:tcPr>
          <w:p w:rsidRPr="00964C0A" w:rsidR="00B536DF" w:rsidP="00BF42A8" w:rsidRDefault="00B536DF" w14:paraId="156DF2B1" w14:textId="77777777">
            <w:pPr>
              <w:spacing w:after="0" w:line="240" w:lineRule="auto"/>
              <w:ind w:left="107"/>
              <w:rPr>
                <w:rFonts w:ascii="Times New Roman" w:hAnsi="Times New Roman" w:cs="Times New Roman"/>
              </w:rPr>
            </w:pPr>
            <w:r w:rsidRPr="00964C0A">
              <w:rPr>
                <w:rFonts w:ascii="Times New Roman" w:hAnsi="Times New Roman" w:cs="Times New Roman"/>
              </w:rPr>
              <w:t>2. Root cause analysis*</w:t>
            </w:r>
          </w:p>
        </w:tc>
        <w:tc>
          <w:tcPr>
            <w:tcW w:w="5414" w:type="dxa"/>
            <w:vMerge/>
          </w:tcPr>
          <w:p w:rsidRPr="00BF42A8" w:rsidR="00B536DF" w:rsidP="00964C0A" w:rsidRDefault="00B536DF" w14:paraId="36043CA7" w14:textId="76026D5C">
            <w:pPr>
              <w:spacing w:after="0" w:line="240" w:lineRule="auto"/>
              <w:ind w:left="112" w:right="69"/>
              <w:rPr>
                <w:rFonts w:ascii="Times New Roman" w:hAnsi="Times New Roman" w:cs="Times New Roman"/>
              </w:rPr>
            </w:pPr>
          </w:p>
        </w:tc>
      </w:tr>
      <w:tr w:rsidRPr="00BF42A8" w:rsidR="00B536DF" w:rsidTr="00964C0A" w14:paraId="0111E3AC" w14:textId="77777777">
        <w:trPr>
          <w:trHeight w:val="836"/>
        </w:trPr>
        <w:tc>
          <w:tcPr>
            <w:tcW w:w="3591" w:type="dxa"/>
          </w:tcPr>
          <w:p w:rsidRPr="0044790B" w:rsidR="00B536DF" w:rsidP="0044790B" w:rsidRDefault="0044790B" w14:paraId="6548E2D1" w14:textId="4267FB2F">
            <w:pPr>
              <w:pStyle w:val="ListParagraph"/>
              <w:spacing w:after="0" w:line="240" w:lineRule="auto"/>
              <w:ind w:left="90" w:right="316"/>
              <w:rPr>
                <w:rFonts w:ascii="Times New Roman" w:hAnsi="Times New Roman" w:cs="Times New Roman"/>
              </w:rPr>
            </w:pPr>
            <w:r>
              <w:rPr>
                <w:rFonts w:ascii="Times New Roman" w:hAnsi="Times New Roman" w:cs="Times New Roman"/>
              </w:rPr>
              <w:t xml:space="preserve">3. </w:t>
            </w:r>
            <w:r w:rsidRPr="00964C0A">
              <w:rPr>
                <w:rFonts w:ascii="Times New Roman" w:hAnsi="Times New Roman" w:cs="Times New Roman"/>
              </w:rPr>
              <w:t>Third-party audits*</w:t>
            </w:r>
          </w:p>
        </w:tc>
        <w:tc>
          <w:tcPr>
            <w:tcW w:w="5414" w:type="dxa"/>
            <w:vMerge/>
          </w:tcPr>
          <w:p w:rsidRPr="00BF42A8" w:rsidR="00B536DF" w:rsidP="00964C0A" w:rsidRDefault="00B536DF" w14:paraId="383269CE" w14:textId="7EE4F6EE">
            <w:pPr>
              <w:spacing w:after="0" w:line="240" w:lineRule="auto"/>
              <w:ind w:left="112" w:right="69"/>
              <w:rPr>
                <w:rFonts w:ascii="Times New Roman" w:hAnsi="Times New Roman" w:cs="Times New Roman"/>
              </w:rPr>
            </w:pPr>
          </w:p>
        </w:tc>
      </w:tr>
      <w:tr w:rsidRPr="00BF42A8" w:rsidR="00B536DF" w:rsidTr="00964C0A" w14:paraId="7AEEE0F1" w14:textId="77777777">
        <w:trPr>
          <w:trHeight w:val="1066"/>
        </w:trPr>
        <w:tc>
          <w:tcPr>
            <w:tcW w:w="3591" w:type="dxa"/>
          </w:tcPr>
          <w:p w:rsidRPr="00964C0A" w:rsidR="00B536DF" w:rsidP="00BF42A8" w:rsidRDefault="00B536DF" w14:paraId="1A37F59A" w14:textId="0425A3B3">
            <w:pPr>
              <w:spacing w:after="0" w:line="240" w:lineRule="auto"/>
              <w:ind w:left="107"/>
              <w:rPr>
                <w:rFonts w:ascii="Times New Roman" w:hAnsi="Times New Roman" w:cs="Times New Roman"/>
              </w:rPr>
            </w:pPr>
            <w:r w:rsidRPr="00964C0A">
              <w:rPr>
                <w:rFonts w:ascii="Times New Roman" w:hAnsi="Times New Roman" w:cs="Times New Roman"/>
              </w:rPr>
              <w:t>4. Employee Participation Plan</w:t>
            </w:r>
          </w:p>
        </w:tc>
        <w:tc>
          <w:tcPr>
            <w:tcW w:w="5414" w:type="dxa"/>
            <w:vMerge/>
          </w:tcPr>
          <w:p w:rsidRPr="00BF42A8" w:rsidR="00B536DF" w:rsidP="00964C0A" w:rsidRDefault="00B536DF" w14:paraId="6FD5DF92" w14:textId="4ACAC0DC">
            <w:pPr>
              <w:spacing w:after="0" w:line="240" w:lineRule="auto"/>
              <w:ind w:left="112" w:right="69"/>
              <w:rPr>
                <w:rFonts w:ascii="Times New Roman" w:hAnsi="Times New Roman" w:cs="Times New Roman"/>
                <w:b/>
              </w:rPr>
            </w:pPr>
          </w:p>
        </w:tc>
      </w:tr>
      <w:tr w:rsidRPr="00BF42A8" w:rsidR="00AD4D89" w:rsidTr="00964C0A" w14:paraId="721FBC34" w14:textId="77777777">
        <w:trPr>
          <w:trHeight w:val="1066"/>
        </w:trPr>
        <w:tc>
          <w:tcPr>
            <w:tcW w:w="3591" w:type="dxa"/>
          </w:tcPr>
          <w:p w:rsidRPr="0044790B" w:rsidR="0044790B" w:rsidP="0044790B" w:rsidRDefault="00524BEA" w14:paraId="21C89623" w14:textId="77777777">
            <w:pPr>
              <w:pStyle w:val="ListParagraph"/>
              <w:spacing w:after="0" w:line="240" w:lineRule="auto"/>
              <w:ind w:left="90"/>
              <w:rPr>
                <w:rFonts w:ascii="Times New Roman" w:hAnsi="Times New Roman" w:cs="Times New Roman"/>
              </w:rPr>
            </w:pPr>
            <w:r w:rsidRPr="00964C0A">
              <w:rPr>
                <w:rFonts w:ascii="Times New Roman" w:hAnsi="Times New Roman" w:cs="Times New Roman"/>
              </w:rPr>
              <w:t>5</w:t>
            </w:r>
            <w:r w:rsidRPr="00964C0A" w:rsidR="00AD4D89">
              <w:rPr>
                <w:rFonts w:ascii="Times New Roman" w:hAnsi="Times New Roman" w:cs="Times New Roman"/>
              </w:rPr>
              <w:t xml:space="preserve">. </w:t>
            </w:r>
            <w:r w:rsidRPr="0044790B" w:rsidR="0044790B">
              <w:rPr>
                <w:rFonts w:ascii="Times New Roman" w:hAnsi="Times New Roman" w:cs="Times New Roman"/>
              </w:rPr>
              <w:t>Emergency Response Provisions</w:t>
            </w:r>
          </w:p>
          <w:p w:rsidRPr="00964C0A" w:rsidR="00AD4D89" w:rsidP="00BF42A8" w:rsidRDefault="00AD4D89" w14:paraId="0ABF7E7D" w14:textId="27349043">
            <w:pPr>
              <w:spacing w:after="0" w:line="240" w:lineRule="auto"/>
              <w:ind w:left="107"/>
              <w:rPr>
                <w:rFonts w:ascii="Times New Roman" w:hAnsi="Times New Roman" w:cs="Times New Roman"/>
              </w:rPr>
            </w:pPr>
          </w:p>
        </w:tc>
        <w:tc>
          <w:tcPr>
            <w:tcW w:w="5414" w:type="dxa"/>
          </w:tcPr>
          <w:p w:rsidRPr="00BF42A8" w:rsidR="00AD4D89" w:rsidP="00964C0A" w:rsidRDefault="0028006E" w14:paraId="0392DB96" w14:textId="54E7FF5F">
            <w:pPr>
              <w:spacing w:after="0" w:line="240" w:lineRule="auto"/>
              <w:ind w:left="112" w:right="69"/>
              <w:rPr>
                <w:rFonts w:ascii="Times New Roman" w:hAnsi="Times New Roman" w:cs="Times New Roman"/>
                <w:b/>
              </w:rPr>
            </w:pPr>
            <w:r w:rsidRPr="00BF42A8">
              <w:rPr>
                <w:rFonts w:ascii="Times New Roman" w:hAnsi="Times New Roman" w:cs="Times New Roman"/>
                <w:b/>
              </w:rPr>
              <w:t>Improved information</w:t>
            </w:r>
          </w:p>
          <w:p w:rsidRPr="00BF42A8" w:rsidR="00EC0151" w:rsidP="00964C0A" w:rsidRDefault="00EC0151" w14:paraId="33FEAC2F" w14:textId="4CF5B49F">
            <w:pPr>
              <w:spacing w:after="0" w:line="240" w:lineRule="auto"/>
              <w:ind w:left="112" w:right="69"/>
              <w:rPr>
                <w:rFonts w:ascii="Times New Roman" w:hAnsi="Times New Roman" w:cs="Times New Roman"/>
              </w:rPr>
            </w:pPr>
            <w:r w:rsidRPr="00BF42A8">
              <w:rPr>
                <w:rFonts w:ascii="Times New Roman" w:hAnsi="Times New Roman" w:cs="Times New Roman"/>
              </w:rPr>
              <w:t>Mitigation</w:t>
            </w:r>
            <w:r w:rsidRPr="00BF42A8" w:rsidR="00646C09">
              <w:rPr>
                <w:rFonts w:ascii="Times New Roman" w:hAnsi="Times New Roman" w:cs="Times New Roman"/>
              </w:rPr>
              <w:t xml:space="preserve"> </w:t>
            </w:r>
            <w:r w:rsidRPr="00BF42A8">
              <w:rPr>
                <w:rFonts w:ascii="Times New Roman" w:hAnsi="Times New Roman" w:cs="Times New Roman"/>
              </w:rPr>
              <w:t>of future RMP facility accidents</w:t>
            </w:r>
          </w:p>
          <w:p w:rsidRPr="00BF42A8" w:rsidR="0028006E" w:rsidP="0044790B" w:rsidRDefault="00D66204" w14:paraId="0DE7757C" w14:textId="3754CE35">
            <w:pPr>
              <w:spacing w:after="0" w:line="240" w:lineRule="auto"/>
              <w:ind w:left="112" w:right="69"/>
              <w:rPr>
                <w:rFonts w:ascii="Times New Roman" w:hAnsi="Times New Roman" w:cs="Times New Roman"/>
                <w:b/>
              </w:rPr>
            </w:pPr>
            <w:r w:rsidRPr="00BF42A8">
              <w:rPr>
                <w:rFonts w:ascii="Times New Roman" w:hAnsi="Times New Roman" w:cs="Times New Roman"/>
              </w:rPr>
              <w:t>Mitigation of future non-RMP accidents at RMP facilities</w:t>
            </w:r>
          </w:p>
        </w:tc>
      </w:tr>
      <w:tr w:rsidRPr="00BF42A8" w:rsidR="00E93325" w:rsidTr="00964C0A" w14:paraId="1B257A4D" w14:textId="77777777">
        <w:trPr>
          <w:trHeight w:val="573"/>
        </w:trPr>
        <w:tc>
          <w:tcPr>
            <w:tcW w:w="3591" w:type="dxa"/>
          </w:tcPr>
          <w:p w:rsidRPr="0044790B" w:rsidR="0044790B" w:rsidP="0044790B" w:rsidRDefault="0044790B" w14:paraId="5569B3D6" w14:textId="1AA77557">
            <w:pPr>
              <w:pStyle w:val="ListParagraph"/>
              <w:spacing w:after="0" w:line="240" w:lineRule="auto"/>
              <w:ind w:left="90"/>
              <w:rPr>
                <w:rFonts w:ascii="Times New Roman" w:hAnsi="Times New Roman" w:cs="Times New Roman"/>
              </w:rPr>
            </w:pPr>
            <w:r>
              <w:rPr>
                <w:rFonts w:ascii="Times New Roman" w:hAnsi="Times New Roman" w:cs="Times New Roman"/>
              </w:rPr>
              <w:t xml:space="preserve">6. </w:t>
            </w:r>
            <w:r w:rsidRPr="00964C0A">
              <w:rPr>
                <w:rFonts w:ascii="Times New Roman" w:hAnsi="Times New Roman" w:cs="Times New Roman"/>
              </w:rPr>
              <w:t>Information Availability</w:t>
            </w:r>
          </w:p>
        </w:tc>
        <w:tc>
          <w:tcPr>
            <w:tcW w:w="5414" w:type="dxa"/>
          </w:tcPr>
          <w:p w:rsidRPr="00BF42A8" w:rsidR="009C340C" w:rsidP="00964C0A" w:rsidRDefault="009C340C" w14:paraId="2CA4583E" w14:textId="68B9F93D">
            <w:pPr>
              <w:spacing w:after="0" w:line="240" w:lineRule="auto"/>
              <w:ind w:left="112" w:right="69"/>
              <w:rPr>
                <w:rFonts w:ascii="Times New Roman" w:hAnsi="Times New Roman" w:cs="Times New Roman"/>
                <w:b/>
              </w:rPr>
            </w:pPr>
            <w:r w:rsidRPr="00BF42A8">
              <w:rPr>
                <w:rFonts w:ascii="Times New Roman" w:hAnsi="Times New Roman" w:cs="Times New Roman"/>
                <w:b/>
              </w:rPr>
              <w:t xml:space="preserve">Improved </w:t>
            </w:r>
            <w:r w:rsidRPr="00BF42A8" w:rsidR="003A6CBF">
              <w:rPr>
                <w:rFonts w:ascii="Times New Roman" w:hAnsi="Times New Roman" w:cs="Times New Roman"/>
                <w:b/>
              </w:rPr>
              <w:t>i</w:t>
            </w:r>
            <w:r w:rsidRPr="00BF42A8">
              <w:rPr>
                <w:rFonts w:ascii="Times New Roman" w:hAnsi="Times New Roman" w:cs="Times New Roman"/>
                <w:b/>
              </w:rPr>
              <w:t>nformation</w:t>
            </w:r>
          </w:p>
          <w:p w:rsidRPr="00BF42A8" w:rsidR="00524BEA" w:rsidP="00964C0A" w:rsidRDefault="00E93325" w14:paraId="37DA2009" w14:textId="77777777">
            <w:pPr>
              <w:spacing w:after="0" w:line="240" w:lineRule="auto"/>
              <w:ind w:left="112" w:right="69"/>
              <w:rPr>
                <w:rFonts w:ascii="Times New Roman" w:hAnsi="Times New Roman" w:cs="Times New Roman"/>
              </w:rPr>
            </w:pPr>
            <w:r w:rsidRPr="00BF42A8">
              <w:rPr>
                <w:rFonts w:ascii="Times New Roman" w:hAnsi="Times New Roman" w:cs="Times New Roman"/>
              </w:rPr>
              <w:t>Mitigation of future RMP facility accidents</w:t>
            </w:r>
          </w:p>
          <w:p w:rsidR="009C340C" w:rsidP="00964C0A" w:rsidRDefault="00F67382" w14:paraId="4A4731D6" w14:textId="77777777">
            <w:pPr>
              <w:spacing w:after="0" w:line="240" w:lineRule="auto"/>
              <w:ind w:left="112" w:right="69"/>
              <w:rPr>
                <w:rFonts w:ascii="Times New Roman" w:hAnsi="Times New Roman" w:cs="Times New Roman"/>
              </w:rPr>
            </w:pPr>
            <w:r w:rsidRPr="00BF42A8">
              <w:rPr>
                <w:rFonts w:ascii="Times New Roman" w:hAnsi="Times New Roman" w:cs="Times New Roman"/>
              </w:rPr>
              <w:t xml:space="preserve">Mitigation of future </w:t>
            </w:r>
            <w:r w:rsidRPr="00BF42A8" w:rsidR="00615133">
              <w:rPr>
                <w:rFonts w:ascii="Times New Roman" w:hAnsi="Times New Roman" w:cs="Times New Roman"/>
              </w:rPr>
              <w:t>non-R</w:t>
            </w:r>
            <w:r w:rsidRPr="00BF42A8" w:rsidR="00B536DF">
              <w:rPr>
                <w:rFonts w:ascii="Times New Roman" w:hAnsi="Times New Roman" w:cs="Times New Roman"/>
              </w:rPr>
              <w:t>MP</w:t>
            </w:r>
            <w:r w:rsidRPr="00BF42A8" w:rsidR="00615133">
              <w:rPr>
                <w:rFonts w:ascii="Times New Roman" w:hAnsi="Times New Roman" w:cs="Times New Roman"/>
              </w:rPr>
              <w:t xml:space="preserve"> </w:t>
            </w:r>
            <w:r w:rsidRPr="00BF42A8">
              <w:rPr>
                <w:rFonts w:ascii="Times New Roman" w:hAnsi="Times New Roman" w:cs="Times New Roman"/>
              </w:rPr>
              <w:t>accidents at RMP facilities</w:t>
            </w:r>
          </w:p>
          <w:p w:rsidRPr="0044790B" w:rsidR="0044790B" w:rsidP="00964C0A" w:rsidRDefault="0044790B" w14:paraId="4F849711" w14:textId="311F07B4">
            <w:pPr>
              <w:spacing w:after="0" w:line="240" w:lineRule="auto"/>
              <w:ind w:left="112" w:right="69"/>
              <w:rPr>
                <w:rFonts w:ascii="Times New Roman" w:hAnsi="Times New Roman" w:cs="Times New Roman"/>
              </w:rPr>
            </w:pPr>
            <w:r w:rsidRPr="00BF42A8">
              <w:rPr>
                <w:rFonts w:ascii="Times New Roman" w:hAnsi="Times New Roman" w:cs="Times New Roman"/>
              </w:rPr>
              <w:t>Prevention of future non-RMP accidents at RMP facilities</w:t>
            </w:r>
          </w:p>
        </w:tc>
      </w:tr>
    </w:tbl>
    <w:p w:rsidRPr="00302820" w:rsidR="00E93325" w:rsidP="00BF42A8" w:rsidRDefault="00E93325" w14:paraId="020BA91B" w14:textId="0B9BC7EC">
      <w:pPr>
        <w:spacing w:after="0" w:line="240" w:lineRule="auto"/>
        <w:ind w:left="813"/>
        <w:rPr>
          <w:rFonts w:ascii="Times New Roman" w:hAnsi="Times New Roman" w:cs="Times New Roman"/>
          <w:sz w:val="20"/>
          <w:szCs w:val="20"/>
        </w:rPr>
      </w:pPr>
      <w:r w:rsidRPr="00302820">
        <w:rPr>
          <w:rFonts w:ascii="Times New Roman" w:hAnsi="Times New Roman" w:cs="Times New Roman"/>
          <w:sz w:val="20"/>
          <w:szCs w:val="20"/>
        </w:rPr>
        <w:t xml:space="preserve">*A wide variety of potential process changes might result from this provision, depending on a </w:t>
      </w:r>
      <w:r w:rsidRPr="00302820" w:rsidR="001066D1">
        <w:rPr>
          <w:rFonts w:ascii="Times New Roman" w:hAnsi="Times New Roman" w:cs="Times New Roman"/>
          <w:sz w:val="20"/>
          <w:szCs w:val="20"/>
        </w:rPr>
        <w:t>v</w:t>
      </w:r>
      <w:r w:rsidRPr="00302820">
        <w:rPr>
          <w:rFonts w:ascii="Times New Roman" w:hAnsi="Times New Roman" w:cs="Times New Roman"/>
          <w:sz w:val="20"/>
          <w:szCs w:val="20"/>
        </w:rPr>
        <w:t xml:space="preserve">ariety of factors including the industry, the findings of the audit or analysis, the specific facility, and more. The provision increases the likelihood that RMP facilities adopt process changes superior to those that would have occurred in the baseline. This incremental improvement results in the social benefits that appear in the </w:t>
      </w:r>
      <w:proofErr w:type="gramStart"/>
      <w:r w:rsidRPr="00302820">
        <w:rPr>
          <w:rFonts w:ascii="Times New Roman" w:hAnsi="Times New Roman" w:cs="Times New Roman"/>
          <w:sz w:val="20"/>
          <w:szCs w:val="20"/>
        </w:rPr>
        <w:t>right hand</w:t>
      </w:r>
      <w:proofErr w:type="gramEnd"/>
      <w:r w:rsidRPr="00302820">
        <w:rPr>
          <w:rFonts w:ascii="Times New Roman" w:hAnsi="Times New Roman" w:cs="Times New Roman"/>
          <w:sz w:val="20"/>
          <w:szCs w:val="20"/>
        </w:rPr>
        <w:t xml:space="preserve"> column.</w:t>
      </w:r>
    </w:p>
    <w:p w:rsidRPr="00BF42A8" w:rsidR="00EE6324" w:rsidP="00BF42A8" w:rsidRDefault="00EE6324" w14:paraId="72451169" w14:textId="77777777">
      <w:pPr>
        <w:spacing w:after="0" w:line="240" w:lineRule="auto"/>
        <w:ind w:left="813"/>
        <w:rPr>
          <w:rFonts w:ascii="Times New Roman" w:hAnsi="Times New Roman" w:cs="Times New Roman"/>
        </w:rPr>
      </w:pPr>
    </w:p>
    <w:p w:rsidR="00952A2B" w:rsidP="00BF42A8" w:rsidRDefault="00E235AD" w14:paraId="181C0318" w14:textId="20215E11">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As Exhibit 6-1 indicates, each rule provision produces social benefits in multiple benefit categories. The primary social benefit category for each rule provision is indicated in bold type. Exhibit 6-1 indicates, for example, that performing accident root cause analysis primarily helps prevent future similar accidents and that </w:t>
      </w:r>
      <w:r w:rsidRPr="00BF42A8" w:rsidR="00DC4D13">
        <w:rPr>
          <w:rFonts w:ascii="Times New Roman" w:hAnsi="Times New Roman" w:cs="Times New Roman"/>
        </w:rPr>
        <w:t xml:space="preserve">emergency response provisions requiring a </w:t>
      </w:r>
      <w:r w:rsidRPr="00BF42A8" w:rsidR="00EE6035">
        <w:rPr>
          <w:rFonts w:ascii="Times New Roman" w:hAnsi="Times New Roman" w:cs="Times New Roman"/>
        </w:rPr>
        <w:t>community notification</w:t>
      </w:r>
      <w:r w:rsidRPr="00BF42A8" w:rsidR="00E93325">
        <w:rPr>
          <w:rFonts w:ascii="Times New Roman" w:hAnsi="Times New Roman" w:cs="Times New Roman"/>
        </w:rPr>
        <w:t xml:space="preserve"> </w:t>
      </w:r>
      <w:r w:rsidRPr="00BF42A8" w:rsidR="00DC4D13">
        <w:rPr>
          <w:rFonts w:ascii="Times New Roman" w:hAnsi="Times New Roman" w:cs="Times New Roman"/>
        </w:rPr>
        <w:t>system</w:t>
      </w:r>
      <w:r w:rsidRPr="00BF42A8" w:rsidR="00E93325">
        <w:rPr>
          <w:rFonts w:ascii="Times New Roman" w:hAnsi="Times New Roman" w:cs="Times New Roman"/>
        </w:rPr>
        <w:t xml:space="preserve"> helps</w:t>
      </w:r>
      <w:r w:rsidRPr="00BF42A8" w:rsidR="00EE6035">
        <w:rPr>
          <w:rFonts w:ascii="Times New Roman" w:hAnsi="Times New Roman" w:cs="Times New Roman"/>
        </w:rPr>
        <w:t xml:space="preserve"> improve information available to the public and</w:t>
      </w:r>
      <w:r w:rsidRPr="00BF42A8" w:rsidR="00E93325">
        <w:rPr>
          <w:rFonts w:ascii="Times New Roman" w:hAnsi="Times New Roman" w:cs="Times New Roman"/>
        </w:rPr>
        <w:t xml:space="preserve"> mitigate future accident impacts. </w:t>
      </w:r>
      <w:r w:rsidRPr="00BF42A8" w:rsidR="00955EA4">
        <w:rPr>
          <w:rFonts w:ascii="Times New Roman" w:hAnsi="Times New Roman" w:cs="Times New Roman"/>
        </w:rPr>
        <w:t xml:space="preserve">Employee participation plans </w:t>
      </w:r>
      <w:r w:rsidRPr="00BF42A8" w:rsidR="000F7708">
        <w:rPr>
          <w:rFonts w:ascii="Times New Roman" w:hAnsi="Times New Roman" w:cs="Times New Roman"/>
        </w:rPr>
        <w:t xml:space="preserve">will improve and expand worker involvement </w:t>
      </w:r>
      <w:r w:rsidRPr="00BF42A8" w:rsidR="0037595F">
        <w:rPr>
          <w:rFonts w:ascii="Times New Roman" w:hAnsi="Times New Roman" w:cs="Times New Roman"/>
        </w:rPr>
        <w:t xml:space="preserve">in process safety and could </w:t>
      </w:r>
      <w:r w:rsidRPr="00BF42A8" w:rsidR="00BC6760">
        <w:rPr>
          <w:rFonts w:ascii="Times New Roman" w:hAnsi="Times New Roman" w:cs="Times New Roman"/>
        </w:rPr>
        <w:t xml:space="preserve">help prevent and mitigate accidents. </w:t>
      </w:r>
      <w:r w:rsidRPr="00BF42A8" w:rsidR="00254DEC">
        <w:rPr>
          <w:rFonts w:ascii="Times New Roman" w:hAnsi="Times New Roman" w:cs="Times New Roman"/>
        </w:rPr>
        <w:t xml:space="preserve">Information </w:t>
      </w:r>
      <w:r w:rsidR="0044790B">
        <w:rPr>
          <w:rFonts w:ascii="Times New Roman" w:hAnsi="Times New Roman" w:cs="Times New Roman"/>
        </w:rPr>
        <w:t>a</w:t>
      </w:r>
      <w:r w:rsidRPr="00BF42A8" w:rsidR="00254DEC">
        <w:rPr>
          <w:rFonts w:ascii="Times New Roman" w:hAnsi="Times New Roman" w:cs="Times New Roman"/>
        </w:rPr>
        <w:t>vailability</w:t>
      </w:r>
      <w:r w:rsidRPr="00BF42A8" w:rsidR="003B1205">
        <w:rPr>
          <w:rFonts w:ascii="Times New Roman" w:hAnsi="Times New Roman" w:cs="Times New Roman"/>
        </w:rPr>
        <w:t xml:space="preserve"> will ensure that residents within a 6-mile radius of </w:t>
      </w:r>
      <w:r w:rsidRPr="00BF42A8" w:rsidR="006113A9">
        <w:rPr>
          <w:rFonts w:ascii="Times New Roman" w:hAnsi="Times New Roman" w:cs="Times New Roman"/>
        </w:rPr>
        <w:t>regulated facilities are able to access the information that will help them understand risks</w:t>
      </w:r>
      <w:r w:rsidRPr="00BF42A8" w:rsidR="00C969B3">
        <w:rPr>
          <w:rFonts w:ascii="Times New Roman" w:hAnsi="Times New Roman" w:cs="Times New Roman"/>
        </w:rPr>
        <w:t xml:space="preserve"> and</w:t>
      </w:r>
      <w:r w:rsidRPr="00BF42A8" w:rsidR="00986817">
        <w:rPr>
          <w:rFonts w:ascii="Times New Roman" w:hAnsi="Times New Roman" w:cs="Times New Roman"/>
        </w:rPr>
        <w:t xml:space="preserve"> </w:t>
      </w:r>
      <w:r w:rsidRPr="00BF42A8" w:rsidR="005924F4">
        <w:rPr>
          <w:rFonts w:ascii="Times New Roman" w:hAnsi="Times New Roman" w:cs="Times New Roman"/>
        </w:rPr>
        <w:t xml:space="preserve">allow </w:t>
      </w:r>
      <w:r w:rsidRPr="00BF42A8" w:rsidR="00C969B3">
        <w:rPr>
          <w:rFonts w:ascii="Times New Roman" w:hAnsi="Times New Roman" w:cs="Times New Roman"/>
        </w:rPr>
        <w:t xml:space="preserve">a resident to make </w:t>
      </w:r>
      <w:r w:rsidRPr="00BF42A8" w:rsidR="00D24A9D">
        <w:rPr>
          <w:rFonts w:ascii="Times New Roman" w:hAnsi="Times New Roman" w:cs="Times New Roman"/>
        </w:rPr>
        <w:t>an</w:t>
      </w:r>
      <w:r w:rsidRPr="00BF42A8" w:rsidR="00F54228">
        <w:rPr>
          <w:rFonts w:ascii="Times New Roman" w:hAnsi="Times New Roman" w:cs="Times New Roman"/>
        </w:rPr>
        <w:t xml:space="preserve"> </w:t>
      </w:r>
      <w:r w:rsidRPr="00BF42A8" w:rsidR="00D24A9D">
        <w:rPr>
          <w:rFonts w:ascii="Times New Roman" w:hAnsi="Times New Roman" w:cs="Times New Roman"/>
        </w:rPr>
        <w:t xml:space="preserve">emergency </w:t>
      </w:r>
      <w:r w:rsidRPr="00BF42A8" w:rsidR="00F54228">
        <w:rPr>
          <w:rFonts w:ascii="Times New Roman" w:hAnsi="Times New Roman" w:cs="Times New Roman"/>
        </w:rPr>
        <w:t>plan</w:t>
      </w:r>
      <w:r w:rsidRPr="00BF42A8" w:rsidR="00FD6614">
        <w:rPr>
          <w:rFonts w:ascii="Times New Roman" w:hAnsi="Times New Roman" w:cs="Times New Roman"/>
        </w:rPr>
        <w:t xml:space="preserve"> in case of</w:t>
      </w:r>
      <w:r w:rsidRPr="00BF42A8" w:rsidR="005924F4">
        <w:rPr>
          <w:rFonts w:ascii="Times New Roman" w:hAnsi="Times New Roman" w:cs="Times New Roman"/>
        </w:rPr>
        <w:t xml:space="preserve"> an accident</w:t>
      </w:r>
      <w:r w:rsidRPr="00BF42A8" w:rsidR="00C969B3">
        <w:rPr>
          <w:rFonts w:ascii="Times New Roman" w:hAnsi="Times New Roman" w:cs="Times New Roman"/>
        </w:rPr>
        <w:t>.</w:t>
      </w:r>
      <w:r w:rsidRPr="00BF42A8" w:rsidR="00BC6760">
        <w:rPr>
          <w:rFonts w:ascii="Times New Roman" w:hAnsi="Times New Roman" w:cs="Times New Roman"/>
        </w:rPr>
        <w:t xml:space="preserve"> </w:t>
      </w:r>
      <w:r w:rsidRPr="00BF42A8" w:rsidR="00E93325">
        <w:rPr>
          <w:rFonts w:ascii="Times New Roman" w:hAnsi="Times New Roman" w:cs="Times New Roman"/>
        </w:rPr>
        <w:t xml:space="preserve">Note that the table also identifies other benefit categories listed below the boldface primary one. For example, better informed neighbors may have improved responses to warnings that lower their potential exposure and panic, thereby mitigating damages. </w:t>
      </w:r>
    </w:p>
    <w:p w:rsidRPr="00BF42A8" w:rsidR="00BF42A8" w:rsidP="00BF42A8" w:rsidRDefault="00BF42A8" w14:paraId="467E40BC" w14:textId="77777777">
      <w:pPr>
        <w:spacing w:after="0" w:line="240" w:lineRule="auto"/>
        <w:ind w:firstLine="360"/>
        <w:rPr>
          <w:rFonts w:ascii="Times New Roman" w:hAnsi="Times New Roman" w:cs="Times New Roman"/>
        </w:rPr>
      </w:pPr>
    </w:p>
    <w:p w:rsidRPr="00BF42A8" w:rsidR="00E93325" w:rsidP="00BF42A8" w:rsidRDefault="00952A2B" w14:paraId="11510671" w14:textId="0AA8DADF">
      <w:pPr>
        <w:spacing w:after="0" w:line="240" w:lineRule="auto"/>
        <w:ind w:right="-14"/>
        <w:rPr>
          <w:rFonts w:ascii="Times New Roman" w:hAnsi="Times New Roman" w:cs="Times New Roman"/>
        </w:rPr>
      </w:pPr>
      <w:r w:rsidRPr="00BF42A8">
        <w:rPr>
          <w:rFonts w:ascii="Times New Roman" w:hAnsi="Times New Roman" w:cs="Times New Roman"/>
          <w:b/>
        </w:rPr>
        <w:t xml:space="preserve">6.1.1 </w:t>
      </w:r>
      <w:r w:rsidRPr="00BF42A8" w:rsidR="00E93325">
        <w:rPr>
          <w:rFonts w:ascii="Times New Roman" w:hAnsi="Times New Roman" w:cs="Times New Roman"/>
          <w:b/>
        </w:rPr>
        <w:t>Prevention</w:t>
      </w:r>
    </w:p>
    <w:p w:rsidR="00330372" w:rsidP="00BF42A8" w:rsidRDefault="00E235AD" w14:paraId="3E6EBB63" w14:textId="1015863B">
      <w:pPr>
        <w:spacing w:after="0" w:line="240" w:lineRule="auto"/>
        <w:ind w:firstLine="360"/>
        <w:rPr>
          <w:rFonts w:ascii="Times New Roman" w:hAnsi="Times New Roman" w:cs="Times New Roman"/>
        </w:rPr>
      </w:pPr>
      <w:r>
        <w:rPr>
          <w:rFonts w:ascii="Times New Roman" w:hAnsi="Times New Roman" w:cs="Times New Roman"/>
        </w:rPr>
        <w:tab/>
      </w:r>
      <w:r w:rsidRPr="00BF42A8" w:rsidR="00FD6614">
        <w:rPr>
          <w:rFonts w:ascii="Times New Roman" w:hAnsi="Times New Roman" w:cs="Times New Roman"/>
        </w:rPr>
        <w:t>Proposed</w:t>
      </w:r>
      <w:r w:rsidRPr="00BF42A8" w:rsidR="00E93325">
        <w:rPr>
          <w:rFonts w:ascii="Times New Roman" w:hAnsi="Times New Roman" w:cs="Times New Roman"/>
        </w:rPr>
        <w:t xml:space="preserve"> rule provisions </w:t>
      </w:r>
      <w:r w:rsidRPr="00BF42A8" w:rsidR="00E02973">
        <w:rPr>
          <w:rFonts w:ascii="Times New Roman" w:hAnsi="Times New Roman" w:cs="Times New Roman"/>
        </w:rPr>
        <w:t xml:space="preserve">for </w:t>
      </w:r>
      <w:r w:rsidR="001B67B5">
        <w:rPr>
          <w:rFonts w:ascii="Times New Roman" w:hAnsi="Times New Roman" w:cs="Times New Roman"/>
        </w:rPr>
        <w:t>STAA</w:t>
      </w:r>
      <w:r w:rsidRPr="00BF42A8" w:rsidR="00E02973">
        <w:rPr>
          <w:rFonts w:ascii="Times New Roman" w:hAnsi="Times New Roman" w:cs="Times New Roman"/>
        </w:rPr>
        <w:t>,</w:t>
      </w:r>
      <w:r w:rsidR="001B67B5">
        <w:rPr>
          <w:rFonts w:ascii="Times New Roman" w:hAnsi="Times New Roman" w:cs="Times New Roman"/>
        </w:rPr>
        <w:t xml:space="preserve"> </w:t>
      </w:r>
      <w:r w:rsidRPr="00BF42A8" w:rsidR="001B67B5">
        <w:rPr>
          <w:rFonts w:ascii="Times New Roman" w:hAnsi="Times New Roman" w:cs="Times New Roman"/>
        </w:rPr>
        <w:t>root cause analysis</w:t>
      </w:r>
      <w:r w:rsidRPr="00BF42A8" w:rsidR="00E02973">
        <w:rPr>
          <w:rFonts w:ascii="Times New Roman" w:hAnsi="Times New Roman" w:cs="Times New Roman"/>
        </w:rPr>
        <w:t xml:space="preserve"> </w:t>
      </w:r>
      <w:r w:rsidR="001B67B5">
        <w:rPr>
          <w:rFonts w:ascii="Times New Roman" w:hAnsi="Times New Roman" w:cs="Times New Roman"/>
        </w:rPr>
        <w:t xml:space="preserve">and </w:t>
      </w:r>
      <w:r w:rsidRPr="00BF42A8" w:rsidR="001B67B5">
        <w:rPr>
          <w:rFonts w:ascii="Times New Roman" w:hAnsi="Times New Roman" w:cs="Times New Roman"/>
        </w:rPr>
        <w:t>third-party audit</w:t>
      </w:r>
      <w:r w:rsidR="001B67B5">
        <w:rPr>
          <w:rFonts w:ascii="Times New Roman" w:hAnsi="Times New Roman" w:cs="Times New Roman"/>
        </w:rPr>
        <w:t>s</w:t>
      </w:r>
      <w:r w:rsidRPr="00BF42A8" w:rsidR="00E93325">
        <w:rPr>
          <w:rFonts w:ascii="Times New Roman" w:hAnsi="Times New Roman" w:cs="Times New Roman"/>
        </w:rPr>
        <w:t xml:space="preserve"> involve changes to the </w:t>
      </w:r>
      <w:r w:rsidR="008D6FF1">
        <w:rPr>
          <w:rFonts w:ascii="Times New Roman" w:hAnsi="Times New Roman" w:cs="Times New Roman"/>
        </w:rPr>
        <w:t xml:space="preserve">current </w:t>
      </w:r>
      <w:r w:rsidRPr="00BF42A8" w:rsidR="005B5904">
        <w:rPr>
          <w:rFonts w:ascii="Times New Roman" w:hAnsi="Times New Roman" w:cs="Times New Roman"/>
        </w:rPr>
        <w:t>RMP</w:t>
      </w:r>
      <w:r w:rsidRPr="00BF42A8" w:rsidR="00E93325">
        <w:rPr>
          <w:rFonts w:ascii="Times New Roman" w:hAnsi="Times New Roman" w:cs="Times New Roman"/>
        </w:rPr>
        <w:t xml:space="preserve"> rule’s accident prevention program elements and are intended to lower the likelihood of future accidents of the same or similar type. </w:t>
      </w:r>
    </w:p>
    <w:p w:rsidR="00330372" w:rsidP="00BF42A8" w:rsidRDefault="00330372" w14:paraId="5E11ABC9" w14:textId="77777777">
      <w:pPr>
        <w:spacing w:after="0" w:line="240" w:lineRule="auto"/>
        <w:ind w:firstLine="360"/>
        <w:rPr>
          <w:rFonts w:ascii="Times New Roman" w:hAnsi="Times New Roman" w:cs="Times New Roman"/>
        </w:rPr>
      </w:pPr>
    </w:p>
    <w:p w:rsidR="00330372" w:rsidP="00330372" w:rsidRDefault="008D6FF1" w14:paraId="2A1D04DA" w14:textId="6DDD5576">
      <w:pPr>
        <w:spacing w:after="0" w:line="240" w:lineRule="auto"/>
        <w:ind w:firstLine="360"/>
        <w:rPr>
          <w:rFonts w:ascii="Times New Roman" w:hAnsi="Times New Roman" w:cs="Times New Roman"/>
        </w:rPr>
      </w:pPr>
      <w:r>
        <w:rPr>
          <w:rFonts w:ascii="Times New Roman" w:hAnsi="Times New Roman" w:cs="Times New Roman"/>
        </w:rPr>
        <w:lastRenderedPageBreak/>
        <w:tab/>
      </w:r>
      <w:r w:rsidRPr="00BF42A8" w:rsidR="00330372">
        <w:rPr>
          <w:rFonts w:ascii="Times New Roman" w:hAnsi="Times New Roman" w:cs="Times New Roman"/>
        </w:rPr>
        <w:t>The STAA analysis requirement is proposed for facilities</w:t>
      </w:r>
      <w:r w:rsidR="008E5A42">
        <w:rPr>
          <w:rFonts w:ascii="Times New Roman" w:hAnsi="Times New Roman" w:cs="Times New Roman"/>
        </w:rPr>
        <w:t xml:space="preserve"> with a </w:t>
      </w:r>
      <w:r w:rsidR="000003CD">
        <w:rPr>
          <w:rFonts w:ascii="Times New Roman" w:hAnsi="Times New Roman" w:cs="Times New Roman"/>
        </w:rPr>
        <w:t xml:space="preserve">Program 3 </w:t>
      </w:r>
      <w:r w:rsidR="008E5A42">
        <w:rPr>
          <w:rFonts w:ascii="Times New Roman" w:hAnsi="Times New Roman" w:cs="Times New Roman"/>
        </w:rPr>
        <w:t>process</w:t>
      </w:r>
      <w:r w:rsidRPr="00BF42A8" w:rsidR="00330372">
        <w:rPr>
          <w:rFonts w:ascii="Times New Roman" w:hAnsi="Times New Roman" w:cs="Times New Roman"/>
        </w:rPr>
        <w:t xml:space="preserve"> </w:t>
      </w:r>
      <w:r w:rsidR="008E5A42">
        <w:rPr>
          <w:rFonts w:ascii="Times New Roman" w:hAnsi="Times New Roman" w:cs="Times New Roman"/>
        </w:rPr>
        <w:t xml:space="preserve">in </w:t>
      </w:r>
      <w:r w:rsidRPr="00BF42A8" w:rsidR="008E5A42">
        <w:rPr>
          <w:rFonts w:ascii="Times New Roman" w:hAnsi="Times New Roman" w:cs="Times New Roman"/>
        </w:rPr>
        <w:t xml:space="preserve">NAICS 324 or 325 that are located </w:t>
      </w:r>
      <w:r w:rsidRPr="009929B8" w:rsidR="008E5A42">
        <w:rPr>
          <w:rFonts w:ascii="Times New Roman" w:hAnsi="Times New Roman" w:cs="Times New Roman"/>
        </w:rPr>
        <w:t xml:space="preserve">within one mile of another facility </w:t>
      </w:r>
      <w:r w:rsidR="008E5A42">
        <w:rPr>
          <w:rFonts w:ascii="Times New Roman" w:hAnsi="Times New Roman" w:cs="Times New Roman"/>
        </w:rPr>
        <w:t>with</w:t>
      </w:r>
      <w:r w:rsidRPr="009929B8" w:rsidR="008E5A42">
        <w:rPr>
          <w:rFonts w:ascii="Times New Roman" w:hAnsi="Times New Roman" w:cs="Times New Roman"/>
        </w:rPr>
        <w:t xml:space="preserve"> a process in NAICS code 324 or 32</w:t>
      </w:r>
      <w:r w:rsidR="008E5A42">
        <w:rPr>
          <w:rFonts w:ascii="Times New Roman" w:hAnsi="Times New Roman" w:cs="Times New Roman"/>
        </w:rPr>
        <w:t>5, or that have</w:t>
      </w:r>
      <w:r w:rsidRPr="00BF42A8" w:rsidR="00330372">
        <w:rPr>
          <w:rFonts w:ascii="Times New Roman" w:hAnsi="Times New Roman" w:cs="Times New Roman"/>
        </w:rPr>
        <w:t xml:space="preserve"> </w:t>
      </w:r>
      <w:r w:rsidR="008E5A42">
        <w:rPr>
          <w:rFonts w:ascii="Times New Roman" w:hAnsi="Times New Roman" w:cs="Times New Roman"/>
        </w:rPr>
        <w:t xml:space="preserve">an </w:t>
      </w:r>
      <w:r w:rsidRPr="00BF42A8" w:rsidR="00330372">
        <w:rPr>
          <w:rFonts w:ascii="Times New Roman" w:hAnsi="Times New Roman" w:cs="Times New Roman"/>
        </w:rPr>
        <w:t xml:space="preserve">HF alkylation </w:t>
      </w:r>
      <w:r w:rsidR="008E5A42">
        <w:rPr>
          <w:rFonts w:ascii="Times New Roman" w:hAnsi="Times New Roman" w:cs="Times New Roman"/>
        </w:rPr>
        <w:t>unit</w:t>
      </w:r>
      <w:r w:rsidRPr="00BF42A8" w:rsidR="00330372">
        <w:rPr>
          <w:rFonts w:ascii="Times New Roman" w:hAnsi="Times New Roman" w:cs="Times New Roman"/>
        </w:rPr>
        <w:t xml:space="preserve">. The STAA should result in identification of potential process changes that, if implemented, result in owners or operators using less hazardous substances, minimizing the </w:t>
      </w:r>
      <w:proofErr w:type="gramStart"/>
      <w:r w:rsidRPr="00BF42A8" w:rsidR="00330372">
        <w:rPr>
          <w:rFonts w:ascii="Times New Roman" w:hAnsi="Times New Roman" w:cs="Times New Roman"/>
        </w:rPr>
        <w:t>amount</w:t>
      </w:r>
      <w:proofErr w:type="gramEnd"/>
      <w:r w:rsidRPr="00BF42A8" w:rsidR="00330372">
        <w:rPr>
          <w:rFonts w:ascii="Times New Roman" w:hAnsi="Times New Roman" w:cs="Times New Roman"/>
        </w:rPr>
        <w:t xml:space="preserve"> of regulated substances present in a process, moderating process conditions, or reducing process complexity. Such changes help reduce the prevalence of higher risk processes and thereby prevent accidents by either eliminating the possibility of an accidental release entirely, by making a process more fault-tolerant, such that a minor process upset, or equipment malfunction is less likely to result in a serious accidental release, and by making releases that may occur, less severe. </w:t>
      </w:r>
      <w:bookmarkStart w:name="_Hlk106114432" w:id="110"/>
      <w:r w:rsidRPr="00BF42A8" w:rsidR="00330372">
        <w:rPr>
          <w:rFonts w:ascii="Times New Roman" w:hAnsi="Times New Roman" w:cs="Times New Roman"/>
        </w:rPr>
        <w:t>The STAA analysis provision does not</w:t>
      </w:r>
      <w:r w:rsidRPr="00BF42A8" w:rsidDel="00994840" w:rsidR="00330372">
        <w:rPr>
          <w:rFonts w:ascii="Times New Roman" w:hAnsi="Times New Roman" w:cs="Times New Roman"/>
        </w:rPr>
        <w:t xml:space="preserve"> </w:t>
      </w:r>
      <w:r w:rsidRPr="00BF42A8" w:rsidR="00330372">
        <w:rPr>
          <w:rFonts w:ascii="Times New Roman" w:hAnsi="Times New Roman" w:cs="Times New Roman"/>
        </w:rPr>
        <w:t>require the owner or operator to implement any changes, so it will only provide benefits if the facility voluntarily decides to implement changes. EPA has not estimated the costs of implementation in the cost</w:t>
      </w:r>
      <w:r w:rsidRPr="00BF42A8" w:rsidR="00330372">
        <w:rPr>
          <w:rFonts w:ascii="Times New Roman" w:hAnsi="Times New Roman" w:cs="Times New Roman"/>
          <w:spacing w:val="-9"/>
        </w:rPr>
        <w:t xml:space="preserve"> </w:t>
      </w:r>
      <w:r w:rsidRPr="00BF42A8" w:rsidR="00330372">
        <w:rPr>
          <w:rFonts w:ascii="Times New Roman" w:hAnsi="Times New Roman" w:cs="Times New Roman"/>
        </w:rPr>
        <w:t>analysis.</w:t>
      </w:r>
      <w:bookmarkEnd w:id="110"/>
      <w:r w:rsidRPr="00BF42A8" w:rsidR="00330372">
        <w:rPr>
          <w:rStyle w:val="FootnoteReference"/>
          <w:rFonts w:ascii="Times New Roman" w:hAnsi="Times New Roman" w:cs="Times New Roman"/>
        </w:rPr>
        <w:footnoteReference w:id="64"/>
      </w:r>
    </w:p>
    <w:p w:rsidR="008E5A42" w:rsidP="00BF42A8" w:rsidRDefault="008E5A42" w14:paraId="592D46BB" w14:textId="184F4C1A">
      <w:pPr>
        <w:spacing w:after="0" w:line="240" w:lineRule="auto"/>
        <w:ind w:firstLine="360"/>
        <w:rPr>
          <w:rFonts w:ascii="Times New Roman" w:hAnsi="Times New Roman" w:cs="Times New Roman"/>
        </w:rPr>
      </w:pPr>
    </w:p>
    <w:p w:rsidR="00C4418D" w:rsidP="00BF42A8" w:rsidRDefault="00C4418D" w14:paraId="144C2250" w14:textId="310C7A32">
      <w:pPr>
        <w:spacing w:after="0" w:line="240" w:lineRule="auto"/>
        <w:ind w:firstLine="360"/>
        <w:rPr>
          <w:rFonts w:ascii="Times New Roman" w:hAnsi="Times New Roman" w:cs="Times New Roman"/>
        </w:rPr>
      </w:pPr>
      <w:r>
        <w:rPr>
          <w:rFonts w:ascii="Times New Roman" w:hAnsi="Times New Roman" w:cs="Times New Roman"/>
        </w:rPr>
        <w:tab/>
      </w:r>
      <w:r w:rsidRPr="00BF42A8">
        <w:rPr>
          <w:rFonts w:ascii="Times New Roman" w:hAnsi="Times New Roman" w:cs="Times New Roman"/>
        </w:rPr>
        <w:t>The root cause analysis provision is expected to prevent future accidents by identifying the underlying causes and corrective actions for serious accidents. Over time, EPA expects that implementing the corrective actions and lessons learned through root cause analyses should prevent future accidents and result in a reduction of onsite and offsite impact</w:t>
      </w:r>
      <w:r>
        <w:rPr>
          <w:rFonts w:ascii="Times New Roman" w:hAnsi="Times New Roman" w:cs="Times New Roman"/>
        </w:rPr>
        <w:t>s.</w:t>
      </w:r>
    </w:p>
    <w:p w:rsidR="00330372" w:rsidP="00BF42A8" w:rsidRDefault="00C4418D" w14:paraId="5845ACC0" w14:textId="5394D543">
      <w:pPr>
        <w:spacing w:after="0" w:line="240" w:lineRule="auto"/>
        <w:ind w:firstLine="360"/>
        <w:rPr>
          <w:rFonts w:ascii="Times New Roman" w:hAnsi="Times New Roman" w:cs="Times New Roman"/>
        </w:rPr>
      </w:pPr>
      <w:r>
        <w:rPr>
          <w:rFonts w:ascii="Times New Roman" w:hAnsi="Times New Roman" w:cs="Times New Roman"/>
        </w:rPr>
        <w:tab/>
      </w:r>
    </w:p>
    <w:p w:rsidR="003775CC" w:rsidP="00BF42A8" w:rsidRDefault="00C4418D" w14:paraId="1E4A0DAE" w14:textId="3A7CDE36">
      <w:pPr>
        <w:spacing w:after="0" w:line="240" w:lineRule="auto"/>
        <w:ind w:firstLine="360"/>
        <w:rPr>
          <w:rFonts w:ascii="Times New Roman" w:hAnsi="Times New Roman" w:cs="Times New Roman"/>
        </w:rPr>
      </w:pPr>
      <w:r>
        <w:rPr>
          <w:rFonts w:ascii="Times New Roman" w:hAnsi="Times New Roman" w:cs="Times New Roman"/>
        </w:rPr>
        <w:tab/>
      </w:r>
      <w:r w:rsidRPr="00BF42A8" w:rsidR="00336C9E">
        <w:rPr>
          <w:rFonts w:ascii="Times New Roman" w:hAnsi="Times New Roman" w:cs="Times New Roman"/>
        </w:rPr>
        <w:t>The third</w:t>
      </w:r>
      <w:r w:rsidRPr="00BF42A8" w:rsidR="005B5904">
        <w:rPr>
          <w:rFonts w:ascii="Times New Roman" w:hAnsi="Times New Roman" w:cs="Times New Roman"/>
        </w:rPr>
        <w:t>-</w:t>
      </w:r>
      <w:r w:rsidRPr="00BF42A8" w:rsidR="00336C9E">
        <w:rPr>
          <w:rFonts w:ascii="Times New Roman" w:hAnsi="Times New Roman" w:cs="Times New Roman"/>
        </w:rPr>
        <w:t>party audit provision</w:t>
      </w:r>
      <w:r w:rsidRPr="00BF42A8" w:rsidR="00E93325">
        <w:rPr>
          <w:rFonts w:ascii="Times New Roman" w:hAnsi="Times New Roman" w:cs="Times New Roman"/>
        </w:rPr>
        <w:t xml:space="preserve"> requires </w:t>
      </w:r>
      <w:r w:rsidR="008D6FF1">
        <w:rPr>
          <w:rFonts w:ascii="Times New Roman" w:hAnsi="Times New Roman" w:cs="Times New Roman"/>
        </w:rPr>
        <w:t xml:space="preserve">regularly scheduled </w:t>
      </w:r>
      <w:r w:rsidRPr="00BF42A8" w:rsidR="00E93325">
        <w:rPr>
          <w:rFonts w:ascii="Times New Roman" w:hAnsi="Times New Roman" w:cs="Times New Roman"/>
        </w:rPr>
        <w:t>compliance audits to be conducted by an independent third-party</w:t>
      </w:r>
      <w:r w:rsidRPr="00BF42A8" w:rsidR="00994840">
        <w:rPr>
          <w:rFonts w:ascii="Times New Roman" w:hAnsi="Times New Roman" w:cs="Times New Roman"/>
        </w:rPr>
        <w:t xml:space="preserve"> for facilities that have had multiple accidental releases</w:t>
      </w:r>
      <w:r w:rsidR="0024515C">
        <w:rPr>
          <w:rFonts w:ascii="Times New Roman" w:hAnsi="Times New Roman" w:cs="Times New Roman"/>
        </w:rPr>
        <w:t>,</w:t>
      </w:r>
      <w:r w:rsidRPr="00BF42A8" w:rsidR="00994840">
        <w:rPr>
          <w:rFonts w:ascii="Times New Roman" w:hAnsi="Times New Roman" w:cs="Times New Roman"/>
        </w:rPr>
        <w:t xml:space="preserve"> or those in </w:t>
      </w:r>
      <w:r w:rsidR="0074647D">
        <w:rPr>
          <w:rFonts w:ascii="Times New Roman" w:hAnsi="Times New Roman" w:cs="Times New Roman"/>
        </w:rPr>
        <w:t xml:space="preserve">Program 3 </w:t>
      </w:r>
      <w:r w:rsidRPr="00BF42A8" w:rsidR="00994840">
        <w:rPr>
          <w:rFonts w:ascii="Times New Roman" w:hAnsi="Times New Roman" w:cs="Times New Roman"/>
        </w:rPr>
        <w:t xml:space="preserve">NAICS 324 or 325 that are located </w:t>
      </w:r>
      <w:r w:rsidR="008E5A42">
        <w:rPr>
          <w:rFonts w:ascii="Times New Roman" w:hAnsi="Times New Roman" w:cs="Times New Roman"/>
        </w:rPr>
        <w:t>within one mile of an</w:t>
      </w:r>
      <w:r w:rsidRPr="00BF42A8" w:rsidR="00994840">
        <w:rPr>
          <w:rFonts w:ascii="Times New Roman" w:hAnsi="Times New Roman" w:cs="Times New Roman"/>
        </w:rPr>
        <w:t>other facilit</w:t>
      </w:r>
      <w:r w:rsidR="008E5A42">
        <w:rPr>
          <w:rFonts w:ascii="Times New Roman" w:hAnsi="Times New Roman" w:cs="Times New Roman"/>
        </w:rPr>
        <w:t xml:space="preserve">y </w:t>
      </w:r>
      <w:r w:rsidRPr="00BF42A8" w:rsidR="00994840">
        <w:rPr>
          <w:rFonts w:ascii="Times New Roman" w:hAnsi="Times New Roman" w:cs="Times New Roman"/>
        </w:rPr>
        <w:t>in NAICS 324 or 325</w:t>
      </w:r>
      <w:r w:rsidR="0024515C">
        <w:rPr>
          <w:rFonts w:ascii="Times New Roman" w:hAnsi="Times New Roman" w:cs="Times New Roman"/>
        </w:rPr>
        <w:t>, or when required by an implementing agency</w:t>
      </w:r>
      <w:r w:rsidR="000B0204">
        <w:rPr>
          <w:rFonts w:ascii="Times New Roman" w:hAnsi="Times New Roman" w:cs="Times New Roman"/>
        </w:rPr>
        <w:t xml:space="preserve">. </w:t>
      </w:r>
      <w:r w:rsidRPr="00BF42A8" w:rsidR="00E93325">
        <w:rPr>
          <w:rFonts w:ascii="Times New Roman" w:hAnsi="Times New Roman" w:cs="Times New Roman"/>
        </w:rPr>
        <w:t>This</w:t>
      </w:r>
      <w:r w:rsidR="008D6FF1">
        <w:rPr>
          <w:rFonts w:ascii="Times New Roman" w:hAnsi="Times New Roman" w:cs="Times New Roman"/>
        </w:rPr>
        <w:t xml:space="preserve"> </w:t>
      </w:r>
      <w:r w:rsidRPr="00BF42A8" w:rsidR="00E93325">
        <w:rPr>
          <w:rFonts w:ascii="Times New Roman" w:hAnsi="Times New Roman" w:cs="Times New Roman"/>
        </w:rPr>
        <w:t>differ</w:t>
      </w:r>
      <w:r w:rsidR="008D6FF1">
        <w:rPr>
          <w:rFonts w:ascii="Times New Roman" w:hAnsi="Times New Roman" w:cs="Times New Roman"/>
        </w:rPr>
        <w:t xml:space="preserve">s </w:t>
      </w:r>
      <w:r w:rsidRPr="00BF42A8" w:rsidR="00E93325">
        <w:rPr>
          <w:rFonts w:ascii="Times New Roman" w:hAnsi="Times New Roman" w:cs="Times New Roman"/>
        </w:rPr>
        <w:t xml:space="preserve">from the </w:t>
      </w:r>
      <w:r w:rsidR="008E5A42">
        <w:rPr>
          <w:rFonts w:ascii="Times New Roman" w:hAnsi="Times New Roman" w:cs="Times New Roman"/>
        </w:rPr>
        <w:t>current compliance</w:t>
      </w:r>
      <w:r w:rsidRPr="00BF42A8" w:rsidR="00E93325">
        <w:rPr>
          <w:rFonts w:ascii="Times New Roman" w:hAnsi="Times New Roman" w:cs="Times New Roman"/>
        </w:rPr>
        <w:t xml:space="preserve"> audit requirement</w:t>
      </w:r>
      <w:r w:rsidRPr="00BF42A8" w:rsidR="003775CC">
        <w:rPr>
          <w:rFonts w:ascii="Times New Roman" w:hAnsi="Times New Roman" w:cs="Times New Roman"/>
        </w:rPr>
        <w:t>,</w:t>
      </w:r>
      <w:r w:rsidRPr="00BF42A8" w:rsidR="00E93325">
        <w:rPr>
          <w:rFonts w:ascii="Times New Roman" w:hAnsi="Times New Roman" w:cs="Times New Roman"/>
        </w:rPr>
        <w:t xml:space="preserve"> which did not set out clear requirements regarding auditor independence</w:t>
      </w:r>
      <w:r w:rsidRPr="00BF42A8" w:rsidR="00994840">
        <w:rPr>
          <w:rFonts w:ascii="Times New Roman" w:hAnsi="Times New Roman" w:cs="Times New Roman"/>
        </w:rPr>
        <w:t xml:space="preserve"> for these</w:t>
      </w:r>
      <w:r w:rsidRPr="00BF42A8" w:rsidR="00996FCC">
        <w:rPr>
          <w:rFonts w:ascii="Times New Roman" w:hAnsi="Times New Roman" w:cs="Times New Roman"/>
        </w:rPr>
        <w:t xml:space="preserve"> or other</w:t>
      </w:r>
      <w:r w:rsidRPr="00BF42A8" w:rsidR="00994840">
        <w:rPr>
          <w:rFonts w:ascii="Times New Roman" w:hAnsi="Times New Roman" w:cs="Times New Roman"/>
        </w:rPr>
        <w:t xml:space="preserve"> facilities</w:t>
      </w:r>
      <w:r w:rsidRPr="00BF42A8" w:rsidR="00E93325">
        <w:rPr>
          <w:rFonts w:ascii="Times New Roman" w:hAnsi="Times New Roman" w:cs="Times New Roman"/>
        </w:rPr>
        <w:t xml:space="preserve">. The </w:t>
      </w:r>
      <w:r w:rsidRPr="00BF42A8" w:rsidR="00336C9E">
        <w:rPr>
          <w:rFonts w:ascii="Times New Roman" w:hAnsi="Times New Roman" w:cs="Times New Roman"/>
        </w:rPr>
        <w:t>proposed</w:t>
      </w:r>
      <w:r w:rsidRPr="00BF42A8" w:rsidR="00E93325">
        <w:rPr>
          <w:rFonts w:ascii="Times New Roman" w:hAnsi="Times New Roman" w:cs="Times New Roman"/>
        </w:rPr>
        <w:t xml:space="preserve"> rule specifies third-party auditor qualifications including both competency and independence requirements. These safeguards regarding competency and independence should improve auditor objectivity and performance. In</w:t>
      </w:r>
      <w:r w:rsidRPr="00BF42A8" w:rsidR="00135110">
        <w:rPr>
          <w:rFonts w:ascii="Times New Roman" w:hAnsi="Times New Roman" w:cs="Times New Roman"/>
        </w:rPr>
        <w:t xml:space="preserve"> fact</w:t>
      </w:r>
      <w:r w:rsidRPr="00BF42A8" w:rsidR="00E93325">
        <w:rPr>
          <w:rFonts w:ascii="Times New Roman" w:hAnsi="Times New Roman" w:cs="Times New Roman"/>
        </w:rPr>
        <w:t>, peer-reviewed empirical literature has found that auditors are less likely to be lenient or biased w</w:t>
      </w:r>
      <w:r w:rsidR="008D6FF1">
        <w:rPr>
          <w:rFonts w:ascii="Times New Roman" w:hAnsi="Times New Roman" w:cs="Times New Roman"/>
        </w:rPr>
        <w:t>hen</w:t>
      </w:r>
      <w:r w:rsidRPr="00BF42A8" w:rsidR="00E93325">
        <w:rPr>
          <w:rFonts w:ascii="Times New Roman" w:hAnsi="Times New Roman" w:cs="Times New Roman"/>
        </w:rPr>
        <w:t xml:space="preserve"> sufficient safeguards </w:t>
      </w:r>
      <w:r w:rsidRPr="00BF42A8" w:rsidR="00135110">
        <w:rPr>
          <w:rFonts w:ascii="Times New Roman" w:hAnsi="Times New Roman" w:cs="Times New Roman"/>
        </w:rPr>
        <w:t xml:space="preserve">are in place </w:t>
      </w:r>
      <w:r w:rsidRPr="00BF42A8" w:rsidR="00E93325">
        <w:rPr>
          <w:rFonts w:ascii="Times New Roman" w:hAnsi="Times New Roman" w:cs="Times New Roman"/>
        </w:rPr>
        <w:t xml:space="preserve">to ensure auditor independence from the facility under review. Relative to the baseline, the third-party </w:t>
      </w:r>
      <w:r w:rsidRPr="00BF42A8" w:rsidR="00E276F2">
        <w:rPr>
          <w:rFonts w:ascii="Times New Roman" w:hAnsi="Times New Roman" w:cs="Times New Roman"/>
        </w:rPr>
        <w:t>audit</w:t>
      </w:r>
      <w:r w:rsidRPr="00BF42A8" w:rsidR="00E93325">
        <w:rPr>
          <w:rFonts w:ascii="Times New Roman" w:hAnsi="Times New Roman" w:cs="Times New Roman"/>
        </w:rPr>
        <w:t xml:space="preserve"> requirement i</w:t>
      </w:r>
      <w:r w:rsidR="008D6FF1">
        <w:rPr>
          <w:rFonts w:ascii="Times New Roman" w:hAnsi="Times New Roman" w:cs="Times New Roman"/>
        </w:rPr>
        <w:t>ncreases</w:t>
      </w:r>
      <w:r w:rsidRPr="00BF42A8" w:rsidR="00E93325">
        <w:rPr>
          <w:rFonts w:ascii="Times New Roman" w:hAnsi="Times New Roman" w:cs="Times New Roman"/>
        </w:rPr>
        <w:t xml:space="preserve"> the likelihood that audits </w:t>
      </w:r>
      <w:r w:rsidRPr="00BF42A8" w:rsidR="003775CC">
        <w:rPr>
          <w:rFonts w:ascii="Times New Roman" w:hAnsi="Times New Roman" w:cs="Times New Roman"/>
        </w:rPr>
        <w:t xml:space="preserve">will </w:t>
      </w:r>
      <w:r w:rsidRPr="00BF42A8" w:rsidR="00E93325">
        <w:rPr>
          <w:rFonts w:ascii="Times New Roman" w:hAnsi="Times New Roman" w:cs="Times New Roman"/>
        </w:rPr>
        <w:t xml:space="preserve">result in identification of safety problems and necessary process improvements before such deficiencies can result in accidents. </w:t>
      </w:r>
    </w:p>
    <w:p w:rsidR="00E235AD" w:rsidP="00BF42A8" w:rsidRDefault="00E235AD" w14:paraId="2DB7A96B" w14:textId="77777777">
      <w:pPr>
        <w:spacing w:after="0" w:line="240" w:lineRule="auto"/>
        <w:ind w:firstLine="360"/>
        <w:rPr>
          <w:rFonts w:ascii="Times New Roman" w:hAnsi="Times New Roman" w:cs="Times New Roman"/>
        </w:rPr>
      </w:pPr>
    </w:p>
    <w:p w:rsidR="00524BEA" w:rsidP="009128A3" w:rsidRDefault="00E235AD" w14:paraId="2C60841B" w14:textId="45AF90C5">
      <w:pPr>
        <w:spacing w:after="0" w:line="240" w:lineRule="auto"/>
        <w:ind w:firstLine="360"/>
        <w:rPr>
          <w:rFonts w:ascii="Times New Roman" w:hAnsi="Times New Roman" w:cs="Times New Roman"/>
        </w:rPr>
      </w:pPr>
      <w:r>
        <w:rPr>
          <w:rFonts w:ascii="Times New Roman" w:hAnsi="Times New Roman" w:cs="Times New Roman"/>
        </w:rPr>
        <w:tab/>
      </w:r>
      <w:r w:rsidRPr="00BF42A8" w:rsidR="00C15A41">
        <w:rPr>
          <w:rFonts w:ascii="Times New Roman" w:hAnsi="Times New Roman" w:cs="Times New Roman"/>
        </w:rPr>
        <w:t>EPA expects t</w:t>
      </w:r>
      <w:r w:rsidRPr="00BF42A8" w:rsidR="00524BEA">
        <w:rPr>
          <w:rFonts w:ascii="Times New Roman" w:hAnsi="Times New Roman" w:cs="Times New Roman"/>
        </w:rPr>
        <w:t>h</w:t>
      </w:r>
      <w:r w:rsidRPr="00BF42A8" w:rsidR="00860CFA">
        <w:rPr>
          <w:rFonts w:ascii="Times New Roman" w:hAnsi="Times New Roman" w:cs="Times New Roman"/>
        </w:rPr>
        <w:t>e</w:t>
      </w:r>
      <w:r w:rsidRPr="00BF42A8" w:rsidR="00524BEA">
        <w:rPr>
          <w:rFonts w:ascii="Times New Roman" w:hAnsi="Times New Roman" w:cs="Times New Roman"/>
        </w:rPr>
        <w:t xml:space="preserve"> employee participation plan provision </w:t>
      </w:r>
      <w:r w:rsidR="00411029">
        <w:rPr>
          <w:rFonts w:ascii="Times New Roman" w:hAnsi="Times New Roman" w:cs="Times New Roman"/>
        </w:rPr>
        <w:t xml:space="preserve">to </w:t>
      </w:r>
      <w:r w:rsidRPr="00BF42A8" w:rsidR="000A701C">
        <w:rPr>
          <w:rFonts w:ascii="Times New Roman" w:hAnsi="Times New Roman" w:cs="Times New Roman"/>
        </w:rPr>
        <w:t xml:space="preserve">prevent future accidents as well. Although employees may be involved in the development of plans and procedures (through 40 CFR 68.83 or otherwise), they may not be guaranteed “a seat at the table” when final decisions are made about process operations </w:t>
      </w:r>
      <w:r w:rsidRPr="00BF42A8" w:rsidR="00107C06">
        <w:rPr>
          <w:rFonts w:ascii="Times New Roman" w:hAnsi="Times New Roman" w:cs="Times New Roman"/>
        </w:rPr>
        <w:t xml:space="preserve">that </w:t>
      </w:r>
      <w:r w:rsidRPr="00BF42A8" w:rsidR="000A701C">
        <w:rPr>
          <w:rFonts w:ascii="Times New Roman" w:hAnsi="Times New Roman" w:cs="Times New Roman"/>
        </w:rPr>
        <w:t xml:space="preserve">they are directly involved in that </w:t>
      </w:r>
      <w:r w:rsidRPr="00BF42A8" w:rsidR="00C15A41">
        <w:rPr>
          <w:rFonts w:ascii="Times New Roman" w:hAnsi="Times New Roman" w:cs="Times New Roman"/>
        </w:rPr>
        <w:t>pose hazards t</w:t>
      </w:r>
      <w:r w:rsidRPr="00BF42A8" w:rsidR="00FC2D52">
        <w:rPr>
          <w:rFonts w:ascii="Times New Roman" w:hAnsi="Times New Roman" w:cs="Times New Roman"/>
        </w:rPr>
        <w:t>hat</w:t>
      </w:r>
      <w:r w:rsidRPr="00BF42A8" w:rsidR="00C15A41">
        <w:rPr>
          <w:rFonts w:ascii="Times New Roman" w:hAnsi="Times New Roman" w:cs="Times New Roman"/>
        </w:rPr>
        <w:t xml:space="preserve"> </w:t>
      </w:r>
      <w:r w:rsidRPr="00BF42A8" w:rsidR="000A701C">
        <w:rPr>
          <w:rFonts w:ascii="Times New Roman" w:hAnsi="Times New Roman" w:cs="Times New Roman"/>
        </w:rPr>
        <w:t>could threaten their health and safety. Employees may have practicable recommendations for hazard evaluations, incident investigations, and compliance audits that may reduce hazards at RMP facilities. Involving directly affected employees in these discussions and decisions will help ensure that the most effective recommendations for reducing hazards and mitigating risks to employees and the public are given the proper consideration.</w:t>
      </w:r>
    </w:p>
    <w:p w:rsidR="00E235AD" w:rsidP="009128A3" w:rsidRDefault="00E235AD" w14:paraId="35AF3752" w14:textId="77777777">
      <w:pPr>
        <w:spacing w:after="0" w:line="240" w:lineRule="auto"/>
        <w:ind w:firstLine="360"/>
        <w:rPr>
          <w:rFonts w:ascii="Times New Roman" w:hAnsi="Times New Roman" w:cs="Times New Roman"/>
        </w:rPr>
      </w:pPr>
    </w:p>
    <w:p w:rsidRPr="00BF42A8" w:rsidR="009128A3" w:rsidP="00D21960" w:rsidRDefault="00E235AD" w14:paraId="053B013C" w14:textId="4239DD4C">
      <w:pPr>
        <w:spacing w:after="0" w:line="240" w:lineRule="auto"/>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In addition to preventing future accidents, </w:t>
      </w:r>
      <w:r w:rsidRPr="00BF42A8" w:rsidR="00336C9E">
        <w:rPr>
          <w:rFonts w:ascii="Times New Roman" w:hAnsi="Times New Roman" w:cs="Times New Roman"/>
        </w:rPr>
        <w:t xml:space="preserve">these </w:t>
      </w:r>
      <w:r w:rsidRPr="00BF42A8" w:rsidR="00E93325">
        <w:rPr>
          <w:rFonts w:ascii="Times New Roman" w:hAnsi="Times New Roman" w:cs="Times New Roman"/>
        </w:rPr>
        <w:t>provisions have additional social benefits, including mitigation of future RMP facility accidents, prevention of future non-RMP accidents at RMP</w:t>
      </w:r>
      <w:r w:rsidRPr="00BF42A8" w:rsidR="00336C9E">
        <w:rPr>
          <w:rFonts w:ascii="Times New Roman" w:hAnsi="Times New Roman" w:cs="Times New Roman"/>
        </w:rPr>
        <w:t xml:space="preserve"> </w:t>
      </w:r>
      <w:r w:rsidRPr="00BF42A8" w:rsidR="00E93325">
        <w:rPr>
          <w:rFonts w:ascii="Times New Roman" w:hAnsi="Times New Roman" w:cs="Times New Roman"/>
        </w:rPr>
        <w:t>facilities, and mitigation of future non-RMP accidents at RMP facilities. These provisions can identify process improvements that result in less severe releases (e.g., an audit or investigation that identifies improvements to a release detection or mitigation system).</w:t>
      </w:r>
      <w:bookmarkStart w:name="_bookmark50" w:id="111"/>
      <w:bookmarkEnd w:id="111"/>
    </w:p>
    <w:p w:rsidRPr="00BF42A8" w:rsidR="00E93325" w:rsidP="00BF42A8" w:rsidRDefault="00A00231" w14:paraId="31B410C1" w14:textId="3F0852C4">
      <w:pPr>
        <w:spacing w:after="0" w:line="240" w:lineRule="auto"/>
        <w:ind w:right="-10"/>
        <w:rPr>
          <w:rFonts w:ascii="Times New Roman" w:hAnsi="Times New Roman" w:cs="Times New Roman"/>
          <w:b/>
        </w:rPr>
      </w:pPr>
      <w:r w:rsidRPr="00BF42A8">
        <w:rPr>
          <w:rFonts w:ascii="Times New Roman" w:hAnsi="Times New Roman" w:cs="Times New Roman"/>
          <w:b/>
        </w:rPr>
        <w:lastRenderedPageBreak/>
        <w:t xml:space="preserve">6.1.2 </w:t>
      </w:r>
      <w:r w:rsidRPr="00BF42A8" w:rsidR="00E93325">
        <w:rPr>
          <w:rFonts w:ascii="Times New Roman" w:hAnsi="Times New Roman" w:cs="Times New Roman"/>
          <w:b/>
        </w:rPr>
        <w:t>Mitigation</w:t>
      </w:r>
    </w:p>
    <w:p w:rsidR="00E93325" w:rsidP="009128A3" w:rsidRDefault="00E235AD" w14:paraId="7CCFFCD8" w14:textId="6F1F09B3">
      <w:pPr>
        <w:spacing w:after="0" w:line="240" w:lineRule="auto"/>
        <w:ind w:firstLine="360"/>
        <w:rPr>
          <w:rFonts w:ascii="Times New Roman" w:hAnsi="Times New Roman" w:cs="Times New Roman"/>
        </w:rPr>
      </w:pPr>
      <w:r>
        <w:rPr>
          <w:rFonts w:ascii="Times New Roman" w:hAnsi="Times New Roman" w:cs="Times New Roman"/>
        </w:rPr>
        <w:tab/>
      </w:r>
      <w:r w:rsidRPr="00BF42A8" w:rsidR="00336C9E">
        <w:rPr>
          <w:rFonts w:ascii="Times New Roman" w:hAnsi="Times New Roman" w:cs="Times New Roman"/>
        </w:rPr>
        <w:t>Proposed</w:t>
      </w:r>
      <w:r w:rsidRPr="00BF42A8" w:rsidR="00E93325">
        <w:rPr>
          <w:rFonts w:ascii="Times New Roman" w:hAnsi="Times New Roman" w:cs="Times New Roman"/>
        </w:rPr>
        <w:t xml:space="preserve"> rule</w:t>
      </w:r>
      <w:r w:rsidRPr="00BF42A8" w:rsidR="00354E17">
        <w:rPr>
          <w:rFonts w:ascii="Times New Roman" w:hAnsi="Times New Roman" w:cs="Times New Roman"/>
        </w:rPr>
        <w:t xml:space="preserve"> provisions for </w:t>
      </w:r>
      <w:r w:rsidRPr="00BF42A8" w:rsidR="00DC4D13">
        <w:rPr>
          <w:rFonts w:ascii="Times New Roman" w:hAnsi="Times New Roman" w:cs="Times New Roman"/>
        </w:rPr>
        <w:t xml:space="preserve">emergency response </w:t>
      </w:r>
      <w:r w:rsidRPr="00BF42A8" w:rsidR="00354E17">
        <w:rPr>
          <w:rFonts w:ascii="Times New Roman" w:hAnsi="Times New Roman" w:cs="Times New Roman"/>
        </w:rPr>
        <w:t xml:space="preserve">and </w:t>
      </w:r>
      <w:r w:rsidRPr="00BF42A8" w:rsidR="0050786A">
        <w:rPr>
          <w:rFonts w:ascii="Times New Roman" w:hAnsi="Times New Roman" w:cs="Times New Roman"/>
        </w:rPr>
        <w:t xml:space="preserve">hazard evaluation </w:t>
      </w:r>
      <w:r w:rsidRPr="00BF42A8" w:rsidR="007518B5">
        <w:rPr>
          <w:rFonts w:ascii="Times New Roman" w:hAnsi="Times New Roman" w:cs="Times New Roman"/>
        </w:rPr>
        <w:t>amplifications</w:t>
      </w:r>
      <w:r w:rsidRPr="00BF42A8" w:rsidDel="00996FCC" w:rsidR="00860CFA">
        <w:rPr>
          <w:rFonts w:ascii="Times New Roman" w:hAnsi="Times New Roman" w:cs="Times New Roman"/>
        </w:rPr>
        <w:t xml:space="preserve"> </w:t>
      </w:r>
      <w:r w:rsidRPr="00BF42A8" w:rsidR="00E93325">
        <w:rPr>
          <w:rFonts w:ascii="Times New Roman" w:hAnsi="Times New Roman" w:cs="Times New Roman"/>
        </w:rPr>
        <w:t xml:space="preserve">are primarily focused on </w:t>
      </w:r>
      <w:r w:rsidRPr="00BF42A8" w:rsidR="00354E17">
        <w:rPr>
          <w:rFonts w:ascii="Times New Roman" w:hAnsi="Times New Roman" w:cs="Times New Roman"/>
        </w:rPr>
        <w:t>mitigating consequences of accidents</w:t>
      </w:r>
      <w:r w:rsidRPr="00BF42A8" w:rsidR="00E93325">
        <w:rPr>
          <w:rFonts w:ascii="Times New Roman" w:hAnsi="Times New Roman" w:cs="Times New Roman"/>
        </w:rPr>
        <w:t xml:space="preserve">. </w:t>
      </w:r>
      <w:r w:rsidRPr="00BF42A8" w:rsidR="0050786A">
        <w:rPr>
          <w:rFonts w:ascii="Times New Roman" w:hAnsi="Times New Roman" w:cs="Times New Roman"/>
        </w:rPr>
        <w:t>One component of the emergency response provision</w:t>
      </w:r>
      <w:r w:rsidRPr="00BF42A8" w:rsidR="00354E17">
        <w:rPr>
          <w:rFonts w:ascii="Times New Roman" w:hAnsi="Times New Roman" w:cs="Times New Roman"/>
        </w:rPr>
        <w:t xml:space="preserve"> </w:t>
      </w:r>
      <w:r w:rsidRPr="00BF42A8" w:rsidR="00B021B2">
        <w:rPr>
          <w:rFonts w:ascii="Times New Roman" w:hAnsi="Times New Roman" w:cs="Times New Roman"/>
        </w:rPr>
        <w:t xml:space="preserve">ensures that </w:t>
      </w:r>
      <w:r w:rsidRPr="00BF42A8" w:rsidR="00C4348A">
        <w:rPr>
          <w:rFonts w:ascii="Times New Roman" w:hAnsi="Times New Roman" w:cs="Times New Roman"/>
        </w:rPr>
        <w:t>a community notification system is in place to warn the public</w:t>
      </w:r>
      <w:r w:rsidRPr="00BF42A8" w:rsidR="00B91A0B">
        <w:rPr>
          <w:rFonts w:ascii="Times New Roman" w:hAnsi="Times New Roman" w:cs="Times New Roman"/>
        </w:rPr>
        <w:t xml:space="preserve"> within the area threatened by release. </w:t>
      </w:r>
      <w:r w:rsidRPr="00BF42A8" w:rsidR="00F4112B">
        <w:rPr>
          <w:rFonts w:ascii="Times New Roman" w:hAnsi="Times New Roman" w:cs="Times New Roman"/>
        </w:rPr>
        <w:t>The emergency response provision expands recordkeeping and implementation</w:t>
      </w:r>
      <w:r w:rsidRPr="00BF42A8" w:rsidR="00EE0346">
        <w:rPr>
          <w:rFonts w:ascii="Times New Roman" w:hAnsi="Times New Roman" w:cs="Times New Roman"/>
        </w:rPr>
        <w:t xml:space="preserve"> related to a community notification system</w:t>
      </w:r>
      <w:r w:rsidRPr="00BF42A8" w:rsidR="00F4112B">
        <w:rPr>
          <w:rFonts w:ascii="Times New Roman" w:hAnsi="Times New Roman" w:cs="Times New Roman"/>
        </w:rPr>
        <w:t xml:space="preserve"> to non-responding facilities</w:t>
      </w:r>
      <w:r w:rsidRPr="00BF42A8" w:rsidR="00BB7E80">
        <w:rPr>
          <w:rFonts w:ascii="Times New Roman" w:hAnsi="Times New Roman" w:cs="Times New Roman"/>
        </w:rPr>
        <w:t>. EPA expects</w:t>
      </w:r>
      <w:r w:rsidRPr="00BF42A8" w:rsidR="00F4112B">
        <w:rPr>
          <w:rFonts w:ascii="Times New Roman" w:hAnsi="Times New Roman" w:cs="Times New Roman"/>
        </w:rPr>
        <w:t xml:space="preserve"> that </w:t>
      </w:r>
      <w:r w:rsidRPr="00BF42A8" w:rsidR="00BB7E80">
        <w:rPr>
          <w:rFonts w:ascii="Times New Roman" w:hAnsi="Times New Roman" w:cs="Times New Roman"/>
        </w:rPr>
        <w:t>this expansion</w:t>
      </w:r>
      <w:r w:rsidRPr="00BF42A8" w:rsidR="00F4112B">
        <w:rPr>
          <w:rFonts w:ascii="Times New Roman" w:hAnsi="Times New Roman" w:cs="Times New Roman"/>
        </w:rPr>
        <w:t xml:space="preserve"> will ensure </w:t>
      </w:r>
      <w:r w:rsidRPr="00BF42A8" w:rsidR="00BB7E80">
        <w:rPr>
          <w:rFonts w:ascii="Times New Roman" w:hAnsi="Times New Roman" w:cs="Times New Roman"/>
        </w:rPr>
        <w:t>that</w:t>
      </w:r>
      <w:r w:rsidRPr="00BF42A8" w:rsidR="00F4112B">
        <w:rPr>
          <w:rFonts w:ascii="Times New Roman" w:hAnsi="Times New Roman" w:cs="Times New Roman"/>
        </w:rPr>
        <w:t xml:space="preserve"> all facilities subject to emergency response requirements have documented knowledge of the public notification process that would occur when there is an accidental release at the facility</w:t>
      </w:r>
      <w:r w:rsidRPr="00BF42A8" w:rsidR="00BB7E80">
        <w:rPr>
          <w:rFonts w:ascii="Times New Roman" w:hAnsi="Times New Roman" w:cs="Times New Roman"/>
        </w:rPr>
        <w:t>. The provision also</w:t>
      </w:r>
      <w:r w:rsidRPr="00BF42A8" w:rsidR="00F4112B">
        <w:rPr>
          <w:rFonts w:ascii="Times New Roman" w:hAnsi="Times New Roman" w:cs="Times New Roman"/>
        </w:rPr>
        <w:t xml:space="preserve"> will help clarify the facility’s role in the implementation of the notification process by requiring the owner or operator to provide the information needed to initiate a public release notification. </w:t>
      </w:r>
      <w:r w:rsidRPr="00BF42A8" w:rsidR="00BB7E80">
        <w:rPr>
          <w:rFonts w:ascii="Times New Roman" w:hAnsi="Times New Roman" w:cs="Times New Roman"/>
        </w:rPr>
        <w:t>I</w:t>
      </w:r>
      <w:r w:rsidRPr="00BF42A8" w:rsidR="00F4112B">
        <w:rPr>
          <w:rFonts w:ascii="Times New Roman" w:hAnsi="Times New Roman" w:cs="Times New Roman"/>
        </w:rPr>
        <w:t>n</w:t>
      </w:r>
      <w:r w:rsidRPr="00BF42A8" w:rsidR="00860CFA">
        <w:rPr>
          <w:rFonts w:ascii="Times New Roman" w:hAnsi="Times New Roman" w:cs="Times New Roman"/>
        </w:rPr>
        <w:t xml:space="preserve"> </w:t>
      </w:r>
      <w:r w:rsidRPr="00BF42A8" w:rsidR="00F4112B">
        <w:rPr>
          <w:rFonts w:ascii="Times New Roman" w:hAnsi="Times New Roman" w:cs="Times New Roman"/>
        </w:rPr>
        <w:t>combination with required annual emergency coordination meetings and notification exercises,</w:t>
      </w:r>
      <w:r w:rsidRPr="00BF42A8" w:rsidR="00707251">
        <w:rPr>
          <w:rFonts w:ascii="Times New Roman" w:hAnsi="Times New Roman" w:cs="Times New Roman"/>
        </w:rPr>
        <w:t xml:space="preserve"> </w:t>
      </w:r>
      <w:r w:rsidRPr="00BF42A8" w:rsidR="00BB7E80">
        <w:rPr>
          <w:rFonts w:ascii="Times New Roman" w:hAnsi="Times New Roman" w:cs="Times New Roman"/>
        </w:rPr>
        <w:t xml:space="preserve">this </w:t>
      </w:r>
      <w:r w:rsidRPr="00BF42A8" w:rsidR="00707251">
        <w:rPr>
          <w:rFonts w:ascii="Times New Roman" w:hAnsi="Times New Roman" w:cs="Times New Roman"/>
        </w:rPr>
        <w:t xml:space="preserve">will enhance coordinated notification to the public, improve documented accountability for the notification process, and help ensure timely decisions about notification of releases, particularly those with </w:t>
      </w:r>
      <w:r w:rsidRPr="00BF42A8" w:rsidR="00986800">
        <w:rPr>
          <w:rFonts w:ascii="Times New Roman" w:hAnsi="Times New Roman" w:cs="Times New Roman"/>
        </w:rPr>
        <w:t>offsite</w:t>
      </w:r>
      <w:r w:rsidRPr="00BF42A8" w:rsidR="00707251">
        <w:rPr>
          <w:rFonts w:ascii="Times New Roman" w:hAnsi="Times New Roman" w:cs="Times New Roman"/>
        </w:rPr>
        <w:t xml:space="preserve"> impacts</w:t>
      </w:r>
      <w:r w:rsidRPr="00BF42A8" w:rsidDel="003971E4" w:rsidR="00F4112B">
        <w:rPr>
          <w:rFonts w:ascii="Times New Roman" w:hAnsi="Times New Roman" w:cs="Times New Roman"/>
        </w:rPr>
        <w:t>.</w:t>
      </w:r>
      <w:r w:rsidRPr="00BF42A8" w:rsidR="00F4112B">
        <w:rPr>
          <w:rFonts w:ascii="Times New Roman" w:hAnsi="Times New Roman" w:cs="Times New Roman"/>
        </w:rPr>
        <w:t xml:space="preserve"> These </w:t>
      </w:r>
      <w:r w:rsidRPr="00BF42A8" w:rsidR="00EE0346">
        <w:rPr>
          <w:rFonts w:ascii="Times New Roman" w:hAnsi="Times New Roman" w:cs="Times New Roman"/>
        </w:rPr>
        <w:t xml:space="preserve">changes </w:t>
      </w:r>
      <w:r w:rsidRPr="00BF42A8" w:rsidR="00F4112B">
        <w:rPr>
          <w:rFonts w:ascii="Times New Roman" w:hAnsi="Times New Roman" w:cs="Times New Roman"/>
        </w:rPr>
        <w:t>will result in f</w:t>
      </w:r>
      <w:r w:rsidRPr="00BF42A8" w:rsidR="00E93325">
        <w:rPr>
          <w:rFonts w:ascii="Times New Roman" w:hAnsi="Times New Roman" w:cs="Times New Roman"/>
        </w:rPr>
        <w:t xml:space="preserve">aster and better coordinated responses, including effective and efficient notification of the public, </w:t>
      </w:r>
      <w:r w:rsidRPr="00BF42A8" w:rsidR="00F4112B">
        <w:rPr>
          <w:rFonts w:ascii="Times New Roman" w:hAnsi="Times New Roman" w:cs="Times New Roman"/>
        </w:rPr>
        <w:t>that would</w:t>
      </w:r>
      <w:r w:rsidRPr="00BF42A8" w:rsidR="00E93325">
        <w:rPr>
          <w:rFonts w:ascii="Times New Roman" w:hAnsi="Times New Roman" w:cs="Times New Roman"/>
        </w:rPr>
        <w:t xml:space="preserve"> reduce human health impacts and property damage, and limit the number of </w:t>
      </w:r>
      <w:r w:rsidRPr="00BF42A8" w:rsidR="00986800">
        <w:rPr>
          <w:rFonts w:ascii="Times New Roman" w:hAnsi="Times New Roman" w:cs="Times New Roman"/>
        </w:rPr>
        <w:t>onsite</w:t>
      </w:r>
      <w:r w:rsidRPr="00BF42A8" w:rsidR="00E93325">
        <w:rPr>
          <w:rFonts w:ascii="Times New Roman" w:hAnsi="Times New Roman" w:cs="Times New Roman"/>
        </w:rPr>
        <w:t xml:space="preserve"> and </w:t>
      </w:r>
      <w:r w:rsidRPr="00BF42A8" w:rsidR="00986800">
        <w:rPr>
          <w:rFonts w:ascii="Times New Roman" w:hAnsi="Times New Roman" w:cs="Times New Roman"/>
        </w:rPr>
        <w:t>offsite</w:t>
      </w:r>
      <w:r w:rsidRPr="00BF42A8" w:rsidR="00E93325">
        <w:rPr>
          <w:rFonts w:ascii="Times New Roman" w:hAnsi="Times New Roman" w:cs="Times New Roman"/>
        </w:rPr>
        <w:t xml:space="preserve"> impacts</w:t>
      </w:r>
      <w:r w:rsidRPr="00BF42A8" w:rsidR="001F1801">
        <w:rPr>
          <w:rFonts w:ascii="Times New Roman" w:hAnsi="Times New Roman" w:cs="Times New Roman"/>
        </w:rPr>
        <w:t xml:space="preserve">, should </w:t>
      </w:r>
      <w:r w:rsidRPr="00BF42A8" w:rsidR="00EE0346">
        <w:rPr>
          <w:rFonts w:ascii="Times New Roman" w:hAnsi="Times New Roman" w:cs="Times New Roman"/>
        </w:rPr>
        <w:t xml:space="preserve">any </w:t>
      </w:r>
      <w:r w:rsidRPr="00BF42A8" w:rsidR="001F1801">
        <w:rPr>
          <w:rFonts w:ascii="Times New Roman" w:hAnsi="Times New Roman" w:cs="Times New Roman"/>
        </w:rPr>
        <w:t>result</w:t>
      </w:r>
      <w:r w:rsidRPr="00BF42A8" w:rsidR="00E93325">
        <w:rPr>
          <w:rFonts w:ascii="Times New Roman" w:hAnsi="Times New Roman" w:cs="Times New Roman"/>
        </w:rPr>
        <w:t xml:space="preserve">. </w:t>
      </w:r>
      <w:r w:rsidRPr="00BF42A8" w:rsidR="001F1801">
        <w:rPr>
          <w:rFonts w:ascii="Times New Roman" w:hAnsi="Times New Roman" w:cs="Times New Roman"/>
        </w:rPr>
        <w:t>Finally,</w:t>
      </w:r>
      <w:r w:rsidRPr="00BF42A8" w:rsidR="00E93325">
        <w:rPr>
          <w:rFonts w:ascii="Times New Roman" w:hAnsi="Times New Roman" w:cs="Times New Roman"/>
        </w:rPr>
        <w:t xml:space="preserve"> fires and releases under control more quickly and ensuring that workers and responders know the most effective actions to take for a particular facility under </w:t>
      </w:r>
      <w:proofErr w:type="gramStart"/>
      <w:r w:rsidRPr="00BF42A8" w:rsidR="00E93325">
        <w:rPr>
          <w:rFonts w:ascii="Times New Roman" w:hAnsi="Times New Roman" w:cs="Times New Roman"/>
        </w:rPr>
        <w:t>particular conditions</w:t>
      </w:r>
      <w:proofErr w:type="gramEnd"/>
      <w:r w:rsidRPr="00BF42A8" w:rsidR="00E93325">
        <w:rPr>
          <w:rFonts w:ascii="Times New Roman" w:hAnsi="Times New Roman" w:cs="Times New Roman"/>
        </w:rPr>
        <w:t xml:space="preserve"> could reduce the duration of incidents</w:t>
      </w:r>
      <w:r w:rsidRPr="00BF42A8" w:rsidR="00EE0346">
        <w:rPr>
          <w:rFonts w:ascii="Times New Roman" w:hAnsi="Times New Roman" w:cs="Times New Roman"/>
        </w:rPr>
        <w:t xml:space="preserve"> as well as </w:t>
      </w:r>
      <w:r w:rsidRPr="00BF42A8" w:rsidR="00E93325">
        <w:rPr>
          <w:rFonts w:ascii="Times New Roman" w:hAnsi="Times New Roman" w:cs="Times New Roman"/>
        </w:rPr>
        <w:t>the likelihood of injuries to emergency responders</w:t>
      </w:r>
      <w:r w:rsidRPr="00BF42A8" w:rsidR="00EE0346">
        <w:rPr>
          <w:rFonts w:ascii="Times New Roman" w:hAnsi="Times New Roman" w:cs="Times New Roman"/>
        </w:rPr>
        <w:t>. E</w:t>
      </w:r>
      <w:r w:rsidRPr="00BF42A8" w:rsidR="00E93325">
        <w:rPr>
          <w:rFonts w:ascii="Times New Roman" w:hAnsi="Times New Roman" w:cs="Times New Roman"/>
        </w:rPr>
        <w:t>xposures</w:t>
      </w:r>
      <w:r w:rsidRPr="00BF42A8" w:rsidR="00EE0346">
        <w:rPr>
          <w:rFonts w:ascii="Times New Roman" w:hAnsi="Times New Roman" w:cs="Times New Roman"/>
        </w:rPr>
        <w:t xml:space="preserve"> may also be limited</w:t>
      </w:r>
      <w:r w:rsidRPr="00BF42A8" w:rsidR="00E93325">
        <w:rPr>
          <w:rFonts w:ascii="Times New Roman" w:hAnsi="Times New Roman" w:cs="Times New Roman"/>
        </w:rPr>
        <w:t xml:space="preserve">—particularly for long-duration events. </w:t>
      </w:r>
    </w:p>
    <w:p w:rsidR="00E235AD" w:rsidP="009128A3" w:rsidRDefault="00E235AD" w14:paraId="371C3563" w14:textId="77777777">
      <w:pPr>
        <w:spacing w:after="0" w:line="240" w:lineRule="auto"/>
        <w:ind w:firstLine="360"/>
        <w:rPr>
          <w:rFonts w:ascii="Times New Roman" w:hAnsi="Times New Roman" w:cs="Times New Roman"/>
        </w:rPr>
      </w:pPr>
    </w:p>
    <w:p w:rsidR="00A00231" w:rsidP="009128A3" w:rsidRDefault="00C0434F" w14:paraId="3B0593E8" w14:textId="19B2C6F9">
      <w:pPr>
        <w:spacing w:after="0" w:line="240" w:lineRule="auto"/>
        <w:ind w:firstLine="360"/>
        <w:rPr>
          <w:rFonts w:ascii="Times New Roman" w:hAnsi="Times New Roman" w:cs="Times New Roman"/>
        </w:rPr>
      </w:pPr>
      <w:r>
        <w:rPr>
          <w:rFonts w:ascii="Times New Roman" w:hAnsi="Times New Roman" w:cs="Times New Roman"/>
        </w:rPr>
        <w:tab/>
      </w:r>
      <w:r w:rsidRPr="00BF42A8" w:rsidR="008B5335">
        <w:rPr>
          <w:rFonts w:ascii="Times New Roman" w:hAnsi="Times New Roman" w:cs="Times New Roman"/>
        </w:rPr>
        <w:t xml:space="preserve">Hazard evaluation </w:t>
      </w:r>
      <w:r w:rsidRPr="00BF42A8" w:rsidR="00EE0346">
        <w:rPr>
          <w:rFonts w:ascii="Times New Roman" w:hAnsi="Times New Roman" w:cs="Times New Roman"/>
        </w:rPr>
        <w:t>amplifications</w:t>
      </w:r>
      <w:r w:rsidRPr="00BF42A8" w:rsidR="008B5335">
        <w:rPr>
          <w:rFonts w:ascii="Times New Roman" w:hAnsi="Times New Roman" w:cs="Times New Roman"/>
        </w:rPr>
        <w:t xml:space="preserve"> can mitigate the consequences of accidents by </w:t>
      </w:r>
      <w:r w:rsidRPr="00BF42A8" w:rsidR="00FE6B96">
        <w:rPr>
          <w:rFonts w:ascii="Times New Roman" w:hAnsi="Times New Roman" w:cs="Times New Roman"/>
        </w:rPr>
        <w:t>requiring facilities with Program 2 and Program 3 processes to explicitly address external events such as natural hazards, including those caused by climate change or other triggering events that could lead to an accidental release</w:t>
      </w:r>
      <w:r w:rsidRPr="00BF42A8" w:rsidR="00EE0346">
        <w:rPr>
          <w:rFonts w:ascii="Times New Roman" w:hAnsi="Times New Roman" w:cs="Times New Roman"/>
        </w:rPr>
        <w:t>. Accident consequences should also be mitigated through an explicit requirement that facilities</w:t>
      </w:r>
      <w:r w:rsidRPr="00BF42A8" w:rsidR="00FE6B96">
        <w:rPr>
          <w:rFonts w:ascii="Times New Roman" w:hAnsi="Times New Roman" w:cs="Times New Roman"/>
        </w:rPr>
        <w:t xml:space="preserve"> address standby or emergency power systems</w:t>
      </w:r>
      <w:r w:rsidRPr="00BF42A8" w:rsidR="00EE0346">
        <w:rPr>
          <w:rFonts w:ascii="Times New Roman" w:hAnsi="Times New Roman" w:cs="Times New Roman"/>
        </w:rPr>
        <w:t>. Finally, mitigation should result from EPA</w:t>
      </w:r>
      <w:r w:rsidRPr="00BF42A8" w:rsidR="00FE6B96">
        <w:rPr>
          <w:rFonts w:ascii="Times New Roman" w:hAnsi="Times New Roman" w:cs="Times New Roman"/>
        </w:rPr>
        <w:t xml:space="preserve"> explicitly defin</w:t>
      </w:r>
      <w:r w:rsidRPr="00BF42A8" w:rsidR="00EE0346">
        <w:rPr>
          <w:rFonts w:ascii="Times New Roman" w:hAnsi="Times New Roman" w:cs="Times New Roman"/>
        </w:rPr>
        <w:t>ing</w:t>
      </w:r>
      <w:r w:rsidRPr="00BF42A8" w:rsidR="00FE6B96">
        <w:rPr>
          <w:rFonts w:ascii="Times New Roman" w:hAnsi="Times New Roman" w:cs="Times New Roman"/>
        </w:rPr>
        <w:t xml:space="preserve"> stationary source siting as inclusive of the placement of processes, equipment, buildings within the facility, and hazards posed by proximate facilities, and accidental release consequences posed by proximity to the public and public receptors</w:t>
      </w:r>
      <w:r w:rsidRPr="00BF42A8" w:rsidR="006D0949">
        <w:rPr>
          <w:rFonts w:ascii="Times New Roman" w:hAnsi="Times New Roman" w:cs="Times New Roman"/>
        </w:rPr>
        <w:t>.</w:t>
      </w:r>
      <w:r w:rsidRPr="00BF42A8" w:rsidR="001338AE">
        <w:rPr>
          <w:rFonts w:ascii="Times New Roman" w:hAnsi="Times New Roman" w:cs="Times New Roman"/>
        </w:rPr>
        <w:t xml:space="preserve"> Natural hazards continue to be a factor in RMP accidents and present a growing threat to process safety at RMP facilities, so a requirement to evaluate and control natural hazards will </w:t>
      </w:r>
      <w:r w:rsidRPr="00BF42A8" w:rsidR="005E09D1">
        <w:rPr>
          <w:rFonts w:ascii="Times New Roman" w:hAnsi="Times New Roman" w:cs="Times New Roman"/>
        </w:rPr>
        <w:t>at a minimum allow for accidents to have</w:t>
      </w:r>
      <w:r w:rsidRPr="00BF42A8" w:rsidR="00A62B76">
        <w:rPr>
          <w:rFonts w:ascii="Times New Roman" w:hAnsi="Times New Roman" w:cs="Times New Roman"/>
        </w:rPr>
        <w:t xml:space="preserve"> lower consequences when natural hazards do occur. For example, </w:t>
      </w:r>
      <w:r w:rsidRPr="00BF42A8" w:rsidR="003E6595">
        <w:rPr>
          <w:rFonts w:ascii="Times New Roman" w:hAnsi="Times New Roman" w:cs="Times New Roman"/>
        </w:rPr>
        <w:t xml:space="preserve">the provision requires facilities with </w:t>
      </w:r>
      <w:r w:rsidRPr="00BF42A8" w:rsidR="0080538D">
        <w:rPr>
          <w:rFonts w:ascii="Times New Roman" w:hAnsi="Times New Roman" w:cs="Times New Roman"/>
        </w:rPr>
        <w:t xml:space="preserve">perimeter </w:t>
      </w:r>
      <w:r w:rsidRPr="00BF42A8" w:rsidR="003E6595">
        <w:rPr>
          <w:rFonts w:ascii="Times New Roman" w:hAnsi="Times New Roman" w:cs="Times New Roman"/>
        </w:rPr>
        <w:t>monitor</w:t>
      </w:r>
      <w:r w:rsidRPr="00BF42A8" w:rsidR="0080538D">
        <w:rPr>
          <w:rFonts w:ascii="Times New Roman" w:hAnsi="Times New Roman" w:cs="Times New Roman"/>
        </w:rPr>
        <w:t xml:space="preserve">s </w:t>
      </w:r>
      <w:r w:rsidRPr="00BF42A8" w:rsidR="003E6595">
        <w:rPr>
          <w:rFonts w:ascii="Times New Roman" w:hAnsi="Times New Roman" w:cs="Times New Roman"/>
        </w:rPr>
        <w:t>to implement backup power if they do not have it already</w:t>
      </w:r>
      <w:r w:rsidRPr="00BF42A8" w:rsidR="009759B9">
        <w:rPr>
          <w:rFonts w:ascii="Times New Roman" w:hAnsi="Times New Roman" w:cs="Times New Roman"/>
        </w:rPr>
        <w:t xml:space="preserve"> also can mitigate the consequences of accidents</w:t>
      </w:r>
      <w:r w:rsidRPr="00BF42A8" w:rsidR="003E6595">
        <w:rPr>
          <w:rFonts w:ascii="Times New Roman" w:hAnsi="Times New Roman" w:cs="Times New Roman"/>
        </w:rPr>
        <w:t>.</w:t>
      </w:r>
      <w:r w:rsidRPr="00BF42A8" w:rsidR="00860CFA">
        <w:rPr>
          <w:rFonts w:ascii="Times New Roman" w:hAnsi="Times New Roman" w:cs="Times New Roman"/>
        </w:rPr>
        <w:t xml:space="preserve"> </w:t>
      </w:r>
      <w:r w:rsidRPr="00BF42A8" w:rsidR="003E6595">
        <w:rPr>
          <w:rFonts w:ascii="Times New Roman" w:hAnsi="Times New Roman" w:cs="Times New Roman"/>
        </w:rPr>
        <w:t xml:space="preserve">Should </w:t>
      </w:r>
      <w:r w:rsidRPr="00BF42A8" w:rsidR="00C17E79">
        <w:rPr>
          <w:rFonts w:ascii="Times New Roman" w:hAnsi="Times New Roman" w:cs="Times New Roman"/>
        </w:rPr>
        <w:t xml:space="preserve">there be a natural </w:t>
      </w:r>
      <w:r w:rsidRPr="00BF42A8" w:rsidR="009C60C9">
        <w:rPr>
          <w:rFonts w:ascii="Times New Roman" w:hAnsi="Times New Roman" w:cs="Times New Roman"/>
        </w:rPr>
        <w:t>cause for loss of power</w:t>
      </w:r>
      <w:r w:rsidRPr="00BF42A8" w:rsidR="00E70569">
        <w:rPr>
          <w:rFonts w:ascii="Times New Roman" w:hAnsi="Times New Roman" w:cs="Times New Roman"/>
        </w:rPr>
        <w:t>,</w:t>
      </w:r>
      <w:r w:rsidRPr="00BF42A8" w:rsidR="009C60C9">
        <w:rPr>
          <w:rFonts w:ascii="Times New Roman" w:hAnsi="Times New Roman" w:cs="Times New Roman"/>
        </w:rPr>
        <w:t xml:space="preserve"> </w:t>
      </w:r>
      <w:r w:rsidRPr="00BF42A8" w:rsidR="00A475DC">
        <w:rPr>
          <w:rFonts w:ascii="Times New Roman" w:hAnsi="Times New Roman" w:cs="Times New Roman"/>
        </w:rPr>
        <w:t xml:space="preserve">this requirement will ensure that </w:t>
      </w:r>
      <w:r w:rsidRPr="00BF42A8" w:rsidR="0080538D">
        <w:rPr>
          <w:rFonts w:ascii="Times New Roman" w:hAnsi="Times New Roman" w:cs="Times New Roman"/>
        </w:rPr>
        <w:t xml:space="preserve">perimeter </w:t>
      </w:r>
      <w:r w:rsidRPr="00BF42A8" w:rsidR="00A475DC">
        <w:rPr>
          <w:rFonts w:ascii="Times New Roman" w:hAnsi="Times New Roman" w:cs="Times New Roman"/>
        </w:rPr>
        <w:t>monitors are able to continue to detect releases</w:t>
      </w:r>
      <w:r w:rsidRPr="00BF42A8" w:rsidR="0080538D">
        <w:rPr>
          <w:rFonts w:ascii="Times New Roman" w:hAnsi="Times New Roman" w:cs="Times New Roman"/>
        </w:rPr>
        <w:t xml:space="preserve"> at the </w:t>
      </w:r>
      <w:proofErr w:type="spellStart"/>
      <w:r w:rsidRPr="00BF42A8" w:rsidR="0080538D">
        <w:rPr>
          <w:rFonts w:ascii="Times New Roman" w:hAnsi="Times New Roman" w:cs="Times New Roman"/>
        </w:rPr>
        <w:t>fenceline</w:t>
      </w:r>
      <w:proofErr w:type="spellEnd"/>
      <w:r w:rsidRPr="00BF42A8" w:rsidR="00A475DC">
        <w:rPr>
          <w:rFonts w:ascii="Times New Roman" w:hAnsi="Times New Roman" w:cs="Times New Roman"/>
        </w:rPr>
        <w:t xml:space="preserve"> and allow for a quicker response should there be one. This may also </w:t>
      </w:r>
      <w:r w:rsidRPr="00BF42A8" w:rsidR="00F76A53">
        <w:rPr>
          <w:rFonts w:ascii="Times New Roman" w:hAnsi="Times New Roman" w:cs="Times New Roman"/>
        </w:rPr>
        <w:t>mitigate</w:t>
      </w:r>
      <w:r w:rsidRPr="00BF42A8" w:rsidR="00A475DC">
        <w:rPr>
          <w:rFonts w:ascii="Times New Roman" w:hAnsi="Times New Roman" w:cs="Times New Roman"/>
        </w:rPr>
        <w:t xml:space="preserve"> </w:t>
      </w:r>
      <w:r w:rsidRPr="00BF42A8" w:rsidR="00B81383">
        <w:rPr>
          <w:rFonts w:ascii="Times New Roman" w:hAnsi="Times New Roman" w:cs="Times New Roman"/>
        </w:rPr>
        <w:t>consequences of</w:t>
      </w:r>
      <w:r w:rsidRPr="00BF42A8" w:rsidR="00A475DC">
        <w:rPr>
          <w:rFonts w:ascii="Times New Roman" w:hAnsi="Times New Roman" w:cs="Times New Roman"/>
        </w:rPr>
        <w:t xml:space="preserve"> some accidents that </w:t>
      </w:r>
      <w:r w:rsidRPr="00BF42A8" w:rsidR="00B81383">
        <w:rPr>
          <w:rFonts w:ascii="Times New Roman" w:hAnsi="Times New Roman" w:cs="Times New Roman"/>
        </w:rPr>
        <w:t xml:space="preserve">might </w:t>
      </w:r>
      <w:r w:rsidRPr="00BF42A8" w:rsidR="00A475DC">
        <w:rPr>
          <w:rFonts w:ascii="Times New Roman" w:hAnsi="Times New Roman" w:cs="Times New Roman"/>
        </w:rPr>
        <w:t xml:space="preserve">otherwise occur </w:t>
      </w:r>
      <w:r w:rsidRPr="00BF42A8" w:rsidR="009C340C">
        <w:rPr>
          <w:rFonts w:ascii="Times New Roman" w:hAnsi="Times New Roman" w:cs="Times New Roman"/>
        </w:rPr>
        <w:t>when</w:t>
      </w:r>
      <w:r w:rsidRPr="00BF42A8" w:rsidR="00A475DC">
        <w:rPr>
          <w:rFonts w:ascii="Times New Roman" w:hAnsi="Times New Roman" w:cs="Times New Roman"/>
        </w:rPr>
        <w:t xml:space="preserve"> releases are </w:t>
      </w:r>
      <w:r w:rsidRPr="00BF42A8" w:rsidR="00FC2D52">
        <w:rPr>
          <w:rFonts w:ascii="Times New Roman" w:hAnsi="Times New Roman" w:cs="Times New Roman"/>
        </w:rPr>
        <w:t xml:space="preserve">not </w:t>
      </w:r>
      <w:r w:rsidRPr="00BF42A8" w:rsidR="00A475DC">
        <w:rPr>
          <w:rFonts w:ascii="Times New Roman" w:hAnsi="Times New Roman" w:cs="Times New Roman"/>
        </w:rPr>
        <w:t>detected early enough.</w:t>
      </w:r>
      <w:bookmarkStart w:name="_bookmark51" w:id="112"/>
      <w:bookmarkEnd w:id="112"/>
    </w:p>
    <w:p w:rsidRPr="00BF42A8" w:rsidR="009128A3" w:rsidP="009128A3" w:rsidRDefault="009128A3" w14:paraId="7F9111C6" w14:textId="77777777">
      <w:pPr>
        <w:spacing w:after="0" w:line="240" w:lineRule="auto"/>
        <w:ind w:firstLine="360"/>
        <w:rPr>
          <w:rFonts w:ascii="Times New Roman" w:hAnsi="Times New Roman" w:cs="Times New Roman"/>
        </w:rPr>
      </w:pPr>
    </w:p>
    <w:p w:rsidRPr="00BF42A8" w:rsidR="00E93325" w:rsidP="00BF42A8" w:rsidRDefault="00A00231" w14:paraId="2B60AE79" w14:textId="0EDCDFEC">
      <w:pPr>
        <w:spacing w:after="0" w:line="240" w:lineRule="auto"/>
        <w:ind w:right="-10"/>
        <w:rPr>
          <w:rFonts w:ascii="Times New Roman" w:hAnsi="Times New Roman" w:cs="Times New Roman"/>
          <w:b/>
        </w:rPr>
      </w:pPr>
      <w:r w:rsidRPr="00BF42A8">
        <w:rPr>
          <w:rFonts w:ascii="Times New Roman" w:hAnsi="Times New Roman" w:cs="Times New Roman"/>
          <w:b/>
        </w:rPr>
        <w:t xml:space="preserve">6.1.3 </w:t>
      </w:r>
      <w:r w:rsidRPr="00BF42A8" w:rsidR="00A91A23">
        <w:rPr>
          <w:rFonts w:ascii="Times New Roman" w:hAnsi="Times New Roman" w:cs="Times New Roman"/>
          <w:b/>
        </w:rPr>
        <w:t>I</w:t>
      </w:r>
      <w:r w:rsidRPr="00BF42A8" w:rsidR="009D3E56">
        <w:rPr>
          <w:rFonts w:ascii="Times New Roman" w:hAnsi="Times New Roman" w:cs="Times New Roman"/>
          <w:b/>
        </w:rPr>
        <w:t>mproved I</w:t>
      </w:r>
      <w:r w:rsidRPr="00BF42A8" w:rsidR="00A91A23">
        <w:rPr>
          <w:rFonts w:ascii="Times New Roman" w:hAnsi="Times New Roman" w:cs="Times New Roman"/>
          <w:b/>
        </w:rPr>
        <w:t>nformation</w:t>
      </w:r>
    </w:p>
    <w:p w:rsidR="00E93325" w:rsidP="009128A3" w:rsidRDefault="00C0434F" w14:paraId="27B80A3F" w14:textId="14C40D71">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Several of the </w:t>
      </w:r>
      <w:r w:rsidRPr="00BF42A8" w:rsidR="006B7660">
        <w:rPr>
          <w:rFonts w:ascii="Times New Roman" w:hAnsi="Times New Roman" w:cs="Times New Roman"/>
        </w:rPr>
        <w:t>proposed</w:t>
      </w:r>
      <w:r w:rsidRPr="00BF42A8" w:rsidR="00E93325">
        <w:rPr>
          <w:rFonts w:ascii="Times New Roman" w:hAnsi="Times New Roman" w:cs="Times New Roman"/>
        </w:rPr>
        <w:t xml:space="preserve"> rule </w:t>
      </w:r>
      <w:r w:rsidRPr="00BF42A8" w:rsidR="006B7660">
        <w:rPr>
          <w:rFonts w:ascii="Times New Roman" w:hAnsi="Times New Roman" w:cs="Times New Roman"/>
        </w:rPr>
        <w:t>provisions</w:t>
      </w:r>
      <w:r w:rsidRPr="00BF42A8" w:rsidR="00E93325">
        <w:rPr>
          <w:rFonts w:ascii="Times New Roman" w:hAnsi="Times New Roman" w:cs="Times New Roman"/>
        </w:rPr>
        <w:t xml:space="preserve"> target information provision</w:t>
      </w:r>
      <w:r w:rsidRPr="00BF42A8" w:rsidR="006B7660">
        <w:rPr>
          <w:rFonts w:ascii="Times New Roman" w:hAnsi="Times New Roman" w:cs="Times New Roman"/>
        </w:rPr>
        <w:t xml:space="preserve"> including community notification under the emergency response provision</w:t>
      </w:r>
      <w:r w:rsidRPr="00BF42A8" w:rsidR="001412D1">
        <w:rPr>
          <w:rFonts w:ascii="Times New Roman" w:hAnsi="Times New Roman" w:cs="Times New Roman"/>
        </w:rPr>
        <w:t xml:space="preserve"> and </w:t>
      </w:r>
      <w:r w:rsidRPr="00BF42A8" w:rsidR="00FC2D52">
        <w:rPr>
          <w:rFonts w:ascii="Times New Roman" w:hAnsi="Times New Roman" w:cs="Times New Roman"/>
        </w:rPr>
        <w:t>i</w:t>
      </w:r>
      <w:r w:rsidRPr="00BF42A8" w:rsidR="00254DEC">
        <w:rPr>
          <w:rFonts w:ascii="Times New Roman" w:hAnsi="Times New Roman" w:cs="Times New Roman"/>
        </w:rPr>
        <w:t xml:space="preserve">nformation </w:t>
      </w:r>
      <w:r w:rsidRPr="00BF42A8" w:rsidR="00FC2D52">
        <w:rPr>
          <w:rFonts w:ascii="Times New Roman" w:hAnsi="Times New Roman" w:cs="Times New Roman"/>
        </w:rPr>
        <w:t>a</w:t>
      </w:r>
      <w:r w:rsidRPr="00BF42A8" w:rsidR="00254DEC">
        <w:rPr>
          <w:rFonts w:ascii="Times New Roman" w:hAnsi="Times New Roman" w:cs="Times New Roman"/>
        </w:rPr>
        <w:t>vailability</w:t>
      </w:r>
      <w:r w:rsidRPr="00BF42A8" w:rsidR="009D3E56">
        <w:rPr>
          <w:rFonts w:ascii="Times New Roman" w:hAnsi="Times New Roman" w:cs="Times New Roman"/>
        </w:rPr>
        <w:t xml:space="preserve"> – specifically,</w:t>
      </w:r>
      <w:r w:rsidRPr="00BF42A8" w:rsidR="00E93325">
        <w:rPr>
          <w:rFonts w:ascii="Times New Roman" w:hAnsi="Times New Roman" w:cs="Times New Roman"/>
        </w:rPr>
        <w:t xml:space="preserve"> </w:t>
      </w:r>
      <w:r w:rsidRPr="00BF42A8" w:rsidR="009D3E56">
        <w:rPr>
          <w:rFonts w:ascii="Times New Roman" w:hAnsi="Times New Roman" w:cs="Times New Roman"/>
        </w:rPr>
        <w:t xml:space="preserve">the proposed provision requiring facilities to disclose information upon request by nearby residents. </w:t>
      </w:r>
      <w:r w:rsidRPr="00BF42A8" w:rsidR="00E93325">
        <w:rPr>
          <w:rFonts w:ascii="Times New Roman" w:hAnsi="Times New Roman" w:cs="Times New Roman"/>
        </w:rPr>
        <w:t xml:space="preserve">The </w:t>
      </w:r>
      <w:r w:rsidRPr="00BF42A8" w:rsidR="00F60EBD">
        <w:rPr>
          <w:rFonts w:ascii="Times New Roman" w:hAnsi="Times New Roman" w:cs="Times New Roman"/>
        </w:rPr>
        <w:t>community notification provisions would improve coordination with the local community by ensuring systems are in place to provide quick</w:t>
      </w:r>
      <w:r w:rsidRPr="00BF42A8" w:rsidR="00E93325">
        <w:rPr>
          <w:rFonts w:ascii="Times New Roman" w:hAnsi="Times New Roman" w:cs="Times New Roman"/>
        </w:rPr>
        <w:t xml:space="preserve"> information </w:t>
      </w:r>
      <w:r w:rsidRPr="00BF42A8" w:rsidR="00F60EBD">
        <w:rPr>
          <w:rFonts w:ascii="Times New Roman" w:hAnsi="Times New Roman" w:cs="Times New Roman"/>
        </w:rPr>
        <w:t>when there is an accidental release</w:t>
      </w:r>
      <w:r w:rsidRPr="00BF42A8" w:rsidR="00FF197A">
        <w:rPr>
          <w:rFonts w:ascii="Times New Roman" w:hAnsi="Times New Roman" w:cs="Times New Roman"/>
        </w:rPr>
        <w:t xml:space="preserve">. The other components of the emergency response provisions </w:t>
      </w:r>
      <w:r w:rsidRPr="00BF42A8" w:rsidR="00F022DC">
        <w:rPr>
          <w:rFonts w:ascii="Times New Roman" w:hAnsi="Times New Roman" w:cs="Times New Roman"/>
        </w:rPr>
        <w:t>would</w:t>
      </w:r>
      <w:r w:rsidRPr="00BF42A8" w:rsidR="00FF197A">
        <w:rPr>
          <w:rFonts w:ascii="Times New Roman" w:hAnsi="Times New Roman" w:cs="Times New Roman"/>
        </w:rPr>
        <w:t xml:space="preserve"> ensure </w:t>
      </w:r>
      <w:r w:rsidRPr="00BF42A8" w:rsidR="00E93325">
        <w:rPr>
          <w:rFonts w:ascii="Times New Roman" w:hAnsi="Times New Roman" w:cs="Times New Roman"/>
        </w:rPr>
        <w:t xml:space="preserve">the public and emergency responders </w:t>
      </w:r>
      <w:r w:rsidRPr="00BF42A8" w:rsidR="00F022DC">
        <w:rPr>
          <w:rFonts w:ascii="Times New Roman" w:hAnsi="Times New Roman" w:cs="Times New Roman"/>
        </w:rPr>
        <w:t>are aware of</w:t>
      </w:r>
      <w:r w:rsidRPr="00BF42A8" w:rsidR="00E93325">
        <w:rPr>
          <w:rFonts w:ascii="Times New Roman" w:hAnsi="Times New Roman" w:cs="Times New Roman"/>
        </w:rPr>
        <w:t xml:space="preserve"> the chemicals stored and processes used at RMP facilities, equipment, </w:t>
      </w:r>
      <w:r w:rsidRPr="00BF42A8" w:rsidR="00F022DC">
        <w:rPr>
          <w:rFonts w:ascii="Times New Roman" w:hAnsi="Times New Roman" w:cs="Times New Roman"/>
        </w:rPr>
        <w:t xml:space="preserve">and </w:t>
      </w:r>
      <w:r w:rsidRPr="00BF42A8" w:rsidR="00E93325">
        <w:rPr>
          <w:rFonts w:ascii="Times New Roman" w:hAnsi="Times New Roman" w:cs="Times New Roman"/>
        </w:rPr>
        <w:t>materials</w:t>
      </w:r>
      <w:r w:rsidRPr="00BF42A8" w:rsidR="00F022DC">
        <w:rPr>
          <w:rFonts w:ascii="Times New Roman" w:hAnsi="Times New Roman" w:cs="Times New Roman"/>
        </w:rPr>
        <w:t>.</w:t>
      </w:r>
      <w:r w:rsidRPr="00BF42A8" w:rsidR="00E93325">
        <w:rPr>
          <w:rFonts w:ascii="Times New Roman" w:hAnsi="Times New Roman" w:cs="Times New Roman"/>
        </w:rPr>
        <w:t xml:space="preserve"> In addition, if </w:t>
      </w:r>
      <w:proofErr w:type="gramStart"/>
      <w:r w:rsidRPr="00BF42A8" w:rsidR="00E93325">
        <w:rPr>
          <w:rFonts w:ascii="Times New Roman" w:hAnsi="Times New Roman" w:cs="Times New Roman"/>
        </w:rPr>
        <w:t>local residents</w:t>
      </w:r>
      <w:proofErr w:type="gramEnd"/>
      <w:r w:rsidRPr="00BF42A8" w:rsidR="00E93325">
        <w:rPr>
          <w:rFonts w:ascii="Times New Roman" w:hAnsi="Times New Roman" w:cs="Times New Roman"/>
        </w:rPr>
        <w:t xml:space="preserve"> and businesses understand the potential risks from a facility accident, they will be better able to understand recommendations </w:t>
      </w:r>
      <w:r w:rsidRPr="00BF42A8" w:rsidR="00562177">
        <w:rPr>
          <w:rFonts w:ascii="Times New Roman" w:hAnsi="Times New Roman" w:cs="Times New Roman"/>
        </w:rPr>
        <w:t xml:space="preserve">or orders from local officials </w:t>
      </w:r>
      <w:r w:rsidRPr="00BF42A8" w:rsidR="00E93325">
        <w:rPr>
          <w:rFonts w:ascii="Times New Roman" w:hAnsi="Times New Roman" w:cs="Times New Roman"/>
        </w:rPr>
        <w:t>for sheltering in place or evacuation and take appropriate actions should an actual incident occur</w:t>
      </w:r>
      <w:r w:rsidRPr="00BF42A8" w:rsidR="009C340C">
        <w:rPr>
          <w:rFonts w:ascii="Times New Roman" w:hAnsi="Times New Roman" w:cs="Times New Roman"/>
        </w:rPr>
        <w:t xml:space="preserve">. Residents and businesses would be better </w:t>
      </w:r>
      <w:r w:rsidRPr="00BF42A8" w:rsidR="009C340C">
        <w:rPr>
          <w:rFonts w:ascii="Times New Roman" w:hAnsi="Times New Roman" w:cs="Times New Roman"/>
        </w:rPr>
        <w:lastRenderedPageBreak/>
        <w:t>prepared for possible incident</w:t>
      </w:r>
      <w:r w:rsidRPr="00BF42A8" w:rsidR="00E93325">
        <w:rPr>
          <w:rFonts w:ascii="Times New Roman" w:hAnsi="Times New Roman" w:cs="Times New Roman"/>
        </w:rPr>
        <w:t xml:space="preserve"> thereby mitigating the impacts of the event. </w:t>
      </w:r>
      <w:r w:rsidRPr="00BF42A8" w:rsidR="009C340C">
        <w:rPr>
          <w:rFonts w:ascii="Times New Roman" w:hAnsi="Times New Roman" w:cs="Times New Roman"/>
        </w:rPr>
        <w:t>Better public information will improve efficiency of nearby property markets. Better information to emergency responders will improve the efficiency of their decisions regarding preventive measure</w:t>
      </w:r>
      <w:r w:rsidR="0074647D">
        <w:rPr>
          <w:rFonts w:ascii="Times New Roman" w:hAnsi="Times New Roman" w:cs="Times New Roman"/>
        </w:rPr>
        <w:t>s</w:t>
      </w:r>
      <w:r w:rsidRPr="00BF42A8" w:rsidR="009C340C">
        <w:rPr>
          <w:rFonts w:ascii="Times New Roman" w:hAnsi="Times New Roman" w:cs="Times New Roman"/>
        </w:rPr>
        <w:t xml:space="preserve"> to take and equipment and materials to purchase. </w:t>
      </w:r>
    </w:p>
    <w:p w:rsidRPr="00BF42A8" w:rsidR="009128A3" w:rsidP="009128A3" w:rsidRDefault="009128A3" w14:paraId="5C5DFFB2" w14:textId="77777777">
      <w:pPr>
        <w:spacing w:after="0" w:line="240" w:lineRule="auto"/>
        <w:ind w:firstLine="360"/>
        <w:rPr>
          <w:rFonts w:ascii="Times New Roman" w:hAnsi="Times New Roman" w:cs="Times New Roman"/>
        </w:rPr>
      </w:pPr>
      <w:bookmarkStart w:name="_bookmark52" w:id="113"/>
      <w:bookmarkEnd w:id="113"/>
    </w:p>
    <w:p w:rsidRPr="00BF42A8" w:rsidR="00E93325" w:rsidP="00BF42A8" w:rsidRDefault="00217713" w14:paraId="440BA52B" w14:textId="52C1EFAC">
      <w:pPr>
        <w:spacing w:after="0" w:line="240" w:lineRule="auto"/>
        <w:ind w:right="-10"/>
        <w:rPr>
          <w:rFonts w:ascii="Times New Roman" w:hAnsi="Times New Roman" w:cs="Times New Roman"/>
          <w:b/>
        </w:rPr>
      </w:pPr>
      <w:r w:rsidRPr="00BF42A8">
        <w:rPr>
          <w:rFonts w:ascii="Times New Roman" w:hAnsi="Times New Roman" w:cs="Times New Roman"/>
          <w:b/>
        </w:rPr>
        <w:t>6.</w:t>
      </w:r>
      <w:r w:rsidRPr="00BF42A8" w:rsidR="00A00231">
        <w:rPr>
          <w:rFonts w:ascii="Times New Roman" w:hAnsi="Times New Roman" w:cs="Times New Roman"/>
          <w:b/>
        </w:rPr>
        <w:t xml:space="preserve">1.4 </w:t>
      </w:r>
      <w:r w:rsidRPr="00BF42A8" w:rsidR="00E93325">
        <w:rPr>
          <w:rFonts w:ascii="Times New Roman" w:hAnsi="Times New Roman" w:cs="Times New Roman"/>
          <w:b/>
        </w:rPr>
        <w:t>Evidence from the</w:t>
      </w:r>
      <w:r w:rsidRPr="00BF42A8" w:rsidR="00E93325">
        <w:rPr>
          <w:rFonts w:ascii="Times New Roman" w:hAnsi="Times New Roman" w:cs="Times New Roman"/>
          <w:b/>
          <w:spacing w:val="-6"/>
        </w:rPr>
        <w:t xml:space="preserve"> </w:t>
      </w:r>
      <w:r w:rsidRPr="00BF42A8" w:rsidR="00E93325">
        <w:rPr>
          <w:rFonts w:ascii="Times New Roman" w:hAnsi="Times New Roman" w:cs="Times New Roman"/>
          <w:b/>
        </w:rPr>
        <w:t>Literature</w:t>
      </w:r>
    </w:p>
    <w:p w:rsidR="00E93325" w:rsidP="009128A3" w:rsidRDefault="00E235AD" w14:paraId="2408B16C" w14:textId="5038FAFE">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Evidence of the effectiveness of several of the rule provisions can be found in the peer reviewed literature. When independent third-party auditing is necessary and appropriate, the literature indicates that without sufficient safeguards to ensure auditor independence, auditors are more likely to provide lenient or biased audit reports that can fail to accurately identify problems and violations by the regulated entity. For example, </w:t>
      </w:r>
      <w:proofErr w:type="spellStart"/>
      <w:r w:rsidRPr="00BF42A8" w:rsidR="00E93325">
        <w:rPr>
          <w:rFonts w:ascii="Times New Roman" w:hAnsi="Times New Roman" w:cs="Times New Roman"/>
        </w:rPr>
        <w:t>Duflo</w:t>
      </w:r>
      <w:proofErr w:type="spellEnd"/>
      <w:r w:rsidRPr="00BF42A8" w:rsidR="00E93325">
        <w:rPr>
          <w:rFonts w:ascii="Times New Roman" w:hAnsi="Times New Roman" w:cs="Times New Roman"/>
        </w:rPr>
        <w:t>, et al. (2013) found that plants in India reduced actual pollution</w:t>
      </w:r>
      <w:r w:rsidRPr="00BF42A8" w:rsidR="001608EE">
        <w:rPr>
          <w:rFonts w:ascii="Times New Roman" w:hAnsi="Times New Roman" w:cs="Times New Roman"/>
        </w:rPr>
        <w:t xml:space="preserve"> </w:t>
      </w:r>
      <w:r w:rsidRPr="00BF42A8" w:rsidR="00E93325">
        <w:rPr>
          <w:rFonts w:ascii="Times New Roman" w:hAnsi="Times New Roman" w:cs="Times New Roman"/>
        </w:rPr>
        <w:t>emissions following a strengthening of requirements regarding third</w:t>
      </w:r>
      <w:r w:rsidRPr="00BF42A8" w:rsidR="002619CB">
        <w:rPr>
          <w:rFonts w:ascii="Times New Roman" w:hAnsi="Times New Roman" w:cs="Times New Roman"/>
        </w:rPr>
        <w:t>-</w:t>
      </w:r>
      <w:r w:rsidRPr="00BF42A8" w:rsidR="00E93325">
        <w:rPr>
          <w:rFonts w:ascii="Times New Roman" w:hAnsi="Times New Roman" w:cs="Times New Roman"/>
        </w:rPr>
        <w:t xml:space="preserve"> party audits.</w:t>
      </w:r>
      <w:r w:rsidRPr="00BF42A8" w:rsidR="00623420">
        <w:rPr>
          <w:rStyle w:val="FootnoteReference"/>
          <w:rFonts w:ascii="Times New Roman" w:hAnsi="Times New Roman" w:cs="Times New Roman"/>
        </w:rPr>
        <w:footnoteReference w:id="65"/>
      </w:r>
      <w:r w:rsidRPr="00BF42A8" w:rsidR="00E93325">
        <w:rPr>
          <w:rFonts w:ascii="Times New Roman" w:hAnsi="Times New Roman" w:cs="Times New Roman"/>
        </w:rPr>
        <w:t xml:space="preserve"> </w:t>
      </w:r>
      <w:proofErr w:type="spellStart"/>
      <w:r w:rsidRPr="00BF42A8" w:rsidR="00E93325">
        <w:rPr>
          <w:rFonts w:ascii="Times New Roman" w:hAnsi="Times New Roman" w:cs="Times New Roman"/>
        </w:rPr>
        <w:t>Kunreuther</w:t>
      </w:r>
      <w:proofErr w:type="spellEnd"/>
      <w:r w:rsidRPr="00BF42A8" w:rsidR="00E93325">
        <w:rPr>
          <w:rFonts w:ascii="Times New Roman" w:hAnsi="Times New Roman" w:cs="Times New Roman"/>
        </w:rPr>
        <w:t>, McNulty, and Kang (2002) characterized as successful a variety of third</w:t>
      </w:r>
      <w:r w:rsidRPr="00BF42A8" w:rsidR="002619CB">
        <w:rPr>
          <w:rFonts w:ascii="Times New Roman" w:hAnsi="Times New Roman" w:cs="Times New Roman"/>
        </w:rPr>
        <w:t>-</w:t>
      </w:r>
      <w:r w:rsidRPr="00BF42A8" w:rsidR="00E93325">
        <w:rPr>
          <w:rFonts w:ascii="Times New Roman" w:hAnsi="Times New Roman" w:cs="Times New Roman"/>
        </w:rPr>
        <w:t xml:space="preserve"> party inspection programs, several of which included insurance components. The programs included third</w:t>
      </w:r>
      <w:r w:rsidRPr="00BF42A8" w:rsidR="002619CB">
        <w:rPr>
          <w:rFonts w:ascii="Times New Roman" w:hAnsi="Times New Roman" w:cs="Times New Roman"/>
        </w:rPr>
        <w:t>-</w:t>
      </w:r>
      <w:r w:rsidRPr="00BF42A8" w:rsidR="00E93325">
        <w:rPr>
          <w:rFonts w:ascii="Times New Roman" w:hAnsi="Times New Roman" w:cs="Times New Roman"/>
        </w:rPr>
        <w:t xml:space="preserve"> party inspections of US steam boilers, Los Angeles hygiene services, and a Massachusetts waste cleanup program. Based on case studies, the authors concluded, “The use of third-party inspections has had very beneficial effects on reducing the risks associated with different activities.”</w:t>
      </w:r>
      <w:r w:rsidRPr="00BF42A8" w:rsidR="00623420">
        <w:rPr>
          <w:rStyle w:val="FootnoteReference"/>
          <w:rFonts w:ascii="Times New Roman" w:hAnsi="Times New Roman" w:cs="Times New Roman"/>
        </w:rPr>
        <w:footnoteReference w:id="66"/>
      </w:r>
    </w:p>
    <w:p w:rsidR="00E235AD" w:rsidP="009128A3" w:rsidRDefault="00E235AD" w14:paraId="216BF5C0" w14:textId="77777777">
      <w:pPr>
        <w:spacing w:after="0" w:line="240" w:lineRule="auto"/>
        <w:ind w:firstLine="360"/>
        <w:rPr>
          <w:rFonts w:ascii="Times New Roman" w:hAnsi="Times New Roman" w:cs="Times New Roman"/>
        </w:rPr>
      </w:pPr>
    </w:p>
    <w:p w:rsidR="00E93325" w:rsidP="009128A3" w:rsidRDefault="00E235AD" w14:paraId="407192DA" w14:textId="45BF7B33">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Regarding root cause analysis, Carroll et al. (2002) concluded that the cultural legacy of a root cause analysis at a chemical plant “was embodied in managers’ increased openness to new ideas, individuals’ questioning attitude and disciplined thinking, and a root cause analysis process that provided continual opportunities to learn and improve.”</w:t>
      </w:r>
      <w:r w:rsidRPr="00BF42A8" w:rsidR="00623420">
        <w:rPr>
          <w:rStyle w:val="FootnoteReference"/>
          <w:rFonts w:ascii="Times New Roman" w:hAnsi="Times New Roman" w:cs="Times New Roman"/>
        </w:rPr>
        <w:footnoteReference w:id="67"/>
      </w:r>
      <w:r w:rsidRPr="00BF42A8" w:rsidR="00E93325">
        <w:rPr>
          <w:rFonts w:ascii="Times New Roman" w:hAnsi="Times New Roman" w:cs="Times New Roman"/>
        </w:rPr>
        <w:t xml:space="preserve"> Root cause analysis is widely used in health care where its effectiveness was studied by </w:t>
      </w:r>
      <w:proofErr w:type="spellStart"/>
      <w:r w:rsidRPr="00BF42A8" w:rsidR="00E93325">
        <w:rPr>
          <w:rFonts w:ascii="Times New Roman" w:hAnsi="Times New Roman" w:cs="Times New Roman"/>
        </w:rPr>
        <w:t>Percarpio</w:t>
      </w:r>
      <w:proofErr w:type="spellEnd"/>
      <w:r w:rsidRPr="00BF42A8" w:rsidR="00E93325">
        <w:rPr>
          <w:rFonts w:ascii="Times New Roman" w:hAnsi="Times New Roman" w:cs="Times New Roman"/>
        </w:rPr>
        <w:t>, et al. (2008). Case studies of root cause analysis were gathered from 38 articles, 11 of which measured its effectiveness. Safety improvement following root cause analysis was reported by all 11 articles. However, the authors noted that the evidence of improved safety was anecdotal and that further formal studies are still needed.</w:t>
      </w:r>
      <w:r w:rsidRPr="00BF42A8" w:rsidR="00623420">
        <w:rPr>
          <w:rStyle w:val="FootnoteReference"/>
          <w:rFonts w:ascii="Times New Roman" w:hAnsi="Times New Roman" w:cs="Times New Roman"/>
        </w:rPr>
        <w:footnoteReference w:id="68"/>
      </w:r>
      <w:r w:rsidRPr="00BF42A8" w:rsidR="00E93325">
        <w:rPr>
          <w:rFonts w:ascii="Times New Roman" w:hAnsi="Times New Roman" w:cs="Times New Roman"/>
        </w:rPr>
        <w:t xml:space="preserve"> A later empirical analysis by </w:t>
      </w:r>
      <w:proofErr w:type="spellStart"/>
      <w:r w:rsidRPr="00BF42A8" w:rsidR="00E93325">
        <w:rPr>
          <w:rFonts w:ascii="Times New Roman" w:hAnsi="Times New Roman" w:cs="Times New Roman"/>
        </w:rPr>
        <w:t>Percarpio</w:t>
      </w:r>
      <w:proofErr w:type="spellEnd"/>
      <w:r w:rsidRPr="00BF42A8" w:rsidR="00E93325">
        <w:rPr>
          <w:rFonts w:ascii="Times New Roman" w:hAnsi="Times New Roman" w:cs="Times New Roman"/>
        </w:rPr>
        <w:t xml:space="preserve"> and Watts (2013) of data on root cause analysis for 139 medical centers from 2004 through 2006 concluded that facilities that completed fewer than four analyses per year had higher rates of postoperative complications but it was not clear that root cause analyses directly improved patient safety.</w:t>
      </w:r>
      <w:r w:rsidRPr="00BF42A8" w:rsidR="002053CF">
        <w:rPr>
          <w:rStyle w:val="FootnoteReference"/>
          <w:rFonts w:ascii="Times New Roman" w:hAnsi="Times New Roman" w:cs="Times New Roman"/>
        </w:rPr>
        <w:footnoteReference w:id="69"/>
      </w:r>
      <w:r w:rsidRPr="00BF42A8" w:rsidR="00A32C86">
        <w:rPr>
          <w:rFonts w:ascii="Times New Roman" w:hAnsi="Times New Roman" w:cs="Times New Roman"/>
        </w:rPr>
        <w:t xml:space="preserve"> CSB investigations have indicated that </w:t>
      </w:r>
      <w:r w:rsidRPr="00BF42A8" w:rsidR="00A32C86">
        <w:rPr>
          <w:rFonts w:ascii="Times New Roman" w:hAnsi="Times New Roman" w:eastAsia="Times New Roman" w:cs="Times New Roman"/>
        </w:rPr>
        <w:t>root cause analyses helps eliminate or substantially reduce the risk of reoccurrence of the incident and other similar incidents. These CSB investigations of the 2004 Formosa Plastics Corporation incident,</w:t>
      </w:r>
      <w:r w:rsidRPr="00BF42A8" w:rsidR="00A32C86">
        <w:rPr>
          <w:rStyle w:val="FootnoteReference"/>
          <w:rFonts w:ascii="Times New Roman" w:hAnsi="Times New Roman" w:eastAsia="Times New Roman" w:cs="Times New Roman"/>
        </w:rPr>
        <w:footnoteReference w:id="70"/>
      </w:r>
      <w:r w:rsidRPr="00BF42A8" w:rsidR="00A32C86">
        <w:rPr>
          <w:rFonts w:ascii="Times New Roman" w:hAnsi="Times New Roman" w:eastAsia="Times New Roman" w:cs="Times New Roman"/>
        </w:rPr>
        <w:t xml:space="preserve"> the 2005 BP Texas City Refinery incidents,</w:t>
      </w:r>
      <w:r w:rsidRPr="00BF42A8" w:rsidR="00A32C86">
        <w:rPr>
          <w:rStyle w:val="FootnoteReference"/>
          <w:rFonts w:ascii="Times New Roman" w:hAnsi="Times New Roman" w:eastAsia="Times New Roman" w:cs="Times New Roman"/>
        </w:rPr>
        <w:footnoteReference w:id="71"/>
      </w:r>
      <w:r w:rsidRPr="00BF42A8" w:rsidR="00A32C86">
        <w:rPr>
          <w:rFonts w:ascii="Times New Roman" w:hAnsi="Times New Roman" w:eastAsia="Times New Roman" w:cs="Times New Roman"/>
        </w:rPr>
        <w:t xml:space="preserve"> and the </w:t>
      </w:r>
      <w:r w:rsidRPr="00BF42A8" w:rsidR="00A32C86">
        <w:rPr>
          <w:rFonts w:ascii="Times New Roman" w:hAnsi="Times New Roman" w:eastAsia="Times New Roman" w:cs="Times New Roman"/>
        </w:rPr>
        <w:lastRenderedPageBreak/>
        <w:t>2010 Millard Refrigerated Services incident</w:t>
      </w:r>
      <w:r w:rsidRPr="00BF42A8" w:rsidR="00A32C86">
        <w:rPr>
          <w:rStyle w:val="FootnoteReference"/>
          <w:rFonts w:ascii="Times New Roman" w:hAnsi="Times New Roman" w:eastAsia="Times New Roman" w:cs="Times New Roman"/>
        </w:rPr>
        <w:footnoteReference w:id="72"/>
      </w:r>
      <w:r w:rsidRPr="00BF42A8" w:rsidR="00A32C86">
        <w:rPr>
          <w:rFonts w:ascii="Times New Roman" w:hAnsi="Times New Roman" w:eastAsia="Times New Roman" w:cs="Times New Roman"/>
        </w:rPr>
        <w:t xml:space="preserve"> found that root causes of prior, similar incidents were not identified, a lack that contributed to subsequent incidents.</w:t>
      </w:r>
    </w:p>
    <w:p w:rsidR="00E235AD" w:rsidP="009128A3" w:rsidRDefault="00E235AD" w14:paraId="6341B6FD" w14:textId="77777777">
      <w:pPr>
        <w:spacing w:after="0" w:line="240" w:lineRule="auto"/>
        <w:ind w:firstLine="360"/>
        <w:rPr>
          <w:rFonts w:ascii="Times New Roman" w:hAnsi="Times New Roman" w:cs="Times New Roman"/>
        </w:rPr>
      </w:pPr>
    </w:p>
    <w:p w:rsidR="00E93325" w:rsidP="009128A3" w:rsidRDefault="00E235AD" w14:paraId="5F3E60EA" w14:textId="69C249C8">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The </w:t>
      </w:r>
      <w:r w:rsidRPr="00BF42A8" w:rsidR="00562177">
        <w:rPr>
          <w:rFonts w:ascii="Times New Roman" w:hAnsi="Times New Roman" w:cs="Times New Roman"/>
        </w:rPr>
        <w:t xml:space="preserve">proposed </w:t>
      </w:r>
      <w:r w:rsidRPr="00BF42A8" w:rsidR="00E93325">
        <w:rPr>
          <w:rFonts w:ascii="Times New Roman" w:hAnsi="Times New Roman" w:cs="Times New Roman"/>
        </w:rPr>
        <w:t xml:space="preserve">rule </w:t>
      </w:r>
      <w:r w:rsidRPr="00BF42A8" w:rsidR="00562177">
        <w:rPr>
          <w:rFonts w:ascii="Times New Roman" w:hAnsi="Times New Roman" w:cs="Times New Roman"/>
        </w:rPr>
        <w:t>would</w:t>
      </w:r>
      <w:r w:rsidRPr="00BF42A8" w:rsidR="00E93325">
        <w:rPr>
          <w:rFonts w:ascii="Times New Roman" w:hAnsi="Times New Roman" w:cs="Times New Roman"/>
        </w:rPr>
        <w:t xml:space="preserve"> require RMP facilities to make certain types of information available to the public upon request; including chemical hazard information, names of regulated substances; </w:t>
      </w:r>
      <w:r w:rsidRPr="00BF42A8" w:rsidR="00D74D0E">
        <w:rPr>
          <w:rFonts w:ascii="Times New Roman" w:hAnsi="Times New Roman" w:cs="Times New Roman"/>
        </w:rPr>
        <w:t>SDSs</w:t>
      </w:r>
      <w:r w:rsidRPr="00BF42A8" w:rsidR="00E93325">
        <w:rPr>
          <w:rFonts w:ascii="Times New Roman" w:hAnsi="Times New Roman" w:cs="Times New Roman"/>
        </w:rPr>
        <w:t xml:space="preserve">; accident history information; and more. As stated by Oberholzer-Gee and </w:t>
      </w:r>
      <w:proofErr w:type="spellStart"/>
      <w:r w:rsidRPr="00BF42A8" w:rsidR="00E93325">
        <w:rPr>
          <w:rFonts w:ascii="Times New Roman" w:hAnsi="Times New Roman" w:cs="Times New Roman"/>
        </w:rPr>
        <w:t>Mitsunari</w:t>
      </w:r>
      <w:proofErr w:type="spellEnd"/>
      <w:r w:rsidRPr="00BF42A8" w:rsidR="00E93325">
        <w:rPr>
          <w:rFonts w:ascii="Times New Roman" w:hAnsi="Times New Roman" w:cs="Times New Roman"/>
        </w:rPr>
        <w:t xml:space="preserve"> (2006), “… if individuals pay attention to information regulation, this type of regulation can possibly lead to the spatial reallocation of resources in the metropolitan economy.” There are many studies of the effect of publicly available information on market transactions, including property markets. Many have focused on potential impacts of the Toxic Release Inventory (TRI). For example, Oberholzer-Gee and </w:t>
      </w:r>
      <w:proofErr w:type="spellStart"/>
      <w:r w:rsidRPr="00BF42A8" w:rsidR="00E93325">
        <w:rPr>
          <w:rFonts w:ascii="Times New Roman" w:hAnsi="Times New Roman" w:cs="Times New Roman"/>
        </w:rPr>
        <w:t>Mitsunari</w:t>
      </w:r>
      <w:proofErr w:type="spellEnd"/>
      <w:r w:rsidRPr="00BF42A8" w:rsidR="00E93325">
        <w:rPr>
          <w:rFonts w:ascii="Times New Roman" w:hAnsi="Times New Roman" w:cs="Times New Roman"/>
        </w:rPr>
        <w:t xml:space="preserve"> (2006) examined property values in the Philadelphia region from 1988 to 1990 - one year prior and one year after publication of the TRI. The researchers concluded that after the release of TRI data, the</w:t>
      </w:r>
      <w:r w:rsidRPr="00BF42A8" w:rsidR="00623420">
        <w:rPr>
          <w:rFonts w:ascii="Times New Roman" w:hAnsi="Times New Roman" w:cs="Times New Roman"/>
        </w:rPr>
        <w:t xml:space="preserve"> </w:t>
      </w:r>
      <w:r w:rsidRPr="00BF42A8" w:rsidR="00E93325">
        <w:rPr>
          <w:rFonts w:ascii="Times New Roman" w:hAnsi="Times New Roman" w:cs="Times New Roman"/>
        </w:rPr>
        <w:t>predicted effect of pollution on property values changed and on average property values declined.</w:t>
      </w:r>
      <w:r w:rsidRPr="00BF42A8" w:rsidR="00623420">
        <w:rPr>
          <w:rStyle w:val="FootnoteReference"/>
          <w:rFonts w:ascii="Times New Roman" w:hAnsi="Times New Roman" w:cs="Times New Roman"/>
        </w:rPr>
        <w:footnoteReference w:id="73"/>
      </w:r>
      <w:r w:rsidRPr="00BF42A8" w:rsidR="00E93325">
        <w:rPr>
          <w:rFonts w:ascii="Times New Roman" w:hAnsi="Times New Roman" w:cs="Times New Roman"/>
        </w:rPr>
        <w:t xml:space="preserve"> Not all studies of pollution information found significant effects. </w:t>
      </w:r>
      <w:proofErr w:type="spellStart"/>
      <w:r w:rsidRPr="00BF42A8" w:rsidR="00E93325">
        <w:rPr>
          <w:rFonts w:ascii="Times New Roman" w:hAnsi="Times New Roman" w:cs="Times New Roman"/>
        </w:rPr>
        <w:t>Mastromonaco</w:t>
      </w:r>
      <w:proofErr w:type="spellEnd"/>
      <w:r w:rsidRPr="00BF42A8" w:rsidR="00E93325">
        <w:rPr>
          <w:rFonts w:ascii="Times New Roman" w:hAnsi="Times New Roman" w:cs="Times New Roman"/>
        </w:rPr>
        <w:t xml:space="preserve"> (2015) states</w:t>
      </w:r>
      <w:r w:rsidRPr="00BF42A8" w:rsidR="00434514">
        <w:rPr>
          <w:rFonts w:ascii="Times New Roman" w:hAnsi="Times New Roman" w:cs="Times New Roman"/>
        </w:rPr>
        <w:t xml:space="preserve"> </w:t>
      </w:r>
      <w:r w:rsidRPr="00BF42A8" w:rsidR="00E93325">
        <w:rPr>
          <w:rFonts w:ascii="Times New Roman" w:hAnsi="Times New Roman" w:cs="Times New Roman"/>
        </w:rPr>
        <w:t>“…evidence that the public internalizes information on toxic emissions, for example in the housing and stock markets, is mixed.”</w:t>
      </w:r>
      <w:r w:rsidRPr="00BF42A8" w:rsidR="00434514">
        <w:rPr>
          <w:rStyle w:val="FootnoteReference"/>
          <w:rFonts w:ascii="Times New Roman" w:hAnsi="Times New Roman" w:cs="Times New Roman"/>
        </w:rPr>
        <w:footnoteReference w:id="74"/>
      </w:r>
      <w:r w:rsidRPr="00BF42A8" w:rsidR="00E93325">
        <w:rPr>
          <w:rFonts w:ascii="Times New Roman" w:hAnsi="Times New Roman" w:cs="Times New Roman"/>
        </w:rPr>
        <w:t xml:space="preserve"> The current </w:t>
      </w:r>
      <w:r w:rsidRPr="00BF42A8" w:rsidR="00562177">
        <w:rPr>
          <w:rFonts w:ascii="Times New Roman" w:hAnsi="Times New Roman" w:cs="Times New Roman"/>
        </w:rPr>
        <w:t xml:space="preserve">RMP </w:t>
      </w:r>
      <w:r w:rsidRPr="00BF42A8" w:rsidR="00E93325">
        <w:rPr>
          <w:rFonts w:ascii="Times New Roman" w:hAnsi="Times New Roman" w:cs="Times New Roman"/>
        </w:rPr>
        <w:t xml:space="preserve">rule makes additional information beyond toxic emissions available to the public. </w:t>
      </w:r>
      <w:proofErr w:type="spellStart"/>
      <w:r w:rsidRPr="00BF42A8" w:rsidR="00E93325">
        <w:rPr>
          <w:rFonts w:ascii="Times New Roman" w:hAnsi="Times New Roman" w:cs="Times New Roman"/>
        </w:rPr>
        <w:t>Mastromonaco</w:t>
      </w:r>
      <w:proofErr w:type="spellEnd"/>
      <w:r w:rsidRPr="00BF42A8" w:rsidR="00E93325">
        <w:rPr>
          <w:rFonts w:ascii="Times New Roman" w:hAnsi="Times New Roman" w:cs="Times New Roman"/>
        </w:rPr>
        <w:t xml:space="preserve"> (2015) looked beyond the impact of emissions data and examined a regulatory change in 2001 that lowered the threshold for required reporting for lead to the TRI. The paper studied San Francisco property value data to explore whether the new listing of existing facilities using lead that previously did not report to the TRI affected values of houses located near those facilities. The conclusion was that identifying a plant as a TRI plant significantly reduced nearby property values</w:t>
      </w:r>
      <w:r w:rsidR="005C1B6F">
        <w:rPr>
          <w:rFonts w:ascii="Times New Roman" w:hAnsi="Times New Roman" w:cs="Times New Roman"/>
        </w:rPr>
        <w:t>,</w:t>
      </w:r>
      <w:r w:rsidRPr="00BF42A8" w:rsidR="00E93325">
        <w:rPr>
          <w:rFonts w:ascii="Times New Roman" w:hAnsi="Times New Roman" w:cs="Times New Roman"/>
        </w:rPr>
        <w:t xml:space="preserve"> suggesting that nearby residents adjusted their risk perceptions upward following newly available public risk information.</w:t>
      </w:r>
      <w:r w:rsidRPr="00BF42A8" w:rsidR="00434514">
        <w:rPr>
          <w:rStyle w:val="FootnoteReference"/>
          <w:rFonts w:ascii="Times New Roman" w:hAnsi="Times New Roman" w:cs="Times New Roman"/>
        </w:rPr>
        <w:footnoteReference w:id="75"/>
      </w:r>
    </w:p>
    <w:p w:rsidRPr="00BF42A8" w:rsidR="009128A3" w:rsidP="009128A3" w:rsidRDefault="009128A3" w14:paraId="1BA18593" w14:textId="77777777">
      <w:pPr>
        <w:spacing w:after="0" w:line="240" w:lineRule="auto"/>
        <w:ind w:firstLine="360"/>
        <w:rPr>
          <w:rFonts w:ascii="Times New Roman" w:hAnsi="Times New Roman" w:cs="Times New Roman"/>
        </w:rPr>
      </w:pPr>
      <w:bookmarkStart w:name="_bookmark53" w:id="114"/>
      <w:bookmarkEnd w:id="114"/>
    </w:p>
    <w:p w:rsidRPr="00BF42A8" w:rsidR="00E93325" w:rsidP="00BF42A8" w:rsidRDefault="00217713" w14:paraId="10F08D0E" w14:textId="6F33F80F">
      <w:pPr>
        <w:spacing w:after="0" w:line="240" w:lineRule="auto"/>
        <w:ind w:right="-10"/>
        <w:rPr>
          <w:rFonts w:ascii="Times New Roman" w:hAnsi="Times New Roman" w:cs="Times New Roman"/>
          <w:b/>
        </w:rPr>
      </w:pPr>
      <w:r w:rsidRPr="00BF42A8">
        <w:rPr>
          <w:rFonts w:ascii="Times New Roman" w:hAnsi="Times New Roman" w:cs="Times New Roman"/>
          <w:b/>
        </w:rPr>
        <w:t>6.</w:t>
      </w:r>
      <w:r w:rsidRPr="00BF42A8" w:rsidR="000D3FCC">
        <w:rPr>
          <w:rFonts w:ascii="Times New Roman" w:hAnsi="Times New Roman" w:cs="Times New Roman"/>
          <w:b/>
        </w:rPr>
        <w:t xml:space="preserve">1.5 </w:t>
      </w:r>
      <w:r w:rsidRPr="00BF42A8" w:rsidR="00E93325">
        <w:rPr>
          <w:rFonts w:ascii="Times New Roman" w:hAnsi="Times New Roman" w:cs="Times New Roman"/>
          <w:b/>
        </w:rPr>
        <w:t>Conclusion</w:t>
      </w:r>
    </w:p>
    <w:p w:rsidR="00E93325" w:rsidP="009128A3" w:rsidRDefault="00716911" w14:paraId="776001AA" w14:textId="1086E3BB">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The discussion in this section has qualitatively </w:t>
      </w:r>
      <w:r w:rsidRPr="00BF42A8" w:rsidR="00A96F88">
        <w:rPr>
          <w:rFonts w:ascii="Times New Roman" w:hAnsi="Times New Roman" w:cs="Times New Roman"/>
        </w:rPr>
        <w:t>discussed</w:t>
      </w:r>
      <w:r w:rsidRPr="00BF42A8" w:rsidR="00E93325">
        <w:rPr>
          <w:rFonts w:ascii="Times New Roman" w:hAnsi="Times New Roman" w:cs="Times New Roman"/>
        </w:rPr>
        <w:t xml:space="preserve"> how the </w:t>
      </w:r>
      <w:r w:rsidRPr="00BF42A8" w:rsidR="00FC096E">
        <w:rPr>
          <w:rFonts w:ascii="Times New Roman" w:hAnsi="Times New Roman" w:cs="Times New Roman"/>
        </w:rPr>
        <w:t>proposed</w:t>
      </w:r>
      <w:r w:rsidRPr="00BF42A8" w:rsidR="00E93325">
        <w:rPr>
          <w:rFonts w:ascii="Times New Roman" w:hAnsi="Times New Roman" w:cs="Times New Roman"/>
        </w:rPr>
        <w:t xml:space="preserve"> rule provisions </w:t>
      </w:r>
      <w:r w:rsidRPr="00BF42A8" w:rsidR="00562177">
        <w:rPr>
          <w:rFonts w:ascii="Times New Roman" w:hAnsi="Times New Roman" w:cs="Times New Roman"/>
        </w:rPr>
        <w:t xml:space="preserve">would </w:t>
      </w:r>
      <w:r w:rsidRPr="00BF42A8" w:rsidR="00E93325">
        <w:rPr>
          <w:rFonts w:ascii="Times New Roman" w:hAnsi="Times New Roman" w:cs="Times New Roman"/>
        </w:rPr>
        <w:t xml:space="preserve">aid in the prevention and mitigation of accidents and improve information available to the public and LEPCs. EPA has no data or empirical estimates of the precise impact of each rule provision on the probability and magnitude of an accident, or on improved efficiency due to better information. </w:t>
      </w:r>
      <w:r w:rsidRPr="00BF42A8" w:rsidR="00342F25">
        <w:rPr>
          <w:rFonts w:ascii="Times New Roman" w:hAnsi="Times New Roman" w:cs="Times New Roman"/>
        </w:rPr>
        <w:t>T</w:t>
      </w:r>
      <w:r w:rsidRPr="00BF42A8" w:rsidR="00E93325">
        <w:rPr>
          <w:rFonts w:ascii="Times New Roman" w:hAnsi="Times New Roman" w:cs="Times New Roman"/>
        </w:rPr>
        <w:t>o shed light on the landscape</w:t>
      </w:r>
      <w:r w:rsidRPr="00BF42A8" w:rsidR="00342F25">
        <w:rPr>
          <w:rFonts w:ascii="Times New Roman" w:hAnsi="Times New Roman" w:cs="Times New Roman"/>
        </w:rPr>
        <w:t xml:space="preserve"> in the baseline</w:t>
      </w:r>
      <w:r w:rsidRPr="00BF42A8" w:rsidR="00E93325">
        <w:rPr>
          <w:rFonts w:ascii="Times New Roman" w:hAnsi="Times New Roman" w:cs="Times New Roman"/>
        </w:rPr>
        <w:t xml:space="preserve">, in the next section EPA describes in detail the number and costs of accidents currently associated with RMP facilities. To the extent practicable, the analysis monetizes the costs of damages to partially estimate the baseline costs that </w:t>
      </w:r>
      <w:r w:rsidRPr="00BF42A8" w:rsidR="003311BC">
        <w:rPr>
          <w:rFonts w:ascii="Times New Roman" w:hAnsi="Times New Roman" w:cs="Times New Roman"/>
        </w:rPr>
        <w:t>EPA expects will</w:t>
      </w:r>
      <w:r w:rsidRPr="00BF42A8" w:rsidR="00E93325">
        <w:rPr>
          <w:rFonts w:ascii="Times New Roman" w:hAnsi="Times New Roman" w:cs="Times New Roman"/>
        </w:rPr>
        <w:t xml:space="preserve"> decline due to the </w:t>
      </w:r>
      <w:r w:rsidRPr="00BF42A8" w:rsidR="00DC5A6D">
        <w:rPr>
          <w:rFonts w:ascii="Times New Roman" w:hAnsi="Times New Roman" w:cs="Times New Roman"/>
        </w:rPr>
        <w:t>proposed</w:t>
      </w:r>
      <w:r w:rsidRPr="00BF42A8" w:rsidR="00E93325">
        <w:rPr>
          <w:rFonts w:ascii="Times New Roman" w:hAnsi="Times New Roman" w:cs="Times New Roman"/>
        </w:rPr>
        <w:t xml:space="preserve"> rule. It also qualitatively discusses other expected benefits of the </w:t>
      </w:r>
      <w:r w:rsidRPr="00BF42A8" w:rsidR="00DC5A6D">
        <w:rPr>
          <w:rFonts w:ascii="Times New Roman" w:hAnsi="Times New Roman" w:cs="Times New Roman"/>
        </w:rPr>
        <w:t>proposed</w:t>
      </w:r>
      <w:r w:rsidRPr="00BF42A8" w:rsidR="00E93325">
        <w:rPr>
          <w:rFonts w:ascii="Times New Roman" w:hAnsi="Times New Roman" w:cs="Times New Roman"/>
        </w:rPr>
        <w:t xml:space="preserve"> rule.</w:t>
      </w:r>
    </w:p>
    <w:p w:rsidRPr="00BF42A8" w:rsidR="009128A3" w:rsidP="009128A3" w:rsidRDefault="009128A3" w14:paraId="251CDAE8" w14:textId="77777777">
      <w:pPr>
        <w:spacing w:after="0" w:line="240" w:lineRule="auto"/>
        <w:ind w:firstLine="360"/>
        <w:rPr>
          <w:rFonts w:ascii="Times New Roman" w:hAnsi="Times New Roman" w:cs="Times New Roman"/>
        </w:rPr>
      </w:pPr>
    </w:p>
    <w:p w:rsidR="00BE4E59" w:rsidP="00813745" w:rsidRDefault="00BE4E59" w14:paraId="4048735B" w14:textId="6A3C6BC6">
      <w:pPr>
        <w:pStyle w:val="Heading2"/>
      </w:pPr>
      <w:bookmarkStart w:name="_bookmark54" w:id="115"/>
      <w:bookmarkStart w:name="_bookmark56" w:id="116"/>
      <w:bookmarkStart w:name="_bookmark57" w:id="117"/>
      <w:bookmarkStart w:name="_bookmark58" w:id="118"/>
      <w:bookmarkStart w:name="_Toc110502760" w:id="119"/>
      <w:bookmarkEnd w:id="115"/>
      <w:bookmarkEnd w:id="116"/>
      <w:bookmarkEnd w:id="117"/>
      <w:bookmarkEnd w:id="118"/>
      <w:r w:rsidRPr="00BF42A8">
        <w:t>6.2</w:t>
      </w:r>
      <w:r>
        <w:t xml:space="preserve"> Avoided</w:t>
      </w:r>
      <w:r w:rsidRPr="00BF42A8">
        <w:t xml:space="preserve"> Accident</w:t>
      </w:r>
      <w:r w:rsidRPr="00BF42A8">
        <w:rPr>
          <w:spacing w:val="-5"/>
        </w:rPr>
        <w:t xml:space="preserve"> </w:t>
      </w:r>
      <w:r w:rsidRPr="00BF42A8">
        <w:t>Impacts</w:t>
      </w:r>
      <w:r w:rsidR="0088694C">
        <w:t>: Breakeven Analysis</w:t>
      </w:r>
      <w:bookmarkEnd w:id="119"/>
    </w:p>
    <w:p w:rsidR="00BE4E59" w:rsidP="009144B6" w:rsidRDefault="00BE4E59" w14:paraId="09F15331" w14:textId="1EB69DA3">
      <w:pPr>
        <w:spacing w:after="0" w:line="240" w:lineRule="auto"/>
        <w:ind w:firstLine="720"/>
        <w:rPr>
          <w:rFonts w:ascii="Times New Roman" w:hAnsi="Times New Roman" w:cs="Times New Roman"/>
        </w:rPr>
      </w:pPr>
      <w:r w:rsidRPr="00253BE0">
        <w:rPr>
          <w:rFonts w:ascii="Times New Roman" w:hAnsi="Times New Roman" w:cs="Times New Roman"/>
        </w:rPr>
        <w:t xml:space="preserve">As mentioned, EPA has no data or empirical estimates of the precise impact of each rule provision on the probability and magnitude of an accident, or on improved efficiency due to better information. </w:t>
      </w:r>
      <w:r w:rsidR="00D77E2A">
        <w:rPr>
          <w:rFonts w:ascii="Times New Roman" w:hAnsi="Times New Roman" w:cs="Times New Roman"/>
        </w:rPr>
        <w:t xml:space="preserve">In section 4.2, </w:t>
      </w:r>
      <w:r w:rsidRPr="00253BE0">
        <w:rPr>
          <w:rFonts w:ascii="Times New Roman" w:hAnsi="Times New Roman" w:cs="Times New Roman"/>
        </w:rPr>
        <w:t xml:space="preserve">EPA describes the number and costs of accidents currently associated with RMP facilities based on RMP accident history, </w:t>
      </w:r>
      <w:r>
        <w:rPr>
          <w:rFonts w:ascii="Times New Roman" w:hAnsi="Times New Roman" w:cs="Times New Roman"/>
        </w:rPr>
        <w:t xml:space="preserve">and </w:t>
      </w:r>
      <w:r w:rsidRPr="00253BE0">
        <w:rPr>
          <w:rFonts w:ascii="Times New Roman" w:hAnsi="Times New Roman" w:cs="Times New Roman"/>
        </w:rPr>
        <w:t>monetizes the costs of damages</w:t>
      </w:r>
      <w:r w:rsidR="00D77E2A">
        <w:rPr>
          <w:rFonts w:ascii="Times New Roman" w:hAnsi="Times New Roman" w:cs="Times New Roman"/>
        </w:rPr>
        <w:t xml:space="preserve">, summarized </w:t>
      </w:r>
      <w:r w:rsidR="00DC7373">
        <w:rPr>
          <w:rFonts w:ascii="Times New Roman" w:hAnsi="Times New Roman" w:cs="Times New Roman"/>
        </w:rPr>
        <w:t xml:space="preserve">per year </w:t>
      </w:r>
      <w:r w:rsidR="00DC7373">
        <w:rPr>
          <w:rFonts w:ascii="Times New Roman" w:hAnsi="Times New Roman" w:cs="Times New Roman"/>
        </w:rPr>
        <w:lastRenderedPageBreak/>
        <w:t xml:space="preserve">and per accident </w:t>
      </w:r>
      <w:r w:rsidR="00D77E2A">
        <w:rPr>
          <w:rFonts w:ascii="Times New Roman" w:hAnsi="Times New Roman" w:cs="Times New Roman"/>
        </w:rPr>
        <w:t>in Exhibit 6-2</w:t>
      </w:r>
      <w:r w:rsidRPr="00253BE0">
        <w:rPr>
          <w:rFonts w:ascii="Times New Roman" w:hAnsi="Times New Roman" w:cs="Times New Roman"/>
        </w:rPr>
        <w:t>. These accidents do not include a major catastrophe (e.g.</w:t>
      </w:r>
      <w:r>
        <w:rPr>
          <w:rFonts w:ascii="Times New Roman" w:hAnsi="Times New Roman" w:cs="Times New Roman"/>
        </w:rPr>
        <w:t>,</w:t>
      </w:r>
      <w:r w:rsidRPr="00253BE0">
        <w:rPr>
          <w:rFonts w:ascii="Times New Roman" w:hAnsi="Times New Roman" w:cs="Times New Roman"/>
        </w:rPr>
        <w:t xml:space="preserve"> an accident on the scale</w:t>
      </w:r>
      <w:r>
        <w:rPr>
          <w:rFonts w:ascii="Times New Roman" w:hAnsi="Times New Roman" w:cs="Times New Roman"/>
        </w:rPr>
        <w:t xml:space="preserve"> of </w:t>
      </w:r>
      <w:r w:rsidRPr="00253BE0">
        <w:rPr>
          <w:rFonts w:ascii="Times New Roman" w:hAnsi="Times New Roman" w:cs="Times New Roman"/>
        </w:rPr>
        <w:t xml:space="preserve">Bhopal). </w:t>
      </w:r>
    </w:p>
    <w:p w:rsidR="009144B6" w:rsidP="003109F9" w:rsidRDefault="009144B6" w14:paraId="54511D11" w14:textId="77777777">
      <w:pPr>
        <w:spacing w:after="0" w:line="240" w:lineRule="auto"/>
        <w:ind w:firstLine="720"/>
        <w:rPr>
          <w:rFonts w:ascii="Times New Roman" w:hAnsi="Times New Roman" w:cs="Times New Roman"/>
        </w:rPr>
      </w:pPr>
    </w:p>
    <w:p w:rsidR="00C2785A" w:rsidP="001C0658" w:rsidRDefault="00E93325" w14:paraId="742817D5" w14:textId="37D6A7E9">
      <w:pPr>
        <w:spacing w:after="0" w:line="240" w:lineRule="auto"/>
        <w:ind w:left="360" w:hanging="360"/>
        <w:jc w:val="center"/>
        <w:rPr>
          <w:rFonts w:ascii="Times New Roman" w:hAnsi="Times New Roman" w:cs="Times New Roman"/>
          <w:b/>
        </w:rPr>
      </w:pPr>
      <w:r w:rsidRPr="001C0658">
        <w:rPr>
          <w:rFonts w:ascii="Times New Roman" w:hAnsi="Times New Roman" w:cs="Times New Roman"/>
          <w:b/>
        </w:rPr>
        <w:t>Exhibit</w:t>
      </w:r>
      <w:r>
        <w:t xml:space="preserve"> </w:t>
      </w:r>
      <w:r w:rsidRPr="00BF42A8">
        <w:rPr>
          <w:rFonts w:ascii="Times New Roman" w:hAnsi="Times New Roman" w:cs="Times New Roman"/>
          <w:b/>
        </w:rPr>
        <w:t>6-</w:t>
      </w:r>
      <w:r w:rsidR="00D77E2A">
        <w:rPr>
          <w:rFonts w:ascii="Times New Roman" w:hAnsi="Times New Roman" w:cs="Times New Roman"/>
          <w:b/>
        </w:rPr>
        <w:t>2</w:t>
      </w:r>
      <w:r w:rsidRPr="00BF42A8">
        <w:rPr>
          <w:rFonts w:ascii="Times New Roman" w:hAnsi="Times New Roman" w:cs="Times New Roman"/>
          <w:b/>
        </w:rPr>
        <w:t xml:space="preserve">: Monetized </w:t>
      </w:r>
      <w:r w:rsidR="00B62D73">
        <w:rPr>
          <w:rFonts w:ascii="Times New Roman" w:hAnsi="Times New Roman" w:cs="Times New Roman"/>
          <w:b/>
        </w:rPr>
        <w:t>Average</w:t>
      </w:r>
      <w:r w:rsidRPr="00BF42A8">
        <w:rPr>
          <w:rFonts w:ascii="Times New Roman" w:hAnsi="Times New Roman" w:cs="Times New Roman"/>
          <w:b/>
        </w:rPr>
        <w:t xml:space="preserve"> per Year and</w:t>
      </w:r>
      <w:r>
        <w:rPr>
          <w:rFonts w:ascii="Times New Roman" w:hAnsi="Times New Roman" w:cs="Times New Roman"/>
          <w:b/>
        </w:rPr>
        <w:t xml:space="preserve"> </w:t>
      </w:r>
      <w:r w:rsidRPr="00BF42A8" w:rsidR="00C867FF">
        <w:rPr>
          <w:rFonts w:ascii="Times New Roman" w:hAnsi="Times New Roman" w:cs="Times New Roman"/>
          <w:b/>
        </w:rPr>
        <w:t xml:space="preserve">per </w:t>
      </w:r>
      <w:r w:rsidRPr="00BF42A8">
        <w:rPr>
          <w:rFonts w:ascii="Times New Roman" w:hAnsi="Times New Roman" w:cs="Times New Roman"/>
          <w:b/>
        </w:rPr>
        <w:t xml:space="preserve">Accident </w:t>
      </w:r>
      <w:r w:rsidR="008A1BD5">
        <w:rPr>
          <w:rFonts w:ascii="Times New Roman" w:hAnsi="Times New Roman" w:cs="Times New Roman"/>
          <w:b/>
        </w:rPr>
        <w:t>Costs</w:t>
      </w:r>
      <w:r w:rsidR="00EA4E87">
        <w:rPr>
          <w:rFonts w:ascii="Times New Roman" w:hAnsi="Times New Roman" w:cs="Times New Roman"/>
          <w:b/>
        </w:rPr>
        <w:t xml:space="preserve"> for</w:t>
      </w:r>
    </w:p>
    <w:p w:rsidR="00E93325" w:rsidP="008A1BD5" w:rsidRDefault="003D32D3" w14:paraId="5BF403FD" w14:textId="4995D89E">
      <w:pPr>
        <w:spacing w:after="0" w:line="240" w:lineRule="auto"/>
        <w:ind w:left="360" w:hanging="360"/>
        <w:jc w:val="center"/>
        <w:rPr>
          <w:rFonts w:ascii="Times New Roman" w:hAnsi="Times New Roman" w:cs="Times New Roman"/>
          <w:b/>
        </w:rPr>
      </w:pPr>
      <w:r w:rsidRPr="00BF42A8">
        <w:rPr>
          <w:rFonts w:ascii="Times New Roman" w:hAnsi="Times New Roman" w:cs="Times New Roman"/>
          <w:b/>
        </w:rPr>
        <w:t>2016-2020</w:t>
      </w:r>
      <w:r w:rsidRPr="00BF42A8" w:rsidR="00C82B74">
        <w:rPr>
          <w:rFonts w:ascii="Times New Roman" w:hAnsi="Times New Roman" w:cs="Times New Roman"/>
          <w:b/>
        </w:rPr>
        <w:t xml:space="preserve"> (millions, 2020 dollars</w:t>
      </w:r>
      <w:r w:rsidRPr="00BF42A8" w:rsidR="001C0658">
        <w:rPr>
          <w:rFonts w:ascii="Times New Roman" w:hAnsi="Times New Roman" w:cs="Times New Roman"/>
          <w:b/>
        </w:rPr>
        <w:t>)</w:t>
      </w:r>
      <w:r w:rsidR="001C0658">
        <w:rPr>
          <w:rFonts w:ascii="Times New Roman" w:hAnsi="Times New Roman" w:cs="Times New Roman"/>
          <w:b/>
        </w:rPr>
        <w:t>.</w:t>
      </w:r>
    </w:p>
    <w:p w:rsidRPr="00BF42A8" w:rsidR="001C0658" w:rsidP="001C0658" w:rsidRDefault="001C0658" w14:paraId="1ED000D7" w14:textId="77777777">
      <w:pPr>
        <w:spacing w:after="0" w:line="240" w:lineRule="auto"/>
        <w:ind w:left="1791" w:right="1790"/>
        <w:jc w:val="center"/>
        <w:rPr>
          <w:rFonts w:ascii="Times New Roman" w:hAnsi="Times New Roman" w:cs="Times New Roman"/>
          <w:b/>
        </w:rPr>
      </w:pPr>
    </w:p>
    <w:tbl>
      <w:tblPr>
        <w:tblW w:w="5161" w:type="dxa"/>
        <w:jc w:val="center"/>
        <w:tblLook w:val="04A0" w:firstRow="1" w:lastRow="0" w:firstColumn="1" w:lastColumn="0" w:noHBand="0" w:noVBand="1"/>
      </w:tblPr>
      <w:tblGrid>
        <w:gridCol w:w="1774"/>
        <w:gridCol w:w="1649"/>
        <w:gridCol w:w="1738"/>
      </w:tblGrid>
      <w:tr w:rsidRPr="00BF42A8" w:rsidR="00EA4E87" w:rsidTr="00B039F7" w14:paraId="54CCF7B5" w14:textId="18278573">
        <w:trPr>
          <w:trHeight w:val="220"/>
          <w:tblHeader/>
          <w:jc w:val="center"/>
        </w:trPr>
        <w:tc>
          <w:tcPr>
            <w:tcW w:w="1774"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1C0658" w:rsidR="00EA4E87" w:rsidP="00791934" w:rsidRDefault="00EA4E87" w14:paraId="5AA482DE"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w:t>
            </w:r>
          </w:p>
        </w:tc>
        <w:tc>
          <w:tcPr>
            <w:tcW w:w="1649"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EA4E87" w:rsidP="00791934" w:rsidRDefault="00EA4E87" w14:paraId="7179FF45"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Average/Year</w:t>
            </w:r>
          </w:p>
        </w:tc>
        <w:tc>
          <w:tcPr>
            <w:tcW w:w="1738" w:type="dxa"/>
            <w:tcBorders>
              <w:top w:val="single" w:color="000000" w:sz="8" w:space="0"/>
              <w:left w:val="nil"/>
              <w:bottom w:val="single" w:color="000000" w:sz="8" w:space="0"/>
              <w:right w:val="single" w:color="000000" w:sz="8" w:space="0"/>
            </w:tcBorders>
            <w:shd w:val="clear" w:color="000000" w:fill="D9D9D9"/>
            <w:vAlign w:val="center"/>
            <w:hideMark/>
          </w:tcPr>
          <w:p w:rsidRPr="001C0658" w:rsidR="00EA4E87" w:rsidP="00791934" w:rsidRDefault="00EA4E87" w14:paraId="7042FC10" w14:textId="77777777">
            <w:pPr>
              <w:spacing w:after="0" w:line="240" w:lineRule="auto"/>
              <w:jc w:val="center"/>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Average/Accident</w:t>
            </w:r>
          </w:p>
        </w:tc>
      </w:tr>
      <w:tr w:rsidRPr="00BF42A8" w:rsidR="00EA4E87" w:rsidTr="00727FE4" w14:paraId="1B51D594" w14:textId="3EB4416C">
        <w:trPr>
          <w:trHeight w:val="179"/>
          <w:jc w:val="center"/>
        </w:trPr>
        <w:tc>
          <w:tcPr>
            <w:tcW w:w="5161" w:type="dxa"/>
            <w:gridSpan w:val="3"/>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EA4E87" w:rsidP="00791934" w:rsidRDefault="00EA4E87" w14:paraId="1B9F6075" w14:textId="29D86182">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Onsite</w:t>
            </w:r>
          </w:p>
        </w:tc>
      </w:tr>
      <w:tr w:rsidRPr="00BF42A8" w:rsidR="00EA4E87" w:rsidTr="00B039F7" w14:paraId="4370A864" w14:textId="56C36BDA">
        <w:trPr>
          <w:trHeight w:val="157"/>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2D7B4EFB"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371D395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$22.32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772E39E9"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$0.23 </w:t>
            </w:r>
          </w:p>
        </w:tc>
      </w:tr>
      <w:tr w:rsidRPr="00BF42A8" w:rsidR="00EA4E87" w:rsidTr="00B039F7" w14:paraId="531988B1" w14:textId="1D50AC80">
        <w:trPr>
          <w:trHeight w:val="157"/>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53F8CAD6"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Injuries</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36235621"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$5.50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04ABEFC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$0.06 </w:t>
            </w:r>
          </w:p>
        </w:tc>
      </w:tr>
      <w:tr w:rsidRPr="00BF42A8" w:rsidR="00EA4E87" w:rsidTr="00B039F7" w14:paraId="27C6568F" w14:textId="579B2CD1">
        <w:trPr>
          <w:trHeight w:val="308"/>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159DD661"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1EEDCAD5" w14:textId="21D0DB21">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$406.20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238B083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$4.16 </w:t>
            </w:r>
          </w:p>
        </w:tc>
      </w:tr>
      <w:tr w:rsidRPr="00BF42A8" w:rsidR="00EA4E87" w:rsidTr="00B039F7" w14:paraId="6CB3A73D" w14:textId="7FC05F8D">
        <w:trPr>
          <w:trHeight w:val="424"/>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7EF3711B" w14:textId="3ADD4E45">
            <w:pPr>
              <w:spacing w:after="0" w:line="240" w:lineRule="auto"/>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Onsite Total</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40B1F053"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$434.02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055D708E"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$4.45 </w:t>
            </w:r>
          </w:p>
        </w:tc>
      </w:tr>
      <w:tr w:rsidRPr="00BF42A8" w:rsidR="00EA4E87" w:rsidTr="00341C18" w14:paraId="4D199416" w14:textId="3AC8F4FC">
        <w:trPr>
          <w:trHeight w:val="157"/>
          <w:jc w:val="center"/>
        </w:trPr>
        <w:tc>
          <w:tcPr>
            <w:tcW w:w="5161" w:type="dxa"/>
            <w:gridSpan w:val="3"/>
            <w:tcBorders>
              <w:top w:val="single" w:color="000000" w:sz="8" w:space="0"/>
              <w:left w:val="single" w:color="000000" w:sz="8" w:space="0"/>
              <w:bottom w:val="single" w:color="000000" w:sz="8" w:space="0"/>
              <w:right w:val="single" w:color="000000" w:sz="8" w:space="0"/>
            </w:tcBorders>
            <w:shd w:val="clear" w:color="000000" w:fill="F1F1F1"/>
            <w:vAlign w:val="center"/>
            <w:hideMark/>
          </w:tcPr>
          <w:p w:rsidRPr="001C0658" w:rsidR="00EA4E87" w:rsidP="00791934" w:rsidRDefault="00EA4E87" w14:paraId="3B216B4A" w14:textId="6BFBBF37">
            <w:pPr>
              <w:spacing w:after="0" w:line="240" w:lineRule="auto"/>
              <w:rPr>
                <w:rFonts w:ascii="Times New Roman" w:hAnsi="Times New Roman" w:eastAsia="Times New Roman" w:cs="Times New Roman"/>
                <w:b/>
                <w:color w:val="000000"/>
                <w:sz w:val="20"/>
                <w:szCs w:val="20"/>
              </w:rPr>
            </w:pPr>
            <w:r w:rsidRPr="001C0658">
              <w:rPr>
                <w:rFonts w:ascii="Times New Roman" w:hAnsi="Times New Roman" w:eastAsia="Times New Roman" w:cs="Times New Roman"/>
                <w:b/>
                <w:color w:val="000000"/>
                <w:sz w:val="20"/>
                <w:szCs w:val="20"/>
              </w:rPr>
              <w:t>Offsite</w:t>
            </w:r>
          </w:p>
        </w:tc>
      </w:tr>
      <w:tr w:rsidRPr="00BF42A8" w:rsidR="00EA4E87" w:rsidTr="00B039F7" w14:paraId="6C81D1F3" w14:textId="01B0B131">
        <w:trPr>
          <w:trHeight w:val="204"/>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6952F871"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Fatalities</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652A4C4C"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22BDF58C"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r>
      <w:tr w:rsidRPr="00BF42A8" w:rsidR="00EA4E87" w:rsidTr="00B039F7" w14:paraId="6213CF00" w14:textId="7735206F">
        <w:trPr>
          <w:trHeight w:val="236"/>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4B604C2A"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Hospitalizations</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7FC4BA6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$0.28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392F2E66" w14:textId="40F47015">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$0.00</w:t>
            </w:r>
          </w:p>
        </w:tc>
      </w:tr>
      <w:tr w:rsidRPr="00BF42A8" w:rsidR="00EA4E87" w:rsidTr="00B039F7" w14:paraId="14433239" w14:textId="544E212B">
        <w:trPr>
          <w:trHeight w:val="308"/>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2CF92BF0"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Medical Treatment</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4AFD77F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$0.03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78EF6D5B" w14:textId="7C7CB8AE">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$0.00 </w:t>
            </w:r>
          </w:p>
        </w:tc>
      </w:tr>
      <w:tr w:rsidRPr="00BF42A8" w:rsidR="00EA4E87" w:rsidTr="00B039F7" w14:paraId="43F972E3" w14:textId="4725992B">
        <w:trPr>
          <w:trHeight w:val="157"/>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70EA796A"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Evacuations*</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35730B3B"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$2.83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1982A4D0" w14:textId="57C5F05B">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$0.0</w:t>
            </w:r>
            <w:r>
              <w:rPr>
                <w:rFonts w:ascii="Times New Roman" w:hAnsi="Times New Roman" w:eastAsia="Times New Roman" w:cs="Times New Roman"/>
                <w:color w:val="000000"/>
                <w:sz w:val="20"/>
                <w:szCs w:val="20"/>
              </w:rPr>
              <w:t>3</w:t>
            </w:r>
          </w:p>
        </w:tc>
      </w:tr>
      <w:tr w:rsidRPr="00BF42A8" w:rsidR="00EA4E87" w:rsidTr="00B039F7" w14:paraId="42AFE3EA" w14:textId="6C9AB4C7">
        <w:trPr>
          <w:trHeight w:val="308"/>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53B95890"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Sheltering in Place*</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4542912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$1.88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25C64774" w14:textId="5FA2CAB8">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$0.0</w:t>
            </w:r>
            <w:r>
              <w:rPr>
                <w:rFonts w:ascii="Times New Roman" w:hAnsi="Times New Roman" w:eastAsia="Times New Roman" w:cs="Times New Roman"/>
                <w:color w:val="000000"/>
                <w:sz w:val="20"/>
                <w:szCs w:val="20"/>
              </w:rPr>
              <w:t>2</w:t>
            </w:r>
            <w:r w:rsidRPr="001C0658">
              <w:rPr>
                <w:rFonts w:ascii="Times New Roman" w:hAnsi="Times New Roman" w:eastAsia="Times New Roman" w:cs="Times New Roman"/>
                <w:color w:val="000000"/>
                <w:sz w:val="20"/>
                <w:szCs w:val="20"/>
              </w:rPr>
              <w:t xml:space="preserve"> </w:t>
            </w:r>
          </w:p>
        </w:tc>
      </w:tr>
      <w:tr w:rsidRPr="00BF42A8" w:rsidR="00EA4E87" w:rsidTr="00B039F7" w14:paraId="5A73AEAC" w14:textId="105D55A4">
        <w:trPr>
          <w:trHeight w:val="308"/>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70C75961" w14:textId="77777777">
            <w:pPr>
              <w:spacing w:after="0" w:line="240" w:lineRule="auto"/>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Property Damage</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2BB225CC" w14:textId="44ED6D9A">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$38.31**</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6C60D90D"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color w:val="000000"/>
                <w:sz w:val="20"/>
                <w:szCs w:val="20"/>
              </w:rPr>
              <w:t xml:space="preserve">$0.39 </w:t>
            </w:r>
          </w:p>
        </w:tc>
      </w:tr>
      <w:tr w:rsidRPr="00BF42A8" w:rsidR="00EA4E87" w:rsidTr="00B039F7" w14:paraId="4677F9EA" w14:textId="1A1BD869">
        <w:trPr>
          <w:trHeight w:val="465"/>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2300EC81" w14:textId="7FB797CC">
            <w:pPr>
              <w:spacing w:after="0" w:line="240" w:lineRule="auto"/>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Offsite Total</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0747FF52"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$43.32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701A92A0" w14:textId="77777777">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$0.44 </w:t>
            </w:r>
          </w:p>
        </w:tc>
      </w:tr>
      <w:tr w:rsidRPr="00BF42A8" w:rsidR="00EA4E87" w:rsidTr="00B039F7" w14:paraId="6C6F5F0D" w14:textId="0C091891">
        <w:trPr>
          <w:trHeight w:val="157"/>
          <w:jc w:val="center"/>
        </w:trPr>
        <w:tc>
          <w:tcPr>
            <w:tcW w:w="1774" w:type="dxa"/>
            <w:tcBorders>
              <w:top w:val="nil"/>
              <w:left w:val="single" w:color="000000" w:sz="8" w:space="0"/>
              <w:bottom w:val="single" w:color="000000" w:sz="8" w:space="0"/>
              <w:right w:val="single" w:color="000000" w:sz="8" w:space="0"/>
            </w:tcBorders>
            <w:shd w:val="clear" w:color="auto" w:fill="auto"/>
            <w:vAlign w:val="center"/>
            <w:hideMark/>
          </w:tcPr>
          <w:p w:rsidRPr="001C0658" w:rsidR="00EA4E87" w:rsidP="00791934" w:rsidRDefault="00EA4E87" w14:paraId="03BB4E2B" w14:textId="77777777">
            <w:pPr>
              <w:spacing w:after="0" w:line="240" w:lineRule="auto"/>
              <w:jc w:val="center"/>
              <w:rPr>
                <w:rFonts w:ascii="Times New Roman" w:hAnsi="Times New Roman" w:cs="Times New Roman"/>
                <w:b/>
                <w:color w:val="000000"/>
                <w:sz w:val="20"/>
                <w:szCs w:val="20"/>
              </w:rPr>
            </w:pPr>
            <w:r w:rsidRPr="001C0658">
              <w:rPr>
                <w:rFonts w:ascii="Times New Roman" w:hAnsi="Times New Roman" w:cs="Times New Roman"/>
                <w:b/>
                <w:color w:val="000000"/>
                <w:sz w:val="20"/>
                <w:szCs w:val="20"/>
              </w:rPr>
              <w:t>Total</w:t>
            </w:r>
          </w:p>
        </w:tc>
        <w:tc>
          <w:tcPr>
            <w:tcW w:w="1649"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6D38B2FC" w14:textId="5E6A0E95">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$477.34 </w:t>
            </w:r>
          </w:p>
        </w:tc>
        <w:tc>
          <w:tcPr>
            <w:tcW w:w="1738" w:type="dxa"/>
            <w:tcBorders>
              <w:top w:val="nil"/>
              <w:left w:val="nil"/>
              <w:bottom w:val="single" w:color="000000" w:sz="8" w:space="0"/>
              <w:right w:val="single" w:color="000000" w:sz="8" w:space="0"/>
            </w:tcBorders>
            <w:shd w:val="clear" w:color="auto" w:fill="auto"/>
            <w:vAlign w:val="center"/>
            <w:hideMark/>
          </w:tcPr>
          <w:p w:rsidRPr="001C0658" w:rsidR="00EA4E87" w:rsidP="00791934" w:rsidRDefault="00EA4E87" w14:paraId="333752C7" w14:textId="08CA9B2A">
            <w:pPr>
              <w:spacing w:after="0" w:line="240" w:lineRule="auto"/>
              <w:jc w:val="center"/>
              <w:rPr>
                <w:rFonts w:ascii="Times New Roman" w:hAnsi="Times New Roman" w:eastAsia="Times New Roman" w:cs="Times New Roman"/>
                <w:color w:val="000000"/>
                <w:sz w:val="20"/>
                <w:szCs w:val="20"/>
              </w:rPr>
            </w:pPr>
            <w:r w:rsidRPr="001C0658">
              <w:rPr>
                <w:rFonts w:ascii="Times New Roman" w:hAnsi="Times New Roman" w:eastAsia="Times New Roman" w:cs="Times New Roman"/>
                <w:b/>
                <w:color w:val="000000"/>
                <w:sz w:val="20"/>
                <w:szCs w:val="20"/>
              </w:rPr>
              <w:t xml:space="preserve">$4.89 </w:t>
            </w:r>
          </w:p>
        </w:tc>
      </w:tr>
    </w:tbl>
    <w:p w:rsidRPr="009A22FE" w:rsidR="000270D1" w:rsidP="00BF42A8" w:rsidRDefault="00DB11C2" w14:paraId="34DAB8BC" w14:textId="414D85A9">
      <w:pPr>
        <w:spacing w:after="0" w:line="240" w:lineRule="auto"/>
        <w:rPr>
          <w:rFonts w:ascii="Times New Roman" w:hAnsi="Times New Roman" w:cs="Times New Roman"/>
          <w:sz w:val="20"/>
          <w:szCs w:val="20"/>
        </w:rPr>
      </w:pPr>
      <w:r w:rsidRPr="009A22FE">
        <w:rPr>
          <w:rFonts w:ascii="Times New Roman" w:hAnsi="Times New Roman" w:cs="Times New Roman"/>
          <w:sz w:val="20"/>
          <w:szCs w:val="20"/>
        </w:rPr>
        <w:t>*</w:t>
      </w:r>
      <w:r w:rsidRPr="009A22FE" w:rsidR="005A4E68">
        <w:rPr>
          <w:rFonts w:ascii="Times New Roman" w:hAnsi="Times New Roman" w:cs="Times New Roman"/>
          <w:sz w:val="20"/>
          <w:szCs w:val="20"/>
        </w:rPr>
        <w:t xml:space="preserve">The unit value for evacuations and sheltering in place </w:t>
      </w:r>
      <w:r w:rsidRPr="009A22FE">
        <w:rPr>
          <w:rFonts w:ascii="Times New Roman" w:hAnsi="Times New Roman" w:cs="Times New Roman"/>
          <w:sz w:val="20"/>
          <w:szCs w:val="20"/>
        </w:rPr>
        <w:t>are</w:t>
      </w:r>
      <w:r w:rsidRPr="009A22FE" w:rsidR="005A4E68">
        <w:rPr>
          <w:rFonts w:ascii="Times New Roman" w:hAnsi="Times New Roman" w:cs="Times New Roman"/>
          <w:sz w:val="20"/>
          <w:szCs w:val="20"/>
        </w:rPr>
        <w:t xml:space="preserve"> less than </w:t>
      </w:r>
      <w:r w:rsidRPr="009A22FE" w:rsidR="00142B66">
        <w:rPr>
          <w:rFonts w:ascii="Times New Roman" w:hAnsi="Times New Roman" w:cs="Times New Roman"/>
          <w:sz w:val="20"/>
          <w:szCs w:val="20"/>
        </w:rPr>
        <w:t>$</w:t>
      </w:r>
      <w:r w:rsidRPr="009A22FE">
        <w:rPr>
          <w:rFonts w:ascii="Times New Roman" w:hAnsi="Times New Roman" w:cs="Times New Roman"/>
          <w:sz w:val="20"/>
          <w:szCs w:val="20"/>
        </w:rPr>
        <w:t>300</w:t>
      </w:r>
      <w:r w:rsidRPr="009A22FE" w:rsidR="005A4E68">
        <w:rPr>
          <w:rFonts w:ascii="Times New Roman" w:hAnsi="Times New Roman" w:cs="Times New Roman"/>
          <w:sz w:val="20"/>
          <w:szCs w:val="20"/>
        </w:rPr>
        <w:t xml:space="preserve"> so when </w:t>
      </w:r>
      <w:r w:rsidRPr="009A22FE" w:rsidR="00142B66">
        <w:rPr>
          <w:rFonts w:ascii="Times New Roman" w:hAnsi="Times New Roman" w:cs="Times New Roman"/>
          <w:sz w:val="20"/>
          <w:szCs w:val="20"/>
        </w:rPr>
        <w:t>presented</w:t>
      </w:r>
      <w:r w:rsidRPr="009A22FE" w:rsidR="005A4E68">
        <w:rPr>
          <w:rFonts w:ascii="Times New Roman" w:hAnsi="Times New Roman" w:cs="Times New Roman"/>
          <w:sz w:val="20"/>
          <w:szCs w:val="20"/>
        </w:rPr>
        <w:t xml:space="preserve"> in rounded </w:t>
      </w:r>
      <w:r w:rsidRPr="009A22FE" w:rsidR="00CD0BF0">
        <w:rPr>
          <w:rFonts w:ascii="Times New Roman" w:hAnsi="Times New Roman" w:cs="Times New Roman"/>
          <w:sz w:val="20"/>
          <w:szCs w:val="20"/>
        </w:rPr>
        <w:t xml:space="preserve">$ </w:t>
      </w:r>
      <w:r w:rsidRPr="009A22FE" w:rsidR="005A4E68">
        <w:rPr>
          <w:rFonts w:ascii="Times New Roman" w:hAnsi="Times New Roman" w:cs="Times New Roman"/>
          <w:sz w:val="20"/>
          <w:szCs w:val="20"/>
        </w:rPr>
        <w:t>millions</w:t>
      </w:r>
      <w:r w:rsidRPr="009A22FE" w:rsidR="00142B66">
        <w:rPr>
          <w:rFonts w:ascii="Times New Roman" w:hAnsi="Times New Roman" w:cs="Times New Roman"/>
          <w:sz w:val="20"/>
          <w:szCs w:val="20"/>
        </w:rPr>
        <w:t>,</w:t>
      </w:r>
      <w:r w:rsidRPr="009A22FE" w:rsidR="005A4E68">
        <w:rPr>
          <w:rFonts w:ascii="Times New Roman" w:hAnsi="Times New Roman" w:cs="Times New Roman"/>
          <w:sz w:val="20"/>
          <w:szCs w:val="20"/>
        </w:rPr>
        <w:t xml:space="preserve"> the value in the table is zero</w:t>
      </w:r>
      <w:r w:rsidRPr="009A22FE">
        <w:rPr>
          <w:rFonts w:ascii="Times New Roman" w:hAnsi="Times New Roman" w:cs="Times New Roman"/>
          <w:sz w:val="20"/>
          <w:szCs w:val="20"/>
        </w:rPr>
        <w:t xml:space="preserve">. </w:t>
      </w:r>
    </w:p>
    <w:p w:rsidRPr="009A22FE" w:rsidR="004476BB" w:rsidP="00BF42A8" w:rsidRDefault="004476BB" w14:paraId="09C2023E" w14:textId="355493F8">
      <w:pPr>
        <w:spacing w:after="0" w:line="240" w:lineRule="auto"/>
        <w:rPr>
          <w:rFonts w:ascii="Times New Roman" w:hAnsi="Times New Roman" w:cs="Times New Roman"/>
          <w:sz w:val="20"/>
          <w:szCs w:val="20"/>
        </w:rPr>
      </w:pPr>
      <w:r w:rsidRPr="009A22FE">
        <w:rPr>
          <w:rFonts w:ascii="Times New Roman" w:hAnsi="Times New Roman" w:cs="Times New Roman"/>
          <w:sz w:val="20"/>
          <w:szCs w:val="20"/>
        </w:rPr>
        <w:t xml:space="preserve">** Large offsite property damage is influenced by high offsite consequences reported </w:t>
      </w:r>
      <w:r w:rsidRPr="009A22FE" w:rsidR="00142B66">
        <w:rPr>
          <w:rFonts w:ascii="Times New Roman" w:hAnsi="Times New Roman" w:cs="Times New Roman"/>
          <w:sz w:val="20"/>
          <w:szCs w:val="20"/>
        </w:rPr>
        <w:t xml:space="preserve">from </w:t>
      </w:r>
      <w:r w:rsidRPr="009A22FE">
        <w:rPr>
          <w:rFonts w:ascii="Times New Roman" w:hAnsi="Times New Roman" w:cs="Times New Roman"/>
          <w:sz w:val="20"/>
          <w:szCs w:val="20"/>
        </w:rPr>
        <w:t xml:space="preserve">the 2019 TPC Group Explosion and Fire </w:t>
      </w:r>
      <w:r w:rsidR="00781DF0">
        <w:rPr>
          <w:rFonts w:ascii="Times New Roman" w:hAnsi="Times New Roman" w:cs="Times New Roman"/>
          <w:sz w:val="18"/>
          <w:szCs w:val="18"/>
        </w:rPr>
        <w:t xml:space="preserve">in Port Neches, TX </w:t>
      </w:r>
      <w:r w:rsidRPr="009A22FE">
        <w:rPr>
          <w:rFonts w:ascii="Times New Roman" w:hAnsi="Times New Roman" w:cs="Times New Roman"/>
          <w:sz w:val="20"/>
          <w:szCs w:val="20"/>
        </w:rPr>
        <w:t xml:space="preserve">(see: </w:t>
      </w:r>
      <w:hyperlink w:history="1" r:id="rId26">
        <w:r w:rsidRPr="009A22FE" w:rsidR="00142B66">
          <w:rPr>
            <w:rStyle w:val="Hyperlink"/>
            <w:rFonts w:ascii="Times New Roman" w:hAnsi="Times New Roman" w:cs="Times New Roman"/>
            <w:sz w:val="20"/>
            <w:szCs w:val="20"/>
          </w:rPr>
          <w:t>https://www.csb.gov/tpc-group-explosion-and-fire/</w:t>
        </w:r>
      </w:hyperlink>
      <w:r w:rsidRPr="009A22FE" w:rsidR="00142B66">
        <w:rPr>
          <w:rFonts w:ascii="Times New Roman" w:hAnsi="Times New Roman" w:cs="Times New Roman"/>
          <w:sz w:val="20"/>
          <w:szCs w:val="20"/>
        </w:rPr>
        <w:t xml:space="preserve"> </w:t>
      </w:r>
      <w:r w:rsidR="0053176C">
        <w:rPr>
          <w:rFonts w:ascii="Times New Roman" w:hAnsi="Times New Roman" w:cs="Times New Roman"/>
          <w:sz w:val="20"/>
          <w:szCs w:val="20"/>
        </w:rPr>
        <w:t>.</w:t>
      </w:r>
    </w:p>
    <w:p w:rsidRPr="00BF42A8" w:rsidR="000270D1" w:rsidP="00BF42A8" w:rsidRDefault="000270D1" w14:paraId="50A39F91" w14:textId="77777777">
      <w:pPr>
        <w:spacing w:after="0" w:line="240" w:lineRule="auto"/>
        <w:rPr>
          <w:rFonts w:ascii="Times New Roman" w:hAnsi="Times New Roman" w:cs="Times New Roman"/>
        </w:rPr>
      </w:pPr>
    </w:p>
    <w:p w:rsidRPr="00AE32BE" w:rsidR="00D77E2A" w:rsidP="00B039F7" w:rsidRDefault="0088694C" w14:paraId="1ADCD26A" w14:textId="7324232F">
      <w:pPr>
        <w:ind w:firstLine="720"/>
        <w:rPr>
          <w:rFonts w:ascii="Times New Roman" w:hAnsi="Times New Roman" w:cs="Times New Roman"/>
        </w:rPr>
      </w:pPr>
      <w:r>
        <w:rPr>
          <w:rFonts w:ascii="Times New Roman" w:hAnsi="Times New Roman" w:eastAsia="Times New Roman" w:cs="Times New Roman"/>
        </w:rPr>
        <w:t>Based on these m</w:t>
      </w:r>
      <w:r w:rsidRPr="0088694C">
        <w:rPr>
          <w:rFonts w:ascii="Times New Roman" w:hAnsi="Times New Roman" w:eastAsia="Times New Roman" w:cs="Times New Roman"/>
        </w:rPr>
        <w:t xml:space="preserve">onetized </w:t>
      </w:r>
      <w:r>
        <w:rPr>
          <w:rFonts w:ascii="Times New Roman" w:hAnsi="Times New Roman" w:eastAsia="Times New Roman" w:cs="Times New Roman"/>
        </w:rPr>
        <w:t>a</w:t>
      </w:r>
      <w:r w:rsidRPr="0088694C">
        <w:rPr>
          <w:rFonts w:ascii="Times New Roman" w:hAnsi="Times New Roman" w:eastAsia="Times New Roman" w:cs="Times New Roman"/>
        </w:rPr>
        <w:t xml:space="preserve">ccident </w:t>
      </w:r>
      <w:r>
        <w:rPr>
          <w:rFonts w:ascii="Times New Roman" w:hAnsi="Times New Roman" w:eastAsia="Times New Roman" w:cs="Times New Roman"/>
        </w:rPr>
        <w:t>c</w:t>
      </w:r>
      <w:r w:rsidRPr="0088694C">
        <w:rPr>
          <w:rFonts w:ascii="Times New Roman" w:hAnsi="Times New Roman" w:eastAsia="Times New Roman" w:cs="Times New Roman"/>
        </w:rPr>
        <w:t>osts</w:t>
      </w:r>
      <w:r>
        <w:rPr>
          <w:rFonts w:ascii="Times New Roman" w:hAnsi="Times New Roman" w:eastAsia="Times New Roman" w:cs="Times New Roman"/>
        </w:rPr>
        <w:t>,</w:t>
      </w:r>
      <w:r w:rsidRPr="0088694C">
        <w:rPr>
          <w:rFonts w:ascii="Times New Roman" w:hAnsi="Times New Roman" w:eastAsia="Times New Roman" w:cs="Times New Roman"/>
        </w:rPr>
        <w:t xml:space="preserve"> </w:t>
      </w:r>
      <w:r w:rsidRPr="0E8A0FAD" w:rsidR="00D77E2A">
        <w:rPr>
          <w:rFonts w:ascii="Times New Roman" w:hAnsi="Times New Roman" w:eastAsia="Times New Roman" w:cs="Times New Roman"/>
        </w:rPr>
        <w:t xml:space="preserve">EPA performed a breakeven analysis to give a sense of the decline in </w:t>
      </w:r>
      <w:r w:rsidRPr="0E8A0FAD" w:rsidR="00D77E2A">
        <w:rPr>
          <w:rFonts w:ascii="Times New Roman" w:hAnsi="Times New Roman" w:cs="Times New Roman"/>
        </w:rPr>
        <w:t>damages from accidents that would be needed to equal, or offset, the estimated costs of the proposed rule. EPA conducted a breakeven analysis instead of a standard cost benefit analysis because while EPA was able to quantify and monetize the costs of the proposed rule, it cannot sufficiently quantify or monetize the benefits. The proposed rule would need to reduce, or mitigate, annual damages valued at approximately $76 million to achieve breakeven.  Alternatively, for the proposed rule to break even on an annual basis given estimated annualized costs of approximately $76 million</w:t>
      </w:r>
      <w:r w:rsidR="00D0099F">
        <w:rPr>
          <w:rFonts w:ascii="Times New Roman" w:hAnsi="Times New Roman" w:cs="Times New Roman"/>
        </w:rPr>
        <w:t xml:space="preserve"> (see Exhibit 5-9)</w:t>
      </w:r>
      <w:r w:rsidRPr="0E8A0FAD" w:rsidR="00D77E2A">
        <w:rPr>
          <w:rFonts w:ascii="Times New Roman" w:hAnsi="Times New Roman" w:cs="Times New Roman"/>
        </w:rPr>
        <w:t xml:space="preserve"> and an estimated number of annual accidents of about 100</w:t>
      </w:r>
      <w:r>
        <w:rPr>
          <w:rFonts w:ascii="Times New Roman" w:hAnsi="Times New Roman" w:cs="Times New Roman"/>
        </w:rPr>
        <w:t xml:space="preserve"> (see </w:t>
      </w:r>
      <w:r w:rsidRPr="0088694C">
        <w:rPr>
          <w:rFonts w:ascii="Times New Roman" w:hAnsi="Times New Roman" w:cs="Times New Roman"/>
        </w:rPr>
        <w:t>Exhibit 3-9</w:t>
      </w:r>
      <w:r>
        <w:rPr>
          <w:rFonts w:ascii="Times New Roman" w:hAnsi="Times New Roman" w:cs="Times New Roman"/>
        </w:rPr>
        <w:t>)</w:t>
      </w:r>
      <w:r w:rsidRPr="0E8A0FAD" w:rsidR="00D77E2A">
        <w:rPr>
          <w:rFonts w:ascii="Times New Roman" w:hAnsi="Times New Roman" w:cs="Times New Roman"/>
        </w:rPr>
        <w:t xml:space="preserve">, fewer than approximately 15 accidents per year, each with average monetized damages of approximately $5 million as estimated for the most recent five-year baseline period, would need to be prevented by the proposed rule. The number fewer than 15 would depend on the value of the unquantified accident damages that would be avoided, including the value of avoided lost productivity, responder costs, transaction costs, negative impacts on property values, environmental damages, and damages related to catastrophic releases. </w:t>
      </w:r>
    </w:p>
    <w:p w:rsidR="00D77E2A" w:rsidP="00D77E2A" w:rsidRDefault="00D77E2A" w14:paraId="2480FBC9" w14:textId="77777777">
      <w:pPr>
        <w:rPr>
          <w:rFonts w:ascii="Times New Roman" w:hAnsi="Times New Roman" w:cs="Times New Roman"/>
        </w:rPr>
      </w:pPr>
      <w:r w:rsidRPr="00AE32BE">
        <w:rPr>
          <w:rFonts w:ascii="Times New Roman" w:hAnsi="Times New Roman" w:cs="Times New Roman"/>
        </w:rPr>
        <w:tab/>
        <w:t xml:space="preserve">This analysis requires EPA to note several caveats. First, the monetized value per accident is highly variable. For example, the average per accident damage </w:t>
      </w:r>
      <w:r w:rsidRPr="00D4112A">
        <w:rPr>
          <w:rFonts w:ascii="Times New Roman" w:hAnsi="Times New Roman" w:cs="Times New Roman"/>
        </w:rPr>
        <w:t>estimate of $5 million includes</w:t>
      </w:r>
      <w:r w:rsidRPr="00AE32BE">
        <w:rPr>
          <w:rFonts w:ascii="Times New Roman" w:hAnsi="Times New Roman" w:cs="Times New Roman"/>
        </w:rPr>
        <w:t xml:space="preserve"> values in some accident categories in the five-year baseline that could be considered outliers. These include the total number of offsite individuals evacuated in a single incident, where</w:t>
      </w:r>
      <w:r>
        <w:rPr>
          <w:rFonts w:ascii="Times New Roman" w:hAnsi="Times New Roman" w:cs="Times New Roman"/>
        </w:rPr>
        <w:t>, for example,</w:t>
      </w:r>
      <w:r w:rsidRPr="00AE32BE">
        <w:rPr>
          <w:rFonts w:ascii="Times New Roman" w:hAnsi="Times New Roman" w:cs="Times New Roman"/>
        </w:rPr>
        <w:t xml:space="preserve"> 50,000 people were evacuated for exposure to smoke and particles from a fire at a TPC Group facility in Port Neches, TX, in </w:t>
      </w:r>
      <w:r w:rsidRPr="00AE32BE">
        <w:rPr>
          <w:rFonts w:ascii="Times New Roman" w:hAnsi="Times New Roman" w:cs="Times New Roman"/>
        </w:rPr>
        <w:lastRenderedPageBreak/>
        <w:t>2019. Two accidents in 2019 with approximately 12,000 evacuations and an accident at Benicia, CA in 2017 accounted for 28,000 of that year’s evacuations</w:t>
      </w:r>
      <w:r>
        <w:rPr>
          <w:rFonts w:ascii="Times New Roman" w:hAnsi="Times New Roman" w:cs="Times New Roman"/>
        </w:rPr>
        <w:t>,</w:t>
      </w:r>
      <w:r w:rsidRPr="00AE32BE">
        <w:rPr>
          <w:rFonts w:ascii="Times New Roman" w:hAnsi="Times New Roman" w:cs="Times New Roman"/>
        </w:rPr>
        <w:t xml:space="preserve"> as well. </w:t>
      </w:r>
    </w:p>
    <w:p w:rsidRPr="00AE32BE" w:rsidR="00D77E2A" w:rsidP="00D77E2A" w:rsidRDefault="00D77E2A" w14:paraId="0348083E" w14:textId="77777777">
      <w:pPr>
        <w:rPr>
          <w:rFonts w:ascii="Times New Roman" w:hAnsi="Times New Roman" w:cs="Times New Roman"/>
        </w:rPr>
      </w:pPr>
      <w:r>
        <w:rPr>
          <w:rFonts w:ascii="Times New Roman" w:hAnsi="Times New Roman" w:cs="Times New Roman"/>
        </w:rPr>
        <w:tab/>
      </w:r>
      <w:r w:rsidRPr="00AE32BE">
        <w:rPr>
          <w:rFonts w:ascii="Times New Roman" w:hAnsi="Times New Roman" w:cs="Times New Roman"/>
        </w:rPr>
        <w:t xml:space="preserve">Overall, monetized damages from accidents in the RMP Accident Database from 2016 through 2020 ranged from a low of </w:t>
      </w:r>
      <w:r>
        <w:rPr>
          <w:rFonts w:ascii="Times New Roman" w:hAnsi="Times New Roman" w:cs="Times New Roman"/>
        </w:rPr>
        <w:t xml:space="preserve">$100 in Seaboard Foods LLC in Guymon, OK in 2019 to </w:t>
      </w:r>
      <w:r w:rsidRPr="00AE32BE">
        <w:rPr>
          <w:rFonts w:ascii="Times New Roman" w:hAnsi="Times New Roman" w:cs="Times New Roman"/>
        </w:rPr>
        <w:t xml:space="preserve">a high </w:t>
      </w:r>
      <w:r w:rsidRPr="00D4112A">
        <w:rPr>
          <w:rFonts w:ascii="Times New Roman" w:hAnsi="Times New Roman" w:cs="Times New Roman"/>
        </w:rPr>
        <w:t>of $615.5 million</w:t>
      </w:r>
      <w:r w:rsidRPr="00AE32BE">
        <w:rPr>
          <w:rFonts w:ascii="Times New Roman" w:hAnsi="Times New Roman" w:cs="Times New Roman"/>
        </w:rPr>
        <w:t xml:space="preserve"> in the TPC Group </w:t>
      </w:r>
      <w:r>
        <w:rPr>
          <w:rFonts w:ascii="Times New Roman" w:hAnsi="Times New Roman" w:cs="Times New Roman"/>
        </w:rPr>
        <w:t>facility accident in P</w:t>
      </w:r>
      <w:r w:rsidRPr="00AE32BE">
        <w:rPr>
          <w:rFonts w:ascii="Times New Roman" w:hAnsi="Times New Roman" w:cs="Times New Roman"/>
        </w:rPr>
        <w:t xml:space="preserve">ort Neches, TX </w:t>
      </w:r>
      <w:r>
        <w:rPr>
          <w:rFonts w:ascii="Times New Roman" w:hAnsi="Times New Roman" w:cs="Times New Roman"/>
        </w:rPr>
        <w:t>in 2019.</w:t>
      </w:r>
      <w:r w:rsidRPr="00AE32BE">
        <w:rPr>
          <w:rFonts w:ascii="Times New Roman" w:hAnsi="Times New Roman" w:cs="Times New Roman"/>
        </w:rPr>
        <w:t xml:space="preserve"> The median value for the</w:t>
      </w:r>
      <w:r>
        <w:rPr>
          <w:rFonts w:ascii="Times New Roman" w:hAnsi="Times New Roman" w:cs="Times New Roman"/>
        </w:rPr>
        <w:t xml:space="preserve"> </w:t>
      </w:r>
      <w:r w:rsidRPr="00AE32BE">
        <w:rPr>
          <w:rFonts w:ascii="Times New Roman" w:hAnsi="Times New Roman" w:cs="Times New Roman"/>
        </w:rPr>
        <w:t xml:space="preserve">accidents </w:t>
      </w:r>
      <w:r>
        <w:rPr>
          <w:rFonts w:ascii="Times New Roman" w:hAnsi="Times New Roman" w:cs="Times New Roman"/>
        </w:rPr>
        <w:t xml:space="preserve">with monetized damages which </w:t>
      </w:r>
      <w:r w:rsidRPr="00AE32BE">
        <w:rPr>
          <w:rFonts w:ascii="Times New Roman" w:hAnsi="Times New Roman" w:cs="Times New Roman"/>
        </w:rPr>
        <w:t>EPA analyzed during the 2016-2020 period was $50,000</w:t>
      </w:r>
      <w:r>
        <w:rPr>
          <w:rFonts w:ascii="Times New Roman" w:hAnsi="Times New Roman" w:cs="Times New Roman"/>
        </w:rPr>
        <w:t>, all of which was attributable to o</w:t>
      </w:r>
      <w:r w:rsidRPr="00AE32BE">
        <w:rPr>
          <w:rFonts w:ascii="Times New Roman" w:hAnsi="Times New Roman" w:cs="Times New Roman"/>
        </w:rPr>
        <w:t xml:space="preserve">nsite injuries </w:t>
      </w:r>
      <w:r>
        <w:rPr>
          <w:rFonts w:ascii="Times New Roman" w:hAnsi="Times New Roman" w:cs="Times New Roman"/>
        </w:rPr>
        <w:t xml:space="preserve">(e.g., that </w:t>
      </w:r>
      <w:r w:rsidRPr="00AE32BE">
        <w:rPr>
          <w:rFonts w:ascii="Times New Roman" w:hAnsi="Times New Roman" w:cs="Times New Roman"/>
        </w:rPr>
        <w:t xml:space="preserve">was the only damage category </w:t>
      </w:r>
      <w:r>
        <w:rPr>
          <w:rFonts w:ascii="Times New Roman" w:hAnsi="Times New Roman" w:cs="Times New Roman"/>
        </w:rPr>
        <w:t xml:space="preserve">where fewer than half the accidents reported a non-zero value). </w:t>
      </w:r>
      <w:r w:rsidRPr="00AE32BE">
        <w:rPr>
          <w:rFonts w:ascii="Times New Roman" w:hAnsi="Times New Roman" w:cs="Times New Roman"/>
        </w:rPr>
        <w:t xml:space="preserve"> </w:t>
      </w:r>
    </w:p>
    <w:p w:rsidRPr="00AE32BE" w:rsidR="00D77E2A" w:rsidP="00D77E2A" w:rsidRDefault="00D77E2A" w14:paraId="7D70EB2A" w14:textId="77777777">
      <w:pPr>
        <w:spacing w:after="0" w:line="240" w:lineRule="auto"/>
        <w:rPr>
          <w:rFonts w:ascii="Times New Roman" w:hAnsi="Times New Roman" w:cs="Times New Roman"/>
        </w:rPr>
      </w:pPr>
      <w:r w:rsidRPr="00AE32BE">
        <w:rPr>
          <w:rFonts w:ascii="Times New Roman" w:hAnsi="Times New Roman" w:cs="Times New Roman"/>
        </w:rPr>
        <w:tab/>
        <w:t xml:space="preserve">Finally, when comparing the analysis EPA conducted for this proposed rule with the analyses EPA conducted for the 2017 amendments rule and the 2019 reconsideration rule, the monetized baseline damages are larger for the current proposed rule because damages for the most recent 5-year period, from 2016 to 2020, are high. The estimates of monetized accident damages for the two prior time periods give lower values; for example, the average per year is $275 million for 2004 to </w:t>
      </w:r>
      <w:proofErr w:type="gramStart"/>
      <w:r w:rsidRPr="00AE32BE">
        <w:rPr>
          <w:rFonts w:ascii="Times New Roman" w:hAnsi="Times New Roman" w:cs="Times New Roman"/>
        </w:rPr>
        <w:t>2013, and</w:t>
      </w:r>
      <w:proofErr w:type="gramEnd"/>
      <w:r w:rsidRPr="00AE32BE">
        <w:rPr>
          <w:rFonts w:ascii="Times New Roman" w:hAnsi="Times New Roman" w:cs="Times New Roman"/>
        </w:rPr>
        <w:t xml:space="preserve"> is $214 million for 2014 to 2016. The average per accident is $1.8 million for 2004 to 2013 and is $1.9 million for 2014 to 2016.</w:t>
      </w:r>
      <w:r w:rsidRPr="00AE32BE">
        <w:rPr>
          <w:rStyle w:val="FootnoteReference"/>
          <w:rFonts w:ascii="Times New Roman" w:hAnsi="Times New Roman" w:cs="Times New Roman"/>
        </w:rPr>
        <w:footnoteReference w:id="76"/>
      </w:r>
      <w:r w:rsidRPr="00AE32BE">
        <w:rPr>
          <w:rFonts w:ascii="Times New Roman" w:hAnsi="Times New Roman" w:cs="Times New Roman"/>
        </w:rPr>
        <w:t xml:space="preserve"> As already mentioned, significant contributing factors to the higher values appearing in Exhibit ES-</w:t>
      </w:r>
      <w:r>
        <w:rPr>
          <w:rFonts w:ascii="Times New Roman" w:hAnsi="Times New Roman" w:cs="Times New Roman"/>
        </w:rPr>
        <w:t>3</w:t>
      </w:r>
      <w:r w:rsidRPr="00AE32BE">
        <w:rPr>
          <w:rFonts w:ascii="Times New Roman" w:hAnsi="Times New Roman" w:cs="Times New Roman"/>
        </w:rPr>
        <w:t xml:space="preserve"> estimated for the most recent five-year period are the high property damage and number of evacuations from the TPC Group Chemical Plant explosion and fire in Port Neches, TX in 2019.</w:t>
      </w:r>
    </w:p>
    <w:p w:rsidRPr="00AE32BE" w:rsidR="00D77E2A" w:rsidP="00D77E2A" w:rsidRDefault="00D77E2A" w14:paraId="6FFAB6C0" w14:textId="77777777">
      <w:pPr>
        <w:spacing w:after="0" w:line="240" w:lineRule="auto"/>
        <w:rPr>
          <w:rFonts w:ascii="Times New Roman" w:hAnsi="Times New Roman" w:cs="Times New Roman"/>
        </w:rPr>
      </w:pPr>
    </w:p>
    <w:p w:rsidRPr="00AE32BE" w:rsidR="00D77E2A" w:rsidP="00D77E2A" w:rsidRDefault="00D77E2A" w14:paraId="0041C456" w14:textId="77777777">
      <w:pPr>
        <w:spacing w:after="0" w:line="240" w:lineRule="auto"/>
        <w:rPr>
          <w:rFonts w:ascii="Times New Roman" w:hAnsi="Times New Roman" w:cs="Times New Roman"/>
        </w:rPr>
      </w:pPr>
      <w:r>
        <w:rPr>
          <w:rFonts w:ascii="Times New Roman" w:hAnsi="Times New Roman" w:cs="Times New Roman"/>
        </w:rPr>
        <w:tab/>
      </w:r>
      <w:r w:rsidRPr="00AE32BE">
        <w:rPr>
          <w:rFonts w:ascii="Times New Roman" w:hAnsi="Times New Roman" w:cs="Times New Roman"/>
        </w:rPr>
        <w:t>When considering the rule’s likely benefits that are due to avoiding some portion of the monetized accident impacts, as well as the additional nonmonetized benefits described previously, EPA believes the costs of the rule are reasonable in comparison to anticipated benefits.</w:t>
      </w:r>
    </w:p>
    <w:p w:rsidRPr="00BF42A8" w:rsidR="00E93325" w:rsidP="009128A3" w:rsidRDefault="00716911" w14:paraId="47BDAE65" w14:textId="30A50E80">
      <w:pPr>
        <w:spacing w:after="0" w:line="240" w:lineRule="auto"/>
        <w:ind w:firstLine="360"/>
        <w:rPr>
          <w:rFonts w:ascii="Times New Roman" w:hAnsi="Times New Roman" w:cs="Times New Roman"/>
        </w:rPr>
      </w:pPr>
      <w:bookmarkStart w:name="_bookmark59" w:id="120"/>
      <w:bookmarkEnd w:id="120"/>
      <w:r>
        <w:rPr>
          <w:rFonts w:ascii="Times New Roman" w:hAnsi="Times New Roman" w:cs="Times New Roman"/>
        </w:rPr>
        <w:tab/>
      </w:r>
    </w:p>
    <w:p w:rsidRPr="00BF42A8" w:rsidR="00E93325" w:rsidP="00813745" w:rsidRDefault="00291BC5" w14:paraId="52D82C29" w14:textId="472A028A">
      <w:pPr>
        <w:pStyle w:val="Heading2"/>
      </w:pPr>
      <w:bookmarkStart w:name="_bookmark60" w:id="121"/>
      <w:bookmarkStart w:name="_Toc98856231" w:id="122"/>
      <w:bookmarkStart w:name="_Toc110502761" w:id="123"/>
      <w:bookmarkEnd w:id="121"/>
      <w:r w:rsidRPr="00BF42A8">
        <w:t>6.</w:t>
      </w:r>
      <w:r w:rsidR="0088694C">
        <w:t>3</w:t>
      </w:r>
      <w:r w:rsidRPr="00BF42A8">
        <w:t xml:space="preserve"> </w:t>
      </w:r>
      <w:r w:rsidRPr="00BF42A8" w:rsidR="00E93325">
        <w:t>Avoided</w:t>
      </w:r>
      <w:r w:rsidRPr="00BF42A8" w:rsidR="00E93325">
        <w:rPr>
          <w:spacing w:val="-1"/>
        </w:rPr>
        <w:t xml:space="preserve"> </w:t>
      </w:r>
      <w:r w:rsidRPr="00BF42A8" w:rsidR="00E93325">
        <w:t>Catastrophes</w:t>
      </w:r>
      <w:bookmarkEnd w:id="122"/>
      <w:bookmarkEnd w:id="123"/>
    </w:p>
    <w:p w:rsidRPr="00BF42A8" w:rsidR="00E93325" w:rsidP="009128A3" w:rsidRDefault="00093A65" w14:paraId="3CF978F3" w14:textId="280C53C7">
      <w:pPr>
        <w:spacing w:after="0" w:line="240" w:lineRule="auto"/>
        <w:ind w:firstLine="360"/>
        <w:rPr>
          <w:rFonts w:ascii="Times New Roman" w:hAnsi="Times New Roman" w:cs="Times New Roman"/>
        </w:rPr>
      </w:pPr>
      <w:r>
        <w:rPr>
          <w:rFonts w:ascii="Times New Roman" w:hAnsi="Times New Roman" w:cs="Times New Roman"/>
        </w:rPr>
        <w:tab/>
      </w:r>
      <w:r w:rsidRPr="00BF42A8" w:rsidR="00A96F88">
        <w:rPr>
          <w:rFonts w:ascii="Times New Roman" w:hAnsi="Times New Roman" w:cs="Times New Roman"/>
        </w:rPr>
        <w:t xml:space="preserve">In </w:t>
      </w:r>
      <w:r w:rsidRPr="00BF42A8" w:rsidR="00E93325">
        <w:rPr>
          <w:rFonts w:ascii="Times New Roman" w:hAnsi="Times New Roman" w:cs="Times New Roman"/>
        </w:rPr>
        <w:t>enacting section 112(r), Congress</w:t>
      </w:r>
      <w:r w:rsidRPr="00BF42A8" w:rsidR="00986B28">
        <w:rPr>
          <w:rFonts w:ascii="Times New Roman" w:hAnsi="Times New Roman" w:cs="Times New Roman"/>
        </w:rPr>
        <w:t xml:space="preserve"> </w:t>
      </w:r>
      <w:r w:rsidRPr="00BF42A8" w:rsidR="00E93325">
        <w:rPr>
          <w:rFonts w:ascii="Times New Roman" w:hAnsi="Times New Roman" w:cs="Times New Roman"/>
        </w:rPr>
        <w:t>was focused on catastrophic accidents such as Bhopal, which are extremely rare, but very high consequence events. The large chemical facility accidents that have occurred in the United States and Europe have not approached this level of damage, although it is possible that</w:t>
      </w:r>
      <w:r w:rsidR="00171310">
        <w:rPr>
          <w:rFonts w:ascii="Times New Roman" w:hAnsi="Times New Roman" w:cs="Times New Roman"/>
        </w:rPr>
        <w:t xml:space="preserve"> could happen</w:t>
      </w:r>
      <w:r w:rsidRPr="00BF42A8" w:rsidR="00E93325">
        <w:rPr>
          <w:rFonts w:ascii="Times New Roman" w:hAnsi="Times New Roman" w:cs="Times New Roman"/>
        </w:rPr>
        <w:t>. The single largest chemical accident in the U</w:t>
      </w:r>
      <w:r w:rsidRPr="00BF42A8" w:rsidR="00986B28">
        <w:rPr>
          <w:rFonts w:ascii="Times New Roman" w:hAnsi="Times New Roman" w:cs="Times New Roman"/>
        </w:rPr>
        <w:t>nited States</w:t>
      </w:r>
      <w:r w:rsidRPr="00BF42A8" w:rsidR="00E93325">
        <w:rPr>
          <w:rFonts w:ascii="Times New Roman" w:hAnsi="Times New Roman" w:cs="Times New Roman"/>
        </w:rPr>
        <w:t xml:space="preserve">, the explosion at Phillips in Pasadena, TX, in 1989 killed 23 workers ($197 million in current dollars), injured at least 150 more ($7.5 million), and </w:t>
      </w:r>
      <w:r w:rsidRPr="00BF42A8" w:rsidR="00267462">
        <w:rPr>
          <w:rFonts w:ascii="Times New Roman" w:hAnsi="Times New Roman" w:cs="Times New Roman"/>
        </w:rPr>
        <w:t>caused</w:t>
      </w:r>
      <w:r w:rsidRPr="00BF42A8" w:rsidR="00E93325">
        <w:rPr>
          <w:rFonts w:ascii="Times New Roman" w:hAnsi="Times New Roman" w:cs="Times New Roman"/>
        </w:rPr>
        <w:t xml:space="preserve"> $1.4 billion in property damage.</w:t>
      </w:r>
      <w:r w:rsidRPr="00BF42A8" w:rsidR="00417CC9">
        <w:rPr>
          <w:rStyle w:val="FootnoteReference"/>
          <w:rFonts w:ascii="Times New Roman" w:hAnsi="Times New Roman" w:cs="Times New Roman"/>
        </w:rPr>
        <w:footnoteReference w:id="77"/>
      </w:r>
      <w:r w:rsidRPr="00BF42A8" w:rsidR="00E93325">
        <w:rPr>
          <w:rFonts w:ascii="Times New Roman" w:hAnsi="Times New Roman" w:cs="Times New Roman"/>
        </w:rPr>
        <w:t xml:space="preserve"> The </w:t>
      </w:r>
      <w:r w:rsidRPr="00BF42A8" w:rsidR="005E1343">
        <w:rPr>
          <w:rFonts w:ascii="Times New Roman" w:hAnsi="Times New Roman" w:cs="Times New Roman"/>
        </w:rPr>
        <w:t>five-year</w:t>
      </w:r>
      <w:r w:rsidRPr="00BF42A8" w:rsidR="00E93325">
        <w:rPr>
          <w:rFonts w:ascii="Times New Roman" w:hAnsi="Times New Roman" w:cs="Times New Roman"/>
        </w:rPr>
        <w:t xml:space="preserve"> baseline </w:t>
      </w:r>
      <w:r w:rsidRPr="00BF42A8" w:rsidR="005E1343">
        <w:rPr>
          <w:rFonts w:ascii="Times New Roman" w:hAnsi="Times New Roman" w:cs="Times New Roman"/>
        </w:rPr>
        <w:t xml:space="preserve">period included in this analysis </w:t>
      </w:r>
      <w:r w:rsidRPr="00BF42A8" w:rsidR="00E93325">
        <w:rPr>
          <w:rFonts w:ascii="Times New Roman" w:hAnsi="Times New Roman" w:cs="Times New Roman"/>
        </w:rPr>
        <w:t xml:space="preserve">does </w:t>
      </w:r>
      <w:r w:rsidRPr="00BF42A8" w:rsidR="00DC33A8">
        <w:rPr>
          <w:rFonts w:ascii="Times New Roman" w:hAnsi="Times New Roman" w:cs="Times New Roman"/>
        </w:rPr>
        <w:t>not</w:t>
      </w:r>
      <w:r w:rsidRPr="00BF42A8" w:rsidR="00E93325">
        <w:rPr>
          <w:rFonts w:ascii="Times New Roman" w:hAnsi="Times New Roman" w:cs="Times New Roman"/>
        </w:rPr>
        <w:t xml:space="preserve"> include a major catastrophe</w:t>
      </w:r>
      <w:r w:rsidR="00F70913">
        <w:rPr>
          <w:rFonts w:ascii="Times New Roman" w:hAnsi="Times New Roman" w:cs="Times New Roman"/>
        </w:rPr>
        <w:t xml:space="preserve">, </w:t>
      </w:r>
      <w:r w:rsidRPr="00BF42A8" w:rsidR="00F70913">
        <w:rPr>
          <w:rFonts w:ascii="Times New Roman" w:hAnsi="Times New Roman" w:cs="Times New Roman"/>
        </w:rPr>
        <w:t>nor were any reflected in the Amendments RIA time frame of 2004 to 2013</w:t>
      </w:r>
      <w:r w:rsidRPr="00BF42A8" w:rsidR="00E93325">
        <w:rPr>
          <w:rFonts w:ascii="Times New Roman" w:hAnsi="Times New Roman" w:cs="Times New Roman"/>
        </w:rPr>
        <w:t xml:space="preserve">. If the </w:t>
      </w:r>
      <w:r w:rsidRPr="00BF42A8" w:rsidR="00DC33A8">
        <w:rPr>
          <w:rFonts w:ascii="Times New Roman" w:hAnsi="Times New Roman" w:cs="Times New Roman"/>
        </w:rPr>
        <w:t>proposed</w:t>
      </w:r>
      <w:r w:rsidRPr="00BF42A8" w:rsidR="00E93325">
        <w:rPr>
          <w:rFonts w:ascii="Times New Roman" w:hAnsi="Times New Roman" w:cs="Times New Roman"/>
        </w:rPr>
        <w:t xml:space="preserve"> rule provisions were to prevent or substantially mitigate even one accident of this magnitude, the benefits generated would be dramatic.</w:t>
      </w:r>
    </w:p>
    <w:p w:rsidRPr="00BF42A8" w:rsidR="00582681" w:rsidP="00BF42A8" w:rsidRDefault="00582681" w14:paraId="520F3AEE" w14:textId="77777777">
      <w:pPr>
        <w:spacing w:after="0" w:line="240" w:lineRule="auto"/>
        <w:ind w:firstLine="720"/>
        <w:rPr>
          <w:rFonts w:ascii="Times New Roman" w:hAnsi="Times New Roman" w:cs="Times New Roman"/>
        </w:rPr>
      </w:pPr>
    </w:p>
    <w:p w:rsidR="00E93325" w:rsidP="00813745" w:rsidRDefault="00291BC5" w14:paraId="7D0FE018" w14:textId="7BF6D41A">
      <w:pPr>
        <w:pStyle w:val="Heading2"/>
      </w:pPr>
      <w:bookmarkStart w:name="_bookmark61" w:id="124"/>
      <w:bookmarkStart w:name="_Toc98856232" w:id="125"/>
      <w:bookmarkStart w:name="_Toc110502762" w:id="126"/>
      <w:bookmarkEnd w:id="124"/>
      <w:r w:rsidRPr="00BF42A8">
        <w:t>6.</w:t>
      </w:r>
      <w:r w:rsidR="0088694C">
        <w:t>4</w:t>
      </w:r>
      <w:r w:rsidRPr="00BF42A8">
        <w:t xml:space="preserve"> </w:t>
      </w:r>
      <w:r w:rsidRPr="00BF42A8" w:rsidR="00E93325">
        <w:t>Additional Benefit Categories Associated with Accident Prevention</w:t>
      </w:r>
      <w:r w:rsidRPr="00BF42A8" w:rsidR="00E93325">
        <w:rPr>
          <w:spacing w:val="-28"/>
        </w:rPr>
        <w:t xml:space="preserve"> </w:t>
      </w:r>
      <w:r w:rsidRPr="00BF42A8" w:rsidR="00E93325">
        <w:t>and Mitigation</w:t>
      </w:r>
      <w:bookmarkEnd w:id="125"/>
      <w:bookmarkEnd w:id="126"/>
    </w:p>
    <w:p w:rsidRPr="00BF42A8" w:rsidR="00E93325" w:rsidP="009128A3" w:rsidRDefault="0072688F" w14:paraId="6514FF23" w14:textId="5E2EAB61">
      <w:pPr>
        <w:spacing w:after="0" w:line="240" w:lineRule="auto"/>
        <w:ind w:firstLine="360"/>
        <w:rPr>
          <w:rFonts w:ascii="Times New Roman" w:hAnsi="Times New Roman" w:cs="Times New Roman"/>
        </w:rPr>
      </w:pPr>
      <w:r>
        <w:rPr>
          <w:rFonts w:ascii="Times New Roman" w:hAnsi="Times New Roman" w:cs="Times New Roman"/>
        </w:rPr>
        <w:tab/>
      </w:r>
      <w:r w:rsidRPr="00EE75DA" w:rsidR="005A7DCC">
        <w:rPr>
          <w:rFonts w:ascii="Times New Roman" w:hAnsi="Times New Roman" w:cs="Times New Roman"/>
        </w:rPr>
        <w:t xml:space="preserve">In addition to the </w:t>
      </w:r>
      <w:r w:rsidR="005A7DCC">
        <w:rPr>
          <w:rFonts w:ascii="Times New Roman" w:hAnsi="Times New Roman" w:cs="Times New Roman"/>
        </w:rPr>
        <w:t xml:space="preserve">avoided costs from the reduced likelihood of an </w:t>
      </w:r>
      <w:r w:rsidRPr="00EE75DA" w:rsidR="005A7DCC">
        <w:rPr>
          <w:rFonts w:ascii="Times New Roman" w:hAnsi="Times New Roman" w:cs="Times New Roman"/>
        </w:rPr>
        <w:t>accident</w:t>
      </w:r>
      <w:r w:rsidR="005A7DCC">
        <w:rPr>
          <w:rFonts w:ascii="Times New Roman" w:hAnsi="Times New Roman" w:cs="Times New Roman"/>
        </w:rPr>
        <w:t xml:space="preserve"> or a catastrophe</w:t>
      </w:r>
      <w:r w:rsidRPr="00EE75DA" w:rsidR="005A7DCC">
        <w:rPr>
          <w:rFonts w:ascii="Times New Roman" w:hAnsi="Times New Roman" w:cs="Times New Roman"/>
        </w:rPr>
        <w:t>, the rule</w:t>
      </w:r>
      <w:r w:rsidR="005A7DCC">
        <w:rPr>
          <w:rFonts w:ascii="Times New Roman" w:hAnsi="Times New Roman" w:cs="Times New Roman"/>
        </w:rPr>
        <w:t xml:space="preserve"> would </w:t>
      </w:r>
      <w:r w:rsidR="00E9268D">
        <w:rPr>
          <w:rFonts w:ascii="Times New Roman" w:hAnsi="Times New Roman" w:cs="Times New Roman"/>
        </w:rPr>
        <w:t xml:space="preserve">generate benefits </w:t>
      </w:r>
      <w:r w:rsidR="005A7DCC">
        <w:rPr>
          <w:rFonts w:ascii="Times New Roman" w:hAnsi="Times New Roman" w:cs="Times New Roman"/>
        </w:rPr>
        <w:t>in other</w:t>
      </w:r>
      <w:r w:rsidRPr="00EE75DA" w:rsidR="005A7DCC">
        <w:rPr>
          <w:rFonts w:ascii="Times New Roman" w:hAnsi="Times New Roman" w:cs="Times New Roman"/>
        </w:rPr>
        <w:t xml:space="preserve"> </w:t>
      </w:r>
      <w:r w:rsidRPr="00BF42A8" w:rsidR="005A7DCC">
        <w:rPr>
          <w:rFonts w:ascii="Times New Roman" w:hAnsi="Times New Roman" w:cs="Times New Roman"/>
        </w:rPr>
        <w:t>important benefit categories, including avoided impacts of non-RMP accidents at RMP facilities; the information benefits described above; and additional benefit categories not reported in the RMP data that result from accident prevention and mitigation. Additional benefit categories include lost productivity; avoided responder costs; avoided transaction costs; protected property values; and avoided environmental impacts.</w:t>
      </w:r>
      <w:r w:rsidR="005A7DCC">
        <w:rPr>
          <w:rFonts w:ascii="Times New Roman" w:hAnsi="Times New Roman" w:cs="Times New Roman"/>
        </w:rPr>
        <w:t xml:space="preserve"> </w:t>
      </w:r>
      <w:r w:rsidRPr="00BF42A8" w:rsidR="00E93325">
        <w:rPr>
          <w:rFonts w:ascii="Times New Roman" w:hAnsi="Times New Roman" w:cs="Times New Roman"/>
        </w:rPr>
        <w:t xml:space="preserve">The sections below present a discussion of </w:t>
      </w:r>
      <w:r w:rsidR="005107CD">
        <w:rPr>
          <w:rFonts w:ascii="Times New Roman" w:hAnsi="Times New Roman" w:cs="Times New Roman"/>
        </w:rPr>
        <w:t xml:space="preserve">these additional </w:t>
      </w:r>
      <w:r w:rsidRPr="00BF42A8" w:rsidR="00E93325">
        <w:rPr>
          <w:rFonts w:ascii="Times New Roman" w:hAnsi="Times New Roman" w:cs="Times New Roman"/>
        </w:rPr>
        <w:t>benefit</w:t>
      </w:r>
      <w:r w:rsidR="005107CD">
        <w:rPr>
          <w:rFonts w:ascii="Times New Roman" w:hAnsi="Times New Roman" w:cs="Times New Roman"/>
        </w:rPr>
        <w:t xml:space="preserve"> categorie</w:t>
      </w:r>
      <w:r w:rsidRPr="00BF42A8" w:rsidR="00E93325">
        <w:rPr>
          <w:rFonts w:ascii="Times New Roman" w:hAnsi="Times New Roman" w:cs="Times New Roman"/>
        </w:rPr>
        <w:t>s.</w:t>
      </w:r>
    </w:p>
    <w:p w:rsidRPr="00BF42A8" w:rsidR="00582681" w:rsidP="00BF42A8" w:rsidRDefault="00582681" w14:paraId="087DEB80" w14:textId="77777777">
      <w:pPr>
        <w:spacing w:after="0" w:line="240" w:lineRule="auto"/>
        <w:ind w:firstLine="720"/>
        <w:rPr>
          <w:rFonts w:ascii="Times New Roman" w:hAnsi="Times New Roman" w:cs="Times New Roman"/>
        </w:rPr>
      </w:pPr>
    </w:p>
    <w:p w:rsidR="00D21960" w:rsidP="001F1FDC" w:rsidRDefault="00D21960" w14:paraId="2C7D7A48" w14:textId="77777777">
      <w:pPr>
        <w:spacing w:after="0" w:line="240" w:lineRule="auto"/>
        <w:rPr>
          <w:rFonts w:ascii="Times New Roman" w:hAnsi="Times New Roman" w:cs="Times New Roman"/>
          <w:b/>
        </w:rPr>
      </w:pPr>
    </w:p>
    <w:p w:rsidR="00D21960" w:rsidP="001F1FDC" w:rsidRDefault="00D21960" w14:paraId="096D2D86" w14:textId="77777777">
      <w:pPr>
        <w:spacing w:after="0" w:line="240" w:lineRule="auto"/>
        <w:rPr>
          <w:rFonts w:ascii="Times New Roman" w:hAnsi="Times New Roman" w:cs="Times New Roman"/>
          <w:b/>
        </w:rPr>
      </w:pPr>
    </w:p>
    <w:p w:rsidRPr="00BF42A8" w:rsidR="00E93325" w:rsidP="001F1FDC" w:rsidRDefault="00854171" w14:paraId="44004ED6" w14:textId="64C8E103">
      <w:pPr>
        <w:spacing w:after="0" w:line="240" w:lineRule="auto"/>
        <w:rPr>
          <w:rFonts w:ascii="Times New Roman" w:hAnsi="Times New Roman" w:cs="Times New Roman"/>
          <w:b/>
        </w:rPr>
      </w:pPr>
      <w:r w:rsidRPr="00BF42A8">
        <w:rPr>
          <w:rFonts w:ascii="Times New Roman" w:hAnsi="Times New Roman" w:cs="Times New Roman"/>
          <w:b/>
        </w:rPr>
        <w:lastRenderedPageBreak/>
        <w:t>6.</w:t>
      </w:r>
      <w:r w:rsidR="0088694C">
        <w:rPr>
          <w:rFonts w:ascii="Times New Roman" w:hAnsi="Times New Roman" w:cs="Times New Roman"/>
          <w:b/>
        </w:rPr>
        <w:t>4</w:t>
      </w:r>
      <w:r w:rsidRPr="00BF42A8">
        <w:rPr>
          <w:rFonts w:ascii="Times New Roman" w:hAnsi="Times New Roman" w:cs="Times New Roman"/>
          <w:b/>
        </w:rPr>
        <w:t xml:space="preserve">.1 </w:t>
      </w:r>
      <w:r w:rsidRPr="00BF42A8" w:rsidR="00E93325">
        <w:rPr>
          <w:rFonts w:ascii="Times New Roman" w:hAnsi="Times New Roman" w:cs="Times New Roman"/>
          <w:b/>
        </w:rPr>
        <w:t>Avoided Lost</w:t>
      </w:r>
      <w:r w:rsidRPr="00BF42A8" w:rsidR="00E93325">
        <w:rPr>
          <w:rFonts w:ascii="Times New Roman" w:hAnsi="Times New Roman" w:cs="Times New Roman"/>
          <w:b/>
          <w:spacing w:val="-3"/>
        </w:rPr>
        <w:t xml:space="preserve"> </w:t>
      </w:r>
      <w:r w:rsidRPr="00BF42A8" w:rsidR="00E93325">
        <w:rPr>
          <w:rFonts w:ascii="Times New Roman" w:hAnsi="Times New Roman" w:cs="Times New Roman"/>
          <w:b/>
        </w:rPr>
        <w:t>Productivity</w:t>
      </w:r>
    </w:p>
    <w:p w:rsidR="009128A3" w:rsidP="009128A3" w:rsidRDefault="0072688F" w14:paraId="68944F62" w14:textId="0360EADE">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A major cost associated with some chemical </w:t>
      </w:r>
      <w:r w:rsidR="00B629EE">
        <w:rPr>
          <w:rFonts w:ascii="Times New Roman" w:hAnsi="Times New Roman" w:cs="Times New Roman"/>
        </w:rPr>
        <w:t>accidents</w:t>
      </w:r>
      <w:r w:rsidRPr="00BF42A8" w:rsidR="00E93325">
        <w:rPr>
          <w:rFonts w:ascii="Times New Roman" w:hAnsi="Times New Roman" w:cs="Times New Roman"/>
        </w:rPr>
        <w:t xml:space="preserve"> that is not captured in the </w:t>
      </w:r>
      <w:r w:rsidRPr="00BF42A8" w:rsidR="007479B8">
        <w:rPr>
          <w:rFonts w:ascii="Times New Roman" w:hAnsi="Times New Roman" w:cs="Times New Roman"/>
        </w:rPr>
        <w:t>five-year</w:t>
      </w:r>
      <w:r w:rsidRPr="00BF42A8" w:rsidR="00E93325">
        <w:rPr>
          <w:rFonts w:ascii="Times New Roman" w:hAnsi="Times New Roman" w:cs="Times New Roman"/>
        </w:rPr>
        <w:t>-baseline estimates presented above is the lost productivity that can result if a facility or process unit must be shut down or is destroyed. The RMP data include estimates of property damage but specifically exclude estimates of lost productivity.</w:t>
      </w:r>
      <w:r w:rsidRPr="00BF42A8" w:rsidR="003779BC">
        <w:rPr>
          <w:rStyle w:val="FootnoteReference"/>
          <w:rFonts w:ascii="Times New Roman" w:hAnsi="Times New Roman" w:cs="Times New Roman"/>
        </w:rPr>
        <w:footnoteReference w:id="78"/>
      </w:r>
      <w:r w:rsidRPr="00BF42A8" w:rsidR="00E93325">
        <w:rPr>
          <w:rFonts w:ascii="Times New Roman" w:hAnsi="Times New Roman" w:cs="Times New Roman"/>
        </w:rPr>
        <w:t xml:space="preserve"> EPA has not estimated these costs because of a lack of data. Such costs are highly variable based on the type of release, the extent of the damage, the location of the facility, and product being produced. Marsh, a risk </w:t>
      </w:r>
      <w:proofErr w:type="gramStart"/>
      <w:r w:rsidRPr="00BF42A8" w:rsidR="00E93325">
        <w:rPr>
          <w:rFonts w:ascii="Times New Roman" w:hAnsi="Times New Roman" w:cs="Times New Roman"/>
        </w:rPr>
        <w:t>management</w:t>
      </w:r>
      <w:proofErr w:type="gramEnd"/>
      <w:r w:rsidRPr="00BF42A8" w:rsidR="00E93325">
        <w:rPr>
          <w:rFonts w:ascii="Times New Roman" w:hAnsi="Times New Roman" w:cs="Times New Roman"/>
        </w:rPr>
        <w:t xml:space="preserve"> and energy consultancy, has collected data on 10,000 accidents in the petrochemical sector over 40 years and published 2</w:t>
      </w:r>
      <w:r w:rsidRPr="00BF42A8" w:rsidR="00B857E2">
        <w:rPr>
          <w:rFonts w:ascii="Times New Roman" w:hAnsi="Times New Roman" w:cs="Times New Roman"/>
        </w:rPr>
        <w:t>6</w:t>
      </w:r>
      <w:r w:rsidRPr="00BF42A8" w:rsidR="00E93325">
        <w:rPr>
          <w:rFonts w:ascii="Times New Roman" w:hAnsi="Times New Roman" w:cs="Times New Roman"/>
        </w:rPr>
        <w:t xml:space="preserve"> editions of its “100 Largest Losses” reports. These limited data suggest that lost productivity may range from zero to four to five times the cost of property damage.</w:t>
      </w:r>
      <w:r w:rsidRPr="00BF42A8" w:rsidR="003779BC">
        <w:rPr>
          <w:rStyle w:val="FootnoteReference"/>
          <w:rFonts w:ascii="Times New Roman" w:hAnsi="Times New Roman" w:cs="Times New Roman"/>
        </w:rPr>
        <w:footnoteReference w:id="79"/>
      </w:r>
      <w:r w:rsidRPr="00BF42A8" w:rsidR="00E93325">
        <w:rPr>
          <w:rFonts w:ascii="Times New Roman" w:hAnsi="Times New Roman" w:cs="Times New Roman"/>
        </w:rPr>
        <w:t xml:space="preserve"> Many </w:t>
      </w:r>
      <w:r w:rsidRPr="00BF42A8" w:rsidR="003770F8">
        <w:rPr>
          <w:rFonts w:ascii="Times New Roman" w:hAnsi="Times New Roman" w:cs="Times New Roman"/>
        </w:rPr>
        <w:t xml:space="preserve">chemical </w:t>
      </w:r>
      <w:r w:rsidR="00B629EE">
        <w:rPr>
          <w:rFonts w:ascii="Times New Roman" w:hAnsi="Times New Roman" w:cs="Times New Roman"/>
        </w:rPr>
        <w:t>accidents</w:t>
      </w:r>
      <w:r w:rsidRPr="00BF42A8" w:rsidR="00E93325">
        <w:rPr>
          <w:rFonts w:ascii="Times New Roman" w:hAnsi="Times New Roman" w:cs="Times New Roman"/>
        </w:rPr>
        <w:t xml:space="preserve"> do not result in property damage and, therefore, have a limited impact on business beyond the loss of the chemical itself. Explosions and fires, however, can produce substantial</w:t>
      </w:r>
      <w:r w:rsidRPr="00BF42A8" w:rsidR="00E93325">
        <w:rPr>
          <w:rFonts w:ascii="Times New Roman" w:hAnsi="Times New Roman" w:cs="Times New Roman"/>
          <w:spacing w:val="-3"/>
        </w:rPr>
        <w:t xml:space="preserve"> </w:t>
      </w:r>
      <w:r w:rsidRPr="00BF42A8" w:rsidR="00E93325">
        <w:rPr>
          <w:rFonts w:ascii="Times New Roman" w:hAnsi="Times New Roman" w:cs="Times New Roman"/>
        </w:rPr>
        <w:t>damage.</w:t>
      </w:r>
    </w:p>
    <w:p w:rsidR="0072688F" w:rsidP="009128A3" w:rsidRDefault="0072688F" w14:paraId="10A59346" w14:textId="77777777">
      <w:pPr>
        <w:spacing w:after="0" w:line="240" w:lineRule="auto"/>
        <w:ind w:firstLine="360"/>
        <w:rPr>
          <w:rFonts w:ascii="Times New Roman" w:hAnsi="Times New Roman" w:cs="Times New Roman"/>
        </w:rPr>
      </w:pPr>
    </w:p>
    <w:p w:rsidR="009128A3" w:rsidP="009128A3" w:rsidRDefault="0072688F" w14:paraId="60D10754" w14:textId="04C54438">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The Marsh accident summaries provide examples of the extent of damage and the impact on production as well as the variability in those impacts. One refinery facility had $240 million in damage but continued to operate; another that experienced the same level of damage was shut down for 6 months. Production units affected by major explosions have been shut down for weeks</w:t>
      </w:r>
      <w:r w:rsidRPr="00BF42A8" w:rsidR="00376B96">
        <w:rPr>
          <w:rFonts w:ascii="Times New Roman" w:hAnsi="Times New Roman" w:cs="Times New Roman"/>
        </w:rPr>
        <w:t xml:space="preserve">, </w:t>
      </w:r>
      <w:r w:rsidRPr="00BF42A8" w:rsidR="00E93325">
        <w:rPr>
          <w:rFonts w:ascii="Times New Roman" w:hAnsi="Times New Roman" w:cs="Times New Roman"/>
        </w:rPr>
        <w:t xml:space="preserve">months or more than a year. Some accident reports indicate production continued but at a reduced rate for weeks or </w:t>
      </w:r>
      <w:r w:rsidRPr="00BF42A8" w:rsidR="00E36872">
        <w:rPr>
          <w:rFonts w:ascii="Times New Roman" w:hAnsi="Times New Roman" w:cs="Times New Roman"/>
        </w:rPr>
        <w:t xml:space="preserve">even </w:t>
      </w:r>
      <w:r w:rsidRPr="00BF42A8" w:rsidR="00E93325">
        <w:rPr>
          <w:rFonts w:ascii="Times New Roman" w:hAnsi="Times New Roman" w:cs="Times New Roman"/>
        </w:rPr>
        <w:t>months. A refinery accident that shuts down one or more units will affect the firm involved, especially if it has no other refinery in the area or its other units do not have the capacity to increase production. In some cases, such reduced production may be offset by increased production at other firms. Refining capacity in the U</w:t>
      </w:r>
      <w:r w:rsidR="00C830B2">
        <w:rPr>
          <w:rFonts w:ascii="Times New Roman" w:hAnsi="Times New Roman" w:cs="Times New Roman"/>
        </w:rPr>
        <w:t xml:space="preserve">nited </w:t>
      </w:r>
      <w:r w:rsidRPr="00BF42A8" w:rsidR="00E93325">
        <w:rPr>
          <w:rFonts w:ascii="Times New Roman" w:hAnsi="Times New Roman" w:cs="Times New Roman"/>
        </w:rPr>
        <w:t>S</w:t>
      </w:r>
      <w:r w:rsidR="00C830B2">
        <w:rPr>
          <w:rFonts w:ascii="Times New Roman" w:hAnsi="Times New Roman" w:cs="Times New Roman"/>
        </w:rPr>
        <w:t>tates</w:t>
      </w:r>
      <w:r w:rsidRPr="00BF42A8" w:rsidR="00E93325">
        <w:rPr>
          <w:rFonts w:ascii="Times New Roman" w:hAnsi="Times New Roman" w:cs="Times New Roman"/>
        </w:rPr>
        <w:t xml:space="preserve"> is located primarily in the Gulf Coast and West Coast regions; accidents that shut down units in those areas may be less likely to have economic impacts beyond the firm owning the refinery if other nearby refineries can increase production. However, in some cases regional impacts may</w:t>
      </w:r>
      <w:r w:rsidRPr="00BF42A8" w:rsidR="00E93325">
        <w:rPr>
          <w:rFonts w:ascii="Times New Roman" w:hAnsi="Times New Roman" w:cs="Times New Roman"/>
          <w:spacing w:val="-15"/>
        </w:rPr>
        <w:t xml:space="preserve"> </w:t>
      </w:r>
      <w:r w:rsidRPr="00BF42A8" w:rsidR="00E93325">
        <w:rPr>
          <w:rFonts w:ascii="Times New Roman" w:hAnsi="Times New Roman" w:cs="Times New Roman"/>
        </w:rPr>
        <w:t>occur.</w:t>
      </w:r>
    </w:p>
    <w:p w:rsidR="0072688F" w:rsidP="009128A3" w:rsidRDefault="0072688F" w14:paraId="634E6DE7" w14:textId="77777777">
      <w:pPr>
        <w:spacing w:after="0" w:line="240" w:lineRule="auto"/>
        <w:ind w:firstLine="360"/>
        <w:rPr>
          <w:rFonts w:ascii="Times New Roman" w:hAnsi="Times New Roman" w:cs="Times New Roman"/>
        </w:rPr>
      </w:pPr>
    </w:p>
    <w:p w:rsidR="0072688F" w:rsidP="009128A3" w:rsidRDefault="0072688F" w14:paraId="3244C7C3" w14:textId="000215DB">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According to a RAND Corporation study, lost production capacity resulting from the August 12, </w:t>
      </w:r>
      <w:proofErr w:type="gramStart"/>
      <w:r w:rsidRPr="00BF42A8" w:rsidR="00E93325">
        <w:rPr>
          <w:rFonts w:ascii="Times New Roman" w:hAnsi="Times New Roman" w:cs="Times New Roman"/>
        </w:rPr>
        <w:t>2012</w:t>
      </w:r>
      <w:proofErr w:type="gramEnd"/>
      <w:r w:rsidRPr="00BF42A8" w:rsidR="00E93325">
        <w:rPr>
          <w:rFonts w:ascii="Times New Roman" w:hAnsi="Times New Roman" w:cs="Times New Roman"/>
        </w:rPr>
        <w:t xml:space="preserve"> Chevron Richmond refinery accident cost California consumers an additional $447 million in increased</w:t>
      </w:r>
      <w:r w:rsidRPr="00BF42A8" w:rsidR="003779BC">
        <w:rPr>
          <w:rFonts w:ascii="Times New Roman" w:hAnsi="Times New Roman" w:cs="Times New Roman"/>
        </w:rPr>
        <w:t xml:space="preserve"> </w:t>
      </w:r>
      <w:r w:rsidRPr="00BF42A8" w:rsidR="00E93325">
        <w:rPr>
          <w:rFonts w:ascii="Times New Roman" w:hAnsi="Times New Roman" w:cs="Times New Roman"/>
        </w:rPr>
        <w:t>gasoline costs.</w:t>
      </w:r>
      <w:r w:rsidRPr="00BF42A8" w:rsidR="00E91F27">
        <w:rPr>
          <w:rStyle w:val="FootnoteReference"/>
          <w:rFonts w:ascii="Times New Roman" w:hAnsi="Times New Roman" w:cs="Times New Roman"/>
        </w:rPr>
        <w:footnoteReference w:id="80"/>
      </w:r>
      <w:r w:rsidRPr="00BF42A8" w:rsidR="00E93325">
        <w:rPr>
          <w:rFonts w:ascii="Times New Roman" w:hAnsi="Times New Roman" w:cs="Times New Roman"/>
        </w:rPr>
        <w:t xml:space="preserve"> The study also estimated that the February 18, 2015 accident at ExxonMobil in Torrance cost California consumers more than $2.4 billion due to shutdown of a production unit. In addition to lost production, accidents at refineries in other regions could impose additional social costs because even if other refineries can </w:t>
      </w:r>
      <w:r w:rsidRPr="00BF42A8" w:rsidR="00376B96">
        <w:rPr>
          <w:rFonts w:ascii="Times New Roman" w:hAnsi="Times New Roman" w:cs="Times New Roman"/>
        </w:rPr>
        <w:t xml:space="preserve">increase </w:t>
      </w:r>
      <w:r w:rsidRPr="00BF42A8" w:rsidR="00E93325">
        <w:rPr>
          <w:rFonts w:ascii="Times New Roman" w:hAnsi="Times New Roman" w:cs="Times New Roman"/>
        </w:rPr>
        <w:t>produc</w:t>
      </w:r>
      <w:r w:rsidRPr="00BF42A8" w:rsidR="00376B96">
        <w:rPr>
          <w:rFonts w:ascii="Times New Roman" w:hAnsi="Times New Roman" w:cs="Times New Roman"/>
        </w:rPr>
        <w:t>tion</w:t>
      </w:r>
      <w:r w:rsidR="00C830B2">
        <w:rPr>
          <w:rFonts w:ascii="Times New Roman" w:hAnsi="Times New Roman" w:cs="Times New Roman"/>
        </w:rPr>
        <w:t>,</w:t>
      </w:r>
      <w:r w:rsidRPr="00BF42A8" w:rsidR="00E93325">
        <w:rPr>
          <w:rFonts w:ascii="Times New Roman" w:hAnsi="Times New Roman" w:cs="Times New Roman"/>
        </w:rPr>
        <w:t xml:space="preserve"> higher costs of transporting products longer distances</w:t>
      </w:r>
      <w:r w:rsidRPr="00BF42A8" w:rsidR="00376B96">
        <w:rPr>
          <w:rFonts w:ascii="Times New Roman" w:hAnsi="Times New Roman" w:cs="Times New Roman"/>
        </w:rPr>
        <w:t xml:space="preserve"> may result</w:t>
      </w:r>
      <w:r w:rsidRPr="00BF42A8" w:rsidR="00E93325">
        <w:rPr>
          <w:rFonts w:ascii="Times New Roman" w:hAnsi="Times New Roman" w:cs="Times New Roman"/>
        </w:rPr>
        <w:t>.</w:t>
      </w:r>
    </w:p>
    <w:p w:rsidR="0072688F" w:rsidP="009128A3" w:rsidRDefault="0072688F" w14:paraId="6D04508A" w14:textId="77777777">
      <w:pPr>
        <w:spacing w:after="0" w:line="240" w:lineRule="auto"/>
        <w:ind w:firstLine="360"/>
        <w:rPr>
          <w:rFonts w:ascii="Times New Roman" w:hAnsi="Times New Roman" w:cs="Times New Roman"/>
        </w:rPr>
      </w:pPr>
    </w:p>
    <w:p w:rsidR="00E93325" w:rsidP="009128A3" w:rsidRDefault="00C830B2" w14:paraId="7F43C5C5" w14:textId="4E19A954">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Broader losses could occur in the petrochemical sector where some facilities may be </w:t>
      </w:r>
      <w:r w:rsidRPr="00BF42A8" w:rsidR="00E36872">
        <w:rPr>
          <w:rFonts w:ascii="Times New Roman" w:hAnsi="Times New Roman" w:cs="Times New Roman"/>
        </w:rPr>
        <w:t xml:space="preserve">the sole </w:t>
      </w:r>
      <w:r w:rsidRPr="00BF42A8" w:rsidR="00E93325">
        <w:rPr>
          <w:rFonts w:ascii="Times New Roman" w:hAnsi="Times New Roman" w:cs="Times New Roman"/>
        </w:rPr>
        <w:t xml:space="preserve">source for some products. Even in that sector, however, losses may be limited to the firm involved. For example, the 1989 explosion at the Phillips plant in Pasadena, TX, which destroyed two units at the facility appears to have had a limited impact on the economy even though </w:t>
      </w:r>
      <w:r w:rsidR="001F4839">
        <w:rPr>
          <w:rFonts w:ascii="Times New Roman" w:hAnsi="Times New Roman" w:cs="Times New Roman"/>
        </w:rPr>
        <w:t>the plant</w:t>
      </w:r>
      <w:r w:rsidRPr="00BF42A8" w:rsidR="00E93325">
        <w:rPr>
          <w:rFonts w:ascii="Times New Roman" w:hAnsi="Times New Roman" w:cs="Times New Roman"/>
        </w:rPr>
        <w:t xml:space="preserve"> was the only domestic source for one product.</w:t>
      </w:r>
      <w:r w:rsidRPr="00BF42A8" w:rsidR="00E91F27">
        <w:rPr>
          <w:rStyle w:val="FootnoteReference"/>
          <w:rFonts w:ascii="Times New Roman" w:hAnsi="Times New Roman" w:cs="Times New Roman"/>
        </w:rPr>
        <w:footnoteReference w:id="81"/>
      </w:r>
      <w:r w:rsidRPr="00BF42A8" w:rsidR="00E93325">
        <w:rPr>
          <w:rFonts w:ascii="Times New Roman" w:hAnsi="Times New Roman" w:cs="Times New Roman"/>
        </w:rPr>
        <w:t xml:space="preserve"> Appendix A provides a list of the major U</w:t>
      </w:r>
      <w:r w:rsidRPr="00BF42A8" w:rsidR="00376B96">
        <w:rPr>
          <w:rFonts w:ascii="Times New Roman" w:hAnsi="Times New Roman" w:cs="Times New Roman"/>
        </w:rPr>
        <w:t>.</w:t>
      </w:r>
      <w:r w:rsidRPr="00BF42A8" w:rsidR="00E93325">
        <w:rPr>
          <w:rFonts w:ascii="Times New Roman" w:hAnsi="Times New Roman" w:cs="Times New Roman"/>
        </w:rPr>
        <w:t>S</w:t>
      </w:r>
      <w:r w:rsidRPr="00BF42A8" w:rsidR="00376B96">
        <w:rPr>
          <w:rFonts w:ascii="Times New Roman" w:hAnsi="Times New Roman" w:cs="Times New Roman"/>
        </w:rPr>
        <w:t>.</w:t>
      </w:r>
      <w:r w:rsidRPr="00BF42A8" w:rsidR="00E93325">
        <w:rPr>
          <w:rFonts w:ascii="Times New Roman" w:hAnsi="Times New Roman" w:cs="Times New Roman"/>
        </w:rPr>
        <w:t xml:space="preserve"> accidents cited by Marsh in its </w:t>
      </w:r>
      <w:r w:rsidRPr="00BF42A8" w:rsidR="006C79CC">
        <w:rPr>
          <w:rFonts w:ascii="Times New Roman" w:hAnsi="Times New Roman" w:cs="Times New Roman"/>
        </w:rPr>
        <w:t>most recent 2020</w:t>
      </w:r>
      <w:r w:rsidRPr="00BF42A8" w:rsidR="00E93325">
        <w:rPr>
          <w:rFonts w:ascii="Times New Roman" w:hAnsi="Times New Roman" w:cs="Times New Roman"/>
        </w:rPr>
        <w:t xml:space="preserve"> publication, with losses adjusted by Marsh to 20</w:t>
      </w:r>
      <w:r w:rsidRPr="00BF42A8" w:rsidR="006C79CC">
        <w:rPr>
          <w:rFonts w:ascii="Times New Roman" w:hAnsi="Times New Roman" w:cs="Times New Roman"/>
        </w:rPr>
        <w:t>19</w:t>
      </w:r>
      <w:r w:rsidRPr="00BF42A8" w:rsidR="00E93325">
        <w:rPr>
          <w:rFonts w:ascii="Times New Roman" w:hAnsi="Times New Roman" w:cs="Times New Roman"/>
        </w:rPr>
        <w:t xml:space="preserve"> dollars. These accidents are limited to those that might have occurred at RMP facilities (offshore oil and distribution accidents were omitted) and where the damage was the result of flooding or wind, </w:t>
      </w:r>
      <w:r w:rsidR="00246E77">
        <w:rPr>
          <w:rFonts w:ascii="Times New Roman" w:hAnsi="Times New Roman" w:cs="Times New Roman"/>
        </w:rPr>
        <w:t xml:space="preserve">the accident was caused by a chemical release </w:t>
      </w:r>
      <w:r w:rsidR="00246E77">
        <w:rPr>
          <w:rFonts w:ascii="Times New Roman" w:hAnsi="Times New Roman" w:cs="Times New Roman"/>
        </w:rPr>
        <w:lastRenderedPageBreak/>
        <w:t xml:space="preserve">and not a </w:t>
      </w:r>
      <w:r w:rsidRPr="00BF42A8" w:rsidR="001F4839">
        <w:rPr>
          <w:rFonts w:ascii="Times New Roman" w:hAnsi="Times New Roman" w:cs="Times New Roman"/>
        </w:rPr>
        <w:t>natural disaster</w:t>
      </w:r>
      <w:r w:rsidRPr="00BF42A8" w:rsidR="00E93325">
        <w:rPr>
          <w:rFonts w:ascii="Times New Roman" w:hAnsi="Times New Roman" w:cs="Times New Roman"/>
        </w:rPr>
        <w:t>. The accident list does not include all serious accidents because Marsh excluded any accident that produced less than $130 million in property damage (the publication covers accidents worldwide). Nonetheless, the list indicates the range of property damage and the lost productivity.</w:t>
      </w:r>
    </w:p>
    <w:p w:rsidRPr="00BF42A8" w:rsidR="009128A3" w:rsidP="009128A3" w:rsidRDefault="009128A3" w14:paraId="11A50AB9" w14:textId="77777777">
      <w:pPr>
        <w:spacing w:after="0" w:line="240" w:lineRule="auto"/>
        <w:ind w:firstLine="360"/>
        <w:rPr>
          <w:rFonts w:ascii="Times New Roman" w:hAnsi="Times New Roman" w:cs="Times New Roman"/>
        </w:rPr>
      </w:pPr>
    </w:p>
    <w:p w:rsidRPr="00BF42A8" w:rsidR="00E93325" w:rsidP="00BF42A8" w:rsidRDefault="00854171" w14:paraId="3A9F42B1" w14:textId="381F0776">
      <w:pPr>
        <w:spacing w:after="0" w:line="240" w:lineRule="auto"/>
        <w:rPr>
          <w:rFonts w:ascii="Times New Roman" w:hAnsi="Times New Roman" w:cs="Times New Roman"/>
          <w:b/>
        </w:rPr>
      </w:pPr>
      <w:r w:rsidRPr="00BF42A8">
        <w:rPr>
          <w:rFonts w:ascii="Times New Roman" w:hAnsi="Times New Roman" w:cs="Times New Roman"/>
          <w:b/>
        </w:rPr>
        <w:t>6.</w:t>
      </w:r>
      <w:r w:rsidR="0088694C">
        <w:rPr>
          <w:rFonts w:ascii="Times New Roman" w:hAnsi="Times New Roman" w:cs="Times New Roman"/>
          <w:b/>
        </w:rPr>
        <w:t>4</w:t>
      </w:r>
      <w:r w:rsidRPr="00BF42A8">
        <w:rPr>
          <w:rFonts w:ascii="Times New Roman" w:hAnsi="Times New Roman" w:cs="Times New Roman"/>
          <w:b/>
        </w:rPr>
        <w:t xml:space="preserve">.2 </w:t>
      </w:r>
      <w:r w:rsidRPr="00BF42A8" w:rsidR="00E93325">
        <w:rPr>
          <w:rFonts w:ascii="Times New Roman" w:hAnsi="Times New Roman" w:cs="Times New Roman"/>
          <w:b/>
        </w:rPr>
        <w:t>Avoided Emergency Response</w:t>
      </w:r>
      <w:r w:rsidRPr="00BF42A8" w:rsidR="00E93325">
        <w:rPr>
          <w:rFonts w:ascii="Times New Roman" w:hAnsi="Times New Roman" w:cs="Times New Roman"/>
          <w:b/>
          <w:spacing w:val="-2"/>
        </w:rPr>
        <w:t xml:space="preserve"> </w:t>
      </w:r>
      <w:r w:rsidRPr="00BF42A8" w:rsidR="00E93325">
        <w:rPr>
          <w:rFonts w:ascii="Times New Roman" w:hAnsi="Times New Roman" w:cs="Times New Roman"/>
          <w:b/>
        </w:rPr>
        <w:t>Costs</w:t>
      </w:r>
    </w:p>
    <w:p w:rsidR="00E93325" w:rsidP="009128A3" w:rsidRDefault="0072688F" w14:paraId="27AD1C8A" w14:textId="73FEE36D">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EPA was unable to locate data summarizing the costs associated with responding to a chemical release, fire, or explosion. </w:t>
      </w:r>
      <w:r w:rsidRPr="00BF42A8" w:rsidR="00376B96">
        <w:rPr>
          <w:rFonts w:ascii="Times New Roman" w:hAnsi="Times New Roman" w:cs="Times New Roman"/>
        </w:rPr>
        <w:t>Those</w:t>
      </w:r>
      <w:r w:rsidRPr="00BF42A8" w:rsidR="00E93325">
        <w:rPr>
          <w:rFonts w:ascii="Times New Roman" w:hAnsi="Times New Roman" w:cs="Times New Roman"/>
        </w:rPr>
        <w:t xml:space="preserve"> costs </w:t>
      </w:r>
      <w:r w:rsidRPr="00BF42A8" w:rsidR="00376B96">
        <w:rPr>
          <w:rFonts w:ascii="Times New Roman" w:hAnsi="Times New Roman" w:cs="Times New Roman"/>
        </w:rPr>
        <w:t>are very likely t</w:t>
      </w:r>
      <w:r w:rsidRPr="00BF42A8" w:rsidR="00E36872">
        <w:rPr>
          <w:rFonts w:ascii="Times New Roman" w:hAnsi="Times New Roman" w:cs="Times New Roman"/>
        </w:rPr>
        <w:t>o</w:t>
      </w:r>
      <w:r w:rsidRPr="00BF42A8" w:rsidR="00E93325">
        <w:rPr>
          <w:rFonts w:ascii="Times New Roman" w:hAnsi="Times New Roman" w:cs="Times New Roman"/>
        </w:rPr>
        <w:t xml:space="preserve"> vary widely depending on the incident. A response may involve facility fire brigades, community fire departments, volunteer fire departments, and mutual aid </w:t>
      </w:r>
      <w:r w:rsidR="00A27C2B">
        <w:rPr>
          <w:rFonts w:ascii="Times New Roman" w:hAnsi="Times New Roman" w:cs="Times New Roman"/>
        </w:rPr>
        <w:t>organizations</w:t>
      </w:r>
      <w:r w:rsidRPr="00BF42A8" w:rsidR="00E93325">
        <w:rPr>
          <w:rFonts w:ascii="Times New Roman" w:hAnsi="Times New Roman" w:cs="Times New Roman"/>
        </w:rPr>
        <w:t xml:space="preserve">. There is also the cost associated with equipment depreciation and fire suppressant used. The level of effort and equipment use can be seen in two incidents reported by Marsh. </w:t>
      </w:r>
      <w:r w:rsidRPr="00BF42A8" w:rsidR="00681C41">
        <w:rPr>
          <w:rFonts w:ascii="Times New Roman" w:hAnsi="Times New Roman" w:cs="Times New Roman"/>
        </w:rPr>
        <w:t>In 1999</w:t>
      </w:r>
      <w:r w:rsidRPr="00BF42A8" w:rsidR="00E93325">
        <w:rPr>
          <w:rFonts w:ascii="Times New Roman" w:hAnsi="Times New Roman" w:cs="Times New Roman"/>
        </w:rPr>
        <w:t xml:space="preserve">, approximately 300 firefighters and 33 fire trucks participated in the </w:t>
      </w:r>
      <w:r w:rsidR="00A27C2B">
        <w:rPr>
          <w:rFonts w:ascii="Times New Roman" w:hAnsi="Times New Roman" w:cs="Times New Roman"/>
        </w:rPr>
        <w:t xml:space="preserve">2 ½ </w:t>
      </w:r>
      <w:r w:rsidRPr="00BF42A8" w:rsidR="00E93325">
        <w:rPr>
          <w:rFonts w:ascii="Times New Roman" w:hAnsi="Times New Roman" w:cs="Times New Roman"/>
        </w:rPr>
        <w:t xml:space="preserve">hour effort to control </w:t>
      </w:r>
      <w:r w:rsidRPr="00BF42A8" w:rsidR="00681C41">
        <w:rPr>
          <w:rFonts w:ascii="Times New Roman" w:hAnsi="Times New Roman" w:cs="Times New Roman"/>
        </w:rPr>
        <w:t>a</w:t>
      </w:r>
      <w:r w:rsidRPr="00BF42A8" w:rsidR="00E93325">
        <w:rPr>
          <w:rFonts w:ascii="Times New Roman" w:hAnsi="Times New Roman" w:cs="Times New Roman"/>
        </w:rPr>
        <w:t xml:space="preserve"> fir</w:t>
      </w:r>
      <w:r w:rsidRPr="00BF42A8" w:rsidR="00376B96">
        <w:rPr>
          <w:rFonts w:ascii="Times New Roman" w:hAnsi="Times New Roman" w:cs="Times New Roman"/>
        </w:rPr>
        <w:t xml:space="preserve">e at a refinery in California. </w:t>
      </w:r>
      <w:r w:rsidRPr="00BF42A8" w:rsidR="00E93325">
        <w:rPr>
          <w:rFonts w:ascii="Times New Roman" w:hAnsi="Times New Roman" w:cs="Times New Roman"/>
        </w:rPr>
        <w:t>Foam concentrate consumption totaled 3,200 gallons.</w:t>
      </w:r>
      <w:r w:rsidRPr="00BF42A8" w:rsidR="00134BFC">
        <w:rPr>
          <w:rStyle w:val="FootnoteReference"/>
          <w:rFonts w:ascii="Times New Roman" w:hAnsi="Times New Roman" w:cs="Times New Roman"/>
        </w:rPr>
        <w:footnoteReference w:id="82"/>
      </w:r>
      <w:r w:rsidRPr="00BF42A8" w:rsidR="00E93325">
        <w:rPr>
          <w:rFonts w:ascii="Times New Roman" w:hAnsi="Times New Roman" w:cs="Times New Roman"/>
        </w:rPr>
        <w:t xml:space="preserve"> </w:t>
      </w:r>
      <w:r w:rsidRPr="00BF42A8" w:rsidR="00376B96">
        <w:rPr>
          <w:rFonts w:ascii="Times New Roman" w:hAnsi="Times New Roman" w:cs="Times New Roman"/>
        </w:rPr>
        <w:t>At a f</w:t>
      </w:r>
      <w:r w:rsidRPr="00BF42A8" w:rsidR="00E93325">
        <w:rPr>
          <w:rFonts w:ascii="Times New Roman" w:hAnsi="Times New Roman" w:cs="Times New Roman"/>
        </w:rPr>
        <w:t>oam concentrate cost between $20 and $60 per gallon</w:t>
      </w:r>
      <w:r w:rsidRPr="00BF42A8" w:rsidR="00376B96">
        <w:rPr>
          <w:rFonts w:ascii="Times New Roman" w:hAnsi="Times New Roman" w:cs="Times New Roman"/>
        </w:rPr>
        <w:t>,</w:t>
      </w:r>
      <w:r w:rsidRPr="00BF42A8" w:rsidR="00E93325">
        <w:rPr>
          <w:rFonts w:ascii="Times New Roman" w:hAnsi="Times New Roman" w:cs="Times New Roman"/>
        </w:rPr>
        <w:t xml:space="preserve"> the cost of the fire suppressant alone </w:t>
      </w:r>
      <w:r w:rsidRPr="00BF42A8" w:rsidR="007A4CD3">
        <w:rPr>
          <w:rFonts w:ascii="Times New Roman" w:hAnsi="Times New Roman" w:cs="Times New Roman"/>
        </w:rPr>
        <w:t>would</w:t>
      </w:r>
      <w:r w:rsidRPr="00BF42A8" w:rsidR="00E93325">
        <w:rPr>
          <w:rFonts w:ascii="Times New Roman" w:hAnsi="Times New Roman" w:cs="Times New Roman"/>
        </w:rPr>
        <w:t xml:space="preserve"> range from $64,000 to almost $</w:t>
      </w:r>
      <w:r w:rsidRPr="00BF42A8" w:rsidR="007A4CD3">
        <w:rPr>
          <w:rFonts w:ascii="Times New Roman" w:hAnsi="Times New Roman" w:cs="Times New Roman"/>
        </w:rPr>
        <w:t>192,000</w:t>
      </w:r>
      <w:r w:rsidR="00F3022E">
        <w:rPr>
          <w:rFonts w:ascii="Times New Roman" w:hAnsi="Times New Roman" w:cs="Times New Roman"/>
        </w:rPr>
        <w:t xml:space="preserve">. </w:t>
      </w:r>
      <w:r w:rsidRPr="00BF42A8" w:rsidR="00E93325">
        <w:rPr>
          <w:rFonts w:ascii="Times New Roman" w:hAnsi="Times New Roman" w:cs="Times New Roman"/>
        </w:rPr>
        <w:t>In sum, EPA expects that these costs are</w:t>
      </w:r>
      <w:r w:rsidRPr="00BF42A8" w:rsidR="00E93325">
        <w:rPr>
          <w:rFonts w:ascii="Times New Roman" w:hAnsi="Times New Roman" w:cs="Times New Roman"/>
          <w:spacing w:val="-4"/>
        </w:rPr>
        <w:t xml:space="preserve"> </w:t>
      </w:r>
      <w:r w:rsidRPr="00BF42A8" w:rsidR="00E93325">
        <w:rPr>
          <w:rFonts w:ascii="Times New Roman" w:hAnsi="Times New Roman" w:cs="Times New Roman"/>
        </w:rPr>
        <w:t>significant.</w:t>
      </w:r>
    </w:p>
    <w:p w:rsidRPr="00BF42A8" w:rsidR="009128A3" w:rsidP="009128A3" w:rsidRDefault="009128A3" w14:paraId="03A768D9" w14:textId="77777777">
      <w:pPr>
        <w:spacing w:after="0" w:line="240" w:lineRule="auto"/>
        <w:ind w:firstLine="360"/>
        <w:rPr>
          <w:rFonts w:ascii="Times New Roman" w:hAnsi="Times New Roman" w:cs="Times New Roman"/>
        </w:rPr>
      </w:pPr>
    </w:p>
    <w:p w:rsidRPr="00BF42A8" w:rsidR="00E93325" w:rsidP="00BF42A8" w:rsidRDefault="00DF4E37" w14:paraId="7E863DBC" w14:textId="196E1848">
      <w:pPr>
        <w:spacing w:after="0" w:line="240" w:lineRule="auto"/>
        <w:rPr>
          <w:rFonts w:ascii="Times New Roman" w:hAnsi="Times New Roman" w:cs="Times New Roman"/>
          <w:b/>
        </w:rPr>
      </w:pPr>
      <w:r w:rsidRPr="00BF42A8">
        <w:rPr>
          <w:rFonts w:ascii="Times New Roman" w:hAnsi="Times New Roman" w:cs="Times New Roman"/>
          <w:b/>
        </w:rPr>
        <w:t>6.</w:t>
      </w:r>
      <w:r w:rsidR="0088694C">
        <w:rPr>
          <w:rFonts w:ascii="Times New Roman" w:hAnsi="Times New Roman" w:cs="Times New Roman"/>
          <w:b/>
        </w:rPr>
        <w:t>4</w:t>
      </w:r>
      <w:r w:rsidRPr="00BF42A8">
        <w:rPr>
          <w:rFonts w:ascii="Times New Roman" w:hAnsi="Times New Roman" w:cs="Times New Roman"/>
          <w:b/>
        </w:rPr>
        <w:t xml:space="preserve">.3 </w:t>
      </w:r>
      <w:r w:rsidRPr="00BF42A8" w:rsidR="00E93325">
        <w:rPr>
          <w:rFonts w:ascii="Times New Roman" w:hAnsi="Times New Roman" w:cs="Times New Roman"/>
          <w:b/>
        </w:rPr>
        <w:t>Avoided Transaction</w:t>
      </w:r>
      <w:r w:rsidRPr="00BF42A8" w:rsidR="00E93325">
        <w:rPr>
          <w:rFonts w:ascii="Times New Roman" w:hAnsi="Times New Roman" w:cs="Times New Roman"/>
          <w:b/>
          <w:spacing w:val="-2"/>
        </w:rPr>
        <w:t xml:space="preserve"> </w:t>
      </w:r>
      <w:r w:rsidRPr="00BF42A8" w:rsidR="00E93325">
        <w:rPr>
          <w:rFonts w:ascii="Times New Roman" w:hAnsi="Times New Roman" w:cs="Times New Roman"/>
          <w:b/>
        </w:rPr>
        <w:t>Costs</w:t>
      </w:r>
    </w:p>
    <w:p w:rsidR="00E93325" w:rsidP="009128A3" w:rsidRDefault="0072688F" w14:paraId="09C1500C" w14:textId="1BC38630">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Chemical accidents result in transactions between parties that consume time and other resources that would otherwise be directed to other productive activities. </w:t>
      </w:r>
      <w:r w:rsidRPr="00BF42A8" w:rsidR="004973A1">
        <w:rPr>
          <w:rFonts w:ascii="Times New Roman" w:hAnsi="Times New Roman" w:cs="Times New Roman"/>
        </w:rPr>
        <w:t>For example</w:t>
      </w:r>
      <w:r w:rsidRPr="00BF42A8" w:rsidR="002C6243">
        <w:rPr>
          <w:rFonts w:ascii="Times New Roman" w:hAnsi="Times New Roman" w:cs="Times New Roman"/>
        </w:rPr>
        <w:t>,</w:t>
      </w:r>
      <w:r w:rsidRPr="00BF42A8" w:rsidR="00E93325">
        <w:rPr>
          <w:rFonts w:ascii="Times New Roman" w:hAnsi="Times New Roman" w:cs="Times New Roman"/>
        </w:rPr>
        <w:t xml:space="preserve"> litigation can impose substantial transaction costs. Particularly when the public is affected, facilities are often sued</w:t>
      </w:r>
      <w:r w:rsidRPr="00BF42A8" w:rsidR="002C6243">
        <w:rPr>
          <w:rFonts w:ascii="Times New Roman" w:hAnsi="Times New Roman" w:cs="Times New Roman"/>
        </w:rPr>
        <w:t>;</w:t>
      </w:r>
      <w:r w:rsidRPr="00BF42A8" w:rsidR="00E93325">
        <w:rPr>
          <w:rFonts w:ascii="Times New Roman" w:hAnsi="Times New Roman" w:cs="Times New Roman"/>
        </w:rPr>
        <w:t xml:space="preserve"> a 1988 refinery explosion led to more than 5,000 property claims.</w:t>
      </w:r>
      <w:r w:rsidRPr="00BF42A8" w:rsidR="000F1BBF">
        <w:rPr>
          <w:rStyle w:val="FootnoteReference"/>
          <w:rFonts w:ascii="Times New Roman" w:hAnsi="Times New Roman" w:cs="Times New Roman"/>
        </w:rPr>
        <w:footnoteReference w:id="83"/>
      </w:r>
      <w:r w:rsidRPr="00BF42A8" w:rsidR="00E93325">
        <w:rPr>
          <w:rFonts w:ascii="Times New Roman" w:hAnsi="Times New Roman" w:cs="Times New Roman"/>
        </w:rPr>
        <w:t xml:space="preserve"> </w:t>
      </w:r>
      <w:r w:rsidRPr="00BF42A8" w:rsidR="002C6243">
        <w:rPr>
          <w:rFonts w:ascii="Times New Roman" w:hAnsi="Times New Roman" w:cs="Times New Roman"/>
        </w:rPr>
        <w:t>S</w:t>
      </w:r>
      <w:r w:rsidRPr="00BF42A8" w:rsidR="00E93325">
        <w:rPr>
          <w:rFonts w:ascii="Times New Roman" w:hAnsi="Times New Roman" w:cs="Times New Roman"/>
        </w:rPr>
        <w:t xml:space="preserve">ubstantial costs </w:t>
      </w:r>
      <w:r w:rsidRPr="00BF42A8" w:rsidR="002C6243">
        <w:rPr>
          <w:rFonts w:ascii="Times New Roman" w:hAnsi="Times New Roman" w:cs="Times New Roman"/>
        </w:rPr>
        <w:t>are</w:t>
      </w:r>
      <w:r w:rsidRPr="00BF42A8" w:rsidR="00E93325">
        <w:rPr>
          <w:rFonts w:ascii="Times New Roman" w:hAnsi="Times New Roman" w:cs="Times New Roman"/>
        </w:rPr>
        <w:t xml:space="preserve"> associated with making and responding to such claims and the </w:t>
      </w:r>
      <w:r w:rsidR="00F3022E">
        <w:rPr>
          <w:rFonts w:ascii="Times New Roman" w:hAnsi="Times New Roman" w:cs="Times New Roman"/>
        </w:rPr>
        <w:t xml:space="preserve">associated </w:t>
      </w:r>
      <w:r w:rsidRPr="00BF42A8" w:rsidR="00E93325">
        <w:rPr>
          <w:rFonts w:ascii="Times New Roman" w:hAnsi="Times New Roman" w:cs="Times New Roman"/>
        </w:rPr>
        <w:t xml:space="preserve">litigation, both on behalf of plaintiffs and defendants. Rule provisions that reduce the number or severity of accidents could reduce the number of lawsuits and the resources </w:t>
      </w:r>
      <w:r w:rsidRPr="00BF42A8" w:rsidR="002C6243">
        <w:rPr>
          <w:rFonts w:ascii="Times New Roman" w:hAnsi="Times New Roman" w:cs="Times New Roman"/>
        </w:rPr>
        <w:t xml:space="preserve">expended on </w:t>
      </w:r>
      <w:r w:rsidRPr="00BF42A8" w:rsidR="00E93325">
        <w:rPr>
          <w:rFonts w:ascii="Times New Roman" w:hAnsi="Times New Roman" w:cs="Times New Roman"/>
        </w:rPr>
        <w:t>litigation.</w:t>
      </w:r>
    </w:p>
    <w:p w:rsidRPr="00BF42A8" w:rsidR="009128A3" w:rsidP="009128A3" w:rsidRDefault="009128A3" w14:paraId="65F5612F" w14:textId="77777777">
      <w:pPr>
        <w:spacing w:after="0" w:line="240" w:lineRule="auto"/>
        <w:ind w:firstLine="360"/>
        <w:rPr>
          <w:rFonts w:ascii="Times New Roman" w:hAnsi="Times New Roman" w:cs="Times New Roman"/>
        </w:rPr>
      </w:pPr>
    </w:p>
    <w:p w:rsidRPr="00BF42A8" w:rsidR="00E93325" w:rsidP="00BF42A8" w:rsidRDefault="00DF4E37" w14:paraId="291CBFA8" w14:textId="2FA6308A">
      <w:pPr>
        <w:spacing w:after="0" w:line="240" w:lineRule="auto"/>
        <w:rPr>
          <w:rFonts w:ascii="Times New Roman" w:hAnsi="Times New Roman" w:cs="Times New Roman"/>
          <w:b/>
        </w:rPr>
      </w:pPr>
      <w:r w:rsidRPr="00BF42A8">
        <w:rPr>
          <w:rFonts w:ascii="Times New Roman" w:hAnsi="Times New Roman" w:cs="Times New Roman"/>
          <w:b/>
        </w:rPr>
        <w:t>6.</w:t>
      </w:r>
      <w:r w:rsidR="0088694C">
        <w:rPr>
          <w:rFonts w:ascii="Times New Roman" w:hAnsi="Times New Roman" w:cs="Times New Roman"/>
          <w:b/>
        </w:rPr>
        <w:t>4</w:t>
      </w:r>
      <w:r w:rsidRPr="00BF42A8">
        <w:rPr>
          <w:rFonts w:ascii="Times New Roman" w:hAnsi="Times New Roman" w:cs="Times New Roman"/>
          <w:b/>
        </w:rPr>
        <w:t xml:space="preserve">.4 </w:t>
      </w:r>
      <w:r w:rsidRPr="00BF42A8" w:rsidR="00E93325">
        <w:rPr>
          <w:rFonts w:ascii="Times New Roman" w:hAnsi="Times New Roman" w:cs="Times New Roman"/>
          <w:b/>
        </w:rPr>
        <w:t>Avoided Property Value</w:t>
      </w:r>
      <w:r w:rsidRPr="00BF42A8" w:rsidR="00E93325">
        <w:rPr>
          <w:rFonts w:ascii="Times New Roman" w:hAnsi="Times New Roman" w:cs="Times New Roman"/>
          <w:b/>
          <w:spacing w:val="1"/>
        </w:rPr>
        <w:t xml:space="preserve"> </w:t>
      </w:r>
      <w:r w:rsidRPr="00BF42A8" w:rsidR="00E93325">
        <w:rPr>
          <w:rFonts w:ascii="Times New Roman" w:hAnsi="Times New Roman" w:cs="Times New Roman"/>
          <w:b/>
        </w:rPr>
        <w:t>Impacts</w:t>
      </w:r>
    </w:p>
    <w:p w:rsidR="002233D4" w:rsidP="009128A3" w:rsidRDefault="0072688F" w14:paraId="51B2DDFD" w14:textId="7E7BBC6C">
      <w:pPr>
        <w:spacing w:after="0" w:line="240" w:lineRule="auto"/>
        <w:ind w:firstLine="360"/>
        <w:rPr>
          <w:rFonts w:ascii="Times New Roman" w:hAnsi="Times New Roman" w:cs="Times New Roman"/>
        </w:rPr>
      </w:pPr>
      <w:bookmarkStart w:name="_Hlk99960974" w:id="127"/>
      <w:r>
        <w:rPr>
          <w:rFonts w:ascii="Times New Roman" w:hAnsi="Times New Roman" w:cs="Times New Roman"/>
        </w:rPr>
        <w:tab/>
      </w:r>
      <w:r w:rsidRPr="00BF42A8" w:rsidR="00961293">
        <w:rPr>
          <w:rFonts w:ascii="Times New Roman" w:hAnsi="Times New Roman" w:cs="Times New Roman"/>
        </w:rPr>
        <w:t xml:space="preserve">After an RMP facility experiences a chemical </w:t>
      </w:r>
      <w:r w:rsidR="002233D4">
        <w:rPr>
          <w:rFonts w:ascii="Times New Roman" w:hAnsi="Times New Roman" w:cs="Times New Roman"/>
        </w:rPr>
        <w:t>accident</w:t>
      </w:r>
      <w:r w:rsidRPr="00BF42A8" w:rsidR="00961293">
        <w:rPr>
          <w:rFonts w:ascii="Times New Roman" w:hAnsi="Times New Roman" w:cs="Times New Roman"/>
        </w:rPr>
        <w:t xml:space="preserve">, values of nearby properties will adjust to reflect changes in perceived risk, changes in the aesthetic appeal of the surrounding area, and potentially reduced ecological services. The economics literature has estimated the property value impacts of a wide variety of environmental </w:t>
      </w:r>
      <w:proofErr w:type="spellStart"/>
      <w:r w:rsidRPr="00BF42A8" w:rsidR="00961293">
        <w:rPr>
          <w:rFonts w:ascii="Times New Roman" w:hAnsi="Times New Roman" w:cs="Times New Roman"/>
        </w:rPr>
        <w:t>disamenities</w:t>
      </w:r>
      <w:proofErr w:type="spellEnd"/>
      <w:r w:rsidRPr="00BF42A8" w:rsidR="00961293">
        <w:rPr>
          <w:rFonts w:ascii="Times New Roman" w:hAnsi="Times New Roman" w:cs="Times New Roman"/>
        </w:rPr>
        <w:t xml:space="preserve"> including air emissions and contaminated, toxic, or potentially toxic sites.</w:t>
      </w:r>
      <w:r w:rsidRPr="00582681" w:rsidR="00961293">
        <w:rPr>
          <w:rStyle w:val="FootnoteReference"/>
          <w:rFonts w:ascii="Times New Roman" w:hAnsi="Times New Roman" w:cs="Times New Roman"/>
        </w:rPr>
        <w:footnoteReference w:id="84"/>
      </w:r>
      <w:r w:rsidRPr="00BF42A8" w:rsidR="00961293">
        <w:rPr>
          <w:rFonts w:ascii="Times New Roman" w:hAnsi="Times New Roman" w:cs="Times New Roman"/>
        </w:rPr>
        <w:t xml:space="preserve"> A variety of papers have specifically examined the impact on property prices of hazardous industrial facilities, usually finding that prices increase with distance from the facility.</w:t>
      </w:r>
      <w:r w:rsidRPr="00582681" w:rsidR="00961293">
        <w:rPr>
          <w:rStyle w:val="FootnoteReference"/>
          <w:rFonts w:ascii="Times New Roman" w:hAnsi="Times New Roman" w:cs="Times New Roman"/>
        </w:rPr>
        <w:footnoteReference w:id="85"/>
      </w:r>
      <w:r w:rsidRPr="00BF42A8" w:rsidR="00961293">
        <w:rPr>
          <w:rFonts w:ascii="Times New Roman" w:hAnsi="Times New Roman" w:cs="Times New Roman"/>
        </w:rPr>
        <w:t xml:space="preserve"> To improve understanding of the benefits of the proposed rule, research on the property value impact of </w:t>
      </w:r>
      <w:r w:rsidRPr="00BF42A8" w:rsidR="00961293">
        <w:rPr>
          <w:rFonts w:ascii="Times New Roman" w:hAnsi="Times New Roman" w:cs="Times New Roman"/>
          <w:i/>
        </w:rPr>
        <w:t>accidents</w:t>
      </w:r>
      <w:r w:rsidRPr="00BF42A8" w:rsidR="00961293">
        <w:rPr>
          <w:rFonts w:ascii="Times New Roman" w:hAnsi="Times New Roman" w:cs="Times New Roman"/>
        </w:rPr>
        <w:t xml:space="preserve"> is highly relevant. Carroll et al (1996) studied property prices in neighborhoods surrounding the </w:t>
      </w:r>
      <w:proofErr w:type="spellStart"/>
      <w:r w:rsidRPr="00BF42A8" w:rsidR="00961293">
        <w:rPr>
          <w:rFonts w:ascii="Times New Roman" w:hAnsi="Times New Roman" w:cs="Times New Roman"/>
        </w:rPr>
        <w:t>Pepcon</w:t>
      </w:r>
      <w:proofErr w:type="spellEnd"/>
      <w:r w:rsidRPr="00BF42A8" w:rsidR="00961293">
        <w:rPr>
          <w:rFonts w:ascii="Times New Roman" w:hAnsi="Times New Roman" w:cs="Times New Roman"/>
        </w:rPr>
        <w:t xml:space="preserve"> </w:t>
      </w:r>
      <w:r w:rsidRPr="00BF42A8" w:rsidR="00961293">
        <w:rPr>
          <w:rFonts w:ascii="Times New Roman" w:hAnsi="Times New Roman" w:cs="Times New Roman"/>
        </w:rPr>
        <w:lastRenderedPageBreak/>
        <w:t>chemical facility in Nevada before and after a dramatic explosion in 1988.</w:t>
      </w:r>
      <w:r w:rsidRPr="00582681" w:rsidR="00961293">
        <w:rPr>
          <w:rStyle w:val="FootnoteReference"/>
          <w:rFonts w:ascii="Times New Roman" w:hAnsi="Times New Roman" w:cs="Times New Roman"/>
        </w:rPr>
        <w:footnoteReference w:id="86"/>
      </w:r>
      <w:r w:rsidRPr="00BF42A8" w:rsidR="00961293">
        <w:rPr>
          <w:rFonts w:ascii="Times New Roman" w:hAnsi="Times New Roman" w:cs="Times New Roman"/>
        </w:rPr>
        <w:t xml:space="preserve"> Data for </w:t>
      </w:r>
      <w:r w:rsidR="002233D4">
        <w:rPr>
          <w:rFonts w:ascii="Times New Roman" w:hAnsi="Times New Roman" w:cs="Times New Roman"/>
        </w:rPr>
        <w:t>around</w:t>
      </w:r>
      <w:r w:rsidRPr="00BF42A8" w:rsidR="00961293">
        <w:rPr>
          <w:rFonts w:ascii="Times New Roman" w:hAnsi="Times New Roman" w:cs="Times New Roman"/>
        </w:rPr>
        <w:t xml:space="preserve"> 5,000 property transactions from 1986 to 1990</w:t>
      </w:r>
      <w:r w:rsidR="002233D4">
        <w:rPr>
          <w:rFonts w:ascii="Times New Roman" w:hAnsi="Times New Roman" w:cs="Times New Roman"/>
        </w:rPr>
        <w:t xml:space="preserve"> showed that t</w:t>
      </w:r>
      <w:r w:rsidRPr="00BF42A8" w:rsidR="00961293">
        <w:rPr>
          <w:rFonts w:ascii="Times New Roman" w:hAnsi="Times New Roman" w:cs="Times New Roman"/>
        </w:rPr>
        <w:t xml:space="preserve">he explosion was followed by a 17.6 percent decline in property values in the two closest towns of Green Valley and Henderson. </w:t>
      </w:r>
    </w:p>
    <w:p w:rsidR="002233D4" w:rsidP="009128A3" w:rsidRDefault="002233D4" w14:paraId="1D163D0D" w14:textId="77777777">
      <w:pPr>
        <w:spacing w:after="0" w:line="240" w:lineRule="auto"/>
        <w:ind w:firstLine="360"/>
        <w:rPr>
          <w:rFonts w:ascii="Times New Roman" w:hAnsi="Times New Roman" w:cs="Times New Roman"/>
        </w:rPr>
      </w:pPr>
    </w:p>
    <w:p w:rsidR="00961293" w:rsidP="009128A3" w:rsidRDefault="002233D4" w14:paraId="01DFC7BC" w14:textId="35767717">
      <w:pPr>
        <w:spacing w:after="0" w:line="240" w:lineRule="auto"/>
        <w:ind w:firstLine="360"/>
        <w:rPr>
          <w:rFonts w:ascii="Times New Roman" w:hAnsi="Times New Roman" w:cs="Times New Roman"/>
        </w:rPr>
      </w:pPr>
      <w:r>
        <w:rPr>
          <w:rFonts w:ascii="Times New Roman" w:hAnsi="Times New Roman" w:cs="Times New Roman"/>
        </w:rPr>
        <w:tab/>
      </w:r>
      <w:r w:rsidRPr="00BF42A8" w:rsidR="00961293">
        <w:rPr>
          <w:rFonts w:ascii="Times New Roman" w:hAnsi="Times New Roman" w:cs="Times New Roman"/>
        </w:rPr>
        <w:t xml:space="preserve">Two studies have examined the effects of pipeline explosions on nearby property values. While the explosions </w:t>
      </w:r>
      <w:r>
        <w:rPr>
          <w:rFonts w:ascii="Times New Roman" w:hAnsi="Times New Roman" w:cs="Times New Roman"/>
        </w:rPr>
        <w:t>were</w:t>
      </w:r>
      <w:r w:rsidRPr="00BF42A8" w:rsidR="00961293">
        <w:rPr>
          <w:rFonts w:ascii="Times New Roman" w:hAnsi="Times New Roman" w:cs="Times New Roman"/>
        </w:rPr>
        <w:t xml:space="preserve"> not from chemical facilities, the property value impacts may be comparable.</w:t>
      </w:r>
      <w:r w:rsidRPr="00582681" w:rsidR="00961293">
        <w:rPr>
          <w:rStyle w:val="FootnoteReference"/>
          <w:rFonts w:ascii="Times New Roman" w:hAnsi="Times New Roman" w:cs="Times New Roman"/>
        </w:rPr>
        <w:footnoteReference w:id="87"/>
      </w:r>
      <w:r w:rsidRPr="00BF42A8" w:rsidR="00961293">
        <w:rPr>
          <w:rFonts w:ascii="Times New Roman" w:hAnsi="Times New Roman" w:cs="Times New Roman"/>
        </w:rPr>
        <w:t xml:space="preserve"> Preliminary findings by Cheng, et al. (2021) of nationwide property value impacts of accidents at natural gas pipelines suggest that values within 1 km of natural gas distribution pipelines decline</w:t>
      </w:r>
      <w:r w:rsidRPr="00BF42A8" w:rsidR="00EA7864">
        <w:rPr>
          <w:rFonts w:ascii="Times New Roman" w:hAnsi="Times New Roman" w:cs="Times New Roman"/>
        </w:rPr>
        <w:t>d</w:t>
      </w:r>
      <w:r w:rsidRPr="00BF42A8" w:rsidR="00961293">
        <w:rPr>
          <w:rFonts w:ascii="Times New Roman" w:hAnsi="Times New Roman" w:cs="Times New Roman"/>
        </w:rPr>
        <w:t xml:space="preserve"> by 7 percent compared to properties 1 to 2 km from an explosion</w:t>
      </w:r>
      <w:r w:rsidRPr="00BF42A8" w:rsidR="00EA7864">
        <w:rPr>
          <w:rFonts w:ascii="Times New Roman" w:hAnsi="Times New Roman" w:cs="Times New Roman"/>
        </w:rPr>
        <w:t>.</w:t>
      </w:r>
      <w:r w:rsidRPr="00BF42A8" w:rsidR="00EA7864">
        <w:rPr>
          <w:rStyle w:val="FootnoteReference"/>
          <w:rFonts w:ascii="Times New Roman" w:hAnsi="Times New Roman" w:cs="Times New Roman"/>
        </w:rPr>
        <w:footnoteReference w:id="88"/>
      </w:r>
      <w:r w:rsidRPr="00BF42A8" w:rsidR="00961293">
        <w:rPr>
          <w:rFonts w:ascii="Times New Roman" w:hAnsi="Times New Roman" w:cs="Times New Roman"/>
        </w:rPr>
        <w:t xml:space="preserve"> Hansen et al. (2006) studied the effect of a 1999 fuel pipeline explosion in Bellingham, Washington.</w:t>
      </w:r>
      <w:r w:rsidRPr="00582681" w:rsidR="00961293">
        <w:rPr>
          <w:rStyle w:val="FootnoteReference"/>
          <w:rFonts w:ascii="Times New Roman" w:hAnsi="Times New Roman" w:cs="Times New Roman"/>
        </w:rPr>
        <w:footnoteReference w:id="89"/>
      </w:r>
      <w:r w:rsidRPr="00BF42A8" w:rsidR="00961293">
        <w:rPr>
          <w:rFonts w:ascii="Times New Roman" w:hAnsi="Times New Roman" w:cs="Times New Roman"/>
        </w:rPr>
        <w:t xml:space="preserve"> Following </w:t>
      </w:r>
      <w:r>
        <w:rPr>
          <w:rFonts w:ascii="Times New Roman" w:hAnsi="Times New Roman" w:cs="Times New Roman"/>
        </w:rPr>
        <w:t>the</w:t>
      </w:r>
      <w:r w:rsidRPr="00BF42A8" w:rsidR="00961293">
        <w:rPr>
          <w:rFonts w:ascii="Times New Roman" w:hAnsi="Times New Roman" w:cs="Times New Roman"/>
        </w:rPr>
        <w:t xml:space="preserve"> pipeline explosion, prices of properties within a mile were significantly adversely affected, with the mean property price discounted by 4.6 percent for a property 50 feet from the pipeline, </w:t>
      </w:r>
      <w:r w:rsidRPr="00BF42A8" w:rsidR="00EA7864">
        <w:rPr>
          <w:rFonts w:ascii="Times New Roman" w:hAnsi="Times New Roman" w:cs="Times New Roman"/>
        </w:rPr>
        <w:t xml:space="preserve">and declining at further distances. </w:t>
      </w:r>
    </w:p>
    <w:p w:rsidR="0072688F" w:rsidP="009128A3" w:rsidRDefault="0072688F" w14:paraId="6122B50B" w14:textId="77777777">
      <w:pPr>
        <w:spacing w:after="0" w:line="240" w:lineRule="auto"/>
        <w:ind w:firstLine="360"/>
        <w:rPr>
          <w:rFonts w:ascii="Times New Roman" w:hAnsi="Times New Roman" w:cs="Times New Roman"/>
        </w:rPr>
      </w:pPr>
    </w:p>
    <w:p w:rsidR="00961293" w:rsidP="009128A3" w:rsidRDefault="0072688F" w14:paraId="61F04B9D" w14:textId="4FEE20F7">
      <w:pPr>
        <w:spacing w:after="0" w:line="240" w:lineRule="auto"/>
        <w:ind w:firstLine="360"/>
        <w:rPr>
          <w:rFonts w:ascii="Times New Roman" w:hAnsi="Times New Roman" w:cs="Times New Roman"/>
        </w:rPr>
      </w:pPr>
      <w:r>
        <w:rPr>
          <w:rFonts w:ascii="Times New Roman" w:hAnsi="Times New Roman" w:cs="Times New Roman"/>
        </w:rPr>
        <w:tab/>
      </w:r>
      <w:r w:rsidRPr="00BF42A8" w:rsidR="00961293">
        <w:rPr>
          <w:rFonts w:ascii="Times New Roman" w:hAnsi="Times New Roman" w:cs="Times New Roman"/>
        </w:rPr>
        <w:t xml:space="preserve">These studies suggest that preventing or mitigating an accident at a chemical facility may prevent or mitigate property value losses in nearby neighborhoods. Note that any avoided property value losses represent part of society’s combined valuation of reduced risks to human health, reduced ecosystem services, and negative impacts on aesthetic appeal. Property value losses </w:t>
      </w:r>
      <w:r w:rsidR="0028049F">
        <w:rPr>
          <w:rFonts w:ascii="Times New Roman" w:hAnsi="Times New Roman" w:cs="Times New Roman"/>
        </w:rPr>
        <w:t xml:space="preserve">apply </w:t>
      </w:r>
      <w:r w:rsidRPr="00BF42A8" w:rsidR="00961293">
        <w:rPr>
          <w:rFonts w:ascii="Times New Roman" w:hAnsi="Times New Roman" w:cs="Times New Roman"/>
        </w:rPr>
        <w:t xml:space="preserve">only </w:t>
      </w:r>
      <w:r w:rsidR="0028049F">
        <w:rPr>
          <w:rFonts w:ascii="Times New Roman" w:hAnsi="Times New Roman" w:cs="Times New Roman"/>
        </w:rPr>
        <w:t xml:space="preserve">to </w:t>
      </w:r>
      <w:r w:rsidRPr="00BF42A8" w:rsidR="00961293">
        <w:rPr>
          <w:rFonts w:ascii="Times New Roman" w:hAnsi="Times New Roman" w:cs="Times New Roman"/>
        </w:rPr>
        <w:t xml:space="preserve">nearby homeowners, </w:t>
      </w:r>
      <w:r w:rsidR="0028049F">
        <w:rPr>
          <w:rFonts w:ascii="Times New Roman" w:hAnsi="Times New Roman" w:cs="Times New Roman"/>
        </w:rPr>
        <w:t xml:space="preserve">and </w:t>
      </w:r>
      <w:proofErr w:type="spellStart"/>
      <w:r w:rsidRPr="00BF42A8" w:rsidR="00961293">
        <w:rPr>
          <w:rFonts w:ascii="Times New Roman" w:hAnsi="Times New Roman" w:cs="Times New Roman"/>
        </w:rPr>
        <w:t>not</w:t>
      </w:r>
      <w:proofErr w:type="spellEnd"/>
      <w:r w:rsidRPr="00BF42A8" w:rsidR="00961293">
        <w:rPr>
          <w:rFonts w:ascii="Times New Roman" w:hAnsi="Times New Roman" w:cs="Times New Roman"/>
        </w:rPr>
        <w:t xml:space="preserve"> other affected parties such as employees who do not reside in the immediate neighborhood.</w:t>
      </w:r>
    </w:p>
    <w:bookmarkEnd w:id="127"/>
    <w:p w:rsidRPr="00BF42A8" w:rsidR="009128A3" w:rsidP="009128A3" w:rsidRDefault="009128A3" w14:paraId="326837D8" w14:textId="77777777">
      <w:pPr>
        <w:spacing w:after="0" w:line="240" w:lineRule="auto"/>
        <w:ind w:firstLine="360"/>
        <w:rPr>
          <w:rFonts w:ascii="Times New Roman" w:hAnsi="Times New Roman" w:cs="Times New Roman"/>
        </w:rPr>
      </w:pPr>
    </w:p>
    <w:p w:rsidRPr="00BF42A8" w:rsidR="00E93325" w:rsidP="00BF42A8" w:rsidRDefault="008E0F4E" w14:paraId="5181500C" w14:textId="15A0E252">
      <w:pPr>
        <w:spacing w:after="0" w:line="240" w:lineRule="auto"/>
        <w:rPr>
          <w:rFonts w:ascii="Times New Roman" w:hAnsi="Times New Roman" w:cs="Times New Roman"/>
        </w:rPr>
      </w:pPr>
      <w:r w:rsidRPr="00BF42A8">
        <w:rPr>
          <w:rFonts w:ascii="Times New Roman" w:hAnsi="Times New Roman" w:cs="Times New Roman"/>
          <w:b/>
        </w:rPr>
        <w:t>6.</w:t>
      </w:r>
      <w:r w:rsidR="0088694C">
        <w:rPr>
          <w:rFonts w:ascii="Times New Roman" w:hAnsi="Times New Roman" w:cs="Times New Roman"/>
          <w:b/>
        </w:rPr>
        <w:t>4</w:t>
      </w:r>
      <w:r w:rsidRPr="00BF42A8">
        <w:rPr>
          <w:rFonts w:ascii="Times New Roman" w:hAnsi="Times New Roman" w:cs="Times New Roman"/>
          <w:b/>
        </w:rPr>
        <w:t xml:space="preserve">.5 </w:t>
      </w:r>
      <w:r w:rsidRPr="00BF42A8" w:rsidR="00E93325">
        <w:rPr>
          <w:rFonts w:ascii="Times New Roman" w:hAnsi="Times New Roman" w:cs="Times New Roman"/>
          <w:b/>
        </w:rPr>
        <w:t>Avoided Environmental</w:t>
      </w:r>
      <w:r w:rsidRPr="00BF42A8" w:rsidR="00E93325">
        <w:rPr>
          <w:rFonts w:ascii="Times New Roman" w:hAnsi="Times New Roman" w:cs="Times New Roman"/>
          <w:b/>
          <w:spacing w:val="-1"/>
        </w:rPr>
        <w:t xml:space="preserve"> </w:t>
      </w:r>
      <w:r w:rsidRPr="00BF42A8" w:rsidR="00E93325">
        <w:rPr>
          <w:rFonts w:ascii="Times New Roman" w:hAnsi="Times New Roman" w:cs="Times New Roman"/>
          <w:b/>
        </w:rPr>
        <w:t>Impacts</w:t>
      </w:r>
    </w:p>
    <w:p w:rsidR="00E93325" w:rsidP="009128A3" w:rsidRDefault="0072688F" w14:paraId="561FBA20" w14:textId="4D7C8DE6">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 xml:space="preserve">In addition to </w:t>
      </w:r>
      <w:r w:rsidR="00EC7904">
        <w:rPr>
          <w:rFonts w:ascii="Times New Roman" w:hAnsi="Times New Roman" w:cs="Times New Roman"/>
        </w:rPr>
        <w:t>data</w:t>
      </w:r>
      <w:r w:rsidRPr="00BF42A8" w:rsidR="00E93325">
        <w:rPr>
          <w:rFonts w:ascii="Times New Roman" w:hAnsi="Times New Roman" w:cs="Times New Roman"/>
        </w:rPr>
        <w:t xml:space="preserve"> on deaths, injuries, property damage, evacuations, and sheltering in place, the </w:t>
      </w:r>
      <w:r w:rsidR="00EC7904">
        <w:rPr>
          <w:rFonts w:ascii="Times New Roman" w:hAnsi="Times New Roman" w:cs="Times New Roman"/>
        </w:rPr>
        <w:t xml:space="preserve">current </w:t>
      </w:r>
      <w:r w:rsidRPr="00BF42A8" w:rsidR="00E93325">
        <w:rPr>
          <w:rFonts w:ascii="Times New Roman" w:hAnsi="Times New Roman" w:cs="Times New Roman"/>
        </w:rPr>
        <w:t xml:space="preserve">RMP rule requires owners and operators to report within the five-year accident history </w:t>
      </w:r>
      <w:r w:rsidRPr="00BF42A8" w:rsidR="002C6243">
        <w:rPr>
          <w:rFonts w:ascii="Times New Roman" w:hAnsi="Times New Roman" w:cs="Times New Roman"/>
        </w:rPr>
        <w:t>those</w:t>
      </w:r>
      <w:r w:rsidRPr="00BF42A8" w:rsidR="00E93325">
        <w:rPr>
          <w:rFonts w:ascii="Times New Roman" w:hAnsi="Times New Roman" w:cs="Times New Roman"/>
        </w:rPr>
        <w:t xml:space="preserve"> accidental releases that result in environmental damage. However, the environmental damage information contained in the RMP database is limited for two reasons. First, most releases of RMP-regulated substances do not result in lingering contamination issues because most regulated substances are either highly volatile toxics that will rapidly disperse in air or highly flammable substances </w:t>
      </w:r>
      <w:r w:rsidR="00EC7904">
        <w:rPr>
          <w:rFonts w:ascii="Times New Roman" w:hAnsi="Times New Roman" w:cs="Times New Roman"/>
        </w:rPr>
        <w:t>which</w:t>
      </w:r>
      <w:r w:rsidRPr="00BF42A8" w:rsidR="00E93325">
        <w:rPr>
          <w:rFonts w:ascii="Times New Roman" w:hAnsi="Times New Roman" w:cs="Times New Roman"/>
        </w:rPr>
        <w:t xml:space="preserve"> ignite if released in the presence of an ignition source. The other reason is that RMP accident history reports indicate general categories of environmental damage (e.g., fish or animal kills, tree, lawn, shrub, or crop damage, etc.), but do not contain estimates of damage valuation or other specific information on reported impacts.</w:t>
      </w:r>
    </w:p>
    <w:p w:rsidR="0072688F" w:rsidP="009128A3" w:rsidRDefault="0072688F" w14:paraId="1B84607C" w14:textId="77777777">
      <w:pPr>
        <w:spacing w:after="0" w:line="240" w:lineRule="auto"/>
        <w:ind w:firstLine="360"/>
        <w:rPr>
          <w:rFonts w:ascii="Times New Roman" w:hAnsi="Times New Roman" w:cs="Times New Roman"/>
        </w:rPr>
      </w:pPr>
    </w:p>
    <w:p w:rsidR="00E93325" w:rsidP="009128A3" w:rsidRDefault="0072688F" w14:paraId="1D726847" w14:textId="40762C6B">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Rule provisions that prevent or mitigate the extent of accidental releases are therefore likely to prevent or reduce the environmental impacts associated with those releases</w:t>
      </w:r>
      <w:r w:rsidRPr="00BF42A8" w:rsidR="00B60603">
        <w:rPr>
          <w:rFonts w:ascii="Times New Roman" w:hAnsi="Times New Roman" w:cs="Times New Roman"/>
        </w:rPr>
        <w:t>. T</w:t>
      </w:r>
      <w:r w:rsidRPr="00BF42A8" w:rsidR="00E93325">
        <w:rPr>
          <w:rFonts w:ascii="Times New Roman" w:hAnsi="Times New Roman" w:cs="Times New Roman"/>
        </w:rPr>
        <w:t>hese benefits cannot be quantified using the available data.</w:t>
      </w:r>
    </w:p>
    <w:p w:rsidR="00922D75" w:rsidP="009128A3" w:rsidRDefault="00922D75" w14:paraId="417945CB" w14:textId="77777777">
      <w:pPr>
        <w:spacing w:after="0" w:line="240" w:lineRule="auto"/>
        <w:ind w:firstLine="360"/>
        <w:rPr>
          <w:rFonts w:ascii="Times New Roman" w:hAnsi="Times New Roman" w:cs="Times New Roman"/>
        </w:rPr>
      </w:pPr>
    </w:p>
    <w:p w:rsidRPr="00922D75" w:rsidR="00922D75" w:rsidP="00922D75" w:rsidRDefault="00922D75" w14:paraId="5ABABF5A" w14:textId="58172281">
      <w:pPr>
        <w:spacing w:after="0" w:line="240" w:lineRule="auto"/>
        <w:rPr>
          <w:rFonts w:ascii="Times New Roman" w:hAnsi="Times New Roman" w:cs="Times New Roman"/>
          <w:b/>
          <w:bCs/>
        </w:rPr>
      </w:pPr>
      <w:r w:rsidRPr="00922D75">
        <w:rPr>
          <w:rFonts w:ascii="Times New Roman" w:hAnsi="Times New Roman" w:cs="Times New Roman"/>
          <w:b/>
          <w:bCs/>
        </w:rPr>
        <w:t>6.</w:t>
      </w:r>
      <w:r w:rsidR="0088694C">
        <w:rPr>
          <w:rFonts w:ascii="Times New Roman" w:hAnsi="Times New Roman" w:cs="Times New Roman"/>
          <w:b/>
          <w:bCs/>
        </w:rPr>
        <w:t>4</w:t>
      </w:r>
      <w:r w:rsidRPr="00922D75">
        <w:rPr>
          <w:rFonts w:ascii="Times New Roman" w:hAnsi="Times New Roman" w:cs="Times New Roman"/>
          <w:b/>
          <w:bCs/>
        </w:rPr>
        <w:t>.6. Potential benefits to communities with environmental justice concerns</w:t>
      </w:r>
    </w:p>
    <w:p w:rsidR="00B5047F" w:rsidP="00B5047F" w:rsidRDefault="00922D75" w14:paraId="494BC885" w14:textId="32301227">
      <w:pPr>
        <w:spacing w:after="0" w:line="240" w:lineRule="auto"/>
        <w:rPr>
          <w:rFonts w:ascii="Times New Roman" w:hAnsi="Times New Roman" w:eastAsia="Times New Roman" w:cs="Times New Roman"/>
        </w:rPr>
      </w:pPr>
      <w:r>
        <w:rPr>
          <w:rFonts w:ascii="Times New Roman" w:hAnsi="Times New Roman" w:cs="Times New Roman"/>
        </w:rPr>
        <w:tab/>
      </w:r>
      <w:r w:rsidRPr="002E42D7">
        <w:rPr>
          <w:rFonts w:ascii="Times New Roman" w:hAnsi="Times New Roman" w:eastAsia="Times New Roman" w:cs="Times New Roman"/>
        </w:rPr>
        <w:t xml:space="preserve">While EPA is unable to estimate the incremental changes in accident risks from the provisions proposed by this </w:t>
      </w:r>
      <w:r w:rsidR="00C92C4B">
        <w:rPr>
          <w:rFonts w:ascii="Times New Roman" w:hAnsi="Times New Roman" w:eastAsia="Times New Roman" w:cs="Times New Roman"/>
        </w:rPr>
        <w:t xml:space="preserve">proposed </w:t>
      </w:r>
      <w:r w:rsidRPr="002E42D7">
        <w:rPr>
          <w:rFonts w:ascii="Times New Roman" w:hAnsi="Times New Roman" w:eastAsia="Times New Roman" w:cs="Times New Roman"/>
        </w:rPr>
        <w:t xml:space="preserve">rule, the baseline distribution of population </w:t>
      </w:r>
      <w:r>
        <w:rPr>
          <w:rFonts w:ascii="Times New Roman" w:hAnsi="Times New Roman" w:eastAsia="Times New Roman" w:cs="Times New Roman"/>
        </w:rPr>
        <w:t>(</w:t>
      </w:r>
      <w:proofErr w:type="gramStart"/>
      <w:r>
        <w:rPr>
          <w:rFonts w:ascii="Times New Roman" w:hAnsi="Times New Roman" w:eastAsia="Times New Roman" w:cs="Times New Roman"/>
        </w:rPr>
        <w:t>see:</w:t>
      </w:r>
      <w:proofErr w:type="gramEnd"/>
      <w:r>
        <w:rPr>
          <w:rFonts w:ascii="Times New Roman" w:hAnsi="Times New Roman" w:eastAsia="Times New Roman" w:cs="Times New Roman"/>
        </w:rPr>
        <w:t xml:space="preserve"> Chapter 9) </w:t>
      </w:r>
      <w:r w:rsidRPr="002E42D7">
        <w:rPr>
          <w:rFonts w:ascii="Times New Roman" w:hAnsi="Times New Roman" w:eastAsia="Times New Roman" w:cs="Times New Roman"/>
        </w:rPr>
        <w:t xml:space="preserve">suggests that the </w:t>
      </w:r>
      <w:r w:rsidRPr="002E42D7">
        <w:rPr>
          <w:rFonts w:ascii="Times New Roman" w:hAnsi="Times New Roman" w:eastAsia="Times New Roman" w:cs="Times New Roman"/>
        </w:rPr>
        <w:lastRenderedPageBreak/>
        <w:t>benefits of the provisions may reduce potential exposure for historically underserved and overburdened populations. Specifically, EPA believes that several of the proposed provisions will benefit underserved populations, including the stationary source siting requirements, increase</w:t>
      </w:r>
      <w:r w:rsidR="002953D2">
        <w:rPr>
          <w:rFonts w:ascii="Times New Roman" w:hAnsi="Times New Roman" w:eastAsia="Times New Roman" w:cs="Times New Roman"/>
        </w:rPr>
        <w:t>d</w:t>
      </w:r>
      <w:r w:rsidRPr="002E42D7">
        <w:rPr>
          <w:rFonts w:ascii="Times New Roman" w:hAnsi="Times New Roman" w:eastAsia="Times New Roman" w:cs="Times New Roman"/>
        </w:rPr>
        <w:t xml:space="preserve"> information availability for </w:t>
      </w:r>
      <w:proofErr w:type="spellStart"/>
      <w:r w:rsidRPr="002E42D7">
        <w:rPr>
          <w:rFonts w:ascii="Times New Roman" w:hAnsi="Times New Roman" w:eastAsia="Times New Roman" w:cs="Times New Roman"/>
        </w:rPr>
        <w:t>fenceline</w:t>
      </w:r>
      <w:proofErr w:type="spellEnd"/>
      <w:r w:rsidRPr="002E42D7">
        <w:rPr>
          <w:rFonts w:ascii="Times New Roman" w:hAnsi="Times New Roman" w:eastAsia="Times New Roman" w:cs="Times New Roman"/>
        </w:rPr>
        <w:t xml:space="preserve"> communities, backup power for perimeter monitoring, and community notification and related response planning improvements</w:t>
      </w:r>
      <w:r>
        <w:rPr>
          <w:rFonts w:ascii="Times New Roman" w:hAnsi="Times New Roman" w:eastAsia="Times New Roman" w:cs="Times New Roman"/>
        </w:rPr>
        <w:t>.</w:t>
      </w:r>
    </w:p>
    <w:p w:rsidR="00556BFE" w:rsidP="00B5047F" w:rsidRDefault="00556BFE" w14:paraId="39CCB4BC" w14:textId="77777777">
      <w:pPr>
        <w:spacing w:after="0" w:line="240" w:lineRule="auto"/>
        <w:rPr>
          <w:rFonts w:ascii="Times New Roman" w:hAnsi="Times New Roman" w:cs="Times New Roman"/>
        </w:rPr>
      </w:pPr>
    </w:p>
    <w:p w:rsidRPr="00BF42A8" w:rsidR="00E93325" w:rsidP="00813745" w:rsidRDefault="00291BC5" w14:paraId="0360E9CF" w14:textId="79531026">
      <w:pPr>
        <w:pStyle w:val="Heading2"/>
      </w:pPr>
      <w:bookmarkStart w:name="_Toc98856233" w:id="129"/>
      <w:bookmarkStart w:name="_Toc110502763" w:id="130"/>
      <w:r w:rsidRPr="00BF42A8">
        <w:t>6.</w:t>
      </w:r>
      <w:r w:rsidR="0088694C">
        <w:t>5</w:t>
      </w:r>
      <w:r w:rsidRPr="00BF42A8">
        <w:t xml:space="preserve"> </w:t>
      </w:r>
      <w:r w:rsidRPr="00BF42A8" w:rsidR="00E93325">
        <w:t>Conclusions</w:t>
      </w:r>
      <w:bookmarkEnd w:id="129"/>
      <w:bookmarkEnd w:id="130"/>
    </w:p>
    <w:p w:rsidR="00170A38" w:rsidP="00964C0A" w:rsidRDefault="0072688F" w14:paraId="6BCB865E" w14:textId="2D5C5374">
      <w:pPr>
        <w:spacing w:after="0" w:line="240" w:lineRule="auto"/>
        <w:ind w:firstLine="360"/>
        <w:rPr>
          <w:rFonts w:ascii="Times New Roman" w:hAnsi="Times New Roman" w:cs="Times New Roman"/>
        </w:rPr>
      </w:pPr>
      <w:r>
        <w:rPr>
          <w:rFonts w:ascii="Times New Roman" w:hAnsi="Times New Roman" w:cs="Times New Roman"/>
        </w:rPr>
        <w:tab/>
      </w:r>
      <w:r w:rsidRPr="00BF42A8" w:rsidR="00170A38">
        <w:rPr>
          <w:rFonts w:ascii="Times New Roman" w:hAnsi="Times New Roman" w:cs="Times New Roman"/>
        </w:rPr>
        <w:t xml:space="preserve">EPA is unable </w:t>
      </w:r>
      <w:r w:rsidRPr="00BF42A8" w:rsidR="00E93325">
        <w:rPr>
          <w:rFonts w:ascii="Times New Roman" w:hAnsi="Times New Roman" w:cs="Times New Roman"/>
        </w:rPr>
        <w:t xml:space="preserve">to estimate quantitative benefits for the </w:t>
      </w:r>
      <w:r w:rsidRPr="00BF42A8" w:rsidR="008B5E14">
        <w:rPr>
          <w:rFonts w:ascii="Times New Roman" w:hAnsi="Times New Roman" w:cs="Times New Roman"/>
        </w:rPr>
        <w:t>proposed</w:t>
      </w:r>
      <w:r w:rsidRPr="00BF42A8" w:rsidR="00E93325">
        <w:rPr>
          <w:rFonts w:ascii="Times New Roman" w:hAnsi="Times New Roman" w:cs="Times New Roman"/>
        </w:rPr>
        <w:t xml:space="preserve"> rule </w:t>
      </w:r>
      <w:r w:rsidRPr="00BF42A8" w:rsidR="00170A38">
        <w:rPr>
          <w:rFonts w:ascii="Times New Roman" w:hAnsi="Times New Roman" w:cs="Times New Roman"/>
        </w:rPr>
        <w:t>because</w:t>
      </w:r>
      <w:r w:rsidRPr="00BF42A8" w:rsidR="00E93325">
        <w:rPr>
          <w:rFonts w:ascii="Times New Roman" w:hAnsi="Times New Roman" w:cs="Times New Roman"/>
        </w:rPr>
        <w:t xml:space="preserve"> </w:t>
      </w:r>
      <w:r w:rsidRPr="00BF42A8" w:rsidR="00170A38">
        <w:rPr>
          <w:rFonts w:ascii="Times New Roman" w:hAnsi="Times New Roman" w:cs="Times New Roman"/>
        </w:rPr>
        <w:t>the agency</w:t>
      </w:r>
      <w:r w:rsidRPr="00BF42A8" w:rsidR="00E93325">
        <w:rPr>
          <w:rFonts w:ascii="Times New Roman" w:hAnsi="Times New Roman" w:cs="Times New Roman"/>
        </w:rPr>
        <w:t xml:space="preserve"> has no data to project the specific impact on </w:t>
      </w:r>
      <w:r w:rsidRPr="00BF42A8" w:rsidR="00170A38">
        <w:rPr>
          <w:rFonts w:ascii="Times New Roman" w:hAnsi="Times New Roman" w:cs="Times New Roman"/>
        </w:rPr>
        <w:t xml:space="preserve">potential future </w:t>
      </w:r>
      <w:r w:rsidRPr="00BF42A8" w:rsidR="00E93325">
        <w:rPr>
          <w:rFonts w:ascii="Times New Roman" w:hAnsi="Times New Roman" w:cs="Times New Roman"/>
        </w:rPr>
        <w:t xml:space="preserve">accidents </w:t>
      </w:r>
      <w:r w:rsidRPr="00BF42A8" w:rsidR="00170A38">
        <w:rPr>
          <w:rFonts w:ascii="Times New Roman" w:hAnsi="Times New Roman" w:cs="Times New Roman"/>
        </w:rPr>
        <w:t xml:space="preserve">of </w:t>
      </w:r>
      <w:r w:rsidRPr="00BF42A8" w:rsidR="00E93325">
        <w:rPr>
          <w:rFonts w:ascii="Times New Roman" w:hAnsi="Times New Roman" w:cs="Times New Roman"/>
        </w:rPr>
        <w:t xml:space="preserve">each </w:t>
      </w:r>
      <w:r w:rsidRPr="00BF42A8" w:rsidR="008B5E14">
        <w:rPr>
          <w:rFonts w:ascii="Times New Roman" w:hAnsi="Times New Roman" w:cs="Times New Roman"/>
        </w:rPr>
        <w:t>proposed</w:t>
      </w:r>
      <w:r w:rsidRPr="00BF42A8" w:rsidR="00E93325">
        <w:rPr>
          <w:rFonts w:ascii="Times New Roman" w:hAnsi="Times New Roman" w:cs="Times New Roman"/>
        </w:rPr>
        <w:t xml:space="preserve"> rule provision. </w:t>
      </w:r>
      <w:r w:rsidRPr="00BF42A8" w:rsidR="00B60603">
        <w:rPr>
          <w:rFonts w:ascii="Times New Roman" w:hAnsi="Times New Roman" w:cs="Times New Roman"/>
        </w:rPr>
        <w:t>As the data show, past</w:t>
      </w:r>
      <w:r w:rsidRPr="00BF42A8" w:rsidR="00E93325">
        <w:rPr>
          <w:rFonts w:ascii="Times New Roman" w:hAnsi="Times New Roman" w:cs="Times New Roman"/>
        </w:rPr>
        <w:t xml:space="preserve"> accidents </w:t>
      </w:r>
      <w:r w:rsidR="00EC7904">
        <w:rPr>
          <w:rFonts w:ascii="Times New Roman" w:hAnsi="Times New Roman" w:cs="Times New Roman"/>
        </w:rPr>
        <w:t>have generated</w:t>
      </w:r>
      <w:r w:rsidRPr="00BF42A8" w:rsidR="00E93325">
        <w:rPr>
          <w:rFonts w:ascii="Times New Roman" w:hAnsi="Times New Roman" w:cs="Times New Roman"/>
        </w:rPr>
        <w:t xml:space="preserve"> highly variable </w:t>
      </w:r>
      <w:proofErr w:type="gramStart"/>
      <w:r w:rsidRPr="00BF42A8" w:rsidR="00E93325">
        <w:rPr>
          <w:rFonts w:ascii="Times New Roman" w:hAnsi="Times New Roman" w:cs="Times New Roman"/>
        </w:rPr>
        <w:t>impacts</w:t>
      </w:r>
      <w:proofErr w:type="gramEnd"/>
      <w:r w:rsidRPr="00BF42A8" w:rsidR="00E93325">
        <w:rPr>
          <w:rFonts w:ascii="Times New Roman" w:hAnsi="Times New Roman" w:cs="Times New Roman"/>
        </w:rPr>
        <w:t xml:space="preserve"> </w:t>
      </w:r>
      <w:r w:rsidRPr="00BF42A8" w:rsidR="00B60603">
        <w:rPr>
          <w:rFonts w:ascii="Times New Roman" w:hAnsi="Times New Roman" w:cs="Times New Roman"/>
        </w:rPr>
        <w:t xml:space="preserve">so the impacts of future accidents </w:t>
      </w:r>
      <w:r w:rsidRPr="00BF42A8" w:rsidR="00E93325">
        <w:rPr>
          <w:rFonts w:ascii="Times New Roman" w:hAnsi="Times New Roman" w:cs="Times New Roman"/>
        </w:rPr>
        <w:t xml:space="preserve">are difficult to predict. However, it is clear from the RMP accident data and other data, such as that reported by Marsh, that chemical accidents can impose substantial costs on firms, employees, emergency responders, the community, and the broader economy. </w:t>
      </w:r>
      <w:r w:rsidRPr="00BF42A8" w:rsidR="00170A38">
        <w:rPr>
          <w:rFonts w:ascii="Times New Roman" w:hAnsi="Times New Roman" w:cs="Times New Roman"/>
        </w:rPr>
        <w:t>T</w:t>
      </w:r>
      <w:r w:rsidRPr="00BF42A8" w:rsidR="00E93325">
        <w:rPr>
          <w:rFonts w:ascii="Times New Roman" w:hAnsi="Times New Roman" w:cs="Times New Roman"/>
        </w:rPr>
        <w:t xml:space="preserve">he </w:t>
      </w:r>
      <w:r w:rsidRPr="00BF42A8" w:rsidR="00170A38">
        <w:rPr>
          <w:rFonts w:ascii="Times New Roman" w:hAnsi="Times New Roman" w:cs="Times New Roman"/>
        </w:rPr>
        <w:t>proposed rule’s objective of reducing</w:t>
      </w:r>
      <w:r w:rsidRPr="00BF42A8" w:rsidR="00E93325">
        <w:rPr>
          <w:rFonts w:ascii="Times New Roman" w:hAnsi="Times New Roman" w:cs="Times New Roman"/>
        </w:rPr>
        <w:t xml:space="preserve"> the risk of such accidents and the severity of the impacts when accidents occur, and improving information </w:t>
      </w:r>
      <w:r w:rsidR="00EC7904">
        <w:rPr>
          <w:rFonts w:ascii="Times New Roman" w:hAnsi="Times New Roman" w:cs="Times New Roman"/>
        </w:rPr>
        <w:t>availability to the public</w:t>
      </w:r>
      <w:r w:rsidRPr="00BF42A8" w:rsidR="00E93325">
        <w:rPr>
          <w:rFonts w:ascii="Times New Roman" w:hAnsi="Times New Roman" w:cs="Times New Roman"/>
        </w:rPr>
        <w:t xml:space="preserve">, </w:t>
      </w:r>
      <w:r w:rsidRPr="00BF42A8" w:rsidR="00170A38">
        <w:rPr>
          <w:rFonts w:ascii="Times New Roman" w:hAnsi="Times New Roman" w:cs="Times New Roman"/>
        </w:rPr>
        <w:t xml:space="preserve">would </w:t>
      </w:r>
      <w:r w:rsidRPr="00BF42A8" w:rsidR="00E93325">
        <w:rPr>
          <w:rFonts w:ascii="Times New Roman" w:hAnsi="Times New Roman" w:cs="Times New Roman"/>
        </w:rPr>
        <w:t xml:space="preserve">provide benefits to potentially affected members of </w:t>
      </w:r>
      <w:r w:rsidR="00EC7904">
        <w:rPr>
          <w:rFonts w:ascii="Times New Roman" w:hAnsi="Times New Roman" w:cs="Times New Roman"/>
        </w:rPr>
        <w:t>the public.</w:t>
      </w:r>
    </w:p>
    <w:p w:rsidR="0072688F" w:rsidP="00964C0A" w:rsidRDefault="0072688F" w14:paraId="07850D4A" w14:textId="77777777">
      <w:pPr>
        <w:spacing w:after="0" w:line="240" w:lineRule="auto"/>
        <w:ind w:firstLine="360"/>
        <w:rPr>
          <w:rFonts w:ascii="Times New Roman" w:hAnsi="Times New Roman" w:cs="Times New Roman"/>
        </w:rPr>
      </w:pPr>
    </w:p>
    <w:p w:rsidR="00E93325" w:rsidP="000E6E0F" w:rsidRDefault="0072688F" w14:paraId="3D074407" w14:textId="21F271C5">
      <w:pPr>
        <w:spacing w:after="0" w:line="240" w:lineRule="auto"/>
        <w:ind w:firstLine="360"/>
        <w:rPr>
          <w:rFonts w:ascii="Times New Roman" w:hAnsi="Times New Roman" w:cs="Times New Roman"/>
        </w:rPr>
      </w:pPr>
      <w:r>
        <w:rPr>
          <w:rFonts w:ascii="Times New Roman" w:hAnsi="Times New Roman" w:cs="Times New Roman"/>
        </w:rPr>
        <w:tab/>
      </w:r>
      <w:r w:rsidRPr="00BF42A8" w:rsidR="00E93325">
        <w:rPr>
          <w:rFonts w:ascii="Times New Roman" w:hAnsi="Times New Roman" w:cs="Times New Roman"/>
        </w:rPr>
        <w:t>Exhibit 6-</w:t>
      </w:r>
      <w:r w:rsidR="00D36706">
        <w:rPr>
          <w:rFonts w:ascii="Times New Roman" w:hAnsi="Times New Roman" w:cs="Times New Roman"/>
        </w:rPr>
        <w:t>3</w:t>
      </w:r>
      <w:r w:rsidRPr="00BF42A8" w:rsidR="00E93325">
        <w:rPr>
          <w:rFonts w:ascii="Times New Roman" w:hAnsi="Times New Roman" w:cs="Times New Roman"/>
        </w:rPr>
        <w:t xml:space="preserve"> summarizes the benefit or accident cost categories described in this chapter. </w:t>
      </w:r>
      <w:r w:rsidRPr="00BF42A8" w:rsidR="00170A38">
        <w:rPr>
          <w:rFonts w:ascii="Times New Roman" w:hAnsi="Times New Roman" w:cs="Times New Roman"/>
        </w:rPr>
        <w:t>F</w:t>
      </w:r>
      <w:r w:rsidRPr="00BF42A8" w:rsidR="00E93325">
        <w:rPr>
          <w:rFonts w:ascii="Times New Roman" w:hAnsi="Times New Roman" w:cs="Times New Roman"/>
        </w:rPr>
        <w:t xml:space="preserve">our broad benefit categories </w:t>
      </w:r>
      <w:r w:rsidRPr="00BF42A8" w:rsidR="00170A38">
        <w:rPr>
          <w:rFonts w:ascii="Times New Roman" w:hAnsi="Times New Roman" w:cs="Times New Roman"/>
        </w:rPr>
        <w:t>are</w:t>
      </w:r>
      <w:r w:rsidRPr="00BF42A8" w:rsidR="00E93325">
        <w:rPr>
          <w:rFonts w:ascii="Times New Roman" w:hAnsi="Times New Roman" w:cs="Times New Roman"/>
        </w:rPr>
        <w:t xml:space="preserve"> related to accident prevention and mitigation including RMP accidents, non-RMP accidents at RMP facilities, and potential major catastrophes. The exhibit explains each and identifies ten associated specific benefit categories. Exhibit 6-</w:t>
      </w:r>
      <w:r w:rsidR="0088694C">
        <w:rPr>
          <w:rFonts w:ascii="Times New Roman" w:hAnsi="Times New Roman" w:cs="Times New Roman"/>
        </w:rPr>
        <w:t>3</w:t>
      </w:r>
      <w:r w:rsidRPr="00BF42A8" w:rsidR="00E93325">
        <w:rPr>
          <w:rFonts w:ascii="Times New Roman" w:hAnsi="Times New Roman" w:cs="Times New Roman"/>
        </w:rPr>
        <w:t xml:space="preserve"> also highlights and explains the </w:t>
      </w:r>
      <w:r w:rsidRPr="00BF42A8" w:rsidR="00A91A23">
        <w:rPr>
          <w:rFonts w:ascii="Times New Roman" w:hAnsi="Times New Roman" w:cs="Times New Roman"/>
        </w:rPr>
        <w:t>Information Availability</w:t>
      </w:r>
      <w:r w:rsidRPr="00BF42A8" w:rsidR="00E93325">
        <w:rPr>
          <w:rFonts w:ascii="Times New Roman" w:hAnsi="Times New Roman" w:cs="Times New Roman"/>
        </w:rPr>
        <w:t xml:space="preserve"> benefit category and identifies two specific benefits associated with it.</w:t>
      </w:r>
    </w:p>
    <w:p w:rsidR="004101BF" w:rsidP="000E6E0F" w:rsidRDefault="004101BF" w14:paraId="0CEA1728" w14:textId="77777777">
      <w:pPr>
        <w:spacing w:after="0" w:line="240" w:lineRule="auto"/>
        <w:ind w:firstLine="360"/>
        <w:rPr>
          <w:rFonts w:ascii="Times New Roman" w:hAnsi="Times New Roman" w:cs="Times New Roman"/>
        </w:rPr>
      </w:pPr>
    </w:p>
    <w:p w:rsidRPr="00C2275C" w:rsidR="00A9320C" w:rsidP="00A9320C" w:rsidRDefault="00867AED" w14:paraId="3306E630" w14:textId="6A0FE56C">
      <w:pPr>
        <w:rPr>
          <w:rFonts w:ascii="Times New Roman" w:hAnsi="Times New Roman" w:cs="Times New Roman"/>
        </w:rPr>
      </w:pPr>
      <w:r>
        <w:rPr>
          <w:rFonts w:ascii="Times New Roman" w:hAnsi="Times New Roman" w:cs="Times New Roman"/>
        </w:rPr>
        <w:tab/>
      </w:r>
      <w:r w:rsidR="004101BF">
        <w:rPr>
          <w:rFonts w:ascii="Times New Roman" w:hAnsi="Times New Roman" w:cs="Times New Roman"/>
        </w:rPr>
        <w:t xml:space="preserve">EPA also conducted a breakeven analysis </w:t>
      </w:r>
      <w:r w:rsidRPr="00C2275C" w:rsidR="004101BF">
        <w:rPr>
          <w:rFonts w:ascii="Times New Roman" w:hAnsi="Times New Roman" w:cs="Times New Roman"/>
        </w:rPr>
        <w:t xml:space="preserve">instead of a standard cost benefit analysis because while EPA was able to quantify and monetize the costs of the proposed rule, it cannot sufficiently quantify or monetize the benefits. The proposed rule would need to reduce, or mitigate, damages valued at </w:t>
      </w:r>
      <w:r w:rsidRPr="00821A95" w:rsidR="004101BF">
        <w:rPr>
          <w:rFonts w:ascii="Times New Roman" w:hAnsi="Times New Roman" w:cs="Times New Roman"/>
        </w:rPr>
        <w:t xml:space="preserve">approximately $76 million over any number of future accidents to achieve breakeven. Alternatively, </w:t>
      </w:r>
      <w:proofErr w:type="gramStart"/>
      <w:r w:rsidRPr="00821A95" w:rsidR="004101BF">
        <w:rPr>
          <w:rFonts w:ascii="Times New Roman" w:hAnsi="Times New Roman" w:cs="Times New Roman"/>
        </w:rPr>
        <w:t>in order for</w:t>
      </w:r>
      <w:proofErr w:type="gramEnd"/>
      <w:r w:rsidRPr="00821A95" w:rsidR="004101BF">
        <w:rPr>
          <w:rFonts w:ascii="Times New Roman" w:hAnsi="Times New Roman" w:cs="Times New Roman"/>
        </w:rPr>
        <w:t xml:space="preserve"> the proposed rule to achieve breakeven on an annual basis given estimated annualized costs of approximately $76 million and an estimated number of annual accidents of about 100, fewer than approximately 15 accidents</w:t>
      </w:r>
      <w:r w:rsidRPr="00C2275C" w:rsidR="004101BF">
        <w:rPr>
          <w:rFonts w:ascii="Times New Roman" w:hAnsi="Times New Roman" w:cs="Times New Roman"/>
        </w:rPr>
        <w:t>, each with average monetized damages of approximately $5 million as estimated for the most recent five-year baseline period, would need to be prevented annually by the proposed rule</w:t>
      </w:r>
      <w:r w:rsidR="00A9320C">
        <w:rPr>
          <w:rFonts w:ascii="Times New Roman" w:hAnsi="Times New Roman" w:cs="Times New Roman"/>
        </w:rPr>
        <w:t xml:space="preserve">. </w:t>
      </w:r>
      <w:r w:rsidRPr="00C2275C" w:rsidR="00A9320C">
        <w:rPr>
          <w:rFonts w:ascii="Times New Roman" w:hAnsi="Times New Roman" w:cs="Times New Roman"/>
        </w:rPr>
        <w:t>The number fewer than 15 would depend on the value of the unquantified accident damages that would be avoided</w:t>
      </w:r>
      <w:r w:rsidR="00A9320C">
        <w:rPr>
          <w:rFonts w:ascii="Times New Roman" w:hAnsi="Times New Roman" w:cs="Times New Roman"/>
        </w:rPr>
        <w:t>.</w:t>
      </w:r>
      <w:r w:rsidRPr="00C2275C" w:rsidR="00A9320C">
        <w:rPr>
          <w:rFonts w:ascii="Times New Roman" w:hAnsi="Times New Roman" w:cs="Times New Roman"/>
        </w:rPr>
        <w:t xml:space="preserve"> </w:t>
      </w:r>
      <w:r w:rsidRPr="00C2275C">
        <w:rPr>
          <w:rFonts w:ascii="Times New Roman" w:hAnsi="Times New Roman" w:cs="Times New Roman"/>
        </w:rPr>
        <w:t>When considering the rule’s likely benefits that are due to avoiding some portion of the monetized accident impacts, as well as the additional nonmonetized benefits described previously, EPA believes the costs of the rule are reasonable in comparison to its benefits</w:t>
      </w:r>
      <w:r w:rsidR="004C1142">
        <w:rPr>
          <w:rFonts w:ascii="Times New Roman" w:hAnsi="Times New Roman" w:cs="Times New Roman"/>
        </w:rPr>
        <w:t>.</w:t>
      </w:r>
    </w:p>
    <w:p w:rsidR="004101BF" w:rsidP="001913D9" w:rsidRDefault="004101BF" w14:paraId="59EAB64A" w14:textId="2AB99D2D">
      <w:pPr>
        <w:spacing w:after="0" w:line="240" w:lineRule="auto"/>
        <w:ind w:firstLine="720"/>
        <w:rPr>
          <w:rFonts w:ascii="Times New Roman" w:hAnsi="Times New Roman" w:cs="Times New Roman"/>
        </w:rPr>
      </w:pPr>
    </w:p>
    <w:p w:rsidR="00D21960" w:rsidP="0072688F" w:rsidRDefault="00D21960" w14:paraId="5EB05EE3"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247C41C3"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164BD30B"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7CFFCF6A"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2F603E8E"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092A5900" w14:textId="77777777">
      <w:pPr>
        <w:pStyle w:val="Caption"/>
        <w:jc w:val="center"/>
        <w:rPr>
          <w:rFonts w:ascii="Times New Roman" w:hAnsi="Times New Roman" w:cs="Times New Roman"/>
          <w:b/>
          <w:bCs/>
          <w:i w:val="0"/>
          <w:iCs w:val="0"/>
          <w:color w:val="auto"/>
          <w:sz w:val="22"/>
          <w:szCs w:val="22"/>
        </w:rPr>
      </w:pPr>
    </w:p>
    <w:p w:rsidR="00D21960" w:rsidP="0072688F" w:rsidRDefault="00D21960" w14:paraId="2BD05E30" w14:textId="77777777">
      <w:pPr>
        <w:pStyle w:val="Caption"/>
        <w:jc w:val="center"/>
        <w:rPr>
          <w:rFonts w:ascii="Times New Roman" w:hAnsi="Times New Roman" w:cs="Times New Roman"/>
          <w:b/>
          <w:bCs/>
          <w:i w:val="0"/>
          <w:iCs w:val="0"/>
          <w:color w:val="auto"/>
          <w:sz w:val="22"/>
          <w:szCs w:val="22"/>
        </w:rPr>
      </w:pPr>
    </w:p>
    <w:p w:rsidRPr="00BF42A8" w:rsidR="00E93325" w:rsidP="0072688F" w:rsidRDefault="00693892" w14:paraId="0A72D261" w14:textId="38A4F824">
      <w:pPr>
        <w:pStyle w:val="Caption"/>
        <w:jc w:val="center"/>
        <w:rPr>
          <w:rFonts w:ascii="Times New Roman" w:hAnsi="Times New Roman" w:cs="Times New Roman"/>
          <w:b/>
        </w:rPr>
      </w:pPr>
      <w:r w:rsidRPr="00693892">
        <w:rPr>
          <w:rFonts w:ascii="Times New Roman" w:hAnsi="Times New Roman" w:cs="Times New Roman"/>
          <w:b/>
          <w:bCs/>
          <w:i w:val="0"/>
          <w:iCs w:val="0"/>
          <w:color w:val="auto"/>
          <w:sz w:val="22"/>
          <w:szCs w:val="22"/>
        </w:rPr>
        <w:lastRenderedPageBreak/>
        <w:t>Exhibit 6-</w:t>
      </w:r>
      <w:r w:rsidR="0088694C">
        <w:rPr>
          <w:rFonts w:ascii="Times New Roman" w:hAnsi="Times New Roman" w:cs="Times New Roman"/>
          <w:b/>
          <w:bCs/>
          <w:i w:val="0"/>
          <w:iCs w:val="0"/>
          <w:color w:val="auto"/>
          <w:sz w:val="22"/>
          <w:szCs w:val="22"/>
        </w:rPr>
        <w:t>3</w:t>
      </w:r>
      <w:r w:rsidRPr="00693892">
        <w:rPr>
          <w:rFonts w:ascii="Times New Roman" w:hAnsi="Times New Roman" w:cs="Times New Roman"/>
          <w:b/>
          <w:bCs/>
          <w:i w:val="0"/>
          <w:iCs w:val="0"/>
          <w:color w:val="auto"/>
          <w:sz w:val="22"/>
          <w:szCs w:val="22"/>
        </w:rPr>
        <w:t>: Summary of Social Benefits.</w:t>
      </w:r>
    </w:p>
    <w:tbl>
      <w:tblPr>
        <w:tblpPr w:leftFromText="180" w:rightFromText="180" w:vertAnchor="text" w:horzAnchor="margin" w:tblpY="-19"/>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45"/>
        <w:gridCol w:w="2970"/>
        <w:gridCol w:w="4140"/>
      </w:tblGrid>
      <w:tr w:rsidRPr="00BF42A8" w:rsidR="00E93325" w:rsidTr="00693892" w14:paraId="082F621E" w14:textId="77777777">
        <w:trPr>
          <w:trHeight w:val="347"/>
          <w:tblHeader/>
        </w:trPr>
        <w:tc>
          <w:tcPr>
            <w:tcW w:w="2245" w:type="dxa"/>
            <w:shd w:val="clear" w:color="auto" w:fill="D9D9D9"/>
            <w:vAlign w:val="center"/>
          </w:tcPr>
          <w:p w:rsidRPr="00693892" w:rsidR="00E93325" w:rsidP="00693892" w:rsidRDefault="00E93325" w14:paraId="71FD7FAB" w14:textId="77777777">
            <w:pPr>
              <w:keepNext/>
              <w:spacing w:after="0" w:line="240" w:lineRule="auto"/>
              <w:ind w:left="470"/>
              <w:rPr>
                <w:rFonts w:ascii="Times New Roman" w:hAnsi="Times New Roman" w:cs="Times New Roman"/>
                <w:b/>
                <w:sz w:val="20"/>
                <w:szCs w:val="20"/>
              </w:rPr>
            </w:pPr>
            <w:r w:rsidRPr="00693892">
              <w:rPr>
                <w:rFonts w:ascii="Times New Roman" w:hAnsi="Times New Roman" w:cs="Times New Roman"/>
                <w:b/>
                <w:sz w:val="20"/>
                <w:szCs w:val="20"/>
              </w:rPr>
              <w:t>Broad Benefit Category</w:t>
            </w:r>
          </w:p>
        </w:tc>
        <w:tc>
          <w:tcPr>
            <w:tcW w:w="2970" w:type="dxa"/>
            <w:shd w:val="clear" w:color="auto" w:fill="D9D9D9"/>
            <w:vAlign w:val="center"/>
          </w:tcPr>
          <w:p w:rsidRPr="00693892" w:rsidR="00E93325" w:rsidP="00693892" w:rsidRDefault="00E93325" w14:paraId="2517B850" w14:textId="77777777">
            <w:pPr>
              <w:keepNext/>
              <w:spacing w:after="0" w:line="240" w:lineRule="auto"/>
              <w:ind w:left="89" w:right="77"/>
              <w:rPr>
                <w:rFonts w:ascii="Times New Roman" w:hAnsi="Times New Roman" w:cs="Times New Roman"/>
                <w:b/>
                <w:sz w:val="20"/>
                <w:szCs w:val="20"/>
              </w:rPr>
            </w:pPr>
            <w:r w:rsidRPr="00693892">
              <w:rPr>
                <w:rFonts w:ascii="Times New Roman" w:hAnsi="Times New Roman" w:cs="Times New Roman"/>
                <w:b/>
                <w:sz w:val="20"/>
                <w:szCs w:val="20"/>
              </w:rPr>
              <w:t>Explanation</w:t>
            </w:r>
          </w:p>
        </w:tc>
        <w:tc>
          <w:tcPr>
            <w:tcW w:w="4140" w:type="dxa"/>
            <w:shd w:val="clear" w:color="auto" w:fill="D9D9D9"/>
            <w:vAlign w:val="center"/>
          </w:tcPr>
          <w:p w:rsidRPr="00693892" w:rsidR="00E93325" w:rsidP="00693892" w:rsidRDefault="00E93325" w14:paraId="1A068BD6" w14:textId="77777777">
            <w:pPr>
              <w:keepNext/>
              <w:spacing w:after="0" w:line="240" w:lineRule="auto"/>
              <w:ind w:left="100"/>
              <w:rPr>
                <w:rFonts w:ascii="Times New Roman" w:hAnsi="Times New Roman" w:cs="Times New Roman"/>
                <w:b/>
                <w:sz w:val="20"/>
                <w:szCs w:val="20"/>
              </w:rPr>
            </w:pPr>
            <w:r w:rsidRPr="00693892">
              <w:rPr>
                <w:rFonts w:ascii="Times New Roman" w:hAnsi="Times New Roman" w:cs="Times New Roman"/>
                <w:b/>
                <w:sz w:val="20"/>
                <w:szCs w:val="20"/>
              </w:rPr>
              <w:t>Specific Benefit Categories</w:t>
            </w:r>
          </w:p>
        </w:tc>
      </w:tr>
      <w:tr w:rsidRPr="00BF42A8" w:rsidR="00E93325" w:rsidTr="00693892" w14:paraId="1A17A1E5" w14:textId="77777777">
        <w:trPr>
          <w:trHeight w:val="776"/>
        </w:trPr>
        <w:tc>
          <w:tcPr>
            <w:tcW w:w="2245" w:type="dxa"/>
            <w:vAlign w:val="center"/>
          </w:tcPr>
          <w:p w:rsidRPr="00693892" w:rsidR="00E93325" w:rsidP="00693892" w:rsidRDefault="00E93325" w14:paraId="1CD3D66B" w14:textId="77777777">
            <w:pPr>
              <w:spacing w:after="0" w:line="240" w:lineRule="auto"/>
              <w:rPr>
                <w:rFonts w:ascii="Times New Roman" w:hAnsi="Times New Roman" w:cs="Times New Roman"/>
                <w:b/>
                <w:sz w:val="20"/>
                <w:szCs w:val="20"/>
              </w:rPr>
            </w:pPr>
          </w:p>
          <w:p w:rsidRPr="00693892" w:rsidR="00E93325" w:rsidP="00693892" w:rsidRDefault="00E93325" w14:paraId="05D57F39" w14:textId="77777777">
            <w:pPr>
              <w:spacing w:after="0" w:line="240" w:lineRule="auto"/>
              <w:ind w:left="107"/>
              <w:rPr>
                <w:rFonts w:ascii="Times New Roman" w:hAnsi="Times New Roman" w:cs="Times New Roman"/>
                <w:sz w:val="20"/>
                <w:szCs w:val="20"/>
              </w:rPr>
            </w:pPr>
            <w:r w:rsidRPr="00693892">
              <w:rPr>
                <w:rFonts w:ascii="Times New Roman" w:hAnsi="Times New Roman" w:cs="Times New Roman"/>
                <w:sz w:val="20"/>
                <w:szCs w:val="20"/>
              </w:rPr>
              <w:t>Accident Prevention</w:t>
            </w:r>
          </w:p>
        </w:tc>
        <w:tc>
          <w:tcPr>
            <w:tcW w:w="2970" w:type="dxa"/>
            <w:vAlign w:val="center"/>
          </w:tcPr>
          <w:p w:rsidRPr="00693892" w:rsidR="00E93325" w:rsidP="00693892" w:rsidRDefault="00E93325" w14:paraId="6A7E5198" w14:textId="77777777">
            <w:pPr>
              <w:spacing w:after="0" w:line="240" w:lineRule="auto"/>
              <w:rPr>
                <w:rFonts w:ascii="Times New Roman" w:hAnsi="Times New Roman" w:cs="Times New Roman"/>
                <w:b/>
                <w:sz w:val="20"/>
                <w:szCs w:val="20"/>
              </w:rPr>
            </w:pPr>
          </w:p>
          <w:p w:rsidRPr="00693892" w:rsidR="00E93325" w:rsidP="00693892" w:rsidRDefault="00E93325" w14:paraId="0B0D34A6" w14:textId="77777777">
            <w:pPr>
              <w:spacing w:after="0" w:line="240" w:lineRule="auto"/>
              <w:ind w:left="107" w:right="926"/>
              <w:rPr>
                <w:rFonts w:ascii="Times New Roman" w:hAnsi="Times New Roman" w:cs="Times New Roman"/>
                <w:sz w:val="20"/>
                <w:szCs w:val="20"/>
              </w:rPr>
            </w:pPr>
            <w:r w:rsidRPr="00693892">
              <w:rPr>
                <w:rFonts w:ascii="Times New Roman" w:hAnsi="Times New Roman" w:cs="Times New Roman"/>
                <w:sz w:val="20"/>
                <w:szCs w:val="20"/>
              </w:rPr>
              <w:t>Prevention of future RMP facility accidents</w:t>
            </w:r>
          </w:p>
        </w:tc>
        <w:tc>
          <w:tcPr>
            <w:tcW w:w="4140" w:type="dxa"/>
            <w:vMerge w:val="restart"/>
            <w:vAlign w:val="center"/>
          </w:tcPr>
          <w:p w:rsidRPr="00693892" w:rsidR="00E93325" w:rsidP="00693892" w:rsidRDefault="00E93325" w14:paraId="14A98485" w14:textId="77777777">
            <w:pPr>
              <w:numPr>
                <w:ilvl w:val="0"/>
                <w:numId w:val="8"/>
              </w:numPr>
              <w:tabs>
                <w:tab w:val="left" w:pos="520"/>
                <w:tab w:val="left" w:pos="521"/>
              </w:tabs>
              <w:spacing w:after="0" w:line="240" w:lineRule="auto"/>
              <w:ind w:hanging="361"/>
              <w:rPr>
                <w:rFonts w:ascii="Times New Roman" w:hAnsi="Times New Roman" w:cs="Times New Roman"/>
                <w:sz w:val="20"/>
                <w:szCs w:val="20"/>
              </w:rPr>
            </w:pPr>
            <w:r w:rsidRPr="00693892">
              <w:rPr>
                <w:rFonts w:ascii="Times New Roman" w:hAnsi="Times New Roman" w:cs="Times New Roman"/>
                <w:sz w:val="20"/>
                <w:szCs w:val="20"/>
              </w:rPr>
              <w:t>Reduced</w:t>
            </w:r>
            <w:r w:rsidRPr="00693892">
              <w:rPr>
                <w:rFonts w:ascii="Times New Roman" w:hAnsi="Times New Roman" w:cs="Times New Roman"/>
                <w:spacing w:val="-4"/>
                <w:sz w:val="20"/>
                <w:szCs w:val="20"/>
              </w:rPr>
              <w:t xml:space="preserve"> </w:t>
            </w:r>
            <w:r w:rsidRPr="00693892">
              <w:rPr>
                <w:rFonts w:ascii="Times New Roman" w:hAnsi="Times New Roman" w:cs="Times New Roman"/>
                <w:sz w:val="20"/>
                <w:szCs w:val="20"/>
              </w:rPr>
              <w:t>Fatalities</w:t>
            </w:r>
          </w:p>
          <w:p w:rsidRPr="00693892" w:rsidR="00E93325" w:rsidP="00693892" w:rsidRDefault="00E93325" w14:paraId="464DAF58" w14:textId="77777777">
            <w:pPr>
              <w:numPr>
                <w:ilvl w:val="0"/>
                <w:numId w:val="8"/>
              </w:numPr>
              <w:tabs>
                <w:tab w:val="left" w:pos="520"/>
                <w:tab w:val="left" w:pos="521"/>
              </w:tabs>
              <w:spacing w:after="0" w:line="240" w:lineRule="auto"/>
              <w:ind w:hanging="361"/>
              <w:rPr>
                <w:rFonts w:ascii="Times New Roman" w:hAnsi="Times New Roman" w:cs="Times New Roman"/>
                <w:sz w:val="20"/>
                <w:szCs w:val="20"/>
              </w:rPr>
            </w:pPr>
            <w:r w:rsidRPr="00693892">
              <w:rPr>
                <w:rFonts w:ascii="Times New Roman" w:hAnsi="Times New Roman" w:cs="Times New Roman"/>
                <w:sz w:val="20"/>
                <w:szCs w:val="20"/>
              </w:rPr>
              <w:t>Reduced</w:t>
            </w:r>
            <w:r w:rsidRPr="00693892">
              <w:rPr>
                <w:rFonts w:ascii="Times New Roman" w:hAnsi="Times New Roman" w:cs="Times New Roman"/>
                <w:spacing w:val="-4"/>
                <w:sz w:val="20"/>
                <w:szCs w:val="20"/>
              </w:rPr>
              <w:t xml:space="preserve"> </w:t>
            </w:r>
            <w:r w:rsidRPr="00693892">
              <w:rPr>
                <w:rFonts w:ascii="Times New Roman" w:hAnsi="Times New Roman" w:cs="Times New Roman"/>
                <w:sz w:val="20"/>
                <w:szCs w:val="20"/>
              </w:rPr>
              <w:t>Injuries</w:t>
            </w:r>
          </w:p>
          <w:p w:rsidRPr="00693892" w:rsidR="00E93325" w:rsidP="00693892" w:rsidRDefault="00E93325" w14:paraId="2D4C9252" w14:textId="77777777">
            <w:pPr>
              <w:numPr>
                <w:ilvl w:val="0"/>
                <w:numId w:val="8"/>
              </w:numPr>
              <w:tabs>
                <w:tab w:val="left" w:pos="520"/>
                <w:tab w:val="left" w:pos="521"/>
              </w:tabs>
              <w:spacing w:after="0" w:line="240" w:lineRule="auto"/>
              <w:ind w:right="446"/>
              <w:rPr>
                <w:rFonts w:ascii="Times New Roman" w:hAnsi="Times New Roman" w:cs="Times New Roman"/>
                <w:sz w:val="20"/>
                <w:szCs w:val="20"/>
              </w:rPr>
            </w:pPr>
            <w:r w:rsidRPr="00693892">
              <w:rPr>
                <w:rFonts w:ascii="Times New Roman" w:hAnsi="Times New Roman" w:cs="Times New Roman"/>
                <w:sz w:val="20"/>
                <w:szCs w:val="20"/>
              </w:rPr>
              <w:t xml:space="preserve">Reduced </w:t>
            </w:r>
            <w:r w:rsidRPr="00693892">
              <w:rPr>
                <w:rFonts w:ascii="Times New Roman" w:hAnsi="Times New Roman" w:cs="Times New Roman"/>
                <w:spacing w:val="-3"/>
                <w:sz w:val="20"/>
                <w:szCs w:val="20"/>
              </w:rPr>
              <w:t xml:space="preserve">Property </w:t>
            </w:r>
            <w:r w:rsidRPr="00693892">
              <w:rPr>
                <w:rFonts w:ascii="Times New Roman" w:hAnsi="Times New Roman" w:cs="Times New Roman"/>
                <w:sz w:val="20"/>
                <w:szCs w:val="20"/>
              </w:rPr>
              <w:t>Damage</w:t>
            </w:r>
          </w:p>
          <w:p w:rsidRPr="00693892" w:rsidR="00E93325" w:rsidP="00693892" w:rsidRDefault="00E93325" w14:paraId="6D9614F9" w14:textId="77777777">
            <w:pPr>
              <w:numPr>
                <w:ilvl w:val="0"/>
                <w:numId w:val="8"/>
              </w:numPr>
              <w:tabs>
                <w:tab w:val="left" w:pos="520"/>
                <w:tab w:val="left" w:pos="521"/>
              </w:tabs>
              <w:spacing w:after="0" w:line="240" w:lineRule="auto"/>
              <w:ind w:right="454"/>
              <w:rPr>
                <w:rFonts w:ascii="Times New Roman" w:hAnsi="Times New Roman" w:cs="Times New Roman"/>
                <w:sz w:val="20"/>
                <w:szCs w:val="20"/>
              </w:rPr>
            </w:pPr>
            <w:r w:rsidRPr="00693892">
              <w:rPr>
                <w:rFonts w:ascii="Times New Roman" w:hAnsi="Times New Roman" w:cs="Times New Roman"/>
                <w:sz w:val="20"/>
                <w:szCs w:val="20"/>
              </w:rPr>
              <w:t>Fewer People Sheltered in</w:t>
            </w:r>
            <w:r w:rsidRPr="00693892">
              <w:rPr>
                <w:rFonts w:ascii="Times New Roman" w:hAnsi="Times New Roman" w:cs="Times New Roman"/>
                <w:spacing w:val="3"/>
                <w:sz w:val="20"/>
                <w:szCs w:val="20"/>
              </w:rPr>
              <w:t xml:space="preserve"> </w:t>
            </w:r>
            <w:r w:rsidRPr="00693892">
              <w:rPr>
                <w:rFonts w:ascii="Times New Roman" w:hAnsi="Times New Roman" w:cs="Times New Roman"/>
                <w:spacing w:val="-4"/>
                <w:sz w:val="20"/>
                <w:szCs w:val="20"/>
              </w:rPr>
              <w:t>Place</w:t>
            </w:r>
          </w:p>
          <w:p w:rsidRPr="00693892" w:rsidR="00E93325" w:rsidP="00693892" w:rsidRDefault="00E93325" w14:paraId="31AF95B6" w14:textId="77777777">
            <w:pPr>
              <w:numPr>
                <w:ilvl w:val="0"/>
                <w:numId w:val="8"/>
              </w:numPr>
              <w:tabs>
                <w:tab w:val="left" w:pos="520"/>
                <w:tab w:val="left" w:pos="521"/>
              </w:tabs>
              <w:spacing w:after="0" w:line="240" w:lineRule="auto"/>
              <w:ind w:hanging="361"/>
              <w:rPr>
                <w:rFonts w:ascii="Times New Roman" w:hAnsi="Times New Roman" w:cs="Times New Roman"/>
                <w:sz w:val="20"/>
                <w:szCs w:val="20"/>
              </w:rPr>
            </w:pPr>
            <w:r w:rsidRPr="00693892">
              <w:rPr>
                <w:rFonts w:ascii="Times New Roman" w:hAnsi="Times New Roman" w:cs="Times New Roman"/>
                <w:sz w:val="20"/>
                <w:szCs w:val="20"/>
              </w:rPr>
              <w:t>Fewer</w:t>
            </w:r>
            <w:r w:rsidRPr="00693892">
              <w:rPr>
                <w:rFonts w:ascii="Times New Roman" w:hAnsi="Times New Roman" w:cs="Times New Roman"/>
                <w:spacing w:val="-4"/>
                <w:sz w:val="20"/>
                <w:szCs w:val="20"/>
              </w:rPr>
              <w:t xml:space="preserve"> </w:t>
            </w:r>
            <w:r w:rsidRPr="00693892">
              <w:rPr>
                <w:rFonts w:ascii="Times New Roman" w:hAnsi="Times New Roman" w:cs="Times New Roman"/>
                <w:sz w:val="20"/>
                <w:szCs w:val="20"/>
              </w:rPr>
              <w:t>Evacuations</w:t>
            </w:r>
          </w:p>
          <w:p w:rsidRPr="00693892" w:rsidR="00E93325" w:rsidP="00693892" w:rsidRDefault="00E93325" w14:paraId="380F2755" w14:textId="77777777">
            <w:pPr>
              <w:numPr>
                <w:ilvl w:val="0"/>
                <w:numId w:val="8"/>
              </w:numPr>
              <w:tabs>
                <w:tab w:val="left" w:pos="520"/>
                <w:tab w:val="left" w:pos="521"/>
              </w:tabs>
              <w:spacing w:after="0" w:line="240" w:lineRule="auto"/>
              <w:ind w:right="882"/>
              <w:rPr>
                <w:rFonts w:ascii="Times New Roman" w:hAnsi="Times New Roman" w:cs="Times New Roman"/>
                <w:sz w:val="20"/>
                <w:szCs w:val="20"/>
              </w:rPr>
            </w:pPr>
            <w:r w:rsidRPr="00693892">
              <w:rPr>
                <w:rFonts w:ascii="Times New Roman" w:hAnsi="Times New Roman" w:cs="Times New Roman"/>
                <w:sz w:val="20"/>
                <w:szCs w:val="20"/>
              </w:rPr>
              <w:t xml:space="preserve">Avoided </w:t>
            </w:r>
            <w:r w:rsidRPr="00693892">
              <w:rPr>
                <w:rFonts w:ascii="Times New Roman" w:hAnsi="Times New Roman" w:cs="Times New Roman"/>
                <w:spacing w:val="-5"/>
                <w:sz w:val="20"/>
                <w:szCs w:val="20"/>
              </w:rPr>
              <w:t xml:space="preserve">Lost </w:t>
            </w:r>
            <w:r w:rsidRPr="00693892">
              <w:rPr>
                <w:rFonts w:ascii="Times New Roman" w:hAnsi="Times New Roman" w:cs="Times New Roman"/>
                <w:sz w:val="20"/>
                <w:szCs w:val="20"/>
              </w:rPr>
              <w:t>Productivity</w:t>
            </w:r>
          </w:p>
          <w:p w:rsidRPr="00693892" w:rsidR="00E93325" w:rsidP="00693892" w:rsidRDefault="00E93325" w14:paraId="3864B4E8" w14:textId="77777777">
            <w:pPr>
              <w:numPr>
                <w:ilvl w:val="0"/>
                <w:numId w:val="8"/>
              </w:numPr>
              <w:tabs>
                <w:tab w:val="left" w:pos="520"/>
                <w:tab w:val="left" w:pos="521"/>
              </w:tabs>
              <w:spacing w:after="0" w:line="240" w:lineRule="auto"/>
              <w:ind w:right="285"/>
              <w:rPr>
                <w:rFonts w:ascii="Times New Roman" w:hAnsi="Times New Roman" w:cs="Times New Roman"/>
                <w:sz w:val="20"/>
                <w:szCs w:val="20"/>
              </w:rPr>
            </w:pPr>
            <w:r w:rsidRPr="00693892">
              <w:rPr>
                <w:rFonts w:ascii="Times New Roman" w:hAnsi="Times New Roman" w:cs="Times New Roman"/>
                <w:sz w:val="20"/>
                <w:szCs w:val="20"/>
              </w:rPr>
              <w:t xml:space="preserve">Avoided </w:t>
            </w:r>
            <w:r w:rsidRPr="00693892">
              <w:rPr>
                <w:rFonts w:ascii="Times New Roman" w:hAnsi="Times New Roman" w:cs="Times New Roman"/>
                <w:spacing w:val="-3"/>
                <w:sz w:val="20"/>
                <w:szCs w:val="20"/>
              </w:rPr>
              <w:t xml:space="preserve">Emergency </w:t>
            </w:r>
            <w:r w:rsidRPr="00693892">
              <w:rPr>
                <w:rFonts w:ascii="Times New Roman" w:hAnsi="Times New Roman" w:cs="Times New Roman"/>
                <w:sz w:val="20"/>
                <w:szCs w:val="20"/>
              </w:rPr>
              <w:t>Response</w:t>
            </w:r>
            <w:r w:rsidRPr="00693892">
              <w:rPr>
                <w:rFonts w:ascii="Times New Roman" w:hAnsi="Times New Roman" w:cs="Times New Roman"/>
                <w:spacing w:val="-1"/>
                <w:sz w:val="20"/>
                <w:szCs w:val="20"/>
              </w:rPr>
              <w:t xml:space="preserve"> </w:t>
            </w:r>
            <w:r w:rsidRPr="00693892">
              <w:rPr>
                <w:rFonts w:ascii="Times New Roman" w:hAnsi="Times New Roman" w:cs="Times New Roman"/>
                <w:sz w:val="20"/>
                <w:szCs w:val="20"/>
              </w:rPr>
              <w:t>Costs</w:t>
            </w:r>
          </w:p>
          <w:p w:rsidRPr="00693892" w:rsidR="00E93325" w:rsidP="00693892" w:rsidRDefault="00E93325" w14:paraId="0A7CF7A2" w14:textId="77777777">
            <w:pPr>
              <w:numPr>
                <w:ilvl w:val="0"/>
                <w:numId w:val="8"/>
              </w:numPr>
              <w:tabs>
                <w:tab w:val="left" w:pos="520"/>
                <w:tab w:val="left" w:pos="521"/>
              </w:tabs>
              <w:spacing w:after="0" w:line="240" w:lineRule="auto"/>
              <w:ind w:right="235"/>
              <w:rPr>
                <w:rFonts w:ascii="Times New Roman" w:hAnsi="Times New Roman" w:cs="Times New Roman"/>
                <w:sz w:val="20"/>
                <w:szCs w:val="20"/>
              </w:rPr>
            </w:pPr>
            <w:r w:rsidRPr="00693892">
              <w:rPr>
                <w:rFonts w:ascii="Times New Roman" w:hAnsi="Times New Roman" w:cs="Times New Roman"/>
                <w:sz w:val="20"/>
                <w:szCs w:val="20"/>
              </w:rPr>
              <w:t xml:space="preserve">Avoided </w:t>
            </w:r>
            <w:r w:rsidRPr="00693892">
              <w:rPr>
                <w:rFonts w:ascii="Times New Roman" w:hAnsi="Times New Roman" w:cs="Times New Roman"/>
                <w:spacing w:val="-3"/>
                <w:sz w:val="20"/>
                <w:szCs w:val="20"/>
              </w:rPr>
              <w:t xml:space="preserve">Transaction </w:t>
            </w:r>
            <w:r w:rsidRPr="00693892">
              <w:rPr>
                <w:rFonts w:ascii="Times New Roman" w:hAnsi="Times New Roman" w:cs="Times New Roman"/>
                <w:sz w:val="20"/>
                <w:szCs w:val="20"/>
              </w:rPr>
              <w:t>Costs</w:t>
            </w:r>
          </w:p>
          <w:p w:rsidRPr="00693892" w:rsidR="00E93325" w:rsidP="00693892" w:rsidRDefault="00E93325" w14:paraId="7734C309" w14:textId="77777777">
            <w:pPr>
              <w:numPr>
                <w:ilvl w:val="0"/>
                <w:numId w:val="8"/>
              </w:numPr>
              <w:tabs>
                <w:tab w:val="left" w:pos="520"/>
                <w:tab w:val="left" w:pos="521"/>
              </w:tabs>
              <w:spacing w:after="0" w:line="240" w:lineRule="auto"/>
              <w:ind w:right="488"/>
              <w:rPr>
                <w:rFonts w:ascii="Times New Roman" w:hAnsi="Times New Roman" w:cs="Times New Roman"/>
                <w:sz w:val="20"/>
                <w:szCs w:val="20"/>
              </w:rPr>
            </w:pPr>
            <w:r w:rsidRPr="00693892">
              <w:rPr>
                <w:rFonts w:ascii="Times New Roman" w:hAnsi="Times New Roman" w:cs="Times New Roman"/>
                <w:sz w:val="20"/>
                <w:szCs w:val="20"/>
              </w:rPr>
              <w:t xml:space="preserve">Avoided </w:t>
            </w:r>
            <w:r w:rsidRPr="00693892">
              <w:rPr>
                <w:rFonts w:ascii="Times New Roman" w:hAnsi="Times New Roman" w:cs="Times New Roman"/>
                <w:spacing w:val="-4"/>
                <w:sz w:val="20"/>
                <w:szCs w:val="20"/>
              </w:rPr>
              <w:t xml:space="preserve">Property </w:t>
            </w:r>
            <w:r w:rsidRPr="00693892">
              <w:rPr>
                <w:rFonts w:ascii="Times New Roman" w:hAnsi="Times New Roman" w:cs="Times New Roman"/>
                <w:sz w:val="20"/>
                <w:szCs w:val="20"/>
              </w:rPr>
              <w:t>Value</w:t>
            </w:r>
            <w:r w:rsidRPr="00693892">
              <w:rPr>
                <w:rFonts w:ascii="Times New Roman" w:hAnsi="Times New Roman" w:cs="Times New Roman"/>
                <w:spacing w:val="-1"/>
                <w:sz w:val="20"/>
                <w:szCs w:val="20"/>
              </w:rPr>
              <w:t xml:space="preserve"> </w:t>
            </w:r>
            <w:r w:rsidRPr="00693892">
              <w:rPr>
                <w:rFonts w:ascii="Times New Roman" w:hAnsi="Times New Roman" w:cs="Times New Roman"/>
                <w:sz w:val="20"/>
                <w:szCs w:val="20"/>
              </w:rPr>
              <w:t>Impacts*</w:t>
            </w:r>
          </w:p>
          <w:p w:rsidRPr="00693892" w:rsidR="00E93325" w:rsidP="00693892" w:rsidRDefault="00E93325" w14:paraId="3E2B3185" w14:textId="77777777">
            <w:pPr>
              <w:numPr>
                <w:ilvl w:val="0"/>
                <w:numId w:val="8"/>
              </w:numPr>
              <w:tabs>
                <w:tab w:val="left" w:pos="520"/>
                <w:tab w:val="left" w:pos="521"/>
              </w:tabs>
              <w:spacing w:after="0" w:line="240" w:lineRule="auto"/>
              <w:ind w:right="729"/>
              <w:rPr>
                <w:rFonts w:ascii="Times New Roman" w:hAnsi="Times New Roman" w:cs="Times New Roman"/>
                <w:sz w:val="20"/>
                <w:szCs w:val="20"/>
              </w:rPr>
            </w:pPr>
            <w:r w:rsidRPr="00693892">
              <w:rPr>
                <w:rFonts w:ascii="Times New Roman" w:hAnsi="Times New Roman" w:cs="Times New Roman"/>
                <w:sz w:val="20"/>
                <w:szCs w:val="20"/>
              </w:rPr>
              <w:t xml:space="preserve">Avoided </w:t>
            </w:r>
            <w:r w:rsidRPr="00693892">
              <w:rPr>
                <w:rFonts w:ascii="Times New Roman" w:hAnsi="Times New Roman" w:cs="Times New Roman"/>
                <w:spacing w:val="-1"/>
                <w:sz w:val="20"/>
                <w:szCs w:val="20"/>
              </w:rPr>
              <w:t xml:space="preserve">Environmental </w:t>
            </w:r>
            <w:r w:rsidRPr="00693892">
              <w:rPr>
                <w:rFonts w:ascii="Times New Roman" w:hAnsi="Times New Roman" w:cs="Times New Roman"/>
                <w:sz w:val="20"/>
                <w:szCs w:val="20"/>
              </w:rPr>
              <w:t>Impacts</w:t>
            </w:r>
          </w:p>
        </w:tc>
      </w:tr>
      <w:tr w:rsidRPr="00BF42A8" w:rsidR="00E93325" w:rsidTr="00693892" w14:paraId="1D54CC29" w14:textId="77777777">
        <w:trPr>
          <w:trHeight w:val="356"/>
        </w:trPr>
        <w:tc>
          <w:tcPr>
            <w:tcW w:w="2245" w:type="dxa"/>
            <w:vAlign w:val="center"/>
          </w:tcPr>
          <w:p w:rsidRPr="00693892" w:rsidR="00E93325" w:rsidP="00693892" w:rsidRDefault="00E93325" w14:paraId="17AA9B38" w14:textId="77777777">
            <w:pPr>
              <w:spacing w:after="0" w:line="240" w:lineRule="auto"/>
              <w:rPr>
                <w:rFonts w:ascii="Times New Roman" w:hAnsi="Times New Roman" w:cs="Times New Roman"/>
                <w:b/>
                <w:sz w:val="20"/>
                <w:szCs w:val="20"/>
              </w:rPr>
            </w:pPr>
          </w:p>
          <w:p w:rsidRPr="00693892" w:rsidR="00E93325" w:rsidP="00693892" w:rsidRDefault="00E93325" w14:paraId="071182B2" w14:textId="77777777">
            <w:pPr>
              <w:spacing w:after="0" w:line="240" w:lineRule="auto"/>
              <w:rPr>
                <w:rFonts w:ascii="Times New Roman" w:hAnsi="Times New Roman" w:cs="Times New Roman"/>
                <w:b/>
                <w:sz w:val="20"/>
                <w:szCs w:val="20"/>
              </w:rPr>
            </w:pPr>
          </w:p>
          <w:p w:rsidRPr="00693892" w:rsidR="00E93325" w:rsidP="00693892" w:rsidRDefault="00E93325" w14:paraId="45CFA7DA" w14:textId="77777777">
            <w:pPr>
              <w:spacing w:after="0" w:line="240" w:lineRule="auto"/>
              <w:ind w:left="107"/>
              <w:rPr>
                <w:rFonts w:ascii="Times New Roman" w:hAnsi="Times New Roman" w:cs="Times New Roman"/>
                <w:sz w:val="20"/>
                <w:szCs w:val="20"/>
              </w:rPr>
            </w:pPr>
            <w:r w:rsidRPr="00693892">
              <w:rPr>
                <w:rFonts w:ascii="Times New Roman" w:hAnsi="Times New Roman" w:cs="Times New Roman"/>
                <w:sz w:val="20"/>
                <w:szCs w:val="20"/>
              </w:rPr>
              <w:t>Accident Mitigation</w:t>
            </w:r>
          </w:p>
        </w:tc>
        <w:tc>
          <w:tcPr>
            <w:tcW w:w="2970" w:type="dxa"/>
            <w:vAlign w:val="center"/>
          </w:tcPr>
          <w:p w:rsidRPr="00693892" w:rsidR="00E93325" w:rsidP="00693892" w:rsidRDefault="00E93325" w14:paraId="4A673115" w14:textId="77777777">
            <w:pPr>
              <w:spacing w:after="0" w:line="240" w:lineRule="auto"/>
              <w:rPr>
                <w:rFonts w:ascii="Times New Roman" w:hAnsi="Times New Roman" w:cs="Times New Roman"/>
                <w:b/>
                <w:sz w:val="20"/>
                <w:szCs w:val="20"/>
              </w:rPr>
            </w:pPr>
          </w:p>
          <w:p w:rsidRPr="00693892" w:rsidR="00E93325" w:rsidP="00693892" w:rsidRDefault="00E93325" w14:paraId="73D2D921" w14:textId="77777777">
            <w:pPr>
              <w:spacing w:after="0" w:line="240" w:lineRule="auto"/>
              <w:rPr>
                <w:rFonts w:ascii="Times New Roman" w:hAnsi="Times New Roman" w:cs="Times New Roman"/>
                <w:b/>
                <w:sz w:val="20"/>
                <w:szCs w:val="20"/>
              </w:rPr>
            </w:pPr>
          </w:p>
          <w:p w:rsidRPr="00693892" w:rsidR="00E93325" w:rsidP="00693892" w:rsidRDefault="00E93325" w14:paraId="7AE0B368" w14:textId="77777777">
            <w:pPr>
              <w:spacing w:after="0" w:line="240" w:lineRule="auto"/>
              <w:ind w:left="89" w:right="122"/>
              <w:rPr>
                <w:rFonts w:ascii="Times New Roman" w:hAnsi="Times New Roman" w:cs="Times New Roman"/>
                <w:sz w:val="20"/>
                <w:szCs w:val="20"/>
              </w:rPr>
            </w:pPr>
            <w:r w:rsidRPr="00693892">
              <w:rPr>
                <w:rFonts w:ascii="Times New Roman" w:hAnsi="Times New Roman" w:cs="Times New Roman"/>
                <w:sz w:val="20"/>
                <w:szCs w:val="20"/>
              </w:rPr>
              <w:t>Mitigation of future RMP facility accidents</w:t>
            </w:r>
          </w:p>
        </w:tc>
        <w:tc>
          <w:tcPr>
            <w:tcW w:w="4140" w:type="dxa"/>
            <w:vMerge/>
            <w:tcBorders>
              <w:top w:val="nil"/>
            </w:tcBorders>
            <w:vAlign w:val="center"/>
          </w:tcPr>
          <w:p w:rsidRPr="00693892" w:rsidR="00E93325" w:rsidP="00693892" w:rsidRDefault="00E93325" w14:paraId="194F96B1" w14:textId="77777777">
            <w:pPr>
              <w:spacing w:after="0" w:line="240" w:lineRule="auto"/>
              <w:rPr>
                <w:rFonts w:ascii="Times New Roman" w:hAnsi="Times New Roman" w:cs="Times New Roman"/>
                <w:sz w:val="20"/>
                <w:szCs w:val="20"/>
              </w:rPr>
            </w:pPr>
          </w:p>
        </w:tc>
      </w:tr>
      <w:tr w:rsidRPr="00BF42A8" w:rsidR="00E93325" w:rsidTr="00693892" w14:paraId="32D9D4B1" w14:textId="77777777">
        <w:trPr>
          <w:trHeight w:val="920"/>
        </w:trPr>
        <w:tc>
          <w:tcPr>
            <w:tcW w:w="2245" w:type="dxa"/>
            <w:vAlign w:val="center"/>
          </w:tcPr>
          <w:p w:rsidRPr="00693892" w:rsidR="00E93325" w:rsidP="00693892" w:rsidRDefault="00E93325" w14:paraId="5928FBC9" w14:textId="77777777">
            <w:pPr>
              <w:spacing w:after="0" w:line="240" w:lineRule="auto"/>
              <w:rPr>
                <w:rFonts w:ascii="Times New Roman" w:hAnsi="Times New Roman" w:cs="Times New Roman"/>
                <w:b/>
                <w:sz w:val="20"/>
                <w:szCs w:val="20"/>
              </w:rPr>
            </w:pPr>
          </w:p>
          <w:p w:rsidRPr="00693892" w:rsidR="00E93325" w:rsidP="00693892" w:rsidRDefault="00E93325" w14:paraId="14504562" w14:textId="16D34FCE">
            <w:pPr>
              <w:spacing w:after="0" w:line="240" w:lineRule="auto"/>
              <w:ind w:left="107" w:right="259"/>
              <w:rPr>
                <w:rFonts w:ascii="Times New Roman" w:hAnsi="Times New Roman" w:cs="Times New Roman"/>
                <w:sz w:val="20"/>
                <w:szCs w:val="20"/>
              </w:rPr>
            </w:pPr>
            <w:r w:rsidRPr="00693892">
              <w:rPr>
                <w:rFonts w:ascii="Times New Roman" w:hAnsi="Times New Roman" w:cs="Times New Roman"/>
                <w:sz w:val="20"/>
                <w:szCs w:val="20"/>
              </w:rPr>
              <w:t xml:space="preserve">Non-RMP </w:t>
            </w:r>
            <w:r w:rsidR="00250508">
              <w:rPr>
                <w:rFonts w:ascii="Times New Roman" w:hAnsi="Times New Roman" w:cs="Times New Roman"/>
                <w:sz w:val="20"/>
                <w:szCs w:val="20"/>
              </w:rPr>
              <w:t>A</w:t>
            </w:r>
            <w:r w:rsidRPr="00693892">
              <w:rPr>
                <w:rFonts w:ascii="Times New Roman" w:hAnsi="Times New Roman" w:cs="Times New Roman"/>
                <w:sz w:val="20"/>
                <w:szCs w:val="20"/>
              </w:rPr>
              <w:t xml:space="preserve">ccident </w:t>
            </w:r>
            <w:r w:rsidR="00250508">
              <w:rPr>
                <w:rFonts w:ascii="Times New Roman" w:hAnsi="Times New Roman" w:cs="Times New Roman"/>
                <w:sz w:val="20"/>
                <w:szCs w:val="20"/>
              </w:rPr>
              <w:t>P</w:t>
            </w:r>
            <w:r w:rsidRPr="00693892">
              <w:rPr>
                <w:rFonts w:ascii="Times New Roman" w:hAnsi="Times New Roman" w:cs="Times New Roman"/>
                <w:sz w:val="20"/>
                <w:szCs w:val="20"/>
              </w:rPr>
              <w:t xml:space="preserve">revention and </w:t>
            </w:r>
            <w:r w:rsidR="00250508">
              <w:rPr>
                <w:rFonts w:ascii="Times New Roman" w:hAnsi="Times New Roman" w:cs="Times New Roman"/>
                <w:sz w:val="20"/>
                <w:szCs w:val="20"/>
              </w:rPr>
              <w:t>M</w:t>
            </w:r>
            <w:r w:rsidRPr="00693892">
              <w:rPr>
                <w:rFonts w:ascii="Times New Roman" w:hAnsi="Times New Roman" w:cs="Times New Roman"/>
                <w:sz w:val="20"/>
                <w:szCs w:val="20"/>
              </w:rPr>
              <w:t>itigation</w:t>
            </w:r>
          </w:p>
        </w:tc>
        <w:tc>
          <w:tcPr>
            <w:tcW w:w="2970" w:type="dxa"/>
            <w:vAlign w:val="center"/>
          </w:tcPr>
          <w:p w:rsidRPr="00693892" w:rsidR="00E93325" w:rsidP="00693892" w:rsidRDefault="00E93325" w14:paraId="668281A3" w14:textId="77777777">
            <w:pPr>
              <w:spacing w:after="0" w:line="240" w:lineRule="auto"/>
              <w:rPr>
                <w:rFonts w:ascii="Times New Roman" w:hAnsi="Times New Roman" w:cs="Times New Roman"/>
                <w:b/>
                <w:sz w:val="20"/>
                <w:szCs w:val="20"/>
              </w:rPr>
            </w:pPr>
          </w:p>
          <w:p w:rsidRPr="00693892" w:rsidR="00E93325" w:rsidP="00693892" w:rsidRDefault="00E93325" w14:paraId="37B43D88" w14:textId="07398BED">
            <w:pPr>
              <w:spacing w:after="0" w:line="240" w:lineRule="auto"/>
              <w:ind w:left="107" w:right="254"/>
              <w:rPr>
                <w:rFonts w:ascii="Times New Roman" w:hAnsi="Times New Roman" w:cs="Times New Roman"/>
                <w:sz w:val="20"/>
                <w:szCs w:val="20"/>
              </w:rPr>
            </w:pPr>
            <w:r w:rsidRPr="00693892">
              <w:rPr>
                <w:rFonts w:ascii="Times New Roman" w:hAnsi="Times New Roman" w:cs="Times New Roman"/>
                <w:sz w:val="20"/>
                <w:szCs w:val="20"/>
              </w:rPr>
              <w:t>Prevention and mitigation of future non-RMP accidents at RMP facilities</w:t>
            </w:r>
          </w:p>
        </w:tc>
        <w:tc>
          <w:tcPr>
            <w:tcW w:w="4140" w:type="dxa"/>
            <w:vMerge/>
            <w:tcBorders>
              <w:top w:val="nil"/>
            </w:tcBorders>
            <w:vAlign w:val="center"/>
          </w:tcPr>
          <w:p w:rsidRPr="00693892" w:rsidR="00E93325" w:rsidP="00693892" w:rsidRDefault="00E93325" w14:paraId="18A952CA" w14:textId="77777777">
            <w:pPr>
              <w:spacing w:after="0" w:line="240" w:lineRule="auto"/>
              <w:rPr>
                <w:rFonts w:ascii="Times New Roman" w:hAnsi="Times New Roman" w:cs="Times New Roman"/>
                <w:sz w:val="20"/>
                <w:szCs w:val="20"/>
              </w:rPr>
            </w:pPr>
          </w:p>
        </w:tc>
      </w:tr>
      <w:tr w:rsidRPr="00BF42A8" w:rsidR="00E93325" w:rsidTr="00693892" w14:paraId="19C83B0B" w14:textId="77777777">
        <w:trPr>
          <w:trHeight w:val="758"/>
        </w:trPr>
        <w:tc>
          <w:tcPr>
            <w:tcW w:w="2245" w:type="dxa"/>
            <w:vAlign w:val="center"/>
          </w:tcPr>
          <w:p w:rsidRPr="00693892" w:rsidR="00E93325" w:rsidP="00693892" w:rsidRDefault="00E93325" w14:paraId="69C164D0" w14:textId="77777777">
            <w:pPr>
              <w:spacing w:after="0" w:line="240" w:lineRule="auto"/>
              <w:rPr>
                <w:rFonts w:ascii="Times New Roman" w:hAnsi="Times New Roman" w:cs="Times New Roman"/>
                <w:b/>
                <w:sz w:val="20"/>
                <w:szCs w:val="20"/>
              </w:rPr>
            </w:pPr>
          </w:p>
          <w:p w:rsidRPr="00693892" w:rsidR="00E93325" w:rsidP="00693892" w:rsidRDefault="00E93325" w14:paraId="3B456996" w14:textId="77777777">
            <w:pPr>
              <w:spacing w:after="0" w:line="240" w:lineRule="auto"/>
              <w:rPr>
                <w:rFonts w:ascii="Times New Roman" w:hAnsi="Times New Roman" w:cs="Times New Roman"/>
                <w:b/>
                <w:sz w:val="20"/>
                <w:szCs w:val="20"/>
              </w:rPr>
            </w:pPr>
          </w:p>
          <w:p w:rsidRPr="00693892" w:rsidR="00E93325" w:rsidP="00693892" w:rsidRDefault="00E93325" w14:paraId="70F07A27" w14:textId="77777777">
            <w:pPr>
              <w:spacing w:after="0" w:line="240" w:lineRule="auto"/>
              <w:ind w:left="107"/>
              <w:rPr>
                <w:rFonts w:ascii="Times New Roman" w:hAnsi="Times New Roman" w:cs="Times New Roman"/>
                <w:sz w:val="20"/>
                <w:szCs w:val="20"/>
              </w:rPr>
            </w:pPr>
            <w:r w:rsidRPr="00693892">
              <w:rPr>
                <w:rFonts w:ascii="Times New Roman" w:hAnsi="Times New Roman" w:cs="Times New Roman"/>
                <w:sz w:val="20"/>
                <w:szCs w:val="20"/>
              </w:rPr>
              <w:t>Avoided Catastrophes</w:t>
            </w:r>
          </w:p>
        </w:tc>
        <w:tc>
          <w:tcPr>
            <w:tcW w:w="2970" w:type="dxa"/>
            <w:vAlign w:val="center"/>
          </w:tcPr>
          <w:p w:rsidRPr="00693892" w:rsidR="00E93325" w:rsidP="00693892" w:rsidRDefault="00E93325" w14:paraId="548B2221" w14:textId="77777777">
            <w:pPr>
              <w:spacing w:after="0" w:line="240" w:lineRule="auto"/>
              <w:rPr>
                <w:rFonts w:ascii="Times New Roman" w:hAnsi="Times New Roman" w:cs="Times New Roman"/>
                <w:b/>
                <w:sz w:val="20"/>
                <w:szCs w:val="20"/>
              </w:rPr>
            </w:pPr>
          </w:p>
          <w:p w:rsidRPr="00693892" w:rsidR="00E93325" w:rsidP="00693892" w:rsidRDefault="00E93325" w14:paraId="78A91E7B" w14:textId="77777777">
            <w:pPr>
              <w:spacing w:after="0" w:line="240" w:lineRule="auto"/>
              <w:ind w:left="107" w:right="508"/>
              <w:rPr>
                <w:rFonts w:ascii="Times New Roman" w:hAnsi="Times New Roman" w:cs="Times New Roman"/>
                <w:sz w:val="20"/>
                <w:szCs w:val="20"/>
              </w:rPr>
            </w:pPr>
            <w:r w:rsidRPr="00693892">
              <w:rPr>
                <w:rFonts w:ascii="Times New Roman" w:hAnsi="Times New Roman" w:cs="Times New Roman"/>
                <w:sz w:val="20"/>
                <w:szCs w:val="20"/>
              </w:rPr>
              <w:t>Prevention of rare but extremely high consequence events</w:t>
            </w:r>
          </w:p>
        </w:tc>
        <w:tc>
          <w:tcPr>
            <w:tcW w:w="4140" w:type="dxa"/>
            <w:vMerge/>
            <w:tcBorders>
              <w:top w:val="nil"/>
            </w:tcBorders>
            <w:vAlign w:val="center"/>
          </w:tcPr>
          <w:p w:rsidRPr="00693892" w:rsidR="00E93325" w:rsidP="00693892" w:rsidRDefault="00E93325" w14:paraId="0B03545D" w14:textId="77777777">
            <w:pPr>
              <w:spacing w:after="0" w:line="240" w:lineRule="auto"/>
              <w:rPr>
                <w:rFonts w:ascii="Times New Roman" w:hAnsi="Times New Roman" w:cs="Times New Roman"/>
                <w:sz w:val="20"/>
                <w:szCs w:val="20"/>
              </w:rPr>
            </w:pPr>
          </w:p>
        </w:tc>
      </w:tr>
      <w:tr w:rsidRPr="00BF42A8" w:rsidR="00E93325" w:rsidTr="00693892" w14:paraId="0023669B" w14:textId="77777777">
        <w:trPr>
          <w:trHeight w:val="1089"/>
        </w:trPr>
        <w:tc>
          <w:tcPr>
            <w:tcW w:w="2245" w:type="dxa"/>
            <w:vAlign w:val="center"/>
          </w:tcPr>
          <w:p w:rsidRPr="00693892" w:rsidR="00E93325" w:rsidP="00693892" w:rsidRDefault="00E93325" w14:paraId="318DE4DF" w14:textId="77777777">
            <w:pPr>
              <w:spacing w:after="0" w:line="240" w:lineRule="auto"/>
              <w:rPr>
                <w:rFonts w:ascii="Times New Roman" w:hAnsi="Times New Roman" w:cs="Times New Roman"/>
                <w:b/>
                <w:sz w:val="20"/>
                <w:szCs w:val="20"/>
              </w:rPr>
            </w:pPr>
          </w:p>
          <w:p w:rsidRPr="00693892" w:rsidR="00E93325" w:rsidP="00693892" w:rsidRDefault="00A91A23" w14:paraId="2B920A9E" w14:textId="03CC2B32">
            <w:pPr>
              <w:spacing w:after="0" w:line="240" w:lineRule="auto"/>
              <w:ind w:left="107"/>
              <w:rPr>
                <w:rFonts w:ascii="Times New Roman" w:hAnsi="Times New Roman" w:cs="Times New Roman"/>
                <w:sz w:val="20"/>
                <w:szCs w:val="20"/>
              </w:rPr>
            </w:pPr>
            <w:r w:rsidRPr="00693892">
              <w:rPr>
                <w:rFonts w:ascii="Times New Roman" w:hAnsi="Times New Roman" w:cs="Times New Roman"/>
                <w:sz w:val="20"/>
                <w:szCs w:val="20"/>
              </w:rPr>
              <w:t>Information Availability</w:t>
            </w:r>
          </w:p>
        </w:tc>
        <w:tc>
          <w:tcPr>
            <w:tcW w:w="2970" w:type="dxa"/>
            <w:vAlign w:val="center"/>
          </w:tcPr>
          <w:p w:rsidRPr="00693892" w:rsidR="00E93325" w:rsidP="00693892" w:rsidRDefault="00E93325" w14:paraId="1CAE0D71" w14:textId="77777777">
            <w:pPr>
              <w:spacing w:after="0" w:line="240" w:lineRule="auto"/>
              <w:rPr>
                <w:rFonts w:ascii="Times New Roman" w:hAnsi="Times New Roman" w:cs="Times New Roman"/>
                <w:b/>
                <w:sz w:val="20"/>
                <w:szCs w:val="20"/>
              </w:rPr>
            </w:pPr>
          </w:p>
          <w:p w:rsidRPr="00693892" w:rsidR="00E93325" w:rsidP="00693892" w:rsidRDefault="00E93325" w14:paraId="5C466ACF" w14:textId="77777777">
            <w:pPr>
              <w:spacing w:after="0" w:line="240" w:lineRule="auto"/>
              <w:ind w:left="107" w:right="160"/>
              <w:rPr>
                <w:rFonts w:ascii="Times New Roman" w:hAnsi="Times New Roman" w:cs="Times New Roman"/>
                <w:sz w:val="20"/>
                <w:szCs w:val="20"/>
              </w:rPr>
            </w:pPr>
            <w:r w:rsidRPr="00693892">
              <w:rPr>
                <w:rFonts w:ascii="Times New Roman" w:hAnsi="Times New Roman" w:cs="Times New Roman"/>
                <w:sz w:val="20"/>
                <w:szCs w:val="20"/>
              </w:rPr>
              <w:t>Provision of information to the public and emergency responders</w:t>
            </w:r>
          </w:p>
        </w:tc>
        <w:tc>
          <w:tcPr>
            <w:tcW w:w="4140" w:type="dxa"/>
            <w:vAlign w:val="center"/>
          </w:tcPr>
          <w:p w:rsidRPr="00693892" w:rsidR="00E93325" w:rsidP="00693892" w:rsidRDefault="00E93325" w14:paraId="147C8156" w14:textId="77777777">
            <w:pPr>
              <w:numPr>
                <w:ilvl w:val="0"/>
                <w:numId w:val="7"/>
              </w:numPr>
              <w:tabs>
                <w:tab w:val="left" w:pos="520"/>
                <w:tab w:val="left" w:pos="521"/>
              </w:tabs>
              <w:spacing w:after="0" w:line="240" w:lineRule="auto"/>
              <w:ind w:right="71"/>
              <w:rPr>
                <w:rFonts w:ascii="Times New Roman" w:hAnsi="Times New Roman" w:cs="Times New Roman"/>
                <w:sz w:val="20"/>
                <w:szCs w:val="20"/>
              </w:rPr>
            </w:pPr>
            <w:r w:rsidRPr="00693892">
              <w:rPr>
                <w:rFonts w:ascii="Times New Roman" w:hAnsi="Times New Roman" w:cs="Times New Roman"/>
                <w:sz w:val="20"/>
                <w:szCs w:val="20"/>
              </w:rPr>
              <w:t>Improved efficiency of property</w:t>
            </w:r>
            <w:r w:rsidRPr="00693892">
              <w:rPr>
                <w:rFonts w:ascii="Times New Roman" w:hAnsi="Times New Roman" w:cs="Times New Roman"/>
                <w:spacing w:val="-3"/>
                <w:sz w:val="20"/>
                <w:szCs w:val="20"/>
              </w:rPr>
              <w:t xml:space="preserve"> </w:t>
            </w:r>
            <w:r w:rsidRPr="00693892">
              <w:rPr>
                <w:rFonts w:ascii="Times New Roman" w:hAnsi="Times New Roman" w:cs="Times New Roman"/>
                <w:sz w:val="20"/>
                <w:szCs w:val="20"/>
              </w:rPr>
              <w:t>markets</w:t>
            </w:r>
          </w:p>
          <w:p w:rsidRPr="00693892" w:rsidR="00E93325" w:rsidP="00693892" w:rsidRDefault="00E93325" w14:paraId="077A7692" w14:textId="77777777">
            <w:pPr>
              <w:numPr>
                <w:ilvl w:val="0"/>
                <w:numId w:val="7"/>
              </w:numPr>
              <w:tabs>
                <w:tab w:val="left" w:pos="520"/>
                <w:tab w:val="left" w:pos="521"/>
              </w:tabs>
              <w:spacing w:after="0" w:line="240" w:lineRule="auto"/>
              <w:ind w:right="361"/>
              <w:rPr>
                <w:rFonts w:ascii="Times New Roman" w:hAnsi="Times New Roman" w:cs="Times New Roman"/>
                <w:sz w:val="20"/>
                <w:szCs w:val="20"/>
              </w:rPr>
            </w:pPr>
            <w:r w:rsidRPr="00693892">
              <w:rPr>
                <w:rFonts w:ascii="Times New Roman" w:hAnsi="Times New Roman" w:cs="Times New Roman"/>
                <w:sz w:val="20"/>
                <w:szCs w:val="20"/>
              </w:rPr>
              <w:t>Improved resource allocation</w:t>
            </w:r>
          </w:p>
        </w:tc>
      </w:tr>
    </w:tbl>
    <w:p w:rsidRPr="00693892" w:rsidR="002863B3" w:rsidP="00BF42A8" w:rsidRDefault="00011DBC" w14:paraId="474D26C1" w14:textId="1550477D">
      <w:pPr>
        <w:spacing w:after="0" w:line="240" w:lineRule="auto"/>
        <w:rPr>
          <w:rFonts w:ascii="Times New Roman" w:hAnsi="Times New Roman" w:cs="Times New Roman"/>
          <w:sz w:val="18"/>
          <w:szCs w:val="18"/>
        </w:rPr>
      </w:pPr>
      <w:r w:rsidRPr="00964C0A">
        <w:rPr>
          <w:rFonts w:ascii="Times New Roman" w:hAnsi="Times New Roman" w:cs="Times New Roman"/>
          <w:sz w:val="18"/>
          <w:szCs w:val="18"/>
        </w:rPr>
        <w:t>*</w:t>
      </w:r>
      <w:r w:rsidRPr="00964C0A" w:rsidR="00E93325">
        <w:rPr>
          <w:rFonts w:ascii="Times New Roman" w:hAnsi="Times New Roman" w:cs="Times New Roman"/>
          <w:sz w:val="18"/>
          <w:szCs w:val="18"/>
        </w:rPr>
        <w:t>These impacts partially overlap with several other categories</w:t>
      </w:r>
      <w:r w:rsidRPr="00964C0A" w:rsidR="003C5AFC">
        <w:rPr>
          <w:rFonts w:ascii="Times New Roman" w:hAnsi="Times New Roman" w:cs="Times New Roman"/>
          <w:sz w:val="18"/>
          <w:szCs w:val="18"/>
        </w:rPr>
        <w:t>.</w:t>
      </w:r>
    </w:p>
    <w:p w:rsidR="00D726C0" w:rsidP="008E0F4E" w:rsidRDefault="00D726C0" w14:paraId="73707FC3" w14:textId="67CF9855">
      <w:pPr>
        <w:pStyle w:val="Heading1"/>
      </w:pPr>
      <w:bookmarkStart w:name="_Toc98856234" w:id="131"/>
    </w:p>
    <w:p w:rsidR="00D726C0" w:rsidP="008E0F4E" w:rsidRDefault="00D726C0" w14:paraId="2E3A179B" w14:textId="67CF9855">
      <w:pPr>
        <w:pStyle w:val="Heading1"/>
      </w:pPr>
    </w:p>
    <w:p w:rsidR="00D726C0" w:rsidP="008E0F4E" w:rsidRDefault="00D726C0" w14:paraId="28838493" w14:textId="67CF9855">
      <w:pPr>
        <w:pStyle w:val="Heading1"/>
      </w:pPr>
    </w:p>
    <w:p w:rsidR="00D726C0" w:rsidP="008E0F4E" w:rsidRDefault="00D726C0" w14:paraId="0620F13F" w14:textId="67CF9855">
      <w:pPr>
        <w:pStyle w:val="Heading1"/>
      </w:pPr>
    </w:p>
    <w:p w:rsidR="00D726C0" w:rsidP="008E0F4E" w:rsidRDefault="00D726C0" w14:paraId="2A344662" w14:textId="67CF9855">
      <w:pPr>
        <w:pStyle w:val="Heading1"/>
      </w:pPr>
    </w:p>
    <w:p w:rsidR="00D726C0" w:rsidP="008E0F4E" w:rsidRDefault="00D726C0" w14:paraId="7E6164E7" w14:textId="67CF9855">
      <w:pPr>
        <w:pStyle w:val="Heading1"/>
      </w:pPr>
    </w:p>
    <w:p w:rsidR="00D726C0" w:rsidP="008E0F4E" w:rsidRDefault="00D726C0" w14:paraId="47E71A8F" w14:textId="67CF9855">
      <w:pPr>
        <w:pStyle w:val="Heading1"/>
      </w:pPr>
    </w:p>
    <w:p w:rsidR="00D726C0" w:rsidP="008E0F4E" w:rsidRDefault="00D726C0" w14:paraId="08C529EB" w14:textId="67CF9855">
      <w:pPr>
        <w:pStyle w:val="Heading1"/>
      </w:pPr>
    </w:p>
    <w:p w:rsidR="00D726C0" w:rsidP="008E0F4E" w:rsidRDefault="00D726C0" w14:paraId="1F416214" w14:textId="67CF9855">
      <w:pPr>
        <w:pStyle w:val="Heading1"/>
      </w:pPr>
    </w:p>
    <w:p w:rsidR="00D726C0" w:rsidP="008E0F4E" w:rsidRDefault="00D726C0" w14:paraId="34434C50" w14:textId="67CF9855">
      <w:pPr>
        <w:pStyle w:val="Heading1"/>
      </w:pPr>
    </w:p>
    <w:p w:rsidR="00D726C0" w:rsidP="00FA1399" w:rsidRDefault="00FA1399" w14:paraId="0F5914AE" w14:textId="061BA42A">
      <w:pPr>
        <w:pStyle w:val="Heading1"/>
        <w:tabs>
          <w:tab w:val="left" w:pos="640"/>
        </w:tabs>
        <w:jc w:val="left"/>
      </w:pPr>
      <w:r>
        <w:tab/>
      </w:r>
    </w:p>
    <w:p w:rsidR="00673838" w:rsidP="008E0F4E" w:rsidRDefault="0045400F" w14:paraId="3200EF74" w14:textId="0ACD6A60">
      <w:pPr>
        <w:pStyle w:val="Heading1"/>
      </w:pPr>
      <w:bookmarkStart w:name="_Toc110502764" w:id="132"/>
      <w:r w:rsidRPr="008E0F4E">
        <w:lastRenderedPageBreak/>
        <w:t>CHAPTER 7</w:t>
      </w:r>
      <w:r w:rsidR="00693892">
        <w:t>: Regulatory Alternatives Considered</w:t>
      </w:r>
      <w:bookmarkEnd w:id="132"/>
    </w:p>
    <w:bookmarkEnd w:id="131"/>
    <w:p w:rsidRPr="00693892" w:rsidR="00306C75" w:rsidP="000E6E0F" w:rsidRDefault="00D726C0" w14:paraId="564CF9A7" w14:textId="4BA02296">
      <w:pPr>
        <w:spacing w:after="0" w:line="240" w:lineRule="auto"/>
        <w:ind w:firstLine="360"/>
        <w:rPr>
          <w:rFonts w:ascii="Times New Roman" w:hAnsi="Times New Roman" w:cs="Times New Roman"/>
        </w:rPr>
      </w:pPr>
      <w:r>
        <w:rPr>
          <w:rFonts w:ascii="Times New Roman" w:hAnsi="Times New Roman" w:cs="Times New Roman"/>
        </w:rPr>
        <w:tab/>
      </w:r>
      <w:r w:rsidRPr="00693892" w:rsidR="00306C75">
        <w:rPr>
          <w:rFonts w:ascii="Times New Roman" w:hAnsi="Times New Roman" w:cs="Times New Roman"/>
        </w:rPr>
        <w:t xml:space="preserve">The RIA analyzed </w:t>
      </w:r>
      <w:r w:rsidRPr="00693892" w:rsidR="00065EEC">
        <w:rPr>
          <w:rFonts w:ascii="Times New Roman" w:hAnsi="Times New Roman" w:cs="Times New Roman"/>
        </w:rPr>
        <w:t>t</w:t>
      </w:r>
      <w:r w:rsidRPr="00693892" w:rsidR="004779BB">
        <w:rPr>
          <w:rFonts w:ascii="Times New Roman" w:hAnsi="Times New Roman" w:cs="Times New Roman"/>
        </w:rPr>
        <w:t>wo</w:t>
      </w:r>
      <w:r w:rsidRPr="00693892" w:rsidR="00306C75">
        <w:rPr>
          <w:rFonts w:ascii="Times New Roman" w:hAnsi="Times New Roman" w:cs="Times New Roman"/>
        </w:rPr>
        <w:t xml:space="preserve"> </w:t>
      </w:r>
      <w:r w:rsidRPr="00693892" w:rsidR="00F315FB">
        <w:rPr>
          <w:rFonts w:ascii="Times New Roman" w:hAnsi="Times New Roman" w:cs="Times New Roman"/>
        </w:rPr>
        <w:t xml:space="preserve">regulatory </w:t>
      </w:r>
      <w:r w:rsidRPr="00693892" w:rsidR="00306C75">
        <w:rPr>
          <w:rFonts w:ascii="Times New Roman" w:hAnsi="Times New Roman" w:cs="Times New Roman"/>
        </w:rPr>
        <w:t xml:space="preserve">alternatives </w:t>
      </w:r>
      <w:r w:rsidRPr="00693892" w:rsidR="006479D8">
        <w:rPr>
          <w:rFonts w:ascii="Times New Roman" w:hAnsi="Times New Roman" w:cs="Times New Roman"/>
        </w:rPr>
        <w:t xml:space="preserve">to the proposed </w:t>
      </w:r>
      <w:proofErr w:type="gramStart"/>
      <w:r w:rsidRPr="00693892" w:rsidR="006479D8">
        <w:rPr>
          <w:rFonts w:ascii="Times New Roman" w:hAnsi="Times New Roman" w:cs="Times New Roman"/>
        </w:rPr>
        <w:t>rule</w:t>
      </w:r>
      <w:r w:rsidRPr="00693892" w:rsidR="00F315FB">
        <w:rPr>
          <w:rFonts w:ascii="Times New Roman" w:hAnsi="Times New Roman" w:cs="Times New Roman"/>
        </w:rPr>
        <w:t>;</w:t>
      </w:r>
      <w:proofErr w:type="gramEnd"/>
      <w:r w:rsidRPr="00693892" w:rsidR="00F315FB">
        <w:rPr>
          <w:rFonts w:ascii="Times New Roman" w:hAnsi="Times New Roman" w:cs="Times New Roman"/>
        </w:rPr>
        <w:t xml:space="preserve"> one</w:t>
      </w:r>
      <w:r w:rsidRPr="00693892" w:rsidR="00306C75">
        <w:rPr>
          <w:rFonts w:ascii="Times New Roman" w:hAnsi="Times New Roman" w:cs="Times New Roman"/>
        </w:rPr>
        <w:t xml:space="preserve"> alternative with lower costs and</w:t>
      </w:r>
      <w:r w:rsidRPr="00693892" w:rsidR="008D5242">
        <w:rPr>
          <w:rFonts w:ascii="Times New Roman" w:hAnsi="Times New Roman" w:cs="Times New Roman"/>
        </w:rPr>
        <w:t xml:space="preserve"> one </w:t>
      </w:r>
      <w:r w:rsidRPr="00693892" w:rsidR="00306C75">
        <w:rPr>
          <w:rFonts w:ascii="Times New Roman" w:hAnsi="Times New Roman" w:cs="Times New Roman"/>
        </w:rPr>
        <w:t>with higher costs. The low</w:t>
      </w:r>
      <w:r w:rsidRPr="00693892" w:rsidR="00F315FB">
        <w:rPr>
          <w:rFonts w:ascii="Times New Roman" w:hAnsi="Times New Roman" w:cs="Times New Roman"/>
        </w:rPr>
        <w:t>er</w:t>
      </w:r>
      <w:r w:rsidRPr="00693892" w:rsidR="00306C75">
        <w:rPr>
          <w:rFonts w:ascii="Times New Roman" w:hAnsi="Times New Roman" w:cs="Times New Roman"/>
        </w:rPr>
        <w:t xml:space="preserve"> cost alternative considers alternatives for three provisions: </w:t>
      </w:r>
      <w:r w:rsidRPr="00693892" w:rsidR="00740CB6">
        <w:rPr>
          <w:rFonts w:ascii="Times New Roman" w:hAnsi="Times New Roman" w:cs="Times New Roman"/>
        </w:rPr>
        <w:t>root cause analysis</w:t>
      </w:r>
      <w:r w:rsidR="00740CB6">
        <w:rPr>
          <w:rFonts w:ascii="Times New Roman" w:hAnsi="Times New Roman" w:cs="Times New Roman"/>
        </w:rPr>
        <w:t xml:space="preserve">, </w:t>
      </w:r>
      <w:r w:rsidRPr="00693892" w:rsidR="006479D8">
        <w:rPr>
          <w:rFonts w:ascii="Times New Roman" w:hAnsi="Times New Roman" w:cs="Times New Roman"/>
        </w:rPr>
        <w:t>t</w:t>
      </w:r>
      <w:r w:rsidRPr="00693892" w:rsidR="00306C75">
        <w:rPr>
          <w:rFonts w:ascii="Times New Roman" w:hAnsi="Times New Roman" w:cs="Times New Roman"/>
        </w:rPr>
        <w:t>hird</w:t>
      </w:r>
      <w:r w:rsidRPr="00693892" w:rsidR="002619CB">
        <w:rPr>
          <w:rFonts w:ascii="Times New Roman" w:hAnsi="Times New Roman" w:cs="Times New Roman"/>
        </w:rPr>
        <w:t>-</w:t>
      </w:r>
      <w:r w:rsidRPr="00693892" w:rsidR="00306C75">
        <w:rPr>
          <w:rFonts w:ascii="Times New Roman" w:hAnsi="Times New Roman" w:cs="Times New Roman"/>
        </w:rPr>
        <w:t xml:space="preserve">party </w:t>
      </w:r>
      <w:proofErr w:type="gramStart"/>
      <w:r w:rsidRPr="00693892" w:rsidR="00306C75">
        <w:rPr>
          <w:rFonts w:ascii="Times New Roman" w:hAnsi="Times New Roman" w:cs="Times New Roman"/>
        </w:rPr>
        <w:t>audits</w:t>
      </w:r>
      <w:proofErr w:type="gramEnd"/>
      <w:r w:rsidR="00740CB6">
        <w:rPr>
          <w:rFonts w:ascii="Times New Roman" w:hAnsi="Times New Roman" w:cs="Times New Roman"/>
        </w:rPr>
        <w:t xml:space="preserve"> and </w:t>
      </w:r>
      <w:r w:rsidRPr="00693892" w:rsidR="00306C75">
        <w:rPr>
          <w:rFonts w:ascii="Times New Roman" w:hAnsi="Times New Roman" w:cs="Times New Roman"/>
        </w:rPr>
        <w:t>employee participation.</w:t>
      </w:r>
      <w:r w:rsidRPr="00693892" w:rsidR="006479D8">
        <w:rPr>
          <w:rFonts w:ascii="Times New Roman" w:hAnsi="Times New Roman" w:cs="Times New Roman"/>
        </w:rPr>
        <w:t xml:space="preserve"> The higher cost regulatory alternative consider</w:t>
      </w:r>
      <w:r w:rsidRPr="00693892" w:rsidR="008D5242">
        <w:rPr>
          <w:rFonts w:ascii="Times New Roman" w:hAnsi="Times New Roman" w:cs="Times New Roman"/>
        </w:rPr>
        <w:t xml:space="preserve">ed includes </w:t>
      </w:r>
      <w:r w:rsidRPr="00693892" w:rsidR="006479D8">
        <w:rPr>
          <w:rFonts w:ascii="Times New Roman" w:hAnsi="Times New Roman" w:cs="Times New Roman"/>
        </w:rPr>
        <w:t>more costly versions of</w:t>
      </w:r>
      <w:r w:rsidR="00740CB6">
        <w:rPr>
          <w:rFonts w:ascii="Times New Roman" w:hAnsi="Times New Roman" w:cs="Times New Roman"/>
        </w:rPr>
        <w:t xml:space="preserve"> the </w:t>
      </w:r>
      <w:r w:rsidRPr="00693892" w:rsidR="00740CB6">
        <w:rPr>
          <w:rFonts w:ascii="Times New Roman" w:hAnsi="Times New Roman" w:cs="Times New Roman"/>
        </w:rPr>
        <w:t xml:space="preserve">STAA </w:t>
      </w:r>
      <w:r w:rsidR="00740CB6">
        <w:rPr>
          <w:rFonts w:ascii="Times New Roman" w:hAnsi="Times New Roman" w:cs="Times New Roman"/>
        </w:rPr>
        <w:t>and</w:t>
      </w:r>
      <w:r w:rsidRPr="00693892" w:rsidR="006479D8">
        <w:rPr>
          <w:rFonts w:ascii="Times New Roman" w:hAnsi="Times New Roman" w:cs="Times New Roman"/>
        </w:rPr>
        <w:t xml:space="preserve"> third</w:t>
      </w:r>
      <w:r w:rsidRPr="00693892" w:rsidR="002619CB">
        <w:rPr>
          <w:rFonts w:ascii="Times New Roman" w:hAnsi="Times New Roman" w:cs="Times New Roman"/>
        </w:rPr>
        <w:t>-</w:t>
      </w:r>
      <w:r w:rsidRPr="00693892" w:rsidR="006479D8">
        <w:rPr>
          <w:rFonts w:ascii="Times New Roman" w:hAnsi="Times New Roman" w:cs="Times New Roman"/>
        </w:rPr>
        <w:t>party audit</w:t>
      </w:r>
      <w:r w:rsidR="00740CB6">
        <w:rPr>
          <w:rFonts w:ascii="Times New Roman" w:hAnsi="Times New Roman" w:cs="Times New Roman"/>
        </w:rPr>
        <w:t xml:space="preserve"> provisions.</w:t>
      </w:r>
    </w:p>
    <w:p w:rsidRPr="00693892" w:rsidR="00ED7D47" w:rsidP="00ED7D47" w:rsidRDefault="00ED7D47" w14:paraId="0B8E5DDF" w14:textId="77777777">
      <w:pPr>
        <w:spacing w:after="0" w:line="240" w:lineRule="auto"/>
        <w:ind w:firstLine="720"/>
        <w:rPr>
          <w:rFonts w:ascii="Times New Roman" w:hAnsi="Times New Roman" w:cs="Times New Roman"/>
        </w:rPr>
      </w:pPr>
    </w:p>
    <w:p w:rsidR="00CE674F" w:rsidP="00813745" w:rsidRDefault="00AC032C" w14:paraId="3B5985F2" w14:textId="1FBA9AE1">
      <w:pPr>
        <w:pStyle w:val="Heading2"/>
      </w:pPr>
      <w:bookmarkStart w:name="_Toc98165259" w:id="133"/>
      <w:bookmarkStart w:name="_Toc98239724" w:id="134"/>
      <w:bookmarkStart w:name="_Toc98239822" w:id="135"/>
      <w:bookmarkStart w:name="_Toc98240019" w:id="136"/>
      <w:bookmarkStart w:name="_Toc98856235" w:id="137"/>
      <w:bookmarkStart w:name="_Toc110502765" w:id="138"/>
      <w:bookmarkEnd w:id="133"/>
      <w:bookmarkEnd w:id="134"/>
      <w:bookmarkEnd w:id="135"/>
      <w:bookmarkEnd w:id="136"/>
      <w:r w:rsidRPr="00693892">
        <w:t xml:space="preserve">7.1 </w:t>
      </w:r>
      <w:r w:rsidRPr="00693892" w:rsidR="00CE674F">
        <w:t>Low</w:t>
      </w:r>
      <w:r w:rsidRPr="00693892" w:rsidR="00454DF7">
        <w:t>er</w:t>
      </w:r>
      <w:r w:rsidRPr="00693892" w:rsidR="00CE674F">
        <w:t xml:space="preserve"> Cost Regulatory Alternative</w:t>
      </w:r>
      <w:bookmarkEnd w:id="137"/>
      <w:bookmarkEnd w:id="138"/>
    </w:p>
    <w:p w:rsidRPr="00693892" w:rsidR="0085060F" w:rsidP="0085060F" w:rsidRDefault="0085060F" w14:paraId="4E9EF1BE" w14:textId="77777777">
      <w:pPr>
        <w:keepNext/>
        <w:spacing w:after="0" w:line="240" w:lineRule="auto"/>
        <w:rPr>
          <w:rFonts w:ascii="Times New Roman" w:hAnsi="Times New Roman" w:cs="Times New Roman"/>
          <w:i/>
        </w:rPr>
      </w:pPr>
      <w:r w:rsidRPr="00693892">
        <w:rPr>
          <w:rFonts w:ascii="Times New Roman" w:hAnsi="Times New Roman" w:cs="Times New Roman"/>
          <w:i/>
          <w:shd w:val="clear" w:color="auto" w:fill="FFFFFF"/>
        </w:rPr>
        <w:t xml:space="preserve">Root Cause Analysis – </w:t>
      </w:r>
      <w:r w:rsidRPr="00693892">
        <w:rPr>
          <w:rFonts w:ascii="Times New Roman" w:hAnsi="Times New Roman" w:cs="Times New Roman"/>
          <w:i/>
        </w:rPr>
        <w:t>(Proposed revisions apply to §§68.60 and 68.81)</w:t>
      </w:r>
    </w:p>
    <w:p w:rsidR="0085060F" w:rsidP="0085060F" w:rsidRDefault="0085060F" w14:paraId="42ACF6A4" w14:textId="380098CC">
      <w:pPr>
        <w:keepNext/>
        <w:spacing w:after="0" w:line="240" w:lineRule="auto"/>
        <w:ind w:firstLine="360"/>
        <w:rPr>
          <w:rFonts w:ascii="Times New Roman" w:hAnsi="Times New Roman" w:cs="Times New Roman"/>
        </w:rPr>
      </w:pPr>
      <w:r>
        <w:rPr>
          <w:rFonts w:ascii="Times New Roman" w:hAnsi="Times New Roman" w:cs="Times New Roman"/>
        </w:rPr>
        <w:tab/>
      </w:r>
      <w:r w:rsidRPr="00693892">
        <w:rPr>
          <w:rFonts w:ascii="Times New Roman" w:hAnsi="Times New Roman" w:cs="Times New Roman"/>
        </w:rPr>
        <w:t xml:space="preserve">The proposed rule revises the incident investigation provisions to require a root cause analysis following an RMP-reportable accident. The proposed incident investigation revisions would apply to all facilities with Program 2 and 3 processes that experience an RMP-reportable accident. The </w:t>
      </w:r>
      <w:proofErr w:type="gramStart"/>
      <w:r w:rsidRPr="00693892">
        <w:rPr>
          <w:rFonts w:ascii="Times New Roman" w:hAnsi="Times New Roman" w:cs="Times New Roman"/>
        </w:rPr>
        <w:t>low cost</w:t>
      </w:r>
      <w:proofErr w:type="gramEnd"/>
      <w:r w:rsidRPr="00693892">
        <w:rPr>
          <w:rFonts w:ascii="Times New Roman" w:hAnsi="Times New Roman" w:cs="Times New Roman"/>
        </w:rPr>
        <w:t xml:space="preserve"> regulatory alternative would apply to only facilities with Program 3 processes that experience an RMP-reportable accident. Accident numbers are based on the RMP data from RMP-reportable accidents, referenced in Exhibit 3-6, and are estimated based on the five-year annual average. The unit costs applied to the accidents are consistent with the unit costs presented in Exhibit 4-3. The total initial cost of the </w:t>
      </w:r>
      <w:proofErr w:type="gramStart"/>
      <w:r w:rsidRPr="00693892">
        <w:rPr>
          <w:rFonts w:ascii="Times New Roman" w:hAnsi="Times New Roman" w:cs="Times New Roman"/>
        </w:rPr>
        <w:t>low cost</w:t>
      </w:r>
      <w:proofErr w:type="gramEnd"/>
      <w:r w:rsidRPr="00693892">
        <w:rPr>
          <w:rFonts w:ascii="Times New Roman" w:hAnsi="Times New Roman" w:cs="Times New Roman"/>
        </w:rPr>
        <w:t xml:space="preserve"> root cause analysis provision is summarized in Exhibit 7-.</w:t>
      </w:r>
      <w:r>
        <w:rPr>
          <w:rFonts w:ascii="Times New Roman" w:hAnsi="Times New Roman" w:cs="Times New Roman"/>
        </w:rPr>
        <w:t>1</w:t>
      </w:r>
    </w:p>
    <w:p w:rsidRPr="00693892" w:rsidR="0085060F" w:rsidP="0085060F" w:rsidRDefault="0085060F" w14:paraId="007ECBA5" w14:textId="77777777">
      <w:pPr>
        <w:keepNext/>
        <w:spacing w:after="0" w:line="240" w:lineRule="auto"/>
        <w:ind w:firstLine="360"/>
        <w:rPr>
          <w:rFonts w:ascii="Times New Roman" w:hAnsi="Times New Roman" w:cs="Times New Roman"/>
        </w:rPr>
      </w:pPr>
    </w:p>
    <w:p w:rsidRPr="00693892" w:rsidR="0085060F" w:rsidP="0085060F" w:rsidRDefault="0085060F" w14:paraId="1B573928" w14:textId="3AF04550">
      <w:pPr>
        <w:keepNext/>
        <w:spacing w:after="0" w:line="240" w:lineRule="auto"/>
        <w:jc w:val="center"/>
        <w:rPr>
          <w:rFonts w:ascii="Times New Roman" w:hAnsi="Times New Roman" w:cs="Times New Roman"/>
          <w:b/>
        </w:rPr>
      </w:pPr>
      <w:r w:rsidRPr="00DB1152">
        <w:rPr>
          <w:rFonts w:ascii="Times New Roman" w:hAnsi="Times New Roman" w:cs="Times New Roman"/>
          <w:b/>
        </w:rPr>
        <w:t>Exhibit 7</w:t>
      </w:r>
      <w:r w:rsidRPr="00693892">
        <w:rPr>
          <w:rFonts w:ascii="Times New Roman" w:hAnsi="Times New Roman" w:cs="Times New Roman"/>
          <w:b/>
        </w:rPr>
        <w:t>-</w:t>
      </w:r>
      <w:r>
        <w:rPr>
          <w:rFonts w:ascii="Times New Roman" w:hAnsi="Times New Roman" w:cs="Times New Roman"/>
          <w:b/>
        </w:rPr>
        <w:t>1</w:t>
      </w:r>
      <w:r w:rsidRPr="00693892">
        <w:rPr>
          <w:rFonts w:ascii="Times New Roman" w:hAnsi="Times New Roman" w:cs="Times New Roman"/>
          <w:b/>
        </w:rPr>
        <w:t xml:space="preserve">: Total Annual Undiscounted Costs for </w:t>
      </w:r>
      <w:r>
        <w:rPr>
          <w:rFonts w:ascii="Times New Roman" w:hAnsi="Times New Roman" w:cs="Times New Roman"/>
          <w:b/>
        </w:rPr>
        <w:t>Root Cause Analysis</w:t>
      </w:r>
    </w:p>
    <w:p w:rsidR="0085060F" w:rsidP="0085060F" w:rsidRDefault="0085060F" w14:paraId="7C38808E" w14:textId="77777777">
      <w:pPr>
        <w:keepNext/>
        <w:spacing w:after="0" w:line="240" w:lineRule="auto"/>
        <w:jc w:val="center"/>
        <w:rPr>
          <w:rFonts w:ascii="Times New Roman" w:hAnsi="Times New Roman" w:cs="Times New Roman"/>
          <w:b/>
        </w:rPr>
      </w:pPr>
      <w:r w:rsidRPr="00693892">
        <w:rPr>
          <w:rFonts w:ascii="Times New Roman" w:hAnsi="Times New Roman" w:cs="Times New Roman"/>
          <w:b/>
        </w:rPr>
        <w:t xml:space="preserve">Lower Cost Regulatory Alternative </w:t>
      </w:r>
      <w:r>
        <w:rPr>
          <w:rFonts w:ascii="Times New Roman" w:hAnsi="Times New Roman" w:cs="Times New Roman"/>
          <w:b/>
        </w:rPr>
        <w:t>(</w:t>
      </w:r>
      <w:r w:rsidRPr="00693892">
        <w:rPr>
          <w:rFonts w:ascii="Times New Roman" w:hAnsi="Times New Roman" w:cs="Times New Roman"/>
          <w:b/>
        </w:rPr>
        <w:t>2020 Dollars)</w:t>
      </w:r>
      <w:r>
        <w:rPr>
          <w:rFonts w:ascii="Times New Roman" w:hAnsi="Times New Roman" w:cs="Times New Roman"/>
          <w:b/>
        </w:rPr>
        <w:t>.</w:t>
      </w:r>
    </w:p>
    <w:p w:rsidRPr="00DB1152" w:rsidR="0085060F" w:rsidP="0085060F" w:rsidRDefault="0085060F" w14:paraId="1EA8C8CD" w14:textId="77777777">
      <w:pPr>
        <w:keepNext/>
        <w:spacing w:after="0" w:line="240" w:lineRule="auto"/>
        <w:jc w:val="center"/>
        <w:rPr>
          <w:rFonts w:ascii="Times New Roman" w:hAnsi="Times New Roman" w:cs="Times New Roman"/>
          <w:b/>
        </w:rPr>
      </w:pP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1"/>
        <w:gridCol w:w="1126"/>
        <w:gridCol w:w="1220"/>
        <w:gridCol w:w="1661"/>
      </w:tblGrid>
      <w:tr w:rsidRPr="00693892" w:rsidR="0085060F" w:rsidTr="00E6210A" w14:paraId="22F70D4E" w14:textId="77777777">
        <w:trPr>
          <w:trHeight w:val="592"/>
          <w:jc w:val="center"/>
        </w:trPr>
        <w:tc>
          <w:tcPr>
            <w:tcW w:w="2451" w:type="dxa"/>
            <w:tcBorders>
              <w:left w:val="single" w:color="000000" w:sz="6" w:space="0"/>
              <w:right w:val="single" w:color="000000" w:sz="6" w:space="0"/>
            </w:tcBorders>
            <w:shd w:val="clear" w:color="auto" w:fill="DADADA"/>
            <w:vAlign w:val="center"/>
          </w:tcPr>
          <w:p w:rsidRPr="00DB1152" w:rsidR="0085060F" w:rsidP="00E6210A" w:rsidRDefault="0085060F" w14:paraId="4C2C306C" w14:textId="77777777">
            <w:pPr>
              <w:keepNext/>
              <w:spacing w:after="0" w:line="240" w:lineRule="auto"/>
              <w:ind w:left="168" w:hanging="90"/>
              <w:jc w:val="center"/>
              <w:rPr>
                <w:rFonts w:ascii="Times New Roman" w:hAnsi="Times New Roman" w:cs="Times New Roman"/>
                <w:b/>
                <w:sz w:val="20"/>
                <w:szCs w:val="20"/>
              </w:rPr>
            </w:pPr>
            <w:r w:rsidRPr="00DB1152">
              <w:rPr>
                <w:rFonts w:ascii="Times New Roman" w:hAnsi="Times New Roman" w:cs="Times New Roman"/>
                <w:b/>
                <w:sz w:val="20"/>
                <w:szCs w:val="20"/>
              </w:rPr>
              <w:t>Facility Type</w:t>
            </w:r>
          </w:p>
        </w:tc>
        <w:tc>
          <w:tcPr>
            <w:tcW w:w="1126" w:type="dxa"/>
            <w:tcBorders>
              <w:left w:val="single" w:color="000000" w:sz="6" w:space="0"/>
            </w:tcBorders>
            <w:shd w:val="clear" w:color="auto" w:fill="DADADA"/>
            <w:vAlign w:val="center"/>
          </w:tcPr>
          <w:p w:rsidRPr="00DB1152" w:rsidR="0085060F" w:rsidP="00E6210A" w:rsidRDefault="0085060F" w14:paraId="564A71CE" w14:textId="77777777">
            <w:pPr>
              <w:keepNext/>
              <w:spacing w:after="0" w:line="240" w:lineRule="auto"/>
              <w:ind w:left="92" w:right="32"/>
              <w:jc w:val="center"/>
              <w:rPr>
                <w:rFonts w:ascii="Times New Roman" w:hAnsi="Times New Roman" w:cs="Times New Roman"/>
                <w:b/>
                <w:sz w:val="20"/>
                <w:szCs w:val="20"/>
              </w:rPr>
            </w:pPr>
            <w:r w:rsidRPr="00DB1152">
              <w:rPr>
                <w:rFonts w:ascii="Times New Roman" w:hAnsi="Times New Roman" w:cs="Times New Roman"/>
                <w:b/>
                <w:sz w:val="20"/>
                <w:szCs w:val="20"/>
              </w:rPr>
              <w:t>Unit Cost</w:t>
            </w:r>
          </w:p>
        </w:tc>
        <w:tc>
          <w:tcPr>
            <w:tcW w:w="1220" w:type="dxa"/>
            <w:tcBorders>
              <w:right w:val="single" w:color="000000" w:sz="6" w:space="0"/>
            </w:tcBorders>
            <w:shd w:val="clear" w:color="auto" w:fill="DADADA"/>
            <w:vAlign w:val="center"/>
          </w:tcPr>
          <w:p w:rsidRPr="00DB1152" w:rsidR="0085060F" w:rsidP="00E6210A" w:rsidRDefault="0085060F" w14:paraId="00FCCC1F" w14:textId="77777777">
            <w:pPr>
              <w:keepNext/>
              <w:spacing w:after="0" w:line="240" w:lineRule="auto"/>
              <w:ind w:left="61" w:right="67"/>
              <w:jc w:val="center"/>
              <w:rPr>
                <w:rFonts w:ascii="Times New Roman" w:hAnsi="Times New Roman" w:cs="Times New Roman"/>
                <w:b/>
                <w:sz w:val="20"/>
                <w:szCs w:val="20"/>
              </w:rPr>
            </w:pPr>
            <w:r w:rsidRPr="00DB1152">
              <w:rPr>
                <w:rFonts w:ascii="Times New Roman" w:hAnsi="Times New Roman" w:cs="Times New Roman"/>
                <w:b/>
                <w:sz w:val="20"/>
                <w:szCs w:val="20"/>
              </w:rPr>
              <w:t>Accidents</w:t>
            </w:r>
          </w:p>
        </w:tc>
        <w:tc>
          <w:tcPr>
            <w:tcW w:w="1661" w:type="dxa"/>
            <w:tcBorders>
              <w:left w:val="single" w:color="000000" w:sz="6" w:space="0"/>
            </w:tcBorders>
            <w:shd w:val="clear" w:color="auto" w:fill="DADADA"/>
            <w:vAlign w:val="center"/>
          </w:tcPr>
          <w:p w:rsidRPr="00DB1152" w:rsidR="0085060F" w:rsidP="00E6210A" w:rsidRDefault="0085060F" w14:paraId="7D2F8465" w14:textId="77777777">
            <w:pPr>
              <w:keepNext/>
              <w:spacing w:after="0" w:line="240" w:lineRule="auto"/>
              <w:ind w:left="81" w:right="51"/>
              <w:jc w:val="center"/>
              <w:rPr>
                <w:rFonts w:ascii="Times New Roman" w:hAnsi="Times New Roman" w:cs="Times New Roman"/>
                <w:b/>
                <w:sz w:val="20"/>
                <w:szCs w:val="20"/>
              </w:rPr>
            </w:pPr>
            <w:r w:rsidRPr="00DB1152">
              <w:rPr>
                <w:rFonts w:ascii="Times New Roman" w:hAnsi="Times New Roman" w:cs="Times New Roman"/>
                <w:b/>
                <w:sz w:val="20"/>
                <w:szCs w:val="20"/>
              </w:rPr>
              <w:t>Total Initial Cost</w:t>
            </w:r>
          </w:p>
        </w:tc>
      </w:tr>
      <w:tr w:rsidRPr="00693892" w:rsidR="0085060F" w:rsidTr="00E6210A" w14:paraId="35D3452E" w14:textId="77777777">
        <w:trPr>
          <w:trHeight w:val="160"/>
          <w:jc w:val="center"/>
        </w:trPr>
        <w:tc>
          <w:tcPr>
            <w:tcW w:w="2451" w:type="dxa"/>
            <w:tcBorders>
              <w:top w:val="single" w:color="000000" w:sz="6" w:space="0"/>
              <w:left w:val="single" w:color="000000" w:sz="6" w:space="0"/>
              <w:bottom w:val="single" w:color="000000" w:sz="6" w:space="0"/>
              <w:right w:val="single" w:color="000000" w:sz="6" w:space="0"/>
            </w:tcBorders>
            <w:vAlign w:val="center"/>
          </w:tcPr>
          <w:p w:rsidRPr="00DB1152" w:rsidR="0085060F" w:rsidP="00ED3152" w:rsidRDefault="0085060F" w14:paraId="7AC63D07" w14:textId="77777777">
            <w:pPr>
              <w:spacing w:after="0" w:line="240" w:lineRule="auto"/>
              <w:ind w:left="127"/>
              <w:rPr>
                <w:rFonts w:ascii="Times New Roman" w:hAnsi="Times New Roman" w:cs="Times New Roman"/>
                <w:sz w:val="20"/>
                <w:szCs w:val="20"/>
              </w:rPr>
            </w:pPr>
            <w:r w:rsidRPr="00DB1152">
              <w:rPr>
                <w:rFonts w:ascii="Times New Roman" w:hAnsi="Times New Roman" w:cs="Times New Roman"/>
                <w:color w:val="000000"/>
                <w:sz w:val="20"/>
                <w:szCs w:val="20"/>
              </w:rPr>
              <w:t>P3 Accidents - simple</w:t>
            </w:r>
          </w:p>
        </w:tc>
        <w:tc>
          <w:tcPr>
            <w:tcW w:w="1126" w:type="dxa"/>
            <w:tcBorders>
              <w:top w:val="single" w:color="000000" w:sz="6" w:space="0"/>
              <w:left w:val="single" w:color="000000" w:sz="6" w:space="0"/>
              <w:bottom w:val="single" w:color="000000" w:sz="6" w:space="0"/>
            </w:tcBorders>
            <w:vAlign w:val="center"/>
          </w:tcPr>
          <w:p w:rsidRPr="00DB1152" w:rsidR="0085060F" w:rsidP="00E6210A" w:rsidRDefault="0085060F" w14:paraId="222031A0" w14:textId="77777777">
            <w:pPr>
              <w:spacing w:after="0" w:line="240" w:lineRule="auto"/>
              <w:ind w:left="92" w:right="30"/>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$2,141</w:t>
            </w:r>
          </w:p>
        </w:tc>
        <w:tc>
          <w:tcPr>
            <w:tcW w:w="1220" w:type="dxa"/>
            <w:tcBorders>
              <w:top w:val="single" w:color="000000" w:sz="6" w:space="0"/>
              <w:bottom w:val="single" w:color="000000" w:sz="6" w:space="0"/>
              <w:right w:val="single" w:color="000000" w:sz="6" w:space="0"/>
            </w:tcBorders>
            <w:vAlign w:val="center"/>
          </w:tcPr>
          <w:p w:rsidRPr="00DB1152" w:rsidR="0085060F" w:rsidP="00E6210A" w:rsidRDefault="0085060F" w14:paraId="481C992C" w14:textId="77777777">
            <w:pPr>
              <w:spacing w:after="0" w:line="240" w:lineRule="auto"/>
              <w:ind w:left="77" w:right="65"/>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40</w:t>
            </w:r>
          </w:p>
        </w:tc>
        <w:tc>
          <w:tcPr>
            <w:tcW w:w="1661" w:type="dxa"/>
            <w:tcBorders>
              <w:top w:val="single" w:color="000000" w:sz="6" w:space="0"/>
              <w:left w:val="single" w:color="000000" w:sz="6" w:space="0"/>
              <w:bottom w:val="single" w:color="000000" w:sz="6" w:space="0"/>
            </w:tcBorders>
            <w:vAlign w:val="center"/>
          </w:tcPr>
          <w:p w:rsidRPr="00DB1152" w:rsidR="0085060F" w:rsidP="00E6210A" w:rsidRDefault="0085060F" w14:paraId="0C2D02DB" w14:textId="77777777">
            <w:pPr>
              <w:spacing w:after="0" w:line="240" w:lineRule="auto"/>
              <w:ind w:left="83" w:right="51"/>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$86,073</w:t>
            </w:r>
          </w:p>
        </w:tc>
      </w:tr>
      <w:tr w:rsidRPr="00693892" w:rsidR="0085060F" w:rsidTr="00E6210A" w14:paraId="26175AAB" w14:textId="77777777">
        <w:trPr>
          <w:trHeight w:val="183"/>
          <w:jc w:val="center"/>
        </w:trPr>
        <w:tc>
          <w:tcPr>
            <w:tcW w:w="2451" w:type="dxa"/>
            <w:tcBorders>
              <w:top w:val="single" w:color="000000" w:sz="6" w:space="0"/>
              <w:left w:val="single" w:color="000000" w:sz="6" w:space="0"/>
              <w:bottom w:val="single" w:color="000000" w:sz="6" w:space="0"/>
              <w:right w:val="single" w:color="000000" w:sz="6" w:space="0"/>
            </w:tcBorders>
            <w:vAlign w:val="center"/>
          </w:tcPr>
          <w:p w:rsidRPr="00DB1152" w:rsidR="0085060F" w:rsidP="00ED3152" w:rsidRDefault="0085060F" w14:paraId="0511C357" w14:textId="77777777">
            <w:pPr>
              <w:spacing w:after="0" w:line="240" w:lineRule="auto"/>
              <w:ind w:left="127"/>
              <w:rPr>
                <w:rFonts w:ascii="Times New Roman" w:hAnsi="Times New Roman" w:cs="Times New Roman"/>
                <w:sz w:val="20"/>
                <w:szCs w:val="20"/>
              </w:rPr>
            </w:pPr>
            <w:r w:rsidRPr="00DB1152">
              <w:rPr>
                <w:rFonts w:ascii="Times New Roman" w:hAnsi="Times New Roman" w:cs="Times New Roman"/>
                <w:color w:val="000000"/>
                <w:sz w:val="20"/>
                <w:szCs w:val="20"/>
              </w:rPr>
              <w:t>P3 Accidents - complex</w:t>
            </w:r>
          </w:p>
        </w:tc>
        <w:tc>
          <w:tcPr>
            <w:tcW w:w="1126" w:type="dxa"/>
            <w:tcBorders>
              <w:top w:val="single" w:color="000000" w:sz="6" w:space="0"/>
              <w:left w:val="single" w:color="000000" w:sz="6" w:space="0"/>
              <w:bottom w:val="single" w:color="000000" w:sz="6" w:space="0"/>
            </w:tcBorders>
            <w:vAlign w:val="center"/>
          </w:tcPr>
          <w:p w:rsidRPr="00DB1152" w:rsidR="0085060F" w:rsidP="00E6210A" w:rsidRDefault="0085060F" w14:paraId="157F9AFA" w14:textId="77777777">
            <w:pPr>
              <w:spacing w:after="0" w:line="240" w:lineRule="auto"/>
              <w:ind w:left="92" w:right="30"/>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$14,835</w:t>
            </w:r>
          </w:p>
        </w:tc>
        <w:tc>
          <w:tcPr>
            <w:tcW w:w="1220" w:type="dxa"/>
            <w:tcBorders>
              <w:top w:val="single" w:color="000000" w:sz="6" w:space="0"/>
              <w:bottom w:val="single" w:color="000000" w:sz="6" w:space="0"/>
              <w:right w:val="single" w:color="000000" w:sz="6" w:space="0"/>
            </w:tcBorders>
            <w:vAlign w:val="center"/>
          </w:tcPr>
          <w:p w:rsidRPr="00DB1152" w:rsidR="0085060F" w:rsidP="00E6210A" w:rsidRDefault="0085060F" w14:paraId="5B692F67" w14:textId="77777777">
            <w:pPr>
              <w:spacing w:after="0" w:line="240" w:lineRule="auto"/>
              <w:ind w:left="77" w:right="65"/>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41</w:t>
            </w:r>
          </w:p>
        </w:tc>
        <w:tc>
          <w:tcPr>
            <w:tcW w:w="1661" w:type="dxa"/>
            <w:tcBorders>
              <w:top w:val="single" w:color="000000" w:sz="6" w:space="0"/>
              <w:left w:val="single" w:color="000000" w:sz="6" w:space="0"/>
              <w:bottom w:val="single" w:color="000000" w:sz="6" w:space="0"/>
            </w:tcBorders>
            <w:vAlign w:val="center"/>
          </w:tcPr>
          <w:p w:rsidRPr="00DB1152" w:rsidR="0085060F" w:rsidP="00E6210A" w:rsidRDefault="0085060F" w14:paraId="6D4C604D" w14:textId="77777777">
            <w:pPr>
              <w:spacing w:after="0" w:line="240" w:lineRule="auto"/>
              <w:ind w:left="83" w:right="51"/>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$611,205</w:t>
            </w:r>
          </w:p>
        </w:tc>
      </w:tr>
      <w:tr w:rsidRPr="00693892" w:rsidR="0085060F" w:rsidTr="00E6210A" w14:paraId="5FEB12E7" w14:textId="77777777">
        <w:trPr>
          <w:trHeight w:val="97"/>
          <w:jc w:val="center"/>
        </w:trPr>
        <w:tc>
          <w:tcPr>
            <w:tcW w:w="2451" w:type="dxa"/>
            <w:tcBorders>
              <w:left w:val="single" w:color="000000" w:sz="6" w:space="0"/>
              <w:bottom w:val="single" w:color="000000" w:sz="6" w:space="0"/>
              <w:right w:val="single" w:color="000000" w:sz="6" w:space="0"/>
            </w:tcBorders>
            <w:vAlign w:val="center"/>
          </w:tcPr>
          <w:p w:rsidRPr="00DB1152" w:rsidR="0085060F" w:rsidP="00E6210A" w:rsidRDefault="0085060F" w14:paraId="68FE0CCA" w14:textId="77777777">
            <w:pPr>
              <w:spacing w:after="0" w:line="240" w:lineRule="auto"/>
              <w:ind w:left="878" w:right="842"/>
              <w:jc w:val="center"/>
              <w:rPr>
                <w:rFonts w:ascii="Times New Roman" w:hAnsi="Times New Roman" w:cs="Times New Roman"/>
                <w:b/>
                <w:sz w:val="20"/>
                <w:szCs w:val="20"/>
              </w:rPr>
            </w:pPr>
            <w:r w:rsidRPr="00DB1152">
              <w:rPr>
                <w:rFonts w:ascii="Times New Roman" w:hAnsi="Times New Roman" w:cs="Times New Roman"/>
                <w:b/>
                <w:sz w:val="20"/>
                <w:szCs w:val="20"/>
              </w:rPr>
              <w:t>Total</w:t>
            </w:r>
          </w:p>
        </w:tc>
        <w:tc>
          <w:tcPr>
            <w:tcW w:w="1126" w:type="dxa"/>
            <w:tcBorders>
              <w:left w:val="single" w:color="000000" w:sz="6" w:space="0"/>
              <w:bottom w:val="single" w:color="000000" w:sz="6" w:space="0"/>
            </w:tcBorders>
            <w:vAlign w:val="center"/>
          </w:tcPr>
          <w:p w:rsidRPr="00DB1152" w:rsidR="0085060F" w:rsidP="00E6210A" w:rsidRDefault="0085060F" w14:paraId="753D83D6" w14:textId="77777777">
            <w:pPr>
              <w:spacing w:after="0" w:line="240" w:lineRule="auto"/>
              <w:jc w:val="center"/>
              <w:rPr>
                <w:rFonts w:ascii="Times New Roman" w:hAnsi="Times New Roman" w:cs="Times New Roman"/>
                <w:sz w:val="20"/>
                <w:szCs w:val="20"/>
              </w:rPr>
            </w:pPr>
          </w:p>
        </w:tc>
        <w:tc>
          <w:tcPr>
            <w:tcW w:w="1220" w:type="dxa"/>
            <w:tcBorders>
              <w:bottom w:val="single" w:color="000000" w:sz="6" w:space="0"/>
              <w:right w:val="single" w:color="000000" w:sz="6" w:space="0"/>
            </w:tcBorders>
            <w:vAlign w:val="center"/>
          </w:tcPr>
          <w:p w:rsidRPr="00DB1152" w:rsidR="0085060F" w:rsidP="00E6210A" w:rsidRDefault="0085060F" w14:paraId="53F79C81" w14:textId="77777777">
            <w:pPr>
              <w:spacing w:after="0" w:line="240" w:lineRule="auto"/>
              <w:ind w:left="67" w:right="67"/>
              <w:jc w:val="center"/>
              <w:rPr>
                <w:rFonts w:ascii="Times New Roman" w:hAnsi="Times New Roman" w:cs="Times New Roman"/>
                <w:b/>
                <w:sz w:val="20"/>
                <w:szCs w:val="20"/>
              </w:rPr>
            </w:pPr>
            <w:r w:rsidRPr="00DB1152">
              <w:rPr>
                <w:rFonts w:ascii="Times New Roman" w:hAnsi="Times New Roman" w:cs="Times New Roman"/>
                <w:b/>
                <w:color w:val="000000"/>
                <w:sz w:val="20"/>
                <w:szCs w:val="20"/>
              </w:rPr>
              <w:t>81</w:t>
            </w:r>
          </w:p>
        </w:tc>
        <w:tc>
          <w:tcPr>
            <w:tcW w:w="1661" w:type="dxa"/>
            <w:tcBorders>
              <w:left w:val="single" w:color="000000" w:sz="6" w:space="0"/>
              <w:bottom w:val="single" w:color="000000" w:sz="6" w:space="0"/>
            </w:tcBorders>
            <w:vAlign w:val="center"/>
          </w:tcPr>
          <w:p w:rsidRPr="00DB1152" w:rsidR="0085060F" w:rsidP="00E6210A" w:rsidRDefault="0085060F" w14:paraId="5D3BF321" w14:textId="77777777">
            <w:pPr>
              <w:spacing w:after="0" w:line="240" w:lineRule="auto"/>
              <w:jc w:val="center"/>
              <w:rPr>
                <w:rFonts w:ascii="Times New Roman" w:hAnsi="Times New Roman" w:cs="Times New Roman"/>
                <w:b/>
                <w:color w:val="000000"/>
                <w:sz w:val="20"/>
                <w:szCs w:val="20"/>
              </w:rPr>
            </w:pPr>
            <w:r w:rsidRPr="00DB1152">
              <w:rPr>
                <w:rFonts w:ascii="Times New Roman" w:hAnsi="Times New Roman" w:cs="Times New Roman"/>
                <w:b/>
                <w:color w:val="000000"/>
                <w:sz w:val="20"/>
                <w:szCs w:val="20"/>
              </w:rPr>
              <w:t>$697,278</w:t>
            </w:r>
          </w:p>
        </w:tc>
      </w:tr>
    </w:tbl>
    <w:p w:rsidRPr="0085060F" w:rsidR="0085060F" w:rsidP="0085060F" w:rsidRDefault="0085060F" w14:paraId="77FA0BAD" w14:textId="77777777"/>
    <w:p w:rsidRPr="00693892" w:rsidR="00306C75" w:rsidP="00693892" w:rsidRDefault="00306C75" w14:paraId="62127294" w14:textId="425102C9">
      <w:pPr>
        <w:spacing w:after="0" w:line="240" w:lineRule="auto"/>
        <w:rPr>
          <w:rFonts w:ascii="Times New Roman" w:hAnsi="Times New Roman" w:cs="Times New Roman"/>
        </w:rPr>
      </w:pPr>
      <w:r w:rsidRPr="00693892">
        <w:rPr>
          <w:rFonts w:ascii="Times New Roman" w:hAnsi="Times New Roman" w:cs="Times New Roman"/>
          <w:i/>
        </w:rPr>
        <w:t>Third</w:t>
      </w:r>
      <w:r w:rsidRPr="00693892" w:rsidR="002619CB">
        <w:rPr>
          <w:rFonts w:ascii="Times New Roman" w:hAnsi="Times New Roman" w:cs="Times New Roman"/>
          <w:i/>
        </w:rPr>
        <w:t>-</w:t>
      </w:r>
      <w:r w:rsidRPr="00693892">
        <w:rPr>
          <w:rFonts w:ascii="Times New Roman" w:hAnsi="Times New Roman" w:cs="Times New Roman"/>
          <w:i/>
        </w:rPr>
        <w:t xml:space="preserve"> party audits –</w:t>
      </w:r>
      <w:r w:rsidRPr="00693892">
        <w:rPr>
          <w:rFonts w:ascii="Times New Roman" w:hAnsi="Times New Roman" w:cs="Times New Roman"/>
        </w:rPr>
        <w:t xml:space="preserve"> (</w:t>
      </w:r>
      <w:r w:rsidRPr="00693892" w:rsidR="00E34BFD">
        <w:rPr>
          <w:rFonts w:ascii="Times New Roman" w:hAnsi="Times New Roman" w:cs="Times New Roman"/>
          <w:i/>
        </w:rPr>
        <w:t>P</w:t>
      </w:r>
      <w:r w:rsidRPr="00693892">
        <w:rPr>
          <w:rFonts w:ascii="Times New Roman" w:hAnsi="Times New Roman" w:cs="Times New Roman"/>
          <w:i/>
        </w:rPr>
        <w:t>roposed revisions apply to §§68.58 and 68.79 and new §§68.59 and 68.80)</w:t>
      </w:r>
      <w:r w:rsidRPr="00693892">
        <w:rPr>
          <w:rFonts w:ascii="Times New Roman" w:hAnsi="Times New Roman" w:cs="Times New Roman"/>
        </w:rPr>
        <w:t>)</w:t>
      </w:r>
    </w:p>
    <w:p w:rsidR="00D726C0" w:rsidP="000E6E0F" w:rsidRDefault="00D726C0" w14:paraId="28700650" w14:textId="6465CDE4">
      <w:pPr>
        <w:spacing w:after="0" w:line="240" w:lineRule="auto"/>
        <w:ind w:firstLine="360"/>
        <w:rPr>
          <w:rFonts w:ascii="Times New Roman" w:hAnsi="Times New Roman" w:cs="Times New Roman"/>
        </w:rPr>
      </w:pPr>
      <w:r>
        <w:rPr>
          <w:rFonts w:ascii="Times New Roman" w:hAnsi="Times New Roman" w:cs="Times New Roman"/>
        </w:rPr>
        <w:tab/>
      </w:r>
      <w:r w:rsidRPr="00693892" w:rsidR="00306C75">
        <w:rPr>
          <w:rFonts w:ascii="Times New Roman" w:hAnsi="Times New Roman" w:cs="Times New Roman"/>
        </w:rPr>
        <w:t xml:space="preserve">The proposed rule would revise the </w:t>
      </w:r>
      <w:r w:rsidR="00C55755">
        <w:rPr>
          <w:rFonts w:ascii="Times New Roman" w:hAnsi="Times New Roman" w:cs="Times New Roman"/>
        </w:rPr>
        <w:t>2017 a</w:t>
      </w:r>
      <w:r w:rsidRPr="00693892" w:rsidR="00306C75">
        <w:rPr>
          <w:rFonts w:ascii="Times New Roman" w:hAnsi="Times New Roman" w:cs="Times New Roman"/>
        </w:rPr>
        <w:t xml:space="preserve">mendments </w:t>
      </w:r>
      <w:r w:rsidRPr="00693892" w:rsidR="007776AD">
        <w:rPr>
          <w:rFonts w:ascii="Times New Roman" w:hAnsi="Times New Roman" w:cs="Times New Roman"/>
        </w:rPr>
        <w:t>r</w:t>
      </w:r>
      <w:r w:rsidRPr="00693892" w:rsidR="00306C75">
        <w:rPr>
          <w:rFonts w:ascii="Times New Roman" w:hAnsi="Times New Roman" w:cs="Times New Roman"/>
        </w:rPr>
        <w:t xml:space="preserve">ule compliance audit provision by requiring (1) facilities </w:t>
      </w:r>
      <w:r w:rsidRPr="00693892" w:rsidR="00B26B68">
        <w:rPr>
          <w:rFonts w:ascii="Times New Roman" w:hAnsi="Times New Roman" w:cs="Times New Roman"/>
        </w:rPr>
        <w:t>having</w:t>
      </w:r>
      <w:r w:rsidRPr="00693892" w:rsidR="00306C75">
        <w:rPr>
          <w:rFonts w:ascii="Times New Roman" w:hAnsi="Times New Roman" w:cs="Times New Roman"/>
        </w:rPr>
        <w:t xml:space="preserve"> two RMP-reportable accidents within five years, or (2) facilities </w:t>
      </w:r>
      <w:r w:rsidRPr="00693892" w:rsidR="00B26B68">
        <w:rPr>
          <w:rFonts w:ascii="Times New Roman" w:hAnsi="Times New Roman" w:cs="Times New Roman"/>
        </w:rPr>
        <w:t xml:space="preserve">with a </w:t>
      </w:r>
      <w:r w:rsidR="009F3737">
        <w:rPr>
          <w:rFonts w:ascii="Times New Roman" w:hAnsi="Times New Roman" w:cs="Times New Roman"/>
        </w:rPr>
        <w:t xml:space="preserve">Program 3 </w:t>
      </w:r>
      <w:r w:rsidRPr="00693892" w:rsidR="00B26B68">
        <w:rPr>
          <w:rFonts w:ascii="Times New Roman" w:hAnsi="Times New Roman" w:cs="Times New Roman"/>
        </w:rPr>
        <w:t xml:space="preserve">process </w:t>
      </w:r>
      <w:r w:rsidRPr="00693892" w:rsidR="00306C75">
        <w:rPr>
          <w:rFonts w:ascii="Times New Roman" w:hAnsi="Times New Roman" w:cs="Times New Roman"/>
        </w:rPr>
        <w:t xml:space="preserve">in NAICS </w:t>
      </w:r>
      <w:r w:rsidRPr="00693892" w:rsidR="00B26B68">
        <w:rPr>
          <w:rFonts w:ascii="Times New Roman" w:hAnsi="Times New Roman" w:cs="Times New Roman"/>
        </w:rPr>
        <w:t xml:space="preserve">codes </w:t>
      </w:r>
      <w:r w:rsidRPr="00693892" w:rsidR="00306C75">
        <w:rPr>
          <w:rFonts w:ascii="Times New Roman" w:hAnsi="Times New Roman" w:cs="Times New Roman"/>
        </w:rPr>
        <w:t xml:space="preserve">324 </w:t>
      </w:r>
      <w:r w:rsidRPr="00693892" w:rsidR="00B26B68">
        <w:rPr>
          <w:rFonts w:ascii="Times New Roman" w:hAnsi="Times New Roman" w:cs="Times New Roman"/>
        </w:rPr>
        <w:t>or</w:t>
      </w:r>
      <w:r w:rsidRPr="00693892" w:rsidR="00306C75">
        <w:rPr>
          <w:rFonts w:ascii="Times New Roman" w:hAnsi="Times New Roman" w:cs="Times New Roman"/>
        </w:rPr>
        <w:t xml:space="preserve"> 325 within one mile of </w:t>
      </w:r>
      <w:r w:rsidRPr="00693892" w:rsidR="00B26B68">
        <w:rPr>
          <w:rFonts w:ascii="Times New Roman" w:hAnsi="Times New Roman" w:cs="Times New Roman"/>
        </w:rPr>
        <w:t>another facility with a process in NAICS codes 324 or 325 having one accident</w:t>
      </w:r>
      <w:r w:rsidRPr="00693892" w:rsidR="00306C75">
        <w:rPr>
          <w:rFonts w:ascii="Times New Roman" w:hAnsi="Times New Roman" w:cs="Times New Roman"/>
        </w:rPr>
        <w:t xml:space="preserve">, to contract with a third party to conduct the next scheduled compliance audit. </w:t>
      </w:r>
      <w:r w:rsidRPr="00693892" w:rsidR="00B26B68">
        <w:rPr>
          <w:rFonts w:ascii="Times New Roman" w:hAnsi="Times New Roman" w:cs="Times New Roman"/>
        </w:rPr>
        <w:t>The low</w:t>
      </w:r>
      <w:r w:rsidRPr="00693892" w:rsidR="004779BB">
        <w:rPr>
          <w:rFonts w:ascii="Times New Roman" w:hAnsi="Times New Roman" w:cs="Times New Roman"/>
        </w:rPr>
        <w:t>er</w:t>
      </w:r>
      <w:r w:rsidRPr="00693892" w:rsidR="00B26B68">
        <w:rPr>
          <w:rFonts w:ascii="Times New Roman" w:hAnsi="Times New Roman" w:cs="Times New Roman"/>
        </w:rPr>
        <w:t xml:space="preserve"> cost alternative would revise the </w:t>
      </w:r>
      <w:r w:rsidR="00C55755">
        <w:rPr>
          <w:rFonts w:ascii="Times New Roman" w:hAnsi="Times New Roman" w:cs="Times New Roman"/>
        </w:rPr>
        <w:t>2017 a</w:t>
      </w:r>
      <w:r w:rsidRPr="00693892" w:rsidR="00B26B68">
        <w:rPr>
          <w:rFonts w:ascii="Times New Roman" w:hAnsi="Times New Roman" w:cs="Times New Roman"/>
        </w:rPr>
        <w:t xml:space="preserve">mendments </w:t>
      </w:r>
      <w:r w:rsidRPr="00693892" w:rsidR="007776AD">
        <w:rPr>
          <w:rFonts w:ascii="Times New Roman" w:hAnsi="Times New Roman" w:cs="Times New Roman"/>
        </w:rPr>
        <w:t>r</w:t>
      </w:r>
      <w:r w:rsidRPr="00693892" w:rsidR="00B26B68">
        <w:rPr>
          <w:rFonts w:ascii="Times New Roman" w:hAnsi="Times New Roman" w:cs="Times New Roman"/>
        </w:rPr>
        <w:t xml:space="preserve">ule compliance audit provisions by requiring </w:t>
      </w:r>
      <w:r w:rsidRPr="00693892" w:rsidR="004779BB">
        <w:rPr>
          <w:rFonts w:ascii="Times New Roman" w:hAnsi="Times New Roman" w:cs="Times New Roman"/>
        </w:rPr>
        <w:t xml:space="preserve">only </w:t>
      </w:r>
      <w:r w:rsidRPr="00693892" w:rsidR="00B26B68">
        <w:rPr>
          <w:rFonts w:ascii="Times New Roman" w:hAnsi="Times New Roman" w:cs="Times New Roman"/>
        </w:rPr>
        <w:t>facilities with two RMP</w:t>
      </w:r>
      <w:r w:rsidRPr="00693892" w:rsidR="00B5560D">
        <w:rPr>
          <w:rFonts w:ascii="Times New Roman" w:hAnsi="Times New Roman" w:cs="Times New Roman"/>
        </w:rPr>
        <w:t>-</w:t>
      </w:r>
      <w:r w:rsidRPr="00693892" w:rsidR="00B26B68">
        <w:rPr>
          <w:rFonts w:ascii="Times New Roman" w:hAnsi="Times New Roman" w:cs="Times New Roman"/>
        </w:rPr>
        <w:t xml:space="preserve">reportable accidents within five years to contract with a third party to conduct the next scheduled compliance audit. </w:t>
      </w:r>
    </w:p>
    <w:p w:rsidR="00D726C0" w:rsidP="000E6E0F" w:rsidRDefault="00D726C0" w14:paraId="428656E3" w14:textId="67CF9855">
      <w:pPr>
        <w:spacing w:after="0" w:line="240" w:lineRule="auto"/>
        <w:ind w:firstLine="360"/>
        <w:rPr>
          <w:rFonts w:ascii="Times New Roman" w:hAnsi="Times New Roman" w:cs="Times New Roman"/>
        </w:rPr>
      </w:pPr>
    </w:p>
    <w:p w:rsidRPr="00693892" w:rsidR="002470E8" w:rsidP="000E6E0F" w:rsidRDefault="00D726C0" w14:paraId="0A8C69D9" w14:textId="4217DD8A">
      <w:pPr>
        <w:spacing w:after="0" w:line="240" w:lineRule="auto"/>
        <w:ind w:firstLine="360"/>
        <w:rPr>
          <w:rFonts w:ascii="Times New Roman" w:hAnsi="Times New Roman" w:cs="Times New Roman"/>
        </w:rPr>
      </w:pPr>
      <w:r>
        <w:rPr>
          <w:rFonts w:ascii="Times New Roman" w:hAnsi="Times New Roman" w:cs="Times New Roman"/>
        </w:rPr>
        <w:tab/>
      </w:r>
      <w:r w:rsidRPr="00693892" w:rsidR="002470E8">
        <w:rPr>
          <w:rFonts w:ascii="Times New Roman" w:hAnsi="Times New Roman" w:cs="Times New Roman"/>
        </w:rPr>
        <w:t>Accident numbers are based on the RMP data from RMP</w:t>
      </w:r>
      <w:r w:rsidRPr="00693892" w:rsidR="00B5560D">
        <w:rPr>
          <w:rFonts w:ascii="Times New Roman" w:hAnsi="Times New Roman" w:cs="Times New Roman"/>
        </w:rPr>
        <w:t>-</w:t>
      </w:r>
      <w:r w:rsidRPr="00693892" w:rsidR="002470E8">
        <w:rPr>
          <w:rFonts w:ascii="Times New Roman" w:hAnsi="Times New Roman" w:cs="Times New Roman"/>
        </w:rPr>
        <w:t>reportable accidents, referenced in Exhibit 3-</w:t>
      </w:r>
      <w:r w:rsidRPr="00693892" w:rsidR="00501F24">
        <w:rPr>
          <w:rFonts w:ascii="Times New Roman" w:hAnsi="Times New Roman" w:cs="Times New Roman"/>
        </w:rPr>
        <w:t>7</w:t>
      </w:r>
      <w:r w:rsidRPr="00693892" w:rsidR="002470E8">
        <w:rPr>
          <w:rFonts w:ascii="Times New Roman" w:hAnsi="Times New Roman" w:cs="Times New Roman"/>
        </w:rPr>
        <w:t xml:space="preserve">, and are estimated based on the </w:t>
      </w:r>
      <w:r w:rsidRPr="00693892" w:rsidR="007479B8">
        <w:rPr>
          <w:rFonts w:ascii="Times New Roman" w:hAnsi="Times New Roman" w:cs="Times New Roman"/>
        </w:rPr>
        <w:t>five-year</w:t>
      </w:r>
      <w:r w:rsidRPr="00693892" w:rsidR="002470E8">
        <w:rPr>
          <w:rFonts w:ascii="Times New Roman" w:hAnsi="Times New Roman" w:cs="Times New Roman"/>
        </w:rPr>
        <w:t xml:space="preserve"> annual average. </w:t>
      </w:r>
      <w:r w:rsidRPr="00693892" w:rsidR="00E046A5">
        <w:rPr>
          <w:rFonts w:ascii="Times New Roman" w:hAnsi="Times New Roman" w:cs="Times New Roman"/>
        </w:rPr>
        <w:t>The unit costs applied to the third</w:t>
      </w:r>
      <w:r w:rsidRPr="00693892" w:rsidR="00B94F4A">
        <w:rPr>
          <w:rFonts w:ascii="Times New Roman" w:hAnsi="Times New Roman" w:cs="Times New Roman"/>
        </w:rPr>
        <w:t>-</w:t>
      </w:r>
      <w:r w:rsidRPr="00693892" w:rsidR="00E046A5">
        <w:rPr>
          <w:rFonts w:ascii="Times New Roman" w:hAnsi="Times New Roman" w:cs="Times New Roman"/>
        </w:rPr>
        <w:t xml:space="preserve">party </w:t>
      </w:r>
      <w:r w:rsidR="009D0DC6">
        <w:rPr>
          <w:rFonts w:ascii="Times New Roman" w:hAnsi="Times New Roman" w:cs="Times New Roman"/>
        </w:rPr>
        <w:t xml:space="preserve">audit </w:t>
      </w:r>
      <w:r w:rsidRPr="00693892" w:rsidR="00E046A5">
        <w:rPr>
          <w:rFonts w:ascii="Times New Roman" w:hAnsi="Times New Roman" w:cs="Times New Roman"/>
        </w:rPr>
        <w:t xml:space="preserve">alternative are consistent with the unit costs </w:t>
      </w:r>
      <w:r w:rsidRPr="00B72F8E" w:rsidR="00E046A5">
        <w:rPr>
          <w:rFonts w:ascii="Times New Roman" w:hAnsi="Times New Roman" w:cs="Times New Roman"/>
        </w:rPr>
        <w:t>presented in Exhibit 4-</w:t>
      </w:r>
      <w:r w:rsidRPr="00B72F8E" w:rsidR="00B72F8E">
        <w:rPr>
          <w:rFonts w:ascii="Times New Roman" w:hAnsi="Times New Roman" w:cs="Times New Roman"/>
        </w:rPr>
        <w:t>7</w:t>
      </w:r>
      <w:r w:rsidRPr="00B72F8E" w:rsidR="00E046A5">
        <w:rPr>
          <w:rFonts w:ascii="Times New Roman" w:hAnsi="Times New Roman" w:cs="Times New Roman"/>
        </w:rPr>
        <w:t xml:space="preserve">. </w:t>
      </w:r>
      <w:r w:rsidRPr="00B72F8E" w:rsidR="009B2F3B">
        <w:rPr>
          <w:rFonts w:ascii="Times New Roman" w:hAnsi="Times New Roman" w:cs="Times New Roman"/>
        </w:rPr>
        <w:t>The</w:t>
      </w:r>
      <w:r w:rsidRPr="00693892" w:rsidR="009B2F3B">
        <w:rPr>
          <w:rFonts w:ascii="Times New Roman" w:hAnsi="Times New Roman" w:cs="Times New Roman"/>
        </w:rPr>
        <w:t xml:space="preserve"> </w:t>
      </w:r>
      <w:r w:rsidRPr="00693892" w:rsidR="00160369">
        <w:rPr>
          <w:rFonts w:ascii="Times New Roman" w:hAnsi="Times New Roman" w:cs="Times New Roman"/>
        </w:rPr>
        <w:t>total</w:t>
      </w:r>
      <w:r w:rsidRPr="00693892" w:rsidR="009B2F3B">
        <w:rPr>
          <w:rFonts w:ascii="Times New Roman" w:hAnsi="Times New Roman" w:cs="Times New Roman"/>
        </w:rPr>
        <w:t xml:space="preserve"> cost of the </w:t>
      </w:r>
      <w:proofErr w:type="gramStart"/>
      <w:r w:rsidRPr="00693892" w:rsidR="00E96892">
        <w:rPr>
          <w:rFonts w:ascii="Times New Roman" w:hAnsi="Times New Roman" w:cs="Times New Roman"/>
        </w:rPr>
        <w:t>low cost</w:t>
      </w:r>
      <w:proofErr w:type="gramEnd"/>
      <w:r w:rsidRPr="00693892" w:rsidR="00E96892">
        <w:rPr>
          <w:rFonts w:ascii="Times New Roman" w:hAnsi="Times New Roman" w:cs="Times New Roman"/>
        </w:rPr>
        <w:t xml:space="preserve"> third</w:t>
      </w:r>
      <w:r w:rsidRPr="00693892" w:rsidR="00B94F4A">
        <w:rPr>
          <w:rFonts w:ascii="Times New Roman" w:hAnsi="Times New Roman" w:cs="Times New Roman"/>
        </w:rPr>
        <w:t>-</w:t>
      </w:r>
      <w:r w:rsidRPr="00693892" w:rsidR="00E96892">
        <w:rPr>
          <w:rFonts w:ascii="Times New Roman" w:hAnsi="Times New Roman" w:cs="Times New Roman"/>
        </w:rPr>
        <w:t xml:space="preserve">party </w:t>
      </w:r>
      <w:r w:rsidR="009D0DC6">
        <w:rPr>
          <w:rFonts w:ascii="Times New Roman" w:hAnsi="Times New Roman" w:cs="Times New Roman"/>
        </w:rPr>
        <w:t>audit</w:t>
      </w:r>
      <w:r w:rsidRPr="00693892" w:rsidR="00E96892">
        <w:rPr>
          <w:rFonts w:ascii="Times New Roman" w:hAnsi="Times New Roman" w:cs="Times New Roman"/>
        </w:rPr>
        <w:t xml:space="preserve"> provision is summarized in Exhibit </w:t>
      </w:r>
      <w:r w:rsidRPr="00693892" w:rsidR="00F979E9">
        <w:rPr>
          <w:rFonts w:ascii="Times New Roman" w:hAnsi="Times New Roman" w:cs="Times New Roman"/>
        </w:rPr>
        <w:t>7</w:t>
      </w:r>
      <w:r w:rsidRPr="00693892" w:rsidR="00E96892">
        <w:rPr>
          <w:rFonts w:ascii="Times New Roman" w:hAnsi="Times New Roman" w:cs="Times New Roman"/>
        </w:rPr>
        <w:t>-</w:t>
      </w:r>
      <w:r w:rsidR="0085060F">
        <w:rPr>
          <w:rFonts w:ascii="Times New Roman" w:hAnsi="Times New Roman" w:cs="Times New Roman"/>
        </w:rPr>
        <w:t>2</w:t>
      </w:r>
      <w:r w:rsidRPr="00693892" w:rsidR="00E96892">
        <w:rPr>
          <w:rFonts w:ascii="Times New Roman" w:hAnsi="Times New Roman" w:cs="Times New Roman"/>
        </w:rPr>
        <w:t>.</w:t>
      </w:r>
    </w:p>
    <w:p w:rsidR="002470E8" w:rsidP="00693892" w:rsidRDefault="002470E8" w14:paraId="47C55464" w14:textId="77777777">
      <w:pPr>
        <w:spacing w:after="0" w:line="240" w:lineRule="auto"/>
        <w:rPr>
          <w:rFonts w:ascii="Times New Roman" w:hAnsi="Times New Roman" w:cs="Times New Roman"/>
        </w:rPr>
      </w:pPr>
    </w:p>
    <w:p w:rsidR="0085060F" w:rsidP="00693892" w:rsidRDefault="0085060F" w14:paraId="4D3DB242" w14:textId="77777777">
      <w:pPr>
        <w:spacing w:after="0" w:line="240" w:lineRule="auto"/>
        <w:rPr>
          <w:rFonts w:ascii="Times New Roman" w:hAnsi="Times New Roman" w:cs="Times New Roman"/>
        </w:rPr>
      </w:pPr>
    </w:p>
    <w:p w:rsidR="0085060F" w:rsidP="00693892" w:rsidRDefault="0085060F" w14:paraId="53B63ED2" w14:textId="77777777">
      <w:pPr>
        <w:spacing w:after="0" w:line="240" w:lineRule="auto"/>
        <w:rPr>
          <w:rFonts w:ascii="Times New Roman" w:hAnsi="Times New Roman" w:cs="Times New Roman"/>
        </w:rPr>
      </w:pPr>
    </w:p>
    <w:p w:rsidR="0085060F" w:rsidP="00693892" w:rsidRDefault="0085060F" w14:paraId="1587C36C" w14:textId="77777777">
      <w:pPr>
        <w:spacing w:after="0" w:line="240" w:lineRule="auto"/>
        <w:rPr>
          <w:rFonts w:ascii="Times New Roman" w:hAnsi="Times New Roman" w:cs="Times New Roman"/>
        </w:rPr>
      </w:pPr>
    </w:p>
    <w:p w:rsidR="0085060F" w:rsidP="00693892" w:rsidRDefault="0085060F" w14:paraId="603F7014" w14:textId="77777777">
      <w:pPr>
        <w:spacing w:after="0" w:line="240" w:lineRule="auto"/>
        <w:rPr>
          <w:rFonts w:ascii="Times New Roman" w:hAnsi="Times New Roman" w:cs="Times New Roman"/>
        </w:rPr>
      </w:pPr>
    </w:p>
    <w:p w:rsidR="0034221D" w:rsidP="00693892" w:rsidRDefault="0034221D" w14:paraId="0DAA5272" w14:textId="77777777">
      <w:pPr>
        <w:spacing w:after="0" w:line="240" w:lineRule="auto"/>
        <w:rPr>
          <w:rFonts w:ascii="Times New Roman" w:hAnsi="Times New Roman" w:cs="Times New Roman"/>
        </w:rPr>
      </w:pPr>
    </w:p>
    <w:p w:rsidR="0085060F" w:rsidP="00693892" w:rsidRDefault="0085060F" w14:paraId="4256992B" w14:textId="77777777">
      <w:pPr>
        <w:spacing w:after="0" w:line="240" w:lineRule="auto"/>
        <w:rPr>
          <w:rFonts w:ascii="Times New Roman" w:hAnsi="Times New Roman" w:cs="Times New Roman"/>
        </w:rPr>
      </w:pPr>
    </w:p>
    <w:p w:rsidRPr="00693892" w:rsidR="0085060F" w:rsidP="00693892" w:rsidRDefault="0085060F" w14:paraId="7BB14F77" w14:textId="77777777">
      <w:pPr>
        <w:spacing w:after="0" w:line="240" w:lineRule="auto"/>
        <w:rPr>
          <w:rFonts w:ascii="Times New Roman" w:hAnsi="Times New Roman" w:cs="Times New Roman"/>
        </w:rPr>
      </w:pPr>
    </w:p>
    <w:p w:rsidRPr="00693892" w:rsidR="000E734A" w:rsidP="00704DBA" w:rsidRDefault="002470E8" w14:paraId="77257F92" w14:textId="1C6D12CE">
      <w:pPr>
        <w:spacing w:after="0" w:line="240" w:lineRule="auto"/>
        <w:jc w:val="center"/>
        <w:rPr>
          <w:rFonts w:ascii="Times New Roman" w:hAnsi="Times New Roman" w:cs="Times New Roman"/>
          <w:b/>
        </w:rPr>
      </w:pPr>
      <w:r w:rsidRPr="00704DBA">
        <w:rPr>
          <w:rFonts w:ascii="Times New Roman" w:hAnsi="Times New Roman" w:cs="Times New Roman"/>
          <w:b/>
        </w:rPr>
        <w:lastRenderedPageBreak/>
        <w:t xml:space="preserve">Exhibit </w:t>
      </w:r>
      <w:r w:rsidRPr="00693892" w:rsidR="00F979E9">
        <w:rPr>
          <w:rFonts w:ascii="Times New Roman" w:hAnsi="Times New Roman" w:cs="Times New Roman"/>
          <w:b/>
        </w:rPr>
        <w:t>7</w:t>
      </w:r>
      <w:r w:rsidRPr="00693892">
        <w:rPr>
          <w:rFonts w:ascii="Times New Roman" w:hAnsi="Times New Roman" w:cs="Times New Roman"/>
          <w:b/>
        </w:rPr>
        <w:t>-</w:t>
      </w:r>
      <w:r w:rsidR="0085060F">
        <w:rPr>
          <w:rFonts w:ascii="Times New Roman" w:hAnsi="Times New Roman" w:cs="Times New Roman"/>
          <w:b/>
        </w:rPr>
        <w:t>2</w:t>
      </w:r>
      <w:r w:rsidRPr="00693892">
        <w:rPr>
          <w:rFonts w:ascii="Times New Roman" w:hAnsi="Times New Roman" w:cs="Times New Roman"/>
          <w:b/>
        </w:rPr>
        <w:t>: Total Annual Undiscounted Costs for Third-party Audits</w:t>
      </w:r>
    </w:p>
    <w:p w:rsidR="002470E8" w:rsidP="00704DBA" w:rsidRDefault="002470E8" w14:paraId="30F927F8" w14:textId="58874B79">
      <w:pPr>
        <w:keepNext/>
        <w:spacing w:after="0" w:line="240" w:lineRule="auto"/>
        <w:jc w:val="center"/>
        <w:rPr>
          <w:rFonts w:ascii="Times New Roman" w:hAnsi="Times New Roman" w:cs="Times New Roman"/>
          <w:b/>
        </w:rPr>
      </w:pPr>
      <w:r w:rsidRPr="00693892">
        <w:rPr>
          <w:rFonts w:ascii="Times New Roman" w:hAnsi="Times New Roman" w:cs="Times New Roman"/>
          <w:b/>
        </w:rPr>
        <w:t xml:space="preserve"> Low</w:t>
      </w:r>
      <w:r w:rsidR="00D726C0">
        <w:rPr>
          <w:rFonts w:ascii="Times New Roman" w:hAnsi="Times New Roman" w:cs="Times New Roman"/>
          <w:b/>
        </w:rPr>
        <w:t>er Cost</w:t>
      </w:r>
      <w:r w:rsidRPr="00693892">
        <w:rPr>
          <w:rFonts w:ascii="Times New Roman" w:hAnsi="Times New Roman" w:cs="Times New Roman"/>
          <w:b/>
        </w:rPr>
        <w:t xml:space="preserve"> </w:t>
      </w:r>
      <w:r w:rsidRPr="00693892" w:rsidR="00CA0C04">
        <w:rPr>
          <w:rFonts w:ascii="Times New Roman" w:hAnsi="Times New Roman" w:cs="Times New Roman"/>
          <w:b/>
        </w:rPr>
        <w:t>Regulatory Alternative</w:t>
      </w:r>
      <w:r w:rsidR="00D726C0">
        <w:rPr>
          <w:rFonts w:ascii="Times New Roman" w:hAnsi="Times New Roman" w:cs="Times New Roman"/>
          <w:b/>
        </w:rPr>
        <w:t xml:space="preserve"> (</w:t>
      </w:r>
      <w:r w:rsidRPr="00693892" w:rsidR="005E0DFE">
        <w:rPr>
          <w:rFonts w:ascii="Times New Roman" w:hAnsi="Times New Roman" w:cs="Times New Roman"/>
          <w:b/>
        </w:rPr>
        <w:t>2020 Dollars</w:t>
      </w:r>
      <w:r w:rsidRPr="00693892" w:rsidR="00704DBA">
        <w:rPr>
          <w:rFonts w:ascii="Times New Roman" w:hAnsi="Times New Roman" w:cs="Times New Roman"/>
          <w:b/>
        </w:rPr>
        <w:t>)</w:t>
      </w:r>
      <w:r w:rsidR="00704DBA">
        <w:rPr>
          <w:rFonts w:ascii="Times New Roman" w:hAnsi="Times New Roman" w:cs="Times New Roman"/>
          <w:b/>
        </w:rPr>
        <w:t>.</w:t>
      </w:r>
    </w:p>
    <w:p w:rsidRPr="00704DBA" w:rsidR="00704DBA" w:rsidP="00704DBA" w:rsidRDefault="00704DBA" w14:paraId="602E680E" w14:textId="77777777">
      <w:pPr>
        <w:keepNext/>
        <w:spacing w:after="0" w:line="240" w:lineRule="auto"/>
        <w:jc w:val="center"/>
        <w:rPr>
          <w:rFonts w:ascii="Times New Roman" w:hAnsi="Times New Roman" w:cs="Times New Roman"/>
          <w:b/>
        </w:rPr>
      </w:pPr>
    </w:p>
    <w:tbl>
      <w:tblPr>
        <w:tblW w:w="0" w:type="auto"/>
        <w:tblInd w:w="89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63"/>
        <w:gridCol w:w="1587"/>
        <w:gridCol w:w="1218"/>
        <w:gridCol w:w="1212"/>
        <w:gridCol w:w="1620"/>
      </w:tblGrid>
      <w:tr w:rsidRPr="00693892" w:rsidR="00167F64" w:rsidTr="00704DBA" w14:paraId="3F11F81F" w14:textId="77777777">
        <w:trPr>
          <w:trHeight w:val="520"/>
          <w:tblHeader/>
        </w:trPr>
        <w:tc>
          <w:tcPr>
            <w:tcW w:w="2463" w:type="dxa"/>
            <w:tcBorders>
              <w:left w:val="single" w:color="000000" w:sz="6" w:space="0"/>
              <w:right w:val="single" w:color="000000" w:sz="6" w:space="0"/>
            </w:tcBorders>
            <w:shd w:val="clear" w:color="auto" w:fill="DADADA"/>
            <w:vAlign w:val="center"/>
          </w:tcPr>
          <w:p w:rsidRPr="00693892" w:rsidR="002470E8" w:rsidP="00DB1152" w:rsidRDefault="002470E8" w14:paraId="01917E2B" w14:textId="77777777">
            <w:pPr>
              <w:spacing w:after="0" w:line="240" w:lineRule="auto"/>
              <w:ind w:left="90"/>
              <w:jc w:val="center"/>
              <w:rPr>
                <w:rFonts w:ascii="Times New Roman" w:hAnsi="Times New Roman" w:cs="Times New Roman"/>
                <w:b/>
              </w:rPr>
            </w:pPr>
            <w:r w:rsidRPr="00693892">
              <w:rPr>
                <w:rFonts w:ascii="Times New Roman" w:hAnsi="Times New Roman" w:cs="Times New Roman"/>
                <w:b/>
              </w:rPr>
              <w:t>Facility Type</w:t>
            </w:r>
          </w:p>
        </w:tc>
        <w:tc>
          <w:tcPr>
            <w:tcW w:w="1587" w:type="dxa"/>
            <w:tcBorders>
              <w:left w:val="single" w:color="000000" w:sz="6" w:space="0"/>
              <w:right w:val="single" w:color="000000" w:sz="6" w:space="0"/>
            </w:tcBorders>
            <w:shd w:val="clear" w:color="auto" w:fill="DADADA"/>
            <w:vAlign w:val="center"/>
          </w:tcPr>
          <w:p w:rsidRPr="00693892" w:rsidR="002470E8" w:rsidP="00704DBA" w:rsidRDefault="002470E8" w14:paraId="45A1E806" w14:textId="57E5D21D">
            <w:pPr>
              <w:spacing w:after="0" w:line="240" w:lineRule="auto"/>
              <w:ind w:left="96" w:right="57"/>
              <w:jc w:val="center"/>
              <w:rPr>
                <w:rFonts w:ascii="Times New Roman" w:hAnsi="Times New Roman" w:cs="Times New Roman"/>
                <w:b/>
              </w:rPr>
            </w:pPr>
            <w:r w:rsidRPr="00693892">
              <w:rPr>
                <w:rFonts w:ascii="Times New Roman" w:hAnsi="Times New Roman" w:cs="Times New Roman"/>
                <w:b/>
              </w:rPr>
              <w:t xml:space="preserve">Annual </w:t>
            </w:r>
            <w:r w:rsidRPr="00693892" w:rsidR="00C9138E">
              <w:rPr>
                <w:rFonts w:ascii="Times New Roman" w:hAnsi="Times New Roman" w:cs="Times New Roman"/>
                <w:b/>
              </w:rPr>
              <w:t xml:space="preserve">Accident </w:t>
            </w:r>
            <w:r w:rsidRPr="00693892">
              <w:rPr>
                <w:rFonts w:ascii="Times New Roman" w:hAnsi="Times New Roman" w:cs="Times New Roman"/>
                <w:b/>
              </w:rPr>
              <w:t>Frequency</w:t>
            </w:r>
          </w:p>
        </w:tc>
        <w:tc>
          <w:tcPr>
            <w:tcW w:w="1218" w:type="dxa"/>
            <w:tcBorders>
              <w:left w:val="single" w:color="000000" w:sz="6" w:space="0"/>
            </w:tcBorders>
            <w:shd w:val="clear" w:color="auto" w:fill="DADADA"/>
            <w:vAlign w:val="center"/>
          </w:tcPr>
          <w:p w:rsidRPr="00693892" w:rsidR="002470E8" w:rsidP="00704DBA" w:rsidRDefault="002470E8" w14:paraId="6F4F150E" w14:textId="77777777">
            <w:pPr>
              <w:spacing w:after="0" w:line="240" w:lineRule="auto"/>
              <w:ind w:left="92" w:right="32"/>
              <w:jc w:val="center"/>
              <w:rPr>
                <w:rFonts w:ascii="Times New Roman" w:hAnsi="Times New Roman" w:cs="Times New Roman"/>
                <w:b/>
              </w:rPr>
            </w:pPr>
            <w:r w:rsidRPr="00693892">
              <w:rPr>
                <w:rFonts w:ascii="Times New Roman" w:hAnsi="Times New Roman" w:cs="Times New Roman"/>
                <w:b/>
              </w:rPr>
              <w:t>Unit Cost</w:t>
            </w:r>
          </w:p>
        </w:tc>
        <w:tc>
          <w:tcPr>
            <w:tcW w:w="1212" w:type="dxa"/>
            <w:tcBorders>
              <w:right w:val="single" w:color="000000" w:sz="6" w:space="0"/>
            </w:tcBorders>
            <w:shd w:val="clear" w:color="auto" w:fill="DADADA"/>
            <w:vAlign w:val="center"/>
          </w:tcPr>
          <w:p w:rsidRPr="00693892" w:rsidR="002470E8" w:rsidP="00704DBA" w:rsidRDefault="002470E8" w14:paraId="47E7AE73" w14:textId="06F7A98D">
            <w:pPr>
              <w:spacing w:after="0" w:line="240" w:lineRule="auto"/>
              <w:ind w:left="61" w:right="67"/>
              <w:jc w:val="center"/>
              <w:rPr>
                <w:rFonts w:ascii="Times New Roman" w:hAnsi="Times New Roman" w:cs="Times New Roman"/>
                <w:b/>
              </w:rPr>
            </w:pPr>
            <w:r w:rsidRPr="00693892">
              <w:rPr>
                <w:rFonts w:ascii="Times New Roman" w:hAnsi="Times New Roman" w:cs="Times New Roman"/>
                <w:b/>
              </w:rPr>
              <w:t>Facilities</w:t>
            </w:r>
          </w:p>
        </w:tc>
        <w:tc>
          <w:tcPr>
            <w:tcW w:w="1620" w:type="dxa"/>
            <w:tcBorders>
              <w:left w:val="single" w:color="000000" w:sz="6" w:space="0"/>
            </w:tcBorders>
            <w:shd w:val="clear" w:color="auto" w:fill="DADADA"/>
            <w:vAlign w:val="center"/>
          </w:tcPr>
          <w:p w:rsidRPr="00693892" w:rsidR="002470E8" w:rsidP="00704DBA" w:rsidRDefault="002470E8" w14:paraId="1E1C4F11" w14:textId="77777777">
            <w:pPr>
              <w:spacing w:after="0" w:line="240" w:lineRule="auto"/>
              <w:ind w:left="81" w:right="51"/>
              <w:jc w:val="center"/>
              <w:rPr>
                <w:rFonts w:ascii="Times New Roman" w:hAnsi="Times New Roman" w:cs="Times New Roman"/>
                <w:b/>
              </w:rPr>
            </w:pPr>
            <w:r w:rsidRPr="00693892">
              <w:rPr>
                <w:rFonts w:ascii="Times New Roman" w:hAnsi="Times New Roman" w:cs="Times New Roman"/>
                <w:b/>
              </w:rPr>
              <w:t>Total Initial Cost</w:t>
            </w:r>
          </w:p>
        </w:tc>
      </w:tr>
      <w:tr w:rsidRPr="00693892" w:rsidR="00A82BAA" w:rsidTr="00704DBA" w14:paraId="276935D5" w14:textId="77777777">
        <w:trPr>
          <w:trHeight w:val="295"/>
        </w:trPr>
        <w:tc>
          <w:tcPr>
            <w:tcW w:w="2463" w:type="dxa"/>
            <w:tcBorders>
              <w:left w:val="single" w:color="000000" w:sz="6" w:space="0"/>
              <w:right w:val="single" w:color="000000" w:sz="6" w:space="0"/>
            </w:tcBorders>
            <w:vAlign w:val="center"/>
          </w:tcPr>
          <w:p w:rsidRPr="00693892" w:rsidR="00A82BAA" w:rsidP="00ED3152" w:rsidRDefault="00A82BAA" w14:paraId="2F6898E6" w14:textId="77777777">
            <w:pPr>
              <w:spacing w:after="0" w:line="240" w:lineRule="auto"/>
              <w:ind w:left="127"/>
              <w:rPr>
                <w:rFonts w:ascii="Times New Roman" w:hAnsi="Times New Roman" w:cs="Times New Roman"/>
              </w:rPr>
            </w:pPr>
            <w:r w:rsidRPr="00693892">
              <w:rPr>
                <w:rFonts w:ascii="Times New Roman" w:hAnsi="Times New Roman" w:cs="Times New Roman"/>
              </w:rPr>
              <w:t>Simple w/ 0-19 FTEs</w:t>
            </w:r>
          </w:p>
        </w:tc>
        <w:tc>
          <w:tcPr>
            <w:tcW w:w="1587" w:type="dxa"/>
            <w:tcBorders>
              <w:left w:val="single" w:color="000000" w:sz="6" w:space="0"/>
              <w:right w:val="single" w:color="000000" w:sz="6" w:space="0"/>
            </w:tcBorders>
            <w:vAlign w:val="center"/>
          </w:tcPr>
          <w:p w:rsidRPr="00693892" w:rsidR="00A82BAA" w:rsidP="00704DBA" w:rsidRDefault="001C7C91" w14:paraId="5ABE8F03" w14:textId="2656EE87">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left w:val="single" w:color="000000" w:sz="6" w:space="0"/>
            </w:tcBorders>
            <w:vAlign w:val="center"/>
          </w:tcPr>
          <w:p w:rsidRPr="00693892" w:rsidR="00A82BAA" w:rsidP="00704DBA" w:rsidRDefault="00B03AE4" w14:paraId="5B814FAA" w14:textId="7E26C2C0">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$40,255</w:t>
            </w:r>
          </w:p>
        </w:tc>
        <w:tc>
          <w:tcPr>
            <w:tcW w:w="1212" w:type="dxa"/>
            <w:tcBorders>
              <w:right w:val="single" w:color="000000" w:sz="6" w:space="0"/>
            </w:tcBorders>
            <w:vAlign w:val="center"/>
          </w:tcPr>
          <w:p w:rsidRPr="00693892" w:rsidR="00A82BAA" w:rsidP="00704DBA" w:rsidRDefault="00290E3F" w14:paraId="0ADA03FA" w14:textId="37708806">
            <w:pPr>
              <w:spacing w:after="0" w:line="240" w:lineRule="auto"/>
              <w:ind w:left="77" w:right="65"/>
              <w:jc w:val="center"/>
              <w:rPr>
                <w:rFonts w:ascii="Times New Roman" w:hAnsi="Times New Roman" w:cs="Times New Roman"/>
              </w:rPr>
            </w:pPr>
            <w:r w:rsidRPr="00693892">
              <w:rPr>
                <w:rFonts w:ascii="Times New Roman" w:hAnsi="Times New Roman" w:cs="Times New Roman"/>
                <w:color w:val="000000"/>
              </w:rPr>
              <w:t>5</w:t>
            </w:r>
          </w:p>
        </w:tc>
        <w:tc>
          <w:tcPr>
            <w:tcW w:w="1620" w:type="dxa"/>
            <w:tcBorders>
              <w:left w:val="single" w:color="000000" w:sz="6" w:space="0"/>
            </w:tcBorders>
            <w:vAlign w:val="center"/>
          </w:tcPr>
          <w:p w:rsidRPr="00693892" w:rsidR="00A82BAA" w:rsidP="00704DBA" w:rsidRDefault="00B03AE4" w14:paraId="68D751C7" w14:textId="3F2E2E99">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$201,276</w:t>
            </w:r>
          </w:p>
        </w:tc>
      </w:tr>
      <w:tr w:rsidRPr="00693892" w:rsidR="00A82BAA" w:rsidTr="00704DBA" w14:paraId="343D5777" w14:textId="77777777">
        <w:trPr>
          <w:trHeight w:val="282"/>
        </w:trPr>
        <w:tc>
          <w:tcPr>
            <w:tcW w:w="2463" w:type="dxa"/>
            <w:tcBorders>
              <w:left w:val="single" w:color="000000" w:sz="6" w:space="0"/>
              <w:bottom w:val="single" w:color="000000" w:sz="6" w:space="0"/>
              <w:right w:val="single" w:color="000000" w:sz="6" w:space="0"/>
            </w:tcBorders>
            <w:vAlign w:val="center"/>
          </w:tcPr>
          <w:p w:rsidRPr="00693892" w:rsidR="00A82BAA" w:rsidP="00ED3152" w:rsidRDefault="00A82BAA" w14:paraId="0A42ED7F" w14:textId="77777777">
            <w:pPr>
              <w:spacing w:after="0" w:line="240" w:lineRule="auto"/>
              <w:ind w:left="127"/>
              <w:rPr>
                <w:rFonts w:ascii="Times New Roman" w:hAnsi="Times New Roman" w:cs="Times New Roman"/>
              </w:rPr>
            </w:pPr>
            <w:r w:rsidRPr="00693892">
              <w:rPr>
                <w:rFonts w:ascii="Times New Roman" w:hAnsi="Times New Roman" w:cs="Times New Roman"/>
              </w:rPr>
              <w:t>Simple w/ 20-99 FTEs</w:t>
            </w:r>
          </w:p>
        </w:tc>
        <w:tc>
          <w:tcPr>
            <w:tcW w:w="1587" w:type="dxa"/>
            <w:tcBorders>
              <w:left w:val="single" w:color="000000" w:sz="6" w:space="0"/>
              <w:bottom w:val="single" w:color="000000" w:sz="6" w:space="0"/>
              <w:right w:val="single" w:color="000000" w:sz="6" w:space="0"/>
            </w:tcBorders>
            <w:vAlign w:val="center"/>
          </w:tcPr>
          <w:p w:rsidRPr="00693892" w:rsidR="00A82BAA" w:rsidP="00704DBA" w:rsidRDefault="001C7C91" w14:paraId="449DCEB1" w14:textId="351CC013">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left w:val="single" w:color="000000" w:sz="6" w:space="0"/>
              <w:bottom w:val="single" w:color="000000" w:sz="6" w:space="0"/>
            </w:tcBorders>
            <w:vAlign w:val="center"/>
          </w:tcPr>
          <w:p w:rsidRPr="00693892" w:rsidR="00A82BAA" w:rsidP="00704DBA" w:rsidRDefault="00B03AE4" w14:paraId="750F46EC" w14:textId="154F994A">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$45,224</w:t>
            </w:r>
          </w:p>
        </w:tc>
        <w:tc>
          <w:tcPr>
            <w:tcW w:w="1212" w:type="dxa"/>
            <w:tcBorders>
              <w:bottom w:val="single" w:color="000000" w:sz="6" w:space="0"/>
              <w:right w:val="single" w:color="000000" w:sz="6" w:space="0"/>
            </w:tcBorders>
            <w:vAlign w:val="center"/>
          </w:tcPr>
          <w:p w:rsidRPr="00693892" w:rsidR="00A82BAA" w:rsidP="00704DBA" w:rsidRDefault="00290E3F" w14:paraId="6620B7C7" w14:textId="09BA22BF">
            <w:pPr>
              <w:spacing w:after="0" w:line="240" w:lineRule="auto"/>
              <w:ind w:left="77" w:right="65"/>
              <w:jc w:val="center"/>
              <w:rPr>
                <w:rFonts w:ascii="Times New Roman" w:hAnsi="Times New Roman" w:cs="Times New Roman"/>
              </w:rPr>
            </w:pPr>
            <w:r w:rsidRPr="00693892">
              <w:rPr>
                <w:rFonts w:ascii="Times New Roman" w:hAnsi="Times New Roman" w:cs="Times New Roman"/>
                <w:color w:val="000000"/>
              </w:rPr>
              <w:t>4</w:t>
            </w:r>
          </w:p>
        </w:tc>
        <w:tc>
          <w:tcPr>
            <w:tcW w:w="1620" w:type="dxa"/>
            <w:tcBorders>
              <w:left w:val="single" w:color="000000" w:sz="6" w:space="0"/>
              <w:bottom w:val="single" w:color="000000" w:sz="6" w:space="0"/>
            </w:tcBorders>
            <w:vAlign w:val="center"/>
          </w:tcPr>
          <w:p w:rsidRPr="00693892" w:rsidR="00A82BAA" w:rsidP="00704DBA" w:rsidRDefault="00B03AE4" w14:paraId="10374ACD" w14:textId="4B4EB05F">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$180,896</w:t>
            </w:r>
          </w:p>
        </w:tc>
      </w:tr>
      <w:tr w:rsidRPr="00693892" w:rsidR="00A82BAA" w:rsidTr="00704DBA" w14:paraId="47AF6898" w14:textId="77777777">
        <w:trPr>
          <w:trHeight w:val="300"/>
        </w:trPr>
        <w:tc>
          <w:tcPr>
            <w:tcW w:w="2463" w:type="dxa"/>
            <w:tcBorders>
              <w:top w:val="single" w:color="000000" w:sz="6" w:space="0"/>
              <w:left w:val="single" w:color="000000" w:sz="6" w:space="0"/>
              <w:bottom w:val="single" w:color="000000" w:sz="6" w:space="0"/>
              <w:right w:val="single" w:color="000000" w:sz="6" w:space="0"/>
            </w:tcBorders>
            <w:vAlign w:val="center"/>
          </w:tcPr>
          <w:p w:rsidRPr="00693892" w:rsidR="00A82BAA" w:rsidP="00ED3152" w:rsidRDefault="00A82BAA" w14:paraId="30514487" w14:textId="77777777">
            <w:pPr>
              <w:spacing w:after="0" w:line="240" w:lineRule="auto"/>
              <w:ind w:left="127"/>
              <w:rPr>
                <w:rFonts w:ascii="Times New Roman" w:hAnsi="Times New Roman" w:cs="Times New Roman"/>
              </w:rPr>
            </w:pPr>
            <w:r w:rsidRPr="00693892">
              <w:rPr>
                <w:rFonts w:ascii="Times New Roman" w:hAnsi="Times New Roman" w:cs="Times New Roman"/>
              </w:rPr>
              <w:t>Simple w/ 100+ FTEs</w:t>
            </w:r>
          </w:p>
        </w:tc>
        <w:tc>
          <w:tcPr>
            <w:tcW w:w="1587" w:type="dxa"/>
            <w:tcBorders>
              <w:top w:val="single" w:color="000000" w:sz="6" w:space="0"/>
              <w:left w:val="single" w:color="000000" w:sz="6" w:space="0"/>
              <w:bottom w:val="single" w:color="000000" w:sz="6" w:space="0"/>
              <w:right w:val="single" w:color="000000" w:sz="6" w:space="0"/>
            </w:tcBorders>
            <w:vAlign w:val="center"/>
          </w:tcPr>
          <w:p w:rsidRPr="00693892" w:rsidR="00A82BAA" w:rsidP="00704DBA" w:rsidRDefault="001C7C91" w14:paraId="38BEAFC8" w14:textId="6E6B596C">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top w:val="single" w:color="000000" w:sz="6" w:space="0"/>
              <w:left w:val="single" w:color="000000" w:sz="6" w:space="0"/>
              <w:bottom w:val="single" w:color="000000" w:sz="6" w:space="0"/>
            </w:tcBorders>
            <w:vAlign w:val="center"/>
          </w:tcPr>
          <w:p w:rsidRPr="00693892" w:rsidR="00A82BAA" w:rsidP="00704DBA" w:rsidRDefault="00B03AE4" w14:paraId="066A631A" w14:textId="212C3E3A">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$47,606</w:t>
            </w:r>
          </w:p>
        </w:tc>
        <w:tc>
          <w:tcPr>
            <w:tcW w:w="1212" w:type="dxa"/>
            <w:tcBorders>
              <w:top w:val="single" w:color="000000" w:sz="6" w:space="0"/>
              <w:bottom w:val="single" w:color="000000" w:sz="6" w:space="0"/>
              <w:right w:val="single" w:color="000000" w:sz="6" w:space="0"/>
            </w:tcBorders>
            <w:vAlign w:val="center"/>
          </w:tcPr>
          <w:p w:rsidRPr="00693892" w:rsidR="00A82BAA" w:rsidP="00704DBA" w:rsidRDefault="00A82BAA" w14:paraId="3A688EF3" w14:textId="3C0689FD">
            <w:pPr>
              <w:spacing w:after="0" w:line="240" w:lineRule="auto"/>
              <w:ind w:left="77" w:right="65"/>
              <w:jc w:val="center"/>
              <w:rPr>
                <w:rFonts w:ascii="Times New Roman" w:hAnsi="Times New Roman" w:cs="Times New Roman"/>
              </w:rPr>
            </w:pPr>
            <w:r w:rsidRPr="00693892">
              <w:rPr>
                <w:rFonts w:ascii="Times New Roman" w:hAnsi="Times New Roman" w:cs="Times New Roman"/>
                <w:color w:val="000000"/>
              </w:rPr>
              <w:t>11</w:t>
            </w:r>
          </w:p>
        </w:tc>
        <w:tc>
          <w:tcPr>
            <w:tcW w:w="1620" w:type="dxa"/>
            <w:tcBorders>
              <w:top w:val="single" w:color="000000" w:sz="6" w:space="0"/>
              <w:left w:val="single" w:color="000000" w:sz="6" w:space="0"/>
              <w:bottom w:val="single" w:color="000000" w:sz="6" w:space="0"/>
            </w:tcBorders>
            <w:vAlign w:val="center"/>
          </w:tcPr>
          <w:p w:rsidRPr="00693892" w:rsidR="00A82BAA" w:rsidP="00704DBA" w:rsidRDefault="00B03AE4" w14:paraId="5840C416" w14:textId="03FE6493">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$523,668</w:t>
            </w:r>
          </w:p>
        </w:tc>
      </w:tr>
      <w:tr w:rsidRPr="00693892" w:rsidR="00A82BAA" w:rsidTr="00704DBA" w14:paraId="4390BC79" w14:textId="77777777">
        <w:trPr>
          <w:trHeight w:val="285"/>
        </w:trPr>
        <w:tc>
          <w:tcPr>
            <w:tcW w:w="2463" w:type="dxa"/>
            <w:tcBorders>
              <w:top w:val="single" w:color="000000" w:sz="6" w:space="0"/>
              <w:left w:val="single" w:color="000000" w:sz="6" w:space="0"/>
              <w:bottom w:val="single" w:color="000000" w:sz="6" w:space="0"/>
              <w:right w:val="single" w:color="000000" w:sz="6" w:space="0"/>
            </w:tcBorders>
            <w:vAlign w:val="center"/>
          </w:tcPr>
          <w:p w:rsidRPr="00693892" w:rsidR="00A82BAA" w:rsidP="00ED3152" w:rsidRDefault="00A82BAA" w14:paraId="2F4C5893" w14:textId="77777777">
            <w:pPr>
              <w:spacing w:after="0" w:line="240" w:lineRule="auto"/>
              <w:ind w:left="127"/>
              <w:rPr>
                <w:rFonts w:ascii="Times New Roman" w:hAnsi="Times New Roman" w:cs="Times New Roman"/>
              </w:rPr>
            </w:pPr>
            <w:r w:rsidRPr="00693892">
              <w:rPr>
                <w:rFonts w:ascii="Times New Roman" w:hAnsi="Times New Roman" w:cs="Times New Roman"/>
              </w:rPr>
              <w:t>Complex w/ 0-19 FTEs</w:t>
            </w:r>
          </w:p>
        </w:tc>
        <w:tc>
          <w:tcPr>
            <w:tcW w:w="1587" w:type="dxa"/>
            <w:tcBorders>
              <w:top w:val="single" w:color="000000" w:sz="6" w:space="0"/>
              <w:left w:val="single" w:color="000000" w:sz="6" w:space="0"/>
              <w:bottom w:val="single" w:color="000000" w:sz="6" w:space="0"/>
              <w:right w:val="single" w:color="000000" w:sz="6" w:space="0"/>
            </w:tcBorders>
            <w:vAlign w:val="center"/>
          </w:tcPr>
          <w:p w:rsidRPr="00693892" w:rsidR="00A82BAA" w:rsidP="00704DBA" w:rsidRDefault="001C7C91" w14:paraId="1EEED293" w14:textId="20C9EFCD">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top w:val="single" w:color="000000" w:sz="6" w:space="0"/>
              <w:left w:val="single" w:color="000000" w:sz="6" w:space="0"/>
              <w:bottom w:val="single" w:color="000000" w:sz="6" w:space="0"/>
            </w:tcBorders>
            <w:vAlign w:val="center"/>
          </w:tcPr>
          <w:p w:rsidRPr="00693892" w:rsidR="00A82BAA" w:rsidP="00704DBA" w:rsidRDefault="00B03AE4" w14:paraId="4B111CB4" w14:textId="16CEA832">
            <w:pPr>
              <w:spacing w:after="0" w:line="240" w:lineRule="auto"/>
              <w:ind w:left="92" w:right="31"/>
              <w:jc w:val="center"/>
              <w:rPr>
                <w:rFonts w:ascii="Times New Roman" w:hAnsi="Times New Roman" w:cs="Times New Roman"/>
              </w:rPr>
            </w:pPr>
            <w:r w:rsidRPr="00693892">
              <w:rPr>
                <w:rFonts w:ascii="Times New Roman" w:hAnsi="Times New Roman" w:cs="Times New Roman"/>
                <w:color w:val="000000"/>
              </w:rPr>
              <w:t>$96,882</w:t>
            </w:r>
          </w:p>
        </w:tc>
        <w:tc>
          <w:tcPr>
            <w:tcW w:w="1212" w:type="dxa"/>
            <w:tcBorders>
              <w:top w:val="single" w:color="000000" w:sz="6" w:space="0"/>
              <w:bottom w:val="single" w:color="000000" w:sz="6" w:space="0"/>
              <w:right w:val="single" w:color="000000" w:sz="6" w:space="0"/>
            </w:tcBorders>
            <w:vAlign w:val="center"/>
          </w:tcPr>
          <w:p w:rsidRPr="00693892" w:rsidR="00A82BAA" w:rsidP="00704DBA" w:rsidRDefault="00A82BAA" w14:paraId="6A871448" w14:textId="3103DD39">
            <w:pPr>
              <w:spacing w:after="0" w:line="240" w:lineRule="auto"/>
              <w:ind w:right="1"/>
              <w:jc w:val="center"/>
              <w:rPr>
                <w:rFonts w:ascii="Times New Roman" w:hAnsi="Times New Roman" w:cs="Times New Roman"/>
              </w:rPr>
            </w:pPr>
            <w:r w:rsidRPr="00693892">
              <w:rPr>
                <w:rFonts w:ascii="Times New Roman" w:hAnsi="Times New Roman" w:cs="Times New Roman"/>
                <w:color w:val="000000"/>
              </w:rPr>
              <w:t>1</w:t>
            </w:r>
          </w:p>
        </w:tc>
        <w:tc>
          <w:tcPr>
            <w:tcW w:w="1620" w:type="dxa"/>
            <w:tcBorders>
              <w:top w:val="single" w:color="000000" w:sz="6" w:space="0"/>
              <w:left w:val="single" w:color="000000" w:sz="6" w:space="0"/>
              <w:bottom w:val="single" w:color="000000" w:sz="6" w:space="0"/>
            </w:tcBorders>
            <w:vAlign w:val="center"/>
          </w:tcPr>
          <w:p w:rsidRPr="00693892" w:rsidR="00A82BAA" w:rsidP="00704DBA" w:rsidRDefault="00B03AE4" w14:paraId="5B2207C3" w14:textId="2E4050AB">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$96,882</w:t>
            </w:r>
          </w:p>
        </w:tc>
      </w:tr>
      <w:tr w:rsidRPr="00693892" w:rsidR="00A82BAA" w:rsidTr="00704DBA" w14:paraId="72C64DCB" w14:textId="77777777">
        <w:trPr>
          <w:trHeight w:val="315"/>
        </w:trPr>
        <w:tc>
          <w:tcPr>
            <w:tcW w:w="2463" w:type="dxa"/>
            <w:tcBorders>
              <w:top w:val="single" w:color="000000" w:sz="6" w:space="0"/>
              <w:left w:val="single" w:color="000000" w:sz="6" w:space="0"/>
              <w:bottom w:val="single" w:color="000000" w:sz="6" w:space="0"/>
              <w:right w:val="single" w:color="000000" w:sz="6" w:space="0"/>
            </w:tcBorders>
            <w:vAlign w:val="center"/>
          </w:tcPr>
          <w:p w:rsidRPr="00693892" w:rsidR="00A82BAA" w:rsidP="00ED3152" w:rsidRDefault="00A82BAA" w14:paraId="229B58BB" w14:textId="77777777">
            <w:pPr>
              <w:spacing w:after="0" w:line="240" w:lineRule="auto"/>
              <w:ind w:left="127"/>
              <w:rPr>
                <w:rFonts w:ascii="Times New Roman" w:hAnsi="Times New Roman" w:cs="Times New Roman"/>
              </w:rPr>
            </w:pPr>
            <w:r w:rsidRPr="00693892">
              <w:rPr>
                <w:rFonts w:ascii="Times New Roman" w:hAnsi="Times New Roman" w:cs="Times New Roman"/>
              </w:rPr>
              <w:t>Complex w/ 20-99 FTEs</w:t>
            </w:r>
          </w:p>
        </w:tc>
        <w:tc>
          <w:tcPr>
            <w:tcW w:w="1587" w:type="dxa"/>
            <w:tcBorders>
              <w:top w:val="single" w:color="000000" w:sz="6" w:space="0"/>
              <w:left w:val="single" w:color="000000" w:sz="6" w:space="0"/>
              <w:bottom w:val="single" w:color="000000" w:sz="6" w:space="0"/>
              <w:right w:val="single" w:color="000000" w:sz="6" w:space="0"/>
            </w:tcBorders>
            <w:vAlign w:val="center"/>
          </w:tcPr>
          <w:p w:rsidRPr="00693892" w:rsidR="00A82BAA" w:rsidP="00704DBA" w:rsidRDefault="001C7C91" w14:paraId="3CA7D18E" w14:textId="15EEE75E">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top w:val="single" w:color="000000" w:sz="6" w:space="0"/>
              <w:left w:val="single" w:color="000000" w:sz="6" w:space="0"/>
              <w:bottom w:val="single" w:color="000000" w:sz="6" w:space="0"/>
            </w:tcBorders>
            <w:vAlign w:val="center"/>
          </w:tcPr>
          <w:p w:rsidRPr="00693892" w:rsidR="00A82BAA" w:rsidP="00704DBA" w:rsidRDefault="00B03AE4" w14:paraId="0D1F0357" w14:textId="47358A45">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$103,753</w:t>
            </w:r>
          </w:p>
        </w:tc>
        <w:tc>
          <w:tcPr>
            <w:tcW w:w="1212" w:type="dxa"/>
            <w:tcBorders>
              <w:top w:val="single" w:color="000000" w:sz="6" w:space="0"/>
              <w:bottom w:val="single" w:color="000000" w:sz="6" w:space="0"/>
              <w:right w:val="single" w:color="000000" w:sz="6" w:space="0"/>
            </w:tcBorders>
            <w:vAlign w:val="center"/>
          </w:tcPr>
          <w:p w:rsidRPr="00693892" w:rsidR="00A82BAA" w:rsidP="00704DBA" w:rsidRDefault="00A82BAA" w14:paraId="79CFD068" w14:textId="58DF3ACC">
            <w:pPr>
              <w:spacing w:after="0" w:line="240" w:lineRule="auto"/>
              <w:ind w:left="77" w:right="65"/>
              <w:jc w:val="center"/>
              <w:rPr>
                <w:rFonts w:ascii="Times New Roman" w:hAnsi="Times New Roman" w:cs="Times New Roman"/>
              </w:rPr>
            </w:pPr>
            <w:r w:rsidRPr="00693892">
              <w:rPr>
                <w:rFonts w:ascii="Times New Roman" w:hAnsi="Times New Roman" w:cs="Times New Roman"/>
                <w:color w:val="000000"/>
              </w:rPr>
              <w:t>5</w:t>
            </w:r>
          </w:p>
        </w:tc>
        <w:tc>
          <w:tcPr>
            <w:tcW w:w="1620" w:type="dxa"/>
            <w:tcBorders>
              <w:top w:val="single" w:color="000000" w:sz="6" w:space="0"/>
              <w:left w:val="single" w:color="000000" w:sz="6" w:space="0"/>
              <w:bottom w:val="single" w:color="000000" w:sz="6" w:space="0"/>
            </w:tcBorders>
            <w:vAlign w:val="center"/>
          </w:tcPr>
          <w:p w:rsidRPr="00693892" w:rsidR="00A82BAA" w:rsidP="00704DBA" w:rsidRDefault="00B03AE4" w14:paraId="347B21A4" w14:textId="2835051D">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$518,763</w:t>
            </w:r>
          </w:p>
        </w:tc>
      </w:tr>
      <w:tr w:rsidRPr="00693892" w:rsidR="00A82BAA" w:rsidTr="00704DBA" w14:paraId="7C4AA1B0" w14:textId="77777777">
        <w:trPr>
          <w:trHeight w:val="285"/>
        </w:trPr>
        <w:tc>
          <w:tcPr>
            <w:tcW w:w="2463" w:type="dxa"/>
            <w:tcBorders>
              <w:top w:val="single" w:color="000000" w:sz="6" w:space="0"/>
              <w:left w:val="single" w:color="000000" w:sz="6" w:space="0"/>
              <w:bottom w:val="single" w:color="000000" w:sz="6" w:space="0"/>
              <w:right w:val="single" w:color="000000" w:sz="6" w:space="0"/>
            </w:tcBorders>
            <w:vAlign w:val="center"/>
          </w:tcPr>
          <w:p w:rsidRPr="00693892" w:rsidR="00A82BAA" w:rsidP="00ED3152" w:rsidRDefault="00A82BAA" w14:paraId="3CA34DF2" w14:textId="77777777">
            <w:pPr>
              <w:spacing w:after="0" w:line="240" w:lineRule="auto"/>
              <w:ind w:left="127"/>
              <w:rPr>
                <w:rFonts w:ascii="Times New Roman" w:hAnsi="Times New Roman" w:cs="Times New Roman"/>
              </w:rPr>
            </w:pPr>
            <w:r w:rsidRPr="00693892">
              <w:rPr>
                <w:rFonts w:ascii="Times New Roman" w:hAnsi="Times New Roman" w:cs="Times New Roman"/>
              </w:rPr>
              <w:t>Complex w/ 100+ FTEs</w:t>
            </w:r>
          </w:p>
        </w:tc>
        <w:tc>
          <w:tcPr>
            <w:tcW w:w="1587" w:type="dxa"/>
            <w:tcBorders>
              <w:top w:val="single" w:color="000000" w:sz="6" w:space="0"/>
              <w:left w:val="single" w:color="000000" w:sz="6" w:space="0"/>
              <w:bottom w:val="single" w:color="000000" w:sz="6" w:space="0"/>
              <w:right w:val="single" w:color="000000" w:sz="6" w:space="0"/>
            </w:tcBorders>
            <w:vAlign w:val="center"/>
          </w:tcPr>
          <w:p w:rsidRPr="00693892" w:rsidR="00A82BAA" w:rsidP="00704DBA" w:rsidRDefault="001C7C91" w14:paraId="5FF217A7" w14:textId="61B71A12">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top w:val="single" w:color="000000" w:sz="6" w:space="0"/>
              <w:left w:val="single" w:color="000000" w:sz="6" w:space="0"/>
              <w:bottom w:val="single" w:color="000000" w:sz="6" w:space="0"/>
            </w:tcBorders>
            <w:vAlign w:val="center"/>
          </w:tcPr>
          <w:p w:rsidRPr="00693892" w:rsidR="00A82BAA" w:rsidP="00704DBA" w:rsidRDefault="00B03AE4" w14:paraId="65823A3B" w14:textId="4A6DB708">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$107,587</w:t>
            </w:r>
          </w:p>
        </w:tc>
        <w:tc>
          <w:tcPr>
            <w:tcW w:w="1212" w:type="dxa"/>
            <w:tcBorders>
              <w:top w:val="single" w:color="000000" w:sz="6" w:space="0"/>
              <w:bottom w:val="single" w:color="000000" w:sz="6" w:space="0"/>
              <w:right w:val="single" w:color="000000" w:sz="6" w:space="0"/>
            </w:tcBorders>
            <w:vAlign w:val="center"/>
          </w:tcPr>
          <w:p w:rsidRPr="00693892" w:rsidR="00A82BAA" w:rsidP="00704DBA" w:rsidRDefault="00A82BAA" w14:paraId="5000DE19" w14:textId="475CE009">
            <w:pPr>
              <w:spacing w:after="0" w:line="240" w:lineRule="auto"/>
              <w:ind w:left="77" w:right="65"/>
              <w:jc w:val="center"/>
              <w:rPr>
                <w:rFonts w:ascii="Times New Roman" w:hAnsi="Times New Roman" w:cs="Times New Roman"/>
              </w:rPr>
            </w:pPr>
            <w:r w:rsidRPr="00693892">
              <w:rPr>
                <w:rFonts w:ascii="Times New Roman" w:hAnsi="Times New Roman" w:cs="Times New Roman"/>
                <w:color w:val="000000"/>
              </w:rPr>
              <w:t>36</w:t>
            </w:r>
          </w:p>
        </w:tc>
        <w:tc>
          <w:tcPr>
            <w:tcW w:w="1620" w:type="dxa"/>
            <w:tcBorders>
              <w:top w:val="single" w:color="000000" w:sz="6" w:space="0"/>
              <w:left w:val="single" w:color="000000" w:sz="6" w:space="0"/>
              <w:bottom w:val="single" w:color="000000" w:sz="6" w:space="0"/>
            </w:tcBorders>
            <w:vAlign w:val="center"/>
          </w:tcPr>
          <w:p w:rsidRPr="00693892" w:rsidR="00A82BAA" w:rsidP="00704DBA" w:rsidRDefault="00B03AE4" w14:paraId="4C5537CD" w14:textId="6A558261">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$3,873,144</w:t>
            </w:r>
          </w:p>
        </w:tc>
      </w:tr>
      <w:tr w:rsidRPr="00693892" w:rsidR="00A82BAA" w:rsidTr="00704DBA" w14:paraId="5FC9ADCF" w14:textId="77777777">
        <w:trPr>
          <w:trHeight w:val="282"/>
        </w:trPr>
        <w:tc>
          <w:tcPr>
            <w:tcW w:w="2463" w:type="dxa"/>
            <w:tcBorders>
              <w:top w:val="single" w:color="000000" w:sz="6" w:space="0"/>
              <w:left w:val="single" w:color="000000" w:sz="6" w:space="0"/>
              <w:right w:val="single" w:color="000000" w:sz="6" w:space="0"/>
            </w:tcBorders>
            <w:vAlign w:val="center"/>
          </w:tcPr>
          <w:p w:rsidRPr="00693892" w:rsidR="00A82BAA" w:rsidP="00ED3152" w:rsidRDefault="00A82BAA" w14:paraId="5629E48F" w14:textId="77777777">
            <w:pPr>
              <w:spacing w:after="0" w:line="240" w:lineRule="auto"/>
              <w:ind w:left="127"/>
              <w:rPr>
                <w:rFonts w:ascii="Times New Roman" w:hAnsi="Times New Roman" w:cs="Times New Roman"/>
              </w:rPr>
            </w:pPr>
            <w:r w:rsidRPr="00693892">
              <w:rPr>
                <w:rFonts w:ascii="Times New Roman" w:hAnsi="Times New Roman" w:cs="Times New Roman"/>
              </w:rPr>
              <w:t>Small Government</w:t>
            </w:r>
          </w:p>
        </w:tc>
        <w:tc>
          <w:tcPr>
            <w:tcW w:w="1587" w:type="dxa"/>
            <w:tcBorders>
              <w:top w:val="single" w:color="000000" w:sz="6" w:space="0"/>
              <w:left w:val="single" w:color="000000" w:sz="6" w:space="0"/>
              <w:right w:val="single" w:color="000000" w:sz="6" w:space="0"/>
            </w:tcBorders>
            <w:vAlign w:val="center"/>
          </w:tcPr>
          <w:p w:rsidRPr="00693892" w:rsidR="00A82BAA" w:rsidP="00704DBA" w:rsidRDefault="001C7C91" w14:paraId="20321319" w14:textId="0B2864CB">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top w:val="single" w:color="000000" w:sz="6" w:space="0"/>
              <w:left w:val="single" w:color="000000" w:sz="6" w:space="0"/>
            </w:tcBorders>
            <w:vAlign w:val="center"/>
          </w:tcPr>
          <w:p w:rsidRPr="00693892" w:rsidR="00A82BAA" w:rsidP="00704DBA" w:rsidRDefault="00B03AE4" w14:paraId="3C13750F" w14:textId="7BDE97FD">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$42,252</w:t>
            </w:r>
          </w:p>
        </w:tc>
        <w:tc>
          <w:tcPr>
            <w:tcW w:w="1212" w:type="dxa"/>
            <w:tcBorders>
              <w:top w:val="single" w:color="000000" w:sz="6" w:space="0"/>
              <w:right w:val="single" w:color="000000" w:sz="6" w:space="0"/>
            </w:tcBorders>
            <w:vAlign w:val="center"/>
          </w:tcPr>
          <w:p w:rsidRPr="00693892" w:rsidR="00A82BAA" w:rsidP="00704DBA" w:rsidRDefault="00A82BAA" w14:paraId="517E8528" w14:textId="438D710D">
            <w:pPr>
              <w:spacing w:after="0" w:line="240" w:lineRule="auto"/>
              <w:ind w:right="1"/>
              <w:jc w:val="center"/>
              <w:rPr>
                <w:rFonts w:ascii="Times New Roman" w:hAnsi="Times New Roman" w:cs="Times New Roman"/>
              </w:rPr>
            </w:pPr>
            <w:r w:rsidRPr="00693892">
              <w:rPr>
                <w:rFonts w:ascii="Times New Roman" w:hAnsi="Times New Roman" w:cs="Times New Roman"/>
                <w:color w:val="000000"/>
              </w:rPr>
              <w:t>2</w:t>
            </w:r>
          </w:p>
        </w:tc>
        <w:tc>
          <w:tcPr>
            <w:tcW w:w="1620" w:type="dxa"/>
            <w:tcBorders>
              <w:top w:val="single" w:color="000000" w:sz="6" w:space="0"/>
              <w:left w:val="single" w:color="000000" w:sz="6" w:space="0"/>
            </w:tcBorders>
            <w:vAlign w:val="center"/>
          </w:tcPr>
          <w:p w:rsidRPr="00693892" w:rsidR="00A82BAA" w:rsidP="00704DBA" w:rsidRDefault="00B03AE4" w14:paraId="7DC73F05" w14:textId="23E57681">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$84,503</w:t>
            </w:r>
          </w:p>
        </w:tc>
      </w:tr>
      <w:tr w:rsidRPr="00693892" w:rsidR="00A82BAA" w:rsidTr="00704DBA" w14:paraId="0CA35CE3" w14:textId="77777777">
        <w:trPr>
          <w:trHeight w:val="295"/>
        </w:trPr>
        <w:tc>
          <w:tcPr>
            <w:tcW w:w="2463" w:type="dxa"/>
            <w:tcBorders>
              <w:left w:val="single" w:color="000000" w:sz="6" w:space="0"/>
              <w:right w:val="single" w:color="000000" w:sz="6" w:space="0"/>
            </w:tcBorders>
            <w:vAlign w:val="center"/>
          </w:tcPr>
          <w:p w:rsidRPr="00693892" w:rsidR="00A82BAA" w:rsidP="00ED3152" w:rsidRDefault="00A82BAA" w14:paraId="571DB5F0" w14:textId="77777777">
            <w:pPr>
              <w:spacing w:after="0" w:line="240" w:lineRule="auto"/>
              <w:ind w:left="127"/>
              <w:rPr>
                <w:rFonts w:ascii="Times New Roman" w:hAnsi="Times New Roman" w:cs="Times New Roman"/>
              </w:rPr>
            </w:pPr>
            <w:r w:rsidRPr="00693892">
              <w:rPr>
                <w:rFonts w:ascii="Times New Roman" w:hAnsi="Times New Roman" w:cs="Times New Roman"/>
              </w:rPr>
              <w:t>Large Government</w:t>
            </w:r>
          </w:p>
        </w:tc>
        <w:tc>
          <w:tcPr>
            <w:tcW w:w="1587" w:type="dxa"/>
            <w:tcBorders>
              <w:left w:val="single" w:color="000000" w:sz="6" w:space="0"/>
              <w:right w:val="single" w:color="000000" w:sz="6" w:space="0"/>
            </w:tcBorders>
            <w:vAlign w:val="center"/>
          </w:tcPr>
          <w:p w:rsidRPr="00693892" w:rsidR="00A82BAA" w:rsidP="00704DBA" w:rsidRDefault="001C7C91" w14:paraId="29D9ACED" w14:textId="121A956A">
            <w:pPr>
              <w:spacing w:after="0" w:line="240" w:lineRule="auto"/>
              <w:ind w:left="31"/>
              <w:jc w:val="center"/>
              <w:rPr>
                <w:rFonts w:ascii="Times New Roman" w:hAnsi="Times New Roman" w:cs="Times New Roman"/>
              </w:rPr>
            </w:pPr>
            <w:r w:rsidRPr="00693892">
              <w:rPr>
                <w:rFonts w:ascii="Times New Roman" w:hAnsi="Times New Roman" w:cs="Times New Roman"/>
              </w:rPr>
              <w:t>1</w:t>
            </w:r>
          </w:p>
        </w:tc>
        <w:tc>
          <w:tcPr>
            <w:tcW w:w="1218" w:type="dxa"/>
            <w:tcBorders>
              <w:left w:val="single" w:color="000000" w:sz="6" w:space="0"/>
            </w:tcBorders>
            <w:vAlign w:val="center"/>
          </w:tcPr>
          <w:p w:rsidRPr="00693892" w:rsidR="00A82BAA" w:rsidP="00704DBA" w:rsidRDefault="00B03AE4" w14:paraId="1ECBD9CA" w14:textId="4CAB2E59">
            <w:pPr>
              <w:spacing w:after="0" w:line="240" w:lineRule="auto"/>
              <w:ind w:left="92" w:right="30"/>
              <w:jc w:val="center"/>
              <w:rPr>
                <w:rFonts w:ascii="Times New Roman" w:hAnsi="Times New Roman" w:cs="Times New Roman"/>
              </w:rPr>
            </w:pPr>
            <w:r w:rsidRPr="00693892">
              <w:rPr>
                <w:rFonts w:ascii="Times New Roman" w:hAnsi="Times New Roman" w:cs="Times New Roman"/>
                <w:color w:val="000000"/>
              </w:rPr>
              <w:t>$111,048</w:t>
            </w:r>
          </w:p>
        </w:tc>
        <w:tc>
          <w:tcPr>
            <w:tcW w:w="1212" w:type="dxa"/>
            <w:tcBorders>
              <w:right w:val="single" w:color="000000" w:sz="6" w:space="0"/>
            </w:tcBorders>
            <w:vAlign w:val="center"/>
          </w:tcPr>
          <w:p w:rsidRPr="00693892" w:rsidR="00A82BAA" w:rsidP="00704DBA" w:rsidRDefault="00A82BAA" w14:paraId="0D6EDE1F" w14:textId="6819F169">
            <w:pPr>
              <w:spacing w:after="0" w:line="240" w:lineRule="auto"/>
              <w:ind w:right="1"/>
              <w:jc w:val="center"/>
              <w:rPr>
                <w:rFonts w:ascii="Times New Roman" w:hAnsi="Times New Roman" w:cs="Times New Roman"/>
              </w:rPr>
            </w:pPr>
            <w:r w:rsidRPr="00693892">
              <w:rPr>
                <w:rFonts w:ascii="Times New Roman" w:hAnsi="Times New Roman" w:cs="Times New Roman"/>
                <w:color w:val="000000"/>
              </w:rPr>
              <w:t>1</w:t>
            </w:r>
          </w:p>
        </w:tc>
        <w:tc>
          <w:tcPr>
            <w:tcW w:w="1620" w:type="dxa"/>
            <w:tcBorders>
              <w:left w:val="single" w:color="000000" w:sz="6" w:space="0"/>
            </w:tcBorders>
            <w:vAlign w:val="center"/>
          </w:tcPr>
          <w:p w:rsidRPr="00693892" w:rsidR="00A82BAA" w:rsidP="00704DBA" w:rsidRDefault="00B03AE4" w14:paraId="714C0687" w14:textId="5B64C48C">
            <w:pPr>
              <w:spacing w:after="0" w:line="240" w:lineRule="auto"/>
              <w:ind w:left="83" w:right="51"/>
              <w:jc w:val="center"/>
              <w:rPr>
                <w:rFonts w:ascii="Times New Roman" w:hAnsi="Times New Roman" w:cs="Times New Roman"/>
              </w:rPr>
            </w:pPr>
            <w:r w:rsidRPr="00693892">
              <w:rPr>
                <w:rFonts w:ascii="Times New Roman" w:hAnsi="Times New Roman" w:cs="Times New Roman"/>
                <w:color w:val="000000"/>
              </w:rPr>
              <w:t>$111,048</w:t>
            </w:r>
          </w:p>
        </w:tc>
      </w:tr>
      <w:tr w:rsidRPr="00693892" w:rsidR="002470E8" w:rsidTr="00704DBA" w14:paraId="520BCC21" w14:textId="77777777">
        <w:trPr>
          <w:trHeight w:val="337"/>
        </w:trPr>
        <w:tc>
          <w:tcPr>
            <w:tcW w:w="2463" w:type="dxa"/>
            <w:tcBorders>
              <w:left w:val="single" w:color="000000" w:sz="6" w:space="0"/>
              <w:bottom w:val="single" w:color="000000" w:sz="6" w:space="0"/>
              <w:right w:val="single" w:color="000000" w:sz="6" w:space="0"/>
            </w:tcBorders>
            <w:vAlign w:val="center"/>
          </w:tcPr>
          <w:p w:rsidRPr="00693892" w:rsidR="002470E8" w:rsidP="00704DBA" w:rsidRDefault="002470E8" w14:paraId="722F1D0B" w14:textId="77777777">
            <w:pPr>
              <w:spacing w:after="0" w:line="240" w:lineRule="auto"/>
              <w:ind w:left="878" w:right="842"/>
              <w:jc w:val="center"/>
              <w:rPr>
                <w:rFonts w:ascii="Times New Roman" w:hAnsi="Times New Roman" w:cs="Times New Roman"/>
                <w:b/>
              </w:rPr>
            </w:pPr>
            <w:r w:rsidRPr="00693892">
              <w:rPr>
                <w:rFonts w:ascii="Times New Roman" w:hAnsi="Times New Roman" w:cs="Times New Roman"/>
                <w:b/>
              </w:rPr>
              <w:t>Total</w:t>
            </w:r>
          </w:p>
        </w:tc>
        <w:tc>
          <w:tcPr>
            <w:tcW w:w="1587" w:type="dxa"/>
            <w:tcBorders>
              <w:left w:val="single" w:color="000000" w:sz="6" w:space="0"/>
              <w:bottom w:val="single" w:color="000000" w:sz="6" w:space="0"/>
              <w:right w:val="single" w:color="000000" w:sz="6" w:space="0"/>
            </w:tcBorders>
            <w:vAlign w:val="center"/>
          </w:tcPr>
          <w:p w:rsidRPr="00693892" w:rsidR="002470E8" w:rsidP="00704DBA" w:rsidRDefault="002470E8" w14:paraId="147A3220" w14:textId="77777777">
            <w:pPr>
              <w:spacing w:after="0" w:line="240" w:lineRule="auto"/>
              <w:jc w:val="center"/>
              <w:rPr>
                <w:rFonts w:ascii="Times New Roman" w:hAnsi="Times New Roman" w:cs="Times New Roman"/>
              </w:rPr>
            </w:pPr>
          </w:p>
        </w:tc>
        <w:tc>
          <w:tcPr>
            <w:tcW w:w="1218" w:type="dxa"/>
            <w:tcBorders>
              <w:left w:val="single" w:color="000000" w:sz="6" w:space="0"/>
              <w:bottom w:val="single" w:color="000000" w:sz="6" w:space="0"/>
            </w:tcBorders>
            <w:vAlign w:val="center"/>
          </w:tcPr>
          <w:p w:rsidRPr="00693892" w:rsidR="002470E8" w:rsidP="00704DBA" w:rsidRDefault="002470E8" w14:paraId="2EE1A44F" w14:textId="77777777">
            <w:pPr>
              <w:spacing w:after="0" w:line="240" w:lineRule="auto"/>
              <w:jc w:val="center"/>
              <w:rPr>
                <w:rFonts w:ascii="Times New Roman" w:hAnsi="Times New Roman" w:cs="Times New Roman"/>
              </w:rPr>
            </w:pPr>
          </w:p>
        </w:tc>
        <w:tc>
          <w:tcPr>
            <w:tcW w:w="1212" w:type="dxa"/>
            <w:tcBorders>
              <w:bottom w:val="single" w:color="000000" w:sz="6" w:space="0"/>
              <w:right w:val="single" w:color="000000" w:sz="6" w:space="0"/>
            </w:tcBorders>
            <w:vAlign w:val="center"/>
          </w:tcPr>
          <w:p w:rsidRPr="00693892" w:rsidR="002470E8" w:rsidP="00704DBA" w:rsidRDefault="002405DC" w14:paraId="21692465" w14:textId="5A561D37">
            <w:pPr>
              <w:spacing w:after="0" w:line="240" w:lineRule="auto"/>
              <w:ind w:left="67" w:right="67"/>
              <w:jc w:val="center"/>
              <w:rPr>
                <w:rFonts w:ascii="Times New Roman" w:hAnsi="Times New Roman" w:cs="Times New Roman"/>
                <w:b/>
              </w:rPr>
            </w:pPr>
            <w:r w:rsidRPr="00693892">
              <w:rPr>
                <w:rFonts w:ascii="Times New Roman" w:hAnsi="Times New Roman" w:cs="Times New Roman"/>
                <w:b/>
              </w:rPr>
              <w:t>6</w:t>
            </w:r>
            <w:r w:rsidRPr="00693892" w:rsidR="00290E3F">
              <w:rPr>
                <w:rFonts w:ascii="Times New Roman" w:hAnsi="Times New Roman" w:cs="Times New Roman"/>
                <w:b/>
              </w:rPr>
              <w:t>5</w:t>
            </w:r>
          </w:p>
        </w:tc>
        <w:tc>
          <w:tcPr>
            <w:tcW w:w="1620" w:type="dxa"/>
            <w:tcBorders>
              <w:left w:val="single" w:color="000000" w:sz="6" w:space="0"/>
              <w:bottom w:val="single" w:color="000000" w:sz="6" w:space="0"/>
            </w:tcBorders>
            <w:vAlign w:val="center"/>
          </w:tcPr>
          <w:p w:rsidRPr="00693892" w:rsidR="002470E8" w:rsidP="00704DBA" w:rsidRDefault="00B03AE4" w14:paraId="59A60B49" w14:textId="617EACE2">
            <w:pPr>
              <w:spacing w:after="0" w:line="240" w:lineRule="auto"/>
              <w:ind w:left="83"/>
              <w:jc w:val="center"/>
              <w:rPr>
                <w:rFonts w:ascii="Times New Roman" w:hAnsi="Times New Roman" w:cs="Times New Roman"/>
                <w:b/>
                <w:color w:val="000000"/>
              </w:rPr>
            </w:pPr>
            <w:r w:rsidRPr="00693892">
              <w:rPr>
                <w:rFonts w:ascii="Times New Roman" w:hAnsi="Times New Roman" w:cs="Times New Roman"/>
                <w:b/>
                <w:color w:val="000000"/>
              </w:rPr>
              <w:t>$5,590,180</w:t>
            </w:r>
          </w:p>
        </w:tc>
      </w:tr>
    </w:tbl>
    <w:p w:rsidRPr="00693892" w:rsidR="00306C75" w:rsidP="00693892" w:rsidRDefault="00306C75" w14:paraId="78C27BB8" w14:textId="1D803165">
      <w:pPr>
        <w:spacing w:after="0" w:line="240" w:lineRule="auto"/>
        <w:rPr>
          <w:rFonts w:ascii="Times New Roman" w:hAnsi="Times New Roman" w:cs="Times New Roman"/>
        </w:rPr>
      </w:pPr>
      <w:r w:rsidRPr="00693892">
        <w:rPr>
          <w:rFonts w:ascii="Times New Roman" w:hAnsi="Times New Roman" w:cs="Times New Roman"/>
        </w:rPr>
        <w:t xml:space="preserve"> </w:t>
      </w:r>
    </w:p>
    <w:p w:rsidR="00740CB6" w:rsidP="00693892" w:rsidRDefault="00740CB6" w14:paraId="31E15A64" w14:textId="77777777">
      <w:pPr>
        <w:spacing w:after="0" w:line="240" w:lineRule="auto"/>
        <w:rPr>
          <w:rFonts w:ascii="Times New Roman" w:hAnsi="Times New Roman" w:cs="Times New Roman"/>
          <w:i/>
        </w:rPr>
      </w:pPr>
    </w:p>
    <w:p w:rsidRPr="00693892" w:rsidR="00306C75" w:rsidP="00693892" w:rsidRDefault="00306C75" w14:paraId="58112785" w14:textId="7DBC0A3A">
      <w:pPr>
        <w:spacing w:after="0" w:line="240" w:lineRule="auto"/>
        <w:rPr>
          <w:rFonts w:ascii="Times New Roman" w:hAnsi="Times New Roman" w:cs="Times New Roman"/>
        </w:rPr>
      </w:pPr>
      <w:r w:rsidRPr="00693892">
        <w:rPr>
          <w:rFonts w:ascii="Times New Roman" w:hAnsi="Times New Roman" w:cs="Times New Roman"/>
          <w:i/>
        </w:rPr>
        <w:t>Employee participation –</w:t>
      </w:r>
      <w:r w:rsidRPr="00693892">
        <w:rPr>
          <w:rFonts w:ascii="Times New Roman" w:hAnsi="Times New Roman" w:cs="Times New Roman"/>
        </w:rPr>
        <w:t xml:space="preserve"> (</w:t>
      </w:r>
      <w:r w:rsidRPr="00693892" w:rsidR="008D5242">
        <w:rPr>
          <w:rFonts w:ascii="Times New Roman" w:hAnsi="Times New Roman" w:cs="Times New Roman"/>
          <w:i/>
        </w:rPr>
        <w:t>P</w:t>
      </w:r>
      <w:r w:rsidRPr="00693892">
        <w:rPr>
          <w:rFonts w:ascii="Times New Roman" w:hAnsi="Times New Roman" w:cs="Times New Roman"/>
          <w:i/>
        </w:rPr>
        <w:t>roposed revisions apply to §68.83)</w:t>
      </w:r>
    </w:p>
    <w:p w:rsidR="00C71B1E" w:rsidP="000E6E0F" w:rsidRDefault="00D726C0" w14:paraId="0AF452CB" w14:textId="55B31108">
      <w:pPr>
        <w:spacing w:after="0" w:line="240" w:lineRule="auto"/>
        <w:ind w:firstLine="360"/>
        <w:rPr>
          <w:rFonts w:ascii="Times New Roman" w:hAnsi="Times New Roman" w:cs="Times New Roman"/>
        </w:rPr>
      </w:pPr>
      <w:bookmarkStart w:name="_Hlk98257425" w:id="139"/>
      <w:r>
        <w:rPr>
          <w:rFonts w:ascii="Times New Roman" w:hAnsi="Times New Roman" w:cs="Times New Roman"/>
          <w:shd w:val="clear" w:color="auto" w:fill="FFFFFF"/>
        </w:rPr>
        <w:tab/>
      </w:r>
      <w:r w:rsidRPr="00693892" w:rsidR="00306C75">
        <w:rPr>
          <w:rFonts w:ascii="Times New Roman" w:hAnsi="Times New Roman" w:cs="Times New Roman"/>
          <w:shd w:val="clear" w:color="auto" w:fill="FFFFFF"/>
        </w:rPr>
        <w:t xml:space="preserve">EPA is proposing to </w:t>
      </w:r>
      <w:r w:rsidRPr="00693892" w:rsidR="00C9138E">
        <w:rPr>
          <w:rFonts w:ascii="Times New Roman" w:hAnsi="Times New Roman" w:cs="Times New Roman"/>
          <w:shd w:val="clear" w:color="auto" w:fill="FFFFFF"/>
        </w:rPr>
        <w:t>revise</w:t>
      </w:r>
      <w:r w:rsidRPr="00693892" w:rsidR="00306C75">
        <w:rPr>
          <w:rFonts w:ascii="Times New Roman" w:hAnsi="Times New Roman" w:cs="Times New Roman"/>
          <w:shd w:val="clear" w:color="auto" w:fill="FFFFFF"/>
        </w:rPr>
        <w:t xml:space="preserve"> employee participation for owners and operators of regulated facilities with Program 3 processes </w:t>
      </w:r>
      <w:r w:rsidRPr="00693892" w:rsidR="00306C75">
        <w:rPr>
          <w:rFonts w:ascii="Times New Roman" w:hAnsi="Times New Roman" w:cs="Times New Roman"/>
        </w:rPr>
        <w:t xml:space="preserve">to require that the </w:t>
      </w:r>
      <w:r w:rsidRPr="00693892" w:rsidR="00354D92">
        <w:rPr>
          <w:rFonts w:ascii="Times New Roman" w:hAnsi="Times New Roman" w:cs="Times New Roman"/>
        </w:rPr>
        <w:t>employee participation plan</w:t>
      </w:r>
      <w:r w:rsidRPr="00693892" w:rsidR="00306C75">
        <w:rPr>
          <w:rFonts w:ascii="Times New Roman" w:hAnsi="Times New Roman" w:cs="Times New Roman"/>
        </w:rPr>
        <w:t xml:space="preserve"> include consultation of employees and their representatives on addressing, correcting, resolving, documenting, and implementing recommendations </w:t>
      </w:r>
      <w:r w:rsidRPr="00693892" w:rsidR="00C71B1E">
        <w:rPr>
          <w:rFonts w:ascii="Times New Roman" w:hAnsi="Times New Roman" w:cs="Times New Roman"/>
        </w:rPr>
        <w:t xml:space="preserve">or findings </w:t>
      </w:r>
      <w:r w:rsidRPr="00693892" w:rsidR="00306C75">
        <w:rPr>
          <w:rFonts w:ascii="Times New Roman" w:hAnsi="Times New Roman" w:cs="Times New Roman"/>
        </w:rPr>
        <w:t xml:space="preserve">of process hazard analyses, incident investigations, and compliance audits, at </w:t>
      </w:r>
      <w:r w:rsidRPr="00693892" w:rsidR="00603834">
        <w:rPr>
          <w:rFonts w:ascii="Times New Roman" w:hAnsi="Times New Roman" w:cs="Times New Roman"/>
        </w:rPr>
        <w:t xml:space="preserve">a </w:t>
      </w:r>
      <w:r w:rsidRPr="00693892" w:rsidR="00306C75">
        <w:rPr>
          <w:rFonts w:ascii="Times New Roman" w:hAnsi="Times New Roman" w:cs="Times New Roman"/>
        </w:rPr>
        <w:t xml:space="preserve">minimum. In addition, the proposed rule </w:t>
      </w:r>
      <w:r w:rsidRPr="00693892" w:rsidR="00C71B1E">
        <w:rPr>
          <w:rFonts w:ascii="Times New Roman" w:hAnsi="Times New Roman" w:cs="Times New Roman"/>
        </w:rPr>
        <w:t>would</w:t>
      </w:r>
      <w:r w:rsidRPr="00693892" w:rsidR="00306C75">
        <w:rPr>
          <w:rFonts w:ascii="Times New Roman" w:hAnsi="Times New Roman" w:cs="Times New Roman"/>
        </w:rPr>
        <w:t xml:space="preserve"> require that the</w:t>
      </w:r>
      <w:r w:rsidR="009F3737">
        <w:rPr>
          <w:rFonts w:ascii="Times New Roman" w:hAnsi="Times New Roman" w:cs="Times New Roman"/>
        </w:rPr>
        <w:t xml:space="preserve"> Program 3</w:t>
      </w:r>
      <w:r w:rsidRPr="00693892" w:rsidR="00306C75">
        <w:rPr>
          <w:rFonts w:ascii="Times New Roman" w:hAnsi="Times New Roman" w:cs="Times New Roman"/>
        </w:rPr>
        <w:t xml:space="preserve"> </w:t>
      </w:r>
      <w:r w:rsidRPr="00693892" w:rsidR="00354D92">
        <w:rPr>
          <w:rFonts w:ascii="Times New Roman" w:hAnsi="Times New Roman" w:cs="Times New Roman"/>
        </w:rPr>
        <w:t>employee participation plan</w:t>
      </w:r>
      <w:r w:rsidRPr="00693892" w:rsidR="00306C75">
        <w:rPr>
          <w:rFonts w:ascii="Times New Roman" w:hAnsi="Times New Roman" w:cs="Times New Roman"/>
        </w:rPr>
        <w:t xml:space="preserve"> include and ensure </w:t>
      </w:r>
      <w:r w:rsidRPr="00693892" w:rsidR="00C9138E">
        <w:rPr>
          <w:rFonts w:ascii="Times New Roman" w:hAnsi="Times New Roman" w:cs="Times New Roman"/>
        </w:rPr>
        <w:t xml:space="preserve">that </w:t>
      </w:r>
      <w:r w:rsidRPr="00693892" w:rsidR="00306C75">
        <w:rPr>
          <w:rFonts w:ascii="Times New Roman" w:hAnsi="Times New Roman" w:cs="Times New Roman"/>
        </w:rPr>
        <w:t xml:space="preserve">effective methods are in place so that employees and their representatives have </w:t>
      </w:r>
      <w:r w:rsidRPr="00693892" w:rsidR="00C9138E">
        <w:rPr>
          <w:rFonts w:ascii="Times New Roman" w:hAnsi="Times New Roman" w:cs="Times New Roman"/>
        </w:rPr>
        <w:t>the</w:t>
      </w:r>
      <w:r w:rsidRPr="00693892" w:rsidR="00306C75">
        <w:rPr>
          <w:rFonts w:ascii="Times New Roman" w:hAnsi="Times New Roman" w:cs="Times New Roman"/>
        </w:rPr>
        <w:t xml:space="preserve"> authority </w:t>
      </w:r>
      <w:r w:rsidRPr="00693892" w:rsidR="007F351E">
        <w:rPr>
          <w:rFonts w:ascii="Times New Roman" w:hAnsi="Times New Roman" w:cs="Times New Roman"/>
        </w:rPr>
        <w:t xml:space="preserve">(1) </w:t>
      </w:r>
      <w:r w:rsidRPr="00693892" w:rsidR="00306C75">
        <w:rPr>
          <w:rFonts w:ascii="Times New Roman" w:hAnsi="Times New Roman" w:cs="Times New Roman"/>
        </w:rPr>
        <w:t>to refuse to perform a task when doing so could reasonably result in a catastrophic release</w:t>
      </w:r>
      <w:r w:rsidRPr="00693892" w:rsidR="00C71B1E">
        <w:rPr>
          <w:rFonts w:ascii="Times New Roman" w:hAnsi="Times New Roman" w:cs="Times New Roman"/>
        </w:rPr>
        <w:t>,</w:t>
      </w:r>
      <w:r w:rsidRPr="00693892" w:rsidR="00306C75">
        <w:rPr>
          <w:rFonts w:ascii="Times New Roman" w:hAnsi="Times New Roman" w:cs="Times New Roman"/>
        </w:rPr>
        <w:t xml:space="preserve"> and </w:t>
      </w:r>
      <w:r w:rsidRPr="00693892" w:rsidR="007F351E">
        <w:rPr>
          <w:rFonts w:ascii="Times New Roman" w:hAnsi="Times New Roman" w:cs="Times New Roman"/>
        </w:rPr>
        <w:t>(2)</w:t>
      </w:r>
      <w:r w:rsidRPr="00693892" w:rsidR="00306C75">
        <w:rPr>
          <w:rFonts w:ascii="Times New Roman" w:hAnsi="Times New Roman" w:cs="Times New Roman"/>
        </w:rPr>
        <w:t xml:space="preserve"> to recommend to the operator in charge of a unit that an operation or process be partially or completely shut down</w:t>
      </w:r>
      <w:r w:rsidRPr="00693892" w:rsidR="00C71B1E">
        <w:rPr>
          <w:rFonts w:ascii="Times New Roman" w:hAnsi="Times New Roman" w:cs="Times New Roman"/>
        </w:rPr>
        <w:t xml:space="preserve">, or </w:t>
      </w:r>
      <w:r w:rsidRPr="00693892" w:rsidR="007F351E">
        <w:rPr>
          <w:rFonts w:ascii="Times New Roman" w:hAnsi="Times New Roman" w:cs="Times New Roman"/>
        </w:rPr>
        <w:t xml:space="preserve">(3) </w:t>
      </w:r>
      <w:r w:rsidRPr="00693892" w:rsidR="00C71B1E">
        <w:rPr>
          <w:rFonts w:ascii="Times New Roman" w:hAnsi="Times New Roman" w:cs="Times New Roman"/>
        </w:rPr>
        <w:t>allow a qualified operator in charge of a unit to partially or completely shut down an operation or process</w:t>
      </w:r>
      <w:r w:rsidRPr="00693892" w:rsidR="00306C75">
        <w:rPr>
          <w:rFonts w:ascii="Times New Roman" w:hAnsi="Times New Roman" w:cs="Times New Roman"/>
        </w:rPr>
        <w:t xml:space="preserve"> based on the potential for a catastrophic release. </w:t>
      </w:r>
      <w:r w:rsidRPr="00693892" w:rsidR="00C71B1E">
        <w:rPr>
          <w:rFonts w:ascii="Times New Roman" w:hAnsi="Times New Roman" w:cs="Times New Roman"/>
        </w:rPr>
        <w:t xml:space="preserve">Last, EPA is proposing </w:t>
      </w:r>
      <w:r w:rsidRPr="00693892" w:rsidR="007F351E">
        <w:rPr>
          <w:rFonts w:ascii="Times New Roman" w:hAnsi="Times New Roman" w:cs="Times New Roman"/>
        </w:rPr>
        <w:t>to</w:t>
      </w:r>
      <w:r w:rsidRPr="00693892" w:rsidR="00C71B1E">
        <w:rPr>
          <w:rFonts w:ascii="Times New Roman" w:hAnsi="Times New Roman" w:cs="Times New Roman"/>
        </w:rPr>
        <w:t xml:space="preserve"> require </w:t>
      </w:r>
      <w:r w:rsidRPr="00693892" w:rsidR="007F351E">
        <w:rPr>
          <w:rFonts w:ascii="Times New Roman" w:hAnsi="Times New Roman" w:cs="Times New Roman"/>
        </w:rPr>
        <w:t>that</w:t>
      </w:r>
      <w:r w:rsidRPr="00693892" w:rsidR="00C71B1E">
        <w:rPr>
          <w:rFonts w:ascii="Times New Roman" w:hAnsi="Times New Roman" w:cs="Times New Roman"/>
        </w:rPr>
        <w:t xml:space="preserve"> an employee participation </w:t>
      </w:r>
      <w:r w:rsidRPr="00693892" w:rsidR="00354D92">
        <w:rPr>
          <w:rFonts w:ascii="Times New Roman" w:hAnsi="Times New Roman" w:cs="Times New Roman"/>
        </w:rPr>
        <w:t>employee participation plan</w:t>
      </w:r>
      <w:r w:rsidRPr="00693892" w:rsidR="00C71B1E">
        <w:rPr>
          <w:rFonts w:ascii="Times New Roman" w:hAnsi="Times New Roman" w:cs="Times New Roman"/>
        </w:rPr>
        <w:t xml:space="preserve"> for Program 2 and Program 3 processes include explicit language addressing worker participation and reporting, along with information </w:t>
      </w:r>
      <w:r w:rsidRPr="00693892" w:rsidR="007F351E">
        <w:rPr>
          <w:rFonts w:ascii="Times New Roman" w:hAnsi="Times New Roman" w:cs="Times New Roman"/>
        </w:rPr>
        <w:t>on</w:t>
      </w:r>
      <w:r w:rsidRPr="00693892" w:rsidR="00C71B1E">
        <w:rPr>
          <w:rFonts w:ascii="Times New Roman" w:hAnsi="Times New Roman" w:cs="Times New Roman"/>
        </w:rPr>
        <w:t xml:space="preserve"> how to report RMP-reportable accidents or related RMP non-compliance issues. </w:t>
      </w:r>
    </w:p>
    <w:p w:rsidR="00D726C0" w:rsidP="000E6E0F" w:rsidRDefault="00D726C0" w14:paraId="2E764C40" w14:textId="67CF9855">
      <w:pPr>
        <w:spacing w:after="0" w:line="240" w:lineRule="auto"/>
        <w:ind w:firstLine="360"/>
        <w:rPr>
          <w:rFonts w:ascii="Times New Roman" w:hAnsi="Times New Roman" w:cs="Times New Roman"/>
        </w:rPr>
      </w:pPr>
    </w:p>
    <w:p w:rsidRPr="00693892" w:rsidR="00306C75" w:rsidP="000E6E0F" w:rsidRDefault="00D726C0" w14:paraId="252605E4" w14:textId="7BE69C26">
      <w:pPr>
        <w:spacing w:after="0" w:line="240" w:lineRule="auto"/>
        <w:ind w:firstLine="360"/>
        <w:rPr>
          <w:rFonts w:ascii="Times New Roman" w:hAnsi="Times New Roman" w:cs="Times New Roman"/>
        </w:rPr>
      </w:pPr>
      <w:r>
        <w:rPr>
          <w:rFonts w:ascii="Times New Roman" w:hAnsi="Times New Roman" w:cs="Times New Roman"/>
        </w:rPr>
        <w:tab/>
      </w:r>
      <w:r w:rsidRPr="00693892" w:rsidR="00306C75">
        <w:rPr>
          <w:rFonts w:ascii="Times New Roman" w:hAnsi="Times New Roman" w:cs="Times New Roman"/>
        </w:rPr>
        <w:t>The low</w:t>
      </w:r>
      <w:r w:rsidRPr="00693892" w:rsidR="004779BB">
        <w:rPr>
          <w:rFonts w:ascii="Times New Roman" w:hAnsi="Times New Roman" w:cs="Times New Roman"/>
        </w:rPr>
        <w:t>er</w:t>
      </w:r>
      <w:r w:rsidRPr="00693892" w:rsidR="00306C75">
        <w:rPr>
          <w:rFonts w:ascii="Times New Roman" w:hAnsi="Times New Roman" w:cs="Times New Roman"/>
        </w:rPr>
        <w:t xml:space="preserve"> cost regulatory alternative would add provisions to the employee participation requirements </w:t>
      </w:r>
      <w:r w:rsidRPr="00693892" w:rsidR="00603834">
        <w:rPr>
          <w:rFonts w:ascii="Times New Roman" w:hAnsi="Times New Roman" w:cs="Times New Roman"/>
        </w:rPr>
        <w:t>only for</w:t>
      </w:r>
      <w:r w:rsidRPr="00693892" w:rsidR="00306C75">
        <w:rPr>
          <w:rFonts w:ascii="Times New Roman" w:hAnsi="Times New Roman" w:cs="Times New Roman"/>
        </w:rPr>
        <w:t xml:space="preserve"> owners and operators of regulated facilities with Program 3 processes.</w:t>
      </w:r>
      <w:bookmarkEnd w:id="139"/>
      <w:r w:rsidRPr="00693892" w:rsidR="00CA6898">
        <w:rPr>
          <w:rFonts w:ascii="Times New Roman" w:hAnsi="Times New Roman" w:cs="Times New Roman"/>
        </w:rPr>
        <w:t xml:space="preserve"> To estimate the cost of this option EPA applied the unit cost estimates from Exhibit 4-</w:t>
      </w:r>
      <w:r w:rsidR="0085129C">
        <w:rPr>
          <w:rFonts w:ascii="Times New Roman" w:hAnsi="Times New Roman" w:cs="Times New Roman"/>
        </w:rPr>
        <w:t>9</w:t>
      </w:r>
      <w:r w:rsidRPr="00693892" w:rsidR="002B76CF">
        <w:rPr>
          <w:rFonts w:ascii="Times New Roman" w:hAnsi="Times New Roman" w:cs="Times New Roman"/>
        </w:rPr>
        <w:t xml:space="preserve"> to </w:t>
      </w:r>
      <w:r w:rsidRPr="00693892" w:rsidR="00173418">
        <w:rPr>
          <w:rFonts w:ascii="Times New Roman" w:hAnsi="Times New Roman" w:cs="Times New Roman"/>
        </w:rPr>
        <w:t xml:space="preserve">facilities with Program 3 processes. The total cost estimate is presented in Exhibit </w:t>
      </w:r>
      <w:r w:rsidRPr="00693892" w:rsidR="00F979E9">
        <w:rPr>
          <w:rFonts w:ascii="Times New Roman" w:hAnsi="Times New Roman" w:cs="Times New Roman"/>
        </w:rPr>
        <w:t>7</w:t>
      </w:r>
      <w:r w:rsidR="0085060F">
        <w:rPr>
          <w:rFonts w:ascii="Times New Roman" w:hAnsi="Times New Roman" w:cs="Times New Roman"/>
        </w:rPr>
        <w:t>-3.</w:t>
      </w:r>
      <w:r w:rsidR="00A80E9C">
        <w:br/>
      </w:r>
    </w:p>
    <w:p w:rsidRPr="00693892" w:rsidR="00AD5A55" w:rsidP="00DB1152" w:rsidRDefault="009315ED" w14:paraId="0D66CA61" w14:textId="1868CE5C">
      <w:pPr>
        <w:keepNext/>
        <w:spacing w:after="0" w:line="240" w:lineRule="auto"/>
        <w:jc w:val="center"/>
        <w:rPr>
          <w:rFonts w:ascii="Times New Roman" w:hAnsi="Times New Roman" w:cs="Times New Roman"/>
          <w:b/>
        </w:rPr>
      </w:pPr>
      <w:r w:rsidRPr="00DB1152">
        <w:rPr>
          <w:rFonts w:ascii="Times New Roman" w:hAnsi="Times New Roman" w:cs="Times New Roman"/>
          <w:b/>
        </w:rPr>
        <w:lastRenderedPageBreak/>
        <w:t xml:space="preserve">Exhibit </w:t>
      </w:r>
      <w:r w:rsidRPr="00693892" w:rsidR="00F979E9">
        <w:rPr>
          <w:rFonts w:ascii="Times New Roman" w:hAnsi="Times New Roman" w:cs="Times New Roman"/>
          <w:b/>
        </w:rPr>
        <w:t>7</w:t>
      </w:r>
      <w:r w:rsidRPr="00693892">
        <w:rPr>
          <w:rFonts w:ascii="Times New Roman" w:hAnsi="Times New Roman" w:cs="Times New Roman"/>
          <w:b/>
        </w:rPr>
        <w:t>-</w:t>
      </w:r>
      <w:r w:rsidR="0085060F">
        <w:rPr>
          <w:rFonts w:ascii="Times New Roman" w:hAnsi="Times New Roman" w:cs="Times New Roman"/>
          <w:b/>
        </w:rPr>
        <w:t>3</w:t>
      </w:r>
      <w:r w:rsidRPr="00693892">
        <w:rPr>
          <w:rFonts w:ascii="Times New Roman" w:hAnsi="Times New Roman" w:cs="Times New Roman"/>
          <w:b/>
        </w:rPr>
        <w:t xml:space="preserve">: Total Annual Undiscounted Costs for </w:t>
      </w:r>
      <w:r w:rsidRPr="00693892" w:rsidR="00A7375F">
        <w:rPr>
          <w:rFonts w:ascii="Times New Roman" w:hAnsi="Times New Roman" w:cs="Times New Roman"/>
          <w:b/>
        </w:rPr>
        <w:t>Employee Participation</w:t>
      </w:r>
      <w:r w:rsidRPr="00693892">
        <w:rPr>
          <w:rFonts w:ascii="Times New Roman" w:hAnsi="Times New Roman" w:cs="Times New Roman"/>
          <w:b/>
        </w:rPr>
        <w:t xml:space="preserve"> </w:t>
      </w:r>
    </w:p>
    <w:p w:rsidR="00DB1152" w:rsidP="00DB1152" w:rsidRDefault="00DB1152" w14:paraId="196505A7" w14:textId="151B8085">
      <w:pPr>
        <w:keepNext/>
        <w:spacing w:after="0" w:line="240" w:lineRule="auto"/>
        <w:jc w:val="center"/>
        <w:rPr>
          <w:rFonts w:ascii="Times New Roman" w:hAnsi="Times New Roman" w:cs="Times New Roman"/>
          <w:b/>
        </w:rPr>
      </w:pPr>
      <w:r w:rsidRPr="00693892">
        <w:rPr>
          <w:rFonts w:ascii="Times New Roman" w:hAnsi="Times New Roman" w:cs="Times New Roman"/>
          <w:b/>
        </w:rPr>
        <w:t>(Low</w:t>
      </w:r>
      <w:r w:rsidR="00D726C0">
        <w:rPr>
          <w:rFonts w:ascii="Times New Roman" w:hAnsi="Times New Roman" w:cs="Times New Roman"/>
          <w:b/>
        </w:rPr>
        <w:t>er Cost</w:t>
      </w:r>
      <w:r w:rsidRPr="00693892">
        <w:rPr>
          <w:rFonts w:ascii="Times New Roman" w:hAnsi="Times New Roman" w:cs="Times New Roman"/>
          <w:b/>
        </w:rPr>
        <w:t xml:space="preserve"> Regulatory Alternative</w:t>
      </w:r>
      <w:r w:rsidR="00D726C0">
        <w:rPr>
          <w:rFonts w:ascii="Times New Roman" w:hAnsi="Times New Roman" w:cs="Times New Roman"/>
          <w:b/>
        </w:rPr>
        <w:t xml:space="preserve"> (</w:t>
      </w:r>
      <w:r w:rsidRPr="00693892">
        <w:rPr>
          <w:rFonts w:ascii="Times New Roman" w:hAnsi="Times New Roman" w:cs="Times New Roman"/>
          <w:b/>
        </w:rPr>
        <w:t>2020 Dollars)</w:t>
      </w:r>
      <w:r>
        <w:rPr>
          <w:rFonts w:ascii="Times New Roman" w:hAnsi="Times New Roman" w:cs="Times New Roman"/>
          <w:b/>
        </w:rPr>
        <w:t>.</w:t>
      </w:r>
    </w:p>
    <w:p w:rsidRPr="00DB1152" w:rsidR="00DB1152" w:rsidP="00DB1152" w:rsidRDefault="00DB1152" w14:paraId="2542A107" w14:textId="77777777">
      <w:pPr>
        <w:keepNext/>
        <w:spacing w:after="0" w:line="240" w:lineRule="auto"/>
        <w:jc w:val="center"/>
        <w:rPr>
          <w:rFonts w:ascii="Times New Roman" w:hAnsi="Times New Roman" w:cs="Times New Roman"/>
          <w:b/>
        </w:rPr>
      </w:pP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73"/>
        <w:gridCol w:w="1137"/>
        <w:gridCol w:w="1020"/>
        <w:gridCol w:w="1122"/>
        <w:gridCol w:w="1188"/>
      </w:tblGrid>
      <w:tr w:rsidRPr="00693892" w:rsidR="00167F64" w:rsidTr="00DB1152" w14:paraId="2E7CFD8C" w14:textId="77777777">
        <w:trPr>
          <w:trHeight w:val="691"/>
          <w:jc w:val="center"/>
        </w:trPr>
        <w:tc>
          <w:tcPr>
            <w:tcW w:w="2373" w:type="dxa"/>
            <w:tcBorders>
              <w:left w:val="single" w:color="000000" w:sz="6" w:space="0"/>
              <w:right w:val="single" w:color="000000" w:sz="6" w:space="0"/>
            </w:tcBorders>
            <w:shd w:val="clear" w:color="auto" w:fill="DADADA"/>
            <w:vAlign w:val="center"/>
          </w:tcPr>
          <w:p w:rsidRPr="00DB1152" w:rsidR="009315ED" w:rsidP="00DB1152" w:rsidRDefault="009315ED" w14:paraId="6260EF7E" w14:textId="77777777">
            <w:pPr>
              <w:keepNext/>
              <w:spacing w:after="0" w:line="240" w:lineRule="auto"/>
              <w:ind w:left="182" w:hanging="90"/>
              <w:jc w:val="center"/>
              <w:rPr>
                <w:rFonts w:ascii="Times New Roman" w:hAnsi="Times New Roman" w:cs="Times New Roman"/>
                <w:b/>
                <w:sz w:val="20"/>
                <w:szCs w:val="20"/>
              </w:rPr>
            </w:pPr>
            <w:r w:rsidRPr="00DB1152">
              <w:rPr>
                <w:rFonts w:ascii="Times New Roman" w:hAnsi="Times New Roman" w:cs="Times New Roman"/>
                <w:b/>
                <w:sz w:val="20"/>
                <w:szCs w:val="20"/>
              </w:rPr>
              <w:t>Facility Type</w:t>
            </w:r>
          </w:p>
        </w:tc>
        <w:tc>
          <w:tcPr>
            <w:tcW w:w="1137" w:type="dxa"/>
            <w:tcBorders>
              <w:left w:val="single" w:color="000000" w:sz="6" w:space="0"/>
              <w:right w:val="single" w:color="000000" w:sz="6" w:space="0"/>
            </w:tcBorders>
            <w:shd w:val="clear" w:color="auto" w:fill="DADADA"/>
            <w:vAlign w:val="center"/>
          </w:tcPr>
          <w:p w:rsidRPr="00DB1152" w:rsidR="009315ED" w:rsidP="00DB1152" w:rsidRDefault="009315ED" w14:paraId="3BD0A88A" w14:textId="77777777">
            <w:pPr>
              <w:keepNext/>
              <w:spacing w:after="0" w:line="240" w:lineRule="auto"/>
              <w:ind w:left="96" w:right="57"/>
              <w:jc w:val="center"/>
              <w:rPr>
                <w:rFonts w:ascii="Times New Roman" w:hAnsi="Times New Roman" w:cs="Times New Roman"/>
                <w:b/>
                <w:sz w:val="20"/>
                <w:szCs w:val="20"/>
              </w:rPr>
            </w:pPr>
            <w:r w:rsidRPr="00DB1152">
              <w:rPr>
                <w:rFonts w:ascii="Times New Roman" w:hAnsi="Times New Roman" w:cs="Times New Roman"/>
                <w:b/>
                <w:sz w:val="20"/>
                <w:szCs w:val="20"/>
              </w:rPr>
              <w:t>Annual Frequency</w:t>
            </w:r>
          </w:p>
        </w:tc>
        <w:tc>
          <w:tcPr>
            <w:tcW w:w="1020" w:type="dxa"/>
            <w:tcBorders>
              <w:left w:val="single" w:color="000000" w:sz="6" w:space="0"/>
            </w:tcBorders>
            <w:shd w:val="clear" w:color="auto" w:fill="DADADA"/>
            <w:vAlign w:val="center"/>
          </w:tcPr>
          <w:p w:rsidRPr="00DB1152" w:rsidR="009315ED" w:rsidP="00DB1152" w:rsidRDefault="009315ED" w14:paraId="4EDE81F6" w14:textId="77777777">
            <w:pPr>
              <w:keepNext/>
              <w:spacing w:after="0" w:line="240" w:lineRule="auto"/>
              <w:ind w:left="92" w:right="32"/>
              <w:jc w:val="center"/>
              <w:rPr>
                <w:rFonts w:ascii="Times New Roman" w:hAnsi="Times New Roman" w:cs="Times New Roman"/>
                <w:b/>
                <w:sz w:val="20"/>
                <w:szCs w:val="20"/>
              </w:rPr>
            </w:pPr>
            <w:r w:rsidRPr="00DB1152">
              <w:rPr>
                <w:rFonts w:ascii="Times New Roman" w:hAnsi="Times New Roman" w:cs="Times New Roman"/>
                <w:b/>
                <w:sz w:val="20"/>
                <w:szCs w:val="20"/>
              </w:rPr>
              <w:t>Unit Cost</w:t>
            </w:r>
          </w:p>
        </w:tc>
        <w:tc>
          <w:tcPr>
            <w:tcW w:w="1122" w:type="dxa"/>
            <w:tcBorders>
              <w:right w:val="single" w:color="000000" w:sz="6" w:space="0"/>
            </w:tcBorders>
            <w:shd w:val="clear" w:color="auto" w:fill="DADADA"/>
            <w:vAlign w:val="center"/>
          </w:tcPr>
          <w:p w:rsidRPr="00DB1152" w:rsidR="009315ED" w:rsidP="00DB1152" w:rsidRDefault="009315ED" w14:paraId="492C8D50" w14:textId="77777777">
            <w:pPr>
              <w:keepNext/>
              <w:spacing w:after="0" w:line="240" w:lineRule="auto"/>
              <w:ind w:left="61" w:right="67"/>
              <w:jc w:val="center"/>
              <w:rPr>
                <w:rFonts w:ascii="Times New Roman" w:hAnsi="Times New Roman" w:cs="Times New Roman"/>
                <w:b/>
                <w:sz w:val="20"/>
                <w:szCs w:val="20"/>
              </w:rPr>
            </w:pPr>
            <w:r w:rsidRPr="00DB1152">
              <w:rPr>
                <w:rFonts w:ascii="Times New Roman" w:hAnsi="Times New Roman" w:cs="Times New Roman"/>
                <w:b/>
                <w:sz w:val="20"/>
                <w:szCs w:val="20"/>
              </w:rPr>
              <w:t>Facilities</w:t>
            </w:r>
          </w:p>
        </w:tc>
        <w:tc>
          <w:tcPr>
            <w:tcW w:w="1188" w:type="dxa"/>
            <w:tcBorders>
              <w:left w:val="single" w:color="000000" w:sz="6" w:space="0"/>
            </w:tcBorders>
            <w:shd w:val="clear" w:color="auto" w:fill="DADADA"/>
            <w:vAlign w:val="center"/>
          </w:tcPr>
          <w:p w:rsidRPr="00DB1152" w:rsidR="009315ED" w:rsidP="00DB1152" w:rsidRDefault="009315ED" w14:paraId="4D3612D3" w14:textId="77777777">
            <w:pPr>
              <w:keepNext/>
              <w:spacing w:after="0" w:line="240" w:lineRule="auto"/>
              <w:ind w:left="81" w:right="51"/>
              <w:jc w:val="center"/>
              <w:rPr>
                <w:rFonts w:ascii="Times New Roman" w:hAnsi="Times New Roman" w:cs="Times New Roman"/>
                <w:b/>
                <w:sz w:val="20"/>
                <w:szCs w:val="20"/>
              </w:rPr>
            </w:pPr>
            <w:r w:rsidRPr="00DB1152">
              <w:rPr>
                <w:rFonts w:ascii="Times New Roman" w:hAnsi="Times New Roman" w:cs="Times New Roman"/>
                <w:b/>
                <w:sz w:val="20"/>
                <w:szCs w:val="20"/>
              </w:rPr>
              <w:t>Total Initial Cost</w:t>
            </w:r>
          </w:p>
        </w:tc>
      </w:tr>
      <w:tr w:rsidRPr="00693892" w:rsidR="00862A3C" w:rsidTr="00DB1152" w14:paraId="5E2CDBC7" w14:textId="77777777">
        <w:trPr>
          <w:trHeight w:val="315"/>
          <w:jc w:val="center"/>
        </w:trPr>
        <w:tc>
          <w:tcPr>
            <w:tcW w:w="2373" w:type="dxa"/>
            <w:tcBorders>
              <w:top w:val="single" w:color="000000" w:sz="6" w:space="0"/>
              <w:left w:val="single" w:color="000000" w:sz="6" w:space="0"/>
              <w:bottom w:val="single" w:color="000000" w:sz="6" w:space="0"/>
              <w:right w:val="single" w:color="000000" w:sz="6" w:space="0"/>
            </w:tcBorders>
            <w:vAlign w:val="center"/>
          </w:tcPr>
          <w:p w:rsidRPr="00DB1152" w:rsidR="00862A3C" w:rsidP="00ED3152" w:rsidRDefault="00CA6898" w14:paraId="755B6F8C" w14:textId="42F45D21">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Simple</w:t>
            </w:r>
          </w:p>
        </w:tc>
        <w:tc>
          <w:tcPr>
            <w:tcW w:w="1137" w:type="dxa"/>
            <w:tcBorders>
              <w:top w:val="single" w:color="000000" w:sz="6" w:space="0"/>
              <w:left w:val="single" w:color="000000" w:sz="6" w:space="0"/>
              <w:bottom w:val="single" w:color="000000" w:sz="6" w:space="0"/>
              <w:right w:val="single" w:color="000000" w:sz="6" w:space="0"/>
            </w:tcBorders>
            <w:vAlign w:val="center"/>
          </w:tcPr>
          <w:p w:rsidRPr="00DB1152" w:rsidR="00862A3C" w:rsidP="00DB1152" w:rsidRDefault="00F979E9" w14:paraId="4FD3490A" w14:textId="325BD553">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1</w:t>
            </w:r>
          </w:p>
        </w:tc>
        <w:tc>
          <w:tcPr>
            <w:tcW w:w="1020" w:type="dxa"/>
            <w:tcBorders>
              <w:top w:val="single" w:color="000000" w:sz="6" w:space="0"/>
              <w:left w:val="single" w:color="000000" w:sz="6" w:space="0"/>
              <w:bottom w:val="single" w:color="000000" w:sz="6" w:space="0"/>
            </w:tcBorders>
            <w:vAlign w:val="center"/>
          </w:tcPr>
          <w:p w:rsidRPr="00DB1152" w:rsidR="00862A3C" w:rsidP="00DB1152" w:rsidRDefault="00EA44FB" w14:paraId="77A5F625" w14:textId="25A7016C">
            <w:pPr>
              <w:keepNext/>
              <w:spacing w:after="0" w:line="240" w:lineRule="auto"/>
              <w:ind w:left="92" w:right="30"/>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w:t>
            </w:r>
            <w:r w:rsidRPr="00DB1152" w:rsidR="00E54DC6">
              <w:rPr>
                <w:rFonts w:ascii="Times New Roman" w:hAnsi="Times New Roman" w:cs="Times New Roman"/>
                <w:color w:val="000000"/>
                <w:sz w:val="20"/>
                <w:szCs w:val="20"/>
              </w:rPr>
              <w:t>55</w:t>
            </w:r>
          </w:p>
        </w:tc>
        <w:tc>
          <w:tcPr>
            <w:tcW w:w="1122" w:type="dxa"/>
            <w:tcBorders>
              <w:top w:val="single" w:color="000000" w:sz="6" w:space="0"/>
              <w:bottom w:val="single" w:color="000000" w:sz="6" w:space="0"/>
              <w:right w:val="single" w:color="000000" w:sz="6" w:space="0"/>
            </w:tcBorders>
            <w:vAlign w:val="center"/>
          </w:tcPr>
          <w:p w:rsidRPr="00DB1152" w:rsidR="00862A3C" w:rsidP="00DB1152" w:rsidRDefault="00EA44FB" w14:paraId="34E0F0C3" w14:textId="0CC5030E">
            <w:pPr>
              <w:keepNext/>
              <w:spacing w:after="0" w:line="240" w:lineRule="auto"/>
              <w:ind w:left="77" w:right="65"/>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5,578</w:t>
            </w:r>
          </w:p>
        </w:tc>
        <w:tc>
          <w:tcPr>
            <w:tcW w:w="1188" w:type="dxa"/>
            <w:tcBorders>
              <w:top w:val="single" w:color="000000" w:sz="6" w:space="0"/>
              <w:left w:val="single" w:color="000000" w:sz="6" w:space="0"/>
              <w:bottom w:val="single" w:color="000000" w:sz="6" w:space="0"/>
            </w:tcBorders>
            <w:vAlign w:val="center"/>
          </w:tcPr>
          <w:p w:rsidRPr="00DB1152" w:rsidR="00862A3C" w:rsidP="00DB1152" w:rsidRDefault="00EA44FB" w14:paraId="3481447A" w14:textId="2210BCC6">
            <w:pPr>
              <w:keepNext/>
              <w:spacing w:after="0" w:line="240" w:lineRule="auto"/>
              <w:ind w:left="83" w:right="51"/>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w:t>
            </w:r>
            <w:r w:rsidRPr="00DB1152" w:rsidR="00E54DC6">
              <w:rPr>
                <w:rFonts w:ascii="Times New Roman" w:hAnsi="Times New Roman" w:cs="Times New Roman"/>
                <w:color w:val="000000"/>
                <w:sz w:val="20"/>
                <w:szCs w:val="20"/>
              </w:rPr>
              <w:t>304,009</w:t>
            </w:r>
          </w:p>
        </w:tc>
      </w:tr>
      <w:tr w:rsidRPr="00693892" w:rsidR="00862A3C" w:rsidTr="00DB1152" w14:paraId="15E3D513" w14:textId="77777777">
        <w:trPr>
          <w:trHeight w:val="315"/>
          <w:jc w:val="center"/>
        </w:trPr>
        <w:tc>
          <w:tcPr>
            <w:tcW w:w="2373" w:type="dxa"/>
            <w:tcBorders>
              <w:top w:val="single" w:color="000000" w:sz="6" w:space="0"/>
              <w:left w:val="single" w:color="000000" w:sz="6" w:space="0"/>
              <w:bottom w:val="single" w:color="000000" w:sz="6" w:space="0"/>
              <w:right w:val="single" w:color="000000" w:sz="6" w:space="0"/>
            </w:tcBorders>
            <w:vAlign w:val="center"/>
          </w:tcPr>
          <w:p w:rsidRPr="00DB1152" w:rsidR="00862A3C" w:rsidP="00ED3152" w:rsidRDefault="00CA6898" w14:paraId="4A968DD5" w14:textId="5F3201F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Complex</w:t>
            </w:r>
          </w:p>
        </w:tc>
        <w:tc>
          <w:tcPr>
            <w:tcW w:w="1137" w:type="dxa"/>
            <w:tcBorders>
              <w:top w:val="single" w:color="000000" w:sz="6" w:space="0"/>
              <w:left w:val="single" w:color="000000" w:sz="6" w:space="0"/>
              <w:bottom w:val="single" w:color="000000" w:sz="6" w:space="0"/>
              <w:right w:val="single" w:color="000000" w:sz="6" w:space="0"/>
            </w:tcBorders>
            <w:vAlign w:val="center"/>
          </w:tcPr>
          <w:p w:rsidRPr="00DB1152" w:rsidR="00862A3C" w:rsidP="00DB1152" w:rsidRDefault="00F979E9" w14:paraId="0CCC0F01" w14:textId="0813A0BB">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1</w:t>
            </w:r>
          </w:p>
        </w:tc>
        <w:tc>
          <w:tcPr>
            <w:tcW w:w="1020" w:type="dxa"/>
            <w:tcBorders>
              <w:top w:val="single" w:color="000000" w:sz="6" w:space="0"/>
              <w:left w:val="single" w:color="000000" w:sz="6" w:space="0"/>
              <w:bottom w:val="single" w:color="000000" w:sz="6" w:space="0"/>
            </w:tcBorders>
            <w:vAlign w:val="center"/>
          </w:tcPr>
          <w:p w:rsidRPr="00DB1152" w:rsidR="00862A3C" w:rsidP="00DB1152" w:rsidRDefault="00EA44FB" w14:paraId="0B685F0D" w14:textId="5E531E22">
            <w:pPr>
              <w:keepNext/>
              <w:spacing w:after="0" w:line="240" w:lineRule="auto"/>
              <w:ind w:left="92" w:right="30"/>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$7</w:t>
            </w:r>
            <w:r w:rsidRPr="00DB1152" w:rsidR="00E54DC6">
              <w:rPr>
                <w:rFonts w:ascii="Times New Roman" w:hAnsi="Times New Roman" w:cs="Times New Roman"/>
                <w:color w:val="000000"/>
                <w:sz w:val="20"/>
                <w:szCs w:val="20"/>
              </w:rPr>
              <w:t>9</w:t>
            </w:r>
          </w:p>
        </w:tc>
        <w:tc>
          <w:tcPr>
            <w:tcW w:w="1122" w:type="dxa"/>
            <w:tcBorders>
              <w:top w:val="single" w:color="000000" w:sz="6" w:space="0"/>
              <w:bottom w:val="single" w:color="000000" w:sz="6" w:space="0"/>
              <w:right w:val="single" w:color="000000" w:sz="6" w:space="0"/>
            </w:tcBorders>
            <w:vAlign w:val="center"/>
          </w:tcPr>
          <w:p w:rsidRPr="00DB1152" w:rsidR="00862A3C" w:rsidP="00DB1152" w:rsidRDefault="00EA44FB" w14:paraId="3E13265A" w14:textId="53DECA25">
            <w:pPr>
              <w:keepNext/>
              <w:spacing w:after="0" w:line="240" w:lineRule="auto"/>
              <w:ind w:left="77" w:right="65"/>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1,527</w:t>
            </w:r>
          </w:p>
        </w:tc>
        <w:tc>
          <w:tcPr>
            <w:tcW w:w="1188" w:type="dxa"/>
            <w:tcBorders>
              <w:top w:val="single" w:color="000000" w:sz="6" w:space="0"/>
              <w:left w:val="single" w:color="000000" w:sz="6" w:space="0"/>
              <w:bottom w:val="single" w:color="000000" w:sz="6" w:space="0"/>
            </w:tcBorders>
            <w:vAlign w:val="center"/>
          </w:tcPr>
          <w:p w:rsidRPr="00DB1152" w:rsidR="00862A3C" w:rsidP="00DB1152" w:rsidRDefault="00EA44FB" w14:paraId="7FB3201C" w14:textId="3B13A1AD">
            <w:pPr>
              <w:keepNext/>
              <w:spacing w:after="0" w:line="240" w:lineRule="auto"/>
              <w:ind w:left="83" w:right="51"/>
              <w:jc w:val="center"/>
              <w:rPr>
                <w:rFonts w:ascii="Times New Roman" w:hAnsi="Times New Roman" w:cs="Times New Roman"/>
                <w:color w:val="000000"/>
                <w:sz w:val="20"/>
                <w:szCs w:val="20"/>
              </w:rPr>
            </w:pPr>
            <w:r w:rsidRPr="00DB1152">
              <w:rPr>
                <w:rFonts w:ascii="Times New Roman" w:hAnsi="Times New Roman" w:cs="Times New Roman"/>
                <w:color w:val="000000"/>
                <w:sz w:val="20"/>
                <w:szCs w:val="20"/>
              </w:rPr>
              <w:t>$1</w:t>
            </w:r>
            <w:r w:rsidRPr="00DB1152" w:rsidR="00E54DC6">
              <w:rPr>
                <w:rFonts w:ascii="Times New Roman" w:hAnsi="Times New Roman" w:cs="Times New Roman"/>
                <w:color w:val="000000"/>
                <w:sz w:val="20"/>
                <w:szCs w:val="20"/>
              </w:rPr>
              <w:t>19</w:t>
            </w:r>
            <w:r w:rsidRPr="00DB1152">
              <w:rPr>
                <w:rFonts w:ascii="Times New Roman" w:hAnsi="Times New Roman" w:cs="Times New Roman"/>
                <w:color w:val="000000"/>
                <w:sz w:val="20"/>
                <w:szCs w:val="20"/>
              </w:rPr>
              <w:t>,</w:t>
            </w:r>
            <w:r w:rsidRPr="00DB1152" w:rsidR="00527F97">
              <w:rPr>
                <w:rFonts w:ascii="Times New Roman" w:hAnsi="Times New Roman" w:cs="Times New Roman"/>
                <w:color w:val="000000"/>
                <w:sz w:val="20"/>
                <w:szCs w:val="20"/>
              </w:rPr>
              <w:t>898</w:t>
            </w:r>
          </w:p>
        </w:tc>
      </w:tr>
      <w:tr w:rsidRPr="00693892" w:rsidR="009315ED" w:rsidTr="00DB1152" w14:paraId="67CF7687" w14:textId="77777777">
        <w:trPr>
          <w:trHeight w:val="337"/>
          <w:jc w:val="center"/>
        </w:trPr>
        <w:tc>
          <w:tcPr>
            <w:tcW w:w="2373" w:type="dxa"/>
            <w:tcBorders>
              <w:left w:val="single" w:color="000000" w:sz="6" w:space="0"/>
              <w:bottom w:val="single" w:color="000000" w:sz="6" w:space="0"/>
              <w:right w:val="single" w:color="000000" w:sz="6" w:space="0"/>
            </w:tcBorders>
            <w:vAlign w:val="center"/>
          </w:tcPr>
          <w:p w:rsidRPr="00DB1152" w:rsidR="009315ED" w:rsidP="00DB1152" w:rsidRDefault="009315ED" w14:paraId="1DCD29F5" w14:textId="77777777">
            <w:pPr>
              <w:keepNext/>
              <w:spacing w:after="0" w:line="240" w:lineRule="auto"/>
              <w:ind w:left="878" w:right="842"/>
              <w:jc w:val="center"/>
              <w:rPr>
                <w:rFonts w:ascii="Times New Roman" w:hAnsi="Times New Roman" w:cs="Times New Roman"/>
                <w:b/>
                <w:sz w:val="20"/>
                <w:szCs w:val="20"/>
              </w:rPr>
            </w:pPr>
            <w:r w:rsidRPr="00DB1152">
              <w:rPr>
                <w:rFonts w:ascii="Times New Roman" w:hAnsi="Times New Roman" w:cs="Times New Roman"/>
                <w:b/>
                <w:sz w:val="20"/>
                <w:szCs w:val="20"/>
              </w:rPr>
              <w:t>Total</w:t>
            </w:r>
          </w:p>
        </w:tc>
        <w:tc>
          <w:tcPr>
            <w:tcW w:w="1137" w:type="dxa"/>
            <w:tcBorders>
              <w:left w:val="single" w:color="000000" w:sz="6" w:space="0"/>
              <w:bottom w:val="single" w:color="000000" w:sz="6" w:space="0"/>
              <w:right w:val="single" w:color="000000" w:sz="6" w:space="0"/>
            </w:tcBorders>
            <w:vAlign w:val="center"/>
          </w:tcPr>
          <w:p w:rsidRPr="00DB1152" w:rsidR="009315ED" w:rsidP="00DB1152" w:rsidRDefault="009315ED" w14:paraId="62CF553F" w14:textId="77777777">
            <w:pPr>
              <w:keepNext/>
              <w:spacing w:after="0" w:line="240" w:lineRule="auto"/>
              <w:jc w:val="center"/>
              <w:rPr>
                <w:rFonts w:ascii="Times New Roman" w:hAnsi="Times New Roman" w:cs="Times New Roman"/>
                <w:sz w:val="20"/>
                <w:szCs w:val="20"/>
              </w:rPr>
            </w:pPr>
          </w:p>
        </w:tc>
        <w:tc>
          <w:tcPr>
            <w:tcW w:w="1020" w:type="dxa"/>
            <w:tcBorders>
              <w:left w:val="single" w:color="000000" w:sz="6" w:space="0"/>
              <w:bottom w:val="single" w:color="000000" w:sz="6" w:space="0"/>
            </w:tcBorders>
            <w:vAlign w:val="center"/>
          </w:tcPr>
          <w:p w:rsidRPr="00DB1152" w:rsidR="009315ED" w:rsidP="00DB1152" w:rsidRDefault="009315ED" w14:paraId="47064966" w14:textId="77777777">
            <w:pPr>
              <w:keepNext/>
              <w:spacing w:after="0" w:line="240" w:lineRule="auto"/>
              <w:jc w:val="center"/>
              <w:rPr>
                <w:rFonts w:ascii="Times New Roman" w:hAnsi="Times New Roman" w:cs="Times New Roman"/>
                <w:sz w:val="20"/>
                <w:szCs w:val="20"/>
              </w:rPr>
            </w:pPr>
          </w:p>
        </w:tc>
        <w:tc>
          <w:tcPr>
            <w:tcW w:w="1122" w:type="dxa"/>
            <w:tcBorders>
              <w:bottom w:val="single" w:color="000000" w:sz="6" w:space="0"/>
              <w:right w:val="single" w:color="000000" w:sz="6" w:space="0"/>
            </w:tcBorders>
            <w:vAlign w:val="center"/>
          </w:tcPr>
          <w:p w:rsidRPr="00DB1152" w:rsidR="009315ED" w:rsidP="00DB1152" w:rsidRDefault="002A2EB3" w14:paraId="573A9D07" w14:textId="790DE370">
            <w:pPr>
              <w:keepNext/>
              <w:spacing w:after="0" w:line="240" w:lineRule="auto"/>
              <w:ind w:left="67" w:right="67"/>
              <w:jc w:val="center"/>
              <w:rPr>
                <w:rFonts w:ascii="Times New Roman" w:hAnsi="Times New Roman" w:cs="Times New Roman"/>
                <w:b/>
                <w:sz w:val="20"/>
                <w:szCs w:val="20"/>
              </w:rPr>
            </w:pPr>
            <w:r w:rsidRPr="00DB1152">
              <w:rPr>
                <w:rFonts w:ascii="Times New Roman" w:hAnsi="Times New Roman" w:cs="Times New Roman"/>
                <w:b/>
                <w:sz w:val="20"/>
                <w:szCs w:val="20"/>
              </w:rPr>
              <w:t>7,105</w:t>
            </w:r>
          </w:p>
        </w:tc>
        <w:tc>
          <w:tcPr>
            <w:tcW w:w="1188" w:type="dxa"/>
            <w:tcBorders>
              <w:left w:val="single" w:color="000000" w:sz="6" w:space="0"/>
              <w:bottom w:val="single" w:color="000000" w:sz="6" w:space="0"/>
            </w:tcBorders>
            <w:vAlign w:val="center"/>
          </w:tcPr>
          <w:p w:rsidRPr="00DB1152" w:rsidR="009315ED" w:rsidP="00DB1152" w:rsidRDefault="009315ED" w14:paraId="7EA7009D" w14:textId="6F8A1CAF">
            <w:pPr>
              <w:keepNext/>
              <w:spacing w:after="0" w:line="240" w:lineRule="auto"/>
              <w:jc w:val="center"/>
              <w:rPr>
                <w:rFonts w:ascii="Times New Roman" w:hAnsi="Times New Roman" w:cs="Times New Roman"/>
                <w:b/>
                <w:color w:val="000000"/>
                <w:sz w:val="20"/>
                <w:szCs w:val="20"/>
              </w:rPr>
            </w:pPr>
            <w:r w:rsidRPr="00DB1152">
              <w:rPr>
                <w:rFonts w:ascii="Times New Roman" w:hAnsi="Times New Roman" w:cs="Times New Roman"/>
                <w:b/>
                <w:color w:val="000000"/>
                <w:sz w:val="20"/>
                <w:szCs w:val="20"/>
              </w:rPr>
              <w:t>$</w:t>
            </w:r>
            <w:r w:rsidRPr="00DB1152" w:rsidR="00527F97">
              <w:rPr>
                <w:rFonts w:ascii="Times New Roman" w:hAnsi="Times New Roman" w:cs="Times New Roman"/>
                <w:b/>
                <w:color w:val="000000"/>
                <w:sz w:val="20"/>
                <w:szCs w:val="20"/>
              </w:rPr>
              <w:t>423</w:t>
            </w:r>
            <w:r w:rsidRPr="00DB1152" w:rsidR="002A2EB3">
              <w:rPr>
                <w:rFonts w:ascii="Times New Roman" w:hAnsi="Times New Roman" w:cs="Times New Roman"/>
                <w:b/>
                <w:color w:val="000000"/>
                <w:sz w:val="20"/>
                <w:szCs w:val="20"/>
              </w:rPr>
              <w:t>,</w:t>
            </w:r>
            <w:r w:rsidRPr="00DB1152" w:rsidR="00527F97">
              <w:rPr>
                <w:rFonts w:ascii="Times New Roman" w:hAnsi="Times New Roman" w:cs="Times New Roman"/>
                <w:b/>
                <w:color w:val="000000"/>
                <w:sz w:val="20"/>
                <w:szCs w:val="20"/>
              </w:rPr>
              <w:t>906</w:t>
            </w:r>
          </w:p>
        </w:tc>
      </w:tr>
    </w:tbl>
    <w:p w:rsidRPr="00693892" w:rsidR="009315ED" w:rsidP="004051AB" w:rsidRDefault="009315ED" w14:paraId="26BE35D6" w14:textId="77777777">
      <w:pPr>
        <w:spacing w:after="0" w:line="240" w:lineRule="auto"/>
        <w:rPr>
          <w:rFonts w:ascii="Times New Roman" w:hAnsi="Times New Roman" w:cs="Times New Roman"/>
          <w:i/>
          <w:shd w:val="clear" w:color="auto" w:fill="FFFFFF"/>
        </w:rPr>
      </w:pPr>
    </w:p>
    <w:p w:rsidRPr="00693892" w:rsidR="009C7B7A" w:rsidP="00813745" w:rsidRDefault="00456CC3" w14:paraId="5C0F4139" w14:textId="596E6205">
      <w:pPr>
        <w:pStyle w:val="Heading2"/>
      </w:pPr>
      <w:r w:rsidRPr="00693892">
        <w:br/>
      </w:r>
      <w:bookmarkStart w:name="_Toc98856236" w:id="140"/>
      <w:bookmarkStart w:name="_Toc110502766" w:id="141"/>
      <w:r w:rsidRPr="00693892" w:rsidR="000366AA">
        <w:t>7</w:t>
      </w:r>
      <w:r w:rsidRPr="00693892" w:rsidR="004F72E5">
        <w:t xml:space="preserve">.2 </w:t>
      </w:r>
      <w:r w:rsidRPr="00693892" w:rsidR="009C7B7A">
        <w:t>High</w:t>
      </w:r>
      <w:r w:rsidRPr="00693892" w:rsidR="004779BB">
        <w:t>er</w:t>
      </w:r>
      <w:r w:rsidRPr="00693892" w:rsidR="009C7B7A">
        <w:t xml:space="preserve"> Cost Regulatory Alternative</w:t>
      </w:r>
      <w:bookmarkEnd w:id="140"/>
      <w:bookmarkEnd w:id="141"/>
    </w:p>
    <w:p w:rsidR="004B312A" w:rsidP="000E6E0F" w:rsidRDefault="0085129C" w14:paraId="3E32EA98" w14:textId="5901491A">
      <w:pPr>
        <w:spacing w:after="0" w:line="240" w:lineRule="auto"/>
        <w:ind w:firstLine="360"/>
        <w:rPr>
          <w:rFonts w:ascii="Times New Roman" w:hAnsi="Times New Roman" w:cs="Times New Roman"/>
        </w:rPr>
      </w:pPr>
      <w:r>
        <w:rPr>
          <w:rFonts w:ascii="Times New Roman" w:hAnsi="Times New Roman" w:cs="Times New Roman"/>
        </w:rPr>
        <w:tab/>
      </w:r>
      <w:r w:rsidRPr="00693892" w:rsidR="001B169E">
        <w:rPr>
          <w:rFonts w:ascii="Times New Roman" w:hAnsi="Times New Roman" w:cs="Times New Roman"/>
        </w:rPr>
        <w:t>The high</w:t>
      </w:r>
      <w:r w:rsidRPr="00693892" w:rsidR="004779BB">
        <w:rPr>
          <w:rFonts w:ascii="Times New Roman" w:hAnsi="Times New Roman" w:cs="Times New Roman"/>
        </w:rPr>
        <w:t>er</w:t>
      </w:r>
      <w:r w:rsidRPr="00693892" w:rsidR="001B169E">
        <w:rPr>
          <w:rFonts w:ascii="Times New Roman" w:hAnsi="Times New Roman" w:cs="Times New Roman"/>
        </w:rPr>
        <w:t xml:space="preserve"> cost regulatory alternative</w:t>
      </w:r>
      <w:r w:rsidRPr="00693892" w:rsidR="008D5242">
        <w:rPr>
          <w:rFonts w:ascii="Times New Roman" w:hAnsi="Times New Roman" w:cs="Times New Roman"/>
        </w:rPr>
        <w:t xml:space="preserve"> includes </w:t>
      </w:r>
      <w:r w:rsidRPr="00693892" w:rsidR="00313D7C">
        <w:rPr>
          <w:rFonts w:ascii="Times New Roman" w:hAnsi="Times New Roman" w:cs="Times New Roman"/>
        </w:rPr>
        <w:t xml:space="preserve">more stringent </w:t>
      </w:r>
      <w:r w:rsidRPr="00693892" w:rsidR="00713378">
        <w:rPr>
          <w:rFonts w:ascii="Times New Roman" w:hAnsi="Times New Roman" w:cs="Times New Roman"/>
        </w:rPr>
        <w:t xml:space="preserve">STAA </w:t>
      </w:r>
      <w:r w:rsidR="004B312A">
        <w:rPr>
          <w:rFonts w:ascii="Times New Roman" w:hAnsi="Times New Roman" w:cs="Times New Roman"/>
        </w:rPr>
        <w:t xml:space="preserve">and </w:t>
      </w:r>
      <w:r w:rsidRPr="00693892" w:rsidR="004B312A">
        <w:rPr>
          <w:rFonts w:ascii="Times New Roman" w:hAnsi="Times New Roman" w:cs="Times New Roman"/>
        </w:rPr>
        <w:t xml:space="preserve">third-party audit </w:t>
      </w:r>
      <w:r w:rsidRPr="00693892" w:rsidR="00713378">
        <w:rPr>
          <w:rFonts w:ascii="Times New Roman" w:hAnsi="Times New Roman" w:cs="Times New Roman"/>
        </w:rPr>
        <w:t>provision</w:t>
      </w:r>
      <w:r w:rsidRPr="00693892" w:rsidR="00603834">
        <w:rPr>
          <w:rFonts w:ascii="Times New Roman" w:hAnsi="Times New Roman" w:cs="Times New Roman"/>
        </w:rPr>
        <w:t>s</w:t>
      </w:r>
      <w:r w:rsidRPr="00693892" w:rsidR="00713378">
        <w:rPr>
          <w:rFonts w:ascii="Times New Roman" w:hAnsi="Times New Roman" w:cs="Times New Roman"/>
        </w:rPr>
        <w:t xml:space="preserve"> </w:t>
      </w:r>
      <w:r w:rsidRPr="00693892" w:rsidR="00313D7C">
        <w:rPr>
          <w:rFonts w:ascii="Times New Roman" w:hAnsi="Times New Roman" w:cs="Times New Roman"/>
        </w:rPr>
        <w:t xml:space="preserve">than the proposed rule, combined with the proposed version of all other provisions. </w:t>
      </w:r>
    </w:p>
    <w:p w:rsidR="00112CB6" w:rsidP="000E6E0F" w:rsidRDefault="00112CB6" w14:paraId="3CF5F0E5" w14:textId="77777777">
      <w:pPr>
        <w:spacing w:after="0" w:line="240" w:lineRule="auto"/>
        <w:ind w:firstLine="360"/>
        <w:rPr>
          <w:rFonts w:ascii="Times New Roman" w:hAnsi="Times New Roman" w:cs="Times New Roman"/>
        </w:rPr>
      </w:pPr>
    </w:p>
    <w:p w:rsidRPr="00693892" w:rsidR="00112CB6" w:rsidP="00112CB6" w:rsidRDefault="00112CB6" w14:paraId="1B7C5F63" w14:textId="42A56EE2">
      <w:pPr>
        <w:spacing w:after="0" w:line="240" w:lineRule="auto"/>
        <w:ind w:firstLine="360"/>
        <w:rPr>
          <w:rFonts w:ascii="Times New Roman" w:hAnsi="Times New Roman" w:cs="Times New Roman"/>
        </w:rPr>
      </w:pPr>
      <w:r>
        <w:rPr>
          <w:rFonts w:ascii="Times New Roman" w:hAnsi="Times New Roman" w:cs="Times New Roman"/>
        </w:rPr>
        <w:tab/>
      </w:r>
      <w:r w:rsidRPr="00693892">
        <w:rPr>
          <w:rFonts w:ascii="Times New Roman" w:hAnsi="Times New Roman" w:cs="Times New Roman"/>
        </w:rPr>
        <w:t>The more stringent STAA provision would require a STAA analysis for all complex (NAICS 324 or NAICS 325) facilities with a Program 3 process. The unit costs applied to the STAA provision are consistent with the unit costs presented in Exhibit 4-5 except that the weighting of facilities is based on a smaller portion of facilities with HF units (43 facilities with HF units out of 142 refineries with Program 3 processes), resulting in a lower per facility cost for the refinery practicability analysis. The total costs of the high cost STAA provision are summarized in Exhibit 7-</w:t>
      </w:r>
      <w:r>
        <w:rPr>
          <w:rFonts w:ascii="Times New Roman" w:hAnsi="Times New Roman" w:cs="Times New Roman"/>
        </w:rPr>
        <w:t>4</w:t>
      </w:r>
      <w:r w:rsidRPr="00693892">
        <w:rPr>
          <w:rFonts w:ascii="Times New Roman" w:hAnsi="Times New Roman" w:cs="Times New Roman"/>
        </w:rPr>
        <w:t>.</w:t>
      </w:r>
    </w:p>
    <w:p w:rsidRPr="00693892" w:rsidR="00112CB6" w:rsidP="00112CB6" w:rsidRDefault="00112CB6" w14:paraId="0D640EFE" w14:textId="77777777">
      <w:pPr>
        <w:spacing w:after="0" w:line="240" w:lineRule="auto"/>
        <w:ind w:firstLine="720"/>
        <w:rPr>
          <w:rFonts w:ascii="Times New Roman" w:hAnsi="Times New Roman" w:cs="Times New Roman"/>
        </w:rPr>
      </w:pPr>
    </w:p>
    <w:p w:rsidRPr="00693892" w:rsidR="00112CB6" w:rsidP="00112CB6" w:rsidRDefault="00112CB6" w14:paraId="529FD853" w14:textId="718F722E">
      <w:pPr>
        <w:keepNext/>
        <w:spacing w:after="0" w:line="240" w:lineRule="auto"/>
        <w:jc w:val="center"/>
        <w:rPr>
          <w:rFonts w:ascii="Times New Roman" w:hAnsi="Times New Roman" w:cs="Times New Roman"/>
          <w:b/>
        </w:rPr>
      </w:pPr>
      <w:r w:rsidRPr="00DB1152">
        <w:rPr>
          <w:rFonts w:ascii="Times New Roman" w:hAnsi="Times New Roman" w:cs="Times New Roman"/>
          <w:b/>
        </w:rPr>
        <w:t xml:space="preserve">Exhibit </w:t>
      </w:r>
      <w:r w:rsidRPr="00693892">
        <w:rPr>
          <w:rFonts w:ascii="Times New Roman" w:hAnsi="Times New Roman" w:cs="Times New Roman"/>
          <w:b/>
        </w:rPr>
        <w:t>7-</w:t>
      </w:r>
      <w:r>
        <w:rPr>
          <w:rFonts w:ascii="Times New Roman" w:hAnsi="Times New Roman" w:cs="Times New Roman"/>
          <w:b/>
        </w:rPr>
        <w:t>4</w:t>
      </w:r>
      <w:r w:rsidRPr="00693892">
        <w:rPr>
          <w:rFonts w:ascii="Times New Roman" w:hAnsi="Times New Roman" w:cs="Times New Roman"/>
          <w:b/>
        </w:rPr>
        <w:t>: Total Undiscounted Costs for STAA Provision</w:t>
      </w:r>
    </w:p>
    <w:p w:rsidR="00112CB6" w:rsidP="00112CB6" w:rsidRDefault="00112CB6" w14:paraId="593ACEE1" w14:textId="77777777">
      <w:pPr>
        <w:keepNext/>
        <w:spacing w:after="0" w:line="240" w:lineRule="auto"/>
        <w:jc w:val="center"/>
        <w:rPr>
          <w:rFonts w:ascii="Times New Roman" w:hAnsi="Times New Roman" w:cs="Times New Roman"/>
          <w:b/>
        </w:rPr>
      </w:pPr>
      <w:r w:rsidRPr="00693892">
        <w:rPr>
          <w:rFonts w:ascii="Times New Roman" w:hAnsi="Times New Roman" w:cs="Times New Roman"/>
          <w:b/>
        </w:rPr>
        <w:t xml:space="preserve"> High</w:t>
      </w:r>
      <w:r>
        <w:rPr>
          <w:rFonts w:ascii="Times New Roman" w:hAnsi="Times New Roman" w:cs="Times New Roman"/>
          <w:b/>
        </w:rPr>
        <w:t>er</w:t>
      </w:r>
      <w:r w:rsidRPr="00693892">
        <w:rPr>
          <w:rFonts w:ascii="Times New Roman" w:hAnsi="Times New Roman" w:cs="Times New Roman"/>
          <w:b/>
        </w:rPr>
        <w:t xml:space="preserve"> Cost Regulatory Alternative </w:t>
      </w:r>
      <w:r>
        <w:rPr>
          <w:rFonts w:ascii="Times New Roman" w:hAnsi="Times New Roman" w:cs="Times New Roman"/>
          <w:b/>
        </w:rPr>
        <w:t>(</w:t>
      </w:r>
      <w:r w:rsidRPr="00693892">
        <w:rPr>
          <w:rFonts w:ascii="Times New Roman" w:hAnsi="Times New Roman" w:cs="Times New Roman"/>
          <w:b/>
        </w:rPr>
        <w:t>2020 Dollars)</w:t>
      </w:r>
      <w:r>
        <w:rPr>
          <w:rFonts w:ascii="Times New Roman" w:hAnsi="Times New Roman" w:cs="Times New Roman"/>
          <w:b/>
        </w:rPr>
        <w:t>.</w:t>
      </w:r>
    </w:p>
    <w:p w:rsidRPr="00DB1152" w:rsidR="00112CB6" w:rsidP="00112CB6" w:rsidRDefault="00112CB6" w14:paraId="401F68B4" w14:textId="77777777">
      <w:pPr>
        <w:keepNext/>
        <w:spacing w:after="0" w:line="240" w:lineRule="auto"/>
        <w:jc w:val="center"/>
        <w:rPr>
          <w:rFonts w:ascii="Times New Roman" w:hAnsi="Times New Roman" w:cs="Times New Roman"/>
          <w:i/>
          <w:color w:val="2F5496" w:themeColor="accent1" w:themeShade="BF"/>
        </w:rPr>
      </w:pPr>
    </w:p>
    <w:tbl>
      <w:tblPr>
        <w:tblW w:w="8172" w:type="dxa"/>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682"/>
        <w:gridCol w:w="1350"/>
        <w:gridCol w:w="1350"/>
        <w:gridCol w:w="1260"/>
        <w:gridCol w:w="1530"/>
      </w:tblGrid>
      <w:tr w:rsidRPr="00693892" w:rsidR="00112CB6" w:rsidTr="00E6210A" w14:paraId="576E11E8" w14:textId="77777777">
        <w:trPr>
          <w:trHeight w:val="615"/>
          <w:tblHeader/>
        </w:trPr>
        <w:tc>
          <w:tcPr>
            <w:tcW w:w="2682" w:type="dxa"/>
            <w:tcBorders>
              <w:bottom w:val="single" w:color="000000" w:sz="8" w:space="0"/>
            </w:tcBorders>
            <w:shd w:val="clear" w:color="auto" w:fill="DADADA"/>
            <w:vAlign w:val="bottom"/>
          </w:tcPr>
          <w:p w:rsidRPr="00693892" w:rsidR="00112CB6" w:rsidP="00E6210A" w:rsidRDefault="00112CB6" w14:paraId="10008880" w14:textId="77777777">
            <w:pPr>
              <w:keepNext/>
              <w:spacing w:after="0" w:line="240" w:lineRule="auto"/>
              <w:ind w:left="163" w:right="79"/>
              <w:jc w:val="center"/>
              <w:rPr>
                <w:rFonts w:ascii="Times New Roman" w:hAnsi="Times New Roman" w:cs="Times New Roman"/>
                <w:b/>
              </w:rPr>
            </w:pPr>
            <w:r w:rsidRPr="00693892">
              <w:rPr>
                <w:rFonts w:ascii="Times New Roman" w:hAnsi="Times New Roman" w:cs="Times New Roman"/>
                <w:b/>
              </w:rPr>
              <w:t>Facility Type</w:t>
            </w:r>
          </w:p>
        </w:tc>
        <w:tc>
          <w:tcPr>
            <w:tcW w:w="1350" w:type="dxa"/>
            <w:tcBorders>
              <w:bottom w:val="single" w:color="000000" w:sz="8" w:space="0"/>
            </w:tcBorders>
            <w:shd w:val="clear" w:color="auto" w:fill="DADADA"/>
            <w:vAlign w:val="bottom"/>
          </w:tcPr>
          <w:p w:rsidRPr="00693892" w:rsidR="00112CB6" w:rsidP="00E6210A" w:rsidRDefault="00112CB6" w14:paraId="7F81586F" w14:textId="77777777">
            <w:pPr>
              <w:keepNext/>
              <w:spacing w:after="0" w:line="240" w:lineRule="auto"/>
              <w:ind w:left="93" w:right="57"/>
              <w:jc w:val="center"/>
              <w:rPr>
                <w:rFonts w:ascii="Times New Roman" w:hAnsi="Times New Roman" w:cs="Times New Roman"/>
                <w:b/>
              </w:rPr>
            </w:pPr>
            <w:r w:rsidRPr="00693892">
              <w:rPr>
                <w:rFonts w:ascii="Times New Roman" w:hAnsi="Times New Roman" w:cs="Times New Roman"/>
                <w:b/>
              </w:rPr>
              <w:t>Annual Frequency</w:t>
            </w:r>
          </w:p>
        </w:tc>
        <w:tc>
          <w:tcPr>
            <w:tcW w:w="1350" w:type="dxa"/>
            <w:tcBorders>
              <w:bottom w:val="single" w:color="000000" w:sz="8" w:space="0"/>
            </w:tcBorders>
            <w:shd w:val="clear" w:color="auto" w:fill="DADADA"/>
            <w:vAlign w:val="bottom"/>
          </w:tcPr>
          <w:p w:rsidRPr="00693892" w:rsidR="00112CB6" w:rsidP="00E6210A" w:rsidRDefault="00112CB6" w14:paraId="202A9489" w14:textId="77777777">
            <w:pPr>
              <w:keepNext/>
              <w:spacing w:after="0" w:line="240" w:lineRule="auto"/>
              <w:jc w:val="center"/>
              <w:rPr>
                <w:rFonts w:ascii="Times New Roman" w:hAnsi="Times New Roman" w:cs="Times New Roman"/>
                <w:b/>
              </w:rPr>
            </w:pPr>
            <w:r w:rsidRPr="00693892">
              <w:rPr>
                <w:rFonts w:ascii="Times New Roman" w:hAnsi="Times New Roman" w:cs="Times New Roman"/>
                <w:b/>
              </w:rPr>
              <w:t>Unit Cost</w:t>
            </w:r>
          </w:p>
        </w:tc>
        <w:tc>
          <w:tcPr>
            <w:tcW w:w="1260" w:type="dxa"/>
            <w:tcBorders>
              <w:bottom w:val="single" w:color="000000" w:sz="8" w:space="0"/>
            </w:tcBorders>
            <w:shd w:val="clear" w:color="auto" w:fill="DADADA"/>
            <w:vAlign w:val="bottom"/>
          </w:tcPr>
          <w:p w:rsidRPr="00693892" w:rsidR="00112CB6" w:rsidP="00E6210A" w:rsidRDefault="00112CB6" w14:paraId="1C910923" w14:textId="77777777">
            <w:pPr>
              <w:keepNext/>
              <w:spacing w:after="0" w:line="240" w:lineRule="auto"/>
              <w:ind w:left="98" w:right="76"/>
              <w:jc w:val="center"/>
              <w:rPr>
                <w:rFonts w:ascii="Times New Roman" w:hAnsi="Times New Roman" w:cs="Times New Roman"/>
                <w:b/>
              </w:rPr>
            </w:pPr>
            <w:r w:rsidRPr="00693892">
              <w:rPr>
                <w:rFonts w:ascii="Times New Roman" w:hAnsi="Times New Roman" w:cs="Times New Roman"/>
                <w:b/>
              </w:rPr>
              <w:t>Processes</w:t>
            </w:r>
          </w:p>
        </w:tc>
        <w:tc>
          <w:tcPr>
            <w:tcW w:w="1530" w:type="dxa"/>
            <w:tcBorders>
              <w:bottom w:val="single" w:color="000000" w:sz="8" w:space="0"/>
            </w:tcBorders>
            <w:shd w:val="clear" w:color="auto" w:fill="DADADA"/>
            <w:vAlign w:val="bottom"/>
          </w:tcPr>
          <w:p w:rsidRPr="00693892" w:rsidR="00112CB6" w:rsidP="00E6210A" w:rsidRDefault="00112CB6" w14:paraId="0318547E" w14:textId="77777777">
            <w:pPr>
              <w:keepNext/>
              <w:spacing w:after="0" w:line="240" w:lineRule="auto"/>
              <w:ind w:left="91" w:right="55"/>
              <w:jc w:val="center"/>
              <w:rPr>
                <w:rFonts w:ascii="Times New Roman" w:hAnsi="Times New Roman" w:cs="Times New Roman"/>
                <w:b/>
              </w:rPr>
            </w:pPr>
            <w:r w:rsidRPr="00693892">
              <w:rPr>
                <w:rFonts w:ascii="Times New Roman" w:hAnsi="Times New Roman" w:cs="Times New Roman"/>
                <w:b/>
              </w:rPr>
              <w:t>Total Initial Cost</w:t>
            </w:r>
          </w:p>
        </w:tc>
      </w:tr>
      <w:tr w:rsidRPr="00693892" w:rsidR="00112CB6" w:rsidTr="00E6210A" w14:paraId="23B62DD8" w14:textId="77777777">
        <w:trPr>
          <w:trHeight w:val="295"/>
        </w:trPr>
        <w:tc>
          <w:tcPr>
            <w:tcW w:w="8172" w:type="dxa"/>
            <w:gridSpan w:val="5"/>
            <w:tcBorders>
              <w:top w:val="single" w:color="000000" w:sz="8" w:space="0"/>
              <w:bottom w:val="single" w:color="000000" w:sz="8" w:space="0"/>
            </w:tcBorders>
            <w:shd w:val="clear" w:color="auto" w:fill="F2F2F2"/>
          </w:tcPr>
          <w:p w:rsidRPr="00693892" w:rsidR="00112CB6" w:rsidP="00E6210A" w:rsidRDefault="00112CB6" w14:paraId="34B1CA99" w14:textId="77777777">
            <w:pPr>
              <w:keepNext/>
              <w:spacing w:after="0" w:line="240" w:lineRule="auto"/>
              <w:ind w:left="163" w:right="3375"/>
              <w:rPr>
                <w:rFonts w:ascii="Times New Roman" w:hAnsi="Times New Roman" w:cs="Times New Roman"/>
                <w:b/>
              </w:rPr>
            </w:pPr>
            <w:r w:rsidRPr="00693892">
              <w:rPr>
                <w:rFonts w:ascii="Times New Roman" w:hAnsi="Times New Roman" w:cs="Times New Roman"/>
                <w:b/>
              </w:rPr>
              <w:t>Initial Phase Analysis</w:t>
            </w:r>
          </w:p>
        </w:tc>
      </w:tr>
      <w:tr w:rsidRPr="00693892" w:rsidR="00112CB6" w:rsidTr="00E6210A" w14:paraId="1D291CE8" w14:textId="77777777">
        <w:trPr>
          <w:trHeight w:val="282"/>
        </w:trPr>
        <w:tc>
          <w:tcPr>
            <w:tcW w:w="2682" w:type="dxa"/>
            <w:tcBorders>
              <w:top w:val="single" w:color="000000" w:sz="8" w:space="0"/>
            </w:tcBorders>
          </w:tcPr>
          <w:p w:rsidRPr="00693892" w:rsidR="00112CB6" w:rsidP="00E6210A" w:rsidRDefault="00112CB6" w14:paraId="1F097E47" w14:textId="77777777">
            <w:pPr>
              <w:keepNext/>
              <w:spacing w:after="0" w:line="240" w:lineRule="auto"/>
              <w:ind w:left="112"/>
              <w:rPr>
                <w:rFonts w:ascii="Times New Roman" w:hAnsi="Times New Roman" w:cs="Times New Roman"/>
              </w:rPr>
            </w:pPr>
            <w:r w:rsidRPr="00693892">
              <w:rPr>
                <w:rFonts w:ascii="Times New Roman" w:hAnsi="Times New Roman" w:cs="Times New Roman"/>
              </w:rPr>
              <w:t>Refineries</w:t>
            </w:r>
          </w:p>
        </w:tc>
        <w:tc>
          <w:tcPr>
            <w:tcW w:w="1350" w:type="dxa"/>
            <w:tcBorders>
              <w:top w:val="single" w:color="000000" w:sz="8" w:space="0"/>
            </w:tcBorders>
          </w:tcPr>
          <w:p w:rsidRPr="00693892" w:rsidR="00112CB6" w:rsidP="00E6210A" w:rsidRDefault="00112CB6" w14:paraId="4A3E3638" w14:textId="77777777">
            <w:pPr>
              <w:keepNext/>
              <w:spacing w:after="0" w:line="240" w:lineRule="auto"/>
              <w:ind w:left="93" w:right="62"/>
              <w:jc w:val="center"/>
              <w:rPr>
                <w:rFonts w:ascii="Times New Roman" w:hAnsi="Times New Roman" w:cs="Times New Roman"/>
              </w:rPr>
            </w:pPr>
            <w:r w:rsidRPr="00693892">
              <w:rPr>
                <w:rFonts w:ascii="Times New Roman" w:hAnsi="Times New Roman" w:cs="Times New Roman"/>
              </w:rPr>
              <w:t>0.2</w:t>
            </w:r>
          </w:p>
        </w:tc>
        <w:tc>
          <w:tcPr>
            <w:tcW w:w="1350" w:type="dxa"/>
            <w:tcBorders>
              <w:top w:val="single" w:color="000000" w:sz="8" w:space="0"/>
            </w:tcBorders>
          </w:tcPr>
          <w:p w:rsidRPr="00693892" w:rsidR="00112CB6" w:rsidP="00E6210A" w:rsidRDefault="00112CB6" w14:paraId="4FB2E6AC" w14:textId="77777777">
            <w:pPr>
              <w:keepNext/>
              <w:spacing w:after="0" w:line="240" w:lineRule="auto"/>
              <w:ind w:left="247"/>
              <w:jc w:val="center"/>
              <w:rPr>
                <w:rFonts w:ascii="Times New Roman" w:hAnsi="Times New Roman" w:cs="Times New Roman"/>
              </w:rPr>
            </w:pPr>
            <w:r w:rsidRPr="00693892">
              <w:rPr>
                <w:rFonts w:ascii="Times New Roman" w:hAnsi="Times New Roman" w:cs="Times New Roman"/>
              </w:rPr>
              <w:t>$74,115</w:t>
            </w:r>
          </w:p>
        </w:tc>
        <w:tc>
          <w:tcPr>
            <w:tcW w:w="1260" w:type="dxa"/>
            <w:tcBorders>
              <w:top w:val="single" w:color="000000" w:sz="8" w:space="0"/>
            </w:tcBorders>
          </w:tcPr>
          <w:p w:rsidRPr="00693892" w:rsidR="00112CB6" w:rsidP="00E6210A" w:rsidRDefault="00112CB6" w14:paraId="1D4836A5" w14:textId="77777777">
            <w:pPr>
              <w:keepNext/>
              <w:spacing w:after="0" w:line="240" w:lineRule="auto"/>
              <w:ind w:left="98" w:right="69"/>
              <w:jc w:val="center"/>
              <w:rPr>
                <w:rFonts w:ascii="Times New Roman" w:hAnsi="Times New Roman" w:cs="Times New Roman"/>
              </w:rPr>
            </w:pPr>
            <w:r w:rsidRPr="00693892">
              <w:rPr>
                <w:rFonts w:ascii="Times New Roman" w:hAnsi="Times New Roman" w:cs="Times New Roman"/>
              </w:rPr>
              <w:t>1,663</w:t>
            </w:r>
          </w:p>
        </w:tc>
        <w:tc>
          <w:tcPr>
            <w:tcW w:w="1530" w:type="dxa"/>
            <w:tcBorders>
              <w:top w:val="single" w:color="000000" w:sz="8" w:space="0"/>
            </w:tcBorders>
            <w:vAlign w:val="bottom"/>
          </w:tcPr>
          <w:p w:rsidRPr="00693892" w:rsidR="00112CB6" w:rsidP="00E6210A" w:rsidRDefault="00112CB6" w14:paraId="76650977" w14:textId="77777777">
            <w:pPr>
              <w:keepNext/>
              <w:spacing w:after="0" w:line="240" w:lineRule="auto"/>
              <w:ind w:left="84" w:right="55"/>
              <w:jc w:val="center"/>
              <w:rPr>
                <w:rFonts w:ascii="Times New Roman" w:hAnsi="Times New Roman" w:cs="Times New Roman"/>
              </w:rPr>
            </w:pPr>
            <w:r w:rsidRPr="00693892">
              <w:rPr>
                <w:rFonts w:ascii="Times New Roman" w:hAnsi="Times New Roman" w:cs="Times New Roman"/>
                <w:color w:val="000000"/>
              </w:rPr>
              <w:t>$24,650,712</w:t>
            </w:r>
          </w:p>
        </w:tc>
      </w:tr>
      <w:tr w:rsidRPr="00693892" w:rsidR="00112CB6" w:rsidTr="00E6210A" w14:paraId="77A8922E" w14:textId="77777777">
        <w:trPr>
          <w:trHeight w:val="285"/>
        </w:trPr>
        <w:tc>
          <w:tcPr>
            <w:tcW w:w="2682" w:type="dxa"/>
          </w:tcPr>
          <w:p w:rsidRPr="00693892" w:rsidR="00112CB6" w:rsidP="00E6210A" w:rsidRDefault="00112CB6" w14:paraId="4D46C1BA" w14:textId="77777777">
            <w:pPr>
              <w:spacing w:after="0" w:line="240" w:lineRule="auto"/>
              <w:ind w:left="112"/>
              <w:rPr>
                <w:rFonts w:ascii="Times New Roman" w:hAnsi="Times New Roman" w:cs="Times New Roman"/>
              </w:rPr>
            </w:pPr>
            <w:r w:rsidRPr="00693892">
              <w:rPr>
                <w:rFonts w:ascii="Times New Roman" w:hAnsi="Times New Roman" w:cs="Times New Roman"/>
              </w:rPr>
              <w:t>Chemical Manufacturers</w:t>
            </w:r>
          </w:p>
        </w:tc>
        <w:tc>
          <w:tcPr>
            <w:tcW w:w="1350" w:type="dxa"/>
          </w:tcPr>
          <w:p w:rsidRPr="00693892" w:rsidR="00112CB6" w:rsidP="00E6210A" w:rsidRDefault="00112CB6" w14:paraId="2E82E76B" w14:textId="77777777">
            <w:pPr>
              <w:spacing w:after="0" w:line="240" w:lineRule="auto"/>
              <w:ind w:left="93" w:right="62"/>
              <w:jc w:val="center"/>
              <w:rPr>
                <w:rFonts w:ascii="Times New Roman" w:hAnsi="Times New Roman" w:cs="Times New Roman"/>
              </w:rPr>
            </w:pPr>
            <w:r w:rsidRPr="00693892">
              <w:rPr>
                <w:rFonts w:ascii="Times New Roman" w:hAnsi="Times New Roman" w:cs="Times New Roman"/>
              </w:rPr>
              <w:t>0.2</w:t>
            </w:r>
          </w:p>
        </w:tc>
        <w:tc>
          <w:tcPr>
            <w:tcW w:w="1350" w:type="dxa"/>
          </w:tcPr>
          <w:p w:rsidRPr="00693892" w:rsidR="00112CB6" w:rsidP="00E6210A" w:rsidRDefault="00112CB6" w14:paraId="6EF4CE75" w14:textId="77777777">
            <w:pPr>
              <w:spacing w:after="0" w:line="240" w:lineRule="auto"/>
              <w:ind w:left="247"/>
              <w:jc w:val="center"/>
              <w:rPr>
                <w:rFonts w:ascii="Times New Roman" w:hAnsi="Times New Roman" w:cs="Times New Roman"/>
              </w:rPr>
            </w:pPr>
            <w:r w:rsidRPr="00693892">
              <w:rPr>
                <w:rFonts w:ascii="Times New Roman" w:hAnsi="Times New Roman" w:cs="Times New Roman"/>
              </w:rPr>
              <w:t>$12,948</w:t>
            </w:r>
          </w:p>
        </w:tc>
        <w:tc>
          <w:tcPr>
            <w:tcW w:w="1260" w:type="dxa"/>
          </w:tcPr>
          <w:p w:rsidRPr="00693892" w:rsidR="00112CB6" w:rsidP="00E6210A" w:rsidRDefault="00112CB6" w14:paraId="40A14F7F" w14:textId="77777777">
            <w:pPr>
              <w:spacing w:after="0" w:line="240" w:lineRule="auto"/>
              <w:ind w:left="98" w:right="69"/>
              <w:jc w:val="center"/>
              <w:rPr>
                <w:rFonts w:ascii="Times New Roman" w:hAnsi="Times New Roman" w:cs="Times New Roman"/>
              </w:rPr>
            </w:pPr>
            <w:r w:rsidRPr="00693892">
              <w:rPr>
                <w:rFonts w:ascii="Times New Roman" w:hAnsi="Times New Roman" w:cs="Times New Roman"/>
              </w:rPr>
              <w:t>2,848</w:t>
            </w:r>
          </w:p>
        </w:tc>
        <w:tc>
          <w:tcPr>
            <w:tcW w:w="1530" w:type="dxa"/>
            <w:vAlign w:val="bottom"/>
          </w:tcPr>
          <w:p w:rsidRPr="00693892" w:rsidR="00112CB6" w:rsidP="00E6210A" w:rsidRDefault="00112CB6" w14:paraId="077391AF" w14:textId="77777777">
            <w:pPr>
              <w:spacing w:after="0" w:line="240" w:lineRule="auto"/>
              <w:ind w:left="69" w:right="55"/>
              <w:jc w:val="center"/>
              <w:rPr>
                <w:rFonts w:ascii="Times New Roman" w:hAnsi="Times New Roman" w:cs="Times New Roman"/>
              </w:rPr>
            </w:pPr>
            <w:r w:rsidRPr="00693892">
              <w:rPr>
                <w:rFonts w:ascii="Times New Roman" w:hAnsi="Times New Roman" w:cs="Times New Roman"/>
                <w:color w:val="000000"/>
              </w:rPr>
              <w:t>$7,375,104</w:t>
            </w:r>
          </w:p>
        </w:tc>
      </w:tr>
      <w:tr w:rsidRPr="00693892" w:rsidR="00112CB6" w:rsidTr="00E6210A" w14:paraId="4853AAAA" w14:textId="77777777">
        <w:trPr>
          <w:trHeight w:val="285"/>
        </w:trPr>
        <w:tc>
          <w:tcPr>
            <w:tcW w:w="2682" w:type="dxa"/>
          </w:tcPr>
          <w:p w:rsidRPr="00693892" w:rsidR="00112CB6" w:rsidP="00E6210A" w:rsidRDefault="00112CB6" w14:paraId="18FCE3FA" w14:textId="77777777">
            <w:pPr>
              <w:spacing w:after="0" w:line="240" w:lineRule="auto"/>
              <w:ind w:left="112"/>
              <w:rPr>
                <w:rFonts w:ascii="Times New Roman" w:hAnsi="Times New Roman" w:cs="Times New Roman"/>
                <w:b/>
              </w:rPr>
            </w:pPr>
            <w:r w:rsidRPr="00693892">
              <w:rPr>
                <w:rFonts w:ascii="Times New Roman" w:hAnsi="Times New Roman" w:cs="Times New Roman"/>
                <w:b/>
              </w:rPr>
              <w:t>Subtotal</w:t>
            </w:r>
          </w:p>
        </w:tc>
        <w:tc>
          <w:tcPr>
            <w:tcW w:w="1350" w:type="dxa"/>
          </w:tcPr>
          <w:p w:rsidRPr="00693892" w:rsidR="00112CB6" w:rsidP="00E6210A" w:rsidRDefault="00112CB6" w14:paraId="38C2ABA3" w14:textId="77777777">
            <w:pPr>
              <w:spacing w:after="0" w:line="240" w:lineRule="auto"/>
              <w:ind w:left="93" w:right="62"/>
              <w:jc w:val="center"/>
              <w:rPr>
                <w:rFonts w:ascii="Times New Roman" w:hAnsi="Times New Roman" w:cs="Times New Roman"/>
                <w:b/>
              </w:rPr>
            </w:pPr>
          </w:p>
        </w:tc>
        <w:tc>
          <w:tcPr>
            <w:tcW w:w="1350" w:type="dxa"/>
          </w:tcPr>
          <w:p w:rsidRPr="00693892" w:rsidR="00112CB6" w:rsidP="00E6210A" w:rsidRDefault="00112CB6" w14:paraId="1F3F6070" w14:textId="77777777">
            <w:pPr>
              <w:spacing w:after="0" w:line="240" w:lineRule="auto"/>
              <w:ind w:left="247"/>
              <w:jc w:val="center"/>
              <w:rPr>
                <w:rFonts w:ascii="Times New Roman" w:hAnsi="Times New Roman" w:cs="Times New Roman"/>
                <w:b/>
              </w:rPr>
            </w:pPr>
          </w:p>
        </w:tc>
        <w:tc>
          <w:tcPr>
            <w:tcW w:w="1260" w:type="dxa"/>
          </w:tcPr>
          <w:p w:rsidRPr="00693892" w:rsidR="00112CB6" w:rsidP="00E6210A" w:rsidRDefault="00112CB6" w14:paraId="5D636275" w14:textId="77777777">
            <w:pPr>
              <w:spacing w:after="0" w:line="240" w:lineRule="auto"/>
              <w:ind w:left="98" w:right="69"/>
              <w:jc w:val="center"/>
              <w:rPr>
                <w:rFonts w:ascii="Times New Roman" w:hAnsi="Times New Roman" w:cs="Times New Roman"/>
                <w:b/>
              </w:rPr>
            </w:pPr>
            <w:r w:rsidRPr="00693892">
              <w:rPr>
                <w:rFonts w:ascii="Times New Roman" w:hAnsi="Times New Roman" w:cs="Times New Roman"/>
                <w:b/>
              </w:rPr>
              <w:t>4,511</w:t>
            </w:r>
          </w:p>
        </w:tc>
        <w:tc>
          <w:tcPr>
            <w:tcW w:w="1530" w:type="dxa"/>
            <w:vAlign w:val="bottom"/>
          </w:tcPr>
          <w:p w:rsidRPr="00693892" w:rsidR="00112CB6" w:rsidP="00E6210A" w:rsidRDefault="00112CB6" w14:paraId="48C4FE11" w14:textId="77777777">
            <w:pPr>
              <w:spacing w:after="0" w:line="240" w:lineRule="auto"/>
              <w:ind w:left="69" w:right="55"/>
              <w:jc w:val="center"/>
              <w:rPr>
                <w:rFonts w:ascii="Times New Roman" w:hAnsi="Times New Roman" w:cs="Times New Roman"/>
                <w:b/>
              </w:rPr>
            </w:pPr>
            <w:r w:rsidRPr="00693892">
              <w:rPr>
                <w:rFonts w:ascii="Times New Roman" w:hAnsi="Times New Roman" w:cs="Times New Roman"/>
                <w:b/>
                <w:color w:val="000000"/>
              </w:rPr>
              <w:t>$32,025,816</w:t>
            </w:r>
          </w:p>
        </w:tc>
      </w:tr>
      <w:tr w:rsidRPr="00693892" w:rsidR="00112CB6" w:rsidTr="00E6210A" w14:paraId="0F8E1DFC" w14:textId="77777777">
        <w:trPr>
          <w:trHeight w:val="285"/>
        </w:trPr>
        <w:tc>
          <w:tcPr>
            <w:tcW w:w="8172" w:type="dxa"/>
            <w:gridSpan w:val="5"/>
            <w:shd w:val="clear" w:color="auto" w:fill="F2F2F2"/>
          </w:tcPr>
          <w:p w:rsidRPr="00693892" w:rsidR="00112CB6" w:rsidP="00E6210A" w:rsidRDefault="00112CB6" w14:paraId="4CC72974" w14:textId="77777777">
            <w:pPr>
              <w:spacing w:after="0" w:line="240" w:lineRule="auto"/>
              <w:ind w:left="83" w:right="51"/>
              <w:rPr>
                <w:rFonts w:ascii="Times New Roman" w:hAnsi="Times New Roman" w:cs="Times New Roman"/>
              </w:rPr>
            </w:pPr>
            <w:r w:rsidRPr="00693892">
              <w:rPr>
                <w:rFonts w:ascii="Times New Roman" w:hAnsi="Times New Roman" w:cs="Times New Roman"/>
                <w:b/>
              </w:rPr>
              <w:t>Practicability Analysis</w:t>
            </w:r>
          </w:p>
        </w:tc>
      </w:tr>
      <w:tr w:rsidRPr="00693892" w:rsidR="00112CB6" w:rsidTr="00E6210A" w14:paraId="16A92A95" w14:textId="77777777">
        <w:trPr>
          <w:trHeight w:val="300"/>
        </w:trPr>
        <w:tc>
          <w:tcPr>
            <w:tcW w:w="2682" w:type="dxa"/>
          </w:tcPr>
          <w:p w:rsidRPr="00693892" w:rsidR="00112CB6" w:rsidP="00E6210A" w:rsidRDefault="00112CB6" w14:paraId="5A211407" w14:textId="77777777">
            <w:pPr>
              <w:spacing w:after="0" w:line="240" w:lineRule="auto"/>
              <w:ind w:left="112"/>
              <w:rPr>
                <w:rFonts w:ascii="Times New Roman" w:hAnsi="Times New Roman" w:cs="Times New Roman"/>
              </w:rPr>
            </w:pPr>
            <w:r w:rsidRPr="00693892">
              <w:rPr>
                <w:rFonts w:ascii="Times New Roman" w:hAnsi="Times New Roman" w:cs="Times New Roman"/>
              </w:rPr>
              <w:t>Refineries</w:t>
            </w:r>
          </w:p>
        </w:tc>
        <w:tc>
          <w:tcPr>
            <w:tcW w:w="1350" w:type="dxa"/>
          </w:tcPr>
          <w:p w:rsidRPr="00693892" w:rsidR="00112CB6" w:rsidP="00E6210A" w:rsidRDefault="00112CB6" w14:paraId="420A3552" w14:textId="77777777">
            <w:pPr>
              <w:spacing w:after="0" w:line="240" w:lineRule="auto"/>
              <w:ind w:left="93" w:right="62"/>
              <w:jc w:val="center"/>
              <w:rPr>
                <w:rFonts w:ascii="Times New Roman" w:hAnsi="Times New Roman" w:cs="Times New Roman"/>
              </w:rPr>
            </w:pPr>
            <w:r w:rsidRPr="00693892">
              <w:rPr>
                <w:rFonts w:ascii="Times New Roman" w:hAnsi="Times New Roman" w:cs="Times New Roman"/>
              </w:rPr>
              <w:t>0.2</w:t>
            </w:r>
          </w:p>
        </w:tc>
        <w:tc>
          <w:tcPr>
            <w:tcW w:w="1350" w:type="dxa"/>
          </w:tcPr>
          <w:p w:rsidRPr="00693892" w:rsidR="00112CB6" w:rsidP="00E6210A" w:rsidRDefault="00112CB6" w14:paraId="1CAC7065" w14:textId="77777777">
            <w:pPr>
              <w:spacing w:after="0" w:line="240" w:lineRule="auto"/>
              <w:ind w:left="247"/>
              <w:jc w:val="center"/>
              <w:rPr>
                <w:rFonts w:ascii="Times New Roman" w:hAnsi="Times New Roman" w:cs="Times New Roman"/>
              </w:rPr>
            </w:pPr>
            <w:r w:rsidRPr="00693892">
              <w:rPr>
                <w:rFonts w:ascii="Times New Roman" w:hAnsi="Times New Roman" w:cs="Times New Roman"/>
              </w:rPr>
              <w:t>$1,431,002</w:t>
            </w:r>
          </w:p>
        </w:tc>
        <w:tc>
          <w:tcPr>
            <w:tcW w:w="1260" w:type="dxa"/>
          </w:tcPr>
          <w:p w:rsidRPr="00693892" w:rsidR="00112CB6" w:rsidP="00E6210A" w:rsidRDefault="00112CB6" w14:paraId="1E6091DC" w14:textId="77777777">
            <w:pPr>
              <w:spacing w:after="0" w:line="240" w:lineRule="auto"/>
              <w:ind w:left="98" w:right="69"/>
              <w:jc w:val="center"/>
              <w:rPr>
                <w:rFonts w:ascii="Times New Roman" w:hAnsi="Times New Roman" w:cs="Times New Roman"/>
              </w:rPr>
            </w:pPr>
            <w:r w:rsidRPr="00693892">
              <w:rPr>
                <w:rFonts w:ascii="Times New Roman" w:hAnsi="Times New Roman" w:cs="Times New Roman"/>
              </w:rPr>
              <w:t>142</w:t>
            </w:r>
          </w:p>
        </w:tc>
        <w:tc>
          <w:tcPr>
            <w:tcW w:w="1530" w:type="dxa"/>
            <w:vAlign w:val="bottom"/>
          </w:tcPr>
          <w:p w:rsidRPr="00693892" w:rsidR="00112CB6" w:rsidP="00E6210A" w:rsidRDefault="00112CB6" w14:paraId="79C85D1D" w14:textId="77777777">
            <w:pPr>
              <w:spacing w:after="0" w:line="240" w:lineRule="auto"/>
              <w:ind w:left="84" w:right="55"/>
              <w:jc w:val="center"/>
              <w:rPr>
                <w:rFonts w:ascii="Times New Roman" w:hAnsi="Times New Roman" w:cs="Times New Roman"/>
              </w:rPr>
            </w:pPr>
            <w:r w:rsidRPr="00693892">
              <w:rPr>
                <w:rFonts w:ascii="Times New Roman" w:hAnsi="Times New Roman" w:cs="Times New Roman"/>
              </w:rPr>
              <w:t>$40,640,462</w:t>
            </w:r>
          </w:p>
        </w:tc>
      </w:tr>
      <w:tr w:rsidRPr="00693892" w:rsidR="00112CB6" w:rsidTr="00E6210A" w14:paraId="74E8B8D5" w14:textId="77777777">
        <w:trPr>
          <w:trHeight w:val="282"/>
        </w:trPr>
        <w:tc>
          <w:tcPr>
            <w:tcW w:w="2682" w:type="dxa"/>
            <w:tcBorders>
              <w:bottom w:val="single" w:color="000000" w:sz="8" w:space="0"/>
            </w:tcBorders>
          </w:tcPr>
          <w:p w:rsidRPr="00693892" w:rsidR="00112CB6" w:rsidP="00E6210A" w:rsidRDefault="00112CB6" w14:paraId="72D35225" w14:textId="77777777">
            <w:pPr>
              <w:spacing w:after="0" w:line="240" w:lineRule="auto"/>
              <w:ind w:left="112"/>
              <w:rPr>
                <w:rFonts w:ascii="Times New Roman" w:hAnsi="Times New Roman" w:cs="Times New Roman"/>
              </w:rPr>
            </w:pPr>
            <w:r w:rsidRPr="00693892">
              <w:rPr>
                <w:rFonts w:ascii="Times New Roman" w:hAnsi="Times New Roman" w:cs="Times New Roman"/>
              </w:rPr>
              <w:t>Chemical Manufacturers</w:t>
            </w:r>
          </w:p>
        </w:tc>
        <w:tc>
          <w:tcPr>
            <w:tcW w:w="1350" w:type="dxa"/>
            <w:tcBorders>
              <w:bottom w:val="single" w:color="000000" w:sz="8" w:space="0"/>
            </w:tcBorders>
          </w:tcPr>
          <w:p w:rsidRPr="00693892" w:rsidR="00112CB6" w:rsidP="00E6210A" w:rsidRDefault="00112CB6" w14:paraId="3003423D" w14:textId="77777777">
            <w:pPr>
              <w:spacing w:after="0" w:line="240" w:lineRule="auto"/>
              <w:ind w:left="93" w:right="62"/>
              <w:jc w:val="center"/>
              <w:rPr>
                <w:rFonts w:ascii="Times New Roman" w:hAnsi="Times New Roman" w:cs="Times New Roman"/>
              </w:rPr>
            </w:pPr>
            <w:r w:rsidRPr="00693892">
              <w:rPr>
                <w:rFonts w:ascii="Times New Roman" w:hAnsi="Times New Roman" w:cs="Times New Roman"/>
              </w:rPr>
              <w:t>0.2</w:t>
            </w:r>
          </w:p>
        </w:tc>
        <w:tc>
          <w:tcPr>
            <w:tcW w:w="1350" w:type="dxa"/>
            <w:tcBorders>
              <w:bottom w:val="single" w:color="000000" w:sz="8" w:space="0"/>
            </w:tcBorders>
          </w:tcPr>
          <w:p w:rsidRPr="00693892" w:rsidR="00112CB6" w:rsidP="00E6210A" w:rsidRDefault="00112CB6" w14:paraId="0810EE1D" w14:textId="77777777">
            <w:pPr>
              <w:spacing w:after="0" w:line="240" w:lineRule="auto"/>
              <w:ind w:left="292"/>
              <w:jc w:val="center"/>
              <w:rPr>
                <w:rFonts w:ascii="Times New Roman" w:hAnsi="Times New Roman" w:cs="Times New Roman"/>
              </w:rPr>
            </w:pPr>
            <w:r w:rsidRPr="00693892">
              <w:rPr>
                <w:rFonts w:ascii="Times New Roman" w:hAnsi="Times New Roman" w:cs="Times New Roman"/>
              </w:rPr>
              <w:t>$29,994</w:t>
            </w:r>
          </w:p>
        </w:tc>
        <w:tc>
          <w:tcPr>
            <w:tcW w:w="1260" w:type="dxa"/>
            <w:tcBorders>
              <w:bottom w:val="single" w:color="000000" w:sz="8" w:space="0"/>
            </w:tcBorders>
          </w:tcPr>
          <w:p w:rsidRPr="00693892" w:rsidR="00112CB6" w:rsidP="00E6210A" w:rsidRDefault="00112CB6" w14:paraId="0C8B7ABF" w14:textId="77777777">
            <w:pPr>
              <w:spacing w:after="0" w:line="240" w:lineRule="auto"/>
              <w:ind w:left="98" w:right="69"/>
              <w:jc w:val="center"/>
              <w:rPr>
                <w:rFonts w:ascii="Times New Roman" w:hAnsi="Times New Roman" w:cs="Times New Roman"/>
              </w:rPr>
            </w:pPr>
            <w:r w:rsidRPr="00693892">
              <w:rPr>
                <w:rFonts w:ascii="Times New Roman" w:hAnsi="Times New Roman" w:cs="Times New Roman"/>
              </w:rPr>
              <w:t>1,385</w:t>
            </w:r>
          </w:p>
        </w:tc>
        <w:tc>
          <w:tcPr>
            <w:tcW w:w="1530" w:type="dxa"/>
            <w:tcBorders>
              <w:bottom w:val="single" w:color="000000" w:sz="8" w:space="0"/>
            </w:tcBorders>
            <w:vAlign w:val="bottom"/>
          </w:tcPr>
          <w:p w:rsidRPr="00693892" w:rsidR="00112CB6" w:rsidP="00E6210A" w:rsidRDefault="00112CB6" w14:paraId="5DF0AB4E" w14:textId="77777777">
            <w:pPr>
              <w:spacing w:after="0" w:line="240" w:lineRule="auto"/>
              <w:ind w:left="84" w:right="55"/>
              <w:jc w:val="center"/>
              <w:rPr>
                <w:rFonts w:ascii="Times New Roman" w:hAnsi="Times New Roman" w:cs="Times New Roman"/>
              </w:rPr>
            </w:pPr>
            <w:r w:rsidRPr="00693892">
              <w:rPr>
                <w:rFonts w:ascii="Times New Roman" w:hAnsi="Times New Roman" w:cs="Times New Roman"/>
              </w:rPr>
              <w:t>$8,308,317</w:t>
            </w:r>
          </w:p>
        </w:tc>
      </w:tr>
      <w:tr w:rsidRPr="00693892" w:rsidR="00112CB6" w:rsidTr="00E6210A" w14:paraId="62F2D54A" w14:textId="77777777">
        <w:trPr>
          <w:trHeight w:val="282"/>
        </w:trPr>
        <w:tc>
          <w:tcPr>
            <w:tcW w:w="2682" w:type="dxa"/>
            <w:tcBorders>
              <w:bottom w:val="single" w:color="000000" w:sz="8" w:space="0"/>
            </w:tcBorders>
          </w:tcPr>
          <w:p w:rsidRPr="00693892" w:rsidR="00112CB6" w:rsidP="00E6210A" w:rsidRDefault="00112CB6" w14:paraId="1F07B9FE" w14:textId="77777777">
            <w:pPr>
              <w:spacing w:after="0" w:line="240" w:lineRule="auto"/>
              <w:ind w:left="112"/>
              <w:rPr>
                <w:rFonts w:ascii="Times New Roman" w:hAnsi="Times New Roman" w:cs="Times New Roman"/>
                <w:b/>
              </w:rPr>
            </w:pPr>
            <w:r w:rsidRPr="00693892">
              <w:rPr>
                <w:rFonts w:ascii="Times New Roman" w:hAnsi="Times New Roman" w:cs="Times New Roman"/>
                <w:b/>
              </w:rPr>
              <w:t>Subtotal</w:t>
            </w:r>
          </w:p>
        </w:tc>
        <w:tc>
          <w:tcPr>
            <w:tcW w:w="1350" w:type="dxa"/>
            <w:tcBorders>
              <w:bottom w:val="single" w:color="000000" w:sz="8" w:space="0"/>
            </w:tcBorders>
          </w:tcPr>
          <w:p w:rsidRPr="00693892" w:rsidR="00112CB6" w:rsidP="00E6210A" w:rsidRDefault="00112CB6" w14:paraId="06770D6F" w14:textId="77777777">
            <w:pPr>
              <w:spacing w:after="0" w:line="240" w:lineRule="auto"/>
              <w:ind w:left="93" w:right="62"/>
              <w:jc w:val="center"/>
              <w:rPr>
                <w:rFonts w:ascii="Times New Roman" w:hAnsi="Times New Roman" w:cs="Times New Roman"/>
                <w:b/>
              </w:rPr>
            </w:pPr>
          </w:p>
        </w:tc>
        <w:tc>
          <w:tcPr>
            <w:tcW w:w="1350" w:type="dxa"/>
            <w:tcBorders>
              <w:bottom w:val="single" w:color="000000" w:sz="8" w:space="0"/>
            </w:tcBorders>
          </w:tcPr>
          <w:p w:rsidRPr="00693892" w:rsidR="00112CB6" w:rsidP="00E6210A" w:rsidRDefault="00112CB6" w14:paraId="204B0BBB" w14:textId="77777777">
            <w:pPr>
              <w:spacing w:after="0" w:line="240" w:lineRule="auto"/>
              <w:ind w:left="292"/>
              <w:jc w:val="center"/>
              <w:rPr>
                <w:rFonts w:ascii="Times New Roman" w:hAnsi="Times New Roman" w:cs="Times New Roman"/>
                <w:b/>
              </w:rPr>
            </w:pPr>
          </w:p>
        </w:tc>
        <w:tc>
          <w:tcPr>
            <w:tcW w:w="1260" w:type="dxa"/>
            <w:tcBorders>
              <w:bottom w:val="single" w:color="000000" w:sz="8" w:space="0"/>
            </w:tcBorders>
          </w:tcPr>
          <w:p w:rsidRPr="00693892" w:rsidR="00112CB6" w:rsidP="00E6210A" w:rsidRDefault="00112CB6" w14:paraId="7A0DC572" w14:textId="77777777">
            <w:pPr>
              <w:spacing w:after="0" w:line="240" w:lineRule="auto"/>
              <w:ind w:left="98" w:right="69"/>
              <w:jc w:val="center"/>
              <w:rPr>
                <w:rFonts w:ascii="Times New Roman" w:hAnsi="Times New Roman" w:cs="Times New Roman"/>
                <w:b/>
              </w:rPr>
            </w:pPr>
            <w:r w:rsidRPr="00693892">
              <w:rPr>
                <w:rFonts w:ascii="Times New Roman" w:hAnsi="Times New Roman" w:cs="Times New Roman"/>
                <w:b/>
              </w:rPr>
              <w:t>1,527</w:t>
            </w:r>
          </w:p>
        </w:tc>
        <w:tc>
          <w:tcPr>
            <w:tcW w:w="1530" w:type="dxa"/>
            <w:tcBorders>
              <w:bottom w:val="single" w:color="000000" w:sz="8" w:space="0"/>
            </w:tcBorders>
            <w:vAlign w:val="bottom"/>
          </w:tcPr>
          <w:p w:rsidRPr="00693892" w:rsidR="00112CB6" w:rsidP="00E6210A" w:rsidRDefault="00112CB6" w14:paraId="7D5C8F4F" w14:textId="77777777">
            <w:pPr>
              <w:spacing w:after="0" w:line="240" w:lineRule="auto"/>
              <w:ind w:left="84" w:right="55"/>
              <w:jc w:val="center"/>
              <w:rPr>
                <w:rFonts w:ascii="Times New Roman" w:hAnsi="Times New Roman" w:cs="Times New Roman"/>
                <w:b/>
              </w:rPr>
            </w:pPr>
            <w:r w:rsidRPr="00693892">
              <w:rPr>
                <w:rFonts w:ascii="Times New Roman" w:hAnsi="Times New Roman" w:cs="Times New Roman"/>
                <w:b/>
              </w:rPr>
              <w:t>$48,948,779</w:t>
            </w:r>
          </w:p>
        </w:tc>
      </w:tr>
      <w:tr w:rsidRPr="00693892" w:rsidR="00112CB6" w:rsidTr="00E6210A" w14:paraId="6F4FCA2F" w14:textId="77777777">
        <w:trPr>
          <w:trHeight w:val="282"/>
        </w:trPr>
        <w:tc>
          <w:tcPr>
            <w:tcW w:w="2682" w:type="dxa"/>
            <w:tcBorders>
              <w:top w:val="single" w:color="000000" w:sz="8" w:space="0"/>
            </w:tcBorders>
          </w:tcPr>
          <w:p w:rsidRPr="00693892" w:rsidR="00112CB6" w:rsidP="00E6210A" w:rsidRDefault="00112CB6" w14:paraId="18ED6103" w14:textId="77777777">
            <w:pPr>
              <w:keepNext/>
              <w:spacing w:after="0" w:line="240" w:lineRule="auto"/>
              <w:ind w:right="1312"/>
              <w:jc w:val="center"/>
              <w:rPr>
                <w:rFonts w:ascii="Times New Roman" w:hAnsi="Times New Roman" w:cs="Times New Roman"/>
                <w:b/>
              </w:rPr>
            </w:pPr>
            <w:r w:rsidRPr="00693892">
              <w:rPr>
                <w:rFonts w:ascii="Times New Roman" w:hAnsi="Times New Roman" w:cs="Times New Roman"/>
                <w:b/>
              </w:rPr>
              <w:t>Grand Total</w:t>
            </w:r>
          </w:p>
        </w:tc>
        <w:tc>
          <w:tcPr>
            <w:tcW w:w="1350" w:type="dxa"/>
            <w:tcBorders>
              <w:top w:val="single" w:color="000000" w:sz="8" w:space="0"/>
            </w:tcBorders>
          </w:tcPr>
          <w:p w:rsidRPr="00693892" w:rsidR="00112CB6" w:rsidP="00E6210A" w:rsidRDefault="00112CB6" w14:paraId="65AF5D7F" w14:textId="77777777">
            <w:pPr>
              <w:keepNext/>
              <w:spacing w:after="0" w:line="240" w:lineRule="auto"/>
              <w:jc w:val="center"/>
              <w:rPr>
                <w:rFonts w:ascii="Times New Roman" w:hAnsi="Times New Roman" w:cs="Times New Roman"/>
              </w:rPr>
            </w:pPr>
          </w:p>
        </w:tc>
        <w:tc>
          <w:tcPr>
            <w:tcW w:w="1350" w:type="dxa"/>
            <w:tcBorders>
              <w:top w:val="single" w:color="000000" w:sz="8" w:space="0"/>
            </w:tcBorders>
          </w:tcPr>
          <w:p w:rsidRPr="00693892" w:rsidR="00112CB6" w:rsidP="00E6210A" w:rsidRDefault="00112CB6" w14:paraId="13A2ADD3" w14:textId="77777777">
            <w:pPr>
              <w:keepNext/>
              <w:spacing w:after="0" w:line="240" w:lineRule="auto"/>
              <w:jc w:val="center"/>
              <w:rPr>
                <w:rFonts w:ascii="Times New Roman" w:hAnsi="Times New Roman" w:cs="Times New Roman"/>
              </w:rPr>
            </w:pPr>
          </w:p>
        </w:tc>
        <w:tc>
          <w:tcPr>
            <w:tcW w:w="1260" w:type="dxa"/>
            <w:tcBorders>
              <w:top w:val="single" w:color="000000" w:sz="8" w:space="0"/>
            </w:tcBorders>
          </w:tcPr>
          <w:p w:rsidRPr="00693892" w:rsidR="00112CB6" w:rsidP="00E6210A" w:rsidRDefault="00112CB6" w14:paraId="62F34593" w14:textId="77777777">
            <w:pPr>
              <w:keepNext/>
              <w:spacing w:after="0" w:line="240" w:lineRule="auto"/>
              <w:ind w:left="90" w:right="76"/>
              <w:jc w:val="center"/>
              <w:rPr>
                <w:rFonts w:ascii="Times New Roman" w:hAnsi="Times New Roman" w:cs="Times New Roman"/>
                <w:b/>
              </w:rPr>
            </w:pPr>
          </w:p>
        </w:tc>
        <w:tc>
          <w:tcPr>
            <w:tcW w:w="1530" w:type="dxa"/>
            <w:tcBorders>
              <w:top w:val="single" w:color="000000" w:sz="8" w:space="0"/>
            </w:tcBorders>
          </w:tcPr>
          <w:p w:rsidRPr="00A464DD" w:rsidR="00112CB6" w:rsidP="00E6210A" w:rsidRDefault="00112CB6" w14:paraId="29C11503" w14:textId="77777777">
            <w:pPr>
              <w:spacing w:after="0" w:line="240" w:lineRule="auto"/>
              <w:jc w:val="center"/>
              <w:rPr>
                <w:rFonts w:ascii="Times New Roman" w:hAnsi="Times New Roman" w:cs="Times New Roman"/>
                <w:b/>
              </w:rPr>
            </w:pPr>
            <w:r w:rsidRPr="00693892">
              <w:rPr>
                <w:rFonts w:ascii="Times New Roman" w:hAnsi="Times New Roman" w:cs="Times New Roman"/>
                <w:b/>
              </w:rPr>
              <w:t>$80,974,595</w:t>
            </w:r>
          </w:p>
        </w:tc>
      </w:tr>
    </w:tbl>
    <w:p w:rsidRPr="00DB1152" w:rsidR="00112CB6" w:rsidP="00112CB6" w:rsidRDefault="00112CB6" w14:paraId="630C72D2" w14:textId="77777777">
      <w:pPr>
        <w:keepNext/>
        <w:spacing w:after="0" w:line="240" w:lineRule="auto"/>
        <w:ind w:left="640"/>
        <w:rPr>
          <w:rFonts w:ascii="Times New Roman" w:hAnsi="Times New Roman" w:cs="Times New Roman"/>
          <w:sz w:val="18"/>
          <w:szCs w:val="18"/>
        </w:rPr>
      </w:pPr>
      <w:r w:rsidRPr="00DB1152">
        <w:rPr>
          <w:rFonts w:ascii="Times New Roman" w:hAnsi="Times New Roman" w:cs="Times New Roman"/>
          <w:w w:val="105"/>
          <w:position w:val="6"/>
          <w:sz w:val="18"/>
          <w:szCs w:val="18"/>
        </w:rPr>
        <w:t>*</w:t>
      </w:r>
      <w:r w:rsidRPr="00DB1152">
        <w:rPr>
          <w:rFonts w:ascii="Times New Roman" w:hAnsi="Times New Roman" w:cs="Times New Roman"/>
          <w:w w:val="105"/>
          <w:sz w:val="18"/>
          <w:szCs w:val="18"/>
        </w:rPr>
        <w:t>Totals may not sum due to rounding</w:t>
      </w:r>
      <w:r w:rsidRPr="00DB1152">
        <w:rPr>
          <w:rFonts w:ascii="Times New Roman" w:hAnsi="Times New Roman" w:cs="Times New Roman"/>
          <w:sz w:val="18"/>
          <w:szCs w:val="18"/>
        </w:rPr>
        <w:br/>
      </w:r>
    </w:p>
    <w:p w:rsidR="004B312A" w:rsidP="000E6E0F" w:rsidRDefault="004B312A" w14:paraId="410D25DE" w14:textId="77777777">
      <w:pPr>
        <w:spacing w:after="0" w:line="240" w:lineRule="auto"/>
        <w:ind w:firstLine="360"/>
        <w:rPr>
          <w:rFonts w:ascii="Times New Roman" w:hAnsi="Times New Roman" w:cs="Times New Roman"/>
        </w:rPr>
      </w:pPr>
    </w:p>
    <w:p w:rsidRPr="00693892" w:rsidR="00915E63" w:rsidP="000E6E0F" w:rsidRDefault="00A17633" w14:paraId="4A5EB0F6" w14:textId="51A13553">
      <w:pPr>
        <w:spacing w:after="0" w:line="240" w:lineRule="auto"/>
        <w:ind w:firstLine="360"/>
        <w:rPr>
          <w:rFonts w:ascii="Times New Roman" w:hAnsi="Times New Roman" w:cs="Times New Roman"/>
        </w:rPr>
      </w:pPr>
      <w:r>
        <w:rPr>
          <w:rFonts w:ascii="Times New Roman" w:hAnsi="Times New Roman" w:cs="Times New Roman"/>
        </w:rPr>
        <w:tab/>
      </w:r>
      <w:r w:rsidRPr="00693892" w:rsidR="00313D7C">
        <w:rPr>
          <w:rFonts w:ascii="Times New Roman" w:hAnsi="Times New Roman" w:cs="Times New Roman"/>
        </w:rPr>
        <w:t>The more stringent third</w:t>
      </w:r>
      <w:r w:rsidRPr="00693892" w:rsidR="00B94F4A">
        <w:rPr>
          <w:rFonts w:ascii="Times New Roman" w:hAnsi="Times New Roman" w:cs="Times New Roman"/>
        </w:rPr>
        <w:t>-</w:t>
      </w:r>
      <w:r w:rsidRPr="00693892" w:rsidR="00313D7C">
        <w:rPr>
          <w:rFonts w:ascii="Times New Roman" w:hAnsi="Times New Roman" w:cs="Times New Roman"/>
        </w:rPr>
        <w:t>party audit provision</w:t>
      </w:r>
      <w:r w:rsidRPr="00693892" w:rsidR="001B169E">
        <w:rPr>
          <w:rFonts w:ascii="Times New Roman" w:hAnsi="Times New Roman" w:cs="Times New Roman"/>
        </w:rPr>
        <w:t xml:space="preserve"> would require all </w:t>
      </w:r>
      <w:r w:rsidRPr="00693892" w:rsidR="00782370">
        <w:rPr>
          <w:rFonts w:ascii="Times New Roman" w:hAnsi="Times New Roman" w:cs="Times New Roman"/>
        </w:rPr>
        <w:t xml:space="preserve">scheduled </w:t>
      </w:r>
      <w:r w:rsidRPr="00693892" w:rsidR="001B169E">
        <w:rPr>
          <w:rFonts w:ascii="Times New Roman" w:hAnsi="Times New Roman" w:cs="Times New Roman"/>
        </w:rPr>
        <w:t xml:space="preserve">compliance audits at facilities with Program 3 processes </w:t>
      </w:r>
      <w:r w:rsidRPr="00693892" w:rsidR="00782370">
        <w:rPr>
          <w:rFonts w:ascii="Times New Roman" w:hAnsi="Times New Roman" w:cs="Times New Roman"/>
        </w:rPr>
        <w:t xml:space="preserve">to </w:t>
      </w:r>
      <w:r w:rsidRPr="00693892" w:rsidR="001B169E">
        <w:rPr>
          <w:rFonts w:ascii="Times New Roman" w:hAnsi="Times New Roman" w:cs="Times New Roman"/>
        </w:rPr>
        <w:t xml:space="preserve">be conducted every three years by a </w:t>
      </w:r>
      <w:r w:rsidRPr="00693892" w:rsidR="00782370">
        <w:rPr>
          <w:rFonts w:ascii="Times New Roman" w:hAnsi="Times New Roman" w:cs="Times New Roman"/>
        </w:rPr>
        <w:t xml:space="preserve">contracted </w:t>
      </w:r>
      <w:r w:rsidRPr="00693892" w:rsidR="001B169E">
        <w:rPr>
          <w:rFonts w:ascii="Times New Roman" w:hAnsi="Times New Roman" w:cs="Times New Roman"/>
        </w:rPr>
        <w:t>third</w:t>
      </w:r>
      <w:r w:rsidRPr="00693892" w:rsidR="00603834">
        <w:rPr>
          <w:rFonts w:ascii="Times New Roman" w:hAnsi="Times New Roman" w:cs="Times New Roman"/>
        </w:rPr>
        <w:t xml:space="preserve"> </w:t>
      </w:r>
      <w:r w:rsidRPr="00693892" w:rsidR="001B169E">
        <w:rPr>
          <w:rFonts w:ascii="Times New Roman" w:hAnsi="Times New Roman" w:cs="Times New Roman"/>
        </w:rPr>
        <w:t>party</w:t>
      </w:r>
      <w:r w:rsidRPr="00693892" w:rsidR="00915E63">
        <w:rPr>
          <w:rFonts w:ascii="Times New Roman" w:hAnsi="Times New Roman" w:cs="Times New Roman"/>
        </w:rPr>
        <w:t xml:space="preserve">. The analysis projects that </w:t>
      </w:r>
      <w:r w:rsidRPr="00693892" w:rsidR="00EC659C">
        <w:rPr>
          <w:rFonts w:ascii="Times New Roman" w:hAnsi="Times New Roman" w:cs="Times New Roman"/>
        </w:rPr>
        <w:t>one-</w:t>
      </w:r>
      <w:r w:rsidRPr="00693892" w:rsidR="00915E63">
        <w:rPr>
          <w:rFonts w:ascii="Times New Roman" w:hAnsi="Times New Roman" w:cs="Times New Roman"/>
        </w:rPr>
        <w:t xml:space="preserve">third </w:t>
      </w:r>
      <w:r w:rsidRPr="00693892" w:rsidR="0050594C">
        <w:rPr>
          <w:rFonts w:ascii="Times New Roman" w:hAnsi="Times New Roman" w:cs="Times New Roman"/>
        </w:rPr>
        <w:t xml:space="preserve">of </w:t>
      </w:r>
      <w:r w:rsidRPr="00693892" w:rsidR="00915E63">
        <w:rPr>
          <w:rFonts w:ascii="Times New Roman" w:hAnsi="Times New Roman" w:cs="Times New Roman"/>
        </w:rPr>
        <w:t xml:space="preserve">affected </w:t>
      </w:r>
      <w:r w:rsidRPr="00693892" w:rsidR="00915E63">
        <w:rPr>
          <w:rFonts w:ascii="Times New Roman" w:hAnsi="Times New Roman" w:cs="Times New Roman"/>
          <w:spacing w:val="2"/>
        </w:rPr>
        <w:t xml:space="preserve">facilities </w:t>
      </w:r>
      <w:r w:rsidRPr="00693892" w:rsidR="00915E63">
        <w:rPr>
          <w:rFonts w:ascii="Times New Roman" w:hAnsi="Times New Roman" w:cs="Times New Roman"/>
        </w:rPr>
        <w:t xml:space="preserve">would, therefore, </w:t>
      </w:r>
      <w:r w:rsidRPr="00693892" w:rsidR="0050594C">
        <w:rPr>
          <w:rFonts w:ascii="Times New Roman" w:hAnsi="Times New Roman" w:cs="Times New Roman"/>
        </w:rPr>
        <w:t>conduct</w:t>
      </w:r>
      <w:r w:rsidRPr="00693892" w:rsidR="00915E63">
        <w:rPr>
          <w:rFonts w:ascii="Times New Roman" w:hAnsi="Times New Roman" w:cs="Times New Roman"/>
        </w:rPr>
        <w:t xml:space="preserve"> a third-party audit </w:t>
      </w:r>
      <w:r w:rsidRPr="00693892" w:rsidR="00915E63">
        <w:rPr>
          <w:rFonts w:ascii="Times New Roman" w:hAnsi="Times New Roman" w:cs="Times New Roman"/>
          <w:spacing w:val="3"/>
        </w:rPr>
        <w:t xml:space="preserve">every </w:t>
      </w:r>
      <w:r w:rsidRPr="00693892" w:rsidR="00915E63">
        <w:rPr>
          <w:rFonts w:ascii="Times New Roman" w:hAnsi="Times New Roman" w:cs="Times New Roman"/>
        </w:rPr>
        <w:t>year. The unit costs applied to the third</w:t>
      </w:r>
      <w:r w:rsidRPr="00693892" w:rsidR="00B94F4A">
        <w:rPr>
          <w:rFonts w:ascii="Times New Roman" w:hAnsi="Times New Roman" w:cs="Times New Roman"/>
        </w:rPr>
        <w:t>-</w:t>
      </w:r>
      <w:r w:rsidRPr="00693892" w:rsidR="00915E63">
        <w:rPr>
          <w:rFonts w:ascii="Times New Roman" w:hAnsi="Times New Roman" w:cs="Times New Roman"/>
        </w:rPr>
        <w:t>party</w:t>
      </w:r>
      <w:r w:rsidRPr="00693892" w:rsidR="00EC659C">
        <w:rPr>
          <w:rFonts w:ascii="Times New Roman" w:hAnsi="Times New Roman" w:cs="Times New Roman"/>
        </w:rPr>
        <w:t xml:space="preserve"> audit </w:t>
      </w:r>
      <w:r w:rsidRPr="00693892" w:rsidR="00915E63">
        <w:rPr>
          <w:rFonts w:ascii="Times New Roman" w:hAnsi="Times New Roman" w:cs="Times New Roman"/>
        </w:rPr>
        <w:t>alternative are consistent with the unit costs presented in Exhibit 4-</w:t>
      </w:r>
      <w:r w:rsidR="009C48C6">
        <w:rPr>
          <w:rFonts w:ascii="Times New Roman" w:hAnsi="Times New Roman" w:cs="Times New Roman"/>
        </w:rPr>
        <w:t>7</w:t>
      </w:r>
      <w:r w:rsidRPr="00693892" w:rsidR="00915E63">
        <w:rPr>
          <w:rFonts w:ascii="Times New Roman" w:hAnsi="Times New Roman" w:cs="Times New Roman"/>
        </w:rPr>
        <w:t xml:space="preserve">. The </w:t>
      </w:r>
      <w:r w:rsidR="009F3737">
        <w:rPr>
          <w:rFonts w:ascii="Times New Roman" w:hAnsi="Times New Roman" w:cs="Times New Roman"/>
        </w:rPr>
        <w:t>t</w:t>
      </w:r>
      <w:r w:rsidRPr="00693892" w:rsidR="00915E63">
        <w:rPr>
          <w:rFonts w:ascii="Times New Roman" w:hAnsi="Times New Roman" w:cs="Times New Roman"/>
        </w:rPr>
        <w:t xml:space="preserve">otal costs of the </w:t>
      </w:r>
      <w:r w:rsidRPr="00693892" w:rsidR="007D1414">
        <w:rPr>
          <w:rFonts w:ascii="Times New Roman" w:hAnsi="Times New Roman" w:cs="Times New Roman"/>
        </w:rPr>
        <w:t>high</w:t>
      </w:r>
      <w:r w:rsidRPr="00693892" w:rsidR="004779BB">
        <w:rPr>
          <w:rFonts w:ascii="Times New Roman" w:hAnsi="Times New Roman" w:cs="Times New Roman"/>
        </w:rPr>
        <w:t>er</w:t>
      </w:r>
      <w:r w:rsidRPr="00693892" w:rsidR="00915E63">
        <w:rPr>
          <w:rFonts w:ascii="Times New Roman" w:hAnsi="Times New Roman" w:cs="Times New Roman"/>
        </w:rPr>
        <w:t xml:space="preserve"> cost third</w:t>
      </w:r>
      <w:r w:rsidRPr="00693892" w:rsidR="00B94F4A">
        <w:rPr>
          <w:rFonts w:ascii="Times New Roman" w:hAnsi="Times New Roman" w:cs="Times New Roman"/>
        </w:rPr>
        <w:t>-</w:t>
      </w:r>
      <w:r w:rsidRPr="00693892" w:rsidR="00915E63">
        <w:rPr>
          <w:rFonts w:ascii="Times New Roman" w:hAnsi="Times New Roman" w:cs="Times New Roman"/>
        </w:rPr>
        <w:t xml:space="preserve">party compliance provision </w:t>
      </w:r>
      <w:r w:rsidRPr="00693892" w:rsidR="008D5242">
        <w:rPr>
          <w:rFonts w:ascii="Times New Roman" w:hAnsi="Times New Roman" w:cs="Times New Roman"/>
        </w:rPr>
        <w:t>are</w:t>
      </w:r>
      <w:r w:rsidRPr="00693892" w:rsidR="00915E63">
        <w:rPr>
          <w:rFonts w:ascii="Times New Roman" w:hAnsi="Times New Roman" w:cs="Times New Roman"/>
        </w:rPr>
        <w:t xml:space="preserve"> summarized in Exhibit 7-</w:t>
      </w:r>
      <w:r w:rsidR="00112CB6">
        <w:rPr>
          <w:rFonts w:ascii="Times New Roman" w:hAnsi="Times New Roman" w:cs="Times New Roman"/>
        </w:rPr>
        <w:t>5</w:t>
      </w:r>
      <w:r w:rsidRPr="00693892" w:rsidR="00915E63">
        <w:rPr>
          <w:rFonts w:ascii="Times New Roman" w:hAnsi="Times New Roman" w:cs="Times New Roman"/>
        </w:rPr>
        <w:t>.</w:t>
      </w:r>
    </w:p>
    <w:p w:rsidRPr="00693892" w:rsidR="004051AB" w:rsidP="004051AB" w:rsidRDefault="004051AB" w14:paraId="0469C0B1" w14:textId="77777777">
      <w:pPr>
        <w:spacing w:after="0" w:line="240" w:lineRule="auto"/>
        <w:ind w:firstLine="700"/>
        <w:rPr>
          <w:rFonts w:ascii="Times New Roman" w:hAnsi="Times New Roman" w:cs="Times New Roman"/>
        </w:rPr>
      </w:pPr>
    </w:p>
    <w:p w:rsidRPr="00693892" w:rsidR="00AD5A55" w:rsidP="00DB1152" w:rsidRDefault="007D1414" w14:paraId="778B1559" w14:textId="27A9897C">
      <w:pPr>
        <w:keepNext/>
        <w:spacing w:after="0" w:line="240" w:lineRule="auto"/>
        <w:jc w:val="center"/>
        <w:rPr>
          <w:rFonts w:ascii="Times New Roman" w:hAnsi="Times New Roman" w:cs="Times New Roman"/>
          <w:b/>
        </w:rPr>
      </w:pPr>
      <w:r w:rsidRPr="00DB1152">
        <w:rPr>
          <w:rFonts w:ascii="Times New Roman" w:hAnsi="Times New Roman" w:cs="Times New Roman"/>
          <w:b/>
        </w:rPr>
        <w:lastRenderedPageBreak/>
        <w:t xml:space="preserve">Exhibit </w:t>
      </w:r>
      <w:r w:rsidRPr="00693892">
        <w:rPr>
          <w:rFonts w:ascii="Times New Roman" w:hAnsi="Times New Roman" w:cs="Times New Roman"/>
          <w:b/>
        </w:rPr>
        <w:t>7-</w:t>
      </w:r>
      <w:r w:rsidR="00112CB6">
        <w:rPr>
          <w:rFonts w:ascii="Times New Roman" w:hAnsi="Times New Roman" w:cs="Times New Roman"/>
          <w:b/>
        </w:rPr>
        <w:t>5</w:t>
      </w:r>
      <w:r w:rsidRPr="00693892">
        <w:rPr>
          <w:rFonts w:ascii="Times New Roman" w:hAnsi="Times New Roman" w:cs="Times New Roman"/>
          <w:b/>
        </w:rPr>
        <w:t>: Total Annual Undiscounted Costs for Third-party</w:t>
      </w:r>
      <w:r w:rsidR="004B312A">
        <w:rPr>
          <w:rFonts w:ascii="Times New Roman" w:hAnsi="Times New Roman" w:cs="Times New Roman"/>
          <w:b/>
        </w:rPr>
        <w:t xml:space="preserve"> </w:t>
      </w:r>
      <w:r w:rsidRPr="00693892">
        <w:rPr>
          <w:rFonts w:ascii="Times New Roman" w:hAnsi="Times New Roman" w:cs="Times New Roman"/>
          <w:b/>
        </w:rPr>
        <w:t xml:space="preserve">Audits </w:t>
      </w:r>
    </w:p>
    <w:p w:rsidR="007D1414" w:rsidP="00DB1152" w:rsidRDefault="00E86F08" w14:paraId="551736BB" w14:textId="1C8054EE">
      <w:pPr>
        <w:keepNext/>
        <w:spacing w:after="0" w:line="240" w:lineRule="auto"/>
        <w:jc w:val="center"/>
        <w:rPr>
          <w:rFonts w:ascii="Times New Roman" w:hAnsi="Times New Roman" w:cs="Times New Roman"/>
          <w:b/>
        </w:rPr>
      </w:pPr>
      <w:r w:rsidRPr="00693892">
        <w:rPr>
          <w:rFonts w:ascii="Times New Roman" w:hAnsi="Times New Roman" w:cs="Times New Roman"/>
          <w:b/>
        </w:rPr>
        <w:t>High</w:t>
      </w:r>
      <w:r w:rsidRPr="00693892" w:rsidR="004779BB">
        <w:rPr>
          <w:rFonts w:ascii="Times New Roman" w:hAnsi="Times New Roman" w:cs="Times New Roman"/>
          <w:b/>
        </w:rPr>
        <w:t>er</w:t>
      </w:r>
      <w:r w:rsidRPr="00693892">
        <w:rPr>
          <w:rFonts w:ascii="Times New Roman" w:hAnsi="Times New Roman" w:cs="Times New Roman"/>
          <w:b/>
        </w:rPr>
        <w:t xml:space="preserve"> Cost</w:t>
      </w:r>
      <w:r w:rsidRPr="00693892" w:rsidR="007D1414">
        <w:rPr>
          <w:rFonts w:ascii="Times New Roman" w:hAnsi="Times New Roman" w:cs="Times New Roman"/>
          <w:b/>
        </w:rPr>
        <w:t xml:space="preserve"> Regulatory Alternative</w:t>
      </w:r>
      <w:r w:rsidRPr="00693892" w:rsidR="002D7D2A">
        <w:rPr>
          <w:rFonts w:ascii="Times New Roman" w:hAnsi="Times New Roman" w:cs="Times New Roman"/>
          <w:b/>
        </w:rPr>
        <w:t xml:space="preserve"> </w:t>
      </w:r>
      <w:r w:rsidR="00D726C0">
        <w:rPr>
          <w:rFonts w:ascii="Times New Roman" w:hAnsi="Times New Roman" w:cs="Times New Roman"/>
          <w:b/>
        </w:rPr>
        <w:t>(</w:t>
      </w:r>
      <w:r w:rsidRPr="00693892" w:rsidR="002D7D2A">
        <w:rPr>
          <w:rFonts w:ascii="Times New Roman" w:hAnsi="Times New Roman" w:cs="Times New Roman"/>
          <w:b/>
        </w:rPr>
        <w:t>2020 Dollars</w:t>
      </w:r>
      <w:r w:rsidRPr="00693892" w:rsidR="00DB1152">
        <w:rPr>
          <w:rFonts w:ascii="Times New Roman" w:hAnsi="Times New Roman" w:cs="Times New Roman"/>
          <w:b/>
        </w:rPr>
        <w:t>)</w:t>
      </w:r>
      <w:r w:rsidR="00DB1152">
        <w:rPr>
          <w:rFonts w:ascii="Times New Roman" w:hAnsi="Times New Roman" w:cs="Times New Roman"/>
          <w:b/>
        </w:rPr>
        <w:t>.</w:t>
      </w:r>
    </w:p>
    <w:p w:rsidRPr="00693892" w:rsidR="00DB1152" w:rsidP="00DB1152" w:rsidRDefault="00DB1152" w14:paraId="2C5257AA" w14:textId="77777777">
      <w:pPr>
        <w:keepNext/>
        <w:spacing w:after="0" w:line="240" w:lineRule="auto"/>
        <w:jc w:val="center"/>
        <w:rPr>
          <w:rFonts w:ascii="Times New Roman" w:hAnsi="Times New Roman" w:cs="Times New Roman"/>
          <w:b/>
        </w:rPr>
      </w:pPr>
    </w:p>
    <w:tbl>
      <w:tblPr>
        <w:tblW w:w="0" w:type="auto"/>
        <w:tblInd w:w="1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7"/>
        <w:gridCol w:w="1350"/>
        <w:gridCol w:w="1350"/>
        <w:gridCol w:w="1080"/>
        <w:gridCol w:w="1620"/>
      </w:tblGrid>
      <w:tr w:rsidRPr="00693892" w:rsidR="00167F64" w:rsidTr="00DB1152" w14:paraId="57847507" w14:textId="77777777">
        <w:trPr>
          <w:trHeight w:val="736"/>
        </w:trPr>
        <w:tc>
          <w:tcPr>
            <w:tcW w:w="2457" w:type="dxa"/>
            <w:tcBorders>
              <w:left w:val="single" w:color="000000" w:sz="6" w:space="0"/>
              <w:right w:val="single" w:color="000000" w:sz="6" w:space="0"/>
            </w:tcBorders>
            <w:shd w:val="clear" w:color="auto" w:fill="DADADA"/>
            <w:vAlign w:val="center"/>
          </w:tcPr>
          <w:p w:rsidRPr="00DB1152" w:rsidR="007D1414" w:rsidP="00DB1152" w:rsidRDefault="007D1414" w14:paraId="5D75F9FC" w14:textId="77777777">
            <w:pPr>
              <w:keepNext/>
              <w:spacing w:after="0" w:line="240" w:lineRule="auto"/>
              <w:ind w:left="113"/>
              <w:jc w:val="center"/>
              <w:rPr>
                <w:rFonts w:ascii="Times New Roman" w:hAnsi="Times New Roman" w:cs="Times New Roman"/>
                <w:b/>
                <w:sz w:val="20"/>
                <w:szCs w:val="20"/>
              </w:rPr>
            </w:pPr>
            <w:r w:rsidRPr="00DB1152">
              <w:rPr>
                <w:rFonts w:ascii="Times New Roman" w:hAnsi="Times New Roman" w:cs="Times New Roman"/>
                <w:b/>
                <w:sz w:val="20"/>
                <w:szCs w:val="20"/>
              </w:rPr>
              <w:t>Facility Type</w:t>
            </w:r>
          </w:p>
        </w:tc>
        <w:tc>
          <w:tcPr>
            <w:tcW w:w="1350" w:type="dxa"/>
            <w:tcBorders>
              <w:left w:val="single" w:color="000000" w:sz="6" w:space="0"/>
              <w:right w:val="single" w:color="000000" w:sz="6" w:space="0"/>
            </w:tcBorders>
            <w:shd w:val="clear" w:color="auto" w:fill="DADADA"/>
            <w:vAlign w:val="center"/>
          </w:tcPr>
          <w:p w:rsidRPr="00DB1152" w:rsidR="007D1414" w:rsidP="00DB1152" w:rsidRDefault="007D1414" w14:paraId="12042B44" w14:textId="77777777">
            <w:pPr>
              <w:keepNext/>
              <w:spacing w:after="0" w:line="240" w:lineRule="auto"/>
              <w:ind w:left="96" w:right="57"/>
              <w:jc w:val="center"/>
              <w:rPr>
                <w:rFonts w:ascii="Times New Roman" w:hAnsi="Times New Roman" w:cs="Times New Roman"/>
                <w:b/>
                <w:sz w:val="20"/>
                <w:szCs w:val="20"/>
              </w:rPr>
            </w:pPr>
            <w:r w:rsidRPr="00DB1152">
              <w:rPr>
                <w:rFonts w:ascii="Times New Roman" w:hAnsi="Times New Roman" w:cs="Times New Roman"/>
                <w:b/>
                <w:sz w:val="20"/>
                <w:szCs w:val="20"/>
              </w:rPr>
              <w:t>Annual Frequency</w:t>
            </w:r>
          </w:p>
        </w:tc>
        <w:tc>
          <w:tcPr>
            <w:tcW w:w="1350" w:type="dxa"/>
            <w:tcBorders>
              <w:left w:val="single" w:color="000000" w:sz="6" w:space="0"/>
            </w:tcBorders>
            <w:shd w:val="clear" w:color="auto" w:fill="DADADA"/>
            <w:vAlign w:val="center"/>
          </w:tcPr>
          <w:p w:rsidRPr="00DB1152" w:rsidR="007D1414" w:rsidP="00DB1152" w:rsidRDefault="007D1414" w14:paraId="44FC86B3" w14:textId="77777777">
            <w:pPr>
              <w:keepNext/>
              <w:spacing w:after="0" w:line="240" w:lineRule="auto"/>
              <w:ind w:left="92" w:right="32"/>
              <w:jc w:val="center"/>
              <w:rPr>
                <w:rFonts w:ascii="Times New Roman" w:hAnsi="Times New Roman" w:cs="Times New Roman"/>
                <w:b/>
                <w:sz w:val="20"/>
                <w:szCs w:val="20"/>
              </w:rPr>
            </w:pPr>
            <w:r w:rsidRPr="00DB1152">
              <w:rPr>
                <w:rFonts w:ascii="Times New Roman" w:hAnsi="Times New Roman" w:cs="Times New Roman"/>
                <w:b/>
                <w:sz w:val="20"/>
                <w:szCs w:val="20"/>
              </w:rPr>
              <w:t>Unit Cost</w:t>
            </w:r>
          </w:p>
        </w:tc>
        <w:tc>
          <w:tcPr>
            <w:tcW w:w="1080" w:type="dxa"/>
            <w:tcBorders>
              <w:right w:val="single" w:color="000000" w:sz="6" w:space="0"/>
            </w:tcBorders>
            <w:shd w:val="clear" w:color="auto" w:fill="DADADA"/>
            <w:vAlign w:val="center"/>
          </w:tcPr>
          <w:p w:rsidRPr="00DB1152" w:rsidR="007D1414" w:rsidP="00DB1152" w:rsidRDefault="007D1414" w14:paraId="26C8674E" w14:textId="77777777">
            <w:pPr>
              <w:keepNext/>
              <w:spacing w:after="0" w:line="240" w:lineRule="auto"/>
              <w:ind w:left="61" w:right="67"/>
              <w:jc w:val="center"/>
              <w:rPr>
                <w:rFonts w:ascii="Times New Roman" w:hAnsi="Times New Roman" w:cs="Times New Roman"/>
                <w:b/>
                <w:sz w:val="20"/>
                <w:szCs w:val="20"/>
              </w:rPr>
            </w:pPr>
            <w:r w:rsidRPr="00DB1152">
              <w:rPr>
                <w:rFonts w:ascii="Times New Roman" w:hAnsi="Times New Roman" w:cs="Times New Roman"/>
                <w:b/>
                <w:sz w:val="20"/>
                <w:szCs w:val="20"/>
              </w:rPr>
              <w:t>Facilities</w:t>
            </w:r>
          </w:p>
        </w:tc>
        <w:tc>
          <w:tcPr>
            <w:tcW w:w="1620" w:type="dxa"/>
            <w:tcBorders>
              <w:left w:val="single" w:color="000000" w:sz="6" w:space="0"/>
            </w:tcBorders>
            <w:shd w:val="clear" w:color="auto" w:fill="DADADA"/>
            <w:vAlign w:val="center"/>
          </w:tcPr>
          <w:p w:rsidRPr="00DB1152" w:rsidR="007D1414" w:rsidP="00DB1152" w:rsidRDefault="007D1414" w14:paraId="712FF2D9" w14:textId="77777777">
            <w:pPr>
              <w:keepNext/>
              <w:spacing w:after="0" w:line="240" w:lineRule="auto"/>
              <w:ind w:left="81" w:right="51"/>
              <w:jc w:val="center"/>
              <w:rPr>
                <w:rFonts w:ascii="Times New Roman" w:hAnsi="Times New Roman" w:cs="Times New Roman"/>
                <w:b/>
                <w:sz w:val="20"/>
                <w:szCs w:val="20"/>
              </w:rPr>
            </w:pPr>
            <w:r w:rsidRPr="00DB1152">
              <w:rPr>
                <w:rFonts w:ascii="Times New Roman" w:hAnsi="Times New Roman" w:cs="Times New Roman"/>
                <w:b/>
                <w:sz w:val="20"/>
                <w:szCs w:val="20"/>
              </w:rPr>
              <w:t>Total Initial Cost</w:t>
            </w:r>
          </w:p>
        </w:tc>
      </w:tr>
      <w:tr w:rsidRPr="00693892" w:rsidR="00D42821" w:rsidTr="00DB1152" w14:paraId="6C887F63" w14:textId="77777777">
        <w:trPr>
          <w:trHeight w:val="295"/>
        </w:trPr>
        <w:tc>
          <w:tcPr>
            <w:tcW w:w="2457" w:type="dxa"/>
            <w:tcBorders>
              <w:left w:val="single" w:color="000000" w:sz="6" w:space="0"/>
              <w:right w:val="single" w:color="000000" w:sz="6" w:space="0"/>
            </w:tcBorders>
            <w:vAlign w:val="center"/>
          </w:tcPr>
          <w:p w:rsidRPr="00DB1152" w:rsidR="00D42821" w:rsidP="00ED3152" w:rsidRDefault="00D42821" w14:paraId="0F8A73AC" w14:textId="7777777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Simple w/ 0-19 FTEs</w:t>
            </w:r>
          </w:p>
        </w:tc>
        <w:tc>
          <w:tcPr>
            <w:tcW w:w="1350" w:type="dxa"/>
            <w:tcBorders>
              <w:left w:val="single" w:color="000000" w:sz="6" w:space="0"/>
              <w:right w:val="single" w:color="000000" w:sz="6" w:space="0"/>
            </w:tcBorders>
            <w:vAlign w:val="center"/>
          </w:tcPr>
          <w:p w:rsidRPr="00DB1152" w:rsidR="00D42821" w:rsidP="00DB1152" w:rsidRDefault="00D42821" w14:paraId="4D845710" w14:textId="77777777">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left w:val="single" w:color="000000" w:sz="6" w:space="0"/>
            </w:tcBorders>
            <w:vAlign w:val="center"/>
          </w:tcPr>
          <w:p w:rsidRPr="00DB1152" w:rsidR="00D42821" w:rsidP="00DB1152" w:rsidRDefault="00480387" w14:paraId="690CE8E3" w14:textId="62D796FA">
            <w:pPr>
              <w:keepNext/>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$40,255.3</w:t>
            </w:r>
          </w:p>
        </w:tc>
        <w:tc>
          <w:tcPr>
            <w:tcW w:w="1080" w:type="dxa"/>
            <w:tcBorders>
              <w:right w:val="single" w:color="000000" w:sz="6" w:space="0"/>
            </w:tcBorders>
            <w:vAlign w:val="center"/>
          </w:tcPr>
          <w:p w:rsidRPr="00DB1152" w:rsidR="00D42821" w:rsidP="00DB1152" w:rsidRDefault="00D42821" w14:paraId="2F4F31C5" w14:textId="2D79085C">
            <w:pPr>
              <w:keepNext/>
              <w:spacing w:after="0" w:line="240" w:lineRule="auto"/>
              <w:ind w:left="77" w:right="65"/>
              <w:jc w:val="center"/>
              <w:rPr>
                <w:rFonts w:ascii="Times New Roman" w:hAnsi="Times New Roman" w:cs="Times New Roman"/>
                <w:sz w:val="20"/>
                <w:szCs w:val="20"/>
              </w:rPr>
            </w:pPr>
            <w:r w:rsidRPr="00DB1152">
              <w:rPr>
                <w:rFonts w:ascii="Times New Roman" w:hAnsi="Times New Roman" w:cs="Times New Roman"/>
                <w:color w:val="000000"/>
                <w:sz w:val="20"/>
                <w:szCs w:val="20"/>
              </w:rPr>
              <w:t>1383</w:t>
            </w:r>
          </w:p>
        </w:tc>
        <w:tc>
          <w:tcPr>
            <w:tcW w:w="1620" w:type="dxa"/>
            <w:tcBorders>
              <w:left w:val="single" w:color="000000" w:sz="6" w:space="0"/>
            </w:tcBorders>
            <w:vAlign w:val="center"/>
          </w:tcPr>
          <w:p w:rsidRPr="00DB1152" w:rsidR="00D42821" w:rsidP="00DB1152" w:rsidRDefault="00D42821" w14:paraId="0C351C39" w14:textId="3FCCB551">
            <w:pPr>
              <w:keepNext/>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$18,</w:t>
            </w:r>
            <w:r w:rsidRPr="00DB1152" w:rsidR="00480387">
              <w:rPr>
                <w:rFonts w:ascii="Times New Roman" w:hAnsi="Times New Roman" w:cs="Times New Roman"/>
                <w:color w:val="000000"/>
                <w:sz w:val="20"/>
                <w:szCs w:val="20"/>
              </w:rPr>
              <w:t>557,680</w:t>
            </w:r>
          </w:p>
        </w:tc>
      </w:tr>
      <w:tr w:rsidRPr="00693892" w:rsidR="00D42821" w:rsidTr="00DB1152" w14:paraId="5067D9EA" w14:textId="77777777">
        <w:trPr>
          <w:trHeight w:val="282"/>
        </w:trPr>
        <w:tc>
          <w:tcPr>
            <w:tcW w:w="2457" w:type="dxa"/>
            <w:tcBorders>
              <w:left w:val="single" w:color="000000" w:sz="6" w:space="0"/>
              <w:bottom w:val="single" w:color="000000" w:sz="6" w:space="0"/>
              <w:right w:val="single" w:color="000000" w:sz="6" w:space="0"/>
            </w:tcBorders>
            <w:vAlign w:val="center"/>
          </w:tcPr>
          <w:p w:rsidRPr="00DB1152" w:rsidR="00D42821" w:rsidP="00ED3152" w:rsidRDefault="00D42821" w14:paraId="4B8BDA25" w14:textId="7777777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Simple w/ 20-99 FTEs</w:t>
            </w:r>
          </w:p>
        </w:tc>
        <w:tc>
          <w:tcPr>
            <w:tcW w:w="1350" w:type="dxa"/>
            <w:tcBorders>
              <w:left w:val="single" w:color="000000" w:sz="6" w:space="0"/>
              <w:bottom w:val="single" w:color="000000" w:sz="6" w:space="0"/>
              <w:right w:val="single" w:color="000000" w:sz="6" w:space="0"/>
            </w:tcBorders>
            <w:vAlign w:val="center"/>
          </w:tcPr>
          <w:p w:rsidRPr="00DB1152" w:rsidR="00D42821" w:rsidP="00DB1152" w:rsidRDefault="00D42821" w14:paraId="4F3CADE8" w14:textId="77777777">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left w:val="single" w:color="000000" w:sz="6" w:space="0"/>
              <w:bottom w:val="single" w:color="000000" w:sz="6" w:space="0"/>
            </w:tcBorders>
            <w:vAlign w:val="center"/>
          </w:tcPr>
          <w:p w:rsidRPr="00DB1152" w:rsidR="00D42821" w:rsidP="00DB1152" w:rsidRDefault="00480387" w14:paraId="65E88FC5" w14:textId="2863409D">
            <w:pPr>
              <w:keepNext/>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$45,224.1</w:t>
            </w:r>
          </w:p>
        </w:tc>
        <w:tc>
          <w:tcPr>
            <w:tcW w:w="1080" w:type="dxa"/>
            <w:tcBorders>
              <w:bottom w:val="single" w:color="000000" w:sz="6" w:space="0"/>
              <w:right w:val="single" w:color="000000" w:sz="6" w:space="0"/>
            </w:tcBorders>
            <w:vAlign w:val="center"/>
          </w:tcPr>
          <w:p w:rsidRPr="00DB1152" w:rsidR="00D42821" w:rsidP="00DB1152" w:rsidRDefault="00D42821" w14:paraId="25E06763" w14:textId="6F49F67C">
            <w:pPr>
              <w:keepNext/>
              <w:spacing w:after="0" w:line="240" w:lineRule="auto"/>
              <w:ind w:left="77" w:right="65"/>
              <w:jc w:val="center"/>
              <w:rPr>
                <w:rFonts w:ascii="Times New Roman" w:hAnsi="Times New Roman" w:cs="Times New Roman"/>
                <w:sz w:val="20"/>
                <w:szCs w:val="20"/>
              </w:rPr>
            </w:pPr>
            <w:r w:rsidRPr="00DB1152">
              <w:rPr>
                <w:rFonts w:ascii="Times New Roman" w:hAnsi="Times New Roman" w:cs="Times New Roman"/>
                <w:color w:val="000000"/>
                <w:sz w:val="20"/>
                <w:szCs w:val="20"/>
              </w:rPr>
              <w:t>1313</w:t>
            </w:r>
          </w:p>
        </w:tc>
        <w:tc>
          <w:tcPr>
            <w:tcW w:w="1620" w:type="dxa"/>
            <w:tcBorders>
              <w:left w:val="single" w:color="000000" w:sz="6" w:space="0"/>
              <w:bottom w:val="single" w:color="000000" w:sz="6" w:space="0"/>
            </w:tcBorders>
            <w:vAlign w:val="center"/>
          </w:tcPr>
          <w:p w:rsidRPr="00DB1152" w:rsidR="00D42821" w:rsidP="00DB1152" w:rsidRDefault="00480387" w14:paraId="2CEB0D3E" w14:textId="69EF2C95">
            <w:pPr>
              <w:keepNext/>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$19,793,076</w:t>
            </w:r>
          </w:p>
        </w:tc>
      </w:tr>
      <w:tr w:rsidRPr="00693892" w:rsidR="00D42821" w:rsidTr="00DB1152" w14:paraId="6969AF38" w14:textId="77777777">
        <w:trPr>
          <w:trHeight w:val="300"/>
        </w:trPr>
        <w:tc>
          <w:tcPr>
            <w:tcW w:w="2457" w:type="dxa"/>
            <w:tcBorders>
              <w:top w:val="single" w:color="000000" w:sz="6" w:space="0"/>
              <w:left w:val="single" w:color="000000" w:sz="6" w:space="0"/>
              <w:bottom w:val="single" w:color="000000" w:sz="6" w:space="0"/>
              <w:right w:val="single" w:color="000000" w:sz="6" w:space="0"/>
            </w:tcBorders>
            <w:vAlign w:val="center"/>
          </w:tcPr>
          <w:p w:rsidRPr="00DB1152" w:rsidR="00D42821" w:rsidP="00ED3152" w:rsidRDefault="00D42821" w14:paraId="3B1FD068" w14:textId="7777777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Simple w/ 100+ FTEs</w:t>
            </w:r>
          </w:p>
        </w:tc>
        <w:tc>
          <w:tcPr>
            <w:tcW w:w="1350" w:type="dxa"/>
            <w:tcBorders>
              <w:top w:val="single" w:color="000000" w:sz="6" w:space="0"/>
              <w:left w:val="single" w:color="000000" w:sz="6" w:space="0"/>
              <w:bottom w:val="single" w:color="000000" w:sz="6" w:space="0"/>
              <w:right w:val="single" w:color="000000" w:sz="6" w:space="0"/>
            </w:tcBorders>
            <w:vAlign w:val="center"/>
          </w:tcPr>
          <w:p w:rsidRPr="00DB1152" w:rsidR="00D42821" w:rsidP="00DB1152" w:rsidRDefault="00D42821" w14:paraId="4E8AFCEC" w14:textId="77777777">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top w:val="single" w:color="000000" w:sz="6" w:space="0"/>
              <w:left w:val="single" w:color="000000" w:sz="6" w:space="0"/>
              <w:bottom w:val="single" w:color="000000" w:sz="6" w:space="0"/>
            </w:tcBorders>
            <w:vAlign w:val="center"/>
          </w:tcPr>
          <w:p w:rsidRPr="00DB1152" w:rsidR="00D42821" w:rsidP="00DB1152" w:rsidRDefault="00480387" w14:paraId="4515CD17" w14:textId="1690E88E">
            <w:pPr>
              <w:keepNext/>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$47,606.2</w:t>
            </w:r>
          </w:p>
        </w:tc>
        <w:tc>
          <w:tcPr>
            <w:tcW w:w="1080" w:type="dxa"/>
            <w:tcBorders>
              <w:top w:val="single" w:color="000000" w:sz="6" w:space="0"/>
              <w:bottom w:val="single" w:color="000000" w:sz="6" w:space="0"/>
              <w:right w:val="single" w:color="000000" w:sz="6" w:space="0"/>
            </w:tcBorders>
            <w:vAlign w:val="center"/>
          </w:tcPr>
          <w:p w:rsidRPr="00DB1152" w:rsidR="00D42821" w:rsidP="00DB1152" w:rsidRDefault="00D42821" w14:paraId="7069BFA6" w14:textId="26EE4302">
            <w:pPr>
              <w:keepNext/>
              <w:spacing w:after="0" w:line="240" w:lineRule="auto"/>
              <w:ind w:left="77" w:right="65"/>
              <w:jc w:val="center"/>
              <w:rPr>
                <w:rFonts w:ascii="Times New Roman" w:hAnsi="Times New Roman" w:cs="Times New Roman"/>
                <w:sz w:val="20"/>
                <w:szCs w:val="20"/>
              </w:rPr>
            </w:pPr>
            <w:r w:rsidRPr="00DB1152">
              <w:rPr>
                <w:rFonts w:ascii="Times New Roman" w:hAnsi="Times New Roman" w:cs="Times New Roman"/>
                <w:color w:val="000000"/>
                <w:sz w:val="20"/>
                <w:szCs w:val="20"/>
              </w:rPr>
              <w:t>2230</w:t>
            </w:r>
          </w:p>
        </w:tc>
        <w:tc>
          <w:tcPr>
            <w:tcW w:w="1620" w:type="dxa"/>
            <w:tcBorders>
              <w:top w:val="single" w:color="000000" w:sz="6" w:space="0"/>
              <w:left w:val="single" w:color="000000" w:sz="6" w:space="0"/>
              <w:bottom w:val="single" w:color="000000" w:sz="6" w:space="0"/>
            </w:tcBorders>
            <w:vAlign w:val="center"/>
          </w:tcPr>
          <w:p w:rsidRPr="00DB1152" w:rsidR="00D42821" w:rsidP="00DB1152" w:rsidRDefault="00480387" w14:paraId="23EA2A68" w14:textId="4A0E5A27">
            <w:pPr>
              <w:keepNext/>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$35,387,252</w:t>
            </w:r>
          </w:p>
        </w:tc>
      </w:tr>
      <w:tr w:rsidRPr="00693892" w:rsidR="00D42821" w:rsidTr="00DB1152" w14:paraId="70798BD4" w14:textId="77777777">
        <w:trPr>
          <w:trHeight w:val="285"/>
        </w:trPr>
        <w:tc>
          <w:tcPr>
            <w:tcW w:w="2457" w:type="dxa"/>
            <w:tcBorders>
              <w:top w:val="single" w:color="000000" w:sz="6" w:space="0"/>
              <w:left w:val="single" w:color="000000" w:sz="6" w:space="0"/>
              <w:bottom w:val="single" w:color="000000" w:sz="6" w:space="0"/>
              <w:right w:val="single" w:color="000000" w:sz="6" w:space="0"/>
            </w:tcBorders>
            <w:vAlign w:val="center"/>
          </w:tcPr>
          <w:p w:rsidRPr="00DB1152" w:rsidR="00D42821" w:rsidP="00ED3152" w:rsidRDefault="00D42821" w14:paraId="1673F693" w14:textId="7777777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Complex w/ 0-19 FTEs</w:t>
            </w:r>
          </w:p>
        </w:tc>
        <w:tc>
          <w:tcPr>
            <w:tcW w:w="1350" w:type="dxa"/>
            <w:tcBorders>
              <w:top w:val="single" w:color="000000" w:sz="6" w:space="0"/>
              <w:left w:val="single" w:color="000000" w:sz="6" w:space="0"/>
              <w:bottom w:val="single" w:color="000000" w:sz="6" w:space="0"/>
              <w:right w:val="single" w:color="000000" w:sz="6" w:space="0"/>
            </w:tcBorders>
            <w:vAlign w:val="center"/>
          </w:tcPr>
          <w:p w:rsidRPr="00DB1152" w:rsidR="00D42821" w:rsidP="00DB1152" w:rsidRDefault="00D42821" w14:paraId="79C72936" w14:textId="77777777">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top w:val="single" w:color="000000" w:sz="6" w:space="0"/>
              <w:left w:val="single" w:color="000000" w:sz="6" w:space="0"/>
              <w:bottom w:val="single" w:color="000000" w:sz="6" w:space="0"/>
            </w:tcBorders>
            <w:vAlign w:val="center"/>
          </w:tcPr>
          <w:p w:rsidRPr="00DB1152" w:rsidR="00D42821" w:rsidP="00DB1152" w:rsidRDefault="00480387" w14:paraId="6884E537" w14:textId="4D869C2D">
            <w:pPr>
              <w:keepNext/>
              <w:spacing w:after="0" w:line="240" w:lineRule="auto"/>
              <w:ind w:left="92" w:right="31"/>
              <w:jc w:val="center"/>
              <w:rPr>
                <w:rFonts w:ascii="Times New Roman" w:hAnsi="Times New Roman" w:cs="Times New Roman"/>
                <w:sz w:val="20"/>
                <w:szCs w:val="20"/>
              </w:rPr>
            </w:pPr>
            <w:r w:rsidRPr="00DB1152">
              <w:rPr>
                <w:rFonts w:ascii="Times New Roman" w:hAnsi="Times New Roman" w:cs="Times New Roman"/>
                <w:color w:val="000000"/>
                <w:sz w:val="20"/>
                <w:szCs w:val="20"/>
              </w:rPr>
              <w:t>$96,882.0</w:t>
            </w:r>
          </w:p>
        </w:tc>
        <w:tc>
          <w:tcPr>
            <w:tcW w:w="1080" w:type="dxa"/>
            <w:tcBorders>
              <w:top w:val="single" w:color="000000" w:sz="6" w:space="0"/>
              <w:bottom w:val="single" w:color="000000" w:sz="6" w:space="0"/>
              <w:right w:val="single" w:color="000000" w:sz="6" w:space="0"/>
            </w:tcBorders>
            <w:vAlign w:val="center"/>
          </w:tcPr>
          <w:p w:rsidRPr="00DB1152" w:rsidR="00D42821" w:rsidP="00DB1152" w:rsidRDefault="00D42821" w14:paraId="4D5A5EB3" w14:textId="54C13BC2">
            <w:pPr>
              <w:keepNext/>
              <w:spacing w:after="0" w:line="240" w:lineRule="auto"/>
              <w:ind w:left="77" w:right="1"/>
              <w:jc w:val="center"/>
              <w:rPr>
                <w:rFonts w:ascii="Times New Roman" w:hAnsi="Times New Roman" w:cs="Times New Roman"/>
                <w:sz w:val="20"/>
                <w:szCs w:val="20"/>
              </w:rPr>
            </w:pPr>
            <w:r w:rsidRPr="00DB1152">
              <w:rPr>
                <w:rFonts w:ascii="Times New Roman" w:hAnsi="Times New Roman" w:cs="Times New Roman"/>
                <w:color w:val="000000"/>
                <w:sz w:val="20"/>
                <w:szCs w:val="20"/>
              </w:rPr>
              <w:t>271</w:t>
            </w:r>
          </w:p>
        </w:tc>
        <w:tc>
          <w:tcPr>
            <w:tcW w:w="1620" w:type="dxa"/>
            <w:tcBorders>
              <w:top w:val="single" w:color="000000" w:sz="6" w:space="0"/>
              <w:left w:val="single" w:color="000000" w:sz="6" w:space="0"/>
              <w:bottom w:val="single" w:color="000000" w:sz="6" w:space="0"/>
            </w:tcBorders>
            <w:vAlign w:val="center"/>
          </w:tcPr>
          <w:p w:rsidRPr="00DB1152" w:rsidR="00D42821" w:rsidP="00DB1152" w:rsidRDefault="00480387" w14:paraId="1EEFCC33" w14:textId="1CE8DC28">
            <w:pPr>
              <w:keepNext/>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$8,751,676</w:t>
            </w:r>
          </w:p>
        </w:tc>
      </w:tr>
      <w:tr w:rsidRPr="00693892" w:rsidR="00D42821" w:rsidTr="00DB1152" w14:paraId="08ACD9E6" w14:textId="77777777">
        <w:trPr>
          <w:trHeight w:val="315"/>
        </w:trPr>
        <w:tc>
          <w:tcPr>
            <w:tcW w:w="2457" w:type="dxa"/>
            <w:tcBorders>
              <w:top w:val="single" w:color="000000" w:sz="6" w:space="0"/>
              <w:left w:val="single" w:color="000000" w:sz="6" w:space="0"/>
              <w:bottom w:val="single" w:color="000000" w:sz="6" w:space="0"/>
              <w:right w:val="single" w:color="000000" w:sz="6" w:space="0"/>
            </w:tcBorders>
            <w:vAlign w:val="center"/>
          </w:tcPr>
          <w:p w:rsidRPr="00DB1152" w:rsidR="00D42821" w:rsidP="00ED3152" w:rsidRDefault="00D42821" w14:paraId="01F632EA" w14:textId="77777777">
            <w:pPr>
              <w:keepNext/>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Complex w/ 20-99 FTEs</w:t>
            </w:r>
          </w:p>
        </w:tc>
        <w:tc>
          <w:tcPr>
            <w:tcW w:w="1350" w:type="dxa"/>
            <w:tcBorders>
              <w:top w:val="single" w:color="000000" w:sz="6" w:space="0"/>
              <w:left w:val="single" w:color="000000" w:sz="6" w:space="0"/>
              <w:bottom w:val="single" w:color="000000" w:sz="6" w:space="0"/>
              <w:right w:val="single" w:color="000000" w:sz="6" w:space="0"/>
            </w:tcBorders>
            <w:vAlign w:val="center"/>
          </w:tcPr>
          <w:p w:rsidRPr="00DB1152" w:rsidR="00D42821" w:rsidP="00DB1152" w:rsidRDefault="00D42821" w14:paraId="5D0BE7E3" w14:textId="77777777">
            <w:pPr>
              <w:keepNext/>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top w:val="single" w:color="000000" w:sz="6" w:space="0"/>
              <w:left w:val="single" w:color="000000" w:sz="6" w:space="0"/>
              <w:bottom w:val="single" w:color="000000" w:sz="6" w:space="0"/>
            </w:tcBorders>
            <w:vAlign w:val="center"/>
          </w:tcPr>
          <w:p w:rsidRPr="00DB1152" w:rsidR="00D42821" w:rsidP="00DB1152" w:rsidRDefault="00480387" w14:paraId="2CCBE81A" w14:textId="7DB895F1">
            <w:pPr>
              <w:keepNext/>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$103,752.5</w:t>
            </w:r>
          </w:p>
        </w:tc>
        <w:tc>
          <w:tcPr>
            <w:tcW w:w="1080" w:type="dxa"/>
            <w:tcBorders>
              <w:top w:val="single" w:color="000000" w:sz="6" w:space="0"/>
              <w:bottom w:val="single" w:color="000000" w:sz="6" w:space="0"/>
              <w:right w:val="single" w:color="000000" w:sz="6" w:space="0"/>
            </w:tcBorders>
            <w:vAlign w:val="center"/>
          </w:tcPr>
          <w:p w:rsidRPr="00DB1152" w:rsidR="00D42821" w:rsidP="00DB1152" w:rsidRDefault="00D42821" w14:paraId="259408DC" w14:textId="6B03EB35">
            <w:pPr>
              <w:keepNext/>
              <w:spacing w:after="0" w:line="240" w:lineRule="auto"/>
              <w:ind w:left="77" w:right="65"/>
              <w:jc w:val="center"/>
              <w:rPr>
                <w:rFonts w:ascii="Times New Roman" w:hAnsi="Times New Roman" w:cs="Times New Roman"/>
                <w:sz w:val="20"/>
                <w:szCs w:val="20"/>
              </w:rPr>
            </w:pPr>
            <w:r w:rsidRPr="00DB1152">
              <w:rPr>
                <w:rFonts w:ascii="Times New Roman" w:hAnsi="Times New Roman" w:cs="Times New Roman"/>
                <w:color w:val="000000"/>
                <w:sz w:val="20"/>
                <w:szCs w:val="20"/>
              </w:rPr>
              <w:t>679</w:t>
            </w:r>
          </w:p>
        </w:tc>
        <w:tc>
          <w:tcPr>
            <w:tcW w:w="1620" w:type="dxa"/>
            <w:tcBorders>
              <w:top w:val="single" w:color="000000" w:sz="6" w:space="0"/>
              <w:left w:val="single" w:color="000000" w:sz="6" w:space="0"/>
              <w:bottom w:val="single" w:color="000000" w:sz="6" w:space="0"/>
            </w:tcBorders>
            <w:vAlign w:val="center"/>
          </w:tcPr>
          <w:p w:rsidRPr="00DB1152" w:rsidR="00D42821" w:rsidP="00DB1152" w:rsidRDefault="00D42821" w14:paraId="3B24AA7A" w14:textId="7B75A283">
            <w:pPr>
              <w:keepNext/>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w:t>
            </w:r>
            <w:r w:rsidRPr="00DB1152" w:rsidR="00480387">
              <w:rPr>
                <w:rFonts w:ascii="Times New Roman" w:hAnsi="Times New Roman" w:cs="Times New Roman"/>
                <w:color w:val="000000"/>
                <w:sz w:val="20"/>
                <w:szCs w:val="20"/>
              </w:rPr>
              <w:t>23</w:t>
            </w:r>
            <w:r w:rsidRPr="00DB1152">
              <w:rPr>
                <w:rFonts w:ascii="Times New Roman" w:hAnsi="Times New Roman" w:cs="Times New Roman"/>
                <w:color w:val="000000"/>
                <w:sz w:val="20"/>
                <w:szCs w:val="20"/>
              </w:rPr>
              <w:t>,482</w:t>
            </w:r>
            <w:r w:rsidRPr="00DB1152" w:rsidR="00480387">
              <w:rPr>
                <w:rFonts w:ascii="Times New Roman" w:hAnsi="Times New Roman" w:cs="Times New Roman"/>
                <w:color w:val="000000"/>
                <w:sz w:val="20"/>
                <w:szCs w:val="20"/>
              </w:rPr>
              <w:t>,656</w:t>
            </w:r>
          </w:p>
        </w:tc>
      </w:tr>
      <w:tr w:rsidRPr="00693892" w:rsidR="00D42821" w:rsidTr="00DB1152" w14:paraId="5548CB16" w14:textId="77777777">
        <w:trPr>
          <w:trHeight w:val="285"/>
        </w:trPr>
        <w:tc>
          <w:tcPr>
            <w:tcW w:w="2457" w:type="dxa"/>
            <w:tcBorders>
              <w:top w:val="single" w:color="000000" w:sz="6" w:space="0"/>
              <w:left w:val="single" w:color="000000" w:sz="6" w:space="0"/>
              <w:bottom w:val="single" w:color="000000" w:sz="6" w:space="0"/>
              <w:right w:val="single" w:color="000000" w:sz="6" w:space="0"/>
            </w:tcBorders>
            <w:vAlign w:val="center"/>
          </w:tcPr>
          <w:p w:rsidRPr="00DB1152" w:rsidR="00D42821" w:rsidP="00ED3152" w:rsidRDefault="00D42821" w14:paraId="6A2FFC48" w14:textId="77777777">
            <w:pPr>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Complex w/ 100+ FTEs</w:t>
            </w:r>
          </w:p>
        </w:tc>
        <w:tc>
          <w:tcPr>
            <w:tcW w:w="1350" w:type="dxa"/>
            <w:tcBorders>
              <w:top w:val="single" w:color="000000" w:sz="6" w:space="0"/>
              <w:left w:val="single" w:color="000000" w:sz="6" w:space="0"/>
              <w:bottom w:val="single" w:color="000000" w:sz="6" w:space="0"/>
              <w:right w:val="single" w:color="000000" w:sz="6" w:space="0"/>
            </w:tcBorders>
            <w:vAlign w:val="center"/>
          </w:tcPr>
          <w:p w:rsidRPr="00DB1152" w:rsidR="00D42821" w:rsidP="00DB1152" w:rsidRDefault="00D42821" w14:paraId="4DEE4B0B" w14:textId="77777777">
            <w:pPr>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top w:val="single" w:color="000000" w:sz="6" w:space="0"/>
              <w:left w:val="single" w:color="000000" w:sz="6" w:space="0"/>
              <w:bottom w:val="single" w:color="000000" w:sz="6" w:space="0"/>
            </w:tcBorders>
            <w:vAlign w:val="center"/>
          </w:tcPr>
          <w:p w:rsidRPr="00DB1152" w:rsidR="00D42821" w:rsidP="00DB1152" w:rsidRDefault="00480387" w14:paraId="49C1CC9F" w14:textId="6D5CE283">
            <w:pPr>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$107,587.3</w:t>
            </w:r>
          </w:p>
        </w:tc>
        <w:tc>
          <w:tcPr>
            <w:tcW w:w="1080" w:type="dxa"/>
            <w:tcBorders>
              <w:top w:val="single" w:color="000000" w:sz="6" w:space="0"/>
              <w:bottom w:val="single" w:color="000000" w:sz="6" w:space="0"/>
              <w:right w:val="single" w:color="000000" w:sz="6" w:space="0"/>
            </w:tcBorders>
            <w:vAlign w:val="center"/>
          </w:tcPr>
          <w:p w:rsidRPr="00DB1152" w:rsidR="00D42821" w:rsidP="00DB1152" w:rsidRDefault="00D42821" w14:paraId="2AD3D19F" w14:textId="4C7A112E">
            <w:pPr>
              <w:spacing w:after="0" w:line="240" w:lineRule="auto"/>
              <w:ind w:left="77" w:right="65"/>
              <w:jc w:val="center"/>
              <w:rPr>
                <w:rFonts w:ascii="Times New Roman" w:hAnsi="Times New Roman" w:cs="Times New Roman"/>
                <w:sz w:val="20"/>
                <w:szCs w:val="20"/>
              </w:rPr>
            </w:pPr>
            <w:r w:rsidRPr="00DB1152">
              <w:rPr>
                <w:rFonts w:ascii="Times New Roman" w:hAnsi="Times New Roman" w:cs="Times New Roman"/>
                <w:color w:val="000000"/>
                <w:sz w:val="20"/>
                <w:szCs w:val="20"/>
              </w:rPr>
              <w:t>577</w:t>
            </w:r>
          </w:p>
        </w:tc>
        <w:tc>
          <w:tcPr>
            <w:tcW w:w="1620" w:type="dxa"/>
            <w:tcBorders>
              <w:top w:val="single" w:color="000000" w:sz="6" w:space="0"/>
              <w:left w:val="single" w:color="000000" w:sz="6" w:space="0"/>
              <w:bottom w:val="single" w:color="000000" w:sz="6" w:space="0"/>
            </w:tcBorders>
            <w:vAlign w:val="center"/>
          </w:tcPr>
          <w:p w:rsidRPr="00DB1152" w:rsidR="00D42821" w:rsidP="00DB1152" w:rsidRDefault="00D42821" w14:paraId="1B1D7CC8" w14:textId="72FBF6D6">
            <w:pPr>
              <w:spacing w:after="0" w:line="240" w:lineRule="auto"/>
              <w:ind w:left="68"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$20,</w:t>
            </w:r>
            <w:r w:rsidRPr="00DB1152" w:rsidR="00480387">
              <w:rPr>
                <w:rFonts w:ascii="Times New Roman" w:hAnsi="Times New Roman" w:cs="Times New Roman"/>
                <w:color w:val="000000"/>
                <w:sz w:val="20"/>
                <w:szCs w:val="20"/>
              </w:rPr>
              <w:t>692,631</w:t>
            </w:r>
          </w:p>
        </w:tc>
      </w:tr>
      <w:tr w:rsidRPr="00693892" w:rsidR="00D42821" w:rsidTr="00DB1152" w14:paraId="7E29E2CF" w14:textId="77777777">
        <w:trPr>
          <w:trHeight w:val="282"/>
        </w:trPr>
        <w:tc>
          <w:tcPr>
            <w:tcW w:w="2457" w:type="dxa"/>
            <w:tcBorders>
              <w:top w:val="single" w:color="000000" w:sz="6" w:space="0"/>
              <w:left w:val="single" w:color="000000" w:sz="6" w:space="0"/>
              <w:right w:val="single" w:color="000000" w:sz="6" w:space="0"/>
            </w:tcBorders>
            <w:vAlign w:val="center"/>
          </w:tcPr>
          <w:p w:rsidRPr="00DB1152" w:rsidR="00D42821" w:rsidP="00ED3152" w:rsidRDefault="00D42821" w14:paraId="64A4014D" w14:textId="77777777">
            <w:pPr>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Small Government</w:t>
            </w:r>
          </w:p>
        </w:tc>
        <w:tc>
          <w:tcPr>
            <w:tcW w:w="1350" w:type="dxa"/>
            <w:tcBorders>
              <w:top w:val="single" w:color="000000" w:sz="6" w:space="0"/>
              <w:left w:val="single" w:color="000000" w:sz="6" w:space="0"/>
              <w:right w:val="single" w:color="000000" w:sz="6" w:space="0"/>
            </w:tcBorders>
            <w:vAlign w:val="center"/>
          </w:tcPr>
          <w:p w:rsidRPr="00DB1152" w:rsidR="00D42821" w:rsidP="00DB1152" w:rsidRDefault="00D42821" w14:paraId="02D2DFE9" w14:textId="77777777">
            <w:pPr>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top w:val="single" w:color="000000" w:sz="6" w:space="0"/>
              <w:left w:val="single" w:color="000000" w:sz="6" w:space="0"/>
            </w:tcBorders>
            <w:vAlign w:val="center"/>
          </w:tcPr>
          <w:p w:rsidRPr="00DB1152" w:rsidR="00D42821" w:rsidP="00DB1152" w:rsidRDefault="00480387" w14:paraId="6EE4A790" w14:textId="57ED8388">
            <w:pPr>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$42,251.6</w:t>
            </w:r>
          </w:p>
        </w:tc>
        <w:tc>
          <w:tcPr>
            <w:tcW w:w="1080" w:type="dxa"/>
            <w:tcBorders>
              <w:top w:val="single" w:color="000000" w:sz="6" w:space="0"/>
              <w:right w:val="single" w:color="000000" w:sz="6" w:space="0"/>
            </w:tcBorders>
            <w:vAlign w:val="center"/>
          </w:tcPr>
          <w:p w:rsidRPr="00DB1152" w:rsidR="00D42821" w:rsidP="00DB1152" w:rsidRDefault="00D42821" w14:paraId="54FD28D0" w14:textId="39286EEC">
            <w:pPr>
              <w:spacing w:after="0" w:line="240" w:lineRule="auto"/>
              <w:ind w:left="77" w:right="1"/>
              <w:jc w:val="center"/>
              <w:rPr>
                <w:rFonts w:ascii="Times New Roman" w:hAnsi="Times New Roman" w:cs="Times New Roman"/>
                <w:sz w:val="20"/>
                <w:szCs w:val="20"/>
              </w:rPr>
            </w:pPr>
            <w:r w:rsidRPr="00DB1152">
              <w:rPr>
                <w:rFonts w:ascii="Times New Roman" w:hAnsi="Times New Roman" w:cs="Times New Roman"/>
                <w:color w:val="000000"/>
                <w:sz w:val="20"/>
                <w:szCs w:val="20"/>
              </w:rPr>
              <w:t>632</w:t>
            </w:r>
          </w:p>
        </w:tc>
        <w:tc>
          <w:tcPr>
            <w:tcW w:w="1620" w:type="dxa"/>
            <w:tcBorders>
              <w:top w:val="single" w:color="000000" w:sz="6" w:space="0"/>
              <w:left w:val="single" w:color="000000" w:sz="6" w:space="0"/>
            </w:tcBorders>
            <w:vAlign w:val="center"/>
          </w:tcPr>
          <w:p w:rsidRPr="00DB1152" w:rsidR="00D42821" w:rsidP="00DB1152" w:rsidRDefault="00480387" w14:paraId="0F139AE4" w14:textId="002F782F">
            <w:pPr>
              <w:spacing w:after="0" w:line="240" w:lineRule="auto"/>
              <w:ind w:left="68"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$8,901,000</w:t>
            </w:r>
          </w:p>
        </w:tc>
      </w:tr>
      <w:tr w:rsidRPr="00693892" w:rsidR="00D42821" w:rsidTr="00DB1152" w14:paraId="1F56DD41" w14:textId="77777777">
        <w:trPr>
          <w:trHeight w:val="295"/>
        </w:trPr>
        <w:tc>
          <w:tcPr>
            <w:tcW w:w="2457" w:type="dxa"/>
            <w:tcBorders>
              <w:left w:val="single" w:color="000000" w:sz="6" w:space="0"/>
              <w:right w:val="single" w:color="000000" w:sz="6" w:space="0"/>
            </w:tcBorders>
            <w:vAlign w:val="center"/>
          </w:tcPr>
          <w:p w:rsidRPr="00DB1152" w:rsidR="00D42821" w:rsidP="00ED3152" w:rsidRDefault="00D42821" w14:paraId="27EF1211" w14:textId="77777777">
            <w:pPr>
              <w:spacing w:after="0" w:line="240" w:lineRule="auto"/>
              <w:ind w:left="127"/>
              <w:rPr>
                <w:rFonts w:ascii="Times New Roman" w:hAnsi="Times New Roman" w:cs="Times New Roman"/>
                <w:sz w:val="20"/>
                <w:szCs w:val="20"/>
              </w:rPr>
            </w:pPr>
            <w:r w:rsidRPr="00DB1152">
              <w:rPr>
                <w:rFonts w:ascii="Times New Roman" w:hAnsi="Times New Roman" w:cs="Times New Roman"/>
                <w:sz w:val="20"/>
                <w:szCs w:val="20"/>
              </w:rPr>
              <w:t>Large Government</w:t>
            </w:r>
          </w:p>
        </w:tc>
        <w:tc>
          <w:tcPr>
            <w:tcW w:w="1350" w:type="dxa"/>
            <w:tcBorders>
              <w:left w:val="single" w:color="000000" w:sz="6" w:space="0"/>
              <w:right w:val="single" w:color="000000" w:sz="6" w:space="0"/>
            </w:tcBorders>
            <w:vAlign w:val="center"/>
          </w:tcPr>
          <w:p w:rsidRPr="00DB1152" w:rsidR="00D42821" w:rsidP="00DB1152" w:rsidRDefault="00D42821" w14:paraId="1994DB30" w14:textId="77777777">
            <w:pPr>
              <w:spacing w:after="0" w:line="240" w:lineRule="auto"/>
              <w:ind w:left="31"/>
              <w:jc w:val="center"/>
              <w:rPr>
                <w:rFonts w:ascii="Times New Roman" w:hAnsi="Times New Roman" w:cs="Times New Roman"/>
                <w:sz w:val="20"/>
                <w:szCs w:val="20"/>
              </w:rPr>
            </w:pPr>
            <w:r w:rsidRPr="00DB1152">
              <w:rPr>
                <w:rFonts w:ascii="Times New Roman" w:hAnsi="Times New Roman" w:cs="Times New Roman"/>
                <w:sz w:val="20"/>
                <w:szCs w:val="20"/>
              </w:rPr>
              <w:t>0.33</w:t>
            </w:r>
          </w:p>
        </w:tc>
        <w:tc>
          <w:tcPr>
            <w:tcW w:w="1350" w:type="dxa"/>
            <w:tcBorders>
              <w:left w:val="single" w:color="000000" w:sz="6" w:space="0"/>
            </w:tcBorders>
            <w:vAlign w:val="center"/>
          </w:tcPr>
          <w:p w:rsidRPr="00DB1152" w:rsidR="00D42821" w:rsidP="00DB1152" w:rsidRDefault="00480387" w14:paraId="7EA97F13" w14:textId="05262C2D">
            <w:pPr>
              <w:spacing w:after="0" w:line="240" w:lineRule="auto"/>
              <w:ind w:left="92" w:right="30"/>
              <w:jc w:val="center"/>
              <w:rPr>
                <w:rFonts w:ascii="Times New Roman" w:hAnsi="Times New Roman" w:cs="Times New Roman"/>
                <w:sz w:val="20"/>
                <w:szCs w:val="20"/>
              </w:rPr>
            </w:pPr>
            <w:r w:rsidRPr="00DB1152">
              <w:rPr>
                <w:rFonts w:ascii="Times New Roman" w:hAnsi="Times New Roman" w:cs="Times New Roman"/>
                <w:color w:val="000000"/>
                <w:sz w:val="20"/>
                <w:szCs w:val="20"/>
              </w:rPr>
              <w:t>$111,047.9</w:t>
            </w:r>
          </w:p>
        </w:tc>
        <w:tc>
          <w:tcPr>
            <w:tcW w:w="1080" w:type="dxa"/>
            <w:tcBorders>
              <w:right w:val="single" w:color="000000" w:sz="6" w:space="0"/>
            </w:tcBorders>
            <w:vAlign w:val="center"/>
          </w:tcPr>
          <w:p w:rsidRPr="00DB1152" w:rsidR="00D42821" w:rsidP="00DB1152" w:rsidRDefault="00D42821" w14:paraId="477CF669" w14:textId="6CFF4905">
            <w:pPr>
              <w:spacing w:after="0" w:line="240" w:lineRule="auto"/>
              <w:ind w:left="77" w:right="1"/>
              <w:jc w:val="center"/>
              <w:rPr>
                <w:rFonts w:ascii="Times New Roman" w:hAnsi="Times New Roman" w:cs="Times New Roman"/>
                <w:sz w:val="20"/>
                <w:szCs w:val="20"/>
              </w:rPr>
            </w:pPr>
            <w:r w:rsidRPr="00DB1152">
              <w:rPr>
                <w:rFonts w:ascii="Times New Roman" w:hAnsi="Times New Roman" w:cs="Times New Roman"/>
                <w:color w:val="000000"/>
                <w:sz w:val="20"/>
                <w:szCs w:val="20"/>
              </w:rPr>
              <w:t>20</w:t>
            </w:r>
          </w:p>
        </w:tc>
        <w:tc>
          <w:tcPr>
            <w:tcW w:w="1620" w:type="dxa"/>
            <w:tcBorders>
              <w:left w:val="single" w:color="000000" w:sz="6" w:space="0"/>
            </w:tcBorders>
            <w:vAlign w:val="center"/>
          </w:tcPr>
          <w:p w:rsidRPr="00DB1152" w:rsidR="00D42821" w:rsidP="00DB1152" w:rsidRDefault="00480387" w14:paraId="2005F363" w14:textId="18B84CE4">
            <w:pPr>
              <w:spacing w:after="0" w:line="240" w:lineRule="auto"/>
              <w:ind w:left="83" w:right="51"/>
              <w:jc w:val="center"/>
              <w:rPr>
                <w:rFonts w:ascii="Times New Roman" w:hAnsi="Times New Roman" w:cs="Times New Roman"/>
                <w:sz w:val="20"/>
                <w:szCs w:val="20"/>
              </w:rPr>
            </w:pPr>
            <w:r w:rsidRPr="00DB1152">
              <w:rPr>
                <w:rFonts w:ascii="Times New Roman" w:hAnsi="Times New Roman" w:cs="Times New Roman"/>
                <w:color w:val="000000"/>
                <w:sz w:val="20"/>
                <w:szCs w:val="20"/>
              </w:rPr>
              <w:t>$740,319</w:t>
            </w:r>
          </w:p>
        </w:tc>
      </w:tr>
      <w:tr w:rsidRPr="00693892" w:rsidR="00D42821" w:rsidTr="00DB1152" w14:paraId="4080F7BC" w14:textId="77777777">
        <w:trPr>
          <w:trHeight w:val="337"/>
        </w:trPr>
        <w:tc>
          <w:tcPr>
            <w:tcW w:w="2457" w:type="dxa"/>
            <w:tcBorders>
              <w:left w:val="single" w:color="000000" w:sz="6" w:space="0"/>
              <w:bottom w:val="single" w:color="000000" w:sz="6" w:space="0"/>
              <w:right w:val="single" w:color="000000" w:sz="6" w:space="0"/>
            </w:tcBorders>
            <w:vAlign w:val="center"/>
          </w:tcPr>
          <w:p w:rsidRPr="00DB1152" w:rsidR="00D42821" w:rsidP="00DB1152" w:rsidRDefault="00D42821" w14:paraId="6272DA9B" w14:textId="77777777">
            <w:pPr>
              <w:spacing w:after="0" w:line="240" w:lineRule="auto"/>
              <w:ind w:left="878" w:right="842"/>
              <w:jc w:val="center"/>
              <w:rPr>
                <w:rFonts w:ascii="Times New Roman" w:hAnsi="Times New Roman" w:cs="Times New Roman"/>
                <w:b/>
                <w:sz w:val="20"/>
                <w:szCs w:val="20"/>
              </w:rPr>
            </w:pPr>
            <w:r w:rsidRPr="00DB1152">
              <w:rPr>
                <w:rFonts w:ascii="Times New Roman" w:hAnsi="Times New Roman" w:cs="Times New Roman"/>
                <w:b/>
                <w:sz w:val="20"/>
                <w:szCs w:val="20"/>
              </w:rPr>
              <w:t>Total</w:t>
            </w:r>
          </w:p>
        </w:tc>
        <w:tc>
          <w:tcPr>
            <w:tcW w:w="1350" w:type="dxa"/>
            <w:tcBorders>
              <w:left w:val="single" w:color="000000" w:sz="6" w:space="0"/>
              <w:bottom w:val="single" w:color="000000" w:sz="6" w:space="0"/>
              <w:right w:val="single" w:color="000000" w:sz="6" w:space="0"/>
            </w:tcBorders>
            <w:vAlign w:val="center"/>
          </w:tcPr>
          <w:p w:rsidRPr="00DB1152" w:rsidR="00D42821" w:rsidP="00DB1152" w:rsidRDefault="00D42821" w14:paraId="6B395DE6" w14:textId="77777777">
            <w:pPr>
              <w:spacing w:after="0" w:line="240" w:lineRule="auto"/>
              <w:jc w:val="center"/>
              <w:rPr>
                <w:rFonts w:ascii="Times New Roman" w:hAnsi="Times New Roman" w:cs="Times New Roman"/>
                <w:sz w:val="20"/>
                <w:szCs w:val="20"/>
              </w:rPr>
            </w:pPr>
          </w:p>
        </w:tc>
        <w:tc>
          <w:tcPr>
            <w:tcW w:w="1350" w:type="dxa"/>
            <w:tcBorders>
              <w:left w:val="single" w:color="000000" w:sz="6" w:space="0"/>
              <w:bottom w:val="single" w:color="000000" w:sz="6" w:space="0"/>
            </w:tcBorders>
            <w:vAlign w:val="center"/>
          </w:tcPr>
          <w:p w:rsidRPr="00DB1152" w:rsidR="00D42821" w:rsidP="00DB1152" w:rsidRDefault="00D42821" w14:paraId="12D4287C" w14:textId="77777777">
            <w:pPr>
              <w:spacing w:after="0" w:line="240" w:lineRule="auto"/>
              <w:jc w:val="center"/>
              <w:rPr>
                <w:rFonts w:ascii="Times New Roman" w:hAnsi="Times New Roman" w:cs="Times New Roman"/>
                <w:sz w:val="20"/>
                <w:szCs w:val="20"/>
              </w:rPr>
            </w:pPr>
          </w:p>
        </w:tc>
        <w:tc>
          <w:tcPr>
            <w:tcW w:w="1080" w:type="dxa"/>
            <w:tcBorders>
              <w:bottom w:val="single" w:color="000000" w:sz="6" w:space="0"/>
              <w:right w:val="single" w:color="000000" w:sz="6" w:space="0"/>
            </w:tcBorders>
            <w:vAlign w:val="center"/>
          </w:tcPr>
          <w:p w:rsidRPr="00DB1152" w:rsidR="00D42821" w:rsidP="00DB1152" w:rsidRDefault="00D42821" w14:paraId="7021CE1F" w14:textId="4860308A">
            <w:pPr>
              <w:spacing w:after="0" w:line="240" w:lineRule="auto"/>
              <w:ind w:left="67" w:right="67"/>
              <w:jc w:val="center"/>
              <w:rPr>
                <w:rFonts w:ascii="Times New Roman" w:hAnsi="Times New Roman" w:cs="Times New Roman"/>
                <w:b/>
                <w:sz w:val="20"/>
                <w:szCs w:val="20"/>
              </w:rPr>
            </w:pPr>
            <w:r w:rsidRPr="00DB1152">
              <w:rPr>
                <w:rFonts w:ascii="Times New Roman" w:hAnsi="Times New Roman" w:cs="Times New Roman"/>
                <w:b/>
                <w:sz w:val="20"/>
                <w:szCs w:val="20"/>
              </w:rPr>
              <w:t>7,105</w:t>
            </w:r>
          </w:p>
        </w:tc>
        <w:tc>
          <w:tcPr>
            <w:tcW w:w="1620" w:type="dxa"/>
            <w:tcBorders>
              <w:left w:val="single" w:color="000000" w:sz="6" w:space="0"/>
              <w:bottom w:val="single" w:color="000000" w:sz="6" w:space="0"/>
            </w:tcBorders>
            <w:vAlign w:val="center"/>
          </w:tcPr>
          <w:p w:rsidRPr="00DB1152" w:rsidR="00D42821" w:rsidP="00DB1152" w:rsidRDefault="00480387" w14:paraId="5BED7A7D" w14:textId="1D13B1D0">
            <w:pPr>
              <w:spacing w:after="0" w:line="240" w:lineRule="auto"/>
              <w:ind w:left="55"/>
              <w:jc w:val="center"/>
              <w:rPr>
                <w:rFonts w:ascii="Times New Roman" w:hAnsi="Times New Roman" w:cs="Times New Roman"/>
                <w:b/>
                <w:color w:val="000000"/>
                <w:sz w:val="20"/>
                <w:szCs w:val="20"/>
              </w:rPr>
            </w:pPr>
            <w:r w:rsidRPr="00DB1152">
              <w:rPr>
                <w:rFonts w:ascii="Times New Roman" w:hAnsi="Times New Roman" w:cs="Times New Roman"/>
                <w:b/>
                <w:color w:val="000000"/>
                <w:sz w:val="20"/>
                <w:szCs w:val="20"/>
              </w:rPr>
              <w:t>$136,306,289</w:t>
            </w:r>
          </w:p>
        </w:tc>
      </w:tr>
    </w:tbl>
    <w:p w:rsidRPr="00693892" w:rsidR="00A25EBF" w:rsidP="00693892" w:rsidRDefault="00D726C0" w14:paraId="70F9A671" w14:textId="0246E024">
      <w:pPr>
        <w:spacing w:after="0" w:line="240" w:lineRule="auto"/>
        <w:rPr>
          <w:rFonts w:ascii="Times New Roman" w:hAnsi="Times New Roman" w:cs="Times New Roman"/>
        </w:rPr>
      </w:pPr>
      <w:r>
        <w:rPr>
          <w:rFonts w:ascii="Times New Roman" w:hAnsi="Times New Roman" w:cs="Times New Roman"/>
        </w:rPr>
        <w:tab/>
      </w:r>
    </w:p>
    <w:p w:rsidRPr="00DB1152" w:rsidR="00A25EBF" w:rsidP="004B312A" w:rsidRDefault="00D726C0" w14:paraId="5CD65CC7" w14:textId="2750AB36">
      <w:pPr>
        <w:spacing w:after="0" w:line="240" w:lineRule="auto"/>
        <w:ind w:firstLine="360"/>
        <w:rPr>
          <w:rFonts w:ascii="Times New Roman" w:hAnsi="Times New Roman" w:cs="Times New Roman"/>
          <w:sz w:val="18"/>
          <w:szCs w:val="18"/>
        </w:rPr>
      </w:pPr>
      <w:r>
        <w:rPr>
          <w:rFonts w:ascii="Times New Roman" w:hAnsi="Times New Roman" w:cs="Times New Roman"/>
        </w:rPr>
        <w:tab/>
      </w:r>
    </w:p>
    <w:p w:rsidRPr="00693892" w:rsidR="009C7B7A" w:rsidP="00813745" w:rsidRDefault="00EB640B" w14:paraId="360724C6" w14:textId="48593982">
      <w:pPr>
        <w:pStyle w:val="Heading2"/>
      </w:pPr>
      <w:bookmarkStart w:name="_Toc98856237" w:id="142"/>
      <w:bookmarkStart w:name="_Toc110502767" w:id="143"/>
      <w:r w:rsidRPr="00693892">
        <w:t>7.</w:t>
      </w:r>
      <w:r w:rsidR="007F6842">
        <w:t>3</w:t>
      </w:r>
      <w:r w:rsidRPr="00693892">
        <w:t xml:space="preserve"> </w:t>
      </w:r>
      <w:r w:rsidRPr="00693892" w:rsidR="009C7B7A">
        <w:t>Summary of Regulatory Alternatives</w:t>
      </w:r>
      <w:bookmarkEnd w:id="142"/>
      <w:bookmarkEnd w:id="143"/>
    </w:p>
    <w:p w:rsidR="00C8160F" w:rsidP="000E6E0F" w:rsidRDefault="00D726C0" w14:paraId="0D35BEAC" w14:textId="2E0C2607">
      <w:pPr>
        <w:spacing w:after="0" w:line="240" w:lineRule="auto"/>
        <w:ind w:firstLine="360"/>
        <w:rPr>
          <w:rFonts w:ascii="Times New Roman" w:hAnsi="Times New Roman" w:cs="Times New Roman"/>
          <w:spacing w:val="2"/>
        </w:rPr>
      </w:pPr>
      <w:r>
        <w:rPr>
          <w:rFonts w:ascii="Times New Roman" w:hAnsi="Times New Roman" w:cs="Times New Roman"/>
          <w:spacing w:val="2"/>
        </w:rPr>
        <w:tab/>
      </w:r>
      <w:r w:rsidRPr="00693892" w:rsidR="000B4CB8">
        <w:rPr>
          <w:rFonts w:ascii="Times New Roman" w:hAnsi="Times New Roman" w:cs="Times New Roman"/>
          <w:spacing w:val="2"/>
        </w:rPr>
        <w:t>EPA compare</w:t>
      </w:r>
      <w:r w:rsidRPr="00693892" w:rsidR="00A54AAF">
        <w:rPr>
          <w:rFonts w:ascii="Times New Roman" w:hAnsi="Times New Roman" w:cs="Times New Roman"/>
          <w:spacing w:val="2"/>
        </w:rPr>
        <w:t>d</w:t>
      </w:r>
      <w:r w:rsidRPr="00693892" w:rsidR="000B4CB8">
        <w:rPr>
          <w:rFonts w:ascii="Times New Roman" w:hAnsi="Times New Roman" w:cs="Times New Roman"/>
          <w:spacing w:val="2"/>
        </w:rPr>
        <w:t xml:space="preserve"> the total cost of the regulatory alternatives to the proposed rule. Each regulatory alternative consists of the alternative provisions </w:t>
      </w:r>
      <w:r w:rsidRPr="00693892" w:rsidR="00A54AAF">
        <w:rPr>
          <w:rFonts w:ascii="Times New Roman" w:hAnsi="Times New Roman" w:cs="Times New Roman"/>
          <w:spacing w:val="2"/>
        </w:rPr>
        <w:t xml:space="preserve">presented above, </w:t>
      </w:r>
      <w:r w:rsidRPr="00693892" w:rsidR="000B4CB8">
        <w:rPr>
          <w:rFonts w:ascii="Times New Roman" w:hAnsi="Times New Roman" w:cs="Times New Roman"/>
          <w:spacing w:val="2"/>
        </w:rPr>
        <w:t xml:space="preserve">combined with the proposed version of all remaining provisions. </w:t>
      </w:r>
      <w:r w:rsidRPr="00693892" w:rsidR="0045400F">
        <w:rPr>
          <w:rFonts w:ascii="Times New Roman" w:hAnsi="Times New Roman" w:cs="Times New Roman"/>
        </w:rPr>
        <w:t xml:space="preserve">The analysis presents total costs as total undiscounted costs </w:t>
      </w:r>
      <w:r w:rsidRPr="00693892" w:rsidR="0045400F">
        <w:rPr>
          <w:rFonts w:ascii="Times New Roman" w:hAnsi="Times New Roman" w:cs="Times New Roman"/>
          <w:spacing w:val="3"/>
        </w:rPr>
        <w:t xml:space="preserve">over </w:t>
      </w:r>
      <w:r w:rsidRPr="00693892" w:rsidR="0045400F">
        <w:rPr>
          <w:rFonts w:ascii="Times New Roman" w:hAnsi="Times New Roman" w:cs="Times New Roman"/>
        </w:rPr>
        <w:t xml:space="preserve">the </w:t>
      </w:r>
      <w:proofErr w:type="gramStart"/>
      <w:r w:rsidRPr="00693892" w:rsidR="0045400F">
        <w:rPr>
          <w:rFonts w:ascii="Times New Roman" w:hAnsi="Times New Roman" w:cs="Times New Roman"/>
          <w:spacing w:val="-5"/>
        </w:rPr>
        <w:t xml:space="preserve">10 </w:t>
      </w:r>
      <w:r w:rsidRPr="00693892" w:rsidR="0045400F">
        <w:rPr>
          <w:rFonts w:ascii="Times New Roman" w:hAnsi="Times New Roman" w:cs="Times New Roman"/>
        </w:rPr>
        <w:t>year</w:t>
      </w:r>
      <w:proofErr w:type="gramEnd"/>
      <w:r w:rsidRPr="00693892" w:rsidR="0045400F">
        <w:rPr>
          <w:rFonts w:ascii="Times New Roman" w:hAnsi="Times New Roman" w:cs="Times New Roman"/>
        </w:rPr>
        <w:t xml:space="preserve"> </w:t>
      </w:r>
      <w:r w:rsidRPr="00693892" w:rsidR="0045400F">
        <w:rPr>
          <w:rFonts w:ascii="Times New Roman" w:hAnsi="Times New Roman" w:cs="Times New Roman"/>
          <w:spacing w:val="2"/>
        </w:rPr>
        <w:t xml:space="preserve">period </w:t>
      </w:r>
      <w:r w:rsidRPr="00693892" w:rsidR="0045400F">
        <w:rPr>
          <w:rFonts w:ascii="Times New Roman" w:hAnsi="Times New Roman" w:cs="Times New Roman"/>
        </w:rPr>
        <w:t xml:space="preserve">of </w:t>
      </w:r>
      <w:r w:rsidRPr="00693892" w:rsidR="0045400F">
        <w:rPr>
          <w:rFonts w:ascii="Times New Roman" w:hAnsi="Times New Roman" w:cs="Times New Roman"/>
          <w:spacing w:val="2"/>
        </w:rPr>
        <w:t xml:space="preserve">analysis, </w:t>
      </w:r>
      <w:r w:rsidRPr="00693892" w:rsidR="0045400F">
        <w:rPr>
          <w:rFonts w:ascii="Times New Roman" w:hAnsi="Times New Roman" w:cs="Times New Roman"/>
        </w:rPr>
        <w:t xml:space="preserve">total discounted </w:t>
      </w:r>
      <w:r w:rsidRPr="00693892" w:rsidR="0045400F">
        <w:rPr>
          <w:rFonts w:ascii="Times New Roman" w:hAnsi="Times New Roman" w:cs="Times New Roman"/>
          <w:spacing w:val="3"/>
        </w:rPr>
        <w:t xml:space="preserve">(3 </w:t>
      </w:r>
      <w:r w:rsidRPr="00693892" w:rsidR="0045400F">
        <w:rPr>
          <w:rFonts w:ascii="Times New Roman" w:hAnsi="Times New Roman" w:cs="Times New Roman"/>
        </w:rPr>
        <w:t xml:space="preserve">percent and 7 percent), and annualized </w:t>
      </w:r>
      <w:r w:rsidRPr="00693892" w:rsidR="0045400F">
        <w:rPr>
          <w:rFonts w:ascii="Times New Roman" w:hAnsi="Times New Roman" w:cs="Times New Roman"/>
          <w:spacing w:val="3"/>
        </w:rPr>
        <w:t xml:space="preserve">(3 </w:t>
      </w:r>
      <w:r w:rsidRPr="00693892" w:rsidR="0045400F">
        <w:rPr>
          <w:rFonts w:ascii="Times New Roman" w:hAnsi="Times New Roman" w:cs="Times New Roman"/>
        </w:rPr>
        <w:t xml:space="preserve">percent and 7 percent). When annual costs </w:t>
      </w:r>
      <w:r w:rsidRPr="00693892" w:rsidR="0045400F">
        <w:rPr>
          <w:rFonts w:ascii="Times New Roman" w:hAnsi="Times New Roman" w:cs="Times New Roman"/>
          <w:spacing w:val="2"/>
        </w:rPr>
        <w:t xml:space="preserve">for different </w:t>
      </w:r>
      <w:r w:rsidRPr="00693892" w:rsidR="0045400F">
        <w:rPr>
          <w:rFonts w:ascii="Times New Roman" w:hAnsi="Times New Roman" w:cs="Times New Roman"/>
        </w:rPr>
        <w:t xml:space="preserve">years </w:t>
      </w:r>
      <w:r w:rsidRPr="00693892" w:rsidR="0045400F">
        <w:rPr>
          <w:rFonts w:ascii="Times New Roman" w:hAnsi="Times New Roman" w:cs="Times New Roman"/>
          <w:spacing w:val="-3"/>
        </w:rPr>
        <w:t xml:space="preserve">are </w:t>
      </w:r>
      <w:r w:rsidRPr="00693892" w:rsidR="0045400F">
        <w:rPr>
          <w:rFonts w:ascii="Times New Roman" w:hAnsi="Times New Roman" w:cs="Times New Roman"/>
        </w:rPr>
        <w:t xml:space="preserve">equal across the analysis period, the annualized costs calculated </w:t>
      </w:r>
      <w:r w:rsidRPr="00693892" w:rsidR="0045400F">
        <w:rPr>
          <w:rFonts w:ascii="Times New Roman" w:hAnsi="Times New Roman" w:cs="Times New Roman"/>
          <w:spacing w:val="2"/>
        </w:rPr>
        <w:t>using</w:t>
      </w:r>
      <w:r w:rsidRPr="00693892" w:rsidR="0045400F">
        <w:rPr>
          <w:rFonts w:ascii="Times New Roman" w:hAnsi="Times New Roman" w:cs="Times New Roman"/>
          <w:spacing w:val="-21"/>
        </w:rPr>
        <w:t xml:space="preserve"> </w:t>
      </w:r>
      <w:r w:rsidRPr="00693892" w:rsidR="0045400F">
        <w:rPr>
          <w:rFonts w:ascii="Times New Roman" w:hAnsi="Times New Roman" w:cs="Times New Roman"/>
          <w:spacing w:val="2"/>
        </w:rPr>
        <w:t>different</w:t>
      </w:r>
      <w:r w:rsidRPr="00693892" w:rsidR="0045400F">
        <w:rPr>
          <w:rFonts w:ascii="Times New Roman" w:hAnsi="Times New Roman" w:cs="Times New Roman"/>
          <w:spacing w:val="-20"/>
        </w:rPr>
        <w:t xml:space="preserve"> </w:t>
      </w:r>
      <w:r w:rsidRPr="00693892" w:rsidR="0045400F">
        <w:rPr>
          <w:rFonts w:ascii="Times New Roman" w:hAnsi="Times New Roman" w:cs="Times New Roman"/>
        </w:rPr>
        <w:t>discount</w:t>
      </w:r>
      <w:r w:rsidRPr="00693892" w:rsidR="0045400F">
        <w:rPr>
          <w:rFonts w:ascii="Times New Roman" w:hAnsi="Times New Roman" w:cs="Times New Roman"/>
          <w:spacing w:val="-20"/>
        </w:rPr>
        <w:t xml:space="preserve"> </w:t>
      </w:r>
      <w:r w:rsidRPr="00693892" w:rsidR="0045400F">
        <w:rPr>
          <w:rFonts w:ascii="Times New Roman" w:hAnsi="Times New Roman" w:cs="Times New Roman"/>
        </w:rPr>
        <w:t>rates</w:t>
      </w:r>
      <w:r w:rsidRPr="00693892" w:rsidR="0045400F">
        <w:rPr>
          <w:rFonts w:ascii="Times New Roman" w:hAnsi="Times New Roman" w:cs="Times New Roman"/>
          <w:spacing w:val="-16"/>
        </w:rPr>
        <w:t xml:space="preserve"> </w:t>
      </w:r>
      <w:r w:rsidRPr="00693892" w:rsidR="0045400F">
        <w:rPr>
          <w:rFonts w:ascii="Times New Roman" w:hAnsi="Times New Roman" w:cs="Times New Roman"/>
        </w:rPr>
        <w:t>(e.g.,</w:t>
      </w:r>
      <w:r w:rsidRPr="00693892" w:rsidR="0045400F">
        <w:rPr>
          <w:rFonts w:ascii="Times New Roman" w:hAnsi="Times New Roman" w:cs="Times New Roman"/>
          <w:spacing w:val="-15"/>
        </w:rPr>
        <w:t xml:space="preserve"> </w:t>
      </w:r>
      <w:r w:rsidRPr="00693892" w:rsidR="0045400F">
        <w:rPr>
          <w:rFonts w:ascii="Times New Roman" w:hAnsi="Times New Roman" w:cs="Times New Roman"/>
        </w:rPr>
        <w:t>3</w:t>
      </w:r>
      <w:r w:rsidRPr="00693892" w:rsidR="0045400F">
        <w:rPr>
          <w:rFonts w:ascii="Times New Roman" w:hAnsi="Times New Roman" w:cs="Times New Roman"/>
          <w:spacing w:val="-29"/>
        </w:rPr>
        <w:t xml:space="preserve"> </w:t>
      </w:r>
      <w:r w:rsidRPr="00693892" w:rsidR="0045400F">
        <w:rPr>
          <w:rFonts w:ascii="Times New Roman" w:hAnsi="Times New Roman" w:cs="Times New Roman"/>
        </w:rPr>
        <w:t>and</w:t>
      </w:r>
      <w:r w:rsidRPr="00693892" w:rsidR="0045400F">
        <w:rPr>
          <w:rFonts w:ascii="Times New Roman" w:hAnsi="Times New Roman" w:cs="Times New Roman"/>
          <w:spacing w:val="-2"/>
        </w:rPr>
        <w:t xml:space="preserve"> </w:t>
      </w:r>
      <w:r w:rsidRPr="00693892" w:rsidR="0045400F">
        <w:rPr>
          <w:rFonts w:ascii="Times New Roman" w:hAnsi="Times New Roman" w:cs="Times New Roman"/>
        </w:rPr>
        <w:t>7</w:t>
      </w:r>
      <w:r w:rsidRPr="00693892" w:rsidR="0045400F">
        <w:rPr>
          <w:rFonts w:ascii="Times New Roman" w:hAnsi="Times New Roman" w:cs="Times New Roman"/>
          <w:spacing w:val="3"/>
        </w:rPr>
        <w:t xml:space="preserve"> </w:t>
      </w:r>
      <w:r w:rsidRPr="00693892" w:rsidR="0045400F">
        <w:rPr>
          <w:rFonts w:ascii="Times New Roman" w:hAnsi="Times New Roman" w:cs="Times New Roman"/>
        </w:rPr>
        <w:t>percent)</w:t>
      </w:r>
      <w:r w:rsidRPr="00693892" w:rsidR="0045400F">
        <w:rPr>
          <w:rFonts w:ascii="Times New Roman" w:hAnsi="Times New Roman" w:cs="Times New Roman"/>
          <w:spacing w:val="-13"/>
        </w:rPr>
        <w:t xml:space="preserve"> </w:t>
      </w:r>
      <w:r w:rsidRPr="00693892" w:rsidR="0045400F">
        <w:rPr>
          <w:rFonts w:ascii="Times New Roman" w:hAnsi="Times New Roman" w:cs="Times New Roman"/>
          <w:spacing w:val="-3"/>
        </w:rPr>
        <w:t>are</w:t>
      </w:r>
      <w:r w:rsidRPr="00693892" w:rsidR="0045400F">
        <w:rPr>
          <w:rFonts w:ascii="Times New Roman" w:hAnsi="Times New Roman" w:cs="Times New Roman"/>
          <w:spacing w:val="-11"/>
        </w:rPr>
        <w:t xml:space="preserve"> </w:t>
      </w:r>
      <w:r w:rsidRPr="00693892" w:rsidR="0045400F">
        <w:rPr>
          <w:rFonts w:ascii="Times New Roman" w:hAnsi="Times New Roman" w:cs="Times New Roman"/>
          <w:spacing w:val="2"/>
        </w:rPr>
        <w:t>equal.</w:t>
      </w:r>
      <w:r w:rsidRPr="00693892" w:rsidR="000B4CB8">
        <w:rPr>
          <w:rFonts w:ascii="Times New Roman" w:hAnsi="Times New Roman" w:cs="Times New Roman"/>
          <w:spacing w:val="2"/>
        </w:rPr>
        <w:t xml:space="preserve"> </w:t>
      </w:r>
      <w:r w:rsidRPr="00693892" w:rsidR="00D3478D">
        <w:rPr>
          <w:rFonts w:ascii="Times New Roman" w:hAnsi="Times New Roman" w:cs="Times New Roman"/>
          <w:spacing w:val="2"/>
        </w:rPr>
        <w:t>Exhibit 7-</w:t>
      </w:r>
      <w:r w:rsidRPr="00693892" w:rsidR="00A464DD">
        <w:rPr>
          <w:rFonts w:ascii="Times New Roman" w:hAnsi="Times New Roman" w:cs="Times New Roman"/>
          <w:spacing w:val="2"/>
        </w:rPr>
        <w:t>6</w:t>
      </w:r>
      <w:r w:rsidRPr="00693892" w:rsidR="000B4CB8">
        <w:rPr>
          <w:rFonts w:ascii="Times New Roman" w:hAnsi="Times New Roman" w:cs="Times New Roman"/>
          <w:spacing w:val="2"/>
        </w:rPr>
        <w:t xml:space="preserve"> summarizes </w:t>
      </w:r>
      <w:r w:rsidRPr="00693892" w:rsidR="00880915">
        <w:rPr>
          <w:rFonts w:ascii="Times New Roman" w:hAnsi="Times New Roman" w:cs="Times New Roman"/>
          <w:spacing w:val="2"/>
        </w:rPr>
        <w:t>the</w:t>
      </w:r>
      <w:r w:rsidRPr="00693892" w:rsidR="000B4CB8">
        <w:rPr>
          <w:rFonts w:ascii="Times New Roman" w:hAnsi="Times New Roman" w:cs="Times New Roman"/>
          <w:spacing w:val="2"/>
        </w:rPr>
        <w:t xml:space="preserve"> costs and highlights the provisions that are different from the proposed rule under each regulatory alternative.</w:t>
      </w:r>
    </w:p>
    <w:p w:rsidR="00D726C0" w:rsidP="000E6E0F" w:rsidRDefault="00D726C0" w14:paraId="674C6E67" w14:textId="67CF9855">
      <w:pPr>
        <w:spacing w:after="0" w:line="240" w:lineRule="auto"/>
        <w:ind w:firstLine="360"/>
        <w:rPr>
          <w:rFonts w:ascii="Times New Roman" w:hAnsi="Times New Roman" w:cs="Times New Roman"/>
          <w:spacing w:val="2"/>
        </w:rPr>
      </w:pPr>
    </w:p>
    <w:p w:rsidR="0045400F" w:rsidP="000E6E0F" w:rsidRDefault="00D726C0" w14:paraId="6CEF8E95" w14:textId="56A0E597">
      <w:pPr>
        <w:spacing w:after="0" w:line="240" w:lineRule="auto"/>
        <w:ind w:firstLine="360"/>
        <w:rPr>
          <w:rFonts w:ascii="Times New Roman" w:hAnsi="Times New Roman" w:cs="Times New Roman"/>
        </w:rPr>
      </w:pPr>
      <w:r>
        <w:rPr>
          <w:rFonts w:ascii="Times New Roman" w:hAnsi="Times New Roman" w:cs="Times New Roman"/>
        </w:rPr>
        <w:tab/>
      </w:r>
      <w:r w:rsidRPr="00693892" w:rsidR="002D0E99">
        <w:rPr>
          <w:rFonts w:ascii="Times New Roman" w:hAnsi="Times New Roman" w:cs="Times New Roman"/>
        </w:rPr>
        <w:t>As described in Chapter 5</w:t>
      </w:r>
      <w:r w:rsidR="00FA1399">
        <w:rPr>
          <w:rFonts w:ascii="Times New Roman" w:hAnsi="Times New Roman" w:cs="Times New Roman"/>
        </w:rPr>
        <w:t>, EPA estimates</w:t>
      </w:r>
      <w:r w:rsidRPr="00693892" w:rsidR="00880915">
        <w:rPr>
          <w:rFonts w:ascii="Times New Roman" w:hAnsi="Times New Roman" w:cs="Times New Roman"/>
        </w:rPr>
        <w:t xml:space="preserve"> the proposed rule would cost $</w:t>
      </w:r>
      <w:r w:rsidRPr="00693892" w:rsidR="00AA3B58">
        <w:rPr>
          <w:rFonts w:ascii="Times New Roman" w:hAnsi="Times New Roman" w:cs="Times New Roman"/>
        </w:rPr>
        <w:t>7</w:t>
      </w:r>
      <w:r w:rsidRPr="00693892" w:rsidR="000C669C">
        <w:rPr>
          <w:rFonts w:ascii="Times New Roman" w:hAnsi="Times New Roman" w:cs="Times New Roman"/>
        </w:rPr>
        <w:t>5</w:t>
      </w:r>
      <w:r w:rsidRPr="00693892" w:rsidR="00DA782C">
        <w:rPr>
          <w:rFonts w:ascii="Times New Roman" w:hAnsi="Times New Roman" w:cs="Times New Roman"/>
        </w:rPr>
        <w:t>.</w:t>
      </w:r>
      <w:r w:rsidR="00DA287D">
        <w:rPr>
          <w:rFonts w:ascii="Times New Roman" w:hAnsi="Times New Roman" w:cs="Times New Roman"/>
        </w:rPr>
        <w:t>8</w:t>
      </w:r>
      <w:r w:rsidRPr="00693892" w:rsidR="002D0E99">
        <w:rPr>
          <w:rFonts w:ascii="Times New Roman" w:hAnsi="Times New Roman" w:cs="Times New Roman"/>
        </w:rPr>
        <w:t xml:space="preserve"> million</w:t>
      </w:r>
      <w:r w:rsidRPr="00693892" w:rsidR="00880915">
        <w:rPr>
          <w:rFonts w:ascii="Times New Roman" w:hAnsi="Times New Roman" w:cs="Times New Roman"/>
        </w:rPr>
        <w:t xml:space="preserve"> (annualized 3 percent) or $</w:t>
      </w:r>
      <w:r w:rsidRPr="00693892" w:rsidR="00AA3B58">
        <w:rPr>
          <w:rFonts w:ascii="Times New Roman" w:hAnsi="Times New Roman" w:cs="Times New Roman"/>
        </w:rPr>
        <w:t>7</w:t>
      </w:r>
      <w:r w:rsidRPr="00693892" w:rsidR="00D7670E">
        <w:rPr>
          <w:rFonts w:ascii="Times New Roman" w:hAnsi="Times New Roman" w:cs="Times New Roman"/>
        </w:rPr>
        <w:t>6</w:t>
      </w:r>
      <w:r w:rsidRPr="00693892" w:rsidR="00AA3B58">
        <w:rPr>
          <w:rFonts w:ascii="Times New Roman" w:hAnsi="Times New Roman" w:cs="Times New Roman"/>
        </w:rPr>
        <w:t>.</w:t>
      </w:r>
      <w:r w:rsidR="007B6273">
        <w:rPr>
          <w:rFonts w:ascii="Times New Roman" w:hAnsi="Times New Roman" w:cs="Times New Roman"/>
        </w:rPr>
        <w:t>7</w:t>
      </w:r>
      <w:r w:rsidRPr="00693892" w:rsidR="00880915">
        <w:rPr>
          <w:rFonts w:ascii="Times New Roman" w:hAnsi="Times New Roman" w:cs="Times New Roman"/>
        </w:rPr>
        <w:t xml:space="preserve"> (annualized 7 percent)</w:t>
      </w:r>
      <w:r w:rsidRPr="00693892" w:rsidR="008974A3">
        <w:rPr>
          <w:rFonts w:ascii="Times New Roman" w:hAnsi="Times New Roman" w:cs="Times New Roman"/>
        </w:rPr>
        <w:t xml:space="preserve">. The </w:t>
      </w:r>
      <w:proofErr w:type="gramStart"/>
      <w:r w:rsidRPr="00693892" w:rsidR="008974A3">
        <w:rPr>
          <w:rFonts w:ascii="Times New Roman" w:hAnsi="Times New Roman" w:cs="Times New Roman"/>
        </w:rPr>
        <w:t>low cost</w:t>
      </w:r>
      <w:proofErr w:type="gramEnd"/>
      <w:r w:rsidRPr="00693892" w:rsidR="008974A3">
        <w:rPr>
          <w:rFonts w:ascii="Times New Roman" w:hAnsi="Times New Roman" w:cs="Times New Roman"/>
        </w:rPr>
        <w:t xml:space="preserve"> regulatory alternative would cost $</w:t>
      </w:r>
      <w:r w:rsidRPr="00693892" w:rsidR="00AA3B58">
        <w:rPr>
          <w:rFonts w:ascii="Times New Roman" w:hAnsi="Times New Roman" w:cs="Times New Roman"/>
        </w:rPr>
        <w:t>7</w:t>
      </w:r>
      <w:r w:rsidRPr="00693892" w:rsidR="003C0902">
        <w:rPr>
          <w:rFonts w:ascii="Times New Roman" w:hAnsi="Times New Roman" w:cs="Times New Roman"/>
        </w:rPr>
        <w:t>0</w:t>
      </w:r>
      <w:r w:rsidRPr="00693892" w:rsidR="00AA3B58">
        <w:rPr>
          <w:rFonts w:ascii="Times New Roman" w:hAnsi="Times New Roman" w:cs="Times New Roman"/>
        </w:rPr>
        <w:t>.</w:t>
      </w:r>
      <w:r w:rsidR="00AD1D03">
        <w:rPr>
          <w:rFonts w:ascii="Times New Roman" w:hAnsi="Times New Roman" w:cs="Times New Roman"/>
        </w:rPr>
        <w:t>6</w:t>
      </w:r>
      <w:r w:rsidRPr="00693892" w:rsidR="008974A3">
        <w:rPr>
          <w:rFonts w:ascii="Times New Roman" w:hAnsi="Times New Roman" w:cs="Times New Roman"/>
        </w:rPr>
        <w:t xml:space="preserve"> million (annualized 3</w:t>
      </w:r>
      <w:r w:rsidRPr="00693892" w:rsidR="00880915">
        <w:rPr>
          <w:rFonts w:ascii="Times New Roman" w:hAnsi="Times New Roman" w:cs="Times New Roman"/>
        </w:rPr>
        <w:t xml:space="preserve"> percent</w:t>
      </w:r>
      <w:r w:rsidRPr="00693892" w:rsidR="008974A3">
        <w:rPr>
          <w:rFonts w:ascii="Times New Roman" w:hAnsi="Times New Roman" w:cs="Times New Roman"/>
        </w:rPr>
        <w:t>) or $</w:t>
      </w:r>
      <w:r w:rsidRPr="00693892" w:rsidR="00AA3B58">
        <w:rPr>
          <w:rFonts w:ascii="Times New Roman" w:hAnsi="Times New Roman" w:cs="Times New Roman"/>
        </w:rPr>
        <w:t>7</w:t>
      </w:r>
      <w:r w:rsidRPr="00693892" w:rsidR="003C0902">
        <w:rPr>
          <w:rFonts w:ascii="Times New Roman" w:hAnsi="Times New Roman" w:cs="Times New Roman"/>
        </w:rPr>
        <w:t>1</w:t>
      </w:r>
      <w:r w:rsidRPr="00693892" w:rsidR="008974A3">
        <w:rPr>
          <w:rFonts w:ascii="Times New Roman" w:hAnsi="Times New Roman" w:cs="Times New Roman"/>
        </w:rPr>
        <w:t>.</w:t>
      </w:r>
      <w:r w:rsidR="00AD1D03">
        <w:rPr>
          <w:rFonts w:ascii="Times New Roman" w:hAnsi="Times New Roman" w:cs="Times New Roman"/>
        </w:rPr>
        <w:t>5</w:t>
      </w:r>
      <w:r w:rsidRPr="00693892" w:rsidR="008974A3">
        <w:rPr>
          <w:rFonts w:ascii="Times New Roman" w:hAnsi="Times New Roman" w:cs="Times New Roman"/>
        </w:rPr>
        <w:t xml:space="preserve"> million (annualized 7 percent). </w:t>
      </w:r>
      <w:r w:rsidRPr="00693892" w:rsidR="00BD172F">
        <w:rPr>
          <w:rFonts w:ascii="Times New Roman" w:hAnsi="Times New Roman" w:cs="Times New Roman"/>
        </w:rPr>
        <w:t xml:space="preserve">The </w:t>
      </w:r>
      <w:proofErr w:type="gramStart"/>
      <w:r w:rsidRPr="00693892" w:rsidR="00BD172F">
        <w:rPr>
          <w:rFonts w:ascii="Times New Roman" w:hAnsi="Times New Roman" w:cs="Times New Roman"/>
        </w:rPr>
        <w:t>h</w:t>
      </w:r>
      <w:r w:rsidRPr="00693892" w:rsidR="008974A3">
        <w:rPr>
          <w:rFonts w:ascii="Times New Roman" w:hAnsi="Times New Roman" w:cs="Times New Roman"/>
        </w:rPr>
        <w:t>igh cost</w:t>
      </w:r>
      <w:proofErr w:type="gramEnd"/>
      <w:r w:rsidRPr="00693892" w:rsidR="008974A3">
        <w:rPr>
          <w:rFonts w:ascii="Times New Roman" w:hAnsi="Times New Roman" w:cs="Times New Roman"/>
        </w:rPr>
        <w:t xml:space="preserve"> regulatory alternative would cost</w:t>
      </w:r>
      <w:r w:rsidRPr="00693892" w:rsidR="00861665">
        <w:rPr>
          <w:rFonts w:ascii="Times New Roman" w:hAnsi="Times New Roman" w:cs="Times New Roman"/>
        </w:rPr>
        <w:t xml:space="preserve"> $231.</w:t>
      </w:r>
      <w:r w:rsidR="00AD1D03">
        <w:rPr>
          <w:rFonts w:ascii="Times New Roman" w:hAnsi="Times New Roman" w:cs="Times New Roman"/>
        </w:rPr>
        <w:t>0</w:t>
      </w:r>
      <w:r w:rsidRPr="00693892" w:rsidR="00861665">
        <w:rPr>
          <w:rFonts w:ascii="Times New Roman" w:hAnsi="Times New Roman" w:cs="Times New Roman"/>
        </w:rPr>
        <w:t xml:space="preserve"> </w:t>
      </w:r>
      <w:r w:rsidRPr="00693892" w:rsidR="00D44CD0">
        <w:rPr>
          <w:rFonts w:ascii="Times New Roman" w:hAnsi="Times New Roman" w:cs="Times New Roman"/>
        </w:rPr>
        <w:t xml:space="preserve">million </w:t>
      </w:r>
      <w:r w:rsidRPr="00693892" w:rsidR="008974A3">
        <w:rPr>
          <w:rFonts w:ascii="Times New Roman" w:hAnsi="Times New Roman" w:cs="Times New Roman"/>
        </w:rPr>
        <w:t xml:space="preserve">(annualized </w:t>
      </w:r>
      <w:r w:rsidRPr="00693892" w:rsidR="00BB76DE">
        <w:rPr>
          <w:rFonts w:ascii="Times New Roman" w:hAnsi="Times New Roman" w:cs="Times New Roman"/>
        </w:rPr>
        <w:t xml:space="preserve">at </w:t>
      </w:r>
      <w:r w:rsidRPr="00693892" w:rsidR="008974A3">
        <w:rPr>
          <w:rFonts w:ascii="Times New Roman" w:hAnsi="Times New Roman" w:cs="Times New Roman"/>
        </w:rPr>
        <w:t>3 percent) or $</w:t>
      </w:r>
      <w:r w:rsidRPr="00693892" w:rsidR="000B7620">
        <w:rPr>
          <w:rFonts w:ascii="Times New Roman" w:hAnsi="Times New Roman" w:cs="Times New Roman"/>
        </w:rPr>
        <w:t>23</w:t>
      </w:r>
      <w:r w:rsidR="00AD1D03">
        <w:rPr>
          <w:rFonts w:ascii="Times New Roman" w:hAnsi="Times New Roman" w:cs="Times New Roman"/>
        </w:rPr>
        <w:t>1.9</w:t>
      </w:r>
      <w:r w:rsidRPr="00693892" w:rsidR="000B7620">
        <w:rPr>
          <w:rFonts w:ascii="Times New Roman" w:hAnsi="Times New Roman" w:cs="Times New Roman"/>
        </w:rPr>
        <w:t xml:space="preserve"> </w:t>
      </w:r>
      <w:r w:rsidRPr="00693892" w:rsidR="008974A3">
        <w:rPr>
          <w:rFonts w:ascii="Times New Roman" w:hAnsi="Times New Roman" w:cs="Times New Roman"/>
        </w:rPr>
        <w:t>million (annualized</w:t>
      </w:r>
      <w:r w:rsidRPr="00693892" w:rsidR="00BB76DE">
        <w:rPr>
          <w:rFonts w:ascii="Times New Roman" w:hAnsi="Times New Roman" w:cs="Times New Roman"/>
        </w:rPr>
        <w:t xml:space="preserve"> at</w:t>
      </w:r>
      <w:r w:rsidRPr="00693892" w:rsidR="008974A3">
        <w:rPr>
          <w:rFonts w:ascii="Times New Roman" w:hAnsi="Times New Roman" w:cs="Times New Roman"/>
        </w:rPr>
        <w:t xml:space="preserve"> 7 percent)</w:t>
      </w:r>
      <w:r w:rsidRPr="00693892" w:rsidR="008E7585">
        <w:rPr>
          <w:rFonts w:ascii="Times New Roman" w:hAnsi="Times New Roman" w:cs="Times New Roman"/>
        </w:rPr>
        <w:t>.</w:t>
      </w:r>
    </w:p>
    <w:p w:rsidR="001910CA" w:rsidP="000E6E0F" w:rsidRDefault="001910CA" w14:paraId="31A21C26" w14:textId="331EBE04">
      <w:pPr>
        <w:spacing w:after="0" w:line="240" w:lineRule="auto"/>
        <w:ind w:firstLine="360"/>
        <w:rPr>
          <w:rFonts w:ascii="Times New Roman" w:hAnsi="Times New Roman" w:cs="Times New Roman"/>
        </w:rPr>
      </w:pPr>
    </w:p>
    <w:p w:rsidR="001910CA" w:rsidP="000E6E0F" w:rsidRDefault="001910CA" w14:paraId="3D6C671F" w14:textId="5D5E49F9">
      <w:pPr>
        <w:spacing w:after="0" w:line="240" w:lineRule="auto"/>
        <w:ind w:firstLine="360"/>
        <w:rPr>
          <w:rFonts w:ascii="Times New Roman" w:hAnsi="Times New Roman" w:cs="Times New Roman"/>
        </w:rPr>
      </w:pPr>
      <w:r>
        <w:rPr>
          <w:rFonts w:ascii="Times New Roman" w:hAnsi="Times New Roman" w:cs="Times New Roman"/>
        </w:rPr>
        <w:tab/>
        <w:t>B</w:t>
      </w:r>
      <w:r w:rsidRPr="001910CA">
        <w:rPr>
          <w:rFonts w:ascii="Times New Roman" w:hAnsi="Times New Roman" w:cs="Times New Roman"/>
        </w:rPr>
        <w:t xml:space="preserve">ecause </w:t>
      </w:r>
      <w:r w:rsidR="00F44BED">
        <w:rPr>
          <w:rFonts w:ascii="Times New Roman" w:hAnsi="Times New Roman" w:cs="Times New Roman"/>
        </w:rPr>
        <w:t>EPA</w:t>
      </w:r>
      <w:r w:rsidRPr="001910CA">
        <w:rPr>
          <w:rFonts w:ascii="Times New Roman" w:hAnsi="Times New Roman" w:cs="Times New Roman"/>
        </w:rPr>
        <w:t xml:space="preserve"> do</w:t>
      </w:r>
      <w:r w:rsidR="00F44BED">
        <w:rPr>
          <w:rFonts w:ascii="Times New Roman" w:hAnsi="Times New Roman" w:cs="Times New Roman"/>
        </w:rPr>
        <w:t>es</w:t>
      </w:r>
      <w:r w:rsidRPr="001910CA">
        <w:rPr>
          <w:rFonts w:ascii="Times New Roman" w:hAnsi="Times New Roman" w:cs="Times New Roman"/>
        </w:rPr>
        <w:t xml:space="preserve"> not quantify the benefits</w:t>
      </w:r>
      <w:r>
        <w:rPr>
          <w:rFonts w:ascii="Times New Roman" w:hAnsi="Times New Roman" w:cs="Times New Roman"/>
        </w:rPr>
        <w:t xml:space="preserve"> of the regulatory alternatives</w:t>
      </w:r>
      <w:r w:rsidRPr="001910CA">
        <w:rPr>
          <w:rFonts w:ascii="Times New Roman" w:hAnsi="Times New Roman" w:cs="Times New Roman"/>
        </w:rPr>
        <w:t xml:space="preserve">, </w:t>
      </w:r>
      <w:r w:rsidR="00F44BED">
        <w:rPr>
          <w:rFonts w:ascii="Times New Roman" w:hAnsi="Times New Roman" w:cs="Times New Roman"/>
        </w:rPr>
        <w:t>EPA</w:t>
      </w:r>
      <w:r w:rsidRPr="001910CA">
        <w:rPr>
          <w:rFonts w:ascii="Times New Roman" w:hAnsi="Times New Roman" w:cs="Times New Roman"/>
        </w:rPr>
        <w:t xml:space="preserve"> assume</w:t>
      </w:r>
      <w:r w:rsidR="00F44BED">
        <w:rPr>
          <w:rFonts w:ascii="Times New Roman" w:hAnsi="Times New Roman" w:cs="Times New Roman"/>
        </w:rPr>
        <w:t>s</w:t>
      </w:r>
      <w:r w:rsidRPr="001910CA">
        <w:rPr>
          <w:rFonts w:ascii="Times New Roman" w:hAnsi="Times New Roman" w:cs="Times New Roman"/>
        </w:rPr>
        <w:t xml:space="preserve"> that the</w:t>
      </w:r>
      <w:r w:rsidR="00F44BED">
        <w:rPr>
          <w:rFonts w:ascii="Times New Roman" w:hAnsi="Times New Roman" w:cs="Times New Roman"/>
        </w:rPr>
        <w:t xml:space="preserve"> benefits</w:t>
      </w:r>
      <w:r w:rsidRPr="001910CA">
        <w:rPr>
          <w:rFonts w:ascii="Times New Roman" w:hAnsi="Times New Roman" w:cs="Times New Roman"/>
        </w:rPr>
        <w:t xml:space="preserve"> would move higher or lower qualitatively with the stringency of the </w:t>
      </w:r>
      <w:proofErr w:type="spellStart"/>
      <w:r w:rsidRPr="001910CA">
        <w:rPr>
          <w:rFonts w:ascii="Times New Roman" w:hAnsi="Times New Roman" w:cs="Times New Roman"/>
        </w:rPr>
        <w:t>the</w:t>
      </w:r>
      <w:proofErr w:type="spellEnd"/>
      <w:r w:rsidRPr="001910CA">
        <w:rPr>
          <w:rFonts w:ascii="Times New Roman" w:hAnsi="Times New Roman" w:cs="Times New Roman"/>
        </w:rPr>
        <w:t xml:space="preserve"> alternatives considered.</w:t>
      </w:r>
      <w:r>
        <w:rPr>
          <w:rFonts w:ascii="Times New Roman" w:hAnsi="Times New Roman" w:cs="Times New Roman"/>
        </w:rPr>
        <w:t xml:space="preserve"> Therefore, </w:t>
      </w:r>
      <w:r w:rsidR="00F44BED">
        <w:rPr>
          <w:rFonts w:ascii="Times New Roman" w:hAnsi="Times New Roman" w:cs="Times New Roman"/>
        </w:rPr>
        <w:t>EPA</w:t>
      </w:r>
      <w:r w:rsidRPr="001910CA">
        <w:rPr>
          <w:rFonts w:ascii="Times New Roman" w:hAnsi="Times New Roman" w:cs="Times New Roman"/>
        </w:rPr>
        <w:t xml:space="preserve"> believe</w:t>
      </w:r>
      <w:r w:rsidR="00F44BED">
        <w:rPr>
          <w:rFonts w:ascii="Times New Roman" w:hAnsi="Times New Roman" w:cs="Times New Roman"/>
        </w:rPr>
        <w:t>s</w:t>
      </w:r>
      <w:r w:rsidRPr="001910CA">
        <w:rPr>
          <w:rFonts w:ascii="Times New Roman" w:hAnsi="Times New Roman" w:cs="Times New Roman"/>
        </w:rPr>
        <w:t xml:space="preserve"> a reduction in regulatory measures would be associated with reduced benefits</w:t>
      </w:r>
      <w:r w:rsidR="00DF26BE">
        <w:rPr>
          <w:rFonts w:ascii="Times New Roman" w:hAnsi="Times New Roman" w:cs="Times New Roman"/>
        </w:rPr>
        <w:t xml:space="preserve"> and that</w:t>
      </w:r>
      <w:r w:rsidRPr="001910CA">
        <w:rPr>
          <w:rFonts w:ascii="Times New Roman" w:hAnsi="Times New Roman" w:cs="Times New Roman"/>
        </w:rPr>
        <w:t xml:space="preserve"> the </w:t>
      </w:r>
      <w:proofErr w:type="gramStart"/>
      <w:r w:rsidRPr="001910CA">
        <w:rPr>
          <w:rFonts w:ascii="Times New Roman" w:hAnsi="Times New Roman" w:cs="Times New Roman"/>
        </w:rPr>
        <w:t>high cost</w:t>
      </w:r>
      <w:proofErr w:type="gramEnd"/>
      <w:r w:rsidRPr="001910CA">
        <w:rPr>
          <w:rFonts w:ascii="Times New Roman" w:hAnsi="Times New Roman" w:cs="Times New Roman"/>
        </w:rPr>
        <w:t xml:space="preserve"> alternatives would increase benefits</w:t>
      </w:r>
      <w:r>
        <w:rPr>
          <w:rFonts w:ascii="Times New Roman" w:hAnsi="Times New Roman" w:cs="Times New Roman"/>
        </w:rPr>
        <w:t xml:space="preserve">. In selecting between the alternatives, </w:t>
      </w:r>
      <w:r w:rsidRPr="001910CA">
        <w:rPr>
          <w:rFonts w:ascii="Times New Roman" w:hAnsi="Times New Roman" w:cs="Times New Roman"/>
        </w:rPr>
        <w:t xml:space="preserve">EPA has tried to </w:t>
      </w:r>
      <w:proofErr w:type="gramStart"/>
      <w:r w:rsidRPr="001910CA">
        <w:rPr>
          <w:rFonts w:ascii="Times New Roman" w:hAnsi="Times New Roman" w:cs="Times New Roman"/>
        </w:rPr>
        <w:t>balanced</w:t>
      </w:r>
      <w:proofErr w:type="gramEnd"/>
      <w:r w:rsidRPr="001910CA">
        <w:rPr>
          <w:rFonts w:ascii="Times New Roman" w:hAnsi="Times New Roman" w:cs="Times New Roman"/>
        </w:rPr>
        <w:t xml:space="preserve"> proposed prevention program requirements with costs incurred by the regulated community.</w:t>
      </w:r>
    </w:p>
    <w:p w:rsidRPr="000E6E0F" w:rsidR="000E6E0F" w:rsidP="000E6E0F" w:rsidRDefault="000E6E0F" w14:paraId="7C353690" w14:textId="67CF9855">
      <w:pPr>
        <w:spacing w:after="0" w:line="240" w:lineRule="auto"/>
        <w:ind w:firstLine="360"/>
        <w:rPr>
          <w:rFonts w:ascii="Times New Roman" w:hAnsi="Times New Roman" w:cs="Times New Roman"/>
          <w:spacing w:val="2"/>
        </w:rPr>
      </w:pPr>
    </w:p>
    <w:p w:rsidR="00D726C0" w:rsidP="00DB1152" w:rsidRDefault="00DB1152" w14:paraId="67222F63" w14:textId="63502589">
      <w:pPr>
        <w:keepNext/>
        <w:spacing w:after="0" w:line="240" w:lineRule="auto"/>
        <w:jc w:val="center"/>
        <w:rPr>
          <w:rFonts w:ascii="Times New Roman" w:hAnsi="Times New Roman" w:cs="Times New Roman"/>
          <w:b/>
        </w:rPr>
      </w:pPr>
      <w:r w:rsidRPr="00DB1152">
        <w:rPr>
          <w:rFonts w:ascii="Times New Roman" w:hAnsi="Times New Roman" w:cs="Times New Roman"/>
          <w:b/>
          <w:bCs/>
        </w:rPr>
        <w:t xml:space="preserve">Exhibit </w:t>
      </w:r>
      <w:r w:rsidRPr="00693892">
        <w:rPr>
          <w:rFonts w:ascii="Times New Roman" w:hAnsi="Times New Roman" w:cs="Times New Roman"/>
          <w:b/>
        </w:rPr>
        <w:t xml:space="preserve">7-6: Annualized Estimated Costs of Regulatory Alternatives </w:t>
      </w:r>
    </w:p>
    <w:p w:rsidR="00DB1152" w:rsidP="00DB1152" w:rsidRDefault="00DB1152" w14:paraId="1CB7BA7D" w14:textId="43EC9BCF">
      <w:pPr>
        <w:keepNext/>
        <w:spacing w:after="0" w:line="240" w:lineRule="auto"/>
        <w:jc w:val="center"/>
        <w:rPr>
          <w:rFonts w:ascii="Times New Roman" w:hAnsi="Times New Roman" w:cs="Times New Roman"/>
          <w:b/>
        </w:rPr>
      </w:pPr>
      <w:r w:rsidRPr="00693892">
        <w:rPr>
          <w:rFonts w:ascii="Times New Roman" w:hAnsi="Times New Roman" w:cs="Times New Roman"/>
          <w:b/>
        </w:rPr>
        <w:t>Compared to Proposed Rule (millions, 2020 Dollars)</w:t>
      </w:r>
      <w:r>
        <w:rPr>
          <w:rFonts w:ascii="Times New Roman" w:hAnsi="Times New Roman" w:cs="Times New Roman"/>
          <w:b/>
        </w:rPr>
        <w:t>.</w:t>
      </w:r>
    </w:p>
    <w:p w:rsidRPr="00693892" w:rsidR="00DB1152" w:rsidP="00DB1152" w:rsidRDefault="00DB1152" w14:paraId="24AEEB77" w14:textId="77777777">
      <w:pPr>
        <w:keepNext/>
        <w:spacing w:after="0" w:line="240" w:lineRule="auto"/>
        <w:jc w:val="center"/>
        <w:rPr>
          <w:rFonts w:ascii="Times New Roman" w:hAnsi="Times New Roman" w:cs="Times New Roman"/>
          <w:b/>
        </w:rPr>
      </w:pPr>
    </w:p>
    <w:tbl>
      <w:tblPr>
        <w:tblW w:w="9238"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10"/>
        <w:gridCol w:w="1276"/>
        <w:gridCol w:w="1154"/>
        <w:gridCol w:w="1350"/>
        <w:gridCol w:w="1244"/>
        <w:gridCol w:w="1244"/>
        <w:gridCol w:w="1260"/>
      </w:tblGrid>
      <w:tr w:rsidRPr="00693892" w:rsidR="00BD172F" w:rsidTr="00DB1152" w14:paraId="3925565F" w14:textId="77777777">
        <w:trPr>
          <w:trHeight w:val="489"/>
          <w:tblHeader/>
        </w:trPr>
        <w:tc>
          <w:tcPr>
            <w:tcW w:w="1710" w:type="dxa"/>
            <w:tcBorders>
              <w:top w:val="single" w:color="auto" w:sz="4" w:space="0"/>
              <w:right w:val="single" w:color="000000" w:sz="8" w:space="0"/>
            </w:tcBorders>
            <w:shd w:val="clear" w:color="auto" w:fill="DADADA"/>
            <w:vAlign w:val="center"/>
          </w:tcPr>
          <w:p w:rsidRPr="00DB1152" w:rsidR="00BD172F" w:rsidP="00DB1152" w:rsidRDefault="00BD172F" w14:paraId="1C1181ED" w14:textId="7AA6EFF5">
            <w:pPr>
              <w:keepNext/>
              <w:spacing w:after="0" w:line="240" w:lineRule="auto"/>
              <w:ind w:left="85"/>
              <w:rPr>
                <w:rFonts w:ascii="Times New Roman" w:hAnsi="Times New Roman" w:cs="Times New Roman"/>
                <w:b/>
                <w:sz w:val="20"/>
                <w:szCs w:val="20"/>
              </w:rPr>
            </w:pPr>
            <w:r w:rsidRPr="00DB1152">
              <w:rPr>
                <w:rFonts w:ascii="Times New Roman" w:hAnsi="Times New Roman" w:cs="Times New Roman"/>
                <w:b/>
                <w:sz w:val="20"/>
                <w:szCs w:val="20"/>
              </w:rPr>
              <w:t>Cost Elements</w:t>
            </w:r>
          </w:p>
        </w:tc>
        <w:tc>
          <w:tcPr>
            <w:tcW w:w="2430" w:type="dxa"/>
            <w:gridSpan w:val="2"/>
            <w:tcBorders>
              <w:top w:val="single" w:color="000000" w:sz="8" w:space="0"/>
              <w:left w:val="single" w:color="000000" w:sz="8" w:space="0"/>
            </w:tcBorders>
            <w:shd w:val="clear" w:color="auto" w:fill="DADADA"/>
            <w:vAlign w:val="center"/>
          </w:tcPr>
          <w:p w:rsidRPr="00DB1152" w:rsidR="00BD172F" w:rsidP="00DB1152" w:rsidRDefault="00BD172F" w14:paraId="59087A5B" w14:textId="6BC15F34">
            <w:pPr>
              <w:keepNext/>
              <w:spacing w:after="0" w:line="240" w:lineRule="auto"/>
              <w:ind w:left="86" w:right="83"/>
              <w:jc w:val="center"/>
              <w:rPr>
                <w:rFonts w:ascii="Times New Roman" w:hAnsi="Times New Roman" w:cs="Times New Roman"/>
                <w:b/>
                <w:sz w:val="20"/>
                <w:szCs w:val="20"/>
              </w:rPr>
            </w:pPr>
            <w:proofErr w:type="gramStart"/>
            <w:r w:rsidRPr="00DB1152">
              <w:rPr>
                <w:rFonts w:ascii="Times New Roman" w:hAnsi="Times New Roman" w:cs="Times New Roman"/>
                <w:b/>
                <w:sz w:val="20"/>
                <w:szCs w:val="20"/>
              </w:rPr>
              <w:t>Low Cost</w:t>
            </w:r>
            <w:proofErr w:type="gramEnd"/>
            <w:r w:rsidRPr="00DB1152">
              <w:rPr>
                <w:rFonts w:ascii="Times New Roman" w:hAnsi="Times New Roman" w:cs="Times New Roman"/>
                <w:b/>
                <w:sz w:val="20"/>
                <w:szCs w:val="20"/>
              </w:rPr>
              <w:t xml:space="preserve"> Regulatory Alternative</w:t>
            </w:r>
            <w:r w:rsidR="00DB1152">
              <w:rPr>
                <w:rFonts w:ascii="Times New Roman" w:hAnsi="Times New Roman" w:cs="Times New Roman"/>
                <w:b/>
                <w:sz w:val="20"/>
                <w:szCs w:val="20"/>
              </w:rPr>
              <w:t xml:space="preserve"> (Annualized)</w:t>
            </w:r>
          </w:p>
        </w:tc>
        <w:tc>
          <w:tcPr>
            <w:tcW w:w="2594" w:type="dxa"/>
            <w:gridSpan w:val="2"/>
            <w:tcBorders>
              <w:top w:val="single" w:color="000000" w:sz="8" w:space="0"/>
            </w:tcBorders>
            <w:shd w:val="clear" w:color="auto" w:fill="DADADA"/>
            <w:vAlign w:val="center"/>
          </w:tcPr>
          <w:p w:rsidRPr="00DB1152" w:rsidR="00BD172F" w:rsidP="00DB1152" w:rsidRDefault="00BD172F" w14:paraId="16260EBB" w14:textId="34FEEFAC">
            <w:pPr>
              <w:keepNext/>
              <w:spacing w:after="0" w:line="240" w:lineRule="auto"/>
              <w:ind w:left="72" w:right="59"/>
              <w:jc w:val="center"/>
              <w:rPr>
                <w:rFonts w:ascii="Times New Roman" w:hAnsi="Times New Roman" w:cs="Times New Roman"/>
                <w:b/>
                <w:sz w:val="20"/>
                <w:szCs w:val="20"/>
              </w:rPr>
            </w:pPr>
            <w:r w:rsidRPr="00DB1152">
              <w:rPr>
                <w:rFonts w:ascii="Times New Roman" w:hAnsi="Times New Roman" w:cs="Times New Roman"/>
                <w:b/>
                <w:sz w:val="20"/>
                <w:szCs w:val="20"/>
              </w:rPr>
              <w:t>Proposed Rule</w:t>
            </w:r>
            <w:r w:rsidR="00DB1152">
              <w:rPr>
                <w:rFonts w:ascii="Times New Roman" w:hAnsi="Times New Roman" w:cs="Times New Roman"/>
                <w:b/>
                <w:sz w:val="20"/>
                <w:szCs w:val="20"/>
              </w:rPr>
              <w:t xml:space="preserve"> (Annualized)</w:t>
            </w:r>
          </w:p>
        </w:tc>
        <w:tc>
          <w:tcPr>
            <w:tcW w:w="2504" w:type="dxa"/>
            <w:gridSpan w:val="2"/>
            <w:tcBorders>
              <w:top w:val="single" w:color="000000" w:sz="8" w:space="0"/>
            </w:tcBorders>
            <w:shd w:val="clear" w:color="auto" w:fill="DADADA"/>
            <w:vAlign w:val="center"/>
          </w:tcPr>
          <w:p w:rsidRPr="00DB1152" w:rsidR="00BD172F" w:rsidP="00DB1152" w:rsidRDefault="00BD172F" w14:paraId="76A27220" w14:textId="4397A46B">
            <w:pPr>
              <w:keepNext/>
              <w:spacing w:after="0" w:line="240" w:lineRule="auto"/>
              <w:ind w:left="75" w:right="223"/>
              <w:jc w:val="center"/>
              <w:rPr>
                <w:rFonts w:ascii="Times New Roman" w:hAnsi="Times New Roman" w:cs="Times New Roman"/>
                <w:b/>
                <w:sz w:val="20"/>
                <w:szCs w:val="20"/>
              </w:rPr>
            </w:pPr>
            <w:proofErr w:type="gramStart"/>
            <w:r w:rsidRPr="00DB1152">
              <w:rPr>
                <w:rFonts w:ascii="Times New Roman" w:hAnsi="Times New Roman" w:cs="Times New Roman"/>
                <w:b/>
                <w:sz w:val="20"/>
                <w:szCs w:val="20"/>
              </w:rPr>
              <w:t>High Cost</w:t>
            </w:r>
            <w:proofErr w:type="gramEnd"/>
            <w:r w:rsidRPr="00DB1152">
              <w:rPr>
                <w:rFonts w:ascii="Times New Roman" w:hAnsi="Times New Roman" w:cs="Times New Roman"/>
                <w:b/>
                <w:sz w:val="20"/>
                <w:szCs w:val="20"/>
              </w:rPr>
              <w:t xml:space="preserve"> Regulatory Alternative</w:t>
            </w:r>
            <w:r w:rsidR="00DB1152">
              <w:rPr>
                <w:rFonts w:ascii="Times New Roman" w:hAnsi="Times New Roman" w:cs="Times New Roman"/>
                <w:b/>
                <w:sz w:val="20"/>
                <w:szCs w:val="20"/>
              </w:rPr>
              <w:t xml:space="preserve"> (Annualized)</w:t>
            </w:r>
          </w:p>
        </w:tc>
      </w:tr>
      <w:tr w:rsidRPr="00693892" w:rsidR="00BD172F" w:rsidTr="00DB1152" w14:paraId="71DA77ED" w14:textId="351AF1CE">
        <w:trPr>
          <w:trHeight w:val="489"/>
          <w:tblHeader/>
        </w:trPr>
        <w:tc>
          <w:tcPr>
            <w:tcW w:w="1710" w:type="dxa"/>
            <w:tcBorders>
              <w:right w:val="single" w:color="000000" w:sz="8" w:space="0"/>
            </w:tcBorders>
            <w:shd w:val="clear" w:color="auto" w:fill="DADADA"/>
            <w:vAlign w:val="center"/>
          </w:tcPr>
          <w:p w:rsidRPr="00DB1152" w:rsidR="00BD172F" w:rsidP="00DB1152" w:rsidRDefault="00BD172F" w14:paraId="0B047539" w14:textId="77777777">
            <w:pPr>
              <w:keepNext/>
              <w:spacing w:after="0" w:line="240" w:lineRule="auto"/>
              <w:rPr>
                <w:rFonts w:ascii="Times New Roman" w:hAnsi="Times New Roman" w:cs="Times New Roman"/>
                <w:sz w:val="20"/>
                <w:szCs w:val="20"/>
              </w:rPr>
            </w:pPr>
          </w:p>
        </w:tc>
        <w:tc>
          <w:tcPr>
            <w:tcW w:w="1276" w:type="dxa"/>
            <w:tcBorders>
              <w:top w:val="single" w:color="000000" w:sz="8" w:space="0"/>
              <w:left w:val="single" w:color="000000" w:sz="8" w:space="0"/>
            </w:tcBorders>
            <w:shd w:val="clear" w:color="auto" w:fill="DADADA"/>
            <w:vAlign w:val="center"/>
          </w:tcPr>
          <w:p w:rsidRPr="00DB1152" w:rsidR="00BD172F" w:rsidP="00DB1152" w:rsidRDefault="00DB1152" w14:paraId="5752E38D" w14:textId="2CB5B2E2">
            <w:pPr>
              <w:keepNext/>
              <w:spacing w:after="0" w:line="240" w:lineRule="auto"/>
              <w:ind w:right="55"/>
              <w:jc w:val="center"/>
              <w:rPr>
                <w:rFonts w:ascii="Times New Roman" w:hAnsi="Times New Roman" w:cs="Times New Roman"/>
                <w:b/>
                <w:sz w:val="20"/>
                <w:szCs w:val="20"/>
              </w:rPr>
            </w:pPr>
            <w:r w:rsidRPr="00DB1152">
              <w:rPr>
                <w:rFonts w:ascii="Times New Roman" w:hAnsi="Times New Roman" w:cs="Times New Roman"/>
                <w:b/>
                <w:sz w:val="20"/>
                <w:szCs w:val="20"/>
              </w:rPr>
              <w:t>3%</w:t>
            </w:r>
          </w:p>
        </w:tc>
        <w:tc>
          <w:tcPr>
            <w:tcW w:w="1154" w:type="dxa"/>
            <w:tcBorders>
              <w:top w:val="single" w:color="000000" w:sz="8" w:space="0"/>
            </w:tcBorders>
            <w:shd w:val="clear" w:color="auto" w:fill="DADADA"/>
            <w:vAlign w:val="center"/>
          </w:tcPr>
          <w:p w:rsidRPr="00DB1152" w:rsidR="00BD172F" w:rsidP="00DB1152" w:rsidRDefault="00DB1152" w14:paraId="239BFBB9" w14:textId="746C6E7E">
            <w:pPr>
              <w:keepNext/>
              <w:spacing w:after="0" w:line="240" w:lineRule="auto"/>
              <w:ind w:right="83"/>
              <w:jc w:val="center"/>
              <w:rPr>
                <w:rFonts w:ascii="Times New Roman" w:hAnsi="Times New Roman" w:cs="Times New Roman"/>
                <w:b/>
                <w:sz w:val="20"/>
                <w:szCs w:val="20"/>
              </w:rPr>
            </w:pPr>
            <w:r w:rsidRPr="00DB1152">
              <w:rPr>
                <w:rFonts w:ascii="Times New Roman" w:hAnsi="Times New Roman" w:cs="Times New Roman"/>
                <w:b/>
                <w:sz w:val="20"/>
                <w:szCs w:val="20"/>
              </w:rPr>
              <w:t>7%</w:t>
            </w:r>
          </w:p>
        </w:tc>
        <w:tc>
          <w:tcPr>
            <w:tcW w:w="1350" w:type="dxa"/>
            <w:tcBorders>
              <w:top w:val="single" w:color="000000" w:sz="8" w:space="0"/>
            </w:tcBorders>
            <w:shd w:val="clear" w:color="auto" w:fill="DADADA"/>
            <w:vAlign w:val="center"/>
          </w:tcPr>
          <w:p w:rsidRPr="00DB1152" w:rsidR="00BD172F" w:rsidP="00DB1152" w:rsidRDefault="00DB1152" w14:paraId="5F37711E" w14:textId="452E8A47">
            <w:pPr>
              <w:keepNext/>
              <w:spacing w:after="0" w:line="240" w:lineRule="auto"/>
              <w:ind w:right="67"/>
              <w:jc w:val="center"/>
              <w:rPr>
                <w:rFonts w:ascii="Times New Roman" w:hAnsi="Times New Roman" w:cs="Times New Roman"/>
                <w:b/>
                <w:sz w:val="20"/>
                <w:szCs w:val="20"/>
              </w:rPr>
            </w:pPr>
            <w:r w:rsidRPr="00DB1152">
              <w:rPr>
                <w:rFonts w:ascii="Times New Roman" w:hAnsi="Times New Roman" w:cs="Times New Roman"/>
                <w:b/>
                <w:sz w:val="20"/>
                <w:szCs w:val="20"/>
              </w:rPr>
              <w:t>3%</w:t>
            </w:r>
          </w:p>
        </w:tc>
        <w:tc>
          <w:tcPr>
            <w:tcW w:w="1244" w:type="dxa"/>
            <w:tcBorders>
              <w:top w:val="single" w:color="000000" w:sz="8" w:space="0"/>
            </w:tcBorders>
            <w:shd w:val="clear" w:color="auto" w:fill="DADADA"/>
            <w:vAlign w:val="center"/>
          </w:tcPr>
          <w:p w:rsidRPr="00DB1152" w:rsidR="00BD172F" w:rsidP="00DB1152" w:rsidRDefault="00DB1152" w14:paraId="083D9E80" w14:textId="14E6C1A9">
            <w:pPr>
              <w:keepNext/>
              <w:spacing w:after="0" w:line="240" w:lineRule="auto"/>
              <w:ind w:right="59"/>
              <w:jc w:val="center"/>
              <w:rPr>
                <w:rFonts w:ascii="Times New Roman" w:hAnsi="Times New Roman" w:cs="Times New Roman"/>
                <w:b/>
                <w:sz w:val="20"/>
                <w:szCs w:val="20"/>
              </w:rPr>
            </w:pPr>
            <w:r w:rsidRPr="00DB1152">
              <w:rPr>
                <w:rFonts w:ascii="Times New Roman" w:hAnsi="Times New Roman" w:cs="Times New Roman"/>
                <w:b/>
                <w:sz w:val="20"/>
                <w:szCs w:val="20"/>
              </w:rPr>
              <w:t>7%</w:t>
            </w:r>
          </w:p>
        </w:tc>
        <w:tc>
          <w:tcPr>
            <w:tcW w:w="1244" w:type="dxa"/>
            <w:tcBorders>
              <w:top w:val="single" w:color="000000" w:sz="8" w:space="0"/>
            </w:tcBorders>
            <w:shd w:val="clear" w:color="auto" w:fill="DADADA"/>
            <w:vAlign w:val="center"/>
          </w:tcPr>
          <w:p w:rsidRPr="00DB1152" w:rsidR="00BD172F" w:rsidP="00DB1152" w:rsidRDefault="00DB1152" w14:paraId="0BC37602" w14:textId="78797D40">
            <w:pPr>
              <w:keepNext/>
              <w:spacing w:after="0" w:line="240" w:lineRule="auto"/>
              <w:ind w:right="67"/>
              <w:jc w:val="center"/>
              <w:rPr>
                <w:rFonts w:ascii="Times New Roman" w:hAnsi="Times New Roman" w:cs="Times New Roman"/>
                <w:b/>
                <w:sz w:val="20"/>
                <w:szCs w:val="20"/>
              </w:rPr>
            </w:pPr>
            <w:r w:rsidRPr="00DB1152">
              <w:rPr>
                <w:rFonts w:ascii="Times New Roman" w:hAnsi="Times New Roman" w:cs="Times New Roman"/>
                <w:b/>
                <w:sz w:val="20"/>
                <w:szCs w:val="20"/>
              </w:rPr>
              <w:t>3%</w:t>
            </w:r>
          </w:p>
        </w:tc>
        <w:tc>
          <w:tcPr>
            <w:tcW w:w="1260" w:type="dxa"/>
            <w:tcBorders>
              <w:top w:val="single" w:color="000000" w:sz="8" w:space="0"/>
            </w:tcBorders>
            <w:shd w:val="clear" w:color="auto" w:fill="DADADA"/>
            <w:vAlign w:val="center"/>
          </w:tcPr>
          <w:p w:rsidRPr="00DB1152" w:rsidR="00BD172F" w:rsidP="00DB1152" w:rsidRDefault="00DB1152" w14:paraId="743D61B6" w14:textId="319D1449">
            <w:pPr>
              <w:keepNext/>
              <w:spacing w:after="0" w:line="240" w:lineRule="auto"/>
              <w:ind w:right="81"/>
              <w:jc w:val="center"/>
              <w:rPr>
                <w:rFonts w:ascii="Times New Roman" w:hAnsi="Times New Roman" w:cs="Times New Roman"/>
                <w:b/>
                <w:sz w:val="20"/>
                <w:szCs w:val="20"/>
              </w:rPr>
            </w:pPr>
            <w:r w:rsidRPr="00DB1152">
              <w:rPr>
                <w:rFonts w:ascii="Times New Roman" w:hAnsi="Times New Roman" w:cs="Times New Roman"/>
                <w:b/>
                <w:sz w:val="20"/>
                <w:szCs w:val="20"/>
              </w:rPr>
              <w:t>7%</w:t>
            </w:r>
          </w:p>
        </w:tc>
      </w:tr>
      <w:tr w:rsidRPr="00693892" w:rsidR="00D243A1" w:rsidTr="00DB1152" w14:paraId="33A76DC8" w14:textId="77777777">
        <w:trPr>
          <w:trHeight w:val="535"/>
        </w:trPr>
        <w:tc>
          <w:tcPr>
            <w:tcW w:w="1710" w:type="dxa"/>
            <w:tcBorders>
              <w:right w:val="single" w:color="000000" w:sz="8" w:space="0"/>
            </w:tcBorders>
            <w:vAlign w:val="center"/>
          </w:tcPr>
          <w:p w:rsidRPr="00DB1152" w:rsidR="00D243A1" w:rsidP="00D243A1" w:rsidRDefault="00D243A1" w14:paraId="6DC986F7" w14:textId="77777777">
            <w:pPr>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Rule</w:t>
            </w:r>
          </w:p>
          <w:p w:rsidRPr="00DB1152" w:rsidR="00D243A1" w:rsidP="00D243A1" w:rsidRDefault="00D243A1" w14:paraId="308F492C" w14:textId="674B9442">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Familiarization</w:t>
            </w:r>
          </w:p>
        </w:tc>
        <w:tc>
          <w:tcPr>
            <w:tcW w:w="1276" w:type="dxa"/>
            <w:tcBorders>
              <w:left w:val="single" w:color="000000" w:sz="8" w:space="0"/>
            </w:tcBorders>
            <w:shd w:val="clear" w:color="auto" w:fill="auto"/>
            <w:vAlign w:val="center"/>
          </w:tcPr>
          <w:p w:rsidRPr="00DB1152" w:rsidR="00D243A1" w:rsidP="00D243A1" w:rsidRDefault="00D243A1" w14:paraId="03F6E4D8" w14:textId="5983A2C8">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$6.2</w:t>
            </w:r>
          </w:p>
        </w:tc>
        <w:tc>
          <w:tcPr>
            <w:tcW w:w="1154" w:type="dxa"/>
            <w:shd w:val="clear" w:color="auto" w:fill="auto"/>
            <w:vAlign w:val="center"/>
          </w:tcPr>
          <w:p w:rsidRPr="00DB1152" w:rsidR="00D243A1" w:rsidP="00D243A1" w:rsidRDefault="00D243A1" w14:paraId="31B5ED5D" w14:textId="2A08C7B2">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$6.2</w:t>
            </w:r>
          </w:p>
        </w:tc>
        <w:tc>
          <w:tcPr>
            <w:tcW w:w="1350" w:type="dxa"/>
            <w:shd w:val="clear" w:color="auto" w:fill="auto"/>
            <w:vAlign w:val="center"/>
          </w:tcPr>
          <w:p w:rsidRPr="00DB1152" w:rsidR="00D243A1" w:rsidP="00D243A1" w:rsidRDefault="00D243A1" w14:paraId="2B5FD9C9" w14:textId="2DE1C6DD">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$6.2</w:t>
            </w:r>
          </w:p>
        </w:tc>
        <w:tc>
          <w:tcPr>
            <w:tcW w:w="1244" w:type="dxa"/>
            <w:shd w:val="clear" w:color="auto" w:fill="auto"/>
            <w:vAlign w:val="center"/>
          </w:tcPr>
          <w:p w:rsidRPr="00DB1152" w:rsidR="00D243A1" w:rsidP="00D243A1" w:rsidRDefault="00D243A1" w14:paraId="1732B50F" w14:textId="4996E5E6">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$6.2</w:t>
            </w:r>
          </w:p>
        </w:tc>
        <w:tc>
          <w:tcPr>
            <w:tcW w:w="1244" w:type="dxa"/>
            <w:shd w:val="clear" w:color="auto" w:fill="auto"/>
            <w:vAlign w:val="center"/>
          </w:tcPr>
          <w:p w:rsidRPr="00DB1152" w:rsidR="00D243A1" w:rsidP="00D243A1" w:rsidRDefault="00D243A1" w14:paraId="0F58CD67" w14:textId="3CFE8BAF">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$6.2</w:t>
            </w:r>
          </w:p>
        </w:tc>
        <w:tc>
          <w:tcPr>
            <w:tcW w:w="1260" w:type="dxa"/>
            <w:shd w:val="clear" w:color="auto" w:fill="auto"/>
            <w:vAlign w:val="center"/>
          </w:tcPr>
          <w:p w:rsidRPr="00DB1152" w:rsidR="00D243A1" w:rsidP="00D243A1" w:rsidRDefault="00D243A1" w14:paraId="5CCCB0CC" w14:textId="0C419E55">
            <w:pPr>
              <w:keepNext/>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$6.2</w:t>
            </w:r>
          </w:p>
        </w:tc>
      </w:tr>
      <w:tr w:rsidRPr="00693892" w:rsidR="00D243A1" w:rsidTr="00DB1152" w14:paraId="36EC9B97" w14:textId="77777777">
        <w:trPr>
          <w:trHeight w:val="535"/>
        </w:trPr>
        <w:tc>
          <w:tcPr>
            <w:tcW w:w="1710" w:type="dxa"/>
            <w:tcBorders>
              <w:right w:val="single" w:color="000000" w:sz="8" w:space="0"/>
            </w:tcBorders>
            <w:vAlign w:val="center"/>
          </w:tcPr>
          <w:p w:rsidRPr="00DB1152" w:rsidR="00D243A1" w:rsidP="00D243A1" w:rsidRDefault="00D243A1" w14:paraId="2562C024" w14:textId="68F45838">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lastRenderedPageBreak/>
              <w:t>STAA</w:t>
            </w:r>
          </w:p>
        </w:tc>
        <w:tc>
          <w:tcPr>
            <w:tcW w:w="1276" w:type="dxa"/>
            <w:tcBorders>
              <w:left w:val="single" w:color="000000" w:sz="8" w:space="0"/>
            </w:tcBorders>
            <w:shd w:val="clear" w:color="auto" w:fill="auto"/>
            <w:vAlign w:val="center"/>
          </w:tcPr>
          <w:p w:rsidRPr="00DB1152" w:rsidR="00D243A1" w:rsidP="00D243A1" w:rsidRDefault="00D243A1" w14:paraId="5871EB23" w14:textId="00E945D9">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$51.8</w:t>
            </w:r>
          </w:p>
        </w:tc>
        <w:tc>
          <w:tcPr>
            <w:tcW w:w="1154" w:type="dxa"/>
            <w:shd w:val="clear" w:color="auto" w:fill="auto"/>
            <w:vAlign w:val="center"/>
          </w:tcPr>
          <w:p w:rsidRPr="00DB1152" w:rsidR="00D243A1" w:rsidP="00D243A1" w:rsidRDefault="00D243A1" w14:paraId="25567130" w14:textId="10293FB8">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$51.8</w:t>
            </w:r>
          </w:p>
        </w:tc>
        <w:tc>
          <w:tcPr>
            <w:tcW w:w="1350" w:type="dxa"/>
            <w:shd w:val="clear" w:color="auto" w:fill="auto"/>
            <w:vAlign w:val="center"/>
          </w:tcPr>
          <w:p w:rsidRPr="00DB1152" w:rsidR="00D243A1" w:rsidP="00D243A1" w:rsidRDefault="00D243A1" w14:paraId="0040FF41" w14:textId="197E3DEE">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$81.0</w:t>
            </w:r>
          </w:p>
        </w:tc>
        <w:tc>
          <w:tcPr>
            <w:tcW w:w="1244" w:type="dxa"/>
            <w:shd w:val="clear" w:color="auto" w:fill="auto"/>
            <w:vAlign w:val="center"/>
          </w:tcPr>
          <w:p w:rsidRPr="00DB1152" w:rsidR="00D243A1" w:rsidP="00D243A1" w:rsidRDefault="00D243A1" w14:paraId="588D18A9" w14:textId="1B1A8866">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$81.0</w:t>
            </w:r>
          </w:p>
        </w:tc>
        <w:tc>
          <w:tcPr>
            <w:tcW w:w="1244" w:type="dxa"/>
            <w:shd w:val="clear" w:color="auto" w:fill="auto"/>
            <w:vAlign w:val="center"/>
          </w:tcPr>
          <w:p w:rsidRPr="00DB1152" w:rsidR="00D243A1" w:rsidP="00D243A1" w:rsidRDefault="00D243A1" w14:paraId="37F7E024" w14:textId="63EF8456">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$81.0</w:t>
            </w:r>
          </w:p>
        </w:tc>
        <w:tc>
          <w:tcPr>
            <w:tcW w:w="1260" w:type="dxa"/>
            <w:shd w:val="clear" w:color="auto" w:fill="auto"/>
            <w:vAlign w:val="center"/>
          </w:tcPr>
          <w:p w:rsidRPr="00DB1152" w:rsidR="00D243A1" w:rsidP="00D243A1" w:rsidRDefault="00D243A1" w14:paraId="3B5E97A6" w14:textId="76B4C02D">
            <w:pPr>
              <w:keepNext/>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$81.0</w:t>
            </w:r>
          </w:p>
        </w:tc>
      </w:tr>
      <w:tr w:rsidRPr="00693892" w:rsidR="00D243A1" w:rsidTr="00DB1152" w14:paraId="51C411AF" w14:textId="77777777">
        <w:trPr>
          <w:trHeight w:val="535"/>
        </w:trPr>
        <w:tc>
          <w:tcPr>
            <w:tcW w:w="1710" w:type="dxa"/>
            <w:tcBorders>
              <w:right w:val="single" w:color="000000" w:sz="8" w:space="0"/>
            </w:tcBorders>
            <w:vAlign w:val="center"/>
          </w:tcPr>
          <w:p w:rsidRPr="00DB1152" w:rsidR="00D243A1" w:rsidP="00D243A1" w:rsidRDefault="00D243A1" w14:paraId="41FA6CB8" w14:textId="77777777">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Root Cause</w:t>
            </w:r>
          </w:p>
          <w:p w:rsidRPr="00DB1152" w:rsidR="00D243A1" w:rsidP="00D243A1" w:rsidRDefault="00D243A1" w14:paraId="41345796" w14:textId="3F29B785">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Analysis</w:t>
            </w:r>
          </w:p>
        </w:tc>
        <w:tc>
          <w:tcPr>
            <w:tcW w:w="1276" w:type="dxa"/>
            <w:tcBorders>
              <w:left w:val="single" w:color="000000" w:sz="8" w:space="0"/>
            </w:tcBorders>
            <w:shd w:val="clear" w:color="auto" w:fill="auto"/>
            <w:vAlign w:val="center"/>
          </w:tcPr>
          <w:p w:rsidRPr="00DB1152" w:rsidR="00D243A1" w:rsidP="00D243A1" w:rsidRDefault="00D243A1" w14:paraId="1010F448" w14:textId="3E7239A4">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$0.70</w:t>
            </w:r>
          </w:p>
        </w:tc>
        <w:tc>
          <w:tcPr>
            <w:tcW w:w="1154" w:type="dxa"/>
            <w:shd w:val="clear" w:color="auto" w:fill="auto"/>
            <w:vAlign w:val="center"/>
          </w:tcPr>
          <w:p w:rsidRPr="00DB1152" w:rsidR="00D243A1" w:rsidP="00D243A1" w:rsidRDefault="00D243A1" w14:paraId="75781903" w14:textId="3F1A17A1">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$0.70</w:t>
            </w:r>
          </w:p>
        </w:tc>
        <w:tc>
          <w:tcPr>
            <w:tcW w:w="1350" w:type="dxa"/>
            <w:shd w:val="clear" w:color="auto" w:fill="auto"/>
            <w:vAlign w:val="center"/>
          </w:tcPr>
          <w:p w:rsidRPr="00DB1152" w:rsidR="00D243A1" w:rsidP="00D243A1" w:rsidRDefault="00D243A1" w14:paraId="1B648466" w14:textId="6709472A">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$0.73</w:t>
            </w:r>
          </w:p>
        </w:tc>
        <w:tc>
          <w:tcPr>
            <w:tcW w:w="1244" w:type="dxa"/>
            <w:shd w:val="clear" w:color="auto" w:fill="auto"/>
            <w:vAlign w:val="center"/>
          </w:tcPr>
          <w:p w:rsidRPr="00DB1152" w:rsidR="00D243A1" w:rsidP="00D243A1" w:rsidRDefault="00D243A1" w14:paraId="7A37FDB7" w14:textId="69FC01A1">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$0.73</w:t>
            </w:r>
          </w:p>
        </w:tc>
        <w:tc>
          <w:tcPr>
            <w:tcW w:w="1244" w:type="dxa"/>
            <w:shd w:val="clear" w:color="auto" w:fill="auto"/>
            <w:vAlign w:val="center"/>
          </w:tcPr>
          <w:p w:rsidRPr="00DB1152" w:rsidR="00D243A1" w:rsidP="00D243A1" w:rsidRDefault="00D243A1" w14:paraId="510D4C51" w14:textId="03D7627F">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$0.73</w:t>
            </w:r>
          </w:p>
        </w:tc>
        <w:tc>
          <w:tcPr>
            <w:tcW w:w="1260" w:type="dxa"/>
            <w:shd w:val="clear" w:color="auto" w:fill="auto"/>
            <w:vAlign w:val="center"/>
          </w:tcPr>
          <w:p w:rsidRPr="00DB1152" w:rsidR="00D243A1" w:rsidP="00D243A1" w:rsidRDefault="00D243A1" w14:paraId="06359C91" w14:textId="78EA4FEA">
            <w:pPr>
              <w:keepNext/>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$0.73</w:t>
            </w:r>
          </w:p>
        </w:tc>
      </w:tr>
      <w:tr w:rsidRPr="00693892" w:rsidR="00D243A1" w:rsidTr="00DB1152" w14:paraId="4BC286CD" w14:textId="2403E5C0">
        <w:trPr>
          <w:trHeight w:val="535"/>
        </w:trPr>
        <w:tc>
          <w:tcPr>
            <w:tcW w:w="1710" w:type="dxa"/>
            <w:tcBorders>
              <w:right w:val="single" w:color="000000" w:sz="8" w:space="0"/>
            </w:tcBorders>
            <w:vAlign w:val="center"/>
          </w:tcPr>
          <w:p w:rsidRPr="00DB1152" w:rsidR="00D243A1" w:rsidP="00D243A1" w:rsidRDefault="00D243A1" w14:paraId="6537C631" w14:textId="77777777">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Third-party Audits</w:t>
            </w:r>
          </w:p>
        </w:tc>
        <w:tc>
          <w:tcPr>
            <w:tcW w:w="1276" w:type="dxa"/>
            <w:tcBorders>
              <w:left w:val="single" w:color="000000" w:sz="8" w:space="0"/>
            </w:tcBorders>
            <w:shd w:val="clear" w:color="auto" w:fill="auto"/>
            <w:vAlign w:val="center"/>
          </w:tcPr>
          <w:p w:rsidRPr="00DB1152" w:rsidR="00D243A1" w:rsidP="00D243A1" w:rsidRDefault="00D243A1" w14:paraId="27BB32D3" w14:textId="204E7AF7">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$5.6</w:t>
            </w:r>
          </w:p>
        </w:tc>
        <w:tc>
          <w:tcPr>
            <w:tcW w:w="1154" w:type="dxa"/>
            <w:shd w:val="clear" w:color="auto" w:fill="auto"/>
            <w:vAlign w:val="center"/>
          </w:tcPr>
          <w:p w:rsidRPr="00DB1152" w:rsidR="00D243A1" w:rsidP="00D243A1" w:rsidRDefault="00D243A1" w14:paraId="53998724" w14:textId="35F48EC4">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$5.6</w:t>
            </w:r>
          </w:p>
        </w:tc>
        <w:tc>
          <w:tcPr>
            <w:tcW w:w="1350" w:type="dxa"/>
            <w:shd w:val="clear" w:color="auto" w:fill="auto"/>
            <w:vAlign w:val="center"/>
          </w:tcPr>
          <w:p w:rsidRPr="00DB1152" w:rsidR="00D243A1" w:rsidP="00D243A1" w:rsidRDefault="00D243A1" w14:paraId="43E25CA6" w14:textId="5F58B50C">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$10.3</w:t>
            </w:r>
          </w:p>
        </w:tc>
        <w:tc>
          <w:tcPr>
            <w:tcW w:w="1244" w:type="dxa"/>
            <w:shd w:val="clear" w:color="auto" w:fill="auto"/>
            <w:vAlign w:val="center"/>
          </w:tcPr>
          <w:p w:rsidRPr="00DB1152" w:rsidR="00D243A1" w:rsidP="00D243A1" w:rsidRDefault="00D243A1" w14:paraId="5E092DB6" w14:textId="00D366E5">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$10.3</w:t>
            </w:r>
          </w:p>
        </w:tc>
        <w:tc>
          <w:tcPr>
            <w:tcW w:w="1244" w:type="dxa"/>
            <w:shd w:val="clear" w:color="auto" w:fill="auto"/>
            <w:vAlign w:val="center"/>
          </w:tcPr>
          <w:p w:rsidRPr="00DB1152" w:rsidR="00D243A1" w:rsidP="00D243A1" w:rsidRDefault="00D243A1" w14:paraId="212B7E0E" w14:textId="02ED749D">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$136.3</w:t>
            </w:r>
          </w:p>
        </w:tc>
        <w:tc>
          <w:tcPr>
            <w:tcW w:w="1260" w:type="dxa"/>
            <w:shd w:val="clear" w:color="auto" w:fill="auto"/>
            <w:vAlign w:val="center"/>
          </w:tcPr>
          <w:p w:rsidRPr="00DB1152" w:rsidR="00D243A1" w:rsidP="00D243A1" w:rsidRDefault="00D243A1" w14:paraId="1C8F97E2" w14:textId="22EB178A">
            <w:pPr>
              <w:keepNext/>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$136.3</w:t>
            </w:r>
          </w:p>
        </w:tc>
      </w:tr>
      <w:tr w:rsidRPr="00693892" w:rsidR="00D243A1" w:rsidTr="00DB1152" w14:paraId="68BD53FB" w14:textId="7E2CD4A1">
        <w:trPr>
          <w:trHeight w:val="535"/>
        </w:trPr>
        <w:tc>
          <w:tcPr>
            <w:tcW w:w="1710" w:type="dxa"/>
            <w:tcBorders>
              <w:bottom w:val="single" w:color="000000" w:sz="8" w:space="0"/>
              <w:right w:val="single" w:color="000000" w:sz="8" w:space="0"/>
            </w:tcBorders>
            <w:vAlign w:val="center"/>
          </w:tcPr>
          <w:p w:rsidRPr="00DB1152" w:rsidR="00D243A1" w:rsidP="00D243A1" w:rsidRDefault="00D243A1" w14:paraId="0655D6D0" w14:textId="6279D42A">
            <w:pPr>
              <w:keepNext/>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Employee Participation Plan</w:t>
            </w:r>
          </w:p>
        </w:tc>
        <w:tc>
          <w:tcPr>
            <w:tcW w:w="1276" w:type="dxa"/>
            <w:tcBorders>
              <w:left w:val="single" w:color="000000" w:sz="8" w:space="0"/>
              <w:bottom w:val="single" w:color="000000" w:sz="8" w:space="0"/>
            </w:tcBorders>
            <w:shd w:val="clear" w:color="auto" w:fill="auto"/>
            <w:vAlign w:val="center"/>
          </w:tcPr>
          <w:p w:rsidRPr="00DB1152" w:rsidR="00D243A1" w:rsidP="00D243A1" w:rsidRDefault="00D243A1" w14:paraId="261EA176" w14:textId="76CD4411">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$0.42</w:t>
            </w:r>
          </w:p>
        </w:tc>
        <w:tc>
          <w:tcPr>
            <w:tcW w:w="1154" w:type="dxa"/>
            <w:tcBorders>
              <w:bottom w:val="single" w:color="000000" w:sz="8" w:space="0"/>
            </w:tcBorders>
            <w:shd w:val="clear" w:color="auto" w:fill="auto"/>
            <w:vAlign w:val="center"/>
          </w:tcPr>
          <w:p w:rsidRPr="00DB1152" w:rsidR="00D243A1" w:rsidP="00D243A1" w:rsidRDefault="00D243A1" w14:paraId="0024FE2D" w14:textId="3BB94732">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$0.42</w:t>
            </w:r>
          </w:p>
        </w:tc>
        <w:tc>
          <w:tcPr>
            <w:tcW w:w="1350" w:type="dxa"/>
            <w:tcBorders>
              <w:bottom w:val="single" w:color="000000" w:sz="8" w:space="0"/>
            </w:tcBorders>
            <w:shd w:val="clear" w:color="auto" w:fill="auto"/>
            <w:vAlign w:val="center"/>
          </w:tcPr>
          <w:p w:rsidR="00C9241C" w:rsidP="00D243A1" w:rsidRDefault="00C9241C" w14:paraId="6A2417A9" w14:textId="77777777">
            <w:pPr>
              <w:spacing w:after="0" w:line="240" w:lineRule="auto"/>
              <w:ind w:right="58"/>
              <w:jc w:val="center"/>
              <w:rPr>
                <w:rFonts w:ascii="Times New Roman" w:hAnsi="Times New Roman" w:cs="Times New Roman"/>
                <w:sz w:val="20"/>
                <w:szCs w:val="20"/>
              </w:rPr>
            </w:pPr>
          </w:p>
          <w:p w:rsidRPr="00DB1152" w:rsidR="00D243A1" w:rsidP="00D243A1" w:rsidRDefault="00D243A1" w14:paraId="4DED2F4A" w14:textId="0DCF70B9">
            <w:pPr>
              <w:spacing w:after="0" w:line="240" w:lineRule="auto"/>
              <w:ind w:right="58"/>
              <w:jc w:val="center"/>
              <w:rPr>
                <w:rFonts w:ascii="Times New Roman" w:hAnsi="Times New Roman" w:cs="Times New Roman"/>
                <w:sz w:val="20"/>
                <w:szCs w:val="20"/>
              </w:rPr>
            </w:pPr>
            <w:r w:rsidRPr="00DB1152">
              <w:rPr>
                <w:rFonts w:ascii="Times New Roman" w:hAnsi="Times New Roman" w:cs="Times New Roman"/>
                <w:sz w:val="20"/>
                <w:szCs w:val="20"/>
              </w:rPr>
              <w:t>$0.86</w:t>
            </w:r>
          </w:p>
          <w:p w:rsidRPr="00DB1152" w:rsidR="00D243A1" w:rsidP="00D243A1" w:rsidRDefault="00D243A1" w14:paraId="2637B16B" w14:textId="5642CEF5">
            <w:pPr>
              <w:keepNext/>
              <w:spacing w:after="0" w:line="240" w:lineRule="auto"/>
              <w:ind w:right="58"/>
              <w:jc w:val="center"/>
              <w:rPr>
                <w:rFonts w:ascii="Times New Roman" w:hAnsi="Times New Roman" w:cs="Times New Roman"/>
                <w:sz w:val="20"/>
                <w:szCs w:val="20"/>
              </w:rPr>
            </w:pPr>
          </w:p>
        </w:tc>
        <w:tc>
          <w:tcPr>
            <w:tcW w:w="1244" w:type="dxa"/>
            <w:tcBorders>
              <w:bottom w:val="single" w:color="000000" w:sz="8" w:space="0"/>
            </w:tcBorders>
            <w:shd w:val="clear" w:color="auto" w:fill="auto"/>
            <w:vAlign w:val="center"/>
          </w:tcPr>
          <w:p w:rsidRPr="00DB1152" w:rsidR="00D243A1" w:rsidP="00D243A1" w:rsidRDefault="00D243A1" w14:paraId="419E2662" w14:textId="1F3C19D4">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$0.86</w:t>
            </w:r>
          </w:p>
        </w:tc>
        <w:tc>
          <w:tcPr>
            <w:tcW w:w="1244" w:type="dxa"/>
            <w:tcBorders>
              <w:bottom w:val="single" w:color="000000" w:sz="8" w:space="0"/>
            </w:tcBorders>
            <w:shd w:val="clear" w:color="auto" w:fill="auto"/>
            <w:vAlign w:val="center"/>
          </w:tcPr>
          <w:p w:rsidRPr="00DB1152" w:rsidR="00D243A1" w:rsidP="00D243A1" w:rsidRDefault="00D243A1" w14:paraId="6B335946" w14:textId="5FB79BBA">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$0.86</w:t>
            </w:r>
          </w:p>
        </w:tc>
        <w:tc>
          <w:tcPr>
            <w:tcW w:w="1260" w:type="dxa"/>
            <w:tcBorders>
              <w:bottom w:val="single" w:color="000000" w:sz="8" w:space="0"/>
            </w:tcBorders>
            <w:shd w:val="clear" w:color="auto" w:fill="auto"/>
            <w:vAlign w:val="center"/>
          </w:tcPr>
          <w:p w:rsidRPr="00DB1152" w:rsidR="00D243A1" w:rsidP="00D243A1" w:rsidRDefault="00D243A1" w14:paraId="2BF4C885" w14:textId="21DE13E0">
            <w:pPr>
              <w:keepNext/>
              <w:spacing w:after="0" w:line="240" w:lineRule="auto"/>
              <w:ind w:right="202"/>
              <w:jc w:val="center"/>
              <w:rPr>
                <w:rFonts w:ascii="Times New Roman" w:hAnsi="Times New Roman" w:cs="Times New Roman"/>
                <w:sz w:val="20"/>
                <w:szCs w:val="20"/>
              </w:rPr>
            </w:pPr>
            <w:r w:rsidRPr="00DB1152">
              <w:rPr>
                <w:rFonts w:ascii="Times New Roman" w:hAnsi="Times New Roman" w:cs="Times New Roman"/>
                <w:sz w:val="20"/>
                <w:szCs w:val="20"/>
              </w:rPr>
              <w:t>$0.86</w:t>
            </w:r>
          </w:p>
        </w:tc>
      </w:tr>
      <w:tr w:rsidRPr="00693892" w:rsidR="00D243A1" w:rsidTr="00DB1152" w14:paraId="02BD4E53" w14:textId="501D43F0">
        <w:trPr>
          <w:trHeight w:val="535"/>
        </w:trPr>
        <w:tc>
          <w:tcPr>
            <w:tcW w:w="1710" w:type="dxa"/>
            <w:tcBorders>
              <w:top w:val="single" w:color="000000" w:sz="8" w:space="0"/>
              <w:bottom w:val="single" w:color="000000" w:sz="8" w:space="0"/>
              <w:right w:val="single" w:color="000000" w:sz="8" w:space="0"/>
            </w:tcBorders>
            <w:vAlign w:val="center"/>
          </w:tcPr>
          <w:p w:rsidRPr="00DB1152" w:rsidR="00D243A1" w:rsidP="00D243A1" w:rsidRDefault="00D243A1" w14:paraId="6CCB9D63" w14:textId="4D09CB38">
            <w:pPr>
              <w:keepNext/>
              <w:spacing w:after="0" w:line="240" w:lineRule="auto"/>
              <w:ind w:left="130"/>
              <w:rPr>
                <w:rFonts w:ascii="Times New Roman" w:hAnsi="Times New Roman" w:cs="Times New Roman"/>
                <w:sz w:val="20"/>
                <w:szCs w:val="20"/>
              </w:rPr>
            </w:pPr>
            <w:r w:rsidRPr="00FA1399">
              <w:rPr>
                <w:rFonts w:ascii="Times New Roman" w:hAnsi="Times New Roman" w:cs="Times New Roman"/>
                <w:sz w:val="20"/>
                <w:szCs w:val="20"/>
              </w:rPr>
              <w:t>Backup Power</w:t>
            </w:r>
            <w:r w:rsidRPr="00FA1399" w:rsidR="00EC413D">
              <w:rPr>
                <w:rFonts w:ascii="Times New Roman" w:hAnsi="Times New Roman" w:cs="Times New Roman"/>
                <w:sz w:val="20"/>
                <w:szCs w:val="20"/>
              </w:rPr>
              <w:t>**</w:t>
            </w:r>
          </w:p>
        </w:tc>
        <w:tc>
          <w:tcPr>
            <w:tcW w:w="1276" w:type="dxa"/>
            <w:tcBorders>
              <w:top w:val="single" w:color="000000" w:sz="8" w:space="0"/>
              <w:left w:val="single" w:color="000000" w:sz="8" w:space="0"/>
              <w:bottom w:val="single" w:color="000000" w:sz="8" w:space="0"/>
            </w:tcBorders>
            <w:shd w:val="clear" w:color="auto" w:fill="auto"/>
            <w:vAlign w:val="center"/>
          </w:tcPr>
          <w:p w:rsidRPr="00DB1152" w:rsidR="00D243A1" w:rsidP="00D243A1" w:rsidRDefault="00D243A1" w14:paraId="5A61E024" w14:textId="7594BFB3">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c>
          <w:tcPr>
            <w:tcW w:w="1154" w:type="dxa"/>
            <w:tcBorders>
              <w:top w:val="single" w:color="000000" w:sz="8" w:space="0"/>
              <w:bottom w:val="single" w:color="000000" w:sz="8" w:space="0"/>
            </w:tcBorders>
            <w:shd w:val="clear" w:color="auto" w:fill="auto"/>
            <w:vAlign w:val="center"/>
          </w:tcPr>
          <w:p w:rsidRPr="00DB1152" w:rsidR="00D243A1" w:rsidP="00D243A1" w:rsidRDefault="00D243A1" w14:paraId="77E0A49C" w14:textId="4638D98D">
            <w:pPr>
              <w:keepNext/>
              <w:spacing w:after="0" w:line="240" w:lineRule="auto"/>
              <w:ind w:right="82"/>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c>
          <w:tcPr>
            <w:tcW w:w="1350" w:type="dxa"/>
            <w:tcBorders>
              <w:top w:val="single" w:color="000000" w:sz="8" w:space="0"/>
              <w:bottom w:val="single" w:color="000000" w:sz="8" w:space="0"/>
            </w:tcBorders>
            <w:shd w:val="clear" w:color="auto" w:fill="auto"/>
            <w:vAlign w:val="center"/>
          </w:tcPr>
          <w:p w:rsidRPr="00DB1152" w:rsidR="00D243A1" w:rsidP="00D243A1" w:rsidRDefault="00D243A1" w14:paraId="0017E538" w14:textId="0EE6C5A4">
            <w:pPr>
              <w:keepNext/>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c>
          <w:tcPr>
            <w:tcW w:w="1244" w:type="dxa"/>
            <w:tcBorders>
              <w:top w:val="single" w:color="000000" w:sz="8" w:space="0"/>
              <w:bottom w:val="single" w:color="000000" w:sz="8" w:space="0"/>
            </w:tcBorders>
            <w:shd w:val="clear" w:color="auto" w:fill="auto"/>
            <w:vAlign w:val="center"/>
          </w:tcPr>
          <w:p w:rsidRPr="00DB1152" w:rsidR="00D243A1" w:rsidP="00D243A1" w:rsidRDefault="00D243A1" w14:paraId="2FC1423A" w14:textId="77623DB8">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c>
          <w:tcPr>
            <w:tcW w:w="1244" w:type="dxa"/>
            <w:tcBorders>
              <w:top w:val="single" w:color="000000" w:sz="8" w:space="0"/>
              <w:bottom w:val="single" w:color="000000" w:sz="8" w:space="0"/>
            </w:tcBorders>
            <w:shd w:val="clear" w:color="auto" w:fill="auto"/>
            <w:vAlign w:val="center"/>
          </w:tcPr>
          <w:p w:rsidRPr="00DB1152" w:rsidR="00D243A1" w:rsidP="00D243A1" w:rsidRDefault="00D243A1" w14:paraId="24167D58" w14:textId="6C14DCA9">
            <w:pPr>
              <w:keepNext/>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c>
          <w:tcPr>
            <w:tcW w:w="1260" w:type="dxa"/>
            <w:tcBorders>
              <w:top w:val="single" w:color="000000" w:sz="8" w:space="0"/>
              <w:bottom w:val="single" w:color="000000" w:sz="8" w:space="0"/>
            </w:tcBorders>
            <w:shd w:val="clear" w:color="auto" w:fill="auto"/>
            <w:vAlign w:val="center"/>
          </w:tcPr>
          <w:p w:rsidRPr="00DB1152" w:rsidR="00D243A1" w:rsidP="00D243A1" w:rsidRDefault="00D243A1" w14:paraId="0DD36B05" w14:textId="6550E959">
            <w:pPr>
              <w:keepNext/>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$0.</w:t>
            </w:r>
            <w:r w:rsidR="00353F02">
              <w:rPr>
                <w:rFonts w:ascii="Times New Roman" w:hAnsi="Times New Roman" w:cs="Times New Roman"/>
                <w:sz w:val="20"/>
                <w:szCs w:val="20"/>
              </w:rPr>
              <w:t>0</w:t>
            </w:r>
          </w:p>
        </w:tc>
      </w:tr>
      <w:tr w:rsidRPr="00693892" w:rsidR="00D243A1" w:rsidTr="00DB1152" w14:paraId="5B44B26E" w14:textId="389860D8">
        <w:trPr>
          <w:trHeight w:val="535"/>
        </w:trPr>
        <w:tc>
          <w:tcPr>
            <w:tcW w:w="1710" w:type="dxa"/>
            <w:tcBorders>
              <w:top w:val="single" w:color="000000" w:sz="8" w:space="0"/>
              <w:right w:val="single" w:color="000000" w:sz="8" w:space="0"/>
            </w:tcBorders>
            <w:vAlign w:val="center"/>
          </w:tcPr>
          <w:p w:rsidRPr="00DB1152" w:rsidR="00D243A1" w:rsidP="00D243A1" w:rsidRDefault="00D243A1" w14:paraId="15E6FD0A" w14:textId="0D603141">
            <w:pPr>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Community Notification</w:t>
            </w:r>
          </w:p>
        </w:tc>
        <w:tc>
          <w:tcPr>
            <w:tcW w:w="1276" w:type="dxa"/>
            <w:tcBorders>
              <w:top w:val="single" w:color="000000" w:sz="8" w:space="0"/>
              <w:left w:val="single" w:color="000000" w:sz="8" w:space="0"/>
            </w:tcBorders>
            <w:shd w:val="clear" w:color="auto" w:fill="auto"/>
            <w:vAlign w:val="center"/>
          </w:tcPr>
          <w:p w:rsidRPr="00DB1152" w:rsidR="00D243A1" w:rsidP="00D243A1" w:rsidRDefault="00D243A1" w14:paraId="59863150" w14:textId="7B0F4187">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$3.8</w:t>
            </w:r>
          </w:p>
        </w:tc>
        <w:tc>
          <w:tcPr>
            <w:tcW w:w="1154" w:type="dxa"/>
            <w:tcBorders>
              <w:top w:val="single" w:color="000000" w:sz="8" w:space="0"/>
            </w:tcBorders>
            <w:shd w:val="clear" w:color="auto" w:fill="auto"/>
            <w:vAlign w:val="center"/>
          </w:tcPr>
          <w:p w:rsidRPr="00DB1152" w:rsidR="00D243A1" w:rsidP="00D243A1" w:rsidRDefault="00D243A1" w14:paraId="0C1EAB3F" w14:textId="67EBECF7">
            <w:pPr>
              <w:spacing w:after="0" w:line="240" w:lineRule="auto"/>
              <w:ind w:right="82"/>
              <w:jc w:val="center"/>
              <w:rPr>
                <w:rFonts w:ascii="Times New Roman" w:hAnsi="Times New Roman" w:cs="Times New Roman"/>
                <w:sz w:val="20"/>
                <w:szCs w:val="20"/>
              </w:rPr>
            </w:pPr>
            <w:r w:rsidRPr="00DB1152">
              <w:rPr>
                <w:rFonts w:ascii="Times New Roman" w:hAnsi="Times New Roman" w:cs="Times New Roman"/>
                <w:sz w:val="20"/>
                <w:szCs w:val="20"/>
              </w:rPr>
              <w:t>$3.8</w:t>
            </w:r>
          </w:p>
        </w:tc>
        <w:tc>
          <w:tcPr>
            <w:tcW w:w="1350" w:type="dxa"/>
            <w:tcBorders>
              <w:top w:val="single" w:color="000000" w:sz="8" w:space="0"/>
            </w:tcBorders>
            <w:shd w:val="clear" w:color="auto" w:fill="auto"/>
            <w:vAlign w:val="center"/>
          </w:tcPr>
          <w:p w:rsidRPr="00DB1152" w:rsidR="00D243A1" w:rsidP="00D243A1" w:rsidRDefault="00D243A1" w14:paraId="0F9C59EB" w14:textId="3DCB1919">
            <w:pPr>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$3.8</w:t>
            </w:r>
          </w:p>
        </w:tc>
        <w:tc>
          <w:tcPr>
            <w:tcW w:w="1244" w:type="dxa"/>
            <w:tcBorders>
              <w:top w:val="single" w:color="000000" w:sz="8" w:space="0"/>
            </w:tcBorders>
            <w:shd w:val="clear" w:color="auto" w:fill="auto"/>
            <w:vAlign w:val="center"/>
          </w:tcPr>
          <w:p w:rsidRPr="00DB1152" w:rsidR="00D243A1" w:rsidP="00D243A1" w:rsidRDefault="00D243A1" w14:paraId="7C325187" w14:textId="02D5B25E">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$3.8</w:t>
            </w:r>
          </w:p>
        </w:tc>
        <w:tc>
          <w:tcPr>
            <w:tcW w:w="1244" w:type="dxa"/>
            <w:tcBorders>
              <w:top w:val="single" w:color="000000" w:sz="8" w:space="0"/>
            </w:tcBorders>
            <w:shd w:val="clear" w:color="auto" w:fill="auto"/>
            <w:vAlign w:val="center"/>
          </w:tcPr>
          <w:p w:rsidRPr="00DB1152" w:rsidR="00D243A1" w:rsidP="00D243A1" w:rsidRDefault="00D243A1" w14:paraId="316E9AFC" w14:textId="3B66E199">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$3.8</w:t>
            </w:r>
          </w:p>
        </w:tc>
        <w:tc>
          <w:tcPr>
            <w:tcW w:w="1260" w:type="dxa"/>
            <w:tcBorders>
              <w:top w:val="single" w:color="000000" w:sz="8" w:space="0"/>
            </w:tcBorders>
            <w:shd w:val="clear" w:color="auto" w:fill="auto"/>
            <w:vAlign w:val="center"/>
          </w:tcPr>
          <w:p w:rsidRPr="00DB1152" w:rsidR="00D243A1" w:rsidP="00D243A1" w:rsidRDefault="00D243A1" w14:paraId="7B3C8199" w14:textId="3F44A0FE">
            <w:pPr>
              <w:spacing w:after="0" w:line="240" w:lineRule="auto"/>
              <w:ind w:right="217"/>
              <w:jc w:val="center"/>
              <w:rPr>
                <w:rFonts w:ascii="Times New Roman" w:hAnsi="Times New Roman" w:cs="Times New Roman"/>
                <w:sz w:val="20"/>
                <w:szCs w:val="20"/>
              </w:rPr>
            </w:pPr>
            <w:r w:rsidRPr="00DB1152">
              <w:rPr>
                <w:rFonts w:ascii="Times New Roman" w:hAnsi="Times New Roman" w:cs="Times New Roman"/>
                <w:sz w:val="20"/>
                <w:szCs w:val="20"/>
              </w:rPr>
              <w:t>$3.8</w:t>
            </w:r>
          </w:p>
        </w:tc>
      </w:tr>
      <w:tr w:rsidRPr="00693892" w:rsidR="00D243A1" w:rsidTr="00DB1152" w14:paraId="673BAEBE" w14:textId="09106BF3">
        <w:trPr>
          <w:trHeight w:val="535"/>
        </w:trPr>
        <w:tc>
          <w:tcPr>
            <w:tcW w:w="1710" w:type="dxa"/>
            <w:tcBorders>
              <w:right w:val="single" w:color="000000" w:sz="8" w:space="0"/>
            </w:tcBorders>
            <w:vAlign w:val="center"/>
          </w:tcPr>
          <w:p w:rsidRPr="00DB1152" w:rsidR="00D243A1" w:rsidP="00D243A1" w:rsidRDefault="00D243A1" w14:paraId="757E1CDF" w14:textId="1EBFDCB8">
            <w:pPr>
              <w:spacing w:after="0" w:line="240" w:lineRule="auto"/>
              <w:ind w:left="130"/>
              <w:rPr>
                <w:rFonts w:ascii="Times New Roman" w:hAnsi="Times New Roman" w:cs="Times New Roman"/>
                <w:sz w:val="20"/>
                <w:szCs w:val="20"/>
              </w:rPr>
            </w:pPr>
            <w:r w:rsidRPr="00DB1152">
              <w:rPr>
                <w:rFonts w:ascii="Times New Roman" w:hAnsi="Times New Roman" w:cs="Times New Roman"/>
                <w:sz w:val="20"/>
                <w:szCs w:val="20"/>
              </w:rPr>
              <w:t>Information Availability</w:t>
            </w:r>
          </w:p>
        </w:tc>
        <w:tc>
          <w:tcPr>
            <w:tcW w:w="1276" w:type="dxa"/>
            <w:tcBorders>
              <w:left w:val="single" w:color="000000" w:sz="8" w:space="0"/>
            </w:tcBorders>
            <w:shd w:val="clear" w:color="auto" w:fill="auto"/>
            <w:vAlign w:val="center"/>
          </w:tcPr>
          <w:p w:rsidRPr="00DB1152" w:rsidR="00D243A1" w:rsidP="00D243A1" w:rsidRDefault="00D243A1" w14:paraId="02267AF8" w14:textId="41832E6C">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$3.0</w:t>
            </w:r>
          </w:p>
        </w:tc>
        <w:tc>
          <w:tcPr>
            <w:tcW w:w="1154" w:type="dxa"/>
            <w:shd w:val="clear" w:color="auto" w:fill="auto"/>
            <w:vAlign w:val="center"/>
          </w:tcPr>
          <w:p w:rsidRPr="00DB1152" w:rsidR="00D243A1" w:rsidP="00D243A1" w:rsidRDefault="00D243A1" w14:paraId="19483B90" w14:textId="6098CC2F">
            <w:pPr>
              <w:spacing w:after="0" w:line="240" w:lineRule="auto"/>
              <w:ind w:right="67"/>
              <w:jc w:val="center"/>
              <w:rPr>
                <w:rFonts w:ascii="Times New Roman" w:hAnsi="Times New Roman" w:cs="Times New Roman"/>
                <w:sz w:val="20"/>
                <w:szCs w:val="20"/>
              </w:rPr>
            </w:pPr>
            <w:r w:rsidRPr="00DB1152">
              <w:rPr>
                <w:rFonts w:ascii="Times New Roman" w:hAnsi="Times New Roman" w:cs="Times New Roman"/>
                <w:sz w:val="20"/>
                <w:szCs w:val="20"/>
              </w:rPr>
              <w:t>$3.0</w:t>
            </w:r>
          </w:p>
        </w:tc>
        <w:tc>
          <w:tcPr>
            <w:tcW w:w="1350" w:type="dxa"/>
            <w:shd w:val="clear" w:color="auto" w:fill="auto"/>
            <w:vAlign w:val="center"/>
          </w:tcPr>
          <w:p w:rsidRPr="00DB1152" w:rsidR="00D243A1" w:rsidP="00D243A1" w:rsidRDefault="00D243A1" w14:paraId="0321B106" w14:textId="60DE16F1">
            <w:pPr>
              <w:spacing w:after="0" w:line="240" w:lineRule="auto"/>
              <w:ind w:right="58"/>
              <w:jc w:val="center"/>
              <w:rPr>
                <w:rFonts w:ascii="Times New Roman" w:hAnsi="Times New Roman" w:cs="Times New Roman"/>
                <w:sz w:val="20"/>
                <w:szCs w:val="20"/>
              </w:rPr>
            </w:pPr>
            <w:r w:rsidRPr="00DB1152">
              <w:rPr>
                <w:rFonts w:ascii="Times New Roman" w:hAnsi="Times New Roman" w:cs="Times New Roman"/>
                <w:sz w:val="20"/>
                <w:szCs w:val="20"/>
              </w:rPr>
              <w:t>$3.0</w:t>
            </w:r>
          </w:p>
        </w:tc>
        <w:tc>
          <w:tcPr>
            <w:tcW w:w="1244" w:type="dxa"/>
            <w:shd w:val="clear" w:color="auto" w:fill="auto"/>
            <w:vAlign w:val="center"/>
          </w:tcPr>
          <w:p w:rsidRPr="00DB1152" w:rsidR="00D243A1" w:rsidP="00D243A1" w:rsidRDefault="00D243A1" w14:paraId="3E90F604" w14:textId="4322FCA8">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$3.0</w:t>
            </w:r>
          </w:p>
        </w:tc>
        <w:tc>
          <w:tcPr>
            <w:tcW w:w="1244" w:type="dxa"/>
            <w:shd w:val="clear" w:color="auto" w:fill="auto"/>
            <w:vAlign w:val="center"/>
          </w:tcPr>
          <w:p w:rsidRPr="00DB1152" w:rsidR="00D243A1" w:rsidP="00D243A1" w:rsidRDefault="00D243A1" w14:paraId="5A3AD231" w14:textId="3043A275">
            <w:pPr>
              <w:spacing w:after="0" w:line="240" w:lineRule="auto"/>
              <w:jc w:val="center"/>
              <w:rPr>
                <w:rFonts w:ascii="Times New Roman" w:hAnsi="Times New Roman" w:cs="Times New Roman"/>
                <w:sz w:val="20"/>
                <w:szCs w:val="20"/>
              </w:rPr>
            </w:pPr>
            <w:r w:rsidRPr="00DB1152">
              <w:rPr>
                <w:rFonts w:ascii="Times New Roman" w:hAnsi="Times New Roman" w:cs="Times New Roman"/>
                <w:sz w:val="20"/>
                <w:szCs w:val="20"/>
              </w:rPr>
              <w:t>$3.0</w:t>
            </w:r>
          </w:p>
        </w:tc>
        <w:tc>
          <w:tcPr>
            <w:tcW w:w="1260" w:type="dxa"/>
            <w:shd w:val="clear" w:color="auto" w:fill="auto"/>
            <w:vAlign w:val="center"/>
          </w:tcPr>
          <w:p w:rsidRPr="00DB1152" w:rsidR="00D243A1" w:rsidP="00D243A1" w:rsidRDefault="00D243A1" w14:paraId="1D9E915F" w14:textId="2DBC2BC9">
            <w:pPr>
              <w:spacing w:after="0" w:line="240" w:lineRule="auto"/>
              <w:ind w:right="202"/>
              <w:jc w:val="center"/>
              <w:rPr>
                <w:rFonts w:ascii="Times New Roman" w:hAnsi="Times New Roman" w:cs="Times New Roman"/>
                <w:sz w:val="20"/>
                <w:szCs w:val="20"/>
              </w:rPr>
            </w:pPr>
            <w:r w:rsidRPr="00DB1152">
              <w:rPr>
                <w:rFonts w:ascii="Times New Roman" w:hAnsi="Times New Roman" w:cs="Times New Roman"/>
                <w:sz w:val="20"/>
                <w:szCs w:val="20"/>
              </w:rPr>
              <w:t>$3.0</w:t>
            </w:r>
          </w:p>
        </w:tc>
      </w:tr>
      <w:tr w:rsidRPr="00693892" w:rsidR="00D243A1" w:rsidTr="00DB1152" w14:paraId="78C264D1" w14:textId="2FD058FD">
        <w:trPr>
          <w:trHeight w:val="277"/>
        </w:trPr>
        <w:tc>
          <w:tcPr>
            <w:tcW w:w="1710" w:type="dxa"/>
            <w:tcBorders>
              <w:bottom w:val="single" w:color="000000" w:sz="8" w:space="0"/>
              <w:right w:val="single" w:color="000000" w:sz="8" w:space="0"/>
            </w:tcBorders>
            <w:vAlign w:val="center"/>
          </w:tcPr>
          <w:p w:rsidRPr="00DB1152" w:rsidR="00D243A1" w:rsidP="00D243A1" w:rsidRDefault="00D243A1" w14:paraId="713FDF38" w14:textId="77777777">
            <w:pPr>
              <w:spacing w:after="0" w:line="240" w:lineRule="auto"/>
              <w:ind w:left="76"/>
              <w:jc w:val="center"/>
              <w:rPr>
                <w:rFonts w:ascii="Times New Roman" w:hAnsi="Times New Roman" w:cs="Times New Roman"/>
                <w:b/>
                <w:sz w:val="20"/>
                <w:szCs w:val="20"/>
              </w:rPr>
            </w:pPr>
            <w:r w:rsidRPr="00DB1152">
              <w:rPr>
                <w:rFonts w:ascii="Times New Roman" w:hAnsi="Times New Roman" w:cs="Times New Roman"/>
                <w:b/>
                <w:sz w:val="20"/>
                <w:szCs w:val="20"/>
              </w:rPr>
              <w:t>Total Cost</w:t>
            </w:r>
            <w:r w:rsidRPr="00DB1152">
              <w:rPr>
                <w:rFonts w:ascii="Times New Roman" w:hAnsi="Times New Roman" w:cs="Times New Roman"/>
                <w:b/>
                <w:position w:val="6"/>
                <w:sz w:val="20"/>
                <w:szCs w:val="20"/>
              </w:rPr>
              <w:t>*</w:t>
            </w:r>
          </w:p>
        </w:tc>
        <w:tc>
          <w:tcPr>
            <w:tcW w:w="1276" w:type="dxa"/>
            <w:tcBorders>
              <w:left w:val="single" w:color="000000" w:sz="8" w:space="0"/>
              <w:bottom w:val="single" w:color="000000" w:sz="8" w:space="0"/>
            </w:tcBorders>
            <w:vAlign w:val="center"/>
          </w:tcPr>
          <w:p w:rsidRPr="00DB1152" w:rsidR="00D243A1" w:rsidP="00D243A1" w:rsidRDefault="00D243A1" w14:paraId="3A634874" w14:textId="05EACBAF">
            <w:pPr>
              <w:spacing w:after="0" w:line="240" w:lineRule="auto"/>
              <w:jc w:val="center"/>
              <w:rPr>
                <w:rFonts w:ascii="Times New Roman" w:hAnsi="Times New Roman" w:cs="Times New Roman"/>
                <w:b/>
                <w:sz w:val="20"/>
                <w:szCs w:val="20"/>
              </w:rPr>
            </w:pPr>
            <w:r w:rsidRPr="00DB1152">
              <w:rPr>
                <w:rFonts w:ascii="Times New Roman" w:hAnsi="Times New Roman" w:cs="Times New Roman"/>
                <w:b/>
                <w:color w:val="000000"/>
                <w:sz w:val="20"/>
                <w:szCs w:val="20"/>
              </w:rPr>
              <w:t>$70.</w:t>
            </w:r>
            <w:r w:rsidR="00AD1D03">
              <w:rPr>
                <w:rFonts w:ascii="Times New Roman" w:hAnsi="Times New Roman" w:cs="Times New Roman"/>
                <w:b/>
                <w:color w:val="000000"/>
                <w:sz w:val="20"/>
                <w:szCs w:val="20"/>
              </w:rPr>
              <w:t>6</w:t>
            </w:r>
          </w:p>
        </w:tc>
        <w:tc>
          <w:tcPr>
            <w:tcW w:w="1154" w:type="dxa"/>
            <w:tcBorders>
              <w:bottom w:val="single" w:color="000000" w:sz="8" w:space="0"/>
            </w:tcBorders>
            <w:vAlign w:val="center"/>
          </w:tcPr>
          <w:p w:rsidRPr="00DB1152" w:rsidR="00D243A1" w:rsidP="00D243A1" w:rsidRDefault="00D243A1" w14:paraId="0DDF4D34" w14:textId="668B1ACE">
            <w:pPr>
              <w:spacing w:after="0" w:line="240" w:lineRule="auto"/>
              <w:ind w:right="67"/>
              <w:jc w:val="center"/>
              <w:rPr>
                <w:rFonts w:ascii="Times New Roman" w:hAnsi="Times New Roman" w:cs="Times New Roman"/>
                <w:b/>
                <w:sz w:val="20"/>
                <w:szCs w:val="20"/>
              </w:rPr>
            </w:pPr>
            <w:r w:rsidRPr="00DB1152">
              <w:rPr>
                <w:rFonts w:ascii="Times New Roman" w:hAnsi="Times New Roman" w:cs="Times New Roman"/>
                <w:b/>
                <w:color w:val="000000"/>
                <w:sz w:val="20"/>
                <w:szCs w:val="20"/>
              </w:rPr>
              <w:t>$71.</w:t>
            </w:r>
            <w:r w:rsidR="00AD1D03">
              <w:rPr>
                <w:rFonts w:ascii="Times New Roman" w:hAnsi="Times New Roman" w:cs="Times New Roman"/>
                <w:b/>
                <w:color w:val="000000"/>
                <w:sz w:val="20"/>
                <w:szCs w:val="20"/>
              </w:rPr>
              <w:t>5</w:t>
            </w:r>
          </w:p>
        </w:tc>
        <w:tc>
          <w:tcPr>
            <w:tcW w:w="1350" w:type="dxa"/>
            <w:tcBorders>
              <w:bottom w:val="single" w:color="000000" w:sz="8" w:space="0"/>
            </w:tcBorders>
            <w:vAlign w:val="center"/>
          </w:tcPr>
          <w:p w:rsidRPr="00DB1152" w:rsidR="00D243A1" w:rsidP="00D243A1" w:rsidRDefault="00D243A1" w14:paraId="4AA18D2C" w14:textId="0DFEE02D">
            <w:pPr>
              <w:spacing w:after="0" w:line="240" w:lineRule="auto"/>
              <w:ind w:right="58"/>
              <w:jc w:val="center"/>
              <w:rPr>
                <w:rFonts w:ascii="Times New Roman" w:hAnsi="Times New Roman" w:cs="Times New Roman"/>
                <w:b/>
                <w:sz w:val="20"/>
                <w:szCs w:val="20"/>
              </w:rPr>
            </w:pPr>
            <w:r w:rsidRPr="00DB1152">
              <w:rPr>
                <w:rFonts w:ascii="Times New Roman" w:hAnsi="Times New Roman" w:cs="Times New Roman"/>
                <w:b/>
                <w:color w:val="000000"/>
                <w:sz w:val="20"/>
                <w:szCs w:val="20"/>
              </w:rPr>
              <w:t>$75.</w:t>
            </w:r>
            <w:r w:rsidR="00AD1D03">
              <w:rPr>
                <w:rFonts w:ascii="Times New Roman" w:hAnsi="Times New Roman" w:cs="Times New Roman"/>
                <w:b/>
                <w:color w:val="000000"/>
                <w:sz w:val="20"/>
                <w:szCs w:val="20"/>
              </w:rPr>
              <w:t>8</w:t>
            </w:r>
          </w:p>
        </w:tc>
        <w:tc>
          <w:tcPr>
            <w:tcW w:w="1244" w:type="dxa"/>
            <w:tcBorders>
              <w:bottom w:val="single" w:color="000000" w:sz="8" w:space="0"/>
            </w:tcBorders>
            <w:vAlign w:val="center"/>
          </w:tcPr>
          <w:p w:rsidRPr="00DB1152" w:rsidR="00D243A1" w:rsidP="00D243A1" w:rsidRDefault="00D243A1" w14:paraId="32B19D30" w14:textId="01903685">
            <w:pPr>
              <w:spacing w:after="0" w:line="240" w:lineRule="auto"/>
              <w:jc w:val="center"/>
              <w:rPr>
                <w:rFonts w:ascii="Times New Roman" w:hAnsi="Times New Roman" w:cs="Times New Roman"/>
                <w:b/>
                <w:sz w:val="20"/>
                <w:szCs w:val="20"/>
              </w:rPr>
            </w:pPr>
            <w:r w:rsidRPr="00DB1152">
              <w:rPr>
                <w:rFonts w:ascii="Times New Roman" w:hAnsi="Times New Roman" w:cs="Times New Roman"/>
                <w:b/>
                <w:color w:val="000000"/>
                <w:sz w:val="20"/>
                <w:szCs w:val="20"/>
              </w:rPr>
              <w:t>$76.</w:t>
            </w:r>
            <w:r w:rsidR="00AD1D03">
              <w:rPr>
                <w:rFonts w:ascii="Times New Roman" w:hAnsi="Times New Roman" w:cs="Times New Roman"/>
                <w:b/>
                <w:color w:val="000000"/>
                <w:sz w:val="20"/>
                <w:szCs w:val="20"/>
              </w:rPr>
              <w:t>7</w:t>
            </w:r>
          </w:p>
        </w:tc>
        <w:tc>
          <w:tcPr>
            <w:tcW w:w="1244" w:type="dxa"/>
            <w:tcBorders>
              <w:bottom w:val="single" w:color="000000" w:sz="8" w:space="0"/>
            </w:tcBorders>
            <w:vAlign w:val="center"/>
          </w:tcPr>
          <w:p w:rsidRPr="00DB1152" w:rsidR="00D243A1" w:rsidP="00D243A1" w:rsidRDefault="00D243A1" w14:paraId="62E809DC" w14:textId="14882C17">
            <w:pPr>
              <w:spacing w:after="0" w:line="240" w:lineRule="auto"/>
              <w:jc w:val="center"/>
              <w:rPr>
                <w:rFonts w:ascii="Times New Roman" w:hAnsi="Times New Roman" w:cs="Times New Roman"/>
                <w:b/>
                <w:sz w:val="20"/>
                <w:szCs w:val="20"/>
              </w:rPr>
            </w:pPr>
            <w:r w:rsidRPr="00DB1152">
              <w:rPr>
                <w:rFonts w:ascii="Times New Roman" w:hAnsi="Times New Roman" w:cs="Times New Roman"/>
                <w:b/>
                <w:color w:val="000000"/>
                <w:sz w:val="20"/>
                <w:szCs w:val="20"/>
              </w:rPr>
              <w:t>$231.</w:t>
            </w:r>
            <w:r w:rsidR="00AD1D03">
              <w:rPr>
                <w:rFonts w:ascii="Times New Roman" w:hAnsi="Times New Roman" w:cs="Times New Roman"/>
                <w:b/>
                <w:color w:val="000000"/>
                <w:sz w:val="20"/>
                <w:szCs w:val="20"/>
              </w:rPr>
              <w:t>0</w:t>
            </w:r>
          </w:p>
        </w:tc>
        <w:tc>
          <w:tcPr>
            <w:tcW w:w="1260" w:type="dxa"/>
            <w:tcBorders>
              <w:bottom w:val="single" w:color="000000" w:sz="8" w:space="0"/>
            </w:tcBorders>
            <w:vAlign w:val="center"/>
          </w:tcPr>
          <w:p w:rsidRPr="00DB1152" w:rsidR="00D243A1" w:rsidP="00D243A1" w:rsidRDefault="00D243A1" w14:paraId="7ACF2B70" w14:textId="5105C484">
            <w:pPr>
              <w:spacing w:after="0" w:line="240" w:lineRule="auto"/>
              <w:ind w:right="201"/>
              <w:jc w:val="center"/>
              <w:rPr>
                <w:rFonts w:ascii="Times New Roman" w:hAnsi="Times New Roman" w:cs="Times New Roman"/>
                <w:b/>
                <w:sz w:val="20"/>
                <w:szCs w:val="20"/>
              </w:rPr>
            </w:pPr>
            <w:r w:rsidRPr="00DB1152">
              <w:rPr>
                <w:rFonts w:ascii="Times New Roman" w:hAnsi="Times New Roman" w:cs="Times New Roman"/>
                <w:b/>
                <w:color w:val="000000"/>
                <w:sz w:val="20"/>
                <w:szCs w:val="20"/>
              </w:rPr>
              <w:t>$23</w:t>
            </w:r>
            <w:r w:rsidR="00AD1D03">
              <w:rPr>
                <w:rFonts w:ascii="Times New Roman" w:hAnsi="Times New Roman" w:cs="Times New Roman"/>
                <w:b/>
                <w:color w:val="000000"/>
                <w:sz w:val="20"/>
                <w:szCs w:val="20"/>
              </w:rPr>
              <w:t>1</w:t>
            </w:r>
            <w:r w:rsidRPr="00DB1152">
              <w:rPr>
                <w:rFonts w:ascii="Times New Roman" w:hAnsi="Times New Roman" w:cs="Times New Roman"/>
                <w:b/>
                <w:color w:val="000000"/>
                <w:sz w:val="20"/>
                <w:szCs w:val="20"/>
              </w:rPr>
              <w:t>.</w:t>
            </w:r>
            <w:r w:rsidR="00AD1D03">
              <w:rPr>
                <w:rFonts w:ascii="Times New Roman" w:hAnsi="Times New Roman" w:cs="Times New Roman"/>
                <w:b/>
                <w:color w:val="000000"/>
                <w:sz w:val="20"/>
                <w:szCs w:val="20"/>
              </w:rPr>
              <w:t>9</w:t>
            </w:r>
          </w:p>
        </w:tc>
      </w:tr>
    </w:tbl>
    <w:p w:rsidR="0045400F" w:rsidP="00693892" w:rsidRDefault="00011DBC" w14:paraId="54A28CF4" w14:textId="3C827AA2">
      <w:pPr>
        <w:spacing w:after="0" w:line="240" w:lineRule="auto"/>
        <w:rPr>
          <w:rFonts w:ascii="Times New Roman" w:hAnsi="Times New Roman" w:cs="Times New Roman"/>
          <w:spacing w:val="4"/>
          <w:sz w:val="18"/>
          <w:szCs w:val="18"/>
        </w:rPr>
      </w:pPr>
      <w:r w:rsidRPr="001913D9">
        <w:rPr>
          <w:rFonts w:ascii="Times New Roman" w:hAnsi="Times New Roman" w:cs="Times New Roman"/>
          <w:sz w:val="18"/>
          <w:szCs w:val="18"/>
        </w:rPr>
        <w:t xml:space="preserve">     *</w:t>
      </w:r>
      <w:r w:rsidRPr="001913D9" w:rsidR="0045400F">
        <w:rPr>
          <w:rFonts w:ascii="Times New Roman" w:hAnsi="Times New Roman" w:cs="Times New Roman"/>
          <w:sz w:val="18"/>
          <w:szCs w:val="18"/>
        </w:rPr>
        <w:t xml:space="preserve">Totals may not </w:t>
      </w:r>
      <w:r w:rsidRPr="001913D9" w:rsidR="0045400F">
        <w:rPr>
          <w:rFonts w:ascii="Times New Roman" w:hAnsi="Times New Roman" w:cs="Times New Roman"/>
          <w:spacing w:val="5"/>
          <w:sz w:val="18"/>
          <w:szCs w:val="18"/>
        </w:rPr>
        <w:t xml:space="preserve">sum </w:t>
      </w:r>
      <w:r w:rsidRPr="001913D9" w:rsidR="0045400F">
        <w:rPr>
          <w:rFonts w:ascii="Times New Roman" w:hAnsi="Times New Roman" w:cs="Times New Roman"/>
          <w:sz w:val="18"/>
          <w:szCs w:val="18"/>
        </w:rPr>
        <w:t xml:space="preserve">due </w:t>
      </w:r>
      <w:r w:rsidRPr="001913D9" w:rsidR="0045400F">
        <w:rPr>
          <w:rFonts w:ascii="Times New Roman" w:hAnsi="Times New Roman" w:cs="Times New Roman"/>
          <w:spacing w:val="-3"/>
          <w:sz w:val="18"/>
          <w:szCs w:val="18"/>
        </w:rPr>
        <w:t>to</w:t>
      </w:r>
      <w:r w:rsidRPr="001913D9" w:rsidR="0045400F">
        <w:rPr>
          <w:rFonts w:ascii="Times New Roman" w:hAnsi="Times New Roman" w:cs="Times New Roman"/>
          <w:spacing w:val="-14"/>
          <w:sz w:val="18"/>
          <w:szCs w:val="18"/>
        </w:rPr>
        <w:t xml:space="preserve"> </w:t>
      </w:r>
      <w:r w:rsidRPr="001913D9" w:rsidR="0045400F">
        <w:rPr>
          <w:rFonts w:ascii="Times New Roman" w:hAnsi="Times New Roman" w:cs="Times New Roman"/>
          <w:spacing w:val="4"/>
          <w:sz w:val="18"/>
          <w:szCs w:val="18"/>
        </w:rPr>
        <w:t>rounding</w:t>
      </w:r>
      <w:r w:rsidRPr="001913D9">
        <w:rPr>
          <w:rFonts w:ascii="Times New Roman" w:hAnsi="Times New Roman" w:cs="Times New Roman"/>
          <w:spacing w:val="4"/>
          <w:sz w:val="18"/>
          <w:szCs w:val="18"/>
        </w:rPr>
        <w:t>.</w:t>
      </w:r>
    </w:p>
    <w:p w:rsidRPr="001913D9" w:rsidR="00DC4A54" w:rsidP="00693892" w:rsidRDefault="00DC4A54" w14:paraId="326AF67C" w14:textId="56085C9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 Totals are zero due to rounding, Unrounded totals are $</w:t>
      </w:r>
      <w:r w:rsidR="004368CF">
        <w:rPr>
          <w:rFonts w:ascii="Times New Roman" w:hAnsi="Times New Roman" w:cs="Times New Roman"/>
          <w:sz w:val="18"/>
          <w:szCs w:val="18"/>
        </w:rPr>
        <w:t>44,600</w:t>
      </w:r>
      <w:r>
        <w:rPr>
          <w:rFonts w:ascii="Times New Roman" w:hAnsi="Times New Roman" w:cs="Times New Roman"/>
          <w:sz w:val="18"/>
          <w:szCs w:val="18"/>
        </w:rPr>
        <w:t xml:space="preserve"> at 3% and </w:t>
      </w:r>
      <w:r w:rsidR="004368CF">
        <w:rPr>
          <w:rFonts w:ascii="Times New Roman" w:hAnsi="Times New Roman" w:cs="Times New Roman"/>
          <w:sz w:val="18"/>
          <w:szCs w:val="18"/>
        </w:rPr>
        <w:t xml:space="preserve">$52,200 at </w:t>
      </w:r>
      <w:r>
        <w:rPr>
          <w:rFonts w:ascii="Times New Roman" w:hAnsi="Times New Roman" w:cs="Times New Roman"/>
          <w:sz w:val="18"/>
          <w:szCs w:val="18"/>
        </w:rPr>
        <w:t>7% discount rates.</w:t>
      </w:r>
    </w:p>
    <w:p w:rsidRPr="00693892" w:rsidR="003E4928" w:rsidP="00693892" w:rsidRDefault="003E4928" w14:paraId="437BBB94" w14:textId="2DCCCC2A">
      <w:pPr>
        <w:spacing w:after="0" w:line="240" w:lineRule="auto"/>
        <w:ind w:firstLine="280"/>
        <w:rPr>
          <w:rFonts w:ascii="Times New Roman" w:hAnsi="Times New Roman" w:eastAsia="Calibri" w:cs="Times New Roman"/>
        </w:rPr>
      </w:pPr>
    </w:p>
    <w:p w:rsidR="00B41489" w:rsidP="00173F66" w:rsidRDefault="005B46C8" w14:paraId="2F8DD74A" w14:textId="497FBB04">
      <w:pPr>
        <w:rPr>
          <w:rFonts w:ascii="Times New Roman" w:hAnsi="Times New Roman" w:cs="Times New Roman"/>
        </w:rPr>
      </w:pPr>
      <w:r>
        <w:rPr>
          <w:rFonts w:ascii="Times New Roman" w:hAnsi="Times New Roman" w:eastAsia="Calibri" w:cs="Times New Roman"/>
        </w:rPr>
        <w:tab/>
      </w:r>
      <w:r w:rsidRPr="00173F66">
        <w:rPr>
          <w:rFonts w:ascii="Times New Roman" w:hAnsi="Times New Roman" w:eastAsia="Calibri" w:cs="Times New Roman"/>
        </w:rPr>
        <w:t>EPA also conducted breakeven analyses for the two reg</w:t>
      </w:r>
      <w:r w:rsidR="004368CF">
        <w:rPr>
          <w:rFonts w:ascii="Times New Roman" w:hAnsi="Times New Roman" w:eastAsia="Calibri" w:cs="Times New Roman"/>
        </w:rPr>
        <w:t>u</w:t>
      </w:r>
      <w:r w:rsidRPr="00173F66">
        <w:rPr>
          <w:rFonts w:ascii="Times New Roman" w:hAnsi="Times New Roman" w:eastAsia="Calibri" w:cs="Times New Roman"/>
        </w:rPr>
        <w:t>latory alternative</w:t>
      </w:r>
      <w:r w:rsidR="00173F66">
        <w:rPr>
          <w:rFonts w:ascii="Times New Roman" w:hAnsi="Times New Roman" w:eastAsia="Calibri" w:cs="Times New Roman"/>
        </w:rPr>
        <w:t>s to</w:t>
      </w:r>
      <w:r w:rsidRPr="001913D9" w:rsidR="00173F66">
        <w:rPr>
          <w:rFonts w:ascii="Times New Roman" w:hAnsi="Times New Roman" w:eastAsia="Times New Roman" w:cs="Times New Roman"/>
        </w:rPr>
        <w:t xml:space="preserve"> give a sense of the decline in </w:t>
      </w:r>
      <w:r w:rsidRPr="001913D9" w:rsidR="00173F66">
        <w:rPr>
          <w:rFonts w:ascii="Times New Roman" w:hAnsi="Times New Roman" w:cs="Times New Roman"/>
        </w:rPr>
        <w:t>damages from accidents that would be needed to equal, or offset, the estimated costs of the</w:t>
      </w:r>
      <w:r w:rsidR="00BA4403">
        <w:rPr>
          <w:rFonts w:ascii="Times New Roman" w:hAnsi="Times New Roman" w:cs="Times New Roman"/>
        </w:rPr>
        <w:t xml:space="preserve"> proposed</w:t>
      </w:r>
      <w:r w:rsidRPr="001913D9" w:rsidR="00173F66">
        <w:rPr>
          <w:rFonts w:ascii="Times New Roman" w:hAnsi="Times New Roman" w:cs="Times New Roman"/>
        </w:rPr>
        <w:t xml:space="preserve"> rule</w:t>
      </w:r>
      <w:r w:rsidR="00805D01">
        <w:rPr>
          <w:rFonts w:ascii="Times New Roman" w:hAnsi="Times New Roman" w:cs="Times New Roman"/>
        </w:rPr>
        <w:t xml:space="preserve"> under </w:t>
      </w:r>
      <w:r w:rsidR="006813FF">
        <w:rPr>
          <w:rFonts w:ascii="Times New Roman" w:hAnsi="Times New Roman" w:cs="Times New Roman"/>
        </w:rPr>
        <w:t xml:space="preserve">each </w:t>
      </w:r>
      <w:r w:rsidR="00805D01">
        <w:rPr>
          <w:rFonts w:ascii="Times New Roman" w:hAnsi="Times New Roman" w:cs="Times New Roman"/>
        </w:rPr>
        <w:t>alternative</w:t>
      </w:r>
      <w:r w:rsidRPr="001913D9" w:rsidR="00173F66">
        <w:rPr>
          <w:rFonts w:ascii="Times New Roman" w:hAnsi="Times New Roman" w:cs="Times New Roman"/>
        </w:rPr>
        <w:t>.</w:t>
      </w:r>
      <w:r w:rsidR="00805D01">
        <w:rPr>
          <w:rFonts w:ascii="Times New Roman" w:hAnsi="Times New Roman" w:cs="Times New Roman"/>
        </w:rPr>
        <w:t xml:space="preserve"> Under the </w:t>
      </w:r>
      <w:proofErr w:type="gramStart"/>
      <w:r w:rsidR="00805D01">
        <w:rPr>
          <w:rFonts w:ascii="Times New Roman" w:hAnsi="Times New Roman" w:cs="Times New Roman"/>
        </w:rPr>
        <w:t xml:space="preserve">low </w:t>
      </w:r>
      <w:r w:rsidR="00C95692">
        <w:rPr>
          <w:rFonts w:ascii="Times New Roman" w:hAnsi="Times New Roman" w:cs="Times New Roman"/>
        </w:rPr>
        <w:t>cost</w:t>
      </w:r>
      <w:proofErr w:type="gramEnd"/>
      <w:r w:rsidR="00C95692">
        <w:rPr>
          <w:rFonts w:ascii="Times New Roman" w:hAnsi="Times New Roman" w:cs="Times New Roman"/>
        </w:rPr>
        <w:t xml:space="preserve"> alternative</w:t>
      </w:r>
      <w:r w:rsidR="00736EB6">
        <w:rPr>
          <w:rFonts w:ascii="Times New Roman" w:hAnsi="Times New Roman" w:cs="Times New Roman"/>
        </w:rPr>
        <w:t xml:space="preserve">, </w:t>
      </w:r>
      <w:r w:rsidRPr="00821A95" w:rsidR="00736EB6">
        <w:rPr>
          <w:rFonts w:ascii="Times New Roman" w:hAnsi="Times New Roman" w:cs="Times New Roman"/>
        </w:rPr>
        <w:t>annualized costs are</w:t>
      </w:r>
      <w:r w:rsidRPr="00821A95" w:rsidR="00173F66">
        <w:rPr>
          <w:rFonts w:ascii="Times New Roman" w:hAnsi="Times New Roman" w:cs="Times New Roman"/>
        </w:rPr>
        <w:t xml:space="preserve"> </w:t>
      </w:r>
      <w:r w:rsidRPr="00D13293" w:rsidR="00173F66">
        <w:rPr>
          <w:rFonts w:ascii="Times New Roman" w:hAnsi="Times New Roman" w:cs="Times New Roman"/>
        </w:rPr>
        <w:t>approximately $</w:t>
      </w:r>
      <w:r w:rsidRPr="00D13293" w:rsidR="00805D01">
        <w:rPr>
          <w:rFonts w:ascii="Times New Roman" w:hAnsi="Times New Roman" w:cs="Times New Roman"/>
        </w:rPr>
        <w:t>71</w:t>
      </w:r>
      <w:r w:rsidRPr="00D13293" w:rsidR="00173F66">
        <w:rPr>
          <w:rFonts w:ascii="Times New Roman" w:hAnsi="Times New Roman" w:cs="Times New Roman"/>
        </w:rPr>
        <w:t xml:space="preserve"> </w:t>
      </w:r>
      <w:r w:rsidRPr="00D13293" w:rsidR="002B3DD4">
        <w:rPr>
          <w:rFonts w:ascii="Times New Roman" w:hAnsi="Times New Roman" w:cs="Times New Roman"/>
        </w:rPr>
        <w:t>or $7</w:t>
      </w:r>
      <w:r w:rsidRPr="00821A95" w:rsidR="002B3DD4">
        <w:rPr>
          <w:rFonts w:ascii="Times New Roman" w:hAnsi="Times New Roman" w:cs="Times New Roman"/>
        </w:rPr>
        <w:t xml:space="preserve">2 </w:t>
      </w:r>
      <w:r w:rsidRPr="00821A95" w:rsidR="00173F66">
        <w:rPr>
          <w:rFonts w:ascii="Times New Roman" w:hAnsi="Times New Roman" w:cs="Times New Roman"/>
        </w:rPr>
        <w:t xml:space="preserve">million </w:t>
      </w:r>
      <w:r w:rsidRPr="00821A95" w:rsidR="002B3DD4">
        <w:rPr>
          <w:rFonts w:ascii="Times New Roman" w:hAnsi="Times New Roman" w:cs="Times New Roman"/>
        </w:rPr>
        <w:t>at</w:t>
      </w:r>
      <w:r w:rsidRPr="00821A95" w:rsidR="004A3899">
        <w:rPr>
          <w:rFonts w:ascii="Times New Roman" w:hAnsi="Times New Roman" w:cs="Times New Roman"/>
        </w:rPr>
        <w:t xml:space="preserve"> discount rates of</w:t>
      </w:r>
      <w:r w:rsidRPr="00821A95" w:rsidR="002B3DD4">
        <w:rPr>
          <w:rFonts w:ascii="Times New Roman" w:hAnsi="Times New Roman" w:cs="Times New Roman"/>
        </w:rPr>
        <w:t xml:space="preserve"> 3% and 7% respectively, and</w:t>
      </w:r>
      <w:r w:rsidRPr="00821A95" w:rsidR="00736EB6">
        <w:rPr>
          <w:rFonts w:ascii="Times New Roman" w:hAnsi="Times New Roman" w:cs="Times New Roman"/>
        </w:rPr>
        <w:t xml:space="preserve"> annualized costs are</w:t>
      </w:r>
      <w:r w:rsidRPr="00821A95" w:rsidR="002B3DD4">
        <w:rPr>
          <w:rFonts w:ascii="Times New Roman" w:hAnsi="Times New Roman" w:cs="Times New Roman"/>
        </w:rPr>
        <w:t xml:space="preserve"> </w:t>
      </w:r>
      <w:r w:rsidRPr="00D13293" w:rsidR="002B3DD4">
        <w:rPr>
          <w:rFonts w:ascii="Times New Roman" w:hAnsi="Times New Roman" w:cs="Times New Roman"/>
        </w:rPr>
        <w:t>$231 or $232</w:t>
      </w:r>
      <w:r w:rsidRPr="00821A95" w:rsidR="002B3DD4">
        <w:rPr>
          <w:rFonts w:ascii="Times New Roman" w:hAnsi="Times New Roman" w:cs="Times New Roman"/>
        </w:rPr>
        <w:t xml:space="preserve"> million at 3% and 7% respectively for the high cost alternative</w:t>
      </w:r>
      <w:r w:rsidRPr="00821A95" w:rsidR="00173F66">
        <w:rPr>
          <w:rFonts w:ascii="Times New Roman" w:hAnsi="Times New Roman" w:cs="Times New Roman"/>
        </w:rPr>
        <w:t>.</w:t>
      </w:r>
      <w:r w:rsidRPr="00821A95" w:rsidR="00736EB6">
        <w:rPr>
          <w:rFonts w:ascii="Times New Roman" w:hAnsi="Times New Roman" w:cs="Times New Roman"/>
        </w:rPr>
        <w:t xml:space="preserve"> F</w:t>
      </w:r>
      <w:r w:rsidRPr="00821A95" w:rsidR="00173F66">
        <w:rPr>
          <w:rFonts w:ascii="Times New Roman" w:hAnsi="Times New Roman" w:cs="Times New Roman"/>
        </w:rPr>
        <w:t xml:space="preserve">or the proposed rule </w:t>
      </w:r>
      <w:r w:rsidRPr="00821A95" w:rsidR="002B3DD4">
        <w:rPr>
          <w:rFonts w:ascii="Times New Roman" w:hAnsi="Times New Roman" w:cs="Times New Roman"/>
        </w:rPr>
        <w:t xml:space="preserve">under the </w:t>
      </w:r>
      <w:proofErr w:type="gramStart"/>
      <w:r w:rsidRPr="00821A95" w:rsidR="002B3DD4">
        <w:rPr>
          <w:rFonts w:ascii="Times New Roman" w:hAnsi="Times New Roman" w:cs="Times New Roman"/>
        </w:rPr>
        <w:t>low cost</w:t>
      </w:r>
      <w:proofErr w:type="gramEnd"/>
      <w:r w:rsidRPr="00821A95" w:rsidR="002B3DD4">
        <w:rPr>
          <w:rFonts w:ascii="Times New Roman" w:hAnsi="Times New Roman" w:cs="Times New Roman"/>
        </w:rPr>
        <w:t xml:space="preserve"> regulatory alternative </w:t>
      </w:r>
      <w:r w:rsidRPr="00821A95" w:rsidR="00173F66">
        <w:rPr>
          <w:rFonts w:ascii="Times New Roman" w:hAnsi="Times New Roman" w:cs="Times New Roman"/>
        </w:rPr>
        <w:t xml:space="preserve">to breakeven on an annual basis given estimated annualized costs of approximately </w:t>
      </w:r>
      <w:r w:rsidRPr="00D13293" w:rsidR="00173F66">
        <w:rPr>
          <w:rFonts w:ascii="Times New Roman" w:hAnsi="Times New Roman" w:cs="Times New Roman"/>
        </w:rPr>
        <w:t>$</w:t>
      </w:r>
      <w:r w:rsidRPr="00821A95" w:rsidR="002B3DD4">
        <w:rPr>
          <w:rFonts w:ascii="Times New Roman" w:hAnsi="Times New Roman" w:cs="Times New Roman"/>
        </w:rPr>
        <w:t>71</w:t>
      </w:r>
      <w:r w:rsidRPr="00821A95" w:rsidR="00173F66">
        <w:rPr>
          <w:rFonts w:ascii="Times New Roman" w:hAnsi="Times New Roman" w:cs="Times New Roman"/>
        </w:rPr>
        <w:t xml:space="preserve"> million and an estimated number of annual accidents of about 100, approximately 1</w:t>
      </w:r>
      <w:r w:rsidRPr="00821A95" w:rsidR="00B41489">
        <w:rPr>
          <w:rFonts w:ascii="Times New Roman" w:hAnsi="Times New Roman" w:cs="Times New Roman"/>
        </w:rPr>
        <w:t>4</w:t>
      </w:r>
      <w:r w:rsidRPr="00821A95" w:rsidR="00173F66">
        <w:rPr>
          <w:rFonts w:ascii="Times New Roman" w:hAnsi="Times New Roman" w:cs="Times New Roman"/>
        </w:rPr>
        <w:t xml:space="preserve"> accidents per year, each with average monetized damages of approximately $5 million as estimated for the most recent five-year baseline period, would need to be prevented. </w:t>
      </w:r>
      <w:r w:rsidRPr="00821A95" w:rsidR="00B41489">
        <w:rPr>
          <w:rFonts w:ascii="Times New Roman" w:hAnsi="Times New Roman" w:cs="Times New Roman"/>
        </w:rPr>
        <w:t xml:space="preserve">For the proposed rule under the </w:t>
      </w:r>
      <w:proofErr w:type="gramStart"/>
      <w:r w:rsidRPr="00821A95" w:rsidR="00B41489">
        <w:rPr>
          <w:rFonts w:ascii="Times New Roman" w:hAnsi="Times New Roman" w:cs="Times New Roman"/>
        </w:rPr>
        <w:t>high cost</w:t>
      </w:r>
      <w:proofErr w:type="gramEnd"/>
      <w:r w:rsidRPr="00821A95" w:rsidR="00B41489">
        <w:rPr>
          <w:rFonts w:ascii="Times New Roman" w:hAnsi="Times New Roman" w:cs="Times New Roman"/>
        </w:rPr>
        <w:t xml:space="preserve"> regulatory alternative to breakeven on an annual basis given estimated annualized costs of approximately </w:t>
      </w:r>
      <w:r w:rsidRPr="00D13293" w:rsidR="00B41489">
        <w:rPr>
          <w:rFonts w:ascii="Times New Roman" w:hAnsi="Times New Roman" w:cs="Times New Roman"/>
        </w:rPr>
        <w:t>$231</w:t>
      </w:r>
      <w:r w:rsidRPr="00821A95" w:rsidR="00B41489">
        <w:rPr>
          <w:rFonts w:ascii="Times New Roman" w:hAnsi="Times New Roman" w:cs="Times New Roman"/>
        </w:rPr>
        <w:t xml:space="preserve"> million and an estimated number of annual accidents of about 100, approximately </w:t>
      </w:r>
      <w:r w:rsidRPr="00821A95" w:rsidR="00D9112C">
        <w:rPr>
          <w:rFonts w:ascii="Times New Roman" w:hAnsi="Times New Roman" w:cs="Times New Roman"/>
        </w:rPr>
        <w:t xml:space="preserve">46 </w:t>
      </w:r>
      <w:r w:rsidRPr="00821A95" w:rsidR="00B41489">
        <w:rPr>
          <w:rFonts w:ascii="Times New Roman" w:hAnsi="Times New Roman" w:cs="Times New Roman"/>
        </w:rPr>
        <w:t>accidents per year, each with average monetized damages of approximately $5 million as estimated</w:t>
      </w:r>
      <w:r w:rsidRPr="00EC39A8" w:rsidR="00B41489">
        <w:rPr>
          <w:rFonts w:ascii="Times New Roman" w:hAnsi="Times New Roman" w:cs="Times New Roman"/>
        </w:rPr>
        <w:t xml:space="preserve"> for the most recent five-year baseline period, would need to be prevented</w:t>
      </w:r>
      <w:r w:rsidR="00D9112C">
        <w:rPr>
          <w:rFonts w:ascii="Times New Roman" w:hAnsi="Times New Roman" w:cs="Times New Roman"/>
        </w:rPr>
        <w:t>.</w:t>
      </w:r>
      <w:r w:rsidR="00736EB6">
        <w:rPr>
          <w:rFonts w:ascii="Times New Roman" w:hAnsi="Times New Roman" w:cs="Times New Roman"/>
        </w:rPr>
        <w:t xml:space="preserve"> Keep in mind that EPA expects that </w:t>
      </w:r>
      <w:r w:rsidR="0085381F">
        <w:rPr>
          <w:rFonts w:ascii="Times New Roman" w:hAnsi="Times New Roman" w:cs="Times New Roman"/>
        </w:rPr>
        <w:t xml:space="preserve">that the number of accidents would increase with weakened provisions under the </w:t>
      </w:r>
      <w:proofErr w:type="gramStart"/>
      <w:r w:rsidR="0085381F">
        <w:rPr>
          <w:rFonts w:ascii="Times New Roman" w:hAnsi="Times New Roman" w:cs="Times New Roman"/>
        </w:rPr>
        <w:t>low cost</w:t>
      </w:r>
      <w:proofErr w:type="gramEnd"/>
      <w:r w:rsidR="0085381F">
        <w:rPr>
          <w:rFonts w:ascii="Times New Roman" w:hAnsi="Times New Roman" w:cs="Times New Roman"/>
        </w:rPr>
        <w:t xml:space="preserve"> alternative</w:t>
      </w:r>
      <w:r w:rsidR="00D0099F">
        <w:rPr>
          <w:rFonts w:ascii="Times New Roman" w:hAnsi="Times New Roman" w:cs="Times New Roman"/>
        </w:rPr>
        <w:t xml:space="preserve"> and would decrease with more stringent provisions under the high cost alternative</w:t>
      </w:r>
      <w:r w:rsidR="0085381F">
        <w:rPr>
          <w:rFonts w:ascii="Times New Roman" w:hAnsi="Times New Roman" w:cs="Times New Roman"/>
        </w:rPr>
        <w:t xml:space="preserve">. </w:t>
      </w:r>
    </w:p>
    <w:p w:rsidRPr="001913D9" w:rsidR="00173F66" w:rsidP="001913D9" w:rsidRDefault="00173F66" w14:paraId="0BA663C6" w14:textId="7BCF1665">
      <w:pPr>
        <w:ind w:firstLine="720"/>
        <w:rPr>
          <w:rFonts w:ascii="Times New Roman" w:hAnsi="Times New Roman" w:cs="Times New Roman"/>
        </w:rPr>
      </w:pPr>
      <w:r w:rsidRPr="001913D9">
        <w:rPr>
          <w:rFonts w:ascii="Times New Roman" w:hAnsi="Times New Roman" w:cs="Times New Roman"/>
        </w:rPr>
        <w:t>The number</w:t>
      </w:r>
      <w:r w:rsidR="00D9112C">
        <w:rPr>
          <w:rFonts w:ascii="Times New Roman" w:hAnsi="Times New Roman" w:cs="Times New Roman"/>
        </w:rPr>
        <w:t xml:space="preserve">s of prevented accidents </w:t>
      </w:r>
      <w:r w:rsidRPr="001913D9">
        <w:rPr>
          <w:rFonts w:ascii="Times New Roman" w:hAnsi="Times New Roman" w:cs="Times New Roman"/>
        </w:rPr>
        <w:t xml:space="preserve">would depend </w:t>
      </w:r>
      <w:r w:rsidR="003125F1">
        <w:rPr>
          <w:rFonts w:ascii="Times New Roman" w:hAnsi="Times New Roman" w:cs="Times New Roman"/>
        </w:rPr>
        <w:t xml:space="preserve">again </w:t>
      </w:r>
      <w:r w:rsidRPr="001913D9">
        <w:rPr>
          <w:rFonts w:ascii="Times New Roman" w:hAnsi="Times New Roman" w:cs="Times New Roman"/>
        </w:rPr>
        <w:t xml:space="preserve">on the value of the unquantified accident damages that would be avoided, including the value of avoided lost productivity, responder costs, transaction costs, negative impacts on property values, environmental damages, and damages related to catastrophic releases. </w:t>
      </w:r>
    </w:p>
    <w:p w:rsidRPr="00693892" w:rsidR="008C5B58" w:rsidP="00693892" w:rsidRDefault="008C5B58" w14:paraId="1C1B4C30" w14:textId="094E6C10">
      <w:pPr>
        <w:spacing w:after="0" w:line="240" w:lineRule="auto"/>
        <w:rPr>
          <w:rFonts w:ascii="Times New Roman" w:hAnsi="Times New Roman" w:eastAsia="Calibri" w:cs="Times New Roman"/>
        </w:rPr>
      </w:pPr>
      <w:r w:rsidRPr="00693892">
        <w:rPr>
          <w:rFonts w:ascii="Times New Roman" w:hAnsi="Times New Roman" w:eastAsia="Calibri" w:cs="Times New Roman"/>
        </w:rPr>
        <w:br w:type="page"/>
      </w:r>
    </w:p>
    <w:p w:rsidR="00673838" w:rsidP="00EF7D8A" w:rsidRDefault="0075046B" w14:paraId="1C82A5EC" w14:textId="29D8F379">
      <w:pPr>
        <w:pStyle w:val="Heading1"/>
      </w:pPr>
      <w:bookmarkStart w:name="_Toc110502768" w:id="144"/>
      <w:bookmarkStart w:name="_Toc98856238" w:id="145"/>
      <w:r w:rsidRPr="000617BC">
        <w:lastRenderedPageBreak/>
        <w:t>CHAPTER 8</w:t>
      </w:r>
      <w:r w:rsidR="00693892">
        <w:t>: Small Entity Analysis</w:t>
      </w:r>
      <w:bookmarkEnd w:id="144"/>
    </w:p>
    <w:bookmarkEnd w:id="145"/>
    <w:p w:rsidR="0075046B" w:rsidP="000E6E0F" w:rsidRDefault="00D726C0" w14:paraId="103AD8A3" w14:textId="2580C4FB">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The Regulatory Flexibility Act (RFA), as amended (5 U.S.C. 601-612), requires agencies to determine whether a rule will have a “significant economic impact on a substantial number of small entities.” The Small Business Administration (SBA) sets the standard for defining a small entity by 5 or 6-digit NAICS code, for businesses (13 CFR part 121); governments are considered small if they serve fewer than 50,000 residents.</w:t>
      </w:r>
      <w:r w:rsidRPr="00693892" w:rsidR="0075046B">
        <w:rPr>
          <w:rFonts w:ascii="Times New Roman" w:hAnsi="Times New Roman" w:cs="Times New Roman"/>
          <w:vertAlign w:val="superscript"/>
        </w:rPr>
        <w:footnoteReference w:id="90"/>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Although “significant economic impact” is not defined by either the RFA or SBA, EPA guidance provides example thresholds of one percent and three percent of revenues.</w:t>
      </w:r>
      <w:r w:rsidRPr="00693892" w:rsidR="0075046B">
        <w:rPr>
          <w:rFonts w:ascii="Times New Roman" w:hAnsi="Times New Roman" w:cs="Times New Roman"/>
          <w:vertAlign w:val="superscript"/>
        </w:rPr>
        <w:footnoteReference w:id="91"/>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This analysis, however, uses the more stringent one percent threshold because almost 30 percent of the small entities affected by the rule are agricultural chemical distributors; data from the Department of Agriculture indicates that net income in this sector is less than three percent of sales.</w:t>
      </w:r>
      <w:r w:rsidRPr="00693892" w:rsidR="0075046B">
        <w:rPr>
          <w:rFonts w:ascii="Times New Roman" w:hAnsi="Times New Roman" w:cs="Times New Roman"/>
          <w:vertAlign w:val="superscript"/>
        </w:rPr>
        <w:footnoteReference w:id="92"/>
      </w:r>
    </w:p>
    <w:p w:rsidR="00D726C0" w:rsidP="000E6E0F" w:rsidRDefault="00D726C0" w14:paraId="336B9572" w14:textId="67CF9855">
      <w:pPr>
        <w:spacing w:after="0" w:line="240" w:lineRule="auto"/>
        <w:ind w:firstLine="360"/>
        <w:rPr>
          <w:rFonts w:ascii="Times New Roman" w:hAnsi="Times New Roman" w:cs="Times New Roman"/>
        </w:rPr>
      </w:pPr>
    </w:p>
    <w:p w:rsidR="0075046B" w:rsidP="000E6E0F" w:rsidRDefault="00D726C0" w14:paraId="3E69070E" w14:textId="574DC607">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This chapter presents the analysis of impacts of the rule on small entities. The first section discusses the industrial sectors reported by RMP facilities. The second section describes the approach to determining how many facilities and firms subject to the rule are small based on SBA </w:t>
      </w:r>
      <w:r w:rsidR="0009150A">
        <w:rPr>
          <w:rFonts w:ascii="Times New Roman" w:hAnsi="Times New Roman" w:cs="Times New Roman"/>
        </w:rPr>
        <w:t xml:space="preserve">size </w:t>
      </w:r>
      <w:r w:rsidRPr="00693892" w:rsidR="0075046B">
        <w:rPr>
          <w:rFonts w:ascii="Times New Roman" w:hAnsi="Times New Roman" w:cs="Times New Roman"/>
        </w:rPr>
        <w:t xml:space="preserve">standards. The third section discusses the economic impacts of the rule on small entities. </w:t>
      </w:r>
    </w:p>
    <w:p w:rsidRPr="00693892" w:rsidR="000E6E0F" w:rsidP="000E6E0F" w:rsidRDefault="000E6E0F" w14:paraId="5296A9E5" w14:textId="77777777">
      <w:pPr>
        <w:spacing w:after="0" w:line="240" w:lineRule="auto"/>
        <w:ind w:firstLine="360"/>
        <w:rPr>
          <w:rFonts w:ascii="Times New Roman" w:hAnsi="Times New Roman" w:cs="Times New Roman"/>
        </w:rPr>
      </w:pPr>
    </w:p>
    <w:p w:rsidRPr="00693892" w:rsidR="0075046B" w:rsidP="00813745" w:rsidRDefault="0075046B" w14:paraId="5E407B87" w14:textId="77777777">
      <w:pPr>
        <w:pStyle w:val="Heading2"/>
      </w:pPr>
      <w:bookmarkStart w:name="_Toc98856239" w:id="146"/>
      <w:bookmarkStart w:name="_Toc110502769" w:id="147"/>
      <w:r w:rsidRPr="00693892">
        <w:t>8.1 RMP Affected Sectors</w:t>
      </w:r>
      <w:bookmarkEnd w:id="146"/>
      <w:bookmarkEnd w:id="147"/>
      <w:r w:rsidRPr="00693892">
        <w:t xml:space="preserve"> </w:t>
      </w:r>
    </w:p>
    <w:p w:rsidR="0075046B" w:rsidP="000E6E0F" w:rsidRDefault="00D726C0" w14:paraId="6ACFC2E8" w14:textId="0E42EE2D">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The RMP rule affects a broad range of sectors (296 separate NAICS codes are listed in RMP filings; 240 of these are associated with small entities). The primary sectors subject to the rule and the SBA size standards for defining a small parent entity are shown in Exhibit 8-1.</w:t>
      </w:r>
      <w:r w:rsidRPr="00693892" w:rsidR="00157AE0">
        <w:rPr>
          <w:rStyle w:val="FootnoteReference"/>
          <w:rFonts w:ascii="Times New Roman" w:hAnsi="Times New Roman" w:cs="Times New Roman"/>
        </w:rPr>
        <w:footnoteReference w:id="93"/>
      </w:r>
      <w:r w:rsidRPr="00693892" w:rsidR="0075046B">
        <w:rPr>
          <w:rFonts w:ascii="Times New Roman" w:hAnsi="Times New Roman" w:cs="Times New Roman"/>
        </w:rPr>
        <w:t xml:space="preserve"> A dollar value </w:t>
      </w:r>
      <w:r w:rsidR="0048729A">
        <w:rPr>
          <w:rFonts w:ascii="Times New Roman" w:hAnsi="Times New Roman" w:cs="Times New Roman"/>
        </w:rPr>
        <w:t xml:space="preserve">size </w:t>
      </w:r>
      <w:r w:rsidRPr="00693892" w:rsidR="0075046B">
        <w:rPr>
          <w:rFonts w:ascii="Times New Roman" w:hAnsi="Times New Roman" w:cs="Times New Roman"/>
        </w:rPr>
        <w:t xml:space="preserve">standard refers to firm revenues in millions; the full-time-equivalent employees applies to the firm’s total FTE, not the number at any one facility belonging to that entity. For governments, the </w:t>
      </w:r>
      <w:r w:rsidR="00F44EAB">
        <w:rPr>
          <w:rFonts w:ascii="Times New Roman" w:hAnsi="Times New Roman" w:cs="Times New Roman"/>
        </w:rPr>
        <w:t xml:space="preserve">size </w:t>
      </w:r>
      <w:r w:rsidRPr="00693892" w:rsidR="0075046B">
        <w:rPr>
          <w:rFonts w:ascii="Times New Roman" w:hAnsi="Times New Roman" w:cs="Times New Roman"/>
        </w:rPr>
        <w:t xml:space="preserve">standard is based on the population served by the government entity. The NAICS codes are presented at the 2- to 6-digit level based on whether the SBA </w:t>
      </w:r>
      <w:r w:rsidR="00F44EAB">
        <w:rPr>
          <w:rFonts w:ascii="Times New Roman" w:hAnsi="Times New Roman" w:cs="Times New Roman"/>
        </w:rPr>
        <w:t xml:space="preserve">size </w:t>
      </w:r>
      <w:r w:rsidRPr="00693892" w:rsidR="0075046B">
        <w:rPr>
          <w:rFonts w:ascii="Times New Roman" w:hAnsi="Times New Roman" w:cs="Times New Roman"/>
        </w:rPr>
        <w:t>standard varies for the 5- and 6-digit codes and whether there are a substantial number of RMP facilities in the sector.</w:t>
      </w:r>
      <w:r w:rsidRPr="00693892" w:rsidR="0075046B">
        <w:rPr>
          <w:rFonts w:ascii="Times New Roman" w:hAnsi="Times New Roman"/>
          <w:vertAlign w:val="superscript"/>
        </w:rPr>
        <w:footnoteReference w:id="94"/>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For example, the SBA size standard for the wholesale trade sector, NAICS 42, is the same across all codes (100 FTE</w:t>
      </w:r>
      <w:r w:rsidRPr="00693892" w:rsidR="002869F0">
        <w:rPr>
          <w:rFonts w:ascii="Times New Roman" w:hAnsi="Times New Roman" w:cs="Times New Roman"/>
        </w:rPr>
        <w:t>s</w:t>
      </w:r>
      <w:r w:rsidRPr="00693892" w:rsidR="0075046B">
        <w:rPr>
          <w:rFonts w:ascii="Times New Roman" w:hAnsi="Times New Roman" w:cs="Times New Roman"/>
        </w:rPr>
        <w:t>).</w:t>
      </w:r>
    </w:p>
    <w:p w:rsidRPr="00693892" w:rsidR="00693892" w:rsidP="00693892" w:rsidRDefault="00693892" w14:paraId="5591B64F" w14:textId="77777777">
      <w:pPr>
        <w:spacing w:after="0" w:line="240" w:lineRule="auto"/>
        <w:ind w:firstLine="720"/>
        <w:rPr>
          <w:rFonts w:ascii="Times New Roman" w:hAnsi="Times New Roman" w:cs="Times New Roman"/>
        </w:rPr>
      </w:pPr>
    </w:p>
    <w:p w:rsidRPr="00E92045" w:rsidR="00E92045" w:rsidP="00E92045" w:rsidRDefault="00E92045" w14:paraId="17A9D2E9" w14:textId="240B777A">
      <w:pPr>
        <w:pStyle w:val="Caption"/>
        <w:jc w:val="center"/>
        <w:rPr>
          <w:rFonts w:ascii="Times New Roman" w:hAnsi="Times New Roman" w:cs="Times New Roman"/>
          <w:b/>
          <w:bCs/>
          <w:i w:val="0"/>
          <w:iCs w:val="0"/>
          <w:color w:val="auto"/>
          <w:sz w:val="22"/>
          <w:szCs w:val="22"/>
        </w:rPr>
      </w:pPr>
      <w:r w:rsidRPr="00E92045">
        <w:rPr>
          <w:rFonts w:ascii="Times New Roman" w:hAnsi="Times New Roman" w:cs="Times New Roman"/>
          <w:b/>
          <w:bCs/>
          <w:i w:val="0"/>
          <w:iCs w:val="0"/>
          <w:color w:val="auto"/>
          <w:sz w:val="22"/>
          <w:szCs w:val="22"/>
        </w:rPr>
        <w:t xml:space="preserve">Exhibit 8-1: </w:t>
      </w:r>
      <w:r w:rsidR="00CD085F">
        <w:rPr>
          <w:rFonts w:ascii="Times New Roman" w:hAnsi="Times New Roman" w:cs="Times New Roman"/>
          <w:b/>
          <w:bCs/>
          <w:i w:val="0"/>
          <w:iCs w:val="0"/>
          <w:color w:val="auto"/>
          <w:sz w:val="22"/>
          <w:szCs w:val="22"/>
        </w:rPr>
        <w:t xml:space="preserve">SBA </w:t>
      </w:r>
      <w:r w:rsidRPr="00E92045">
        <w:rPr>
          <w:rFonts w:ascii="Times New Roman" w:hAnsi="Times New Roman" w:cs="Times New Roman"/>
          <w:b/>
          <w:bCs/>
          <w:i w:val="0"/>
          <w:iCs w:val="0"/>
          <w:color w:val="auto"/>
          <w:sz w:val="22"/>
          <w:szCs w:val="22"/>
        </w:rPr>
        <w:t>Industry Sector Small Entity Size Standard</w:t>
      </w:r>
      <w:r w:rsidR="0009150A">
        <w:rPr>
          <w:rFonts w:ascii="Times New Roman" w:hAnsi="Times New Roman" w:cs="Times New Roman"/>
          <w:b/>
          <w:bCs/>
          <w:i w:val="0"/>
          <w:iCs w:val="0"/>
          <w:color w:val="auto"/>
          <w:sz w:val="22"/>
          <w:szCs w:val="22"/>
        </w:rPr>
        <w:t>s</w:t>
      </w:r>
      <w:r>
        <w:rPr>
          <w:rFonts w:ascii="Times New Roman" w:hAnsi="Times New Roman" w:cs="Times New Roman"/>
          <w:b/>
          <w:bCs/>
          <w:i w:val="0"/>
          <w:iCs w:val="0"/>
          <w:color w:val="auto"/>
          <w:sz w:val="22"/>
          <w:szCs w:val="22"/>
        </w:rPr>
        <w:t>.</w:t>
      </w:r>
    </w:p>
    <w:tbl>
      <w:tblPr>
        <w:tblW w:w="4858" w:type="pct"/>
        <w:jc w:val="center"/>
        <w:tblLook w:val="04A0" w:firstRow="1" w:lastRow="0" w:firstColumn="1" w:lastColumn="0" w:noHBand="0" w:noVBand="1"/>
      </w:tblPr>
      <w:tblGrid>
        <w:gridCol w:w="1237"/>
        <w:gridCol w:w="5598"/>
        <w:gridCol w:w="2249"/>
      </w:tblGrid>
      <w:tr w:rsidRPr="00E92045" w:rsidR="00E92045" w:rsidTr="001B4BE1" w14:paraId="238ED787" w14:textId="77777777">
        <w:trPr>
          <w:trHeight w:val="312"/>
          <w:tblHeader/>
          <w:jc w:val="center"/>
        </w:trPr>
        <w:tc>
          <w:tcPr>
            <w:tcW w:w="681"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E92045" w:rsidR="00E92045" w:rsidP="00E92045" w:rsidRDefault="00E92045" w14:paraId="3A0C10F8"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b/>
                <w:bCs/>
                <w:color w:val="000000"/>
                <w:sz w:val="20"/>
                <w:szCs w:val="20"/>
              </w:rPr>
              <w:t>NAICS</w:t>
            </w:r>
          </w:p>
        </w:tc>
        <w:tc>
          <w:tcPr>
            <w:tcW w:w="3081" w:type="pct"/>
            <w:tcBorders>
              <w:top w:val="single" w:color="auto" w:sz="4" w:space="0"/>
              <w:left w:val="nil"/>
              <w:bottom w:val="single" w:color="auto" w:sz="4" w:space="0"/>
              <w:right w:val="single" w:color="auto" w:sz="4" w:space="0"/>
            </w:tcBorders>
            <w:shd w:val="clear" w:color="000000" w:fill="BFBFBF"/>
            <w:vAlign w:val="center"/>
            <w:hideMark/>
          </w:tcPr>
          <w:p w:rsidRPr="00E92045" w:rsidR="00E92045" w:rsidP="00E92045" w:rsidRDefault="00E92045" w14:paraId="7BF3CE29"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b/>
                <w:bCs/>
                <w:color w:val="000000"/>
                <w:sz w:val="20"/>
                <w:szCs w:val="20"/>
              </w:rPr>
              <w:t>Sector</w:t>
            </w:r>
          </w:p>
        </w:tc>
        <w:tc>
          <w:tcPr>
            <w:tcW w:w="1238" w:type="pct"/>
            <w:tcBorders>
              <w:top w:val="single" w:color="auto" w:sz="4" w:space="0"/>
              <w:left w:val="nil"/>
              <w:bottom w:val="single" w:color="auto" w:sz="4" w:space="0"/>
              <w:right w:val="single" w:color="auto" w:sz="4" w:space="0"/>
            </w:tcBorders>
            <w:shd w:val="clear" w:color="000000" w:fill="BFBFBF"/>
            <w:vAlign w:val="center"/>
            <w:hideMark/>
          </w:tcPr>
          <w:p w:rsidRPr="00E92045" w:rsidR="00E92045" w:rsidP="00E92045" w:rsidRDefault="00E92045" w14:paraId="5338F374"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b/>
                <w:bCs/>
                <w:color w:val="000000"/>
                <w:sz w:val="20"/>
                <w:szCs w:val="20"/>
              </w:rPr>
              <w:t>Size</w:t>
            </w:r>
          </w:p>
          <w:p w:rsidRPr="00E92045" w:rsidR="00E92045" w:rsidP="00E92045" w:rsidRDefault="00E92045" w14:paraId="4AE08D05"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b/>
                <w:bCs/>
                <w:color w:val="000000"/>
                <w:sz w:val="20"/>
                <w:szCs w:val="20"/>
              </w:rPr>
              <w:t>Standard</w:t>
            </w:r>
          </w:p>
        </w:tc>
      </w:tr>
      <w:tr w:rsidRPr="00E92045" w:rsidR="00E92045" w:rsidTr="001B4BE1" w14:paraId="368690D7"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9EF204C"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color w:val="000000"/>
                <w:sz w:val="20"/>
                <w:szCs w:val="20"/>
              </w:rPr>
              <w:t>111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5B6DDAD" w14:textId="77777777">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color w:val="000000"/>
                <w:sz w:val="20"/>
                <w:szCs w:val="20"/>
              </w:rPr>
              <w:t>Crop Production</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362F60F" w14:textId="26F057C2">
            <w:pPr>
              <w:spacing w:after="0" w:line="240" w:lineRule="auto"/>
              <w:rPr>
                <w:rFonts w:ascii="Times New Roman" w:hAnsi="Times New Roman" w:eastAsia="Times New Roman" w:cs="Times New Roman"/>
                <w:b/>
                <w:bCs/>
                <w:color w:val="000000"/>
                <w:sz w:val="20"/>
                <w:szCs w:val="20"/>
              </w:rPr>
            </w:pPr>
            <w:r w:rsidRPr="00E92045">
              <w:rPr>
                <w:rFonts w:ascii="Times New Roman" w:hAnsi="Times New Roman" w:eastAsia="Times New Roman" w:cs="Times New Roman"/>
                <w:color w:val="000000"/>
                <w:sz w:val="20"/>
                <w:szCs w:val="20"/>
              </w:rPr>
              <w:t>$0.75</w:t>
            </w:r>
            <w:r w:rsidR="0009150A">
              <w:rPr>
                <w:rFonts w:ascii="Times New Roman" w:hAnsi="Times New Roman" w:eastAsia="Times New Roman" w:cs="Times New Roman"/>
                <w:color w:val="000000"/>
                <w:sz w:val="20"/>
                <w:szCs w:val="20"/>
              </w:rPr>
              <w:t xml:space="preserve"> </w:t>
            </w:r>
            <w:r w:rsidRPr="00E92045">
              <w:rPr>
                <w:rFonts w:ascii="Times New Roman" w:hAnsi="Times New Roman" w:eastAsia="Times New Roman" w:cs="Times New Roman"/>
                <w:color w:val="000000"/>
                <w:sz w:val="20"/>
                <w:szCs w:val="20"/>
              </w:rPr>
              <w:t>m</w:t>
            </w:r>
            <w:r w:rsidR="0009150A">
              <w:rPr>
                <w:rFonts w:ascii="Times New Roman" w:hAnsi="Times New Roman" w:eastAsia="Times New Roman" w:cs="Times New Roman"/>
                <w:color w:val="000000"/>
                <w:sz w:val="20"/>
                <w:szCs w:val="20"/>
              </w:rPr>
              <w:t>illion</w:t>
            </w:r>
          </w:p>
        </w:tc>
      </w:tr>
      <w:tr w:rsidRPr="00E92045" w:rsidR="00E92045" w:rsidTr="001B4BE1" w14:paraId="109958F1"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36F577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112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17AE4B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Animal Production and Aquaculture</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2A43531" w14:textId="43C42E65">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$0.75 -$15</w:t>
            </w:r>
            <w:r w:rsidR="0009150A">
              <w:rPr>
                <w:rFonts w:ascii="Times New Roman" w:hAnsi="Times New Roman" w:eastAsia="Times New Roman" w:cs="Times New Roman"/>
                <w:color w:val="000000"/>
                <w:sz w:val="20"/>
                <w:szCs w:val="20"/>
              </w:rPr>
              <w:t xml:space="preserve"> </w:t>
            </w:r>
            <w:r w:rsidRPr="00E92045" w:rsidR="0009150A">
              <w:rPr>
                <w:rFonts w:ascii="Times New Roman" w:hAnsi="Times New Roman" w:eastAsia="Times New Roman" w:cs="Times New Roman"/>
                <w:color w:val="000000"/>
                <w:sz w:val="20"/>
                <w:szCs w:val="20"/>
              </w:rPr>
              <w:t>m</w:t>
            </w:r>
            <w:r w:rsidR="0009150A">
              <w:rPr>
                <w:rFonts w:ascii="Times New Roman" w:hAnsi="Times New Roman" w:eastAsia="Times New Roman" w:cs="Times New Roman"/>
                <w:color w:val="000000"/>
                <w:sz w:val="20"/>
                <w:szCs w:val="20"/>
              </w:rPr>
              <w:t>illion</w:t>
            </w:r>
          </w:p>
        </w:tc>
      </w:tr>
      <w:tr w:rsidRPr="00E92045" w:rsidR="00E92045" w:rsidTr="001B4BE1" w14:paraId="0FBA5307"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5F5DB9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115</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3F6C32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Support Activities for Agriculture and Forestry</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CA92341" w14:textId="51018E7D">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$7.5 - $27.5</w:t>
            </w:r>
            <w:r w:rsidR="0009150A">
              <w:rPr>
                <w:rFonts w:ascii="Times New Roman" w:hAnsi="Times New Roman" w:eastAsia="Times New Roman" w:cs="Times New Roman"/>
                <w:color w:val="000000"/>
                <w:sz w:val="20"/>
                <w:szCs w:val="20"/>
              </w:rPr>
              <w:t xml:space="preserve"> </w:t>
            </w:r>
            <w:r w:rsidRPr="00E92045" w:rsidR="0009150A">
              <w:rPr>
                <w:rFonts w:ascii="Times New Roman" w:hAnsi="Times New Roman" w:eastAsia="Times New Roman" w:cs="Times New Roman"/>
                <w:color w:val="000000"/>
                <w:sz w:val="20"/>
                <w:szCs w:val="20"/>
              </w:rPr>
              <w:t>m</w:t>
            </w:r>
            <w:r w:rsidR="0009150A">
              <w:rPr>
                <w:rFonts w:ascii="Times New Roman" w:hAnsi="Times New Roman" w:eastAsia="Times New Roman" w:cs="Times New Roman"/>
                <w:color w:val="000000"/>
                <w:sz w:val="20"/>
                <w:szCs w:val="20"/>
              </w:rPr>
              <w:t>illion</w:t>
            </w:r>
          </w:p>
        </w:tc>
      </w:tr>
      <w:tr w:rsidRPr="00E92045" w:rsidR="00E92045" w:rsidTr="001B4BE1" w14:paraId="69D818A6"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7A0FE1EC"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211111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E5B054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Crude Petroleum and Natural Gas Extraction</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4E6806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1,250 FTE</w:t>
            </w:r>
          </w:p>
        </w:tc>
      </w:tr>
      <w:tr w:rsidRPr="00E92045" w:rsidR="00E92045" w:rsidTr="001B4BE1" w14:paraId="35AB42DC"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22368B7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221112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1915B67"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Fossil Fuel Electric Power Generation</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06C4BF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FTE</w:t>
            </w:r>
          </w:p>
        </w:tc>
      </w:tr>
      <w:tr w:rsidRPr="00E92045" w:rsidR="00E92045" w:rsidTr="001B4BE1" w14:paraId="0FD34574"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0630BCA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22131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6C123A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Water Supply and Irrigation Systems</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A80F212" w14:textId="1B113C5E">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$27.5</w:t>
            </w:r>
            <w:r w:rsidR="0009150A">
              <w:rPr>
                <w:rFonts w:ascii="Times New Roman" w:hAnsi="Times New Roman" w:eastAsia="Times New Roman" w:cs="Times New Roman"/>
                <w:color w:val="000000"/>
                <w:sz w:val="20"/>
                <w:szCs w:val="20"/>
              </w:rPr>
              <w:t xml:space="preserve"> </w:t>
            </w:r>
            <w:r w:rsidRPr="00E92045" w:rsidR="0009150A">
              <w:rPr>
                <w:rFonts w:ascii="Times New Roman" w:hAnsi="Times New Roman" w:eastAsia="Times New Roman" w:cs="Times New Roman"/>
                <w:color w:val="000000"/>
                <w:sz w:val="20"/>
                <w:szCs w:val="20"/>
              </w:rPr>
              <w:t>m</w:t>
            </w:r>
            <w:r w:rsidR="0009150A">
              <w:rPr>
                <w:rFonts w:ascii="Times New Roman" w:hAnsi="Times New Roman" w:eastAsia="Times New Roman" w:cs="Times New Roman"/>
                <w:color w:val="000000"/>
                <w:sz w:val="20"/>
                <w:szCs w:val="20"/>
              </w:rPr>
              <w:t>illion</w:t>
            </w:r>
          </w:p>
        </w:tc>
      </w:tr>
      <w:tr w:rsidRPr="00E92045" w:rsidR="00E92045" w:rsidTr="001B4BE1" w14:paraId="4CF39EEF"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71C2D5C"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22132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F05016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Sewage Treatment Facilities</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E14BF17" w14:textId="33539BEA">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$20.5</w:t>
            </w:r>
            <w:r w:rsidR="0009150A">
              <w:rPr>
                <w:rFonts w:ascii="Times New Roman" w:hAnsi="Times New Roman" w:eastAsia="Times New Roman" w:cs="Times New Roman"/>
                <w:color w:val="000000"/>
                <w:sz w:val="20"/>
                <w:szCs w:val="20"/>
              </w:rPr>
              <w:t xml:space="preserve"> </w:t>
            </w:r>
            <w:r w:rsidRPr="00E92045" w:rsidR="0009150A">
              <w:rPr>
                <w:rFonts w:ascii="Times New Roman" w:hAnsi="Times New Roman" w:eastAsia="Times New Roman" w:cs="Times New Roman"/>
                <w:color w:val="000000"/>
                <w:sz w:val="20"/>
                <w:szCs w:val="20"/>
              </w:rPr>
              <w:t>m</w:t>
            </w:r>
            <w:r w:rsidR="0009150A">
              <w:rPr>
                <w:rFonts w:ascii="Times New Roman" w:hAnsi="Times New Roman" w:eastAsia="Times New Roman" w:cs="Times New Roman"/>
                <w:color w:val="000000"/>
                <w:sz w:val="20"/>
                <w:szCs w:val="20"/>
              </w:rPr>
              <w:t>illion</w:t>
            </w:r>
          </w:p>
        </w:tc>
      </w:tr>
      <w:tr w:rsidRPr="00E92045" w:rsidR="00E92045" w:rsidTr="001B4BE1" w14:paraId="0FACE573"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9251EE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lastRenderedPageBreak/>
              <w:t>3111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01F42D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Animal Food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A54BB9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500 - 1,000 FTE</w:t>
            </w:r>
          </w:p>
        </w:tc>
      </w:tr>
      <w:tr w:rsidRPr="00E92045" w:rsidR="00E92045" w:rsidTr="001B4BE1" w14:paraId="3EC158BE"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76EB279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65AE29D"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Grain and Oilseed Milling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7B4663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500 - 1,000 FTE</w:t>
            </w:r>
          </w:p>
        </w:tc>
      </w:tr>
      <w:tr w:rsidRPr="00E92045" w:rsidR="00E92045" w:rsidTr="001B4BE1" w14:paraId="6FAE1433"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1A763CE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3113</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50C2A0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Sugar and Confectionery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EB48DB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45B9EB22"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0449DDA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3114</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0C8B2D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Fruit and Vegetable Preserving and Specialty Food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E80FEC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6956C16E"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087E59F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3115</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24DE757"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Dairy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1B0DE8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5446AC2A"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40477C9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3116</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184833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Animal Slaughtering and Processing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3AA388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50BF5826"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647B867"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3117</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87A058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Seafood Product Preparation and Packaging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C33227F"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FTE</w:t>
            </w:r>
          </w:p>
        </w:tc>
      </w:tr>
      <w:tr w:rsidRPr="00E92045" w:rsidR="00E92045" w:rsidTr="001B4BE1" w14:paraId="295E7EBF"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57A586F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3118</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4369CED"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Bakeries and Tortilla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E2EED9D"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44559D8F"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29312FA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3119</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EFD80A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Other Food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E3CFA2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57C0C328"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238A464D"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3121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AB7B92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Beverage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54734C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25A492D2"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190BC1F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31C811C"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Paper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791F65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500 - 1,500 FTE</w:t>
            </w:r>
          </w:p>
        </w:tc>
      </w:tr>
      <w:tr w:rsidRPr="00E92045" w:rsidR="00E92045" w:rsidTr="001B4BE1" w14:paraId="27543D80"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5A137A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32411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4E04EA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Petroleum Refineries</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C35CF0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1,500 FTE</w:t>
            </w:r>
          </w:p>
        </w:tc>
      </w:tr>
      <w:tr w:rsidRPr="00E92045" w:rsidR="00E92045" w:rsidTr="001B4BE1" w14:paraId="1A48F590"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5C817F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3254</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84B341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Pharmaceutical and Medicine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81B4C4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1,000 - 1,250 FTE</w:t>
            </w:r>
          </w:p>
        </w:tc>
      </w:tr>
      <w:tr w:rsidRPr="00E92045" w:rsidR="00E92045" w:rsidTr="001B4BE1" w14:paraId="2F56F57C"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7C0165A2"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3255</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CA4ED4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Paint, Coating, and Adhesive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E2F157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500 - 1,000 FTE</w:t>
            </w:r>
          </w:p>
        </w:tc>
      </w:tr>
      <w:tr w:rsidRPr="00E92045" w:rsidR="00E92045" w:rsidTr="001B4BE1" w14:paraId="557ACE47"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614509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3256</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4639F32"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Soap, Cleaning Compound, and Toilet Preparation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CDF16CF"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750 - 1,250 FTE</w:t>
            </w:r>
          </w:p>
        </w:tc>
      </w:tr>
      <w:tr w:rsidRPr="00E92045" w:rsidR="00E92045" w:rsidTr="001B4BE1" w14:paraId="550C0E2B"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34853C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3259</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8C2FF4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Other Chemical Product and Preparation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BC7A4D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500 - 1,500 FTE</w:t>
            </w:r>
          </w:p>
        </w:tc>
      </w:tr>
      <w:tr w:rsidRPr="00E92045" w:rsidR="00E92045" w:rsidTr="001B4BE1" w14:paraId="29CD619E"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4A8872B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326</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FA4DFC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Plastics and Rubber Products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232A536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500 - 1,250 FTE</w:t>
            </w:r>
          </w:p>
        </w:tc>
      </w:tr>
      <w:tr w:rsidRPr="00E92045" w:rsidR="00E92045" w:rsidTr="001B4BE1" w14:paraId="24E9C9C5"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4726B8C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327</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38B5D9F"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Nonmetallic Mineral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493608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500 - 1,250 FTE</w:t>
            </w:r>
          </w:p>
        </w:tc>
      </w:tr>
      <w:tr w:rsidRPr="00E92045" w:rsidR="00E92045" w:rsidTr="001B4BE1" w14:paraId="2DCEC02D"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7EE580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DB470C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Primary Metal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E57EA9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500 - 1,250 FTE</w:t>
            </w:r>
          </w:p>
        </w:tc>
      </w:tr>
      <w:tr w:rsidRPr="00E92045" w:rsidR="00E92045" w:rsidTr="001B4BE1" w14:paraId="7C62ED7E"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FAF4FB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39229B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Fabricated Metal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9577CFF"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500 - 1,500 FTE</w:t>
            </w:r>
          </w:p>
        </w:tc>
      </w:tr>
      <w:tr w:rsidRPr="00E92045" w:rsidR="00E92045" w:rsidTr="001B4BE1" w14:paraId="7C4D71B2"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7A3DF71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333</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63CA14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Machinery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F048AC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500 - 1,500 FTE</w:t>
            </w:r>
          </w:p>
        </w:tc>
      </w:tr>
      <w:tr w:rsidRPr="00E92045" w:rsidR="00E92045" w:rsidTr="001B4BE1" w14:paraId="7B0B36DC"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420FC5B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334</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22076F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Computer and Electronic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2809CC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500 - 1,250 FTE</w:t>
            </w:r>
          </w:p>
        </w:tc>
      </w:tr>
      <w:tr w:rsidRPr="00E92045" w:rsidR="00E92045" w:rsidTr="001B4BE1" w14:paraId="47E71C59"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78449B7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335</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B0C3243"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Electrical Equipment, Appliance, and Component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1DF12A0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500 - 1,500 FTE</w:t>
            </w:r>
          </w:p>
        </w:tc>
      </w:tr>
      <w:tr w:rsidRPr="00E92045" w:rsidR="00E92045" w:rsidTr="001B4BE1" w14:paraId="286DEE28"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0837643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336</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00B67D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Transportation Equipment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09AA9B8"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1,000 - 1,500 FTE</w:t>
            </w:r>
          </w:p>
        </w:tc>
      </w:tr>
      <w:tr w:rsidRPr="00E92045" w:rsidR="00E92045" w:rsidTr="001B4BE1" w14:paraId="1D7997CA"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1C56471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337</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34F290BB"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Furniture and Related Product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8A71911"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500 - 1,000 FTE</w:t>
            </w:r>
          </w:p>
        </w:tc>
      </w:tr>
      <w:tr w:rsidRPr="00E92045" w:rsidR="00E92045" w:rsidTr="001B4BE1" w14:paraId="44C366A8"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5CC0E87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339</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6FA2ED07"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Miscellaneous Manufacturing</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86C108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500 - 1,000 FTE</w:t>
            </w:r>
          </w:p>
        </w:tc>
      </w:tr>
      <w:tr w:rsidRPr="00E92045" w:rsidR="00E92045" w:rsidTr="001B4BE1" w14:paraId="42F9344E"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174623C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8D786F2"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Wholesale Trade</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F60E33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100 - 150 FTE</w:t>
            </w:r>
          </w:p>
        </w:tc>
      </w:tr>
      <w:tr w:rsidRPr="00E92045" w:rsidR="00E92045" w:rsidTr="001B4BE1" w14:paraId="6622306A"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6D587C42"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44422</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6A3EDB4"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Nursery, Garden Center, and Farm Supply Stores</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9E30AC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$11m</w:t>
            </w:r>
          </w:p>
        </w:tc>
      </w:tr>
      <w:tr w:rsidRPr="00E92045" w:rsidR="00E92045" w:rsidTr="001B4BE1" w14:paraId="1EA174D3"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48A8397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45431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78B12D5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Fuel Dealers</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4026769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100 FTE</w:t>
            </w:r>
          </w:p>
        </w:tc>
      </w:tr>
      <w:tr w:rsidRPr="00E92045" w:rsidR="00E92045" w:rsidTr="001B4BE1" w14:paraId="72A27D3F"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330B8BEF"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48691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5D041C0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Pipeline Transportation of Refined Product</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1B407F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1,500 FTE</w:t>
            </w:r>
          </w:p>
        </w:tc>
      </w:tr>
      <w:tr w:rsidRPr="00E92045" w:rsidR="00E92045" w:rsidTr="001B4BE1" w14:paraId="6C5E040F" w14:textId="77777777">
        <w:trPr>
          <w:trHeight w:val="312"/>
          <w:jc w:val="center"/>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E92045" w:rsidR="00E92045" w:rsidP="00E92045" w:rsidRDefault="00E92045" w14:paraId="5EABD705"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48821</w:t>
            </w:r>
          </w:p>
        </w:tc>
        <w:tc>
          <w:tcPr>
            <w:tcW w:w="3081"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164B26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Support Activities for Rail Transportation</w:t>
            </w:r>
          </w:p>
        </w:tc>
        <w:tc>
          <w:tcPr>
            <w:tcW w:w="1238" w:type="pct"/>
            <w:tcBorders>
              <w:top w:val="single" w:color="auto" w:sz="4" w:space="0"/>
              <w:left w:val="nil"/>
              <w:bottom w:val="single" w:color="auto" w:sz="4" w:space="0"/>
              <w:right w:val="single" w:color="auto" w:sz="4" w:space="0"/>
            </w:tcBorders>
            <w:shd w:val="clear" w:color="auto" w:fill="auto"/>
            <w:vAlign w:val="center"/>
          </w:tcPr>
          <w:p w:rsidRPr="00E92045" w:rsidR="00E92045" w:rsidP="00E92045" w:rsidRDefault="00E92045" w14:paraId="0F1D2696"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$15m</w:t>
            </w:r>
          </w:p>
        </w:tc>
      </w:tr>
    </w:tbl>
    <w:p w:rsidRPr="00C41D0C" w:rsidR="0075046B" w:rsidP="00E92045" w:rsidRDefault="0075046B" w14:paraId="23EB1671" w14:textId="77777777">
      <w:pPr>
        <w:keepNext/>
        <w:rPr>
          <w:rFonts w:ascii="Times New Roman" w:hAnsi="Times New Roman" w:cs="Times New Roman"/>
          <w:b/>
          <w:sz w:val="24"/>
          <w:szCs w:val="24"/>
        </w:rPr>
      </w:pPr>
    </w:p>
    <w:p w:rsidRPr="00693892" w:rsidR="0075046B" w:rsidP="00813745" w:rsidRDefault="0075046B" w14:paraId="2A15967D" w14:textId="77777777">
      <w:pPr>
        <w:pStyle w:val="Heading2"/>
      </w:pPr>
      <w:bookmarkStart w:name="_Toc98856240" w:id="148"/>
      <w:bookmarkStart w:name="_Toc110502770" w:id="149"/>
      <w:r w:rsidRPr="00693892">
        <w:t>8.2 Estimating the Number of Small Entities</w:t>
      </w:r>
      <w:bookmarkEnd w:id="148"/>
      <w:bookmarkEnd w:id="149"/>
      <w:r w:rsidRPr="00693892">
        <w:t xml:space="preserve"> </w:t>
      </w:r>
    </w:p>
    <w:p w:rsidR="0075046B" w:rsidP="000E6E0F" w:rsidRDefault="00D726C0" w14:paraId="193AF5CE" w14:textId="1E5DC307">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This analysis of small entities is based on a unique list of entities associated with the current universe of RMP regulated facilities. To create the unique list, EPA relied on (1) data from Data Axle, a business data provider, which indicated the company name or parent company name based on facility addresses, and (2) parent company names from the RMP </w:t>
      </w:r>
      <w:r w:rsidRPr="00693892" w:rsidR="005752DC">
        <w:rPr>
          <w:rFonts w:ascii="Times New Roman" w:hAnsi="Times New Roman" w:cs="Times New Roman"/>
        </w:rPr>
        <w:t>D</w:t>
      </w:r>
      <w:r w:rsidRPr="00693892" w:rsidR="0075046B">
        <w:rPr>
          <w:rFonts w:ascii="Times New Roman" w:hAnsi="Times New Roman" w:cs="Times New Roman"/>
        </w:rPr>
        <w:t xml:space="preserve">atabase. The RMP </w:t>
      </w:r>
      <w:r w:rsidRPr="00693892" w:rsidR="005752DC">
        <w:rPr>
          <w:rFonts w:ascii="Times New Roman" w:hAnsi="Times New Roman" w:cs="Times New Roman"/>
        </w:rPr>
        <w:t>D</w:t>
      </w:r>
      <w:r w:rsidRPr="00693892" w:rsidR="0075046B">
        <w:rPr>
          <w:rFonts w:ascii="Times New Roman" w:hAnsi="Times New Roman" w:cs="Times New Roman"/>
        </w:rPr>
        <w:t>atabase provides facility</w:t>
      </w:r>
      <w:r w:rsidRPr="00693892" w:rsidR="0071214C">
        <w:rPr>
          <w:rFonts w:ascii="Times New Roman" w:hAnsi="Times New Roman" w:cs="Times New Roman"/>
        </w:rPr>
        <w:t>-</w:t>
      </w:r>
      <w:r w:rsidRPr="00693892" w:rsidR="0075046B">
        <w:rPr>
          <w:rFonts w:ascii="Times New Roman" w:hAnsi="Times New Roman" w:cs="Times New Roman"/>
        </w:rPr>
        <w:t>level counts of employees and NAICS codes for processes within the facility; however</w:t>
      </w:r>
      <w:r w:rsidRPr="00693892" w:rsidR="00FD7604">
        <w:rPr>
          <w:rFonts w:ascii="Times New Roman" w:hAnsi="Times New Roman" w:cs="Times New Roman"/>
        </w:rPr>
        <w:t>,</w:t>
      </w:r>
      <w:r w:rsidRPr="00693892" w:rsidR="0075046B">
        <w:rPr>
          <w:rFonts w:ascii="Times New Roman" w:hAnsi="Times New Roman" w:cs="Times New Roman"/>
        </w:rPr>
        <w:t xml:space="preserve"> the small entity </w:t>
      </w:r>
      <w:r w:rsidRPr="00693892" w:rsidR="0075046B">
        <w:rPr>
          <w:rFonts w:ascii="Times New Roman" w:hAnsi="Times New Roman" w:cs="Times New Roman"/>
        </w:rPr>
        <w:lastRenderedPageBreak/>
        <w:t xml:space="preserve">classification requires data on all employees, or revenue for sectors with a revenue </w:t>
      </w:r>
      <w:r w:rsidR="00F44EAB">
        <w:rPr>
          <w:rFonts w:ascii="Times New Roman" w:hAnsi="Times New Roman" w:cs="Times New Roman"/>
        </w:rPr>
        <w:t xml:space="preserve">size </w:t>
      </w:r>
      <w:r w:rsidRPr="00693892" w:rsidR="0075046B">
        <w:rPr>
          <w:rFonts w:ascii="Times New Roman" w:hAnsi="Times New Roman" w:cs="Times New Roman"/>
        </w:rPr>
        <w:t xml:space="preserve">standard, across all locations owned by the entity or entity’s parent company. In addition, the appropriate NAICS code for the small entity analysis is not necessarily the NAICS associated with the RMP process, but the one associated with the largest source of revenue for the entity or parent company. Therefore, for each unique business EPA retrieved data from Data Axle on the revenue, NAICS code, and employee count for each entity, parent company, or corporate entity as appropriate. A summary of the number of facilities, the number of unique entities, the breakdown of private sector and government entities, and their size classifications is provided in Exhibit 8-2. </w:t>
      </w:r>
    </w:p>
    <w:p w:rsidRPr="00693892" w:rsidR="0079245C" w:rsidP="000E6E0F" w:rsidRDefault="0079245C" w14:paraId="16E1C8B8" w14:textId="77777777">
      <w:pPr>
        <w:spacing w:after="0" w:line="240" w:lineRule="auto"/>
        <w:ind w:firstLine="360"/>
        <w:rPr>
          <w:rFonts w:ascii="Times New Roman" w:hAnsi="Times New Roman" w:cs="Times New Roman"/>
        </w:rPr>
      </w:pPr>
    </w:p>
    <w:p w:rsidRPr="00E92045" w:rsidR="00E92045" w:rsidP="00E92045" w:rsidRDefault="00E92045" w14:paraId="43EEC640" w14:textId="422E9C8E">
      <w:pPr>
        <w:pStyle w:val="Caption"/>
        <w:jc w:val="center"/>
        <w:rPr>
          <w:rFonts w:ascii="Times New Roman" w:hAnsi="Times New Roman" w:cs="Times New Roman"/>
          <w:b/>
          <w:bCs/>
          <w:i w:val="0"/>
          <w:iCs w:val="0"/>
          <w:color w:val="auto"/>
          <w:sz w:val="22"/>
          <w:szCs w:val="22"/>
        </w:rPr>
      </w:pPr>
      <w:r w:rsidRPr="00E92045">
        <w:rPr>
          <w:rFonts w:ascii="Times New Roman" w:hAnsi="Times New Roman" w:cs="Times New Roman"/>
          <w:b/>
          <w:bCs/>
          <w:i w:val="0"/>
          <w:iCs w:val="0"/>
          <w:color w:val="auto"/>
          <w:sz w:val="22"/>
          <w:szCs w:val="22"/>
        </w:rPr>
        <w:t>Exhibit 8-2: RMP Facility and Entity Counts.</w:t>
      </w:r>
    </w:p>
    <w:tbl>
      <w:tblPr>
        <w:tblW w:w="6683" w:type="dxa"/>
        <w:jc w:val="center"/>
        <w:tblLook w:val="04A0" w:firstRow="1" w:lastRow="0" w:firstColumn="1" w:lastColumn="0" w:noHBand="0" w:noVBand="1"/>
      </w:tblPr>
      <w:tblGrid>
        <w:gridCol w:w="2245"/>
        <w:gridCol w:w="1080"/>
        <w:gridCol w:w="3358"/>
      </w:tblGrid>
      <w:tr w:rsidRPr="00C41D0C" w:rsidR="0075046B" w:rsidTr="00E92045" w14:paraId="4BB31106"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E92045" w:rsidR="0075046B" w:rsidP="00E92045" w:rsidRDefault="0075046B" w14:paraId="15145B19" w14:textId="77777777">
            <w:pPr>
              <w:spacing w:after="0" w:line="240" w:lineRule="auto"/>
              <w:jc w:val="center"/>
              <w:rPr>
                <w:rFonts w:ascii="Times New Roman" w:hAnsi="Times New Roman" w:eastAsia="Times New Roman" w:cs="Times New Roman"/>
                <w:color w:val="000000"/>
                <w:sz w:val="20"/>
                <w:szCs w:val="20"/>
              </w:rPr>
            </w:pP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E92045" w:rsidR="0075046B" w:rsidP="008348D6" w:rsidRDefault="0075046B" w14:paraId="48F77C2A" w14:textId="77777777">
            <w:pPr>
              <w:spacing w:after="0" w:line="240" w:lineRule="auto"/>
              <w:jc w:val="center"/>
              <w:rPr>
                <w:rFonts w:ascii="Times New Roman" w:hAnsi="Times New Roman" w:cs="Times New Roman"/>
                <w:b/>
                <w:color w:val="000000"/>
                <w:sz w:val="20"/>
                <w:szCs w:val="20"/>
              </w:rPr>
            </w:pPr>
            <w:r w:rsidRPr="00E92045">
              <w:rPr>
                <w:rFonts w:ascii="Times New Roman" w:hAnsi="Times New Roman" w:cs="Times New Roman"/>
                <w:b/>
                <w:color w:val="000000"/>
                <w:sz w:val="20"/>
                <w:szCs w:val="20"/>
              </w:rPr>
              <w:t>Number</w:t>
            </w:r>
          </w:p>
        </w:tc>
        <w:tc>
          <w:tcPr>
            <w:tcW w:w="3358" w:type="dxa"/>
            <w:vMerge w:val="restart"/>
            <w:tcBorders>
              <w:top w:val="single" w:color="auto" w:sz="4" w:space="0"/>
              <w:left w:val="nil"/>
              <w:right w:val="single" w:color="auto" w:sz="4" w:space="0"/>
            </w:tcBorders>
            <w:shd w:val="clear" w:color="auto" w:fill="D9D9D9" w:themeFill="background1" w:themeFillShade="D9"/>
            <w:vAlign w:val="center"/>
          </w:tcPr>
          <w:p w:rsidRPr="00E92045" w:rsidR="0075046B" w:rsidP="008348D6" w:rsidRDefault="0075046B" w14:paraId="596325EE" w14:textId="77777777">
            <w:pPr>
              <w:spacing w:after="0" w:line="240" w:lineRule="auto"/>
              <w:jc w:val="center"/>
              <w:rPr>
                <w:rFonts w:ascii="Times New Roman" w:hAnsi="Times New Roman" w:cs="Times New Roman"/>
                <w:b/>
                <w:color w:val="000000"/>
                <w:sz w:val="20"/>
                <w:szCs w:val="20"/>
              </w:rPr>
            </w:pPr>
            <w:r w:rsidRPr="00E92045">
              <w:rPr>
                <w:rFonts w:ascii="Times New Roman" w:hAnsi="Times New Roman" w:cs="Times New Roman"/>
                <w:b/>
                <w:color w:val="000000"/>
                <w:sz w:val="20"/>
                <w:szCs w:val="20"/>
              </w:rPr>
              <w:t>Percent of</w:t>
            </w:r>
          </w:p>
        </w:tc>
      </w:tr>
      <w:tr w:rsidRPr="00C41D0C" w:rsidR="0075046B" w:rsidTr="00E92045" w14:paraId="0AB7D418"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2FA0ECCC"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Total Facilities</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92045" w:rsidR="0075046B" w:rsidP="00E92045" w:rsidRDefault="0075046B" w14:paraId="4BA90AE0"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11,740</w:t>
            </w:r>
          </w:p>
        </w:tc>
        <w:tc>
          <w:tcPr>
            <w:tcW w:w="3358" w:type="dxa"/>
            <w:vMerge/>
            <w:tcBorders>
              <w:left w:val="nil"/>
              <w:right w:val="single" w:color="auto" w:sz="4" w:space="0"/>
            </w:tcBorders>
            <w:vAlign w:val="center"/>
          </w:tcPr>
          <w:p w:rsidRPr="00E92045" w:rsidR="0075046B" w:rsidP="00E92045" w:rsidRDefault="0075046B" w14:paraId="2F131921" w14:textId="77777777">
            <w:pPr>
              <w:spacing w:after="0" w:line="240" w:lineRule="auto"/>
              <w:jc w:val="center"/>
              <w:rPr>
                <w:rFonts w:ascii="Times New Roman" w:hAnsi="Times New Roman" w:cs="Times New Roman"/>
                <w:color w:val="000000"/>
                <w:sz w:val="20"/>
                <w:szCs w:val="20"/>
              </w:rPr>
            </w:pPr>
          </w:p>
        </w:tc>
      </w:tr>
      <w:tr w:rsidRPr="00C41D0C" w:rsidR="0075046B" w:rsidTr="00E92045" w14:paraId="5999230C"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tcPr>
          <w:p w:rsidRPr="00E92045" w:rsidR="0075046B" w:rsidP="00B20325" w:rsidRDefault="0075046B" w14:paraId="49504CAC"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Total Entities</w:t>
            </w:r>
          </w:p>
        </w:tc>
        <w:tc>
          <w:tcPr>
            <w:tcW w:w="1080" w:type="dxa"/>
            <w:tcBorders>
              <w:top w:val="nil"/>
              <w:left w:val="nil"/>
              <w:bottom w:val="single" w:color="auto" w:sz="4" w:space="0"/>
              <w:right w:val="single" w:color="auto" w:sz="4" w:space="0"/>
            </w:tcBorders>
            <w:shd w:val="clear" w:color="auto" w:fill="auto"/>
            <w:noWrap/>
            <w:vAlign w:val="center"/>
          </w:tcPr>
          <w:p w:rsidRPr="00E92045" w:rsidR="0075046B" w:rsidP="00E92045" w:rsidRDefault="0075046B" w14:paraId="289A45EA"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5,649</w:t>
            </w:r>
          </w:p>
        </w:tc>
        <w:tc>
          <w:tcPr>
            <w:tcW w:w="3358" w:type="dxa"/>
            <w:vMerge/>
            <w:tcBorders>
              <w:left w:val="nil"/>
              <w:bottom w:val="single" w:color="auto" w:sz="4" w:space="0"/>
              <w:right w:val="single" w:color="auto" w:sz="4" w:space="0"/>
            </w:tcBorders>
            <w:vAlign w:val="center"/>
          </w:tcPr>
          <w:p w:rsidRPr="00E92045" w:rsidR="0075046B" w:rsidP="00E92045" w:rsidRDefault="0075046B" w14:paraId="4178FD45" w14:textId="77777777">
            <w:pPr>
              <w:spacing w:after="0" w:line="240" w:lineRule="auto"/>
              <w:jc w:val="center"/>
              <w:rPr>
                <w:rFonts w:ascii="Times New Roman" w:hAnsi="Times New Roman" w:cs="Times New Roman"/>
                <w:color w:val="000000"/>
                <w:sz w:val="20"/>
                <w:szCs w:val="20"/>
              </w:rPr>
            </w:pPr>
          </w:p>
        </w:tc>
      </w:tr>
      <w:tr w:rsidRPr="00C41D0C" w:rsidR="0075046B" w:rsidTr="00E92045" w14:paraId="7965701E"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62E25B2C" w14:textId="74540D8C">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Private Sector Entities</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0D0A2B1"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4,538</w:t>
            </w:r>
          </w:p>
        </w:tc>
        <w:tc>
          <w:tcPr>
            <w:tcW w:w="3358" w:type="dxa"/>
            <w:tcBorders>
              <w:top w:val="nil"/>
              <w:left w:val="nil"/>
              <w:bottom w:val="single" w:color="auto" w:sz="4" w:space="0"/>
              <w:right w:val="single" w:color="auto" w:sz="4" w:space="0"/>
            </w:tcBorders>
            <w:vAlign w:val="center"/>
          </w:tcPr>
          <w:p w:rsidRPr="00E92045" w:rsidR="0075046B" w:rsidP="00E92045" w:rsidRDefault="0075046B" w14:paraId="7EFE35DE" w14:textId="77777777">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80% of total entities</w:t>
            </w:r>
          </w:p>
        </w:tc>
      </w:tr>
      <w:tr w:rsidRPr="00C41D0C" w:rsidR="0075046B" w:rsidTr="00E92045" w14:paraId="1CB00CC3"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438B3372" w14:textId="77777777">
            <w:pPr>
              <w:spacing w:after="0" w:line="240" w:lineRule="auto"/>
              <w:ind w:firstLine="400" w:firstLineChars="200"/>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Small</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4E4182B1" w14:textId="129531D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2,</w:t>
            </w:r>
            <w:r w:rsidRPr="00E92045" w:rsidR="00FB3B7B">
              <w:rPr>
                <w:rFonts w:ascii="Times New Roman" w:hAnsi="Times New Roman" w:cs="Times New Roman"/>
                <w:color w:val="000000"/>
                <w:sz w:val="20"/>
                <w:szCs w:val="20"/>
              </w:rPr>
              <w:t>911</w:t>
            </w:r>
          </w:p>
        </w:tc>
        <w:tc>
          <w:tcPr>
            <w:tcW w:w="3358" w:type="dxa"/>
            <w:tcBorders>
              <w:top w:val="nil"/>
              <w:left w:val="nil"/>
              <w:bottom w:val="single" w:color="auto" w:sz="4" w:space="0"/>
              <w:right w:val="single" w:color="auto" w:sz="4" w:space="0"/>
            </w:tcBorders>
            <w:vAlign w:val="center"/>
          </w:tcPr>
          <w:p w:rsidRPr="00E92045" w:rsidR="0075046B" w:rsidP="00E92045" w:rsidRDefault="0075046B" w14:paraId="423F97D1" w14:textId="18CAF184">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6</w:t>
            </w:r>
            <w:r w:rsidRPr="00E92045" w:rsidR="00FB3B7B">
              <w:rPr>
                <w:rFonts w:ascii="Times New Roman" w:hAnsi="Times New Roman" w:cs="Times New Roman"/>
                <w:color w:val="000000"/>
                <w:sz w:val="20"/>
                <w:szCs w:val="20"/>
              </w:rPr>
              <w:t>4</w:t>
            </w:r>
            <w:r w:rsidRPr="00E92045">
              <w:rPr>
                <w:rFonts w:ascii="Times New Roman" w:hAnsi="Times New Roman" w:cs="Times New Roman"/>
                <w:color w:val="000000"/>
                <w:sz w:val="20"/>
                <w:szCs w:val="20"/>
              </w:rPr>
              <w:t>% of private sector entities</w:t>
            </w:r>
          </w:p>
        </w:tc>
      </w:tr>
      <w:tr w:rsidRPr="00C41D0C" w:rsidR="0075046B" w:rsidTr="00E92045" w14:paraId="0B85FE3D"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28E65488" w14:textId="77777777">
            <w:pPr>
              <w:spacing w:after="0" w:line="240" w:lineRule="auto"/>
              <w:ind w:firstLine="400" w:firstLineChars="200"/>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Non-small</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745A805" w14:textId="6A238374">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w:t>
            </w:r>
            <w:r w:rsidRPr="00E92045" w:rsidR="00FB3B7B">
              <w:rPr>
                <w:rFonts w:ascii="Times New Roman" w:hAnsi="Times New Roman" w:cs="Times New Roman"/>
                <w:color w:val="000000"/>
                <w:sz w:val="20"/>
                <w:szCs w:val="20"/>
              </w:rPr>
              <w:t>627</w:t>
            </w:r>
          </w:p>
        </w:tc>
        <w:tc>
          <w:tcPr>
            <w:tcW w:w="3358" w:type="dxa"/>
            <w:tcBorders>
              <w:top w:val="nil"/>
              <w:left w:val="nil"/>
              <w:bottom w:val="single" w:color="auto" w:sz="4" w:space="0"/>
              <w:right w:val="single" w:color="auto" w:sz="4" w:space="0"/>
            </w:tcBorders>
            <w:vAlign w:val="center"/>
          </w:tcPr>
          <w:p w:rsidRPr="00E92045" w:rsidR="0075046B" w:rsidP="00B36ABC" w:rsidRDefault="0075046B" w14:paraId="364B8DA7" w14:textId="037325D4">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3</w:t>
            </w:r>
            <w:r w:rsidRPr="00E92045" w:rsidR="00FB3B7B">
              <w:rPr>
                <w:rFonts w:ascii="Times New Roman" w:hAnsi="Times New Roman" w:cs="Times New Roman"/>
                <w:color w:val="000000"/>
                <w:sz w:val="20"/>
                <w:szCs w:val="20"/>
              </w:rPr>
              <w:t>6</w:t>
            </w:r>
            <w:r w:rsidRPr="00E92045">
              <w:rPr>
                <w:rFonts w:ascii="Times New Roman" w:hAnsi="Times New Roman" w:cs="Times New Roman"/>
                <w:color w:val="000000"/>
                <w:sz w:val="20"/>
                <w:szCs w:val="20"/>
              </w:rPr>
              <w:t>% of private sector entities</w:t>
            </w:r>
          </w:p>
        </w:tc>
      </w:tr>
      <w:tr w:rsidRPr="00C41D0C" w:rsidR="0075046B" w:rsidTr="00E92045" w14:paraId="31A03584"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2E7710F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Government Entities</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8D2FDBF"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1,111</w:t>
            </w:r>
          </w:p>
        </w:tc>
        <w:tc>
          <w:tcPr>
            <w:tcW w:w="3358" w:type="dxa"/>
            <w:tcBorders>
              <w:top w:val="nil"/>
              <w:left w:val="nil"/>
              <w:bottom w:val="single" w:color="auto" w:sz="4" w:space="0"/>
              <w:right w:val="single" w:color="auto" w:sz="4" w:space="0"/>
            </w:tcBorders>
            <w:vAlign w:val="center"/>
          </w:tcPr>
          <w:p w:rsidRPr="00E92045" w:rsidR="0075046B" w:rsidP="00E92045" w:rsidRDefault="0075046B" w14:paraId="415D4155" w14:textId="77777777">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20% of total entities</w:t>
            </w:r>
          </w:p>
        </w:tc>
      </w:tr>
      <w:tr w:rsidRPr="00C41D0C" w:rsidR="0075046B" w:rsidTr="00E92045" w14:paraId="4B01C0C6"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6A31E869" w14:textId="77777777">
            <w:pPr>
              <w:spacing w:after="0" w:line="240" w:lineRule="auto"/>
              <w:ind w:firstLine="400" w:firstLineChars="200"/>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Small</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17ADEDB9"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630</w:t>
            </w:r>
          </w:p>
        </w:tc>
        <w:tc>
          <w:tcPr>
            <w:tcW w:w="3358" w:type="dxa"/>
            <w:tcBorders>
              <w:top w:val="nil"/>
              <w:left w:val="nil"/>
              <w:bottom w:val="single" w:color="auto" w:sz="4" w:space="0"/>
              <w:right w:val="single" w:color="auto" w:sz="4" w:space="0"/>
            </w:tcBorders>
            <w:vAlign w:val="center"/>
          </w:tcPr>
          <w:p w:rsidRPr="00E92045" w:rsidR="0075046B" w:rsidP="00E92045" w:rsidRDefault="0075046B" w14:paraId="06858310" w14:textId="77777777">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57% of government entities</w:t>
            </w:r>
          </w:p>
        </w:tc>
      </w:tr>
      <w:tr w:rsidRPr="00C41D0C" w:rsidR="0075046B" w:rsidTr="00E92045" w14:paraId="5B1C164A" w14:textId="77777777">
        <w:trPr>
          <w:trHeight w:val="288"/>
          <w:jc w:val="center"/>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B20325" w:rsidRDefault="0075046B" w14:paraId="1D4D3C1B" w14:textId="77777777">
            <w:pPr>
              <w:spacing w:after="0" w:line="240" w:lineRule="auto"/>
              <w:ind w:firstLine="400" w:firstLineChars="200"/>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Non-small</w:t>
            </w:r>
          </w:p>
        </w:tc>
        <w:tc>
          <w:tcPr>
            <w:tcW w:w="108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370798EC"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481</w:t>
            </w:r>
          </w:p>
        </w:tc>
        <w:tc>
          <w:tcPr>
            <w:tcW w:w="3358" w:type="dxa"/>
            <w:tcBorders>
              <w:top w:val="nil"/>
              <w:left w:val="nil"/>
              <w:bottom w:val="single" w:color="auto" w:sz="4" w:space="0"/>
              <w:right w:val="single" w:color="auto" w:sz="4" w:space="0"/>
            </w:tcBorders>
            <w:vAlign w:val="center"/>
          </w:tcPr>
          <w:p w:rsidRPr="00E92045" w:rsidR="0075046B" w:rsidP="00E92045" w:rsidRDefault="0075046B" w14:paraId="398269A8" w14:textId="77777777">
            <w:pPr>
              <w:spacing w:after="0" w:line="240" w:lineRule="auto"/>
              <w:jc w:val="center"/>
              <w:rPr>
                <w:rFonts w:ascii="Times New Roman" w:hAnsi="Times New Roman" w:cs="Times New Roman"/>
                <w:color w:val="000000"/>
                <w:sz w:val="20"/>
                <w:szCs w:val="20"/>
              </w:rPr>
            </w:pPr>
            <w:r w:rsidRPr="00E92045">
              <w:rPr>
                <w:rFonts w:ascii="Times New Roman" w:hAnsi="Times New Roman" w:cs="Times New Roman"/>
                <w:color w:val="000000"/>
                <w:sz w:val="20"/>
                <w:szCs w:val="20"/>
              </w:rPr>
              <w:t>43% of government entities</w:t>
            </w:r>
          </w:p>
        </w:tc>
      </w:tr>
    </w:tbl>
    <w:p w:rsidR="0075046B" w:rsidP="00E92045" w:rsidRDefault="0075046B" w14:paraId="674B2F3A" w14:textId="77777777">
      <w:pPr>
        <w:spacing w:after="0" w:line="240" w:lineRule="auto"/>
        <w:rPr>
          <w:rFonts w:ascii="Times New Roman" w:hAnsi="Times New Roman" w:cs="Times New Roman"/>
        </w:rPr>
      </w:pPr>
    </w:p>
    <w:p w:rsidR="0075046B" w:rsidP="00E92045" w:rsidRDefault="00D726C0" w14:paraId="32808174" w14:textId="420D32D8">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EPA identified 5,649 unique entities owning RMP regulated facilities. Of those 5,649 unique entities, EPA was able to determine that 1,111 (20</w:t>
      </w:r>
      <w:r w:rsidRPr="00693892" w:rsidR="00115223">
        <w:rPr>
          <w:rFonts w:ascii="Times New Roman" w:hAnsi="Times New Roman" w:cs="Times New Roman"/>
        </w:rPr>
        <w:t xml:space="preserve"> percent</w:t>
      </w:r>
      <w:r w:rsidRPr="00693892" w:rsidR="0075046B">
        <w:rPr>
          <w:rFonts w:ascii="Times New Roman" w:hAnsi="Times New Roman" w:cs="Times New Roman"/>
        </w:rPr>
        <w:t>) are government entities and the remaining 4,538 (80</w:t>
      </w:r>
      <w:r w:rsidRPr="00693892" w:rsidR="00115223">
        <w:rPr>
          <w:rFonts w:ascii="Times New Roman" w:hAnsi="Times New Roman" w:cs="Times New Roman"/>
        </w:rPr>
        <w:t xml:space="preserve"> percent</w:t>
      </w:r>
      <w:r w:rsidRPr="00693892" w:rsidR="0075046B">
        <w:rPr>
          <w:rFonts w:ascii="Times New Roman" w:hAnsi="Times New Roman" w:cs="Times New Roman"/>
        </w:rPr>
        <w:t>) are private sector entities.</w:t>
      </w:r>
    </w:p>
    <w:p w:rsidRPr="00693892" w:rsidR="000E6E0F" w:rsidP="000E6E0F" w:rsidRDefault="000E6E0F" w14:paraId="5FC2765F" w14:textId="77777777">
      <w:pPr>
        <w:spacing w:after="0" w:line="240" w:lineRule="auto"/>
        <w:ind w:firstLine="360"/>
        <w:rPr>
          <w:rFonts w:ascii="Times New Roman" w:hAnsi="Times New Roman" w:cs="Times New Roman"/>
        </w:rPr>
      </w:pPr>
    </w:p>
    <w:p w:rsidRPr="00693892" w:rsidR="0075046B" w:rsidP="00693892" w:rsidRDefault="0075046B" w14:paraId="06F31490" w14:textId="77777777">
      <w:pPr>
        <w:spacing w:after="0" w:line="240" w:lineRule="auto"/>
        <w:rPr>
          <w:rFonts w:ascii="Times New Roman" w:hAnsi="Times New Roman" w:eastAsia="Calibri" w:cs="Times New Roman"/>
          <w:b/>
        </w:rPr>
      </w:pPr>
      <w:r w:rsidRPr="00693892">
        <w:rPr>
          <w:rFonts w:ascii="Times New Roman" w:hAnsi="Times New Roman" w:eastAsia="Calibri" w:cs="Times New Roman"/>
          <w:b/>
        </w:rPr>
        <w:t>8.2.1 Private Sector Entities</w:t>
      </w:r>
    </w:p>
    <w:p w:rsidR="00B20325" w:rsidP="000E6E0F" w:rsidRDefault="00D726C0" w14:paraId="27373020" w14:textId="77777777">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Of the 4,538 private sector entities, EPA was able to obtain data matches of revenue and/or employee data for 3,123. EPA then classified each private sector entity as small or non-small based on the SBA size standard for the entity’s NAICS code and the relevant employee- or revenue-based size standard. EPA determined that of the total 4,548 private sector entities, 2,007 are small based on their employee or revenue data. These small private sector entities have an average of 150 employees and average annual revenue of approximately $49.50 million. Of these small private sector entities, 1,935 had revenue data available from Data Axle.</w:t>
      </w:r>
    </w:p>
    <w:p w:rsidR="00B20325" w:rsidP="000E6E0F" w:rsidRDefault="00B20325" w14:paraId="67D007A4" w14:textId="77777777">
      <w:pPr>
        <w:spacing w:after="0" w:line="240" w:lineRule="auto"/>
        <w:ind w:firstLine="360"/>
        <w:rPr>
          <w:rFonts w:ascii="Times New Roman" w:hAnsi="Times New Roman" w:cs="Times New Roman"/>
        </w:rPr>
      </w:pPr>
    </w:p>
    <w:p w:rsidR="0075046B" w:rsidP="000E6E0F" w:rsidRDefault="00B20325" w14:paraId="77508128" w14:textId="5AD63F54">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To assess the remaining unmatched entities (1,306), EPA extrapolated the results of the size classification. At the 3-digit NAICS level, EPA estimated the percent of small and non-small entities and assumed that unmatched entities within those NAICS codes would have the same distribution of small and non-small. </w:t>
      </w:r>
      <w:r w:rsidRPr="00693892" w:rsidR="00BE597D">
        <w:rPr>
          <w:rFonts w:ascii="Times New Roman" w:hAnsi="Times New Roman" w:cs="Times New Roman"/>
        </w:rPr>
        <w:t>For example, in NAICS sector 424 (</w:t>
      </w:r>
      <w:r w:rsidRPr="00693892" w:rsidR="000C77E1">
        <w:rPr>
          <w:rFonts w:ascii="Times New Roman" w:hAnsi="Times New Roman" w:cs="Times New Roman"/>
        </w:rPr>
        <w:t xml:space="preserve">Merchant Wholesalers, Nondurable Goods) there are 979 total parent entities. Of those, 318 were classified as small, 214 as non-small, and 447 did not have employee data to classify. </w:t>
      </w:r>
      <w:r w:rsidRPr="00693892" w:rsidR="00476F22">
        <w:rPr>
          <w:rFonts w:ascii="Times New Roman" w:hAnsi="Times New Roman" w:cs="Times New Roman"/>
        </w:rPr>
        <w:t>To classify the 447 entities as small or non-small the percent of small entities in the matched data (59.7</w:t>
      </w:r>
      <w:r w:rsidRPr="00693892" w:rsidR="00115223">
        <w:rPr>
          <w:rFonts w:ascii="Times New Roman" w:hAnsi="Times New Roman" w:cs="Times New Roman"/>
        </w:rPr>
        <w:t xml:space="preserve"> percent</w:t>
      </w:r>
      <w:r w:rsidRPr="00693892" w:rsidR="00476F22">
        <w:rPr>
          <w:rFonts w:ascii="Times New Roman" w:hAnsi="Times New Roman" w:cs="Times New Roman"/>
        </w:rPr>
        <w:t xml:space="preserve"> or 318 out of 532) was used to classify 267 of the 447 unmatched entities as small. </w:t>
      </w:r>
      <w:r w:rsidRPr="00693892" w:rsidR="00F6429E">
        <w:rPr>
          <w:rFonts w:ascii="Times New Roman" w:hAnsi="Times New Roman" w:cs="Times New Roman"/>
        </w:rPr>
        <w:t>Across all sectors</w:t>
      </w:r>
      <w:r w:rsidRPr="00693892" w:rsidR="00135EA4">
        <w:rPr>
          <w:rFonts w:ascii="Times New Roman" w:hAnsi="Times New Roman" w:cs="Times New Roman"/>
        </w:rPr>
        <w:t>,</w:t>
      </w:r>
      <w:r w:rsidRPr="00693892" w:rsidR="0075046B">
        <w:rPr>
          <w:rFonts w:ascii="Times New Roman" w:hAnsi="Times New Roman" w:cs="Times New Roman"/>
        </w:rPr>
        <w:t xml:space="preserve"> </w:t>
      </w:r>
      <w:r w:rsidRPr="00693892" w:rsidR="0035471A">
        <w:rPr>
          <w:rFonts w:ascii="Times New Roman" w:hAnsi="Times New Roman" w:cs="Times New Roman"/>
        </w:rPr>
        <w:t>906</w:t>
      </w:r>
      <w:r w:rsidRPr="00693892" w:rsidR="0075046B">
        <w:rPr>
          <w:rFonts w:ascii="Times New Roman" w:hAnsi="Times New Roman" w:cs="Times New Roman"/>
        </w:rPr>
        <w:t xml:space="preserve"> unmatched entities were classified as small and </w:t>
      </w:r>
      <w:r w:rsidRPr="00693892" w:rsidR="0035471A">
        <w:rPr>
          <w:rFonts w:ascii="Times New Roman" w:hAnsi="Times New Roman" w:cs="Times New Roman"/>
        </w:rPr>
        <w:t>509</w:t>
      </w:r>
      <w:r w:rsidRPr="00693892" w:rsidR="0075046B">
        <w:rPr>
          <w:rFonts w:ascii="Times New Roman" w:hAnsi="Times New Roman" w:cs="Times New Roman"/>
        </w:rPr>
        <w:t xml:space="preserve"> unmatched entities were classified as non-small. The totals presented in Exhibit 8-2 above, therefore represent the 2,00</w:t>
      </w:r>
      <w:r w:rsidRPr="00693892" w:rsidR="00030A04">
        <w:rPr>
          <w:rFonts w:ascii="Times New Roman" w:hAnsi="Times New Roman" w:cs="Times New Roman"/>
        </w:rPr>
        <w:t>5</w:t>
      </w:r>
      <w:r w:rsidRPr="00693892" w:rsidR="0075046B">
        <w:rPr>
          <w:rFonts w:ascii="Times New Roman" w:hAnsi="Times New Roman" w:cs="Times New Roman"/>
        </w:rPr>
        <w:t xml:space="preserve"> classified as small using Data Axle data and the estimated </w:t>
      </w:r>
      <w:r w:rsidRPr="00693892" w:rsidR="00030A04">
        <w:rPr>
          <w:rFonts w:ascii="Times New Roman" w:hAnsi="Times New Roman" w:cs="Times New Roman"/>
        </w:rPr>
        <w:t>906</w:t>
      </w:r>
      <w:r w:rsidRPr="00693892" w:rsidR="0075046B">
        <w:rPr>
          <w:rFonts w:ascii="Times New Roman" w:hAnsi="Times New Roman" w:cs="Times New Roman"/>
        </w:rPr>
        <w:t xml:space="preserve"> entities classified as small using the extrapolation analysis, resulting in 2,</w:t>
      </w:r>
      <w:r w:rsidRPr="00693892" w:rsidR="00A84C68">
        <w:rPr>
          <w:rFonts w:ascii="Times New Roman" w:hAnsi="Times New Roman" w:cs="Times New Roman"/>
        </w:rPr>
        <w:t>911</w:t>
      </w:r>
      <w:r w:rsidRPr="00693892" w:rsidR="0075046B">
        <w:rPr>
          <w:rFonts w:ascii="Times New Roman" w:hAnsi="Times New Roman" w:cs="Times New Roman"/>
        </w:rPr>
        <w:t xml:space="preserve"> total small private sector entities (6</w:t>
      </w:r>
      <w:r w:rsidRPr="00693892" w:rsidR="00C5088C">
        <w:rPr>
          <w:rFonts w:ascii="Times New Roman" w:hAnsi="Times New Roman" w:cs="Times New Roman"/>
        </w:rPr>
        <w:t>4</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private sector entities).</w:t>
      </w:r>
    </w:p>
    <w:p w:rsidR="00D726C0" w:rsidP="000E6E0F" w:rsidRDefault="00D726C0" w14:paraId="79B4DB52" w14:textId="15BCEB0E">
      <w:pPr>
        <w:spacing w:after="0" w:line="240" w:lineRule="auto"/>
        <w:ind w:firstLine="360"/>
        <w:rPr>
          <w:rFonts w:ascii="Times New Roman" w:hAnsi="Times New Roman" w:cs="Times New Roman"/>
        </w:rPr>
      </w:pPr>
    </w:p>
    <w:p w:rsidR="0075046B" w:rsidP="000E6E0F" w:rsidRDefault="00D726C0" w14:paraId="642F1166" w14:textId="44366930">
      <w:pPr>
        <w:spacing w:after="0" w:line="240" w:lineRule="auto"/>
        <w:ind w:firstLine="360"/>
        <w:rPr>
          <w:rFonts w:ascii="Times New Roman" w:hAnsi="Times New Roman" w:cs="Times New Roman"/>
        </w:rPr>
      </w:pPr>
      <w:r>
        <w:rPr>
          <w:rFonts w:ascii="Times New Roman" w:hAnsi="Times New Roman" w:cs="Times New Roman"/>
        </w:rPr>
        <w:lastRenderedPageBreak/>
        <w:tab/>
      </w:r>
      <w:r w:rsidRPr="00693892" w:rsidR="0075046B">
        <w:rPr>
          <w:rFonts w:ascii="Times New Roman" w:hAnsi="Times New Roman" w:cs="Times New Roman"/>
        </w:rPr>
        <w:t xml:space="preserve">Exhibit 8-3 presents an analysis of facilities and the size of entity they are associated with to provide an understanding of the distribution of private sector owned facilities by Program Level. The results show that Program 3 has a larger proportion of facilities owned by non-small private sector entities than Program </w:t>
      </w:r>
      <w:r w:rsidRPr="00693892" w:rsidR="00D405F7">
        <w:rPr>
          <w:rFonts w:ascii="Times New Roman" w:hAnsi="Times New Roman" w:cs="Times New Roman"/>
        </w:rPr>
        <w:t>2 and</w:t>
      </w:r>
      <w:r w:rsidRPr="00693892" w:rsidR="0075046B">
        <w:rPr>
          <w:rFonts w:ascii="Times New Roman" w:hAnsi="Times New Roman" w:cs="Times New Roman"/>
        </w:rPr>
        <w:t xml:space="preserve"> </w:t>
      </w:r>
      <w:r w:rsidRPr="00693892" w:rsidR="00D405F7">
        <w:rPr>
          <w:rFonts w:ascii="Times New Roman" w:hAnsi="Times New Roman" w:cs="Times New Roman"/>
        </w:rPr>
        <w:t>facilities</w:t>
      </w:r>
      <w:r w:rsidRPr="00693892" w:rsidR="0075046B">
        <w:rPr>
          <w:rFonts w:ascii="Times New Roman" w:hAnsi="Times New Roman" w:cs="Times New Roman"/>
        </w:rPr>
        <w:t>. That is, almost 59</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Program 3 facilities (3,7</w:t>
      </w:r>
      <w:r w:rsidRPr="00693892" w:rsidR="00190298">
        <w:rPr>
          <w:rFonts w:ascii="Times New Roman" w:hAnsi="Times New Roman" w:cs="Times New Roman"/>
        </w:rPr>
        <w:t>81</w:t>
      </w:r>
      <w:r w:rsidRPr="00693892" w:rsidR="0075046B">
        <w:rPr>
          <w:rFonts w:ascii="Times New Roman" w:hAnsi="Times New Roman" w:cs="Times New Roman"/>
        </w:rPr>
        <w:t xml:space="preserve"> of 6,422) are owned by a non-small private sector entity compared to 48</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Program 2 facilities (1,526 of 3,163) and 43</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Program 1 facilities (282 out of 651).</w:t>
      </w:r>
    </w:p>
    <w:p w:rsidRPr="00693892" w:rsidR="000E6E0F" w:rsidP="000E6E0F" w:rsidRDefault="000E6E0F" w14:paraId="1E7D9553" w14:textId="77777777">
      <w:pPr>
        <w:spacing w:after="0" w:line="240" w:lineRule="auto"/>
        <w:ind w:firstLine="360"/>
        <w:rPr>
          <w:rFonts w:ascii="Times New Roman" w:hAnsi="Times New Roman" w:cs="Times New Roman"/>
        </w:rPr>
      </w:pPr>
    </w:p>
    <w:p w:rsidRPr="00E92045" w:rsidR="00E92045" w:rsidP="00E92045" w:rsidRDefault="00E92045" w14:paraId="18D3350B" w14:textId="70CF7066">
      <w:pPr>
        <w:pStyle w:val="Caption"/>
        <w:jc w:val="center"/>
        <w:rPr>
          <w:rFonts w:ascii="Times New Roman" w:hAnsi="Times New Roman" w:cs="Times New Roman"/>
          <w:b/>
          <w:bCs/>
          <w:i w:val="0"/>
          <w:iCs w:val="0"/>
          <w:color w:val="auto"/>
          <w:sz w:val="22"/>
          <w:szCs w:val="22"/>
        </w:rPr>
      </w:pPr>
      <w:r w:rsidRPr="00E92045">
        <w:rPr>
          <w:rFonts w:ascii="Times New Roman" w:hAnsi="Times New Roman" w:cs="Times New Roman"/>
          <w:b/>
          <w:bCs/>
          <w:i w:val="0"/>
          <w:iCs w:val="0"/>
          <w:color w:val="auto"/>
          <w:sz w:val="22"/>
          <w:szCs w:val="22"/>
        </w:rPr>
        <w:t>Exhibit</w:t>
      </w:r>
      <w:r w:rsidRPr="00E92045">
        <w:rPr>
          <w:rFonts w:ascii="Times New Roman" w:hAnsi="Times New Roman" w:cs="Times New Roman"/>
          <w:i w:val="0"/>
          <w:iCs w:val="0"/>
          <w:color w:val="auto"/>
          <w:sz w:val="22"/>
          <w:szCs w:val="22"/>
        </w:rPr>
        <w:t xml:space="preserve"> </w:t>
      </w:r>
      <w:r w:rsidRPr="00E92045">
        <w:rPr>
          <w:rFonts w:ascii="Times New Roman" w:hAnsi="Times New Roman" w:cs="Times New Roman"/>
          <w:b/>
          <w:bCs/>
          <w:i w:val="0"/>
          <w:iCs w:val="0"/>
          <w:color w:val="auto"/>
          <w:sz w:val="22"/>
          <w:szCs w:val="22"/>
        </w:rPr>
        <w:t>8-3: Analysis of Private Sector Facility Ownership by Program Level.</w:t>
      </w:r>
    </w:p>
    <w:tbl>
      <w:tblPr>
        <w:tblW w:w="6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9"/>
        <w:gridCol w:w="1200"/>
        <w:gridCol w:w="1190"/>
        <w:gridCol w:w="1386"/>
      </w:tblGrid>
      <w:tr w:rsidRPr="00C41D0C" w:rsidR="0075046B" w:rsidTr="00E92045" w14:paraId="60DB4C48" w14:textId="77777777">
        <w:trPr>
          <w:trHeight w:val="290"/>
          <w:tblHeader/>
          <w:jc w:val="center"/>
        </w:trPr>
        <w:tc>
          <w:tcPr>
            <w:tcW w:w="2789" w:type="dxa"/>
            <w:shd w:val="clear" w:color="auto" w:fill="D9D9D9" w:themeFill="background1" w:themeFillShade="D9"/>
            <w:noWrap/>
            <w:vAlign w:val="center"/>
            <w:hideMark/>
          </w:tcPr>
          <w:p w:rsidRPr="00E92045" w:rsidR="0075046B" w:rsidP="008348D6" w:rsidRDefault="0075046B" w14:paraId="39A70DD9" w14:textId="77777777">
            <w:pPr>
              <w:spacing w:after="0" w:line="240" w:lineRule="auto"/>
              <w:rPr>
                <w:rFonts w:ascii="Times New Roman" w:hAnsi="Times New Roman" w:eastAsia="Times New Roman" w:cs="Times New Roman"/>
                <w:b/>
                <w:sz w:val="20"/>
                <w:szCs w:val="20"/>
              </w:rPr>
            </w:pPr>
          </w:p>
        </w:tc>
        <w:tc>
          <w:tcPr>
            <w:tcW w:w="1200" w:type="dxa"/>
            <w:shd w:val="clear" w:color="auto" w:fill="D9D9D9" w:themeFill="background1" w:themeFillShade="D9"/>
            <w:noWrap/>
            <w:vAlign w:val="center"/>
            <w:hideMark/>
          </w:tcPr>
          <w:p w:rsidRPr="00E92045" w:rsidR="0075046B" w:rsidP="008348D6" w:rsidRDefault="00E92045" w14:paraId="58CAFDE5" w14:textId="4F1C9BFC">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bCs/>
                <w:color w:val="000000"/>
                <w:sz w:val="20"/>
                <w:szCs w:val="20"/>
              </w:rPr>
              <w:t>Number</w:t>
            </w:r>
            <w:r w:rsidRPr="00E92045" w:rsidR="0075046B">
              <w:rPr>
                <w:rFonts w:ascii="Times New Roman" w:hAnsi="Times New Roman" w:eastAsia="Times New Roman" w:cs="Times New Roman"/>
                <w:b/>
                <w:color w:val="000000"/>
                <w:sz w:val="20"/>
                <w:szCs w:val="20"/>
              </w:rPr>
              <w:t xml:space="preserve"> of P1 Facilities</w:t>
            </w:r>
          </w:p>
        </w:tc>
        <w:tc>
          <w:tcPr>
            <w:tcW w:w="1190" w:type="dxa"/>
            <w:shd w:val="clear" w:color="auto" w:fill="D9D9D9" w:themeFill="background1" w:themeFillShade="D9"/>
            <w:noWrap/>
            <w:vAlign w:val="center"/>
            <w:hideMark/>
          </w:tcPr>
          <w:p w:rsidRPr="00E92045" w:rsidR="0075046B" w:rsidP="008348D6" w:rsidRDefault="00E92045" w14:paraId="7E7B1FA4" w14:textId="3B844A79">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bCs/>
                <w:color w:val="000000"/>
                <w:sz w:val="20"/>
                <w:szCs w:val="20"/>
              </w:rPr>
              <w:t>Number</w:t>
            </w:r>
            <w:r w:rsidRPr="00E92045" w:rsidR="0075046B">
              <w:rPr>
                <w:rFonts w:ascii="Times New Roman" w:hAnsi="Times New Roman" w:eastAsia="Times New Roman" w:cs="Times New Roman"/>
                <w:b/>
                <w:color w:val="000000"/>
                <w:sz w:val="20"/>
                <w:szCs w:val="20"/>
              </w:rPr>
              <w:t xml:space="preserve"> of P2 Facilities</w:t>
            </w:r>
          </w:p>
        </w:tc>
        <w:tc>
          <w:tcPr>
            <w:tcW w:w="1386" w:type="dxa"/>
            <w:shd w:val="clear" w:color="auto" w:fill="D9D9D9" w:themeFill="background1" w:themeFillShade="D9"/>
            <w:noWrap/>
            <w:vAlign w:val="center"/>
            <w:hideMark/>
          </w:tcPr>
          <w:p w:rsidR="00DE6426" w:rsidP="008348D6" w:rsidRDefault="00E92045" w14:paraId="19700D94" w14:textId="7DE41427">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bCs/>
                <w:color w:val="000000"/>
                <w:sz w:val="20"/>
                <w:szCs w:val="20"/>
              </w:rPr>
              <w:t xml:space="preserve">Number </w:t>
            </w:r>
            <w:r w:rsidRPr="00E92045" w:rsidR="0075046B">
              <w:rPr>
                <w:rFonts w:ascii="Times New Roman" w:hAnsi="Times New Roman" w:eastAsia="Times New Roman" w:cs="Times New Roman"/>
                <w:b/>
                <w:color w:val="000000"/>
                <w:sz w:val="20"/>
                <w:szCs w:val="20"/>
              </w:rPr>
              <w:t xml:space="preserve">of P3 </w:t>
            </w:r>
          </w:p>
          <w:p w:rsidRPr="00E92045" w:rsidR="0075046B" w:rsidP="008348D6" w:rsidRDefault="0075046B" w14:paraId="5479D488" w14:textId="51F0AED5">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Facilities</w:t>
            </w:r>
          </w:p>
        </w:tc>
      </w:tr>
      <w:tr w:rsidRPr="00C41D0C" w:rsidR="0075046B" w:rsidTr="00E92045" w14:paraId="3C1B400D" w14:textId="77777777">
        <w:trPr>
          <w:trHeight w:val="290"/>
          <w:jc w:val="center"/>
        </w:trPr>
        <w:tc>
          <w:tcPr>
            <w:tcW w:w="2789" w:type="dxa"/>
            <w:shd w:val="clear" w:color="auto" w:fill="auto"/>
            <w:noWrap/>
            <w:vAlign w:val="center"/>
            <w:hideMark/>
          </w:tcPr>
          <w:p w:rsidRPr="00E92045" w:rsidR="0075046B" w:rsidP="008348D6" w:rsidRDefault="0075046B" w14:paraId="580A4F0E"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Total Facilities</w:t>
            </w:r>
          </w:p>
        </w:tc>
        <w:tc>
          <w:tcPr>
            <w:tcW w:w="1200" w:type="dxa"/>
            <w:shd w:val="clear" w:color="auto" w:fill="auto"/>
            <w:noWrap/>
            <w:vAlign w:val="center"/>
            <w:hideMark/>
          </w:tcPr>
          <w:p w:rsidRPr="00E92045" w:rsidR="0075046B" w:rsidP="00E92045" w:rsidRDefault="0075046B" w14:paraId="1E87B151" w14:textId="528BEEA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660</w:t>
            </w:r>
          </w:p>
        </w:tc>
        <w:tc>
          <w:tcPr>
            <w:tcW w:w="1190" w:type="dxa"/>
            <w:shd w:val="clear" w:color="auto" w:fill="auto"/>
            <w:noWrap/>
            <w:vAlign w:val="center"/>
            <w:hideMark/>
          </w:tcPr>
          <w:p w:rsidRPr="00E92045" w:rsidR="0075046B" w:rsidP="00E92045" w:rsidRDefault="0075046B" w14:paraId="56AA331C" w14:textId="48910112">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3,975</w:t>
            </w:r>
          </w:p>
        </w:tc>
        <w:tc>
          <w:tcPr>
            <w:tcW w:w="1386" w:type="dxa"/>
            <w:shd w:val="clear" w:color="auto" w:fill="auto"/>
            <w:noWrap/>
            <w:vAlign w:val="center"/>
            <w:hideMark/>
          </w:tcPr>
          <w:p w:rsidRPr="00E92045" w:rsidR="0075046B" w:rsidP="00E92045" w:rsidRDefault="0075046B" w14:paraId="5A77AC56" w14:textId="041D4B8E">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7,105</w:t>
            </w:r>
          </w:p>
        </w:tc>
      </w:tr>
      <w:tr w:rsidRPr="00C41D0C" w:rsidR="0075046B" w:rsidTr="00E92045" w14:paraId="4B745B87" w14:textId="77777777">
        <w:trPr>
          <w:trHeight w:val="268"/>
          <w:jc w:val="center"/>
        </w:trPr>
        <w:tc>
          <w:tcPr>
            <w:tcW w:w="2789" w:type="dxa"/>
            <w:shd w:val="clear" w:color="auto" w:fill="auto"/>
            <w:noWrap/>
            <w:vAlign w:val="center"/>
            <w:hideMark/>
          </w:tcPr>
          <w:p w:rsidRPr="00E92045" w:rsidR="0075046B" w:rsidP="008348D6" w:rsidRDefault="0075046B" w14:paraId="7C750045" w14:textId="77777777">
            <w:pPr>
              <w:spacing w:after="0" w:line="240" w:lineRule="auto"/>
              <w:ind w:firstLine="200" w:firstLineChars="100"/>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 </w:t>
            </w:r>
            <w:proofErr w:type="gramStart"/>
            <w:r w:rsidRPr="00E92045">
              <w:rPr>
                <w:rFonts w:ascii="Times New Roman" w:hAnsi="Times New Roman" w:eastAsia="Times New Roman" w:cs="Times New Roman"/>
                <w:color w:val="000000"/>
                <w:sz w:val="20"/>
                <w:szCs w:val="20"/>
              </w:rPr>
              <w:t>of</w:t>
            </w:r>
            <w:proofErr w:type="gramEnd"/>
            <w:r w:rsidRPr="00E92045">
              <w:rPr>
                <w:rFonts w:ascii="Times New Roman" w:hAnsi="Times New Roman" w:eastAsia="Times New Roman" w:cs="Times New Roman"/>
                <w:color w:val="000000"/>
                <w:sz w:val="20"/>
                <w:szCs w:val="20"/>
              </w:rPr>
              <w:t xml:space="preserve"> facilities owned by: Private Sector Entities</w:t>
            </w:r>
          </w:p>
        </w:tc>
        <w:tc>
          <w:tcPr>
            <w:tcW w:w="1200" w:type="dxa"/>
            <w:shd w:val="clear" w:color="auto" w:fill="auto"/>
            <w:noWrap/>
            <w:vAlign w:val="center"/>
            <w:hideMark/>
          </w:tcPr>
          <w:p w:rsidRPr="00E92045" w:rsidR="0075046B" w:rsidP="00E92045" w:rsidRDefault="0075046B" w14:paraId="2F985732" w14:textId="500E603F">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651</w:t>
            </w:r>
          </w:p>
        </w:tc>
        <w:tc>
          <w:tcPr>
            <w:tcW w:w="1190" w:type="dxa"/>
            <w:shd w:val="clear" w:color="auto" w:fill="auto"/>
            <w:noWrap/>
            <w:vAlign w:val="center"/>
            <w:hideMark/>
          </w:tcPr>
          <w:p w:rsidRPr="00E92045" w:rsidR="0075046B" w:rsidP="00E92045" w:rsidRDefault="0075046B" w14:paraId="0255E406" w14:textId="58D179F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3,162</w:t>
            </w:r>
          </w:p>
        </w:tc>
        <w:tc>
          <w:tcPr>
            <w:tcW w:w="1386" w:type="dxa"/>
            <w:shd w:val="clear" w:color="auto" w:fill="auto"/>
            <w:noWrap/>
            <w:vAlign w:val="center"/>
            <w:hideMark/>
          </w:tcPr>
          <w:p w:rsidRPr="00E92045" w:rsidR="0075046B" w:rsidP="00E92045" w:rsidRDefault="0075046B" w14:paraId="341958E7" w14:textId="102816B1">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6,422</w:t>
            </w:r>
          </w:p>
        </w:tc>
      </w:tr>
      <w:tr w:rsidRPr="00C41D0C" w:rsidR="0075046B" w:rsidTr="00E92045" w14:paraId="09207906" w14:textId="77777777">
        <w:trPr>
          <w:trHeight w:val="268"/>
          <w:jc w:val="center"/>
        </w:trPr>
        <w:tc>
          <w:tcPr>
            <w:tcW w:w="2789" w:type="dxa"/>
            <w:shd w:val="clear" w:color="auto" w:fill="auto"/>
            <w:noWrap/>
            <w:vAlign w:val="center"/>
            <w:hideMark/>
          </w:tcPr>
          <w:p w:rsidRPr="00E92045" w:rsidR="0075046B" w:rsidP="008348D6" w:rsidRDefault="0075046B" w14:paraId="49E83112" w14:textId="77777777">
            <w:pPr>
              <w:spacing w:after="0" w:line="240" w:lineRule="auto"/>
              <w:ind w:firstLine="400" w:firstLineChars="200"/>
              <w:jc w:val="right"/>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Small </w:t>
            </w:r>
          </w:p>
        </w:tc>
        <w:tc>
          <w:tcPr>
            <w:tcW w:w="1200" w:type="dxa"/>
            <w:shd w:val="clear" w:color="auto" w:fill="auto"/>
            <w:noWrap/>
            <w:vAlign w:val="center"/>
            <w:hideMark/>
          </w:tcPr>
          <w:p w:rsidRPr="00E92045" w:rsidR="0075046B" w:rsidP="00E92045" w:rsidRDefault="0075046B" w14:paraId="6BAF5002" w14:textId="7EED841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369</w:t>
            </w:r>
          </w:p>
        </w:tc>
        <w:tc>
          <w:tcPr>
            <w:tcW w:w="1190" w:type="dxa"/>
            <w:shd w:val="clear" w:color="auto" w:fill="auto"/>
            <w:noWrap/>
            <w:vAlign w:val="center"/>
            <w:hideMark/>
          </w:tcPr>
          <w:p w:rsidRPr="00E92045" w:rsidR="0075046B" w:rsidP="00E92045" w:rsidRDefault="0075046B" w14:paraId="3F9D6014" w14:textId="35B4B47B">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1,636</w:t>
            </w:r>
          </w:p>
        </w:tc>
        <w:tc>
          <w:tcPr>
            <w:tcW w:w="1386" w:type="dxa"/>
            <w:shd w:val="clear" w:color="auto" w:fill="auto"/>
            <w:noWrap/>
            <w:vAlign w:val="center"/>
            <w:hideMark/>
          </w:tcPr>
          <w:p w:rsidRPr="00E92045" w:rsidR="0075046B" w:rsidP="00E92045" w:rsidRDefault="0075046B" w14:paraId="137BA2C7" w14:textId="771F02F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2,64</w:t>
            </w:r>
            <w:r w:rsidRPr="00E92045" w:rsidR="00734C4C">
              <w:rPr>
                <w:rFonts w:ascii="Times New Roman" w:hAnsi="Times New Roman" w:cs="Times New Roman"/>
                <w:color w:val="000000"/>
                <w:sz w:val="20"/>
                <w:szCs w:val="20"/>
              </w:rPr>
              <w:t>1</w:t>
            </w:r>
          </w:p>
        </w:tc>
      </w:tr>
      <w:tr w:rsidRPr="00C41D0C" w:rsidR="0075046B" w:rsidTr="00E92045" w14:paraId="022D5DDC" w14:textId="77777777">
        <w:trPr>
          <w:trHeight w:val="268"/>
          <w:jc w:val="center"/>
        </w:trPr>
        <w:tc>
          <w:tcPr>
            <w:tcW w:w="2789" w:type="dxa"/>
            <w:shd w:val="clear" w:color="auto" w:fill="auto"/>
            <w:noWrap/>
            <w:vAlign w:val="center"/>
            <w:hideMark/>
          </w:tcPr>
          <w:p w:rsidRPr="00E92045" w:rsidR="0075046B" w:rsidP="008348D6" w:rsidRDefault="0075046B" w14:paraId="3DCF8EA8" w14:textId="77777777">
            <w:pPr>
              <w:spacing w:after="0" w:line="240" w:lineRule="auto"/>
              <w:ind w:firstLine="400" w:firstLineChars="200"/>
              <w:jc w:val="right"/>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Non-small </w:t>
            </w:r>
          </w:p>
        </w:tc>
        <w:tc>
          <w:tcPr>
            <w:tcW w:w="1200" w:type="dxa"/>
            <w:shd w:val="clear" w:color="auto" w:fill="auto"/>
            <w:noWrap/>
            <w:vAlign w:val="center"/>
            <w:hideMark/>
          </w:tcPr>
          <w:p w:rsidRPr="00E92045" w:rsidR="0075046B" w:rsidP="00E92045" w:rsidRDefault="0075046B" w14:paraId="5EA094B4" w14:textId="2ABE16F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282</w:t>
            </w:r>
          </w:p>
        </w:tc>
        <w:tc>
          <w:tcPr>
            <w:tcW w:w="1190" w:type="dxa"/>
            <w:shd w:val="clear" w:color="auto" w:fill="auto"/>
            <w:noWrap/>
            <w:vAlign w:val="center"/>
            <w:hideMark/>
          </w:tcPr>
          <w:p w:rsidRPr="00E92045" w:rsidR="0075046B" w:rsidP="00E92045" w:rsidRDefault="0075046B" w14:paraId="517596C8" w14:textId="08C622CF">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1,526</w:t>
            </w:r>
          </w:p>
        </w:tc>
        <w:tc>
          <w:tcPr>
            <w:tcW w:w="1386" w:type="dxa"/>
            <w:shd w:val="clear" w:color="auto" w:fill="auto"/>
            <w:noWrap/>
            <w:vAlign w:val="center"/>
            <w:hideMark/>
          </w:tcPr>
          <w:p w:rsidRPr="00E92045" w:rsidR="0075046B" w:rsidP="00E92045" w:rsidRDefault="0075046B" w14:paraId="272644E2" w14:textId="7DB32328">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3,7</w:t>
            </w:r>
            <w:r w:rsidRPr="00E92045" w:rsidR="00734C4C">
              <w:rPr>
                <w:rFonts w:ascii="Times New Roman" w:hAnsi="Times New Roman" w:cs="Times New Roman"/>
                <w:color w:val="000000"/>
                <w:sz w:val="20"/>
                <w:szCs w:val="20"/>
              </w:rPr>
              <w:t>81</w:t>
            </w:r>
          </w:p>
        </w:tc>
      </w:tr>
    </w:tbl>
    <w:p w:rsidR="00B36ABC" w:rsidP="0075046B" w:rsidRDefault="00B36ABC" w14:paraId="5FCCB22A" w14:textId="77777777">
      <w:pPr>
        <w:rPr>
          <w:rFonts w:ascii="Times New Roman" w:hAnsi="Times New Roman" w:eastAsia="Calibri" w:cs="Times New Roman"/>
          <w:b/>
          <w:bCs/>
          <w:sz w:val="24"/>
          <w:szCs w:val="24"/>
        </w:rPr>
      </w:pPr>
    </w:p>
    <w:p w:rsidRPr="00693892" w:rsidR="0075046B" w:rsidP="00693892" w:rsidRDefault="0075046B" w14:paraId="564876A7" w14:textId="77777777">
      <w:pPr>
        <w:spacing w:after="0" w:line="240" w:lineRule="auto"/>
        <w:rPr>
          <w:rFonts w:ascii="Times New Roman" w:hAnsi="Times New Roman" w:eastAsia="Calibri" w:cs="Times New Roman"/>
          <w:b/>
        </w:rPr>
      </w:pPr>
      <w:r w:rsidRPr="00693892">
        <w:rPr>
          <w:rFonts w:ascii="Times New Roman" w:hAnsi="Times New Roman" w:eastAsia="Calibri" w:cs="Times New Roman"/>
          <w:b/>
        </w:rPr>
        <w:t>8.2.2 Government Entities</w:t>
      </w:r>
    </w:p>
    <w:p w:rsidR="0075046B" w:rsidP="000E6E0F" w:rsidRDefault="00D726C0" w14:paraId="4A6ABE6D" w14:textId="2EE72E70">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The </w:t>
      </w:r>
      <w:r w:rsidRPr="00693892" w:rsidR="008D75C0">
        <w:rPr>
          <w:rFonts w:ascii="Times New Roman" w:hAnsi="Times New Roman" w:cs="Times New Roman"/>
        </w:rPr>
        <w:t>RFA</w:t>
      </w:r>
      <w:r w:rsidRPr="00693892" w:rsidR="0075046B">
        <w:rPr>
          <w:rFonts w:ascii="Times New Roman" w:hAnsi="Times New Roman" w:cs="Times New Roman"/>
        </w:rPr>
        <w:t xml:space="preserve"> defines small governments as governments of cities, counties, towns, townships, villages, school districts, or special districts, with a population of less than 50,000.</w:t>
      </w:r>
      <w:r w:rsidRPr="00693892" w:rsidR="0075046B">
        <w:rPr>
          <w:rFonts w:ascii="Times New Roman" w:hAnsi="Times New Roman"/>
          <w:vertAlign w:val="superscript"/>
        </w:rPr>
        <w:footnoteReference w:id="95"/>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Most governmental RMP facilities are water and wastewater treatment systems and listed a city or county as the owner entity. A check of budgets that were available for some of the smallest cities indicated that the systems (1) are sub</w:t>
      </w:r>
      <w:r w:rsidRPr="00693892" w:rsidR="00E77DD9">
        <w:rPr>
          <w:rFonts w:ascii="Times New Roman" w:hAnsi="Times New Roman" w:cs="Times New Roman"/>
        </w:rPr>
        <w:t xml:space="preserve"> </w:t>
      </w:r>
      <w:r w:rsidRPr="00693892" w:rsidR="0075046B">
        <w:rPr>
          <w:rFonts w:ascii="Times New Roman" w:hAnsi="Times New Roman" w:cs="Times New Roman"/>
        </w:rPr>
        <w:t xml:space="preserve">agencies of the city/county and (2) obtain some revenues from the general fund, although most of their revenues are derived from user fees. </w:t>
      </w:r>
      <w:r w:rsidRPr="00693892" w:rsidR="00A106FD">
        <w:rPr>
          <w:rFonts w:ascii="Times New Roman" w:hAnsi="Times New Roman" w:cs="Times New Roman"/>
        </w:rPr>
        <w:t>EPA checked the 2019</w:t>
      </w:r>
      <w:r w:rsidRPr="00693892" w:rsidR="004A1C13">
        <w:rPr>
          <w:rFonts w:ascii="Times New Roman" w:hAnsi="Times New Roman" w:cs="Times New Roman"/>
        </w:rPr>
        <w:t xml:space="preserve"> population</w:t>
      </w:r>
      <w:r w:rsidRPr="00693892" w:rsidR="00A106FD">
        <w:rPr>
          <w:rFonts w:ascii="Times New Roman" w:hAnsi="Times New Roman" w:cs="Times New Roman"/>
        </w:rPr>
        <w:t xml:space="preserve"> estimates from the Census</w:t>
      </w:r>
      <w:r w:rsidRPr="00693892" w:rsidR="004A1C13">
        <w:rPr>
          <w:rFonts w:ascii="Times New Roman" w:hAnsi="Times New Roman" w:cs="Times New Roman"/>
        </w:rPr>
        <w:t xml:space="preserve"> for the associated city or county </w:t>
      </w:r>
      <w:r w:rsidRPr="00693892" w:rsidR="00A106FD">
        <w:rPr>
          <w:rFonts w:ascii="Times New Roman" w:hAnsi="Times New Roman" w:cs="Times New Roman"/>
        </w:rPr>
        <w:t>t</w:t>
      </w:r>
      <w:r w:rsidRPr="00693892" w:rsidR="0075046B">
        <w:rPr>
          <w:rFonts w:ascii="Times New Roman" w:hAnsi="Times New Roman" w:cs="Times New Roman"/>
        </w:rPr>
        <w:t xml:space="preserve">o </w:t>
      </w:r>
      <w:r w:rsidRPr="00693892" w:rsidR="00E97812">
        <w:rPr>
          <w:rFonts w:ascii="Times New Roman" w:hAnsi="Times New Roman" w:cs="Times New Roman"/>
        </w:rPr>
        <w:t>identify which</w:t>
      </w:r>
      <w:r w:rsidRPr="00693892" w:rsidR="0075046B">
        <w:rPr>
          <w:rFonts w:ascii="Times New Roman" w:hAnsi="Times New Roman" w:cs="Times New Roman"/>
        </w:rPr>
        <w:t xml:space="preserve"> facil</w:t>
      </w:r>
      <w:r w:rsidRPr="00693892" w:rsidR="00E77DD9">
        <w:rPr>
          <w:rFonts w:ascii="Times New Roman" w:hAnsi="Times New Roman" w:cs="Times New Roman"/>
        </w:rPr>
        <w:t>ities</w:t>
      </w:r>
      <w:r w:rsidRPr="00693892" w:rsidR="0075046B">
        <w:rPr>
          <w:rFonts w:ascii="Times New Roman" w:hAnsi="Times New Roman" w:cs="Times New Roman"/>
        </w:rPr>
        <w:t xml:space="preserve"> belong to small governments</w:t>
      </w:r>
      <w:r w:rsidRPr="00693892" w:rsidR="004A1C13">
        <w:rPr>
          <w:rFonts w:ascii="Times New Roman" w:hAnsi="Times New Roman" w:cs="Times New Roman"/>
        </w:rPr>
        <w:t>.</w:t>
      </w:r>
      <w:r w:rsidRPr="00693892" w:rsidR="0075046B">
        <w:rPr>
          <w:rFonts w:ascii="Times New Roman" w:hAnsi="Times New Roman" w:cs="Times New Roman"/>
        </w:rPr>
        <w:t xml:space="preserve"> For government entities that owned multiple facilities, the combined population of the facility cities or towns was used for classification. Government entities were classified as small if the population was less than 50,000. Based on the Census data, 630 of the total 1,111 government entities are small (57</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w:t>
      </w:r>
    </w:p>
    <w:p w:rsidR="00D726C0" w:rsidP="000E6E0F" w:rsidRDefault="00D726C0" w14:paraId="20AC87FC" w14:textId="15E982B3">
      <w:pPr>
        <w:spacing w:after="0" w:line="240" w:lineRule="auto"/>
        <w:ind w:firstLine="360"/>
        <w:rPr>
          <w:rFonts w:ascii="Times New Roman" w:hAnsi="Times New Roman" w:cs="Times New Roman"/>
        </w:rPr>
      </w:pPr>
      <w:r>
        <w:rPr>
          <w:rFonts w:ascii="Times New Roman" w:hAnsi="Times New Roman" w:cs="Times New Roman"/>
        </w:rPr>
        <w:tab/>
      </w:r>
    </w:p>
    <w:p w:rsidR="0075046B" w:rsidP="000E6E0F" w:rsidRDefault="00D726C0" w14:paraId="61CBB460" w14:textId="75ED4292">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Exhibit 8-4 presents an analysis of facilities and the size of entity they are associated with to provide an understanding of the distribution of government owned facilities by Program Level. Just over 48</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Program 3 facilities (331 facilities out of 683) are owned by non-small government sector entities compared to 45</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Program 2 facilities (369 facilities out of 813). There are few </w:t>
      </w:r>
      <w:proofErr w:type="gramStart"/>
      <w:r w:rsidRPr="00693892" w:rsidR="0075046B">
        <w:rPr>
          <w:rFonts w:ascii="Times New Roman" w:hAnsi="Times New Roman" w:cs="Times New Roman"/>
        </w:rPr>
        <w:t>Program</w:t>
      </w:r>
      <w:proofErr w:type="gramEnd"/>
      <w:r w:rsidRPr="00693892" w:rsidR="0075046B">
        <w:rPr>
          <w:rFonts w:ascii="Times New Roman" w:hAnsi="Times New Roman" w:cs="Times New Roman"/>
        </w:rPr>
        <w:t xml:space="preserve"> 1 government</w:t>
      </w:r>
      <w:r w:rsidRPr="00693892" w:rsidR="00D405F7">
        <w:rPr>
          <w:rFonts w:ascii="Times New Roman" w:hAnsi="Times New Roman" w:cs="Times New Roman"/>
        </w:rPr>
        <w:t>-</w:t>
      </w:r>
      <w:r w:rsidRPr="00693892" w:rsidR="0075046B">
        <w:rPr>
          <w:rFonts w:ascii="Times New Roman" w:hAnsi="Times New Roman" w:cs="Times New Roman"/>
        </w:rPr>
        <w:t>owned facilities.</w:t>
      </w:r>
    </w:p>
    <w:p w:rsidR="000E6E0F" w:rsidP="000E6E0F" w:rsidRDefault="000E6E0F" w14:paraId="484555AB" w14:textId="77777777">
      <w:pPr>
        <w:spacing w:after="0" w:line="240" w:lineRule="auto"/>
        <w:ind w:firstLine="360"/>
        <w:rPr>
          <w:rFonts w:ascii="Times New Roman" w:hAnsi="Times New Roman" w:cs="Times New Roman"/>
        </w:rPr>
      </w:pPr>
    </w:p>
    <w:p w:rsidR="00B20325" w:rsidP="000E6E0F" w:rsidRDefault="00B20325" w14:paraId="0014AD17" w14:textId="77777777">
      <w:pPr>
        <w:spacing w:after="0" w:line="240" w:lineRule="auto"/>
        <w:ind w:firstLine="360"/>
        <w:rPr>
          <w:rFonts w:ascii="Times New Roman" w:hAnsi="Times New Roman" w:cs="Times New Roman"/>
        </w:rPr>
      </w:pPr>
    </w:p>
    <w:p w:rsidR="00B20325" w:rsidP="000E6E0F" w:rsidRDefault="00B20325" w14:paraId="3EA20A5A" w14:textId="77777777">
      <w:pPr>
        <w:spacing w:after="0" w:line="240" w:lineRule="auto"/>
        <w:ind w:firstLine="360"/>
        <w:rPr>
          <w:rFonts w:ascii="Times New Roman" w:hAnsi="Times New Roman" w:cs="Times New Roman"/>
        </w:rPr>
      </w:pPr>
    </w:p>
    <w:p w:rsidR="00B20325" w:rsidP="000E6E0F" w:rsidRDefault="00B20325" w14:paraId="20129CF4" w14:textId="77777777">
      <w:pPr>
        <w:spacing w:after="0" w:line="240" w:lineRule="auto"/>
        <w:ind w:firstLine="360"/>
        <w:rPr>
          <w:rFonts w:ascii="Times New Roman" w:hAnsi="Times New Roman" w:cs="Times New Roman"/>
        </w:rPr>
      </w:pPr>
    </w:p>
    <w:p w:rsidR="00B20325" w:rsidP="000E6E0F" w:rsidRDefault="00B20325" w14:paraId="1EFF3C3B" w14:textId="77777777">
      <w:pPr>
        <w:spacing w:after="0" w:line="240" w:lineRule="auto"/>
        <w:ind w:firstLine="360"/>
        <w:rPr>
          <w:rFonts w:ascii="Times New Roman" w:hAnsi="Times New Roman" w:cs="Times New Roman"/>
        </w:rPr>
      </w:pPr>
    </w:p>
    <w:p w:rsidR="00B20325" w:rsidP="000E6E0F" w:rsidRDefault="00B20325" w14:paraId="32CE652A" w14:textId="77777777">
      <w:pPr>
        <w:spacing w:after="0" w:line="240" w:lineRule="auto"/>
        <w:ind w:firstLine="360"/>
        <w:rPr>
          <w:rFonts w:ascii="Times New Roman" w:hAnsi="Times New Roman" w:cs="Times New Roman"/>
        </w:rPr>
      </w:pPr>
    </w:p>
    <w:p w:rsidR="00B20325" w:rsidP="000E6E0F" w:rsidRDefault="00B20325" w14:paraId="6732B97C" w14:textId="77777777">
      <w:pPr>
        <w:spacing w:after="0" w:line="240" w:lineRule="auto"/>
        <w:ind w:firstLine="360"/>
        <w:rPr>
          <w:rFonts w:ascii="Times New Roman" w:hAnsi="Times New Roman" w:cs="Times New Roman"/>
        </w:rPr>
      </w:pPr>
    </w:p>
    <w:p w:rsidR="00B20325" w:rsidP="000E6E0F" w:rsidRDefault="00B20325" w14:paraId="2588F143" w14:textId="77777777">
      <w:pPr>
        <w:spacing w:after="0" w:line="240" w:lineRule="auto"/>
        <w:ind w:firstLine="360"/>
        <w:rPr>
          <w:rFonts w:ascii="Times New Roman" w:hAnsi="Times New Roman" w:cs="Times New Roman"/>
        </w:rPr>
      </w:pPr>
    </w:p>
    <w:p w:rsidRPr="00693892" w:rsidR="00B20325" w:rsidP="000E6E0F" w:rsidRDefault="00B20325" w14:paraId="3561D4EA" w14:textId="77777777">
      <w:pPr>
        <w:spacing w:after="0" w:line="240" w:lineRule="auto"/>
        <w:ind w:firstLine="360"/>
        <w:rPr>
          <w:rFonts w:ascii="Times New Roman" w:hAnsi="Times New Roman" w:cs="Times New Roman"/>
        </w:rPr>
      </w:pPr>
    </w:p>
    <w:p w:rsidRPr="00E92045" w:rsidR="00E92045" w:rsidP="00E92045" w:rsidRDefault="00E92045" w14:paraId="52ED3749" w14:textId="03ADBC6E">
      <w:pPr>
        <w:pStyle w:val="Caption"/>
        <w:jc w:val="center"/>
        <w:rPr>
          <w:rFonts w:ascii="Times New Roman" w:hAnsi="Times New Roman" w:cs="Times New Roman"/>
          <w:b/>
          <w:bCs/>
          <w:i w:val="0"/>
          <w:iCs w:val="0"/>
          <w:color w:val="auto"/>
          <w:sz w:val="22"/>
          <w:szCs w:val="22"/>
        </w:rPr>
      </w:pPr>
      <w:r w:rsidRPr="00E92045">
        <w:rPr>
          <w:rFonts w:ascii="Times New Roman" w:hAnsi="Times New Roman" w:cs="Times New Roman"/>
          <w:b/>
          <w:bCs/>
          <w:i w:val="0"/>
          <w:iCs w:val="0"/>
          <w:color w:val="auto"/>
          <w:sz w:val="22"/>
          <w:szCs w:val="22"/>
        </w:rPr>
        <w:lastRenderedPageBreak/>
        <w:t>Exhibit 8-4: Analysis of Government Sector Facility Ownership by Program Level.</w:t>
      </w:r>
    </w:p>
    <w:tbl>
      <w:tblPr>
        <w:tblW w:w="6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9"/>
        <w:gridCol w:w="1200"/>
        <w:gridCol w:w="1190"/>
        <w:gridCol w:w="1386"/>
      </w:tblGrid>
      <w:tr w:rsidRPr="00C41D0C" w:rsidR="0075046B" w:rsidTr="00E92045" w14:paraId="65329FAF" w14:textId="77777777">
        <w:trPr>
          <w:trHeight w:val="290"/>
          <w:tblHeader/>
          <w:jc w:val="center"/>
        </w:trPr>
        <w:tc>
          <w:tcPr>
            <w:tcW w:w="2789" w:type="dxa"/>
            <w:shd w:val="clear" w:color="auto" w:fill="D0CECE" w:themeFill="background2" w:themeFillShade="E6"/>
            <w:noWrap/>
            <w:vAlign w:val="bottom"/>
            <w:hideMark/>
          </w:tcPr>
          <w:p w:rsidRPr="00E92045" w:rsidR="0075046B" w:rsidP="00666033" w:rsidRDefault="0075046B" w14:paraId="7B7273FD" w14:textId="77777777">
            <w:pPr>
              <w:keepNext/>
              <w:spacing w:after="0" w:line="240" w:lineRule="auto"/>
              <w:rPr>
                <w:rFonts w:ascii="Times New Roman" w:hAnsi="Times New Roman" w:eastAsia="Times New Roman" w:cs="Times New Roman"/>
                <w:b/>
                <w:sz w:val="20"/>
                <w:szCs w:val="20"/>
              </w:rPr>
            </w:pPr>
          </w:p>
        </w:tc>
        <w:tc>
          <w:tcPr>
            <w:tcW w:w="1200" w:type="dxa"/>
            <w:shd w:val="clear" w:color="auto" w:fill="D0CECE" w:themeFill="background2" w:themeFillShade="E6"/>
            <w:noWrap/>
            <w:vAlign w:val="center"/>
            <w:hideMark/>
          </w:tcPr>
          <w:p w:rsidRPr="00E92045" w:rsidR="0075046B" w:rsidP="00666033" w:rsidRDefault="00E92045" w14:paraId="70D8AFE9" w14:textId="6B1B33BD">
            <w:pPr>
              <w:keepNext/>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bCs/>
                <w:color w:val="000000"/>
                <w:sz w:val="20"/>
                <w:szCs w:val="20"/>
              </w:rPr>
              <w:t>Number</w:t>
            </w:r>
            <w:r w:rsidR="0075046B">
              <w:rPr>
                <w:rFonts w:ascii="Times New Roman" w:hAnsi="Times New Roman" w:eastAsia="Times New Roman" w:cs="Times New Roman"/>
                <w:b/>
                <w:color w:val="000000"/>
                <w:sz w:val="20"/>
                <w:szCs w:val="20"/>
              </w:rPr>
              <w:t xml:space="preserve"> of</w:t>
            </w:r>
            <w:r w:rsidRPr="00E92045" w:rsidR="0075046B">
              <w:rPr>
                <w:rFonts w:ascii="Times New Roman" w:hAnsi="Times New Roman" w:eastAsia="Times New Roman" w:cs="Times New Roman"/>
                <w:b/>
                <w:color w:val="000000"/>
                <w:sz w:val="20"/>
                <w:szCs w:val="20"/>
              </w:rPr>
              <w:t xml:space="preserve"> </w:t>
            </w:r>
            <w:proofErr w:type="spellStart"/>
            <w:r w:rsidRPr="00E92045" w:rsidR="0075046B">
              <w:rPr>
                <w:rFonts w:ascii="Times New Roman" w:hAnsi="Times New Roman" w:eastAsia="Times New Roman" w:cs="Times New Roman"/>
                <w:b/>
                <w:bCs/>
                <w:color w:val="000000"/>
                <w:sz w:val="20"/>
                <w:szCs w:val="20"/>
              </w:rPr>
              <w:t>of</w:t>
            </w:r>
            <w:proofErr w:type="spellEnd"/>
            <w:r w:rsidRPr="00E92045" w:rsidR="0075046B">
              <w:rPr>
                <w:rFonts w:ascii="Times New Roman" w:hAnsi="Times New Roman" w:eastAsia="Times New Roman" w:cs="Times New Roman"/>
                <w:b/>
                <w:bCs/>
                <w:color w:val="000000"/>
                <w:sz w:val="20"/>
                <w:szCs w:val="20"/>
              </w:rPr>
              <w:t xml:space="preserve"> </w:t>
            </w:r>
            <w:r w:rsidRPr="00E92045" w:rsidR="0075046B">
              <w:rPr>
                <w:rFonts w:ascii="Times New Roman" w:hAnsi="Times New Roman" w:eastAsia="Times New Roman" w:cs="Times New Roman"/>
                <w:b/>
                <w:color w:val="000000"/>
                <w:sz w:val="20"/>
                <w:szCs w:val="20"/>
              </w:rPr>
              <w:t>P1 Facilities</w:t>
            </w:r>
          </w:p>
        </w:tc>
        <w:tc>
          <w:tcPr>
            <w:tcW w:w="1190" w:type="dxa"/>
            <w:shd w:val="clear" w:color="auto" w:fill="D0CECE" w:themeFill="background2" w:themeFillShade="E6"/>
            <w:noWrap/>
            <w:vAlign w:val="center"/>
            <w:hideMark/>
          </w:tcPr>
          <w:p w:rsidRPr="00E92045" w:rsidR="0075046B" w:rsidP="00666033" w:rsidRDefault="00E92045" w14:paraId="43E1795A" w14:textId="11768D3F">
            <w:pPr>
              <w:keepNext/>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bCs/>
                <w:color w:val="000000"/>
                <w:sz w:val="20"/>
                <w:szCs w:val="20"/>
              </w:rPr>
              <w:t>Number</w:t>
            </w:r>
            <w:r w:rsidRPr="00E92045" w:rsidR="0075046B">
              <w:rPr>
                <w:rFonts w:ascii="Times New Roman" w:hAnsi="Times New Roman" w:eastAsia="Times New Roman" w:cs="Times New Roman"/>
                <w:b/>
                <w:color w:val="000000"/>
                <w:sz w:val="20"/>
                <w:szCs w:val="20"/>
              </w:rPr>
              <w:t xml:space="preserve"> of P2 Facilities</w:t>
            </w:r>
          </w:p>
        </w:tc>
        <w:tc>
          <w:tcPr>
            <w:tcW w:w="1386" w:type="dxa"/>
            <w:shd w:val="clear" w:color="auto" w:fill="D0CECE" w:themeFill="background2" w:themeFillShade="E6"/>
            <w:noWrap/>
            <w:vAlign w:val="center"/>
            <w:hideMark/>
          </w:tcPr>
          <w:p w:rsidRPr="00E92045" w:rsidR="0075046B" w:rsidP="00666033" w:rsidRDefault="00E92045" w14:paraId="3BF94757" w14:textId="3F9FBEFA">
            <w:pPr>
              <w:keepNext/>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bCs/>
                <w:color w:val="000000"/>
                <w:sz w:val="20"/>
                <w:szCs w:val="20"/>
              </w:rPr>
              <w:t>Number</w:t>
            </w:r>
            <w:r w:rsidRPr="00E92045" w:rsidR="0075046B">
              <w:rPr>
                <w:rFonts w:ascii="Times New Roman" w:hAnsi="Times New Roman" w:eastAsia="Times New Roman" w:cs="Times New Roman"/>
                <w:b/>
                <w:color w:val="000000"/>
                <w:sz w:val="20"/>
                <w:szCs w:val="20"/>
              </w:rPr>
              <w:t xml:space="preserve"> of P3 Facilities</w:t>
            </w:r>
          </w:p>
        </w:tc>
      </w:tr>
      <w:tr w:rsidRPr="00C41D0C" w:rsidR="0075046B" w:rsidTr="00E92045" w14:paraId="122DB021" w14:textId="77777777">
        <w:trPr>
          <w:trHeight w:val="290"/>
          <w:jc w:val="center"/>
        </w:trPr>
        <w:tc>
          <w:tcPr>
            <w:tcW w:w="2789" w:type="dxa"/>
            <w:shd w:val="clear" w:color="auto" w:fill="auto"/>
            <w:noWrap/>
            <w:vAlign w:val="bottom"/>
            <w:hideMark/>
          </w:tcPr>
          <w:p w:rsidRPr="00E92045" w:rsidR="0075046B" w:rsidP="008348D6" w:rsidRDefault="0075046B" w14:paraId="6224D690"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Total Facilities</w:t>
            </w:r>
          </w:p>
        </w:tc>
        <w:tc>
          <w:tcPr>
            <w:tcW w:w="1200" w:type="dxa"/>
            <w:shd w:val="clear" w:color="auto" w:fill="auto"/>
            <w:noWrap/>
            <w:vAlign w:val="center"/>
            <w:hideMark/>
          </w:tcPr>
          <w:p w:rsidRPr="00E92045" w:rsidR="0075046B" w:rsidP="00E92045" w:rsidRDefault="0075046B" w14:paraId="3A4831EC" w14:textId="09613744">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660</w:t>
            </w:r>
          </w:p>
        </w:tc>
        <w:tc>
          <w:tcPr>
            <w:tcW w:w="1190" w:type="dxa"/>
            <w:shd w:val="clear" w:color="auto" w:fill="auto"/>
            <w:noWrap/>
            <w:vAlign w:val="center"/>
            <w:hideMark/>
          </w:tcPr>
          <w:p w:rsidRPr="00E92045" w:rsidR="0075046B" w:rsidP="00E92045" w:rsidRDefault="0075046B" w14:paraId="7EAFFBE1" w14:textId="0659604C">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3,975</w:t>
            </w:r>
          </w:p>
        </w:tc>
        <w:tc>
          <w:tcPr>
            <w:tcW w:w="1386" w:type="dxa"/>
            <w:shd w:val="clear" w:color="auto" w:fill="auto"/>
            <w:noWrap/>
            <w:vAlign w:val="center"/>
            <w:hideMark/>
          </w:tcPr>
          <w:p w:rsidRPr="00E92045" w:rsidR="0075046B" w:rsidP="00E92045" w:rsidRDefault="0075046B" w14:paraId="405EDC14" w14:textId="1F214ED6">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7,105</w:t>
            </w:r>
          </w:p>
        </w:tc>
      </w:tr>
      <w:tr w:rsidRPr="00C41D0C" w:rsidR="0075046B" w:rsidTr="008348D6" w14:paraId="60427F16" w14:textId="77777777">
        <w:trPr>
          <w:trHeight w:val="268"/>
          <w:jc w:val="center"/>
        </w:trPr>
        <w:tc>
          <w:tcPr>
            <w:tcW w:w="2789" w:type="dxa"/>
            <w:shd w:val="clear" w:color="auto" w:fill="auto"/>
            <w:noWrap/>
            <w:vAlign w:val="bottom"/>
            <w:hideMark/>
          </w:tcPr>
          <w:p w:rsidRPr="00E92045" w:rsidR="0075046B" w:rsidP="008348D6" w:rsidRDefault="0075046B" w14:paraId="7DCA92B0" w14:textId="77777777">
            <w:pPr>
              <w:spacing w:after="0" w:line="240" w:lineRule="auto"/>
              <w:ind w:firstLine="200" w:firstLineChars="100"/>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 </w:t>
            </w:r>
            <w:proofErr w:type="gramStart"/>
            <w:r w:rsidRPr="00E92045">
              <w:rPr>
                <w:rFonts w:ascii="Times New Roman" w:hAnsi="Times New Roman" w:eastAsia="Times New Roman" w:cs="Times New Roman"/>
                <w:color w:val="000000"/>
                <w:sz w:val="20"/>
                <w:szCs w:val="20"/>
              </w:rPr>
              <w:t>of</w:t>
            </w:r>
            <w:proofErr w:type="gramEnd"/>
            <w:r w:rsidRPr="00E92045">
              <w:rPr>
                <w:rFonts w:ascii="Times New Roman" w:hAnsi="Times New Roman" w:eastAsia="Times New Roman" w:cs="Times New Roman"/>
                <w:color w:val="000000"/>
                <w:sz w:val="20"/>
                <w:szCs w:val="20"/>
              </w:rPr>
              <w:t xml:space="preserve"> facilities owned by: Government Entities</w:t>
            </w:r>
          </w:p>
        </w:tc>
        <w:tc>
          <w:tcPr>
            <w:tcW w:w="1200" w:type="dxa"/>
            <w:shd w:val="clear" w:color="auto" w:fill="auto"/>
            <w:noWrap/>
            <w:vAlign w:val="center"/>
            <w:hideMark/>
          </w:tcPr>
          <w:p w:rsidRPr="00E92045" w:rsidR="0075046B" w:rsidP="00E92045" w:rsidRDefault="0075046B" w14:paraId="5F6A6CB0" w14:textId="5E100E7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9</w:t>
            </w:r>
          </w:p>
        </w:tc>
        <w:tc>
          <w:tcPr>
            <w:tcW w:w="1190" w:type="dxa"/>
            <w:shd w:val="clear" w:color="auto" w:fill="auto"/>
            <w:noWrap/>
            <w:vAlign w:val="center"/>
            <w:hideMark/>
          </w:tcPr>
          <w:p w:rsidRPr="00E92045" w:rsidR="0075046B" w:rsidP="00E92045" w:rsidRDefault="0075046B" w14:paraId="10D8746E" w14:textId="05A7B944">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813</w:t>
            </w:r>
          </w:p>
        </w:tc>
        <w:tc>
          <w:tcPr>
            <w:tcW w:w="1386" w:type="dxa"/>
            <w:shd w:val="clear" w:color="auto" w:fill="auto"/>
            <w:noWrap/>
            <w:vAlign w:val="center"/>
            <w:hideMark/>
          </w:tcPr>
          <w:p w:rsidRPr="00E92045" w:rsidR="0075046B" w:rsidP="00E92045" w:rsidRDefault="0075046B" w14:paraId="5AF7674B" w14:textId="22E6925E">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683</w:t>
            </w:r>
          </w:p>
        </w:tc>
      </w:tr>
      <w:tr w:rsidRPr="00C41D0C" w:rsidR="0075046B" w:rsidTr="008348D6" w14:paraId="71B68101" w14:textId="77777777">
        <w:trPr>
          <w:trHeight w:val="268"/>
          <w:jc w:val="center"/>
        </w:trPr>
        <w:tc>
          <w:tcPr>
            <w:tcW w:w="2789" w:type="dxa"/>
            <w:shd w:val="clear" w:color="auto" w:fill="auto"/>
            <w:noWrap/>
            <w:vAlign w:val="bottom"/>
            <w:hideMark/>
          </w:tcPr>
          <w:p w:rsidRPr="00E92045" w:rsidR="0075046B" w:rsidP="008348D6" w:rsidRDefault="0075046B" w14:paraId="72125CD6" w14:textId="77777777">
            <w:pPr>
              <w:spacing w:after="0" w:line="240" w:lineRule="auto"/>
              <w:ind w:firstLine="400" w:firstLineChars="200"/>
              <w:jc w:val="right"/>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Small </w:t>
            </w:r>
          </w:p>
        </w:tc>
        <w:tc>
          <w:tcPr>
            <w:tcW w:w="1200" w:type="dxa"/>
            <w:shd w:val="clear" w:color="auto" w:fill="auto"/>
            <w:noWrap/>
            <w:vAlign w:val="center"/>
            <w:hideMark/>
          </w:tcPr>
          <w:p w:rsidRPr="00E92045" w:rsidR="0075046B" w:rsidP="00E92045" w:rsidRDefault="0075046B" w14:paraId="45806285" w14:textId="0111BE8E">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2</w:t>
            </w:r>
          </w:p>
        </w:tc>
        <w:tc>
          <w:tcPr>
            <w:tcW w:w="1190" w:type="dxa"/>
            <w:shd w:val="clear" w:color="auto" w:fill="auto"/>
            <w:noWrap/>
            <w:vAlign w:val="center"/>
            <w:hideMark/>
          </w:tcPr>
          <w:p w:rsidRPr="00E92045" w:rsidR="0075046B" w:rsidP="00E92045" w:rsidRDefault="0075046B" w14:paraId="69506DFE" w14:textId="318206A4">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444</w:t>
            </w:r>
          </w:p>
        </w:tc>
        <w:tc>
          <w:tcPr>
            <w:tcW w:w="1386" w:type="dxa"/>
            <w:shd w:val="clear" w:color="auto" w:fill="auto"/>
            <w:noWrap/>
            <w:vAlign w:val="center"/>
            <w:hideMark/>
          </w:tcPr>
          <w:p w:rsidRPr="00E92045" w:rsidR="0075046B" w:rsidP="00E92045" w:rsidRDefault="0075046B" w14:paraId="4D9895C5" w14:textId="5C52C605">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352</w:t>
            </w:r>
          </w:p>
        </w:tc>
      </w:tr>
      <w:tr w:rsidRPr="00C41D0C" w:rsidR="0075046B" w:rsidTr="008348D6" w14:paraId="23D12935" w14:textId="77777777">
        <w:trPr>
          <w:trHeight w:val="268"/>
          <w:jc w:val="center"/>
        </w:trPr>
        <w:tc>
          <w:tcPr>
            <w:tcW w:w="2789" w:type="dxa"/>
            <w:shd w:val="clear" w:color="auto" w:fill="auto"/>
            <w:noWrap/>
            <w:vAlign w:val="bottom"/>
            <w:hideMark/>
          </w:tcPr>
          <w:p w:rsidRPr="00E92045" w:rsidR="0075046B" w:rsidP="008348D6" w:rsidRDefault="0075046B" w14:paraId="017FE66C" w14:textId="77777777">
            <w:pPr>
              <w:spacing w:after="0" w:line="240" w:lineRule="auto"/>
              <w:ind w:firstLine="400" w:firstLineChars="200"/>
              <w:jc w:val="right"/>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 xml:space="preserve">Non-small </w:t>
            </w:r>
          </w:p>
        </w:tc>
        <w:tc>
          <w:tcPr>
            <w:tcW w:w="1200" w:type="dxa"/>
            <w:shd w:val="clear" w:color="auto" w:fill="auto"/>
            <w:noWrap/>
            <w:vAlign w:val="center"/>
            <w:hideMark/>
          </w:tcPr>
          <w:p w:rsidRPr="00E92045" w:rsidR="0075046B" w:rsidP="00E92045" w:rsidRDefault="0075046B" w14:paraId="22B775CF" w14:textId="4BE0313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7</w:t>
            </w:r>
          </w:p>
        </w:tc>
        <w:tc>
          <w:tcPr>
            <w:tcW w:w="1190" w:type="dxa"/>
            <w:shd w:val="clear" w:color="auto" w:fill="auto"/>
            <w:noWrap/>
            <w:vAlign w:val="center"/>
            <w:hideMark/>
          </w:tcPr>
          <w:p w:rsidRPr="00E92045" w:rsidR="0075046B" w:rsidP="00E92045" w:rsidRDefault="0075046B" w14:paraId="732F3EFE" w14:textId="1179EA5D">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369</w:t>
            </w:r>
          </w:p>
        </w:tc>
        <w:tc>
          <w:tcPr>
            <w:tcW w:w="1386" w:type="dxa"/>
            <w:shd w:val="clear" w:color="auto" w:fill="auto"/>
            <w:noWrap/>
            <w:vAlign w:val="center"/>
            <w:hideMark/>
          </w:tcPr>
          <w:p w:rsidRPr="00E92045" w:rsidR="0075046B" w:rsidP="00E92045" w:rsidRDefault="0075046B" w14:paraId="769095D6" w14:textId="3AD23198">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sz w:val="20"/>
                <w:szCs w:val="20"/>
              </w:rPr>
              <w:t>331</w:t>
            </w:r>
          </w:p>
        </w:tc>
      </w:tr>
    </w:tbl>
    <w:p w:rsidRPr="0034122C" w:rsidR="0075046B" w:rsidP="0075046B" w:rsidRDefault="0075046B" w14:paraId="2A26907A" w14:textId="77777777">
      <w:pPr>
        <w:rPr>
          <w:rFonts w:ascii="Times New Roman" w:hAnsi="Times New Roman" w:eastAsia="Calibri" w:cs="Times New Roman"/>
          <w:b/>
          <w:bCs/>
          <w:sz w:val="24"/>
          <w:szCs w:val="24"/>
        </w:rPr>
      </w:pPr>
    </w:p>
    <w:p w:rsidRPr="00693892" w:rsidR="0075046B" w:rsidP="00813745" w:rsidRDefault="0075046B" w14:paraId="248150F8" w14:textId="4C02F0AC">
      <w:pPr>
        <w:pStyle w:val="Heading2"/>
      </w:pPr>
      <w:bookmarkStart w:name="_Toc98856241" w:id="150"/>
      <w:bookmarkStart w:name="_Toc110502771" w:id="151"/>
      <w:r w:rsidRPr="00693892">
        <w:t>8.3 Economic Impact on Small Entities</w:t>
      </w:r>
      <w:bookmarkEnd w:id="150"/>
      <w:bookmarkEnd w:id="151"/>
    </w:p>
    <w:p w:rsidR="0075046B" w:rsidP="000E6E0F" w:rsidRDefault="00D726C0" w14:paraId="100BF9DC" w14:textId="58946B6C">
      <w:pPr>
        <w:keepNext/>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To understand the distribution of impacts </w:t>
      </w:r>
      <w:r w:rsidR="00B20325">
        <w:rPr>
          <w:rFonts w:ascii="Times New Roman" w:hAnsi="Times New Roman" w:cs="Times New Roman"/>
        </w:rPr>
        <w:t>on</w:t>
      </w:r>
      <w:r w:rsidRPr="00693892" w:rsidR="0075046B">
        <w:rPr>
          <w:rFonts w:ascii="Times New Roman" w:hAnsi="Times New Roman" w:cs="Times New Roman"/>
        </w:rPr>
        <w:t xml:space="preserve"> small entities, EPA estimated the cost for each facility to comply with the proposed rule. This was done by applying cost estimates for the following cost categories to facilities in the affected </w:t>
      </w:r>
      <w:r w:rsidRPr="00693892" w:rsidR="0075046B">
        <w:rPr>
          <w:rFonts w:ascii="Times New Roman" w:hAnsi="Times New Roman"/>
        </w:rPr>
        <w:t>universe</w:t>
      </w:r>
      <w:r w:rsidRPr="00693892" w:rsidR="0075046B">
        <w:rPr>
          <w:rFonts w:ascii="Times New Roman" w:hAnsi="Times New Roman" w:cs="Times New Roman"/>
        </w:rPr>
        <w:t>, per facility or per process:</w:t>
      </w:r>
    </w:p>
    <w:p w:rsidRPr="00693892" w:rsidR="000E6E0F" w:rsidP="000E6E0F" w:rsidRDefault="000E6E0F" w14:paraId="11612BE3" w14:textId="77777777">
      <w:pPr>
        <w:keepNext/>
        <w:spacing w:after="0" w:line="240" w:lineRule="auto"/>
        <w:ind w:firstLine="360"/>
        <w:rPr>
          <w:rFonts w:ascii="Times New Roman" w:hAnsi="Times New Roman" w:cs="Times New Roman"/>
        </w:rPr>
      </w:pPr>
    </w:p>
    <w:p w:rsidRPr="00693892" w:rsidR="0075046B" w:rsidP="00693892" w:rsidRDefault="0075046B" w14:paraId="367D3681" w14:textId="71E245FE">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Third</w:t>
      </w:r>
      <w:r w:rsidRPr="00693892" w:rsidR="006329AD">
        <w:rPr>
          <w:rFonts w:ascii="Times New Roman" w:hAnsi="Times New Roman" w:cs="Times New Roman"/>
          <w:sz w:val="22"/>
          <w:szCs w:val="22"/>
        </w:rPr>
        <w:t>-</w:t>
      </w:r>
      <w:r w:rsidRPr="00693892">
        <w:rPr>
          <w:rFonts w:ascii="Times New Roman" w:hAnsi="Times New Roman" w:cs="Times New Roman"/>
          <w:sz w:val="22"/>
          <w:szCs w:val="22"/>
        </w:rPr>
        <w:t>Party Audits</w:t>
      </w:r>
    </w:p>
    <w:p w:rsidRPr="00693892" w:rsidR="0075046B" w:rsidP="00693892" w:rsidRDefault="00254DEC" w14:paraId="7CA0B492" w14:textId="28E955E9">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Information Availability</w:t>
      </w:r>
    </w:p>
    <w:p w:rsidRPr="00693892" w:rsidR="0075046B" w:rsidP="00693892" w:rsidRDefault="0075046B" w14:paraId="3C3C50B5" w14:textId="77777777">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STAA</w:t>
      </w:r>
    </w:p>
    <w:p w:rsidRPr="00693892" w:rsidR="0075046B" w:rsidP="00693892" w:rsidRDefault="0075046B" w14:paraId="70F0F968" w14:textId="77777777">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Root Cause Analysis</w:t>
      </w:r>
    </w:p>
    <w:p w:rsidRPr="00693892" w:rsidR="0075046B" w:rsidP="00693892" w:rsidRDefault="0075046B" w14:paraId="679CF9D3" w14:textId="77777777">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Rule Familiarization</w:t>
      </w:r>
    </w:p>
    <w:p w:rsidRPr="00693892" w:rsidR="0075046B" w:rsidP="00693892" w:rsidRDefault="0075046B" w14:paraId="0C28F4FD" w14:textId="77777777">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Community Notification Plan</w:t>
      </w:r>
    </w:p>
    <w:p w:rsidRPr="00693892" w:rsidR="0075046B" w:rsidP="00693892" w:rsidRDefault="0075046B" w14:paraId="1A4B3F84" w14:textId="77777777">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Emergency Backup Power</w:t>
      </w:r>
    </w:p>
    <w:p w:rsidR="0075046B" w:rsidP="00693892" w:rsidRDefault="0075046B" w14:paraId="53D067DE" w14:textId="57DD5E48">
      <w:pPr>
        <w:pStyle w:val="Default"/>
        <w:numPr>
          <w:ilvl w:val="0"/>
          <w:numId w:val="10"/>
        </w:numPr>
        <w:rPr>
          <w:rFonts w:ascii="Times New Roman" w:hAnsi="Times New Roman" w:cs="Times New Roman"/>
          <w:sz w:val="22"/>
          <w:szCs w:val="22"/>
        </w:rPr>
      </w:pPr>
      <w:r w:rsidRPr="00693892">
        <w:rPr>
          <w:rFonts w:ascii="Times New Roman" w:hAnsi="Times New Roman" w:cs="Times New Roman"/>
          <w:sz w:val="22"/>
          <w:szCs w:val="22"/>
        </w:rPr>
        <w:t>Employee Participation Plan</w:t>
      </w:r>
    </w:p>
    <w:p w:rsidRPr="00693892" w:rsidR="000E6E0F" w:rsidP="000E6E0F" w:rsidRDefault="000E6E0F" w14:paraId="6276E08C" w14:textId="77777777">
      <w:pPr>
        <w:pStyle w:val="Default"/>
        <w:ind w:left="720"/>
        <w:rPr>
          <w:rFonts w:ascii="Times New Roman" w:hAnsi="Times New Roman" w:cs="Times New Roman"/>
          <w:sz w:val="22"/>
          <w:szCs w:val="22"/>
        </w:rPr>
      </w:pPr>
    </w:p>
    <w:p w:rsidR="0075046B" w:rsidP="000E6E0F" w:rsidRDefault="00D726C0" w14:paraId="7D2DA356" w14:textId="6AE102F9">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The costs used for each cost category are consistent with the costs described in Chapter 4: Unit Costs of Proposed Rule Provisions. </w:t>
      </w:r>
      <w:r w:rsidRPr="005B7435" w:rsidR="005B7435">
        <w:rPr>
          <w:rFonts w:ascii="Times New Roman" w:hAnsi="Times New Roman" w:cs="Times New Roman"/>
        </w:rPr>
        <w:t xml:space="preserve">EPA provides a summary of relevant NAICS codes for provisions with a smaller number of impacted sectors in Exhibit 8-5. </w:t>
      </w:r>
      <w:r w:rsidRPr="00693892" w:rsidR="0075046B">
        <w:rPr>
          <w:rFonts w:ascii="Times New Roman" w:hAnsi="Times New Roman" w:cs="Times New Roman"/>
        </w:rPr>
        <w:t xml:space="preserve">After calculating the cost for each facility to comply with the proposed rule, the costs for all facilities owned by each unique small entity were summed to estimate the total impact to each small parent entity. These costs were then compared to revenue data for each small entity to develop an estimate of the percent of revenue impacted. </w:t>
      </w:r>
      <w:r w:rsidRPr="00693892" w:rsidR="008E5DB1">
        <w:rPr>
          <w:rFonts w:ascii="Times New Roman" w:hAnsi="Times New Roman" w:cs="Times New Roman"/>
        </w:rPr>
        <w:t xml:space="preserve">EPA takes a conservative approach to estimating costs for small entities by assuming that facilities will face </w:t>
      </w:r>
      <w:r w:rsidRPr="00693892" w:rsidR="00A170D2">
        <w:rPr>
          <w:rFonts w:ascii="Times New Roman" w:hAnsi="Times New Roman" w:cs="Times New Roman"/>
        </w:rPr>
        <w:t xml:space="preserve">all costs in the same year (the first year). That is, if a facility </w:t>
      </w:r>
      <w:r w:rsidRPr="00693892" w:rsidR="00B44D02">
        <w:rPr>
          <w:rFonts w:ascii="Times New Roman" w:hAnsi="Times New Roman" w:cs="Times New Roman"/>
        </w:rPr>
        <w:t>incurs</w:t>
      </w:r>
      <w:r w:rsidRPr="00693892" w:rsidR="00A170D2">
        <w:rPr>
          <w:rFonts w:ascii="Times New Roman" w:hAnsi="Times New Roman" w:cs="Times New Roman"/>
        </w:rPr>
        <w:t xml:space="preserve"> costs from a provision that does not necessarily occur in the first year (such as third-party audits</w:t>
      </w:r>
      <w:r w:rsidRPr="00693892" w:rsidR="002B5F03">
        <w:rPr>
          <w:rFonts w:ascii="Times New Roman" w:hAnsi="Times New Roman" w:cs="Times New Roman"/>
        </w:rPr>
        <w:t>,</w:t>
      </w:r>
      <w:r w:rsidRPr="00693892" w:rsidR="00710310">
        <w:rPr>
          <w:rFonts w:ascii="Times New Roman" w:hAnsi="Times New Roman" w:cs="Times New Roman"/>
        </w:rPr>
        <w:t xml:space="preserve"> </w:t>
      </w:r>
      <w:r w:rsidRPr="00693892" w:rsidR="00A170D2">
        <w:rPr>
          <w:rFonts w:ascii="Times New Roman" w:hAnsi="Times New Roman" w:cs="Times New Roman"/>
        </w:rPr>
        <w:t xml:space="preserve">which would occur when the next compliance audit is due, </w:t>
      </w:r>
      <w:r w:rsidRPr="00693892" w:rsidR="00710310">
        <w:rPr>
          <w:rFonts w:ascii="Times New Roman" w:hAnsi="Times New Roman" w:cs="Times New Roman"/>
        </w:rPr>
        <w:t>or STAA</w:t>
      </w:r>
      <w:r w:rsidRPr="00693892" w:rsidR="0037745A">
        <w:rPr>
          <w:rFonts w:ascii="Times New Roman" w:hAnsi="Times New Roman" w:cs="Times New Roman"/>
        </w:rPr>
        <w:t>,</w:t>
      </w:r>
      <w:r w:rsidRPr="00693892" w:rsidR="00710310">
        <w:rPr>
          <w:rFonts w:ascii="Times New Roman" w:hAnsi="Times New Roman" w:cs="Times New Roman"/>
        </w:rPr>
        <w:t xml:space="preserve"> which would occur in a year prior to the PHA</w:t>
      </w:r>
      <w:r w:rsidRPr="00693892" w:rsidR="00A170D2">
        <w:rPr>
          <w:rFonts w:ascii="Times New Roman" w:hAnsi="Times New Roman" w:cs="Times New Roman"/>
        </w:rPr>
        <w:t xml:space="preserve">), </w:t>
      </w:r>
      <w:r w:rsidRPr="00693892" w:rsidR="00B44D02">
        <w:rPr>
          <w:rFonts w:ascii="Times New Roman" w:hAnsi="Times New Roman" w:cs="Times New Roman"/>
        </w:rPr>
        <w:t>the analysis</w:t>
      </w:r>
      <w:r w:rsidRPr="00693892" w:rsidR="009D02EA">
        <w:rPr>
          <w:rFonts w:ascii="Times New Roman" w:hAnsi="Times New Roman" w:cs="Times New Roman"/>
        </w:rPr>
        <w:t xml:space="preserve"> </w:t>
      </w:r>
      <w:r w:rsidRPr="00693892" w:rsidR="00ED1C05">
        <w:rPr>
          <w:rFonts w:ascii="Times New Roman" w:hAnsi="Times New Roman" w:cs="Times New Roman"/>
        </w:rPr>
        <w:t xml:space="preserve">assumed </w:t>
      </w:r>
      <w:r w:rsidRPr="00693892" w:rsidR="00710310">
        <w:rPr>
          <w:rFonts w:ascii="Times New Roman" w:hAnsi="Times New Roman" w:cs="Times New Roman"/>
        </w:rPr>
        <w:t>that an annualized cost of those provisions</w:t>
      </w:r>
      <w:r w:rsidRPr="00693892" w:rsidDel="00710310" w:rsidR="00ED1C05">
        <w:rPr>
          <w:rFonts w:ascii="Times New Roman" w:hAnsi="Times New Roman" w:cs="Times New Roman"/>
        </w:rPr>
        <w:t xml:space="preserve"> </w:t>
      </w:r>
      <w:r w:rsidRPr="00693892" w:rsidR="00ED1C05">
        <w:rPr>
          <w:rFonts w:ascii="Times New Roman" w:hAnsi="Times New Roman" w:cs="Times New Roman"/>
        </w:rPr>
        <w:t xml:space="preserve">occurs in the first year when other costs </w:t>
      </w:r>
      <w:r w:rsidRPr="00693892" w:rsidR="00E77DD9">
        <w:rPr>
          <w:rFonts w:ascii="Times New Roman" w:hAnsi="Times New Roman" w:cs="Times New Roman"/>
        </w:rPr>
        <w:t>such as</w:t>
      </w:r>
      <w:r w:rsidRPr="00693892" w:rsidR="00ED1C05">
        <w:rPr>
          <w:rFonts w:ascii="Times New Roman" w:hAnsi="Times New Roman" w:cs="Times New Roman"/>
        </w:rPr>
        <w:t xml:space="preserve"> rule familiarization occur. </w:t>
      </w:r>
      <w:r w:rsidRPr="00693892" w:rsidR="00281BCD">
        <w:rPr>
          <w:rFonts w:ascii="Times New Roman" w:hAnsi="Times New Roman" w:cs="Times New Roman"/>
        </w:rPr>
        <w:t xml:space="preserve">In </w:t>
      </w:r>
      <w:r w:rsidRPr="00693892" w:rsidR="00710310">
        <w:rPr>
          <w:rFonts w:ascii="Times New Roman" w:hAnsi="Times New Roman" w:cs="Times New Roman"/>
        </w:rPr>
        <w:t>practice</w:t>
      </w:r>
      <w:r w:rsidRPr="00693892" w:rsidR="00281BCD">
        <w:rPr>
          <w:rFonts w:ascii="Times New Roman" w:hAnsi="Times New Roman" w:cs="Times New Roman"/>
        </w:rPr>
        <w:t xml:space="preserve">, facilities are not likely to face costs of each provision in the </w:t>
      </w:r>
      <w:r w:rsidRPr="00693892" w:rsidR="00710310">
        <w:rPr>
          <w:rFonts w:ascii="Times New Roman" w:hAnsi="Times New Roman" w:cs="Times New Roman"/>
        </w:rPr>
        <w:t xml:space="preserve">first </w:t>
      </w:r>
      <w:r w:rsidRPr="00693892" w:rsidR="00281BCD">
        <w:rPr>
          <w:rFonts w:ascii="Times New Roman" w:hAnsi="Times New Roman" w:cs="Times New Roman"/>
        </w:rPr>
        <w:t>year.</w:t>
      </w:r>
    </w:p>
    <w:p w:rsidR="003255F8" w:rsidP="000E6E0F" w:rsidRDefault="003255F8" w14:paraId="30D14F27" w14:textId="68D64922">
      <w:pPr>
        <w:spacing w:after="0" w:line="240" w:lineRule="auto"/>
        <w:ind w:firstLine="360"/>
        <w:rPr>
          <w:rFonts w:ascii="Times New Roman" w:hAnsi="Times New Roman" w:cs="Times New Roman"/>
        </w:rPr>
      </w:pPr>
    </w:p>
    <w:p w:rsidR="003255F8" w:rsidP="000E6E0F" w:rsidRDefault="003255F8" w14:paraId="7FC07F81" w14:textId="30EEFFFE">
      <w:pPr>
        <w:spacing w:after="0" w:line="240" w:lineRule="auto"/>
        <w:ind w:firstLine="360"/>
        <w:rPr>
          <w:rFonts w:ascii="Times New Roman" w:hAnsi="Times New Roman" w:cs="Times New Roman"/>
        </w:rPr>
      </w:pPr>
      <w:r w:rsidRPr="003255F8">
        <w:rPr>
          <w:rFonts w:ascii="Times New Roman" w:hAnsi="Times New Roman" w:cs="Times New Roman"/>
        </w:rPr>
        <w:t>To estimate the number of impacted small businesses with reportable accidents between 2016 and 2020 (n=488 accidents, 382 among unique facilities), EPA used the percent (%) of affected facilities that are small businesses for each NAICS code (small entities divided by total RMP regulated facilities in that NAICS code for 2020</w:t>
      </w:r>
      <w:proofErr w:type="gramStart"/>
      <w:r w:rsidRPr="003255F8">
        <w:rPr>
          <w:rFonts w:ascii="Times New Roman" w:hAnsi="Times New Roman" w:cs="Times New Roman"/>
        </w:rPr>
        <w:t>), and</w:t>
      </w:r>
      <w:proofErr w:type="gramEnd"/>
      <w:r w:rsidRPr="003255F8">
        <w:rPr>
          <w:rFonts w:ascii="Times New Roman" w:hAnsi="Times New Roman" w:cs="Times New Roman"/>
        </w:rPr>
        <w:t xml:space="preserve"> applied this percentage to the number of facilities with accidents in that sector between 2016 and 2020. Using this method, EPA estimates that 2% (n=8) of the facilities with accidents subject to this proposed regulation may be small businesses. Of these, 50% (n=4) are in NAICS 324 and 325.</w:t>
      </w:r>
    </w:p>
    <w:p w:rsidR="00153D11" w:rsidP="000E6E0F" w:rsidRDefault="00153D11" w14:paraId="72C31B97" w14:textId="5B884504">
      <w:pPr>
        <w:spacing w:after="0" w:line="240" w:lineRule="auto"/>
        <w:ind w:firstLine="360"/>
        <w:rPr>
          <w:rFonts w:ascii="Times New Roman" w:hAnsi="Times New Roman" w:cs="Times New Roman"/>
        </w:rPr>
      </w:pPr>
    </w:p>
    <w:p w:rsidR="006B0034" w:rsidP="00C703C3" w:rsidRDefault="006B0034" w14:paraId="6DD02C4A" w14:textId="77777777">
      <w:pPr>
        <w:jc w:val="center"/>
        <w:rPr>
          <w:rFonts w:ascii="Times New Roman" w:hAnsi="Times New Roman" w:cs="Times New Roman"/>
          <w:b/>
          <w:bCs/>
        </w:rPr>
      </w:pPr>
      <w:bookmarkStart w:name="_Hlk104193278" w:id="152"/>
    </w:p>
    <w:p w:rsidRPr="00B30092" w:rsidR="00C703C3" w:rsidP="00C703C3" w:rsidRDefault="00C703C3" w14:paraId="1A1CF3B7" w14:textId="01D1EF26">
      <w:pPr>
        <w:jc w:val="center"/>
        <w:rPr>
          <w:rFonts w:ascii="Times New Roman" w:hAnsi="Times New Roman" w:cs="Times New Roman"/>
          <w:b/>
          <w:bCs/>
        </w:rPr>
      </w:pPr>
      <w:r w:rsidRPr="00B30092">
        <w:rPr>
          <w:rFonts w:ascii="Times New Roman" w:hAnsi="Times New Roman" w:cs="Times New Roman"/>
          <w:b/>
          <w:bCs/>
        </w:rPr>
        <w:lastRenderedPageBreak/>
        <w:t>Exhibit 8-</w:t>
      </w:r>
      <w:r>
        <w:rPr>
          <w:rFonts w:ascii="Times New Roman" w:hAnsi="Times New Roman" w:cs="Times New Roman"/>
          <w:b/>
          <w:bCs/>
        </w:rPr>
        <w:t>5</w:t>
      </w:r>
      <w:r w:rsidRPr="00B30092">
        <w:rPr>
          <w:rFonts w:ascii="Times New Roman" w:hAnsi="Times New Roman" w:cs="Times New Roman"/>
          <w:b/>
          <w:bCs/>
        </w:rPr>
        <w:t>: Impact on Small Private Sector Entities by Provision and NAICS</w:t>
      </w:r>
      <w:r>
        <w:rPr>
          <w:rFonts w:ascii="Times New Roman" w:hAnsi="Times New Roman" w:cs="Times New Roman"/>
          <w:b/>
          <w:bCs/>
        </w:rPr>
        <w:t>.</w:t>
      </w:r>
    </w:p>
    <w:tbl>
      <w:tblPr>
        <w:tblW w:w="9056" w:type="dxa"/>
        <w:tblLook w:val="04A0" w:firstRow="1" w:lastRow="0" w:firstColumn="1" w:lastColumn="0" w:noHBand="0" w:noVBand="1"/>
      </w:tblPr>
      <w:tblGrid>
        <w:gridCol w:w="1975"/>
        <w:gridCol w:w="1260"/>
        <w:gridCol w:w="2920"/>
        <w:gridCol w:w="1536"/>
        <w:gridCol w:w="1365"/>
      </w:tblGrid>
      <w:tr w:rsidRPr="00B6274A" w:rsidR="00C703C3" w:rsidTr="00E76949" w14:paraId="3E9B8096" w14:textId="77777777">
        <w:trPr>
          <w:trHeight w:val="290"/>
          <w:tblHeader/>
        </w:trPr>
        <w:tc>
          <w:tcPr>
            <w:tcW w:w="19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D5861" w:rsidR="00C703C3" w:rsidP="00E76949" w:rsidRDefault="00C703C3" w14:paraId="63BE60BC"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Provision</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5861" w:rsidR="00C703C3" w:rsidP="00E76949" w:rsidRDefault="00C703C3" w14:paraId="1992016A" w14:textId="7777777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Impacted Entity </w:t>
            </w:r>
            <w:r w:rsidRPr="000D5861">
              <w:rPr>
                <w:rFonts w:ascii="Times New Roman" w:hAnsi="Times New Roman" w:eastAsia="Times New Roman" w:cs="Times New Roman"/>
                <w:b/>
                <w:bCs/>
                <w:color w:val="000000"/>
              </w:rPr>
              <w:t>NAICS Code</w:t>
            </w:r>
          </w:p>
        </w:tc>
        <w:tc>
          <w:tcPr>
            <w:tcW w:w="2920" w:type="dxa"/>
            <w:tcBorders>
              <w:top w:val="single" w:color="auto" w:sz="4" w:space="0"/>
              <w:left w:val="nil"/>
              <w:bottom w:val="single" w:color="auto" w:sz="4" w:space="0"/>
              <w:right w:val="single" w:color="auto" w:sz="4" w:space="0"/>
            </w:tcBorders>
            <w:shd w:val="clear" w:color="auto" w:fill="auto"/>
            <w:noWrap/>
            <w:vAlign w:val="bottom"/>
            <w:hideMark/>
          </w:tcPr>
          <w:p w:rsidRPr="000D5861" w:rsidR="00C703C3" w:rsidP="00E76949" w:rsidRDefault="00C703C3" w14:paraId="114CEF51" w14:textId="7777777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Impacted Entity Sector </w:t>
            </w:r>
            <w:r w:rsidRPr="000D5861">
              <w:rPr>
                <w:rFonts w:ascii="Times New Roman" w:hAnsi="Times New Roman" w:eastAsia="Times New Roman" w:cs="Times New Roman"/>
                <w:b/>
                <w:bCs/>
                <w:color w:val="000000"/>
              </w:rPr>
              <w:t>Description</w:t>
            </w:r>
          </w:p>
        </w:tc>
        <w:tc>
          <w:tcPr>
            <w:tcW w:w="1536" w:type="dxa"/>
            <w:tcBorders>
              <w:top w:val="single" w:color="auto" w:sz="4" w:space="0"/>
              <w:left w:val="nil"/>
              <w:bottom w:val="single" w:color="auto" w:sz="4" w:space="0"/>
              <w:right w:val="single" w:color="auto" w:sz="4" w:space="0"/>
            </w:tcBorders>
            <w:shd w:val="clear" w:color="auto" w:fill="auto"/>
            <w:noWrap/>
            <w:vAlign w:val="bottom"/>
            <w:hideMark/>
          </w:tcPr>
          <w:p w:rsidRPr="000D5861" w:rsidR="00C703C3" w:rsidP="00E76949" w:rsidRDefault="00C703C3" w14:paraId="4F85A58E"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Average Cost</w:t>
            </w:r>
            <w:r>
              <w:rPr>
                <w:rFonts w:ascii="Times New Roman" w:hAnsi="Times New Roman" w:eastAsia="Times New Roman" w:cs="Times New Roman"/>
                <w:b/>
                <w:bCs/>
                <w:color w:val="000000"/>
              </w:rPr>
              <w:t xml:space="preserve"> Per Impacted Entity</w:t>
            </w:r>
          </w:p>
        </w:tc>
        <w:tc>
          <w:tcPr>
            <w:tcW w:w="1365" w:type="dxa"/>
            <w:tcBorders>
              <w:top w:val="single" w:color="auto" w:sz="4" w:space="0"/>
              <w:left w:val="nil"/>
              <w:bottom w:val="single" w:color="auto" w:sz="4" w:space="0"/>
              <w:right w:val="single" w:color="auto" w:sz="4" w:space="0"/>
            </w:tcBorders>
            <w:shd w:val="clear" w:color="auto" w:fill="auto"/>
            <w:noWrap/>
            <w:vAlign w:val="bottom"/>
            <w:hideMark/>
          </w:tcPr>
          <w:p w:rsidRPr="000D5861" w:rsidR="00C703C3" w:rsidP="00E76949" w:rsidRDefault="00C703C3" w14:paraId="552D1C17" w14:textId="77777777">
            <w:pPr>
              <w:spacing w:after="0" w:line="240" w:lineRule="auto"/>
              <w:jc w:val="center"/>
              <w:rPr>
                <w:rFonts w:ascii="Times New Roman" w:hAnsi="Times New Roman" w:eastAsia="Times New Roman" w:cs="Times New Roman"/>
                <w:b/>
                <w:bCs/>
              </w:rPr>
            </w:pPr>
            <w:r w:rsidRPr="000D5861">
              <w:rPr>
                <w:rFonts w:ascii="Times New Roman" w:hAnsi="Times New Roman" w:eastAsia="Times New Roman" w:cs="Times New Roman"/>
                <w:b/>
                <w:bCs/>
              </w:rPr>
              <w:t>Number of Entities</w:t>
            </w:r>
          </w:p>
        </w:tc>
      </w:tr>
      <w:tr w:rsidRPr="00B6274A" w:rsidR="00C703C3" w:rsidTr="00E76949" w14:paraId="4104C6A2" w14:textId="77777777">
        <w:trPr>
          <w:trHeight w:val="290"/>
        </w:trPr>
        <w:tc>
          <w:tcPr>
            <w:tcW w:w="197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0D5861" w:rsidR="00C703C3" w:rsidP="00E76949" w:rsidRDefault="00C703C3" w14:paraId="6EA0D959" w14:textId="7777777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Root Cause Analysis</w:t>
            </w: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BBF29E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FB6BB5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Oil and Gas Extraction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03EA6B8" w14:textId="76D91679">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$6,423</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E8EA2B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1EDB8568"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F4504A6"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5D03F4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119557F"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Food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3F1D1E3" w14:textId="62AD3EB8">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$2,141</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F0DC8C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04B9F56C"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699B2D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16E7D3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325</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76C710D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Chemical Manufacturing</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4DDD9165" w14:textId="326DDC4F">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$25,961</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481FBD9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2A431508"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D08EB5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A39C19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4C4E59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Plastics and Rubber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0A9D2D6" w14:textId="77670B9C">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$14,835</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E0A3FE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05A650B"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A8A94A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175556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327</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D596977"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Nonmetallic Mineral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A2FE468" w14:textId="16C0184E">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$2,141</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A5A2C1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37BB098"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6E3260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337660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F5252A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Primary Metal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4394295" w14:textId="3EB8BD9A">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$2,141</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3BC2247"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740DA6AA"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2B3296E7"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ED3F40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445C82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Merchant Wholesalers, Nondurable Goods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41B38B5" w14:textId="75589CAC">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$2,141</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35B63B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7284DE4A"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ABFCEA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B66CE8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20DFB4A"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Securities, Commodity Contracts, and Other Financial Investments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D6E3574" w14:textId="66E1AECC">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$2,141</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805687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79AF5A3" w14:textId="77777777">
        <w:trPr>
          <w:trHeight w:val="580"/>
        </w:trPr>
        <w:tc>
          <w:tcPr>
            <w:tcW w:w="1975" w:type="dxa"/>
            <w:tcBorders>
              <w:top w:val="nil"/>
              <w:left w:val="single" w:color="auto" w:sz="4" w:space="0"/>
              <w:bottom w:val="single" w:color="auto" w:sz="4" w:space="0"/>
              <w:right w:val="single" w:color="auto" w:sz="4" w:space="0"/>
            </w:tcBorders>
            <w:shd w:val="clear" w:color="000000" w:fill="FFFFFF"/>
            <w:vAlign w:val="bottom"/>
            <w:hideMark/>
          </w:tcPr>
          <w:p w:rsidRPr="000D5861" w:rsidR="00C703C3" w:rsidP="00E76949" w:rsidRDefault="00C703C3" w14:paraId="6E50A6E7"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 xml:space="preserve">Community Notification </w:t>
            </w:r>
            <w:r>
              <w:rPr>
                <w:rFonts w:ascii="Times New Roman" w:hAnsi="Times New Roman" w:eastAsia="Times New Roman" w:cs="Times New Roman"/>
                <w:b/>
                <w:bCs/>
                <w:color w:val="000000"/>
              </w:rPr>
              <w:t>System</w:t>
            </w:r>
          </w:p>
        </w:tc>
        <w:tc>
          <w:tcPr>
            <w:tcW w:w="126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271FED0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Many*</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0ED4B17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10A8AAC7" w14:textId="4A4BC7D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$206 - $2,40</w:t>
            </w:r>
            <w:r w:rsidR="00B51727">
              <w:rPr>
                <w:rFonts w:ascii="Times New Roman" w:hAnsi="Times New Roman" w:eastAsia="Times New Roman" w:cs="Times New Roman"/>
                <w:color w:val="000000"/>
              </w:rPr>
              <w:t>9</w:t>
            </w:r>
            <w:r w:rsidRPr="000D5861">
              <w:rPr>
                <w:rFonts w:ascii="Times New Roman" w:hAnsi="Times New Roman" w:eastAsia="Times New Roman" w:cs="Times New Roman"/>
                <w:color w:val="000000"/>
              </w:rPr>
              <w:t>***</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1AC3C8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1850</w:t>
            </w:r>
          </w:p>
        </w:tc>
      </w:tr>
      <w:tr w:rsidRPr="00B6274A" w:rsidR="00C703C3" w:rsidTr="00E76949" w14:paraId="0B88891B" w14:textId="77777777">
        <w:trPr>
          <w:trHeight w:val="290"/>
        </w:trPr>
        <w:tc>
          <w:tcPr>
            <w:tcW w:w="1975" w:type="dxa"/>
            <w:tcBorders>
              <w:top w:val="nil"/>
              <w:left w:val="single" w:color="auto" w:sz="4" w:space="0"/>
              <w:bottom w:val="single" w:color="auto" w:sz="4" w:space="0"/>
              <w:right w:val="single" w:color="auto" w:sz="4" w:space="0"/>
            </w:tcBorders>
            <w:shd w:val="clear" w:color="000000" w:fill="FFFFFF"/>
            <w:noWrap/>
            <w:vAlign w:val="bottom"/>
            <w:hideMark/>
          </w:tcPr>
          <w:p w:rsidRPr="000D5861" w:rsidR="00C703C3" w:rsidP="00E76949" w:rsidRDefault="00C703C3" w14:paraId="4ECE4BF3"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Employee Participation Plan</w:t>
            </w:r>
          </w:p>
        </w:tc>
        <w:tc>
          <w:tcPr>
            <w:tcW w:w="126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5B448C0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Many*</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6FBCF82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F89DE6B" w14:textId="1918C80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$54 - $46</w:t>
            </w:r>
            <w:r w:rsidR="00E21A8A">
              <w:rPr>
                <w:rFonts w:ascii="Times New Roman" w:hAnsi="Times New Roman" w:eastAsia="Times New Roman" w:cs="Times New Roman"/>
                <w:color w:val="000000"/>
              </w:rPr>
              <w:t>4</w:t>
            </w:r>
            <w:r w:rsidRPr="000D5861">
              <w:rPr>
                <w:rFonts w:ascii="Times New Roman" w:hAnsi="Times New Roman" w:eastAsia="Times New Roman" w:cs="Times New Roman"/>
                <w:color w:val="000000"/>
              </w:rPr>
              <w:t>***</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27268351"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1850</w:t>
            </w:r>
          </w:p>
        </w:tc>
      </w:tr>
      <w:tr w:rsidRPr="00B6274A" w:rsidR="00C703C3" w:rsidTr="00E76949" w14:paraId="472755C3" w14:textId="77777777">
        <w:trPr>
          <w:trHeight w:val="290"/>
        </w:trPr>
        <w:tc>
          <w:tcPr>
            <w:tcW w:w="197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0D5861" w:rsidR="00C703C3" w:rsidP="00E76949" w:rsidRDefault="00C703C3" w14:paraId="100079A6"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Third</w:t>
            </w:r>
            <w:r>
              <w:rPr>
                <w:rFonts w:ascii="Times New Roman" w:hAnsi="Times New Roman" w:eastAsia="Times New Roman" w:cs="Times New Roman"/>
                <w:b/>
                <w:bCs/>
                <w:color w:val="000000"/>
              </w:rPr>
              <w:t>-</w:t>
            </w:r>
            <w:r w:rsidRPr="000D5861">
              <w:rPr>
                <w:rFonts w:ascii="Times New Roman" w:hAnsi="Times New Roman" w:eastAsia="Times New Roman" w:cs="Times New Roman"/>
                <w:b/>
                <w:bCs/>
                <w:color w:val="000000"/>
              </w:rPr>
              <w:t>Party Audit</w:t>
            </w:r>
          </w:p>
        </w:tc>
        <w:tc>
          <w:tcPr>
            <w:tcW w:w="126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7D47888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211</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C4E92B7"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Oil and Gas Extraction</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2D5F5C4F" w14:textId="5D84FFE4">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$90,448</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E6516C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775317A5"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B11FDA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C3C7AB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221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73B59F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Utilities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AF698F8" w14:textId="5259AD7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$45,224</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15725D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1E484370"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9BF08C8"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0C0B39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BB6F7B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Food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549AFA5" w14:textId="555F72D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$47,606</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6E4456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AAA595C"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554FD52F"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2B2606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02A85E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Petroleum and Coal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A5FA0E5" w14:textId="49C54AB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$107,587</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1AC50F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10F27046"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4330B86"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54DC9C7"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325</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442B6A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Chemical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E66ED75" w14:textId="71465009">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$93,35</w:t>
            </w:r>
            <w:r w:rsidR="00E21A8A">
              <w:rPr>
                <w:rFonts w:ascii="Times New Roman" w:hAnsi="Times New Roman" w:eastAsia="Times New Roman" w:cs="Times New Roman"/>
                <w:color w:val="000000"/>
              </w:rPr>
              <w:t>4</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DB0567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w:t>
            </w:r>
          </w:p>
        </w:tc>
      </w:tr>
      <w:tr w:rsidRPr="00B6274A" w:rsidR="00C703C3" w:rsidTr="00E76949" w14:paraId="415FDD46"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3FC9DAC3"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DDA408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8EB7FF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Plastics and Rubber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D9A2F80" w14:textId="3F3CC5B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$107,587</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F1D480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38D97ABD"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5B8A5E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7C0DF0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327</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D3959D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Nonmetallic Mineral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C38C428" w14:textId="1979E21D">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$47,606</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8CA02C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AFE0C0B"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A467476"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BEE978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B36F207"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Fabricated Metal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5EFB8EE" w14:textId="73E423D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$107,587</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89659C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282C8B57"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3F20CE0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88D8A3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493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8FC0A0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Warehousing and Storage</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8191179" w14:textId="123FB684">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$45,224</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4C0168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6159A8E7"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FEA43B9"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34F61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FD26B3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Securities, Commodity Contracts, and Other Financial Investments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667C4B2" w14:textId="31499D7A">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$107,587</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5F19E7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71A653D4" w14:textId="77777777">
        <w:trPr>
          <w:trHeight w:val="290"/>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Pr="000D5861" w:rsidR="00C703C3" w:rsidP="00E76949" w:rsidRDefault="00C703C3" w14:paraId="47B1860D" w14:textId="77777777">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Information Availability</w:t>
            </w:r>
          </w:p>
        </w:tc>
        <w:tc>
          <w:tcPr>
            <w:tcW w:w="126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00707C4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Many**</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765CD50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62649B6C" w14:textId="3C62F76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$172 - $13,90</w:t>
            </w:r>
            <w:r w:rsidR="00E21A8A">
              <w:rPr>
                <w:rFonts w:ascii="Times New Roman" w:hAnsi="Times New Roman" w:eastAsia="Times New Roman" w:cs="Times New Roman"/>
                <w:color w:val="000000"/>
              </w:rPr>
              <w:t>7</w:t>
            </w:r>
            <w:r w:rsidRPr="000D5861">
              <w:rPr>
                <w:rFonts w:ascii="Times New Roman" w:hAnsi="Times New Roman" w:eastAsia="Times New Roman" w:cs="Times New Roman"/>
                <w:color w:val="000000"/>
              </w:rPr>
              <w:t>***</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48AB609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1969</w:t>
            </w:r>
          </w:p>
        </w:tc>
      </w:tr>
      <w:tr w:rsidRPr="00B6274A" w:rsidR="00C703C3" w:rsidTr="00E76949" w14:paraId="38481C91" w14:textId="77777777">
        <w:trPr>
          <w:trHeight w:val="290"/>
        </w:trPr>
        <w:tc>
          <w:tcPr>
            <w:tcW w:w="1975" w:type="dxa"/>
            <w:tcBorders>
              <w:top w:val="nil"/>
              <w:left w:val="single" w:color="auto" w:sz="4" w:space="0"/>
              <w:bottom w:val="nil"/>
              <w:right w:val="nil"/>
            </w:tcBorders>
            <w:shd w:val="clear" w:color="auto" w:fill="auto"/>
            <w:noWrap/>
            <w:vAlign w:val="bottom"/>
            <w:hideMark/>
          </w:tcPr>
          <w:p w:rsidRPr="000D5861" w:rsidR="00C703C3" w:rsidP="00E76949" w:rsidRDefault="00C703C3" w14:paraId="14EAE255"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Rule Familiarization</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0D5861" w:rsidR="00C703C3" w:rsidP="00E76949" w:rsidRDefault="00C703C3" w14:paraId="11F9832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Many**</w:t>
            </w:r>
          </w:p>
        </w:tc>
        <w:tc>
          <w:tcPr>
            <w:tcW w:w="2920"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2C29A32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5464A7D2" w14:textId="4C4206A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$412 - $74,138***</w:t>
            </w:r>
          </w:p>
        </w:tc>
        <w:tc>
          <w:tcPr>
            <w:tcW w:w="1365" w:type="dxa"/>
            <w:tcBorders>
              <w:top w:val="nil"/>
              <w:left w:val="nil"/>
              <w:bottom w:val="single" w:color="auto" w:sz="4" w:space="0"/>
              <w:right w:val="single" w:color="auto" w:sz="4" w:space="0"/>
            </w:tcBorders>
            <w:shd w:val="clear" w:color="auto" w:fill="auto"/>
            <w:noWrap/>
            <w:vAlign w:val="bottom"/>
            <w:hideMark/>
          </w:tcPr>
          <w:p w:rsidRPr="000D5861" w:rsidR="00C703C3" w:rsidP="00E76949" w:rsidRDefault="00C703C3" w14:paraId="3486F3E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1969</w:t>
            </w:r>
          </w:p>
        </w:tc>
      </w:tr>
      <w:tr w:rsidRPr="00B6274A" w:rsidR="00C703C3" w:rsidTr="00E76949" w14:paraId="1A1AEA72" w14:textId="77777777">
        <w:trPr>
          <w:trHeight w:val="290"/>
        </w:trPr>
        <w:tc>
          <w:tcPr>
            <w:tcW w:w="19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D5861" w:rsidR="00C703C3" w:rsidP="00E76949" w:rsidRDefault="00C703C3" w14:paraId="417CC83C"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STAA</w:t>
            </w: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B1A6C4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B9C34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Oil and Gas Extraction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4846310" w14:textId="1C05CE98">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5D93D8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08C1571C"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15A0CEF0"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52F978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DD483FD"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Support Activities for Mining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CD83D00" w14:textId="25D3713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EA91CC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7007D3A1"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C3780B8"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85211D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236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F83872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Construction of Buildings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3E59EFD" w14:textId="3BAB163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B11416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21370CF4"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74EA9F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FDA767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238</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AFF8D1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Specialty Trade Contractors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8D3BD36" w14:textId="2D7FD72E">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E0E9A0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6635505B"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57F8B86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BC6C6A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3C06F0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Beverage and Tobacco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86F4DF5" w14:textId="1C6ED714">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$106,336</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10E8C9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09F20227"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26588D6D"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E36445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2E7E0B1"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Textile Product Mills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4A3DD83" w14:textId="633DEC29">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D75C421"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04F888BE"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244955AE"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C68C0F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9BE9107"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Wood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ECE8B37" w14:textId="5999CF3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4BF965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541AB6FC"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4DA2866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0B5C7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1E7E1E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Petroleum and Coal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7D33C0E" w14:textId="4CBC6A79">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$788,37</w:t>
            </w:r>
            <w:r w:rsidR="00E21A8A">
              <w:rPr>
                <w:rFonts w:ascii="Times New Roman" w:hAnsi="Times New Roman" w:eastAsia="Times New Roman" w:cs="Times New Roman"/>
                <w:color w:val="000000"/>
              </w:rPr>
              <w:t>4</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DB3C1B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4660D7DF"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1FEABBE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B37B5B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325</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343A9D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Chemical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5D76DF5" w14:textId="45BFE2A2">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$74,030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4A2032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41</w:t>
            </w:r>
          </w:p>
        </w:tc>
      </w:tr>
      <w:tr w:rsidRPr="00B6274A" w:rsidR="00C703C3" w:rsidTr="00E76949" w14:paraId="6E8EB7CD"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0C466FE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53F243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25C45A3"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Plastics and Rubber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8E87641" w14:textId="6D6648C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$69,680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90D4EA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457EDD53"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42E2596"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964DDE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DA1F53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Fabricated Metal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48C99E" w14:textId="0802D1AA">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86BAAA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w:t>
            </w:r>
          </w:p>
        </w:tc>
      </w:tr>
      <w:tr w:rsidRPr="00B6274A" w:rsidR="00C703C3" w:rsidTr="00E76949" w14:paraId="4965C030"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2EFDA16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324D31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335</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6C3E75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Electrical Equipment, Appliance, and Component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48DB17E" w14:textId="6F32127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ADF08E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FE972DE"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5F8AE0B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DDB4F7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423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184DF5A"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Merchant Wholesalers, Durable Goods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179460E" w14:textId="6EFA4EE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$2,955,349</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481501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6B7B9859"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9E88E8E"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B1CA9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4B6813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Merchant Wholesalers, Nondurable Goods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888CE56" w14:textId="13B26D82">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$58,122</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3609687"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13</w:t>
            </w:r>
          </w:p>
        </w:tc>
      </w:tr>
      <w:tr w:rsidRPr="00B6274A" w:rsidR="00C703C3" w:rsidTr="00E76949" w14:paraId="1C7DF32A"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F90905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7FDEC6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441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36368C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Motor Vehicle and Parts Dealers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7B6DAE7" w14:textId="3F1FC98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CF8B67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0683723"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26E6619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3B5ED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446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3B2F8CF"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Health and Personal Care Stores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40003C7" w14:textId="418212F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F9DB651"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3EC7B8C"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79182143"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DC1089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452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1736F6E"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General Merchandise Stores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486C25A" w14:textId="361E2A94">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0DAC60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7B2AFE68"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624C84BF"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C8D79E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486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A89E5E3"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Pipeline Transportation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74508F0" w14:textId="56DF60B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$3,177,69</w:t>
            </w:r>
            <w:r w:rsidR="00E21A8A">
              <w:rPr>
                <w:rFonts w:ascii="Times New Roman" w:hAnsi="Times New Roman" w:eastAsia="Times New Roman" w:cs="Times New Roman"/>
                <w:color w:val="000000"/>
              </w:rPr>
              <w:t>5</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E74A001"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1949BF09"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3B6ED6E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636AD17"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A9B110B"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Credit Intermediation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9E983A0" w14:textId="4233F582">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E6B668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CA55234"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3D327C42"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4D5CE7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95E609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Securities, Commodity Contracts, and Other Financial Investments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4ABF432" w14:textId="1C4E286F">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$62,82</w:t>
            </w:r>
            <w:r w:rsidR="00E21A8A">
              <w:rPr>
                <w:rFonts w:ascii="Times New Roman" w:hAnsi="Times New Roman" w:eastAsia="Times New Roman" w:cs="Times New Roman"/>
                <w:color w:val="000000"/>
              </w:rPr>
              <w:t>9</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3C3E14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18D245D9"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2D4F7BC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D4BF71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65385A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Insurance Carriers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D3C008A" w14:textId="62A5CC8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1ED549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18E0CA96"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55CE6362"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C7805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541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59460DB"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Professional, Scientific, and Technical Services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85468B5" w14:textId="5B1BFE6F">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$1,020,56</w:t>
            </w:r>
            <w:r w:rsidR="00E21A8A">
              <w:rPr>
                <w:rFonts w:ascii="Times New Roman" w:hAnsi="Times New Roman" w:eastAsia="Times New Roman" w:cs="Times New Roman"/>
                <w:color w:val="000000"/>
              </w:rPr>
              <w:t>2</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41B59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w:t>
            </w:r>
          </w:p>
        </w:tc>
      </w:tr>
      <w:tr w:rsidRPr="00B6274A" w:rsidR="00C703C3" w:rsidTr="00E76949" w14:paraId="3FB7DF9D" w14:textId="77777777">
        <w:trPr>
          <w:trHeight w:val="290"/>
        </w:trPr>
        <w:tc>
          <w:tcPr>
            <w:tcW w:w="1975" w:type="dxa"/>
            <w:vMerge/>
            <w:tcBorders>
              <w:top w:val="single" w:color="auto" w:sz="4" w:space="0"/>
              <w:left w:val="single" w:color="auto" w:sz="4" w:space="0"/>
              <w:bottom w:val="single" w:color="auto" w:sz="4" w:space="0"/>
              <w:right w:val="single" w:color="auto" w:sz="4" w:space="0"/>
            </w:tcBorders>
            <w:vAlign w:val="center"/>
            <w:hideMark/>
          </w:tcPr>
          <w:p w:rsidRPr="000D5861" w:rsidR="00C703C3" w:rsidP="00E76949" w:rsidRDefault="00C703C3" w14:paraId="02C896B7"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44AA32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561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E60E8C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Administrative and Support Services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6CE14B3" w14:textId="465D2BB9">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$53,168</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AFCCFA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0B56ACFC" w14:textId="77777777">
        <w:trPr>
          <w:trHeight w:val="290"/>
        </w:trPr>
        <w:tc>
          <w:tcPr>
            <w:tcW w:w="197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0D5861" w:rsidR="00C703C3" w:rsidP="00E76949" w:rsidRDefault="00C703C3" w14:paraId="0C0A539E" w14:textId="77777777">
            <w:pPr>
              <w:spacing w:after="0" w:line="240" w:lineRule="auto"/>
              <w:jc w:val="center"/>
              <w:rPr>
                <w:rFonts w:ascii="Times New Roman" w:hAnsi="Times New Roman" w:eastAsia="Times New Roman" w:cs="Times New Roman"/>
                <w:b/>
                <w:bCs/>
                <w:color w:val="000000"/>
              </w:rPr>
            </w:pPr>
            <w:r w:rsidRPr="000D5861">
              <w:rPr>
                <w:rFonts w:ascii="Times New Roman" w:hAnsi="Times New Roman" w:eastAsia="Times New Roman" w:cs="Times New Roman"/>
                <w:b/>
                <w:bCs/>
                <w:color w:val="000000"/>
              </w:rPr>
              <w:t>Backup Power</w:t>
            </w:r>
            <w:r>
              <w:rPr>
                <w:rFonts w:ascii="Times New Roman" w:hAnsi="Times New Roman" w:eastAsia="Times New Roman" w:cs="Times New Roman"/>
                <w:b/>
                <w:bCs/>
                <w:color w:val="000000"/>
              </w:rPr>
              <w:t xml:space="preserve"> for Perimeter Monitors</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Pr="000D5861" w:rsidR="00C703C3" w:rsidP="00E76949" w:rsidRDefault="00C703C3" w14:paraId="0336961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111</w:t>
            </w:r>
          </w:p>
        </w:tc>
        <w:tc>
          <w:tcPr>
            <w:tcW w:w="2920" w:type="dxa"/>
            <w:tcBorders>
              <w:top w:val="single" w:color="auto" w:sz="4" w:space="0"/>
              <w:left w:val="nil"/>
              <w:bottom w:val="single" w:color="auto" w:sz="4" w:space="0"/>
              <w:right w:val="single" w:color="auto" w:sz="4" w:space="0"/>
            </w:tcBorders>
            <w:shd w:val="clear" w:color="auto" w:fill="auto"/>
            <w:noWrap/>
            <w:vAlign w:val="bottom"/>
          </w:tcPr>
          <w:p w:rsidRPr="000D5861" w:rsidR="00C703C3" w:rsidP="00E76949" w:rsidRDefault="00C703C3" w14:paraId="6029957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Crop Production</w:t>
            </w:r>
          </w:p>
        </w:tc>
        <w:tc>
          <w:tcPr>
            <w:tcW w:w="1536" w:type="dxa"/>
            <w:tcBorders>
              <w:top w:val="single" w:color="auto" w:sz="4" w:space="0"/>
              <w:left w:val="nil"/>
              <w:bottom w:val="single" w:color="auto" w:sz="4" w:space="0"/>
              <w:right w:val="single" w:color="auto" w:sz="4" w:space="0"/>
            </w:tcBorders>
            <w:shd w:val="clear" w:color="auto" w:fill="auto"/>
            <w:noWrap/>
            <w:vAlign w:val="bottom"/>
          </w:tcPr>
          <w:p w:rsidRPr="000D5861" w:rsidR="00C703C3" w:rsidP="00E76949" w:rsidRDefault="00C703C3" w14:paraId="365832FA" w14:textId="7F632C7F">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single" w:color="auto" w:sz="4" w:space="0"/>
              <w:left w:val="nil"/>
              <w:bottom w:val="single" w:color="auto" w:sz="4" w:space="0"/>
              <w:right w:val="single" w:color="auto" w:sz="4" w:space="0"/>
            </w:tcBorders>
            <w:shd w:val="clear" w:color="auto" w:fill="auto"/>
            <w:noWrap/>
            <w:vAlign w:val="bottom"/>
          </w:tcPr>
          <w:p w:rsidRPr="000D5861" w:rsidR="00C703C3" w:rsidP="00E76949" w:rsidRDefault="00C703C3" w14:paraId="70A8808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59E31445"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736E40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FD718B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9DC1073"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Oil and Gas Extraction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A70022A" w14:textId="1AAF119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60FDEC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67C263B9"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78D8516"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B379E0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213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B5F79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Support Activities for Mining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2E72FAC" w14:textId="49431863">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A1CA3B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61650035"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277896C9"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83D6A0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221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71A1DB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Utilities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FF2904E" w14:textId="2E0B66D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796DB3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w:t>
            </w:r>
          </w:p>
        </w:tc>
      </w:tr>
      <w:tr w:rsidRPr="00B6274A" w:rsidR="00C703C3" w:rsidTr="00E76949" w14:paraId="13980B81"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AC5DDA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3D6095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238</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5304FC1"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Specialty Trade Contractors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9706518" w14:textId="0674BD31">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7E33C9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0F93959C"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AFE128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018B30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311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E982CE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Food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EFF0683" w14:textId="478AC30A">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8A9A7B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12</w:t>
            </w:r>
          </w:p>
        </w:tc>
      </w:tr>
      <w:tr w:rsidRPr="00B6274A" w:rsidR="00C703C3" w:rsidTr="00E76949" w14:paraId="21BB7C33"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2BDF46C2"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FAA461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24F8A0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Wood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06E94FE" w14:textId="31691FFD">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D56B07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C2D5967"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30987D4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50A007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BC033D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Paper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7908BF4" w14:textId="28FD001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55DDDD"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03E5B5A1"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2CB9079"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6723371"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325</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62C6CD0"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Chemical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1575496" w14:textId="7496C3FA">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$1,18</w:t>
            </w:r>
            <w:r w:rsidR="00E21A8A">
              <w:rPr>
                <w:rFonts w:ascii="Times New Roman" w:hAnsi="Times New Roman" w:eastAsia="Times New Roman" w:cs="Times New Roman"/>
                <w:color w:val="000000"/>
              </w:rPr>
              <w:t>2</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E54BD0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11</w:t>
            </w:r>
          </w:p>
        </w:tc>
      </w:tr>
      <w:tr w:rsidRPr="00B6274A" w:rsidR="00C703C3" w:rsidTr="00E76949" w14:paraId="62DE475E"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E75986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064D37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710E4C7"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Plastics and Rubber Products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E2585C1" w14:textId="453FC95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$1,500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089005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6</w:t>
            </w:r>
          </w:p>
        </w:tc>
      </w:tr>
      <w:tr w:rsidRPr="00B6274A" w:rsidR="00C703C3" w:rsidTr="00E76949" w14:paraId="74C65CB7"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464CB7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9DEB12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327</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F3E267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Nonmetallic Mineral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E567726" w14:textId="3B1C7B4E">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625D76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7C3071E2"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8DFDCCD"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F269C4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746611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Primary Metal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2071DD2" w14:textId="4EB3319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60FEE2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5BFEA8BC"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98DE6E2"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3DF48A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332</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7F27B9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Fabricated Metal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C7B482A" w14:textId="4B82F215">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08C289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3EB41E8"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539C19C0"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694B258"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18A9A6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Machinery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D5269B7" w14:textId="798DE33F">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DAE5477"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463D175E"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34C319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D17D65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687531A"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Computer and Electronic Product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08BD19A" w14:textId="5353DD00">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EF4F3E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1AF3B30B"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30B64B23"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C6D5D5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339</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AA20A4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Miscellaneous Manufacturing</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571FAF2" w14:textId="53521F3E">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0B500F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5859C38D"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2286B44"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3A7C102"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5A4312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Merchant Wholesalers, Nondurable Goods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6FDC329" w14:textId="108569FD">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$2,400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034E59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w:t>
            </w:r>
          </w:p>
        </w:tc>
      </w:tr>
      <w:tr w:rsidRPr="00B6274A" w:rsidR="00C703C3" w:rsidTr="00E76949" w14:paraId="1F35ED87"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6AFDA4F"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356B34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443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027CB6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Electronics and Appliance Stores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1B34C38" w14:textId="693FC7EE">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67FC85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65021D0D"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2E61CC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0EBA64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445</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B561E6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Food and Beverage Stores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1D90286" w14:textId="4EE5D811">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$1,200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D42C16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w:t>
            </w:r>
          </w:p>
        </w:tc>
      </w:tr>
      <w:tr w:rsidRPr="00B6274A" w:rsidR="00C703C3" w:rsidTr="00E76949" w14:paraId="7A430D86"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1D21620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4B9718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453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944B4C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Miscellaneous Store Retailers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BD86912" w14:textId="629EDF83">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843C0A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F259D3F"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96AD0BA"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1D663F0"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484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8C4A51C"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Truck Transportation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AFF027B" w14:textId="03F18E8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40F0453"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136AF28E"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10E637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00A7D15"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486</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D6D78F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Pipeline Transportation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BC5F8D1" w14:textId="64F617D3">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$1,714</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4E72B0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7</w:t>
            </w:r>
          </w:p>
        </w:tc>
      </w:tr>
      <w:tr w:rsidRPr="00B6274A" w:rsidR="00C703C3" w:rsidTr="00E76949" w14:paraId="029D4FDD"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8E7F5D9"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5CF4B8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488</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C90DDF2"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Support Activities for Transportation</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C9F6256" w14:textId="4FFCF5BC">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98C336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5C3173FB"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80D8968"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A5D367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493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5007D35"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Warehousing and Storage</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ED01047" w14:textId="366BFF58">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F0D4C3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351F045C"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703B3F2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BF25BEA"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517</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0BBCE206"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Telecommunications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837B4A1" w14:textId="682FA8D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C19640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413928E3"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01F71085"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E4182A6"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523</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23E0D53"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Securities, Commodity Contracts, and Other Financial Investments and Related Activities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191ECAA" w14:textId="076CF9BB">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631027C"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2</w:t>
            </w:r>
          </w:p>
        </w:tc>
      </w:tr>
      <w:tr w:rsidRPr="00B6274A" w:rsidR="00C703C3" w:rsidTr="00E76949" w14:paraId="1D8F766A"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48E25E23"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F423E1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531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1B556009"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Real Estate</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5520506" w14:textId="7AB52231">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6978329"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3</w:t>
            </w:r>
          </w:p>
        </w:tc>
      </w:tr>
      <w:tr w:rsidRPr="00B6274A" w:rsidR="00C703C3" w:rsidTr="00E76949" w14:paraId="5B4E86E9"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23BE9507"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168032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541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E4F1383"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Professional, Scientific, and Technical Services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AAC88F1" w14:textId="11EDB8E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780E653B"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4</w:t>
            </w:r>
          </w:p>
        </w:tc>
      </w:tr>
      <w:tr w:rsidRPr="00B6274A" w:rsidR="00C703C3" w:rsidTr="00E76949" w14:paraId="3DF2ECC2"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6E9A89DC"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39A7A85F"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551</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6FF30A44"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Management of Companies and Enterprises</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9DDD706" w14:textId="67DB1636">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E8EF8F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r w:rsidRPr="00B6274A" w:rsidR="00C703C3" w:rsidTr="00E76949" w14:paraId="593CE10E" w14:textId="77777777">
        <w:trPr>
          <w:trHeight w:val="290"/>
        </w:trPr>
        <w:tc>
          <w:tcPr>
            <w:tcW w:w="1975" w:type="dxa"/>
            <w:vMerge/>
            <w:tcBorders>
              <w:top w:val="nil"/>
              <w:left w:val="single" w:color="auto" w:sz="4" w:space="0"/>
              <w:bottom w:val="single" w:color="auto" w:sz="4" w:space="0"/>
              <w:right w:val="single" w:color="auto" w:sz="4" w:space="0"/>
            </w:tcBorders>
            <w:vAlign w:val="center"/>
            <w:hideMark/>
          </w:tcPr>
          <w:p w:rsidRPr="000D5861" w:rsidR="00C703C3" w:rsidP="00E76949" w:rsidRDefault="00C703C3" w14:paraId="2B71A911" w14:textId="77777777">
            <w:pPr>
              <w:spacing w:after="0" w:line="240" w:lineRule="auto"/>
              <w:jc w:val="center"/>
              <w:rPr>
                <w:rFonts w:ascii="Times New Roman" w:hAnsi="Times New Roman" w:eastAsia="Times New Roman" w:cs="Times New Roman"/>
                <w:b/>
                <w:bCs/>
                <w:color w:val="000000"/>
              </w:rPr>
            </w:pPr>
          </w:p>
        </w:tc>
        <w:tc>
          <w:tcPr>
            <w:tcW w:w="126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426FBBCE"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624</w:t>
            </w:r>
          </w:p>
        </w:tc>
        <w:tc>
          <w:tcPr>
            <w:tcW w:w="2920"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384A461" w14:textId="77777777">
            <w:pPr>
              <w:spacing w:after="0" w:line="240" w:lineRule="auto"/>
              <w:rPr>
                <w:rFonts w:ascii="Times New Roman" w:hAnsi="Times New Roman" w:eastAsia="Times New Roman" w:cs="Times New Roman"/>
                <w:color w:val="000000"/>
              </w:rPr>
            </w:pPr>
            <w:r w:rsidRPr="000D5861">
              <w:rPr>
                <w:rFonts w:ascii="Times New Roman" w:hAnsi="Times New Roman" w:eastAsia="Times New Roman" w:cs="Times New Roman"/>
                <w:color w:val="000000"/>
              </w:rPr>
              <w:t>Social Assistance</w:t>
            </w:r>
          </w:p>
        </w:tc>
        <w:tc>
          <w:tcPr>
            <w:tcW w:w="1536"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22A2EF36" w14:textId="5AEFFA78">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$1,000</w:t>
            </w:r>
          </w:p>
        </w:tc>
        <w:tc>
          <w:tcPr>
            <w:tcW w:w="1365" w:type="dxa"/>
            <w:tcBorders>
              <w:top w:val="nil"/>
              <w:left w:val="nil"/>
              <w:bottom w:val="single" w:color="auto" w:sz="4" w:space="0"/>
              <w:right w:val="single" w:color="auto" w:sz="4" w:space="0"/>
            </w:tcBorders>
            <w:shd w:val="clear" w:color="auto" w:fill="auto"/>
            <w:noWrap/>
            <w:vAlign w:val="bottom"/>
          </w:tcPr>
          <w:p w:rsidRPr="000D5861" w:rsidR="00C703C3" w:rsidP="00E76949" w:rsidRDefault="00C703C3" w14:paraId="5FBFB984" w14:textId="77777777">
            <w:pPr>
              <w:spacing w:after="0" w:line="240" w:lineRule="auto"/>
              <w:jc w:val="center"/>
              <w:rPr>
                <w:rFonts w:ascii="Times New Roman" w:hAnsi="Times New Roman" w:eastAsia="Times New Roman" w:cs="Times New Roman"/>
                <w:color w:val="000000"/>
              </w:rPr>
            </w:pPr>
            <w:r w:rsidRPr="000D5861">
              <w:rPr>
                <w:rFonts w:ascii="Times New Roman" w:hAnsi="Times New Roman" w:eastAsia="Times New Roman" w:cs="Times New Roman"/>
                <w:color w:val="000000"/>
              </w:rPr>
              <w:t>1</w:t>
            </w:r>
          </w:p>
        </w:tc>
      </w:tr>
    </w:tbl>
    <w:bookmarkEnd w:id="152"/>
    <w:p w:rsidRPr="001913D9" w:rsidR="009A6892" w:rsidP="009A6892" w:rsidRDefault="009A6892" w14:paraId="1DD4663C" w14:textId="77777777">
      <w:pPr>
        <w:spacing w:after="0" w:line="240" w:lineRule="auto"/>
        <w:rPr>
          <w:rFonts w:ascii="Times New Roman" w:hAnsi="Times New Roman" w:cs="Times New Roman"/>
          <w:sz w:val="18"/>
          <w:szCs w:val="18"/>
        </w:rPr>
      </w:pPr>
      <w:r w:rsidRPr="001913D9">
        <w:rPr>
          <w:rFonts w:ascii="Times New Roman" w:hAnsi="Times New Roman" w:cs="Times New Roman"/>
          <w:sz w:val="18"/>
          <w:szCs w:val="18"/>
        </w:rPr>
        <w:t>* The provision impacts all small entities owning P2 and P3 facilities, encompassing 73 NAICS Sectors.</w:t>
      </w:r>
    </w:p>
    <w:p w:rsidRPr="001913D9" w:rsidR="009A6892" w:rsidP="009A6892" w:rsidRDefault="009A6892" w14:paraId="7862C617" w14:textId="77777777">
      <w:pPr>
        <w:spacing w:after="0" w:line="240" w:lineRule="auto"/>
        <w:rPr>
          <w:rFonts w:ascii="Times New Roman" w:hAnsi="Times New Roman" w:cs="Times New Roman"/>
          <w:sz w:val="18"/>
          <w:szCs w:val="18"/>
        </w:rPr>
      </w:pPr>
      <w:r w:rsidRPr="001913D9">
        <w:rPr>
          <w:rFonts w:ascii="Times New Roman" w:hAnsi="Times New Roman" w:cs="Times New Roman"/>
          <w:sz w:val="18"/>
          <w:szCs w:val="18"/>
        </w:rPr>
        <w:t>** The provision impacts all small entities, encompassing 75 NAICS Sectors.</w:t>
      </w:r>
    </w:p>
    <w:p w:rsidR="00B20325" w:rsidP="00B20325" w:rsidRDefault="009A6892" w14:paraId="57694B46" w14:textId="51CAE8E5">
      <w:pPr>
        <w:spacing w:after="0"/>
        <w:rPr>
          <w:rFonts w:ascii="Times New Roman" w:hAnsi="Times New Roman" w:eastAsia="Calibri" w:cs="Times New Roman"/>
          <w:b/>
          <w:bCs/>
          <w:sz w:val="24"/>
          <w:szCs w:val="24"/>
        </w:rPr>
      </w:pPr>
      <w:r w:rsidRPr="001913D9">
        <w:rPr>
          <w:rFonts w:ascii="Times New Roman" w:hAnsi="Times New Roman" w:cs="Times New Roman"/>
          <w:sz w:val="18"/>
          <w:szCs w:val="18"/>
        </w:rPr>
        <w:lastRenderedPageBreak/>
        <w:t>*** Range is an average small entity provision cost across NAICS.</w:t>
      </w:r>
      <w:r w:rsidRPr="00C41D0C" w:rsidR="0075046B">
        <w:rPr>
          <w:rFonts w:ascii="Times New Roman" w:hAnsi="Times New Roman" w:eastAsia="Calibri" w:cs="Times New Roman"/>
          <w:b/>
          <w:bCs/>
          <w:sz w:val="24"/>
          <w:szCs w:val="24"/>
        </w:rPr>
        <w:t xml:space="preserve">8.3.1 Cost Impacts </w:t>
      </w:r>
      <w:r w:rsidR="00B20325">
        <w:rPr>
          <w:rFonts w:ascii="Times New Roman" w:hAnsi="Times New Roman" w:eastAsia="Calibri" w:cs="Times New Roman"/>
          <w:b/>
          <w:bCs/>
          <w:sz w:val="24"/>
          <w:szCs w:val="24"/>
        </w:rPr>
        <w:t xml:space="preserve">on </w:t>
      </w:r>
      <w:r w:rsidRPr="00C41D0C" w:rsidR="0075046B">
        <w:rPr>
          <w:rFonts w:ascii="Times New Roman" w:hAnsi="Times New Roman" w:eastAsia="Calibri" w:cs="Times New Roman"/>
          <w:b/>
          <w:bCs/>
          <w:sz w:val="24"/>
          <w:szCs w:val="24"/>
        </w:rPr>
        <w:t>Private Sector Small Entities</w:t>
      </w:r>
    </w:p>
    <w:p w:rsidR="0075046B" w:rsidP="00B20325" w:rsidRDefault="00B20325" w14:paraId="5F3E7D5F" w14:textId="08AA8D46">
      <w:pPr>
        <w:spacing w:after="0"/>
        <w:rPr>
          <w:rFonts w:ascii="Times New Roman" w:hAnsi="Times New Roman" w:cs="Times New Roman"/>
        </w:rPr>
      </w:pPr>
      <w:r>
        <w:rPr>
          <w:rFonts w:ascii="Times New Roman" w:hAnsi="Times New Roman" w:eastAsia="Calibri" w:cs="Times New Roman"/>
          <w:b/>
          <w:bCs/>
          <w:sz w:val="24"/>
          <w:szCs w:val="24"/>
        </w:rPr>
        <w:tab/>
      </w:r>
      <w:r w:rsidRPr="00D726C0" w:rsidR="0075046B">
        <w:rPr>
          <w:rFonts w:ascii="Times New Roman" w:hAnsi="Times New Roman" w:cs="Times New Roman"/>
        </w:rPr>
        <w:t>The result of the analysis for private sector small entities is presented in Exhibit 8-</w:t>
      </w:r>
      <w:r w:rsidR="008F052F">
        <w:rPr>
          <w:rFonts w:ascii="Times New Roman" w:hAnsi="Times New Roman" w:cs="Times New Roman"/>
        </w:rPr>
        <w:t>6</w:t>
      </w:r>
      <w:r w:rsidRPr="00D726C0" w:rsidR="0075046B">
        <w:rPr>
          <w:rFonts w:ascii="Times New Roman" w:hAnsi="Times New Roman" w:cs="Times New Roman"/>
        </w:rPr>
        <w:t>, below. The result is that 9</w:t>
      </w:r>
      <w:r w:rsidRPr="00D726C0" w:rsidR="00EE427D">
        <w:rPr>
          <w:rFonts w:ascii="Times New Roman" w:hAnsi="Times New Roman" w:cs="Times New Roman"/>
        </w:rPr>
        <w:t>6.</w:t>
      </w:r>
      <w:r w:rsidRPr="00D726C0" w:rsidR="0075046B">
        <w:rPr>
          <w:rFonts w:ascii="Times New Roman" w:hAnsi="Times New Roman" w:cs="Times New Roman"/>
        </w:rPr>
        <w:t>9</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small entities will incur estimated cost impacts that are less than 1</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their revenue and an estimated 0.</w:t>
      </w:r>
      <w:r w:rsidRPr="00D726C0" w:rsidR="00EE427D">
        <w:rPr>
          <w:rFonts w:ascii="Times New Roman" w:hAnsi="Times New Roman" w:cs="Times New Roman"/>
        </w:rPr>
        <w:t>2</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small entities are assumed to be impacted at the greater than 3</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level. Combined, only </w:t>
      </w:r>
      <w:r w:rsidRPr="00D726C0" w:rsidR="00FA758D">
        <w:rPr>
          <w:rFonts w:ascii="Times New Roman" w:hAnsi="Times New Roman" w:cs="Times New Roman"/>
        </w:rPr>
        <w:t>3.1</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small private sector entities are assumed to be impacted at the greater than 1</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level. Another way to express this is that of the total estimated 2,</w:t>
      </w:r>
      <w:r w:rsidRPr="00D726C0" w:rsidR="00FD3890">
        <w:rPr>
          <w:rFonts w:ascii="Times New Roman" w:hAnsi="Times New Roman" w:cs="Times New Roman"/>
        </w:rPr>
        <w:t>911</w:t>
      </w:r>
      <w:r w:rsidRPr="00D726C0" w:rsidR="0075046B">
        <w:rPr>
          <w:rFonts w:ascii="Times New Roman" w:hAnsi="Times New Roman" w:cs="Times New Roman"/>
        </w:rPr>
        <w:t xml:space="preserve"> small private sector entities, an estimated 2,</w:t>
      </w:r>
      <w:r w:rsidRPr="00D726C0" w:rsidR="00C205E4">
        <w:rPr>
          <w:rFonts w:ascii="Times New Roman" w:hAnsi="Times New Roman" w:cs="Times New Roman"/>
        </w:rPr>
        <w:t>8</w:t>
      </w:r>
      <w:r w:rsidRPr="00D726C0" w:rsidR="00614018">
        <w:rPr>
          <w:rFonts w:ascii="Times New Roman" w:hAnsi="Times New Roman" w:cs="Times New Roman"/>
        </w:rPr>
        <w:t>22</w:t>
      </w:r>
      <w:r w:rsidRPr="00D726C0" w:rsidR="0075046B">
        <w:rPr>
          <w:rFonts w:ascii="Times New Roman" w:hAnsi="Times New Roman" w:cs="Times New Roman"/>
        </w:rPr>
        <w:t xml:space="preserve"> entities will be impacted at less than 1</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revenue, </w:t>
      </w:r>
      <w:r w:rsidRPr="00D726C0" w:rsidR="00614018">
        <w:rPr>
          <w:rFonts w:ascii="Times New Roman" w:hAnsi="Times New Roman" w:cs="Times New Roman"/>
        </w:rPr>
        <w:t>84</w:t>
      </w:r>
      <w:r w:rsidRPr="00D726C0" w:rsidR="0075046B">
        <w:rPr>
          <w:rFonts w:ascii="Times New Roman" w:hAnsi="Times New Roman" w:cs="Times New Roman"/>
        </w:rPr>
        <w:t xml:space="preserve"> entities will be impacted at between 1</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and 3</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revenue, and </w:t>
      </w:r>
      <w:r w:rsidRPr="00D726C0" w:rsidR="00CF4332">
        <w:rPr>
          <w:rFonts w:ascii="Times New Roman" w:hAnsi="Times New Roman" w:cs="Times New Roman"/>
        </w:rPr>
        <w:t>5</w:t>
      </w:r>
      <w:r w:rsidRPr="00D726C0" w:rsidR="0075046B">
        <w:rPr>
          <w:rFonts w:ascii="Times New Roman" w:hAnsi="Times New Roman" w:cs="Times New Roman"/>
        </w:rPr>
        <w:t xml:space="preserve"> will be impacted at greater than 3</w:t>
      </w:r>
      <w:r w:rsidRPr="00D726C0" w:rsidR="00115223">
        <w:rPr>
          <w:rFonts w:ascii="Times New Roman" w:hAnsi="Times New Roman" w:cs="Times New Roman"/>
        </w:rPr>
        <w:t xml:space="preserve"> percent</w:t>
      </w:r>
      <w:r w:rsidRPr="00D726C0" w:rsidR="0075046B">
        <w:rPr>
          <w:rFonts w:ascii="Times New Roman" w:hAnsi="Times New Roman" w:cs="Times New Roman"/>
        </w:rPr>
        <w:t xml:space="preserve"> of revenue.  </w:t>
      </w:r>
    </w:p>
    <w:p w:rsidRPr="00D726C0" w:rsidR="00520131" w:rsidP="00520131" w:rsidRDefault="00520131" w14:paraId="01751EED" w14:textId="209C5465">
      <w:pPr>
        <w:spacing w:after="0"/>
        <w:ind w:firstLine="720"/>
        <w:rPr>
          <w:rFonts w:ascii="Times New Roman" w:hAnsi="Times New Roman" w:cs="Times New Roman"/>
        </w:rPr>
      </w:pPr>
    </w:p>
    <w:p w:rsidRPr="00E92045" w:rsidR="001F2C81" w:rsidP="00B44D02" w:rsidRDefault="0075046B" w14:paraId="7896CE23" w14:textId="11FA5A19">
      <w:pPr>
        <w:spacing w:after="0"/>
        <w:jc w:val="center"/>
        <w:rPr>
          <w:rFonts w:ascii="Times New Roman" w:hAnsi="Times New Roman" w:cs="Times New Roman"/>
          <w:b/>
        </w:rPr>
      </w:pPr>
      <w:r w:rsidRPr="00E92045">
        <w:rPr>
          <w:rFonts w:ascii="Times New Roman" w:hAnsi="Times New Roman" w:cs="Times New Roman"/>
          <w:b/>
        </w:rPr>
        <w:t>Exhibit 8-</w:t>
      </w:r>
      <w:r w:rsidR="00C703C3">
        <w:rPr>
          <w:rFonts w:ascii="Times New Roman" w:hAnsi="Times New Roman" w:cs="Times New Roman"/>
          <w:b/>
        </w:rPr>
        <w:t>6</w:t>
      </w:r>
      <w:r w:rsidRPr="00E92045">
        <w:rPr>
          <w:rFonts w:ascii="Times New Roman" w:hAnsi="Times New Roman" w:cs="Times New Roman"/>
          <w:b/>
        </w:rPr>
        <w:t xml:space="preserve">: Cost Impacts as a Proportion of Total Revenue for </w:t>
      </w:r>
    </w:p>
    <w:p w:rsidR="00E92045" w:rsidP="00E92045" w:rsidRDefault="00E92045" w14:paraId="2E5838E6" w14:textId="451F3D15">
      <w:pPr>
        <w:spacing w:after="0"/>
        <w:jc w:val="center"/>
        <w:rPr>
          <w:rFonts w:ascii="Times New Roman" w:hAnsi="Times New Roman" w:cs="Times New Roman"/>
          <w:b/>
          <w:bCs/>
        </w:rPr>
      </w:pPr>
      <w:r w:rsidRPr="00E92045">
        <w:rPr>
          <w:rFonts w:ascii="Times New Roman" w:hAnsi="Times New Roman" w:cs="Times New Roman"/>
          <w:b/>
          <w:bCs/>
        </w:rPr>
        <w:t>Small Private Sector Entities</w:t>
      </w:r>
      <w:r>
        <w:rPr>
          <w:rFonts w:ascii="Times New Roman" w:hAnsi="Times New Roman" w:cs="Times New Roman"/>
          <w:b/>
          <w:bCs/>
        </w:rPr>
        <w:t>.</w:t>
      </w:r>
    </w:p>
    <w:p w:rsidRPr="00E92045" w:rsidR="00E92045" w:rsidP="00E92045" w:rsidRDefault="00E92045" w14:paraId="5A7721CC" w14:textId="77777777">
      <w:pPr>
        <w:spacing w:after="0"/>
        <w:jc w:val="center"/>
        <w:rPr>
          <w:rFonts w:ascii="Times New Roman" w:hAnsi="Times New Roman" w:cs="Times New Roman"/>
          <w:b/>
          <w:bCs/>
        </w:rPr>
      </w:pPr>
    </w:p>
    <w:tbl>
      <w:tblPr>
        <w:tblW w:w="8905" w:type="dxa"/>
        <w:jc w:val="center"/>
        <w:tblLook w:val="04A0" w:firstRow="1" w:lastRow="0" w:firstColumn="1" w:lastColumn="0" w:noHBand="0" w:noVBand="1"/>
      </w:tblPr>
      <w:tblGrid>
        <w:gridCol w:w="2335"/>
        <w:gridCol w:w="1710"/>
        <w:gridCol w:w="1620"/>
        <w:gridCol w:w="1620"/>
        <w:gridCol w:w="1620"/>
      </w:tblGrid>
      <w:tr w:rsidRPr="00E92045" w:rsidR="0075046B" w:rsidTr="00153D11" w14:paraId="4E66BEED" w14:textId="5C3AD213">
        <w:trPr>
          <w:trHeight w:val="127"/>
          <w:jc w:val="center"/>
        </w:trPr>
        <w:tc>
          <w:tcPr>
            <w:tcW w:w="23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92045" w:rsidR="0075046B" w:rsidP="008348D6" w:rsidRDefault="0075046B" w14:paraId="27FB80F2" w14:textId="77777777">
            <w:pPr>
              <w:spacing w:after="0" w:line="240" w:lineRule="auto"/>
              <w:jc w:val="center"/>
              <w:rPr>
                <w:rFonts w:ascii="Times New Roman" w:hAnsi="Times New Roman" w:eastAsia="Times New Roman" w:cs="Times New Roman"/>
                <w:b/>
                <w:sz w:val="20"/>
                <w:szCs w:val="20"/>
              </w:rPr>
            </w:pPr>
            <w:r w:rsidRPr="00E92045">
              <w:rPr>
                <w:rFonts w:ascii="Times New Roman" w:hAnsi="Times New Roman" w:eastAsia="Times New Roman" w:cs="Times New Roman"/>
                <w:b/>
                <w:sz w:val="20"/>
                <w:szCs w:val="20"/>
              </w:rPr>
              <w:t>Proportion of Revenue Impacted</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8348D6" w:rsidRDefault="0075046B" w14:paraId="768E84B9" w14:textId="77777777">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Number of Small Entities</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8348D6" w:rsidRDefault="0075046B" w14:paraId="5486B1FB" w14:textId="77777777">
            <w:pPr>
              <w:spacing w:after="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 xml:space="preserve">% </w:t>
            </w:r>
            <w:proofErr w:type="gramStart"/>
            <w:r w:rsidRPr="00E92045">
              <w:rPr>
                <w:rFonts w:ascii="Times New Roman" w:hAnsi="Times New Roman" w:eastAsia="Times New Roman" w:cs="Times New Roman"/>
                <w:b/>
                <w:color w:val="000000"/>
                <w:sz w:val="20"/>
                <w:szCs w:val="20"/>
              </w:rPr>
              <w:t>of</w:t>
            </w:r>
            <w:proofErr w:type="gramEnd"/>
            <w:r w:rsidRPr="00E92045">
              <w:rPr>
                <w:rFonts w:ascii="Times New Roman" w:hAnsi="Times New Roman" w:eastAsia="Times New Roman" w:cs="Times New Roman"/>
                <w:b/>
                <w:color w:val="000000"/>
                <w:sz w:val="20"/>
                <w:szCs w:val="20"/>
              </w:rPr>
              <w:t xml:space="preserve"> Small Entities</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04623F" w:rsidR="000A4F83" w:rsidP="00153D11" w:rsidRDefault="000A4F83" w14:paraId="2ABE97E1" w14:textId="1FF76553">
            <w:pPr>
              <w:spacing w:after="0" w:line="240" w:lineRule="auto"/>
              <w:jc w:val="center"/>
              <w:rPr>
                <w:rFonts w:ascii="Times New Roman" w:hAnsi="Times New Roman" w:eastAsia="Times New Roman" w:cs="Times New Roman"/>
                <w:b/>
                <w:bCs/>
                <w:color w:val="000000" w:themeColor="text1"/>
              </w:rPr>
            </w:pPr>
            <w:r w:rsidRPr="0004623F">
              <w:rPr>
                <w:rFonts w:ascii="Times New Roman" w:hAnsi="Times New Roman" w:eastAsia="Times New Roman" w:cs="Times New Roman"/>
                <w:b/>
                <w:bCs/>
                <w:color w:val="000000" w:themeColor="text1"/>
              </w:rPr>
              <w:t>Average Small Entity Cost</w:t>
            </w:r>
          </w:p>
        </w:tc>
        <w:tc>
          <w:tcPr>
            <w:tcW w:w="16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04623F" w:rsidR="00F05473" w:rsidP="00153D11" w:rsidRDefault="00F05473" w14:paraId="52ACD495" w14:textId="2EEF7B5A">
            <w:pPr>
              <w:spacing w:after="0" w:line="240" w:lineRule="auto"/>
              <w:jc w:val="center"/>
              <w:rPr>
                <w:rFonts w:ascii="Times New Roman" w:hAnsi="Times New Roman" w:eastAsia="Times New Roman" w:cs="Times New Roman"/>
                <w:b/>
                <w:bCs/>
                <w:color w:val="000000" w:themeColor="text1"/>
              </w:rPr>
            </w:pPr>
            <w:r w:rsidRPr="0004623F">
              <w:rPr>
                <w:rFonts w:ascii="Times New Roman" w:hAnsi="Times New Roman" w:eastAsia="Times New Roman" w:cs="Times New Roman"/>
                <w:b/>
                <w:bCs/>
                <w:color w:val="000000" w:themeColor="text1"/>
              </w:rPr>
              <w:t>Average Small Entity Revenue</w:t>
            </w:r>
          </w:p>
        </w:tc>
      </w:tr>
      <w:tr w:rsidRPr="00E92045" w:rsidR="0075046B" w:rsidTr="008F052F" w14:paraId="4C1F8C81" w14:textId="2DB5D70B">
        <w:trPr>
          <w:trHeight w:val="279"/>
          <w:jc w:val="center"/>
        </w:trPr>
        <w:tc>
          <w:tcPr>
            <w:tcW w:w="2335" w:type="dxa"/>
            <w:tcBorders>
              <w:top w:val="nil"/>
              <w:left w:val="single" w:color="auto" w:sz="4" w:space="0"/>
              <w:bottom w:val="single" w:color="auto" w:sz="4" w:space="0"/>
              <w:right w:val="single" w:color="auto" w:sz="4" w:space="0"/>
            </w:tcBorders>
            <w:shd w:val="clear" w:color="000000" w:fill="FFFFFF"/>
            <w:noWrap/>
            <w:vAlign w:val="center"/>
            <w:hideMark/>
          </w:tcPr>
          <w:p w:rsidRPr="00E92045" w:rsidR="0075046B" w:rsidP="00E92045" w:rsidRDefault="0075046B" w14:paraId="56B774A5" w14:textId="77777777">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&lt; 1%</w:t>
            </w:r>
          </w:p>
        </w:tc>
        <w:tc>
          <w:tcPr>
            <w:tcW w:w="171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5702C305" w14:textId="245B019D">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2,</w:t>
            </w:r>
            <w:r w:rsidRPr="00E92045" w:rsidR="00571E71">
              <w:rPr>
                <w:rFonts w:ascii="Times New Roman" w:hAnsi="Times New Roman" w:cs="Times New Roman"/>
                <w:sz w:val="20"/>
                <w:szCs w:val="20"/>
              </w:rPr>
              <w:t>8</w:t>
            </w:r>
            <w:r w:rsidRPr="00E92045" w:rsidR="00CF4332">
              <w:rPr>
                <w:rFonts w:ascii="Times New Roman" w:hAnsi="Times New Roman" w:cs="Times New Roman"/>
                <w:sz w:val="20"/>
                <w:szCs w:val="20"/>
              </w:rPr>
              <w:t>22</w:t>
            </w:r>
          </w:p>
        </w:tc>
        <w:tc>
          <w:tcPr>
            <w:tcW w:w="162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00071EE" w14:textId="5799AEC3">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9</w:t>
            </w:r>
            <w:r w:rsidRPr="00E92045" w:rsidR="00C71E1E">
              <w:rPr>
                <w:rFonts w:ascii="Times New Roman" w:hAnsi="Times New Roman" w:cs="Times New Roman"/>
                <w:sz w:val="20"/>
                <w:szCs w:val="20"/>
              </w:rPr>
              <w:t>6.</w:t>
            </w:r>
            <w:r w:rsidRPr="00E92045">
              <w:rPr>
                <w:rFonts w:ascii="Times New Roman" w:hAnsi="Times New Roman" w:cs="Times New Roman"/>
                <w:sz w:val="20"/>
                <w:szCs w:val="20"/>
              </w:rPr>
              <w:t>9%</w:t>
            </w:r>
          </w:p>
        </w:tc>
        <w:tc>
          <w:tcPr>
            <w:tcW w:w="1620" w:type="dxa"/>
            <w:tcBorders>
              <w:top w:val="nil"/>
              <w:left w:val="nil"/>
              <w:bottom w:val="single" w:color="auto" w:sz="4" w:space="0"/>
              <w:right w:val="single" w:color="auto" w:sz="4" w:space="0"/>
            </w:tcBorders>
            <w:vAlign w:val="bottom"/>
          </w:tcPr>
          <w:p w:rsidRPr="0004623F" w:rsidR="00C265A9" w:rsidP="00C265A9" w:rsidRDefault="00C265A9" w14:paraId="4874D637" w14:textId="2AE03705">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$10,618</w:t>
            </w:r>
          </w:p>
        </w:tc>
        <w:tc>
          <w:tcPr>
            <w:tcW w:w="1620" w:type="dxa"/>
            <w:tcBorders>
              <w:top w:val="single" w:color="auto" w:sz="4" w:space="0"/>
              <w:left w:val="single" w:color="auto" w:sz="4" w:space="0"/>
              <w:bottom w:val="single" w:color="auto" w:sz="4" w:space="0"/>
              <w:right w:val="single" w:color="auto" w:sz="4" w:space="0"/>
            </w:tcBorders>
            <w:vAlign w:val="bottom"/>
          </w:tcPr>
          <w:p w:rsidRPr="0004623F" w:rsidR="00C265A9" w:rsidP="00C265A9" w:rsidRDefault="00C265A9" w14:paraId="5902EC8A" w14:textId="044CA94F">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$51,340,929</w:t>
            </w:r>
          </w:p>
        </w:tc>
      </w:tr>
      <w:tr w:rsidRPr="00E92045" w:rsidR="0075046B" w:rsidTr="00153D11" w14:paraId="597CF1D1" w14:textId="5623CC31">
        <w:trPr>
          <w:trHeight w:val="279"/>
          <w:jc w:val="center"/>
        </w:trPr>
        <w:tc>
          <w:tcPr>
            <w:tcW w:w="2335" w:type="dxa"/>
            <w:tcBorders>
              <w:top w:val="nil"/>
              <w:left w:val="single" w:color="auto" w:sz="4" w:space="0"/>
              <w:bottom w:val="single" w:color="auto" w:sz="4" w:space="0"/>
              <w:right w:val="single" w:color="auto" w:sz="4" w:space="0"/>
            </w:tcBorders>
            <w:shd w:val="clear" w:color="000000" w:fill="FFFFFF"/>
            <w:noWrap/>
            <w:vAlign w:val="center"/>
            <w:hideMark/>
          </w:tcPr>
          <w:p w:rsidRPr="00E92045" w:rsidR="0075046B" w:rsidP="00E92045" w:rsidRDefault="0075046B" w14:paraId="715E10EB" w14:textId="77777777">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1% - 3%</w:t>
            </w:r>
          </w:p>
        </w:tc>
        <w:tc>
          <w:tcPr>
            <w:tcW w:w="1710"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E92045" w:rsidRDefault="00C71E1E" w14:paraId="40BC0254" w14:textId="3DD2520C">
            <w:pPr>
              <w:spacing w:after="0" w:line="240" w:lineRule="auto"/>
              <w:jc w:val="center"/>
              <w:rPr>
                <w:rFonts w:ascii="Times New Roman" w:hAnsi="Times New Roman" w:eastAsia="Times New Roman" w:cs="Times New Roman"/>
                <w:sz w:val="20"/>
                <w:szCs w:val="20"/>
              </w:rPr>
            </w:pPr>
            <w:r w:rsidRPr="00E92045">
              <w:rPr>
                <w:rFonts w:ascii="Times New Roman" w:hAnsi="Times New Roman" w:eastAsia="Times New Roman" w:cs="Times New Roman"/>
                <w:sz w:val="20"/>
                <w:szCs w:val="20"/>
              </w:rPr>
              <w:t>84</w:t>
            </w:r>
          </w:p>
        </w:tc>
        <w:tc>
          <w:tcPr>
            <w:tcW w:w="162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07B22D35" w14:textId="48A25CB8">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2.</w:t>
            </w:r>
            <w:r w:rsidRPr="00E92045" w:rsidR="00C71E1E">
              <w:rPr>
                <w:rFonts w:ascii="Times New Roman" w:hAnsi="Times New Roman" w:cs="Times New Roman"/>
                <w:sz w:val="20"/>
                <w:szCs w:val="20"/>
              </w:rPr>
              <w:t>9</w:t>
            </w:r>
            <w:r w:rsidRPr="00E92045">
              <w:rPr>
                <w:rFonts w:ascii="Times New Roman" w:hAnsi="Times New Roman" w:cs="Times New Roman"/>
                <w:sz w:val="20"/>
                <w:szCs w:val="20"/>
              </w:rPr>
              <w:t>%</w:t>
            </w:r>
          </w:p>
        </w:tc>
        <w:tc>
          <w:tcPr>
            <w:tcW w:w="1620" w:type="dxa"/>
            <w:tcBorders>
              <w:top w:val="nil"/>
              <w:left w:val="nil"/>
              <w:bottom w:val="single" w:color="auto" w:sz="4" w:space="0"/>
              <w:right w:val="single" w:color="auto" w:sz="4" w:space="0"/>
            </w:tcBorders>
            <w:vAlign w:val="bottom"/>
          </w:tcPr>
          <w:p w:rsidRPr="0004623F" w:rsidR="00F56B01" w:rsidP="00C265A9" w:rsidRDefault="00F56B01" w14:paraId="428951C5" w14:textId="5B04BD78">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$108,92</w:t>
            </w:r>
            <w:r w:rsidR="003B5F0F">
              <w:rPr>
                <w:rFonts w:ascii="Times New Roman" w:hAnsi="Times New Roman" w:eastAsia="Calibri" w:cs="Times New Roman"/>
                <w:color w:val="000000" w:themeColor="text1"/>
              </w:rPr>
              <w:t>1</w:t>
            </w:r>
          </w:p>
        </w:tc>
        <w:tc>
          <w:tcPr>
            <w:tcW w:w="1620" w:type="dxa"/>
            <w:tcBorders>
              <w:top w:val="nil"/>
              <w:left w:val="nil"/>
              <w:bottom w:val="single" w:color="auto" w:sz="4" w:space="0"/>
              <w:right w:val="single" w:color="auto" w:sz="4" w:space="0"/>
            </w:tcBorders>
            <w:vAlign w:val="bottom"/>
          </w:tcPr>
          <w:p w:rsidRPr="0004623F" w:rsidR="00632621" w:rsidP="00C265A9" w:rsidRDefault="00632621" w14:paraId="6BB8730E" w14:textId="562B8856">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$6,638,322</w:t>
            </w:r>
          </w:p>
        </w:tc>
      </w:tr>
      <w:tr w:rsidRPr="00E92045" w:rsidR="0075046B" w:rsidTr="00153D11" w14:paraId="786FEDB1" w14:textId="70D2DAE3">
        <w:trPr>
          <w:trHeight w:val="279"/>
          <w:jc w:val="center"/>
        </w:trPr>
        <w:tc>
          <w:tcPr>
            <w:tcW w:w="2335" w:type="dxa"/>
            <w:tcBorders>
              <w:top w:val="nil"/>
              <w:left w:val="single" w:color="auto" w:sz="4" w:space="0"/>
              <w:bottom w:val="single" w:color="auto" w:sz="4" w:space="0"/>
              <w:right w:val="single" w:color="auto" w:sz="4" w:space="0"/>
            </w:tcBorders>
            <w:shd w:val="clear" w:color="000000" w:fill="FFFFFF"/>
            <w:noWrap/>
            <w:vAlign w:val="center"/>
            <w:hideMark/>
          </w:tcPr>
          <w:p w:rsidRPr="00E92045" w:rsidR="0075046B" w:rsidP="00E92045" w:rsidRDefault="0075046B" w14:paraId="2955B52C" w14:textId="77777777">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Total &gt;3%</w:t>
            </w:r>
          </w:p>
        </w:tc>
        <w:tc>
          <w:tcPr>
            <w:tcW w:w="1710" w:type="dxa"/>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E92045" w:rsidRDefault="00980034" w14:paraId="58140F15" w14:textId="17CBC7D4">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5</w:t>
            </w:r>
          </w:p>
        </w:tc>
        <w:tc>
          <w:tcPr>
            <w:tcW w:w="1620" w:type="dxa"/>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14937804" w14:textId="7FBDC057">
            <w:pPr>
              <w:spacing w:after="0" w:line="240" w:lineRule="auto"/>
              <w:jc w:val="center"/>
              <w:rPr>
                <w:rFonts w:ascii="Times New Roman" w:hAnsi="Times New Roman" w:eastAsia="Times New Roman" w:cs="Times New Roman"/>
                <w:sz w:val="20"/>
                <w:szCs w:val="20"/>
              </w:rPr>
            </w:pPr>
            <w:r w:rsidRPr="00E92045">
              <w:rPr>
                <w:rFonts w:ascii="Times New Roman" w:hAnsi="Times New Roman" w:cs="Times New Roman"/>
                <w:sz w:val="20"/>
                <w:szCs w:val="20"/>
              </w:rPr>
              <w:t>0.</w:t>
            </w:r>
            <w:r w:rsidRPr="00E92045" w:rsidR="00980034">
              <w:rPr>
                <w:rFonts w:ascii="Times New Roman" w:hAnsi="Times New Roman" w:cs="Times New Roman"/>
                <w:sz w:val="20"/>
                <w:szCs w:val="20"/>
              </w:rPr>
              <w:t>2</w:t>
            </w:r>
            <w:r w:rsidRPr="00E92045">
              <w:rPr>
                <w:rFonts w:ascii="Times New Roman" w:hAnsi="Times New Roman" w:cs="Times New Roman"/>
                <w:sz w:val="20"/>
                <w:szCs w:val="20"/>
              </w:rPr>
              <w:t>%</w:t>
            </w:r>
          </w:p>
        </w:tc>
        <w:tc>
          <w:tcPr>
            <w:tcW w:w="1620" w:type="dxa"/>
            <w:tcBorders>
              <w:top w:val="nil"/>
              <w:left w:val="nil"/>
              <w:bottom w:val="single" w:color="auto" w:sz="4" w:space="0"/>
              <w:right w:val="single" w:color="auto" w:sz="4" w:space="0"/>
            </w:tcBorders>
            <w:vAlign w:val="bottom"/>
          </w:tcPr>
          <w:p w:rsidRPr="0004623F" w:rsidR="00D848AA" w:rsidP="00C265A9" w:rsidRDefault="00D848AA" w14:paraId="604DD465" w14:textId="57AF717C">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$636,278</w:t>
            </w:r>
          </w:p>
        </w:tc>
        <w:tc>
          <w:tcPr>
            <w:tcW w:w="1620" w:type="dxa"/>
            <w:tcBorders>
              <w:top w:val="nil"/>
              <w:left w:val="nil"/>
              <w:bottom w:val="single" w:color="auto" w:sz="4" w:space="0"/>
              <w:right w:val="single" w:color="auto" w:sz="4" w:space="0"/>
            </w:tcBorders>
            <w:vAlign w:val="bottom"/>
          </w:tcPr>
          <w:p w:rsidRPr="0004623F" w:rsidR="008F052F" w:rsidP="00C265A9" w:rsidRDefault="008F052F" w14:paraId="2ED3A615" w14:textId="2F401390">
            <w:pPr>
              <w:spacing w:after="0" w:line="240" w:lineRule="auto"/>
              <w:jc w:val="center"/>
              <w:rPr>
                <w:rFonts w:ascii="Times New Roman" w:hAnsi="Times New Roman" w:eastAsia="Calibri" w:cs="Times New Roman"/>
                <w:color w:val="000000" w:themeColor="text1"/>
              </w:rPr>
            </w:pPr>
            <w:r w:rsidRPr="0004623F">
              <w:rPr>
                <w:rFonts w:ascii="Times New Roman" w:hAnsi="Times New Roman" w:eastAsia="Calibri" w:cs="Times New Roman"/>
                <w:color w:val="000000" w:themeColor="text1"/>
              </w:rPr>
              <w:t>$4,955,000</w:t>
            </w:r>
          </w:p>
        </w:tc>
      </w:tr>
    </w:tbl>
    <w:p w:rsidRPr="00E92045" w:rsidR="0075046B" w:rsidP="00693892" w:rsidRDefault="0075046B" w14:paraId="78FEA100" w14:textId="7D0EEA6E">
      <w:pPr>
        <w:spacing w:after="0" w:line="240" w:lineRule="auto"/>
        <w:rPr>
          <w:rFonts w:ascii="Times New Roman" w:hAnsi="Times New Roman" w:eastAsia="Calibri" w:cs="Times New Roman"/>
          <w:b/>
          <w:sz w:val="20"/>
          <w:szCs w:val="20"/>
        </w:rPr>
      </w:pPr>
    </w:p>
    <w:p w:rsidR="00520131" w:rsidP="00693892" w:rsidRDefault="00520131" w14:paraId="4400A732" w14:textId="209C5465">
      <w:pPr>
        <w:spacing w:after="0" w:line="240" w:lineRule="auto"/>
        <w:rPr>
          <w:rFonts w:ascii="Times New Roman" w:hAnsi="Times New Roman" w:eastAsia="Calibri" w:cs="Times New Roman"/>
          <w:b/>
        </w:rPr>
      </w:pPr>
    </w:p>
    <w:p w:rsidRPr="00693892" w:rsidR="0075046B" w:rsidP="00693892" w:rsidRDefault="0075046B" w14:paraId="5B736706" w14:textId="4A7A1708">
      <w:pPr>
        <w:spacing w:after="0" w:line="240" w:lineRule="auto"/>
        <w:rPr>
          <w:rFonts w:ascii="Times New Roman" w:hAnsi="Times New Roman" w:eastAsia="Calibri" w:cs="Times New Roman"/>
          <w:b/>
        </w:rPr>
      </w:pPr>
      <w:r w:rsidRPr="00693892">
        <w:rPr>
          <w:rFonts w:ascii="Times New Roman" w:hAnsi="Times New Roman" w:eastAsia="Calibri" w:cs="Times New Roman"/>
          <w:b/>
        </w:rPr>
        <w:t xml:space="preserve">8.3.2 Cost Impacts </w:t>
      </w:r>
      <w:r w:rsidR="00B20325">
        <w:rPr>
          <w:rFonts w:ascii="Times New Roman" w:hAnsi="Times New Roman" w:eastAsia="Calibri" w:cs="Times New Roman"/>
          <w:b/>
        </w:rPr>
        <w:t>on</w:t>
      </w:r>
      <w:r w:rsidRPr="00693892">
        <w:rPr>
          <w:rFonts w:ascii="Times New Roman" w:hAnsi="Times New Roman" w:eastAsia="Calibri" w:cs="Times New Roman"/>
          <w:b/>
        </w:rPr>
        <w:t xml:space="preserve"> Government Small Entities</w:t>
      </w:r>
    </w:p>
    <w:p w:rsidR="0075046B" w:rsidP="000E6E0F" w:rsidRDefault="00520131" w14:paraId="3E852C40" w14:textId="39722F00">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A combined total of 798 facilities are owned and operated by small governments (i.e., the government serves less than 50,000 residents). EPA has not been able to obtain data on government revenue. The Census Bureau has not published recent data on revenues for cities (the most recent data are from 2002) and does not cover cities of less than 25,000 population. The Census Bureau provides revenue data for total local government revenues by county (covering all government entities including special districts within the country) and a per capita revenue estimate. The Census data indicated that the lowest per capita revenue for a covered county was around $1,024 in 2002 dollars (DeKalb County, MO, with 3 facilities) ($1,481 in 2020 dollars).</w:t>
      </w:r>
      <w:r w:rsidRPr="00693892" w:rsidR="0075046B">
        <w:rPr>
          <w:rFonts w:ascii="Times New Roman" w:hAnsi="Times New Roman" w:cs="Times New Roman"/>
          <w:vertAlign w:val="superscript"/>
        </w:rPr>
        <w:footnoteReference w:id="96"/>
      </w:r>
      <w:r w:rsidRPr="00693892" w:rsidR="0075046B">
        <w:rPr>
          <w:rFonts w:ascii="Times New Roman" w:hAnsi="Times New Roman" w:cs="Times New Roman"/>
        </w:rPr>
        <w:t xml:space="preserve"> The smallest town covered by the proposed rule has approximately 440 residents and </w:t>
      </w:r>
      <w:proofErr w:type="gramStart"/>
      <w:r w:rsidRPr="00693892" w:rsidR="0075046B">
        <w:rPr>
          <w:rFonts w:ascii="Times New Roman" w:hAnsi="Times New Roman" w:cs="Times New Roman"/>
        </w:rPr>
        <w:t>a number of</w:t>
      </w:r>
      <w:proofErr w:type="gramEnd"/>
      <w:r w:rsidRPr="00693892" w:rsidR="0075046B">
        <w:rPr>
          <w:rFonts w:ascii="Times New Roman" w:hAnsi="Times New Roman" w:cs="Times New Roman"/>
        </w:rPr>
        <w:t xml:space="preserve"> others have fewer than 1,000. However, in many of these cases it is not clear whether the town owns and operates the facility or whether it is operated by a district that serves multiple communities. In a few cases, EPA was able to locate budget data from small towns and special districts. Revenues per resident ranged from $196</w:t>
      </w:r>
      <w:r w:rsidRPr="00693892" w:rsidR="0075046B">
        <w:rPr>
          <w:rFonts w:ascii="Times New Roman" w:hAnsi="Times New Roman" w:cs="Times New Roman"/>
          <w:vertAlign w:val="superscript"/>
        </w:rPr>
        <w:footnoteReference w:id="97"/>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for a special district that serves 9,200 people to $1,955 for a city that serves 15,421</w:t>
      </w:r>
      <w:r w:rsidRPr="00693892" w:rsidR="0075046B">
        <w:rPr>
          <w:rFonts w:ascii="Times New Roman" w:hAnsi="Times New Roman" w:cs="Times New Roman"/>
          <w:vertAlign w:val="superscript"/>
        </w:rPr>
        <w:footnoteReference w:id="98"/>
      </w:r>
      <w:r w:rsidRPr="00693892" w:rsidR="0075046B">
        <w:rPr>
          <w:rFonts w:ascii="Times New Roman" w:hAnsi="Times New Roman" w:cs="Times New Roman"/>
          <w:vertAlign w:val="superscript"/>
        </w:rPr>
        <w:t xml:space="preserve"> </w:t>
      </w:r>
      <w:r w:rsidRPr="00693892" w:rsidR="0075046B">
        <w:rPr>
          <w:rFonts w:ascii="Times New Roman" w:hAnsi="Times New Roman" w:cs="Times New Roman"/>
        </w:rPr>
        <w:t>people.</w:t>
      </w:r>
      <w:r w:rsidRPr="00693892" w:rsidR="0075046B">
        <w:rPr>
          <w:rFonts w:ascii="Times New Roman" w:hAnsi="Times New Roman" w:cs="Times New Roman"/>
          <w:vertAlign w:val="superscript"/>
        </w:rPr>
        <w:footnoteReference w:id="99"/>
      </w:r>
      <w:r w:rsidRPr="00693892" w:rsidR="0075046B">
        <w:rPr>
          <w:rFonts w:ascii="Times New Roman" w:hAnsi="Times New Roman" w:cs="Times New Roman"/>
        </w:rPr>
        <w:t xml:space="preserve"> The sample, however, is so small that it would not be appropriate to generalize from it. There are some exceptions on the high end as well. One city with a population of less than 8,000 has revenues of close to $200 million (based on tourist business); another </w:t>
      </w:r>
      <w:r w:rsidRPr="00693892" w:rsidR="0075046B">
        <w:rPr>
          <w:rFonts w:ascii="Times New Roman" w:hAnsi="Times New Roman" w:cs="Times New Roman"/>
        </w:rPr>
        <w:lastRenderedPageBreak/>
        <w:t>small city operates a combined water system, power system, and cable system; although the water system produces revenues of $2.5 million, the combined system reported revenues of $190 million.</w:t>
      </w:r>
    </w:p>
    <w:p w:rsidR="00520131" w:rsidP="000E6E0F" w:rsidRDefault="00520131" w14:paraId="4C93665E" w14:textId="209C5465">
      <w:pPr>
        <w:spacing w:after="0" w:line="240" w:lineRule="auto"/>
        <w:ind w:firstLine="360"/>
        <w:rPr>
          <w:rFonts w:ascii="Times New Roman" w:hAnsi="Times New Roman" w:cs="Times New Roman"/>
        </w:rPr>
      </w:pPr>
    </w:p>
    <w:p w:rsidR="00520131" w:rsidP="000E6E0F" w:rsidRDefault="00520131" w14:paraId="0149FE06" w14:textId="08CF9A53">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Exhibit 8-</w:t>
      </w:r>
      <w:r w:rsidR="002036EB">
        <w:rPr>
          <w:rFonts w:ascii="Times New Roman" w:hAnsi="Times New Roman" w:cs="Times New Roman"/>
        </w:rPr>
        <w:t>7</w:t>
      </w:r>
      <w:r w:rsidRPr="00693892" w:rsidR="0075046B">
        <w:rPr>
          <w:rFonts w:ascii="Times New Roman" w:hAnsi="Times New Roman" w:cs="Times New Roman"/>
        </w:rPr>
        <w:t xml:space="preserve"> and Exhibit 8-</w:t>
      </w:r>
      <w:r w:rsidR="002036EB">
        <w:rPr>
          <w:rFonts w:ascii="Times New Roman" w:hAnsi="Times New Roman" w:cs="Times New Roman"/>
        </w:rPr>
        <w:t>8</w:t>
      </w:r>
      <w:r w:rsidRPr="00693892" w:rsidR="0075046B">
        <w:rPr>
          <w:rFonts w:ascii="Times New Roman" w:hAnsi="Times New Roman" w:cs="Times New Roman"/>
        </w:rPr>
        <w:t xml:space="preserve"> summarize the impacts of the proposed rule on small governments. To understand the impacts, </w:t>
      </w:r>
      <w:proofErr w:type="gramStart"/>
      <w:r w:rsidRPr="00693892" w:rsidR="0075046B">
        <w:rPr>
          <w:rFonts w:ascii="Times New Roman" w:hAnsi="Times New Roman" w:cs="Times New Roman"/>
        </w:rPr>
        <w:t>Exhibit</w:t>
      </w:r>
      <w:proofErr w:type="gramEnd"/>
      <w:r w:rsidRPr="00693892" w:rsidR="0075046B">
        <w:rPr>
          <w:rFonts w:ascii="Times New Roman" w:hAnsi="Times New Roman" w:cs="Times New Roman"/>
        </w:rPr>
        <w:t xml:space="preserve"> 8-</w:t>
      </w:r>
      <w:r w:rsidR="002036EB">
        <w:rPr>
          <w:rFonts w:ascii="Times New Roman" w:hAnsi="Times New Roman" w:cs="Times New Roman"/>
        </w:rPr>
        <w:t>7</w:t>
      </w:r>
      <w:r w:rsidRPr="00693892" w:rsidR="0075046B">
        <w:rPr>
          <w:rFonts w:ascii="Times New Roman" w:hAnsi="Times New Roman" w:cs="Times New Roman"/>
        </w:rPr>
        <w:t xml:space="preserve"> presents the number of small government entities with costs that fall into certain ranges. Exhibit 8-</w:t>
      </w:r>
      <w:r w:rsidR="002036EB">
        <w:rPr>
          <w:rFonts w:ascii="Times New Roman" w:hAnsi="Times New Roman" w:cs="Times New Roman"/>
        </w:rPr>
        <w:t>8</w:t>
      </w:r>
      <w:r w:rsidRPr="00693892" w:rsidR="0075046B">
        <w:rPr>
          <w:rFonts w:ascii="Times New Roman" w:hAnsi="Times New Roman" w:cs="Times New Roman"/>
        </w:rPr>
        <w:t xml:space="preserve"> presents the same data in percentage terms. From the results, </w:t>
      </w:r>
      <w:proofErr w:type="gramStart"/>
      <w:r w:rsidRPr="00693892" w:rsidR="0075046B">
        <w:rPr>
          <w:rFonts w:ascii="Times New Roman" w:hAnsi="Times New Roman" w:cs="Times New Roman"/>
        </w:rPr>
        <w:t>the majority of</w:t>
      </w:r>
      <w:proofErr w:type="gramEnd"/>
      <w:r w:rsidRPr="00693892" w:rsidR="0075046B">
        <w:rPr>
          <w:rFonts w:ascii="Times New Roman" w:hAnsi="Times New Roman" w:cs="Times New Roman"/>
        </w:rPr>
        <w:t xml:space="preserve"> small governments, regardless of the number of residents, would experience total impacts from the proposed rule estimated at less than $1,000. </w:t>
      </w:r>
    </w:p>
    <w:p w:rsidR="00520131" w:rsidP="000E6E0F" w:rsidRDefault="00520131" w14:paraId="197C40EE" w14:textId="209C5465">
      <w:pPr>
        <w:spacing w:after="0" w:line="240" w:lineRule="auto"/>
        <w:ind w:firstLine="360"/>
        <w:rPr>
          <w:rFonts w:ascii="Times New Roman" w:hAnsi="Times New Roman" w:cs="Times New Roman"/>
        </w:rPr>
      </w:pPr>
    </w:p>
    <w:p w:rsidR="0075046B" w:rsidP="000E6E0F" w:rsidRDefault="00520131" w14:paraId="5355AEEF" w14:textId="1F3A9C2B">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 xml:space="preserve">For all small governments, </w:t>
      </w:r>
      <w:r w:rsidRPr="00693892" w:rsidR="00C428BE">
        <w:rPr>
          <w:rFonts w:ascii="Times New Roman" w:hAnsi="Times New Roman" w:cs="Times New Roman"/>
        </w:rPr>
        <w:t>77</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have cost impacts less than $1,000 and there is only 1 small government with an impact </w:t>
      </w:r>
      <w:r w:rsidRPr="00693892" w:rsidR="0075046B">
        <w:rPr>
          <w:rFonts w:ascii="Times New Roman" w:hAnsi="Times New Roman"/>
        </w:rPr>
        <w:t xml:space="preserve">greater </w:t>
      </w:r>
      <w:r w:rsidRPr="00693892" w:rsidR="0075046B">
        <w:rPr>
          <w:rFonts w:ascii="Times New Roman" w:hAnsi="Times New Roman" w:cs="Times New Roman"/>
        </w:rPr>
        <w:t>than $10,000. The largest impact to a small government is $4</w:t>
      </w:r>
      <w:r w:rsidRPr="00693892" w:rsidR="00CE696E">
        <w:rPr>
          <w:rFonts w:ascii="Times New Roman" w:hAnsi="Times New Roman" w:cs="Times New Roman"/>
        </w:rPr>
        <w:t>8,210</w:t>
      </w:r>
      <w:r w:rsidRPr="00693892" w:rsidR="0075046B">
        <w:rPr>
          <w:rFonts w:ascii="Times New Roman" w:hAnsi="Times New Roman" w:cs="Times New Roman"/>
        </w:rPr>
        <w:t xml:space="preserve"> for a facility that serves an estimated population of 46,500. For the rule to have a larger than 1</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impact, this entity would need to have revenue of less than $4.</w:t>
      </w:r>
      <w:r w:rsidRPr="00693892" w:rsidR="00AB1012">
        <w:rPr>
          <w:rFonts w:ascii="Times New Roman" w:hAnsi="Times New Roman" w:cs="Times New Roman"/>
        </w:rPr>
        <w:t>8</w:t>
      </w:r>
      <w:r w:rsidRPr="00693892" w:rsidR="0075046B">
        <w:rPr>
          <w:rFonts w:ascii="Times New Roman" w:hAnsi="Times New Roman" w:cs="Times New Roman"/>
        </w:rPr>
        <w:t xml:space="preserve"> million, or less than $</w:t>
      </w:r>
      <w:r w:rsidRPr="00693892" w:rsidR="00B26AC6">
        <w:rPr>
          <w:rFonts w:ascii="Times New Roman" w:hAnsi="Times New Roman" w:cs="Times New Roman"/>
        </w:rPr>
        <w:t>103</w:t>
      </w:r>
      <w:r w:rsidRPr="00693892" w:rsidR="0075046B">
        <w:rPr>
          <w:rFonts w:ascii="Times New Roman" w:hAnsi="Times New Roman" w:cs="Times New Roman"/>
        </w:rPr>
        <w:t xml:space="preserve"> per resident. For small governments with populations less than 5,000, the cost impacts are smaller: </w:t>
      </w:r>
      <w:r w:rsidRPr="00693892" w:rsidR="00191326">
        <w:rPr>
          <w:rFonts w:ascii="Times New Roman" w:hAnsi="Times New Roman" w:cs="Times New Roman"/>
        </w:rPr>
        <w:t>60</w:t>
      </w:r>
      <w:r w:rsidRPr="00693892" w:rsidR="0075046B">
        <w:rPr>
          <w:rFonts w:ascii="Times New Roman" w:hAnsi="Times New Roman" w:cs="Times New Roman"/>
        </w:rPr>
        <w:t xml:space="preserve"> have impacts less than $1,000 (</w:t>
      </w:r>
      <w:r w:rsidRPr="00693892" w:rsidR="00191326">
        <w:rPr>
          <w:rFonts w:ascii="Times New Roman" w:hAnsi="Times New Roman" w:cs="Times New Roman"/>
        </w:rPr>
        <w:t>88</w:t>
      </w:r>
      <w:r w:rsidRPr="00693892" w:rsidR="00115223">
        <w:rPr>
          <w:rFonts w:ascii="Times New Roman" w:hAnsi="Times New Roman" w:cs="Times New Roman"/>
        </w:rPr>
        <w:t xml:space="preserve"> percent</w:t>
      </w:r>
      <w:r w:rsidRPr="00693892" w:rsidR="0075046B">
        <w:rPr>
          <w:rFonts w:ascii="Times New Roman" w:hAnsi="Times New Roman" w:cs="Times New Roman"/>
        </w:rPr>
        <w:t>) and there are no small governments with populations less than 5,000 with cost impacts greater than $3,000. The smallest government in the data is for a facility located in Avinger, TX; population 440 with a cost of $</w:t>
      </w:r>
      <w:r w:rsidRPr="00693892" w:rsidR="00446E85">
        <w:rPr>
          <w:rFonts w:ascii="Times New Roman" w:hAnsi="Times New Roman" w:cs="Times New Roman"/>
        </w:rPr>
        <w:t>879.92</w:t>
      </w:r>
      <w:r w:rsidRPr="00693892" w:rsidR="0075046B">
        <w:rPr>
          <w:rFonts w:ascii="Times New Roman" w:hAnsi="Times New Roman" w:cs="Times New Roman"/>
        </w:rPr>
        <w:t xml:space="preserve"> from the proposed rule. To experience an impact larger than 1</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this entity would need to have revenue of less than $</w:t>
      </w:r>
      <w:r w:rsidRPr="00693892" w:rsidR="002D6DC9">
        <w:rPr>
          <w:rFonts w:ascii="Times New Roman" w:hAnsi="Times New Roman" w:cs="Times New Roman"/>
        </w:rPr>
        <w:t>87,992</w:t>
      </w:r>
      <w:r w:rsidRPr="00693892" w:rsidR="0075046B">
        <w:rPr>
          <w:rFonts w:ascii="Times New Roman" w:hAnsi="Times New Roman" w:cs="Times New Roman"/>
        </w:rPr>
        <w:t>, or less than $</w:t>
      </w:r>
      <w:r w:rsidRPr="00693892" w:rsidR="002D6DC9">
        <w:rPr>
          <w:rFonts w:ascii="Times New Roman" w:hAnsi="Times New Roman" w:cs="Times New Roman"/>
        </w:rPr>
        <w:t>199.98</w:t>
      </w:r>
      <w:r w:rsidRPr="00693892" w:rsidR="0075046B">
        <w:rPr>
          <w:rFonts w:ascii="Times New Roman" w:hAnsi="Times New Roman" w:cs="Times New Roman"/>
        </w:rPr>
        <w:t xml:space="preserve"> per resident.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Pr="00693892" w:rsidR="000E6E0F" w:rsidP="000E6E0F" w:rsidRDefault="000E6E0F" w14:paraId="009BF8F7" w14:textId="77777777">
      <w:pPr>
        <w:spacing w:after="0" w:line="240" w:lineRule="auto"/>
        <w:ind w:firstLine="360"/>
        <w:rPr>
          <w:rFonts w:ascii="Times New Roman" w:hAnsi="Times New Roman" w:cs="Times New Roman"/>
        </w:rPr>
      </w:pPr>
    </w:p>
    <w:p w:rsidRPr="00E92045" w:rsidR="0075046B" w:rsidP="0075046B" w:rsidRDefault="0075046B" w14:paraId="2CF66751" w14:textId="1F601B66">
      <w:pPr>
        <w:spacing w:after="0" w:line="240" w:lineRule="auto"/>
        <w:jc w:val="center"/>
        <w:rPr>
          <w:rFonts w:ascii="Times New Roman" w:hAnsi="Times New Roman" w:cs="Times New Roman"/>
          <w:b/>
        </w:rPr>
      </w:pPr>
      <w:r w:rsidRPr="00E92045">
        <w:rPr>
          <w:rFonts w:ascii="Times New Roman" w:hAnsi="Times New Roman" w:cs="Times New Roman"/>
          <w:b/>
        </w:rPr>
        <w:t>Exhibit 8-</w:t>
      </w:r>
      <w:r w:rsidR="002036EB">
        <w:rPr>
          <w:rFonts w:ascii="Times New Roman" w:hAnsi="Times New Roman" w:cs="Times New Roman"/>
          <w:b/>
        </w:rPr>
        <w:t>7</w:t>
      </w:r>
      <w:r w:rsidRPr="00E92045">
        <w:rPr>
          <w:rFonts w:ascii="Times New Roman" w:hAnsi="Times New Roman" w:cs="Times New Roman"/>
          <w:b/>
        </w:rPr>
        <w:t>: Co</w:t>
      </w:r>
      <w:r w:rsidR="00ED3152">
        <w:rPr>
          <w:rFonts w:ascii="Times New Roman" w:hAnsi="Times New Roman" w:cs="Times New Roman"/>
          <w:b/>
        </w:rPr>
        <w:t>s</w:t>
      </w:r>
      <w:r w:rsidRPr="00E92045">
        <w:rPr>
          <w:rFonts w:ascii="Times New Roman" w:hAnsi="Times New Roman" w:cs="Times New Roman"/>
          <w:b/>
        </w:rPr>
        <w:t xml:space="preserve">t Impacts to Small Governments </w:t>
      </w:r>
    </w:p>
    <w:p w:rsidRPr="00E92045" w:rsidR="0075046B" w:rsidP="00122820" w:rsidRDefault="0075046B" w14:paraId="37FF8BB4" w14:textId="5BD25746">
      <w:pPr>
        <w:spacing w:after="120" w:line="240" w:lineRule="auto"/>
        <w:jc w:val="center"/>
        <w:rPr>
          <w:rFonts w:ascii="Times New Roman" w:hAnsi="Times New Roman" w:cs="Times New Roman"/>
          <w:b/>
        </w:rPr>
      </w:pPr>
      <w:r w:rsidRPr="00E92045">
        <w:rPr>
          <w:rFonts w:ascii="Times New Roman" w:hAnsi="Times New Roman" w:cs="Times New Roman"/>
          <w:b/>
        </w:rPr>
        <w:t>(Number of Small Governments with Costs in the Given Range</w:t>
      </w:r>
      <w:r w:rsidRPr="00E92045" w:rsidR="00E92045">
        <w:rPr>
          <w:rFonts w:ascii="Times New Roman" w:hAnsi="Times New Roman" w:cs="Times New Roman"/>
          <w:b/>
          <w:bCs/>
        </w:rPr>
        <w:t>).</w:t>
      </w:r>
    </w:p>
    <w:tbl>
      <w:tblPr>
        <w:tblW w:w="5338" w:type="pct"/>
        <w:tblLayout w:type="fixed"/>
        <w:tblLook w:val="04A0" w:firstRow="1" w:lastRow="0" w:firstColumn="1" w:lastColumn="0" w:noHBand="0" w:noVBand="1"/>
      </w:tblPr>
      <w:tblGrid>
        <w:gridCol w:w="2966"/>
        <w:gridCol w:w="1440"/>
        <w:gridCol w:w="1080"/>
        <w:gridCol w:w="1080"/>
        <w:gridCol w:w="1078"/>
        <w:gridCol w:w="1172"/>
        <w:gridCol w:w="1166"/>
      </w:tblGrid>
      <w:tr w:rsidRPr="00AA079D" w:rsidR="0075046B" w:rsidTr="003165DF" w14:paraId="4F0B5A33" w14:textId="77777777">
        <w:trPr>
          <w:trHeight w:val="290"/>
          <w:tblHeader/>
        </w:trPr>
        <w:tc>
          <w:tcPr>
            <w:tcW w:w="1485"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E92045" w:rsidR="0075046B" w:rsidP="00E92045" w:rsidRDefault="0075046B" w14:paraId="51815CFD" w14:textId="281D9C74">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Category</w:t>
            </w:r>
          </w:p>
        </w:tc>
        <w:tc>
          <w:tcPr>
            <w:tcW w:w="721"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6AD937EA" w14:textId="77777777">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Number of Governments</w:t>
            </w:r>
          </w:p>
        </w:tc>
        <w:tc>
          <w:tcPr>
            <w:tcW w:w="541"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2A42FC54" w14:textId="2F6AEDED">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&lt;$1,000</w:t>
            </w:r>
          </w:p>
        </w:tc>
        <w:tc>
          <w:tcPr>
            <w:tcW w:w="541"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66D6E0C7" w14:textId="34365A3D">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$1,000-$2,000</w:t>
            </w:r>
          </w:p>
        </w:tc>
        <w:tc>
          <w:tcPr>
            <w:tcW w:w="540"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5C7A3052" w14:textId="77777777">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$2,000-$3,000</w:t>
            </w:r>
          </w:p>
        </w:tc>
        <w:tc>
          <w:tcPr>
            <w:tcW w:w="587"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569CA78F" w14:textId="2430B865">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$3,000-$10,0000</w:t>
            </w:r>
          </w:p>
        </w:tc>
        <w:tc>
          <w:tcPr>
            <w:tcW w:w="584" w:type="pct"/>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E92045" w:rsidR="0075046B" w:rsidP="00122820" w:rsidRDefault="0075046B" w14:paraId="52D4F6C2" w14:textId="77777777">
            <w:pPr>
              <w:spacing w:after="120" w:line="240" w:lineRule="auto"/>
              <w:jc w:val="center"/>
              <w:rPr>
                <w:rFonts w:ascii="Times New Roman" w:hAnsi="Times New Roman" w:eastAsia="Times New Roman" w:cs="Times New Roman"/>
                <w:b/>
                <w:color w:val="000000"/>
                <w:sz w:val="20"/>
                <w:szCs w:val="20"/>
              </w:rPr>
            </w:pPr>
            <w:r w:rsidRPr="00E92045">
              <w:rPr>
                <w:rFonts w:ascii="Times New Roman" w:hAnsi="Times New Roman" w:eastAsia="Times New Roman" w:cs="Times New Roman"/>
                <w:b/>
                <w:color w:val="000000"/>
                <w:sz w:val="20"/>
                <w:szCs w:val="20"/>
              </w:rPr>
              <w:t>&gt;$10,000</w:t>
            </w:r>
          </w:p>
        </w:tc>
      </w:tr>
      <w:tr w:rsidRPr="00AA079D" w:rsidR="0075046B" w:rsidTr="003165DF" w14:paraId="3B53C1F3" w14:textId="77777777">
        <w:trPr>
          <w:trHeight w:val="290"/>
        </w:trPr>
        <w:tc>
          <w:tcPr>
            <w:tcW w:w="1485" w:type="pct"/>
            <w:tcBorders>
              <w:top w:val="nil"/>
              <w:left w:val="single" w:color="auto" w:sz="4" w:space="0"/>
              <w:bottom w:val="nil"/>
              <w:right w:val="single" w:color="auto" w:sz="4" w:space="0"/>
            </w:tcBorders>
            <w:shd w:val="clear" w:color="auto" w:fill="auto"/>
            <w:noWrap/>
            <w:vAlign w:val="center"/>
            <w:hideMark/>
          </w:tcPr>
          <w:p w:rsidRPr="00E92045" w:rsidR="0075046B" w:rsidP="008348D6" w:rsidRDefault="0075046B" w14:paraId="01903BAF" w14:textId="7C1EB32F">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Small</w:t>
            </w:r>
          </w:p>
        </w:tc>
        <w:tc>
          <w:tcPr>
            <w:tcW w:w="721"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E92045" w:rsidRDefault="0075046B" w14:paraId="154E644C"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630</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BA747D" w14:paraId="7B6A622B" w14:textId="6FB483E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488</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94F14" w14:paraId="3B44F78E" w14:textId="7B352576">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109</w:t>
            </w:r>
          </w:p>
        </w:tc>
        <w:tc>
          <w:tcPr>
            <w:tcW w:w="540"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6006CA" w14:paraId="5FD9E26B" w14:textId="40EB0A0A">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18</w:t>
            </w:r>
          </w:p>
        </w:tc>
        <w:tc>
          <w:tcPr>
            <w:tcW w:w="587"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32623A" w14:paraId="44D008EC" w14:textId="13ED0A5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14</w:t>
            </w:r>
          </w:p>
        </w:tc>
        <w:tc>
          <w:tcPr>
            <w:tcW w:w="584"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7BF32EB5"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w:t>
            </w:r>
          </w:p>
        </w:tc>
      </w:tr>
      <w:tr w:rsidRPr="00AA079D" w:rsidR="0075046B" w:rsidTr="003165DF" w14:paraId="1E9A1F3B" w14:textId="77777777">
        <w:trPr>
          <w:trHeight w:val="290"/>
        </w:trPr>
        <w:tc>
          <w:tcPr>
            <w:tcW w:w="14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92045" w:rsidR="0075046B" w:rsidP="008348D6" w:rsidRDefault="000863F3" w14:paraId="17446C35" w14:textId="4507E93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r w:rsidRPr="00E92045" w:rsidR="0075046B">
              <w:rPr>
                <w:rFonts w:ascii="Times New Roman" w:hAnsi="Times New Roman" w:eastAsia="Times New Roman" w:cs="Times New Roman"/>
                <w:color w:val="000000"/>
                <w:sz w:val="20"/>
                <w:szCs w:val="20"/>
              </w:rPr>
              <w:t>,000 - 5</w:t>
            </w:r>
            <w:r w:rsidR="00CD4ED4">
              <w:rPr>
                <w:rFonts w:ascii="Times New Roman" w:hAnsi="Times New Roman" w:eastAsia="Times New Roman" w:cs="Times New Roman"/>
                <w:color w:val="000000"/>
                <w:sz w:val="20"/>
                <w:szCs w:val="20"/>
              </w:rPr>
              <w:t>0</w:t>
            </w:r>
            <w:r w:rsidRPr="00E92045" w:rsidR="0075046B">
              <w:rPr>
                <w:rFonts w:ascii="Times New Roman" w:hAnsi="Times New Roman" w:eastAsia="Times New Roman" w:cs="Times New Roman"/>
                <w:color w:val="000000"/>
                <w:sz w:val="20"/>
                <w:szCs w:val="20"/>
              </w:rPr>
              <w:t>,000 Residents</w:t>
            </w:r>
          </w:p>
        </w:tc>
        <w:tc>
          <w:tcPr>
            <w:tcW w:w="72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36F7FA6E"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327</w:t>
            </w:r>
          </w:p>
        </w:tc>
        <w:tc>
          <w:tcPr>
            <w:tcW w:w="541"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E92045" w:rsidRDefault="00BA747D" w14:paraId="624F2B3F" w14:textId="07B1490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240</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94F14" w14:paraId="123AEF33" w14:textId="374B3A3B">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66</w:t>
            </w:r>
          </w:p>
        </w:tc>
        <w:tc>
          <w:tcPr>
            <w:tcW w:w="540"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6A4B81" w14:paraId="79F72CCC" w14:textId="1ACE25E9">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14</w:t>
            </w:r>
          </w:p>
        </w:tc>
        <w:tc>
          <w:tcPr>
            <w:tcW w:w="587"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32623A" w14:paraId="1A7E93EF" w14:textId="5C05B51C">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6</w:t>
            </w:r>
          </w:p>
        </w:tc>
        <w:tc>
          <w:tcPr>
            <w:tcW w:w="584"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04FDFB30"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w:t>
            </w:r>
          </w:p>
        </w:tc>
      </w:tr>
      <w:tr w:rsidRPr="00AA079D" w:rsidR="0075046B" w:rsidTr="003165DF" w14:paraId="4EE4460F" w14:textId="77777777">
        <w:trPr>
          <w:trHeight w:val="290"/>
        </w:trPr>
        <w:tc>
          <w:tcPr>
            <w:tcW w:w="1485"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8348D6" w:rsidRDefault="0075046B" w14:paraId="19ACD627"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&lt;15,000 Residents</w:t>
            </w:r>
          </w:p>
        </w:tc>
        <w:tc>
          <w:tcPr>
            <w:tcW w:w="721"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E92045" w:rsidRDefault="0075046B" w14:paraId="16A06718"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300</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51312" w14:paraId="229FBDCA" w14:textId="6201DE8B">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245</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94F14" w14:paraId="6540BF74" w14:textId="7CC35F7F">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cs="Times New Roman"/>
                <w:color w:val="000000"/>
                <w:sz w:val="20"/>
                <w:szCs w:val="20"/>
              </w:rPr>
              <w:t>43</w:t>
            </w:r>
          </w:p>
        </w:tc>
        <w:tc>
          <w:tcPr>
            <w:tcW w:w="540"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A00096" w14:paraId="7FFDB382" w14:textId="6E3385A4">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4</w:t>
            </w:r>
          </w:p>
        </w:tc>
        <w:tc>
          <w:tcPr>
            <w:tcW w:w="587"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32623A" w14:paraId="42DC716C" w14:textId="499AE42E">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8</w:t>
            </w:r>
          </w:p>
        </w:tc>
        <w:tc>
          <w:tcPr>
            <w:tcW w:w="584"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1DF804FE"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0</w:t>
            </w:r>
          </w:p>
        </w:tc>
      </w:tr>
      <w:tr w:rsidRPr="00AA079D" w:rsidR="0075046B" w:rsidTr="003165DF" w14:paraId="69AB478F" w14:textId="77777777">
        <w:trPr>
          <w:trHeight w:val="290"/>
        </w:trPr>
        <w:tc>
          <w:tcPr>
            <w:tcW w:w="1485"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8348D6" w:rsidRDefault="0075046B" w14:paraId="266099B9"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&lt;10,000 Residents</w:t>
            </w:r>
          </w:p>
        </w:tc>
        <w:tc>
          <w:tcPr>
            <w:tcW w:w="72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62F613BD"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187</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51312" w14:paraId="15602915" w14:textId="56309F70">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159</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94F14" w14:paraId="2514C1EE" w14:textId="226166A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22</w:t>
            </w:r>
          </w:p>
        </w:tc>
        <w:tc>
          <w:tcPr>
            <w:tcW w:w="540"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8607CE3"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w:t>
            </w:r>
          </w:p>
        </w:tc>
        <w:tc>
          <w:tcPr>
            <w:tcW w:w="587"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18A3D780"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3</w:t>
            </w:r>
          </w:p>
        </w:tc>
        <w:tc>
          <w:tcPr>
            <w:tcW w:w="584"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608F0478"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0</w:t>
            </w:r>
          </w:p>
        </w:tc>
      </w:tr>
      <w:tr w:rsidRPr="00AA079D" w:rsidR="0075046B" w:rsidTr="003165DF" w14:paraId="636BE0F0" w14:textId="77777777">
        <w:trPr>
          <w:trHeight w:val="290"/>
        </w:trPr>
        <w:tc>
          <w:tcPr>
            <w:tcW w:w="1485" w:type="pct"/>
            <w:tcBorders>
              <w:top w:val="nil"/>
              <w:left w:val="single" w:color="auto" w:sz="4" w:space="0"/>
              <w:bottom w:val="single" w:color="auto" w:sz="4" w:space="0"/>
              <w:right w:val="single" w:color="auto" w:sz="4" w:space="0"/>
            </w:tcBorders>
            <w:shd w:val="clear" w:color="auto" w:fill="auto"/>
            <w:noWrap/>
            <w:vAlign w:val="center"/>
            <w:hideMark/>
          </w:tcPr>
          <w:p w:rsidRPr="00E92045" w:rsidR="0075046B" w:rsidP="008348D6" w:rsidRDefault="0075046B" w14:paraId="6AE51C3A" w14:textId="77777777">
            <w:pPr>
              <w:spacing w:after="0" w:line="240" w:lineRule="auto"/>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&lt;5,000 Residents</w:t>
            </w:r>
          </w:p>
        </w:tc>
        <w:tc>
          <w:tcPr>
            <w:tcW w:w="72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7278D0C2"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68</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F2379B" w14:paraId="1FED8DB4" w14:textId="151B233C">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60</w:t>
            </w:r>
          </w:p>
        </w:tc>
        <w:tc>
          <w:tcPr>
            <w:tcW w:w="541"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E94F14" w14:paraId="7761E32A" w14:textId="4D23624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7</w:t>
            </w:r>
          </w:p>
        </w:tc>
        <w:tc>
          <w:tcPr>
            <w:tcW w:w="540"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0154CBFB"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1</w:t>
            </w:r>
          </w:p>
        </w:tc>
        <w:tc>
          <w:tcPr>
            <w:tcW w:w="587"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2D220A44"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0</w:t>
            </w:r>
          </w:p>
        </w:tc>
        <w:tc>
          <w:tcPr>
            <w:tcW w:w="584" w:type="pct"/>
            <w:tcBorders>
              <w:top w:val="nil"/>
              <w:left w:val="nil"/>
              <w:bottom w:val="single" w:color="auto" w:sz="4" w:space="0"/>
              <w:right w:val="single" w:color="auto" w:sz="4" w:space="0"/>
            </w:tcBorders>
            <w:shd w:val="clear" w:color="auto" w:fill="auto"/>
            <w:noWrap/>
            <w:vAlign w:val="center"/>
            <w:hideMark/>
          </w:tcPr>
          <w:p w:rsidRPr="00E92045" w:rsidR="0075046B" w:rsidP="00E92045" w:rsidRDefault="0075046B" w14:paraId="0DF0A162" w14:textId="77777777">
            <w:pPr>
              <w:spacing w:after="0" w:line="240" w:lineRule="auto"/>
              <w:jc w:val="center"/>
              <w:rPr>
                <w:rFonts w:ascii="Times New Roman" w:hAnsi="Times New Roman" w:eastAsia="Times New Roman" w:cs="Times New Roman"/>
                <w:color w:val="000000"/>
                <w:sz w:val="20"/>
                <w:szCs w:val="20"/>
              </w:rPr>
            </w:pPr>
            <w:r w:rsidRPr="00E92045">
              <w:rPr>
                <w:rFonts w:ascii="Times New Roman" w:hAnsi="Times New Roman" w:eastAsia="Times New Roman" w:cs="Times New Roman"/>
                <w:color w:val="000000"/>
                <w:sz w:val="20"/>
                <w:szCs w:val="20"/>
              </w:rPr>
              <w:t>0</w:t>
            </w:r>
          </w:p>
        </w:tc>
      </w:tr>
    </w:tbl>
    <w:p w:rsidRPr="00C41D0C" w:rsidR="0075046B" w:rsidP="0075046B" w:rsidRDefault="0075046B" w14:paraId="3CA13F73" w14:textId="77777777">
      <w:pPr>
        <w:spacing w:after="240"/>
        <w:rPr>
          <w:rFonts w:ascii="Times New Roman" w:hAnsi="Times New Roman" w:cs="Times New Roman"/>
          <w:sz w:val="24"/>
          <w:szCs w:val="24"/>
        </w:rPr>
      </w:pPr>
    </w:p>
    <w:p w:rsidRPr="00693892" w:rsidR="0075046B" w:rsidP="003165DF" w:rsidRDefault="0075046B" w14:paraId="289400A8" w14:textId="5B8A3EDD">
      <w:pPr>
        <w:keepNext/>
        <w:spacing w:after="0" w:line="240" w:lineRule="auto"/>
        <w:jc w:val="center"/>
        <w:rPr>
          <w:rFonts w:ascii="Times New Roman" w:hAnsi="Times New Roman" w:cs="Times New Roman"/>
          <w:b/>
        </w:rPr>
      </w:pPr>
      <w:r w:rsidRPr="003165DF">
        <w:rPr>
          <w:rFonts w:ascii="Times New Roman" w:hAnsi="Times New Roman" w:cs="Times New Roman"/>
          <w:b/>
        </w:rPr>
        <w:t xml:space="preserve">Exhibit </w:t>
      </w:r>
      <w:r w:rsidRPr="00693892">
        <w:rPr>
          <w:rFonts w:ascii="Times New Roman" w:hAnsi="Times New Roman" w:cs="Times New Roman"/>
          <w:b/>
        </w:rPr>
        <w:t>8-</w:t>
      </w:r>
      <w:r w:rsidR="002036EB">
        <w:rPr>
          <w:rFonts w:ascii="Times New Roman" w:hAnsi="Times New Roman" w:cs="Times New Roman"/>
          <w:b/>
        </w:rPr>
        <w:t>8</w:t>
      </w:r>
      <w:r w:rsidRPr="00693892">
        <w:rPr>
          <w:rFonts w:ascii="Times New Roman" w:hAnsi="Times New Roman" w:cs="Times New Roman"/>
          <w:b/>
        </w:rPr>
        <w:t xml:space="preserve">: Distribution of Cost Impacts to Small Governments </w:t>
      </w:r>
    </w:p>
    <w:p w:rsidR="0075046B" w:rsidP="003165DF" w:rsidRDefault="0075046B" w14:paraId="72B210E6" w14:textId="04F93372">
      <w:pPr>
        <w:keepNext/>
        <w:spacing w:after="0" w:line="240" w:lineRule="auto"/>
        <w:jc w:val="center"/>
        <w:rPr>
          <w:rFonts w:ascii="Times New Roman" w:hAnsi="Times New Roman" w:cs="Times New Roman"/>
          <w:b/>
        </w:rPr>
      </w:pPr>
      <w:r w:rsidRPr="00693892">
        <w:rPr>
          <w:rFonts w:ascii="Times New Roman" w:hAnsi="Times New Roman" w:cs="Times New Roman"/>
          <w:b/>
        </w:rPr>
        <w:t>(Percent of Small Governments with Costs in the Given Range</w:t>
      </w:r>
      <w:r w:rsidRPr="00693892" w:rsidR="003165DF">
        <w:rPr>
          <w:rFonts w:ascii="Times New Roman" w:hAnsi="Times New Roman" w:cs="Times New Roman"/>
          <w:b/>
          <w:bCs/>
        </w:rPr>
        <w:t>)</w:t>
      </w:r>
      <w:r w:rsidR="003165DF">
        <w:rPr>
          <w:rFonts w:ascii="Times New Roman" w:hAnsi="Times New Roman" w:cs="Times New Roman"/>
          <w:b/>
          <w:bCs/>
        </w:rPr>
        <w:t>.</w:t>
      </w:r>
    </w:p>
    <w:p w:rsidRPr="00693892" w:rsidR="003165DF" w:rsidP="003165DF" w:rsidRDefault="003165DF" w14:paraId="67373E0E" w14:textId="77777777">
      <w:pPr>
        <w:keepNext/>
        <w:spacing w:after="0" w:line="240" w:lineRule="auto"/>
        <w:jc w:val="center"/>
        <w:rPr>
          <w:rFonts w:ascii="Times New Roman" w:hAnsi="Times New Roman" w:cs="Times New Roman"/>
          <w:b/>
          <w:bCs/>
        </w:rPr>
      </w:pPr>
    </w:p>
    <w:tbl>
      <w:tblPr>
        <w:tblW w:w="0" w:type="auto"/>
        <w:tblLook w:val="04A0" w:firstRow="1" w:lastRow="0" w:firstColumn="1" w:lastColumn="0" w:noHBand="0" w:noVBand="1"/>
      </w:tblPr>
      <w:tblGrid>
        <w:gridCol w:w="2207"/>
        <w:gridCol w:w="1638"/>
        <w:gridCol w:w="1093"/>
        <w:gridCol w:w="1175"/>
        <w:gridCol w:w="1108"/>
        <w:gridCol w:w="996"/>
        <w:gridCol w:w="1133"/>
      </w:tblGrid>
      <w:tr w:rsidRPr="00693892" w:rsidR="0075046B" w:rsidTr="003165DF" w14:paraId="7A3C822C" w14:textId="77777777">
        <w:trPr>
          <w:trHeight w:val="288"/>
        </w:trPr>
        <w:tc>
          <w:tcPr>
            <w:tcW w:w="220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3424C2D3" w14:textId="77777777">
            <w:pPr>
              <w:keepNext/>
              <w:spacing w:after="0" w:line="240" w:lineRule="auto"/>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Category</w:t>
            </w:r>
          </w:p>
        </w:tc>
        <w:tc>
          <w:tcPr>
            <w:tcW w:w="1638"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0152F0D9" w14:textId="77777777">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Number of Governments</w:t>
            </w:r>
          </w:p>
        </w:tc>
        <w:tc>
          <w:tcPr>
            <w:tcW w:w="1093"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65EE604A" w14:textId="4D548E47">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&lt;$1,000</w:t>
            </w:r>
          </w:p>
        </w:tc>
        <w:tc>
          <w:tcPr>
            <w:tcW w:w="1175"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04F0DE37" w14:textId="3FE328E9">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$1,000-$2,000</w:t>
            </w:r>
          </w:p>
        </w:tc>
        <w:tc>
          <w:tcPr>
            <w:tcW w:w="1108"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27898F11" w14:textId="08A55ACC">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$2,000-$3,000</w:t>
            </w:r>
          </w:p>
        </w:tc>
        <w:tc>
          <w:tcPr>
            <w:tcW w:w="996"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634243A9" w14:textId="4A990A04">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3,000-$10,000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3165DF" w:rsidR="0075046B" w:rsidP="003165DF" w:rsidRDefault="0075046B" w14:paraId="002A84FD" w14:textId="6C222759">
            <w:pPr>
              <w:keepNext/>
              <w:spacing w:after="0" w:line="240" w:lineRule="auto"/>
              <w:jc w:val="center"/>
              <w:rPr>
                <w:rFonts w:ascii="Times New Roman" w:hAnsi="Times New Roman" w:eastAsia="Times New Roman" w:cs="Times New Roman"/>
                <w:b/>
                <w:color w:val="000000"/>
                <w:sz w:val="20"/>
                <w:szCs w:val="20"/>
              </w:rPr>
            </w:pPr>
            <w:r w:rsidRPr="003165DF">
              <w:rPr>
                <w:rFonts w:ascii="Times New Roman" w:hAnsi="Times New Roman" w:eastAsia="Times New Roman" w:cs="Times New Roman"/>
                <w:b/>
                <w:color w:val="000000"/>
                <w:sz w:val="20"/>
                <w:szCs w:val="20"/>
              </w:rPr>
              <w:t>&gt;$10,000</w:t>
            </w:r>
          </w:p>
        </w:tc>
      </w:tr>
      <w:tr w:rsidRPr="00693892" w:rsidR="0075046B" w:rsidTr="003165DF" w14:paraId="393D5AAF" w14:textId="77777777">
        <w:trPr>
          <w:trHeight w:val="288"/>
        </w:trPr>
        <w:tc>
          <w:tcPr>
            <w:tcW w:w="2207" w:type="dxa"/>
            <w:tcBorders>
              <w:top w:val="nil"/>
              <w:left w:val="single" w:color="auto" w:sz="4" w:space="0"/>
              <w:bottom w:val="nil"/>
              <w:right w:val="single" w:color="auto" w:sz="4" w:space="0"/>
            </w:tcBorders>
            <w:shd w:val="clear" w:color="auto" w:fill="auto"/>
            <w:noWrap/>
            <w:vAlign w:val="center"/>
            <w:hideMark/>
          </w:tcPr>
          <w:p w:rsidRPr="003165DF" w:rsidR="0075046B" w:rsidP="008348D6" w:rsidRDefault="0075046B" w14:paraId="7E5ACEE3" w14:textId="754C70BF">
            <w:pPr>
              <w:keepNext/>
              <w:spacing w:after="0" w:line="240" w:lineRule="auto"/>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Small</w:t>
            </w:r>
          </w:p>
        </w:tc>
        <w:tc>
          <w:tcPr>
            <w:tcW w:w="1638"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3165DF" w:rsidRDefault="0075046B" w14:paraId="7CBFE142"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630</w:t>
            </w:r>
          </w:p>
        </w:tc>
        <w:tc>
          <w:tcPr>
            <w:tcW w:w="109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6C429C" w14:paraId="6831987C" w14:textId="617E2172">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77</w:t>
            </w:r>
            <w:r w:rsidRPr="003165DF" w:rsidR="0075046B">
              <w:rPr>
                <w:rFonts w:ascii="Times New Roman" w:hAnsi="Times New Roman" w:eastAsia="Times New Roman" w:cs="Times New Roman"/>
                <w:color w:val="000000"/>
                <w:sz w:val="20"/>
                <w:szCs w:val="20"/>
              </w:rPr>
              <w:t>%</w:t>
            </w:r>
          </w:p>
        </w:tc>
        <w:tc>
          <w:tcPr>
            <w:tcW w:w="1175"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AF7D6F" w14:paraId="51B3C275" w14:textId="3ED60295">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17</w:t>
            </w:r>
            <w:r w:rsidRPr="003165DF" w:rsidR="0075046B">
              <w:rPr>
                <w:rFonts w:ascii="Times New Roman" w:hAnsi="Times New Roman" w:eastAsia="Times New Roman" w:cs="Times New Roman"/>
                <w:color w:val="000000"/>
                <w:sz w:val="20"/>
                <w:szCs w:val="20"/>
              </w:rPr>
              <w:t>%</w:t>
            </w:r>
          </w:p>
        </w:tc>
        <w:tc>
          <w:tcPr>
            <w:tcW w:w="110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7837F48B"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3%</w:t>
            </w:r>
          </w:p>
        </w:tc>
        <w:tc>
          <w:tcPr>
            <w:tcW w:w="996"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15AD63DF"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2%</w:t>
            </w:r>
          </w:p>
        </w:tc>
        <w:tc>
          <w:tcPr>
            <w:tcW w:w="113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37DD20BA"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r>
      <w:tr w:rsidRPr="00693892" w:rsidR="0075046B" w:rsidTr="003165DF" w14:paraId="0E9F204F" w14:textId="77777777">
        <w:trPr>
          <w:trHeight w:val="288"/>
        </w:trPr>
        <w:tc>
          <w:tcPr>
            <w:tcW w:w="220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165DF" w:rsidR="0075046B" w:rsidP="008348D6" w:rsidRDefault="0075046B" w14:paraId="01CCC09F" w14:textId="77777777">
            <w:pPr>
              <w:keepNext/>
              <w:spacing w:after="0" w:line="240" w:lineRule="auto"/>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15,000 - 50,000 Residents</w:t>
            </w:r>
          </w:p>
        </w:tc>
        <w:tc>
          <w:tcPr>
            <w:tcW w:w="163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27064D75"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327</w:t>
            </w:r>
          </w:p>
        </w:tc>
        <w:tc>
          <w:tcPr>
            <w:tcW w:w="1093"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3165DF" w:rsidRDefault="006C429C" w14:paraId="37D6561A" w14:textId="02AD4C55">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73</w:t>
            </w:r>
            <w:r w:rsidRPr="003165DF" w:rsidR="0075046B">
              <w:rPr>
                <w:rFonts w:ascii="Times New Roman" w:hAnsi="Times New Roman" w:eastAsia="Times New Roman" w:cs="Times New Roman"/>
                <w:color w:val="000000"/>
                <w:sz w:val="20"/>
                <w:szCs w:val="20"/>
              </w:rPr>
              <w:t>%</w:t>
            </w:r>
          </w:p>
        </w:tc>
        <w:tc>
          <w:tcPr>
            <w:tcW w:w="1175"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622801" w14:paraId="34B1F0B3" w14:textId="76E30AB9">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20</w:t>
            </w:r>
            <w:r w:rsidRPr="003165DF" w:rsidR="0075046B">
              <w:rPr>
                <w:rFonts w:ascii="Times New Roman" w:hAnsi="Times New Roman" w:eastAsia="Times New Roman" w:cs="Times New Roman"/>
                <w:color w:val="000000"/>
                <w:sz w:val="20"/>
                <w:szCs w:val="20"/>
              </w:rPr>
              <w:t>%</w:t>
            </w:r>
          </w:p>
        </w:tc>
        <w:tc>
          <w:tcPr>
            <w:tcW w:w="110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296BC0EB"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4%</w:t>
            </w:r>
          </w:p>
        </w:tc>
        <w:tc>
          <w:tcPr>
            <w:tcW w:w="996"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25D4D290"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2%</w:t>
            </w:r>
          </w:p>
        </w:tc>
        <w:tc>
          <w:tcPr>
            <w:tcW w:w="113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709E93F5"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r>
      <w:tr w:rsidRPr="00693892" w:rsidR="0075046B" w:rsidTr="003165DF" w14:paraId="48E0228A" w14:textId="77777777">
        <w:trPr>
          <w:trHeight w:val="288"/>
        </w:trPr>
        <w:tc>
          <w:tcPr>
            <w:tcW w:w="2207"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8348D6" w:rsidRDefault="0075046B" w14:paraId="09A72562" w14:textId="77777777">
            <w:pPr>
              <w:keepNext/>
              <w:spacing w:after="0" w:line="240" w:lineRule="auto"/>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&lt;15,000 Residents</w:t>
            </w:r>
          </w:p>
        </w:tc>
        <w:tc>
          <w:tcPr>
            <w:tcW w:w="1638"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3165DF" w:rsidRDefault="0075046B" w14:paraId="6C51DA4B"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300</w:t>
            </w:r>
          </w:p>
        </w:tc>
        <w:tc>
          <w:tcPr>
            <w:tcW w:w="109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6C429C" w14:paraId="1B306A35" w14:textId="7F1F624D">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82</w:t>
            </w:r>
            <w:r w:rsidRPr="003165DF" w:rsidR="0075046B">
              <w:rPr>
                <w:rFonts w:ascii="Times New Roman" w:hAnsi="Times New Roman" w:eastAsia="Times New Roman" w:cs="Times New Roman"/>
                <w:color w:val="000000"/>
                <w:sz w:val="20"/>
                <w:szCs w:val="20"/>
              </w:rPr>
              <w:t>%</w:t>
            </w:r>
          </w:p>
        </w:tc>
        <w:tc>
          <w:tcPr>
            <w:tcW w:w="1175"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622801" w14:paraId="2B672994" w14:textId="720B10FE">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14</w:t>
            </w:r>
            <w:r w:rsidRPr="003165DF" w:rsidR="0075046B">
              <w:rPr>
                <w:rFonts w:ascii="Times New Roman" w:hAnsi="Times New Roman" w:eastAsia="Times New Roman" w:cs="Times New Roman"/>
                <w:color w:val="000000"/>
                <w:sz w:val="20"/>
                <w:szCs w:val="20"/>
              </w:rPr>
              <w:t>%</w:t>
            </w:r>
          </w:p>
        </w:tc>
        <w:tc>
          <w:tcPr>
            <w:tcW w:w="110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F17B23" w14:paraId="2FB2E0B1" w14:textId="2D97C534">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w:t>
            </w:r>
            <w:r w:rsidRPr="003165DF" w:rsidR="0075046B">
              <w:rPr>
                <w:rFonts w:ascii="Times New Roman" w:hAnsi="Times New Roman" w:eastAsia="Times New Roman" w:cs="Times New Roman"/>
                <w:color w:val="000000"/>
                <w:sz w:val="20"/>
                <w:szCs w:val="20"/>
              </w:rPr>
              <w:t>%</w:t>
            </w:r>
          </w:p>
        </w:tc>
        <w:tc>
          <w:tcPr>
            <w:tcW w:w="996"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AF0629" w14:paraId="7C62BC8A" w14:textId="32752925">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3</w:t>
            </w:r>
            <w:r w:rsidRPr="003165DF" w:rsidR="0075046B">
              <w:rPr>
                <w:rFonts w:ascii="Times New Roman" w:hAnsi="Times New Roman" w:eastAsia="Times New Roman" w:cs="Times New Roman"/>
                <w:color w:val="000000"/>
                <w:sz w:val="20"/>
                <w:szCs w:val="20"/>
              </w:rPr>
              <w:t>%</w:t>
            </w:r>
          </w:p>
        </w:tc>
        <w:tc>
          <w:tcPr>
            <w:tcW w:w="113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72E7FCF4"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r>
      <w:tr w:rsidRPr="00693892" w:rsidR="0075046B" w:rsidTr="003165DF" w14:paraId="17AFE533" w14:textId="77777777">
        <w:trPr>
          <w:trHeight w:val="288"/>
        </w:trPr>
        <w:tc>
          <w:tcPr>
            <w:tcW w:w="2207"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8348D6" w:rsidRDefault="0075046B" w14:paraId="5999D263" w14:textId="77777777">
            <w:pPr>
              <w:keepNext/>
              <w:spacing w:after="0" w:line="240" w:lineRule="auto"/>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&lt;10,000 Residents</w:t>
            </w:r>
          </w:p>
        </w:tc>
        <w:tc>
          <w:tcPr>
            <w:tcW w:w="163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7D28FA06"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187</w:t>
            </w:r>
          </w:p>
        </w:tc>
        <w:tc>
          <w:tcPr>
            <w:tcW w:w="109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B7665" w14:paraId="280CC51F" w14:textId="53B82E55">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85</w:t>
            </w:r>
            <w:r w:rsidRPr="003165DF" w:rsidR="0075046B">
              <w:rPr>
                <w:rFonts w:ascii="Times New Roman" w:hAnsi="Times New Roman" w:eastAsia="Times New Roman" w:cs="Times New Roman"/>
                <w:color w:val="000000"/>
                <w:sz w:val="20"/>
                <w:szCs w:val="20"/>
              </w:rPr>
              <w:t>%</w:t>
            </w:r>
          </w:p>
        </w:tc>
        <w:tc>
          <w:tcPr>
            <w:tcW w:w="1175"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3235F8" w14:paraId="0CF3035E" w14:textId="5BD64E11">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12</w:t>
            </w:r>
            <w:r w:rsidRPr="003165DF" w:rsidR="0075046B">
              <w:rPr>
                <w:rFonts w:ascii="Times New Roman" w:hAnsi="Times New Roman" w:eastAsia="Times New Roman" w:cs="Times New Roman"/>
                <w:color w:val="000000"/>
                <w:sz w:val="20"/>
                <w:szCs w:val="20"/>
              </w:rPr>
              <w:t>%</w:t>
            </w:r>
          </w:p>
        </w:tc>
        <w:tc>
          <w:tcPr>
            <w:tcW w:w="110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61D4DD1A"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2%</w:t>
            </w:r>
          </w:p>
        </w:tc>
        <w:tc>
          <w:tcPr>
            <w:tcW w:w="996"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3E3311E0"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2%</w:t>
            </w:r>
          </w:p>
        </w:tc>
        <w:tc>
          <w:tcPr>
            <w:tcW w:w="113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484199A3"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r>
      <w:tr w:rsidRPr="00693892" w:rsidR="0075046B" w:rsidTr="003165DF" w14:paraId="04737C92" w14:textId="77777777">
        <w:trPr>
          <w:trHeight w:val="288"/>
        </w:trPr>
        <w:tc>
          <w:tcPr>
            <w:tcW w:w="2207" w:type="dxa"/>
            <w:tcBorders>
              <w:top w:val="nil"/>
              <w:left w:val="single" w:color="auto" w:sz="4" w:space="0"/>
              <w:bottom w:val="single" w:color="auto" w:sz="4" w:space="0"/>
              <w:right w:val="single" w:color="auto" w:sz="4" w:space="0"/>
            </w:tcBorders>
            <w:shd w:val="clear" w:color="auto" w:fill="auto"/>
            <w:noWrap/>
            <w:vAlign w:val="center"/>
            <w:hideMark/>
          </w:tcPr>
          <w:p w:rsidRPr="003165DF" w:rsidR="0075046B" w:rsidP="008348D6" w:rsidRDefault="0075046B" w14:paraId="51F886FB" w14:textId="77777777">
            <w:pPr>
              <w:keepNext/>
              <w:spacing w:after="0" w:line="240" w:lineRule="auto"/>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&lt;5,000 Residents</w:t>
            </w:r>
          </w:p>
        </w:tc>
        <w:tc>
          <w:tcPr>
            <w:tcW w:w="163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465F2087"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68</w:t>
            </w:r>
          </w:p>
        </w:tc>
        <w:tc>
          <w:tcPr>
            <w:tcW w:w="109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B7665" w14:paraId="4A6FB09C" w14:textId="477DBE30">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88</w:t>
            </w:r>
            <w:r w:rsidRPr="003165DF" w:rsidR="0075046B">
              <w:rPr>
                <w:rFonts w:ascii="Times New Roman" w:hAnsi="Times New Roman" w:eastAsia="Times New Roman" w:cs="Times New Roman"/>
                <w:color w:val="000000"/>
                <w:sz w:val="20"/>
                <w:szCs w:val="20"/>
              </w:rPr>
              <w:t>%</w:t>
            </w:r>
          </w:p>
        </w:tc>
        <w:tc>
          <w:tcPr>
            <w:tcW w:w="1175"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3235F8" w14:paraId="39D73B25" w14:textId="3DF61360">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10</w:t>
            </w:r>
            <w:r w:rsidRPr="003165DF" w:rsidR="0075046B">
              <w:rPr>
                <w:rFonts w:ascii="Times New Roman" w:hAnsi="Times New Roman" w:eastAsia="Times New Roman" w:cs="Times New Roman"/>
                <w:color w:val="000000"/>
                <w:sz w:val="20"/>
                <w:szCs w:val="20"/>
              </w:rPr>
              <w:t>%</w:t>
            </w:r>
          </w:p>
        </w:tc>
        <w:tc>
          <w:tcPr>
            <w:tcW w:w="1108"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1104D88E"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01F47876"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c>
          <w:tcPr>
            <w:tcW w:w="1133" w:type="dxa"/>
            <w:tcBorders>
              <w:top w:val="nil"/>
              <w:left w:val="nil"/>
              <w:bottom w:val="single" w:color="auto" w:sz="4" w:space="0"/>
              <w:right w:val="single" w:color="auto" w:sz="4" w:space="0"/>
            </w:tcBorders>
            <w:shd w:val="clear" w:color="auto" w:fill="auto"/>
            <w:noWrap/>
            <w:vAlign w:val="center"/>
            <w:hideMark/>
          </w:tcPr>
          <w:p w:rsidRPr="003165DF" w:rsidR="0075046B" w:rsidP="003165DF" w:rsidRDefault="0075046B" w14:paraId="1ABDF52D" w14:textId="77777777">
            <w:pPr>
              <w:keepNext/>
              <w:spacing w:after="0" w:line="240" w:lineRule="auto"/>
              <w:jc w:val="center"/>
              <w:rPr>
                <w:rFonts w:ascii="Times New Roman" w:hAnsi="Times New Roman" w:eastAsia="Times New Roman" w:cs="Times New Roman"/>
                <w:color w:val="000000"/>
                <w:sz w:val="20"/>
                <w:szCs w:val="20"/>
              </w:rPr>
            </w:pPr>
            <w:r w:rsidRPr="003165DF">
              <w:rPr>
                <w:rFonts w:ascii="Times New Roman" w:hAnsi="Times New Roman" w:eastAsia="Times New Roman" w:cs="Times New Roman"/>
                <w:color w:val="000000"/>
                <w:sz w:val="20"/>
                <w:szCs w:val="20"/>
              </w:rPr>
              <w:t>0%</w:t>
            </w:r>
          </w:p>
        </w:tc>
      </w:tr>
    </w:tbl>
    <w:p w:rsidRPr="00693892" w:rsidR="0075046B" w:rsidP="00693892" w:rsidRDefault="0075046B" w14:paraId="5D7EA083" w14:textId="77777777">
      <w:pPr>
        <w:spacing w:after="0" w:line="240" w:lineRule="auto"/>
        <w:rPr>
          <w:rFonts w:ascii="Times New Roman" w:hAnsi="Times New Roman" w:cs="Times New Roman"/>
        </w:rPr>
      </w:pPr>
    </w:p>
    <w:p w:rsidRPr="00693892" w:rsidR="0075046B" w:rsidP="00813745" w:rsidRDefault="0075046B" w14:paraId="5DE0B9A0" w14:textId="77777777">
      <w:pPr>
        <w:pStyle w:val="Heading2"/>
      </w:pPr>
      <w:bookmarkStart w:name="_Toc98856242" w:id="153"/>
      <w:bookmarkStart w:name="_Toc110502772" w:id="154"/>
      <w:r w:rsidRPr="00693892">
        <w:t>8.4 Conclusion</w:t>
      </w:r>
      <w:bookmarkEnd w:id="153"/>
      <w:bookmarkEnd w:id="154"/>
    </w:p>
    <w:p w:rsidRPr="00693892" w:rsidR="00106487" w:rsidP="000E6E0F" w:rsidRDefault="00520131" w14:paraId="113E0885" w14:textId="62F8C7FB">
      <w:pPr>
        <w:spacing w:after="0" w:line="240" w:lineRule="auto"/>
        <w:ind w:firstLine="360"/>
        <w:rPr>
          <w:rFonts w:ascii="Times New Roman" w:hAnsi="Times New Roman" w:cs="Times New Roman"/>
        </w:rPr>
      </w:pPr>
      <w:r>
        <w:rPr>
          <w:rFonts w:ascii="Times New Roman" w:hAnsi="Times New Roman" w:cs="Times New Roman"/>
        </w:rPr>
        <w:tab/>
      </w:r>
      <w:r w:rsidRPr="00693892" w:rsidR="0075046B">
        <w:rPr>
          <w:rFonts w:ascii="Times New Roman" w:hAnsi="Times New Roman" w:cs="Times New Roman"/>
        </w:rPr>
        <w:t>The small entity analysis indicates that the proposed rule would not impose a significant economic burden on small entities by imposing a cost to a substantial number of entities exceeding the threshold amount of 1</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small entity revenues. For private sector entities,</w:t>
      </w:r>
      <w:r w:rsidRPr="00693892" w:rsidR="00B06765">
        <w:rPr>
          <w:rFonts w:ascii="Times New Roman" w:hAnsi="Times New Roman" w:cs="Times New Roman"/>
        </w:rPr>
        <w:t xml:space="preserve"> </w:t>
      </w:r>
      <w:r w:rsidRPr="00693892" w:rsidR="0075046B">
        <w:rPr>
          <w:rFonts w:ascii="Times New Roman" w:hAnsi="Times New Roman" w:cs="Times New Roman"/>
        </w:rPr>
        <w:t xml:space="preserve">EPA estimates that </w:t>
      </w:r>
      <w:r w:rsidRPr="00693892" w:rsidR="007241E0">
        <w:rPr>
          <w:rFonts w:ascii="Times New Roman" w:hAnsi="Times New Roman" w:cs="Times New Roman"/>
        </w:rPr>
        <w:t>3.1</w:t>
      </w:r>
      <w:r w:rsidRPr="00693892" w:rsidR="00115223">
        <w:rPr>
          <w:rFonts w:ascii="Times New Roman" w:hAnsi="Times New Roman" w:cs="Times New Roman"/>
        </w:rPr>
        <w:t xml:space="preserve"> </w:t>
      </w:r>
      <w:r w:rsidRPr="00693892" w:rsidR="00115223">
        <w:rPr>
          <w:rFonts w:ascii="Times New Roman" w:hAnsi="Times New Roman" w:cs="Times New Roman"/>
        </w:rPr>
        <w:lastRenderedPageBreak/>
        <w:t>percent</w:t>
      </w:r>
      <w:r w:rsidRPr="00693892" w:rsidR="0075046B">
        <w:rPr>
          <w:rFonts w:ascii="Times New Roman" w:hAnsi="Times New Roman" w:cs="Times New Roman"/>
        </w:rPr>
        <w:t xml:space="preserve"> of small entities would experience costs exceeding 1</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revenue and only 0.</w:t>
      </w:r>
      <w:r w:rsidRPr="00693892" w:rsidR="00AA49FE">
        <w:rPr>
          <w:rFonts w:ascii="Times New Roman" w:hAnsi="Times New Roman" w:cs="Times New Roman"/>
        </w:rPr>
        <w:t>2</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entities would have costs greater than 3</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revenue. For small governments, EPA does not have data to estimate the percent of entities with different percent of revenue impacts. However, based on the size of costs to small governments and their respective populations, EPA concludes that it is unlikely that a small government would experience a cost impact larger than 1</w:t>
      </w:r>
      <w:r w:rsidRPr="00693892" w:rsidR="00115223">
        <w:rPr>
          <w:rFonts w:ascii="Times New Roman" w:hAnsi="Times New Roman" w:cs="Times New Roman"/>
        </w:rPr>
        <w:t xml:space="preserve"> percent</w:t>
      </w:r>
      <w:r w:rsidRPr="00693892" w:rsidR="0075046B">
        <w:rPr>
          <w:rFonts w:ascii="Times New Roman" w:hAnsi="Times New Roman" w:cs="Times New Roman"/>
        </w:rPr>
        <w:t xml:space="preserve"> of revenue. Accordingly, the Administrator of the EPA hereby certifies that that this proposed rule would not have a significant economic impact on a substantial number of small entities. </w:t>
      </w:r>
    </w:p>
    <w:p w:rsidR="00DE1DB8" w:rsidRDefault="00DE1DB8" w14:paraId="04F7053A" w14:textId="77777777">
      <w:pPr>
        <w:rPr>
          <w:rFonts w:ascii="Times New Roman" w:hAnsi="Times New Roman" w:cs="Times New Roman"/>
          <w:b/>
          <w:bCs/>
          <w:sz w:val="36"/>
          <w:szCs w:val="36"/>
        </w:rPr>
      </w:pPr>
      <w:r>
        <w:rPr>
          <w:rFonts w:ascii="Times New Roman" w:hAnsi="Times New Roman" w:cs="Times New Roman"/>
          <w:b/>
          <w:bCs/>
          <w:sz w:val="36"/>
          <w:szCs w:val="36"/>
        </w:rPr>
        <w:br w:type="page"/>
      </w:r>
    </w:p>
    <w:p w:rsidR="00673838" w:rsidP="001F1FDC" w:rsidRDefault="00EF0A97" w14:paraId="7DA72D12" w14:textId="1B4DDA07">
      <w:pPr>
        <w:pStyle w:val="Heading1"/>
        <w:spacing w:after="0"/>
      </w:pPr>
      <w:bookmarkStart w:name="_Toc110502773" w:id="155"/>
      <w:bookmarkStart w:name="_Toc98856243" w:id="156"/>
      <w:r w:rsidRPr="00FC0A08">
        <w:lastRenderedPageBreak/>
        <w:t xml:space="preserve">CHAPTER </w:t>
      </w:r>
      <w:r w:rsidRPr="00C1188B">
        <w:t>9</w:t>
      </w:r>
      <w:r w:rsidR="00A87016">
        <w:t>: Communities with Environmental</w:t>
      </w:r>
      <w:r w:rsidR="001F1FDC">
        <w:t xml:space="preserve"> </w:t>
      </w:r>
      <w:r w:rsidR="00A87016">
        <w:t>Justice Concerns</w:t>
      </w:r>
      <w:bookmarkEnd w:id="155"/>
    </w:p>
    <w:p w:rsidRPr="004F4289" w:rsidR="004F4289" w:rsidP="004F4289" w:rsidRDefault="004F4289" w14:paraId="1658C64A" w14:textId="77777777"/>
    <w:bookmarkEnd w:id="156"/>
    <w:p w:rsidRPr="000E6E0F" w:rsidR="00A70311" w:rsidP="000E6E0F" w:rsidRDefault="00A70311" w14:paraId="5FB0ED25" w14:textId="7DAFFDE7">
      <w:pPr>
        <w:spacing w:after="0" w:line="240" w:lineRule="auto"/>
        <w:rPr>
          <w:rFonts w:ascii="Times New Roman" w:hAnsi="Times New Roman" w:cs="Times New Roman"/>
          <w:i/>
        </w:rPr>
      </w:pPr>
      <w:r w:rsidRPr="000E6E0F">
        <w:rPr>
          <w:rFonts w:ascii="Times New Roman" w:hAnsi="Times New Roman" w:cs="Times New Roman"/>
          <w:i/>
        </w:rPr>
        <w:t>Executive Order 12898: Federal Actions to Address Environmental Justice in Minority Populations and Low-Income Populations and Executive Order 14008: Tackling the Climate Crisis at Home and Abroad</w:t>
      </w:r>
    </w:p>
    <w:p w:rsidRPr="000E6E0F" w:rsidR="00A70311" w:rsidP="000E6E0F" w:rsidRDefault="00520131" w14:paraId="428D0076" w14:textId="02251A92">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 xml:space="preserve">EPA believes that this action does </w:t>
      </w:r>
      <w:r w:rsidRPr="000E6E0F" w:rsidR="00A70311">
        <w:rPr>
          <w:rStyle w:val="Strong"/>
          <w:rFonts w:ascii="Times New Roman" w:hAnsi="Times New Roman" w:cs="Times New Roman"/>
          <w:b w:val="0"/>
        </w:rPr>
        <w:t>not</w:t>
      </w:r>
      <w:r w:rsidRPr="000E6E0F" w:rsidR="00A70311">
        <w:rPr>
          <w:rFonts w:ascii="Times New Roman" w:hAnsi="Times New Roman" w:cs="Times New Roman"/>
          <w:b/>
        </w:rPr>
        <w:t xml:space="preserve"> </w:t>
      </w:r>
      <w:r w:rsidRPr="000E6E0F" w:rsidR="00A70311">
        <w:rPr>
          <w:rFonts w:ascii="Times New Roman" w:hAnsi="Times New Roman" w:cs="Times New Roman"/>
        </w:rPr>
        <w:t xml:space="preserve">have disproportionately high and adverse human health or environmental effects on minority populations and low-income populations, as specified in </w:t>
      </w:r>
      <w:r w:rsidR="00843659">
        <w:rPr>
          <w:rFonts w:ascii="Times New Roman" w:hAnsi="Times New Roman" w:cs="Times New Roman"/>
        </w:rPr>
        <w:t>E.O.</w:t>
      </w:r>
      <w:r w:rsidRPr="000E6E0F" w:rsidR="00A70311">
        <w:rPr>
          <w:rFonts w:ascii="Times New Roman" w:hAnsi="Times New Roman" w:cs="Times New Roman"/>
        </w:rPr>
        <w:t xml:space="preserve"> 12898 (59 FR 7629, February 16, 1994), and </w:t>
      </w:r>
      <w:r w:rsidR="00843659">
        <w:rPr>
          <w:rFonts w:ascii="Times New Roman" w:hAnsi="Times New Roman" w:cs="Times New Roman"/>
        </w:rPr>
        <w:t>E.O.</w:t>
      </w:r>
      <w:r w:rsidRPr="000E6E0F" w:rsidR="00A70311">
        <w:rPr>
          <w:rFonts w:ascii="Times New Roman" w:hAnsi="Times New Roman" w:cs="Times New Roman"/>
        </w:rPr>
        <w:t xml:space="preserve"> 14008 (86 FR 7619; January 27, 2021). Accidental releases of regulated chemicals from facilities regulated by this action would likely pose disproportionate risks to historically marginalized communities. EPA has concluded that the regulatory requirements will advance fair treatment of those populations by reducing the disproportionate damages </w:t>
      </w:r>
      <w:r w:rsidR="00E1628F">
        <w:rPr>
          <w:rFonts w:ascii="Times New Roman" w:hAnsi="Times New Roman" w:cs="Times New Roman"/>
        </w:rPr>
        <w:t xml:space="preserve">that RMP-reportable accidents </w:t>
      </w:r>
      <w:r w:rsidRPr="000E6E0F" w:rsidR="00A70311">
        <w:rPr>
          <w:rFonts w:ascii="Times New Roman" w:hAnsi="Times New Roman" w:cs="Times New Roman"/>
        </w:rPr>
        <w:t>might otherwise inflict on those populations. </w:t>
      </w:r>
      <w:bookmarkStart w:name="_Hlk69379973" w:id="157"/>
    </w:p>
    <w:p w:rsidRPr="000849BE" w:rsidR="00A70311" w:rsidP="00A70311" w:rsidRDefault="00A70311" w14:paraId="36579332" w14:textId="77777777">
      <w:pPr>
        <w:pStyle w:val="BodyText"/>
        <w:rPr>
          <w:rFonts w:ascii="Times New Roman" w:hAnsi="Times New Roman" w:cs="Times New Roman"/>
        </w:rPr>
      </w:pPr>
    </w:p>
    <w:p w:rsidRPr="000E6E0F" w:rsidR="00A70311" w:rsidP="00813745" w:rsidRDefault="004C4652" w14:paraId="58B6C752" w14:textId="7556339E">
      <w:pPr>
        <w:pStyle w:val="Heading2"/>
      </w:pPr>
      <w:bookmarkStart w:name="_Toc98856244" w:id="158"/>
      <w:bookmarkStart w:name="_Toc110502774" w:id="159"/>
      <w:r w:rsidRPr="000E6E0F">
        <w:t>9.</w:t>
      </w:r>
      <w:r w:rsidRPr="000E6E0F" w:rsidR="00263814">
        <w:t>1</w:t>
      </w:r>
      <w:r w:rsidRPr="000E6E0F">
        <w:t xml:space="preserve"> </w:t>
      </w:r>
      <w:r w:rsidRPr="000E6E0F" w:rsidR="00A70311">
        <w:t>Background</w:t>
      </w:r>
      <w:bookmarkEnd w:id="158"/>
      <w:bookmarkEnd w:id="159"/>
    </w:p>
    <w:p w:rsidR="00A70311" w:rsidP="000E6E0F" w:rsidRDefault="00520131" w14:paraId="50ED4B83" w14:textId="4894F49D">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 xml:space="preserve">Each Federal agency must make the achievement of environmental justice part of its mission “by identifying and addressing, as appropriate, disproportionately high and adverse human health or environmental effects of its programs, policies, and activities on minority populations and low-income populations.” Section 2-2 of </w:t>
      </w:r>
      <w:r w:rsidR="00843659">
        <w:rPr>
          <w:rFonts w:ascii="Times New Roman" w:hAnsi="Times New Roman" w:cs="Times New Roman"/>
        </w:rPr>
        <w:t>E.O.</w:t>
      </w:r>
      <w:r w:rsidRPr="000E6E0F" w:rsidR="00A70311">
        <w:rPr>
          <w:rFonts w:ascii="Times New Roman" w:hAnsi="Times New Roman" w:cs="Times New Roman"/>
        </w:rPr>
        <w:t xml:space="preserve"> 12898 provides that each Federal agency must conduct its programs, policies, and activities that substantially affect human health or the environment in a manner that ensures such programs, policies, and activities do not have the effect of (1) excluding persons (including populations) from participation in; or (2) denying persons (including populations) the benefits of; or (3) subjecting persons (including populations) to discrimination under, such programs, policies, and activities because of their race, color, or national origin. </w:t>
      </w:r>
    </w:p>
    <w:p w:rsidR="00520131" w:rsidP="000E6E0F" w:rsidRDefault="00520131" w14:paraId="7928FC92" w14:textId="209C5465">
      <w:pPr>
        <w:pStyle w:val="BodyText"/>
        <w:ind w:firstLine="360"/>
        <w:rPr>
          <w:rFonts w:ascii="Times New Roman" w:hAnsi="Times New Roman" w:cs="Times New Roman"/>
        </w:rPr>
      </w:pPr>
    </w:p>
    <w:p w:rsidR="00A70311" w:rsidP="000E6E0F" w:rsidRDefault="00520131" w14:paraId="5E260D9C" w14:textId="0E03620F">
      <w:pPr>
        <w:pStyle w:val="BodyText"/>
        <w:ind w:firstLine="360"/>
        <w:rPr>
          <w:rFonts w:ascii="Times New Roman" w:hAnsi="Times New Roman" w:cs="Times New Roman"/>
        </w:rPr>
      </w:pPr>
      <w:r>
        <w:rPr>
          <w:rFonts w:ascii="Times New Roman" w:hAnsi="Times New Roman" w:cs="Times New Roman"/>
        </w:rPr>
        <w:tab/>
      </w:r>
      <w:r w:rsidR="00843659">
        <w:rPr>
          <w:rFonts w:ascii="Times New Roman" w:hAnsi="Times New Roman" w:cs="Times New Roman"/>
        </w:rPr>
        <w:t>E.O.</w:t>
      </w:r>
      <w:r w:rsidRPr="000E6E0F" w:rsidR="00A70311">
        <w:rPr>
          <w:rFonts w:ascii="Times New Roman" w:hAnsi="Times New Roman" w:cs="Times New Roman"/>
        </w:rPr>
        <w:t xml:space="preserve"> 14008 (86 FR 7619, January 27, 2021) calls on Federal agencies to make achieving environmental justice part of their missions “by developing programs, policies, and activities to address the disproportionately high and adverse human health, environmental, climate-related and other cumulative impacts on disadvantaged communities, as well as the accompanying economic challenges of such impacts.” It also declares a policy “to secure environmental justice and spur economic opportunity for disadvantaged communities that have been historically marginalized and overburdened by pollution and under-investment in housing, transportation, water and wastewater infrastructure and health care.” Under </w:t>
      </w:r>
      <w:r w:rsidR="00843659">
        <w:rPr>
          <w:rFonts w:ascii="Times New Roman" w:hAnsi="Times New Roman" w:cs="Times New Roman"/>
        </w:rPr>
        <w:t>E.O.</w:t>
      </w:r>
      <w:r w:rsidRPr="000E6E0F" w:rsidR="00A70311">
        <w:rPr>
          <w:rFonts w:ascii="Times New Roman" w:hAnsi="Times New Roman" w:cs="Times New Roman"/>
        </w:rPr>
        <w:t xml:space="preserve"> 13563 (76 FR 3821, January 21, 2011), Federal agencies may consider equity, human dignity, fairness, and distributional considerations, where appropriate and permitted by law. </w:t>
      </w:r>
      <w:r w:rsidR="00843659">
        <w:rPr>
          <w:rFonts w:ascii="Times New Roman" w:hAnsi="Times New Roman" w:cs="Times New Roman"/>
        </w:rPr>
        <w:t>E.O.</w:t>
      </w:r>
      <w:r w:rsidRPr="000E6E0F" w:rsidR="00A70311">
        <w:rPr>
          <w:rFonts w:ascii="Times New Roman" w:hAnsi="Times New Roman" w:cs="Times New Roman"/>
        </w:rPr>
        <w:t xml:space="preserve"> 14008 directs Federal agencies to develop programs, polices and activities to address the disproportionate health, environmental, economic, and climate impacts on disadvantaged historically marginalized and overburdened communities.</w:t>
      </w:r>
      <w:bookmarkEnd w:id="157"/>
    </w:p>
    <w:p w:rsidR="00520131" w:rsidP="000E6E0F" w:rsidRDefault="00520131" w14:paraId="7CB6071C" w14:textId="209C5465">
      <w:pPr>
        <w:pStyle w:val="BodyText"/>
        <w:ind w:firstLine="360"/>
        <w:rPr>
          <w:rFonts w:ascii="Times New Roman" w:hAnsi="Times New Roman" w:cs="Times New Roman"/>
        </w:rPr>
      </w:pPr>
    </w:p>
    <w:p w:rsidR="000E6E0F" w:rsidP="000E6E0F" w:rsidRDefault="00520131" w14:paraId="1C599EE6" w14:textId="0C3C2B72">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The Agency defines “environmental justice” as the fair treatment and meaningful involvement of all people regardless of race, color, national origin, or income with respect to the development, implementation, and enforcement of environmental laws, regulations, and policies</w:t>
      </w:r>
      <w:r w:rsidRPr="000E6E0F" w:rsidR="00AA33BA">
        <w:rPr>
          <w:rFonts w:ascii="Times New Roman" w:hAnsi="Times New Roman" w:cs="Times New Roman"/>
        </w:rPr>
        <w:t>.</w:t>
      </w:r>
      <w:r w:rsidRPr="000E6E0F" w:rsidR="00A70311">
        <w:rPr>
          <w:rStyle w:val="FootnoteReference"/>
          <w:rFonts w:ascii="Times New Roman" w:hAnsi="Times New Roman" w:cs="Times New Roman"/>
        </w:rPr>
        <w:footnoteReference w:id="100"/>
      </w:r>
      <w:r w:rsidRPr="000E6E0F" w:rsidR="00A70311">
        <w:rPr>
          <w:rFonts w:ascii="Times New Roman" w:hAnsi="Times New Roman" w:cs="Times New Roman"/>
        </w:rPr>
        <w:t xml:space="preserve"> The Agency defines the term “fair treatment” to mean both that no people should bear disproportionate burdens of environmental harms and risks, and that the distribution of reduction in risk from EPA actions does not exclude particular communities. The incorporation of environmental justice into EPA rulemaking is guided by two EPA documents: (1) </w:t>
      </w:r>
      <w:r w:rsidRPr="000E6E0F" w:rsidR="00A70311">
        <w:rPr>
          <w:rFonts w:ascii="Times New Roman" w:hAnsi="Times New Roman" w:cs="Times New Roman"/>
          <w:i/>
        </w:rPr>
        <w:t xml:space="preserve">Technical Guidance for Assessing Environmental Justice in </w:t>
      </w:r>
      <w:r w:rsidRPr="000E6E0F" w:rsidR="00A70311">
        <w:rPr>
          <w:rFonts w:ascii="Times New Roman" w:hAnsi="Times New Roman" w:cs="Times New Roman"/>
          <w:i/>
        </w:rPr>
        <w:lastRenderedPageBreak/>
        <w:t>Regulatory Analysis</w:t>
      </w:r>
      <w:r w:rsidRPr="000E6E0F" w:rsidR="00A70311">
        <w:rPr>
          <w:rStyle w:val="FootnoteReference"/>
          <w:rFonts w:ascii="Times New Roman" w:hAnsi="Times New Roman" w:cs="Times New Roman"/>
        </w:rPr>
        <w:footnoteReference w:id="101"/>
      </w:r>
      <w:r w:rsidRPr="000E6E0F" w:rsidR="00A70311">
        <w:rPr>
          <w:rFonts w:ascii="Times New Roman" w:hAnsi="Times New Roman" w:cs="Times New Roman"/>
          <w:i/>
        </w:rPr>
        <w:t xml:space="preserve"> </w:t>
      </w:r>
      <w:r w:rsidRPr="000E6E0F" w:rsidR="00A70311">
        <w:rPr>
          <w:rFonts w:ascii="Times New Roman" w:hAnsi="Times New Roman" w:cs="Times New Roman"/>
        </w:rPr>
        <w:t xml:space="preserve">and (2) </w:t>
      </w:r>
      <w:r w:rsidRPr="000E6E0F" w:rsidR="00A70311">
        <w:rPr>
          <w:rFonts w:ascii="Times New Roman" w:hAnsi="Times New Roman" w:cs="Times New Roman"/>
          <w:i/>
        </w:rPr>
        <w:t>Guidance on Considering Environmental Justice During the Development of Regulatory Action</w:t>
      </w:r>
      <w:r w:rsidRPr="000E6E0F" w:rsidR="00032BA3">
        <w:rPr>
          <w:rFonts w:ascii="Times New Roman" w:hAnsi="Times New Roman" w:cs="Times New Roman"/>
          <w:i/>
        </w:rPr>
        <w:t>.</w:t>
      </w:r>
      <w:r w:rsidRPr="000E6E0F" w:rsidR="00A70311">
        <w:rPr>
          <w:rStyle w:val="FootnoteReference"/>
          <w:rFonts w:ascii="Times New Roman" w:hAnsi="Times New Roman" w:cs="Times New Roman"/>
          <w:i/>
        </w:rPr>
        <w:footnoteReference w:id="102"/>
      </w:r>
      <w:r w:rsidRPr="000E6E0F" w:rsidR="00A70311">
        <w:rPr>
          <w:rFonts w:ascii="Times New Roman" w:hAnsi="Times New Roman" w:cs="Times New Roman"/>
        </w:rPr>
        <w:t xml:space="preserve"> The </w:t>
      </w:r>
      <w:r w:rsidRPr="000E6E0F" w:rsidR="00A70311">
        <w:rPr>
          <w:rFonts w:ascii="Times New Roman" w:hAnsi="Times New Roman" w:cs="Times New Roman"/>
          <w:i/>
        </w:rPr>
        <w:t>Technical Guidance for Assessing Environmental Justice in Regulatory Analysis</w:t>
      </w:r>
      <w:r w:rsidRPr="000E6E0F" w:rsidR="00A70311">
        <w:rPr>
          <w:rStyle w:val="FootnoteReference"/>
          <w:rFonts w:ascii="Times New Roman" w:hAnsi="Times New Roman" w:cs="Times New Roman"/>
        </w:rPr>
        <w:footnoteReference w:id="103"/>
      </w:r>
      <w:r w:rsidRPr="000E6E0F" w:rsidR="00A70311">
        <w:rPr>
          <w:rFonts w:ascii="Times New Roman" w:hAnsi="Times New Roman" w:cs="Times New Roman"/>
        </w:rPr>
        <w:t xml:space="preserve"> establishes the expectation that analysts conduct the highest quality environmental justice analysis feasible in support of rulemakings, recognizing that what is possible will be context-specific.</w:t>
      </w:r>
    </w:p>
    <w:p w:rsidR="00520131" w:rsidP="000E6E0F" w:rsidRDefault="00520131" w14:paraId="0F0F5685" w14:textId="209C5465">
      <w:pPr>
        <w:pStyle w:val="BodyText"/>
        <w:ind w:firstLine="360"/>
        <w:rPr>
          <w:rFonts w:ascii="Times New Roman" w:hAnsi="Times New Roman" w:cs="Times New Roman"/>
        </w:rPr>
      </w:pPr>
    </w:p>
    <w:p w:rsidR="00A70311" w:rsidP="000E6E0F" w:rsidRDefault="00520131" w14:paraId="21862FDE" w14:textId="6478F98D">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When assessing the potential for disproportionately high and adverse health or environmental impacts of regulatory actions on historically underserved and overburdened communities, EPA strives to answer three broad questions: (1) Is there evidence of potential environmental justice concerns in the baseline (the state of the world absent the regulatory action)? Assessing the baseline will allow EPA to determine whether pre-existing disparities are associated with the pollutant(s) under consideration (e.g., are the effects of the pollutant(s) more concentrated in some population groups?). (2) Is there evidence of potential environmental justice concerns for the regulatory option(s) under consideration? Specifically, how are the pollutant(s) and its (their) effects distributed for the regulatory options under consideration? And (3) do the regulatory option(s) under consideration exacerbate or mitigate environmental justice concerns relative to the baseline?</w:t>
      </w:r>
      <w:r w:rsidRPr="000E6E0F" w:rsidR="00A70311">
        <w:rPr>
          <w:rFonts w:ascii="Times New Roman" w:hAnsi="Times New Roman" w:cs="Times New Roman"/>
          <w:vertAlign w:val="superscript"/>
        </w:rPr>
        <w:footnoteReference w:id="104"/>
      </w:r>
      <w:r w:rsidRPr="000E6E0F" w:rsidR="00A70311">
        <w:rPr>
          <w:rFonts w:ascii="Times New Roman" w:hAnsi="Times New Roman" w:cs="Times New Roman"/>
        </w:rPr>
        <w:t xml:space="preserve"> It is not always possible to quantitatively assess all three questions. For instance, in some regulatory contexts it may only be possible to quantitatively characterize the baseline due to data and modeling limitations.</w:t>
      </w:r>
    </w:p>
    <w:p w:rsidR="00520131" w:rsidP="000E6E0F" w:rsidRDefault="00520131" w14:paraId="1C604CD6" w14:textId="209C5465">
      <w:pPr>
        <w:pStyle w:val="BodyText"/>
        <w:ind w:firstLine="360"/>
        <w:rPr>
          <w:rFonts w:ascii="Times New Roman" w:hAnsi="Times New Roman" w:cs="Times New Roman"/>
        </w:rPr>
      </w:pPr>
    </w:p>
    <w:p w:rsidR="00A70311" w:rsidP="000E6E0F" w:rsidRDefault="00520131" w14:paraId="6AF77513" w14:textId="359D3503">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 xml:space="preserve">One method recommended by the guidance documents is to screen for potential environmental justice concerns by identifying the proximity of regulated sources to historically underserved and overburdened communities. </w:t>
      </w:r>
      <w:r w:rsidR="00843659">
        <w:rPr>
          <w:rFonts w:ascii="Times New Roman" w:hAnsi="Times New Roman" w:cs="Times New Roman"/>
        </w:rPr>
        <w:t>E.O.</w:t>
      </w:r>
      <w:r w:rsidRPr="000E6E0F" w:rsidR="00A70311">
        <w:rPr>
          <w:rFonts w:ascii="Times New Roman" w:hAnsi="Times New Roman" w:cs="Times New Roman"/>
        </w:rPr>
        <w:t xml:space="preserve"> 12898 places a responsibility on Federal agencies for “identifying and addressing, as appropriate, disproportionately </w:t>
      </w:r>
      <w:proofErr w:type="gramStart"/>
      <w:r w:rsidRPr="000E6E0F" w:rsidR="00A70311">
        <w:rPr>
          <w:rFonts w:ascii="Times New Roman" w:hAnsi="Times New Roman" w:cs="Times New Roman"/>
        </w:rPr>
        <w:t>high</w:t>
      </w:r>
      <w:proofErr w:type="gramEnd"/>
      <w:r w:rsidRPr="000E6E0F" w:rsidR="00A70311">
        <w:rPr>
          <w:rFonts w:ascii="Times New Roman" w:hAnsi="Times New Roman" w:cs="Times New Roman"/>
        </w:rPr>
        <w:t xml:space="preserve"> and adverse human health or environmental effects of its programs, policies, and activities on minority populations and low-income populations in the United States[.]” This section explains how EPA has addressed environmental justice issues associated with this proposed rulemaking. </w:t>
      </w:r>
    </w:p>
    <w:p w:rsidR="00520131" w:rsidP="000E6E0F" w:rsidRDefault="00520131" w14:paraId="35091F1A" w14:textId="209C5465">
      <w:pPr>
        <w:pStyle w:val="BodyText"/>
        <w:ind w:firstLine="360"/>
        <w:rPr>
          <w:rFonts w:ascii="Times New Roman" w:hAnsi="Times New Roman" w:cs="Times New Roman"/>
        </w:rPr>
      </w:pPr>
    </w:p>
    <w:p w:rsidRPr="000E6E0F" w:rsidR="00A70311" w:rsidP="000E6E0F" w:rsidRDefault="00520131" w14:paraId="3751765C" w14:textId="6D6CABC7">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Environmental risks may result from industrial or commercial activities by private actors, or from governmental activities or programs. When those risks are disproportionately borne by historically underserved, and overburdened</w:t>
      </w:r>
      <w:r w:rsidRPr="000E6E0F" w:rsidDel="006A09B5" w:rsidR="00A70311">
        <w:rPr>
          <w:rFonts w:ascii="Times New Roman" w:hAnsi="Times New Roman" w:cs="Times New Roman"/>
        </w:rPr>
        <w:t xml:space="preserve"> </w:t>
      </w:r>
      <w:r w:rsidRPr="000E6E0F" w:rsidR="00A70311">
        <w:rPr>
          <w:rFonts w:ascii="Times New Roman" w:hAnsi="Times New Roman" w:cs="Times New Roman"/>
        </w:rPr>
        <w:t>communities, environmental justice is achieved through Fair Treatment and Meaningful Involvement</w:t>
      </w:r>
      <w:r w:rsidRPr="000E6E0F" w:rsidR="00B06765">
        <w:rPr>
          <w:rFonts w:ascii="Times New Roman" w:hAnsi="Times New Roman" w:cs="Times New Roman"/>
        </w:rPr>
        <w:t>.</w:t>
      </w:r>
      <w:r w:rsidRPr="000E6E0F" w:rsidR="00A70311">
        <w:rPr>
          <w:rStyle w:val="FootnoteReference"/>
          <w:rFonts w:ascii="Times New Roman" w:hAnsi="Times New Roman" w:cs="Times New Roman"/>
        </w:rPr>
        <w:footnoteReference w:id="105"/>
      </w:r>
      <w:r w:rsidRPr="000E6E0F" w:rsidR="00B06765">
        <w:rPr>
          <w:rFonts w:ascii="Times New Roman" w:hAnsi="Times New Roman" w:cs="Times New Roman"/>
        </w:rPr>
        <w:br/>
      </w:r>
    </w:p>
    <w:p w:rsidRPr="000E6E0F" w:rsidR="00A70311" w:rsidP="0073782B" w:rsidRDefault="00A70311" w14:paraId="4B36854F" w14:textId="77777777">
      <w:pPr>
        <w:pStyle w:val="ListParagraph"/>
        <w:numPr>
          <w:ilvl w:val="0"/>
          <w:numId w:val="9"/>
        </w:numPr>
        <w:tabs>
          <w:tab w:val="left" w:pos="720"/>
        </w:tabs>
        <w:spacing w:after="0" w:line="240" w:lineRule="auto"/>
        <w:rPr>
          <w:rFonts w:ascii="Times New Roman" w:hAnsi="Times New Roman" w:cs="Times New Roman"/>
        </w:rPr>
      </w:pPr>
      <w:r w:rsidRPr="000E6E0F">
        <w:rPr>
          <w:rFonts w:ascii="Times New Roman" w:hAnsi="Times New Roman" w:cs="Times New Roman"/>
          <w:i/>
          <w:u w:val="single"/>
        </w:rPr>
        <w:t>Fair treatment</w:t>
      </w:r>
      <w:r w:rsidRPr="000E6E0F">
        <w:rPr>
          <w:rFonts w:ascii="Times New Roman" w:hAnsi="Times New Roman" w:cs="Times New Roman"/>
        </w:rPr>
        <w:t xml:space="preserve"> </w:t>
      </w:r>
      <w:r w:rsidRPr="000E6E0F">
        <w:rPr>
          <w:rFonts w:ascii="Times New Roman" w:hAnsi="Times New Roman" w:cs="Times New Roman"/>
          <w:color w:val="1B1B1B"/>
        </w:rPr>
        <w:t xml:space="preserve">means no group of people should bear a disproportionate share of the negative environmental consequences resulting from industrial, </w:t>
      </w:r>
      <w:proofErr w:type="gramStart"/>
      <w:r w:rsidRPr="000E6E0F">
        <w:rPr>
          <w:rFonts w:ascii="Times New Roman" w:hAnsi="Times New Roman" w:cs="Times New Roman"/>
          <w:color w:val="1B1B1B"/>
        </w:rPr>
        <w:t>governmental</w:t>
      </w:r>
      <w:proofErr w:type="gramEnd"/>
      <w:r w:rsidRPr="000E6E0F">
        <w:rPr>
          <w:rFonts w:ascii="Times New Roman" w:hAnsi="Times New Roman" w:cs="Times New Roman"/>
          <w:color w:val="1B1B1B"/>
        </w:rPr>
        <w:t xml:space="preserve"> and commercial operations or policies.</w:t>
      </w:r>
    </w:p>
    <w:p w:rsidRPr="000E6E0F" w:rsidR="00A70311" w:rsidP="0073782B" w:rsidRDefault="00A70311" w14:paraId="6DA33952" w14:textId="56C1D8D9">
      <w:pPr>
        <w:pStyle w:val="ListParagraph"/>
        <w:numPr>
          <w:ilvl w:val="0"/>
          <w:numId w:val="9"/>
        </w:numPr>
        <w:spacing w:after="0" w:line="240" w:lineRule="auto"/>
        <w:rPr>
          <w:rFonts w:ascii="Times New Roman" w:hAnsi="Times New Roman" w:cs="Times New Roman"/>
        </w:rPr>
      </w:pPr>
      <w:r w:rsidRPr="000E6E0F">
        <w:rPr>
          <w:rFonts w:ascii="Times New Roman" w:hAnsi="Times New Roman" w:cs="Times New Roman"/>
          <w:i/>
          <w:u w:val="single"/>
        </w:rPr>
        <w:lastRenderedPageBreak/>
        <w:t>Meaningful involvement</w:t>
      </w:r>
      <w:r w:rsidRPr="000E6E0F">
        <w:rPr>
          <w:rFonts w:ascii="Times New Roman" w:hAnsi="Times New Roman" w:cs="Times New Roman"/>
        </w:rPr>
        <w:t xml:space="preserve"> refers to inclusion of potentially affected populations in decisions about activities or programs to address those risks. Meaningful involvement may include facilitating the involvement of populations potentially affected by those activities or programs. It also entails ensuring that potentially affected populations have an opportunity to participate in decisions and influence decisions about those activities or programs. “Empowering communities” is a specific goal established by the </w:t>
      </w:r>
      <w:r w:rsidRPr="000E6E0F" w:rsidR="003D2C69">
        <w:rPr>
          <w:rFonts w:ascii="Times New Roman" w:hAnsi="Times New Roman" w:cs="Times New Roman"/>
        </w:rPr>
        <w:t>Office of Solid Waste and Emergency Response (</w:t>
      </w:r>
      <w:r w:rsidRPr="000E6E0F">
        <w:rPr>
          <w:rFonts w:ascii="Times New Roman" w:hAnsi="Times New Roman" w:cs="Times New Roman"/>
        </w:rPr>
        <w:t>OSWER</w:t>
      </w:r>
      <w:r w:rsidRPr="000E6E0F" w:rsidR="003D2C69">
        <w:rPr>
          <w:rFonts w:ascii="Times New Roman" w:hAnsi="Times New Roman" w:cs="Times New Roman"/>
        </w:rPr>
        <w:t>)</w:t>
      </w:r>
      <w:r w:rsidRPr="000E6E0F">
        <w:rPr>
          <w:rFonts w:ascii="Times New Roman" w:hAnsi="Times New Roman" w:cs="Times New Roman"/>
        </w:rPr>
        <w:t xml:space="preserve"> Environmental Justice Task Force</w:t>
      </w:r>
      <w:r w:rsidRPr="000E6E0F" w:rsidR="005707EB">
        <w:rPr>
          <w:rFonts w:ascii="Times New Roman" w:hAnsi="Times New Roman" w:cs="Times New Roman"/>
        </w:rPr>
        <w:t>.</w:t>
      </w:r>
      <w:r w:rsidRPr="000E6E0F">
        <w:rPr>
          <w:rStyle w:val="FootnoteReference"/>
          <w:rFonts w:ascii="Times New Roman" w:hAnsi="Times New Roman" w:cs="Times New Roman"/>
        </w:rPr>
        <w:footnoteReference w:id="106"/>
      </w:r>
      <w:r w:rsidRPr="000E6E0F">
        <w:rPr>
          <w:rFonts w:ascii="Times New Roman" w:hAnsi="Times New Roman" w:cs="Times New Roman"/>
        </w:rPr>
        <w:t xml:space="preserve"> To further ensure that the regulation is addressing needs of those specific communities, this regulation would empower EPA Regional Administrators to regulate facilities that potentially affect communities of environmental justice concern if they are otherwise not captured by the applicability criteria.</w:t>
      </w:r>
      <w:bookmarkStart w:name="_Ref86909502" w:id="160"/>
    </w:p>
    <w:p w:rsidRPr="000E6E0F" w:rsidR="002471B8" w:rsidP="002471B8" w:rsidRDefault="002471B8" w14:paraId="65A8E7FA" w14:textId="77777777">
      <w:pPr>
        <w:pStyle w:val="ListParagraph"/>
        <w:spacing w:after="0" w:line="240" w:lineRule="auto"/>
        <w:rPr>
          <w:rFonts w:ascii="Times New Roman" w:hAnsi="Times New Roman" w:cs="Times New Roman"/>
        </w:rPr>
      </w:pPr>
    </w:p>
    <w:p w:rsidRPr="000E6E0F" w:rsidR="00A70311" w:rsidP="00813745" w:rsidRDefault="004C4652" w14:paraId="29DAF0FB" w14:textId="2FEA6A1B">
      <w:pPr>
        <w:pStyle w:val="Heading2"/>
      </w:pPr>
      <w:bookmarkStart w:name="_Toc98856245" w:id="161"/>
      <w:bookmarkStart w:name="_Toc110502775" w:id="162"/>
      <w:r w:rsidRPr="000E6E0F">
        <w:t>9.</w:t>
      </w:r>
      <w:r w:rsidRPr="000E6E0F" w:rsidR="00263814">
        <w:t>2</w:t>
      </w:r>
      <w:r w:rsidRPr="000E6E0F">
        <w:t xml:space="preserve"> </w:t>
      </w:r>
      <w:r w:rsidRPr="000E6E0F" w:rsidR="00A70311">
        <w:t>Methods</w:t>
      </w:r>
      <w:bookmarkEnd w:id="161"/>
      <w:bookmarkEnd w:id="162"/>
    </w:p>
    <w:p w:rsidRPr="000E6E0F" w:rsidR="00A70311" w:rsidP="000E6E0F" w:rsidRDefault="00520131" w14:paraId="4F5BA021" w14:textId="6A5212C5">
      <w:pPr>
        <w:pStyle w:val="BodyText"/>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EPA seeks to characterize potential environmental justice concerns associated with risks from RMP-regulated facilities. EPA assessed data using EPA tools and Census information on risks to underserved and overburdened communities. The Agency’s environmental justice screening tool, EJSCREEN,</w:t>
      </w:r>
      <w:r w:rsidRPr="000E6E0F" w:rsidR="00A70311">
        <w:rPr>
          <w:rStyle w:val="FootnoteReference"/>
          <w:rFonts w:ascii="Times New Roman" w:hAnsi="Times New Roman" w:cs="Times New Roman"/>
        </w:rPr>
        <w:footnoteReference w:id="107"/>
      </w:r>
      <w:r w:rsidRPr="000E6E0F" w:rsidR="00A70311">
        <w:rPr>
          <w:rFonts w:ascii="Times New Roman" w:hAnsi="Times New Roman" w:cs="Times New Roman"/>
        </w:rPr>
        <w:t xml:space="preserve"> was developed to combine environmental and demographic indicators to screen communities for those at potentially greater risk of environmental exposures. EJSCREEN is a pre-decisional tool not designed to be the basis for agency-decision making or to designate communities as “communities with environmental justice concerns.”</w:t>
      </w:r>
      <w:r w:rsidRPr="000E6E0F" w:rsidR="00A70311">
        <w:rPr>
          <w:rStyle w:val="FootnoteReference"/>
          <w:rFonts w:ascii="Times New Roman" w:hAnsi="Times New Roman" w:cs="Times New Roman"/>
        </w:rPr>
        <w:footnoteReference w:id="108"/>
      </w:r>
      <w:r w:rsidRPr="000E6E0F" w:rsidR="00A70311">
        <w:rPr>
          <w:rFonts w:ascii="Times New Roman" w:hAnsi="Times New Roman" w:cs="Times New Roman"/>
        </w:rPr>
        <w:t xml:space="preserve"> Here, EPA</w:t>
      </w:r>
      <w:r w:rsidRPr="000E6E0F" w:rsidR="00FF2B19">
        <w:rPr>
          <w:rFonts w:ascii="Times New Roman" w:hAnsi="Times New Roman" w:cs="Times New Roman"/>
        </w:rPr>
        <w:t xml:space="preserve"> conducted a </w:t>
      </w:r>
      <w:r w:rsidRPr="000E6E0F" w:rsidR="00992800">
        <w:rPr>
          <w:rFonts w:ascii="Times New Roman" w:hAnsi="Times New Roman" w:cs="Times New Roman"/>
        </w:rPr>
        <w:t>proximity-based</w:t>
      </w:r>
      <w:r w:rsidRPr="000E6E0F" w:rsidR="00FF2B19">
        <w:rPr>
          <w:rFonts w:ascii="Times New Roman" w:hAnsi="Times New Roman" w:cs="Times New Roman"/>
        </w:rPr>
        <w:t xml:space="preserve"> analysis</w:t>
      </w:r>
      <w:r w:rsidRPr="000E6E0F" w:rsidR="00A70311">
        <w:rPr>
          <w:rFonts w:ascii="Times New Roman" w:hAnsi="Times New Roman" w:cs="Times New Roman"/>
        </w:rPr>
        <w:t xml:space="preserve"> us</w:t>
      </w:r>
      <w:r w:rsidRPr="000E6E0F" w:rsidR="00FF2B19">
        <w:rPr>
          <w:rFonts w:ascii="Times New Roman" w:hAnsi="Times New Roman" w:cs="Times New Roman"/>
        </w:rPr>
        <w:t>ing</w:t>
      </w:r>
      <w:r w:rsidRPr="000E6E0F" w:rsidR="00A70311">
        <w:rPr>
          <w:rFonts w:ascii="Times New Roman" w:hAnsi="Times New Roman" w:cs="Times New Roman"/>
        </w:rPr>
        <w:t xml:space="preserve"> </w:t>
      </w:r>
      <w:r w:rsidRPr="000E6E0F" w:rsidR="00FF2B19">
        <w:rPr>
          <w:rFonts w:ascii="Times New Roman" w:hAnsi="Times New Roman" w:cs="Times New Roman"/>
        </w:rPr>
        <w:t xml:space="preserve">variables from </w:t>
      </w:r>
      <w:r w:rsidRPr="000E6E0F" w:rsidR="00A70311">
        <w:rPr>
          <w:rFonts w:ascii="Times New Roman" w:hAnsi="Times New Roman" w:cs="Times New Roman"/>
        </w:rPr>
        <w:t>EJSCREEN to combine information on RMP facilities. To assess the environmental justice implications of this proposed regulation, EPA quantified community sociodemographic variables surrounding current, actively regulated facilities (n=11,740) as of August 1, 2021. EPA applied several distance buffers, including one and three miles, to the universe of facilities.</w:t>
      </w:r>
      <w:r w:rsidRPr="000E6E0F" w:rsidR="00FF2B19">
        <w:rPr>
          <w:rFonts w:ascii="Times New Roman" w:hAnsi="Times New Roman" w:cs="Times New Roman"/>
        </w:rPr>
        <w:t xml:space="preserve"> As of March 2022, EJSCREEN does not allow for the analysis of thousands of facilities, therefore EPA aggregated information surrounding the RMP facilities universe by exporting EJSCREEN variables and conducting geospatial analysis in R</w:t>
      </w:r>
      <w:r w:rsidR="00A20384">
        <w:rPr>
          <w:rFonts w:ascii="Times New Roman" w:hAnsi="Times New Roman" w:cs="Times New Roman"/>
        </w:rPr>
        <w:t xml:space="preserve"> </w:t>
      </w:r>
      <w:r w:rsidRPr="000E6E0F" w:rsidR="00FF2B19">
        <w:rPr>
          <w:rFonts w:ascii="Times New Roman" w:hAnsi="Times New Roman" w:cs="Times New Roman"/>
        </w:rPr>
        <w:t>4.0.3.</w:t>
      </w:r>
    </w:p>
    <w:p w:rsidRPr="000E6E0F" w:rsidR="00A70311" w:rsidP="00A70311" w:rsidRDefault="00A70311" w14:paraId="091AEEC1" w14:textId="77777777">
      <w:pPr>
        <w:pStyle w:val="BodyText"/>
        <w:rPr>
          <w:rFonts w:ascii="Times New Roman" w:hAnsi="Times New Roman" w:cs="Times New Roman"/>
        </w:rPr>
      </w:pPr>
    </w:p>
    <w:p w:rsidRPr="000E6E0F" w:rsidR="00A70311" w:rsidP="00813745" w:rsidRDefault="004C4652" w14:paraId="694610A4" w14:textId="68C87CD2">
      <w:pPr>
        <w:pStyle w:val="Heading2"/>
      </w:pPr>
      <w:bookmarkStart w:name="_Toc98856246" w:id="163"/>
      <w:bookmarkStart w:name="_Toc110502776" w:id="164"/>
      <w:bookmarkStart w:name="_Ref92286962" w:id="165"/>
      <w:bookmarkStart w:name="_Toc92286721" w:id="166"/>
      <w:r w:rsidRPr="000E6E0F">
        <w:t>9.</w:t>
      </w:r>
      <w:r w:rsidRPr="000E6E0F" w:rsidR="00263814">
        <w:t>3</w:t>
      </w:r>
      <w:r w:rsidRPr="000E6E0F">
        <w:t xml:space="preserve"> </w:t>
      </w:r>
      <w:r w:rsidRPr="000E6E0F" w:rsidR="00A70311">
        <w:t>Results</w:t>
      </w:r>
      <w:r w:rsidR="00752DF7">
        <w:t xml:space="preserve"> </w:t>
      </w:r>
      <w:r w:rsidRPr="004F5191" w:rsidR="00752DF7">
        <w:t>characterizing the baseline conditions</w:t>
      </w:r>
      <w:bookmarkEnd w:id="163"/>
      <w:bookmarkEnd w:id="164"/>
    </w:p>
    <w:bookmarkEnd w:id="160"/>
    <w:bookmarkEnd w:id="165"/>
    <w:bookmarkEnd w:id="166"/>
    <w:p w:rsidR="000E6E0F" w:rsidP="499E21EF" w:rsidRDefault="00520131" w14:paraId="6C93E99C" w14:textId="69A6F5EB">
      <w:pPr>
        <w:spacing w:after="0" w:line="240" w:lineRule="auto"/>
        <w:ind w:firstLine="360"/>
        <w:rPr>
          <w:rFonts w:ascii="Times New Roman" w:hAnsi="Times New Roman" w:cs="Times New Roman"/>
        </w:rPr>
      </w:pPr>
      <w:r>
        <w:rPr>
          <w:rFonts w:ascii="Times New Roman" w:hAnsi="Times New Roman" w:cs="Times New Roman"/>
        </w:rPr>
        <w:tab/>
      </w:r>
      <w:r w:rsidRPr="000E6E0F" w:rsidR="00A70311">
        <w:rPr>
          <w:rFonts w:ascii="Times New Roman" w:hAnsi="Times New Roman" w:cs="Times New Roman"/>
        </w:rPr>
        <w:t xml:space="preserve">The environmental justice analysis shows that historically underserved and overburdened populations live within </w:t>
      </w:r>
      <w:proofErr w:type="gramStart"/>
      <w:r w:rsidRPr="000E6E0F" w:rsidR="00A70311">
        <w:rPr>
          <w:rFonts w:ascii="Times New Roman" w:hAnsi="Times New Roman" w:cs="Times New Roman"/>
        </w:rPr>
        <w:t>close proximity</w:t>
      </w:r>
      <w:proofErr w:type="gramEnd"/>
      <w:r w:rsidRPr="000E6E0F" w:rsidR="00A70311">
        <w:rPr>
          <w:rFonts w:ascii="Times New Roman" w:hAnsi="Times New Roman" w:cs="Times New Roman"/>
        </w:rPr>
        <w:t xml:space="preserve"> to RMP-regulated facilities (and thus at greater risk) than other populations. </w:t>
      </w:r>
      <w:r w:rsidRPr="000E6E0F" w:rsidR="000B1DC0">
        <w:rPr>
          <w:rFonts w:ascii="Times New Roman" w:hAnsi="Times New Roman" w:cs="Times New Roman"/>
        </w:rPr>
        <w:t xml:space="preserve">For facilities that have previously experienced an accident between 2004 and 2020, the percent of low income and non-Hispanic white populations is even higher. </w:t>
      </w:r>
      <w:r w:rsidRPr="000E6E0F" w:rsidR="00A70311">
        <w:rPr>
          <w:rFonts w:ascii="Times New Roman" w:hAnsi="Times New Roman" w:cs="Times New Roman"/>
        </w:rPr>
        <w:t xml:space="preserve">Low-income is defined here as less than twice the Census Bureau’s poverty threshold. </w:t>
      </w:r>
      <w:r w:rsidRPr="003165DF" w:rsidR="003165DF">
        <w:rPr>
          <w:rFonts w:ascii="Times New Roman" w:hAnsi="Times New Roman" w:cs="Times New Roman"/>
        </w:rPr>
        <w:t xml:space="preserve">Historically underserved and overburdened race and ethnicity </w:t>
      </w:r>
      <w:r w:rsidR="003165DF">
        <w:rPr>
          <w:rFonts w:ascii="Times New Roman" w:hAnsi="Times New Roman" w:cs="Times New Roman"/>
        </w:rPr>
        <w:t xml:space="preserve">are defined as </w:t>
      </w:r>
      <w:r w:rsidRPr="000E6E0F" w:rsidR="00A70311">
        <w:rPr>
          <w:rFonts w:ascii="Times New Roman" w:hAnsi="Times New Roman" w:cs="Times New Roman"/>
        </w:rPr>
        <w:t xml:space="preserve">any race or ethnicity designation except for “Non-Hispanic, White” including those identifying as Hispanic white or as multiracial white. </w:t>
      </w:r>
    </w:p>
    <w:p w:rsidR="00520131" w:rsidP="499E21EF" w:rsidRDefault="00520131" w14:paraId="6C6B25B4" w14:textId="209C5465">
      <w:pPr>
        <w:spacing w:after="0" w:line="240" w:lineRule="auto"/>
        <w:ind w:firstLine="360"/>
        <w:rPr>
          <w:rFonts w:ascii="Times New Roman" w:hAnsi="Times New Roman" w:cs="Times New Roman"/>
        </w:rPr>
      </w:pPr>
    </w:p>
    <w:p w:rsidRPr="000E6E0F" w:rsidR="00A70311" w:rsidP="003A3DD5" w:rsidRDefault="00A70311" w14:paraId="2B31F22B" w14:textId="6AA5900B">
      <w:pPr>
        <w:tabs>
          <w:tab w:val="left" w:pos="1830"/>
        </w:tabs>
        <w:spacing w:after="0" w:line="240" w:lineRule="auto"/>
        <w:ind w:firstLine="720"/>
        <w:rPr>
          <w:rFonts w:ascii="Times New Roman" w:hAnsi="Times New Roman" w:cs="Times New Roman"/>
        </w:rPr>
      </w:pPr>
      <w:r w:rsidRPr="000E6E0F">
        <w:rPr>
          <w:rFonts w:ascii="Times New Roman" w:hAnsi="Times New Roman" w:cs="Times New Roman"/>
        </w:rPr>
        <w:t>The average percentage of historically underserved and overburdened racial and ethnic persons in the U.S. is 37 percent, while 50</w:t>
      </w:r>
      <w:r w:rsidRPr="000E6E0F" w:rsidR="00115223">
        <w:rPr>
          <w:rFonts w:ascii="Times New Roman" w:hAnsi="Times New Roman" w:cs="Times New Roman"/>
        </w:rPr>
        <w:t xml:space="preserve"> percent</w:t>
      </w:r>
      <w:r w:rsidRPr="000E6E0F">
        <w:rPr>
          <w:rFonts w:ascii="Times New Roman" w:hAnsi="Times New Roman" w:cs="Times New Roman"/>
        </w:rPr>
        <w:t xml:space="preserve"> of inhabitants located within one mile of RMP facilities </w:t>
      </w:r>
      <w:r w:rsidRPr="000E6E0F" w:rsidR="008543DD">
        <w:rPr>
          <w:rFonts w:ascii="Times New Roman" w:hAnsi="Times New Roman" w:cs="Times New Roman"/>
          <w:color w:val="000000"/>
        </w:rPr>
        <w:t>fall into that category</w:t>
      </w:r>
      <w:r w:rsidRPr="000E6E0F">
        <w:rPr>
          <w:rFonts w:ascii="Times New Roman" w:hAnsi="Times New Roman" w:cs="Times New Roman"/>
          <w:color w:val="000000"/>
        </w:rPr>
        <w:t>. Similarly, while 35</w:t>
      </w:r>
      <w:r w:rsidRPr="000E6E0F" w:rsidR="00115223">
        <w:rPr>
          <w:rFonts w:ascii="Times New Roman" w:hAnsi="Times New Roman" w:cs="Times New Roman"/>
        </w:rPr>
        <w:t xml:space="preserve"> percent</w:t>
      </w:r>
      <w:r w:rsidRPr="000E6E0F">
        <w:rPr>
          <w:rFonts w:ascii="Times New Roman" w:hAnsi="Times New Roman" w:cs="Times New Roman"/>
          <w:color w:val="000000"/>
        </w:rPr>
        <w:t xml:space="preserve"> of the United States is low-income,</w:t>
      </w:r>
      <w:r w:rsidRPr="000E6E0F">
        <w:rPr>
          <w:rFonts w:ascii="Times New Roman" w:hAnsi="Times New Roman" w:cs="Times New Roman"/>
        </w:rPr>
        <w:t xml:space="preserve"> defined here as less than </w:t>
      </w:r>
      <w:r w:rsidRPr="000E6E0F">
        <w:rPr>
          <w:rFonts w:ascii="Times New Roman" w:hAnsi="Times New Roman" w:cs="Times New Roman"/>
        </w:rPr>
        <w:lastRenderedPageBreak/>
        <w:t>twice the Census Bureau’s poverty threshold, among communities within one mile of RMP facilities, the percentage of low-income is 42</w:t>
      </w:r>
      <w:r w:rsidRPr="000E6E0F" w:rsidR="00115223">
        <w:rPr>
          <w:rFonts w:ascii="Times New Roman" w:hAnsi="Times New Roman" w:cs="Times New Roman"/>
        </w:rPr>
        <w:t xml:space="preserve"> percent</w:t>
      </w:r>
      <w:r w:rsidRPr="000E6E0F">
        <w:rPr>
          <w:rFonts w:ascii="Times New Roman" w:hAnsi="Times New Roman" w:cs="Times New Roman"/>
        </w:rPr>
        <w:t xml:space="preserve">. </w:t>
      </w:r>
    </w:p>
    <w:p w:rsidRPr="000E6E0F" w:rsidR="00A70311" w:rsidP="00A70311" w:rsidRDefault="00A70311" w14:paraId="3624299F" w14:textId="7D0EEA6E">
      <w:pPr>
        <w:pStyle w:val="BodyText"/>
        <w:rPr>
          <w:rFonts w:ascii="Times New Roman" w:hAnsi="Times New Roman" w:cs="Times New Roman"/>
        </w:rPr>
      </w:pPr>
    </w:p>
    <w:tbl>
      <w:tblPr>
        <w:tblStyle w:val="TableGrid"/>
        <w:tblW w:w="8545" w:type="dxa"/>
        <w:jc w:val="center"/>
        <w:tblLook w:val="04A0" w:firstRow="1" w:lastRow="0" w:firstColumn="1" w:lastColumn="0" w:noHBand="0" w:noVBand="1"/>
      </w:tblPr>
      <w:tblGrid>
        <w:gridCol w:w="1795"/>
        <w:gridCol w:w="1056"/>
        <w:gridCol w:w="1416"/>
        <w:gridCol w:w="2444"/>
        <w:gridCol w:w="1834"/>
      </w:tblGrid>
      <w:tr w:rsidRPr="000E6E0F" w:rsidR="001B66ED" w:rsidTr="003165DF" w14:paraId="57926A6B" w14:textId="0A9094C5">
        <w:trPr>
          <w:trHeight w:val="292"/>
          <w:tblHeader/>
          <w:jc w:val="center"/>
        </w:trPr>
        <w:tc>
          <w:tcPr>
            <w:tcW w:w="1795" w:type="dxa"/>
            <w:vMerge w:val="restart"/>
            <w:shd w:val="clear" w:color="auto" w:fill="D0CECE" w:themeFill="background2" w:themeFillShade="E6"/>
            <w:noWrap/>
            <w:vAlign w:val="center"/>
          </w:tcPr>
          <w:p w:rsidRPr="003165DF" w:rsidR="001B66ED" w:rsidP="008026B5" w:rsidRDefault="0079786F" w14:paraId="2294AD92" w14:textId="4725E94A">
            <w:pPr>
              <w:spacing w:line="240" w:lineRule="auto"/>
              <w:jc w:val="center"/>
              <w:rPr>
                <w:color w:val="000000"/>
              </w:rPr>
            </w:pPr>
            <w:r w:rsidRPr="003165DF">
              <w:rPr>
                <w:b/>
              </w:rPr>
              <w:t>Exhibit</w:t>
            </w:r>
            <w:r w:rsidRPr="003165DF" w:rsidR="00A70311">
              <w:rPr>
                <w:b/>
              </w:rPr>
              <w:t xml:space="preserve"> </w:t>
            </w:r>
            <w:r w:rsidRPr="000E6E0F">
              <w:rPr>
                <w:b/>
              </w:rPr>
              <w:t>9-</w:t>
            </w:r>
            <w:r w:rsidRPr="000E6E0F" w:rsidR="00A70311">
              <w:rPr>
                <w:b/>
              </w:rPr>
              <w:t>1.</w:t>
            </w:r>
            <w:r w:rsidRPr="000E6E0F" w:rsidR="00A70311">
              <w:t xml:space="preserve"> </w:t>
            </w:r>
            <w:r w:rsidRPr="000E6E0F" w:rsidR="00A70311">
              <w:rPr>
                <w:b/>
              </w:rPr>
              <w:t xml:space="preserve">Sociodemographic composition of RMP </w:t>
            </w:r>
            <w:proofErr w:type="spellStart"/>
            <w:r w:rsidRPr="000E6E0F" w:rsidR="00A70311">
              <w:rPr>
                <w:b/>
              </w:rPr>
              <w:t>fenceline</w:t>
            </w:r>
            <w:proofErr w:type="spellEnd"/>
            <w:r w:rsidRPr="000E6E0F" w:rsidR="00A70311">
              <w:rPr>
                <w:b/>
              </w:rPr>
              <w:t xml:space="preserve"> communities</w:t>
            </w:r>
          </w:p>
        </w:tc>
        <w:tc>
          <w:tcPr>
            <w:tcW w:w="1056" w:type="dxa"/>
            <w:shd w:val="clear" w:color="auto" w:fill="D0CECE" w:themeFill="background2" w:themeFillShade="E6"/>
            <w:noWrap/>
            <w:vAlign w:val="center"/>
          </w:tcPr>
          <w:p w:rsidRPr="003165DF" w:rsidR="001B66ED" w:rsidP="008026B5" w:rsidRDefault="001B66ED" w14:paraId="3CD379F4" w14:textId="77777777">
            <w:pPr>
              <w:spacing w:line="240" w:lineRule="auto"/>
              <w:jc w:val="center"/>
              <w:rPr>
                <w:b/>
                <w:color w:val="000000"/>
              </w:rPr>
            </w:pPr>
            <w:r w:rsidRPr="003165DF">
              <w:rPr>
                <w:b/>
                <w:color w:val="000000"/>
              </w:rPr>
              <w:t>Buffer distance (miles)</w:t>
            </w:r>
          </w:p>
        </w:tc>
        <w:tc>
          <w:tcPr>
            <w:tcW w:w="1416" w:type="dxa"/>
            <w:shd w:val="clear" w:color="auto" w:fill="D0CECE" w:themeFill="background2" w:themeFillShade="E6"/>
            <w:noWrap/>
            <w:vAlign w:val="center"/>
          </w:tcPr>
          <w:p w:rsidRPr="003165DF" w:rsidR="001B66ED" w:rsidP="008026B5" w:rsidRDefault="001B66ED" w14:paraId="17FA5D29" w14:textId="77777777">
            <w:pPr>
              <w:spacing w:line="240" w:lineRule="auto"/>
              <w:jc w:val="center"/>
              <w:rPr>
                <w:b/>
                <w:color w:val="000000"/>
              </w:rPr>
            </w:pPr>
            <w:r w:rsidRPr="003165DF">
              <w:rPr>
                <w:b/>
                <w:color w:val="000000"/>
              </w:rPr>
              <w:t>Total population</w:t>
            </w:r>
          </w:p>
          <w:p w:rsidRPr="003165DF" w:rsidR="001B66ED" w:rsidP="008026B5" w:rsidRDefault="001B66ED" w14:paraId="7AD4A75C" w14:textId="77777777">
            <w:pPr>
              <w:spacing w:line="240" w:lineRule="auto"/>
              <w:jc w:val="center"/>
              <w:rPr>
                <w:b/>
                <w:color w:val="000000"/>
              </w:rPr>
            </w:pPr>
          </w:p>
        </w:tc>
        <w:tc>
          <w:tcPr>
            <w:tcW w:w="2444" w:type="dxa"/>
            <w:shd w:val="clear" w:color="auto" w:fill="D0CECE" w:themeFill="background2" w:themeFillShade="E6"/>
            <w:noWrap/>
            <w:vAlign w:val="center"/>
          </w:tcPr>
          <w:p w:rsidRPr="003165DF" w:rsidR="001B66ED" w:rsidP="008026B5" w:rsidRDefault="001B66ED" w14:paraId="4B2580D6" w14:textId="77777777">
            <w:pPr>
              <w:spacing w:line="240" w:lineRule="auto"/>
              <w:jc w:val="center"/>
              <w:rPr>
                <w:b/>
                <w:color w:val="000000"/>
              </w:rPr>
            </w:pPr>
            <w:r w:rsidRPr="003165DF">
              <w:rPr>
                <w:b/>
                <w:color w:val="000000"/>
              </w:rPr>
              <w:t>Historically underserved and overburdened race and ethnicity</w:t>
            </w:r>
          </w:p>
        </w:tc>
        <w:tc>
          <w:tcPr>
            <w:tcW w:w="1834" w:type="dxa"/>
            <w:shd w:val="clear" w:color="auto" w:fill="D0CECE" w:themeFill="background2" w:themeFillShade="E6"/>
            <w:noWrap/>
            <w:vAlign w:val="center"/>
          </w:tcPr>
          <w:p w:rsidRPr="003165DF" w:rsidR="001B66ED" w:rsidP="008026B5" w:rsidRDefault="001B66ED" w14:paraId="78CC7ADD" w14:textId="77777777">
            <w:pPr>
              <w:spacing w:line="240" w:lineRule="auto"/>
              <w:jc w:val="center"/>
              <w:rPr>
                <w:b/>
                <w:color w:val="000000"/>
              </w:rPr>
            </w:pPr>
            <w:r w:rsidRPr="003165DF">
              <w:rPr>
                <w:b/>
                <w:color w:val="000000"/>
              </w:rPr>
              <w:t>Low income</w:t>
            </w:r>
          </w:p>
        </w:tc>
      </w:tr>
      <w:tr w:rsidRPr="000E6E0F" w:rsidR="001B66ED" w:rsidTr="003165DF" w14:paraId="6579BDDB" w14:textId="211EE89D">
        <w:trPr>
          <w:trHeight w:val="292"/>
          <w:tblHeader/>
          <w:jc w:val="center"/>
        </w:trPr>
        <w:tc>
          <w:tcPr>
            <w:tcW w:w="1795" w:type="dxa"/>
            <w:vMerge/>
            <w:noWrap/>
            <w:vAlign w:val="center"/>
            <w:hideMark/>
          </w:tcPr>
          <w:p w:rsidRPr="003165DF" w:rsidR="001B66ED" w:rsidP="008026B5" w:rsidRDefault="001B66ED" w14:paraId="6A1570A0" w14:textId="77777777">
            <w:pPr>
              <w:spacing w:line="240" w:lineRule="auto"/>
              <w:jc w:val="center"/>
              <w:rPr>
                <w:color w:val="000000"/>
              </w:rPr>
            </w:pPr>
          </w:p>
        </w:tc>
        <w:tc>
          <w:tcPr>
            <w:tcW w:w="1056" w:type="dxa"/>
            <w:shd w:val="clear" w:color="auto" w:fill="E7E6E6" w:themeFill="background2"/>
            <w:noWrap/>
            <w:vAlign w:val="center"/>
            <w:hideMark/>
          </w:tcPr>
          <w:p w:rsidRPr="003165DF" w:rsidR="001B66ED" w:rsidP="008026B5" w:rsidRDefault="001B66ED" w14:paraId="538E8889" w14:textId="77777777">
            <w:pPr>
              <w:spacing w:line="240" w:lineRule="auto"/>
              <w:jc w:val="center"/>
              <w:rPr>
                <w:color w:val="000000"/>
              </w:rPr>
            </w:pPr>
          </w:p>
        </w:tc>
        <w:tc>
          <w:tcPr>
            <w:tcW w:w="1416" w:type="dxa"/>
            <w:shd w:val="clear" w:color="auto" w:fill="E7E6E6" w:themeFill="background2"/>
            <w:noWrap/>
            <w:vAlign w:val="center"/>
            <w:hideMark/>
          </w:tcPr>
          <w:p w:rsidRPr="003165DF" w:rsidR="001B66ED" w:rsidP="008026B5" w:rsidRDefault="001B66ED" w14:paraId="1E18C484" w14:textId="77777777">
            <w:pPr>
              <w:spacing w:line="240" w:lineRule="auto"/>
              <w:jc w:val="center"/>
              <w:rPr>
                <w:b/>
                <w:color w:val="000000"/>
              </w:rPr>
            </w:pPr>
            <w:r w:rsidRPr="003165DF">
              <w:rPr>
                <w:b/>
                <w:color w:val="000000"/>
              </w:rPr>
              <w:t>n</w:t>
            </w:r>
          </w:p>
        </w:tc>
        <w:tc>
          <w:tcPr>
            <w:tcW w:w="2444" w:type="dxa"/>
            <w:shd w:val="clear" w:color="auto" w:fill="E7E6E6" w:themeFill="background2"/>
            <w:noWrap/>
            <w:vAlign w:val="center"/>
            <w:hideMark/>
          </w:tcPr>
          <w:p w:rsidRPr="003165DF" w:rsidR="001B66ED" w:rsidP="008026B5" w:rsidRDefault="001B66ED" w14:paraId="3737C024" w14:textId="77777777">
            <w:pPr>
              <w:spacing w:line="240" w:lineRule="auto"/>
              <w:jc w:val="center"/>
              <w:rPr>
                <w:b/>
                <w:color w:val="000000"/>
              </w:rPr>
            </w:pPr>
            <w:r w:rsidRPr="003165DF">
              <w:rPr>
                <w:b/>
                <w:color w:val="000000"/>
              </w:rPr>
              <w:t>n (%)</w:t>
            </w:r>
          </w:p>
        </w:tc>
        <w:tc>
          <w:tcPr>
            <w:tcW w:w="1834" w:type="dxa"/>
            <w:shd w:val="clear" w:color="auto" w:fill="E7E6E6" w:themeFill="background2"/>
            <w:noWrap/>
            <w:vAlign w:val="center"/>
            <w:hideMark/>
          </w:tcPr>
          <w:p w:rsidRPr="003165DF" w:rsidR="001B66ED" w:rsidP="008026B5" w:rsidRDefault="001B66ED" w14:paraId="70D2E3CA" w14:textId="77777777">
            <w:pPr>
              <w:spacing w:line="240" w:lineRule="auto"/>
              <w:jc w:val="center"/>
              <w:rPr>
                <w:b/>
                <w:color w:val="000000"/>
              </w:rPr>
            </w:pPr>
            <w:r w:rsidRPr="003165DF">
              <w:rPr>
                <w:b/>
                <w:color w:val="000000"/>
              </w:rPr>
              <w:t>n (%)</w:t>
            </w:r>
          </w:p>
        </w:tc>
      </w:tr>
      <w:tr w:rsidRPr="000E6E0F" w:rsidR="001B66ED" w:rsidTr="003165DF" w14:paraId="59420D58" w14:textId="46CF5FF9">
        <w:trPr>
          <w:trHeight w:val="292"/>
          <w:jc w:val="center"/>
        </w:trPr>
        <w:tc>
          <w:tcPr>
            <w:tcW w:w="1795" w:type="dxa"/>
            <w:vMerge w:val="restart"/>
            <w:noWrap/>
            <w:vAlign w:val="center"/>
            <w:hideMark/>
          </w:tcPr>
          <w:p w:rsidRPr="003165DF" w:rsidR="001B66ED" w:rsidP="00167F64" w:rsidRDefault="001B66ED" w14:paraId="01CC9464" w14:textId="77777777">
            <w:pPr>
              <w:spacing w:line="240" w:lineRule="auto"/>
              <w:rPr>
                <w:color w:val="000000"/>
              </w:rPr>
            </w:pPr>
            <w:r w:rsidRPr="003165DF">
              <w:rPr>
                <w:color w:val="000000"/>
              </w:rPr>
              <w:t>Facilities with accidents 2004-2020</w:t>
            </w:r>
          </w:p>
        </w:tc>
        <w:tc>
          <w:tcPr>
            <w:tcW w:w="1056" w:type="dxa"/>
            <w:noWrap/>
            <w:vAlign w:val="center"/>
            <w:hideMark/>
          </w:tcPr>
          <w:p w:rsidRPr="003165DF" w:rsidR="001B66ED" w:rsidP="008026B5" w:rsidRDefault="001B66ED" w14:paraId="206566D8" w14:textId="77777777">
            <w:pPr>
              <w:spacing w:line="240" w:lineRule="auto"/>
              <w:jc w:val="center"/>
              <w:rPr>
                <w:color w:val="000000"/>
              </w:rPr>
            </w:pPr>
            <w:r w:rsidRPr="003165DF">
              <w:rPr>
                <w:color w:val="000000"/>
              </w:rPr>
              <w:t>1-mile</w:t>
            </w:r>
          </w:p>
        </w:tc>
        <w:tc>
          <w:tcPr>
            <w:tcW w:w="1416" w:type="dxa"/>
            <w:noWrap/>
            <w:vAlign w:val="center"/>
            <w:hideMark/>
          </w:tcPr>
          <w:p w:rsidRPr="003165DF" w:rsidR="001B66ED" w:rsidP="008026B5" w:rsidRDefault="001B66ED" w14:paraId="6D272DE2" w14:textId="77777777">
            <w:pPr>
              <w:spacing w:line="240" w:lineRule="auto"/>
              <w:jc w:val="center"/>
              <w:rPr>
                <w:color w:val="000000"/>
              </w:rPr>
            </w:pPr>
            <w:r w:rsidRPr="003165DF">
              <w:rPr>
                <w:color w:val="000000"/>
              </w:rPr>
              <w:t>7,444,700</w:t>
            </w:r>
          </w:p>
        </w:tc>
        <w:tc>
          <w:tcPr>
            <w:tcW w:w="2444" w:type="dxa"/>
            <w:noWrap/>
            <w:vAlign w:val="center"/>
            <w:hideMark/>
          </w:tcPr>
          <w:p w:rsidRPr="003165DF" w:rsidR="001B66ED" w:rsidP="008026B5" w:rsidRDefault="001B66ED" w14:paraId="1318178A" w14:textId="06694230">
            <w:pPr>
              <w:spacing w:line="240" w:lineRule="auto"/>
              <w:jc w:val="center"/>
              <w:rPr>
                <w:color w:val="000000"/>
              </w:rPr>
            </w:pPr>
            <w:r w:rsidRPr="003165DF">
              <w:rPr>
                <w:color w:val="000000"/>
              </w:rPr>
              <w:t>4,263,400 (57</w:t>
            </w:r>
            <w:r w:rsidRPr="003165DF" w:rsidR="008543DD">
              <w:rPr>
                <w:color w:val="000000"/>
              </w:rPr>
              <w:t>%</w:t>
            </w:r>
            <w:r w:rsidRPr="003165DF">
              <w:rPr>
                <w:color w:val="000000"/>
              </w:rPr>
              <w:t>)</w:t>
            </w:r>
          </w:p>
        </w:tc>
        <w:tc>
          <w:tcPr>
            <w:tcW w:w="1834" w:type="dxa"/>
            <w:noWrap/>
            <w:vAlign w:val="center"/>
            <w:hideMark/>
          </w:tcPr>
          <w:p w:rsidRPr="003165DF" w:rsidR="001B66ED" w:rsidP="008026B5" w:rsidRDefault="001B66ED" w14:paraId="1E4BB3EB" w14:textId="35AB3A7C">
            <w:pPr>
              <w:spacing w:line="240" w:lineRule="auto"/>
              <w:jc w:val="center"/>
              <w:rPr>
                <w:color w:val="000000"/>
              </w:rPr>
            </w:pPr>
            <w:r w:rsidRPr="003165DF">
              <w:rPr>
                <w:color w:val="000000"/>
              </w:rPr>
              <w:t>3,305,300 (46</w:t>
            </w:r>
            <w:r w:rsidRPr="003165DF" w:rsidR="008543DD">
              <w:rPr>
                <w:color w:val="000000"/>
              </w:rPr>
              <w:t>%</w:t>
            </w:r>
            <w:r w:rsidRPr="003165DF">
              <w:rPr>
                <w:color w:val="000000"/>
              </w:rPr>
              <w:t>)</w:t>
            </w:r>
          </w:p>
        </w:tc>
      </w:tr>
      <w:tr w:rsidRPr="000E6E0F" w:rsidR="001B66ED" w:rsidTr="003165DF" w14:paraId="589094F2" w14:textId="550719E0">
        <w:trPr>
          <w:trHeight w:val="292"/>
          <w:jc w:val="center"/>
        </w:trPr>
        <w:tc>
          <w:tcPr>
            <w:tcW w:w="1795" w:type="dxa"/>
            <w:vMerge/>
            <w:noWrap/>
            <w:vAlign w:val="center"/>
            <w:hideMark/>
          </w:tcPr>
          <w:p w:rsidRPr="003165DF" w:rsidR="001B66ED" w:rsidP="00167F64" w:rsidRDefault="001B66ED" w14:paraId="41BBA5D4" w14:textId="77777777">
            <w:pPr>
              <w:spacing w:line="240" w:lineRule="auto"/>
              <w:rPr>
                <w:color w:val="000000"/>
              </w:rPr>
            </w:pPr>
          </w:p>
        </w:tc>
        <w:tc>
          <w:tcPr>
            <w:tcW w:w="1056" w:type="dxa"/>
            <w:noWrap/>
            <w:vAlign w:val="center"/>
            <w:hideMark/>
          </w:tcPr>
          <w:p w:rsidRPr="003165DF" w:rsidR="001B66ED" w:rsidP="008026B5" w:rsidRDefault="001B66ED" w14:paraId="56D59B51" w14:textId="77777777">
            <w:pPr>
              <w:spacing w:line="240" w:lineRule="auto"/>
              <w:jc w:val="center"/>
              <w:rPr>
                <w:color w:val="000000"/>
              </w:rPr>
            </w:pPr>
            <w:r w:rsidRPr="003165DF">
              <w:rPr>
                <w:color w:val="000000"/>
              </w:rPr>
              <w:t>3-mile</w:t>
            </w:r>
          </w:p>
        </w:tc>
        <w:tc>
          <w:tcPr>
            <w:tcW w:w="1416" w:type="dxa"/>
            <w:noWrap/>
            <w:vAlign w:val="center"/>
            <w:hideMark/>
          </w:tcPr>
          <w:p w:rsidRPr="003165DF" w:rsidR="001B66ED" w:rsidP="008026B5" w:rsidRDefault="001B66ED" w14:paraId="5BB46271" w14:textId="77777777">
            <w:pPr>
              <w:spacing w:line="240" w:lineRule="auto"/>
              <w:jc w:val="center"/>
              <w:rPr>
                <w:color w:val="000000"/>
              </w:rPr>
            </w:pPr>
            <w:r w:rsidRPr="003165DF">
              <w:rPr>
                <w:color w:val="000000"/>
              </w:rPr>
              <w:t>85,567,300</w:t>
            </w:r>
          </w:p>
        </w:tc>
        <w:tc>
          <w:tcPr>
            <w:tcW w:w="2444" w:type="dxa"/>
            <w:noWrap/>
            <w:vAlign w:val="center"/>
            <w:hideMark/>
          </w:tcPr>
          <w:p w:rsidRPr="003165DF" w:rsidR="001B66ED" w:rsidP="008026B5" w:rsidRDefault="001B66ED" w14:paraId="32317818" w14:textId="0F1CF240">
            <w:pPr>
              <w:spacing w:line="240" w:lineRule="auto"/>
              <w:jc w:val="center"/>
              <w:rPr>
                <w:color w:val="000000"/>
              </w:rPr>
            </w:pPr>
            <w:r w:rsidRPr="003165DF">
              <w:rPr>
                <w:color w:val="000000"/>
              </w:rPr>
              <w:t>45,352,400 (53</w:t>
            </w:r>
            <w:r w:rsidRPr="003165DF" w:rsidR="008543DD">
              <w:rPr>
                <w:color w:val="000000"/>
              </w:rPr>
              <w:t>%</w:t>
            </w:r>
            <w:r w:rsidRPr="003165DF">
              <w:rPr>
                <w:color w:val="000000"/>
              </w:rPr>
              <w:t>)</w:t>
            </w:r>
          </w:p>
        </w:tc>
        <w:tc>
          <w:tcPr>
            <w:tcW w:w="1834" w:type="dxa"/>
            <w:noWrap/>
            <w:vAlign w:val="center"/>
            <w:hideMark/>
          </w:tcPr>
          <w:p w:rsidRPr="003165DF" w:rsidR="001B66ED" w:rsidP="008026B5" w:rsidRDefault="001B66ED" w14:paraId="2ED911E7" w14:textId="04EF7EF1">
            <w:pPr>
              <w:spacing w:line="240" w:lineRule="auto"/>
              <w:jc w:val="center"/>
              <w:rPr>
                <w:color w:val="000000"/>
              </w:rPr>
            </w:pPr>
            <w:r w:rsidRPr="003165DF">
              <w:rPr>
                <w:color w:val="000000"/>
              </w:rPr>
              <w:t>32,233,500 (39</w:t>
            </w:r>
            <w:r w:rsidRPr="003165DF" w:rsidR="008543DD">
              <w:rPr>
                <w:color w:val="000000"/>
              </w:rPr>
              <w:t>%</w:t>
            </w:r>
            <w:r w:rsidRPr="003165DF">
              <w:rPr>
                <w:color w:val="000000"/>
              </w:rPr>
              <w:t>)</w:t>
            </w:r>
          </w:p>
        </w:tc>
      </w:tr>
      <w:tr w:rsidRPr="000E6E0F" w:rsidR="001B66ED" w:rsidTr="003165DF" w14:paraId="645C6726" w14:textId="520384DD">
        <w:trPr>
          <w:trHeight w:val="292"/>
          <w:jc w:val="center"/>
        </w:trPr>
        <w:tc>
          <w:tcPr>
            <w:tcW w:w="1795" w:type="dxa"/>
            <w:vMerge w:val="restart"/>
            <w:noWrap/>
            <w:vAlign w:val="center"/>
            <w:hideMark/>
          </w:tcPr>
          <w:p w:rsidRPr="003165DF" w:rsidR="001B66ED" w:rsidP="00167F64" w:rsidRDefault="001B66ED" w14:paraId="5F0295DD" w14:textId="77777777">
            <w:pPr>
              <w:spacing w:line="240" w:lineRule="auto"/>
              <w:rPr>
                <w:color w:val="000000"/>
              </w:rPr>
            </w:pPr>
            <w:r w:rsidRPr="003165DF">
              <w:rPr>
                <w:color w:val="000000"/>
              </w:rPr>
              <w:t>All active facilities</w:t>
            </w:r>
          </w:p>
        </w:tc>
        <w:tc>
          <w:tcPr>
            <w:tcW w:w="1056" w:type="dxa"/>
            <w:noWrap/>
            <w:vAlign w:val="center"/>
            <w:hideMark/>
          </w:tcPr>
          <w:p w:rsidRPr="003165DF" w:rsidR="001B66ED" w:rsidP="008026B5" w:rsidRDefault="001B66ED" w14:paraId="013C2737" w14:textId="77777777">
            <w:pPr>
              <w:spacing w:line="240" w:lineRule="auto"/>
              <w:jc w:val="center"/>
              <w:rPr>
                <w:color w:val="000000"/>
              </w:rPr>
            </w:pPr>
            <w:r w:rsidRPr="003165DF">
              <w:rPr>
                <w:color w:val="000000"/>
              </w:rPr>
              <w:t>1-mile</w:t>
            </w:r>
          </w:p>
        </w:tc>
        <w:tc>
          <w:tcPr>
            <w:tcW w:w="1416" w:type="dxa"/>
            <w:noWrap/>
            <w:vAlign w:val="center"/>
            <w:hideMark/>
          </w:tcPr>
          <w:p w:rsidRPr="003165DF" w:rsidR="001B66ED" w:rsidP="008026B5" w:rsidRDefault="001B66ED" w14:paraId="7BB919FB" w14:textId="77777777">
            <w:pPr>
              <w:spacing w:line="240" w:lineRule="auto"/>
              <w:jc w:val="center"/>
              <w:rPr>
                <w:color w:val="000000"/>
              </w:rPr>
            </w:pPr>
            <w:r w:rsidRPr="003165DF">
              <w:rPr>
                <w:color w:val="000000"/>
              </w:rPr>
              <w:t>24,407,100</w:t>
            </w:r>
          </w:p>
        </w:tc>
        <w:tc>
          <w:tcPr>
            <w:tcW w:w="2444" w:type="dxa"/>
            <w:noWrap/>
            <w:vAlign w:val="center"/>
            <w:hideMark/>
          </w:tcPr>
          <w:p w:rsidRPr="003165DF" w:rsidR="001B66ED" w:rsidP="008026B5" w:rsidRDefault="001B66ED" w14:paraId="0726AA73" w14:textId="64862750">
            <w:pPr>
              <w:spacing w:line="240" w:lineRule="auto"/>
              <w:jc w:val="center"/>
              <w:rPr>
                <w:color w:val="000000"/>
              </w:rPr>
            </w:pPr>
            <w:r w:rsidRPr="003165DF">
              <w:rPr>
                <w:color w:val="000000"/>
              </w:rPr>
              <w:t>12,270,500 (50</w:t>
            </w:r>
            <w:r w:rsidRPr="003165DF" w:rsidR="008543DD">
              <w:rPr>
                <w:color w:val="000000"/>
              </w:rPr>
              <w:t>%</w:t>
            </w:r>
            <w:r w:rsidRPr="003165DF">
              <w:rPr>
                <w:color w:val="000000"/>
              </w:rPr>
              <w:t>)</w:t>
            </w:r>
          </w:p>
        </w:tc>
        <w:tc>
          <w:tcPr>
            <w:tcW w:w="1834" w:type="dxa"/>
            <w:noWrap/>
            <w:vAlign w:val="center"/>
            <w:hideMark/>
          </w:tcPr>
          <w:p w:rsidRPr="003165DF" w:rsidR="001B66ED" w:rsidP="008026B5" w:rsidRDefault="001B66ED" w14:paraId="7165AAF5" w14:textId="72E5997F">
            <w:pPr>
              <w:spacing w:line="240" w:lineRule="auto"/>
              <w:jc w:val="center"/>
              <w:rPr>
                <w:color w:val="000000"/>
              </w:rPr>
            </w:pPr>
            <w:r w:rsidRPr="003165DF">
              <w:rPr>
                <w:color w:val="000000"/>
              </w:rPr>
              <w:t>10,026,700 (42</w:t>
            </w:r>
            <w:r w:rsidRPr="003165DF" w:rsidR="008543DD">
              <w:rPr>
                <w:color w:val="000000"/>
              </w:rPr>
              <w:t>%</w:t>
            </w:r>
            <w:r w:rsidRPr="003165DF">
              <w:rPr>
                <w:color w:val="000000"/>
              </w:rPr>
              <w:t>)</w:t>
            </w:r>
          </w:p>
        </w:tc>
      </w:tr>
      <w:tr w:rsidRPr="000E6E0F" w:rsidR="001B66ED" w:rsidTr="003165DF" w14:paraId="15A13C64" w14:textId="6A97A5B6">
        <w:trPr>
          <w:trHeight w:val="292"/>
          <w:jc w:val="center"/>
        </w:trPr>
        <w:tc>
          <w:tcPr>
            <w:tcW w:w="1795" w:type="dxa"/>
            <w:vMerge/>
            <w:noWrap/>
            <w:vAlign w:val="center"/>
            <w:hideMark/>
          </w:tcPr>
          <w:p w:rsidRPr="003165DF" w:rsidR="001B66ED" w:rsidP="008026B5" w:rsidRDefault="001B66ED" w14:paraId="24F0D4BA" w14:textId="77777777">
            <w:pPr>
              <w:spacing w:line="240" w:lineRule="auto"/>
              <w:jc w:val="center"/>
              <w:rPr>
                <w:color w:val="000000"/>
              </w:rPr>
            </w:pPr>
          </w:p>
        </w:tc>
        <w:tc>
          <w:tcPr>
            <w:tcW w:w="1056" w:type="dxa"/>
            <w:noWrap/>
            <w:vAlign w:val="center"/>
            <w:hideMark/>
          </w:tcPr>
          <w:p w:rsidRPr="003165DF" w:rsidR="001B66ED" w:rsidP="008026B5" w:rsidRDefault="001B66ED" w14:paraId="461DB923" w14:textId="77777777">
            <w:pPr>
              <w:spacing w:line="240" w:lineRule="auto"/>
              <w:jc w:val="center"/>
              <w:rPr>
                <w:color w:val="000000"/>
              </w:rPr>
            </w:pPr>
            <w:r w:rsidRPr="003165DF">
              <w:rPr>
                <w:color w:val="000000"/>
              </w:rPr>
              <w:t>3-mile</w:t>
            </w:r>
          </w:p>
        </w:tc>
        <w:tc>
          <w:tcPr>
            <w:tcW w:w="1416" w:type="dxa"/>
            <w:noWrap/>
            <w:vAlign w:val="center"/>
            <w:hideMark/>
          </w:tcPr>
          <w:p w:rsidRPr="003165DF" w:rsidR="001B66ED" w:rsidP="008026B5" w:rsidRDefault="001B66ED" w14:paraId="7D545E2F" w14:textId="77777777">
            <w:pPr>
              <w:spacing w:line="240" w:lineRule="auto"/>
              <w:jc w:val="center"/>
              <w:rPr>
                <w:color w:val="000000"/>
              </w:rPr>
            </w:pPr>
            <w:r w:rsidRPr="003165DF">
              <w:rPr>
                <w:color w:val="000000"/>
              </w:rPr>
              <w:t>127,716,500</w:t>
            </w:r>
          </w:p>
        </w:tc>
        <w:tc>
          <w:tcPr>
            <w:tcW w:w="2444" w:type="dxa"/>
            <w:noWrap/>
            <w:vAlign w:val="center"/>
            <w:hideMark/>
          </w:tcPr>
          <w:p w:rsidRPr="003165DF" w:rsidR="001B66ED" w:rsidP="008026B5" w:rsidRDefault="001B66ED" w14:paraId="28AE358D" w14:textId="099F0C65">
            <w:pPr>
              <w:spacing w:line="240" w:lineRule="auto"/>
              <w:jc w:val="center"/>
              <w:rPr>
                <w:color w:val="000000"/>
              </w:rPr>
            </w:pPr>
            <w:r w:rsidRPr="003165DF">
              <w:rPr>
                <w:color w:val="000000"/>
              </w:rPr>
              <w:t>60,409,400 (47</w:t>
            </w:r>
            <w:r w:rsidRPr="003165DF" w:rsidR="008543DD">
              <w:rPr>
                <w:color w:val="000000"/>
              </w:rPr>
              <w:t>%</w:t>
            </w:r>
            <w:r w:rsidRPr="003165DF">
              <w:rPr>
                <w:color w:val="000000"/>
              </w:rPr>
              <w:t>)</w:t>
            </w:r>
          </w:p>
        </w:tc>
        <w:tc>
          <w:tcPr>
            <w:tcW w:w="1834" w:type="dxa"/>
            <w:noWrap/>
            <w:vAlign w:val="center"/>
            <w:hideMark/>
          </w:tcPr>
          <w:p w:rsidRPr="003165DF" w:rsidR="001B66ED" w:rsidP="008026B5" w:rsidRDefault="001B66ED" w14:paraId="3E491B18" w14:textId="6D3E94F2">
            <w:pPr>
              <w:spacing w:line="240" w:lineRule="auto"/>
              <w:jc w:val="center"/>
              <w:rPr>
                <w:color w:val="000000"/>
              </w:rPr>
            </w:pPr>
            <w:r w:rsidRPr="003165DF">
              <w:rPr>
                <w:color w:val="000000"/>
              </w:rPr>
              <w:t>46,516,200 (37</w:t>
            </w:r>
            <w:r w:rsidRPr="003165DF" w:rsidR="008543DD">
              <w:rPr>
                <w:color w:val="000000"/>
              </w:rPr>
              <w:t>%</w:t>
            </w:r>
            <w:r w:rsidRPr="003165DF">
              <w:rPr>
                <w:color w:val="000000"/>
              </w:rPr>
              <w:t>)</w:t>
            </w:r>
          </w:p>
        </w:tc>
      </w:tr>
      <w:tr w:rsidRPr="000E6E0F" w:rsidR="00A2289D" w:rsidTr="003165DF" w14:paraId="62B471CD" w14:textId="77777777">
        <w:trPr>
          <w:trHeight w:val="292"/>
          <w:jc w:val="center"/>
        </w:trPr>
        <w:tc>
          <w:tcPr>
            <w:tcW w:w="1795" w:type="dxa"/>
            <w:noWrap/>
            <w:vAlign w:val="center"/>
          </w:tcPr>
          <w:p w:rsidRPr="003165DF" w:rsidR="00A2289D" w:rsidP="00ED3152" w:rsidRDefault="00A2289D" w14:paraId="0DFBAA67" w14:textId="5B78BFC6">
            <w:pPr>
              <w:spacing w:line="240" w:lineRule="auto"/>
              <w:rPr>
                <w:color w:val="000000"/>
              </w:rPr>
            </w:pPr>
            <w:r w:rsidRPr="003165DF">
              <w:rPr>
                <w:color w:val="000000"/>
              </w:rPr>
              <w:t>U</w:t>
            </w:r>
            <w:r w:rsidR="00ED3152">
              <w:rPr>
                <w:color w:val="000000"/>
              </w:rPr>
              <w:t>nited States</w:t>
            </w:r>
          </w:p>
        </w:tc>
        <w:tc>
          <w:tcPr>
            <w:tcW w:w="1056" w:type="dxa"/>
            <w:noWrap/>
            <w:vAlign w:val="center"/>
          </w:tcPr>
          <w:p w:rsidRPr="003165DF" w:rsidR="00A2289D" w:rsidP="008026B5" w:rsidRDefault="00A2289D" w14:paraId="0AC4F11C" w14:textId="078BC2A6">
            <w:pPr>
              <w:spacing w:line="240" w:lineRule="auto"/>
              <w:jc w:val="center"/>
              <w:rPr>
                <w:color w:val="000000"/>
              </w:rPr>
            </w:pPr>
            <w:r w:rsidRPr="003165DF">
              <w:rPr>
                <w:color w:val="000000"/>
              </w:rPr>
              <w:t>National average</w:t>
            </w:r>
          </w:p>
        </w:tc>
        <w:tc>
          <w:tcPr>
            <w:tcW w:w="1416" w:type="dxa"/>
            <w:noWrap/>
            <w:vAlign w:val="center"/>
          </w:tcPr>
          <w:p w:rsidRPr="003165DF" w:rsidR="00A2289D" w:rsidP="008026B5" w:rsidRDefault="00A2289D" w14:paraId="406281C9" w14:textId="77777777">
            <w:pPr>
              <w:spacing w:line="240" w:lineRule="auto"/>
              <w:jc w:val="center"/>
              <w:rPr>
                <w:color w:val="000000"/>
              </w:rPr>
            </w:pPr>
          </w:p>
        </w:tc>
        <w:tc>
          <w:tcPr>
            <w:tcW w:w="2444" w:type="dxa"/>
            <w:noWrap/>
            <w:vAlign w:val="center"/>
          </w:tcPr>
          <w:p w:rsidRPr="003165DF" w:rsidR="00A2289D" w:rsidP="008026B5" w:rsidRDefault="00500BF4" w14:paraId="1E19C1DB" w14:textId="4D288BF2">
            <w:pPr>
              <w:spacing w:line="240" w:lineRule="auto"/>
              <w:jc w:val="center"/>
              <w:rPr>
                <w:color w:val="000000"/>
              </w:rPr>
            </w:pPr>
            <w:r w:rsidRPr="003165DF">
              <w:rPr>
                <w:color w:val="000000"/>
              </w:rPr>
              <w:t>37</w:t>
            </w:r>
            <w:r w:rsidRPr="003165DF" w:rsidR="00A2289D">
              <w:rPr>
                <w:color w:val="000000"/>
              </w:rPr>
              <w:t>%</w:t>
            </w:r>
          </w:p>
        </w:tc>
        <w:tc>
          <w:tcPr>
            <w:tcW w:w="1834" w:type="dxa"/>
            <w:noWrap/>
            <w:vAlign w:val="center"/>
          </w:tcPr>
          <w:p w:rsidRPr="003165DF" w:rsidR="00A2289D" w:rsidP="008026B5" w:rsidRDefault="00A2289D" w14:paraId="5D2EAD1F" w14:textId="077BB9CB">
            <w:pPr>
              <w:spacing w:line="240" w:lineRule="auto"/>
              <w:jc w:val="center"/>
              <w:rPr>
                <w:color w:val="000000"/>
              </w:rPr>
            </w:pPr>
            <w:r w:rsidRPr="003165DF">
              <w:rPr>
                <w:color w:val="000000"/>
              </w:rPr>
              <w:t>35%</w:t>
            </w:r>
          </w:p>
        </w:tc>
      </w:tr>
    </w:tbl>
    <w:p w:rsidRPr="000849BE" w:rsidR="00A70311" w:rsidP="00A70311" w:rsidRDefault="00A70311" w14:paraId="73FD25E2" w14:textId="77777777">
      <w:pPr>
        <w:pStyle w:val="BodyText"/>
        <w:rPr>
          <w:rFonts w:ascii="Times New Roman" w:hAnsi="Times New Roman" w:cs="Times New Roman"/>
        </w:rPr>
      </w:pPr>
    </w:p>
    <w:p w:rsidRPr="000849BE" w:rsidR="00A70311" w:rsidP="00A70311" w:rsidRDefault="00A70311" w14:paraId="51A353E0" w14:textId="77777777">
      <w:pPr>
        <w:pStyle w:val="BodyText"/>
        <w:rPr>
          <w:rFonts w:ascii="Times New Roman" w:hAnsi="Times New Roman" w:cs="Times New Roman"/>
        </w:rPr>
      </w:pPr>
    </w:p>
    <w:p w:rsidRPr="000E6E0F" w:rsidR="00A70311" w:rsidP="00813745" w:rsidRDefault="004C4652" w14:paraId="01D58D1F" w14:textId="167B08EF">
      <w:pPr>
        <w:pStyle w:val="Heading2"/>
      </w:pPr>
      <w:bookmarkStart w:name="_Toc98856247" w:id="167"/>
      <w:bookmarkStart w:name="_Toc110502777" w:id="168"/>
      <w:r w:rsidRPr="000E6E0F">
        <w:t>9.</w:t>
      </w:r>
      <w:r w:rsidRPr="000E6E0F" w:rsidR="00263814">
        <w:t>4</w:t>
      </w:r>
      <w:r w:rsidRPr="000E6E0F">
        <w:t xml:space="preserve"> </w:t>
      </w:r>
      <w:r w:rsidRPr="000E6E0F" w:rsidR="00A70311">
        <w:t>Conclusions</w:t>
      </w:r>
      <w:bookmarkEnd w:id="167"/>
      <w:bookmarkEnd w:id="168"/>
    </w:p>
    <w:p w:rsidRPr="000E6E0F" w:rsidR="00A70311" w:rsidP="000E6E0F" w:rsidRDefault="003A3DD5" w14:paraId="7893A271" w14:textId="20BAAB46">
      <w:pPr>
        <w:pStyle w:val="BodyText"/>
        <w:ind w:firstLine="360"/>
        <w:rPr>
          <w:rFonts w:ascii="Times New Roman" w:hAnsi="Times New Roman" w:cs="Times New Roman"/>
        </w:rPr>
      </w:pPr>
      <w:r>
        <w:rPr>
          <w:rFonts w:ascii="Times New Roman" w:hAnsi="Times New Roman" w:cs="Times New Roman"/>
        </w:rPr>
        <w:tab/>
      </w:r>
      <w:r w:rsidRPr="000E6E0F" w:rsidR="006922B7">
        <w:rPr>
          <w:rFonts w:ascii="Times New Roman" w:hAnsi="Times New Roman" w:cs="Times New Roman"/>
        </w:rPr>
        <w:t xml:space="preserve">In the baseline, communities near RMP facilities and accidents have higher percentages of </w:t>
      </w:r>
      <w:proofErr w:type="gramStart"/>
      <w:r w:rsidRPr="000E6E0F" w:rsidR="006922B7">
        <w:rPr>
          <w:rFonts w:ascii="Times New Roman" w:hAnsi="Times New Roman" w:cs="Times New Roman"/>
        </w:rPr>
        <w:t>low income</w:t>
      </w:r>
      <w:proofErr w:type="gramEnd"/>
      <w:r w:rsidRPr="000E6E0F" w:rsidR="006922B7">
        <w:rPr>
          <w:rFonts w:ascii="Times New Roman" w:hAnsi="Times New Roman" w:cs="Times New Roman"/>
        </w:rPr>
        <w:t xml:space="preserve"> people and higher percentages of people belonging to historically underserved and overburdened race and ethnic groups. </w:t>
      </w:r>
      <w:r w:rsidRPr="000E6E0F" w:rsidR="00A70311">
        <w:rPr>
          <w:rFonts w:ascii="Times New Roman" w:hAnsi="Times New Roman" w:cs="Times New Roman"/>
        </w:rPr>
        <w:t xml:space="preserve">To the extent that populations living closer to RMP-regulated facilities are more likely to be exposed if an accidental release at an RMP facility occurs, these releases pose a greater risk to these demographic groups of interest. </w:t>
      </w:r>
      <w:r w:rsidRPr="000E6E0F" w:rsidR="006922B7">
        <w:rPr>
          <w:rFonts w:ascii="Times New Roman" w:hAnsi="Times New Roman" w:cs="Times New Roman"/>
        </w:rPr>
        <w:t xml:space="preserve">While EPA is unable to estimate the incremental changes in accident risks from the provisions proposed by this rule, the baseline distribution of population suggests that </w:t>
      </w:r>
      <w:r w:rsidRPr="3A92BD6B" w:rsidR="00A70311">
        <w:rPr>
          <w:rFonts w:ascii="Times New Roman" w:hAnsi="Times New Roman" w:cs="Times New Roman"/>
          <w:color w:val="000000" w:themeColor="text1"/>
        </w:rPr>
        <w:t>the benefits of th</w:t>
      </w:r>
      <w:r w:rsidRPr="3A92BD6B" w:rsidR="006922B7">
        <w:rPr>
          <w:rFonts w:ascii="Times New Roman" w:hAnsi="Times New Roman" w:cs="Times New Roman"/>
          <w:color w:val="000000" w:themeColor="text1"/>
        </w:rPr>
        <w:t>e provisions</w:t>
      </w:r>
      <w:r w:rsidRPr="3A92BD6B" w:rsidR="00A70311">
        <w:rPr>
          <w:rFonts w:ascii="Times New Roman" w:hAnsi="Times New Roman" w:cs="Times New Roman"/>
          <w:color w:val="000000" w:themeColor="text1"/>
        </w:rPr>
        <w:t xml:space="preserve"> </w:t>
      </w:r>
      <w:r w:rsidRPr="3A92BD6B" w:rsidR="003522BC">
        <w:rPr>
          <w:rFonts w:ascii="Times New Roman" w:hAnsi="Times New Roman" w:cs="Times New Roman"/>
          <w:color w:val="000000" w:themeColor="text1"/>
        </w:rPr>
        <w:t>may reduce potential exposure</w:t>
      </w:r>
      <w:r w:rsidRPr="3A92BD6B" w:rsidR="00A70311">
        <w:rPr>
          <w:rFonts w:ascii="Times New Roman" w:hAnsi="Times New Roman" w:cs="Times New Roman"/>
          <w:color w:val="000000" w:themeColor="text1"/>
        </w:rPr>
        <w:t xml:space="preserve"> for historically underserved and overburdened populations. </w:t>
      </w:r>
      <w:r w:rsidRPr="3A92BD6B" w:rsidR="00E9178A">
        <w:rPr>
          <w:rFonts w:ascii="Times New Roman" w:hAnsi="Times New Roman" w:cs="Times New Roman"/>
          <w:color w:val="000000" w:themeColor="text1"/>
        </w:rPr>
        <w:t xml:space="preserve">Specifically, EPA believes that several of the proposed provisions will benefit underserved populations, including the stationary source siting requirements, increase information availability for </w:t>
      </w:r>
      <w:proofErr w:type="spellStart"/>
      <w:r w:rsidRPr="3A92BD6B" w:rsidR="00E9178A">
        <w:rPr>
          <w:rFonts w:ascii="Times New Roman" w:hAnsi="Times New Roman" w:cs="Times New Roman"/>
          <w:color w:val="000000" w:themeColor="text1"/>
        </w:rPr>
        <w:t>fenceline</w:t>
      </w:r>
      <w:proofErr w:type="spellEnd"/>
      <w:r w:rsidRPr="3A92BD6B" w:rsidR="00E9178A">
        <w:rPr>
          <w:rFonts w:ascii="Times New Roman" w:hAnsi="Times New Roman" w:cs="Times New Roman"/>
          <w:color w:val="000000" w:themeColor="text1"/>
        </w:rPr>
        <w:t xml:space="preserve"> communities</w:t>
      </w:r>
      <w:r w:rsidRPr="3A92BD6B" w:rsidR="008543DD">
        <w:rPr>
          <w:rFonts w:ascii="Times New Roman" w:hAnsi="Times New Roman" w:cs="Times New Roman"/>
          <w:color w:val="000000" w:themeColor="text1"/>
        </w:rPr>
        <w:t xml:space="preserve">, backup power for perimeter monitoring, </w:t>
      </w:r>
      <w:r w:rsidRPr="3A92BD6B" w:rsidR="00E9178A">
        <w:rPr>
          <w:rFonts w:ascii="Times New Roman" w:hAnsi="Times New Roman" w:cs="Times New Roman"/>
          <w:color w:val="000000" w:themeColor="text1"/>
        </w:rPr>
        <w:t xml:space="preserve">and community notification and related response planning improvements. </w:t>
      </w:r>
    </w:p>
    <w:p w:rsidRPr="000E6E0F" w:rsidR="00A70311" w:rsidP="00167F64" w:rsidRDefault="00A70311" w14:paraId="52CBD47E" w14:textId="077867F3">
      <w:pPr>
        <w:pStyle w:val="BodyText"/>
        <w:ind w:firstLine="720"/>
        <w:rPr>
          <w:rFonts w:ascii="Times New Roman" w:hAnsi="Times New Roman" w:cs="Times New Roman"/>
        </w:rPr>
      </w:pPr>
    </w:p>
    <w:p w:rsidRPr="000E6E0F" w:rsidR="00303E39" w:rsidP="00813745" w:rsidRDefault="00303E39" w14:paraId="226006BF" w14:textId="0F5D670B">
      <w:pPr>
        <w:pStyle w:val="Heading2"/>
      </w:pPr>
      <w:bookmarkStart w:name="_Toc110502778" w:id="169"/>
      <w:r w:rsidRPr="000E6E0F">
        <w:t xml:space="preserve">9.5 </w:t>
      </w:r>
      <w:r w:rsidR="003D245A">
        <w:t>Climate Change I</w:t>
      </w:r>
      <w:r w:rsidRPr="000E6E0F">
        <w:t>mpacts</w:t>
      </w:r>
      <w:bookmarkEnd w:id="169"/>
    </w:p>
    <w:p w:rsidRPr="007313B8" w:rsidR="006D626E" w:rsidP="006D626E" w:rsidRDefault="003A3DD5" w14:paraId="3344E23D" w14:textId="1922224E">
      <w:pPr>
        <w:rPr>
          <w:rFonts w:ascii="Times New Roman" w:hAnsi="Times New Roman" w:cs="Times New Roman"/>
        </w:rPr>
      </w:pPr>
      <w:r>
        <w:rPr>
          <w:rFonts w:ascii="Times New Roman" w:hAnsi="Times New Roman" w:cs="Times New Roman"/>
        </w:rPr>
        <w:tab/>
      </w:r>
      <w:r w:rsidRPr="00630404" w:rsidR="00630404">
        <w:rPr>
          <w:rFonts w:ascii="Times New Roman" w:hAnsi="Times New Roman" w:cs="Times New Roman"/>
        </w:rPr>
        <w:t>EPA also considered the potential impacts of climate change and</w:t>
      </w:r>
      <w:r w:rsidR="00A5247F">
        <w:rPr>
          <w:rFonts w:ascii="Times New Roman" w:hAnsi="Times New Roman" w:cs="Times New Roman"/>
        </w:rPr>
        <w:t xml:space="preserve"> of</w:t>
      </w:r>
      <w:r w:rsidRPr="00630404" w:rsidR="00630404">
        <w:rPr>
          <w:rFonts w:ascii="Times New Roman" w:hAnsi="Times New Roman" w:cs="Times New Roman"/>
        </w:rPr>
        <w:t xml:space="preserve"> </w:t>
      </w:r>
      <w:r w:rsidR="006916B2">
        <w:rPr>
          <w:rFonts w:ascii="Times New Roman" w:hAnsi="Times New Roman" w:cs="Times New Roman"/>
        </w:rPr>
        <w:t xml:space="preserve">the </w:t>
      </w:r>
      <w:r w:rsidRPr="00630404" w:rsidR="00630404">
        <w:rPr>
          <w:rFonts w:ascii="Times New Roman" w:hAnsi="Times New Roman" w:cs="Times New Roman"/>
        </w:rPr>
        <w:t xml:space="preserve">proposed provisions on communities </w:t>
      </w:r>
      <w:r w:rsidR="00A5247F">
        <w:rPr>
          <w:rFonts w:ascii="Times New Roman" w:hAnsi="Times New Roman" w:cs="Times New Roman"/>
        </w:rPr>
        <w:t>about which there are</w:t>
      </w:r>
      <w:r w:rsidRPr="00630404" w:rsidR="00630404">
        <w:rPr>
          <w:rFonts w:ascii="Times New Roman" w:hAnsi="Times New Roman" w:cs="Times New Roman"/>
        </w:rPr>
        <w:t xml:space="preserve"> environmental justice concerns</w:t>
      </w:r>
      <w:r w:rsidR="00A8776B">
        <w:rPr>
          <w:rFonts w:ascii="Times New Roman" w:hAnsi="Times New Roman" w:cs="Times New Roman"/>
        </w:rPr>
        <w:t>.</w:t>
      </w:r>
      <w:r w:rsidRPr="00630404" w:rsidR="00630404">
        <w:rPr>
          <w:rFonts w:ascii="Times New Roman" w:hAnsi="Times New Roman" w:cs="Times New Roman"/>
        </w:rPr>
        <w:t xml:space="preserve"> </w:t>
      </w:r>
      <w:r w:rsidR="00A8776B">
        <w:rPr>
          <w:rFonts w:ascii="Times New Roman" w:hAnsi="Times New Roman" w:cs="Times New Roman"/>
        </w:rPr>
        <w:t xml:space="preserve">Climate change is associated with extreme weather events </w:t>
      </w:r>
      <w:proofErr w:type="gramStart"/>
      <w:r w:rsidR="00A5247F">
        <w:rPr>
          <w:rFonts w:ascii="Times New Roman" w:hAnsi="Times New Roman" w:cs="Times New Roman"/>
        </w:rPr>
        <w:t xml:space="preserve">that </w:t>
      </w:r>
      <w:r w:rsidR="00A8776B">
        <w:rPr>
          <w:rFonts w:ascii="Times New Roman" w:hAnsi="Times New Roman" w:cs="Times New Roman"/>
        </w:rPr>
        <w:t xml:space="preserve"> can</w:t>
      </w:r>
      <w:proofErr w:type="gramEnd"/>
      <w:r w:rsidR="00A8776B">
        <w:rPr>
          <w:rFonts w:ascii="Times New Roman" w:hAnsi="Times New Roman" w:cs="Times New Roman"/>
        </w:rPr>
        <w:t xml:space="preserve"> trigger accidental releases. </w:t>
      </w:r>
      <w:r w:rsidRPr="000E6E0F" w:rsidR="007A4DB7">
        <w:rPr>
          <w:rFonts w:ascii="Times New Roman" w:hAnsi="Times New Roman" w:cs="Times New Roman"/>
        </w:rPr>
        <w:t>EPA is proposing to</w:t>
      </w:r>
      <w:r w:rsidR="006F7F34">
        <w:rPr>
          <w:rFonts w:ascii="Times New Roman" w:hAnsi="Times New Roman" w:cs="Times New Roman"/>
        </w:rPr>
        <w:t xml:space="preserve"> </w:t>
      </w:r>
      <w:r w:rsidR="00630404">
        <w:rPr>
          <w:rFonts w:ascii="Times New Roman" w:hAnsi="Times New Roman" w:cs="Times New Roman"/>
        </w:rPr>
        <w:t>address climate change impacts in the proposed regulation by</w:t>
      </w:r>
      <w:r w:rsidR="00670B29">
        <w:rPr>
          <w:rFonts w:ascii="Times New Roman" w:hAnsi="Times New Roman" w:cs="Times New Roman"/>
        </w:rPr>
        <w:t xml:space="preserve"> clarify</w:t>
      </w:r>
      <w:r w:rsidR="00630404">
        <w:rPr>
          <w:rFonts w:ascii="Times New Roman" w:hAnsi="Times New Roman" w:cs="Times New Roman"/>
        </w:rPr>
        <w:t>ing</w:t>
      </w:r>
      <w:r w:rsidRPr="000E6E0F" w:rsidR="007A4DB7">
        <w:rPr>
          <w:rFonts w:ascii="Times New Roman" w:hAnsi="Times New Roman" w:cs="Times New Roman"/>
        </w:rPr>
        <w:t xml:space="preserve"> language in the process hazard analysis</w:t>
      </w:r>
      <w:r w:rsidR="006F7F34">
        <w:rPr>
          <w:rFonts w:ascii="Times New Roman" w:hAnsi="Times New Roman" w:cs="Times New Roman"/>
        </w:rPr>
        <w:t xml:space="preserve"> </w:t>
      </w:r>
      <w:r w:rsidR="008B493B">
        <w:rPr>
          <w:rFonts w:ascii="Times New Roman" w:hAnsi="Times New Roman" w:cs="Times New Roman"/>
        </w:rPr>
        <w:t>requiring owners and operators</w:t>
      </w:r>
      <w:r w:rsidRPr="000E6E0F" w:rsidR="007A4DB7">
        <w:rPr>
          <w:rFonts w:ascii="Times New Roman" w:hAnsi="Times New Roman" w:cs="Times New Roman"/>
        </w:rPr>
        <w:t xml:space="preserve"> to consider the impacts of natural hazards and climate change</w:t>
      </w:r>
      <w:r w:rsidR="007B73E1">
        <w:rPr>
          <w:rFonts w:ascii="Times New Roman" w:hAnsi="Times New Roman" w:cs="Times New Roman"/>
        </w:rPr>
        <w:t>-</w:t>
      </w:r>
      <w:r w:rsidRPr="000E6E0F" w:rsidR="007A4DB7">
        <w:rPr>
          <w:rFonts w:ascii="Times New Roman" w:hAnsi="Times New Roman" w:cs="Times New Roman"/>
        </w:rPr>
        <w:t xml:space="preserve">related weather events. </w:t>
      </w:r>
      <w:r w:rsidR="008B493B">
        <w:rPr>
          <w:rFonts w:ascii="Times New Roman" w:hAnsi="Times New Roman" w:cs="Times New Roman"/>
        </w:rPr>
        <w:t>To the extent that the proposed provisions mitigate the potential consequences of accidents at regulated facilities as the result of natural hazards, EPA expects th</w:t>
      </w:r>
      <w:r w:rsidR="00A5247F">
        <w:rPr>
          <w:rFonts w:ascii="Times New Roman" w:hAnsi="Times New Roman" w:cs="Times New Roman"/>
        </w:rPr>
        <w:t>e</w:t>
      </w:r>
      <w:r w:rsidR="008B493B">
        <w:rPr>
          <w:rFonts w:ascii="Times New Roman" w:hAnsi="Times New Roman" w:cs="Times New Roman"/>
        </w:rPr>
        <w:t>s</w:t>
      </w:r>
      <w:r w:rsidR="00A5247F">
        <w:rPr>
          <w:rFonts w:ascii="Times New Roman" w:hAnsi="Times New Roman" w:cs="Times New Roman"/>
        </w:rPr>
        <w:t>e</w:t>
      </w:r>
      <w:r w:rsidR="008B493B">
        <w:rPr>
          <w:rFonts w:ascii="Times New Roman" w:hAnsi="Times New Roman" w:cs="Times New Roman"/>
        </w:rPr>
        <w:t xml:space="preserve"> provisions to benefit</w:t>
      </w:r>
      <w:r w:rsidR="00A5247F">
        <w:rPr>
          <w:rFonts w:ascii="Times New Roman" w:hAnsi="Times New Roman" w:cs="Times New Roman"/>
        </w:rPr>
        <w:t xml:space="preserve"> nearby</w:t>
      </w:r>
      <w:r w:rsidR="008B493B">
        <w:rPr>
          <w:rFonts w:ascii="Times New Roman" w:hAnsi="Times New Roman" w:cs="Times New Roman"/>
        </w:rPr>
        <w:t xml:space="preserve"> communities </w:t>
      </w:r>
      <w:r w:rsidR="00A5247F">
        <w:rPr>
          <w:rFonts w:ascii="Times New Roman" w:hAnsi="Times New Roman" w:cs="Times New Roman"/>
        </w:rPr>
        <w:t>about which there are</w:t>
      </w:r>
      <w:r w:rsidR="008B493B">
        <w:rPr>
          <w:rFonts w:ascii="Times New Roman" w:hAnsi="Times New Roman" w:cs="Times New Roman"/>
        </w:rPr>
        <w:t xml:space="preserve"> environmental justice concerns. </w:t>
      </w:r>
    </w:p>
    <w:p w:rsidR="00C21BD0" w:rsidRDefault="00C21BD0" w14:paraId="6FE4B01B" w14:textId="52B351B1">
      <w:pPr>
        <w:rPr>
          <w:rFonts w:ascii="Times New Roman" w:hAnsi="Times New Roman" w:cs="Times New Roman"/>
        </w:rPr>
      </w:pPr>
      <w:r>
        <w:rPr>
          <w:rFonts w:ascii="Times New Roman" w:hAnsi="Times New Roman" w:cs="Times New Roman"/>
        </w:rPr>
        <w:br w:type="page"/>
      </w:r>
    </w:p>
    <w:p w:rsidR="00673838" w:rsidP="004C4652" w:rsidRDefault="00106487" w14:paraId="1BFE22DA" w14:textId="4F2197B6">
      <w:pPr>
        <w:pStyle w:val="Heading1"/>
      </w:pPr>
      <w:bookmarkStart w:name="_Toc110502779" w:id="170"/>
      <w:bookmarkStart w:name="_Toc98856248" w:id="171"/>
      <w:r w:rsidRPr="00FC0A08">
        <w:lastRenderedPageBreak/>
        <w:t>CHAPTER 10</w:t>
      </w:r>
      <w:r w:rsidR="000E6E0F">
        <w:t>: Limitations and Conclusions</w:t>
      </w:r>
      <w:bookmarkEnd w:id="170"/>
    </w:p>
    <w:p w:rsidRPr="000E6E0F" w:rsidR="00106487" w:rsidP="00813745" w:rsidRDefault="00106487" w14:paraId="3BBD4D29" w14:textId="4F2197B6">
      <w:pPr>
        <w:pStyle w:val="Heading2"/>
      </w:pPr>
      <w:bookmarkStart w:name="_Toc98856249" w:id="172"/>
      <w:bookmarkStart w:name="_Toc110502780" w:id="173"/>
      <w:bookmarkEnd w:id="171"/>
      <w:r w:rsidRPr="000E6E0F">
        <w:t>10.1 Limitations and Conclusions</w:t>
      </w:r>
      <w:bookmarkEnd w:id="172"/>
      <w:bookmarkEnd w:id="173"/>
    </w:p>
    <w:p w:rsidR="00106487" w:rsidP="000E6E0F" w:rsidRDefault="003A3DD5" w14:paraId="4A38CD2D" w14:textId="3B617684">
      <w:pPr>
        <w:spacing w:after="0" w:line="240" w:lineRule="auto"/>
        <w:ind w:firstLine="360"/>
        <w:rPr>
          <w:rFonts w:ascii="Times New Roman" w:hAnsi="Times New Roman" w:cs="Times New Roman"/>
        </w:rPr>
      </w:pPr>
      <w:r>
        <w:rPr>
          <w:rFonts w:ascii="Times New Roman" w:hAnsi="Times New Roman" w:cs="Times New Roman"/>
        </w:rPr>
        <w:tab/>
      </w:r>
      <w:r w:rsidRPr="000E6E0F" w:rsidR="00CB536B">
        <w:rPr>
          <w:rFonts w:ascii="Times New Roman" w:hAnsi="Times New Roman" w:cs="Times New Roman"/>
        </w:rPr>
        <w:t>The analyses of costs, benefits, and other impacts contained in this RIA faced many limitations. The primary ones are discussed below.</w:t>
      </w:r>
      <w:r w:rsidR="000E6E0F">
        <w:rPr>
          <w:rFonts w:ascii="Times New Roman" w:hAnsi="Times New Roman" w:cs="Times New Roman"/>
        </w:rPr>
        <w:t xml:space="preserve"> </w:t>
      </w:r>
      <w:r w:rsidRPr="000E6E0F" w:rsidR="00106487">
        <w:rPr>
          <w:rFonts w:ascii="Times New Roman" w:hAnsi="Times New Roman" w:cs="Times New Roman"/>
        </w:rPr>
        <w:t xml:space="preserve">As discussed in detail in </w:t>
      </w:r>
      <w:r w:rsidRPr="000E6E0F" w:rsidR="00DE20B8">
        <w:rPr>
          <w:rFonts w:ascii="Times New Roman" w:hAnsi="Times New Roman" w:cs="Times New Roman"/>
        </w:rPr>
        <w:t>prior chapters</w:t>
      </w:r>
      <w:r w:rsidRPr="000E6E0F" w:rsidR="00106487">
        <w:rPr>
          <w:rFonts w:ascii="Times New Roman" w:hAnsi="Times New Roman" w:cs="Times New Roman"/>
        </w:rPr>
        <w:t xml:space="preserve">, the data on which </w:t>
      </w:r>
      <w:r w:rsidRPr="000E6E0F" w:rsidR="00CB536B">
        <w:rPr>
          <w:rFonts w:ascii="Times New Roman" w:hAnsi="Times New Roman" w:cs="Times New Roman"/>
        </w:rPr>
        <w:t>some of the cost analyses and the baseline damage analyses are based</w:t>
      </w:r>
      <w:r w:rsidRPr="000E6E0F" w:rsidR="00106487">
        <w:rPr>
          <w:rFonts w:ascii="Times New Roman" w:hAnsi="Times New Roman" w:cs="Times New Roman"/>
        </w:rPr>
        <w:t xml:space="preserve"> </w:t>
      </w:r>
      <w:r w:rsidRPr="000E6E0F" w:rsidR="00CB536B">
        <w:rPr>
          <w:rFonts w:ascii="Times New Roman" w:hAnsi="Times New Roman" w:cs="Times New Roman"/>
        </w:rPr>
        <w:t>include information provided to EPA by regu</w:t>
      </w:r>
      <w:r w:rsidR="00A20384">
        <w:rPr>
          <w:rFonts w:ascii="Times New Roman" w:hAnsi="Times New Roman" w:cs="Times New Roman"/>
        </w:rPr>
        <w:t>lated</w:t>
      </w:r>
      <w:r w:rsidRPr="000E6E0F" w:rsidR="00CB536B">
        <w:rPr>
          <w:rFonts w:ascii="Times New Roman" w:hAnsi="Times New Roman" w:cs="Times New Roman"/>
        </w:rPr>
        <w:t xml:space="preserve"> facilities in their </w:t>
      </w:r>
      <w:proofErr w:type="gramStart"/>
      <w:r w:rsidRPr="000E6E0F" w:rsidR="00CB536B">
        <w:rPr>
          <w:rFonts w:ascii="Times New Roman" w:hAnsi="Times New Roman" w:cs="Times New Roman"/>
        </w:rPr>
        <w:t>5 year</w:t>
      </w:r>
      <w:proofErr w:type="gramEnd"/>
      <w:r w:rsidRPr="000E6E0F" w:rsidR="00CB536B">
        <w:rPr>
          <w:rFonts w:ascii="Times New Roman" w:hAnsi="Times New Roman" w:cs="Times New Roman"/>
        </w:rPr>
        <w:t xml:space="preserve"> reports. These data </w:t>
      </w:r>
      <w:r w:rsidRPr="000E6E0F" w:rsidR="00106487">
        <w:rPr>
          <w:rFonts w:ascii="Times New Roman" w:hAnsi="Times New Roman" w:cs="Times New Roman"/>
        </w:rPr>
        <w:t>are necessarily limited. EPA has attempted to correct obvious errors, such as removing accidents reported more than once and reclassifying some facilities to more appropriate NAICS codes</w:t>
      </w:r>
      <w:r w:rsidRPr="000E6E0F" w:rsidR="003B31C7">
        <w:rPr>
          <w:rFonts w:ascii="Times New Roman" w:hAnsi="Times New Roman" w:cs="Times New Roman"/>
        </w:rPr>
        <w:t xml:space="preserve"> (government owned wastewater treatment), identifying owners of facilities, acquiring revenue and employee data for the small entity analysis. </w:t>
      </w:r>
      <w:r w:rsidRPr="000E6E0F" w:rsidR="00106487">
        <w:rPr>
          <w:rFonts w:ascii="Times New Roman" w:hAnsi="Times New Roman" w:cs="Times New Roman"/>
        </w:rPr>
        <w:t>EPA could not add accidents that had not been reported or correct accident impact data where they may have been inaccurate.</w:t>
      </w:r>
      <w:r w:rsidRPr="000E6E0F" w:rsidR="0093402A">
        <w:rPr>
          <w:rFonts w:ascii="Times New Roman" w:hAnsi="Times New Roman" w:cs="Times New Roman"/>
        </w:rPr>
        <w:t xml:space="preserve"> </w:t>
      </w:r>
      <w:r w:rsidRPr="000E6E0F" w:rsidR="00CB536B">
        <w:rPr>
          <w:rFonts w:ascii="Times New Roman" w:hAnsi="Times New Roman" w:cs="Times New Roman"/>
        </w:rPr>
        <w:t>T</w:t>
      </w:r>
      <w:r w:rsidRPr="000E6E0F" w:rsidR="00106487">
        <w:rPr>
          <w:rFonts w:ascii="Times New Roman" w:hAnsi="Times New Roman" w:cs="Times New Roman"/>
        </w:rPr>
        <w:t xml:space="preserve">he estimated </w:t>
      </w:r>
      <w:r w:rsidRPr="000E6E0F" w:rsidR="00CB536B">
        <w:rPr>
          <w:rFonts w:ascii="Times New Roman" w:hAnsi="Times New Roman" w:cs="Times New Roman"/>
        </w:rPr>
        <w:t xml:space="preserve">baseline damages, as well as the estimates of </w:t>
      </w:r>
      <w:r w:rsidRPr="000E6E0F" w:rsidR="00106487">
        <w:rPr>
          <w:rFonts w:ascii="Times New Roman" w:hAnsi="Times New Roman" w:cs="Times New Roman"/>
        </w:rPr>
        <w:t>costs for third-party audits</w:t>
      </w:r>
      <w:r w:rsidRPr="000E6E0F" w:rsidR="003B31C7">
        <w:rPr>
          <w:rFonts w:ascii="Times New Roman" w:hAnsi="Times New Roman" w:cs="Times New Roman"/>
        </w:rPr>
        <w:t xml:space="preserve"> and</w:t>
      </w:r>
      <w:r w:rsidRPr="000E6E0F" w:rsidR="00106487">
        <w:rPr>
          <w:rFonts w:ascii="Times New Roman" w:hAnsi="Times New Roman" w:cs="Times New Roman"/>
        </w:rPr>
        <w:t xml:space="preserve"> root cause analysis</w:t>
      </w:r>
      <w:r w:rsidRPr="000E6E0F" w:rsidR="00CB536B">
        <w:rPr>
          <w:rFonts w:ascii="Times New Roman" w:hAnsi="Times New Roman" w:cs="Times New Roman"/>
        </w:rPr>
        <w:t xml:space="preserve"> reflect these limitations plus the latter also</w:t>
      </w:r>
      <w:r w:rsidRPr="000E6E0F" w:rsidR="00106487">
        <w:rPr>
          <w:rFonts w:ascii="Times New Roman" w:hAnsi="Times New Roman" w:cs="Times New Roman"/>
        </w:rPr>
        <w:t xml:space="preserve"> project past accident rates into the future. </w:t>
      </w:r>
    </w:p>
    <w:p w:rsidR="003A3DD5" w:rsidP="000E6E0F" w:rsidRDefault="003A3DD5" w14:paraId="5E85316B" w14:textId="4F2197B6">
      <w:pPr>
        <w:spacing w:after="0" w:line="240" w:lineRule="auto"/>
        <w:ind w:firstLine="360"/>
        <w:rPr>
          <w:rFonts w:ascii="Times New Roman" w:hAnsi="Times New Roman" w:cs="Times New Roman"/>
        </w:rPr>
      </w:pPr>
    </w:p>
    <w:p w:rsidR="00106487" w:rsidP="000E6E0F" w:rsidRDefault="003A3DD5" w14:paraId="67363D66" w14:textId="0E459612">
      <w:pPr>
        <w:spacing w:after="0" w:line="240" w:lineRule="auto"/>
        <w:ind w:firstLine="360"/>
        <w:rPr>
          <w:rFonts w:ascii="Times New Roman" w:hAnsi="Times New Roman" w:cs="Times New Roman"/>
        </w:rPr>
      </w:pPr>
      <w:r>
        <w:rPr>
          <w:rFonts w:ascii="Times New Roman" w:hAnsi="Times New Roman" w:cs="Times New Roman"/>
        </w:rPr>
        <w:tab/>
      </w:r>
      <w:r w:rsidR="00C46A63">
        <w:rPr>
          <w:rFonts w:ascii="Times New Roman" w:hAnsi="Times New Roman" w:cs="Times New Roman"/>
        </w:rPr>
        <w:t>While w</w:t>
      </w:r>
      <w:r w:rsidRPr="000E6E0F" w:rsidR="00106487">
        <w:rPr>
          <w:rFonts w:ascii="Times New Roman" w:hAnsi="Times New Roman" w:cs="Times New Roman"/>
        </w:rPr>
        <w:t>hat constitutes safer technolog</w:t>
      </w:r>
      <w:r w:rsidR="004D2CAC">
        <w:rPr>
          <w:rFonts w:ascii="Times New Roman" w:hAnsi="Times New Roman" w:cs="Times New Roman"/>
        </w:rPr>
        <w:t>ies</w:t>
      </w:r>
      <w:r w:rsidRPr="000E6E0F" w:rsidR="00106487">
        <w:rPr>
          <w:rFonts w:ascii="Times New Roman" w:hAnsi="Times New Roman" w:cs="Times New Roman"/>
        </w:rPr>
        <w:t xml:space="preserve"> </w:t>
      </w:r>
      <w:r w:rsidR="004D2CAC">
        <w:rPr>
          <w:rFonts w:ascii="Times New Roman" w:hAnsi="Times New Roman" w:cs="Times New Roman"/>
        </w:rPr>
        <w:t xml:space="preserve">will vary for each specific process, judgment </w:t>
      </w:r>
      <w:r w:rsidR="00C46A63">
        <w:rPr>
          <w:rFonts w:ascii="Times New Roman" w:hAnsi="Times New Roman" w:cs="Times New Roman"/>
        </w:rPr>
        <w:t xml:space="preserve">should be based on what each industry identifies as recognized </w:t>
      </w:r>
      <w:r w:rsidR="004D2CAC">
        <w:rPr>
          <w:rFonts w:ascii="Times New Roman" w:hAnsi="Times New Roman" w:cs="Times New Roman"/>
        </w:rPr>
        <w:t xml:space="preserve">approaches by chemical process designers. </w:t>
      </w:r>
      <w:r w:rsidR="00C46A63">
        <w:rPr>
          <w:rFonts w:ascii="Times New Roman" w:hAnsi="Times New Roman" w:cs="Times New Roman"/>
        </w:rPr>
        <w:t>EPA realizes th</w:t>
      </w:r>
      <w:r w:rsidR="004D2CAC">
        <w:rPr>
          <w:rFonts w:ascii="Times New Roman" w:hAnsi="Times New Roman" w:cs="Times New Roman"/>
        </w:rPr>
        <w:t xml:space="preserve">ese designations will be somewhat </w:t>
      </w:r>
      <w:r w:rsidRPr="000E6E0F" w:rsidR="00106487">
        <w:rPr>
          <w:rFonts w:ascii="Times New Roman" w:hAnsi="Times New Roman" w:cs="Times New Roman"/>
        </w:rPr>
        <w:t>open to interpretation</w:t>
      </w:r>
      <w:r w:rsidR="004D2CAC">
        <w:rPr>
          <w:rFonts w:ascii="Times New Roman" w:hAnsi="Times New Roman" w:cs="Times New Roman"/>
        </w:rPr>
        <w:t xml:space="preserve"> among facilities</w:t>
      </w:r>
      <w:r w:rsidRPr="000E6E0F" w:rsidR="00106487">
        <w:rPr>
          <w:rFonts w:ascii="Times New Roman" w:hAnsi="Times New Roman" w:cs="Times New Roman"/>
        </w:rPr>
        <w:t xml:space="preserve"> as </w:t>
      </w:r>
      <w:r w:rsidR="004D2CAC">
        <w:rPr>
          <w:rFonts w:ascii="Times New Roman" w:hAnsi="Times New Roman" w:cs="Times New Roman"/>
        </w:rPr>
        <w:t xml:space="preserve">well as </w:t>
      </w:r>
      <w:r w:rsidRPr="000E6E0F" w:rsidR="00106487">
        <w:rPr>
          <w:rFonts w:ascii="Times New Roman" w:hAnsi="Times New Roman" w:cs="Times New Roman"/>
        </w:rPr>
        <w:t xml:space="preserve">what </w:t>
      </w:r>
      <w:proofErr w:type="gramStart"/>
      <w:r w:rsidRPr="000E6E0F" w:rsidR="00106487">
        <w:rPr>
          <w:rFonts w:ascii="Times New Roman" w:hAnsi="Times New Roman" w:cs="Times New Roman"/>
        </w:rPr>
        <w:t>is considered to be</w:t>
      </w:r>
      <w:proofErr w:type="gramEnd"/>
      <w:r w:rsidRPr="000E6E0F" w:rsidR="00106487">
        <w:rPr>
          <w:rFonts w:ascii="Times New Roman" w:hAnsi="Times New Roman" w:cs="Times New Roman"/>
        </w:rPr>
        <w:t xml:space="preserve"> practicable</w:t>
      </w:r>
      <w:r w:rsidRPr="000E6E0F" w:rsidR="00CB536B">
        <w:rPr>
          <w:rFonts w:ascii="Times New Roman" w:hAnsi="Times New Roman" w:cs="Times New Roman"/>
        </w:rPr>
        <w:t xml:space="preserve"> and entailed in a practicability analysis</w:t>
      </w:r>
      <w:r w:rsidRPr="000E6E0F" w:rsidR="00106487">
        <w:rPr>
          <w:rFonts w:ascii="Times New Roman" w:hAnsi="Times New Roman" w:cs="Times New Roman"/>
        </w:rPr>
        <w:t xml:space="preserve">. </w:t>
      </w:r>
      <w:r w:rsidRPr="000E6E0F" w:rsidR="00CB536B">
        <w:rPr>
          <w:rFonts w:ascii="Times New Roman" w:hAnsi="Times New Roman" w:cs="Times New Roman"/>
        </w:rPr>
        <w:t>S</w:t>
      </w:r>
      <w:r w:rsidRPr="000E6E0F" w:rsidR="00106487">
        <w:rPr>
          <w:rFonts w:ascii="Times New Roman" w:hAnsi="Times New Roman" w:cs="Times New Roman"/>
        </w:rPr>
        <w:t>ome operators may adopt a narrow interpretation</w:t>
      </w:r>
      <w:r w:rsidRPr="000E6E0F" w:rsidR="00CB536B">
        <w:rPr>
          <w:rFonts w:ascii="Times New Roman" w:hAnsi="Times New Roman" w:cs="Times New Roman"/>
        </w:rPr>
        <w:t xml:space="preserve"> of safer technologies</w:t>
      </w:r>
      <w:r w:rsidRPr="000E6E0F" w:rsidR="00106487">
        <w:rPr>
          <w:rFonts w:ascii="Times New Roman" w:hAnsi="Times New Roman" w:cs="Times New Roman"/>
        </w:rPr>
        <w:t xml:space="preserve"> </w:t>
      </w:r>
      <w:r w:rsidR="004D2CAC">
        <w:rPr>
          <w:rFonts w:ascii="Times New Roman" w:hAnsi="Times New Roman" w:cs="Times New Roman"/>
        </w:rPr>
        <w:t xml:space="preserve">(e.g., only equipment level changes versus process level) </w:t>
      </w:r>
      <w:r w:rsidRPr="000E6E0F" w:rsidR="00106487">
        <w:rPr>
          <w:rFonts w:ascii="Times New Roman" w:hAnsi="Times New Roman" w:cs="Times New Roman"/>
        </w:rPr>
        <w:t>while others may adopt a broad interpretation. Questions related to interpretation apply to most performance-based rules where few</w:t>
      </w:r>
      <w:r w:rsidR="00643F58">
        <w:rPr>
          <w:rFonts w:ascii="Times New Roman" w:hAnsi="Times New Roman" w:cs="Times New Roman"/>
        </w:rPr>
        <w:t>,</w:t>
      </w:r>
      <w:r w:rsidRPr="000E6E0F" w:rsidR="00106487">
        <w:rPr>
          <w:rFonts w:ascii="Times New Roman" w:hAnsi="Times New Roman" w:cs="Times New Roman"/>
        </w:rPr>
        <w:t xml:space="preserve"> if any</w:t>
      </w:r>
      <w:r w:rsidR="00643F58">
        <w:rPr>
          <w:rFonts w:ascii="Times New Roman" w:hAnsi="Times New Roman" w:cs="Times New Roman"/>
        </w:rPr>
        <w:t>,</w:t>
      </w:r>
      <w:r w:rsidRPr="000E6E0F" w:rsidR="00106487">
        <w:rPr>
          <w:rFonts w:ascii="Times New Roman" w:hAnsi="Times New Roman" w:cs="Times New Roman"/>
        </w:rPr>
        <w:t xml:space="preserve"> bright line define what constitutes compliance. To estimate the costs of the practicability study of safer technologies, EPA relied on estimates of costs of example technologies. Actual technologies studied will vary from those assumed by EPA for purpose</w:t>
      </w:r>
      <w:r w:rsidRPr="000E6E0F" w:rsidR="00CB536B">
        <w:rPr>
          <w:rFonts w:ascii="Times New Roman" w:hAnsi="Times New Roman" w:cs="Times New Roman"/>
        </w:rPr>
        <w:t>s</w:t>
      </w:r>
      <w:r w:rsidRPr="000E6E0F" w:rsidR="00106487">
        <w:rPr>
          <w:rFonts w:ascii="Times New Roman" w:hAnsi="Times New Roman" w:cs="Times New Roman"/>
        </w:rPr>
        <w:t xml:space="preserve"> of cost estimation. </w:t>
      </w:r>
      <w:r w:rsidRPr="000E6E0F" w:rsidR="00CB536B">
        <w:rPr>
          <w:rFonts w:ascii="Times New Roman" w:hAnsi="Times New Roman" w:cs="Times New Roman"/>
        </w:rPr>
        <w:t xml:space="preserve">In addition, the assumption that a practicability study costs approximately 1.2% of reference project costs is </w:t>
      </w:r>
      <w:r w:rsidR="00643F58">
        <w:rPr>
          <w:rFonts w:ascii="Times New Roman" w:hAnsi="Times New Roman" w:cs="Times New Roman"/>
        </w:rPr>
        <w:t>highly</w:t>
      </w:r>
      <w:r w:rsidRPr="000E6E0F" w:rsidR="00CB536B">
        <w:rPr>
          <w:rFonts w:ascii="Times New Roman" w:hAnsi="Times New Roman" w:cs="Times New Roman"/>
        </w:rPr>
        <w:t xml:space="preserve"> simplistic. </w:t>
      </w:r>
      <w:r w:rsidRPr="000E6E0F" w:rsidR="00106487">
        <w:rPr>
          <w:rFonts w:ascii="Times New Roman" w:hAnsi="Times New Roman" w:cs="Times New Roman"/>
        </w:rPr>
        <w:t xml:space="preserve">The result for </w:t>
      </w:r>
      <w:r w:rsidRPr="000E6E0F" w:rsidR="00CB536B">
        <w:rPr>
          <w:rFonts w:ascii="Times New Roman" w:hAnsi="Times New Roman" w:cs="Times New Roman"/>
        </w:rPr>
        <w:t xml:space="preserve">EPA’s analysis of </w:t>
      </w:r>
      <w:r w:rsidRPr="000E6E0F" w:rsidR="00106487">
        <w:rPr>
          <w:rFonts w:ascii="Times New Roman" w:hAnsi="Times New Roman" w:cs="Times New Roman"/>
        </w:rPr>
        <w:t xml:space="preserve">the STAA requirement is that </w:t>
      </w:r>
      <w:r w:rsidRPr="000E6E0F" w:rsidR="00CB536B">
        <w:rPr>
          <w:rFonts w:ascii="Times New Roman" w:hAnsi="Times New Roman" w:cs="Times New Roman"/>
        </w:rPr>
        <w:t xml:space="preserve">costs for </w:t>
      </w:r>
      <w:r w:rsidRPr="000E6E0F" w:rsidR="00106487">
        <w:rPr>
          <w:rFonts w:ascii="Times New Roman" w:hAnsi="Times New Roman" w:cs="Times New Roman"/>
        </w:rPr>
        <w:t xml:space="preserve">some facilities may </w:t>
      </w:r>
      <w:r w:rsidRPr="000E6E0F" w:rsidR="00CB536B">
        <w:rPr>
          <w:rFonts w:ascii="Times New Roman" w:hAnsi="Times New Roman" w:cs="Times New Roman"/>
        </w:rPr>
        <w:t>be over</w:t>
      </w:r>
      <w:r w:rsidRPr="000E6E0F" w:rsidR="00106487">
        <w:rPr>
          <w:rFonts w:ascii="Times New Roman" w:hAnsi="Times New Roman" w:cs="Times New Roman"/>
        </w:rPr>
        <w:t>estimated, while</w:t>
      </w:r>
      <w:r w:rsidRPr="000E6E0F" w:rsidR="00CB536B">
        <w:rPr>
          <w:rFonts w:ascii="Times New Roman" w:hAnsi="Times New Roman" w:cs="Times New Roman"/>
        </w:rPr>
        <w:t xml:space="preserve"> costs for</w:t>
      </w:r>
      <w:r w:rsidRPr="000E6E0F" w:rsidR="00106487">
        <w:rPr>
          <w:rFonts w:ascii="Times New Roman" w:hAnsi="Times New Roman" w:cs="Times New Roman"/>
        </w:rPr>
        <w:t xml:space="preserve"> others may </w:t>
      </w:r>
      <w:r w:rsidRPr="000E6E0F" w:rsidR="00CB536B">
        <w:rPr>
          <w:rFonts w:ascii="Times New Roman" w:hAnsi="Times New Roman" w:cs="Times New Roman"/>
        </w:rPr>
        <w:t>be underestimated</w:t>
      </w:r>
      <w:r w:rsidRPr="000E6E0F" w:rsidR="00106487">
        <w:rPr>
          <w:rFonts w:ascii="Times New Roman" w:hAnsi="Times New Roman" w:cs="Times New Roman"/>
        </w:rPr>
        <w:t>.</w:t>
      </w:r>
    </w:p>
    <w:p w:rsidR="003A3DD5" w:rsidP="000E6E0F" w:rsidRDefault="003A3DD5" w14:paraId="2E9D68B8" w14:textId="4F2197B6">
      <w:pPr>
        <w:spacing w:after="0" w:line="240" w:lineRule="auto"/>
        <w:ind w:firstLine="360"/>
        <w:rPr>
          <w:rFonts w:ascii="Times New Roman" w:hAnsi="Times New Roman" w:cs="Times New Roman"/>
        </w:rPr>
      </w:pPr>
    </w:p>
    <w:p w:rsidR="00106487" w:rsidP="000E6E0F" w:rsidRDefault="003A3DD5" w14:paraId="2BCE181F" w14:textId="36C2C3C8">
      <w:pPr>
        <w:spacing w:after="0" w:line="240" w:lineRule="auto"/>
        <w:ind w:firstLine="360"/>
        <w:rPr>
          <w:rFonts w:ascii="Times New Roman" w:hAnsi="Times New Roman" w:cs="Times New Roman"/>
        </w:rPr>
      </w:pPr>
      <w:r>
        <w:rPr>
          <w:rFonts w:ascii="Times New Roman" w:hAnsi="Times New Roman" w:cs="Times New Roman"/>
        </w:rPr>
        <w:tab/>
      </w:r>
      <w:r w:rsidRPr="000E6E0F" w:rsidR="00106487">
        <w:rPr>
          <w:rFonts w:ascii="Times New Roman" w:hAnsi="Times New Roman" w:cs="Times New Roman"/>
        </w:rPr>
        <w:t>The cost estimates for rule familiarization</w:t>
      </w:r>
      <w:r w:rsidRPr="000E6E0F" w:rsidR="00CB536B">
        <w:rPr>
          <w:rFonts w:ascii="Times New Roman" w:hAnsi="Times New Roman" w:cs="Times New Roman"/>
        </w:rPr>
        <w:t>,</w:t>
      </w:r>
      <w:r w:rsidRPr="000E6E0F" w:rsidR="00106487">
        <w:rPr>
          <w:rFonts w:ascii="Times New Roman" w:hAnsi="Times New Roman" w:cs="Times New Roman"/>
        </w:rPr>
        <w:t xml:space="preserve"> STAA,</w:t>
      </w:r>
      <w:r w:rsidRPr="000E6E0F" w:rsidR="00CB536B">
        <w:rPr>
          <w:rFonts w:ascii="Times New Roman" w:hAnsi="Times New Roman" w:cs="Times New Roman"/>
        </w:rPr>
        <w:t xml:space="preserve"> and</w:t>
      </w:r>
      <w:r w:rsidRPr="000E6E0F" w:rsidR="00106487">
        <w:rPr>
          <w:rFonts w:ascii="Times New Roman" w:hAnsi="Times New Roman" w:cs="Times New Roman"/>
        </w:rPr>
        <w:t xml:space="preserve"> emergency response coordination </w:t>
      </w:r>
      <w:r w:rsidRPr="000E6E0F" w:rsidR="00CB536B">
        <w:rPr>
          <w:rFonts w:ascii="Times New Roman" w:hAnsi="Times New Roman" w:cs="Times New Roman"/>
        </w:rPr>
        <w:t>are based in part on</w:t>
      </w:r>
      <w:r w:rsidRPr="000E6E0F" w:rsidR="00106487">
        <w:rPr>
          <w:rFonts w:ascii="Times New Roman" w:hAnsi="Times New Roman" w:cs="Times New Roman"/>
        </w:rPr>
        <w:t xml:space="preserve"> public comment</w:t>
      </w:r>
      <w:r w:rsidRPr="000E6E0F" w:rsidR="00CB536B">
        <w:rPr>
          <w:rFonts w:ascii="Times New Roman" w:hAnsi="Times New Roman" w:cs="Times New Roman"/>
        </w:rPr>
        <w:t xml:space="preserve"> made</w:t>
      </w:r>
      <w:r w:rsidRPr="000E6E0F" w:rsidR="00106487">
        <w:rPr>
          <w:rFonts w:ascii="Times New Roman" w:hAnsi="Times New Roman" w:cs="Times New Roman"/>
        </w:rPr>
        <w:t xml:space="preserve"> in response to EPA </w:t>
      </w:r>
      <w:r w:rsidRPr="000E6E0F" w:rsidR="00CB536B">
        <w:rPr>
          <w:rFonts w:ascii="Times New Roman" w:hAnsi="Times New Roman" w:cs="Times New Roman"/>
        </w:rPr>
        <w:t>requests for information</w:t>
      </w:r>
      <w:r w:rsidRPr="000E6E0F" w:rsidR="00D77AE6">
        <w:rPr>
          <w:rFonts w:ascii="Times New Roman" w:hAnsi="Times New Roman" w:cs="Times New Roman"/>
        </w:rPr>
        <w:t xml:space="preserve"> </w:t>
      </w:r>
      <w:r w:rsidRPr="000E6E0F" w:rsidR="00C67E0E">
        <w:rPr>
          <w:rFonts w:ascii="Times New Roman" w:hAnsi="Times New Roman" w:cs="Times New Roman"/>
        </w:rPr>
        <w:t>during</w:t>
      </w:r>
      <w:r w:rsidRPr="000E6E0F" w:rsidR="00106487">
        <w:rPr>
          <w:rFonts w:ascii="Times New Roman" w:hAnsi="Times New Roman" w:cs="Times New Roman"/>
        </w:rPr>
        <w:t xml:space="preserve"> the proposed rule</w:t>
      </w:r>
      <w:r w:rsidRPr="000E6E0F" w:rsidR="00C67E0E">
        <w:rPr>
          <w:rFonts w:ascii="Times New Roman" w:hAnsi="Times New Roman" w:cs="Times New Roman"/>
        </w:rPr>
        <w:t xml:space="preserve"> stage of the 2017 </w:t>
      </w:r>
      <w:r w:rsidR="00C54840">
        <w:rPr>
          <w:rFonts w:ascii="Times New Roman" w:hAnsi="Times New Roman" w:cs="Times New Roman"/>
        </w:rPr>
        <w:t>a</w:t>
      </w:r>
      <w:r w:rsidRPr="000E6E0F" w:rsidR="00C67E0E">
        <w:rPr>
          <w:rFonts w:ascii="Times New Roman" w:hAnsi="Times New Roman" w:cs="Times New Roman"/>
        </w:rPr>
        <w:t>mendments rule.</w:t>
      </w:r>
      <w:r w:rsidRPr="000E6E0F" w:rsidR="00106487">
        <w:rPr>
          <w:rFonts w:ascii="Times New Roman" w:hAnsi="Times New Roman" w:cs="Times New Roman"/>
        </w:rPr>
        <w:t xml:space="preserve"> For </w:t>
      </w:r>
      <w:r w:rsidRPr="000E6E0F" w:rsidR="00C67E0E">
        <w:rPr>
          <w:rFonts w:ascii="Times New Roman" w:hAnsi="Times New Roman" w:cs="Times New Roman"/>
        </w:rPr>
        <w:t xml:space="preserve">this </w:t>
      </w:r>
      <w:r w:rsidRPr="000E6E0F" w:rsidR="00106487">
        <w:rPr>
          <w:rFonts w:ascii="Times New Roman" w:hAnsi="Times New Roman" w:cs="Times New Roman"/>
        </w:rPr>
        <w:t>proposed rule</w:t>
      </w:r>
      <w:r w:rsidRPr="000E6E0F" w:rsidR="00C67E0E">
        <w:rPr>
          <w:rFonts w:ascii="Times New Roman" w:hAnsi="Times New Roman" w:cs="Times New Roman"/>
        </w:rPr>
        <w:t xml:space="preserve"> which restored aspects of those provisions</w:t>
      </w:r>
      <w:r w:rsidRPr="000E6E0F" w:rsidR="00106487">
        <w:rPr>
          <w:rFonts w:ascii="Times New Roman" w:hAnsi="Times New Roman" w:cs="Times New Roman"/>
        </w:rPr>
        <w:t xml:space="preserve">, cost estimates </w:t>
      </w:r>
      <w:r w:rsidRPr="000E6E0F" w:rsidR="00C67E0E">
        <w:rPr>
          <w:rFonts w:ascii="Times New Roman" w:hAnsi="Times New Roman" w:cs="Times New Roman"/>
        </w:rPr>
        <w:t xml:space="preserve">were </w:t>
      </w:r>
      <w:r w:rsidRPr="000E6E0F" w:rsidR="00CB536B">
        <w:rPr>
          <w:rFonts w:ascii="Times New Roman" w:hAnsi="Times New Roman" w:cs="Times New Roman"/>
        </w:rPr>
        <w:t xml:space="preserve">based on some of those same public comments </w:t>
      </w:r>
      <w:r w:rsidR="002B51B2">
        <w:rPr>
          <w:rFonts w:ascii="Times New Roman" w:hAnsi="Times New Roman" w:cs="Times New Roman"/>
        </w:rPr>
        <w:t xml:space="preserve">EPA received </w:t>
      </w:r>
      <w:r w:rsidRPr="000E6E0F" w:rsidR="00CB536B">
        <w:rPr>
          <w:rFonts w:ascii="Times New Roman" w:hAnsi="Times New Roman" w:cs="Times New Roman"/>
        </w:rPr>
        <w:t xml:space="preserve">on </w:t>
      </w:r>
      <w:r w:rsidRPr="000E6E0F" w:rsidR="00C67E0E">
        <w:rPr>
          <w:rFonts w:ascii="Times New Roman" w:hAnsi="Times New Roman" w:cs="Times New Roman"/>
        </w:rPr>
        <w:t xml:space="preserve">the </w:t>
      </w:r>
      <w:r w:rsidR="00C54840">
        <w:rPr>
          <w:rFonts w:ascii="Times New Roman" w:hAnsi="Times New Roman" w:cs="Times New Roman"/>
        </w:rPr>
        <w:t>2017 a</w:t>
      </w:r>
      <w:r w:rsidRPr="000E6E0F" w:rsidR="00C67E0E">
        <w:rPr>
          <w:rFonts w:ascii="Times New Roman" w:hAnsi="Times New Roman" w:cs="Times New Roman"/>
        </w:rPr>
        <w:t>mendments rule</w:t>
      </w:r>
      <w:r w:rsidRPr="000E6E0F" w:rsidR="00106487">
        <w:rPr>
          <w:rFonts w:ascii="Times New Roman" w:hAnsi="Times New Roman" w:cs="Times New Roman"/>
        </w:rPr>
        <w:t>. However,</w:t>
      </w:r>
      <w:r w:rsidRPr="000E6E0F" w:rsidR="00C67E0E">
        <w:rPr>
          <w:rFonts w:ascii="Times New Roman" w:hAnsi="Times New Roman" w:cs="Times New Roman"/>
        </w:rPr>
        <w:t xml:space="preserve"> there may have been </w:t>
      </w:r>
      <w:r w:rsidRPr="000E6E0F" w:rsidR="00CB536B">
        <w:rPr>
          <w:rFonts w:ascii="Times New Roman" w:hAnsi="Times New Roman" w:cs="Times New Roman"/>
        </w:rPr>
        <w:t xml:space="preserve">subsequent </w:t>
      </w:r>
      <w:r w:rsidRPr="000E6E0F" w:rsidR="00C67E0E">
        <w:rPr>
          <w:rFonts w:ascii="Times New Roman" w:hAnsi="Times New Roman" w:cs="Times New Roman"/>
        </w:rPr>
        <w:t xml:space="preserve">changes to </w:t>
      </w:r>
      <w:r w:rsidRPr="000E6E0F" w:rsidR="00CB536B">
        <w:rPr>
          <w:rFonts w:ascii="Times New Roman" w:hAnsi="Times New Roman" w:cs="Times New Roman"/>
        </w:rPr>
        <w:t xml:space="preserve">these </w:t>
      </w:r>
      <w:r w:rsidRPr="000E6E0F" w:rsidR="00C67E0E">
        <w:rPr>
          <w:rFonts w:ascii="Times New Roman" w:hAnsi="Times New Roman" w:cs="Times New Roman"/>
        </w:rPr>
        <w:t>costs</w:t>
      </w:r>
      <w:r w:rsidR="002B51B2">
        <w:rPr>
          <w:rFonts w:ascii="Times New Roman" w:hAnsi="Times New Roman" w:cs="Times New Roman"/>
        </w:rPr>
        <w:t>. A more accurate</w:t>
      </w:r>
      <w:r w:rsidRPr="000E6E0F" w:rsidR="00106487">
        <w:rPr>
          <w:rFonts w:ascii="Times New Roman" w:hAnsi="Times New Roman" w:cs="Times New Roman"/>
        </w:rPr>
        <w:t xml:space="preserve"> cost analysis would rest on data compiled by independent researchers or on an EPA survey of regulated facilities. </w:t>
      </w:r>
      <w:r w:rsidR="002B51B2">
        <w:rPr>
          <w:rFonts w:ascii="Times New Roman" w:hAnsi="Times New Roman" w:cs="Times New Roman"/>
        </w:rPr>
        <w:t>However, t</w:t>
      </w:r>
      <w:r w:rsidRPr="000E6E0F" w:rsidR="00106487">
        <w:rPr>
          <w:rFonts w:ascii="Times New Roman" w:hAnsi="Times New Roman" w:cs="Times New Roman"/>
        </w:rPr>
        <w:t>ime and resource constraints prevented EPA from compiling such data.</w:t>
      </w:r>
    </w:p>
    <w:p w:rsidR="003A3DD5" w:rsidP="000E6E0F" w:rsidRDefault="003A3DD5" w14:paraId="4058C508" w14:textId="4F2197B6">
      <w:pPr>
        <w:spacing w:after="0" w:line="240" w:lineRule="auto"/>
        <w:ind w:firstLine="360"/>
        <w:rPr>
          <w:rFonts w:ascii="Times New Roman" w:hAnsi="Times New Roman" w:cs="Times New Roman"/>
        </w:rPr>
      </w:pPr>
    </w:p>
    <w:p w:rsidR="00106487" w:rsidP="000E6E0F" w:rsidRDefault="003A3DD5" w14:paraId="56F43A5F" w14:textId="5843DC26">
      <w:pPr>
        <w:spacing w:after="0" w:line="240" w:lineRule="auto"/>
        <w:ind w:firstLine="360"/>
        <w:rPr>
          <w:rFonts w:ascii="Times New Roman" w:hAnsi="Times New Roman" w:cs="Times New Roman"/>
        </w:rPr>
      </w:pPr>
      <w:r>
        <w:rPr>
          <w:rFonts w:ascii="Times New Roman" w:hAnsi="Times New Roman" w:cs="Times New Roman"/>
        </w:rPr>
        <w:tab/>
      </w:r>
      <w:r w:rsidRPr="000E6E0F" w:rsidR="00106487">
        <w:rPr>
          <w:rFonts w:ascii="Times New Roman" w:hAnsi="Times New Roman" w:cs="Times New Roman"/>
        </w:rPr>
        <w:t>The analysis used a model facility approach so that each estimate represents the average for a group of facilities, not a point estimate for any one facility. This analysis has attempted to develop reasonable central estimates</w:t>
      </w:r>
      <w:r w:rsidR="00F2204F">
        <w:rPr>
          <w:rFonts w:ascii="Times New Roman" w:hAnsi="Times New Roman" w:cs="Times New Roman"/>
        </w:rPr>
        <w:t>,</w:t>
      </w:r>
      <w:r w:rsidRPr="000E6E0F" w:rsidR="00106487">
        <w:rPr>
          <w:rFonts w:ascii="Times New Roman" w:hAnsi="Times New Roman" w:cs="Times New Roman"/>
        </w:rPr>
        <w:t xml:space="preserve"> recognizing that the range of costs incurred by individual facilities could be wide. For example, the estimated third-party auditor cost for a complex facility is the same for all complex facilities, but it is unlikely that an auditor would charge the largest facility, which has more than 30 covered processes, the same</w:t>
      </w:r>
      <w:r w:rsidR="00F2204F">
        <w:rPr>
          <w:rFonts w:ascii="Times New Roman" w:hAnsi="Times New Roman" w:cs="Times New Roman"/>
        </w:rPr>
        <w:t xml:space="preserve"> fee as</w:t>
      </w:r>
      <w:r w:rsidRPr="000E6E0F" w:rsidR="00106487">
        <w:rPr>
          <w:rFonts w:ascii="Times New Roman" w:hAnsi="Times New Roman" w:cs="Times New Roman"/>
        </w:rPr>
        <w:t xml:space="preserve"> a facility with only one or two covered processes. </w:t>
      </w:r>
    </w:p>
    <w:p w:rsidR="003A3DD5" w:rsidP="000E6E0F" w:rsidRDefault="003A3DD5" w14:paraId="0E522405" w14:textId="4F2197B6">
      <w:pPr>
        <w:spacing w:after="0" w:line="240" w:lineRule="auto"/>
        <w:ind w:firstLine="360"/>
        <w:rPr>
          <w:rFonts w:ascii="Times New Roman" w:hAnsi="Times New Roman" w:cs="Times New Roman"/>
        </w:rPr>
      </w:pPr>
    </w:p>
    <w:p w:rsidRPr="000E6E0F" w:rsidR="00106487" w:rsidP="000E6E0F" w:rsidRDefault="003A3DD5" w14:paraId="16F2F7C9" w14:textId="2117D0D6">
      <w:pPr>
        <w:spacing w:after="0" w:line="240" w:lineRule="auto"/>
        <w:ind w:firstLine="360"/>
        <w:rPr>
          <w:rFonts w:ascii="Times New Roman" w:hAnsi="Times New Roman" w:cs="Times New Roman"/>
        </w:rPr>
      </w:pPr>
      <w:r>
        <w:rPr>
          <w:rFonts w:ascii="Times New Roman" w:hAnsi="Times New Roman" w:cs="Times New Roman"/>
        </w:rPr>
        <w:tab/>
      </w:r>
      <w:r w:rsidR="00E21E4B">
        <w:rPr>
          <w:rFonts w:ascii="Times New Roman" w:hAnsi="Times New Roman" w:cs="Times New Roman"/>
        </w:rPr>
        <w:t xml:space="preserve">EPA’s </w:t>
      </w:r>
      <w:r w:rsidRPr="000E6E0F" w:rsidR="00106487">
        <w:rPr>
          <w:rFonts w:ascii="Times New Roman" w:hAnsi="Times New Roman" w:cs="Times New Roman"/>
        </w:rPr>
        <w:t xml:space="preserve">benefits analysis is qualitative. </w:t>
      </w:r>
      <w:r w:rsidR="00D93253">
        <w:rPr>
          <w:rFonts w:ascii="Times New Roman" w:hAnsi="Times New Roman" w:cs="Times New Roman"/>
        </w:rPr>
        <w:t>EPA did not have</w:t>
      </w:r>
      <w:r w:rsidRPr="000E6E0F" w:rsidR="00106487">
        <w:rPr>
          <w:rFonts w:ascii="Times New Roman" w:hAnsi="Times New Roman" w:cs="Times New Roman"/>
        </w:rPr>
        <w:t xml:space="preserve"> data to connect the </w:t>
      </w:r>
      <w:r w:rsidRPr="000E6E0F" w:rsidR="00CB536B">
        <w:rPr>
          <w:rFonts w:ascii="Times New Roman" w:hAnsi="Times New Roman" w:cs="Times New Roman"/>
        </w:rPr>
        <w:t>proposed</w:t>
      </w:r>
      <w:r w:rsidRPr="000E6E0F" w:rsidR="00106487">
        <w:rPr>
          <w:rFonts w:ascii="Times New Roman" w:hAnsi="Times New Roman" w:cs="Times New Roman"/>
        </w:rPr>
        <w:t xml:space="preserve"> rule </w:t>
      </w:r>
      <w:r w:rsidRPr="000E6E0F" w:rsidR="00CB536B">
        <w:rPr>
          <w:rFonts w:ascii="Times New Roman" w:hAnsi="Times New Roman" w:cs="Times New Roman"/>
        </w:rPr>
        <w:t>provisions</w:t>
      </w:r>
      <w:r w:rsidRPr="000E6E0F" w:rsidR="00106487">
        <w:rPr>
          <w:rFonts w:ascii="Times New Roman" w:hAnsi="Times New Roman" w:cs="Times New Roman"/>
        </w:rPr>
        <w:t xml:space="preserve"> with specific reductions in expected probabilities or magnitudes of RMP chemical accidents. In addition, many of the accident impacts </w:t>
      </w:r>
      <w:r w:rsidR="0003442A">
        <w:rPr>
          <w:rFonts w:ascii="Times New Roman" w:hAnsi="Times New Roman" w:cs="Times New Roman"/>
        </w:rPr>
        <w:t xml:space="preserve">EPA </w:t>
      </w:r>
      <w:r w:rsidRPr="000E6E0F" w:rsidR="00106487">
        <w:rPr>
          <w:rFonts w:ascii="Times New Roman" w:hAnsi="Times New Roman" w:cs="Times New Roman"/>
        </w:rPr>
        <w:t>expect</w:t>
      </w:r>
      <w:r w:rsidR="0003442A">
        <w:rPr>
          <w:rFonts w:ascii="Times New Roman" w:hAnsi="Times New Roman" w:cs="Times New Roman"/>
        </w:rPr>
        <w:t xml:space="preserve">s </w:t>
      </w:r>
      <w:r w:rsidRPr="000E6E0F" w:rsidR="00106487">
        <w:rPr>
          <w:rFonts w:ascii="Times New Roman" w:hAnsi="Times New Roman" w:cs="Times New Roman"/>
        </w:rPr>
        <w:t xml:space="preserve">to be reduced by the rule, such as lost productivity or emergency response costs, could not be quantified even for the </w:t>
      </w:r>
      <w:r w:rsidRPr="000E6E0F" w:rsidR="007479B8">
        <w:rPr>
          <w:rFonts w:ascii="Times New Roman" w:hAnsi="Times New Roman" w:cs="Times New Roman"/>
        </w:rPr>
        <w:t>five-year</w:t>
      </w:r>
      <w:r w:rsidRPr="000E6E0F" w:rsidR="00106487">
        <w:rPr>
          <w:rFonts w:ascii="Times New Roman" w:hAnsi="Times New Roman" w:cs="Times New Roman"/>
        </w:rPr>
        <w:t xml:space="preserve"> baseline accident record. </w:t>
      </w:r>
      <w:r w:rsidRPr="000E6E0F" w:rsidR="00F4124A">
        <w:rPr>
          <w:rFonts w:ascii="Times New Roman" w:hAnsi="Times New Roman" w:cs="Times New Roman"/>
        </w:rPr>
        <w:t>Finally, some accidents may not be reported because the facility goes out of business resulting in an underestimate of historical damages.</w:t>
      </w:r>
      <w:r w:rsidRPr="000E6E0F" w:rsidR="00106487">
        <w:rPr>
          <w:rFonts w:ascii="Times New Roman" w:hAnsi="Times New Roman" w:cs="Times New Roman"/>
        </w:rPr>
        <w:t xml:space="preserve"> Lack of data also meant that other benefits of the rule such as improved information could not be quantified.</w:t>
      </w:r>
    </w:p>
    <w:p w:rsidR="00580DC0" w:rsidP="000E6E0F" w:rsidRDefault="00580DC0" w14:paraId="39C479DA" w14:textId="77777777">
      <w:pPr>
        <w:spacing w:after="0" w:line="240" w:lineRule="auto"/>
        <w:ind w:firstLine="360"/>
        <w:rPr>
          <w:rFonts w:ascii="Times New Roman" w:hAnsi="Times New Roman" w:cs="Times New Roman"/>
        </w:rPr>
      </w:pPr>
    </w:p>
    <w:p w:rsidRPr="000E6E0F" w:rsidR="00580DC0" w:rsidP="00DB75DC" w:rsidRDefault="00580DC0" w14:paraId="6A18F205" w14:textId="5A0996C3">
      <w:pPr>
        <w:spacing w:after="0" w:line="240" w:lineRule="auto"/>
        <w:ind w:firstLine="720"/>
        <w:rPr>
          <w:rFonts w:ascii="Times New Roman" w:hAnsi="Times New Roman" w:cs="Times New Roman"/>
        </w:rPr>
      </w:pPr>
      <w:r w:rsidRPr="00BF42A8">
        <w:rPr>
          <w:rFonts w:ascii="Times New Roman" w:hAnsi="Times New Roman" w:cs="Times New Roman"/>
        </w:rPr>
        <w:t xml:space="preserve">Of note is the timing of costs incurred to comply with the rule versus the timing of benefits. The rule is expected to lower </w:t>
      </w:r>
      <w:r w:rsidRPr="00BF42A8">
        <w:rPr>
          <w:rFonts w:ascii="Times New Roman" w:hAnsi="Times New Roman" w:cs="Times New Roman"/>
          <w:i/>
        </w:rPr>
        <w:t xml:space="preserve">future </w:t>
      </w:r>
      <w:r w:rsidRPr="00BF42A8">
        <w:rPr>
          <w:rFonts w:ascii="Times New Roman" w:hAnsi="Times New Roman" w:cs="Times New Roman"/>
        </w:rPr>
        <w:t xml:space="preserve">accident risks and costs; in other words, the costs incurred today lead to benefits experienced in a later </w:t>
      </w:r>
      <w:proofErr w:type="gramStart"/>
      <w:r w:rsidRPr="00BF42A8">
        <w:rPr>
          <w:rFonts w:ascii="Times New Roman" w:hAnsi="Times New Roman" w:cs="Times New Roman"/>
        </w:rPr>
        <w:t>time period</w:t>
      </w:r>
      <w:proofErr w:type="gramEnd"/>
      <w:r w:rsidRPr="00BF42A8">
        <w:rPr>
          <w:rFonts w:ascii="Times New Roman" w:hAnsi="Times New Roman" w:cs="Times New Roman"/>
        </w:rPr>
        <w:t>. Conceptually, these future benefits should be discounted relative to current costs.</w:t>
      </w:r>
    </w:p>
    <w:p w:rsidRPr="000E6E0F" w:rsidR="0069731F" w:rsidP="000E6E0F" w:rsidRDefault="0069731F" w14:paraId="094C104C" w14:textId="4F2197B6">
      <w:pPr>
        <w:spacing w:after="0" w:line="240" w:lineRule="auto"/>
        <w:ind w:firstLine="720"/>
        <w:rPr>
          <w:rFonts w:ascii="Times New Roman" w:hAnsi="Times New Roman" w:cs="Times New Roman"/>
        </w:rPr>
      </w:pPr>
      <w:r w:rsidRPr="000E6E0F">
        <w:rPr>
          <w:rFonts w:ascii="Times New Roman" w:hAnsi="Times New Roman" w:cs="Times New Roman"/>
        </w:rPr>
        <w:br w:type="page"/>
      </w:r>
    </w:p>
    <w:p w:rsidRPr="003D54D4" w:rsidR="003D54D4" w:rsidP="000E6E0F" w:rsidRDefault="00461D85" w14:paraId="7D753C7C" w14:textId="4F2197B6">
      <w:pPr>
        <w:pStyle w:val="Heading1"/>
      </w:pPr>
      <w:bookmarkStart w:name="_Toc98856250" w:id="174"/>
      <w:bookmarkStart w:name="_Toc110502781" w:id="175"/>
      <w:r w:rsidRPr="00197F1A">
        <w:lastRenderedPageBreak/>
        <w:t>CHAPTER 11</w:t>
      </w:r>
      <w:r w:rsidR="000E6E0F">
        <w:t>: Analys</w:t>
      </w:r>
      <w:r w:rsidR="00843659">
        <w:t>e</w:t>
      </w:r>
      <w:r w:rsidR="000E6E0F">
        <w:t>s</w:t>
      </w:r>
      <w:r w:rsidRPr="00197F1A">
        <w:t xml:space="preserve"> Required Under Applicable Statutes and Executive Orders</w:t>
      </w:r>
      <w:bookmarkEnd w:id="174"/>
      <w:bookmarkEnd w:id="175"/>
    </w:p>
    <w:p w:rsidRPr="000E6E0F" w:rsidR="00461D85" w:rsidP="00813745" w:rsidRDefault="00461D85" w14:paraId="389B3975" w14:textId="4F2197B6">
      <w:pPr>
        <w:pStyle w:val="Heading2"/>
      </w:pPr>
      <w:bookmarkStart w:name="_Toc98856251" w:id="176"/>
      <w:bookmarkStart w:name="_Toc110502782" w:id="177"/>
      <w:r w:rsidRPr="000E6E0F">
        <w:t>11.1 Executive Order 12866: Regulatory Planning and Review</w:t>
      </w:r>
      <w:bookmarkEnd w:id="176"/>
      <w:bookmarkEnd w:id="177"/>
    </w:p>
    <w:p w:rsidR="00461D85" w:rsidP="000E6E0F" w:rsidRDefault="008E3651" w14:paraId="288D888D" w14:textId="09AC4EED">
      <w:pPr>
        <w:pStyle w:val="Default"/>
        <w:ind w:firstLine="360"/>
        <w:rPr>
          <w:rFonts w:ascii="Times New Roman" w:hAnsi="Times New Roman" w:cs="Times New Roman"/>
          <w:sz w:val="22"/>
          <w:szCs w:val="22"/>
        </w:rPr>
      </w:pPr>
      <w:r w:rsidRPr="008E3651">
        <w:rPr>
          <w:rFonts w:ascii="Times New Roman" w:hAnsi="Times New Roman" w:cs="Times New Roman"/>
          <w:sz w:val="22"/>
          <w:szCs w:val="22"/>
        </w:rPr>
        <w:t>This action is an economically significant regulatory action that was submitted to the Office of Management and Budget (OMB) for review. Any changes made in response to OMB recommendations have been documented in the docket.</w:t>
      </w:r>
      <w:r w:rsidRPr="000E6E0F" w:rsidR="00461D85">
        <w:rPr>
          <w:rFonts w:ascii="Times New Roman" w:hAnsi="Times New Roman" w:cs="Times New Roman"/>
          <w:sz w:val="22"/>
          <w:szCs w:val="22"/>
        </w:rPr>
        <w:t xml:space="preserve"> </w:t>
      </w:r>
    </w:p>
    <w:p w:rsidRPr="000E6E0F" w:rsidR="000E6E0F" w:rsidP="000E6E0F" w:rsidRDefault="000E6E0F" w14:paraId="10DC0874" w14:textId="77777777">
      <w:pPr>
        <w:pStyle w:val="Default"/>
        <w:ind w:firstLine="360"/>
        <w:rPr>
          <w:rFonts w:ascii="Times New Roman" w:hAnsi="Times New Roman" w:cs="Times New Roman"/>
          <w:sz w:val="22"/>
          <w:szCs w:val="22"/>
        </w:rPr>
      </w:pPr>
    </w:p>
    <w:p w:rsidRPr="000E6E0F" w:rsidR="00461D85" w:rsidP="00813745" w:rsidRDefault="00461D85" w14:paraId="58BC5B45" w14:textId="77777777">
      <w:pPr>
        <w:pStyle w:val="Heading2"/>
      </w:pPr>
      <w:bookmarkStart w:name="_Toc98856252" w:id="178"/>
      <w:bookmarkStart w:name="_Toc110502783" w:id="179"/>
      <w:r w:rsidRPr="000E6E0F">
        <w:t>11.2 Unfunded Mandates Reform Act</w:t>
      </w:r>
      <w:bookmarkEnd w:id="178"/>
      <w:bookmarkEnd w:id="179"/>
    </w:p>
    <w:p w:rsidR="00461D85" w:rsidP="000E6E0F" w:rsidRDefault="007D782A" w14:paraId="4D063BEF" w14:textId="2D2367CE">
      <w:pPr>
        <w:spacing w:after="0" w:line="240" w:lineRule="auto"/>
        <w:ind w:firstLine="360"/>
        <w:rPr>
          <w:rFonts w:ascii="Times New Roman" w:hAnsi="Times New Roman" w:cs="Times New Roman"/>
        </w:rPr>
      </w:pPr>
      <w:r>
        <w:rPr>
          <w:rFonts w:ascii="Times New Roman" w:hAnsi="Times New Roman" w:cs="Times New Roman"/>
        </w:rPr>
        <w:tab/>
      </w:r>
      <w:r w:rsidRPr="004E55B2" w:rsidR="004E55B2">
        <w:rPr>
          <w:rFonts w:ascii="Times New Roman" w:hAnsi="Times New Roman" w:cs="Times New Roman"/>
        </w:rPr>
        <w:t>This action does not include any Federal mandate that may result in the expenditure by State, local</w:t>
      </w:r>
      <w:r w:rsidR="004E55B2">
        <w:rPr>
          <w:rFonts w:ascii="Times New Roman" w:hAnsi="Times New Roman" w:cs="Times New Roman"/>
        </w:rPr>
        <w:t>, and Tribal</w:t>
      </w:r>
      <w:r w:rsidRPr="004E55B2" w:rsidR="004E55B2">
        <w:rPr>
          <w:rFonts w:ascii="Times New Roman" w:hAnsi="Times New Roman" w:cs="Times New Roman"/>
        </w:rPr>
        <w:t xml:space="preserve"> governments, in the aggregate, or by the private sector, of $100 million or more (adjusted for inflation) in any one year</w:t>
      </w:r>
      <w:r w:rsidRPr="00024031" w:rsidR="00024031">
        <w:t xml:space="preserve"> </w:t>
      </w:r>
      <w:r w:rsidRPr="00024031" w:rsidR="00024031">
        <w:rPr>
          <w:rFonts w:ascii="Times New Roman" w:hAnsi="Times New Roman" w:cs="Times New Roman"/>
        </w:rPr>
        <w:t>and does not significantly or uniquely affect small governments</w:t>
      </w:r>
      <w:r w:rsidRPr="004E55B2" w:rsidR="004E55B2">
        <w:rPr>
          <w:rFonts w:ascii="Times New Roman" w:hAnsi="Times New Roman" w:cs="Times New Roman"/>
        </w:rPr>
        <w:t>, as described in the Unfunded Mandates Reform Act of 1995 (2 U.S.C. 1531–1538)</w:t>
      </w:r>
      <w:r w:rsidRPr="008E3651" w:rsidR="004E55B2">
        <w:rPr>
          <w:rFonts w:ascii="Times New Roman" w:hAnsi="Times New Roman" w:cs="Times New Roman"/>
        </w:rPr>
        <w:t>.</w:t>
      </w:r>
    </w:p>
    <w:p w:rsidRPr="000E6E0F" w:rsidR="000E6E0F" w:rsidP="000E6E0F" w:rsidRDefault="000E6E0F" w14:paraId="272C9403" w14:textId="77777777">
      <w:pPr>
        <w:spacing w:after="0" w:line="240" w:lineRule="auto"/>
        <w:ind w:firstLine="360"/>
        <w:rPr>
          <w:rFonts w:ascii="Times New Roman" w:hAnsi="Times New Roman" w:cs="Times New Roman"/>
        </w:rPr>
      </w:pPr>
    </w:p>
    <w:p w:rsidRPr="000E6E0F" w:rsidR="00461D85" w:rsidP="00813745" w:rsidRDefault="00461D85" w14:paraId="03361FD0" w14:textId="77777777">
      <w:pPr>
        <w:pStyle w:val="Heading2"/>
      </w:pPr>
      <w:bookmarkStart w:name="_Toc98856253" w:id="180"/>
      <w:bookmarkStart w:name="_Toc110502784" w:id="181"/>
      <w:r w:rsidRPr="000E6E0F">
        <w:t>11.3 Federalism</w:t>
      </w:r>
      <w:bookmarkEnd w:id="180"/>
      <w:bookmarkEnd w:id="181"/>
    </w:p>
    <w:p w:rsidR="00461D85" w:rsidP="000E6E0F" w:rsidRDefault="007D782A" w14:paraId="066B84CD" w14:textId="33AF2022">
      <w:pPr>
        <w:pStyle w:val="paragraph"/>
        <w:spacing w:before="0" w:beforeAutospacing="0" w:after="0" w:afterAutospacing="0"/>
        <w:ind w:firstLine="360"/>
        <w:textAlignment w:val="baseline"/>
        <w:rPr>
          <w:rStyle w:val="eop"/>
          <w:sz w:val="22"/>
          <w:szCs w:val="22"/>
        </w:rPr>
      </w:pPr>
      <w:r>
        <w:rPr>
          <w:rStyle w:val="normaltextrun"/>
          <w:rFonts w:eastAsiaTheme="majorEastAsia"/>
          <w:sz w:val="22"/>
          <w:szCs w:val="22"/>
        </w:rPr>
        <w:tab/>
      </w:r>
      <w:r w:rsidR="00843659">
        <w:rPr>
          <w:rStyle w:val="normaltextrun"/>
          <w:rFonts w:eastAsiaTheme="majorEastAsia"/>
          <w:sz w:val="22"/>
          <w:szCs w:val="22"/>
        </w:rPr>
        <w:t>E.O.</w:t>
      </w:r>
      <w:r w:rsidRPr="000E6E0F" w:rsidR="00461D85">
        <w:rPr>
          <w:rStyle w:val="normaltextrun"/>
          <w:rFonts w:eastAsiaTheme="majorEastAsia"/>
          <w:sz w:val="22"/>
          <w:szCs w:val="22"/>
        </w:rPr>
        <w:t xml:space="preserve"> 13132 (64 FR 43255, August 10, 1999) requires Agencies to develop an accountable process to ensure “meaningful and timely input by State and local officials in the development of regulatory policies that have federalism implications.” Policies that have federalism implications are defined in the </w:t>
      </w:r>
      <w:r w:rsidR="00843659">
        <w:rPr>
          <w:rStyle w:val="normaltextrun"/>
          <w:rFonts w:eastAsiaTheme="majorEastAsia"/>
          <w:sz w:val="22"/>
          <w:szCs w:val="22"/>
        </w:rPr>
        <w:t>E.O.</w:t>
      </w:r>
      <w:r w:rsidRPr="000E6E0F" w:rsidR="00461D85">
        <w:rPr>
          <w:rStyle w:val="normaltextrun"/>
          <w:rFonts w:eastAsiaTheme="majorEastAsia"/>
          <w:sz w:val="22"/>
          <w:szCs w:val="22"/>
        </w:rPr>
        <w:t xml:space="preserve"> to include regulations that have “substantial direct effects on the States, on the relationship between the national government and the States, or on the distribution of power and responsibilities among the various levels of government.” </w:t>
      </w:r>
      <w:r w:rsidRPr="000E6E0F" w:rsidR="00461D85">
        <w:rPr>
          <w:rStyle w:val="eop"/>
          <w:sz w:val="22"/>
          <w:szCs w:val="22"/>
        </w:rPr>
        <w:t> </w:t>
      </w:r>
    </w:p>
    <w:p w:rsidR="007D782A" w:rsidP="000E6E0F" w:rsidRDefault="007D782A" w14:paraId="2E2FC7FC" w14:textId="77777777">
      <w:pPr>
        <w:pStyle w:val="paragraph"/>
        <w:spacing w:before="0" w:beforeAutospacing="0" w:after="0" w:afterAutospacing="0"/>
        <w:ind w:firstLine="360"/>
        <w:textAlignment w:val="baseline"/>
        <w:rPr>
          <w:i/>
          <w:sz w:val="22"/>
          <w:szCs w:val="22"/>
        </w:rPr>
      </w:pPr>
    </w:p>
    <w:p w:rsidR="000E6E0F" w:rsidP="000E6E0F" w:rsidRDefault="007D782A" w14:paraId="676A4EC2" w14:textId="55A021C5">
      <w:pPr>
        <w:pStyle w:val="paragraph"/>
        <w:spacing w:before="0" w:beforeAutospacing="0" w:after="0" w:afterAutospacing="0"/>
        <w:ind w:firstLine="360"/>
        <w:textAlignment w:val="baseline"/>
        <w:rPr>
          <w:rStyle w:val="eop"/>
          <w:sz w:val="22"/>
          <w:szCs w:val="22"/>
        </w:rPr>
      </w:pPr>
      <w:r>
        <w:rPr>
          <w:rStyle w:val="normaltextrun"/>
          <w:rFonts w:eastAsiaTheme="majorEastAsia"/>
          <w:sz w:val="22"/>
          <w:szCs w:val="22"/>
        </w:rPr>
        <w:tab/>
      </w:r>
      <w:r w:rsidRPr="000E6E0F" w:rsidR="00461D85">
        <w:rPr>
          <w:rStyle w:val="normaltextrun"/>
          <w:rFonts w:eastAsiaTheme="majorEastAsia"/>
          <w:sz w:val="22"/>
          <w:szCs w:val="22"/>
        </w:rPr>
        <w:t xml:space="preserve">Under section 6 of </w:t>
      </w:r>
      <w:r w:rsidR="00843659">
        <w:rPr>
          <w:rStyle w:val="normaltextrun"/>
          <w:rFonts w:eastAsiaTheme="majorEastAsia"/>
          <w:sz w:val="22"/>
          <w:szCs w:val="22"/>
        </w:rPr>
        <w:t>E.O.</w:t>
      </w:r>
      <w:r w:rsidRPr="000E6E0F" w:rsidR="00461D85">
        <w:rPr>
          <w:rStyle w:val="normaltextrun"/>
          <w:rFonts w:eastAsiaTheme="majorEastAsia"/>
          <w:sz w:val="22"/>
          <w:szCs w:val="22"/>
        </w:rPr>
        <w:t xml:space="preserve"> 13132, Agencies may not issue a regulation that has federalism implications, that imposes substantial direct compliance costs, and that is not required by statute unless the </w:t>
      </w:r>
      <w:r w:rsidRPr="000E6E0F" w:rsidR="0084636B">
        <w:rPr>
          <w:rStyle w:val="normaltextrun"/>
          <w:rFonts w:eastAsiaTheme="majorEastAsia"/>
          <w:sz w:val="22"/>
          <w:szCs w:val="22"/>
        </w:rPr>
        <w:t>F</w:t>
      </w:r>
      <w:r w:rsidRPr="000E6E0F" w:rsidR="00461D85">
        <w:rPr>
          <w:rStyle w:val="normaltextrun"/>
          <w:rFonts w:eastAsiaTheme="majorEastAsia"/>
          <w:sz w:val="22"/>
          <w:szCs w:val="22"/>
        </w:rPr>
        <w:t xml:space="preserve">ederal government provides the funds necessary to pay the direct compliance costs incurred by State and local governments or unless the agency consults with State and local officials early in the process of developing the regulation. The Agency also may not issue a regulation that has federalism implications and that preempts State </w:t>
      </w:r>
      <w:proofErr w:type="gramStart"/>
      <w:r w:rsidRPr="000E6E0F" w:rsidR="00461D85">
        <w:rPr>
          <w:rStyle w:val="normaltextrun"/>
          <w:rFonts w:eastAsiaTheme="majorEastAsia"/>
          <w:sz w:val="22"/>
          <w:szCs w:val="22"/>
        </w:rPr>
        <w:t>law, unless</w:t>
      </w:r>
      <w:proofErr w:type="gramEnd"/>
      <w:r w:rsidRPr="000E6E0F" w:rsidR="00461D85">
        <w:rPr>
          <w:rStyle w:val="normaltextrun"/>
          <w:rFonts w:eastAsiaTheme="majorEastAsia"/>
          <w:sz w:val="22"/>
          <w:szCs w:val="22"/>
        </w:rPr>
        <w:t xml:space="preserve"> the Agency consults with State and local officials early in the process of developing the regulation.</w:t>
      </w:r>
      <w:r w:rsidRPr="000E6E0F" w:rsidR="00461D85">
        <w:rPr>
          <w:rStyle w:val="eop"/>
          <w:sz w:val="22"/>
          <w:szCs w:val="22"/>
        </w:rPr>
        <w:t> </w:t>
      </w:r>
    </w:p>
    <w:p w:rsidR="00ED3152" w:rsidP="000E6E0F" w:rsidRDefault="00ED3152" w14:paraId="127D3C77" w14:textId="77777777">
      <w:pPr>
        <w:pStyle w:val="paragraph"/>
        <w:spacing w:before="0" w:beforeAutospacing="0" w:after="0" w:afterAutospacing="0"/>
        <w:ind w:firstLine="360"/>
        <w:textAlignment w:val="baseline"/>
        <w:rPr>
          <w:rStyle w:val="eop"/>
          <w:sz w:val="22"/>
          <w:szCs w:val="22"/>
        </w:rPr>
      </w:pPr>
    </w:p>
    <w:p w:rsidR="000E6E0F" w:rsidP="000E6E0F" w:rsidRDefault="007D782A" w14:paraId="0883A4E8" w14:textId="052D30FA">
      <w:pPr>
        <w:pStyle w:val="paragraph"/>
        <w:spacing w:before="0" w:beforeAutospacing="0" w:after="0" w:afterAutospacing="0"/>
        <w:ind w:firstLine="360"/>
        <w:textAlignment w:val="baseline"/>
        <w:rPr>
          <w:rStyle w:val="normaltextrun"/>
          <w:rFonts w:eastAsiaTheme="majorEastAsia"/>
          <w:sz w:val="22"/>
          <w:szCs w:val="22"/>
        </w:rPr>
      </w:pPr>
      <w:r>
        <w:rPr>
          <w:rStyle w:val="normaltextrun"/>
          <w:rFonts w:eastAsiaTheme="majorEastAsia"/>
          <w:sz w:val="22"/>
          <w:szCs w:val="22"/>
        </w:rPr>
        <w:tab/>
      </w:r>
      <w:r w:rsidRPr="000E6E0F" w:rsidR="00461D85">
        <w:rPr>
          <w:rStyle w:val="normaltextrun"/>
          <w:rFonts w:eastAsiaTheme="majorEastAsia"/>
          <w:sz w:val="22"/>
          <w:szCs w:val="22"/>
        </w:rPr>
        <w:t xml:space="preserve">The proposed rule would affect State and local government entities including entities that own RMP-regulated facilities, LEPCs, and 13 States with delegated implementing agencies. The proposed rule imposes both direct and indirect costs. Direct costs are associated with activities required by regulated facilities owned by government entities. Indirect costs are associated with (1) regulated facilities owned by government entities, LEPCs, and State implementing agencies reviewing the proposed rule and (2) LEPCs coordinating with facilities. </w:t>
      </w:r>
    </w:p>
    <w:p w:rsidR="007D782A" w:rsidP="000E6E0F" w:rsidRDefault="007D782A" w14:paraId="35403FA4" w14:textId="77777777">
      <w:pPr>
        <w:pStyle w:val="paragraph"/>
        <w:spacing w:before="0" w:beforeAutospacing="0" w:after="0" w:afterAutospacing="0"/>
        <w:ind w:firstLine="360"/>
        <w:textAlignment w:val="baseline"/>
        <w:rPr>
          <w:i/>
          <w:sz w:val="22"/>
          <w:szCs w:val="22"/>
        </w:rPr>
      </w:pPr>
    </w:p>
    <w:p w:rsidR="000E6E0F" w:rsidP="000E6E0F" w:rsidRDefault="007D782A" w14:paraId="5D7A0A15" w14:textId="6D9A2D28">
      <w:pPr>
        <w:pStyle w:val="paragraph"/>
        <w:spacing w:before="0" w:beforeAutospacing="0" w:after="0" w:afterAutospacing="0"/>
        <w:ind w:firstLine="360"/>
        <w:textAlignment w:val="baseline"/>
        <w:rPr>
          <w:rStyle w:val="eop"/>
          <w:sz w:val="22"/>
          <w:szCs w:val="22"/>
        </w:rPr>
      </w:pPr>
      <w:r>
        <w:rPr>
          <w:rStyle w:val="normaltextrun"/>
          <w:rFonts w:eastAsiaTheme="majorEastAsia"/>
          <w:sz w:val="22"/>
          <w:szCs w:val="22"/>
        </w:rPr>
        <w:tab/>
      </w:r>
      <w:r w:rsidRPr="000E6E0F" w:rsidR="00461D85">
        <w:rPr>
          <w:rStyle w:val="normaltextrun"/>
          <w:rFonts w:eastAsiaTheme="majorEastAsia"/>
          <w:sz w:val="22"/>
          <w:szCs w:val="22"/>
        </w:rPr>
        <w:t>Most of the government</w:t>
      </w:r>
      <w:r w:rsidR="00346001">
        <w:rPr>
          <w:rStyle w:val="normaltextrun"/>
          <w:rFonts w:eastAsiaTheme="majorEastAsia"/>
          <w:sz w:val="22"/>
          <w:szCs w:val="22"/>
        </w:rPr>
        <w:t>-o</w:t>
      </w:r>
      <w:r w:rsidRPr="000E6E0F" w:rsidR="00461D85">
        <w:rPr>
          <w:rStyle w:val="normaltextrun"/>
          <w:rFonts w:eastAsiaTheme="majorEastAsia"/>
          <w:sz w:val="22"/>
          <w:szCs w:val="22"/>
        </w:rPr>
        <w:t>wned facilities are water or wastewater treatment facilities, but some large swimming pools are covered as well. Most of the government entities are cities, but the universe includes larger special districts (e.g., the Metropolitan Water District of Southern California). In addition,</w:t>
      </w:r>
      <w:r w:rsidRPr="000E6E0F" w:rsidDel="00345CB8" w:rsidR="00461D85">
        <w:rPr>
          <w:rStyle w:val="normaltextrun"/>
          <w:rFonts w:eastAsiaTheme="majorEastAsia"/>
          <w:sz w:val="22"/>
          <w:szCs w:val="22"/>
        </w:rPr>
        <w:t xml:space="preserve"> </w:t>
      </w:r>
      <w:r w:rsidRPr="000E6E0F" w:rsidR="00461D85">
        <w:rPr>
          <w:rStyle w:val="normaltextrun"/>
          <w:rFonts w:eastAsiaTheme="majorEastAsia"/>
          <w:sz w:val="22"/>
          <w:szCs w:val="22"/>
        </w:rPr>
        <w:t>13 States with delegated implementing agencies</w:t>
      </w:r>
      <w:r w:rsidRPr="000E6E0F" w:rsidDel="0086451B" w:rsidR="00461D85">
        <w:rPr>
          <w:rStyle w:val="normaltextrun"/>
          <w:rFonts w:eastAsiaTheme="majorEastAsia"/>
          <w:sz w:val="22"/>
          <w:szCs w:val="22"/>
        </w:rPr>
        <w:t xml:space="preserve"> </w:t>
      </w:r>
      <w:r w:rsidRPr="000E6E0F" w:rsidR="00461D85">
        <w:rPr>
          <w:rStyle w:val="normaltextrun"/>
          <w:rFonts w:eastAsiaTheme="majorEastAsia"/>
          <w:sz w:val="22"/>
          <w:szCs w:val="22"/>
        </w:rPr>
        <w:t>would face small costs from the proposed rule. </w:t>
      </w:r>
      <w:r w:rsidRPr="000E6E0F" w:rsidR="00461D85">
        <w:rPr>
          <w:rStyle w:val="eop"/>
          <w:sz w:val="22"/>
          <w:szCs w:val="22"/>
        </w:rPr>
        <w:t> </w:t>
      </w:r>
    </w:p>
    <w:p w:rsidR="007D782A" w:rsidP="000E6E0F" w:rsidRDefault="007D782A" w14:paraId="40AA9AA7" w14:textId="77777777">
      <w:pPr>
        <w:pStyle w:val="paragraph"/>
        <w:spacing w:before="0" w:beforeAutospacing="0" w:after="0" w:afterAutospacing="0"/>
        <w:ind w:firstLine="360"/>
        <w:textAlignment w:val="baseline"/>
        <w:rPr>
          <w:i/>
          <w:sz w:val="22"/>
          <w:szCs w:val="22"/>
        </w:rPr>
      </w:pPr>
    </w:p>
    <w:p w:rsidR="00461D85" w:rsidP="000E6E0F" w:rsidRDefault="007D782A" w14:paraId="1C08FA27" w14:textId="36829A01">
      <w:pPr>
        <w:pStyle w:val="paragraph"/>
        <w:spacing w:before="0" w:beforeAutospacing="0" w:after="0" w:afterAutospacing="0"/>
        <w:ind w:firstLine="360"/>
        <w:textAlignment w:val="baseline"/>
        <w:rPr>
          <w:rStyle w:val="eop"/>
          <w:sz w:val="22"/>
          <w:szCs w:val="22"/>
        </w:rPr>
      </w:pPr>
      <w:r>
        <w:rPr>
          <w:sz w:val="22"/>
          <w:szCs w:val="22"/>
        </w:rPr>
        <w:tab/>
      </w:r>
      <w:r w:rsidRPr="000E6E0F" w:rsidR="00461D85">
        <w:rPr>
          <w:sz w:val="22"/>
          <w:szCs w:val="22"/>
        </w:rPr>
        <w:t xml:space="preserve">The EPA has concluded that this action would not have Federalism implications. The </w:t>
      </w:r>
      <w:r w:rsidRPr="000E6E0F" w:rsidR="00461D85">
        <w:rPr>
          <w:rStyle w:val="normaltextrun"/>
          <w:rFonts w:eastAsiaTheme="majorEastAsia"/>
          <w:sz w:val="22"/>
          <w:szCs w:val="22"/>
        </w:rPr>
        <w:t>maximum annual cost to State and local government entities, including LEPCs and the 13 delegated implementation agencies, is estimated to be $3.</w:t>
      </w:r>
      <w:r w:rsidRPr="000E6E0F" w:rsidR="00B34407">
        <w:rPr>
          <w:rStyle w:val="normaltextrun"/>
          <w:rFonts w:eastAsiaTheme="majorEastAsia"/>
          <w:sz w:val="22"/>
          <w:szCs w:val="22"/>
        </w:rPr>
        <w:t>8</w:t>
      </w:r>
      <w:r w:rsidRPr="000E6E0F" w:rsidR="00461D85">
        <w:rPr>
          <w:rStyle w:val="normaltextrun"/>
          <w:rFonts w:eastAsiaTheme="majorEastAsia"/>
          <w:sz w:val="22"/>
          <w:szCs w:val="22"/>
        </w:rPr>
        <w:t xml:space="preserve"> million in 2020 dollars. Therefore, the proposed rule would not have substantial and direct effect on State and local governments when compared to the $25 million threshold which triggers Federalism implications. In addition, the proposed rule does not change the relationship </w:t>
      </w:r>
      <w:r w:rsidRPr="000E6E0F" w:rsidR="00461D85">
        <w:rPr>
          <w:rStyle w:val="normaltextrun"/>
          <w:rFonts w:eastAsiaTheme="majorEastAsia"/>
          <w:sz w:val="22"/>
          <w:szCs w:val="22"/>
        </w:rPr>
        <w:lastRenderedPageBreak/>
        <w:t>between State and local governments and the Federal government or delegate new responsibilities from the Federal government to State and local governments. </w:t>
      </w:r>
      <w:r w:rsidRPr="000E6E0F" w:rsidR="00461D85">
        <w:rPr>
          <w:rStyle w:val="eop"/>
          <w:sz w:val="22"/>
          <w:szCs w:val="22"/>
        </w:rPr>
        <w:t> </w:t>
      </w:r>
    </w:p>
    <w:p w:rsidRPr="000E6E0F" w:rsidR="000E6E0F" w:rsidP="000E6E0F" w:rsidRDefault="000E6E0F" w14:paraId="48185AEF" w14:textId="77777777">
      <w:pPr>
        <w:pStyle w:val="paragraph"/>
        <w:spacing w:before="0" w:beforeAutospacing="0" w:after="0" w:afterAutospacing="0"/>
        <w:ind w:firstLine="360"/>
        <w:textAlignment w:val="baseline"/>
        <w:rPr>
          <w:i/>
          <w:sz w:val="22"/>
          <w:szCs w:val="22"/>
        </w:rPr>
      </w:pPr>
    </w:p>
    <w:p w:rsidRPr="000E6E0F" w:rsidR="00461D85" w:rsidP="00813745" w:rsidRDefault="00461D85" w14:paraId="1F7164C4" w14:textId="77777777">
      <w:pPr>
        <w:pStyle w:val="Heading2"/>
      </w:pPr>
      <w:bookmarkStart w:name="_Toc98856254" w:id="182"/>
      <w:bookmarkStart w:name="_Toc110502785" w:id="183"/>
      <w:r w:rsidRPr="000E6E0F">
        <w:t>11.4 Employment Impacts</w:t>
      </w:r>
      <w:bookmarkEnd w:id="182"/>
      <w:bookmarkEnd w:id="183"/>
    </w:p>
    <w:p w:rsidR="001A7596" w:rsidP="000E6E0F" w:rsidRDefault="007D782A" w14:paraId="716209E8" w14:textId="5E6E7E21">
      <w:pPr>
        <w:spacing w:after="0" w:line="240" w:lineRule="auto"/>
        <w:ind w:firstLine="360"/>
        <w:rPr>
          <w:rFonts w:ascii="Times New Roman" w:hAnsi="Times New Roman" w:cs="Times New Roman"/>
        </w:rPr>
      </w:pPr>
      <w:r>
        <w:rPr>
          <w:rFonts w:ascii="Times New Roman" w:hAnsi="Times New Roman" w:cs="Times New Roman"/>
        </w:rPr>
        <w:tab/>
      </w:r>
      <w:r w:rsidRPr="000E6E0F" w:rsidR="0020471C">
        <w:rPr>
          <w:rFonts w:ascii="Times New Roman" w:hAnsi="Times New Roman" w:cs="Times New Roman"/>
        </w:rPr>
        <w:t>Employment impacts of environmental regulations are generally composed of a mix of potential declines and gains in different areas of the economy over time. Regulatory employment impacts can vary across occupations, regions, and industries; by labor and product demand and supply elasticities; and in response to other labor market conditions. There are significant challenges when trying to isolate the employment effects due to an environmental regulation from employment effects due to a wide variety of other economic changes, including the impact of the coronavirus pandemic on labor markets and the state of the macroeconomy generally. Considering these challenges, the economics literature provide</w:t>
      </w:r>
      <w:r w:rsidRPr="000E6E0F" w:rsidR="00C462F3">
        <w:rPr>
          <w:rFonts w:ascii="Times New Roman" w:hAnsi="Times New Roman" w:cs="Times New Roman"/>
        </w:rPr>
        <w:t>s</w:t>
      </w:r>
      <w:r w:rsidRPr="000E6E0F" w:rsidR="0020471C">
        <w:rPr>
          <w:rFonts w:ascii="Times New Roman" w:hAnsi="Times New Roman" w:cs="Times New Roman"/>
        </w:rPr>
        <w:t xml:space="preserve"> a constructive framework and empirical evidence. To simplify, </w:t>
      </w:r>
      <w:r w:rsidRPr="000E6E0F" w:rsidR="00C462F3">
        <w:rPr>
          <w:rFonts w:ascii="Times New Roman" w:hAnsi="Times New Roman" w:cs="Times New Roman"/>
        </w:rPr>
        <w:t>the analysis</w:t>
      </w:r>
      <w:r w:rsidRPr="000E6E0F" w:rsidR="0020471C">
        <w:rPr>
          <w:rFonts w:ascii="Times New Roman" w:hAnsi="Times New Roman" w:cs="Times New Roman"/>
        </w:rPr>
        <w:t xml:space="preserve"> focus</w:t>
      </w:r>
      <w:r w:rsidRPr="000E6E0F" w:rsidR="00C462F3">
        <w:rPr>
          <w:rFonts w:ascii="Times New Roman" w:hAnsi="Times New Roman" w:cs="Times New Roman"/>
        </w:rPr>
        <w:t>es</w:t>
      </w:r>
      <w:r w:rsidRPr="000E6E0F" w:rsidR="0020471C">
        <w:rPr>
          <w:rFonts w:ascii="Times New Roman" w:hAnsi="Times New Roman" w:cs="Times New Roman"/>
        </w:rPr>
        <w:t xml:space="preserve"> on impacts on labor demand. Environmental regulation may also affect labor supply through changes in worker health and productivity</w:t>
      </w:r>
      <w:r w:rsidR="00A95A8A">
        <w:rPr>
          <w:rFonts w:ascii="Times New Roman" w:hAnsi="Times New Roman" w:cs="Times New Roman"/>
        </w:rPr>
        <w:t>.</w:t>
      </w:r>
      <w:r w:rsidRPr="000E6E0F" w:rsidR="00592C4E">
        <w:rPr>
          <w:rStyle w:val="FootnoteReference"/>
          <w:rFonts w:ascii="Times New Roman" w:hAnsi="Times New Roman" w:cs="Times New Roman"/>
        </w:rPr>
        <w:footnoteReference w:id="109"/>
      </w:r>
    </w:p>
    <w:p w:rsidR="007D782A" w:rsidP="000E6E0F" w:rsidRDefault="007D782A" w14:paraId="1773AA16" w14:textId="77777777">
      <w:pPr>
        <w:spacing w:after="0" w:line="240" w:lineRule="auto"/>
        <w:ind w:firstLine="360"/>
        <w:rPr>
          <w:rFonts w:ascii="Times New Roman" w:hAnsi="Times New Roman" w:cs="Times New Roman"/>
        </w:rPr>
      </w:pPr>
    </w:p>
    <w:p w:rsidR="00461D85" w:rsidP="000E6E0F" w:rsidRDefault="007D782A" w14:paraId="72F112FF" w14:textId="78922303">
      <w:pPr>
        <w:spacing w:after="0" w:line="240" w:lineRule="auto"/>
        <w:ind w:firstLine="360"/>
        <w:rPr>
          <w:rFonts w:ascii="Times New Roman" w:hAnsi="Times New Roman" w:cs="Times New Roman"/>
        </w:rPr>
      </w:pPr>
      <w:r>
        <w:rPr>
          <w:rFonts w:ascii="Times New Roman" w:hAnsi="Times New Roman" w:cs="Times New Roman"/>
        </w:rPr>
        <w:tab/>
      </w:r>
      <w:r w:rsidRPr="000E6E0F" w:rsidR="00461D85">
        <w:rPr>
          <w:rFonts w:ascii="Times New Roman" w:hAnsi="Times New Roman" w:cs="Times New Roman"/>
        </w:rPr>
        <w:t>Economic research evaluating the employment impacts of environmental regulation has shown that the net employment effect is ambiguous</w:t>
      </w:r>
      <w:r w:rsidRPr="000E6E0F" w:rsidR="00D77AE6">
        <w:rPr>
          <w:rFonts w:ascii="Times New Roman" w:hAnsi="Times New Roman" w:cs="Times New Roman"/>
        </w:rPr>
        <w:t xml:space="preserve">. </w:t>
      </w:r>
      <w:r w:rsidRPr="000E6E0F" w:rsidR="00461D85">
        <w:rPr>
          <w:rFonts w:ascii="Times New Roman" w:hAnsi="Times New Roman" w:cs="Times New Roman"/>
        </w:rPr>
        <w:t xml:space="preserve">Employment impacts may occur in the directly regulated sector, the environmental protection sector, and in upstream and other related sectors. Multiple impacts are experienced by firms in regulated industries. New costs that are incurred to protect the environment may include labor, energy, capital, materials, and other costs; although for the current rulemaking, costs are largely for labor hours. As environmental protection costs increase, firms </w:t>
      </w:r>
      <w:r w:rsidRPr="000E6E0F" w:rsidR="00CD0A35">
        <w:rPr>
          <w:rFonts w:ascii="Times New Roman" w:hAnsi="Times New Roman" w:cs="Times New Roman"/>
        </w:rPr>
        <w:t xml:space="preserve">may </w:t>
      </w:r>
      <w:r w:rsidRPr="000E6E0F" w:rsidR="00461D85">
        <w:rPr>
          <w:rFonts w:ascii="Times New Roman" w:hAnsi="Times New Roman" w:cs="Times New Roman"/>
        </w:rPr>
        <w:t xml:space="preserve">pass along to consumers increased costs from environmental protection, </w:t>
      </w:r>
      <w:r w:rsidRPr="000E6E0F" w:rsidR="00CD0A35">
        <w:rPr>
          <w:rFonts w:ascii="Times New Roman" w:hAnsi="Times New Roman" w:cs="Times New Roman"/>
        </w:rPr>
        <w:t xml:space="preserve">demand for </w:t>
      </w:r>
      <w:r w:rsidRPr="000E6E0F" w:rsidR="00461D85">
        <w:rPr>
          <w:rFonts w:ascii="Times New Roman" w:hAnsi="Times New Roman" w:cs="Times New Roman"/>
        </w:rPr>
        <w:t>output may decrease, which could cause a decrease in labor demand. There may also be operational impacts experienced by regulated firms as they modify operations to comply with new regulatory requirements; the direction of that impact on labor demand is a function of the interaction between the regulatory requirements and the firm’s labor intensity of production. In general, the net effect of an environmental regulation on employment in regulated sectors, the sectors providing environmental protection, and the overall economy is indeterminate. Berman and Bui (2001</w:t>
      </w:r>
      <w:r w:rsidRPr="000E6E0F" w:rsidR="006A7A36">
        <w:rPr>
          <w:rFonts w:ascii="Times New Roman" w:hAnsi="Times New Roman" w:cs="Times New Roman"/>
        </w:rPr>
        <w:t>)</w:t>
      </w:r>
      <w:r w:rsidRPr="000E6E0F" w:rsidR="00592C4E">
        <w:rPr>
          <w:rStyle w:val="FootnoteReference"/>
          <w:rFonts w:ascii="Times New Roman" w:hAnsi="Times New Roman" w:cs="Times New Roman"/>
        </w:rPr>
        <w:footnoteReference w:id="110"/>
      </w:r>
      <w:r w:rsidRPr="000E6E0F" w:rsidR="006A7A36">
        <w:rPr>
          <w:rFonts w:ascii="Times New Roman" w:hAnsi="Times New Roman" w:cs="Times New Roman"/>
        </w:rPr>
        <w:t xml:space="preserve"> </w:t>
      </w:r>
      <w:r w:rsidRPr="000E6E0F" w:rsidR="00592C4E">
        <w:rPr>
          <w:rFonts w:ascii="Times New Roman" w:hAnsi="Times New Roman" w:cs="Times New Roman"/>
        </w:rPr>
        <w:t xml:space="preserve">provide a </w:t>
      </w:r>
      <w:r w:rsidRPr="000E6E0F" w:rsidR="00461D85">
        <w:rPr>
          <w:rFonts w:ascii="Times New Roman" w:hAnsi="Times New Roman" w:cs="Times New Roman"/>
        </w:rPr>
        <w:t>theoretical model of employment effects of environmental regulation.</w:t>
      </w:r>
    </w:p>
    <w:p w:rsidR="007D782A" w:rsidP="000E6E0F" w:rsidRDefault="007D782A" w14:paraId="7429499E" w14:textId="77777777">
      <w:pPr>
        <w:spacing w:after="0" w:line="240" w:lineRule="auto"/>
        <w:ind w:firstLine="360"/>
        <w:rPr>
          <w:rFonts w:ascii="Times New Roman" w:hAnsi="Times New Roman" w:cs="Times New Roman"/>
        </w:rPr>
      </w:pPr>
    </w:p>
    <w:p w:rsidR="00461D85" w:rsidP="000E6E0F" w:rsidRDefault="007D782A" w14:paraId="3B36300A" w14:textId="3133B1D3">
      <w:pPr>
        <w:spacing w:after="0" w:line="240" w:lineRule="auto"/>
        <w:ind w:firstLine="360"/>
        <w:rPr>
          <w:rFonts w:ascii="Times New Roman" w:hAnsi="Times New Roman" w:cs="Times New Roman"/>
        </w:rPr>
      </w:pPr>
      <w:r>
        <w:rPr>
          <w:rFonts w:ascii="Times New Roman" w:hAnsi="Times New Roman" w:cs="Times New Roman"/>
        </w:rPr>
        <w:tab/>
      </w:r>
      <w:r w:rsidRPr="000E6E0F" w:rsidR="00461D85">
        <w:rPr>
          <w:rFonts w:ascii="Times New Roman" w:hAnsi="Times New Roman" w:cs="Times New Roman"/>
        </w:rPr>
        <w:t xml:space="preserve">This RIA does not include a complete analysis of labor market effects of the proposed rule. </w:t>
      </w:r>
      <w:r w:rsidRPr="000E6E0F" w:rsidR="00DC453F">
        <w:rPr>
          <w:rFonts w:ascii="Times New Roman" w:hAnsi="Times New Roman" w:cs="Times New Roman"/>
        </w:rPr>
        <w:t xml:space="preserve">However, </w:t>
      </w:r>
      <w:r w:rsidRPr="000E6E0F" w:rsidR="00154AA3">
        <w:rPr>
          <w:rFonts w:ascii="Times New Roman" w:hAnsi="Times New Roman" w:cs="Times New Roman"/>
        </w:rPr>
        <w:t>in a year where a large complex facility would have to conduct a third-party audit, a root cause analysis and an initial analysis of safer technologies, the total labor hours would average significantly less than a single</w:t>
      </w:r>
      <w:r w:rsidRPr="000E6E0F" w:rsidR="00DC453F">
        <w:rPr>
          <w:rFonts w:ascii="Times New Roman" w:hAnsi="Times New Roman" w:cs="Times New Roman"/>
        </w:rPr>
        <w:t xml:space="preserve"> full time equivalent worker (FTE)</w:t>
      </w:r>
      <w:r w:rsidRPr="000E6E0F" w:rsidR="00154AA3">
        <w:rPr>
          <w:rFonts w:ascii="Times New Roman" w:hAnsi="Times New Roman" w:cs="Times New Roman"/>
        </w:rPr>
        <w:t xml:space="preserve">. </w:t>
      </w:r>
      <w:r w:rsidRPr="000E6E0F" w:rsidR="00DC453F">
        <w:rPr>
          <w:rFonts w:ascii="Times New Roman" w:hAnsi="Times New Roman" w:cs="Times New Roman"/>
        </w:rPr>
        <w:t>This suggests that the</w:t>
      </w:r>
      <w:r w:rsidRPr="000E6E0F" w:rsidR="00461D85">
        <w:rPr>
          <w:rFonts w:ascii="Times New Roman" w:hAnsi="Times New Roman" w:cs="Times New Roman"/>
        </w:rPr>
        <w:t xml:space="preserve"> proposed rule is unlikely to have significant impacts on employment. </w:t>
      </w:r>
      <w:r w:rsidRPr="000E6E0F" w:rsidR="00CD0A35">
        <w:rPr>
          <w:rFonts w:ascii="Times New Roman" w:hAnsi="Times New Roman" w:cs="Times New Roman"/>
        </w:rPr>
        <w:t xml:space="preserve">The STAA </w:t>
      </w:r>
      <w:r w:rsidRPr="000E6E0F" w:rsidR="00203FCD">
        <w:rPr>
          <w:rFonts w:ascii="Times New Roman" w:hAnsi="Times New Roman" w:cs="Times New Roman"/>
        </w:rPr>
        <w:t>practicability</w:t>
      </w:r>
      <w:r w:rsidRPr="000E6E0F" w:rsidR="00CD0A35">
        <w:rPr>
          <w:rFonts w:ascii="Times New Roman" w:hAnsi="Times New Roman" w:cs="Times New Roman"/>
        </w:rPr>
        <w:t xml:space="preserve"> study may involve the use of labor, though EPA does not estimate labor hours. Finally, </w:t>
      </w:r>
      <w:r w:rsidRPr="000E6E0F" w:rsidR="00461D85">
        <w:rPr>
          <w:rFonts w:ascii="Times New Roman" w:hAnsi="Times New Roman" w:cs="Times New Roman"/>
        </w:rPr>
        <w:t>third-party audit and root cause analysis provisions may generate work for consultants, but the number of hours involved per facility is</w:t>
      </w:r>
      <w:r w:rsidRPr="000E6E0F" w:rsidR="00CD0A35">
        <w:rPr>
          <w:rFonts w:ascii="Times New Roman" w:hAnsi="Times New Roman" w:cs="Times New Roman"/>
        </w:rPr>
        <w:t xml:space="preserve"> estimated to be</w:t>
      </w:r>
      <w:r w:rsidRPr="000E6E0F" w:rsidR="00461D85">
        <w:rPr>
          <w:rFonts w:ascii="Times New Roman" w:hAnsi="Times New Roman" w:cs="Times New Roman"/>
        </w:rPr>
        <w:t xml:space="preserve"> significantly less than a single FTE.</w:t>
      </w:r>
    </w:p>
    <w:p w:rsidRPr="000E6E0F" w:rsidR="000E6E0F" w:rsidP="000E6E0F" w:rsidRDefault="000E6E0F" w14:paraId="3A54D835" w14:textId="77777777">
      <w:pPr>
        <w:spacing w:after="0" w:line="240" w:lineRule="auto"/>
        <w:ind w:firstLine="360"/>
        <w:rPr>
          <w:rFonts w:ascii="Times New Roman" w:hAnsi="Times New Roman" w:cs="Times New Roman"/>
        </w:rPr>
      </w:pPr>
    </w:p>
    <w:p w:rsidRPr="000E6E0F" w:rsidR="00461D85" w:rsidP="00813745" w:rsidRDefault="00461D85" w14:paraId="28DDBB16" w14:textId="72C18BA6">
      <w:pPr>
        <w:pStyle w:val="Heading2"/>
      </w:pPr>
      <w:bookmarkStart w:name="_Toc98856255" w:id="184"/>
      <w:bookmarkStart w:name="_Toc110502786" w:id="185"/>
      <w:r w:rsidRPr="000E6E0F">
        <w:t>11.5 Paperwork Reduction Act of 1995</w:t>
      </w:r>
      <w:bookmarkEnd w:id="184"/>
      <w:bookmarkEnd w:id="185"/>
    </w:p>
    <w:p w:rsidR="000E6E0F" w:rsidP="000E6E0F" w:rsidRDefault="007D782A" w14:paraId="7B4EADA3" w14:textId="0C4C541C">
      <w:pPr>
        <w:pStyle w:val="Default"/>
        <w:ind w:firstLine="360"/>
        <w:rPr>
          <w:rFonts w:ascii="Times New Roman" w:hAnsi="Times New Roman" w:cs="Times New Roman"/>
          <w:sz w:val="22"/>
          <w:szCs w:val="22"/>
        </w:rPr>
      </w:pPr>
      <w:r>
        <w:rPr>
          <w:rFonts w:ascii="Times New Roman" w:hAnsi="Times New Roman" w:cs="Times New Roman"/>
          <w:sz w:val="22"/>
          <w:szCs w:val="22"/>
        </w:rPr>
        <w:tab/>
      </w:r>
      <w:r w:rsidRPr="000E6E0F" w:rsidR="00461D85">
        <w:rPr>
          <w:rFonts w:ascii="Times New Roman" w:hAnsi="Times New Roman" w:cs="Times New Roman"/>
          <w:sz w:val="22"/>
          <w:szCs w:val="22"/>
        </w:rPr>
        <w:t>The Paperwork Reduction Act of 1995 (PRA) (superseding the PRA of 1980)</w:t>
      </w:r>
      <w:r w:rsidRPr="000E6E0F" w:rsidR="00BD2556">
        <w:rPr>
          <w:rFonts w:ascii="Times New Roman" w:hAnsi="Times New Roman" w:cs="Times New Roman"/>
          <w:sz w:val="22"/>
          <w:szCs w:val="22"/>
        </w:rPr>
        <w:t>, 44 U.S.C. 3501 et seq,</w:t>
      </w:r>
      <w:r w:rsidRPr="000E6E0F" w:rsidR="00461D85">
        <w:rPr>
          <w:rFonts w:ascii="Times New Roman" w:hAnsi="Times New Roman" w:cs="Times New Roman"/>
          <w:sz w:val="22"/>
          <w:szCs w:val="22"/>
        </w:rPr>
        <w:t xml:space="preserve"> is implemented by OMB and requires that agencies submit a supporting statement to OMB for any information collection that solicits the same data from more than nine parties. The PRA seeks to ensure that Federal agencies balance their need to collect information with the paperwork burden imposed on the public by the collection. </w:t>
      </w:r>
    </w:p>
    <w:p w:rsidR="007D782A" w:rsidP="000E6E0F" w:rsidRDefault="007D782A" w14:paraId="23523349" w14:textId="77777777">
      <w:pPr>
        <w:pStyle w:val="Default"/>
        <w:ind w:firstLine="360"/>
        <w:rPr>
          <w:rFonts w:ascii="Times New Roman" w:hAnsi="Times New Roman" w:cs="Times New Roman"/>
          <w:sz w:val="22"/>
          <w:szCs w:val="22"/>
        </w:rPr>
      </w:pPr>
    </w:p>
    <w:p w:rsidR="00461D85" w:rsidP="000E6E0F" w:rsidRDefault="007D782A" w14:paraId="232DA6DF" w14:textId="23863809">
      <w:pPr>
        <w:pStyle w:val="Default"/>
        <w:ind w:firstLine="360"/>
        <w:rPr>
          <w:rFonts w:ascii="Times New Roman" w:hAnsi="Times New Roman" w:cs="Times New Roman"/>
          <w:sz w:val="22"/>
          <w:szCs w:val="22"/>
        </w:rPr>
      </w:pPr>
      <w:r>
        <w:rPr>
          <w:rFonts w:ascii="Times New Roman" w:hAnsi="Times New Roman" w:cs="Times New Roman"/>
          <w:sz w:val="22"/>
          <w:szCs w:val="22"/>
        </w:rPr>
        <w:tab/>
      </w:r>
      <w:r w:rsidRPr="000E6E0F" w:rsidR="00461D85">
        <w:rPr>
          <w:rFonts w:ascii="Times New Roman" w:hAnsi="Times New Roman" w:cs="Times New Roman"/>
          <w:sz w:val="22"/>
          <w:szCs w:val="22"/>
        </w:rPr>
        <w:t xml:space="preserve">The definition of “information collection” includes activities required by regulations, such as permit development, monitoring, record keeping, and reporting. The term “burden” refers to the “time, effort, or financial resources” the public expends to provide information to or for a </w:t>
      </w:r>
      <w:proofErr w:type="gramStart"/>
      <w:r w:rsidRPr="000E6E0F" w:rsidR="00461D85">
        <w:rPr>
          <w:rFonts w:ascii="Times New Roman" w:hAnsi="Times New Roman" w:cs="Times New Roman"/>
          <w:sz w:val="22"/>
          <w:szCs w:val="22"/>
        </w:rPr>
        <w:t>Federal</w:t>
      </w:r>
      <w:proofErr w:type="gramEnd"/>
      <w:r w:rsidRPr="000E6E0F" w:rsidR="00461D85">
        <w:rPr>
          <w:rFonts w:ascii="Times New Roman" w:hAnsi="Times New Roman" w:cs="Times New Roman"/>
          <w:sz w:val="22"/>
          <w:szCs w:val="22"/>
        </w:rPr>
        <w:t xml:space="preserve"> agency, or to otherwise fulfill statutory or regulatory requirements. PRA paperwork burden is measured in terms of annual time and financial resources the public devotes to meet one-time and recurring information requests (44 U.S.C. 3502(2); 5 C.F.R. 1320.3(b)). Information collection activities may include: </w:t>
      </w:r>
    </w:p>
    <w:p w:rsidRPr="000E6E0F" w:rsidR="000E6E0F" w:rsidP="000E6E0F" w:rsidRDefault="000E6E0F" w14:paraId="7DC45B3D" w14:textId="77777777">
      <w:pPr>
        <w:pStyle w:val="Default"/>
        <w:rPr>
          <w:rFonts w:ascii="Times New Roman" w:hAnsi="Times New Roman" w:cs="Times New Roman"/>
          <w:sz w:val="22"/>
          <w:szCs w:val="22"/>
        </w:rPr>
      </w:pPr>
    </w:p>
    <w:p w:rsidRPr="000E6E0F" w:rsidR="00461D85" w:rsidP="000E6E0F" w:rsidRDefault="00461D85" w14:paraId="29678C09" w14:textId="2739B4EF">
      <w:pPr>
        <w:pStyle w:val="Default"/>
        <w:numPr>
          <w:ilvl w:val="0"/>
          <w:numId w:val="11"/>
        </w:numPr>
        <w:rPr>
          <w:rFonts w:ascii="Times New Roman" w:hAnsi="Times New Roman" w:cs="Times New Roman"/>
          <w:sz w:val="22"/>
          <w:szCs w:val="22"/>
        </w:rPr>
      </w:pPr>
      <w:r w:rsidRPr="000E6E0F">
        <w:rPr>
          <w:rFonts w:ascii="Times New Roman" w:hAnsi="Times New Roman" w:cs="Times New Roman"/>
          <w:sz w:val="22"/>
          <w:szCs w:val="22"/>
        </w:rPr>
        <w:t xml:space="preserve">Reviewing </w:t>
      </w:r>
      <w:proofErr w:type="gramStart"/>
      <w:r w:rsidRPr="000E6E0F">
        <w:rPr>
          <w:rFonts w:ascii="Times New Roman" w:hAnsi="Times New Roman" w:cs="Times New Roman"/>
          <w:sz w:val="22"/>
          <w:szCs w:val="22"/>
        </w:rPr>
        <w:t>instructions</w:t>
      </w:r>
      <w:r w:rsidR="00A93677">
        <w:rPr>
          <w:rFonts w:ascii="Times New Roman" w:hAnsi="Times New Roman" w:cs="Times New Roman"/>
          <w:sz w:val="22"/>
          <w:szCs w:val="22"/>
        </w:rPr>
        <w:t>;</w:t>
      </w:r>
      <w:proofErr w:type="gramEnd"/>
    </w:p>
    <w:p w:rsidRPr="000E6E0F" w:rsidR="00461D85" w:rsidP="000E6E0F" w:rsidRDefault="00461D85" w14:paraId="0473F2A4" w14:textId="6BDF0106">
      <w:pPr>
        <w:pStyle w:val="Default"/>
        <w:numPr>
          <w:ilvl w:val="0"/>
          <w:numId w:val="11"/>
        </w:numPr>
        <w:rPr>
          <w:rFonts w:ascii="Times New Roman" w:hAnsi="Times New Roman" w:cs="Times New Roman"/>
          <w:sz w:val="22"/>
          <w:szCs w:val="22"/>
        </w:rPr>
      </w:pPr>
      <w:r w:rsidRPr="000E6E0F">
        <w:rPr>
          <w:rFonts w:ascii="Times New Roman" w:hAnsi="Times New Roman" w:cs="Times New Roman"/>
          <w:sz w:val="22"/>
          <w:szCs w:val="22"/>
        </w:rPr>
        <w:t xml:space="preserve">Using technology to collect, process, and disclose </w:t>
      </w:r>
      <w:proofErr w:type="gramStart"/>
      <w:r w:rsidRPr="000E6E0F">
        <w:rPr>
          <w:rFonts w:ascii="Times New Roman" w:hAnsi="Times New Roman" w:cs="Times New Roman"/>
          <w:sz w:val="22"/>
          <w:szCs w:val="22"/>
        </w:rPr>
        <w:t>information</w:t>
      </w:r>
      <w:r w:rsidR="00A93677">
        <w:rPr>
          <w:rFonts w:ascii="Times New Roman" w:hAnsi="Times New Roman" w:cs="Times New Roman"/>
          <w:sz w:val="22"/>
          <w:szCs w:val="22"/>
        </w:rPr>
        <w:t>;</w:t>
      </w:r>
      <w:proofErr w:type="gramEnd"/>
      <w:r w:rsidRPr="000E6E0F">
        <w:rPr>
          <w:rFonts w:ascii="Times New Roman" w:hAnsi="Times New Roman" w:cs="Times New Roman"/>
          <w:sz w:val="22"/>
          <w:szCs w:val="22"/>
        </w:rPr>
        <w:t xml:space="preserve"> </w:t>
      </w:r>
    </w:p>
    <w:p w:rsidRPr="000E6E0F" w:rsidR="00461D85" w:rsidP="000E6E0F" w:rsidRDefault="00461D85" w14:paraId="6F3027FC" w14:textId="653738F7">
      <w:pPr>
        <w:pStyle w:val="Default"/>
        <w:numPr>
          <w:ilvl w:val="0"/>
          <w:numId w:val="11"/>
        </w:numPr>
        <w:rPr>
          <w:rFonts w:ascii="Times New Roman" w:hAnsi="Times New Roman" w:cs="Times New Roman"/>
          <w:sz w:val="22"/>
          <w:szCs w:val="22"/>
        </w:rPr>
      </w:pPr>
      <w:r w:rsidRPr="000E6E0F">
        <w:rPr>
          <w:rFonts w:ascii="Times New Roman" w:hAnsi="Times New Roman" w:cs="Times New Roman"/>
          <w:sz w:val="22"/>
          <w:szCs w:val="22"/>
        </w:rPr>
        <w:t xml:space="preserve">Adjusting existing practices to comply with </w:t>
      </w:r>
      <w:proofErr w:type="gramStart"/>
      <w:r w:rsidRPr="000E6E0F">
        <w:rPr>
          <w:rFonts w:ascii="Times New Roman" w:hAnsi="Times New Roman" w:cs="Times New Roman"/>
          <w:sz w:val="22"/>
          <w:szCs w:val="22"/>
        </w:rPr>
        <w:t>requirements</w:t>
      </w:r>
      <w:r w:rsidR="00A93677">
        <w:rPr>
          <w:rFonts w:ascii="Times New Roman" w:hAnsi="Times New Roman" w:cs="Times New Roman"/>
          <w:sz w:val="22"/>
          <w:szCs w:val="22"/>
        </w:rPr>
        <w:t>;</w:t>
      </w:r>
      <w:proofErr w:type="gramEnd"/>
      <w:r w:rsidRPr="000E6E0F">
        <w:rPr>
          <w:rFonts w:ascii="Times New Roman" w:hAnsi="Times New Roman" w:cs="Times New Roman"/>
          <w:sz w:val="22"/>
          <w:szCs w:val="22"/>
        </w:rPr>
        <w:t xml:space="preserve"> </w:t>
      </w:r>
    </w:p>
    <w:p w:rsidRPr="000E6E0F" w:rsidR="00461D85" w:rsidP="000E6E0F" w:rsidRDefault="00461D85" w14:paraId="257AE768" w14:textId="12914A41">
      <w:pPr>
        <w:pStyle w:val="Default"/>
        <w:numPr>
          <w:ilvl w:val="0"/>
          <w:numId w:val="11"/>
        </w:numPr>
        <w:rPr>
          <w:rFonts w:ascii="Times New Roman" w:hAnsi="Times New Roman" w:cs="Times New Roman"/>
          <w:sz w:val="22"/>
          <w:szCs w:val="22"/>
        </w:rPr>
      </w:pPr>
      <w:r w:rsidRPr="000E6E0F">
        <w:rPr>
          <w:rFonts w:ascii="Times New Roman" w:hAnsi="Times New Roman" w:cs="Times New Roman"/>
          <w:sz w:val="22"/>
          <w:szCs w:val="22"/>
        </w:rPr>
        <w:t xml:space="preserve">Searching data </w:t>
      </w:r>
      <w:proofErr w:type="gramStart"/>
      <w:r w:rsidRPr="000E6E0F">
        <w:rPr>
          <w:rFonts w:ascii="Times New Roman" w:hAnsi="Times New Roman" w:cs="Times New Roman"/>
          <w:sz w:val="22"/>
          <w:szCs w:val="22"/>
        </w:rPr>
        <w:t>sources</w:t>
      </w:r>
      <w:r w:rsidR="00A93677">
        <w:rPr>
          <w:rFonts w:ascii="Times New Roman" w:hAnsi="Times New Roman" w:cs="Times New Roman"/>
          <w:sz w:val="22"/>
          <w:szCs w:val="22"/>
        </w:rPr>
        <w:t>;</w:t>
      </w:r>
      <w:proofErr w:type="gramEnd"/>
    </w:p>
    <w:p w:rsidRPr="000E6E0F" w:rsidR="00461D85" w:rsidP="000E6E0F" w:rsidRDefault="00461D85" w14:paraId="770C5A2B" w14:textId="543C9054">
      <w:pPr>
        <w:pStyle w:val="Default"/>
        <w:numPr>
          <w:ilvl w:val="0"/>
          <w:numId w:val="11"/>
        </w:numPr>
        <w:rPr>
          <w:rFonts w:ascii="Times New Roman" w:hAnsi="Times New Roman" w:cs="Times New Roman"/>
          <w:sz w:val="22"/>
          <w:szCs w:val="22"/>
        </w:rPr>
      </w:pPr>
      <w:r w:rsidRPr="000E6E0F">
        <w:rPr>
          <w:rFonts w:ascii="Times New Roman" w:hAnsi="Times New Roman" w:cs="Times New Roman"/>
          <w:sz w:val="22"/>
          <w:szCs w:val="22"/>
        </w:rPr>
        <w:t>Completing and reviewing the response</w:t>
      </w:r>
      <w:r w:rsidR="00A93677">
        <w:rPr>
          <w:rFonts w:ascii="Times New Roman" w:hAnsi="Times New Roman" w:cs="Times New Roman"/>
          <w:sz w:val="22"/>
          <w:szCs w:val="22"/>
        </w:rPr>
        <w:t>;</w:t>
      </w:r>
      <w:r w:rsidRPr="000E6E0F">
        <w:rPr>
          <w:rFonts w:ascii="Times New Roman" w:hAnsi="Times New Roman" w:cs="Times New Roman"/>
          <w:sz w:val="22"/>
          <w:szCs w:val="22"/>
        </w:rPr>
        <w:t xml:space="preserve"> and </w:t>
      </w:r>
    </w:p>
    <w:p w:rsidR="00461D85" w:rsidP="000E6E0F" w:rsidRDefault="00461D85" w14:paraId="2FEC1836" w14:textId="70ED2580">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000000"/>
        </w:rPr>
      </w:pPr>
      <w:r w:rsidRPr="000E6E0F">
        <w:rPr>
          <w:rFonts w:ascii="Times New Roman" w:hAnsi="Times New Roman" w:cs="Times New Roman"/>
          <w:color w:val="000000"/>
        </w:rPr>
        <w:t xml:space="preserve">Transmitting or disclosing information. </w:t>
      </w:r>
    </w:p>
    <w:p w:rsidRPr="000E6E0F" w:rsidR="000E6E0F" w:rsidP="000E6E0F" w:rsidRDefault="000E6E0F" w14:paraId="54C48088" w14:textId="77777777">
      <w:pPr>
        <w:pStyle w:val="ListParagraph"/>
        <w:autoSpaceDE w:val="0"/>
        <w:autoSpaceDN w:val="0"/>
        <w:adjustRightInd w:val="0"/>
        <w:spacing w:after="0" w:line="240" w:lineRule="auto"/>
        <w:contextualSpacing w:val="0"/>
        <w:rPr>
          <w:rFonts w:ascii="Times New Roman" w:hAnsi="Times New Roman" w:cs="Times New Roman"/>
          <w:color w:val="000000"/>
        </w:rPr>
      </w:pPr>
    </w:p>
    <w:p w:rsidR="002062C5" w:rsidP="000E6E0F" w:rsidRDefault="007D782A" w14:paraId="5FFF09BF" w14:textId="649FCB0E">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ab/>
      </w:r>
      <w:r w:rsidRPr="45F32AFB" w:rsidR="00461D85">
        <w:rPr>
          <w:rFonts w:ascii="Times New Roman" w:hAnsi="Times New Roman" w:cs="Times New Roman"/>
          <w:color w:val="000000" w:themeColor="text1"/>
        </w:rPr>
        <w:t xml:space="preserve">Agencies must provide information to OMB on the parties affected, the annual reporting burden, the annualized cost of responding to the information collection, and whether the request significantly impacts a substantial number of small entities. An agency may not conduct or sponsor, and a person is not required to respond to, an information collection unless it displays a currently valid OMB control number. </w:t>
      </w:r>
      <w:r w:rsidRPr="45F32AFB" w:rsidR="002062C5">
        <w:rPr>
          <w:rFonts w:ascii="Times New Roman" w:hAnsi="Times New Roman" w:cs="Times New Roman"/>
          <w:color w:val="000000" w:themeColor="text1"/>
        </w:rPr>
        <w:t>The information collection requirements in this proposed action have been submitted for approval to OMB unde</w:t>
      </w:r>
      <w:r w:rsidRPr="45F32AFB" w:rsidR="00D70069">
        <w:rPr>
          <w:rFonts w:ascii="Times New Roman" w:hAnsi="Times New Roman" w:cs="Times New Roman"/>
          <w:color w:val="000000" w:themeColor="text1"/>
        </w:rPr>
        <w:t>r</w:t>
      </w:r>
      <w:r w:rsidRPr="45F32AFB" w:rsidR="002062C5">
        <w:rPr>
          <w:rFonts w:ascii="Times New Roman" w:hAnsi="Times New Roman" w:cs="Times New Roman"/>
          <w:color w:val="000000" w:themeColor="text1"/>
        </w:rPr>
        <w:t xml:space="preserve"> the PRA. </w:t>
      </w:r>
      <w:r w:rsidR="00D37CD2">
        <w:rPr>
          <w:rFonts w:ascii="Times New Roman" w:hAnsi="Times New Roman" w:cs="Times New Roman"/>
          <w:color w:val="000000" w:themeColor="text1"/>
        </w:rPr>
        <w:t xml:space="preserve">The </w:t>
      </w:r>
      <w:r w:rsidRPr="45F32AFB" w:rsidR="002062C5">
        <w:rPr>
          <w:rFonts w:ascii="Times New Roman" w:hAnsi="Times New Roman" w:cs="Times New Roman"/>
          <w:color w:val="000000" w:themeColor="text1"/>
        </w:rPr>
        <w:t xml:space="preserve">proposed </w:t>
      </w:r>
      <w:r w:rsidRPr="45F32AFB" w:rsidR="008F2620">
        <w:rPr>
          <w:rFonts w:ascii="Times New Roman" w:hAnsi="Times New Roman" w:cs="Times New Roman"/>
          <w:color w:val="000000" w:themeColor="text1"/>
        </w:rPr>
        <w:t>Information Collection Request (</w:t>
      </w:r>
      <w:r w:rsidRPr="45F32AFB" w:rsidR="002062C5">
        <w:rPr>
          <w:rFonts w:ascii="Times New Roman" w:hAnsi="Times New Roman" w:cs="Times New Roman"/>
          <w:color w:val="000000" w:themeColor="text1"/>
        </w:rPr>
        <w:t>ICR</w:t>
      </w:r>
      <w:r w:rsidRPr="45F32AFB" w:rsidR="008F2620">
        <w:rPr>
          <w:rFonts w:ascii="Times New Roman" w:hAnsi="Times New Roman" w:cs="Times New Roman"/>
          <w:color w:val="000000" w:themeColor="text1"/>
        </w:rPr>
        <w:t>)</w:t>
      </w:r>
      <w:r w:rsidRPr="45F32AFB" w:rsidR="002062C5">
        <w:rPr>
          <w:rFonts w:ascii="Times New Roman" w:hAnsi="Times New Roman" w:cs="Times New Roman"/>
          <w:color w:val="000000" w:themeColor="text1"/>
        </w:rPr>
        <w:t xml:space="preserve"> document prepared by EPA has been assigned </w:t>
      </w:r>
      <w:r w:rsidRPr="45F32AFB" w:rsidR="00D70069">
        <w:rPr>
          <w:rFonts w:ascii="Times New Roman" w:hAnsi="Times New Roman" w:cs="Times New Roman"/>
          <w:color w:val="000000" w:themeColor="text1"/>
        </w:rPr>
        <w:t>EPA ICR number</w:t>
      </w:r>
      <w:r w:rsidRPr="45F32AFB" w:rsidR="006B2C59">
        <w:rPr>
          <w:rFonts w:ascii="Times New Roman" w:hAnsi="Times New Roman" w:cs="Times New Roman"/>
          <w:color w:val="000000" w:themeColor="text1"/>
        </w:rPr>
        <w:t xml:space="preserve"> </w:t>
      </w:r>
      <w:r w:rsidRPr="00024031" w:rsidR="00024031">
        <w:rPr>
          <w:rFonts w:ascii="Times New Roman" w:hAnsi="Times New Roman" w:cs="Times New Roman"/>
          <w:color w:val="000000" w:themeColor="text1"/>
        </w:rPr>
        <w:t>2725.01</w:t>
      </w:r>
      <w:r w:rsidRPr="45F32AFB" w:rsidR="005C58C0">
        <w:rPr>
          <w:rFonts w:ascii="Times New Roman" w:hAnsi="Times New Roman" w:cs="Times New Roman"/>
          <w:color w:val="000000" w:themeColor="text1"/>
        </w:rPr>
        <w:t>.</w:t>
      </w:r>
      <w:r w:rsidRPr="45F32AFB" w:rsidR="00D70069">
        <w:rPr>
          <w:rFonts w:ascii="Times New Roman" w:hAnsi="Times New Roman" w:cs="Times New Roman"/>
          <w:color w:val="000000" w:themeColor="text1"/>
        </w:rPr>
        <w:t xml:space="preserve"> A copy of the ICR is provided in the docket for this rule.</w:t>
      </w:r>
    </w:p>
    <w:p w:rsidRPr="000E6E0F" w:rsidR="007D782A" w:rsidP="000E6E0F" w:rsidRDefault="007D782A" w14:paraId="7B6ECDEF" w14:textId="77777777">
      <w:pPr>
        <w:autoSpaceDE w:val="0"/>
        <w:autoSpaceDN w:val="0"/>
        <w:adjustRightInd w:val="0"/>
        <w:spacing w:after="0" w:line="240" w:lineRule="auto"/>
        <w:ind w:firstLine="360"/>
        <w:rPr>
          <w:rFonts w:ascii="Times New Roman" w:hAnsi="Times New Roman" w:cs="Times New Roman"/>
          <w:color w:val="000000"/>
        </w:rPr>
      </w:pPr>
    </w:p>
    <w:p w:rsidR="000E6E0F" w:rsidP="000E6E0F" w:rsidRDefault="007D782A" w14:paraId="7DF20790" w14:textId="17A76056">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ab/>
      </w:r>
      <w:r w:rsidRPr="45F32AFB" w:rsidR="002B2755">
        <w:rPr>
          <w:rFonts w:ascii="Times New Roman" w:hAnsi="Times New Roman" w:cs="Times New Roman"/>
          <w:color w:val="000000" w:themeColor="text1"/>
        </w:rPr>
        <w:t>EPA has carefully considered the burden imposed upon the regulated community by the proposed regulations. EPA believes that the activities required are necessary and, to the extent possible, has attempted to minimize the burden imposed.</w:t>
      </w:r>
    </w:p>
    <w:p w:rsidR="000E6E0F" w:rsidP="000E6E0F" w:rsidRDefault="000E6E0F" w14:paraId="5CE8BDA5" w14:textId="77777777">
      <w:pPr>
        <w:autoSpaceDE w:val="0"/>
        <w:autoSpaceDN w:val="0"/>
        <w:adjustRightInd w:val="0"/>
        <w:spacing w:after="0" w:line="240" w:lineRule="auto"/>
        <w:ind w:firstLine="360"/>
        <w:rPr>
          <w:rFonts w:ascii="Times New Roman" w:hAnsi="Times New Roman" w:cs="Times New Roman"/>
          <w:color w:val="000000"/>
        </w:rPr>
      </w:pPr>
    </w:p>
    <w:p w:rsidR="002B2755" w:rsidP="000E6E0F" w:rsidRDefault="002B2755" w14:paraId="148543A9" w14:textId="49191DA4">
      <w:pPr>
        <w:autoSpaceDE w:val="0"/>
        <w:autoSpaceDN w:val="0"/>
        <w:adjustRightInd w:val="0"/>
        <w:spacing w:after="0" w:line="240" w:lineRule="auto"/>
        <w:ind w:left="720"/>
        <w:rPr>
          <w:rFonts w:ascii="Times New Roman" w:hAnsi="Times New Roman" w:cs="Times New Roman"/>
          <w:color w:val="000000"/>
        </w:rPr>
      </w:pPr>
      <w:r w:rsidRPr="000E6E0F">
        <w:rPr>
          <w:rFonts w:ascii="Times New Roman" w:hAnsi="Times New Roman" w:cs="Times New Roman"/>
          <w:i/>
          <w:color w:val="000000"/>
        </w:rPr>
        <w:t>Respondents/affected entities</w:t>
      </w:r>
      <w:r w:rsidRPr="000E6E0F" w:rsidR="007F4908">
        <w:rPr>
          <w:rFonts w:ascii="Times New Roman" w:hAnsi="Times New Roman" w:cs="Times New Roman"/>
          <w:color w:val="000000"/>
        </w:rPr>
        <w:t>:  The industries that are likely to be affected by the requirements in the proposed regulations fall into numerous NAICS categories.</w:t>
      </w:r>
      <w:r w:rsidRPr="000E6E0F" w:rsidR="00A564C3">
        <w:rPr>
          <w:rFonts w:ascii="Times New Roman" w:hAnsi="Times New Roman" w:cs="Times New Roman"/>
          <w:color w:val="000000"/>
        </w:rPr>
        <w:t xml:space="preserve"> </w:t>
      </w:r>
      <w:r w:rsidRPr="000E6E0F" w:rsidR="006568BE">
        <w:rPr>
          <w:rFonts w:ascii="Times New Roman" w:hAnsi="Times New Roman" w:cs="Times New Roman"/>
          <w:color w:val="000000"/>
        </w:rPr>
        <w:t xml:space="preserve">The types of </w:t>
      </w:r>
      <w:r w:rsidRPr="000E6E0F" w:rsidR="00354D92">
        <w:rPr>
          <w:rFonts w:ascii="Times New Roman" w:hAnsi="Times New Roman" w:cs="Times New Roman"/>
          <w:color w:val="000000"/>
        </w:rPr>
        <w:t>facilities</w:t>
      </w:r>
      <w:r w:rsidRPr="000E6E0F" w:rsidR="003B3D8F">
        <w:rPr>
          <w:rFonts w:ascii="Times New Roman" w:hAnsi="Times New Roman" w:cs="Times New Roman"/>
          <w:color w:val="000000"/>
        </w:rPr>
        <w:t xml:space="preserve"> affected by the proposed rule</w:t>
      </w:r>
      <w:r w:rsidRPr="000E6E0F" w:rsidR="006568BE">
        <w:rPr>
          <w:rFonts w:ascii="Times New Roman" w:hAnsi="Times New Roman" w:cs="Times New Roman"/>
          <w:color w:val="000000"/>
        </w:rPr>
        <w:t xml:space="preserve"> range from petroleum refineries and large chemical manufacturers to water and wastewater treatment systems; chemical and petroleum wholesalers and terminals; food manufacturers, packing plants, and other cold storage facilities with ammonia refrigeration systems; agricultural chemical distributors; midstream gas plants; and a limited number of other sources that use RMP-regulated substances. </w:t>
      </w:r>
    </w:p>
    <w:p w:rsidRPr="000E6E0F" w:rsidR="000E6E0F" w:rsidP="000E6E0F" w:rsidRDefault="000E6E0F" w14:paraId="63930002" w14:textId="77777777">
      <w:pPr>
        <w:autoSpaceDE w:val="0"/>
        <w:autoSpaceDN w:val="0"/>
        <w:adjustRightInd w:val="0"/>
        <w:spacing w:after="0" w:line="240" w:lineRule="auto"/>
        <w:ind w:left="360"/>
        <w:rPr>
          <w:rFonts w:ascii="Times New Roman" w:hAnsi="Times New Roman" w:cs="Times New Roman"/>
          <w:color w:val="000000"/>
        </w:rPr>
      </w:pPr>
    </w:p>
    <w:p w:rsidR="00AE50F1" w:rsidP="000E6E0F" w:rsidRDefault="00AE50F1" w14:paraId="51BEACA5" w14:textId="197427FE">
      <w:pPr>
        <w:autoSpaceDE w:val="0"/>
        <w:autoSpaceDN w:val="0"/>
        <w:adjustRightInd w:val="0"/>
        <w:spacing w:after="0" w:line="240" w:lineRule="auto"/>
        <w:ind w:left="720"/>
        <w:rPr>
          <w:rFonts w:ascii="Times New Roman" w:hAnsi="Times New Roman" w:cs="Times New Roman"/>
          <w:color w:val="000000"/>
        </w:rPr>
      </w:pPr>
      <w:r w:rsidRPr="000E6E0F">
        <w:rPr>
          <w:rFonts w:ascii="Times New Roman" w:hAnsi="Times New Roman" w:cs="Times New Roman"/>
          <w:i/>
          <w:color w:val="000000"/>
        </w:rPr>
        <w:t>Respondent’s obligations to respond</w:t>
      </w:r>
      <w:r w:rsidRPr="000E6E0F">
        <w:rPr>
          <w:rFonts w:ascii="Times New Roman" w:hAnsi="Times New Roman" w:cs="Times New Roman"/>
          <w:color w:val="000000"/>
        </w:rPr>
        <w:t>:  Mandatory (</w:t>
      </w:r>
      <w:r w:rsidRPr="000E6E0F" w:rsidR="00E679F5">
        <w:rPr>
          <w:rFonts w:ascii="Times New Roman" w:hAnsi="Times New Roman" w:cs="Times New Roman"/>
          <w:color w:val="000000"/>
        </w:rPr>
        <w:t>(CAA sections 112(r)(7)(B)(</w:t>
      </w:r>
      <w:proofErr w:type="spellStart"/>
      <w:r w:rsidRPr="000E6E0F" w:rsidR="00E679F5">
        <w:rPr>
          <w:rFonts w:ascii="Times New Roman" w:hAnsi="Times New Roman" w:cs="Times New Roman"/>
          <w:color w:val="000000"/>
        </w:rPr>
        <w:t>i</w:t>
      </w:r>
      <w:proofErr w:type="spellEnd"/>
      <w:r w:rsidRPr="000E6E0F" w:rsidR="00E679F5">
        <w:rPr>
          <w:rFonts w:ascii="Times New Roman" w:hAnsi="Times New Roman" w:cs="Times New Roman"/>
          <w:color w:val="000000"/>
        </w:rPr>
        <w:t>) and (ii), CAA section 112(r)(7)(B)(iii), 114(c), CAA 114(a)(1))</w:t>
      </w:r>
      <w:r w:rsidRPr="000E6E0F">
        <w:rPr>
          <w:rFonts w:ascii="Times New Roman" w:hAnsi="Times New Roman" w:cs="Times New Roman"/>
          <w:color w:val="000000"/>
        </w:rPr>
        <w:t>).</w:t>
      </w:r>
    </w:p>
    <w:p w:rsidRPr="000E6E0F" w:rsidR="00D37CD2" w:rsidP="000E6E0F" w:rsidRDefault="00D37CD2" w14:paraId="2CBD1D6E" w14:textId="77777777">
      <w:pPr>
        <w:autoSpaceDE w:val="0"/>
        <w:autoSpaceDN w:val="0"/>
        <w:adjustRightInd w:val="0"/>
        <w:spacing w:after="0" w:line="240" w:lineRule="auto"/>
        <w:ind w:left="720"/>
        <w:rPr>
          <w:rFonts w:ascii="Times New Roman" w:hAnsi="Times New Roman" w:cs="Times New Roman"/>
          <w:color w:val="000000"/>
        </w:rPr>
      </w:pPr>
    </w:p>
    <w:p w:rsidR="00AE50F1" w:rsidP="000E6E0F" w:rsidRDefault="00AE50F1" w14:paraId="1CA95D5E" w14:textId="423B2BA8">
      <w:pPr>
        <w:autoSpaceDE w:val="0"/>
        <w:autoSpaceDN w:val="0"/>
        <w:adjustRightInd w:val="0"/>
        <w:spacing w:after="0" w:line="240" w:lineRule="auto"/>
        <w:rPr>
          <w:rFonts w:ascii="Times New Roman" w:hAnsi="Times New Roman" w:cs="Times New Roman"/>
          <w:color w:val="000000"/>
        </w:rPr>
      </w:pPr>
      <w:r w:rsidRPr="000E6E0F">
        <w:rPr>
          <w:rFonts w:ascii="Times New Roman" w:hAnsi="Times New Roman" w:cs="Times New Roman"/>
          <w:color w:val="000000"/>
        </w:rPr>
        <w:tab/>
      </w:r>
      <w:r w:rsidRPr="000E6E0F">
        <w:rPr>
          <w:rFonts w:ascii="Times New Roman" w:hAnsi="Times New Roman" w:cs="Times New Roman"/>
          <w:i/>
          <w:color w:val="000000"/>
        </w:rPr>
        <w:t>Estimated number of respondents</w:t>
      </w:r>
      <w:r w:rsidRPr="000E6E0F">
        <w:rPr>
          <w:rFonts w:ascii="Times New Roman" w:hAnsi="Times New Roman" w:cs="Times New Roman"/>
          <w:color w:val="000000"/>
        </w:rPr>
        <w:t xml:space="preserve">: </w:t>
      </w:r>
      <w:r w:rsidRPr="000E6E0F" w:rsidR="007C602C">
        <w:rPr>
          <w:rFonts w:ascii="Times New Roman" w:hAnsi="Times New Roman" w:cs="Times New Roman"/>
          <w:color w:val="000000"/>
        </w:rPr>
        <w:t>14,226</w:t>
      </w:r>
      <w:r w:rsidRPr="000E6E0F">
        <w:rPr>
          <w:rFonts w:ascii="Times New Roman" w:hAnsi="Times New Roman" w:cs="Times New Roman"/>
          <w:color w:val="000000"/>
        </w:rPr>
        <w:t>.</w:t>
      </w:r>
    </w:p>
    <w:p w:rsidRPr="000E6E0F" w:rsidR="00D37CD2" w:rsidP="000E6E0F" w:rsidRDefault="00D37CD2" w14:paraId="2CBE850A" w14:textId="77777777">
      <w:pPr>
        <w:autoSpaceDE w:val="0"/>
        <w:autoSpaceDN w:val="0"/>
        <w:adjustRightInd w:val="0"/>
        <w:spacing w:after="0" w:line="240" w:lineRule="auto"/>
        <w:rPr>
          <w:rFonts w:ascii="Times New Roman" w:hAnsi="Times New Roman" w:cs="Times New Roman"/>
          <w:color w:val="000000"/>
        </w:rPr>
      </w:pPr>
    </w:p>
    <w:p w:rsidR="00AE50F1" w:rsidP="000E6E0F" w:rsidRDefault="00AE50F1" w14:paraId="12CED505" w14:textId="5721A5F4">
      <w:pPr>
        <w:autoSpaceDE w:val="0"/>
        <w:autoSpaceDN w:val="0"/>
        <w:adjustRightInd w:val="0"/>
        <w:spacing w:after="0" w:line="240" w:lineRule="auto"/>
        <w:rPr>
          <w:rFonts w:ascii="Times New Roman" w:hAnsi="Times New Roman" w:cs="Times New Roman"/>
          <w:color w:val="000000"/>
        </w:rPr>
      </w:pPr>
      <w:r w:rsidRPr="000E6E0F">
        <w:rPr>
          <w:rFonts w:ascii="Times New Roman" w:hAnsi="Times New Roman" w:cs="Times New Roman"/>
          <w:color w:val="000000"/>
        </w:rPr>
        <w:tab/>
      </w:r>
      <w:r w:rsidRPr="000E6E0F">
        <w:rPr>
          <w:rFonts w:ascii="Times New Roman" w:hAnsi="Times New Roman" w:cs="Times New Roman"/>
          <w:i/>
          <w:color w:val="000000"/>
        </w:rPr>
        <w:t>Frequency of response</w:t>
      </w:r>
      <w:r w:rsidRPr="000E6E0F">
        <w:rPr>
          <w:rFonts w:ascii="Times New Roman" w:hAnsi="Times New Roman" w:cs="Times New Roman"/>
          <w:color w:val="000000"/>
        </w:rPr>
        <w:t xml:space="preserve">:  </w:t>
      </w:r>
      <w:r w:rsidRPr="000E6E0F" w:rsidR="00B24A38">
        <w:rPr>
          <w:rFonts w:ascii="Times New Roman" w:hAnsi="Times New Roman" w:cs="Times New Roman"/>
          <w:color w:val="000000"/>
        </w:rPr>
        <w:t>On occasion.</w:t>
      </w:r>
    </w:p>
    <w:p w:rsidRPr="000E6E0F" w:rsidR="00D37CD2" w:rsidP="000E6E0F" w:rsidRDefault="00D37CD2" w14:paraId="14E57A8C" w14:textId="77777777">
      <w:pPr>
        <w:autoSpaceDE w:val="0"/>
        <w:autoSpaceDN w:val="0"/>
        <w:adjustRightInd w:val="0"/>
        <w:spacing w:after="0" w:line="240" w:lineRule="auto"/>
        <w:rPr>
          <w:rFonts w:ascii="Times New Roman" w:hAnsi="Times New Roman" w:cs="Times New Roman"/>
          <w:color w:val="000000"/>
        </w:rPr>
      </w:pPr>
    </w:p>
    <w:p w:rsidR="00AE50F1" w:rsidP="000E6E0F" w:rsidRDefault="00AE50F1" w14:paraId="001F2A95" w14:textId="7306B048">
      <w:pPr>
        <w:autoSpaceDE w:val="0"/>
        <w:autoSpaceDN w:val="0"/>
        <w:adjustRightInd w:val="0"/>
        <w:spacing w:after="0" w:line="240" w:lineRule="auto"/>
        <w:rPr>
          <w:rFonts w:ascii="Times New Roman" w:hAnsi="Times New Roman" w:cs="Times New Roman"/>
          <w:color w:val="000000"/>
        </w:rPr>
      </w:pPr>
      <w:r w:rsidRPr="000E6E0F">
        <w:rPr>
          <w:rFonts w:ascii="Times New Roman" w:hAnsi="Times New Roman" w:cs="Times New Roman"/>
          <w:color w:val="000000"/>
        </w:rPr>
        <w:tab/>
      </w:r>
      <w:r w:rsidRPr="000E6E0F">
        <w:rPr>
          <w:rFonts w:ascii="Times New Roman" w:hAnsi="Times New Roman" w:cs="Times New Roman"/>
          <w:i/>
          <w:color w:val="000000"/>
        </w:rPr>
        <w:t>Total estimated burden</w:t>
      </w:r>
      <w:r w:rsidRPr="000E6E0F">
        <w:rPr>
          <w:rFonts w:ascii="Times New Roman" w:hAnsi="Times New Roman" w:cs="Times New Roman"/>
          <w:color w:val="000000"/>
        </w:rPr>
        <w:t xml:space="preserve">: </w:t>
      </w:r>
      <w:r w:rsidRPr="000E6E0F" w:rsidR="00A10021">
        <w:rPr>
          <w:rFonts w:ascii="Times New Roman" w:hAnsi="Times New Roman" w:cs="Times New Roman"/>
          <w:color w:val="000000"/>
        </w:rPr>
        <w:t>797,642</w:t>
      </w:r>
      <w:r w:rsidRPr="000E6E0F" w:rsidR="008B72B0">
        <w:rPr>
          <w:rFonts w:ascii="Times New Roman" w:hAnsi="Times New Roman" w:cs="Times New Roman"/>
          <w:color w:val="000000"/>
        </w:rPr>
        <w:t xml:space="preserve"> </w:t>
      </w:r>
      <w:r w:rsidRPr="000E6E0F">
        <w:rPr>
          <w:rFonts w:ascii="Times New Roman" w:hAnsi="Times New Roman" w:cs="Times New Roman"/>
        </w:rPr>
        <w:t>hours</w:t>
      </w:r>
      <w:r w:rsidRPr="000E6E0F">
        <w:rPr>
          <w:rFonts w:ascii="Times New Roman" w:hAnsi="Times New Roman" w:cs="Times New Roman"/>
          <w:color w:val="000000"/>
        </w:rPr>
        <w:t xml:space="preserve"> (per year</w:t>
      </w:r>
      <w:r w:rsidRPr="000E6E0F" w:rsidR="00A564C3">
        <w:rPr>
          <w:rFonts w:ascii="Times New Roman" w:hAnsi="Times New Roman" w:cs="Times New Roman"/>
          <w:color w:val="000000"/>
        </w:rPr>
        <w:t>)</w:t>
      </w:r>
      <w:r w:rsidRPr="000E6E0F">
        <w:rPr>
          <w:rFonts w:ascii="Times New Roman" w:hAnsi="Times New Roman" w:cs="Times New Roman"/>
          <w:color w:val="000000"/>
        </w:rPr>
        <w:t>. Burden is defined at 5 CFR 1320.3(b).</w:t>
      </w:r>
    </w:p>
    <w:p w:rsidRPr="000E6E0F" w:rsidR="00D37CD2" w:rsidP="000E6E0F" w:rsidRDefault="00D37CD2" w14:paraId="4FD03042" w14:textId="77777777">
      <w:pPr>
        <w:autoSpaceDE w:val="0"/>
        <w:autoSpaceDN w:val="0"/>
        <w:adjustRightInd w:val="0"/>
        <w:spacing w:after="0" w:line="240" w:lineRule="auto"/>
        <w:rPr>
          <w:rFonts w:ascii="Times New Roman" w:hAnsi="Times New Roman" w:cs="Times New Roman"/>
          <w:color w:val="000000"/>
        </w:rPr>
      </w:pPr>
    </w:p>
    <w:p w:rsidR="00AE50F1" w:rsidP="000E6E0F" w:rsidRDefault="00AE50F1" w14:paraId="374FB3F5" w14:textId="62A5BBB5">
      <w:pPr>
        <w:autoSpaceDE w:val="0"/>
        <w:autoSpaceDN w:val="0"/>
        <w:adjustRightInd w:val="0"/>
        <w:spacing w:after="0" w:line="240" w:lineRule="auto"/>
        <w:ind w:left="720"/>
        <w:rPr>
          <w:rFonts w:ascii="Times New Roman" w:hAnsi="Times New Roman" w:cs="Times New Roman"/>
          <w:color w:val="000000"/>
        </w:rPr>
      </w:pPr>
      <w:r w:rsidRPr="000E6E0F">
        <w:rPr>
          <w:rFonts w:ascii="Times New Roman" w:hAnsi="Times New Roman" w:cs="Times New Roman"/>
          <w:i/>
          <w:color w:val="000000"/>
        </w:rPr>
        <w:t>Total estimated costs</w:t>
      </w:r>
      <w:r w:rsidRPr="000E6E0F">
        <w:rPr>
          <w:rFonts w:ascii="Times New Roman" w:hAnsi="Times New Roman" w:cs="Times New Roman"/>
          <w:color w:val="000000"/>
        </w:rPr>
        <w:t xml:space="preserve">: </w:t>
      </w:r>
      <w:r w:rsidRPr="000E6E0F" w:rsidR="00E01892">
        <w:rPr>
          <w:rFonts w:ascii="Times New Roman" w:hAnsi="Times New Roman" w:cs="Times New Roman"/>
          <w:color w:val="000000"/>
        </w:rPr>
        <w:t>$</w:t>
      </w:r>
      <w:r w:rsidRPr="000E6E0F" w:rsidR="00563C1C">
        <w:rPr>
          <w:rFonts w:ascii="Times New Roman" w:hAnsi="Times New Roman" w:cs="Times New Roman"/>
          <w:color w:val="000000"/>
        </w:rPr>
        <w:t>7</w:t>
      </w:r>
      <w:r w:rsidRPr="000E6E0F" w:rsidR="008B72B0">
        <w:rPr>
          <w:rFonts w:ascii="Times New Roman" w:hAnsi="Times New Roman" w:cs="Times New Roman"/>
          <w:color w:val="000000"/>
        </w:rPr>
        <w:t>9,248,522</w:t>
      </w:r>
      <w:r w:rsidRPr="000E6E0F">
        <w:rPr>
          <w:rFonts w:ascii="Times New Roman" w:hAnsi="Times New Roman" w:cs="Times New Roman"/>
          <w:color w:val="000000"/>
        </w:rPr>
        <w:t xml:space="preserve"> (per year); includes $</w:t>
      </w:r>
      <w:r w:rsidRPr="000E6E0F" w:rsidR="002C5635">
        <w:rPr>
          <w:rFonts w:ascii="Times New Roman" w:hAnsi="Times New Roman" w:cs="Times New Roman"/>
          <w:color w:val="000000"/>
        </w:rPr>
        <w:t>2,</w:t>
      </w:r>
      <w:r w:rsidRPr="000E6E0F" w:rsidR="00A71B45">
        <w:rPr>
          <w:rFonts w:ascii="Times New Roman" w:hAnsi="Times New Roman" w:cs="Times New Roman"/>
          <w:color w:val="000000"/>
        </w:rPr>
        <w:t>817,907</w:t>
      </w:r>
      <w:r w:rsidRPr="000E6E0F">
        <w:rPr>
          <w:rFonts w:ascii="Times New Roman" w:hAnsi="Times New Roman" w:cs="Times New Roman"/>
          <w:color w:val="000000"/>
        </w:rPr>
        <w:t xml:space="preserve"> annual operations and maintenance costs</w:t>
      </w:r>
      <w:r w:rsidRPr="000E6E0F" w:rsidR="00995822">
        <w:rPr>
          <w:rFonts w:ascii="Times New Roman" w:hAnsi="Times New Roman" w:cs="Times New Roman"/>
          <w:color w:val="000000"/>
        </w:rPr>
        <w:t xml:space="preserve"> and $78,400 </w:t>
      </w:r>
      <w:r w:rsidRPr="000E6E0F" w:rsidR="00040B97">
        <w:rPr>
          <w:rFonts w:ascii="Times New Roman" w:hAnsi="Times New Roman" w:cs="Times New Roman"/>
          <w:color w:val="000000"/>
        </w:rPr>
        <w:t xml:space="preserve">annual </w:t>
      </w:r>
      <w:r w:rsidRPr="000E6E0F" w:rsidR="00A564C3">
        <w:rPr>
          <w:rFonts w:ascii="Times New Roman" w:hAnsi="Times New Roman" w:cs="Times New Roman"/>
          <w:color w:val="000000"/>
        </w:rPr>
        <w:t>capital costs.</w:t>
      </w:r>
    </w:p>
    <w:p w:rsidRPr="000E6E0F" w:rsidR="000E6E0F" w:rsidP="000E6E0F" w:rsidRDefault="000E6E0F" w14:paraId="4E26D5CF" w14:textId="77777777">
      <w:pPr>
        <w:autoSpaceDE w:val="0"/>
        <w:autoSpaceDN w:val="0"/>
        <w:adjustRightInd w:val="0"/>
        <w:spacing w:after="0" w:line="240" w:lineRule="auto"/>
        <w:ind w:left="720"/>
        <w:rPr>
          <w:rFonts w:ascii="Times New Roman" w:hAnsi="Times New Roman" w:cs="Times New Roman"/>
          <w:color w:val="000000"/>
        </w:rPr>
      </w:pPr>
    </w:p>
    <w:p w:rsidRPr="000E6E0F" w:rsidR="00461D85" w:rsidP="00813745" w:rsidRDefault="00461D85" w14:paraId="2D7B374B" w14:textId="77777777">
      <w:pPr>
        <w:pStyle w:val="Heading2"/>
      </w:pPr>
      <w:bookmarkStart w:name="_Toc98856256" w:id="186"/>
      <w:bookmarkStart w:name="_Toc110502787" w:id="187"/>
      <w:r w:rsidRPr="000E6E0F">
        <w:lastRenderedPageBreak/>
        <w:t>11.6 National Technology Transfer and Advancement Act</w:t>
      </w:r>
      <w:bookmarkEnd w:id="186"/>
      <w:bookmarkEnd w:id="187"/>
    </w:p>
    <w:p w:rsidR="000E6E0F" w:rsidP="000E6E0F" w:rsidRDefault="007D782A" w14:paraId="043B08C6" w14:textId="643EEAD7">
      <w:pPr>
        <w:pStyle w:val="Default"/>
        <w:ind w:firstLine="360"/>
        <w:rPr>
          <w:rFonts w:ascii="Times New Roman" w:hAnsi="Times New Roman" w:cs="Times New Roman"/>
          <w:sz w:val="22"/>
          <w:szCs w:val="22"/>
        </w:rPr>
      </w:pPr>
      <w:r>
        <w:rPr>
          <w:rFonts w:ascii="Times New Roman" w:hAnsi="Times New Roman" w:cs="Times New Roman"/>
          <w:sz w:val="22"/>
          <w:szCs w:val="22"/>
        </w:rPr>
        <w:tab/>
      </w:r>
      <w:r w:rsidRPr="000E6E0F" w:rsidR="00461D85">
        <w:rPr>
          <w:rFonts w:ascii="Times New Roman" w:hAnsi="Times New Roman" w:cs="Times New Roman"/>
          <w:sz w:val="22"/>
          <w:szCs w:val="22"/>
        </w:rPr>
        <w:t>Section 12(d) of the National Technology Transfer and Advancement Act (NTTAA) of 1995, Pub L. No. 104-113, Sec. 12(d) directs EPA to use voluntary consensus standards in its regulatory activities unless doing so would be inconsistent with applicable law or otherwise impractical. Voluntary consensus standards are technical standards (</w:t>
      </w:r>
      <w:r w:rsidRPr="000E6E0F" w:rsidR="00461D85">
        <w:rPr>
          <w:rFonts w:ascii="Times New Roman" w:hAnsi="Times New Roman" w:cs="Times New Roman"/>
          <w:i/>
          <w:sz w:val="22"/>
          <w:szCs w:val="22"/>
        </w:rPr>
        <w:t>e.g.</w:t>
      </w:r>
      <w:r w:rsidRPr="000E6E0F" w:rsidR="00461D85">
        <w:rPr>
          <w:rFonts w:ascii="Times New Roman" w:hAnsi="Times New Roman" w:cs="Times New Roman"/>
          <w:sz w:val="22"/>
          <w:szCs w:val="22"/>
        </w:rPr>
        <w:t xml:space="preserve">, materials specifications, test methods, sampling procedures, and business practices) that are developed or adopted by voluntary consensus standard bodies. The NTTAA directs the EPA to provide Congress, through the OMB, explanations when the Agency decides not to use available and applicable voluntary consensus standards. </w:t>
      </w:r>
    </w:p>
    <w:p w:rsidR="007D782A" w:rsidP="000E6E0F" w:rsidRDefault="007D782A" w14:paraId="698B9918" w14:textId="77777777">
      <w:pPr>
        <w:pStyle w:val="Default"/>
        <w:ind w:firstLine="360"/>
        <w:rPr>
          <w:rFonts w:ascii="Times New Roman" w:hAnsi="Times New Roman" w:cs="Times New Roman"/>
          <w:sz w:val="22"/>
          <w:szCs w:val="22"/>
        </w:rPr>
      </w:pPr>
    </w:p>
    <w:p w:rsidRPr="00197F1A" w:rsidR="00461D85" w:rsidP="000E6E0F" w:rsidRDefault="00843847" w14:paraId="3BC790D9" w14:textId="0B1EEAD8">
      <w:pPr>
        <w:pStyle w:val="Default"/>
        <w:ind w:firstLine="360"/>
        <w:rPr>
          <w:rFonts w:ascii="Times New Roman" w:hAnsi="Times New Roman" w:cs="Times New Roman"/>
        </w:rPr>
      </w:pPr>
      <w:r>
        <w:rPr>
          <w:rFonts w:ascii="Times New Roman" w:hAnsi="Times New Roman" w:cs="Times New Roman"/>
          <w:sz w:val="22"/>
          <w:szCs w:val="22"/>
        </w:rPr>
        <w:tab/>
      </w:r>
      <w:r w:rsidRPr="000E6E0F" w:rsidR="00461D85">
        <w:rPr>
          <w:rFonts w:ascii="Times New Roman" w:hAnsi="Times New Roman" w:cs="Times New Roman"/>
          <w:sz w:val="22"/>
          <w:szCs w:val="22"/>
        </w:rPr>
        <w:t xml:space="preserve">The regulatory options do not involve technical standards, for example in the measurement of </w:t>
      </w:r>
      <w:r w:rsidRPr="00A93677" w:rsidR="00461D85">
        <w:rPr>
          <w:rFonts w:ascii="Times New Roman" w:hAnsi="Times New Roman" w:cs="Times New Roman"/>
          <w:sz w:val="22"/>
          <w:szCs w:val="22"/>
        </w:rPr>
        <w:t>pollutant loads. Nothing in the regulatory options would prevent the use of voluntary consensus standards for such measurement where available, and the EPA encourages permitting authorities and regulated entities to do so. Therefore, the EPA is not considering the use of any voluntary consensus standards.</w:t>
      </w:r>
    </w:p>
    <w:p w:rsidRPr="000E6E0F" w:rsidR="000E6E0F" w:rsidP="000E6E0F" w:rsidRDefault="000E6E0F" w14:paraId="241B441A" w14:textId="77777777">
      <w:pPr>
        <w:pStyle w:val="Default"/>
        <w:ind w:firstLine="360"/>
        <w:rPr>
          <w:rFonts w:ascii="Times New Roman" w:hAnsi="Times New Roman" w:cs="Times New Roman"/>
          <w:sz w:val="22"/>
          <w:szCs w:val="22"/>
        </w:rPr>
      </w:pPr>
    </w:p>
    <w:p w:rsidRPr="000E6E0F" w:rsidR="00461D85" w:rsidP="00813745" w:rsidRDefault="00461D85" w14:paraId="720C9FFB" w14:textId="77777777">
      <w:pPr>
        <w:pStyle w:val="Heading2"/>
      </w:pPr>
      <w:bookmarkStart w:name="_Toc98856257" w:id="188"/>
      <w:bookmarkStart w:name="_Toc110502788" w:id="189"/>
      <w:r w:rsidRPr="000E6E0F">
        <w:t>11.7 Consultation and Coordination with Indian Tribal Governments</w:t>
      </w:r>
      <w:bookmarkEnd w:id="188"/>
      <w:bookmarkEnd w:id="189"/>
    </w:p>
    <w:p w:rsidR="000E6E0F" w:rsidP="000E6E0F" w:rsidRDefault="007D782A" w14:paraId="1B8FEBBA" w14:textId="6041779A">
      <w:pPr>
        <w:pStyle w:val="Default"/>
        <w:ind w:firstLine="360"/>
        <w:rPr>
          <w:rFonts w:ascii="Times New Roman" w:hAnsi="Times New Roman" w:cs="Times New Roman"/>
          <w:sz w:val="22"/>
          <w:szCs w:val="22"/>
        </w:rPr>
      </w:pPr>
      <w:r>
        <w:rPr>
          <w:rFonts w:ascii="Times New Roman" w:hAnsi="Times New Roman" w:cs="Times New Roman"/>
          <w:sz w:val="22"/>
          <w:szCs w:val="22"/>
        </w:rPr>
        <w:tab/>
      </w:r>
      <w:r w:rsidR="00843659">
        <w:rPr>
          <w:rFonts w:ascii="Times New Roman" w:hAnsi="Times New Roman" w:cs="Times New Roman"/>
          <w:sz w:val="22"/>
          <w:szCs w:val="22"/>
        </w:rPr>
        <w:t>E.O.</w:t>
      </w:r>
      <w:r w:rsidRPr="000E6E0F" w:rsidR="00461D85">
        <w:rPr>
          <w:rFonts w:ascii="Times New Roman" w:hAnsi="Times New Roman" w:cs="Times New Roman"/>
          <w:sz w:val="22"/>
          <w:szCs w:val="22"/>
        </w:rPr>
        <w:t xml:space="preserve"> 13175 (65 FR 67249, November 6, 2000) requires EPA to develop an accountable process to ensure “meaningful and timely input by tribal officials in the development of regulatory policies that have tribal implications.” “Policies that have tribal implications” is defined in the </w:t>
      </w:r>
      <w:r w:rsidR="00843659">
        <w:rPr>
          <w:rFonts w:ascii="Times New Roman" w:hAnsi="Times New Roman" w:cs="Times New Roman"/>
          <w:sz w:val="22"/>
          <w:szCs w:val="22"/>
        </w:rPr>
        <w:t>E.O.</w:t>
      </w:r>
      <w:r w:rsidRPr="000E6E0F" w:rsidR="00461D85">
        <w:rPr>
          <w:rFonts w:ascii="Times New Roman" w:hAnsi="Times New Roman" w:cs="Times New Roman"/>
          <w:sz w:val="22"/>
          <w:szCs w:val="22"/>
        </w:rPr>
        <w:t xml:space="preserve"> to include regulations that have “substantial direct effects on one or more Indian Tribes, on the relationship between the Federal government and the Indian Tribes, or on the distribution of power and responsibilities between the federal government and Indian Tribes.” </w:t>
      </w:r>
    </w:p>
    <w:p w:rsidR="007D782A" w:rsidP="000E6E0F" w:rsidRDefault="007D782A" w14:paraId="1AA5AC3C" w14:textId="77777777">
      <w:pPr>
        <w:pStyle w:val="Default"/>
        <w:ind w:firstLine="360"/>
        <w:rPr>
          <w:rFonts w:ascii="Times New Roman" w:hAnsi="Times New Roman" w:cs="Times New Roman"/>
          <w:sz w:val="22"/>
          <w:szCs w:val="22"/>
        </w:rPr>
      </w:pPr>
    </w:p>
    <w:p w:rsidR="00461D85" w:rsidP="000E6E0F" w:rsidRDefault="007D782A" w14:paraId="7F299B7F" w14:textId="5C344DE7">
      <w:pPr>
        <w:pStyle w:val="Default"/>
        <w:ind w:firstLine="360"/>
        <w:rPr>
          <w:rFonts w:ascii="Times New Roman" w:hAnsi="Times New Roman" w:cs="Times New Roman"/>
          <w:sz w:val="22"/>
          <w:szCs w:val="22"/>
        </w:rPr>
      </w:pPr>
      <w:r>
        <w:rPr>
          <w:rFonts w:ascii="Times New Roman" w:hAnsi="Times New Roman" w:cs="Times New Roman"/>
          <w:sz w:val="22"/>
          <w:szCs w:val="22"/>
        </w:rPr>
        <w:tab/>
      </w:r>
      <w:r w:rsidRPr="00361ACD" w:rsidR="00361ACD">
        <w:rPr>
          <w:rFonts w:ascii="Times New Roman" w:hAnsi="Times New Roman" w:cs="Times New Roman"/>
          <w:sz w:val="22"/>
          <w:szCs w:val="22"/>
        </w:rPr>
        <w:t xml:space="preserve">This action has </w:t>
      </w:r>
      <w:r w:rsidR="00DF7713">
        <w:rPr>
          <w:rFonts w:ascii="Times New Roman" w:hAnsi="Times New Roman" w:cs="Times New Roman"/>
          <w:sz w:val="22"/>
          <w:szCs w:val="22"/>
        </w:rPr>
        <w:t>T</w:t>
      </w:r>
      <w:r w:rsidRPr="00361ACD" w:rsidR="00361ACD">
        <w:rPr>
          <w:rFonts w:ascii="Times New Roman" w:hAnsi="Times New Roman" w:cs="Times New Roman"/>
          <w:sz w:val="22"/>
          <w:szCs w:val="22"/>
        </w:rPr>
        <w:t xml:space="preserve">ribal implications. However, it will neither impose substantial direct compliance costs on federally recognized </w:t>
      </w:r>
      <w:r w:rsidR="00DF7713">
        <w:rPr>
          <w:rFonts w:ascii="Times New Roman" w:hAnsi="Times New Roman" w:cs="Times New Roman"/>
          <w:sz w:val="22"/>
          <w:szCs w:val="22"/>
        </w:rPr>
        <w:t>T</w:t>
      </w:r>
      <w:r w:rsidRPr="00361ACD" w:rsidR="00361ACD">
        <w:rPr>
          <w:rFonts w:ascii="Times New Roman" w:hAnsi="Times New Roman" w:cs="Times New Roman"/>
          <w:sz w:val="22"/>
          <w:szCs w:val="22"/>
        </w:rPr>
        <w:t xml:space="preserve">ribal governments, nor preempt </w:t>
      </w:r>
      <w:r w:rsidR="00DF7713">
        <w:rPr>
          <w:rFonts w:ascii="Times New Roman" w:hAnsi="Times New Roman" w:cs="Times New Roman"/>
          <w:sz w:val="22"/>
          <w:szCs w:val="22"/>
        </w:rPr>
        <w:t>T</w:t>
      </w:r>
      <w:r w:rsidRPr="00361ACD" w:rsidR="00361ACD">
        <w:rPr>
          <w:rFonts w:ascii="Times New Roman" w:hAnsi="Times New Roman" w:cs="Times New Roman"/>
          <w:sz w:val="22"/>
          <w:szCs w:val="22"/>
        </w:rPr>
        <w:t xml:space="preserve">ribal law. There are approximately 260 RMP facilities located on </w:t>
      </w:r>
      <w:r w:rsidR="00DF7713">
        <w:rPr>
          <w:rFonts w:ascii="Times New Roman" w:hAnsi="Times New Roman" w:cs="Times New Roman"/>
          <w:sz w:val="22"/>
          <w:szCs w:val="22"/>
        </w:rPr>
        <w:t>T</w:t>
      </w:r>
      <w:r w:rsidRPr="00361ACD" w:rsidR="00361ACD">
        <w:rPr>
          <w:rFonts w:ascii="Times New Roman" w:hAnsi="Times New Roman" w:cs="Times New Roman"/>
          <w:sz w:val="22"/>
          <w:szCs w:val="22"/>
        </w:rPr>
        <w:t xml:space="preserve">ribal lands. Tribes could be impacted by the final rule either as an owner or operator of an RMP-regulated facility or as a </w:t>
      </w:r>
      <w:r w:rsidR="00DF7713">
        <w:rPr>
          <w:rFonts w:ascii="Times New Roman" w:hAnsi="Times New Roman" w:cs="Times New Roman"/>
          <w:sz w:val="22"/>
          <w:szCs w:val="22"/>
        </w:rPr>
        <w:t>T</w:t>
      </w:r>
      <w:r w:rsidRPr="00361ACD" w:rsidR="00361ACD">
        <w:rPr>
          <w:rFonts w:ascii="Times New Roman" w:hAnsi="Times New Roman" w:cs="Times New Roman"/>
          <w:sz w:val="22"/>
          <w:szCs w:val="22"/>
        </w:rPr>
        <w:t xml:space="preserve">ribal government when the tribal government conducts emergency response or emergency preparedness activities under EPCRA. </w:t>
      </w:r>
      <w:r w:rsidRPr="000E6E0F" w:rsidR="00461D85">
        <w:rPr>
          <w:rFonts w:ascii="Times New Roman" w:hAnsi="Times New Roman" w:cs="Times New Roman"/>
          <w:sz w:val="22"/>
          <w:szCs w:val="22"/>
        </w:rPr>
        <w:t xml:space="preserve">One </w:t>
      </w:r>
      <w:r w:rsidR="00DF7713">
        <w:rPr>
          <w:rFonts w:ascii="Times New Roman" w:hAnsi="Times New Roman" w:cs="Times New Roman"/>
          <w:sz w:val="22"/>
          <w:szCs w:val="22"/>
        </w:rPr>
        <w:t>T</w:t>
      </w:r>
      <w:r w:rsidRPr="000E6E0F" w:rsidR="00461D85">
        <w:rPr>
          <w:rFonts w:ascii="Times New Roman" w:hAnsi="Times New Roman" w:cs="Times New Roman"/>
          <w:sz w:val="22"/>
          <w:szCs w:val="22"/>
        </w:rPr>
        <w:t xml:space="preserve">ribal government owns three facilities that combined would incur less than $2,100 in costs and another </w:t>
      </w:r>
      <w:r w:rsidR="00DF7713">
        <w:rPr>
          <w:rFonts w:ascii="Times New Roman" w:hAnsi="Times New Roman" w:cs="Times New Roman"/>
          <w:sz w:val="22"/>
          <w:szCs w:val="22"/>
        </w:rPr>
        <w:t>T</w:t>
      </w:r>
      <w:r w:rsidRPr="000E6E0F" w:rsidR="00461D85">
        <w:rPr>
          <w:rFonts w:ascii="Times New Roman" w:hAnsi="Times New Roman" w:cs="Times New Roman"/>
          <w:sz w:val="22"/>
          <w:szCs w:val="22"/>
        </w:rPr>
        <w:t xml:space="preserve">ribal government owns one facility that would incur less than $900 in costs. </w:t>
      </w:r>
    </w:p>
    <w:p w:rsidRPr="000E6E0F" w:rsidR="000E6E0F" w:rsidP="000E6E0F" w:rsidRDefault="000E6E0F" w14:paraId="394D3A53" w14:textId="77777777">
      <w:pPr>
        <w:pStyle w:val="Default"/>
        <w:ind w:firstLine="360"/>
        <w:rPr>
          <w:rFonts w:ascii="Times New Roman" w:hAnsi="Times New Roman" w:cs="Times New Roman"/>
          <w:sz w:val="22"/>
          <w:szCs w:val="22"/>
        </w:rPr>
      </w:pPr>
    </w:p>
    <w:p w:rsidRPr="000E6E0F" w:rsidR="00461D85" w:rsidP="00813745" w:rsidRDefault="00461D85" w14:paraId="7A3F5CF5" w14:textId="77777777">
      <w:pPr>
        <w:pStyle w:val="Heading2"/>
      </w:pPr>
      <w:bookmarkStart w:name="_Toc98856258" w:id="190"/>
      <w:bookmarkStart w:name="_Toc110502789" w:id="191"/>
      <w:r w:rsidRPr="000E6E0F">
        <w:t>11.8 Executive Order 13211: Actions Concerning Regulations That Significantly Affect Energy Supply, Distribution, or Use</w:t>
      </w:r>
      <w:bookmarkEnd w:id="190"/>
      <w:bookmarkEnd w:id="191"/>
    </w:p>
    <w:p w:rsidR="00461D85" w:rsidP="000E6E0F" w:rsidRDefault="007D782A" w14:paraId="6BDE0CBA" w14:textId="278675E9">
      <w:pPr>
        <w:spacing w:after="0" w:line="240" w:lineRule="auto"/>
        <w:ind w:firstLine="450"/>
        <w:rPr>
          <w:rFonts w:ascii="Times New Roman" w:hAnsi="Times New Roman" w:cs="Times New Roman"/>
        </w:rPr>
      </w:pPr>
      <w:r>
        <w:rPr>
          <w:rFonts w:ascii="Times New Roman" w:hAnsi="Times New Roman" w:cs="Times New Roman"/>
        </w:rPr>
        <w:tab/>
      </w:r>
      <w:r w:rsidR="00843659">
        <w:rPr>
          <w:rFonts w:ascii="Times New Roman" w:hAnsi="Times New Roman" w:cs="Times New Roman"/>
        </w:rPr>
        <w:t>E.O.</w:t>
      </w:r>
      <w:r w:rsidRPr="000E6E0F" w:rsidR="00461D85">
        <w:rPr>
          <w:rFonts w:ascii="Times New Roman" w:hAnsi="Times New Roman" w:cs="Times New Roman"/>
        </w:rPr>
        <w:t xml:space="preserve"> 13211 requires Agencies to prepare a Statement of Energy Effects when undertaking certain agency actions. Such Statements of Energy Effects shall describe the effects of certain regulatory actions on energy supply, distribution, or use, notably: (</w:t>
      </w:r>
      <w:proofErr w:type="spellStart"/>
      <w:r w:rsidRPr="000E6E0F" w:rsidR="00461D85">
        <w:rPr>
          <w:rFonts w:ascii="Times New Roman" w:hAnsi="Times New Roman" w:cs="Times New Roman"/>
        </w:rPr>
        <w:t>i</w:t>
      </w:r>
      <w:proofErr w:type="spellEnd"/>
      <w:r w:rsidRPr="000E6E0F" w:rsidR="00461D85">
        <w:rPr>
          <w:rFonts w:ascii="Times New Roman" w:hAnsi="Times New Roman" w:cs="Times New Roman"/>
        </w:rPr>
        <w:t xml:space="preserve">) any adverse effects on energy supply, distribution, or use (including a shortfall in supply, price increases, and increased use of foreign supplies) should the proposal be implemented, and (ii) reasonable alternatives to the action with adverse energy effects and the expected effects of such alternatives on energy supply, distribution, and use. The OMB implementation memorandum for </w:t>
      </w:r>
      <w:r w:rsidR="00843659">
        <w:rPr>
          <w:rFonts w:ascii="Times New Roman" w:hAnsi="Times New Roman" w:cs="Times New Roman"/>
        </w:rPr>
        <w:t>E.O.</w:t>
      </w:r>
      <w:r w:rsidRPr="000E6E0F" w:rsidR="00461D85">
        <w:rPr>
          <w:rFonts w:ascii="Times New Roman" w:hAnsi="Times New Roman" w:cs="Times New Roman"/>
        </w:rPr>
        <w:t xml:space="preserve"> 13211 outlines specific criteria for assessing whether a regulation constitutes a “significant energy action” and would have a “significant adverse effect on the supply, distribution or use of energy.”</w:t>
      </w:r>
      <w:r w:rsidRPr="000E6E0F" w:rsidR="00461D85">
        <w:rPr>
          <w:rStyle w:val="FootnoteReference"/>
          <w:rFonts w:ascii="Times New Roman" w:hAnsi="Times New Roman" w:cs="Times New Roman"/>
        </w:rPr>
        <w:footnoteReference w:id="111"/>
      </w:r>
      <w:r w:rsidRPr="000E6E0F" w:rsidR="00461D85">
        <w:rPr>
          <w:rFonts w:ascii="Times New Roman" w:hAnsi="Times New Roman" w:cs="Times New Roman"/>
        </w:rPr>
        <w:t xml:space="preserve"> Those criteria include: </w:t>
      </w:r>
    </w:p>
    <w:p w:rsidRPr="000E6E0F" w:rsidR="003165DF" w:rsidP="000E6E0F" w:rsidRDefault="003165DF" w14:paraId="303D0E99" w14:textId="77777777">
      <w:pPr>
        <w:spacing w:after="0" w:line="240" w:lineRule="auto"/>
        <w:ind w:firstLine="450"/>
        <w:rPr>
          <w:rFonts w:ascii="Times New Roman" w:hAnsi="Times New Roman" w:cs="Times New Roman"/>
        </w:rPr>
      </w:pPr>
    </w:p>
    <w:p w:rsidRPr="000E6E0F" w:rsidR="00461D85" w:rsidP="000E6E0F" w:rsidRDefault="00461D85" w14:paraId="409B20CC" w14:textId="004A4810">
      <w:pPr>
        <w:pStyle w:val="Default"/>
        <w:keepNex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Reductions in crude oil supply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10,000 barrels per day</w:t>
      </w:r>
      <w:r w:rsidR="00935008">
        <w:rPr>
          <w:rFonts w:ascii="Times New Roman" w:hAnsi="Times New Roman" w:cs="Times New Roman"/>
          <w:sz w:val="22"/>
          <w:szCs w:val="22"/>
        </w:rPr>
        <w:t>.</w:t>
      </w:r>
    </w:p>
    <w:p w:rsidRPr="000E6E0F" w:rsidR="00461D85" w:rsidP="000E6E0F" w:rsidRDefault="00461D85" w14:paraId="1A461B3D" w14:textId="7F1DF789">
      <w:pPr>
        <w:pStyle w:val="Default"/>
        <w:keepNex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Reductions in fuel production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4,000 barrels per day. </w:t>
      </w:r>
    </w:p>
    <w:p w:rsidRPr="000E6E0F" w:rsidR="00461D85" w:rsidP="000E6E0F" w:rsidRDefault="00461D85" w14:paraId="0E8FA092" w14:textId="3BAE3F87">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Reductions in coal production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5 million tons per year. </w:t>
      </w:r>
    </w:p>
    <w:p w:rsidRPr="000E6E0F" w:rsidR="00461D85" w:rsidP="000E6E0F" w:rsidRDefault="00461D85" w14:paraId="370FB75D" w14:textId="26C7E228">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Reductions in natural gas production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25 million mcf per year. </w:t>
      </w:r>
    </w:p>
    <w:p w:rsidRPr="000E6E0F" w:rsidR="00461D85" w:rsidP="000E6E0F" w:rsidRDefault="00461D85" w14:paraId="70FA38B5" w14:textId="5D3BD047">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lastRenderedPageBreak/>
        <w:t xml:space="preserve">Reductions in electricity production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1 billion kilowatt-hours per year, or in excess of 500 megawatts of installed capacity. </w:t>
      </w:r>
    </w:p>
    <w:p w:rsidRPr="000E6E0F" w:rsidR="00461D85" w:rsidP="000E6E0F" w:rsidRDefault="00461D85" w14:paraId="4A5E745C" w14:textId="5AB21307">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Increases in the cost of energy production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1 percent. </w:t>
      </w:r>
    </w:p>
    <w:p w:rsidRPr="000E6E0F" w:rsidR="00461D85" w:rsidP="000E6E0F" w:rsidRDefault="00461D85" w14:paraId="24A2C9F6" w14:textId="7C90C835">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Increases in the cost of energy distribution </w:t>
      </w:r>
      <w:proofErr w:type="gramStart"/>
      <w:r w:rsidRPr="000E6E0F">
        <w:rPr>
          <w:rFonts w:ascii="Times New Roman" w:hAnsi="Times New Roman" w:cs="Times New Roman"/>
          <w:sz w:val="22"/>
          <w:szCs w:val="22"/>
        </w:rPr>
        <w:t>in excess of</w:t>
      </w:r>
      <w:proofErr w:type="gramEnd"/>
      <w:r w:rsidRPr="000E6E0F">
        <w:rPr>
          <w:rFonts w:ascii="Times New Roman" w:hAnsi="Times New Roman" w:cs="Times New Roman"/>
          <w:sz w:val="22"/>
          <w:szCs w:val="22"/>
        </w:rPr>
        <w:t xml:space="preserve"> 1 percent. </w:t>
      </w:r>
    </w:p>
    <w:p w:rsidRPr="000E6E0F" w:rsidR="00461D85" w:rsidP="000E6E0F" w:rsidRDefault="00461D85" w14:paraId="142AA25C" w14:textId="784A9E6F">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Significant increases in dependence on foreign supplies of energy. </w:t>
      </w:r>
    </w:p>
    <w:p w:rsidRPr="000E6E0F" w:rsidR="00461D85" w:rsidP="000E6E0F" w:rsidRDefault="00461D85" w14:paraId="42A35B8B" w14:textId="77777777">
      <w:pPr>
        <w:pStyle w:val="Default"/>
        <w:numPr>
          <w:ilvl w:val="0"/>
          <w:numId w:val="11"/>
        </w:numPr>
        <w:rPr>
          <w:rFonts w:ascii="Times New Roman" w:hAnsi="Times New Roman" w:cs="Times New Roman"/>
          <w:i/>
          <w:sz w:val="22"/>
          <w:szCs w:val="22"/>
        </w:rPr>
      </w:pPr>
      <w:r w:rsidRPr="000E6E0F">
        <w:rPr>
          <w:rFonts w:ascii="Times New Roman" w:hAnsi="Times New Roman" w:cs="Times New Roman"/>
          <w:sz w:val="22"/>
          <w:szCs w:val="22"/>
        </w:rPr>
        <w:t xml:space="preserve">Having other similar adverse outcomes, particularly, unintended ones. </w:t>
      </w:r>
    </w:p>
    <w:p w:rsidR="000E6E0F" w:rsidP="000E6E0F" w:rsidRDefault="000E6E0F" w14:paraId="1121F13C" w14:textId="77777777">
      <w:pPr>
        <w:spacing w:after="0" w:line="240" w:lineRule="auto"/>
        <w:rPr>
          <w:rFonts w:ascii="Times New Roman" w:hAnsi="Times New Roman" w:cs="Times New Roman"/>
        </w:rPr>
      </w:pPr>
    </w:p>
    <w:p w:rsidRPr="000E6E0F" w:rsidR="00461D85" w:rsidP="000E6E0F" w:rsidRDefault="007D782A" w14:paraId="0FFBBF36" w14:textId="2A425AB2">
      <w:pPr>
        <w:spacing w:after="0" w:line="240" w:lineRule="auto"/>
        <w:ind w:firstLine="360"/>
        <w:rPr>
          <w:rFonts w:ascii="Times New Roman" w:hAnsi="Times New Roman" w:cs="Times New Roman"/>
        </w:rPr>
      </w:pPr>
      <w:r>
        <w:rPr>
          <w:rFonts w:ascii="Times New Roman" w:hAnsi="Times New Roman" w:cs="Times New Roman"/>
        </w:rPr>
        <w:tab/>
      </w:r>
      <w:r w:rsidRPr="000E6E0F" w:rsidR="00461D85">
        <w:rPr>
          <w:rFonts w:ascii="Times New Roman" w:hAnsi="Times New Roman" w:cs="Times New Roman"/>
        </w:rPr>
        <w:t>The proposed rule would not impose adverse effects on the supply, distribution, or use of energy. Some refineries may face costs from the proposed rule, for example from</w:t>
      </w:r>
      <w:r w:rsidRPr="000E6E0F" w:rsidR="009C6151">
        <w:rPr>
          <w:rFonts w:ascii="Times New Roman" w:hAnsi="Times New Roman" w:cs="Times New Roman"/>
        </w:rPr>
        <w:t xml:space="preserve"> </w:t>
      </w:r>
      <w:r w:rsidRPr="000E6E0F" w:rsidR="00461D85">
        <w:rPr>
          <w:rFonts w:ascii="Times New Roman" w:hAnsi="Times New Roman" w:cs="Times New Roman"/>
        </w:rPr>
        <w:t>STAA; however, the combined costs would result in a</w:t>
      </w:r>
      <w:r w:rsidRPr="000E6E0F" w:rsidR="00461D85">
        <w:rPr>
          <w:rFonts w:ascii="Times New Roman" w:hAnsi="Times New Roman" w:cs="Times New Roman"/>
          <w:i/>
        </w:rPr>
        <w:t xml:space="preserve"> de minimis</w:t>
      </w:r>
      <w:r w:rsidRPr="000E6E0F" w:rsidR="00461D85">
        <w:rPr>
          <w:rFonts w:ascii="Times New Roman" w:hAnsi="Times New Roman" w:cs="Times New Roman"/>
        </w:rPr>
        <w:t xml:space="preserve"> increase in cost of energy production. As such, the proposed rule does not constitute a significant regulatory action under </w:t>
      </w:r>
      <w:r w:rsidR="00843659">
        <w:rPr>
          <w:rFonts w:ascii="Times New Roman" w:hAnsi="Times New Roman" w:cs="Times New Roman"/>
        </w:rPr>
        <w:t>E.O.</w:t>
      </w:r>
      <w:r w:rsidRPr="000E6E0F" w:rsidR="00461D85">
        <w:rPr>
          <w:rFonts w:ascii="Times New Roman" w:hAnsi="Times New Roman" w:cs="Times New Roman"/>
        </w:rPr>
        <w:t xml:space="preserve"> 13211 and the EPA did not prepare a Statement of Energy Effects.</w:t>
      </w:r>
    </w:p>
    <w:p w:rsidRPr="000E6E0F" w:rsidR="00D47B80" w:rsidP="000E6E0F" w:rsidRDefault="00D47B80" w14:paraId="28F4284F" w14:textId="77777777">
      <w:pPr>
        <w:spacing w:after="0" w:line="240" w:lineRule="auto"/>
        <w:rPr>
          <w:rFonts w:ascii="Times New Roman" w:hAnsi="Times New Roman" w:cs="Times New Roman"/>
        </w:rPr>
      </w:pPr>
      <w:r w:rsidRPr="000E6E0F">
        <w:rPr>
          <w:rFonts w:ascii="Times New Roman" w:hAnsi="Times New Roman" w:cs="Times New Roman"/>
        </w:rPr>
        <w:br w:type="page"/>
      </w:r>
    </w:p>
    <w:p w:rsidR="00D47B80" w:rsidP="00D47B80" w:rsidRDefault="00D47B80" w14:paraId="36252569" w14:textId="3FA6204F">
      <w:pPr>
        <w:pStyle w:val="Heading1"/>
      </w:pPr>
      <w:bookmarkStart w:name="_Toc110502790" w:id="192"/>
      <w:r>
        <w:lastRenderedPageBreak/>
        <w:t>APPENDIX A</w:t>
      </w:r>
      <w:r w:rsidR="00896FB8">
        <w:t>: Cost Estimates of Hydrofluoric Acid Alkylation Conversion</w:t>
      </w:r>
      <w:bookmarkEnd w:id="192"/>
    </w:p>
    <w:tbl>
      <w:tblPr>
        <w:tblStyle w:val="TableGrid1"/>
        <w:tblW w:w="10075" w:type="dxa"/>
        <w:tblLayout w:type="fixed"/>
        <w:tblLook w:val="04A0" w:firstRow="1" w:lastRow="0" w:firstColumn="1" w:lastColumn="0" w:noHBand="0" w:noVBand="1"/>
      </w:tblPr>
      <w:tblGrid>
        <w:gridCol w:w="1075"/>
        <w:gridCol w:w="1530"/>
        <w:gridCol w:w="1260"/>
        <w:gridCol w:w="1530"/>
        <w:gridCol w:w="4680"/>
      </w:tblGrid>
      <w:tr w:rsidRPr="003165DF" w:rsidR="00D47B80" w:rsidTr="00CA671D" w14:paraId="1B5E2A80" w14:textId="77777777">
        <w:trPr>
          <w:tblHeader/>
        </w:trPr>
        <w:tc>
          <w:tcPr>
            <w:tcW w:w="1075" w:type="dxa"/>
            <w:shd w:val="clear" w:color="auto" w:fill="D9D9D9" w:themeFill="background1" w:themeFillShade="D9"/>
            <w:vAlign w:val="center"/>
          </w:tcPr>
          <w:p w:rsidRPr="003165DF" w:rsidR="00D47B80" w:rsidP="00896FB8" w:rsidRDefault="00D47B80" w14:paraId="4FA766AE" w14:textId="77777777">
            <w:pPr>
              <w:jc w:val="center"/>
              <w:rPr>
                <w:rFonts w:ascii="Times New Roman" w:hAnsi="Times New Roman" w:cs="Times New Roman"/>
                <w:b/>
                <w:sz w:val="20"/>
                <w:szCs w:val="20"/>
              </w:rPr>
            </w:pPr>
            <w:r w:rsidRPr="003165DF">
              <w:rPr>
                <w:rFonts w:ascii="Times New Roman" w:hAnsi="Times New Roman" w:cs="Times New Roman"/>
                <w:b/>
                <w:sz w:val="20"/>
                <w:szCs w:val="20"/>
              </w:rPr>
              <w:t>Cost estimate</w:t>
            </w:r>
          </w:p>
          <w:p w:rsidRPr="003165DF" w:rsidR="00D47B80" w:rsidP="00896FB8" w:rsidRDefault="00D47B80" w14:paraId="641AF368" w14:textId="77777777">
            <w:pPr>
              <w:jc w:val="center"/>
              <w:rPr>
                <w:rFonts w:ascii="Times New Roman" w:hAnsi="Times New Roman" w:cs="Times New Roman"/>
                <w:b/>
                <w:sz w:val="20"/>
                <w:szCs w:val="20"/>
              </w:rPr>
            </w:pPr>
            <w:r w:rsidRPr="003165DF">
              <w:rPr>
                <w:rFonts w:ascii="Times New Roman" w:hAnsi="Times New Roman" w:cs="Times New Roman"/>
                <w:b/>
                <w:sz w:val="20"/>
                <w:szCs w:val="20"/>
              </w:rPr>
              <w:t>(millions)</w:t>
            </w:r>
          </w:p>
        </w:tc>
        <w:tc>
          <w:tcPr>
            <w:tcW w:w="1530" w:type="dxa"/>
            <w:shd w:val="clear" w:color="auto" w:fill="D9D9D9" w:themeFill="background1" w:themeFillShade="D9"/>
            <w:vAlign w:val="center"/>
          </w:tcPr>
          <w:p w:rsidRPr="003165DF" w:rsidR="00D47B80" w:rsidP="00896FB8" w:rsidRDefault="00D47B80" w14:paraId="78F8C095" w14:textId="77777777">
            <w:pPr>
              <w:jc w:val="center"/>
              <w:rPr>
                <w:rFonts w:ascii="Times New Roman" w:hAnsi="Times New Roman" w:cs="Times New Roman"/>
                <w:b/>
                <w:sz w:val="20"/>
                <w:szCs w:val="20"/>
              </w:rPr>
            </w:pPr>
            <w:r w:rsidRPr="003165DF">
              <w:rPr>
                <w:rFonts w:ascii="Times New Roman" w:hAnsi="Times New Roman" w:cs="Times New Roman"/>
                <w:b/>
                <w:sz w:val="20"/>
                <w:szCs w:val="20"/>
              </w:rPr>
              <w:t>Technology or Location</w:t>
            </w:r>
          </w:p>
        </w:tc>
        <w:tc>
          <w:tcPr>
            <w:tcW w:w="1260" w:type="dxa"/>
            <w:shd w:val="clear" w:color="auto" w:fill="D9D9D9" w:themeFill="background1" w:themeFillShade="D9"/>
            <w:vAlign w:val="center"/>
          </w:tcPr>
          <w:p w:rsidRPr="003165DF" w:rsidR="00D47B80" w:rsidP="00896FB8" w:rsidRDefault="00D47B80" w14:paraId="7A01123B" w14:textId="3C433C9D">
            <w:pPr>
              <w:jc w:val="center"/>
              <w:rPr>
                <w:rFonts w:ascii="Times New Roman" w:hAnsi="Times New Roman" w:cs="Times New Roman"/>
                <w:b/>
                <w:sz w:val="20"/>
                <w:szCs w:val="20"/>
              </w:rPr>
            </w:pPr>
            <w:r w:rsidRPr="003165DF">
              <w:rPr>
                <w:rFonts w:ascii="Times New Roman" w:hAnsi="Times New Roman" w:cs="Times New Roman"/>
                <w:b/>
                <w:sz w:val="20"/>
                <w:szCs w:val="20"/>
              </w:rPr>
              <w:t xml:space="preserve">Year of </w:t>
            </w:r>
            <w:r w:rsidRPr="003165DF" w:rsidR="00CA671D">
              <w:rPr>
                <w:rFonts w:ascii="Times New Roman" w:hAnsi="Times New Roman" w:cs="Times New Roman"/>
                <w:b/>
                <w:bCs/>
                <w:sz w:val="20"/>
                <w:szCs w:val="20"/>
              </w:rPr>
              <w:t>Estimate</w:t>
            </w:r>
          </w:p>
        </w:tc>
        <w:tc>
          <w:tcPr>
            <w:tcW w:w="1530" w:type="dxa"/>
            <w:shd w:val="clear" w:color="auto" w:fill="D9D9D9" w:themeFill="background1" w:themeFillShade="D9"/>
            <w:vAlign w:val="center"/>
          </w:tcPr>
          <w:p w:rsidRPr="003165DF" w:rsidR="00D47B80" w:rsidP="00896FB8" w:rsidRDefault="00D47B80" w14:paraId="16255640" w14:textId="185F29EA">
            <w:pPr>
              <w:jc w:val="center"/>
              <w:rPr>
                <w:rFonts w:ascii="Times New Roman" w:hAnsi="Times New Roman" w:cs="Times New Roman"/>
                <w:b/>
                <w:sz w:val="20"/>
                <w:szCs w:val="20"/>
              </w:rPr>
            </w:pPr>
            <w:r w:rsidRPr="003165DF">
              <w:rPr>
                <w:rFonts w:ascii="Times New Roman" w:hAnsi="Times New Roman" w:cs="Times New Roman"/>
                <w:b/>
                <w:sz w:val="20"/>
                <w:szCs w:val="20"/>
              </w:rPr>
              <w:t>Barrels</w:t>
            </w:r>
          </w:p>
          <w:p w:rsidRPr="003165DF" w:rsidR="00D47B80" w:rsidP="00896FB8" w:rsidRDefault="00D47B80" w14:paraId="316A8F9F" w14:textId="77777777">
            <w:pPr>
              <w:jc w:val="center"/>
              <w:rPr>
                <w:rFonts w:ascii="Times New Roman" w:hAnsi="Times New Roman" w:cs="Times New Roman"/>
                <w:b/>
                <w:sz w:val="20"/>
                <w:szCs w:val="20"/>
              </w:rPr>
            </w:pPr>
            <w:r w:rsidRPr="003165DF">
              <w:rPr>
                <w:rFonts w:ascii="Times New Roman" w:hAnsi="Times New Roman" w:cs="Times New Roman"/>
                <w:b/>
                <w:sz w:val="20"/>
                <w:szCs w:val="20"/>
              </w:rPr>
              <w:t>per day (BPD)</w:t>
            </w:r>
          </w:p>
        </w:tc>
        <w:tc>
          <w:tcPr>
            <w:tcW w:w="4680" w:type="dxa"/>
            <w:shd w:val="clear" w:color="auto" w:fill="D9D9D9" w:themeFill="background1" w:themeFillShade="D9"/>
            <w:vAlign w:val="center"/>
          </w:tcPr>
          <w:p w:rsidRPr="003165DF" w:rsidR="00D47B80" w:rsidP="000B224F" w:rsidRDefault="00D47B80" w14:paraId="60148D58" w14:textId="77777777">
            <w:pPr>
              <w:jc w:val="center"/>
              <w:rPr>
                <w:rFonts w:ascii="Times New Roman" w:hAnsi="Times New Roman" w:cs="Times New Roman"/>
                <w:b/>
                <w:sz w:val="20"/>
                <w:szCs w:val="20"/>
              </w:rPr>
            </w:pPr>
            <w:r w:rsidRPr="003165DF">
              <w:rPr>
                <w:rFonts w:ascii="Times New Roman" w:hAnsi="Times New Roman" w:cs="Times New Roman"/>
                <w:b/>
                <w:sz w:val="20"/>
                <w:szCs w:val="20"/>
              </w:rPr>
              <w:t>Description</w:t>
            </w:r>
          </w:p>
        </w:tc>
      </w:tr>
      <w:tr w:rsidRPr="003165DF" w:rsidR="00D47B80" w:rsidTr="00CA671D" w14:paraId="6CFCF511" w14:textId="77777777">
        <w:tc>
          <w:tcPr>
            <w:tcW w:w="1075" w:type="dxa"/>
          </w:tcPr>
          <w:p w:rsidRPr="003165DF" w:rsidR="00D47B80" w:rsidP="000B224F" w:rsidRDefault="00D47B80" w14:paraId="06912C99" w14:textId="77777777">
            <w:pPr>
              <w:jc w:val="center"/>
              <w:rPr>
                <w:rFonts w:ascii="Times New Roman" w:hAnsi="Times New Roman" w:cs="Times New Roman"/>
                <w:sz w:val="20"/>
                <w:szCs w:val="20"/>
              </w:rPr>
            </w:pPr>
            <w:r w:rsidRPr="003165DF">
              <w:rPr>
                <w:rFonts w:ascii="Times New Roman" w:hAnsi="Times New Roman" w:cs="Times New Roman"/>
                <w:sz w:val="20"/>
                <w:szCs w:val="20"/>
              </w:rPr>
              <w:t>$50</w:t>
            </w:r>
          </w:p>
        </w:tc>
        <w:tc>
          <w:tcPr>
            <w:tcW w:w="1530" w:type="dxa"/>
          </w:tcPr>
          <w:p w:rsidRPr="003165DF" w:rsidR="00D47B80" w:rsidP="000B224F" w:rsidRDefault="00D47B80" w14:paraId="0A6890A0" w14:textId="77777777">
            <w:pPr>
              <w:rPr>
                <w:rFonts w:ascii="Times New Roman" w:hAnsi="Times New Roman" w:cs="Times New Roman"/>
                <w:sz w:val="20"/>
                <w:szCs w:val="20"/>
              </w:rPr>
            </w:pPr>
            <w:proofErr w:type="spellStart"/>
            <w:r w:rsidRPr="003165DF">
              <w:rPr>
                <w:rFonts w:ascii="Times New Roman" w:hAnsi="Times New Roman" w:cs="Times New Roman"/>
                <w:sz w:val="20"/>
                <w:szCs w:val="20"/>
              </w:rPr>
              <w:t>Exelus</w:t>
            </w:r>
            <w:proofErr w:type="spellEnd"/>
            <w:r w:rsidRPr="003165DF">
              <w:rPr>
                <w:rFonts w:ascii="Times New Roman" w:hAnsi="Times New Roman" w:cs="Times New Roman"/>
                <w:sz w:val="20"/>
                <w:szCs w:val="20"/>
              </w:rPr>
              <w:t>, a chemical technology company</w:t>
            </w:r>
          </w:p>
        </w:tc>
        <w:tc>
          <w:tcPr>
            <w:tcW w:w="1260" w:type="dxa"/>
          </w:tcPr>
          <w:p w:rsidRPr="003165DF" w:rsidR="00D47B80" w:rsidP="000B224F" w:rsidRDefault="00D47B80" w14:paraId="6880EF96" w14:textId="77777777">
            <w:pPr>
              <w:rPr>
                <w:rFonts w:ascii="Times New Roman" w:hAnsi="Times New Roman" w:cs="Times New Roman"/>
                <w:sz w:val="20"/>
                <w:szCs w:val="20"/>
              </w:rPr>
            </w:pPr>
            <w:r w:rsidRPr="003165DF">
              <w:rPr>
                <w:rFonts w:ascii="Times New Roman" w:hAnsi="Times New Roman" w:cs="Times New Roman"/>
                <w:sz w:val="20"/>
                <w:szCs w:val="20"/>
              </w:rPr>
              <w:t>2011</w:t>
            </w:r>
          </w:p>
        </w:tc>
        <w:tc>
          <w:tcPr>
            <w:tcW w:w="1530" w:type="dxa"/>
          </w:tcPr>
          <w:p w:rsidRPr="003165DF" w:rsidR="00D47B80" w:rsidP="000B224F" w:rsidRDefault="00D47B80" w14:paraId="357446CD" w14:textId="77777777">
            <w:pPr>
              <w:rPr>
                <w:rFonts w:ascii="Times New Roman" w:hAnsi="Times New Roman" w:cs="Times New Roman"/>
                <w:sz w:val="20"/>
                <w:szCs w:val="20"/>
              </w:rPr>
            </w:pPr>
            <w:r w:rsidRPr="003165DF">
              <w:rPr>
                <w:rFonts w:ascii="Times New Roman" w:hAnsi="Times New Roman" w:cs="Times New Roman"/>
                <w:sz w:val="20"/>
                <w:szCs w:val="20"/>
              </w:rPr>
              <w:t>Not Avail-able</w:t>
            </w:r>
          </w:p>
        </w:tc>
        <w:tc>
          <w:tcPr>
            <w:tcW w:w="4680" w:type="dxa"/>
          </w:tcPr>
          <w:p w:rsidRPr="003165DF" w:rsidR="00D47B80" w:rsidP="000B224F" w:rsidRDefault="00D47B80" w14:paraId="48CD033C" w14:textId="2189D40B">
            <w:pPr>
              <w:rPr>
                <w:rFonts w:ascii="Times New Roman" w:hAnsi="Times New Roman" w:cs="Times New Roman"/>
                <w:sz w:val="20"/>
                <w:szCs w:val="20"/>
              </w:rPr>
            </w:pPr>
            <w:r w:rsidRPr="003165DF">
              <w:rPr>
                <w:rFonts w:ascii="Times New Roman" w:hAnsi="Times New Roman" w:cs="Times New Roman"/>
                <w:sz w:val="20"/>
                <w:szCs w:val="20"/>
              </w:rPr>
              <w:t>Conversion to Solid acid catalyst</w:t>
            </w:r>
            <w:r w:rsidRPr="003165DF">
              <w:rPr>
                <w:rFonts w:ascii="Times New Roman" w:hAnsi="Times New Roman" w:cs="Times New Roman"/>
                <w:sz w:val="20"/>
                <w:szCs w:val="20"/>
                <w:vertAlign w:val="superscript"/>
              </w:rPr>
              <w:footnoteReference w:id="112"/>
            </w:r>
            <w:r w:rsidRPr="003165DF">
              <w:rPr>
                <w:rFonts w:ascii="Times New Roman" w:hAnsi="Times New Roman" w:cs="Times New Roman"/>
                <w:sz w:val="20"/>
                <w:szCs w:val="20"/>
              </w:rPr>
              <w:t xml:space="preserve"> to replace traditional liquid acids (no bpd provided</w:t>
            </w:r>
            <w:r w:rsidRPr="003165DF" w:rsidR="00CA671D">
              <w:rPr>
                <w:rFonts w:ascii="Times New Roman" w:hAnsi="Times New Roman" w:cs="Times New Roman"/>
                <w:sz w:val="20"/>
                <w:szCs w:val="20"/>
              </w:rPr>
              <w:t>)</w:t>
            </w:r>
            <w:r w:rsidR="00CA671D">
              <w:rPr>
                <w:rFonts w:ascii="Times New Roman" w:hAnsi="Times New Roman" w:cs="Times New Roman"/>
                <w:sz w:val="20"/>
                <w:szCs w:val="20"/>
              </w:rPr>
              <w:t>.</w:t>
            </w:r>
            <w:r w:rsidR="00CA671D">
              <w:rPr>
                <w:rStyle w:val="FootnoteReference"/>
                <w:rFonts w:ascii="Times New Roman" w:hAnsi="Times New Roman" w:cs="Times New Roman"/>
                <w:sz w:val="20"/>
                <w:szCs w:val="20"/>
              </w:rPr>
              <w:footnoteReference w:id="113"/>
            </w:r>
          </w:p>
        </w:tc>
      </w:tr>
      <w:tr w:rsidRPr="003165DF" w:rsidR="00D47B80" w:rsidTr="00CA671D" w14:paraId="3876F435" w14:textId="77777777">
        <w:tc>
          <w:tcPr>
            <w:tcW w:w="1075" w:type="dxa"/>
          </w:tcPr>
          <w:p w:rsidRPr="003165DF" w:rsidR="00D47B80" w:rsidP="000B224F" w:rsidRDefault="00D47B80" w14:paraId="3F528F7A" w14:textId="77777777">
            <w:pPr>
              <w:jc w:val="center"/>
              <w:rPr>
                <w:rFonts w:ascii="Times New Roman" w:hAnsi="Times New Roman" w:cs="Times New Roman"/>
                <w:sz w:val="20"/>
                <w:szCs w:val="20"/>
              </w:rPr>
            </w:pPr>
            <w:r w:rsidRPr="003165DF">
              <w:rPr>
                <w:rFonts w:ascii="Times New Roman" w:hAnsi="Times New Roman" w:cs="Times New Roman"/>
                <w:sz w:val="20"/>
                <w:szCs w:val="20"/>
              </w:rPr>
              <w:t>$87</w:t>
            </w:r>
          </w:p>
        </w:tc>
        <w:tc>
          <w:tcPr>
            <w:tcW w:w="1530" w:type="dxa"/>
          </w:tcPr>
          <w:p w:rsidRPr="003165DF" w:rsidR="00D47B80" w:rsidP="000B224F" w:rsidRDefault="00D47B80" w14:paraId="5D57105D" w14:textId="77777777">
            <w:pPr>
              <w:rPr>
                <w:rFonts w:ascii="Times New Roman" w:hAnsi="Times New Roman" w:cs="Times New Roman"/>
                <w:sz w:val="20"/>
                <w:szCs w:val="20"/>
              </w:rPr>
            </w:pPr>
            <w:r w:rsidRPr="003165DF">
              <w:rPr>
                <w:rFonts w:ascii="Times New Roman" w:hAnsi="Times New Roman" w:cs="Times New Roman"/>
                <w:sz w:val="20"/>
                <w:szCs w:val="20"/>
              </w:rPr>
              <w:t>Chevron Salt Lake City</w:t>
            </w:r>
          </w:p>
        </w:tc>
        <w:tc>
          <w:tcPr>
            <w:tcW w:w="1260" w:type="dxa"/>
          </w:tcPr>
          <w:p w:rsidRPr="003165DF" w:rsidR="00D47B80" w:rsidP="000B224F" w:rsidRDefault="00D47B80" w14:paraId="701B9FD7" w14:textId="77777777">
            <w:pPr>
              <w:rPr>
                <w:rFonts w:ascii="Times New Roman" w:hAnsi="Times New Roman" w:cs="Times New Roman"/>
                <w:sz w:val="20"/>
                <w:szCs w:val="20"/>
              </w:rPr>
            </w:pPr>
            <w:r w:rsidRPr="003165DF">
              <w:rPr>
                <w:rFonts w:ascii="Times New Roman" w:hAnsi="Times New Roman" w:cs="Times New Roman"/>
                <w:sz w:val="20"/>
                <w:szCs w:val="20"/>
              </w:rPr>
              <w:t>2016</w:t>
            </w:r>
          </w:p>
        </w:tc>
        <w:tc>
          <w:tcPr>
            <w:tcW w:w="1530" w:type="dxa"/>
          </w:tcPr>
          <w:p w:rsidRPr="003165DF" w:rsidR="00D47B80" w:rsidP="000B224F" w:rsidRDefault="00D47B80" w14:paraId="6ECFF60F" w14:textId="77777777">
            <w:pPr>
              <w:rPr>
                <w:rFonts w:ascii="Times New Roman" w:hAnsi="Times New Roman" w:cs="Times New Roman"/>
                <w:sz w:val="20"/>
                <w:szCs w:val="20"/>
              </w:rPr>
            </w:pPr>
            <w:r w:rsidRPr="003165DF">
              <w:rPr>
                <w:rFonts w:ascii="Times New Roman" w:hAnsi="Times New Roman" w:cs="Times New Roman"/>
                <w:sz w:val="20"/>
                <w:szCs w:val="20"/>
              </w:rPr>
              <w:t>4,500</w:t>
            </w:r>
          </w:p>
        </w:tc>
        <w:tc>
          <w:tcPr>
            <w:tcW w:w="4680" w:type="dxa"/>
          </w:tcPr>
          <w:p w:rsidRPr="003165DF" w:rsidR="00D47B80" w:rsidP="000B224F" w:rsidRDefault="00D47B80" w14:paraId="3B1FA080" w14:textId="772592D9">
            <w:pPr>
              <w:rPr>
                <w:rFonts w:ascii="Times New Roman" w:hAnsi="Times New Roman" w:cs="Times New Roman"/>
                <w:sz w:val="20"/>
                <w:szCs w:val="20"/>
              </w:rPr>
            </w:pPr>
            <w:r w:rsidRPr="003165DF">
              <w:rPr>
                <w:rFonts w:ascii="Times New Roman" w:hAnsi="Times New Roman" w:cs="Times New Roman"/>
                <w:sz w:val="20"/>
                <w:szCs w:val="20"/>
              </w:rPr>
              <w:t xml:space="preserve">Converting existing HF unit to ionic liquids (Honeywell process) 4,500 bpd. “Chevron will convert the existing 4,500-b/d HF alkylation unit at Salt Lake City to ISOALKY, a proprietary alkylation technology developed by Chevron USA Inc. and now licensed by Honeywell International Inc.’s UOP LLC, that uses ionic liquids instead of HF or sulfuric acids as a liquid alkylation catalyst for production of high-octane fuels, UOP said.” </w:t>
            </w:r>
            <w:r w:rsidRPr="003165DF" w:rsidR="00343AD8">
              <w:rPr>
                <w:rFonts w:ascii="Times New Roman" w:hAnsi="Times New Roman" w:cs="Times New Roman"/>
                <w:sz w:val="20"/>
                <w:szCs w:val="20"/>
              </w:rPr>
              <w:t xml:space="preserve">In </w:t>
            </w:r>
            <w:r w:rsidRPr="003165DF" w:rsidR="00343AD8">
              <w:rPr>
                <w:rFonts w:ascii="Times New Roman" w:hAnsi="Times New Roman" w:cs="Times New Roman"/>
                <w:i/>
                <w:sz w:val="20"/>
                <w:szCs w:val="20"/>
              </w:rPr>
              <w:t>Oil &amp;Gas Journal,</w:t>
            </w:r>
            <w:r w:rsidRPr="003165DF" w:rsidR="00343AD8">
              <w:rPr>
                <w:rFonts w:ascii="Times New Roman" w:hAnsi="Times New Roman" w:cs="Times New Roman"/>
                <w:sz w:val="20"/>
                <w:szCs w:val="20"/>
              </w:rPr>
              <w:t xml:space="preserve"> 10/4/2016 </w:t>
            </w:r>
            <w:r w:rsidRPr="003165DF">
              <w:rPr>
                <w:rFonts w:ascii="Times New Roman" w:hAnsi="Times New Roman" w:cs="Times New Roman"/>
                <w:sz w:val="20"/>
                <w:szCs w:val="20"/>
              </w:rPr>
              <w:t>and</w:t>
            </w:r>
            <w:r w:rsidRPr="003165DF" w:rsidR="00343AD8">
              <w:rPr>
                <w:rFonts w:ascii="Times New Roman" w:hAnsi="Times New Roman" w:cs="Times New Roman"/>
                <w:sz w:val="20"/>
                <w:szCs w:val="20"/>
              </w:rPr>
              <w:t xml:space="preserve"> cost estimates for two contracts appear in</w:t>
            </w:r>
            <w:r w:rsidRPr="003165DF" w:rsidR="00343AD8">
              <w:rPr>
                <w:rFonts w:ascii="Times New Roman" w:hAnsi="Times New Roman" w:cs="Times New Roman"/>
                <w:i/>
                <w:sz w:val="20"/>
                <w:szCs w:val="20"/>
              </w:rPr>
              <w:t xml:space="preserve"> Oil </w:t>
            </w:r>
            <w:r w:rsidRPr="003165DF">
              <w:rPr>
                <w:rFonts w:ascii="Times New Roman" w:hAnsi="Times New Roman" w:cs="Times New Roman"/>
                <w:i/>
                <w:sz w:val="20"/>
                <w:szCs w:val="20"/>
              </w:rPr>
              <w:t>&amp;</w:t>
            </w:r>
            <w:r w:rsidRPr="003165DF" w:rsidR="00343AD8">
              <w:rPr>
                <w:rFonts w:ascii="Times New Roman" w:hAnsi="Times New Roman" w:cs="Times New Roman"/>
                <w:i/>
                <w:sz w:val="20"/>
                <w:szCs w:val="20"/>
              </w:rPr>
              <w:t xml:space="preserve"> </w:t>
            </w:r>
            <w:r w:rsidRPr="003165DF">
              <w:rPr>
                <w:rFonts w:ascii="Times New Roman" w:hAnsi="Times New Roman" w:cs="Times New Roman"/>
                <w:i/>
                <w:sz w:val="20"/>
                <w:szCs w:val="20"/>
              </w:rPr>
              <w:t>G</w:t>
            </w:r>
            <w:r w:rsidRPr="003165DF" w:rsidR="00343AD8">
              <w:rPr>
                <w:rFonts w:ascii="Times New Roman" w:hAnsi="Times New Roman" w:cs="Times New Roman"/>
                <w:i/>
                <w:sz w:val="20"/>
                <w:szCs w:val="20"/>
              </w:rPr>
              <w:t>as</w:t>
            </w:r>
            <w:r w:rsidRPr="003165DF">
              <w:rPr>
                <w:rFonts w:ascii="Times New Roman" w:hAnsi="Times New Roman" w:cs="Times New Roman"/>
                <w:i/>
                <w:sz w:val="20"/>
                <w:szCs w:val="20"/>
              </w:rPr>
              <w:t xml:space="preserve"> Journal</w:t>
            </w:r>
            <w:r w:rsidRPr="003165DF">
              <w:rPr>
                <w:rFonts w:ascii="Times New Roman" w:hAnsi="Times New Roman" w:cs="Times New Roman"/>
                <w:sz w:val="20"/>
                <w:szCs w:val="20"/>
              </w:rPr>
              <w:t xml:space="preserve"> 2/1/17</w:t>
            </w:r>
            <w:r w:rsidRPr="003165DF" w:rsidR="00343AD8">
              <w:rPr>
                <w:rFonts w:ascii="Times New Roman" w:hAnsi="Times New Roman" w:cs="Times New Roman"/>
                <w:sz w:val="20"/>
                <w:szCs w:val="20"/>
              </w:rPr>
              <w:t xml:space="preserve">:  </w:t>
            </w:r>
            <w:r w:rsidRPr="003165DF" w:rsidR="00CA671D">
              <w:rPr>
                <w:rFonts w:ascii="Times New Roman" w:hAnsi="Times New Roman" w:cs="Times New Roman"/>
                <w:sz w:val="20"/>
                <w:szCs w:val="20"/>
              </w:rPr>
              <w:t>$</w:t>
            </w:r>
            <w:r w:rsidRPr="003165DF">
              <w:rPr>
                <w:rFonts w:ascii="Times New Roman" w:hAnsi="Times New Roman" w:cs="Times New Roman"/>
                <w:sz w:val="20"/>
                <w:szCs w:val="20"/>
              </w:rPr>
              <w:t>67</w:t>
            </w:r>
            <w:r w:rsidRPr="003165DF" w:rsidR="00343AD8">
              <w:rPr>
                <w:rFonts w:ascii="Times New Roman" w:hAnsi="Times New Roman" w:cs="Times New Roman"/>
                <w:sz w:val="20"/>
                <w:szCs w:val="20"/>
              </w:rPr>
              <w:t xml:space="preserve"> million</w:t>
            </w:r>
            <w:r w:rsidRPr="003165DF">
              <w:rPr>
                <w:rFonts w:ascii="Times New Roman" w:hAnsi="Times New Roman" w:cs="Times New Roman"/>
                <w:sz w:val="20"/>
                <w:szCs w:val="20"/>
              </w:rPr>
              <w:t xml:space="preserve"> + $20 million</w:t>
            </w:r>
            <w:r w:rsidR="00CA671D">
              <w:rPr>
                <w:rFonts w:ascii="Times New Roman" w:hAnsi="Times New Roman" w:cs="Times New Roman"/>
                <w:sz w:val="20"/>
                <w:szCs w:val="20"/>
              </w:rPr>
              <w:t>.</w:t>
            </w:r>
            <w:r w:rsidR="00CA671D">
              <w:rPr>
                <w:rStyle w:val="FootnoteReference"/>
                <w:rFonts w:ascii="Times New Roman" w:hAnsi="Times New Roman" w:cs="Times New Roman"/>
                <w:sz w:val="20"/>
                <w:szCs w:val="20"/>
              </w:rPr>
              <w:footnoteReference w:id="114"/>
            </w:r>
          </w:p>
        </w:tc>
      </w:tr>
      <w:tr w:rsidRPr="003165DF" w:rsidR="00D47B80" w:rsidTr="00CA671D" w14:paraId="3B975C9F" w14:textId="77777777">
        <w:tc>
          <w:tcPr>
            <w:tcW w:w="1075" w:type="dxa"/>
          </w:tcPr>
          <w:p w:rsidRPr="003165DF" w:rsidR="00D47B80" w:rsidP="000B224F" w:rsidRDefault="00D47B80" w14:paraId="4683546B" w14:textId="77777777">
            <w:pPr>
              <w:jc w:val="center"/>
              <w:rPr>
                <w:rFonts w:ascii="Times New Roman" w:hAnsi="Times New Roman" w:cs="Times New Roman"/>
                <w:sz w:val="20"/>
                <w:szCs w:val="20"/>
              </w:rPr>
            </w:pPr>
            <w:r w:rsidRPr="003165DF">
              <w:rPr>
                <w:rFonts w:ascii="Times New Roman" w:hAnsi="Times New Roman" w:cs="Times New Roman"/>
                <w:sz w:val="20"/>
                <w:szCs w:val="20"/>
              </w:rPr>
              <w:t>$900</w:t>
            </w:r>
          </w:p>
          <w:p w:rsidRPr="003165DF" w:rsidR="00D47B80" w:rsidP="000B224F" w:rsidRDefault="00D47B80" w14:paraId="374A6B6E" w14:textId="77777777">
            <w:pPr>
              <w:jc w:val="center"/>
              <w:rPr>
                <w:rFonts w:ascii="Times New Roman" w:hAnsi="Times New Roman" w:cs="Times New Roman"/>
                <w:sz w:val="20"/>
                <w:szCs w:val="20"/>
              </w:rPr>
            </w:pPr>
          </w:p>
          <w:p w:rsidRPr="003165DF" w:rsidR="00D47B80" w:rsidP="000B224F" w:rsidRDefault="00D47B80" w14:paraId="3D083DA4" w14:textId="77777777">
            <w:pPr>
              <w:jc w:val="center"/>
              <w:rPr>
                <w:rFonts w:ascii="Times New Roman" w:hAnsi="Times New Roman" w:cs="Times New Roman"/>
                <w:sz w:val="20"/>
                <w:szCs w:val="20"/>
              </w:rPr>
            </w:pPr>
          </w:p>
        </w:tc>
        <w:tc>
          <w:tcPr>
            <w:tcW w:w="1530" w:type="dxa"/>
          </w:tcPr>
          <w:p w:rsidRPr="003165DF" w:rsidR="00D47B80" w:rsidP="000B224F" w:rsidRDefault="00D47B80" w14:paraId="00319EE3" w14:textId="77777777">
            <w:pPr>
              <w:rPr>
                <w:rFonts w:ascii="Times New Roman" w:hAnsi="Times New Roman" w:cs="Times New Roman"/>
                <w:sz w:val="20"/>
                <w:szCs w:val="20"/>
              </w:rPr>
            </w:pPr>
            <w:r w:rsidRPr="003165DF">
              <w:rPr>
                <w:rFonts w:ascii="Times New Roman" w:hAnsi="Times New Roman" w:cs="Times New Roman"/>
                <w:sz w:val="20"/>
                <w:szCs w:val="20"/>
              </w:rPr>
              <w:t>Torrance Refinery in Torrance CA</w:t>
            </w:r>
          </w:p>
        </w:tc>
        <w:tc>
          <w:tcPr>
            <w:tcW w:w="1260" w:type="dxa"/>
          </w:tcPr>
          <w:p w:rsidRPr="003165DF" w:rsidR="00D47B80" w:rsidP="000B224F" w:rsidRDefault="00D47B80" w14:paraId="0AA929EF" w14:textId="77777777">
            <w:pPr>
              <w:rPr>
                <w:rFonts w:ascii="Times New Roman" w:hAnsi="Times New Roman" w:cs="Times New Roman"/>
                <w:sz w:val="20"/>
                <w:szCs w:val="20"/>
              </w:rPr>
            </w:pPr>
            <w:r w:rsidRPr="003165DF">
              <w:rPr>
                <w:rFonts w:ascii="Times New Roman" w:hAnsi="Times New Roman" w:cs="Times New Roman"/>
                <w:sz w:val="20"/>
                <w:szCs w:val="20"/>
              </w:rPr>
              <w:t>2017</w:t>
            </w:r>
          </w:p>
        </w:tc>
        <w:tc>
          <w:tcPr>
            <w:tcW w:w="1530" w:type="dxa"/>
          </w:tcPr>
          <w:p w:rsidRPr="003165DF" w:rsidR="00D47B80" w:rsidP="000B224F" w:rsidRDefault="00D47B80" w14:paraId="16BA6389" w14:textId="77777777">
            <w:pPr>
              <w:rPr>
                <w:rFonts w:ascii="Times New Roman" w:hAnsi="Times New Roman" w:cs="Times New Roman"/>
                <w:sz w:val="20"/>
                <w:szCs w:val="20"/>
              </w:rPr>
            </w:pPr>
            <w:r w:rsidRPr="003165DF">
              <w:rPr>
                <w:rFonts w:ascii="Times New Roman" w:hAnsi="Times New Roman" w:cs="Times New Roman"/>
                <w:sz w:val="20"/>
                <w:szCs w:val="20"/>
              </w:rPr>
              <w:t>30,000</w:t>
            </w:r>
          </w:p>
        </w:tc>
        <w:tc>
          <w:tcPr>
            <w:tcW w:w="4680" w:type="dxa"/>
          </w:tcPr>
          <w:p w:rsidRPr="003165DF" w:rsidR="00D47B80" w:rsidP="000B224F" w:rsidRDefault="00D47B80" w14:paraId="078938FC" w14:textId="65AECAEF">
            <w:pPr>
              <w:rPr>
                <w:rFonts w:ascii="Times New Roman" w:hAnsi="Times New Roman" w:cs="Times New Roman"/>
                <w:sz w:val="20"/>
                <w:szCs w:val="20"/>
              </w:rPr>
            </w:pPr>
            <w:r w:rsidRPr="003165DF">
              <w:rPr>
                <w:rFonts w:ascii="Times New Roman" w:hAnsi="Times New Roman" w:cs="Times New Roman"/>
                <w:sz w:val="20"/>
                <w:szCs w:val="20"/>
              </w:rPr>
              <w:t>Conversion to new sulfuric acid unit using Sulfuric Acid Alkylation Technology to produce 30,000 BPD of alkylate product</w:t>
            </w:r>
            <w:r w:rsidRPr="003165DF" w:rsidR="00CA671D">
              <w:rPr>
                <w:rFonts w:ascii="Times New Roman" w:hAnsi="Times New Roman" w:cs="Times New Roman"/>
                <w:sz w:val="20"/>
                <w:szCs w:val="20"/>
              </w:rPr>
              <w:t>:</w:t>
            </w:r>
            <w:r w:rsidRPr="003165DF">
              <w:rPr>
                <w:rFonts w:ascii="Times New Roman" w:hAnsi="Times New Roman" w:cs="Times New Roman"/>
                <w:sz w:val="20"/>
                <w:szCs w:val="20"/>
              </w:rPr>
              <w:t xml:space="preserve"> $600m for alkylation </w:t>
            </w:r>
            <w:proofErr w:type="gramStart"/>
            <w:r w:rsidRPr="003165DF">
              <w:rPr>
                <w:rFonts w:ascii="Times New Roman" w:hAnsi="Times New Roman" w:cs="Times New Roman"/>
                <w:sz w:val="20"/>
                <w:szCs w:val="20"/>
              </w:rPr>
              <w:t>unit</w:t>
            </w:r>
            <w:r w:rsidRPr="003165DF" w:rsidR="00343AD8">
              <w:rPr>
                <w:rFonts w:ascii="Times New Roman" w:hAnsi="Times New Roman" w:cs="Times New Roman"/>
                <w:sz w:val="20"/>
                <w:szCs w:val="20"/>
              </w:rPr>
              <w:t>;</w:t>
            </w:r>
            <w:proofErr w:type="gramEnd"/>
          </w:p>
          <w:p w:rsidRPr="003165DF" w:rsidR="00D47B80" w:rsidP="000B224F" w:rsidRDefault="00D47B80" w14:paraId="365BC4F2" w14:textId="0C48EB01">
            <w:pPr>
              <w:rPr>
                <w:rFonts w:ascii="Times New Roman" w:hAnsi="Times New Roman" w:cs="Times New Roman"/>
                <w:sz w:val="20"/>
                <w:szCs w:val="20"/>
              </w:rPr>
            </w:pPr>
            <w:r w:rsidRPr="003165DF">
              <w:rPr>
                <w:rFonts w:ascii="Times New Roman" w:hAnsi="Times New Roman" w:cs="Times New Roman"/>
                <w:sz w:val="20"/>
                <w:szCs w:val="20"/>
              </w:rPr>
              <w:t>$300m for acid regeneration plant</w:t>
            </w:r>
            <w:r w:rsidRPr="003165DF" w:rsidR="00343AD8">
              <w:rPr>
                <w:rFonts w:ascii="Times New Roman" w:hAnsi="Times New Roman" w:cs="Times New Roman"/>
                <w:sz w:val="20"/>
                <w:szCs w:val="20"/>
              </w:rPr>
              <w:t>.</w:t>
            </w:r>
            <w:r w:rsidR="00CA671D">
              <w:rPr>
                <w:rStyle w:val="FootnoteReference"/>
                <w:rFonts w:ascii="Times New Roman" w:hAnsi="Times New Roman" w:cs="Times New Roman"/>
                <w:sz w:val="20"/>
                <w:szCs w:val="20"/>
              </w:rPr>
              <w:footnoteReference w:id="115"/>
            </w:r>
          </w:p>
        </w:tc>
      </w:tr>
      <w:tr w:rsidRPr="003165DF" w:rsidR="00D47B80" w:rsidTr="00CA671D" w14:paraId="651FD7BA" w14:textId="77777777">
        <w:tc>
          <w:tcPr>
            <w:tcW w:w="1075" w:type="dxa"/>
          </w:tcPr>
          <w:p w:rsidRPr="003165DF" w:rsidR="00D47B80" w:rsidP="000B224F" w:rsidRDefault="00D47B80" w14:paraId="38C920CB" w14:textId="77777777">
            <w:pPr>
              <w:jc w:val="center"/>
              <w:rPr>
                <w:rFonts w:ascii="Times New Roman" w:hAnsi="Times New Roman" w:cs="Times New Roman"/>
                <w:sz w:val="20"/>
                <w:szCs w:val="20"/>
              </w:rPr>
            </w:pPr>
            <w:r w:rsidRPr="003165DF">
              <w:rPr>
                <w:rFonts w:ascii="Times New Roman" w:hAnsi="Times New Roman" w:cs="Times New Roman"/>
                <w:sz w:val="20"/>
                <w:szCs w:val="20"/>
              </w:rPr>
              <w:t>$300</w:t>
            </w:r>
          </w:p>
          <w:p w:rsidRPr="003165DF" w:rsidR="00D47B80" w:rsidP="000B224F" w:rsidRDefault="00D47B80" w14:paraId="16FBEE34" w14:textId="77777777">
            <w:pPr>
              <w:jc w:val="center"/>
              <w:rPr>
                <w:rFonts w:ascii="Times New Roman" w:hAnsi="Times New Roman" w:cs="Times New Roman"/>
                <w:sz w:val="20"/>
                <w:szCs w:val="20"/>
              </w:rPr>
            </w:pPr>
          </w:p>
          <w:p w:rsidRPr="003165DF" w:rsidR="00D47B80" w:rsidP="000B224F" w:rsidRDefault="00D47B80" w14:paraId="59EE0E4A" w14:textId="77777777">
            <w:pPr>
              <w:jc w:val="center"/>
              <w:rPr>
                <w:rFonts w:ascii="Times New Roman" w:hAnsi="Times New Roman" w:cs="Times New Roman"/>
                <w:sz w:val="20"/>
                <w:szCs w:val="20"/>
              </w:rPr>
            </w:pPr>
            <w:r w:rsidRPr="003165DF">
              <w:rPr>
                <w:rFonts w:ascii="Times New Roman" w:hAnsi="Times New Roman" w:cs="Times New Roman"/>
                <w:sz w:val="20"/>
                <w:szCs w:val="20"/>
              </w:rPr>
              <w:lastRenderedPageBreak/>
              <w:t>(</w:t>
            </w:r>
            <w:proofErr w:type="gramStart"/>
            <w:r w:rsidRPr="003165DF">
              <w:rPr>
                <w:rFonts w:ascii="Times New Roman" w:hAnsi="Times New Roman" w:cs="Times New Roman"/>
                <w:sz w:val="20"/>
                <w:szCs w:val="20"/>
              </w:rPr>
              <w:t>from</w:t>
            </w:r>
            <w:proofErr w:type="gramEnd"/>
            <w:r w:rsidRPr="003165DF">
              <w:rPr>
                <w:rFonts w:ascii="Times New Roman" w:hAnsi="Times New Roman" w:cs="Times New Roman"/>
                <w:sz w:val="20"/>
                <w:szCs w:val="20"/>
              </w:rPr>
              <w:t xml:space="preserve"> a range of $100 to $500)</w:t>
            </w:r>
          </w:p>
        </w:tc>
        <w:tc>
          <w:tcPr>
            <w:tcW w:w="1530" w:type="dxa"/>
          </w:tcPr>
          <w:p w:rsidRPr="003165DF" w:rsidR="00D47B80" w:rsidP="000B224F" w:rsidRDefault="00D47B80" w14:paraId="1CA71F13" w14:textId="77777777">
            <w:pPr>
              <w:rPr>
                <w:rFonts w:ascii="Times New Roman" w:hAnsi="Times New Roman" w:cs="Times New Roman"/>
                <w:sz w:val="20"/>
                <w:szCs w:val="20"/>
              </w:rPr>
            </w:pPr>
            <w:r w:rsidRPr="003165DF">
              <w:rPr>
                <w:rFonts w:ascii="Times New Roman" w:hAnsi="Times New Roman" w:cs="Times New Roman"/>
                <w:sz w:val="20"/>
                <w:szCs w:val="20"/>
              </w:rPr>
              <w:lastRenderedPageBreak/>
              <w:t xml:space="preserve">American Fuel and </w:t>
            </w:r>
            <w:r w:rsidRPr="003165DF">
              <w:rPr>
                <w:rFonts w:ascii="Times New Roman" w:hAnsi="Times New Roman" w:cs="Times New Roman"/>
                <w:sz w:val="20"/>
                <w:szCs w:val="20"/>
              </w:rPr>
              <w:lastRenderedPageBreak/>
              <w:t xml:space="preserve">Petrochemicals Manufacturers (AFPM) an association representing larger petroleum facilities.  </w:t>
            </w:r>
          </w:p>
        </w:tc>
        <w:tc>
          <w:tcPr>
            <w:tcW w:w="1260" w:type="dxa"/>
          </w:tcPr>
          <w:p w:rsidRPr="003165DF" w:rsidR="00D47B80" w:rsidP="000B224F" w:rsidRDefault="00D47B80" w14:paraId="525FEED9" w14:textId="77777777">
            <w:pPr>
              <w:rPr>
                <w:rFonts w:ascii="Times New Roman" w:hAnsi="Times New Roman" w:cs="Times New Roman"/>
                <w:sz w:val="20"/>
                <w:szCs w:val="20"/>
              </w:rPr>
            </w:pPr>
            <w:r w:rsidRPr="003165DF">
              <w:rPr>
                <w:rFonts w:ascii="Times New Roman" w:hAnsi="Times New Roman" w:cs="Times New Roman"/>
                <w:sz w:val="20"/>
                <w:szCs w:val="20"/>
              </w:rPr>
              <w:lastRenderedPageBreak/>
              <w:t>2015</w:t>
            </w:r>
          </w:p>
        </w:tc>
        <w:tc>
          <w:tcPr>
            <w:tcW w:w="1530" w:type="dxa"/>
          </w:tcPr>
          <w:p w:rsidRPr="003165DF" w:rsidR="00D47B80" w:rsidP="000B224F" w:rsidRDefault="00D47B80" w14:paraId="455AD798" w14:textId="77777777">
            <w:pPr>
              <w:rPr>
                <w:rFonts w:ascii="Times New Roman" w:hAnsi="Times New Roman" w:cs="Times New Roman"/>
                <w:sz w:val="20"/>
                <w:szCs w:val="20"/>
              </w:rPr>
            </w:pPr>
            <w:r w:rsidRPr="003165DF">
              <w:rPr>
                <w:rFonts w:ascii="Times New Roman" w:hAnsi="Times New Roman" w:cs="Times New Roman"/>
                <w:sz w:val="20"/>
                <w:szCs w:val="20"/>
              </w:rPr>
              <w:t>Not Avail-able</w:t>
            </w:r>
          </w:p>
        </w:tc>
        <w:tc>
          <w:tcPr>
            <w:tcW w:w="4680" w:type="dxa"/>
          </w:tcPr>
          <w:p w:rsidRPr="003165DF" w:rsidR="00D47B80" w:rsidP="000B224F" w:rsidRDefault="00D47B80" w14:paraId="490DB71D" w14:textId="77777777">
            <w:pPr>
              <w:autoSpaceDE w:val="0"/>
              <w:autoSpaceDN w:val="0"/>
              <w:adjustRightInd w:val="0"/>
              <w:rPr>
                <w:rFonts w:ascii="Times New Roman" w:hAnsi="Times New Roman" w:cs="Times New Roman"/>
                <w:sz w:val="20"/>
                <w:szCs w:val="20"/>
              </w:rPr>
            </w:pPr>
            <w:r w:rsidRPr="003165DF">
              <w:rPr>
                <w:rFonts w:ascii="Times New Roman" w:hAnsi="Times New Roman" w:cs="Times New Roman"/>
                <w:sz w:val="20"/>
                <w:szCs w:val="20"/>
              </w:rPr>
              <w:t>AFPM members estimate costs to</w:t>
            </w:r>
          </w:p>
          <w:p w:rsidRPr="003165DF" w:rsidR="00D47B80" w:rsidP="000B224F" w:rsidRDefault="00D47B80" w14:paraId="2E36A5A8" w14:textId="22461D5C">
            <w:pPr>
              <w:autoSpaceDE w:val="0"/>
              <w:autoSpaceDN w:val="0"/>
              <w:adjustRightInd w:val="0"/>
              <w:rPr>
                <w:rFonts w:ascii="Times New Roman" w:hAnsi="Times New Roman" w:cs="Times New Roman"/>
                <w:sz w:val="20"/>
                <w:szCs w:val="20"/>
              </w:rPr>
            </w:pPr>
            <w:r w:rsidRPr="003165DF">
              <w:rPr>
                <w:rFonts w:ascii="Times New Roman" w:hAnsi="Times New Roman" w:cs="Times New Roman"/>
                <w:sz w:val="20"/>
                <w:szCs w:val="20"/>
              </w:rPr>
              <w:lastRenderedPageBreak/>
              <w:t>modify or replace an HF alkylation unit would more realistically range from $100 million to $500 million in capital, depending on facility-specific considerations.</w:t>
            </w:r>
            <w:r w:rsidR="00CA671D">
              <w:rPr>
                <w:rStyle w:val="FootnoteReference"/>
                <w:rFonts w:ascii="Times New Roman" w:hAnsi="Times New Roman" w:cs="Times New Roman"/>
                <w:sz w:val="20"/>
                <w:szCs w:val="20"/>
              </w:rPr>
              <w:footnoteReference w:id="116"/>
            </w:r>
          </w:p>
        </w:tc>
      </w:tr>
      <w:tr w:rsidRPr="003165DF" w:rsidR="00D47B80" w:rsidTr="00CA671D" w14:paraId="356679BB" w14:textId="77777777">
        <w:tc>
          <w:tcPr>
            <w:tcW w:w="1075" w:type="dxa"/>
          </w:tcPr>
          <w:p w:rsidRPr="003165DF" w:rsidR="00D47B80" w:rsidP="000B224F" w:rsidRDefault="00D47B80" w14:paraId="11A3EFFC" w14:textId="77777777">
            <w:pPr>
              <w:jc w:val="center"/>
              <w:rPr>
                <w:rFonts w:ascii="Times New Roman" w:hAnsi="Times New Roman" w:cs="Times New Roman"/>
                <w:sz w:val="20"/>
                <w:szCs w:val="20"/>
              </w:rPr>
            </w:pPr>
            <w:r w:rsidRPr="003165DF">
              <w:rPr>
                <w:rFonts w:ascii="Times New Roman" w:hAnsi="Times New Roman" w:cs="Times New Roman"/>
                <w:sz w:val="20"/>
                <w:szCs w:val="20"/>
              </w:rPr>
              <w:lastRenderedPageBreak/>
              <w:t>$100</w:t>
            </w:r>
          </w:p>
        </w:tc>
        <w:tc>
          <w:tcPr>
            <w:tcW w:w="1530" w:type="dxa"/>
          </w:tcPr>
          <w:p w:rsidRPr="003165DF" w:rsidR="00D47B80" w:rsidP="000B224F" w:rsidRDefault="00D47B80" w14:paraId="593A6239" w14:textId="77777777">
            <w:pPr>
              <w:rPr>
                <w:rFonts w:ascii="Times New Roman" w:hAnsi="Times New Roman" w:cs="Times New Roman"/>
                <w:sz w:val="20"/>
                <w:szCs w:val="20"/>
              </w:rPr>
            </w:pPr>
            <w:proofErr w:type="spellStart"/>
            <w:r w:rsidRPr="003165DF">
              <w:rPr>
                <w:rFonts w:ascii="Times New Roman" w:hAnsi="Times New Roman" w:cs="Times New Roman"/>
                <w:sz w:val="20"/>
                <w:szCs w:val="20"/>
              </w:rPr>
              <w:t>Delek</w:t>
            </w:r>
            <w:proofErr w:type="spellEnd"/>
            <w:r w:rsidRPr="003165DF">
              <w:rPr>
                <w:rFonts w:ascii="Times New Roman" w:hAnsi="Times New Roman" w:cs="Times New Roman"/>
                <w:sz w:val="20"/>
                <w:szCs w:val="20"/>
              </w:rPr>
              <w:t xml:space="preserve"> Louisiana</w:t>
            </w:r>
          </w:p>
        </w:tc>
        <w:tc>
          <w:tcPr>
            <w:tcW w:w="1260" w:type="dxa"/>
          </w:tcPr>
          <w:p w:rsidRPr="003165DF" w:rsidR="00D47B80" w:rsidP="000B224F" w:rsidRDefault="00D47B80" w14:paraId="2FD71015" w14:textId="77777777">
            <w:pPr>
              <w:rPr>
                <w:rFonts w:ascii="Times New Roman" w:hAnsi="Times New Roman" w:cs="Times New Roman"/>
                <w:sz w:val="20"/>
                <w:szCs w:val="20"/>
              </w:rPr>
            </w:pPr>
            <w:r w:rsidRPr="003165DF">
              <w:rPr>
                <w:rFonts w:ascii="Times New Roman" w:hAnsi="Times New Roman" w:cs="Times New Roman"/>
                <w:sz w:val="20"/>
                <w:szCs w:val="20"/>
              </w:rPr>
              <w:t>2018</w:t>
            </w:r>
          </w:p>
        </w:tc>
        <w:tc>
          <w:tcPr>
            <w:tcW w:w="1530" w:type="dxa"/>
          </w:tcPr>
          <w:p w:rsidRPr="003165DF" w:rsidR="00D47B80" w:rsidP="000B224F" w:rsidRDefault="00D47B80" w14:paraId="6890B444" w14:textId="77777777">
            <w:pPr>
              <w:rPr>
                <w:rFonts w:ascii="Times New Roman" w:hAnsi="Times New Roman" w:cs="Times New Roman"/>
                <w:sz w:val="20"/>
                <w:szCs w:val="20"/>
              </w:rPr>
            </w:pPr>
            <w:r w:rsidRPr="003165DF">
              <w:rPr>
                <w:rFonts w:ascii="Times New Roman" w:hAnsi="Times New Roman" w:cs="Times New Roman"/>
                <w:sz w:val="20"/>
                <w:szCs w:val="20"/>
              </w:rPr>
              <w:t>6,000</w:t>
            </w:r>
          </w:p>
        </w:tc>
        <w:tc>
          <w:tcPr>
            <w:tcW w:w="4680" w:type="dxa"/>
          </w:tcPr>
          <w:p w:rsidRPr="003165DF" w:rsidR="00D47B80" w:rsidP="000B224F" w:rsidRDefault="00D47B80" w14:paraId="12608F37" w14:textId="77777777">
            <w:pPr>
              <w:rPr>
                <w:rFonts w:ascii="Times New Roman" w:hAnsi="Times New Roman" w:cs="Times New Roman"/>
                <w:sz w:val="20"/>
                <w:szCs w:val="20"/>
              </w:rPr>
            </w:pPr>
            <w:r w:rsidRPr="003165DF">
              <w:rPr>
                <w:rFonts w:ascii="Times New Roman" w:hAnsi="Times New Roman" w:cs="Times New Roman"/>
                <w:sz w:val="20"/>
                <w:szCs w:val="20"/>
              </w:rPr>
              <w:t>New conventional sulfuric acid alkylation unit</w:t>
            </w:r>
          </w:p>
          <w:p w:rsidRPr="003165DF" w:rsidR="00D47B80" w:rsidP="000B224F" w:rsidRDefault="00D47B80" w14:paraId="1D62E3C9" w14:textId="62A437ED">
            <w:pPr>
              <w:rPr>
                <w:rFonts w:ascii="Times New Roman" w:hAnsi="Times New Roman" w:cs="Times New Roman"/>
                <w:b/>
                <w:sz w:val="20"/>
                <w:szCs w:val="20"/>
              </w:rPr>
            </w:pPr>
            <w:r w:rsidRPr="003165DF">
              <w:rPr>
                <w:rFonts w:ascii="Times New Roman" w:hAnsi="Times New Roman" w:cs="Times New Roman"/>
                <w:b/>
                <w:sz w:val="20"/>
                <w:szCs w:val="20"/>
              </w:rPr>
              <w:t xml:space="preserve">6,000 bpd.  </w:t>
            </w:r>
            <w:r w:rsidRPr="003165DF">
              <w:rPr>
                <w:rFonts w:ascii="Times New Roman" w:hAnsi="Times New Roman" w:cs="Times New Roman"/>
                <w:sz w:val="20"/>
                <w:szCs w:val="20"/>
              </w:rPr>
              <w:t xml:space="preserve">“HOUSTON (ICIS)--US refiner </w:t>
            </w:r>
            <w:proofErr w:type="spellStart"/>
            <w:r w:rsidRPr="003165DF">
              <w:rPr>
                <w:rFonts w:ascii="Times New Roman" w:hAnsi="Times New Roman" w:cs="Times New Roman"/>
                <w:sz w:val="20"/>
                <w:szCs w:val="20"/>
              </w:rPr>
              <w:t>Delek</w:t>
            </w:r>
            <w:proofErr w:type="spellEnd"/>
            <w:r w:rsidRPr="003165DF">
              <w:rPr>
                <w:rFonts w:ascii="Times New Roman" w:hAnsi="Times New Roman" w:cs="Times New Roman"/>
                <w:sz w:val="20"/>
                <w:szCs w:val="20"/>
              </w:rPr>
              <w:t xml:space="preserve"> US Holdings will install a 6,000 bbl/day alkylation unit at its Krotz Springs, Louisiana, refinery, according to information made available on Tuesday. . . Total cost is estimated at $103m, according to the filing.”</w:t>
            </w:r>
            <w:r w:rsidR="00CA671D">
              <w:rPr>
                <w:rStyle w:val="FootnoteReference"/>
                <w:rFonts w:ascii="Times New Roman" w:hAnsi="Times New Roman" w:cs="Times New Roman"/>
                <w:sz w:val="20"/>
                <w:szCs w:val="20"/>
              </w:rPr>
              <w:footnoteReference w:id="117"/>
            </w:r>
          </w:p>
        </w:tc>
      </w:tr>
      <w:tr w:rsidRPr="003165DF" w:rsidR="00D47B80" w:rsidTr="00CA671D" w14:paraId="770523AC" w14:textId="77777777">
        <w:tc>
          <w:tcPr>
            <w:tcW w:w="1075" w:type="dxa"/>
          </w:tcPr>
          <w:p w:rsidRPr="003165DF" w:rsidR="00D47B80" w:rsidP="000B224F" w:rsidRDefault="00D47B80" w14:paraId="3758C424" w14:textId="77777777">
            <w:pPr>
              <w:jc w:val="center"/>
              <w:rPr>
                <w:rFonts w:ascii="Times New Roman" w:hAnsi="Times New Roman" w:cs="Times New Roman"/>
                <w:sz w:val="20"/>
                <w:szCs w:val="20"/>
              </w:rPr>
            </w:pPr>
            <w:r w:rsidRPr="003165DF">
              <w:rPr>
                <w:rFonts w:ascii="Times New Roman" w:hAnsi="Times New Roman" w:cs="Times New Roman"/>
                <w:sz w:val="20"/>
                <w:szCs w:val="20"/>
              </w:rPr>
              <w:t>$300</w:t>
            </w:r>
          </w:p>
        </w:tc>
        <w:tc>
          <w:tcPr>
            <w:tcW w:w="1530" w:type="dxa"/>
          </w:tcPr>
          <w:p w:rsidRPr="003165DF" w:rsidR="00D47B80" w:rsidP="000B224F" w:rsidRDefault="00D47B80" w14:paraId="63695E4F" w14:textId="77777777">
            <w:pPr>
              <w:rPr>
                <w:rFonts w:ascii="Times New Roman" w:hAnsi="Times New Roman" w:cs="Times New Roman"/>
                <w:sz w:val="20"/>
                <w:szCs w:val="20"/>
              </w:rPr>
            </w:pPr>
            <w:r w:rsidRPr="003165DF">
              <w:rPr>
                <w:rFonts w:ascii="Times New Roman" w:hAnsi="Times New Roman" w:cs="Times New Roman"/>
                <w:sz w:val="20"/>
                <w:szCs w:val="20"/>
              </w:rPr>
              <w:t>Valero Houston</w:t>
            </w:r>
          </w:p>
        </w:tc>
        <w:tc>
          <w:tcPr>
            <w:tcW w:w="1260" w:type="dxa"/>
          </w:tcPr>
          <w:p w:rsidRPr="003165DF" w:rsidR="00D47B80" w:rsidP="000B224F" w:rsidRDefault="00D47B80" w14:paraId="5C53F69B" w14:textId="77777777">
            <w:pPr>
              <w:rPr>
                <w:rFonts w:ascii="Times New Roman" w:hAnsi="Times New Roman" w:cs="Times New Roman"/>
                <w:sz w:val="20"/>
                <w:szCs w:val="20"/>
              </w:rPr>
            </w:pPr>
            <w:r w:rsidRPr="003165DF">
              <w:rPr>
                <w:rFonts w:ascii="Times New Roman" w:hAnsi="Times New Roman" w:cs="Times New Roman"/>
                <w:sz w:val="20"/>
                <w:szCs w:val="20"/>
              </w:rPr>
              <w:t>2016</w:t>
            </w:r>
          </w:p>
        </w:tc>
        <w:tc>
          <w:tcPr>
            <w:tcW w:w="1530" w:type="dxa"/>
          </w:tcPr>
          <w:p w:rsidRPr="003165DF" w:rsidR="00D47B80" w:rsidP="000B224F" w:rsidRDefault="00D47B80" w14:paraId="1C288675" w14:textId="77777777">
            <w:pPr>
              <w:rPr>
                <w:rFonts w:ascii="Times New Roman" w:hAnsi="Times New Roman" w:cs="Times New Roman"/>
                <w:color w:val="FF0000"/>
                <w:sz w:val="20"/>
                <w:szCs w:val="20"/>
              </w:rPr>
            </w:pPr>
            <w:r w:rsidRPr="003165DF">
              <w:rPr>
                <w:rFonts w:ascii="Times New Roman" w:hAnsi="Times New Roman" w:cs="Times New Roman"/>
                <w:sz w:val="20"/>
                <w:szCs w:val="20"/>
              </w:rPr>
              <w:t>13,000</w:t>
            </w:r>
          </w:p>
        </w:tc>
        <w:tc>
          <w:tcPr>
            <w:tcW w:w="4680" w:type="dxa"/>
          </w:tcPr>
          <w:p w:rsidRPr="003165DF" w:rsidR="00D47B80" w:rsidP="000B224F" w:rsidRDefault="00D47B80" w14:paraId="59BAEA6E" w14:textId="50D8549B">
            <w:pPr>
              <w:rPr>
                <w:rFonts w:ascii="Times New Roman" w:hAnsi="Times New Roman" w:cs="Times New Roman"/>
                <w:sz w:val="20"/>
                <w:szCs w:val="20"/>
              </w:rPr>
            </w:pPr>
            <w:r w:rsidRPr="003165DF">
              <w:rPr>
                <w:rFonts w:ascii="Times New Roman" w:hAnsi="Times New Roman" w:cs="Times New Roman"/>
                <w:sz w:val="20"/>
                <w:szCs w:val="20"/>
              </w:rPr>
              <w:t xml:space="preserve">New </w:t>
            </w:r>
            <w:r w:rsidRPr="003165DF" w:rsidR="00CA671D">
              <w:rPr>
                <w:rFonts w:ascii="Times New Roman" w:hAnsi="Times New Roman" w:cs="Times New Roman"/>
                <w:sz w:val="20"/>
                <w:szCs w:val="20"/>
              </w:rPr>
              <w:t>conventional</w:t>
            </w:r>
            <w:r w:rsidRPr="003165DF">
              <w:rPr>
                <w:rFonts w:ascii="Times New Roman" w:hAnsi="Times New Roman" w:cs="Times New Roman"/>
                <w:sz w:val="20"/>
                <w:szCs w:val="20"/>
              </w:rPr>
              <w:t xml:space="preserve"> sulfuric acid alkylation unit</w:t>
            </w:r>
          </w:p>
          <w:p w:rsidRPr="003165DF" w:rsidR="00D47B80" w:rsidP="000B224F" w:rsidRDefault="00D47B80" w14:paraId="72C05314" w14:textId="414D6225">
            <w:pPr>
              <w:rPr>
                <w:rFonts w:ascii="Times New Roman" w:hAnsi="Times New Roman" w:cs="Times New Roman"/>
                <w:b/>
                <w:sz w:val="20"/>
                <w:szCs w:val="20"/>
              </w:rPr>
            </w:pPr>
            <w:r w:rsidRPr="003165DF">
              <w:rPr>
                <w:rFonts w:ascii="Times New Roman" w:hAnsi="Times New Roman" w:cs="Times New Roman"/>
                <w:sz w:val="20"/>
                <w:szCs w:val="20"/>
              </w:rPr>
              <w:t>13,000 BPD. “The $300 million Houston alkylation project announced in January entered the detailed engineering, procurement, and construction phase of the development process during the quarter. This 13,000 BPD unit, which upgrades low-cost natural gas liquids into premium-value alkylate, is expected to be completed in the first half of 2019.”</w:t>
            </w:r>
            <w:r w:rsidR="00CA671D">
              <w:rPr>
                <w:rStyle w:val="FootnoteReference"/>
                <w:rFonts w:ascii="Times New Roman" w:hAnsi="Times New Roman" w:cs="Times New Roman"/>
                <w:sz w:val="20"/>
                <w:szCs w:val="20"/>
              </w:rPr>
              <w:footnoteReference w:id="118"/>
            </w:r>
          </w:p>
        </w:tc>
      </w:tr>
      <w:tr w:rsidRPr="003165DF" w:rsidR="00D47B80" w:rsidTr="00CA671D" w14:paraId="14245227" w14:textId="77777777">
        <w:tc>
          <w:tcPr>
            <w:tcW w:w="1075" w:type="dxa"/>
          </w:tcPr>
          <w:p w:rsidRPr="003165DF" w:rsidR="00D47B80" w:rsidP="000B224F" w:rsidRDefault="00D47B80" w14:paraId="1B3674FF" w14:textId="77777777">
            <w:pPr>
              <w:jc w:val="center"/>
              <w:rPr>
                <w:rFonts w:ascii="Times New Roman" w:hAnsi="Times New Roman" w:cs="Times New Roman"/>
                <w:sz w:val="20"/>
                <w:szCs w:val="20"/>
              </w:rPr>
            </w:pPr>
            <w:r w:rsidRPr="003165DF">
              <w:rPr>
                <w:rFonts w:ascii="Times New Roman" w:hAnsi="Times New Roman" w:cs="Times New Roman"/>
                <w:sz w:val="20"/>
                <w:szCs w:val="20"/>
              </w:rPr>
              <w:t>$400</w:t>
            </w:r>
          </w:p>
        </w:tc>
        <w:tc>
          <w:tcPr>
            <w:tcW w:w="1530" w:type="dxa"/>
          </w:tcPr>
          <w:p w:rsidRPr="003165DF" w:rsidR="00D47B80" w:rsidP="000B224F" w:rsidRDefault="00D47B80" w14:paraId="133329B0" w14:textId="77777777">
            <w:pPr>
              <w:rPr>
                <w:rFonts w:ascii="Times New Roman" w:hAnsi="Times New Roman" w:cs="Times New Roman"/>
                <w:sz w:val="20"/>
                <w:szCs w:val="20"/>
              </w:rPr>
            </w:pPr>
            <w:r w:rsidRPr="003165DF">
              <w:rPr>
                <w:rFonts w:ascii="Times New Roman" w:hAnsi="Times New Roman" w:cs="Times New Roman"/>
                <w:sz w:val="20"/>
                <w:szCs w:val="20"/>
              </w:rPr>
              <w:t>Valero, St. Charles, Louisiana</w:t>
            </w:r>
          </w:p>
        </w:tc>
        <w:tc>
          <w:tcPr>
            <w:tcW w:w="1260" w:type="dxa"/>
          </w:tcPr>
          <w:p w:rsidRPr="003165DF" w:rsidR="00D47B80" w:rsidP="000B224F" w:rsidRDefault="00D47B80" w14:paraId="2CD3109E" w14:textId="77777777">
            <w:pPr>
              <w:rPr>
                <w:rFonts w:ascii="Times New Roman" w:hAnsi="Times New Roman" w:cs="Times New Roman"/>
                <w:sz w:val="20"/>
                <w:szCs w:val="20"/>
              </w:rPr>
            </w:pPr>
            <w:r w:rsidRPr="003165DF">
              <w:rPr>
                <w:rFonts w:ascii="Times New Roman" w:hAnsi="Times New Roman" w:cs="Times New Roman"/>
                <w:sz w:val="20"/>
                <w:szCs w:val="20"/>
              </w:rPr>
              <w:t>2017</w:t>
            </w:r>
          </w:p>
        </w:tc>
        <w:tc>
          <w:tcPr>
            <w:tcW w:w="1530" w:type="dxa"/>
          </w:tcPr>
          <w:p w:rsidRPr="003165DF" w:rsidR="00D47B80" w:rsidP="000B224F" w:rsidRDefault="00D47B80" w14:paraId="38314268" w14:textId="77777777">
            <w:pPr>
              <w:rPr>
                <w:rFonts w:ascii="Times New Roman" w:hAnsi="Times New Roman" w:cs="Times New Roman"/>
                <w:color w:val="FF0000"/>
                <w:sz w:val="20"/>
                <w:szCs w:val="20"/>
              </w:rPr>
            </w:pPr>
            <w:r w:rsidRPr="003165DF">
              <w:rPr>
                <w:rFonts w:ascii="Times New Roman" w:hAnsi="Times New Roman" w:cs="Times New Roman"/>
                <w:sz w:val="20"/>
                <w:szCs w:val="20"/>
              </w:rPr>
              <w:t>25,000</w:t>
            </w:r>
          </w:p>
        </w:tc>
        <w:tc>
          <w:tcPr>
            <w:tcW w:w="4680" w:type="dxa"/>
          </w:tcPr>
          <w:p w:rsidRPr="003165DF" w:rsidR="00D47B80" w:rsidP="000B224F" w:rsidRDefault="00D47B80" w14:paraId="54CD74C9" w14:textId="16328F75">
            <w:pPr>
              <w:rPr>
                <w:rFonts w:ascii="Times New Roman" w:hAnsi="Times New Roman" w:cs="Times New Roman"/>
                <w:sz w:val="20"/>
                <w:szCs w:val="20"/>
              </w:rPr>
            </w:pPr>
            <w:r w:rsidRPr="003165DF">
              <w:rPr>
                <w:rFonts w:ascii="Times New Roman" w:hAnsi="Times New Roman" w:cs="Times New Roman"/>
                <w:sz w:val="20"/>
                <w:szCs w:val="20"/>
              </w:rPr>
              <w:t xml:space="preserve">New </w:t>
            </w:r>
            <w:r w:rsidRPr="003165DF" w:rsidR="00CA671D">
              <w:rPr>
                <w:rFonts w:ascii="Times New Roman" w:hAnsi="Times New Roman" w:cs="Times New Roman"/>
                <w:sz w:val="20"/>
                <w:szCs w:val="20"/>
              </w:rPr>
              <w:t>advanced</w:t>
            </w:r>
            <w:r w:rsidRPr="003165DF">
              <w:rPr>
                <w:rFonts w:ascii="Times New Roman" w:hAnsi="Times New Roman" w:cs="Times New Roman"/>
                <w:sz w:val="20"/>
                <w:szCs w:val="20"/>
              </w:rPr>
              <w:t xml:space="preserve"> sulfuric acid (requires less acid, and size equals the Torrance refinery in LA)</w:t>
            </w:r>
          </w:p>
          <w:p w:rsidRPr="003165DF" w:rsidR="00D47B80" w:rsidP="000B224F" w:rsidRDefault="00D47B80" w14:paraId="69061729" w14:textId="2C628BAA">
            <w:pPr>
              <w:rPr>
                <w:rFonts w:ascii="Times New Roman" w:hAnsi="Times New Roman" w:cs="Times New Roman"/>
                <w:sz w:val="20"/>
                <w:szCs w:val="20"/>
              </w:rPr>
            </w:pPr>
            <w:r w:rsidRPr="003165DF">
              <w:rPr>
                <w:rFonts w:ascii="Times New Roman" w:hAnsi="Times New Roman" w:cs="Times New Roman"/>
                <w:sz w:val="20"/>
                <w:szCs w:val="20"/>
              </w:rPr>
              <w:t>25,000 BPD.  “Included in the growth investments is the construction of a new 25,000 barrels per day alkylation unit at the St. Charles refinery, which received final approval from the company’s Board of Directors last week. Total cost for the alkylation unit is estimated at $400 million, and completion is expected in the second half of 2020.”</w:t>
            </w:r>
            <w:r w:rsidR="00CA671D">
              <w:rPr>
                <w:rStyle w:val="FootnoteReference"/>
                <w:rFonts w:ascii="Times New Roman" w:hAnsi="Times New Roman" w:cs="Times New Roman"/>
                <w:sz w:val="20"/>
                <w:szCs w:val="20"/>
              </w:rPr>
              <w:footnoteReference w:id="119"/>
            </w:r>
          </w:p>
        </w:tc>
      </w:tr>
      <w:tr w:rsidRPr="003165DF" w:rsidR="00D47B80" w:rsidTr="00CA671D" w14:paraId="77B16461" w14:textId="77777777">
        <w:tc>
          <w:tcPr>
            <w:tcW w:w="1075" w:type="dxa"/>
          </w:tcPr>
          <w:p w:rsidRPr="003165DF" w:rsidR="00D47B80" w:rsidP="000B224F" w:rsidRDefault="00D47B80" w14:paraId="507057F7" w14:textId="77777777">
            <w:pPr>
              <w:jc w:val="center"/>
              <w:rPr>
                <w:rFonts w:ascii="Times New Roman" w:hAnsi="Times New Roman" w:cs="Times New Roman"/>
                <w:sz w:val="20"/>
                <w:szCs w:val="20"/>
              </w:rPr>
            </w:pPr>
            <w:r w:rsidRPr="003165DF">
              <w:rPr>
                <w:rFonts w:ascii="Times New Roman" w:hAnsi="Times New Roman" w:cs="Times New Roman"/>
                <w:sz w:val="20"/>
                <w:szCs w:val="20"/>
              </w:rPr>
              <w:t>$155</w:t>
            </w:r>
          </w:p>
        </w:tc>
        <w:tc>
          <w:tcPr>
            <w:tcW w:w="1530" w:type="dxa"/>
          </w:tcPr>
          <w:p w:rsidRPr="003165DF" w:rsidR="00D47B80" w:rsidP="000B224F" w:rsidRDefault="00D47B80" w14:paraId="00EB889C" w14:textId="77777777">
            <w:pPr>
              <w:rPr>
                <w:rFonts w:ascii="Times New Roman" w:hAnsi="Times New Roman" w:cs="Times New Roman"/>
                <w:sz w:val="20"/>
                <w:szCs w:val="20"/>
              </w:rPr>
            </w:pPr>
            <w:r w:rsidRPr="003165DF">
              <w:rPr>
                <w:rFonts w:ascii="Times New Roman" w:hAnsi="Times New Roman" w:cs="Times New Roman"/>
                <w:sz w:val="20"/>
                <w:szCs w:val="20"/>
              </w:rPr>
              <w:t>DuPont Stratco</w:t>
            </w:r>
          </w:p>
        </w:tc>
        <w:tc>
          <w:tcPr>
            <w:tcW w:w="1260" w:type="dxa"/>
          </w:tcPr>
          <w:p w:rsidRPr="003165DF" w:rsidR="00D47B80" w:rsidP="000B224F" w:rsidRDefault="00D47B80" w14:paraId="66E46F08" w14:textId="77777777">
            <w:pPr>
              <w:rPr>
                <w:rFonts w:ascii="Times New Roman" w:hAnsi="Times New Roman" w:cs="Times New Roman"/>
                <w:sz w:val="20"/>
                <w:szCs w:val="20"/>
              </w:rPr>
            </w:pPr>
            <w:r w:rsidRPr="003165DF">
              <w:rPr>
                <w:rFonts w:ascii="Times New Roman" w:hAnsi="Times New Roman" w:cs="Times New Roman"/>
                <w:sz w:val="20"/>
                <w:szCs w:val="20"/>
              </w:rPr>
              <w:t>2016 with 2010 labor rates</w:t>
            </w:r>
          </w:p>
        </w:tc>
        <w:tc>
          <w:tcPr>
            <w:tcW w:w="1530" w:type="dxa"/>
          </w:tcPr>
          <w:p w:rsidRPr="003165DF" w:rsidR="00D47B80" w:rsidP="000B224F" w:rsidRDefault="00D47B80" w14:paraId="6484861C" w14:textId="77777777">
            <w:pPr>
              <w:rPr>
                <w:rFonts w:ascii="Times New Roman" w:hAnsi="Times New Roman" w:cs="Times New Roman"/>
                <w:sz w:val="20"/>
                <w:szCs w:val="20"/>
              </w:rPr>
            </w:pPr>
            <w:r w:rsidRPr="003165DF">
              <w:rPr>
                <w:rFonts w:ascii="Times New Roman" w:hAnsi="Times New Roman" w:cs="Times New Roman"/>
                <w:sz w:val="20"/>
                <w:szCs w:val="20"/>
              </w:rPr>
              <w:t>25,000</w:t>
            </w:r>
          </w:p>
        </w:tc>
        <w:tc>
          <w:tcPr>
            <w:tcW w:w="4680" w:type="dxa"/>
          </w:tcPr>
          <w:p w:rsidRPr="003165DF" w:rsidR="00D47B80" w:rsidP="000B224F" w:rsidRDefault="00D47B80" w14:paraId="4B19BD4F" w14:textId="4CB2775D">
            <w:pPr>
              <w:rPr>
                <w:rFonts w:ascii="Times New Roman" w:hAnsi="Times New Roman" w:cs="Times New Roman"/>
                <w:sz w:val="20"/>
                <w:szCs w:val="20"/>
              </w:rPr>
            </w:pPr>
            <w:r w:rsidRPr="003165DF">
              <w:rPr>
                <w:rFonts w:ascii="Times New Roman" w:hAnsi="Times New Roman" w:cs="Times New Roman"/>
                <w:sz w:val="20"/>
                <w:szCs w:val="20"/>
              </w:rPr>
              <w:t xml:space="preserve">Stratco Sulfuric Acid Alkylation unit to produce 25,000 BPD alkylate plus • an Order of Magnitude cost estimate for a 250 STPD Sulfuric Acid Regeneration </w:t>
            </w:r>
            <w:r w:rsidRPr="003165DF">
              <w:rPr>
                <w:rFonts w:ascii="Times New Roman" w:hAnsi="Times New Roman" w:cs="Times New Roman"/>
                <w:sz w:val="20"/>
                <w:szCs w:val="20"/>
              </w:rPr>
              <w:lastRenderedPageBreak/>
              <w:t>Plant (required capacity for a 25,000 BPD Alky Unit) is $45 million USD</w:t>
            </w:r>
            <w:r w:rsidR="00CA671D">
              <w:rPr>
                <w:rFonts w:ascii="Times New Roman" w:hAnsi="Times New Roman" w:cs="Times New Roman"/>
                <w:sz w:val="20"/>
                <w:szCs w:val="20"/>
              </w:rPr>
              <w:t>.</w:t>
            </w:r>
            <w:r w:rsidR="00CA671D">
              <w:rPr>
                <w:rStyle w:val="FootnoteReference"/>
                <w:rFonts w:ascii="Times New Roman" w:hAnsi="Times New Roman" w:cs="Times New Roman"/>
                <w:sz w:val="20"/>
                <w:szCs w:val="20"/>
              </w:rPr>
              <w:footnoteReference w:id="120"/>
            </w:r>
          </w:p>
        </w:tc>
      </w:tr>
      <w:tr w:rsidRPr="003165DF" w:rsidR="00D47B80" w:rsidTr="00CA671D" w14:paraId="663264E8" w14:textId="77777777">
        <w:tc>
          <w:tcPr>
            <w:tcW w:w="1075" w:type="dxa"/>
          </w:tcPr>
          <w:p w:rsidRPr="003165DF" w:rsidR="00D47B80" w:rsidP="000B224F" w:rsidRDefault="00D47B80" w14:paraId="6B64DDBD" w14:textId="77777777">
            <w:pPr>
              <w:jc w:val="center"/>
              <w:rPr>
                <w:rFonts w:ascii="Times New Roman" w:hAnsi="Times New Roman" w:cs="Times New Roman"/>
                <w:sz w:val="20"/>
                <w:szCs w:val="20"/>
              </w:rPr>
            </w:pPr>
            <w:r w:rsidRPr="003165DF">
              <w:rPr>
                <w:rFonts w:ascii="Times New Roman" w:hAnsi="Times New Roman" w:cs="Times New Roman"/>
                <w:sz w:val="20"/>
                <w:szCs w:val="20"/>
              </w:rPr>
              <w:lastRenderedPageBreak/>
              <w:t>$145</w:t>
            </w:r>
          </w:p>
        </w:tc>
        <w:tc>
          <w:tcPr>
            <w:tcW w:w="1530" w:type="dxa"/>
          </w:tcPr>
          <w:p w:rsidRPr="003165DF" w:rsidR="00D47B80" w:rsidP="000B224F" w:rsidRDefault="00D47B80" w14:paraId="179B8948" w14:textId="77777777">
            <w:pPr>
              <w:rPr>
                <w:rFonts w:ascii="Times New Roman" w:hAnsi="Times New Roman" w:cs="Times New Roman"/>
                <w:sz w:val="20"/>
                <w:szCs w:val="20"/>
              </w:rPr>
            </w:pPr>
            <w:r w:rsidRPr="003165DF">
              <w:rPr>
                <w:rFonts w:ascii="Times New Roman" w:hAnsi="Times New Roman" w:cs="Times New Roman"/>
                <w:sz w:val="20"/>
                <w:szCs w:val="20"/>
              </w:rPr>
              <w:t>ExxonMobil</w:t>
            </w:r>
          </w:p>
        </w:tc>
        <w:tc>
          <w:tcPr>
            <w:tcW w:w="1260" w:type="dxa"/>
          </w:tcPr>
          <w:p w:rsidRPr="003165DF" w:rsidR="00D47B80" w:rsidP="000B224F" w:rsidRDefault="00D47B80" w14:paraId="44EE5F1B" w14:textId="77777777">
            <w:pPr>
              <w:rPr>
                <w:rFonts w:ascii="Times New Roman" w:hAnsi="Times New Roman" w:cs="Times New Roman"/>
                <w:sz w:val="20"/>
                <w:szCs w:val="20"/>
              </w:rPr>
            </w:pPr>
            <w:r w:rsidRPr="003165DF">
              <w:rPr>
                <w:rFonts w:ascii="Times New Roman" w:hAnsi="Times New Roman" w:cs="Times New Roman"/>
                <w:sz w:val="20"/>
                <w:szCs w:val="20"/>
              </w:rPr>
              <w:t>2016 with 2010 labor rates</w:t>
            </w:r>
          </w:p>
        </w:tc>
        <w:tc>
          <w:tcPr>
            <w:tcW w:w="1530" w:type="dxa"/>
          </w:tcPr>
          <w:p w:rsidRPr="003165DF" w:rsidR="00D47B80" w:rsidP="000B224F" w:rsidRDefault="00D47B80" w14:paraId="07C36162" w14:textId="77777777">
            <w:pPr>
              <w:rPr>
                <w:rFonts w:ascii="Times New Roman" w:hAnsi="Times New Roman" w:cs="Times New Roman"/>
                <w:sz w:val="20"/>
                <w:szCs w:val="20"/>
              </w:rPr>
            </w:pPr>
            <w:r w:rsidRPr="003165DF">
              <w:rPr>
                <w:rFonts w:ascii="Times New Roman" w:hAnsi="Times New Roman" w:cs="Times New Roman"/>
                <w:sz w:val="20"/>
                <w:szCs w:val="20"/>
              </w:rPr>
              <w:t>25,000</w:t>
            </w:r>
          </w:p>
        </w:tc>
        <w:tc>
          <w:tcPr>
            <w:tcW w:w="4680" w:type="dxa"/>
          </w:tcPr>
          <w:p w:rsidRPr="003165DF" w:rsidR="00D47B80" w:rsidP="000B224F" w:rsidRDefault="00D47B80" w14:paraId="6D7BA685" w14:textId="2A69CCF8">
            <w:pPr>
              <w:rPr>
                <w:rFonts w:ascii="Times New Roman" w:hAnsi="Times New Roman" w:cs="Times New Roman"/>
                <w:sz w:val="20"/>
                <w:szCs w:val="20"/>
              </w:rPr>
            </w:pPr>
            <w:r w:rsidRPr="003165DF">
              <w:rPr>
                <w:rFonts w:ascii="Times New Roman" w:hAnsi="Times New Roman" w:cs="Times New Roman"/>
                <w:sz w:val="20"/>
                <w:szCs w:val="20"/>
              </w:rPr>
              <w:t>ExxonMobil</w:t>
            </w:r>
            <w:r w:rsidRPr="003165DF" w:rsidR="00592C4E">
              <w:rPr>
                <w:rFonts w:ascii="Times New Roman" w:hAnsi="Times New Roman" w:cs="Times New Roman"/>
                <w:sz w:val="20"/>
                <w:szCs w:val="20"/>
              </w:rPr>
              <w:t xml:space="preserve"> </w:t>
            </w:r>
            <w:r w:rsidRPr="003165DF">
              <w:rPr>
                <w:rFonts w:ascii="Times New Roman" w:hAnsi="Times New Roman" w:cs="Times New Roman"/>
                <w:sz w:val="20"/>
                <w:szCs w:val="20"/>
              </w:rPr>
              <w:t>sulfuric acid for 25,000bpd plus an Order of Magnitude cost estimate for a 250 STPD Sulfuric Acid Regeneration Plant (required capacity for a 25,000 BPD Alky Unit) is $45 million USD.</w:t>
            </w:r>
            <w:r w:rsidR="00CA671D">
              <w:rPr>
                <w:rStyle w:val="FootnoteReference"/>
                <w:rFonts w:ascii="Times New Roman" w:hAnsi="Times New Roman" w:cs="Times New Roman"/>
                <w:sz w:val="20"/>
                <w:szCs w:val="20"/>
              </w:rPr>
              <w:footnoteReference w:id="121"/>
            </w:r>
          </w:p>
        </w:tc>
      </w:tr>
    </w:tbl>
    <w:p w:rsidRPr="00896FB8" w:rsidR="00093C0A" w:rsidP="00093C0A" w:rsidRDefault="00D47B80" w14:paraId="3A3E6880" w14:textId="320A4286">
      <w:pPr>
        <w:rPr>
          <w:rFonts w:ascii="Times New Roman" w:hAnsi="Times New Roman" w:cs="Times New Roman"/>
          <w:b/>
          <w:sz w:val="20"/>
          <w:szCs w:val="20"/>
        </w:rPr>
      </w:pPr>
      <w:r w:rsidRPr="003165DF">
        <w:rPr>
          <w:rFonts w:ascii="Times New Roman" w:hAnsi="Times New Roman" w:cs="Times New Roman"/>
          <w:sz w:val="20"/>
          <w:szCs w:val="20"/>
        </w:rPr>
        <w:br w:type="page"/>
      </w:r>
    </w:p>
    <w:p w:rsidRPr="003165DF" w:rsidR="003D6E36" w:rsidP="003165DF" w:rsidRDefault="003D6E36" w14:paraId="60EC408A" w14:textId="6BA3F491">
      <w:pPr>
        <w:pStyle w:val="Heading1"/>
      </w:pPr>
      <w:bookmarkStart w:name="_Toc98856259" w:id="194"/>
      <w:bookmarkStart w:name="_Toc110502791" w:id="195"/>
      <w:bookmarkStart w:name="_Hlk101257235" w:id="196"/>
      <w:r>
        <w:lastRenderedPageBreak/>
        <w:t xml:space="preserve">APPENDIX </w:t>
      </w:r>
      <w:r w:rsidR="00D47B80">
        <w:t>B</w:t>
      </w:r>
      <w:bookmarkEnd w:id="194"/>
      <w:r w:rsidR="003165DF">
        <w:t xml:space="preserve">: </w:t>
      </w:r>
      <w:r>
        <w:t>Property and Business Losses in the Petrochemical Industry</w:t>
      </w:r>
      <w:bookmarkEnd w:id="195"/>
    </w:p>
    <w:tbl>
      <w:tblPr>
        <w:tblStyle w:val="TableGrid"/>
        <w:tblW w:w="0" w:type="auto"/>
        <w:tblLook w:val="04A0" w:firstRow="1" w:lastRow="0" w:firstColumn="1" w:lastColumn="0" w:noHBand="0" w:noVBand="1"/>
      </w:tblPr>
      <w:tblGrid>
        <w:gridCol w:w="1603"/>
        <w:gridCol w:w="1575"/>
        <w:gridCol w:w="1558"/>
        <w:gridCol w:w="1530"/>
        <w:gridCol w:w="1524"/>
        <w:gridCol w:w="1560"/>
      </w:tblGrid>
      <w:tr w:rsidR="00673CF5" w:rsidTr="00FA7DFB" w14:paraId="298292FD" w14:textId="77777777">
        <w:trPr>
          <w:tblHeader/>
        </w:trPr>
        <w:tc>
          <w:tcPr>
            <w:tcW w:w="1661" w:type="dxa"/>
            <w:shd w:val="clear" w:color="auto" w:fill="D9D9D9" w:themeFill="background1" w:themeFillShade="D9"/>
          </w:tcPr>
          <w:p w:rsidRPr="003165DF" w:rsidR="00673CF5" w:rsidP="00673CF5" w:rsidRDefault="00673CF5" w14:paraId="78285536" w14:textId="175EC43D">
            <w:pPr>
              <w:jc w:val="center"/>
              <w:rPr>
                <w:b/>
              </w:rPr>
            </w:pPr>
            <w:bookmarkStart w:name="_Hlk101257179" w:id="197"/>
            <w:bookmarkStart w:name="_Hlk101257207" w:id="198"/>
            <w:bookmarkEnd w:id="196"/>
            <w:r w:rsidRPr="003165DF">
              <w:rPr>
                <w:b/>
              </w:rPr>
              <w:t>Type of Facility</w:t>
            </w:r>
          </w:p>
        </w:tc>
        <w:tc>
          <w:tcPr>
            <w:tcW w:w="1661" w:type="dxa"/>
            <w:shd w:val="clear" w:color="auto" w:fill="D9D9D9" w:themeFill="background1" w:themeFillShade="D9"/>
          </w:tcPr>
          <w:p w:rsidRPr="003165DF" w:rsidR="00673CF5" w:rsidP="00673CF5" w:rsidRDefault="00673CF5" w14:paraId="3E59FD77" w14:textId="39CD03EB">
            <w:pPr>
              <w:jc w:val="center"/>
              <w:rPr>
                <w:b/>
              </w:rPr>
            </w:pPr>
            <w:r w:rsidRPr="003165DF">
              <w:rPr>
                <w:b/>
              </w:rPr>
              <w:t>Location</w:t>
            </w:r>
          </w:p>
        </w:tc>
        <w:tc>
          <w:tcPr>
            <w:tcW w:w="1662" w:type="dxa"/>
            <w:shd w:val="clear" w:color="auto" w:fill="D9D9D9" w:themeFill="background1" w:themeFillShade="D9"/>
          </w:tcPr>
          <w:p w:rsidRPr="003165DF" w:rsidR="00673CF5" w:rsidP="00673CF5" w:rsidRDefault="00673CF5" w14:paraId="1D5D9A05" w14:textId="37357E4C">
            <w:pPr>
              <w:jc w:val="center"/>
              <w:rPr>
                <w:b/>
              </w:rPr>
            </w:pPr>
            <w:r w:rsidRPr="003165DF">
              <w:rPr>
                <w:b/>
              </w:rPr>
              <w:t>Date</w:t>
            </w:r>
          </w:p>
        </w:tc>
        <w:tc>
          <w:tcPr>
            <w:tcW w:w="1662" w:type="dxa"/>
            <w:shd w:val="clear" w:color="auto" w:fill="D9D9D9" w:themeFill="background1" w:themeFillShade="D9"/>
          </w:tcPr>
          <w:p w:rsidRPr="003165DF" w:rsidR="00673CF5" w:rsidP="00673CF5" w:rsidRDefault="00673CF5" w14:paraId="2AEA78DA" w14:textId="56E401DB">
            <w:pPr>
              <w:jc w:val="center"/>
              <w:rPr>
                <w:b/>
              </w:rPr>
            </w:pPr>
            <w:r w:rsidRPr="003165DF">
              <w:rPr>
                <w:b/>
              </w:rPr>
              <w:t>Property Damage $M (2019 Dollars)</w:t>
            </w:r>
          </w:p>
        </w:tc>
        <w:tc>
          <w:tcPr>
            <w:tcW w:w="1662" w:type="dxa"/>
            <w:shd w:val="clear" w:color="auto" w:fill="D9D9D9" w:themeFill="background1" w:themeFillShade="D9"/>
          </w:tcPr>
          <w:p w:rsidRPr="003165DF" w:rsidR="00673CF5" w:rsidP="00673CF5" w:rsidRDefault="00673CF5" w14:paraId="002AFE2B" w14:textId="5F004796">
            <w:pPr>
              <w:jc w:val="center"/>
              <w:rPr>
                <w:b/>
              </w:rPr>
            </w:pPr>
            <w:r w:rsidRPr="003165DF">
              <w:rPr>
                <w:b/>
              </w:rPr>
              <w:t>Business Loss ($M)</w:t>
            </w:r>
          </w:p>
        </w:tc>
        <w:tc>
          <w:tcPr>
            <w:tcW w:w="1662" w:type="dxa"/>
            <w:shd w:val="clear" w:color="auto" w:fill="D9D9D9" w:themeFill="background1" w:themeFillShade="D9"/>
          </w:tcPr>
          <w:p w:rsidRPr="003165DF" w:rsidR="00673CF5" w:rsidP="00673CF5" w:rsidRDefault="00673CF5" w14:paraId="0C65693A" w14:textId="0DF4C690">
            <w:pPr>
              <w:jc w:val="center"/>
              <w:rPr>
                <w:b/>
              </w:rPr>
            </w:pPr>
            <w:r w:rsidRPr="003165DF">
              <w:rPr>
                <w:b/>
              </w:rPr>
              <w:t>Notes</w:t>
            </w:r>
          </w:p>
        </w:tc>
      </w:tr>
      <w:tr w:rsidR="00673CF5" w:rsidTr="00673CF5" w14:paraId="1BFB8C82" w14:textId="77777777">
        <w:tc>
          <w:tcPr>
            <w:tcW w:w="1661" w:type="dxa"/>
          </w:tcPr>
          <w:p w:rsidRPr="003165DF" w:rsidR="00673CF5" w:rsidP="00673CF5" w:rsidRDefault="00673CF5" w14:paraId="114DCF9E" w14:textId="31DA7DF4">
            <w:pPr>
              <w:jc w:val="center"/>
              <w:rPr>
                <w:b/>
              </w:rPr>
            </w:pPr>
            <w:r w:rsidRPr="003165DF">
              <w:t>Refinery</w:t>
            </w:r>
          </w:p>
        </w:tc>
        <w:tc>
          <w:tcPr>
            <w:tcW w:w="1661" w:type="dxa"/>
          </w:tcPr>
          <w:p w:rsidRPr="003165DF" w:rsidR="00673CF5" w:rsidP="00673CF5" w:rsidRDefault="00673CF5" w14:paraId="71229136" w14:textId="261EB91B">
            <w:pPr>
              <w:jc w:val="center"/>
              <w:rPr>
                <w:b/>
              </w:rPr>
            </w:pPr>
            <w:r w:rsidRPr="003165DF">
              <w:t>Texas City</w:t>
            </w:r>
          </w:p>
        </w:tc>
        <w:tc>
          <w:tcPr>
            <w:tcW w:w="1662" w:type="dxa"/>
          </w:tcPr>
          <w:p w:rsidRPr="003165DF" w:rsidR="00673CF5" w:rsidP="00673CF5" w:rsidRDefault="00673CF5" w14:paraId="5629BEA3" w14:textId="03B014E2">
            <w:pPr>
              <w:jc w:val="center"/>
              <w:rPr>
                <w:b/>
              </w:rPr>
            </w:pPr>
            <w:r w:rsidRPr="003165DF">
              <w:t>5/30/1978</w:t>
            </w:r>
          </w:p>
        </w:tc>
        <w:tc>
          <w:tcPr>
            <w:tcW w:w="1662" w:type="dxa"/>
          </w:tcPr>
          <w:p w:rsidRPr="003165DF" w:rsidR="00673CF5" w:rsidP="00673CF5" w:rsidRDefault="00673CF5" w14:paraId="1A8358BF" w14:textId="151DCDF0">
            <w:pPr>
              <w:jc w:val="center"/>
              <w:rPr>
                <w:b/>
              </w:rPr>
            </w:pPr>
            <w:r w:rsidRPr="003165DF">
              <w:t>$224</w:t>
            </w:r>
          </w:p>
        </w:tc>
        <w:tc>
          <w:tcPr>
            <w:tcW w:w="1662" w:type="dxa"/>
          </w:tcPr>
          <w:p w:rsidRPr="003165DF" w:rsidR="00673CF5" w:rsidP="00673CF5" w:rsidRDefault="00673CF5" w14:paraId="3BF04F95" w14:textId="02D3DB7F">
            <w:pPr>
              <w:jc w:val="center"/>
              <w:rPr>
                <w:b/>
              </w:rPr>
            </w:pPr>
          </w:p>
        </w:tc>
        <w:tc>
          <w:tcPr>
            <w:tcW w:w="1662" w:type="dxa"/>
          </w:tcPr>
          <w:p w:rsidRPr="003165DF" w:rsidR="00673CF5" w:rsidP="00673CF5" w:rsidRDefault="00673CF5" w14:paraId="0D29E9D0" w14:textId="77777777">
            <w:pPr>
              <w:jc w:val="center"/>
              <w:rPr>
                <w:b/>
              </w:rPr>
            </w:pPr>
          </w:p>
        </w:tc>
      </w:tr>
      <w:bookmarkEnd w:id="197"/>
      <w:tr w:rsidR="00673CF5" w:rsidTr="00673CF5" w14:paraId="043C6C8A" w14:textId="77777777">
        <w:tc>
          <w:tcPr>
            <w:tcW w:w="1661" w:type="dxa"/>
          </w:tcPr>
          <w:p w:rsidRPr="003165DF" w:rsidR="00673CF5" w:rsidP="00673CF5" w:rsidRDefault="00673CF5" w14:paraId="1C4A16B1" w14:textId="33722DA1">
            <w:pPr>
              <w:jc w:val="center"/>
              <w:rPr>
                <w:b/>
              </w:rPr>
            </w:pPr>
            <w:r w:rsidRPr="003165DF">
              <w:t>Refinery</w:t>
            </w:r>
          </w:p>
        </w:tc>
        <w:tc>
          <w:tcPr>
            <w:tcW w:w="1661" w:type="dxa"/>
          </w:tcPr>
          <w:p w:rsidRPr="003165DF" w:rsidR="00673CF5" w:rsidP="00673CF5" w:rsidRDefault="00673CF5" w14:paraId="6155585E" w14:textId="3E4D513B">
            <w:pPr>
              <w:jc w:val="center"/>
              <w:rPr>
                <w:b/>
              </w:rPr>
            </w:pPr>
            <w:r w:rsidRPr="003165DF">
              <w:t>Romeoville</w:t>
            </w:r>
          </w:p>
        </w:tc>
        <w:tc>
          <w:tcPr>
            <w:tcW w:w="1662" w:type="dxa"/>
          </w:tcPr>
          <w:p w:rsidRPr="003165DF" w:rsidR="00673CF5" w:rsidP="00673CF5" w:rsidRDefault="00673CF5" w14:paraId="222C06B6" w14:textId="373212CF">
            <w:pPr>
              <w:jc w:val="center"/>
              <w:rPr>
                <w:b/>
              </w:rPr>
            </w:pPr>
            <w:r w:rsidRPr="003165DF">
              <w:t>7/23/1984</w:t>
            </w:r>
          </w:p>
        </w:tc>
        <w:tc>
          <w:tcPr>
            <w:tcW w:w="1662" w:type="dxa"/>
          </w:tcPr>
          <w:p w:rsidRPr="003165DF" w:rsidR="00673CF5" w:rsidP="00673CF5" w:rsidRDefault="00673CF5" w14:paraId="0E0A3190" w14:textId="170868E4">
            <w:pPr>
              <w:jc w:val="center"/>
              <w:rPr>
                <w:b/>
              </w:rPr>
            </w:pPr>
            <w:r w:rsidRPr="003165DF">
              <w:t>$515</w:t>
            </w:r>
          </w:p>
        </w:tc>
        <w:tc>
          <w:tcPr>
            <w:tcW w:w="1662" w:type="dxa"/>
          </w:tcPr>
          <w:p w:rsidRPr="003165DF" w:rsidR="00673CF5" w:rsidP="00673CF5" w:rsidRDefault="00673CF5" w14:paraId="381C12B1" w14:textId="77777777">
            <w:pPr>
              <w:jc w:val="center"/>
              <w:rPr>
                <w:b/>
              </w:rPr>
            </w:pPr>
          </w:p>
        </w:tc>
        <w:tc>
          <w:tcPr>
            <w:tcW w:w="1662" w:type="dxa"/>
          </w:tcPr>
          <w:p w:rsidRPr="003165DF" w:rsidR="00673CF5" w:rsidP="00673CF5" w:rsidRDefault="00673CF5" w14:paraId="2805DEAD" w14:textId="77777777">
            <w:pPr>
              <w:jc w:val="center"/>
              <w:rPr>
                <w:b/>
              </w:rPr>
            </w:pPr>
          </w:p>
        </w:tc>
      </w:tr>
      <w:tr w:rsidR="00673CF5" w:rsidTr="00673CF5" w14:paraId="3F2F184B" w14:textId="77777777">
        <w:tc>
          <w:tcPr>
            <w:tcW w:w="1661" w:type="dxa"/>
          </w:tcPr>
          <w:p w:rsidRPr="003165DF" w:rsidR="00673CF5" w:rsidP="00673CF5" w:rsidRDefault="00673CF5" w14:paraId="1D1CADDF" w14:textId="38ACB690">
            <w:pPr>
              <w:jc w:val="center"/>
              <w:rPr>
                <w:b/>
              </w:rPr>
            </w:pPr>
            <w:r w:rsidRPr="003165DF">
              <w:t>Petrochemical</w:t>
            </w:r>
          </w:p>
        </w:tc>
        <w:tc>
          <w:tcPr>
            <w:tcW w:w="1661" w:type="dxa"/>
          </w:tcPr>
          <w:p w:rsidRPr="003165DF" w:rsidR="00673CF5" w:rsidP="00673CF5" w:rsidRDefault="00673CF5" w14:paraId="7046FF47" w14:textId="54E493F1">
            <w:pPr>
              <w:jc w:val="center"/>
              <w:rPr>
                <w:b/>
              </w:rPr>
            </w:pPr>
            <w:r w:rsidRPr="003165DF">
              <w:t>Port Neal</w:t>
            </w:r>
          </w:p>
        </w:tc>
        <w:tc>
          <w:tcPr>
            <w:tcW w:w="1662" w:type="dxa"/>
          </w:tcPr>
          <w:p w:rsidRPr="003165DF" w:rsidR="00673CF5" w:rsidP="00673CF5" w:rsidRDefault="00673CF5" w14:paraId="6EBC3AA1" w14:textId="600C7863">
            <w:pPr>
              <w:jc w:val="center"/>
              <w:rPr>
                <w:b/>
              </w:rPr>
            </w:pPr>
            <w:r w:rsidRPr="003165DF">
              <w:t>12/13/1994</w:t>
            </w:r>
          </w:p>
        </w:tc>
        <w:tc>
          <w:tcPr>
            <w:tcW w:w="1662" w:type="dxa"/>
          </w:tcPr>
          <w:p w:rsidRPr="003165DF" w:rsidR="00673CF5" w:rsidP="00673CF5" w:rsidRDefault="00673CF5" w14:paraId="46222BCC" w14:textId="5973671F">
            <w:pPr>
              <w:jc w:val="center"/>
              <w:rPr>
                <w:b/>
              </w:rPr>
            </w:pPr>
            <w:r w:rsidRPr="003165DF">
              <w:t>$430</w:t>
            </w:r>
          </w:p>
        </w:tc>
        <w:tc>
          <w:tcPr>
            <w:tcW w:w="1662" w:type="dxa"/>
          </w:tcPr>
          <w:p w:rsidRPr="003165DF" w:rsidR="00673CF5" w:rsidP="00673CF5" w:rsidRDefault="00673CF5" w14:paraId="27F70DF3" w14:textId="77777777">
            <w:pPr>
              <w:jc w:val="center"/>
              <w:rPr>
                <w:b/>
              </w:rPr>
            </w:pPr>
          </w:p>
        </w:tc>
        <w:tc>
          <w:tcPr>
            <w:tcW w:w="1662" w:type="dxa"/>
          </w:tcPr>
          <w:p w:rsidRPr="003165DF" w:rsidR="00673CF5" w:rsidP="00673CF5" w:rsidRDefault="00673CF5" w14:paraId="4BDED8C7" w14:textId="77777777">
            <w:pPr>
              <w:jc w:val="center"/>
              <w:rPr>
                <w:b/>
              </w:rPr>
            </w:pPr>
          </w:p>
        </w:tc>
      </w:tr>
      <w:tr w:rsidR="00673CF5" w:rsidTr="00673CF5" w14:paraId="4447E86B" w14:textId="77777777">
        <w:tc>
          <w:tcPr>
            <w:tcW w:w="1661" w:type="dxa"/>
          </w:tcPr>
          <w:p w:rsidRPr="003165DF" w:rsidR="00673CF5" w:rsidP="00673CF5" w:rsidRDefault="00673CF5" w14:paraId="0CC3D276" w14:textId="3B480573">
            <w:pPr>
              <w:jc w:val="center"/>
              <w:rPr>
                <w:b/>
              </w:rPr>
            </w:pPr>
            <w:r w:rsidRPr="003165DF">
              <w:t>Petrochemical</w:t>
            </w:r>
          </w:p>
        </w:tc>
        <w:tc>
          <w:tcPr>
            <w:tcW w:w="1661" w:type="dxa"/>
          </w:tcPr>
          <w:p w:rsidRPr="003165DF" w:rsidR="00673CF5" w:rsidP="00673CF5" w:rsidRDefault="00673CF5" w14:paraId="4F6DAAD8" w14:textId="5505E9EA">
            <w:pPr>
              <w:jc w:val="center"/>
              <w:rPr>
                <w:b/>
              </w:rPr>
            </w:pPr>
            <w:r w:rsidRPr="003165DF">
              <w:t>Pampa</w:t>
            </w:r>
          </w:p>
        </w:tc>
        <w:tc>
          <w:tcPr>
            <w:tcW w:w="1662" w:type="dxa"/>
          </w:tcPr>
          <w:p w:rsidRPr="003165DF" w:rsidR="00673CF5" w:rsidP="00673CF5" w:rsidRDefault="00673CF5" w14:paraId="3D40003A" w14:textId="5EEB8761">
            <w:pPr>
              <w:jc w:val="center"/>
              <w:rPr>
                <w:b/>
              </w:rPr>
            </w:pPr>
            <w:r w:rsidRPr="003165DF">
              <w:t>11/14/1987</w:t>
            </w:r>
          </w:p>
        </w:tc>
        <w:tc>
          <w:tcPr>
            <w:tcW w:w="1662" w:type="dxa"/>
          </w:tcPr>
          <w:p w:rsidRPr="003165DF" w:rsidR="00673CF5" w:rsidP="00673CF5" w:rsidRDefault="00673CF5" w14:paraId="5B559027" w14:textId="0CB5781F">
            <w:pPr>
              <w:jc w:val="center"/>
              <w:rPr>
                <w:b/>
              </w:rPr>
            </w:pPr>
            <w:r w:rsidRPr="003165DF">
              <w:t>$549</w:t>
            </w:r>
          </w:p>
        </w:tc>
        <w:tc>
          <w:tcPr>
            <w:tcW w:w="1662" w:type="dxa"/>
          </w:tcPr>
          <w:p w:rsidRPr="003165DF" w:rsidR="00673CF5" w:rsidP="00673CF5" w:rsidRDefault="00673CF5" w14:paraId="7C881543" w14:textId="28CDF59C">
            <w:pPr>
              <w:jc w:val="center"/>
              <w:rPr>
                <w:b/>
              </w:rPr>
            </w:pPr>
            <w:r w:rsidRPr="003165DF">
              <w:t>$240</w:t>
            </w:r>
          </w:p>
        </w:tc>
        <w:tc>
          <w:tcPr>
            <w:tcW w:w="1662" w:type="dxa"/>
          </w:tcPr>
          <w:p w:rsidRPr="003165DF" w:rsidR="00673CF5" w:rsidP="00673CF5" w:rsidRDefault="00673CF5" w14:paraId="0BA4972A" w14:textId="77777777">
            <w:pPr>
              <w:jc w:val="center"/>
              <w:rPr>
                <w:b/>
              </w:rPr>
            </w:pPr>
          </w:p>
        </w:tc>
      </w:tr>
      <w:bookmarkEnd w:id="198"/>
      <w:tr w:rsidR="00673CF5" w:rsidTr="00673CF5" w14:paraId="120672D6" w14:textId="77777777">
        <w:tc>
          <w:tcPr>
            <w:tcW w:w="1661" w:type="dxa"/>
          </w:tcPr>
          <w:p w:rsidRPr="003165DF" w:rsidR="00673CF5" w:rsidP="00673CF5" w:rsidRDefault="00673CF5" w14:paraId="15AC39A0" w14:textId="00542BEE">
            <w:pPr>
              <w:jc w:val="center"/>
              <w:rPr>
                <w:b/>
              </w:rPr>
            </w:pPr>
            <w:r w:rsidRPr="003165DF">
              <w:t>Petrochemical</w:t>
            </w:r>
          </w:p>
        </w:tc>
        <w:tc>
          <w:tcPr>
            <w:tcW w:w="1661" w:type="dxa"/>
          </w:tcPr>
          <w:p w:rsidRPr="003165DF" w:rsidR="00673CF5" w:rsidP="00673CF5" w:rsidRDefault="00673CF5" w14:paraId="0B2B600F" w14:textId="3825FD2A">
            <w:pPr>
              <w:jc w:val="center"/>
              <w:rPr>
                <w:b/>
              </w:rPr>
            </w:pPr>
            <w:r w:rsidRPr="003165DF">
              <w:t>Henderson</w:t>
            </w:r>
          </w:p>
        </w:tc>
        <w:tc>
          <w:tcPr>
            <w:tcW w:w="1662" w:type="dxa"/>
          </w:tcPr>
          <w:p w:rsidRPr="003165DF" w:rsidR="00673CF5" w:rsidP="00673CF5" w:rsidRDefault="00673CF5" w14:paraId="1A10C404" w14:textId="246DF47A">
            <w:pPr>
              <w:jc w:val="center"/>
              <w:rPr>
                <w:b/>
              </w:rPr>
            </w:pPr>
            <w:r w:rsidRPr="003165DF">
              <w:t>5/4/1988</w:t>
            </w:r>
          </w:p>
        </w:tc>
        <w:tc>
          <w:tcPr>
            <w:tcW w:w="1662" w:type="dxa"/>
          </w:tcPr>
          <w:p w:rsidRPr="003165DF" w:rsidR="00673CF5" w:rsidP="00673CF5" w:rsidRDefault="00673CF5" w14:paraId="103C9982" w14:textId="2948A15F">
            <w:pPr>
              <w:jc w:val="center"/>
              <w:rPr>
                <w:b/>
              </w:rPr>
            </w:pPr>
            <w:r w:rsidRPr="003165DF">
              <w:t>$737</w:t>
            </w:r>
          </w:p>
        </w:tc>
        <w:tc>
          <w:tcPr>
            <w:tcW w:w="1662" w:type="dxa"/>
          </w:tcPr>
          <w:p w:rsidRPr="003165DF" w:rsidR="00673CF5" w:rsidP="00673CF5" w:rsidRDefault="00673CF5" w14:paraId="7FD9D1B6" w14:textId="77777777">
            <w:pPr>
              <w:jc w:val="center"/>
              <w:rPr>
                <w:b/>
              </w:rPr>
            </w:pPr>
          </w:p>
        </w:tc>
        <w:tc>
          <w:tcPr>
            <w:tcW w:w="1662" w:type="dxa"/>
          </w:tcPr>
          <w:p w:rsidRPr="003165DF" w:rsidR="00673CF5" w:rsidP="00673CF5" w:rsidRDefault="00843847" w14:paraId="624F29E0" w14:textId="189E0762">
            <w:pPr>
              <w:jc w:val="center"/>
              <w:rPr>
                <w:b/>
              </w:rPr>
            </w:pPr>
            <w:r>
              <w:t>P</w:t>
            </w:r>
            <w:r w:rsidRPr="003165DF" w:rsidR="00673CF5">
              <w:t>lant destroyed</w:t>
            </w:r>
          </w:p>
        </w:tc>
      </w:tr>
      <w:tr w:rsidR="00673CF5" w:rsidTr="00673CF5" w14:paraId="27FFCD65" w14:textId="77777777">
        <w:tc>
          <w:tcPr>
            <w:tcW w:w="1661" w:type="dxa"/>
          </w:tcPr>
          <w:p w:rsidRPr="003165DF" w:rsidR="00673CF5" w:rsidP="00673CF5" w:rsidRDefault="00673CF5" w14:paraId="1C7023E8" w14:textId="1ECE4FC1">
            <w:pPr>
              <w:jc w:val="center"/>
              <w:rPr>
                <w:b/>
              </w:rPr>
            </w:pPr>
            <w:r w:rsidRPr="003165DF">
              <w:t>Refinery</w:t>
            </w:r>
          </w:p>
        </w:tc>
        <w:tc>
          <w:tcPr>
            <w:tcW w:w="1661" w:type="dxa"/>
          </w:tcPr>
          <w:p w:rsidRPr="003165DF" w:rsidR="00673CF5" w:rsidP="00673CF5" w:rsidRDefault="00673CF5" w14:paraId="151E3C8C" w14:textId="6BD64ED7">
            <w:pPr>
              <w:jc w:val="center"/>
              <w:rPr>
                <w:b/>
              </w:rPr>
            </w:pPr>
            <w:r w:rsidRPr="003165DF">
              <w:t>Norco</w:t>
            </w:r>
          </w:p>
        </w:tc>
        <w:tc>
          <w:tcPr>
            <w:tcW w:w="1662" w:type="dxa"/>
          </w:tcPr>
          <w:p w:rsidRPr="003165DF" w:rsidR="00673CF5" w:rsidP="00673CF5" w:rsidRDefault="00673CF5" w14:paraId="4405825A" w14:textId="179B82FF">
            <w:pPr>
              <w:jc w:val="center"/>
              <w:rPr>
                <w:b/>
              </w:rPr>
            </w:pPr>
            <w:r w:rsidRPr="003165DF">
              <w:t>5/5/1988</w:t>
            </w:r>
          </w:p>
        </w:tc>
        <w:tc>
          <w:tcPr>
            <w:tcW w:w="1662" w:type="dxa"/>
          </w:tcPr>
          <w:p w:rsidRPr="003165DF" w:rsidR="00673CF5" w:rsidP="00673CF5" w:rsidRDefault="00673CF5" w14:paraId="22669914" w14:textId="43FD31E6">
            <w:pPr>
              <w:jc w:val="center"/>
              <w:rPr>
                <w:b/>
              </w:rPr>
            </w:pPr>
            <w:r w:rsidRPr="003165DF">
              <w:t>$708</w:t>
            </w:r>
          </w:p>
        </w:tc>
        <w:tc>
          <w:tcPr>
            <w:tcW w:w="1662" w:type="dxa"/>
          </w:tcPr>
          <w:p w:rsidRPr="003165DF" w:rsidR="00673CF5" w:rsidP="00673CF5" w:rsidRDefault="00673CF5" w14:paraId="550B5AB2" w14:textId="77777777">
            <w:pPr>
              <w:jc w:val="center"/>
              <w:rPr>
                <w:b/>
              </w:rPr>
            </w:pPr>
          </w:p>
        </w:tc>
        <w:tc>
          <w:tcPr>
            <w:tcW w:w="1662" w:type="dxa"/>
          </w:tcPr>
          <w:p w:rsidRPr="003165DF" w:rsidR="00673CF5" w:rsidP="00673CF5" w:rsidRDefault="00843847" w14:paraId="2FA354FA" w14:textId="3D12E584">
            <w:pPr>
              <w:jc w:val="center"/>
              <w:rPr>
                <w:b/>
              </w:rPr>
            </w:pPr>
            <w:r>
              <w:t>U</w:t>
            </w:r>
            <w:r w:rsidRPr="003165DF" w:rsidR="00673CF5">
              <w:t>nit demolished and rebuilt</w:t>
            </w:r>
          </w:p>
        </w:tc>
      </w:tr>
      <w:tr w:rsidR="00673CF5" w:rsidTr="00673CF5" w14:paraId="2073E7EE" w14:textId="77777777">
        <w:tc>
          <w:tcPr>
            <w:tcW w:w="1661" w:type="dxa"/>
          </w:tcPr>
          <w:p w:rsidRPr="003165DF" w:rsidR="00673CF5" w:rsidP="00673CF5" w:rsidRDefault="00673CF5" w14:paraId="6370114B" w14:textId="607E6C86">
            <w:pPr>
              <w:jc w:val="center"/>
              <w:rPr>
                <w:b/>
              </w:rPr>
            </w:pPr>
            <w:r w:rsidRPr="003165DF">
              <w:t>Refinery</w:t>
            </w:r>
          </w:p>
        </w:tc>
        <w:tc>
          <w:tcPr>
            <w:tcW w:w="1661" w:type="dxa"/>
          </w:tcPr>
          <w:p w:rsidRPr="003165DF" w:rsidR="00673CF5" w:rsidP="00673CF5" w:rsidRDefault="00673CF5" w14:paraId="5D544E0D" w14:textId="6D163D79">
            <w:pPr>
              <w:jc w:val="center"/>
              <w:rPr>
                <w:b/>
              </w:rPr>
            </w:pPr>
            <w:r w:rsidRPr="003165DF">
              <w:t>Richmond</w:t>
            </w:r>
          </w:p>
        </w:tc>
        <w:tc>
          <w:tcPr>
            <w:tcW w:w="1662" w:type="dxa"/>
          </w:tcPr>
          <w:p w:rsidRPr="003165DF" w:rsidR="00673CF5" w:rsidP="00673CF5" w:rsidRDefault="00673CF5" w14:paraId="06432078" w14:textId="09414146">
            <w:pPr>
              <w:jc w:val="center"/>
              <w:rPr>
                <w:b/>
              </w:rPr>
            </w:pPr>
            <w:r w:rsidRPr="003165DF">
              <w:t>4/10/1989</w:t>
            </w:r>
          </w:p>
        </w:tc>
        <w:tc>
          <w:tcPr>
            <w:tcW w:w="1662" w:type="dxa"/>
          </w:tcPr>
          <w:p w:rsidRPr="003165DF" w:rsidR="00673CF5" w:rsidP="00673CF5" w:rsidRDefault="00673CF5" w14:paraId="5841439B" w14:textId="2771C6B7">
            <w:pPr>
              <w:jc w:val="center"/>
              <w:rPr>
                <w:b/>
              </w:rPr>
            </w:pPr>
            <w:r w:rsidRPr="003165DF">
              <w:t>$215</w:t>
            </w:r>
          </w:p>
        </w:tc>
        <w:tc>
          <w:tcPr>
            <w:tcW w:w="1662" w:type="dxa"/>
          </w:tcPr>
          <w:p w:rsidRPr="003165DF" w:rsidR="00673CF5" w:rsidP="00673CF5" w:rsidRDefault="00673CF5" w14:paraId="5ACB6AFF" w14:textId="77777777">
            <w:pPr>
              <w:jc w:val="center"/>
              <w:rPr>
                <w:b/>
              </w:rPr>
            </w:pPr>
          </w:p>
        </w:tc>
        <w:tc>
          <w:tcPr>
            <w:tcW w:w="1662" w:type="dxa"/>
          </w:tcPr>
          <w:p w:rsidRPr="003165DF" w:rsidR="00673CF5" w:rsidP="00673CF5" w:rsidRDefault="00673CF5" w14:paraId="48D4A2BC" w14:textId="52E11B5E">
            <w:pPr>
              <w:jc w:val="center"/>
              <w:rPr>
                <w:b/>
              </w:rPr>
            </w:pPr>
            <w:r w:rsidRPr="003165DF">
              <w:t>25% of capacity lost for 5 months</w:t>
            </w:r>
          </w:p>
        </w:tc>
      </w:tr>
      <w:tr w:rsidR="00673CF5" w:rsidTr="00673CF5" w14:paraId="41A0AFD7" w14:textId="77777777">
        <w:tc>
          <w:tcPr>
            <w:tcW w:w="1661" w:type="dxa"/>
          </w:tcPr>
          <w:p w:rsidRPr="003165DF" w:rsidR="00673CF5" w:rsidP="00673CF5" w:rsidRDefault="00673CF5" w14:paraId="707A9D47" w14:textId="20E3CA87">
            <w:pPr>
              <w:jc w:val="center"/>
              <w:rPr>
                <w:b/>
              </w:rPr>
            </w:pPr>
            <w:r w:rsidRPr="003165DF">
              <w:t>Petrochemical</w:t>
            </w:r>
          </w:p>
        </w:tc>
        <w:tc>
          <w:tcPr>
            <w:tcW w:w="1661" w:type="dxa"/>
          </w:tcPr>
          <w:p w:rsidRPr="003165DF" w:rsidR="00673CF5" w:rsidP="00673CF5" w:rsidRDefault="00673CF5" w14:paraId="2AF09D69" w14:textId="5DDD6DAA">
            <w:pPr>
              <w:jc w:val="center"/>
              <w:rPr>
                <w:b/>
              </w:rPr>
            </w:pPr>
            <w:r w:rsidRPr="003165DF">
              <w:t>Pasadena</w:t>
            </w:r>
          </w:p>
        </w:tc>
        <w:tc>
          <w:tcPr>
            <w:tcW w:w="1662" w:type="dxa"/>
          </w:tcPr>
          <w:p w:rsidRPr="003165DF" w:rsidR="00673CF5" w:rsidP="00673CF5" w:rsidRDefault="00673CF5" w14:paraId="6BD39F48" w14:textId="12C4FDAF">
            <w:pPr>
              <w:jc w:val="center"/>
              <w:rPr>
                <w:b/>
              </w:rPr>
            </w:pPr>
            <w:r w:rsidRPr="003165DF">
              <w:t>10/23/1989</w:t>
            </w:r>
          </w:p>
        </w:tc>
        <w:tc>
          <w:tcPr>
            <w:tcW w:w="1662" w:type="dxa"/>
          </w:tcPr>
          <w:p w:rsidRPr="003165DF" w:rsidR="00673CF5" w:rsidP="00673CF5" w:rsidRDefault="00673CF5" w14:paraId="30927AB4" w14:textId="2A44DDC5">
            <w:pPr>
              <w:jc w:val="center"/>
              <w:rPr>
                <w:b/>
              </w:rPr>
            </w:pPr>
            <w:r w:rsidRPr="003165DF">
              <w:t>$1,615</w:t>
            </w:r>
          </w:p>
        </w:tc>
        <w:tc>
          <w:tcPr>
            <w:tcW w:w="1662" w:type="dxa"/>
          </w:tcPr>
          <w:p w:rsidRPr="003165DF" w:rsidR="00673CF5" w:rsidP="00673CF5" w:rsidRDefault="00673CF5" w14:paraId="7E7A1471" w14:textId="77777777">
            <w:pPr>
              <w:jc w:val="center"/>
              <w:rPr>
                <w:b/>
              </w:rPr>
            </w:pPr>
          </w:p>
        </w:tc>
        <w:tc>
          <w:tcPr>
            <w:tcW w:w="1662" w:type="dxa"/>
          </w:tcPr>
          <w:p w:rsidRPr="003165DF" w:rsidR="00673CF5" w:rsidP="00673CF5" w:rsidRDefault="00843847" w14:paraId="2C6F3713" w14:textId="771EC64C">
            <w:pPr>
              <w:jc w:val="center"/>
              <w:rPr>
                <w:b/>
              </w:rPr>
            </w:pPr>
            <w:r>
              <w:t>F</w:t>
            </w:r>
            <w:r w:rsidRPr="003165DF" w:rsidR="00673CF5">
              <w:t>ull production not restored for 2 years</w:t>
            </w:r>
          </w:p>
        </w:tc>
      </w:tr>
      <w:tr w:rsidR="00673CF5" w:rsidTr="00673CF5" w14:paraId="42182F7C" w14:textId="77777777">
        <w:tc>
          <w:tcPr>
            <w:tcW w:w="1661" w:type="dxa"/>
          </w:tcPr>
          <w:p w:rsidRPr="003165DF" w:rsidR="00673CF5" w:rsidP="00673CF5" w:rsidRDefault="00673CF5" w14:paraId="5478B994" w14:textId="2AEFD0D2">
            <w:pPr>
              <w:jc w:val="center"/>
              <w:rPr>
                <w:b/>
              </w:rPr>
            </w:pPr>
            <w:r w:rsidRPr="003165DF">
              <w:t>Petrochemical</w:t>
            </w:r>
          </w:p>
        </w:tc>
        <w:tc>
          <w:tcPr>
            <w:tcW w:w="1661" w:type="dxa"/>
          </w:tcPr>
          <w:p w:rsidRPr="003165DF" w:rsidR="00673CF5" w:rsidP="00673CF5" w:rsidRDefault="00673CF5" w14:paraId="36744F0A" w14:textId="4D2AD6BD">
            <w:pPr>
              <w:jc w:val="center"/>
              <w:rPr>
                <w:b/>
              </w:rPr>
            </w:pPr>
            <w:r w:rsidRPr="003165DF">
              <w:t>Sea Drift</w:t>
            </w:r>
          </w:p>
        </w:tc>
        <w:tc>
          <w:tcPr>
            <w:tcW w:w="1662" w:type="dxa"/>
          </w:tcPr>
          <w:p w:rsidRPr="003165DF" w:rsidR="00673CF5" w:rsidP="00673CF5" w:rsidRDefault="00673CF5" w14:paraId="2708F82B" w14:textId="7F7CF150">
            <w:pPr>
              <w:jc w:val="center"/>
              <w:rPr>
                <w:b/>
              </w:rPr>
            </w:pPr>
            <w:r w:rsidRPr="003165DF">
              <w:t>3/12/1991</w:t>
            </w:r>
          </w:p>
        </w:tc>
        <w:tc>
          <w:tcPr>
            <w:tcW w:w="1662" w:type="dxa"/>
          </w:tcPr>
          <w:p w:rsidRPr="003165DF" w:rsidR="00673CF5" w:rsidP="00673CF5" w:rsidRDefault="00673CF5" w14:paraId="1E2552AE" w14:textId="77429666">
            <w:pPr>
              <w:jc w:val="center"/>
              <w:rPr>
                <w:b/>
              </w:rPr>
            </w:pPr>
            <w:r w:rsidRPr="003165DF">
              <w:t>$206</w:t>
            </w:r>
          </w:p>
        </w:tc>
        <w:tc>
          <w:tcPr>
            <w:tcW w:w="1662" w:type="dxa"/>
          </w:tcPr>
          <w:p w:rsidRPr="003165DF" w:rsidR="00673CF5" w:rsidP="00673CF5" w:rsidRDefault="00673CF5" w14:paraId="18E19483" w14:textId="5090CF80">
            <w:pPr>
              <w:jc w:val="center"/>
              <w:rPr>
                <w:b/>
              </w:rPr>
            </w:pPr>
            <w:r w:rsidRPr="003165DF">
              <w:t>$165</w:t>
            </w:r>
          </w:p>
        </w:tc>
        <w:tc>
          <w:tcPr>
            <w:tcW w:w="1662" w:type="dxa"/>
          </w:tcPr>
          <w:p w:rsidRPr="003165DF" w:rsidR="00673CF5" w:rsidP="00673CF5" w:rsidRDefault="00843847" w14:paraId="210B1B04" w14:textId="0703B913">
            <w:pPr>
              <w:jc w:val="center"/>
              <w:rPr>
                <w:b/>
              </w:rPr>
            </w:pPr>
            <w:r>
              <w:t>P</w:t>
            </w:r>
            <w:r w:rsidRPr="003165DF" w:rsidR="00673CF5">
              <w:t>roduction reduced for a year</w:t>
            </w:r>
          </w:p>
        </w:tc>
      </w:tr>
      <w:tr w:rsidR="00673CF5" w:rsidTr="00673CF5" w14:paraId="6BCBAEE3" w14:textId="77777777">
        <w:tc>
          <w:tcPr>
            <w:tcW w:w="1661" w:type="dxa"/>
          </w:tcPr>
          <w:p w:rsidRPr="003165DF" w:rsidR="00673CF5" w:rsidP="00673CF5" w:rsidRDefault="00673CF5" w14:paraId="57885346" w14:textId="511F1989">
            <w:pPr>
              <w:jc w:val="center"/>
              <w:rPr>
                <w:b/>
              </w:rPr>
            </w:pPr>
            <w:r w:rsidRPr="003165DF">
              <w:t>Petrochemical</w:t>
            </w:r>
          </w:p>
        </w:tc>
        <w:tc>
          <w:tcPr>
            <w:tcW w:w="1661" w:type="dxa"/>
          </w:tcPr>
          <w:p w:rsidRPr="003165DF" w:rsidR="00673CF5" w:rsidP="00673CF5" w:rsidRDefault="00673CF5" w14:paraId="23EF8EFB" w14:textId="31239016">
            <w:pPr>
              <w:jc w:val="center"/>
              <w:rPr>
                <w:b/>
              </w:rPr>
            </w:pPr>
            <w:r w:rsidRPr="003165DF">
              <w:t>Sterlington</w:t>
            </w:r>
          </w:p>
        </w:tc>
        <w:tc>
          <w:tcPr>
            <w:tcW w:w="1662" w:type="dxa"/>
          </w:tcPr>
          <w:p w:rsidRPr="003165DF" w:rsidR="00673CF5" w:rsidP="00673CF5" w:rsidRDefault="00673CF5" w14:paraId="384CF1E6" w14:textId="3C5B6460">
            <w:pPr>
              <w:jc w:val="center"/>
              <w:rPr>
                <w:b/>
              </w:rPr>
            </w:pPr>
            <w:r w:rsidRPr="003165DF">
              <w:t>5/1/1991</w:t>
            </w:r>
          </w:p>
        </w:tc>
        <w:tc>
          <w:tcPr>
            <w:tcW w:w="1662" w:type="dxa"/>
          </w:tcPr>
          <w:p w:rsidRPr="003165DF" w:rsidR="00673CF5" w:rsidP="00673CF5" w:rsidRDefault="00673CF5" w14:paraId="7AE8DFAA" w14:textId="19267C30">
            <w:pPr>
              <w:jc w:val="center"/>
              <w:rPr>
                <w:b/>
              </w:rPr>
            </w:pPr>
            <w:r w:rsidRPr="003165DF">
              <w:t>$274</w:t>
            </w:r>
          </w:p>
        </w:tc>
        <w:tc>
          <w:tcPr>
            <w:tcW w:w="1662" w:type="dxa"/>
          </w:tcPr>
          <w:p w:rsidRPr="003165DF" w:rsidR="00673CF5" w:rsidP="00673CF5" w:rsidRDefault="00673CF5" w14:paraId="52D9782A" w14:textId="7476F196">
            <w:pPr>
              <w:jc w:val="center"/>
              <w:rPr>
                <w:b/>
              </w:rPr>
            </w:pPr>
            <w:r w:rsidRPr="003165DF">
              <w:t>$270</w:t>
            </w:r>
          </w:p>
        </w:tc>
        <w:tc>
          <w:tcPr>
            <w:tcW w:w="1662" w:type="dxa"/>
          </w:tcPr>
          <w:p w:rsidRPr="003165DF" w:rsidR="00673CF5" w:rsidP="00673CF5" w:rsidRDefault="00843847" w14:paraId="7BE3C363" w14:textId="07CDEF1F">
            <w:pPr>
              <w:jc w:val="center"/>
              <w:rPr>
                <w:b/>
              </w:rPr>
            </w:pPr>
            <w:r>
              <w:t>O</w:t>
            </w:r>
            <w:r w:rsidRPr="003165DF" w:rsidR="00673CF5">
              <w:t>ne unit destroyed</w:t>
            </w:r>
          </w:p>
        </w:tc>
      </w:tr>
      <w:tr w:rsidR="00673CF5" w:rsidTr="00673CF5" w14:paraId="0E062337" w14:textId="77777777">
        <w:tc>
          <w:tcPr>
            <w:tcW w:w="1661" w:type="dxa"/>
          </w:tcPr>
          <w:p w:rsidRPr="003165DF" w:rsidR="00673CF5" w:rsidP="00673CF5" w:rsidRDefault="00673CF5" w14:paraId="4040BCD3" w14:textId="48242FB1">
            <w:pPr>
              <w:jc w:val="center"/>
              <w:rPr>
                <w:b/>
              </w:rPr>
            </w:pPr>
            <w:r w:rsidRPr="003165DF">
              <w:t>Refinery</w:t>
            </w:r>
          </w:p>
        </w:tc>
        <w:tc>
          <w:tcPr>
            <w:tcW w:w="1661" w:type="dxa"/>
          </w:tcPr>
          <w:p w:rsidRPr="003165DF" w:rsidR="00673CF5" w:rsidP="00673CF5" w:rsidRDefault="00673CF5" w14:paraId="0E98B73B" w14:textId="2F4671DE">
            <w:pPr>
              <w:jc w:val="center"/>
              <w:rPr>
                <w:b/>
              </w:rPr>
            </w:pPr>
            <w:r w:rsidRPr="003165DF">
              <w:t>Wilmington</w:t>
            </w:r>
          </w:p>
        </w:tc>
        <w:tc>
          <w:tcPr>
            <w:tcW w:w="1662" w:type="dxa"/>
          </w:tcPr>
          <w:p w:rsidRPr="003165DF" w:rsidR="00673CF5" w:rsidP="00673CF5" w:rsidRDefault="00673CF5" w14:paraId="13BA1E57" w14:textId="3C8B1FF3">
            <w:pPr>
              <w:jc w:val="center"/>
              <w:rPr>
                <w:b/>
              </w:rPr>
            </w:pPr>
            <w:r w:rsidRPr="003165DF">
              <w:t>10/8/1992</w:t>
            </w:r>
          </w:p>
        </w:tc>
        <w:tc>
          <w:tcPr>
            <w:tcW w:w="1662" w:type="dxa"/>
          </w:tcPr>
          <w:p w:rsidRPr="003165DF" w:rsidR="00673CF5" w:rsidP="00673CF5" w:rsidRDefault="00673CF5" w14:paraId="662AA327" w14:textId="40558000">
            <w:pPr>
              <w:jc w:val="center"/>
              <w:rPr>
                <w:b/>
              </w:rPr>
            </w:pPr>
            <w:r w:rsidRPr="003165DF">
              <w:t>$175</w:t>
            </w:r>
          </w:p>
        </w:tc>
        <w:tc>
          <w:tcPr>
            <w:tcW w:w="1662" w:type="dxa"/>
          </w:tcPr>
          <w:p w:rsidRPr="003165DF" w:rsidR="00673CF5" w:rsidP="00673CF5" w:rsidRDefault="00673CF5" w14:paraId="0CC20E2D" w14:textId="77777777">
            <w:pPr>
              <w:jc w:val="center"/>
              <w:rPr>
                <w:b/>
              </w:rPr>
            </w:pPr>
          </w:p>
        </w:tc>
        <w:tc>
          <w:tcPr>
            <w:tcW w:w="1662" w:type="dxa"/>
          </w:tcPr>
          <w:p w:rsidRPr="003165DF" w:rsidR="00673CF5" w:rsidP="00673CF5" w:rsidRDefault="008A2782" w14:paraId="0BA68342" w14:textId="5582985E">
            <w:pPr>
              <w:jc w:val="center"/>
              <w:rPr>
                <w:b/>
              </w:rPr>
            </w:pPr>
            <w:r>
              <w:t>P</w:t>
            </w:r>
            <w:r w:rsidRPr="003165DF" w:rsidR="00673CF5">
              <w:t>roduction reduced by more than half for 7 months</w:t>
            </w:r>
          </w:p>
        </w:tc>
      </w:tr>
      <w:tr w:rsidR="00673CF5" w:rsidTr="00673CF5" w14:paraId="4AA4C9EA" w14:textId="77777777">
        <w:tc>
          <w:tcPr>
            <w:tcW w:w="1661" w:type="dxa"/>
          </w:tcPr>
          <w:p w:rsidRPr="003165DF" w:rsidR="00673CF5" w:rsidP="00673CF5" w:rsidRDefault="00673CF5" w14:paraId="3B987688" w14:textId="76FD7DD0">
            <w:pPr>
              <w:jc w:val="center"/>
              <w:rPr>
                <w:b/>
              </w:rPr>
            </w:pPr>
            <w:r w:rsidRPr="003165DF">
              <w:t>Petrochemical</w:t>
            </w:r>
          </w:p>
        </w:tc>
        <w:tc>
          <w:tcPr>
            <w:tcW w:w="1661" w:type="dxa"/>
          </w:tcPr>
          <w:p w:rsidRPr="003165DF" w:rsidR="00673CF5" w:rsidP="00673CF5" w:rsidRDefault="00673CF5" w14:paraId="63081592" w14:textId="75D08BEC">
            <w:pPr>
              <w:jc w:val="center"/>
              <w:rPr>
                <w:b/>
              </w:rPr>
            </w:pPr>
            <w:r w:rsidRPr="003165DF">
              <w:t>Belpre</w:t>
            </w:r>
          </w:p>
        </w:tc>
        <w:tc>
          <w:tcPr>
            <w:tcW w:w="1662" w:type="dxa"/>
          </w:tcPr>
          <w:p w:rsidRPr="003165DF" w:rsidR="00673CF5" w:rsidP="00673CF5" w:rsidRDefault="00673CF5" w14:paraId="48307DE5" w14:textId="5C94C435">
            <w:pPr>
              <w:jc w:val="center"/>
              <w:rPr>
                <w:b/>
              </w:rPr>
            </w:pPr>
            <w:r w:rsidRPr="003165DF">
              <w:t>5/27/1994</w:t>
            </w:r>
          </w:p>
        </w:tc>
        <w:tc>
          <w:tcPr>
            <w:tcW w:w="1662" w:type="dxa"/>
          </w:tcPr>
          <w:p w:rsidRPr="003165DF" w:rsidR="00673CF5" w:rsidP="00673CF5" w:rsidRDefault="00673CF5" w14:paraId="075A9DB3" w14:textId="52381F9C">
            <w:pPr>
              <w:jc w:val="center"/>
              <w:rPr>
                <w:b/>
              </w:rPr>
            </w:pPr>
            <w:r w:rsidRPr="003165DF">
              <w:t>$386</w:t>
            </w:r>
          </w:p>
        </w:tc>
        <w:tc>
          <w:tcPr>
            <w:tcW w:w="1662" w:type="dxa"/>
          </w:tcPr>
          <w:p w:rsidRPr="003165DF" w:rsidR="00673CF5" w:rsidP="00673CF5" w:rsidRDefault="00673CF5" w14:paraId="3A6097E5" w14:textId="77777777">
            <w:pPr>
              <w:jc w:val="center"/>
              <w:rPr>
                <w:b/>
              </w:rPr>
            </w:pPr>
          </w:p>
        </w:tc>
        <w:tc>
          <w:tcPr>
            <w:tcW w:w="1662" w:type="dxa"/>
          </w:tcPr>
          <w:p w:rsidRPr="003165DF" w:rsidR="00673CF5" w:rsidP="00673CF5" w:rsidRDefault="00843847" w14:paraId="26B00B0D" w14:textId="1B263D85">
            <w:pPr>
              <w:jc w:val="center"/>
              <w:rPr>
                <w:b/>
              </w:rPr>
            </w:pPr>
            <w:r>
              <w:t>P</w:t>
            </w:r>
            <w:r w:rsidRPr="003165DF" w:rsidR="00673CF5">
              <w:t>roduction unit destroyed</w:t>
            </w:r>
          </w:p>
        </w:tc>
      </w:tr>
      <w:tr w:rsidR="00673CF5" w:rsidTr="00673CF5" w14:paraId="6B307E1C" w14:textId="77777777">
        <w:tc>
          <w:tcPr>
            <w:tcW w:w="1661" w:type="dxa"/>
          </w:tcPr>
          <w:p w:rsidRPr="003165DF" w:rsidR="00673CF5" w:rsidP="00673CF5" w:rsidRDefault="00673CF5" w14:paraId="38ED73E9" w14:textId="79681343">
            <w:pPr>
              <w:jc w:val="center"/>
              <w:rPr>
                <w:b/>
              </w:rPr>
            </w:pPr>
            <w:r w:rsidRPr="003165DF">
              <w:t>Petrochemical</w:t>
            </w:r>
          </w:p>
        </w:tc>
        <w:tc>
          <w:tcPr>
            <w:tcW w:w="1661" w:type="dxa"/>
          </w:tcPr>
          <w:p w:rsidRPr="003165DF" w:rsidR="00673CF5" w:rsidP="00673CF5" w:rsidRDefault="00673CF5" w14:paraId="08848A70" w14:textId="28B7EF12">
            <w:pPr>
              <w:jc w:val="center"/>
              <w:rPr>
                <w:b/>
              </w:rPr>
            </w:pPr>
            <w:r w:rsidRPr="003165DF">
              <w:t>Cedar Bayou</w:t>
            </w:r>
          </w:p>
        </w:tc>
        <w:tc>
          <w:tcPr>
            <w:tcW w:w="1662" w:type="dxa"/>
          </w:tcPr>
          <w:p w:rsidRPr="003165DF" w:rsidR="00673CF5" w:rsidP="00673CF5" w:rsidRDefault="00673CF5" w14:paraId="5FBFA787" w14:textId="335B5796">
            <w:pPr>
              <w:jc w:val="center"/>
              <w:rPr>
                <w:b/>
              </w:rPr>
            </w:pPr>
            <w:r w:rsidRPr="003165DF">
              <w:t>10/20/1994</w:t>
            </w:r>
          </w:p>
        </w:tc>
        <w:tc>
          <w:tcPr>
            <w:tcW w:w="1662" w:type="dxa"/>
          </w:tcPr>
          <w:p w:rsidRPr="003165DF" w:rsidR="00673CF5" w:rsidP="00673CF5" w:rsidRDefault="00673CF5" w14:paraId="568AD2C3" w14:textId="523BEB5C">
            <w:pPr>
              <w:jc w:val="center"/>
              <w:rPr>
                <w:b/>
              </w:rPr>
            </w:pPr>
            <w:r w:rsidRPr="003165DF">
              <w:t>$276</w:t>
            </w:r>
          </w:p>
        </w:tc>
        <w:tc>
          <w:tcPr>
            <w:tcW w:w="1662" w:type="dxa"/>
          </w:tcPr>
          <w:p w:rsidRPr="003165DF" w:rsidR="00673CF5" w:rsidP="00673CF5" w:rsidRDefault="00673CF5" w14:paraId="26C4722F" w14:textId="77777777">
            <w:pPr>
              <w:jc w:val="center"/>
              <w:rPr>
                <w:b/>
              </w:rPr>
            </w:pPr>
          </w:p>
        </w:tc>
        <w:tc>
          <w:tcPr>
            <w:tcW w:w="1662" w:type="dxa"/>
          </w:tcPr>
          <w:p w:rsidRPr="003165DF" w:rsidR="00673CF5" w:rsidP="00673CF5" w:rsidRDefault="00843847" w14:paraId="595D4BC4" w14:textId="60D772EE">
            <w:pPr>
              <w:jc w:val="center"/>
              <w:rPr>
                <w:b/>
              </w:rPr>
            </w:pPr>
            <w:r>
              <w:t>I</w:t>
            </w:r>
            <w:r w:rsidRPr="003165DF" w:rsidR="00673CF5">
              <w:t>ncludes business loss</w:t>
            </w:r>
          </w:p>
        </w:tc>
      </w:tr>
      <w:tr w:rsidR="00673CF5" w:rsidTr="00673CF5" w14:paraId="4C7F778A" w14:textId="77777777">
        <w:tc>
          <w:tcPr>
            <w:tcW w:w="1661" w:type="dxa"/>
          </w:tcPr>
          <w:p w:rsidRPr="003165DF" w:rsidR="00673CF5" w:rsidP="00673CF5" w:rsidRDefault="00673CF5" w14:paraId="716A0577" w14:textId="0B6C4B69">
            <w:pPr>
              <w:jc w:val="center"/>
              <w:rPr>
                <w:b/>
              </w:rPr>
            </w:pPr>
            <w:r w:rsidRPr="003165DF">
              <w:t>Petrochemical</w:t>
            </w:r>
          </w:p>
        </w:tc>
        <w:tc>
          <w:tcPr>
            <w:tcW w:w="1661" w:type="dxa"/>
          </w:tcPr>
          <w:p w:rsidRPr="003165DF" w:rsidR="00673CF5" w:rsidP="00673CF5" w:rsidRDefault="00673CF5" w14:paraId="0B608FCF" w14:textId="5495B583">
            <w:pPr>
              <w:jc w:val="center"/>
              <w:rPr>
                <w:b/>
              </w:rPr>
            </w:pPr>
            <w:r w:rsidRPr="003165DF">
              <w:t>Port Neal</w:t>
            </w:r>
          </w:p>
        </w:tc>
        <w:tc>
          <w:tcPr>
            <w:tcW w:w="1662" w:type="dxa"/>
          </w:tcPr>
          <w:p w:rsidRPr="003165DF" w:rsidR="00673CF5" w:rsidP="00673CF5" w:rsidRDefault="00673CF5" w14:paraId="1279A921" w14:textId="0E614F8A">
            <w:pPr>
              <w:jc w:val="center"/>
              <w:rPr>
                <w:b/>
              </w:rPr>
            </w:pPr>
            <w:r w:rsidRPr="003165DF">
              <w:t>12/13/1994</w:t>
            </w:r>
          </w:p>
        </w:tc>
        <w:tc>
          <w:tcPr>
            <w:tcW w:w="1662" w:type="dxa"/>
          </w:tcPr>
          <w:p w:rsidRPr="003165DF" w:rsidR="00673CF5" w:rsidP="00673CF5" w:rsidRDefault="00673CF5" w14:paraId="605A21EA" w14:textId="463518A8">
            <w:pPr>
              <w:jc w:val="center"/>
              <w:rPr>
                <w:b/>
              </w:rPr>
            </w:pPr>
            <w:r w:rsidRPr="003165DF">
              <w:t>$370</w:t>
            </w:r>
          </w:p>
        </w:tc>
        <w:tc>
          <w:tcPr>
            <w:tcW w:w="1662" w:type="dxa"/>
          </w:tcPr>
          <w:p w:rsidRPr="003165DF" w:rsidR="00673CF5" w:rsidP="00673CF5" w:rsidRDefault="00673CF5" w14:paraId="7CD4006C" w14:textId="77777777">
            <w:pPr>
              <w:jc w:val="center"/>
              <w:rPr>
                <w:b/>
              </w:rPr>
            </w:pPr>
          </w:p>
        </w:tc>
        <w:tc>
          <w:tcPr>
            <w:tcW w:w="1662" w:type="dxa"/>
          </w:tcPr>
          <w:p w:rsidRPr="003165DF" w:rsidR="00673CF5" w:rsidP="00673CF5" w:rsidRDefault="00673CF5" w14:paraId="6C211715" w14:textId="77777777">
            <w:pPr>
              <w:jc w:val="center"/>
              <w:rPr>
                <w:b/>
              </w:rPr>
            </w:pPr>
          </w:p>
        </w:tc>
      </w:tr>
      <w:tr w:rsidR="00673CF5" w:rsidTr="00673CF5" w14:paraId="06725078" w14:textId="77777777">
        <w:tc>
          <w:tcPr>
            <w:tcW w:w="1661" w:type="dxa"/>
          </w:tcPr>
          <w:p w:rsidRPr="003165DF" w:rsidR="00673CF5" w:rsidP="00673CF5" w:rsidRDefault="00673CF5" w14:paraId="202477B8" w14:textId="7DFFAF5B">
            <w:pPr>
              <w:jc w:val="center"/>
              <w:rPr>
                <w:b/>
              </w:rPr>
            </w:pPr>
            <w:r w:rsidRPr="003165DF">
              <w:t>Petrochemical</w:t>
            </w:r>
          </w:p>
        </w:tc>
        <w:tc>
          <w:tcPr>
            <w:tcW w:w="1661" w:type="dxa"/>
          </w:tcPr>
          <w:p w:rsidRPr="003165DF" w:rsidR="00673CF5" w:rsidP="00673CF5" w:rsidRDefault="00673CF5" w14:paraId="3211A01E" w14:textId="54F73D74">
            <w:pPr>
              <w:jc w:val="center"/>
              <w:rPr>
                <w:b/>
              </w:rPr>
            </w:pPr>
            <w:r w:rsidRPr="003165DF">
              <w:t>Deer Park</w:t>
            </w:r>
          </w:p>
        </w:tc>
        <w:tc>
          <w:tcPr>
            <w:tcW w:w="1662" w:type="dxa"/>
          </w:tcPr>
          <w:p w:rsidRPr="003165DF" w:rsidR="00673CF5" w:rsidP="00673CF5" w:rsidRDefault="00673CF5" w14:paraId="6938634E" w14:textId="2BFD6DAC">
            <w:pPr>
              <w:jc w:val="center"/>
              <w:rPr>
                <w:b/>
              </w:rPr>
            </w:pPr>
            <w:r w:rsidRPr="003165DF">
              <w:t>6/22/1997</w:t>
            </w:r>
          </w:p>
        </w:tc>
        <w:tc>
          <w:tcPr>
            <w:tcW w:w="1662" w:type="dxa"/>
          </w:tcPr>
          <w:p w:rsidRPr="003165DF" w:rsidR="00673CF5" w:rsidP="00673CF5" w:rsidRDefault="00673CF5" w14:paraId="3346A152" w14:textId="346533DB">
            <w:pPr>
              <w:jc w:val="center"/>
              <w:rPr>
                <w:b/>
              </w:rPr>
            </w:pPr>
            <w:r w:rsidRPr="003165DF">
              <w:t>$267</w:t>
            </w:r>
          </w:p>
        </w:tc>
        <w:tc>
          <w:tcPr>
            <w:tcW w:w="1662" w:type="dxa"/>
          </w:tcPr>
          <w:p w:rsidRPr="003165DF" w:rsidR="00673CF5" w:rsidP="00673CF5" w:rsidRDefault="00673CF5" w14:paraId="37A7958A" w14:textId="77777777">
            <w:pPr>
              <w:jc w:val="center"/>
              <w:rPr>
                <w:b/>
              </w:rPr>
            </w:pPr>
          </w:p>
        </w:tc>
        <w:tc>
          <w:tcPr>
            <w:tcW w:w="1662" w:type="dxa"/>
          </w:tcPr>
          <w:p w:rsidRPr="003165DF" w:rsidR="00673CF5" w:rsidP="00673CF5" w:rsidRDefault="00673CF5" w14:paraId="3320A54D" w14:textId="77777777">
            <w:pPr>
              <w:jc w:val="center"/>
              <w:rPr>
                <w:b/>
              </w:rPr>
            </w:pPr>
          </w:p>
        </w:tc>
      </w:tr>
      <w:tr w:rsidR="00673CF5" w:rsidTr="00673CF5" w14:paraId="7C5DFAF1" w14:textId="77777777">
        <w:tc>
          <w:tcPr>
            <w:tcW w:w="1661" w:type="dxa"/>
          </w:tcPr>
          <w:p w:rsidRPr="003165DF" w:rsidR="00673CF5" w:rsidP="00673CF5" w:rsidRDefault="00673CF5" w14:paraId="5FF024ED" w14:textId="29832044">
            <w:pPr>
              <w:jc w:val="center"/>
              <w:rPr>
                <w:b/>
              </w:rPr>
            </w:pPr>
            <w:r w:rsidRPr="003165DF">
              <w:t>Refinery</w:t>
            </w:r>
          </w:p>
        </w:tc>
        <w:tc>
          <w:tcPr>
            <w:tcW w:w="1661" w:type="dxa"/>
          </w:tcPr>
          <w:p w:rsidRPr="003165DF" w:rsidR="00673CF5" w:rsidP="00673CF5" w:rsidRDefault="00673CF5" w14:paraId="1AC58AF7" w14:textId="2679A406">
            <w:pPr>
              <w:jc w:val="center"/>
              <w:rPr>
                <w:b/>
              </w:rPr>
            </w:pPr>
            <w:r w:rsidRPr="003165DF">
              <w:t>Richmond</w:t>
            </w:r>
          </w:p>
        </w:tc>
        <w:tc>
          <w:tcPr>
            <w:tcW w:w="1662" w:type="dxa"/>
          </w:tcPr>
          <w:p w:rsidRPr="003165DF" w:rsidR="00673CF5" w:rsidP="00673CF5" w:rsidRDefault="00673CF5" w14:paraId="2770EAAB" w14:textId="2396536C">
            <w:pPr>
              <w:jc w:val="center"/>
              <w:rPr>
                <w:b/>
              </w:rPr>
            </w:pPr>
            <w:r w:rsidRPr="003165DF">
              <w:t>3/25/1999</w:t>
            </w:r>
          </w:p>
        </w:tc>
        <w:tc>
          <w:tcPr>
            <w:tcW w:w="1662" w:type="dxa"/>
          </w:tcPr>
          <w:p w:rsidRPr="003165DF" w:rsidR="00673CF5" w:rsidP="00673CF5" w:rsidRDefault="00673CF5" w14:paraId="31E759CB" w14:textId="590B1686">
            <w:pPr>
              <w:jc w:val="center"/>
              <w:rPr>
                <w:b/>
              </w:rPr>
            </w:pPr>
            <w:r w:rsidRPr="003165DF">
              <w:t>$218</w:t>
            </w:r>
          </w:p>
        </w:tc>
        <w:tc>
          <w:tcPr>
            <w:tcW w:w="1662" w:type="dxa"/>
          </w:tcPr>
          <w:p w:rsidRPr="003165DF" w:rsidR="00673CF5" w:rsidP="00673CF5" w:rsidRDefault="00673CF5" w14:paraId="136C9904" w14:textId="77777777">
            <w:pPr>
              <w:jc w:val="center"/>
              <w:rPr>
                <w:b/>
              </w:rPr>
            </w:pPr>
          </w:p>
        </w:tc>
        <w:tc>
          <w:tcPr>
            <w:tcW w:w="1662" w:type="dxa"/>
          </w:tcPr>
          <w:p w:rsidRPr="003165DF" w:rsidR="00673CF5" w:rsidP="00673CF5" w:rsidRDefault="00843847" w14:paraId="4836E0E1" w14:textId="55D68F51">
            <w:pPr>
              <w:jc w:val="center"/>
              <w:rPr>
                <w:b/>
              </w:rPr>
            </w:pPr>
            <w:r>
              <w:t>U</w:t>
            </w:r>
            <w:r w:rsidRPr="003165DF" w:rsidR="00673CF5">
              <w:t>nit shut down for year</w:t>
            </w:r>
          </w:p>
        </w:tc>
      </w:tr>
      <w:tr w:rsidR="00673CF5" w:rsidTr="00673CF5" w14:paraId="735E19CD" w14:textId="77777777">
        <w:tc>
          <w:tcPr>
            <w:tcW w:w="1661" w:type="dxa"/>
          </w:tcPr>
          <w:p w:rsidRPr="003165DF" w:rsidR="00673CF5" w:rsidP="00673CF5" w:rsidRDefault="00673CF5" w14:paraId="783F5CD6" w14:textId="5B7D4613">
            <w:pPr>
              <w:jc w:val="center"/>
              <w:rPr>
                <w:b/>
              </w:rPr>
            </w:pPr>
            <w:r w:rsidRPr="003165DF">
              <w:t>Refinery</w:t>
            </w:r>
          </w:p>
        </w:tc>
        <w:tc>
          <w:tcPr>
            <w:tcW w:w="1661" w:type="dxa"/>
          </w:tcPr>
          <w:p w:rsidRPr="003165DF" w:rsidR="00673CF5" w:rsidP="00673CF5" w:rsidRDefault="00673CF5" w14:paraId="31D98763" w14:textId="6FF62ED3">
            <w:pPr>
              <w:jc w:val="center"/>
              <w:rPr>
                <w:b/>
              </w:rPr>
            </w:pPr>
            <w:r w:rsidRPr="003165DF">
              <w:t>Carson City</w:t>
            </w:r>
          </w:p>
        </w:tc>
        <w:tc>
          <w:tcPr>
            <w:tcW w:w="1662" w:type="dxa"/>
          </w:tcPr>
          <w:p w:rsidRPr="003165DF" w:rsidR="00673CF5" w:rsidP="00673CF5" w:rsidRDefault="00673CF5" w14:paraId="012BAE5F" w14:textId="526F5262">
            <w:pPr>
              <w:jc w:val="center"/>
              <w:rPr>
                <w:b/>
              </w:rPr>
            </w:pPr>
            <w:r w:rsidRPr="003165DF">
              <w:t>4/23/2001</w:t>
            </w:r>
          </w:p>
        </w:tc>
        <w:tc>
          <w:tcPr>
            <w:tcW w:w="1662" w:type="dxa"/>
          </w:tcPr>
          <w:p w:rsidRPr="003165DF" w:rsidR="00673CF5" w:rsidP="00673CF5" w:rsidRDefault="00673CF5" w14:paraId="03CD17FB" w14:textId="13B84BA7">
            <w:pPr>
              <w:jc w:val="center"/>
              <w:rPr>
                <w:b/>
              </w:rPr>
            </w:pPr>
            <w:r w:rsidRPr="003165DF">
              <w:t>$217</w:t>
            </w:r>
          </w:p>
        </w:tc>
        <w:tc>
          <w:tcPr>
            <w:tcW w:w="1662" w:type="dxa"/>
          </w:tcPr>
          <w:p w:rsidRPr="003165DF" w:rsidR="00673CF5" w:rsidP="00673CF5" w:rsidRDefault="00673CF5" w14:paraId="6E1DA4C4" w14:textId="77777777">
            <w:pPr>
              <w:jc w:val="center"/>
              <w:rPr>
                <w:b/>
              </w:rPr>
            </w:pPr>
          </w:p>
        </w:tc>
        <w:tc>
          <w:tcPr>
            <w:tcW w:w="1662" w:type="dxa"/>
          </w:tcPr>
          <w:p w:rsidRPr="003165DF" w:rsidR="00673CF5" w:rsidP="00673CF5" w:rsidRDefault="00843847" w14:paraId="0246DB77" w14:textId="2712AEC1">
            <w:pPr>
              <w:jc w:val="center"/>
              <w:rPr>
                <w:b/>
              </w:rPr>
            </w:pPr>
            <w:r>
              <w:t>U</w:t>
            </w:r>
            <w:r w:rsidRPr="003165DF" w:rsidR="00673CF5">
              <w:t>nit shut down for 2 months</w:t>
            </w:r>
          </w:p>
        </w:tc>
      </w:tr>
      <w:tr w:rsidR="00673CF5" w:rsidTr="00673CF5" w14:paraId="795754E7" w14:textId="77777777">
        <w:tc>
          <w:tcPr>
            <w:tcW w:w="1661" w:type="dxa"/>
          </w:tcPr>
          <w:p w:rsidRPr="003165DF" w:rsidR="00673CF5" w:rsidP="00673CF5" w:rsidRDefault="00673CF5" w14:paraId="08D93AA8" w14:textId="10DC78F9">
            <w:pPr>
              <w:jc w:val="center"/>
              <w:rPr>
                <w:b/>
              </w:rPr>
            </w:pPr>
            <w:r w:rsidRPr="003165DF">
              <w:t>Refinery</w:t>
            </w:r>
          </w:p>
        </w:tc>
        <w:tc>
          <w:tcPr>
            <w:tcW w:w="1661" w:type="dxa"/>
          </w:tcPr>
          <w:p w:rsidRPr="003165DF" w:rsidR="00673CF5" w:rsidP="00673CF5" w:rsidRDefault="00673CF5" w14:paraId="10ABFA14" w14:textId="75198FB7">
            <w:pPr>
              <w:jc w:val="center"/>
              <w:rPr>
                <w:b/>
              </w:rPr>
            </w:pPr>
            <w:r w:rsidRPr="003165DF">
              <w:t>Lemont IL</w:t>
            </w:r>
          </w:p>
        </w:tc>
        <w:tc>
          <w:tcPr>
            <w:tcW w:w="1662" w:type="dxa"/>
          </w:tcPr>
          <w:p w:rsidRPr="003165DF" w:rsidR="00673CF5" w:rsidP="00673CF5" w:rsidRDefault="00673CF5" w14:paraId="30A589D6" w14:textId="70AB6693">
            <w:pPr>
              <w:jc w:val="center"/>
              <w:rPr>
                <w:b/>
              </w:rPr>
            </w:pPr>
            <w:r w:rsidRPr="003165DF">
              <w:t>8/14/2001</w:t>
            </w:r>
          </w:p>
        </w:tc>
        <w:tc>
          <w:tcPr>
            <w:tcW w:w="1662" w:type="dxa"/>
          </w:tcPr>
          <w:p w:rsidRPr="003165DF" w:rsidR="00673CF5" w:rsidP="00673CF5" w:rsidRDefault="00673CF5" w14:paraId="59A5B5E6" w14:textId="7A8B026B">
            <w:pPr>
              <w:jc w:val="center"/>
              <w:rPr>
                <w:b/>
              </w:rPr>
            </w:pPr>
            <w:r w:rsidRPr="003165DF">
              <w:t>$422</w:t>
            </w:r>
          </w:p>
        </w:tc>
        <w:tc>
          <w:tcPr>
            <w:tcW w:w="1662" w:type="dxa"/>
          </w:tcPr>
          <w:p w:rsidRPr="003165DF" w:rsidR="00673CF5" w:rsidP="00673CF5" w:rsidRDefault="00673CF5" w14:paraId="45402C9E" w14:textId="77777777">
            <w:pPr>
              <w:jc w:val="center"/>
              <w:rPr>
                <w:b/>
              </w:rPr>
            </w:pPr>
          </w:p>
        </w:tc>
        <w:tc>
          <w:tcPr>
            <w:tcW w:w="1662" w:type="dxa"/>
          </w:tcPr>
          <w:p w:rsidRPr="003165DF" w:rsidR="00673CF5" w:rsidP="00673CF5" w:rsidRDefault="00843847" w14:paraId="49FC9119" w14:textId="769FD29A">
            <w:pPr>
              <w:jc w:val="center"/>
              <w:rPr>
                <w:b/>
              </w:rPr>
            </w:pPr>
            <w:r>
              <w:t>U</w:t>
            </w:r>
            <w:r w:rsidRPr="003165DF" w:rsidR="00673CF5">
              <w:t>nit shut down for year</w:t>
            </w:r>
          </w:p>
        </w:tc>
      </w:tr>
      <w:tr w:rsidR="00673CF5" w:rsidTr="00673CF5" w14:paraId="20BA5AC8" w14:textId="77777777">
        <w:tc>
          <w:tcPr>
            <w:tcW w:w="1661" w:type="dxa"/>
          </w:tcPr>
          <w:p w:rsidRPr="003165DF" w:rsidR="00673CF5" w:rsidP="00673CF5" w:rsidRDefault="00673CF5" w14:paraId="3A50FC9B" w14:textId="1B39EE83">
            <w:pPr>
              <w:jc w:val="center"/>
              <w:rPr>
                <w:b/>
              </w:rPr>
            </w:pPr>
            <w:r w:rsidRPr="003165DF">
              <w:t>Petrochemical</w:t>
            </w:r>
          </w:p>
        </w:tc>
        <w:tc>
          <w:tcPr>
            <w:tcW w:w="1661" w:type="dxa"/>
          </w:tcPr>
          <w:p w:rsidRPr="003165DF" w:rsidR="00673CF5" w:rsidP="00673CF5" w:rsidRDefault="00673CF5" w14:paraId="4FF79475" w14:textId="187FD57C">
            <w:pPr>
              <w:jc w:val="center"/>
              <w:rPr>
                <w:b/>
              </w:rPr>
            </w:pPr>
            <w:r w:rsidRPr="003165DF">
              <w:t>Illiopolis</w:t>
            </w:r>
          </w:p>
        </w:tc>
        <w:tc>
          <w:tcPr>
            <w:tcW w:w="1662" w:type="dxa"/>
          </w:tcPr>
          <w:p w:rsidRPr="003165DF" w:rsidR="00673CF5" w:rsidP="00673CF5" w:rsidRDefault="00673CF5" w14:paraId="680737A6" w14:textId="7B2DAADE">
            <w:pPr>
              <w:jc w:val="center"/>
              <w:rPr>
                <w:b/>
              </w:rPr>
            </w:pPr>
            <w:r w:rsidRPr="003165DF">
              <w:t>4/23/2004</w:t>
            </w:r>
          </w:p>
        </w:tc>
        <w:tc>
          <w:tcPr>
            <w:tcW w:w="1662" w:type="dxa"/>
          </w:tcPr>
          <w:p w:rsidRPr="003165DF" w:rsidR="00673CF5" w:rsidP="00673CF5" w:rsidRDefault="00673CF5" w14:paraId="77EED1C3" w14:textId="22010907">
            <w:pPr>
              <w:jc w:val="center"/>
              <w:rPr>
                <w:b/>
              </w:rPr>
            </w:pPr>
            <w:r w:rsidRPr="003165DF">
              <w:t>$234</w:t>
            </w:r>
          </w:p>
        </w:tc>
        <w:tc>
          <w:tcPr>
            <w:tcW w:w="1662" w:type="dxa"/>
          </w:tcPr>
          <w:p w:rsidRPr="003165DF" w:rsidR="00673CF5" w:rsidP="00673CF5" w:rsidRDefault="00673CF5" w14:paraId="1FF22CB7" w14:textId="77777777">
            <w:pPr>
              <w:jc w:val="center"/>
              <w:rPr>
                <w:b/>
              </w:rPr>
            </w:pPr>
          </w:p>
        </w:tc>
        <w:tc>
          <w:tcPr>
            <w:tcW w:w="1662" w:type="dxa"/>
          </w:tcPr>
          <w:p w:rsidRPr="003165DF" w:rsidR="00673CF5" w:rsidP="00673CF5" w:rsidRDefault="00843847" w14:paraId="28AA1A29" w14:textId="2207A56A">
            <w:pPr>
              <w:jc w:val="center"/>
              <w:rPr>
                <w:b/>
              </w:rPr>
            </w:pPr>
            <w:r>
              <w:t>M</w:t>
            </w:r>
            <w:r w:rsidRPr="003165DF" w:rsidR="00673CF5">
              <w:t>ost of plant destroyed</w:t>
            </w:r>
          </w:p>
        </w:tc>
      </w:tr>
      <w:tr w:rsidR="00673CF5" w:rsidTr="00673CF5" w14:paraId="5D66B8E0" w14:textId="77777777">
        <w:tc>
          <w:tcPr>
            <w:tcW w:w="1661" w:type="dxa"/>
          </w:tcPr>
          <w:p w:rsidRPr="003165DF" w:rsidR="00673CF5" w:rsidP="00673CF5" w:rsidRDefault="00673CF5" w14:paraId="2314865C" w14:textId="2751DEDE">
            <w:pPr>
              <w:jc w:val="center"/>
              <w:rPr>
                <w:b/>
              </w:rPr>
            </w:pPr>
            <w:r w:rsidRPr="003165DF">
              <w:t>Refinery</w:t>
            </w:r>
          </w:p>
        </w:tc>
        <w:tc>
          <w:tcPr>
            <w:tcW w:w="1661" w:type="dxa"/>
          </w:tcPr>
          <w:p w:rsidRPr="003165DF" w:rsidR="00673CF5" w:rsidP="00673CF5" w:rsidRDefault="00673CF5" w14:paraId="657347E5" w14:textId="0ADFC3BE">
            <w:pPr>
              <w:jc w:val="center"/>
              <w:rPr>
                <w:b/>
              </w:rPr>
            </w:pPr>
            <w:r w:rsidRPr="003165DF">
              <w:t>BP/TX</w:t>
            </w:r>
          </w:p>
        </w:tc>
        <w:tc>
          <w:tcPr>
            <w:tcW w:w="1662" w:type="dxa"/>
          </w:tcPr>
          <w:p w:rsidRPr="003165DF" w:rsidR="00673CF5" w:rsidP="00673CF5" w:rsidRDefault="00673CF5" w14:paraId="1299F92E" w14:textId="45650260">
            <w:pPr>
              <w:jc w:val="center"/>
              <w:rPr>
                <w:b/>
              </w:rPr>
            </w:pPr>
            <w:r w:rsidRPr="003165DF">
              <w:t>3/23/2005</w:t>
            </w:r>
          </w:p>
        </w:tc>
        <w:tc>
          <w:tcPr>
            <w:tcW w:w="1662" w:type="dxa"/>
          </w:tcPr>
          <w:p w:rsidRPr="003165DF" w:rsidR="00673CF5" w:rsidP="00673CF5" w:rsidRDefault="00673CF5" w14:paraId="37F91D26" w14:textId="4F18F91C">
            <w:pPr>
              <w:jc w:val="center"/>
              <w:rPr>
                <w:b/>
              </w:rPr>
            </w:pPr>
            <w:r w:rsidRPr="003165DF">
              <w:t>$298</w:t>
            </w:r>
          </w:p>
        </w:tc>
        <w:tc>
          <w:tcPr>
            <w:tcW w:w="1662" w:type="dxa"/>
          </w:tcPr>
          <w:p w:rsidRPr="003165DF" w:rsidR="00673CF5" w:rsidP="00673CF5" w:rsidRDefault="00673CF5" w14:paraId="6AE00090" w14:textId="77777777">
            <w:pPr>
              <w:jc w:val="center"/>
              <w:rPr>
                <w:b/>
              </w:rPr>
            </w:pPr>
          </w:p>
        </w:tc>
        <w:tc>
          <w:tcPr>
            <w:tcW w:w="1662" w:type="dxa"/>
          </w:tcPr>
          <w:p w:rsidRPr="003165DF" w:rsidR="00673CF5" w:rsidP="00673CF5" w:rsidRDefault="00673CF5" w14:paraId="2E827246" w14:textId="77777777">
            <w:pPr>
              <w:jc w:val="center"/>
              <w:rPr>
                <w:b/>
              </w:rPr>
            </w:pPr>
          </w:p>
        </w:tc>
      </w:tr>
      <w:tr w:rsidR="00673CF5" w:rsidTr="00673CF5" w14:paraId="3F89BD72" w14:textId="77777777">
        <w:tc>
          <w:tcPr>
            <w:tcW w:w="1661" w:type="dxa"/>
          </w:tcPr>
          <w:p w:rsidRPr="003165DF" w:rsidR="00673CF5" w:rsidP="00673CF5" w:rsidRDefault="00673CF5" w14:paraId="11A6ABAF" w14:textId="0C199804">
            <w:pPr>
              <w:jc w:val="center"/>
              <w:rPr>
                <w:b/>
              </w:rPr>
            </w:pPr>
            <w:r w:rsidRPr="003165DF">
              <w:t>Petrochemical</w:t>
            </w:r>
          </w:p>
        </w:tc>
        <w:tc>
          <w:tcPr>
            <w:tcW w:w="1661" w:type="dxa"/>
          </w:tcPr>
          <w:p w:rsidRPr="003165DF" w:rsidR="00673CF5" w:rsidP="00673CF5" w:rsidRDefault="00673CF5" w14:paraId="42150AED" w14:textId="4CE99A0F">
            <w:pPr>
              <w:jc w:val="center"/>
              <w:rPr>
                <w:b/>
              </w:rPr>
            </w:pPr>
            <w:r w:rsidRPr="003165DF">
              <w:t>TX</w:t>
            </w:r>
          </w:p>
        </w:tc>
        <w:tc>
          <w:tcPr>
            <w:tcW w:w="1662" w:type="dxa"/>
          </w:tcPr>
          <w:p w:rsidRPr="003165DF" w:rsidR="00673CF5" w:rsidP="00673CF5" w:rsidRDefault="00673CF5" w14:paraId="3C510256" w14:textId="38C80BAA">
            <w:pPr>
              <w:jc w:val="center"/>
              <w:rPr>
                <w:b/>
              </w:rPr>
            </w:pPr>
            <w:r w:rsidRPr="003165DF">
              <w:t>4/29/2006</w:t>
            </w:r>
          </w:p>
        </w:tc>
        <w:tc>
          <w:tcPr>
            <w:tcW w:w="1662" w:type="dxa"/>
          </w:tcPr>
          <w:p w:rsidRPr="003165DF" w:rsidR="00673CF5" w:rsidP="00673CF5" w:rsidRDefault="00673CF5" w14:paraId="0AD367B9" w14:textId="6D7446E8">
            <w:pPr>
              <w:jc w:val="center"/>
              <w:rPr>
                <w:b/>
              </w:rPr>
            </w:pPr>
            <w:r w:rsidRPr="003165DF">
              <w:t>$285</w:t>
            </w:r>
          </w:p>
        </w:tc>
        <w:tc>
          <w:tcPr>
            <w:tcW w:w="1662" w:type="dxa"/>
          </w:tcPr>
          <w:p w:rsidRPr="003165DF" w:rsidR="00673CF5" w:rsidP="00673CF5" w:rsidRDefault="00673CF5" w14:paraId="6B3EECCF" w14:textId="77777777">
            <w:pPr>
              <w:jc w:val="center"/>
              <w:rPr>
                <w:b/>
              </w:rPr>
            </w:pPr>
          </w:p>
        </w:tc>
        <w:tc>
          <w:tcPr>
            <w:tcW w:w="1662" w:type="dxa"/>
          </w:tcPr>
          <w:p w:rsidRPr="003165DF" w:rsidR="00673CF5" w:rsidP="00673CF5" w:rsidRDefault="00843847" w14:paraId="680FC1C6" w14:textId="2EBD1298">
            <w:pPr>
              <w:jc w:val="center"/>
              <w:rPr>
                <w:b/>
              </w:rPr>
            </w:pPr>
            <w:r>
              <w:t>P</w:t>
            </w:r>
            <w:r w:rsidRPr="003165DF" w:rsidR="00673CF5">
              <w:t>lant closed for 6 months</w:t>
            </w:r>
          </w:p>
        </w:tc>
      </w:tr>
      <w:tr w:rsidR="00673CF5" w:rsidTr="00673CF5" w14:paraId="2C4938B1" w14:textId="77777777">
        <w:tc>
          <w:tcPr>
            <w:tcW w:w="1661" w:type="dxa"/>
          </w:tcPr>
          <w:p w:rsidRPr="003165DF" w:rsidR="00673CF5" w:rsidP="00673CF5" w:rsidRDefault="00673CF5" w14:paraId="5AC1CB31" w14:textId="1162D536">
            <w:pPr>
              <w:jc w:val="center"/>
              <w:rPr>
                <w:b/>
              </w:rPr>
            </w:pPr>
            <w:r w:rsidRPr="003165DF">
              <w:t>Refinery</w:t>
            </w:r>
          </w:p>
        </w:tc>
        <w:tc>
          <w:tcPr>
            <w:tcW w:w="1661" w:type="dxa"/>
          </w:tcPr>
          <w:p w:rsidRPr="003165DF" w:rsidR="00673CF5" w:rsidP="00673CF5" w:rsidRDefault="00673CF5" w14:paraId="579CEA58" w14:textId="179A40B3">
            <w:pPr>
              <w:jc w:val="center"/>
              <w:rPr>
                <w:b/>
              </w:rPr>
            </w:pPr>
            <w:r w:rsidRPr="003165DF">
              <w:t>TX</w:t>
            </w:r>
          </w:p>
        </w:tc>
        <w:tc>
          <w:tcPr>
            <w:tcW w:w="1662" w:type="dxa"/>
          </w:tcPr>
          <w:p w:rsidRPr="003165DF" w:rsidR="00673CF5" w:rsidP="00673CF5" w:rsidRDefault="00673CF5" w14:paraId="39D7201D" w14:textId="13B0E2D4">
            <w:pPr>
              <w:jc w:val="center"/>
              <w:rPr>
                <w:b/>
              </w:rPr>
            </w:pPr>
            <w:r w:rsidRPr="003165DF">
              <w:t>2/18/2008</w:t>
            </w:r>
          </w:p>
        </w:tc>
        <w:tc>
          <w:tcPr>
            <w:tcW w:w="1662" w:type="dxa"/>
          </w:tcPr>
          <w:p w:rsidRPr="003165DF" w:rsidR="00673CF5" w:rsidP="00673CF5" w:rsidRDefault="00673CF5" w14:paraId="0CF7D2D4" w14:textId="03FAA3A7">
            <w:pPr>
              <w:jc w:val="center"/>
              <w:rPr>
                <w:b/>
              </w:rPr>
            </w:pPr>
            <w:r w:rsidRPr="003165DF">
              <w:t>$483</w:t>
            </w:r>
          </w:p>
        </w:tc>
        <w:tc>
          <w:tcPr>
            <w:tcW w:w="1662" w:type="dxa"/>
          </w:tcPr>
          <w:p w:rsidRPr="003165DF" w:rsidR="00673CF5" w:rsidP="00673CF5" w:rsidRDefault="00673CF5" w14:paraId="1A5FBDC6" w14:textId="77777777">
            <w:pPr>
              <w:jc w:val="center"/>
              <w:rPr>
                <w:b/>
              </w:rPr>
            </w:pPr>
          </w:p>
        </w:tc>
        <w:tc>
          <w:tcPr>
            <w:tcW w:w="1662" w:type="dxa"/>
          </w:tcPr>
          <w:p w:rsidRPr="003165DF" w:rsidR="00673CF5" w:rsidP="00673CF5" w:rsidRDefault="00843847" w14:paraId="66001597" w14:textId="75538AC2">
            <w:pPr>
              <w:jc w:val="center"/>
              <w:rPr>
                <w:b/>
              </w:rPr>
            </w:pPr>
            <w:r>
              <w:t>P</w:t>
            </w:r>
            <w:r w:rsidRPr="003165DF" w:rsidR="00673CF5">
              <w:t>lant continued to operate</w:t>
            </w:r>
          </w:p>
        </w:tc>
      </w:tr>
      <w:tr w:rsidR="00673CF5" w:rsidTr="00673CF5" w14:paraId="118D4C81" w14:textId="77777777">
        <w:tc>
          <w:tcPr>
            <w:tcW w:w="1661" w:type="dxa"/>
          </w:tcPr>
          <w:p w:rsidRPr="003165DF" w:rsidR="00673CF5" w:rsidP="00673CF5" w:rsidRDefault="00673CF5" w14:paraId="50C08457" w14:textId="5AB750C4">
            <w:pPr>
              <w:jc w:val="center"/>
              <w:rPr>
                <w:b/>
              </w:rPr>
            </w:pPr>
            <w:r w:rsidRPr="003165DF">
              <w:lastRenderedPageBreak/>
              <w:t>Refinery</w:t>
            </w:r>
          </w:p>
        </w:tc>
        <w:tc>
          <w:tcPr>
            <w:tcW w:w="1661" w:type="dxa"/>
          </w:tcPr>
          <w:p w:rsidRPr="003165DF" w:rsidR="00673CF5" w:rsidP="00673CF5" w:rsidRDefault="00673CF5" w14:paraId="04A1EAB4" w14:textId="45A2467F">
            <w:pPr>
              <w:jc w:val="center"/>
              <w:rPr>
                <w:b/>
              </w:rPr>
            </w:pPr>
            <w:r w:rsidRPr="003165DF">
              <w:t>Wisconsin</w:t>
            </w:r>
          </w:p>
        </w:tc>
        <w:tc>
          <w:tcPr>
            <w:tcW w:w="1662" w:type="dxa"/>
          </w:tcPr>
          <w:p w:rsidRPr="003165DF" w:rsidR="00673CF5" w:rsidP="00673CF5" w:rsidRDefault="00673CF5" w14:paraId="52B5C0D9" w14:textId="7D774110">
            <w:pPr>
              <w:jc w:val="center"/>
              <w:rPr>
                <w:b/>
              </w:rPr>
            </w:pPr>
            <w:r w:rsidRPr="003165DF">
              <w:t>4/26/2018</w:t>
            </w:r>
          </w:p>
        </w:tc>
        <w:tc>
          <w:tcPr>
            <w:tcW w:w="1662" w:type="dxa"/>
          </w:tcPr>
          <w:p w:rsidRPr="003165DF" w:rsidR="00673CF5" w:rsidP="00673CF5" w:rsidRDefault="00673CF5" w14:paraId="21B42D49" w14:textId="6307F53A">
            <w:pPr>
              <w:jc w:val="center"/>
              <w:rPr>
                <w:b/>
              </w:rPr>
            </w:pPr>
            <w:r w:rsidRPr="003165DF">
              <w:t>$650</w:t>
            </w:r>
          </w:p>
        </w:tc>
        <w:tc>
          <w:tcPr>
            <w:tcW w:w="1662" w:type="dxa"/>
          </w:tcPr>
          <w:p w:rsidRPr="003165DF" w:rsidR="00673CF5" w:rsidP="00673CF5" w:rsidRDefault="00673CF5" w14:paraId="183A04F1" w14:textId="77777777">
            <w:pPr>
              <w:jc w:val="center"/>
              <w:rPr>
                <w:b/>
              </w:rPr>
            </w:pPr>
          </w:p>
        </w:tc>
        <w:tc>
          <w:tcPr>
            <w:tcW w:w="1662" w:type="dxa"/>
          </w:tcPr>
          <w:p w:rsidRPr="003165DF" w:rsidR="00673CF5" w:rsidP="00673CF5" w:rsidRDefault="00673CF5" w14:paraId="04DC469B" w14:textId="77777777">
            <w:pPr>
              <w:jc w:val="center"/>
              <w:rPr>
                <w:b/>
              </w:rPr>
            </w:pPr>
          </w:p>
        </w:tc>
      </w:tr>
      <w:tr w:rsidR="00673CF5" w:rsidTr="00673CF5" w14:paraId="2A9D3F42" w14:textId="77777777">
        <w:tc>
          <w:tcPr>
            <w:tcW w:w="1661" w:type="dxa"/>
          </w:tcPr>
          <w:p w:rsidRPr="003165DF" w:rsidR="00673CF5" w:rsidP="00673CF5" w:rsidRDefault="00673CF5" w14:paraId="73EFC361" w14:textId="435799FF">
            <w:pPr>
              <w:jc w:val="center"/>
              <w:rPr>
                <w:b/>
              </w:rPr>
            </w:pPr>
            <w:r w:rsidRPr="003165DF">
              <w:t>Refinery</w:t>
            </w:r>
          </w:p>
        </w:tc>
        <w:tc>
          <w:tcPr>
            <w:tcW w:w="1661" w:type="dxa"/>
          </w:tcPr>
          <w:p w:rsidRPr="003165DF" w:rsidR="00673CF5" w:rsidP="00673CF5" w:rsidRDefault="00673CF5" w14:paraId="5027683C" w14:textId="12BBA302">
            <w:pPr>
              <w:jc w:val="center"/>
              <w:rPr>
                <w:b/>
              </w:rPr>
            </w:pPr>
            <w:r w:rsidRPr="003165DF">
              <w:t>Philadelphia</w:t>
            </w:r>
          </w:p>
        </w:tc>
        <w:tc>
          <w:tcPr>
            <w:tcW w:w="1662" w:type="dxa"/>
          </w:tcPr>
          <w:p w:rsidRPr="003165DF" w:rsidR="00673CF5" w:rsidP="00673CF5" w:rsidRDefault="00673CF5" w14:paraId="12D6935A" w14:textId="43692F43">
            <w:pPr>
              <w:jc w:val="center"/>
              <w:rPr>
                <w:b/>
              </w:rPr>
            </w:pPr>
            <w:r w:rsidRPr="003165DF">
              <w:t>6/21/2019</w:t>
            </w:r>
          </w:p>
        </w:tc>
        <w:tc>
          <w:tcPr>
            <w:tcW w:w="1662" w:type="dxa"/>
          </w:tcPr>
          <w:p w:rsidRPr="003165DF" w:rsidR="00673CF5" w:rsidP="00673CF5" w:rsidRDefault="00673CF5" w14:paraId="4CDF9718" w14:textId="3546E546">
            <w:pPr>
              <w:jc w:val="center"/>
              <w:rPr>
                <w:b/>
              </w:rPr>
            </w:pPr>
            <w:r w:rsidRPr="003165DF">
              <w:t>$750</w:t>
            </w:r>
          </w:p>
        </w:tc>
        <w:tc>
          <w:tcPr>
            <w:tcW w:w="1662" w:type="dxa"/>
          </w:tcPr>
          <w:p w:rsidRPr="003165DF" w:rsidR="00673CF5" w:rsidP="00673CF5" w:rsidRDefault="00673CF5" w14:paraId="38B464C9" w14:textId="77777777">
            <w:pPr>
              <w:jc w:val="center"/>
              <w:rPr>
                <w:b/>
              </w:rPr>
            </w:pPr>
          </w:p>
        </w:tc>
        <w:tc>
          <w:tcPr>
            <w:tcW w:w="1662" w:type="dxa"/>
          </w:tcPr>
          <w:p w:rsidRPr="003165DF" w:rsidR="00673CF5" w:rsidP="00673CF5" w:rsidRDefault="00843847" w14:paraId="7B8B5087" w14:textId="000AFB96">
            <w:pPr>
              <w:jc w:val="center"/>
              <w:rPr>
                <w:b/>
              </w:rPr>
            </w:pPr>
            <w:r>
              <w:t>R</w:t>
            </w:r>
            <w:r w:rsidRPr="003165DF" w:rsidR="00673CF5">
              <w:t>efinery closed</w:t>
            </w:r>
          </w:p>
        </w:tc>
      </w:tr>
      <w:tr w:rsidR="00673CF5" w:rsidTr="00673CF5" w14:paraId="5D4D2171" w14:textId="77777777">
        <w:tc>
          <w:tcPr>
            <w:tcW w:w="1661" w:type="dxa"/>
          </w:tcPr>
          <w:p w:rsidRPr="003165DF" w:rsidR="00673CF5" w:rsidP="00673CF5" w:rsidRDefault="00673CF5" w14:paraId="381A3CC6" w14:textId="6C9EBA1F">
            <w:pPr>
              <w:jc w:val="center"/>
              <w:rPr>
                <w:b/>
              </w:rPr>
            </w:pPr>
            <w:r w:rsidRPr="003165DF">
              <w:t>Petrochemical</w:t>
            </w:r>
          </w:p>
        </w:tc>
        <w:tc>
          <w:tcPr>
            <w:tcW w:w="1661" w:type="dxa"/>
          </w:tcPr>
          <w:p w:rsidRPr="003165DF" w:rsidR="00673CF5" w:rsidP="00673CF5" w:rsidRDefault="00673CF5" w14:paraId="619A4A6D" w14:textId="20571F31">
            <w:pPr>
              <w:jc w:val="center"/>
              <w:rPr>
                <w:b/>
              </w:rPr>
            </w:pPr>
            <w:r w:rsidRPr="003165DF">
              <w:t>Houston</w:t>
            </w:r>
          </w:p>
        </w:tc>
        <w:tc>
          <w:tcPr>
            <w:tcW w:w="1662" w:type="dxa"/>
          </w:tcPr>
          <w:p w:rsidRPr="003165DF" w:rsidR="00673CF5" w:rsidP="00673CF5" w:rsidRDefault="00673CF5" w14:paraId="772610E9" w14:textId="49544BE1">
            <w:pPr>
              <w:jc w:val="center"/>
              <w:rPr>
                <w:b/>
              </w:rPr>
            </w:pPr>
            <w:r w:rsidRPr="003165DF">
              <w:t>11/27/2019</w:t>
            </w:r>
          </w:p>
        </w:tc>
        <w:tc>
          <w:tcPr>
            <w:tcW w:w="1662" w:type="dxa"/>
          </w:tcPr>
          <w:p w:rsidRPr="003165DF" w:rsidR="00673CF5" w:rsidP="00673CF5" w:rsidRDefault="00673CF5" w14:paraId="0A63A845" w14:textId="41EFCF9A">
            <w:pPr>
              <w:jc w:val="center"/>
              <w:rPr>
                <w:b/>
              </w:rPr>
            </w:pPr>
            <w:r w:rsidRPr="003165DF">
              <w:t>$500</w:t>
            </w:r>
          </w:p>
        </w:tc>
        <w:tc>
          <w:tcPr>
            <w:tcW w:w="1662" w:type="dxa"/>
          </w:tcPr>
          <w:p w:rsidRPr="003165DF" w:rsidR="00673CF5" w:rsidP="00673CF5" w:rsidRDefault="00673CF5" w14:paraId="2C3B08A7" w14:textId="77777777">
            <w:pPr>
              <w:jc w:val="center"/>
              <w:rPr>
                <w:b/>
              </w:rPr>
            </w:pPr>
          </w:p>
        </w:tc>
        <w:tc>
          <w:tcPr>
            <w:tcW w:w="1662" w:type="dxa"/>
          </w:tcPr>
          <w:p w:rsidRPr="003165DF" w:rsidR="00673CF5" w:rsidP="00673CF5" w:rsidRDefault="00673CF5" w14:paraId="6FC7C13D" w14:textId="77777777">
            <w:pPr>
              <w:jc w:val="center"/>
              <w:rPr>
                <w:b/>
              </w:rPr>
            </w:pPr>
          </w:p>
        </w:tc>
      </w:tr>
    </w:tbl>
    <w:p w:rsidRPr="003D2FC1" w:rsidR="003D6E36" w:rsidP="00843847" w:rsidRDefault="00FA7DFB" w14:paraId="7C4D0BE1" w14:textId="60EE8B87">
      <w:pPr>
        <w:spacing w:after="0"/>
        <w:ind w:right="617"/>
        <w:rPr>
          <w:rFonts w:ascii="Times New Roman" w:hAnsi="Times New Roman"/>
          <w:sz w:val="20"/>
          <w:szCs w:val="20"/>
        </w:rPr>
      </w:pPr>
      <w:r>
        <w:rPr>
          <w:rFonts w:ascii="Times New Roman" w:hAnsi="Times New Roman" w:cs="Times New Roman"/>
          <w:sz w:val="24"/>
          <w:szCs w:val="24"/>
        </w:rPr>
        <w:br/>
      </w:r>
      <w:r w:rsidRPr="003D2FC1" w:rsidR="003D6E36">
        <w:rPr>
          <w:rFonts w:ascii="Times New Roman" w:hAnsi="Times New Roman"/>
          <w:b/>
          <w:sz w:val="20"/>
          <w:szCs w:val="20"/>
        </w:rPr>
        <w:t>Source</w:t>
      </w:r>
      <w:r w:rsidRPr="003D2FC1" w:rsidR="003D6E36">
        <w:rPr>
          <w:rFonts w:ascii="Times New Roman" w:hAnsi="Times New Roman"/>
          <w:sz w:val="20"/>
          <w:szCs w:val="20"/>
        </w:rPr>
        <w:t xml:space="preserve">: Marsh, The 100 Largest Losses, 1974-2019, Large Property Damage Losses in the Hydrocarbon Industry, 23rd Edition. </w:t>
      </w:r>
      <w:hyperlink w:history="1" r:id="rId27">
        <w:r w:rsidRPr="003D2FC1" w:rsidR="005264C5">
          <w:rPr>
            <w:rStyle w:val="Hyperlink"/>
            <w:rFonts w:ascii="Times New Roman" w:hAnsi="Times New Roman"/>
            <w:sz w:val="20"/>
            <w:szCs w:val="20"/>
          </w:rPr>
          <w:t>https://www.marsh.com/us/industries/energy-and-power/insights/100-largest-losses-in-the-hydrocarbon-industry.html</w:t>
        </w:r>
      </w:hyperlink>
      <w:r w:rsidRPr="003D2FC1">
        <w:rPr>
          <w:rStyle w:val="Hyperlink"/>
          <w:rFonts w:ascii="Times New Roman" w:hAnsi="Times New Roman"/>
          <w:sz w:val="20"/>
          <w:szCs w:val="20"/>
        </w:rPr>
        <w:t>.</w:t>
      </w:r>
      <w:r w:rsidRPr="003D2FC1" w:rsidR="003D6E36">
        <w:rPr>
          <w:rFonts w:ascii="Times New Roman" w:hAnsi="Times New Roman"/>
          <w:sz w:val="20"/>
          <w:szCs w:val="20"/>
        </w:rPr>
        <w:t xml:space="preserve"> The table includes 2</w:t>
      </w:r>
      <w:r w:rsidRPr="003D2FC1" w:rsidR="005264C5">
        <w:rPr>
          <w:rFonts w:ascii="Times New Roman" w:hAnsi="Times New Roman"/>
          <w:sz w:val="20"/>
          <w:szCs w:val="20"/>
        </w:rPr>
        <w:t>5</w:t>
      </w:r>
      <w:r w:rsidRPr="003D2FC1" w:rsidR="003D6E36">
        <w:rPr>
          <w:rFonts w:ascii="Times New Roman" w:hAnsi="Times New Roman"/>
          <w:sz w:val="20"/>
          <w:szCs w:val="20"/>
        </w:rPr>
        <w:t xml:space="preserve"> accidents that reflect only U.S. incidents in the refinery and petrochemical sectors from 1978 forward, only incidents that may have been related to a release of a regulated substance, and only damage unrelated to natural disasters.</w:t>
      </w:r>
    </w:p>
    <w:sectPr w:rsidRPr="003D2FC1" w:rsidR="003D6E3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B83C" w14:textId="77777777" w:rsidR="003B2A27" w:rsidRDefault="003B2A27" w:rsidP="00093C0A">
      <w:pPr>
        <w:spacing w:after="0" w:line="240" w:lineRule="auto"/>
      </w:pPr>
      <w:r>
        <w:separator/>
      </w:r>
    </w:p>
  </w:endnote>
  <w:endnote w:type="continuationSeparator" w:id="0">
    <w:p w14:paraId="300B08AA" w14:textId="77777777" w:rsidR="003B2A27" w:rsidRDefault="003B2A27" w:rsidP="00093C0A">
      <w:pPr>
        <w:spacing w:after="0" w:line="240" w:lineRule="auto"/>
      </w:pPr>
      <w:r>
        <w:continuationSeparator/>
      </w:r>
    </w:p>
  </w:endnote>
  <w:endnote w:type="continuationNotice" w:id="1">
    <w:p w14:paraId="7E57C9B9" w14:textId="77777777" w:rsidR="003B2A27" w:rsidRDefault="003B2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SizeThreeSym">
    <w:charset w:val="81"/>
    <w:family w:val="auto"/>
    <w:pitch w:val="variable"/>
    <w:sig w:usb0="20000063" w:usb1="190E80C4" w:usb2="00000010" w:usb3="00000000" w:csb0="803E01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1B65" w14:textId="77777777" w:rsidR="00451830" w:rsidRDefault="008550A6">
    <w:pPr>
      <w:pStyle w:val="Footer"/>
    </w:pPr>
    <w:r>
      <w:cr/>
    </w:r>
    <w:r>
      <w:cr/>
    </w:r>
    <w:r w:rsidR="002A7710">
      <w:cr/>
    </w:r>
  </w:p>
  <w:p w14:paraId="45479FDA" w14:textId="77777777" w:rsidR="00D501D7" w:rsidRDefault="008550A6">
    <w:pPr>
      <w:pStyle w:val="Footer"/>
    </w:pPr>
    <w:r>
      <w:cr/>
    </w:r>
    <w:r>
      <w:cr/>
    </w:r>
    <w:r>
      <w:cr/>
    </w:r>
  </w:p>
  <w:p w14:paraId="6E050622" w14:textId="77777777" w:rsidR="007220D6" w:rsidRDefault="008550A6">
    <w:pPr>
      <w:pStyle w:val="Footer"/>
    </w:pPr>
    <w:r>
      <w:cr/>
    </w:r>
    <w:r>
      <w:cr/>
    </w:r>
    <w:r>
      <w:cr/>
    </w:r>
  </w:p>
  <w:p w14:paraId="3D5E8154" w14:textId="77777777" w:rsidR="008550A6" w:rsidRDefault="008550A6">
    <w:pPr>
      <w:pStyle w:val="Footer"/>
    </w:pPr>
    <w:r>
      <w:cr/>
    </w:r>
    <w:r>
      <w:cr/>
    </w:r>
    <w: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42D2" w14:textId="7383B16B" w:rsidR="00435210" w:rsidRDefault="00435210" w:rsidP="00031866">
    <w:pPr>
      <w:tabs>
        <w:tab w:val="left" w:pos="8916"/>
      </w:tabs>
      <w:spacing w:line="14" w:lineRule="auto"/>
      <w:rPr>
        <w:sz w:val="20"/>
      </w:rPr>
    </w:pPr>
    <w:r>
      <w:rPr>
        <w:noProof/>
      </w:rPr>
      <mc:AlternateContent>
        <mc:Choice Requires="wps">
          <w:drawing>
            <wp:anchor distT="0" distB="0" distL="114300" distR="114300" simplePos="0" relativeHeight="251658240" behindDoc="1" locked="0" layoutInCell="1" allowOverlap="1" wp14:anchorId="0A3F7422" wp14:editId="3F56FC57">
              <wp:simplePos x="0" y="0"/>
              <wp:positionH relativeFrom="page">
                <wp:posOffset>6045200</wp:posOffset>
              </wp:positionH>
              <wp:positionV relativeFrom="page">
                <wp:posOffset>9450705</wp:posOffset>
              </wp:positionV>
              <wp:extent cx="825500" cy="158750"/>
              <wp:effectExtent l="0" t="0" r="0" b="0"/>
              <wp:wrapNone/>
              <wp:docPr id="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5296" w14:textId="4AF8E437" w:rsidR="00435210" w:rsidRDefault="00435210">
                          <w:pPr>
                            <w:spacing w:line="234" w:lineRule="exact"/>
                            <w:ind w:left="20"/>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7422" id="_x0000_t202" coordsize="21600,21600" o:spt="202" path="m,l,21600r21600,l21600,xe">
              <v:stroke joinstyle="miter"/>
              <v:path gradientshapeok="t" o:connecttype="rect"/>
            </v:shapetype>
            <v:shape id="Text Box 12" o:spid="_x0000_s1026" type="#_x0000_t202" style="position:absolute;margin-left:476pt;margin-top:744.15pt;width:6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" filled="f" stroked="f">
              <v:textbox inset="0,0,0,0">
                <w:txbxContent>
                  <w:p w14:paraId="78115296" w14:textId="4AF8E437" w:rsidR="00435210" w:rsidRDefault="00435210">
                    <w:pPr>
                      <w:spacing w:line="234" w:lineRule="exact"/>
                      <w:ind w:left="20"/>
                      <w:rPr>
                        <w:b/>
                        <w:sz w:val="21"/>
                      </w:rPr>
                    </w:pPr>
                  </w:p>
                </w:txbxContent>
              </v:textbox>
              <w10:wrap anchorx="page" anchory="page"/>
            </v:shape>
          </w:pict>
        </mc:Fallback>
      </mc:AlternateContent>
    </w:r>
    <w:r w:rsidR="00031866">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7D01" w14:textId="77777777" w:rsidR="00451830" w:rsidRDefault="008550A6">
    <w:r>
      <w:cr/>
    </w:r>
    <w:r>
      <w:cr/>
    </w:r>
    <w:r w:rsidR="002A7710">
      <w:cr/>
    </w:r>
  </w:p>
  <w:p w14:paraId="25C8B25A" w14:textId="77777777" w:rsidR="00D501D7" w:rsidRDefault="008550A6">
    <w:r>
      <w:cr/>
    </w:r>
    <w:r>
      <w:cr/>
    </w:r>
    <w:r>
      <w:cr/>
    </w:r>
  </w:p>
  <w:p w14:paraId="2E406E64" w14:textId="77777777" w:rsidR="007220D6" w:rsidRDefault="008550A6">
    <w:r>
      <w:cr/>
    </w:r>
    <w:r>
      <w:cr/>
    </w:r>
    <w:r>
      <w:cr/>
    </w:r>
  </w:p>
  <w:p w14:paraId="65AF8754" w14:textId="77777777" w:rsidR="008550A6" w:rsidRDefault="008550A6">
    <w:r>
      <w:cr/>
    </w:r>
    <w:r>
      <w:cr/>
    </w:r>
    <w:r>
      <w:cr/>
    </w:r>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EA2E" w14:textId="34EA8EA4" w:rsidR="00975E60" w:rsidRDefault="00975E60">
    <w:pPr>
      <w:pStyle w:val="Footer"/>
      <w:jc w:val="right"/>
    </w:pPr>
  </w:p>
  <w:p w14:paraId="1E01A48C" w14:textId="50449EE7" w:rsidR="00435210" w:rsidRDefault="00435210">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297269"/>
      <w:docPartObj>
        <w:docPartGallery w:val="Page Numbers (Bottom of Page)"/>
        <w:docPartUnique/>
      </w:docPartObj>
    </w:sdtPr>
    <w:sdtEndPr>
      <w:rPr>
        <w:noProof/>
      </w:rPr>
    </w:sdtEndPr>
    <w:sdtContent>
      <w:sdt>
        <w:sdtPr>
          <w:id w:val="-1769616900"/>
          <w:docPartObj>
            <w:docPartGallery w:val="Page Numbers (Top of Page)"/>
            <w:docPartUnique/>
          </w:docPartObj>
        </w:sdtPr>
        <w:sdtEndPr/>
        <w:sdtContent>
          <w:p w14:paraId="3A69FE74" w14:textId="47B6BF63" w:rsidR="001D6C3A" w:rsidRDefault="00B768E4">
            <w:pPr>
              <w:pStyle w:val="Footer"/>
              <w:jc w:val="right"/>
            </w:pPr>
            <w:r w:rsidRPr="001D2A68">
              <w:rPr>
                <w:rFonts w:ascii="Times New Roman" w:hAnsi="Times New Roman" w:cs="Times New Roman"/>
              </w:rPr>
              <w:t xml:space="preserve">Page </w:t>
            </w:r>
            <w:r w:rsidRPr="001D2A68">
              <w:rPr>
                <w:rFonts w:ascii="Times New Roman" w:hAnsi="Times New Roman" w:cs="Times New Roman"/>
                <w:b/>
                <w:bCs/>
                <w:sz w:val="24"/>
                <w:szCs w:val="24"/>
              </w:rPr>
              <w:fldChar w:fldCharType="begin"/>
            </w:r>
            <w:r w:rsidRPr="001D2A68">
              <w:rPr>
                <w:rFonts w:ascii="Times New Roman" w:hAnsi="Times New Roman" w:cs="Times New Roman"/>
                <w:b/>
                <w:bCs/>
              </w:rPr>
              <w:instrText xml:space="preserve"> PAGE </w:instrText>
            </w:r>
            <w:r w:rsidRPr="001D2A68">
              <w:rPr>
                <w:rFonts w:ascii="Times New Roman" w:hAnsi="Times New Roman" w:cs="Times New Roman"/>
                <w:b/>
                <w:bCs/>
                <w:sz w:val="24"/>
                <w:szCs w:val="24"/>
              </w:rPr>
              <w:fldChar w:fldCharType="separate"/>
            </w:r>
            <w:r w:rsidRPr="001D2A68">
              <w:rPr>
                <w:rFonts w:ascii="Times New Roman" w:hAnsi="Times New Roman" w:cs="Times New Roman"/>
                <w:b/>
                <w:bCs/>
                <w:noProof/>
              </w:rPr>
              <w:t>2</w:t>
            </w:r>
            <w:r w:rsidRPr="001D2A68">
              <w:rPr>
                <w:rFonts w:ascii="Times New Roman" w:hAnsi="Times New Roman" w:cs="Times New Roman"/>
                <w:b/>
                <w:bCs/>
                <w:sz w:val="24"/>
                <w:szCs w:val="24"/>
              </w:rPr>
              <w:fldChar w:fldCharType="end"/>
            </w:r>
            <w:r w:rsidRPr="001D2A68">
              <w:rPr>
                <w:rFonts w:ascii="Times New Roman" w:hAnsi="Times New Roman" w:cs="Times New Roman"/>
              </w:rPr>
              <w:t xml:space="preserve"> of </w:t>
            </w:r>
            <w:r w:rsidRPr="001D2A68">
              <w:rPr>
                <w:rFonts w:ascii="Times New Roman" w:hAnsi="Times New Roman" w:cs="Times New Roman"/>
                <w:b/>
                <w:bCs/>
                <w:sz w:val="24"/>
                <w:szCs w:val="24"/>
              </w:rPr>
              <w:fldChar w:fldCharType="begin"/>
            </w:r>
            <w:r w:rsidRPr="001D2A68">
              <w:rPr>
                <w:rFonts w:ascii="Times New Roman" w:hAnsi="Times New Roman" w:cs="Times New Roman"/>
                <w:b/>
                <w:bCs/>
              </w:rPr>
              <w:instrText xml:space="preserve"> NUMPAGES  </w:instrText>
            </w:r>
            <w:r w:rsidRPr="001D2A68">
              <w:rPr>
                <w:rFonts w:ascii="Times New Roman" w:hAnsi="Times New Roman" w:cs="Times New Roman"/>
                <w:b/>
                <w:bCs/>
                <w:sz w:val="24"/>
                <w:szCs w:val="24"/>
              </w:rPr>
              <w:fldChar w:fldCharType="separate"/>
            </w:r>
            <w:r w:rsidRPr="001D2A68">
              <w:rPr>
                <w:rFonts w:ascii="Times New Roman" w:hAnsi="Times New Roman" w:cs="Times New Roman"/>
                <w:b/>
                <w:bCs/>
                <w:noProof/>
              </w:rPr>
              <w:t>2</w:t>
            </w:r>
            <w:r w:rsidRPr="001D2A68">
              <w:rPr>
                <w:rFonts w:ascii="Times New Roman" w:hAnsi="Times New Roman" w:cs="Times New Roman"/>
                <w:b/>
                <w:bCs/>
                <w:sz w:val="24"/>
                <w:szCs w:val="24"/>
              </w:rPr>
              <w:fldChar w:fldCharType="end"/>
            </w:r>
          </w:p>
        </w:sdtContent>
      </w:sdt>
    </w:sdtContent>
  </w:sdt>
  <w:p w14:paraId="63361FB7" w14:textId="77777777" w:rsidR="00AC032C" w:rsidRDefault="00AC03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94599"/>
      <w:docPartObj>
        <w:docPartGallery w:val="Page Numbers (Top of Page)"/>
        <w:docPartUnique/>
      </w:docPartObj>
    </w:sdtPr>
    <w:sdtEndPr/>
    <w:sdtContent>
      <w:p w14:paraId="09CE2496" w14:textId="77777777" w:rsidR="00F4757C" w:rsidRDefault="00F4757C" w:rsidP="00F4757C">
        <w:pPr>
          <w:pStyle w:val="Footer"/>
          <w:jc w:val="right"/>
        </w:pPr>
        <w:r w:rsidRPr="001D2A68">
          <w:rPr>
            <w:rFonts w:ascii="Times New Roman" w:hAnsi="Times New Roman" w:cs="Times New Roman"/>
          </w:rPr>
          <w:t xml:space="preserve">Page </w:t>
        </w:r>
        <w:r w:rsidRPr="001D2A68">
          <w:rPr>
            <w:rFonts w:ascii="Times New Roman" w:hAnsi="Times New Roman" w:cs="Times New Roman"/>
            <w:b/>
            <w:bCs/>
            <w:sz w:val="24"/>
            <w:szCs w:val="24"/>
          </w:rPr>
          <w:fldChar w:fldCharType="begin"/>
        </w:r>
        <w:r w:rsidRPr="001D2A68">
          <w:rPr>
            <w:rFonts w:ascii="Times New Roman" w:hAnsi="Times New Roman" w:cs="Times New Roman"/>
            <w:b/>
            <w:bCs/>
          </w:rPr>
          <w:instrText xml:space="preserve"> PAGE </w:instrText>
        </w:r>
        <w:r w:rsidRPr="001D2A68">
          <w:rPr>
            <w:rFonts w:ascii="Times New Roman" w:hAnsi="Times New Roman" w:cs="Times New Roman"/>
            <w:b/>
            <w:bCs/>
            <w:sz w:val="24"/>
            <w:szCs w:val="24"/>
          </w:rPr>
          <w:fldChar w:fldCharType="separate"/>
        </w:r>
        <w:r>
          <w:rPr>
            <w:rFonts w:ascii="Times New Roman" w:hAnsi="Times New Roman" w:cs="Times New Roman"/>
            <w:b/>
            <w:bCs/>
            <w:sz w:val="24"/>
            <w:szCs w:val="24"/>
          </w:rPr>
          <w:t>1</w:t>
        </w:r>
        <w:r w:rsidRPr="001D2A68">
          <w:rPr>
            <w:rFonts w:ascii="Times New Roman" w:hAnsi="Times New Roman" w:cs="Times New Roman"/>
            <w:b/>
            <w:bCs/>
            <w:sz w:val="24"/>
            <w:szCs w:val="24"/>
          </w:rPr>
          <w:fldChar w:fldCharType="end"/>
        </w:r>
        <w:r w:rsidRPr="001D2A68">
          <w:rPr>
            <w:rFonts w:ascii="Times New Roman" w:hAnsi="Times New Roman" w:cs="Times New Roman"/>
          </w:rPr>
          <w:t xml:space="preserve"> of </w:t>
        </w:r>
        <w:r w:rsidRPr="001D2A68">
          <w:rPr>
            <w:rFonts w:ascii="Times New Roman" w:hAnsi="Times New Roman" w:cs="Times New Roman"/>
            <w:b/>
            <w:bCs/>
            <w:sz w:val="24"/>
            <w:szCs w:val="24"/>
          </w:rPr>
          <w:fldChar w:fldCharType="begin"/>
        </w:r>
        <w:r w:rsidRPr="001D2A68">
          <w:rPr>
            <w:rFonts w:ascii="Times New Roman" w:hAnsi="Times New Roman" w:cs="Times New Roman"/>
            <w:b/>
            <w:bCs/>
          </w:rPr>
          <w:instrText xml:space="preserve"> NUMPAGES  </w:instrText>
        </w:r>
        <w:r w:rsidRPr="001D2A68">
          <w:rPr>
            <w:rFonts w:ascii="Times New Roman" w:hAnsi="Times New Roman" w:cs="Times New Roman"/>
            <w:b/>
            <w:bCs/>
            <w:sz w:val="24"/>
            <w:szCs w:val="24"/>
          </w:rPr>
          <w:fldChar w:fldCharType="separate"/>
        </w:r>
        <w:r>
          <w:rPr>
            <w:rFonts w:ascii="Times New Roman" w:hAnsi="Times New Roman" w:cs="Times New Roman"/>
            <w:b/>
            <w:bCs/>
            <w:sz w:val="24"/>
            <w:szCs w:val="24"/>
          </w:rPr>
          <w:t>93</w:t>
        </w:r>
        <w:r w:rsidRPr="001D2A68">
          <w:rPr>
            <w:rFonts w:ascii="Times New Roman" w:hAnsi="Times New Roman" w:cs="Times New Roman"/>
            <w:b/>
            <w:bCs/>
            <w:sz w:val="24"/>
            <w:szCs w:val="24"/>
          </w:rPr>
          <w:fldChar w:fldCharType="end"/>
        </w:r>
      </w:p>
    </w:sdtContent>
  </w:sdt>
  <w:p w14:paraId="61E96CCD" w14:textId="2DBF2BB5" w:rsidR="007638FD" w:rsidRDefault="0076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B744" w14:textId="77777777" w:rsidR="003B2A27" w:rsidRDefault="003B2A27" w:rsidP="00093C0A">
      <w:pPr>
        <w:spacing w:after="0" w:line="240" w:lineRule="auto"/>
      </w:pPr>
      <w:r>
        <w:separator/>
      </w:r>
    </w:p>
  </w:footnote>
  <w:footnote w:type="continuationSeparator" w:id="0">
    <w:p w14:paraId="193E6628" w14:textId="77777777" w:rsidR="003B2A27" w:rsidRDefault="003B2A27" w:rsidP="00093C0A">
      <w:pPr>
        <w:spacing w:after="0" w:line="240" w:lineRule="auto"/>
      </w:pPr>
      <w:r>
        <w:continuationSeparator/>
      </w:r>
    </w:p>
  </w:footnote>
  <w:footnote w:type="continuationNotice" w:id="1">
    <w:p w14:paraId="36252C2A" w14:textId="77777777" w:rsidR="003B2A27" w:rsidRDefault="003B2A27">
      <w:pPr>
        <w:spacing w:after="0" w:line="240" w:lineRule="auto"/>
      </w:pPr>
    </w:p>
  </w:footnote>
  <w:footnote w:id="2">
    <w:p w14:paraId="1DFFBC55" w14:textId="03A752DC" w:rsidR="00A455F4" w:rsidRPr="007838BD" w:rsidRDefault="00A455F4">
      <w:pPr>
        <w:pStyle w:val="FootnoteText"/>
        <w:rPr>
          <w:rFonts w:ascii="Times New Roman" w:hAnsi="Times New Roman" w:cs="Times New Roman"/>
        </w:rPr>
      </w:pPr>
      <w:r w:rsidRPr="007838BD">
        <w:rPr>
          <w:rStyle w:val="FootnoteReference"/>
          <w:rFonts w:ascii="Times New Roman" w:hAnsi="Times New Roman" w:cs="Times New Roman"/>
        </w:rPr>
        <w:footnoteRef/>
      </w:r>
      <w:r w:rsidRPr="007838BD">
        <w:rPr>
          <w:rFonts w:ascii="Times New Roman" w:hAnsi="Times New Roman" w:cs="Times New Roman"/>
        </w:rPr>
        <w:t xml:space="preserve"> Note that the acronym RMP is used </w:t>
      </w:r>
      <w:r w:rsidR="007838BD" w:rsidRPr="007838BD">
        <w:rPr>
          <w:rFonts w:ascii="Times New Roman" w:hAnsi="Times New Roman" w:cs="Times New Roman"/>
        </w:rPr>
        <w:t>generally t</w:t>
      </w:r>
      <w:r w:rsidRPr="007838BD">
        <w:rPr>
          <w:rFonts w:ascii="Times New Roman" w:hAnsi="Times New Roman" w:cs="Times New Roman"/>
        </w:rPr>
        <w:t xml:space="preserve">o refer to both the Risk Management Program and risk </w:t>
      </w:r>
      <w:r w:rsidR="007838BD" w:rsidRPr="007838BD">
        <w:rPr>
          <w:rFonts w:ascii="Times New Roman" w:hAnsi="Times New Roman" w:cs="Times New Roman"/>
        </w:rPr>
        <w:t>m</w:t>
      </w:r>
      <w:r w:rsidRPr="007838BD">
        <w:rPr>
          <w:rFonts w:ascii="Times New Roman" w:hAnsi="Times New Roman" w:cs="Times New Roman"/>
        </w:rPr>
        <w:t>anagement</w:t>
      </w:r>
      <w:r w:rsidR="007838BD" w:rsidRPr="007838BD">
        <w:rPr>
          <w:rFonts w:ascii="Times New Roman" w:hAnsi="Times New Roman" w:cs="Times New Roman"/>
        </w:rPr>
        <w:t xml:space="preserve"> plans. For clarity, throughout this RIA, RMP will refer to the Risk Management Program, and the term </w:t>
      </w:r>
      <w:r w:rsidR="00843659">
        <w:rPr>
          <w:rFonts w:ascii="Times New Roman" w:hAnsi="Times New Roman" w:cs="Times New Roman"/>
        </w:rPr>
        <w:t>“</w:t>
      </w:r>
      <w:r w:rsidR="007838BD" w:rsidRPr="007838BD">
        <w:rPr>
          <w:rFonts w:ascii="Times New Roman" w:hAnsi="Times New Roman" w:cs="Times New Roman"/>
        </w:rPr>
        <w:t>risk</w:t>
      </w:r>
      <w:r w:rsidRPr="007838BD">
        <w:rPr>
          <w:rFonts w:ascii="Times New Roman" w:hAnsi="Times New Roman" w:cs="Times New Roman"/>
        </w:rPr>
        <w:t xml:space="preserve"> </w:t>
      </w:r>
      <w:r w:rsidR="007838BD" w:rsidRPr="007838BD">
        <w:rPr>
          <w:rFonts w:ascii="Times New Roman" w:hAnsi="Times New Roman" w:cs="Times New Roman"/>
        </w:rPr>
        <w:t>management plan</w:t>
      </w:r>
      <w:r w:rsidR="00843659">
        <w:rPr>
          <w:rFonts w:ascii="Times New Roman" w:hAnsi="Times New Roman" w:cs="Times New Roman"/>
        </w:rPr>
        <w:t>”</w:t>
      </w:r>
      <w:r w:rsidR="007838BD" w:rsidRPr="007838BD">
        <w:rPr>
          <w:rFonts w:ascii="Times New Roman" w:hAnsi="Times New Roman" w:cs="Times New Roman"/>
        </w:rPr>
        <w:t xml:space="preserve"> will be </w:t>
      </w:r>
      <w:r w:rsidR="007838BD">
        <w:rPr>
          <w:rFonts w:ascii="Times New Roman" w:hAnsi="Times New Roman" w:cs="Times New Roman"/>
        </w:rPr>
        <w:t>written</w:t>
      </w:r>
      <w:r w:rsidR="007838BD" w:rsidRPr="007838BD">
        <w:rPr>
          <w:rFonts w:ascii="Times New Roman" w:hAnsi="Times New Roman" w:cs="Times New Roman"/>
        </w:rPr>
        <w:t xml:space="preserve"> out.</w:t>
      </w:r>
    </w:p>
  </w:footnote>
  <w:footnote w:id="3">
    <w:p w14:paraId="3579190E" w14:textId="0F5B59BC" w:rsidR="00113DE6" w:rsidRPr="00553E53" w:rsidRDefault="00113DE6">
      <w:pPr>
        <w:pStyle w:val="FootnoteText"/>
        <w:rPr>
          <w:rFonts w:ascii="Times New Roman" w:hAnsi="Times New Roman" w:cs="Times New Roman"/>
        </w:rPr>
      </w:pPr>
      <w:r w:rsidRPr="00553E53">
        <w:rPr>
          <w:rStyle w:val="FootnoteReference"/>
          <w:rFonts w:ascii="Times New Roman" w:hAnsi="Times New Roman" w:cs="Times New Roman"/>
        </w:rPr>
        <w:footnoteRef/>
      </w:r>
      <w:r w:rsidRPr="00553E53">
        <w:rPr>
          <w:rFonts w:ascii="Times New Roman" w:hAnsi="Times New Roman" w:cs="Times New Roman"/>
        </w:rPr>
        <w:t>Additional data on damages caused by reportable accidents at RMP facilities for prior time periods, including from 2004 to 2013 and from 2014 to 2016, are presented in Chapter 6</w:t>
      </w:r>
      <w:r w:rsidR="00636661">
        <w:rPr>
          <w:rFonts w:ascii="Times New Roman" w:hAnsi="Times New Roman" w:cs="Times New Roman"/>
        </w:rPr>
        <w:t xml:space="preserve">, </w:t>
      </w:r>
      <w:r w:rsidR="00987300">
        <w:rPr>
          <w:rFonts w:ascii="Times New Roman" w:hAnsi="Times New Roman" w:cs="Times New Roman"/>
        </w:rPr>
        <w:t>Exhibit 6-7</w:t>
      </w:r>
      <w:r w:rsidRPr="00553E53">
        <w:rPr>
          <w:rFonts w:ascii="Times New Roman" w:hAnsi="Times New Roman" w:cs="Times New Roman"/>
        </w:rPr>
        <w:t>.</w:t>
      </w:r>
      <w:r w:rsidR="000A4A3C">
        <w:rPr>
          <w:rFonts w:ascii="Times New Roman" w:hAnsi="Times New Roman" w:cs="Times New Roman"/>
        </w:rPr>
        <w:t xml:space="preserve"> Note that the averages include accidents for which the damages </w:t>
      </w:r>
      <w:r w:rsidR="00222F1C">
        <w:rPr>
          <w:rFonts w:ascii="Times New Roman" w:hAnsi="Times New Roman" w:cs="Times New Roman"/>
        </w:rPr>
        <w:t>were zero</w:t>
      </w:r>
      <w:r w:rsidR="000829A7">
        <w:rPr>
          <w:rFonts w:ascii="Times New Roman" w:hAnsi="Times New Roman" w:cs="Times New Roman"/>
        </w:rPr>
        <w:t xml:space="preserve"> in individual categories (but non-zero in at least one category)</w:t>
      </w:r>
      <w:r w:rsidR="009E15FF">
        <w:rPr>
          <w:rFonts w:ascii="Times New Roman" w:hAnsi="Times New Roman" w:cs="Times New Roman"/>
        </w:rPr>
        <w:t>.</w:t>
      </w:r>
      <w:r w:rsidR="00CC7BE3">
        <w:rPr>
          <w:rFonts w:ascii="Times New Roman" w:hAnsi="Times New Roman" w:cs="Times New Roman"/>
        </w:rPr>
        <w:t xml:space="preserve"> </w:t>
      </w:r>
      <w:r w:rsidR="00A0335E">
        <w:rPr>
          <w:rFonts w:ascii="Times New Roman" w:hAnsi="Times New Roman" w:cs="Times New Roman"/>
        </w:rPr>
        <w:t>The impacts also include environmental damage categories, including soil and water contamination</w:t>
      </w:r>
      <w:r w:rsidR="00CC7BE3">
        <w:rPr>
          <w:rFonts w:ascii="Times New Roman" w:hAnsi="Times New Roman" w:cs="Times New Roman"/>
        </w:rPr>
        <w:t>, among others, which EPA was not able to monetize.</w:t>
      </w:r>
    </w:p>
  </w:footnote>
  <w:footnote w:id="4">
    <w:p w14:paraId="23C6823D" w14:textId="031AF0CE" w:rsidR="006715DE" w:rsidRPr="008D21EE" w:rsidRDefault="006715DE">
      <w:pPr>
        <w:pStyle w:val="FootnoteText"/>
        <w:rPr>
          <w:rFonts w:ascii="Times New Roman" w:hAnsi="Times New Roman" w:cs="Times New Roman"/>
        </w:rPr>
      </w:pPr>
      <w:r w:rsidRPr="008D21EE">
        <w:rPr>
          <w:rStyle w:val="FootnoteReference"/>
          <w:rFonts w:ascii="Times New Roman" w:hAnsi="Times New Roman" w:cs="Times New Roman"/>
        </w:rPr>
        <w:footnoteRef/>
      </w:r>
      <w:r w:rsidRPr="008D21EE">
        <w:rPr>
          <w:rFonts w:ascii="Times New Roman" w:hAnsi="Times New Roman" w:cs="Times New Roman"/>
        </w:rPr>
        <w:t xml:space="preserve"> See Chapter 6</w:t>
      </w:r>
      <w:r w:rsidR="00636661">
        <w:rPr>
          <w:rFonts w:ascii="Times New Roman" w:hAnsi="Times New Roman" w:cs="Times New Roman"/>
        </w:rPr>
        <w:t>,</w:t>
      </w:r>
      <w:r w:rsidRPr="008D21EE">
        <w:rPr>
          <w:rFonts w:ascii="Times New Roman" w:hAnsi="Times New Roman" w:cs="Times New Roman"/>
        </w:rPr>
        <w:t xml:space="preserve"> </w:t>
      </w:r>
      <w:r w:rsidR="00987300">
        <w:rPr>
          <w:rFonts w:ascii="Times New Roman" w:hAnsi="Times New Roman" w:cs="Times New Roman"/>
        </w:rPr>
        <w:t>Exhibit 6-7</w:t>
      </w:r>
      <w:r w:rsidR="00636661">
        <w:rPr>
          <w:rFonts w:ascii="Times New Roman" w:hAnsi="Times New Roman" w:cs="Times New Roman"/>
        </w:rPr>
        <w:t>,</w:t>
      </w:r>
      <w:r w:rsidR="00987300">
        <w:rPr>
          <w:rFonts w:ascii="Times New Roman" w:hAnsi="Times New Roman" w:cs="Times New Roman"/>
        </w:rPr>
        <w:t xml:space="preserve"> </w:t>
      </w:r>
      <w:r w:rsidRPr="008D21EE">
        <w:rPr>
          <w:rFonts w:ascii="Times New Roman" w:hAnsi="Times New Roman" w:cs="Times New Roman"/>
        </w:rPr>
        <w:t xml:space="preserve">for presentations of monetized damages for prior time periods. For 2004 to 2013, estimated monetized damages from RMP facility accidents are $275 million (2015$) on average per year; for 2014 to 2016, estimated monetized damages are $214 million (2015$) on average per year. </w:t>
      </w:r>
    </w:p>
  </w:footnote>
  <w:footnote w:id="5">
    <w:p w14:paraId="1A029C36" w14:textId="5DB6AA6D" w:rsidR="00DD3A57" w:rsidRPr="002952D0" w:rsidRDefault="00DD3A57">
      <w:pPr>
        <w:pStyle w:val="FootnoteText"/>
        <w:rPr>
          <w:rFonts w:ascii="Times New Roman" w:hAnsi="Times New Roman" w:cs="Times New Roman"/>
        </w:rPr>
      </w:pPr>
      <w:r w:rsidRPr="002952D0">
        <w:rPr>
          <w:rStyle w:val="FootnoteReference"/>
          <w:rFonts w:ascii="Times New Roman" w:hAnsi="Times New Roman" w:cs="Times New Roman"/>
        </w:rPr>
        <w:footnoteRef/>
      </w:r>
      <w:r w:rsidRPr="002952D0">
        <w:rPr>
          <w:rFonts w:ascii="Times New Roman" w:hAnsi="Times New Roman" w:cs="Times New Roman"/>
        </w:rPr>
        <w:t xml:space="preserve"> Federal Emergency Management Agency. Phillips Petroleum Chemical Plant Explosion and Fire. October 1989. </w:t>
      </w:r>
      <w:r w:rsidR="002952D0" w:rsidRPr="002952D0">
        <w:rPr>
          <w:rFonts w:ascii="Times New Roman" w:hAnsi="Times New Roman" w:cs="Times New Roman"/>
          <w:color w:val="0462C1"/>
        </w:rPr>
        <w:t>https://www.usfa.fema.gov/downloads/pdf/publications/tr-035.pdf.</w:t>
      </w:r>
    </w:p>
  </w:footnote>
  <w:footnote w:id="6">
    <w:p w14:paraId="112E5960" w14:textId="544905E4" w:rsidR="002952D0" w:rsidRPr="00154A21" w:rsidRDefault="002952D0">
      <w:pPr>
        <w:pStyle w:val="FootnoteText"/>
        <w:rPr>
          <w:rFonts w:ascii="Times New Roman" w:hAnsi="Times New Roman" w:cs="Times New Roman"/>
        </w:rPr>
      </w:pPr>
      <w:r w:rsidRPr="00154A21">
        <w:rPr>
          <w:rStyle w:val="FootnoteReference"/>
          <w:rFonts w:ascii="Times New Roman" w:hAnsi="Times New Roman" w:cs="Times New Roman"/>
        </w:rPr>
        <w:footnoteRef/>
      </w:r>
      <w:r w:rsidRPr="00154A21">
        <w:rPr>
          <w:rFonts w:ascii="Times New Roman" w:hAnsi="Times New Roman" w:cs="Times New Roman"/>
        </w:rPr>
        <w:t xml:space="preserve"> Hay, Alastair, A Technical Report on What Caused Italy’s Dioxin Disaster Has Too Many L</w:t>
      </w:r>
      <w:r w:rsidR="00154A21" w:rsidRPr="00154A21">
        <w:rPr>
          <w:rFonts w:ascii="Times New Roman" w:hAnsi="Times New Roman" w:cs="Times New Roman"/>
        </w:rPr>
        <w:t>oo</w:t>
      </w:r>
      <w:r w:rsidRPr="00154A21">
        <w:rPr>
          <w:rFonts w:ascii="Times New Roman" w:hAnsi="Times New Roman" w:cs="Times New Roman"/>
        </w:rPr>
        <w:t xml:space="preserve">pholes, Nature, 281, 521 (October </w:t>
      </w:r>
      <w:r w:rsidR="00711F8A">
        <w:rPr>
          <w:rFonts w:ascii="Times New Roman" w:hAnsi="Times New Roman" w:cs="Times New Roman"/>
        </w:rPr>
        <w:t xml:space="preserve">18, </w:t>
      </w:r>
      <w:r w:rsidR="00E3536B" w:rsidRPr="00154A21">
        <w:rPr>
          <w:rFonts w:ascii="Times New Roman" w:hAnsi="Times New Roman" w:cs="Times New Roman"/>
        </w:rPr>
        <w:t xml:space="preserve">1979). </w:t>
      </w:r>
      <w:r w:rsidR="00154A21" w:rsidRPr="00154A21">
        <w:rPr>
          <w:rFonts w:ascii="Times New Roman" w:hAnsi="Times New Roman" w:cs="Times New Roman"/>
          <w:color w:val="0462C1"/>
        </w:rPr>
        <w:t>http://www.nature.com/nature/journal/v281/n5732/pdf/281521a0.pdf.</w:t>
      </w:r>
    </w:p>
  </w:footnote>
  <w:footnote w:id="7">
    <w:p w14:paraId="4BC2D21F" w14:textId="50247476" w:rsidR="00F61543" w:rsidRPr="00E47357" w:rsidRDefault="00F61543">
      <w:pPr>
        <w:pStyle w:val="FootnoteText"/>
        <w:rPr>
          <w:rFonts w:ascii="Times New Roman" w:hAnsi="Times New Roman" w:cs="Times New Roman"/>
        </w:rPr>
      </w:pPr>
      <w:r w:rsidRPr="00E47357">
        <w:rPr>
          <w:rStyle w:val="FootnoteReference"/>
          <w:rFonts w:ascii="Times New Roman" w:hAnsi="Times New Roman" w:cs="Times New Roman"/>
        </w:rPr>
        <w:footnoteRef/>
      </w:r>
      <w:r w:rsidRPr="00E47357">
        <w:rPr>
          <w:rFonts w:ascii="Times New Roman" w:hAnsi="Times New Roman" w:cs="Times New Roman"/>
        </w:rPr>
        <w:t xml:space="preserve"> </w:t>
      </w:r>
      <w:r w:rsidR="00491317">
        <w:rPr>
          <w:rFonts w:ascii="Times New Roman" w:hAnsi="Times New Roman" w:cs="Times New Roman"/>
        </w:rPr>
        <w:t>G</w:t>
      </w:r>
      <w:r w:rsidRPr="00E47357">
        <w:rPr>
          <w:rFonts w:ascii="Times New Roman" w:hAnsi="Times New Roman" w:cs="Times New Roman"/>
        </w:rPr>
        <w:t>uidance documents for propane storage, refrigeration, water/wastewater treatment, warehouses, chemical distributors, and others</w:t>
      </w:r>
      <w:r w:rsidR="00491317">
        <w:rPr>
          <w:rFonts w:ascii="Times New Roman" w:hAnsi="Times New Roman" w:cs="Times New Roman"/>
        </w:rPr>
        <w:t xml:space="preserve"> are a</w:t>
      </w:r>
      <w:r w:rsidR="00FC2D52" w:rsidRPr="00FC2D52">
        <w:rPr>
          <w:rFonts w:ascii="Times New Roman" w:hAnsi="Times New Roman" w:cs="Times New Roman"/>
        </w:rPr>
        <w:t xml:space="preserve">vailable at: </w:t>
      </w:r>
      <w:hyperlink r:id="rId1" w:history="1">
        <w:r w:rsidR="00491317" w:rsidRPr="00B94B45">
          <w:rPr>
            <w:rStyle w:val="Hyperlink"/>
            <w:rFonts w:ascii="Times New Roman" w:hAnsi="Times New Roman" w:cs="Times New Roman"/>
          </w:rPr>
          <w:t>https://www.epa.gov/rmp/guidance-facilities-risk-management-programs-rmp</w:t>
        </w:r>
      </w:hyperlink>
      <w:r w:rsidR="00491317">
        <w:rPr>
          <w:rFonts w:ascii="Times New Roman" w:hAnsi="Times New Roman" w:cs="Times New Roman"/>
        </w:rPr>
        <w:t xml:space="preserve"> .</w:t>
      </w:r>
    </w:p>
  </w:footnote>
  <w:footnote w:id="8">
    <w:p w14:paraId="2294D40A" w14:textId="77777777" w:rsidR="00491AE7" w:rsidRPr="00FC2D52" w:rsidRDefault="00491AE7" w:rsidP="00491AE7">
      <w:pPr>
        <w:pStyle w:val="FootnoteText"/>
        <w:rPr>
          <w:rFonts w:ascii="Times New Roman" w:hAnsi="Times New Roman" w:cs="Times New Roman"/>
        </w:rPr>
      </w:pPr>
      <w:r w:rsidRPr="00E47357">
        <w:rPr>
          <w:rStyle w:val="FootnoteReference"/>
          <w:rFonts w:ascii="Times New Roman" w:hAnsi="Times New Roman" w:cs="Times New Roman"/>
        </w:rPr>
        <w:footnoteRef/>
      </w:r>
      <w:r w:rsidRPr="00E47357">
        <w:rPr>
          <w:rFonts w:ascii="Times New Roman" w:hAnsi="Times New Roman" w:cs="Times New Roman"/>
        </w:rPr>
        <w:t xml:space="preserve"> EPA. April 2004. General Guidance on Risk Management Programs for Chemical Accident Prevention (40 CFR Part 68). EPA-550-B-04-001. Chapter 2. </w:t>
      </w:r>
      <w:r w:rsidRPr="00E47357">
        <w:rPr>
          <w:rFonts w:ascii="Times New Roman" w:hAnsi="Times New Roman" w:cs="Times New Roman"/>
          <w:color w:val="0462C1"/>
        </w:rPr>
        <w:t>http://www2.epa.gov/sites/production/files/2013-10/documents/chap-02-final.pdf.</w:t>
      </w:r>
    </w:p>
  </w:footnote>
  <w:footnote w:id="9">
    <w:p w14:paraId="27107AEE" w14:textId="0FA77DE7" w:rsidR="00A95FC1" w:rsidRPr="00FC2D52" w:rsidRDefault="00A95FC1">
      <w:pPr>
        <w:pStyle w:val="FootnoteText"/>
        <w:rPr>
          <w:rFonts w:ascii="Times New Roman" w:hAnsi="Times New Roman" w:cs="Times New Roman"/>
        </w:rPr>
      </w:pPr>
      <w:r w:rsidRPr="00B4615F">
        <w:rPr>
          <w:rStyle w:val="FootnoteReference"/>
          <w:rFonts w:ascii="Times New Roman" w:hAnsi="Times New Roman" w:cs="Times New Roman"/>
        </w:rPr>
        <w:footnoteRef/>
      </w:r>
      <w:r w:rsidRPr="00B4615F">
        <w:rPr>
          <w:rFonts w:ascii="Times New Roman" w:hAnsi="Times New Roman" w:cs="Times New Roman"/>
        </w:rPr>
        <w:t xml:space="preserve"> </w:t>
      </w:r>
      <w:r w:rsidR="00107A6E">
        <w:rPr>
          <w:rFonts w:ascii="Times New Roman" w:hAnsi="Times New Roman" w:cs="Times New Roman"/>
        </w:rPr>
        <w:t>Twenty-six</w:t>
      </w:r>
      <w:r w:rsidRPr="00B4615F">
        <w:rPr>
          <w:rFonts w:ascii="Times New Roman" w:hAnsi="Times New Roman" w:cs="Times New Roman"/>
        </w:rPr>
        <w:t xml:space="preserve"> </w:t>
      </w:r>
      <w:r w:rsidR="00CF07AF">
        <w:rPr>
          <w:rFonts w:ascii="Times New Roman" w:hAnsi="Times New Roman" w:cs="Times New Roman"/>
        </w:rPr>
        <w:t>S</w:t>
      </w:r>
      <w:r w:rsidRPr="00B4615F">
        <w:rPr>
          <w:rFonts w:ascii="Times New Roman" w:hAnsi="Times New Roman" w:cs="Times New Roman"/>
        </w:rPr>
        <w:t xml:space="preserve">tates, </w:t>
      </w:r>
      <w:r w:rsidR="00B4615F" w:rsidRPr="00B4615F">
        <w:rPr>
          <w:rFonts w:ascii="Times New Roman" w:hAnsi="Times New Roman" w:cs="Times New Roman"/>
        </w:rPr>
        <w:t xml:space="preserve">Puerto Rico, and the Virgin Islands have OSHA-approved State Plans. In these </w:t>
      </w:r>
      <w:r w:rsidR="00CF07AF">
        <w:rPr>
          <w:rFonts w:ascii="Times New Roman" w:hAnsi="Times New Roman" w:cs="Times New Roman"/>
        </w:rPr>
        <w:t>S</w:t>
      </w:r>
      <w:r w:rsidR="00B4615F" w:rsidRPr="00B4615F">
        <w:rPr>
          <w:rFonts w:ascii="Times New Roman" w:hAnsi="Times New Roman" w:cs="Times New Roman"/>
        </w:rPr>
        <w:t xml:space="preserve">tates, </w:t>
      </w:r>
      <w:proofErr w:type="gramStart"/>
      <w:r w:rsidR="00B4615F" w:rsidRPr="00B4615F">
        <w:rPr>
          <w:rFonts w:ascii="Times New Roman" w:hAnsi="Times New Roman" w:cs="Times New Roman"/>
        </w:rPr>
        <w:t>publicly-owned</w:t>
      </w:r>
      <w:proofErr w:type="gramEnd"/>
      <w:r w:rsidR="00B4615F" w:rsidRPr="00B4615F">
        <w:rPr>
          <w:rFonts w:ascii="Times New Roman" w:hAnsi="Times New Roman" w:cs="Times New Roman"/>
        </w:rPr>
        <w:t xml:space="preserve"> water and wastewater treatment plants are typically in </w:t>
      </w:r>
      <w:r w:rsidR="00B849E6" w:rsidRPr="00B849E6">
        <w:rPr>
          <w:rFonts w:ascii="Times New Roman" w:hAnsi="Times New Roman" w:cs="Times New Roman"/>
        </w:rPr>
        <w:t>Program 2</w:t>
      </w:r>
      <w:r w:rsidR="00B4615F" w:rsidRPr="00B4615F">
        <w:rPr>
          <w:rFonts w:ascii="Times New Roman" w:hAnsi="Times New Roman" w:cs="Times New Roman"/>
        </w:rPr>
        <w:t xml:space="preserve">. </w:t>
      </w:r>
      <w:r w:rsidR="00107A6E">
        <w:rPr>
          <w:rFonts w:ascii="Times New Roman" w:hAnsi="Times New Roman" w:cs="Times New Roman"/>
        </w:rPr>
        <w:t>Twenty-two</w:t>
      </w:r>
      <w:r w:rsidR="00B4615F" w:rsidRPr="00B4615F">
        <w:rPr>
          <w:rFonts w:ascii="Times New Roman" w:hAnsi="Times New Roman" w:cs="Times New Roman"/>
        </w:rPr>
        <w:t xml:space="preserve"> State Plans (21 </w:t>
      </w:r>
      <w:r w:rsidR="00CF07AF">
        <w:rPr>
          <w:rFonts w:ascii="Times New Roman" w:hAnsi="Times New Roman" w:cs="Times New Roman"/>
        </w:rPr>
        <w:t>S</w:t>
      </w:r>
      <w:r w:rsidR="00B4615F" w:rsidRPr="00B4615F">
        <w:rPr>
          <w:rFonts w:ascii="Times New Roman" w:hAnsi="Times New Roman" w:cs="Times New Roman"/>
        </w:rPr>
        <w:t xml:space="preserve">tates and one U.S. territory) cover both private and </w:t>
      </w:r>
      <w:r w:rsidR="000F017A">
        <w:rPr>
          <w:rFonts w:ascii="Times New Roman" w:hAnsi="Times New Roman" w:cs="Times New Roman"/>
        </w:rPr>
        <w:t>S</w:t>
      </w:r>
      <w:r w:rsidR="00B4615F" w:rsidRPr="00B4615F">
        <w:rPr>
          <w:rFonts w:ascii="Times New Roman" w:hAnsi="Times New Roman" w:cs="Times New Roman"/>
        </w:rPr>
        <w:t xml:space="preserve">tate and local government workplaces. </w:t>
      </w:r>
      <w:proofErr w:type="gramStart"/>
      <w:r w:rsidR="00B4615F" w:rsidRPr="00B4615F">
        <w:rPr>
          <w:rFonts w:ascii="Times New Roman" w:hAnsi="Times New Roman" w:cs="Times New Roman"/>
        </w:rPr>
        <w:t>Publicly-owned</w:t>
      </w:r>
      <w:proofErr w:type="gramEnd"/>
      <w:r w:rsidR="00B4615F" w:rsidRPr="00B4615F">
        <w:rPr>
          <w:rFonts w:ascii="Times New Roman" w:hAnsi="Times New Roman" w:cs="Times New Roman"/>
        </w:rPr>
        <w:t xml:space="preserve"> water and wastewater plants in these </w:t>
      </w:r>
      <w:r w:rsidR="000F017A">
        <w:rPr>
          <w:rFonts w:ascii="Times New Roman" w:hAnsi="Times New Roman" w:cs="Times New Roman"/>
        </w:rPr>
        <w:t>S</w:t>
      </w:r>
      <w:r w:rsidR="00B4615F" w:rsidRPr="00B4615F">
        <w:rPr>
          <w:rFonts w:ascii="Times New Roman" w:hAnsi="Times New Roman" w:cs="Times New Roman"/>
        </w:rPr>
        <w:t xml:space="preserve">tates are in </w:t>
      </w:r>
      <w:r w:rsidR="00845762">
        <w:rPr>
          <w:rFonts w:ascii="Times New Roman" w:hAnsi="Times New Roman" w:cs="Times New Roman"/>
        </w:rPr>
        <w:t>Program 3</w:t>
      </w:r>
      <w:r w:rsidR="00B4615F" w:rsidRPr="00B4615F">
        <w:rPr>
          <w:rFonts w:ascii="Times New Roman" w:hAnsi="Times New Roman" w:cs="Times New Roman"/>
        </w:rPr>
        <w:t xml:space="preserve">. The remaining </w:t>
      </w:r>
      <w:r w:rsidR="00107A6E">
        <w:rPr>
          <w:rFonts w:ascii="Times New Roman" w:hAnsi="Times New Roman" w:cs="Times New Roman"/>
        </w:rPr>
        <w:t>six</w:t>
      </w:r>
      <w:r w:rsidR="00B4615F" w:rsidRPr="00B4615F">
        <w:rPr>
          <w:rFonts w:ascii="Times New Roman" w:hAnsi="Times New Roman" w:cs="Times New Roman"/>
        </w:rPr>
        <w:t xml:space="preserve"> State Plans (5</w:t>
      </w:r>
      <w:r w:rsidR="000F017A">
        <w:rPr>
          <w:rFonts w:ascii="Times New Roman" w:hAnsi="Times New Roman" w:cs="Times New Roman"/>
        </w:rPr>
        <w:t>S</w:t>
      </w:r>
      <w:r w:rsidR="00B4615F" w:rsidRPr="00B4615F">
        <w:rPr>
          <w:rFonts w:ascii="Times New Roman" w:hAnsi="Times New Roman" w:cs="Times New Roman"/>
        </w:rPr>
        <w:t xml:space="preserve">tates and 11 U.S. territory) cover </w:t>
      </w:r>
      <w:r w:rsidR="000F017A">
        <w:rPr>
          <w:rFonts w:ascii="Times New Roman" w:hAnsi="Times New Roman" w:cs="Times New Roman"/>
        </w:rPr>
        <w:t>S</w:t>
      </w:r>
      <w:r w:rsidR="00B4615F" w:rsidRPr="00B4615F">
        <w:rPr>
          <w:rFonts w:ascii="Times New Roman" w:hAnsi="Times New Roman" w:cs="Times New Roman"/>
        </w:rPr>
        <w:t xml:space="preserve">tate and local government workers only. Their </w:t>
      </w:r>
      <w:proofErr w:type="gramStart"/>
      <w:r w:rsidR="00B4615F" w:rsidRPr="00B4615F">
        <w:rPr>
          <w:rFonts w:ascii="Times New Roman" w:hAnsi="Times New Roman" w:cs="Times New Roman"/>
        </w:rPr>
        <w:t>publicly-owned</w:t>
      </w:r>
      <w:proofErr w:type="gramEnd"/>
      <w:r w:rsidR="00B4615F" w:rsidRPr="00B4615F">
        <w:rPr>
          <w:rFonts w:ascii="Times New Roman" w:hAnsi="Times New Roman" w:cs="Times New Roman"/>
        </w:rPr>
        <w:t xml:space="preserve"> water/wastewater plants are </w:t>
      </w:r>
      <w:r w:rsidR="00B849E6">
        <w:rPr>
          <w:rFonts w:ascii="Times New Roman" w:hAnsi="Times New Roman" w:cs="Times New Roman"/>
        </w:rPr>
        <w:t>Program 2</w:t>
      </w:r>
      <w:r w:rsidR="00B4615F" w:rsidRPr="00B4615F">
        <w:rPr>
          <w:rFonts w:ascii="Times New Roman" w:hAnsi="Times New Roman" w:cs="Times New Roman"/>
        </w:rPr>
        <w:t xml:space="preserve">. </w:t>
      </w:r>
      <w:r w:rsidR="00B4615F" w:rsidRPr="00B4615F">
        <w:rPr>
          <w:rFonts w:ascii="Times New Roman" w:hAnsi="Times New Roman" w:cs="Times New Roman"/>
          <w:color w:val="0462C1"/>
        </w:rPr>
        <w:t>https://www.osha.gov/dcsp/osp/.</w:t>
      </w:r>
      <w:r w:rsidR="00B4615F" w:rsidRPr="00FC2D52">
        <w:rPr>
          <w:rFonts w:ascii="Times New Roman" w:hAnsi="Times New Roman" w:cs="Times New Roman"/>
          <w:color w:val="0462C1"/>
        </w:rPr>
        <w:t xml:space="preserve"> </w:t>
      </w:r>
      <w:r w:rsidR="00B4615F" w:rsidRPr="00FC2D52">
        <w:rPr>
          <w:rFonts w:ascii="Times New Roman" w:hAnsi="Times New Roman" w:cs="Times New Roman"/>
        </w:rPr>
        <w:t xml:space="preserve"> </w:t>
      </w:r>
    </w:p>
  </w:footnote>
  <w:footnote w:id="10">
    <w:p w14:paraId="148BE91E" w14:textId="5AD4AEBA" w:rsidR="00FF54E3" w:rsidRPr="00A75AE9" w:rsidRDefault="00FF54E3">
      <w:pPr>
        <w:pStyle w:val="FootnoteText"/>
        <w:rPr>
          <w:rFonts w:ascii="Times New Roman" w:hAnsi="Times New Roman" w:cs="Times New Roman"/>
        </w:rPr>
      </w:pPr>
      <w:r w:rsidRPr="00A75AE9">
        <w:rPr>
          <w:rStyle w:val="FootnoteReference"/>
          <w:rFonts w:ascii="Times New Roman" w:hAnsi="Times New Roman" w:cs="Times New Roman"/>
        </w:rPr>
        <w:footnoteRef/>
      </w:r>
      <w:r w:rsidRPr="00A75AE9">
        <w:rPr>
          <w:rFonts w:ascii="Times New Roman" w:hAnsi="Times New Roman" w:cs="Times New Roman"/>
        </w:rPr>
        <w:t xml:space="preserve"> </w:t>
      </w:r>
      <w:r w:rsidR="001B0E98" w:rsidRPr="00A75AE9">
        <w:rPr>
          <w:rFonts w:ascii="Times New Roman" w:hAnsi="Times New Roman" w:cs="Times New Roman"/>
        </w:rPr>
        <w:t xml:space="preserve">For more detail on the West Texas explosion </w:t>
      </w:r>
      <w:r w:rsidR="00D71DE4" w:rsidRPr="00A75AE9">
        <w:rPr>
          <w:rFonts w:ascii="Times New Roman" w:hAnsi="Times New Roman" w:cs="Times New Roman"/>
        </w:rPr>
        <w:t xml:space="preserve">and </w:t>
      </w:r>
      <w:r w:rsidR="001B0E98" w:rsidRPr="00A75AE9">
        <w:rPr>
          <w:rFonts w:ascii="Times New Roman" w:hAnsi="Times New Roman" w:cs="Times New Roman"/>
        </w:rPr>
        <w:t xml:space="preserve">other </w:t>
      </w:r>
      <w:r w:rsidR="00576042" w:rsidRPr="00A75AE9">
        <w:rPr>
          <w:rFonts w:ascii="Times New Roman" w:hAnsi="Times New Roman" w:cs="Times New Roman"/>
        </w:rPr>
        <w:t xml:space="preserve">accidents that led to the </w:t>
      </w:r>
      <w:r w:rsidR="008030D0">
        <w:rPr>
          <w:rFonts w:ascii="Times New Roman" w:hAnsi="Times New Roman" w:cs="Times New Roman"/>
        </w:rPr>
        <w:t>2017 a</w:t>
      </w:r>
      <w:r w:rsidR="00576042" w:rsidRPr="00A75AE9">
        <w:rPr>
          <w:rFonts w:ascii="Times New Roman" w:hAnsi="Times New Roman" w:cs="Times New Roman"/>
        </w:rPr>
        <w:t>mendments rule</w:t>
      </w:r>
      <w:r w:rsidR="001819F8" w:rsidRPr="00A75AE9">
        <w:rPr>
          <w:rFonts w:ascii="Times New Roman" w:hAnsi="Times New Roman" w:cs="Times New Roman"/>
        </w:rPr>
        <w:t xml:space="preserve">, see </w:t>
      </w:r>
      <w:r w:rsidR="00024622" w:rsidRPr="00A75AE9">
        <w:rPr>
          <w:rFonts w:ascii="Times New Roman" w:hAnsi="Times New Roman" w:cs="Times New Roman"/>
        </w:rPr>
        <w:t xml:space="preserve">the </w:t>
      </w:r>
      <w:r w:rsidR="00CA7618" w:rsidRPr="00A75AE9">
        <w:rPr>
          <w:rFonts w:ascii="Times New Roman" w:hAnsi="Times New Roman" w:cs="Times New Roman"/>
        </w:rPr>
        <w:t>A</w:t>
      </w:r>
      <w:r w:rsidR="00CA7618" w:rsidRPr="006735E7">
        <w:rPr>
          <w:rFonts w:ascii="Times New Roman" w:hAnsi="Times New Roman" w:cs="Times New Roman"/>
        </w:rPr>
        <w:t xml:space="preserve">mendments </w:t>
      </w:r>
      <w:r w:rsidR="00CA7618" w:rsidRPr="0089683F">
        <w:rPr>
          <w:rFonts w:ascii="Times New Roman" w:hAnsi="Times New Roman" w:cs="Times New Roman"/>
        </w:rPr>
        <w:t>rule RIA.</w:t>
      </w:r>
    </w:p>
  </w:footnote>
  <w:footnote w:id="11">
    <w:p w14:paraId="05ACE4EF" w14:textId="34873899" w:rsidR="002F52A1" w:rsidRPr="00167F64" w:rsidRDefault="002F52A1" w:rsidP="00F01FC0">
      <w:pPr>
        <w:pStyle w:val="TOC2"/>
      </w:pPr>
      <w:r w:rsidRPr="00167F64">
        <w:rPr>
          <w:rStyle w:val="FootnoteReference"/>
        </w:rPr>
        <w:footnoteRef/>
      </w:r>
      <w:r w:rsidRPr="004D1BE9">
        <w:t xml:space="preserve"> </w:t>
      </w:r>
      <w:hyperlink r:id="rId2" w:history="1">
        <w:r w:rsidR="00F3719C" w:rsidRPr="00B11C1B">
          <w:rPr>
            <w:rStyle w:val="Hyperlink"/>
          </w:rPr>
          <w:t>https://www.whitehouse.gov/the-press-office/2013/08/01/executive-order-improving-chemical-facility-safety-and-security</w:t>
        </w:r>
      </w:hyperlink>
      <w:r w:rsidR="00F3719C" w:rsidRPr="00C900C2">
        <w:t>.</w:t>
      </w:r>
      <w:r w:rsidR="00F3719C" w:rsidRPr="004D1BE9">
        <w:t xml:space="preserve"> </w:t>
      </w:r>
    </w:p>
  </w:footnote>
  <w:footnote w:id="12">
    <w:p w14:paraId="00E50700" w14:textId="669FFEA0" w:rsidR="00274F68" w:rsidRPr="000119D0" w:rsidRDefault="00274F68" w:rsidP="001243C2">
      <w:pPr>
        <w:pStyle w:val="FootnoteText"/>
        <w:rPr>
          <w:rFonts w:ascii="Times New Roman" w:hAnsi="Times New Roman" w:cs="Times New Roman"/>
        </w:rPr>
      </w:pPr>
      <w:r w:rsidRPr="000119D0">
        <w:rPr>
          <w:rStyle w:val="FootnoteReference"/>
          <w:rFonts w:ascii="Times New Roman" w:hAnsi="Times New Roman" w:cs="Times New Roman"/>
        </w:rPr>
        <w:footnoteRef/>
      </w:r>
      <w:r w:rsidRPr="000119D0">
        <w:rPr>
          <w:rFonts w:ascii="Times New Roman" w:hAnsi="Times New Roman" w:cs="Times New Roman"/>
        </w:rPr>
        <w:t xml:space="preserve"> </w:t>
      </w:r>
      <w:r w:rsidR="000119D0" w:rsidRPr="000119D0">
        <w:rPr>
          <w:rFonts w:ascii="Times New Roman" w:hAnsi="Times New Roman" w:cs="Times New Roman"/>
        </w:rPr>
        <w:t xml:space="preserve">In 2013 and 2014, as part of the </w:t>
      </w:r>
      <w:r w:rsidR="00843659">
        <w:rPr>
          <w:rFonts w:ascii="Times New Roman" w:hAnsi="Times New Roman" w:cs="Times New Roman"/>
        </w:rPr>
        <w:t>E.O.</w:t>
      </w:r>
      <w:r w:rsidR="000119D0" w:rsidRPr="000119D0">
        <w:rPr>
          <w:rFonts w:ascii="Times New Roman" w:hAnsi="Times New Roman" w:cs="Times New Roman"/>
        </w:rPr>
        <w:t xml:space="preserve"> 13650 activities, the federal government held </w:t>
      </w:r>
      <w:r w:rsidR="000119D0" w:rsidRPr="000119D0">
        <w:rPr>
          <w:rFonts w:ascii="Times New Roman" w:hAnsi="Times New Roman" w:cs="Times New Roman"/>
          <w:color w:val="151515"/>
        </w:rPr>
        <w:t xml:space="preserve">a dozen listening sessions, supplemented by two online webinars. </w:t>
      </w:r>
      <w:r w:rsidR="000119D0" w:rsidRPr="000119D0">
        <w:rPr>
          <w:rFonts w:ascii="Times New Roman" w:hAnsi="Times New Roman" w:cs="Times New Roman"/>
        </w:rPr>
        <w:t>For a list of locations and link to the notes for these sessions go to</w:t>
      </w:r>
      <w:r w:rsidR="004F7ED4">
        <w:rPr>
          <w:rFonts w:ascii="Times New Roman" w:hAnsi="Times New Roman" w:cs="Times New Roman"/>
        </w:rPr>
        <w:t xml:space="preserve"> </w:t>
      </w:r>
      <w:hyperlink r:id="rId3" w:history="1">
        <w:r w:rsidR="004F7ED4" w:rsidRPr="00857A7C">
          <w:rPr>
            <w:rStyle w:val="Hyperlink"/>
            <w:rFonts w:ascii="Times New Roman" w:eastAsia="Calibri" w:hAnsi="Times New Roman" w:cs="Times New Roman"/>
            <w:lang w:bidi="en-US"/>
          </w:rPr>
          <w:t>https://www.regulations.gov/search?filter=DHS-2013-0075</w:t>
        </w:r>
      </w:hyperlink>
      <w:r w:rsidR="004F7ED4" w:rsidRPr="00F9251C">
        <w:rPr>
          <w:rFonts w:ascii="Times New Roman" w:hAnsi="Times New Roman" w:cs="Times New Roman"/>
        </w:rPr>
        <w:t>.</w:t>
      </w:r>
    </w:p>
  </w:footnote>
  <w:footnote w:id="13">
    <w:p w14:paraId="25BE7E0D" w14:textId="42932497" w:rsidR="004F7ED4" w:rsidRPr="00BB22EA" w:rsidRDefault="004F7ED4" w:rsidP="00F01FC0">
      <w:pPr>
        <w:pStyle w:val="TOC2"/>
      </w:pPr>
      <w:r w:rsidRPr="00BB22EA">
        <w:rPr>
          <w:rStyle w:val="FootnoteReference"/>
          <w:b/>
          <w:bCs/>
        </w:rPr>
        <w:footnoteRef/>
      </w:r>
      <w:r w:rsidRPr="00BB22EA">
        <w:t xml:space="preserve"> OSHA’s </w:t>
      </w:r>
      <w:r w:rsidR="001243C2" w:rsidRPr="00BB22EA">
        <w:t xml:space="preserve">RFI was published on December 9, 2013 (78 FR 73756) and EPA’s RFI was published on July 31, 2014 (79 FR 44604). </w:t>
      </w:r>
    </w:p>
  </w:footnote>
  <w:footnote w:id="14">
    <w:p w14:paraId="2E19954F" w14:textId="21EF9AFC" w:rsidR="00093C0A" w:rsidRPr="00BB22EA" w:rsidRDefault="00093C0A" w:rsidP="00F01FC0">
      <w:pPr>
        <w:pStyle w:val="TOC2"/>
      </w:pPr>
      <w:r w:rsidRPr="00BB22EA">
        <w:rPr>
          <w:rStyle w:val="FootnoteReference"/>
          <w:b/>
          <w:bCs/>
        </w:rPr>
        <w:footnoteRef/>
      </w:r>
      <w:r w:rsidR="00840731" w:rsidRPr="00BB22EA">
        <w:t xml:space="preserve"> RMP </w:t>
      </w:r>
      <w:r w:rsidR="00AC51BB" w:rsidRPr="00BB22EA">
        <w:t>Coalition’s Petition for Reconsideration and Request for Agency Stay Pending Reconsideration of Final RMP rule (82 FR 4594, January 13, 2017), February 28, 2017. Hogan Lovells U</w:t>
      </w:r>
      <w:r w:rsidR="003715E2" w:rsidRPr="00BB22EA">
        <w:t>.</w:t>
      </w:r>
      <w:r w:rsidR="00AC51BB" w:rsidRPr="00BB22EA">
        <w:t>S</w:t>
      </w:r>
      <w:r w:rsidR="003715E2" w:rsidRPr="00BB22EA">
        <w:t>.</w:t>
      </w:r>
      <w:r w:rsidR="00AC51BB" w:rsidRPr="00BB22EA">
        <w:t xml:space="preserve"> LLP, Washington, DC. Document ID: EPA-HQ-OEM-2015-0725-0759 (RMP Coalition petition).</w:t>
      </w:r>
    </w:p>
  </w:footnote>
  <w:footnote w:id="15">
    <w:p w14:paraId="46FF5FFF" w14:textId="745DADEE" w:rsidR="00AC51BB" w:rsidRPr="00BB22EA" w:rsidRDefault="00AC51BB" w:rsidP="00F01FC0">
      <w:pPr>
        <w:pStyle w:val="TOC2"/>
      </w:pPr>
      <w:r w:rsidRPr="00BB22EA">
        <w:rPr>
          <w:rStyle w:val="FootnoteReference"/>
          <w:b/>
          <w:bCs/>
        </w:rPr>
        <w:footnoteRef/>
      </w:r>
      <w:r w:rsidRPr="00BB22EA">
        <w:t xml:space="preserve"> </w:t>
      </w:r>
      <w:r w:rsidR="00F12B05" w:rsidRPr="00BB22EA">
        <w:t>CSAG Petition and Reconsideration and Stay Request of the Final RMP rule (82 FR 4594, January 13, 2017) March 13, 2017. Hunton &amp; Williams, San Francisco, CA. Document No. EPA-HQ-OEM-2015-0725-0766 (CSAG petition).</w:t>
      </w:r>
    </w:p>
  </w:footnote>
  <w:footnote w:id="16">
    <w:p w14:paraId="729F3F49" w14:textId="7F5553E9" w:rsidR="00F12B05" w:rsidRPr="00FC2D52" w:rsidRDefault="00F12B05" w:rsidP="00FC2D52">
      <w:pPr>
        <w:keepNext/>
        <w:spacing w:after="0" w:line="240" w:lineRule="auto"/>
        <w:rPr>
          <w:rFonts w:ascii="Times New Roman" w:hAnsi="Times New Roman" w:cs="Times New Roman"/>
          <w:sz w:val="20"/>
          <w:szCs w:val="20"/>
        </w:rPr>
      </w:pPr>
      <w:r w:rsidRPr="00875242">
        <w:rPr>
          <w:rStyle w:val="FootnoteReference"/>
          <w:rFonts w:ascii="Times New Roman" w:hAnsi="Times New Roman" w:cs="Times New Roman"/>
          <w:sz w:val="20"/>
          <w:szCs w:val="20"/>
        </w:rPr>
        <w:footnoteRef/>
      </w:r>
      <w:r w:rsidRPr="00875242">
        <w:rPr>
          <w:rFonts w:ascii="Times New Roman" w:hAnsi="Times New Roman" w:cs="Times New Roman"/>
          <w:sz w:val="20"/>
          <w:szCs w:val="20"/>
        </w:rPr>
        <w:t xml:space="preserve"> </w:t>
      </w:r>
      <w:r w:rsidR="00875242" w:rsidRPr="00875242">
        <w:rPr>
          <w:rFonts w:ascii="Times New Roman" w:hAnsi="Times New Roman" w:cs="Times New Roman"/>
          <w:sz w:val="20"/>
          <w:szCs w:val="20"/>
        </w:rPr>
        <w:t xml:space="preserve">Petition for Reconsideration and Stay Submitted by The States of Louisiana, Arizona, Arkansas, Florida, Kansas, Texas, Oklahoma, South Carolina, Wisconsin, West Virginia, and the Commonwealth of Kentucky by and through Governor Matthew Bevin, March 14, 2017. Document ID: EPA-HW-OEM-2015-0725-0762 (States petition). </w:t>
      </w:r>
    </w:p>
  </w:footnote>
  <w:footnote w:id="17">
    <w:p w14:paraId="7A9FA5B8" w14:textId="5943D0F9" w:rsidR="00FC2D52" w:rsidRPr="00FC2D52" w:rsidRDefault="00FC2D52">
      <w:pPr>
        <w:pStyle w:val="FootnoteText"/>
        <w:rPr>
          <w:rFonts w:ascii="Times New Roman" w:hAnsi="Times New Roman" w:cs="Times New Roman"/>
        </w:rPr>
      </w:pPr>
      <w:r w:rsidRPr="00FC2D52">
        <w:rPr>
          <w:rStyle w:val="FootnoteReference"/>
          <w:rFonts w:ascii="Times New Roman" w:hAnsi="Times New Roman" w:cs="Times New Roman"/>
        </w:rPr>
        <w:footnoteRef/>
      </w:r>
      <w:r w:rsidRPr="00FC2D52">
        <w:rPr>
          <w:rFonts w:ascii="Times New Roman" w:hAnsi="Times New Roman" w:cs="Times New Roman"/>
        </w:rPr>
        <w:t xml:space="preserve"> </w:t>
      </w:r>
      <w:hyperlink r:id="rId4" w:history="1">
        <w:r w:rsidRPr="00FC2D52">
          <w:rPr>
            <w:rStyle w:val="Hyperlink"/>
            <w:rFonts w:ascii="Times New Roman" w:hAnsi="Times New Roman" w:cs="Times New Roman"/>
          </w:rPr>
          <w:t>https://www.whitehouse.gov/briefing-room/presidential-actions/2021/01/20/executive-order-protecting-public-health-and-environment-and-restoring-science-to-tackle-climate-crisis/</w:t>
        </w:r>
      </w:hyperlink>
      <w:r w:rsidRPr="00FC2D52">
        <w:rPr>
          <w:rFonts w:ascii="Times New Roman" w:hAnsi="Times New Roman" w:cs="Times New Roman"/>
        </w:rPr>
        <w:t xml:space="preserve">  </w:t>
      </w:r>
    </w:p>
  </w:footnote>
  <w:footnote w:id="18">
    <w:p w14:paraId="3036D993" w14:textId="0FC381BF" w:rsidR="00825835" w:rsidRDefault="00825835">
      <w:pPr>
        <w:pStyle w:val="FootnoteText"/>
      </w:pPr>
      <w:r>
        <w:rPr>
          <w:rStyle w:val="FootnoteReference"/>
        </w:rPr>
        <w:footnoteRef/>
      </w:r>
      <w:r>
        <w:t xml:space="preserve"> </w:t>
      </w:r>
      <w:r w:rsidRPr="00825835">
        <w:rPr>
          <w:rFonts w:ascii="Times New Roman" w:hAnsi="Times New Roman" w:cs="Times New Roman"/>
        </w:rPr>
        <w:t xml:space="preserve">EPA is proposing to make RMP information publicly available to allow facilities to </w:t>
      </w:r>
      <w:r w:rsidR="00A46728">
        <w:rPr>
          <w:rFonts w:ascii="Times New Roman" w:hAnsi="Times New Roman" w:cs="Times New Roman"/>
        </w:rPr>
        <w:t xml:space="preserve">identify and </w:t>
      </w:r>
      <w:r w:rsidRPr="00825835">
        <w:rPr>
          <w:rFonts w:ascii="Times New Roman" w:hAnsi="Times New Roman" w:cs="Times New Roman"/>
        </w:rPr>
        <w:t>locate pro</w:t>
      </w:r>
      <w:r w:rsidR="006C0544">
        <w:rPr>
          <w:rFonts w:ascii="Times New Roman" w:hAnsi="Times New Roman" w:cs="Times New Roman"/>
        </w:rPr>
        <w:t>xim</w:t>
      </w:r>
      <w:r w:rsidRPr="00825835">
        <w:rPr>
          <w:rFonts w:ascii="Times New Roman" w:hAnsi="Times New Roman" w:cs="Times New Roman"/>
        </w:rPr>
        <w:t>ate facilities.</w:t>
      </w:r>
    </w:p>
  </w:footnote>
  <w:footnote w:id="19">
    <w:p w14:paraId="5F661399" w14:textId="7DA1625D" w:rsidR="00F33327" w:rsidRPr="00253244" w:rsidRDefault="00F33327">
      <w:pPr>
        <w:pStyle w:val="FootnoteText"/>
        <w:rPr>
          <w:rFonts w:ascii="Times New Roman" w:hAnsi="Times New Roman" w:cs="Times New Roman"/>
        </w:rPr>
      </w:pPr>
      <w:r w:rsidRPr="00253244">
        <w:rPr>
          <w:rStyle w:val="FootnoteReference"/>
          <w:rFonts w:ascii="Times New Roman" w:hAnsi="Times New Roman" w:cs="Times New Roman"/>
        </w:rPr>
        <w:footnoteRef/>
      </w:r>
      <w:r w:rsidRPr="00253244">
        <w:rPr>
          <w:rFonts w:ascii="Times New Roman" w:hAnsi="Times New Roman" w:cs="Times New Roman"/>
        </w:rPr>
        <w:t xml:space="preserve"> EPA believes this distance to be reasonable as 90 percent of all toxic worst-case distances to endpoints are 6 miles or less, and almost all flammable worst-case distances are less than 1 mile.</w:t>
      </w:r>
    </w:p>
  </w:footnote>
  <w:footnote w:id="20">
    <w:p w14:paraId="276555A8" w14:textId="26CB6529" w:rsidR="00210110" w:rsidRPr="007F229B" w:rsidRDefault="00210110">
      <w:pPr>
        <w:pStyle w:val="FootnoteText"/>
        <w:rPr>
          <w:rFonts w:ascii="Times New Roman" w:hAnsi="Times New Roman" w:cs="Times New Roman"/>
        </w:rPr>
      </w:pPr>
      <w:r w:rsidRPr="00253244">
        <w:rPr>
          <w:rStyle w:val="FootnoteReference"/>
          <w:rFonts w:ascii="Times New Roman" w:hAnsi="Times New Roman" w:cs="Times New Roman"/>
        </w:rPr>
        <w:footnoteRef/>
      </w:r>
      <w:r w:rsidRPr="00253244">
        <w:rPr>
          <w:rFonts w:ascii="Times New Roman" w:hAnsi="Times New Roman" w:cs="Times New Roman"/>
        </w:rPr>
        <w:t xml:space="preserve"> </w:t>
      </w:r>
      <w:r w:rsidRPr="007F229B">
        <w:rPr>
          <w:rFonts w:ascii="Times New Roman" w:hAnsi="Times New Roman" w:cs="Times New Roman"/>
        </w:rPr>
        <w:t xml:space="preserve">EPA plans to make RMP locational information for the entire regulated community available online. Currently, members of the public can determine whether a neighboring facility is an RMP facility through searching EPA’s </w:t>
      </w:r>
      <w:proofErr w:type="spellStart"/>
      <w:r w:rsidRPr="007F229B">
        <w:rPr>
          <w:rFonts w:ascii="Times New Roman" w:hAnsi="Times New Roman" w:cs="Times New Roman"/>
        </w:rPr>
        <w:t>Envirofacts</w:t>
      </w:r>
      <w:proofErr w:type="spellEnd"/>
      <w:r w:rsidRPr="007F229B">
        <w:rPr>
          <w:rFonts w:ascii="Times New Roman" w:hAnsi="Times New Roman" w:cs="Times New Roman"/>
        </w:rPr>
        <w:t>.</w:t>
      </w:r>
    </w:p>
  </w:footnote>
  <w:footnote w:id="21">
    <w:p w14:paraId="6366BE28" w14:textId="53ECBC23" w:rsidR="001F4CD0" w:rsidRDefault="001F4CD0">
      <w:pPr>
        <w:pStyle w:val="FootnoteText"/>
      </w:pPr>
      <w:r w:rsidRPr="00253244">
        <w:rPr>
          <w:rStyle w:val="FootnoteReference"/>
          <w:rFonts w:ascii="Times New Roman" w:hAnsi="Times New Roman" w:cs="Times New Roman"/>
        </w:rPr>
        <w:footnoteRef/>
      </w:r>
      <w:r w:rsidRPr="00253244">
        <w:rPr>
          <w:rFonts w:ascii="Times New Roman" w:hAnsi="Times New Roman" w:cs="Times New Roman"/>
        </w:rPr>
        <w:t xml:space="preserve"> Swimming pools will not be regulated under RMP if they use</w:t>
      </w:r>
      <w:r w:rsidR="00242FC4">
        <w:rPr>
          <w:rFonts w:ascii="Times New Roman" w:hAnsi="Times New Roman" w:cs="Times New Roman"/>
        </w:rPr>
        <w:t xml:space="preserve"> or store</w:t>
      </w:r>
      <w:r w:rsidRPr="00253244">
        <w:rPr>
          <w:rFonts w:ascii="Times New Roman" w:hAnsi="Times New Roman" w:cs="Times New Roman"/>
        </w:rPr>
        <w:t xml:space="preserve"> chlorine below the threshold amount of 2,500 lbs. There have been no RMP-reportable accidents from regulated swimming pools.</w:t>
      </w:r>
    </w:p>
  </w:footnote>
  <w:footnote w:id="22">
    <w:p w14:paraId="5FDD3C4F" w14:textId="5A5530D6" w:rsidR="007E7E80" w:rsidRPr="00B80449" w:rsidRDefault="007E7E80">
      <w:pPr>
        <w:pStyle w:val="FootnoteText"/>
        <w:rPr>
          <w:rFonts w:ascii="Times New Roman" w:hAnsi="Times New Roman" w:cs="Times New Roman"/>
        </w:rPr>
      </w:pPr>
      <w:r w:rsidRPr="00B80449">
        <w:rPr>
          <w:rStyle w:val="FootnoteReference"/>
          <w:rFonts w:ascii="Times New Roman" w:hAnsi="Times New Roman" w:cs="Times New Roman"/>
        </w:rPr>
        <w:footnoteRef/>
      </w:r>
      <w:r w:rsidR="00B80449" w:rsidRPr="00B80449">
        <w:rPr>
          <w:rFonts w:ascii="Times New Roman" w:hAnsi="Times New Roman" w:cs="Times New Roman"/>
        </w:rPr>
        <w:t xml:space="preserve"> More detail on the RMP database, including access to the RMP database is available at </w:t>
      </w:r>
      <w:hyperlink r:id="rId5" w:history="1">
        <w:r w:rsidR="00E15F56" w:rsidRPr="00B94B45">
          <w:rPr>
            <w:rStyle w:val="Hyperlink"/>
            <w:rFonts w:ascii="Times New Roman" w:hAnsi="Times New Roman" w:cs="Times New Roman"/>
          </w:rPr>
          <w:t>https://www.epa.gov/rmp/accessing-rmp-data</w:t>
        </w:r>
      </w:hyperlink>
      <w:r w:rsidR="00B80449" w:rsidRPr="00B80449">
        <w:rPr>
          <w:rFonts w:ascii="Times New Roman" w:hAnsi="Times New Roman" w:cs="Times New Roman"/>
        </w:rPr>
        <w:t>.</w:t>
      </w:r>
    </w:p>
  </w:footnote>
  <w:footnote w:id="23">
    <w:p w14:paraId="6B67E170" w14:textId="4ADCF4F8" w:rsidR="00093C0A" w:rsidRPr="00167F64" w:rsidRDefault="00093C0A" w:rsidP="00F01FC0">
      <w:pPr>
        <w:pStyle w:val="TOC2"/>
      </w:pPr>
      <w:r w:rsidRPr="00167F64">
        <w:rPr>
          <w:rStyle w:val="FootnoteReference"/>
        </w:rPr>
        <w:footnoteRef/>
      </w:r>
      <w:r w:rsidR="00215DB4" w:rsidRPr="00167F64">
        <w:rPr>
          <w:shd w:val="clear" w:color="auto" w:fill="FFFFFF" w:themeFill="background1"/>
        </w:rPr>
        <w:t xml:space="preserve"> </w:t>
      </w:r>
      <w:r w:rsidR="00215DB4" w:rsidRPr="00A469CD">
        <w:rPr>
          <w:bCs/>
          <w:shd w:val="clear" w:color="auto" w:fill="FFFFFF" w:themeFill="background1"/>
        </w:rPr>
        <w:t>See</w:t>
      </w:r>
      <w:r w:rsidR="00215DB4" w:rsidRPr="00167F64">
        <w:rPr>
          <w:shd w:val="clear" w:color="auto" w:fill="FFFFFF" w:themeFill="background1"/>
        </w:rPr>
        <w:t xml:space="preserve"> Section 1.1 History, for an explanation.</w:t>
      </w:r>
    </w:p>
  </w:footnote>
  <w:footnote w:id="24">
    <w:p w14:paraId="509DD1B0" w14:textId="113F6147" w:rsidR="00093C0A" w:rsidRPr="00305374" w:rsidRDefault="00093C0A" w:rsidP="00E15F56">
      <w:pPr>
        <w:spacing w:after="0" w:line="240" w:lineRule="auto"/>
        <w:rPr>
          <w:rFonts w:ascii="Times New Roman" w:hAnsi="Times New Roman" w:cs="Times New Roman"/>
          <w:sz w:val="20"/>
          <w:szCs w:val="20"/>
        </w:rPr>
      </w:pPr>
      <w:r w:rsidRPr="00015D92">
        <w:rPr>
          <w:rStyle w:val="FootnoteReference"/>
          <w:rFonts w:ascii="Times New Roman" w:hAnsi="Times New Roman" w:cs="Times New Roman"/>
          <w:sz w:val="20"/>
          <w:szCs w:val="20"/>
        </w:rPr>
        <w:footnoteRef/>
      </w:r>
      <w:r w:rsidR="00CE406E" w:rsidRPr="00015D92">
        <w:rPr>
          <w:rFonts w:ascii="Times New Roman" w:hAnsi="Times New Roman" w:cs="Times New Roman"/>
          <w:sz w:val="20"/>
          <w:szCs w:val="20"/>
        </w:rPr>
        <w:t xml:space="preserve"> </w:t>
      </w:r>
      <w:r w:rsidR="00075777" w:rsidRPr="00A469CD">
        <w:rPr>
          <w:rFonts w:ascii="Times New Roman" w:hAnsi="Times New Roman" w:cs="Times New Roman"/>
          <w:bCs/>
          <w:sz w:val="20"/>
          <w:szCs w:val="20"/>
          <w:shd w:val="clear" w:color="auto" w:fill="FFFFFF" w:themeFill="background1"/>
        </w:rPr>
        <w:t>Some</w:t>
      </w:r>
      <w:r w:rsidR="00075777" w:rsidRPr="00015D92">
        <w:rPr>
          <w:rFonts w:ascii="Times New Roman" w:hAnsi="Times New Roman" w:cs="Times New Roman"/>
          <w:sz w:val="20"/>
          <w:szCs w:val="20"/>
          <w:shd w:val="clear" w:color="auto" w:fill="FFFFFF" w:themeFill="background1"/>
        </w:rPr>
        <w:t xml:space="preserve"> facilities</w:t>
      </w:r>
      <w:r w:rsidR="00F07416">
        <w:rPr>
          <w:rFonts w:ascii="Times New Roman" w:hAnsi="Times New Roman" w:cs="Times New Roman"/>
          <w:sz w:val="20"/>
          <w:szCs w:val="20"/>
          <w:shd w:val="clear" w:color="auto" w:fill="FFFFFF" w:themeFill="background1"/>
        </w:rPr>
        <w:t xml:space="preserve"> </w:t>
      </w:r>
      <w:r w:rsidR="00075777" w:rsidRPr="00015D92">
        <w:rPr>
          <w:rFonts w:ascii="Times New Roman" w:hAnsi="Times New Roman" w:cs="Times New Roman"/>
          <w:sz w:val="20"/>
          <w:szCs w:val="20"/>
          <w:shd w:val="clear" w:color="auto" w:fill="FFFFFF" w:themeFill="background1"/>
        </w:rPr>
        <w:t xml:space="preserve">listed themselves as </w:t>
      </w:r>
      <w:r w:rsidR="00AB34CF" w:rsidRPr="00A469CD">
        <w:rPr>
          <w:rFonts w:ascii="Times New Roman" w:hAnsi="Times New Roman" w:cs="Times New Roman"/>
          <w:bCs/>
          <w:sz w:val="20"/>
          <w:szCs w:val="20"/>
          <w:shd w:val="clear" w:color="auto" w:fill="FFFFFF" w:themeFill="background1"/>
        </w:rPr>
        <w:t>Program 2</w:t>
      </w:r>
      <w:r w:rsidR="00075777" w:rsidRPr="00015D92">
        <w:rPr>
          <w:rFonts w:ascii="Times New Roman" w:hAnsi="Times New Roman" w:cs="Times New Roman"/>
          <w:sz w:val="20"/>
          <w:szCs w:val="20"/>
          <w:shd w:val="clear" w:color="auto" w:fill="FFFFFF" w:themeFill="background1"/>
        </w:rPr>
        <w:t xml:space="preserve"> that have either selected the wrong Program </w:t>
      </w:r>
      <w:r w:rsidR="006946D9">
        <w:rPr>
          <w:rFonts w:ascii="Times New Roman" w:hAnsi="Times New Roman" w:cs="Times New Roman"/>
          <w:sz w:val="20"/>
          <w:szCs w:val="20"/>
          <w:shd w:val="clear" w:color="auto" w:fill="FFFFFF" w:themeFill="background1"/>
        </w:rPr>
        <w:t>L</w:t>
      </w:r>
      <w:r w:rsidR="00075777" w:rsidRPr="00015D92">
        <w:rPr>
          <w:rFonts w:ascii="Times New Roman" w:hAnsi="Times New Roman" w:cs="Times New Roman"/>
          <w:sz w:val="20"/>
          <w:szCs w:val="20"/>
          <w:shd w:val="clear" w:color="auto" w:fill="FFFFFF" w:themeFill="background1"/>
        </w:rPr>
        <w:t xml:space="preserve">evel on </w:t>
      </w:r>
      <w:r w:rsidR="00075777" w:rsidRPr="00A469CD">
        <w:rPr>
          <w:rFonts w:ascii="Times New Roman" w:hAnsi="Times New Roman" w:cs="Times New Roman"/>
          <w:bCs/>
          <w:sz w:val="20"/>
          <w:szCs w:val="20"/>
          <w:shd w:val="clear" w:color="auto" w:fill="FFFFFF" w:themeFill="background1"/>
        </w:rPr>
        <w:t>the</w:t>
      </w:r>
      <w:r w:rsidR="00C95A0D" w:rsidRPr="00A469CD">
        <w:rPr>
          <w:rFonts w:ascii="Times New Roman" w:hAnsi="Times New Roman" w:cs="Times New Roman"/>
          <w:bCs/>
          <w:sz w:val="20"/>
          <w:szCs w:val="20"/>
          <w:shd w:val="clear" w:color="auto" w:fill="FFFFFF" w:themeFill="background1"/>
        </w:rPr>
        <w:t>ir</w:t>
      </w:r>
      <w:r w:rsidR="00075777" w:rsidRPr="00015D92">
        <w:rPr>
          <w:rFonts w:ascii="Times New Roman" w:hAnsi="Times New Roman" w:cs="Times New Roman"/>
          <w:sz w:val="20"/>
          <w:szCs w:val="20"/>
          <w:shd w:val="clear" w:color="auto" w:fill="FFFFFF" w:themeFill="background1"/>
        </w:rPr>
        <w:t xml:space="preserve"> RMP submission or have incorrectly indicated that they are not subject to PSM, even though they handle OSHA PSM chemicals in quantities far above the OSHA threshold. Because of</w:t>
      </w:r>
      <w:r w:rsidR="00F07416">
        <w:rPr>
          <w:rFonts w:ascii="Times New Roman" w:hAnsi="Times New Roman" w:cs="Times New Roman"/>
          <w:sz w:val="20"/>
          <w:szCs w:val="20"/>
          <w:shd w:val="clear" w:color="auto" w:fill="FFFFFF" w:themeFill="background1"/>
        </w:rPr>
        <w:t xml:space="preserve"> </w:t>
      </w:r>
      <w:r w:rsidR="00075777" w:rsidRPr="00015D92">
        <w:rPr>
          <w:rFonts w:ascii="Times New Roman" w:hAnsi="Times New Roman" w:cs="Times New Roman"/>
          <w:sz w:val="20"/>
          <w:szCs w:val="20"/>
          <w:shd w:val="clear" w:color="auto" w:fill="FFFFFF" w:themeFill="background1"/>
        </w:rPr>
        <w:t xml:space="preserve">errors in the other direction among the public systems (i.e., facilities in States not subject to PSM that listed themselves as </w:t>
      </w:r>
      <w:r w:rsidR="00845762">
        <w:rPr>
          <w:rFonts w:ascii="Times New Roman" w:hAnsi="Times New Roman" w:cs="Times New Roman"/>
          <w:sz w:val="20"/>
          <w:szCs w:val="20"/>
          <w:shd w:val="clear" w:color="auto" w:fill="FFFFFF" w:themeFill="background1"/>
        </w:rPr>
        <w:t>Program 3</w:t>
      </w:r>
      <w:r w:rsidR="00075777" w:rsidRPr="00015D92">
        <w:rPr>
          <w:rFonts w:ascii="Times New Roman" w:hAnsi="Times New Roman" w:cs="Times New Roman"/>
          <w:sz w:val="20"/>
          <w:szCs w:val="20"/>
          <w:shd w:val="clear" w:color="auto" w:fill="FFFFFF" w:themeFill="background1"/>
        </w:rPr>
        <w:t>), the analysis did not attempt to correct the errors.</w:t>
      </w:r>
      <w:r w:rsidR="00075777" w:rsidRPr="00015D92">
        <w:rPr>
          <w:rFonts w:ascii="Times New Roman" w:hAnsi="Times New Roman" w:cs="Times New Roman"/>
          <w:sz w:val="20"/>
          <w:szCs w:val="20"/>
          <w:shd w:val="clear" w:color="auto" w:fill="FAF9F8"/>
        </w:rPr>
        <w:t xml:space="preserve"> </w:t>
      </w:r>
      <w:r w:rsidR="00075777" w:rsidRPr="00015D92">
        <w:rPr>
          <w:rFonts w:ascii="Times New Roman" w:hAnsi="Times New Roman" w:cs="Times New Roman"/>
          <w:sz w:val="20"/>
          <w:szCs w:val="20"/>
        </w:rPr>
        <w:t xml:space="preserve"> </w:t>
      </w:r>
    </w:p>
  </w:footnote>
  <w:footnote w:id="25">
    <w:p w14:paraId="4D6A589D" w14:textId="3D872E50" w:rsidR="00093C0A" w:rsidRPr="00A72509" w:rsidRDefault="00093C0A" w:rsidP="00E15F56">
      <w:pPr>
        <w:spacing w:after="0" w:line="240" w:lineRule="auto"/>
        <w:rPr>
          <w:rFonts w:ascii="Times New Roman" w:hAnsi="Times New Roman" w:cs="Times New Roman"/>
          <w:sz w:val="20"/>
          <w:szCs w:val="20"/>
        </w:rPr>
      </w:pPr>
      <w:r w:rsidRPr="00A72509">
        <w:rPr>
          <w:rStyle w:val="FootnoteReference"/>
          <w:rFonts w:ascii="Times New Roman" w:hAnsi="Times New Roman" w:cs="Times New Roman"/>
          <w:sz w:val="20"/>
          <w:szCs w:val="20"/>
        </w:rPr>
        <w:footnoteRef/>
      </w:r>
      <w:r w:rsidRPr="00A72509">
        <w:rPr>
          <w:rFonts w:ascii="Times New Roman" w:hAnsi="Times New Roman" w:cs="Times New Roman"/>
          <w:sz w:val="20"/>
          <w:szCs w:val="20"/>
        </w:rPr>
        <w:t xml:space="preserve"> August 2021 RMP Database.</w:t>
      </w:r>
    </w:p>
  </w:footnote>
  <w:footnote w:id="26">
    <w:p w14:paraId="604FF642" w14:textId="0DE1E554" w:rsidR="00CA2DE0" w:rsidRPr="00D37D17" w:rsidRDefault="00CA2DE0" w:rsidP="00E15F56">
      <w:pPr>
        <w:pStyle w:val="FootnoteText"/>
        <w:rPr>
          <w:rFonts w:ascii="Times New Roman" w:hAnsi="Times New Roman" w:cs="Times New Roman"/>
        </w:rPr>
      </w:pPr>
      <w:r w:rsidRPr="00D37D17">
        <w:rPr>
          <w:rStyle w:val="FootnoteReference"/>
          <w:rFonts w:ascii="Times New Roman" w:hAnsi="Times New Roman" w:cs="Times New Roman"/>
        </w:rPr>
        <w:footnoteRef/>
      </w:r>
      <w:r w:rsidRPr="00D37D17">
        <w:rPr>
          <w:rFonts w:ascii="Times New Roman" w:hAnsi="Times New Roman" w:cs="Times New Roman"/>
        </w:rPr>
        <w:t xml:space="preserve"> </w:t>
      </w:r>
      <w:r w:rsidR="00D37D17" w:rsidRPr="00D37D17">
        <w:rPr>
          <w:rFonts w:ascii="Times New Roman" w:hAnsi="Times New Roman" w:cs="Times New Roman"/>
        </w:rPr>
        <w:t>Cal. Code Regs. tit. 8, § 5189.1(</w:t>
      </w:r>
      <w:r w:rsidR="00D37D17">
        <w:rPr>
          <w:rFonts w:ascii="Times New Roman" w:hAnsi="Times New Roman" w:cs="Times New Roman"/>
        </w:rPr>
        <w:t>l</w:t>
      </w:r>
      <w:r w:rsidR="00D37D17" w:rsidRPr="00D37D17">
        <w:rPr>
          <w:rFonts w:ascii="Times New Roman" w:hAnsi="Times New Roman" w:cs="Times New Roman"/>
        </w:rPr>
        <w:t xml:space="preserve">), </w:t>
      </w:r>
      <w:r w:rsidR="001C0B4A">
        <w:rPr>
          <w:rFonts w:ascii="Times New Roman" w:hAnsi="Times New Roman" w:cs="Times New Roman"/>
        </w:rPr>
        <w:t>P</w:t>
      </w:r>
      <w:r w:rsidR="00D37D17" w:rsidRPr="00D37D17">
        <w:rPr>
          <w:rFonts w:ascii="Times New Roman" w:hAnsi="Times New Roman" w:cs="Times New Roman"/>
        </w:rPr>
        <w:t>rocess Safety Management for Petroleum Refineries, Hierarchy of Hazard Controls Analysis.</w:t>
      </w:r>
    </w:p>
  </w:footnote>
  <w:footnote w:id="27">
    <w:p w14:paraId="6F7164A2" w14:textId="4DBCE3A5" w:rsidR="001F4CD0" w:rsidRPr="00253244" w:rsidRDefault="001F4CD0">
      <w:pPr>
        <w:pStyle w:val="FootnoteText"/>
        <w:rPr>
          <w:rFonts w:ascii="Times New Roman" w:hAnsi="Times New Roman" w:cs="Times New Roman"/>
        </w:rPr>
      </w:pPr>
      <w:r w:rsidRPr="00253244">
        <w:rPr>
          <w:rStyle w:val="FootnoteReference"/>
          <w:rFonts w:ascii="Times New Roman" w:hAnsi="Times New Roman" w:cs="Times New Roman"/>
        </w:rPr>
        <w:footnoteRef/>
      </w:r>
      <w:r w:rsidRPr="00253244">
        <w:rPr>
          <w:rFonts w:ascii="Times New Roman" w:hAnsi="Times New Roman" w:cs="Times New Roman"/>
        </w:rPr>
        <w:t xml:space="preserve"> The proximity of densely co-located refining and chemical manufacturing facilities creates a greater risk of an accident at one facility impacting safety at the nearby facility, thereby increasing the potential for a release at the second facility (a “knock-on” release)…The distance of 1 mile represents the median distance of facilities with 324 and 325 NAICS processes that have had accidents in the period from 2016 to 2020 to the nearest facility with a process in these NAICS in 324 or 325.</w:t>
      </w:r>
    </w:p>
  </w:footnote>
  <w:footnote w:id="28">
    <w:p w14:paraId="76252CEA" w14:textId="2DF4842B" w:rsidR="00ED0535" w:rsidRPr="00351E48" w:rsidRDefault="00ED0535" w:rsidP="00ED0535">
      <w:pPr>
        <w:pStyle w:val="FootnoteText"/>
        <w:rPr>
          <w:rFonts w:ascii="Times New Roman" w:hAnsi="Times New Roman" w:cs="Times New Roman"/>
        </w:rPr>
      </w:pPr>
      <w:r w:rsidRPr="00FC2D52">
        <w:rPr>
          <w:rStyle w:val="FootnoteReference"/>
          <w:rFonts w:ascii="Times New Roman" w:hAnsi="Times New Roman" w:cs="Times New Roman"/>
          <w:szCs w:val="16"/>
        </w:rPr>
        <w:footnoteRef/>
      </w:r>
      <w:r w:rsidRPr="00FC2D52">
        <w:rPr>
          <w:rFonts w:ascii="Times New Roman" w:hAnsi="Times New Roman" w:cs="Times New Roman"/>
        </w:rPr>
        <w:t xml:space="preserve"> </w:t>
      </w:r>
      <w:bookmarkStart w:id="37" w:name="_Hlk97886049"/>
      <w:r w:rsidRPr="00351E48">
        <w:rPr>
          <w:rFonts w:ascii="Times New Roman" w:hAnsi="Times New Roman" w:cs="Times New Roman"/>
        </w:rPr>
        <w:t xml:space="preserve">Technical Background Document for Notice of Proposed Rulemaking: Risk Management Programs Under the Clean Air Act, Section 112(r)(7); Safer Communities by Chemical Accident Prevention (April </w:t>
      </w:r>
      <w:r w:rsidR="009644D8">
        <w:rPr>
          <w:rFonts w:ascii="Times New Roman" w:hAnsi="Times New Roman" w:cs="Times New Roman"/>
        </w:rPr>
        <w:t xml:space="preserve">19, </w:t>
      </w:r>
      <w:r w:rsidRPr="00351E48">
        <w:rPr>
          <w:rFonts w:ascii="Times New Roman" w:hAnsi="Times New Roman" w:cs="Times New Roman"/>
        </w:rPr>
        <w:t>2022)</w:t>
      </w:r>
      <w:bookmarkEnd w:id="37"/>
      <w:r w:rsidRPr="00351E48">
        <w:rPr>
          <w:rFonts w:ascii="Times New Roman" w:hAnsi="Times New Roman" w:cs="Times New Roman"/>
        </w:rPr>
        <w:t>.</w:t>
      </w:r>
    </w:p>
  </w:footnote>
  <w:footnote w:id="29">
    <w:p w14:paraId="2AB70918" w14:textId="77777777" w:rsidR="00C57989" w:rsidRPr="00EA2A3A" w:rsidRDefault="00C57989" w:rsidP="00C57989">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The accidents included those that occurred at facilities that may have subsequently deregistered from the RMP Program. As such, some accidents analyzed may have occurred at facilities no longer subject to the RMP rule. Offsetting this, however, is the registration of new facilities </w:t>
      </w:r>
      <w:proofErr w:type="gramStart"/>
      <w:r w:rsidRPr="00EA2A3A">
        <w:rPr>
          <w:rFonts w:ascii="Times New Roman" w:hAnsi="Times New Roman" w:cs="Times New Roman"/>
        </w:rPr>
        <w:t>subsequent to</w:t>
      </w:r>
      <w:proofErr w:type="gramEnd"/>
      <w:r w:rsidRPr="00EA2A3A">
        <w:rPr>
          <w:rFonts w:ascii="Times New Roman" w:hAnsi="Times New Roman" w:cs="Times New Roman"/>
        </w:rPr>
        <w:t xml:space="preserve"> 2020.</w:t>
      </w:r>
    </w:p>
  </w:footnote>
  <w:footnote w:id="30">
    <w:p w14:paraId="4AE49E9B" w14:textId="77777777" w:rsidR="00C57989" w:rsidRPr="00EA2A3A" w:rsidRDefault="00C57989" w:rsidP="00C57989">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CSB Report, Fire and Explosions at Philadelphia Energy Solutions Refinery Hydrofluoric Acid Alkylation Unit, Factual Update, October 16, 2019, </w:t>
      </w:r>
      <w:hyperlink r:id="rId6" w:history="1">
        <w:r w:rsidRPr="00EA2A3A">
          <w:rPr>
            <w:rStyle w:val="Hyperlink"/>
            <w:rFonts w:ascii="Times New Roman" w:hAnsi="Times New Roman" w:cs="Times New Roman"/>
          </w:rPr>
          <w:t>https://www.phila.gov/media/20191204161826/US-CSB-PES-Factual-Update.pdf</w:t>
        </w:r>
      </w:hyperlink>
      <w:r w:rsidRPr="00EA2A3A">
        <w:rPr>
          <w:rFonts w:ascii="Times New Roman" w:hAnsi="Times New Roman" w:cs="Times New Roman"/>
        </w:rPr>
        <w:t xml:space="preserve">. </w:t>
      </w:r>
    </w:p>
  </w:footnote>
  <w:footnote w:id="31">
    <w:p w14:paraId="3FA585B0" w14:textId="77777777" w:rsidR="00C57989" w:rsidRPr="00D764A4" w:rsidRDefault="00C57989" w:rsidP="00C57989">
      <w:pPr>
        <w:pStyle w:val="FootnoteText"/>
        <w:rPr>
          <w:rFonts w:ascii="Times New Roman" w:hAnsi="Times New Roman" w:cs="Times New Roman"/>
        </w:rPr>
      </w:pPr>
      <w:r w:rsidRPr="00D764A4">
        <w:rPr>
          <w:rStyle w:val="FootnoteReference"/>
          <w:rFonts w:ascii="Times New Roman" w:hAnsi="Times New Roman" w:cs="Times New Roman"/>
        </w:rPr>
        <w:footnoteRef/>
      </w:r>
      <w:r w:rsidRPr="00D764A4">
        <w:rPr>
          <w:rFonts w:ascii="Times New Roman" w:hAnsi="Times New Roman" w:cs="Times New Roman"/>
        </w:rPr>
        <w:t xml:space="preserve"> Officials ID Rio Tinto Kennecott worker killed by toxic gas </w:t>
      </w:r>
      <w:hyperlink r:id="rId7" w:history="1">
        <w:r w:rsidRPr="00B94B45">
          <w:rPr>
            <w:rStyle w:val="Hyperlink"/>
            <w:rFonts w:ascii="Times New Roman" w:hAnsi="Times New Roman" w:cs="Times New Roman"/>
          </w:rPr>
          <w:t>https://gephardtdaily.com/local/toxic-gas-kills-worker-at-rio-tinto-kennecott/</w:t>
        </w:r>
      </w:hyperlink>
      <w:r>
        <w:rPr>
          <w:rFonts w:ascii="Times New Roman" w:hAnsi="Times New Roman" w:cs="Times New Roman"/>
        </w:rPr>
        <w:t xml:space="preserve"> .</w:t>
      </w:r>
    </w:p>
  </w:footnote>
  <w:footnote w:id="32">
    <w:p w14:paraId="4C06818F" w14:textId="77777777" w:rsidR="00C57989" w:rsidRPr="00D764A4" w:rsidRDefault="00C57989" w:rsidP="00C57989">
      <w:pPr>
        <w:pStyle w:val="FootnoteText"/>
        <w:rPr>
          <w:rFonts w:ascii="Times New Roman" w:hAnsi="Times New Roman" w:cs="Times New Roman"/>
        </w:rPr>
      </w:pPr>
      <w:r w:rsidRPr="00D764A4">
        <w:rPr>
          <w:rStyle w:val="FootnoteReference"/>
          <w:rFonts w:ascii="Times New Roman" w:hAnsi="Times New Roman" w:cs="Times New Roman"/>
        </w:rPr>
        <w:footnoteRef/>
      </w:r>
      <w:r w:rsidRPr="00D764A4">
        <w:rPr>
          <w:rFonts w:ascii="Times New Roman" w:hAnsi="Times New Roman" w:cs="Times New Roman"/>
        </w:rPr>
        <w:t xml:space="preserve"> West Texas Gas subsidiaries fined for Big Lake leak, fatal accident </w:t>
      </w:r>
      <w:hyperlink r:id="rId8" w:history="1">
        <w:r w:rsidRPr="00B94B45">
          <w:rPr>
            <w:rStyle w:val="Hyperlink"/>
            <w:rFonts w:ascii="Times New Roman" w:hAnsi="Times New Roman" w:cs="Times New Roman"/>
          </w:rPr>
          <w:t>https://www.gosanangelo.com/story/news/crime/2021/10/01/west-texas-gas-company-settles-big-lake-chemical-leak-fatal-accident/5954744001/</w:t>
        </w:r>
      </w:hyperlink>
      <w:r>
        <w:rPr>
          <w:rFonts w:ascii="Times New Roman" w:hAnsi="Times New Roman" w:cs="Times New Roman"/>
        </w:rPr>
        <w:t xml:space="preserve"> .</w:t>
      </w:r>
    </w:p>
  </w:footnote>
  <w:footnote w:id="33">
    <w:p w14:paraId="30A535E0" w14:textId="77777777" w:rsidR="00C57989" w:rsidRPr="00D764A4" w:rsidRDefault="00C57989" w:rsidP="00C57989">
      <w:pPr>
        <w:pStyle w:val="FootnoteText"/>
        <w:rPr>
          <w:rFonts w:ascii="Times New Roman" w:hAnsi="Times New Roman" w:cs="Times New Roman"/>
        </w:rPr>
      </w:pPr>
      <w:r w:rsidRPr="00D764A4">
        <w:rPr>
          <w:rStyle w:val="FootnoteReference"/>
          <w:rFonts w:ascii="Times New Roman" w:hAnsi="Times New Roman" w:cs="Times New Roman"/>
        </w:rPr>
        <w:footnoteRef/>
      </w:r>
      <w:r w:rsidRPr="00D764A4">
        <w:rPr>
          <w:rFonts w:ascii="Times New Roman" w:hAnsi="Times New Roman" w:cs="Times New Roman"/>
        </w:rPr>
        <w:t xml:space="preserve"> One dead, multiple injured in Statesville ammonia leak </w:t>
      </w:r>
      <w:hyperlink r:id="rId9" w:history="1">
        <w:r w:rsidRPr="00B94B45">
          <w:rPr>
            <w:rStyle w:val="Hyperlink"/>
            <w:rFonts w:ascii="Times New Roman" w:hAnsi="Times New Roman" w:cs="Times New Roman"/>
          </w:rPr>
          <w:t>https://www.wcnc.com/article/news/local/statesville-ammonia-hazmat-spill/275-7936486e-03fc-40e0-96b8-ccdbc499bdb4#</w:t>
        </w:r>
      </w:hyperlink>
      <w:r>
        <w:rPr>
          <w:rFonts w:ascii="Times New Roman" w:hAnsi="Times New Roman" w:cs="Times New Roman"/>
        </w:rPr>
        <w:t xml:space="preserve"> .</w:t>
      </w:r>
    </w:p>
  </w:footnote>
  <w:footnote w:id="34">
    <w:p w14:paraId="4D108D91" w14:textId="77777777" w:rsidR="00C57989" w:rsidRPr="00D764A4" w:rsidRDefault="00C57989" w:rsidP="00C57989">
      <w:pPr>
        <w:pStyle w:val="FootnoteText"/>
        <w:rPr>
          <w:rFonts w:ascii="Times New Roman" w:hAnsi="Times New Roman" w:cs="Times New Roman"/>
        </w:rPr>
      </w:pPr>
      <w:r w:rsidRPr="00D764A4">
        <w:rPr>
          <w:rStyle w:val="FootnoteReference"/>
          <w:rFonts w:ascii="Times New Roman" w:hAnsi="Times New Roman" w:cs="Times New Roman"/>
        </w:rPr>
        <w:footnoteRef/>
      </w:r>
      <w:r w:rsidRPr="00D764A4">
        <w:rPr>
          <w:rFonts w:ascii="Times New Roman" w:hAnsi="Times New Roman" w:cs="Times New Roman"/>
        </w:rPr>
        <w:t xml:space="preserve">Several Injured in Big Spring, TX, Ammonia Leak Accident </w:t>
      </w:r>
      <w:hyperlink r:id="rId10" w:history="1">
        <w:r w:rsidRPr="00AB778D">
          <w:rPr>
            <w:rStyle w:val="Hyperlink"/>
            <w:rFonts w:ascii="Times New Roman" w:eastAsia="Calibri" w:hAnsi="Times New Roman" w:cs="Times New Roman"/>
            <w:lang w:bidi="en-US"/>
          </w:rPr>
          <w:t>https://www.texas-wrongful-death-lawyer.net/79294/water-treatment-ammonia-leak-accident-big-spring-tx.htm</w:t>
        </w:r>
      </w:hyperlink>
      <w:r>
        <w:rPr>
          <w:rStyle w:val="Heading3Char"/>
          <w:rFonts w:ascii="Times New Roman" w:hAnsi="Times New Roman" w:cs="Times New Roman"/>
          <w:b w:val="0"/>
          <w:sz w:val="20"/>
          <w:szCs w:val="20"/>
        </w:rPr>
        <w:t xml:space="preserve"> .</w:t>
      </w:r>
      <w:r>
        <w:rPr>
          <w:rStyle w:val="Heading3Char"/>
          <w:rFonts w:ascii="Times New Roman" w:hAnsi="Times New Roman" w:cs="Times New Roman"/>
          <w:b w:val="0"/>
          <w:bCs w:val="0"/>
          <w:sz w:val="20"/>
          <w:szCs w:val="20"/>
        </w:rPr>
        <w:t xml:space="preserve"> </w:t>
      </w:r>
    </w:p>
  </w:footnote>
  <w:footnote w:id="35">
    <w:p w14:paraId="0F13E08D" w14:textId="77777777" w:rsidR="00C57989" w:rsidRPr="00FC2D52" w:rsidRDefault="00C57989" w:rsidP="00C57989">
      <w:pPr>
        <w:pStyle w:val="FootnoteText"/>
        <w:rPr>
          <w:rFonts w:ascii="Times New Roman" w:hAnsi="Times New Roman" w:cs="Times New Roman"/>
        </w:rPr>
      </w:pPr>
      <w:r w:rsidRPr="00D764A4">
        <w:rPr>
          <w:rStyle w:val="FootnoteReference"/>
          <w:rFonts w:ascii="Times New Roman" w:hAnsi="Times New Roman" w:cs="Times New Roman"/>
        </w:rPr>
        <w:footnoteRef/>
      </w:r>
      <w:r w:rsidRPr="00D764A4">
        <w:rPr>
          <w:rFonts w:ascii="Times New Roman" w:hAnsi="Times New Roman" w:cs="Times New Roman"/>
        </w:rPr>
        <w:t xml:space="preserve"> After Two Major Refinery Accidents, Valero and Benicia Take Steps To Work Better Together </w:t>
      </w:r>
      <w:hyperlink r:id="rId11" w:history="1">
        <w:r w:rsidRPr="00B94B45">
          <w:rPr>
            <w:rStyle w:val="Hyperlink"/>
            <w:rFonts w:ascii="Times New Roman" w:hAnsi="Times New Roman" w:cs="Times New Roman"/>
          </w:rPr>
          <w:t>https://www.kqed.org/news/11756861/after-two-major-refinery-accidents-valero-and-benicia-take-steps-to-work-better-together</w:t>
        </w:r>
      </w:hyperlink>
      <w:r>
        <w:rPr>
          <w:rFonts w:ascii="Times New Roman" w:hAnsi="Times New Roman" w:cs="Times New Roman"/>
        </w:rPr>
        <w:t xml:space="preserve"> .</w:t>
      </w:r>
    </w:p>
  </w:footnote>
  <w:footnote w:id="36">
    <w:p w14:paraId="089A31C8" w14:textId="77777777" w:rsidR="00C57989" w:rsidRPr="00EA2A3A" w:rsidRDefault="00C57989" w:rsidP="00C57989">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PC Group Explosion and Fire https://www.csb.gov/tpc-group-explosion-and-fire/.</w:t>
      </w:r>
    </w:p>
  </w:footnote>
  <w:footnote w:id="37">
    <w:p w14:paraId="1E746DBF" w14:textId="77777777" w:rsidR="00C57989" w:rsidRPr="00FC2D52" w:rsidRDefault="00C57989" w:rsidP="00C57989">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https://www.kqed.org/news/11756861/after-two-major-refinery-accidents-valero-and-benicia-take-steps-to-work-better-together.</w:t>
      </w:r>
    </w:p>
  </w:footnote>
  <w:footnote w:id="38">
    <w:p w14:paraId="5664288C" w14:textId="77777777" w:rsidR="00BE4E59" w:rsidRPr="00035E0B" w:rsidRDefault="00BE4E59" w:rsidP="00BE4E59">
      <w:pPr>
        <w:pStyle w:val="FootnoteText"/>
        <w:rPr>
          <w:rFonts w:ascii="Times New Roman" w:hAnsi="Times New Roman" w:cs="Times New Roman"/>
        </w:rPr>
      </w:pPr>
      <w:r w:rsidRPr="00035E0B">
        <w:rPr>
          <w:rStyle w:val="FootnoteReference"/>
          <w:rFonts w:ascii="Times New Roman" w:hAnsi="Times New Roman" w:cs="Times New Roman"/>
        </w:rPr>
        <w:footnoteRef/>
      </w:r>
      <w:r w:rsidRPr="00035E0B">
        <w:rPr>
          <w:rFonts w:ascii="Times New Roman" w:hAnsi="Times New Roman" w:cs="Times New Roman"/>
        </w:rPr>
        <w:t xml:space="preserve"> </w:t>
      </w:r>
      <w:hyperlink r:id="rId12">
        <w:r w:rsidRPr="00EA2A3A">
          <w:rPr>
            <w:rFonts w:ascii="Times New Roman" w:hAnsi="Times New Roman" w:cs="Times New Roman"/>
            <w:color w:val="0462C1"/>
            <w:u w:val="single" w:color="0462C1"/>
          </w:rPr>
          <w:t>http://hcupnet.ahrq.gov.</w:t>
        </w:r>
      </w:hyperlink>
    </w:p>
  </w:footnote>
  <w:footnote w:id="39">
    <w:p w14:paraId="5B745761" w14:textId="77777777" w:rsidR="00BE4E59" w:rsidRPr="00FC2D52" w:rsidRDefault="00BE4E59" w:rsidP="00BE4E59">
      <w:pPr>
        <w:pStyle w:val="FootnoteText"/>
        <w:rPr>
          <w:rFonts w:ascii="Times New Roman" w:hAnsi="Times New Roman" w:cs="Times New Roman"/>
        </w:rPr>
      </w:pPr>
      <w:r w:rsidRPr="00035E0B">
        <w:rPr>
          <w:rStyle w:val="FootnoteReference"/>
          <w:rFonts w:ascii="Times New Roman" w:hAnsi="Times New Roman" w:cs="Times New Roman"/>
        </w:rPr>
        <w:footnoteRef/>
      </w:r>
      <w:r w:rsidRPr="00035E0B">
        <w:rPr>
          <w:rFonts w:ascii="Times New Roman" w:hAnsi="Times New Roman" w:cs="Times New Roman"/>
        </w:rPr>
        <w:t xml:space="preserve"> </w:t>
      </w:r>
      <w:hyperlink r:id="rId13" w:history="1">
        <w:r w:rsidRPr="008D3F03">
          <w:rPr>
            <w:rStyle w:val="Hyperlink"/>
            <w:rFonts w:ascii="Times New Roman" w:hAnsi="Times New Roman" w:cs="Times New Roman"/>
          </w:rPr>
          <w:t>https://www.bls.gov/oes/2020/may/oes_nat.htm</w:t>
        </w:r>
      </w:hyperlink>
      <w:r>
        <w:rPr>
          <w:rFonts w:ascii="Times New Roman" w:hAnsi="Times New Roman" w:cs="Times New Roman"/>
        </w:rPr>
        <w:t>.</w:t>
      </w:r>
    </w:p>
  </w:footnote>
  <w:footnote w:id="40">
    <w:p w14:paraId="1948F9E2" w14:textId="77777777" w:rsidR="00BE4E59" w:rsidRPr="00E679EE" w:rsidRDefault="00BE4E59" w:rsidP="00BE4E59">
      <w:pPr>
        <w:pStyle w:val="FootnoteText"/>
        <w:rPr>
          <w:rFonts w:ascii="Times New Roman" w:hAnsi="Times New Roman" w:cs="Times New Roman"/>
        </w:rPr>
      </w:pPr>
      <w:r w:rsidRPr="00E679EE">
        <w:rPr>
          <w:rStyle w:val="FootnoteReference"/>
          <w:rFonts w:ascii="Times New Roman" w:hAnsi="Times New Roman" w:cs="Times New Roman"/>
        </w:rPr>
        <w:footnoteRef/>
      </w:r>
      <w:r w:rsidRPr="00E679EE">
        <w:rPr>
          <w:rFonts w:ascii="Times New Roman" w:hAnsi="Times New Roman" w:cs="Times New Roman"/>
        </w:rPr>
        <w:t xml:space="preserve"> Freeman III, A.M. 2003. The Measurement</w:t>
      </w:r>
      <w:r>
        <w:rPr>
          <w:rFonts w:ascii="Times New Roman" w:hAnsi="Times New Roman" w:cs="Times New Roman"/>
        </w:rPr>
        <w:t xml:space="preserve"> of Environmental and Resource Values: Theory and Methods. 2</w:t>
      </w:r>
      <w:r w:rsidRPr="00E679EE">
        <w:rPr>
          <w:rFonts w:ascii="Times New Roman" w:hAnsi="Times New Roman" w:cs="Times New Roman"/>
          <w:vertAlign w:val="superscript"/>
        </w:rPr>
        <w:t>nd</w:t>
      </w:r>
      <w:r>
        <w:rPr>
          <w:rFonts w:ascii="Times New Roman" w:hAnsi="Times New Roman" w:cs="Times New Roman"/>
        </w:rPr>
        <w:t xml:space="preserve"> Ed. Washington, D.C.: Resources for the Future.</w:t>
      </w:r>
    </w:p>
  </w:footnote>
  <w:footnote w:id="41">
    <w:p w14:paraId="1FA71E2F" w14:textId="77777777" w:rsidR="00BE4E59" w:rsidRPr="00035E0B" w:rsidRDefault="00BE4E59" w:rsidP="00BE4E59">
      <w:pPr>
        <w:pStyle w:val="FootnoteText"/>
        <w:rPr>
          <w:rFonts w:ascii="Times New Roman" w:hAnsi="Times New Roman" w:cs="Times New Roman"/>
        </w:rPr>
      </w:pPr>
      <w:r w:rsidRPr="00035E0B">
        <w:rPr>
          <w:rStyle w:val="FootnoteReference"/>
          <w:rFonts w:ascii="Times New Roman" w:hAnsi="Times New Roman" w:cs="Times New Roman"/>
        </w:rPr>
        <w:footnoteRef/>
      </w:r>
      <w:r w:rsidRPr="00035E0B">
        <w:rPr>
          <w:rFonts w:ascii="Times New Roman" w:hAnsi="Times New Roman" w:cs="Times New Roman"/>
        </w:rPr>
        <w:t xml:space="preserve"> </w:t>
      </w:r>
      <w:r w:rsidRPr="00AE3FE2">
        <w:rPr>
          <w:rFonts w:ascii="Times New Roman" w:hAnsi="Times New Roman" w:cs="Times New Roman"/>
        </w:rPr>
        <w:t xml:space="preserve">BLS data estimate the mean hourly wage at $27.35 across all workers. </w:t>
      </w:r>
      <w:hyperlink r:id="rId14">
        <w:r w:rsidRPr="00AE3FE2">
          <w:rPr>
            <w:rFonts w:ascii="Times New Roman" w:hAnsi="Times New Roman" w:cs="Times New Roman"/>
            <w:color w:val="0462C1"/>
            <w:u w:val="single" w:color="0462C1"/>
          </w:rPr>
          <w:t>http://www.bls.gov/news.release/ecec.t01.htm</w:t>
        </w:r>
      </w:hyperlink>
      <w:r w:rsidRPr="00AE3FE2">
        <w:rPr>
          <w:rFonts w:ascii="Times New Roman" w:hAnsi="Times New Roman" w:cs="Times New Roman"/>
          <w:color w:val="0462C1"/>
          <w:u w:val="single" w:color="0462C1"/>
        </w:rPr>
        <w:t>.</w:t>
      </w:r>
    </w:p>
  </w:footnote>
  <w:footnote w:id="42">
    <w:p w14:paraId="693DA4B3" w14:textId="77777777" w:rsidR="00BE4E59" w:rsidRPr="00035E0B" w:rsidRDefault="00BE4E59" w:rsidP="00BE4E59">
      <w:pPr>
        <w:pStyle w:val="FootnoteText"/>
        <w:rPr>
          <w:rFonts w:ascii="Times New Roman" w:hAnsi="Times New Roman" w:cs="Times New Roman"/>
        </w:rPr>
      </w:pPr>
      <w:r w:rsidRPr="00035E0B">
        <w:rPr>
          <w:rStyle w:val="FootnoteReference"/>
          <w:rFonts w:ascii="Times New Roman" w:hAnsi="Times New Roman" w:cs="Times New Roman"/>
        </w:rPr>
        <w:footnoteRef/>
      </w:r>
      <w:r w:rsidRPr="00035E0B">
        <w:rPr>
          <w:rFonts w:ascii="Times New Roman" w:hAnsi="Times New Roman" w:cs="Times New Roman"/>
        </w:rPr>
        <w:t xml:space="preserve"> </w:t>
      </w:r>
      <w:r w:rsidRPr="00AE3FE2">
        <w:rPr>
          <w:rFonts w:ascii="Times New Roman" w:hAnsi="Times New Roman" w:cs="Times New Roman"/>
        </w:rPr>
        <w:t xml:space="preserve">The sheltering length assumption is consistent with that used in the </w:t>
      </w:r>
      <w:r>
        <w:rPr>
          <w:rFonts w:ascii="Times New Roman" w:hAnsi="Times New Roman" w:cs="Times New Roman"/>
        </w:rPr>
        <w:t>a</w:t>
      </w:r>
      <w:r w:rsidRPr="00AE3FE2">
        <w:rPr>
          <w:rFonts w:ascii="Times New Roman" w:hAnsi="Times New Roman" w:cs="Times New Roman"/>
        </w:rPr>
        <w:t>mendments rule RIA. In addition</w:t>
      </w:r>
      <w:r>
        <w:rPr>
          <w:rFonts w:ascii="Times New Roman" w:hAnsi="Times New Roman" w:cs="Times New Roman"/>
        </w:rPr>
        <w:t>,</w:t>
      </w:r>
      <w:r w:rsidRPr="00AE3FE2">
        <w:rPr>
          <w:rFonts w:ascii="Times New Roman" w:hAnsi="Times New Roman" w:cs="Times New Roman"/>
        </w:rPr>
        <w:t xml:space="preserve"> CDC suggests sheltering in place in response to a chemical accident will be “a few hours” but recognizes that every emergency is different. </w:t>
      </w:r>
      <w:hyperlink r:id="rId15" w:history="1">
        <w:r w:rsidRPr="00313D06">
          <w:rPr>
            <w:rStyle w:val="Hyperlink"/>
            <w:rFonts w:ascii="Times New Roman" w:hAnsi="Times New Roman" w:cs="Times New Roman"/>
          </w:rPr>
          <w:t>https://emergency.cdc.gov/planning/Shelteringfacts.asp</w:t>
        </w:r>
      </w:hyperlink>
      <w:r>
        <w:rPr>
          <w:rFonts w:ascii="Times New Roman" w:hAnsi="Times New Roman" w:cs="Times New Roman"/>
        </w:rPr>
        <w:t>.</w:t>
      </w:r>
    </w:p>
  </w:footnote>
  <w:footnote w:id="43">
    <w:p w14:paraId="7CE446A2" w14:textId="77777777" w:rsidR="00BE4E59" w:rsidRPr="00FC2D52" w:rsidRDefault="00BE4E59" w:rsidP="00BE4E59">
      <w:pPr>
        <w:pStyle w:val="FootnoteText"/>
        <w:rPr>
          <w:rFonts w:ascii="Times New Roman" w:hAnsi="Times New Roman" w:cs="Times New Roman"/>
        </w:rPr>
      </w:pPr>
      <w:r w:rsidRPr="00035E0B">
        <w:rPr>
          <w:rStyle w:val="FootnoteReference"/>
          <w:rFonts w:ascii="Times New Roman" w:hAnsi="Times New Roman" w:cs="Times New Roman"/>
        </w:rPr>
        <w:footnoteRef/>
      </w:r>
      <w:r w:rsidRPr="00035E0B">
        <w:rPr>
          <w:rFonts w:ascii="Times New Roman" w:hAnsi="Times New Roman" w:cs="Times New Roman"/>
        </w:rPr>
        <w:t xml:space="preserve"> </w:t>
      </w:r>
      <w:r w:rsidRPr="00AE3FE2">
        <w:rPr>
          <w:rFonts w:ascii="Times New Roman" w:hAnsi="Times New Roman" w:cs="Times New Roman"/>
        </w:rPr>
        <w:t xml:space="preserve">The evacuation length is assumption is consistent with that used in the </w:t>
      </w:r>
      <w:r>
        <w:rPr>
          <w:rFonts w:ascii="Times New Roman" w:hAnsi="Times New Roman" w:cs="Times New Roman"/>
        </w:rPr>
        <w:t>a</w:t>
      </w:r>
      <w:r w:rsidRPr="00AE3FE2">
        <w:rPr>
          <w:rFonts w:ascii="Times New Roman" w:hAnsi="Times New Roman" w:cs="Times New Roman"/>
        </w:rPr>
        <w:t xml:space="preserve">mendments rule RIA. CDC data has previously suggested that evacuations can last from 0.5 hours to 30 days, with a median duration of 2 hours. Another study by Kim and Cho (2020) report that evacuations are completed in 5 hours </w:t>
      </w:r>
      <w:hyperlink r:id="rId16" w:history="1">
        <w:r w:rsidRPr="00B94B45">
          <w:rPr>
            <w:rStyle w:val="Hyperlink"/>
            <w:rFonts w:ascii="Times New Roman" w:hAnsi="Times New Roman" w:cs="Times New Roman"/>
          </w:rPr>
          <w:t>https://pubmed.ncbi.nlm.nih.gov/33339315/</w:t>
        </w:r>
      </w:hyperlink>
      <w:r>
        <w:rPr>
          <w:rFonts w:ascii="Times New Roman" w:hAnsi="Times New Roman" w:cs="Times New Roman"/>
        </w:rPr>
        <w:t>.</w:t>
      </w:r>
    </w:p>
  </w:footnote>
  <w:footnote w:id="44">
    <w:p w14:paraId="5C76AC5C" w14:textId="77777777" w:rsidR="00BE4E59" w:rsidRPr="00C8134E" w:rsidRDefault="00BE4E59" w:rsidP="00BE4E59">
      <w:pPr>
        <w:pStyle w:val="FootnoteText"/>
      </w:pPr>
      <w:r w:rsidRPr="008A1BD5">
        <w:rPr>
          <w:rStyle w:val="FootnoteReference"/>
          <w:rFonts w:ascii="Times New Roman" w:hAnsi="Times New Roman" w:cs="Times New Roman"/>
        </w:rPr>
        <w:footnoteRef/>
      </w:r>
      <w:r w:rsidRPr="008A1BD5">
        <w:rPr>
          <w:rFonts w:ascii="Times New Roman" w:hAnsi="Times New Roman" w:cs="Times New Roman"/>
        </w:rPr>
        <w:t xml:space="preserve"> For discussion of these estimates, see Chapter 6 in the </w:t>
      </w:r>
      <w:proofErr w:type="spellStart"/>
      <w:r w:rsidRPr="008A1BD5" w:rsidDel="002D1045">
        <w:rPr>
          <w:rFonts w:ascii="Times New Roman" w:hAnsi="Times New Roman" w:cs="Times New Roman"/>
        </w:rPr>
        <w:t>A</w:t>
      </w:r>
      <w:r>
        <w:rPr>
          <w:rFonts w:ascii="Times New Roman" w:hAnsi="Times New Roman" w:cs="Times New Roman"/>
        </w:rPr>
        <w:t>a</w:t>
      </w:r>
      <w:r w:rsidRPr="008A1BD5">
        <w:rPr>
          <w:rFonts w:ascii="Times New Roman" w:hAnsi="Times New Roman" w:cs="Times New Roman"/>
        </w:rPr>
        <w:t>mendments</w:t>
      </w:r>
      <w:proofErr w:type="spellEnd"/>
      <w:r>
        <w:rPr>
          <w:rFonts w:ascii="Times New Roman" w:hAnsi="Times New Roman" w:cs="Times New Roman"/>
        </w:rPr>
        <w:t xml:space="preserve"> </w:t>
      </w:r>
      <w:proofErr w:type="spellStart"/>
      <w:r w:rsidDel="002D1045">
        <w:rPr>
          <w:rFonts w:ascii="Times New Roman" w:hAnsi="Times New Roman" w:cs="Times New Roman"/>
        </w:rPr>
        <w:t>R</w:t>
      </w:r>
      <w:r>
        <w:rPr>
          <w:rFonts w:ascii="Times New Roman" w:hAnsi="Times New Roman" w:cs="Times New Roman"/>
        </w:rPr>
        <w:t>rule</w:t>
      </w:r>
      <w:proofErr w:type="spellEnd"/>
      <w:r w:rsidRPr="004A3AEC">
        <w:rPr>
          <w:rFonts w:ascii="Times New Roman" w:hAnsi="Times New Roman" w:cs="Times New Roman"/>
        </w:rPr>
        <w:t xml:space="preserve"> RIA. </w:t>
      </w:r>
      <w:r w:rsidRPr="000234FF">
        <w:rPr>
          <w:rFonts w:ascii="Times New Roman" w:hAnsi="Times New Roman" w:cs="Times New Roman"/>
          <w:i/>
          <w:iCs/>
        </w:rPr>
        <w:t>Regulatory Impact Analysis</w:t>
      </w:r>
      <w:r>
        <w:rPr>
          <w:rFonts w:ascii="Times New Roman" w:hAnsi="Times New Roman" w:cs="Times New Roman"/>
        </w:rPr>
        <w:t xml:space="preserve"> </w:t>
      </w:r>
      <w:r w:rsidRPr="00FE38D3">
        <w:rPr>
          <w:rFonts w:ascii="Times New Roman" w:hAnsi="Times New Roman" w:cs="Times New Roman"/>
          <w:i/>
          <w:iCs/>
        </w:rPr>
        <w:t>Accidental Release Prevention Requirements: Risk Management Programs Under the Clean Air Act, Section 112(r)(7)</w:t>
      </w:r>
      <w:r>
        <w:rPr>
          <w:rFonts w:ascii="Times New Roman" w:hAnsi="Times New Roman" w:cs="Times New Roman"/>
          <w:i/>
          <w:iCs/>
        </w:rPr>
        <w:t xml:space="preserve">. </w:t>
      </w:r>
      <w:r>
        <w:rPr>
          <w:rFonts w:ascii="Times New Roman" w:hAnsi="Times New Roman" w:cs="Times New Roman"/>
        </w:rPr>
        <w:t>U.S. Environmental Protection Agency (EPA), Office of Land and Emergency management (OLEM), Office of Emergency Management (OEM) 1200 Pennsylvania Ave., NW (Mail Code 5104A), Washington, DC 20460. February 14, 2016. Also see Chapter 6 in the Reconsideration Rule RIA</w:t>
      </w:r>
      <w:r w:rsidRPr="00C8134E">
        <w:rPr>
          <w:rFonts w:ascii="Times New Roman" w:hAnsi="Times New Roman" w:cs="Times New Roman"/>
          <w:i/>
          <w:iCs/>
        </w:rPr>
        <w:t>, Regulatory Impact Analysis Reconsideration of the 2017 Amendments to the Accidental Release Prevention Requirements: Risk Management Programs Under the Clean Air Act, Section 112(r)(7)</w:t>
      </w:r>
      <w:proofErr w:type="gramStart"/>
      <w:r>
        <w:rPr>
          <w:rFonts w:ascii="Times New Roman" w:hAnsi="Times New Roman" w:cs="Times New Roman"/>
          <w:i/>
          <w:iCs/>
        </w:rPr>
        <w:t>,</w:t>
      </w:r>
      <w:r>
        <w:rPr>
          <w:rFonts w:ascii="Times New Roman" w:hAnsi="Times New Roman" w:cs="Times New Roman"/>
        </w:rPr>
        <w:t xml:space="preserve"> </w:t>
      </w:r>
      <w:r w:rsidRPr="00FE38D3">
        <w:rPr>
          <w:rFonts w:ascii="Times New Roman" w:hAnsi="Times New Roman" w:cs="Times New Roman"/>
          <w:i/>
          <w:iCs/>
        </w:rPr>
        <w:t>)</w:t>
      </w:r>
      <w:proofErr w:type="gramEnd"/>
      <w:r>
        <w:rPr>
          <w:rFonts w:ascii="Times New Roman" w:hAnsi="Times New Roman" w:cs="Times New Roman"/>
          <w:i/>
          <w:iCs/>
        </w:rPr>
        <w:t xml:space="preserve">. </w:t>
      </w:r>
      <w:r>
        <w:rPr>
          <w:rFonts w:ascii="Times New Roman" w:hAnsi="Times New Roman" w:cs="Times New Roman"/>
        </w:rPr>
        <w:t>U.S. Environmental Protection Agency (EPA), Office of Land and Emergency management (OLEM), Office of Emergency Management (OEM) 1200 Pennsylvania Ave., NW (Mail Code 5104A), Washington, DC 20460. November 18, 2019.</w:t>
      </w:r>
    </w:p>
  </w:footnote>
  <w:footnote w:id="45">
    <w:p w14:paraId="37D5A33F" w14:textId="5E9D9931" w:rsidR="00B978B5" w:rsidRPr="006D46CA" w:rsidRDefault="00B978B5" w:rsidP="006D46CA">
      <w:pPr>
        <w:spacing w:after="0" w:line="240" w:lineRule="auto"/>
        <w:rPr>
          <w:rFonts w:ascii="Times New Roman" w:hAnsi="Times New Roman" w:cs="Times New Roman"/>
          <w:sz w:val="20"/>
          <w:szCs w:val="20"/>
        </w:rPr>
      </w:pPr>
      <w:r w:rsidRPr="006D46CA">
        <w:rPr>
          <w:rStyle w:val="FootnoteReference"/>
          <w:rFonts w:ascii="Times New Roman" w:hAnsi="Times New Roman" w:cs="Times New Roman"/>
          <w:sz w:val="20"/>
          <w:szCs w:val="20"/>
        </w:rPr>
        <w:footnoteRef/>
      </w:r>
      <w:r w:rsidRPr="006D46CA">
        <w:rPr>
          <w:rFonts w:ascii="Times New Roman" w:hAnsi="Times New Roman" w:cs="Times New Roman"/>
          <w:sz w:val="20"/>
          <w:szCs w:val="20"/>
        </w:rPr>
        <w:t xml:space="preserve"> See</w:t>
      </w:r>
      <w:r w:rsidR="00752B6B">
        <w:rPr>
          <w:rFonts w:ascii="Times New Roman" w:hAnsi="Times New Roman" w:cs="Times New Roman"/>
          <w:sz w:val="20"/>
          <w:szCs w:val="20"/>
        </w:rPr>
        <w:t xml:space="preserve"> </w:t>
      </w:r>
      <w:hyperlink r:id="rId17" w:history="1">
        <w:r w:rsidR="00752B6B" w:rsidRPr="008D3F03">
          <w:rPr>
            <w:rStyle w:val="Hyperlink"/>
            <w:rFonts w:ascii="Times New Roman" w:hAnsi="Times New Roman" w:cs="Times New Roman"/>
            <w:sz w:val="20"/>
            <w:szCs w:val="20"/>
          </w:rPr>
          <w:t>https://www.bls.gov/oes/2020/may/oes_nat.htm</w:t>
        </w:r>
      </w:hyperlink>
      <w:r w:rsidR="00752B6B">
        <w:rPr>
          <w:rFonts w:ascii="Times New Roman" w:hAnsi="Times New Roman" w:cs="Times New Roman"/>
          <w:sz w:val="20"/>
          <w:szCs w:val="20"/>
        </w:rPr>
        <w:t>.</w:t>
      </w:r>
    </w:p>
  </w:footnote>
  <w:footnote w:id="46">
    <w:p w14:paraId="44ABFB37" w14:textId="0056AC4D" w:rsidR="00F55CD4" w:rsidRPr="006B33FC" w:rsidRDefault="00F55CD4" w:rsidP="002A7768">
      <w:pPr>
        <w:pStyle w:val="FootnoteText"/>
        <w:rPr>
          <w:rFonts w:ascii="Times New Roman" w:hAnsi="Times New Roman" w:cs="Times New Roman"/>
        </w:rPr>
      </w:pPr>
      <w:r w:rsidRPr="006B33FC">
        <w:rPr>
          <w:rStyle w:val="FootnoteReference"/>
          <w:rFonts w:ascii="Times New Roman" w:hAnsi="Times New Roman" w:cs="Times New Roman"/>
        </w:rPr>
        <w:footnoteRef/>
      </w:r>
      <w:r w:rsidRPr="006B33FC">
        <w:rPr>
          <w:rFonts w:ascii="Times New Roman" w:hAnsi="Times New Roman" w:cs="Times New Roman"/>
        </w:rPr>
        <w:t xml:space="preserve"> Bureau of Labor Statistics Employer Costs for Employee Compensation. For June 2020, Table 1 shows that for civilian workers, on average for the nation, fringe benefits were 31.5% of total compensation, and 46.0% of wages.</w:t>
      </w:r>
    </w:p>
  </w:footnote>
  <w:footnote w:id="47">
    <w:p w14:paraId="7D6C0C73" w14:textId="69225B61" w:rsidR="00C5384D" w:rsidRPr="00F76659" w:rsidRDefault="00C5384D" w:rsidP="002A7768">
      <w:pPr>
        <w:spacing w:after="0"/>
        <w:rPr>
          <w:rFonts w:ascii="Times New Roman" w:hAnsi="Times New Roman" w:cs="Times New Roman"/>
          <w:sz w:val="20"/>
          <w:szCs w:val="20"/>
        </w:rPr>
      </w:pPr>
      <w:r w:rsidRPr="006B33FC">
        <w:rPr>
          <w:rStyle w:val="FootnoteReference"/>
          <w:rFonts w:ascii="Times New Roman" w:hAnsi="Times New Roman" w:cs="Times New Roman"/>
          <w:sz w:val="20"/>
          <w:szCs w:val="20"/>
        </w:rPr>
        <w:footnoteRef/>
      </w:r>
      <w:r w:rsidR="00470D0C" w:rsidRPr="006B33FC">
        <w:rPr>
          <w:rFonts w:ascii="Times New Roman" w:hAnsi="Times New Roman" w:cs="Times New Roman"/>
          <w:sz w:val="20"/>
          <w:szCs w:val="20"/>
        </w:rPr>
        <w:t xml:space="preserve"> </w:t>
      </w:r>
      <w:r w:rsidR="0020448F" w:rsidRPr="006B33FC">
        <w:rPr>
          <w:rFonts w:ascii="Times New Roman" w:hAnsi="Times New Roman" w:cs="Times New Roman"/>
          <w:sz w:val="20"/>
          <w:szCs w:val="20"/>
        </w:rPr>
        <w:t xml:space="preserve">For details explaining this approach, please see </w:t>
      </w:r>
      <w:r w:rsidR="00F15FC0" w:rsidRPr="006B33FC">
        <w:rPr>
          <w:rFonts w:ascii="Times New Roman" w:hAnsi="Times New Roman" w:cs="Times New Roman"/>
          <w:sz w:val="20"/>
          <w:szCs w:val="20"/>
        </w:rPr>
        <w:t>Handbook on Valuing Changes in Time Use Induced by Regulatory Requirements and Other EPA Actions, National Center for Environmental Economics, EPA-236-B-15-001 December 9, 2020</w:t>
      </w:r>
      <w:r w:rsidR="00595052" w:rsidRPr="006B33FC">
        <w:rPr>
          <w:rFonts w:ascii="Times New Roman" w:hAnsi="Times New Roman" w:cs="Times New Roman"/>
          <w:sz w:val="20"/>
          <w:szCs w:val="20"/>
        </w:rPr>
        <w:t>.</w:t>
      </w:r>
    </w:p>
  </w:footnote>
  <w:footnote w:id="48">
    <w:p w14:paraId="31824DC5" w14:textId="77777777" w:rsidR="00900B2C" w:rsidRPr="004E5F16" w:rsidRDefault="00900B2C" w:rsidP="00900B2C">
      <w:pPr>
        <w:spacing w:after="0" w:line="240" w:lineRule="auto"/>
        <w:rPr>
          <w:rFonts w:ascii="Times New Roman" w:hAnsi="Times New Roman" w:cs="Times New Roman"/>
          <w:sz w:val="20"/>
          <w:szCs w:val="20"/>
        </w:rPr>
      </w:pPr>
      <w:r w:rsidRPr="004E5F16">
        <w:rPr>
          <w:rFonts w:ascii="Times New Roman" w:hAnsi="Times New Roman" w:cs="Times New Roman"/>
          <w:sz w:val="20"/>
          <w:szCs w:val="20"/>
          <w:vertAlign w:val="superscript"/>
        </w:rPr>
        <w:footnoteRef/>
      </w:r>
      <w:r w:rsidRPr="004E5F16">
        <w:rPr>
          <w:rFonts w:ascii="Times New Roman" w:hAnsi="Times New Roman" w:cs="Times New Roman"/>
          <w:sz w:val="20"/>
          <w:szCs w:val="20"/>
          <w:vertAlign w:val="superscript"/>
        </w:rPr>
        <w:t xml:space="preserve"> </w:t>
      </w:r>
      <w:r w:rsidRPr="004E5F16">
        <w:rPr>
          <w:rFonts w:ascii="Times New Roman" w:hAnsi="Times New Roman" w:cs="Times New Roman"/>
          <w:sz w:val="20"/>
          <w:szCs w:val="20"/>
        </w:rPr>
        <w:t>Labor hours taken from average unit cost estimate submitted by Public Comment EPA-HQ-OEM-2015-0725-0579 provided by AFPM. EPA derived labor hours from the unit cost estimate provide</w:t>
      </w:r>
      <w:r>
        <w:rPr>
          <w:rFonts w:ascii="Times New Roman" w:hAnsi="Times New Roman" w:cs="Times New Roman"/>
          <w:sz w:val="20"/>
          <w:szCs w:val="20"/>
        </w:rPr>
        <w:t>d</w:t>
      </w:r>
      <w:r w:rsidRPr="004E5F16">
        <w:rPr>
          <w:rFonts w:ascii="Times New Roman" w:hAnsi="Times New Roman" w:cs="Times New Roman"/>
          <w:sz w:val="20"/>
          <w:szCs w:val="20"/>
        </w:rPr>
        <w:t xml:space="preserve"> by the commenter using standard wage rates.</w:t>
      </w:r>
    </w:p>
  </w:footnote>
  <w:footnote w:id="49">
    <w:p w14:paraId="6EEE56FB" w14:textId="77777777" w:rsidR="00900B2C" w:rsidRDefault="00900B2C" w:rsidP="00900B2C">
      <w:pPr>
        <w:pStyle w:val="FootnoteText"/>
      </w:pPr>
      <w:r>
        <w:rPr>
          <w:rStyle w:val="FootnoteReference"/>
        </w:rPr>
        <w:footnoteRef/>
      </w:r>
      <w:r>
        <w:t xml:space="preserve"> </w:t>
      </w:r>
      <w:r w:rsidRPr="001C55C0">
        <w:rPr>
          <w:rFonts w:ascii="Times New Roman" w:hAnsi="Times New Roman" w:cs="Times New Roman"/>
        </w:rPr>
        <w:t xml:space="preserve">Labor hours taken from the midpoint of the high and low labor hour estimates submitted by Public Comment EPA-HQ-OEM-2015-0725-0594 made by CSAG. EPA used the midpoint of the </w:t>
      </w:r>
      <w:r w:rsidRPr="00C761E7">
        <w:rPr>
          <w:rFonts w:ascii="Times New Roman" w:hAnsi="Times New Roman" w:cs="Times New Roman"/>
        </w:rPr>
        <w:t>commenter’s high and low labor hour estimates to represent the labor burden of small/medium complex facilities</w:t>
      </w:r>
      <w:r>
        <w:t xml:space="preserve">. </w:t>
      </w:r>
    </w:p>
  </w:footnote>
  <w:footnote w:id="50">
    <w:p w14:paraId="488BC1E9" w14:textId="77777777" w:rsidR="00900B2C" w:rsidRPr="004B7EB1" w:rsidRDefault="00900B2C" w:rsidP="00900B2C">
      <w:pPr>
        <w:pStyle w:val="FootnoteText"/>
        <w:rPr>
          <w:rFonts w:ascii="Times New Roman" w:hAnsi="Times New Roman" w:cs="Times New Roman"/>
        </w:rPr>
      </w:pPr>
      <w:r w:rsidRPr="004B7EB1">
        <w:rPr>
          <w:rStyle w:val="FootnoteReference"/>
          <w:rFonts w:ascii="Times New Roman" w:hAnsi="Times New Roman" w:cs="Times New Roman"/>
        </w:rPr>
        <w:footnoteRef/>
      </w:r>
      <w:r w:rsidRPr="004B7EB1">
        <w:rPr>
          <w:rFonts w:ascii="Times New Roman" w:hAnsi="Times New Roman" w:cs="Times New Roman"/>
        </w:rPr>
        <w:t xml:space="preserve"> Mackenzie, </w:t>
      </w:r>
      <w:proofErr w:type="gramStart"/>
      <w:r w:rsidRPr="004B7EB1">
        <w:rPr>
          <w:rFonts w:ascii="Times New Roman" w:hAnsi="Times New Roman" w:cs="Times New Roman"/>
        </w:rPr>
        <w:t>W.</w:t>
      </w:r>
      <w:proofErr w:type="gramEnd"/>
      <w:r w:rsidRPr="004B7EB1">
        <w:rPr>
          <w:rFonts w:ascii="Times New Roman" w:hAnsi="Times New Roman" w:cs="Times New Roman"/>
        </w:rPr>
        <w:t xml:space="preserve"> and N. Cusworth. 2007. “The Use and Abuse of Feasibility Studies.” Project Evaluation Conference. Melbourne, Vic, 19-20 June 2007.</w:t>
      </w:r>
      <w:r>
        <w:rPr>
          <w:rFonts w:ascii="Times New Roman" w:hAnsi="Times New Roman" w:cs="Times New Roman"/>
        </w:rPr>
        <w:t xml:space="preserve"> </w:t>
      </w:r>
      <w:proofErr w:type="spellStart"/>
      <w:r w:rsidRPr="004B7EB1">
        <w:rPr>
          <w:rFonts w:ascii="Times New Roman" w:hAnsi="Times New Roman" w:cs="Times New Roman"/>
        </w:rPr>
        <w:t>Noort</w:t>
      </w:r>
      <w:proofErr w:type="spellEnd"/>
      <w:r w:rsidRPr="004B7EB1">
        <w:rPr>
          <w:rFonts w:ascii="Times New Roman" w:hAnsi="Times New Roman" w:cs="Times New Roman"/>
        </w:rPr>
        <w:t>, D J and Adams, C, 2006. Effective mining project management systems, in Proceedings International Mine Management Conference, pp 87-96 (The Australasian Institute of Mining and Metallurgy: Melbourne). http://www.enthalpy.com.au/wp-content/uploads/2013/09/The-Use-and-Abuse-of-Feasibility-Studies-Enthalpy.pdf</w:t>
      </w:r>
    </w:p>
  </w:footnote>
  <w:footnote w:id="51">
    <w:p w14:paraId="349AE2AF" w14:textId="77777777" w:rsidR="00900B2C" w:rsidRPr="00FC2D52" w:rsidRDefault="00900B2C" w:rsidP="00900B2C">
      <w:pPr>
        <w:pStyle w:val="FootnoteText"/>
        <w:rPr>
          <w:rFonts w:ascii="Times New Roman" w:hAnsi="Times New Roman" w:cs="Times New Roman"/>
        </w:rPr>
      </w:pPr>
      <w:r w:rsidRPr="00FF6287">
        <w:rPr>
          <w:rStyle w:val="FootnoteReference"/>
          <w:rFonts w:ascii="Times New Roman" w:hAnsi="Times New Roman" w:cs="Times New Roman"/>
        </w:rPr>
        <w:footnoteRef/>
      </w:r>
      <w:r w:rsidRPr="00FF6287">
        <w:rPr>
          <w:rFonts w:ascii="Times New Roman" w:hAnsi="Times New Roman" w:cs="Times New Roman"/>
        </w:rPr>
        <w:t xml:space="preserve"> McLeod, S. 2021. “Feasibility studies for novel and complex projects: Principles synthesi</w:t>
      </w:r>
      <w:r>
        <w:rPr>
          <w:rFonts w:ascii="Times New Roman" w:hAnsi="Times New Roman" w:cs="Times New Roman"/>
        </w:rPr>
        <w:t>z</w:t>
      </w:r>
      <w:r w:rsidRPr="00FF6287">
        <w:rPr>
          <w:rFonts w:ascii="Times New Roman" w:hAnsi="Times New Roman" w:cs="Times New Roman"/>
        </w:rPr>
        <w:t>ed through an integrative review</w:t>
      </w:r>
      <w:r>
        <w:rPr>
          <w:rFonts w:ascii="Times New Roman" w:hAnsi="Times New Roman" w:cs="Times New Roman"/>
        </w:rPr>
        <w:t>,</w:t>
      </w:r>
      <w:r w:rsidRPr="00FF6287">
        <w:rPr>
          <w:rFonts w:ascii="Times New Roman" w:hAnsi="Times New Roman" w:cs="Times New Roman"/>
        </w:rPr>
        <w:t>” Project Leadership and Society.</w:t>
      </w:r>
    </w:p>
  </w:footnote>
  <w:footnote w:id="52">
    <w:p w14:paraId="34F721A7" w14:textId="4AA6148F" w:rsidR="00900B2C" w:rsidRPr="00A156D2" w:rsidRDefault="00900B2C" w:rsidP="00900B2C">
      <w:pPr>
        <w:pStyle w:val="FootnoteText"/>
        <w:rPr>
          <w:rFonts w:ascii="Times New Roman" w:hAnsi="Times New Roman" w:cs="Times New Roman"/>
        </w:rPr>
      </w:pPr>
      <w:r w:rsidRPr="00A156D2">
        <w:rPr>
          <w:rStyle w:val="FootnoteReference"/>
          <w:rFonts w:ascii="Times New Roman" w:hAnsi="Times New Roman" w:cs="Times New Roman"/>
        </w:rPr>
        <w:footnoteRef/>
      </w:r>
      <w:r w:rsidRPr="00A156D2">
        <w:rPr>
          <w:rFonts w:ascii="Times New Roman" w:hAnsi="Times New Roman" w:cs="Times New Roman"/>
        </w:rPr>
        <w:t xml:space="preserve"> For a detailed explanation of how the estimate was developed, see Appendix D in the </w:t>
      </w:r>
      <w:r w:rsidR="00DE1D6B">
        <w:rPr>
          <w:rFonts w:ascii="Times New Roman" w:hAnsi="Times New Roman" w:cs="Times New Roman"/>
        </w:rPr>
        <w:t>a</w:t>
      </w:r>
      <w:r w:rsidRPr="00A156D2">
        <w:rPr>
          <w:rFonts w:ascii="Times New Roman" w:hAnsi="Times New Roman" w:cs="Times New Roman"/>
        </w:rPr>
        <w:t>mendments Rule Final RIA:  US EPA. Regulatory Impact Analysis. Accidental Release Prevention Requirements: Risk Management Programs Under the Clean Air Act, Section 112(r)(7). Dec 16, 2016. (EPA-HQ-OEM-2015-0725-0734).</w:t>
      </w:r>
    </w:p>
  </w:footnote>
  <w:footnote w:id="53">
    <w:p w14:paraId="07D2C17D" w14:textId="0C646EE0" w:rsidR="00900B2C" w:rsidRPr="00A156D2" w:rsidRDefault="00900B2C" w:rsidP="00900B2C">
      <w:pPr>
        <w:pStyle w:val="FootnoteText"/>
        <w:rPr>
          <w:rFonts w:ascii="Times New Roman" w:hAnsi="Times New Roman" w:cs="Times New Roman"/>
        </w:rPr>
      </w:pPr>
      <w:r w:rsidRPr="00A156D2">
        <w:rPr>
          <w:rStyle w:val="FootnoteReference"/>
          <w:rFonts w:ascii="Times New Roman" w:hAnsi="Times New Roman" w:cs="Times New Roman"/>
        </w:rPr>
        <w:footnoteRef/>
      </w:r>
      <w:r w:rsidRPr="00A156D2">
        <w:rPr>
          <w:rFonts w:ascii="Times New Roman" w:hAnsi="Times New Roman" w:cs="Times New Roman"/>
        </w:rPr>
        <w:t xml:space="preserve"> See AWWA comments on the proposed RMP </w:t>
      </w:r>
      <w:r w:rsidR="00DE1D6B">
        <w:rPr>
          <w:rFonts w:ascii="Times New Roman" w:hAnsi="Times New Roman" w:cs="Times New Roman"/>
        </w:rPr>
        <w:t>a</w:t>
      </w:r>
      <w:r w:rsidRPr="00A156D2">
        <w:rPr>
          <w:rFonts w:ascii="Times New Roman" w:hAnsi="Times New Roman" w:cs="Times New Roman"/>
        </w:rPr>
        <w:t>mendments rule (EPA-HQ-OEM-2015-0725-0554).</w:t>
      </w:r>
    </w:p>
  </w:footnote>
  <w:footnote w:id="54">
    <w:p w14:paraId="3B558644" w14:textId="03FE378F" w:rsidR="00900B2C" w:rsidRPr="00A156D2" w:rsidRDefault="00900B2C" w:rsidP="00900B2C">
      <w:pPr>
        <w:pStyle w:val="FootnoteText"/>
        <w:rPr>
          <w:rFonts w:ascii="Times New Roman" w:hAnsi="Times New Roman" w:cs="Times New Roman"/>
        </w:rPr>
      </w:pPr>
      <w:r w:rsidRPr="00A156D2">
        <w:rPr>
          <w:rStyle w:val="FootnoteReference"/>
          <w:rFonts w:ascii="Times New Roman" w:hAnsi="Times New Roman" w:cs="Times New Roman"/>
        </w:rPr>
        <w:footnoteRef/>
      </w:r>
      <w:r w:rsidRPr="00A156D2">
        <w:rPr>
          <w:rFonts w:ascii="Times New Roman" w:hAnsi="Times New Roman" w:cs="Times New Roman"/>
        </w:rPr>
        <w:t xml:space="preserve"> AFPM provided a range of estimates from $100 million to $500 million, which EPA represents with a single value of $300 million. See AFPM comments on the proposed RMP </w:t>
      </w:r>
      <w:r w:rsidR="00DE1D6B">
        <w:rPr>
          <w:rFonts w:ascii="Times New Roman" w:hAnsi="Times New Roman" w:cs="Times New Roman"/>
        </w:rPr>
        <w:t>a</w:t>
      </w:r>
      <w:r w:rsidRPr="00A156D2">
        <w:rPr>
          <w:rFonts w:ascii="Times New Roman" w:hAnsi="Times New Roman" w:cs="Times New Roman"/>
        </w:rPr>
        <w:t>mendments rule (EPA-HQ-OEM-2015-0725-0579).</w:t>
      </w:r>
    </w:p>
  </w:footnote>
  <w:footnote w:id="55">
    <w:p w14:paraId="5B0CBED6" w14:textId="77777777" w:rsidR="00900B2C" w:rsidRPr="009E4ED9" w:rsidRDefault="00900B2C" w:rsidP="00900B2C">
      <w:pPr>
        <w:pStyle w:val="FootnoteText"/>
        <w:rPr>
          <w:rFonts w:ascii="Times New Roman" w:hAnsi="Times New Roman" w:cs="Times New Roman"/>
        </w:rPr>
      </w:pPr>
      <w:r w:rsidRPr="00D44AB8">
        <w:rPr>
          <w:rStyle w:val="FootnoteReference"/>
          <w:rFonts w:ascii="Times New Roman" w:hAnsi="Times New Roman" w:cs="Times New Roman"/>
        </w:rPr>
        <w:footnoteRef/>
      </w:r>
      <w:r w:rsidRPr="00D44AB8">
        <w:rPr>
          <w:rFonts w:ascii="Times New Roman" w:hAnsi="Times New Roman" w:cs="Times New Roman"/>
        </w:rPr>
        <w:t xml:space="preserve"> See Jenkins, Scott (2017) “Lower costs for converting alkylation units from hydrofluoric to sulfuric acid,” </w:t>
      </w:r>
      <w:r w:rsidRPr="00D44AB8">
        <w:rPr>
          <w:rFonts w:ascii="Times New Roman" w:hAnsi="Times New Roman" w:cs="Times New Roman"/>
          <w:i/>
          <w:iCs/>
        </w:rPr>
        <w:t>Chemical Engineering</w:t>
      </w:r>
      <w:r w:rsidRPr="00D44AB8">
        <w:rPr>
          <w:rFonts w:ascii="Times New Roman" w:hAnsi="Times New Roman" w:cs="Times New Roman"/>
        </w:rPr>
        <w:t xml:space="preserve">. Nov 1.; </w:t>
      </w:r>
      <w:proofErr w:type="spellStart"/>
      <w:r w:rsidRPr="00D44AB8">
        <w:rPr>
          <w:rFonts w:ascii="Times New Roman" w:hAnsi="Times New Roman" w:cs="Times New Roman"/>
        </w:rPr>
        <w:t>Menachery</w:t>
      </w:r>
      <w:proofErr w:type="spellEnd"/>
      <w:r w:rsidRPr="00D44AB8">
        <w:rPr>
          <w:rFonts w:ascii="Times New Roman" w:hAnsi="Times New Roman" w:cs="Times New Roman"/>
        </w:rPr>
        <w:t xml:space="preserve">, Martin (2017) “DuPont launches hydrofluoric acid alkylation conversion, expansion </w:t>
      </w:r>
      <w:r w:rsidRPr="009E4ED9">
        <w:rPr>
          <w:rFonts w:ascii="Times New Roman" w:hAnsi="Times New Roman" w:cs="Times New Roman"/>
        </w:rPr>
        <w:t xml:space="preserve">technology,” </w:t>
      </w:r>
      <w:r w:rsidRPr="009E4ED9">
        <w:rPr>
          <w:rFonts w:ascii="Times New Roman" w:hAnsi="Times New Roman" w:cs="Times New Roman"/>
          <w:i/>
          <w:iCs/>
        </w:rPr>
        <w:t>Refining &amp; Petrochemicals</w:t>
      </w:r>
      <w:r w:rsidRPr="009E4ED9">
        <w:rPr>
          <w:rFonts w:ascii="Times New Roman" w:hAnsi="Times New Roman" w:cs="Times New Roman"/>
        </w:rPr>
        <w:t xml:space="preserve">. Sep 7 and Presley, Shane, Randy Peterson, Diwakar Rana, and Jason Nunez (2017) “Advances in HF acid alkylation conversion and expansion,” </w:t>
      </w:r>
      <w:r w:rsidRPr="009E4ED9">
        <w:rPr>
          <w:rFonts w:ascii="Times New Roman" w:hAnsi="Times New Roman" w:cs="Times New Roman"/>
          <w:i/>
          <w:iCs/>
        </w:rPr>
        <w:t>Digital Refining</w:t>
      </w:r>
      <w:r w:rsidRPr="009E4ED9">
        <w:rPr>
          <w:rFonts w:ascii="Times New Roman" w:hAnsi="Times New Roman" w:cs="Times New Roman"/>
        </w:rPr>
        <w:t xml:space="preserve">. December. </w:t>
      </w:r>
    </w:p>
  </w:footnote>
  <w:footnote w:id="56">
    <w:p w14:paraId="1301F34F" w14:textId="77777777" w:rsidR="00900B2C" w:rsidRDefault="00900B2C" w:rsidP="00900B2C">
      <w:pPr>
        <w:pStyle w:val="FootnoteText"/>
      </w:pPr>
      <w:r w:rsidRPr="009E4ED9">
        <w:rPr>
          <w:rStyle w:val="FootnoteReference"/>
          <w:rFonts w:ascii="Times New Roman" w:hAnsi="Times New Roman" w:cs="Times New Roman"/>
        </w:rPr>
        <w:footnoteRef/>
      </w:r>
      <w:r w:rsidRPr="009E4ED9">
        <w:rPr>
          <w:rFonts w:ascii="Times New Roman" w:hAnsi="Times New Roman" w:cs="Times New Roman"/>
        </w:rPr>
        <w:t xml:space="preserve"> See Appendix D “STAA Project Cost Data” and “Estimating Practicability Study Costs”, pp 148-152. US EPA, 2016. Regulatory Impact Analysis, Accidental Release Prevention Requirements: Risk Management Programs Under the Clean Air Act, Section 112(r)(7).</w:t>
      </w:r>
      <w:r>
        <w:t xml:space="preserve">   </w:t>
      </w:r>
    </w:p>
  </w:footnote>
  <w:footnote w:id="57">
    <w:p w14:paraId="377816D0" w14:textId="1BEEA002" w:rsidR="00C5384D" w:rsidRPr="00110A87" w:rsidRDefault="00C5384D" w:rsidP="00F01FC0">
      <w:pPr>
        <w:pStyle w:val="TOC2"/>
      </w:pPr>
      <w:r w:rsidRPr="00110A87">
        <w:rPr>
          <w:vertAlign w:val="superscript"/>
        </w:rPr>
        <w:footnoteRef/>
      </w:r>
      <w:r w:rsidRPr="00110A87">
        <w:t xml:space="preserve"> BEA National Income and Product Accounts (NIPA) Table 1.1.9. Implicit Price Deflators for Gross Domestic Product</w:t>
      </w:r>
      <w:r w:rsidR="003C66AE" w:rsidRPr="00110A87">
        <w:t>.</w:t>
      </w:r>
      <w:r w:rsidRPr="00110A87">
        <w:t xml:space="preserve"> https://apps.bea.gov/iTable/iTable.cfm?reqid=19&amp;step=3&amp;isuri=1&amp;nipa_table_list=13&amp;categories=survey</w:t>
      </w:r>
      <w:r w:rsidR="00D26DCF" w:rsidRPr="00110A87">
        <w:t>.</w:t>
      </w:r>
    </w:p>
  </w:footnote>
  <w:footnote w:id="58">
    <w:p w14:paraId="737B442F" w14:textId="399069B1" w:rsidR="00C10DD0" w:rsidRPr="00167F64" w:rsidRDefault="00C10DD0" w:rsidP="00C10DD0">
      <w:pPr>
        <w:pStyle w:val="TOC2"/>
      </w:pPr>
      <w:r w:rsidRPr="00DF1D53">
        <w:rPr>
          <w:rStyle w:val="FootnoteReference"/>
          <w:b/>
          <w:bCs/>
        </w:rPr>
        <w:footnoteRef/>
      </w:r>
      <w:r w:rsidRPr="00DF1D53">
        <w:t xml:space="preserve"> Power requirements for a variety of continuous emissions monitoring systems can be found in reports at  </w:t>
      </w:r>
      <w:hyperlink r:id="rId18" w:history="1">
        <w:r w:rsidRPr="00BF2406">
          <w:rPr>
            <w:rStyle w:val="Hyperlink"/>
          </w:rPr>
          <w:t>https://www.epa.gov/emc/emc-continuous-emission-monitoring-systems</w:t>
        </w:r>
      </w:hyperlink>
      <w:r w:rsidRPr="00DF1D53">
        <w:t>. For example, Ammonia CEMS specification tables list power requirements,</w:t>
      </w:r>
      <w:r w:rsidRPr="00167F64">
        <w:t xml:space="preserve"> </w:t>
      </w:r>
      <w:hyperlink r:id="rId19" w:history="1">
        <w:r w:rsidRPr="00FC2D52">
          <w:rPr>
            <w:rStyle w:val="Heading3Char"/>
            <w:rFonts w:ascii="Times New Roman" w:hAnsi="Times New Roman" w:cs="Times New Roman"/>
            <w:b w:val="0"/>
            <w:sz w:val="20"/>
          </w:rPr>
          <w:t>https://www.epa.gov/sites/default/files/2020-08/documents/04-nh3_cems.pdf</w:t>
        </w:r>
      </w:hyperlink>
      <w:r w:rsidRPr="00FC2D52">
        <w:rPr>
          <w:rStyle w:val="Heading3Char"/>
          <w:rFonts w:ascii="Times New Roman" w:hAnsi="Times New Roman" w:cs="Times New Roman"/>
          <w:b w:val="0"/>
          <w:sz w:val="20"/>
        </w:rPr>
        <w:t>.</w:t>
      </w:r>
    </w:p>
  </w:footnote>
  <w:footnote w:id="59">
    <w:p w14:paraId="5AF3C605" w14:textId="246B0AF7" w:rsidR="00C10DD0" w:rsidRPr="003C05B2" w:rsidRDefault="00C10DD0" w:rsidP="00C10DD0">
      <w:pPr>
        <w:pStyle w:val="FootnoteText"/>
        <w:rPr>
          <w:rFonts w:ascii="Times New Roman" w:hAnsi="Times New Roman" w:cs="Times New Roman"/>
        </w:rPr>
      </w:pPr>
      <w:r w:rsidRPr="003C05B2">
        <w:rPr>
          <w:rStyle w:val="FootnoteReference"/>
          <w:rFonts w:ascii="Times New Roman" w:hAnsi="Times New Roman" w:cs="Times New Roman"/>
        </w:rPr>
        <w:footnoteRef/>
      </w:r>
      <w:r w:rsidRPr="003C05B2">
        <w:rPr>
          <w:rFonts w:ascii="Times New Roman" w:hAnsi="Times New Roman" w:cs="Times New Roman"/>
        </w:rPr>
        <w:t xml:space="preserve"> </w:t>
      </w:r>
      <w:hyperlink r:id="rId20" w:history="1">
        <w:r w:rsidRPr="003C05B2">
          <w:rPr>
            <w:rStyle w:val="Hyperlink"/>
            <w:rFonts w:ascii="Times New Roman" w:hAnsi="Times New Roman" w:cs="Times New Roman"/>
          </w:rPr>
          <w:t>https://www.forbes.com/advisor/home-improvement/generator-cost-guide/</w:t>
        </w:r>
      </w:hyperlink>
      <w:r w:rsidRPr="003C05B2">
        <w:rPr>
          <w:rFonts w:ascii="Times New Roman" w:hAnsi="Times New Roman" w:cs="Times New Roman"/>
        </w:rPr>
        <w:t xml:space="preserve"> </w:t>
      </w:r>
    </w:p>
  </w:footnote>
  <w:footnote w:id="60">
    <w:p w14:paraId="22436B72" w14:textId="6B5E86EC" w:rsidR="00FC2D52" w:rsidRPr="00FC2D52" w:rsidRDefault="00FC2D52">
      <w:pPr>
        <w:pStyle w:val="FootnoteText"/>
        <w:rPr>
          <w:rFonts w:ascii="Times New Roman" w:hAnsi="Times New Roman" w:cs="Times New Roman"/>
        </w:rPr>
      </w:pPr>
      <w:r w:rsidRPr="00FC2D52">
        <w:rPr>
          <w:rStyle w:val="FootnoteReference"/>
          <w:rFonts w:ascii="Times New Roman" w:hAnsi="Times New Roman" w:cs="Times New Roman"/>
        </w:rPr>
        <w:footnoteRef/>
      </w:r>
      <w:r w:rsidRPr="00FC2D52">
        <w:rPr>
          <w:rFonts w:ascii="Times New Roman" w:hAnsi="Times New Roman" w:cs="Times New Roman"/>
        </w:rPr>
        <w:t xml:space="preserve"> </w:t>
      </w:r>
      <w:hyperlink r:id="rId21" w:history="1">
        <w:r w:rsidRPr="00FC2D52">
          <w:rPr>
            <w:rStyle w:val="Hyperlink"/>
            <w:rFonts w:ascii="Times New Roman" w:hAnsi="Times New Roman" w:cs="Times New Roman"/>
          </w:rPr>
          <w:t>https://www.fema.gov/emergency-managers/practitioners/integrated-public-alert-warning-system</w:t>
        </w:r>
      </w:hyperlink>
    </w:p>
  </w:footnote>
  <w:footnote w:id="61">
    <w:p w14:paraId="593B8DD8" w14:textId="658F0A1F" w:rsidR="000173AF" w:rsidRPr="00260596" w:rsidRDefault="000173AF">
      <w:pPr>
        <w:pStyle w:val="FootnoteText"/>
        <w:rPr>
          <w:rFonts w:ascii="Times New Roman" w:hAnsi="Times New Roman" w:cs="Times New Roman"/>
        </w:rPr>
      </w:pPr>
      <w:r w:rsidRPr="00260596">
        <w:rPr>
          <w:rStyle w:val="FootnoteReference"/>
          <w:rFonts w:ascii="Times New Roman" w:hAnsi="Times New Roman" w:cs="Times New Roman"/>
        </w:rPr>
        <w:footnoteRef/>
      </w:r>
      <w:r w:rsidRPr="00260596">
        <w:rPr>
          <w:rFonts w:ascii="Times New Roman" w:hAnsi="Times New Roman" w:cs="Times New Roman"/>
        </w:rPr>
        <w:t xml:space="preserve"> </w:t>
      </w:r>
      <w:r w:rsidR="00260596" w:rsidRPr="00260596">
        <w:rPr>
          <w:rFonts w:ascii="Times New Roman" w:hAnsi="Times New Roman" w:cs="Times New Roman"/>
        </w:rPr>
        <w:t>Office of Management and Budget Circular A-4, Regulatory Analysis</w:t>
      </w:r>
      <w:r w:rsidR="006B33FC">
        <w:rPr>
          <w:rFonts w:ascii="Times New Roman" w:hAnsi="Times New Roman" w:cs="Times New Roman"/>
        </w:rPr>
        <w:t xml:space="preserve">. </w:t>
      </w:r>
      <w:r w:rsidR="00260596" w:rsidRPr="00260596">
        <w:rPr>
          <w:rFonts w:ascii="Times New Roman" w:hAnsi="Times New Roman" w:cs="Times New Roman"/>
        </w:rPr>
        <w:t>September 17, 2003</w:t>
      </w:r>
      <w:r w:rsidR="006B33FC">
        <w:rPr>
          <w:rFonts w:ascii="Times New Roman" w:hAnsi="Times New Roman" w:cs="Times New Roman"/>
        </w:rPr>
        <w:t>.</w:t>
      </w:r>
    </w:p>
  </w:footnote>
  <w:footnote w:id="62">
    <w:p w14:paraId="5CAE2CB3" w14:textId="77777777" w:rsidR="000257ED" w:rsidRPr="00CF0616" w:rsidRDefault="000257ED" w:rsidP="000257ED">
      <w:pPr>
        <w:pStyle w:val="FootnoteText"/>
        <w:rPr>
          <w:rFonts w:ascii="Times New Roman" w:hAnsi="Times New Roman" w:cs="Times New Roman"/>
        </w:rPr>
      </w:pPr>
      <w:r w:rsidRPr="00CF0616">
        <w:rPr>
          <w:rStyle w:val="FootnoteReference"/>
          <w:rFonts w:ascii="Times New Roman" w:hAnsi="Times New Roman" w:cs="Times New Roman"/>
        </w:rPr>
        <w:footnoteRef/>
      </w:r>
      <w:r w:rsidRPr="00CF0616">
        <w:rPr>
          <w:rFonts w:ascii="Times New Roman" w:hAnsi="Times New Roman" w:cs="Times New Roman"/>
        </w:rPr>
        <w:t xml:space="preserve"> </w:t>
      </w:r>
      <w:r w:rsidRPr="00CF0616">
        <w:rPr>
          <w:rFonts w:ascii="Times New Roman" w:hAnsi="Times New Roman" w:cs="Times New Roman"/>
          <w:w w:val="105"/>
        </w:rPr>
        <w:t xml:space="preserve">EPA recognizes that </w:t>
      </w:r>
      <w:proofErr w:type="gramStart"/>
      <w:r w:rsidRPr="00CF0616">
        <w:rPr>
          <w:rFonts w:ascii="Times New Roman" w:hAnsi="Times New Roman" w:cs="Times New Roman"/>
          <w:w w:val="105"/>
        </w:rPr>
        <w:t>subsequent to</w:t>
      </w:r>
      <w:proofErr w:type="gramEnd"/>
      <w:r w:rsidRPr="00CF0616">
        <w:rPr>
          <w:rFonts w:ascii="Times New Roman" w:hAnsi="Times New Roman" w:cs="Times New Roman"/>
          <w:w w:val="105"/>
        </w:rPr>
        <w:t xml:space="preserve"> the </w:t>
      </w:r>
      <w:r>
        <w:rPr>
          <w:rFonts w:ascii="Times New Roman" w:hAnsi="Times New Roman" w:cs="Times New Roman"/>
          <w:w w:val="105"/>
        </w:rPr>
        <w:t>proposed</w:t>
      </w:r>
      <w:r w:rsidRPr="00CF0616">
        <w:rPr>
          <w:rFonts w:ascii="Times New Roman" w:hAnsi="Times New Roman" w:cs="Times New Roman"/>
          <w:w w:val="105"/>
        </w:rPr>
        <w:t xml:space="preserve"> rule </w:t>
      </w:r>
      <w:r>
        <w:rPr>
          <w:rFonts w:ascii="Times New Roman" w:hAnsi="Times New Roman" w:cs="Times New Roman"/>
          <w:w w:val="105"/>
        </w:rPr>
        <w:t>being finalized</w:t>
      </w:r>
      <w:r w:rsidRPr="00CF0616">
        <w:rPr>
          <w:rFonts w:ascii="Times New Roman" w:hAnsi="Times New Roman" w:cs="Times New Roman"/>
          <w:w w:val="105"/>
        </w:rPr>
        <w:t xml:space="preserve">, accident rates may </w:t>
      </w:r>
      <w:r>
        <w:rPr>
          <w:rFonts w:ascii="Times New Roman" w:hAnsi="Times New Roman" w:cs="Times New Roman"/>
          <w:w w:val="105"/>
        </w:rPr>
        <w:t>change</w:t>
      </w:r>
      <w:r w:rsidRPr="00CF0616">
        <w:rPr>
          <w:rFonts w:ascii="Times New Roman" w:hAnsi="Times New Roman" w:cs="Times New Roman"/>
          <w:w w:val="105"/>
        </w:rPr>
        <w:t>.</w:t>
      </w:r>
    </w:p>
  </w:footnote>
  <w:footnote w:id="63">
    <w:p w14:paraId="20F5BDD9" w14:textId="77777777" w:rsidR="000257ED" w:rsidRPr="00DE0725" w:rsidRDefault="000257ED" w:rsidP="000257ED">
      <w:pPr>
        <w:pStyle w:val="FootnoteText"/>
        <w:rPr>
          <w:rFonts w:ascii="Times New Roman" w:hAnsi="Times New Roman" w:cs="Times New Roman"/>
        </w:rPr>
      </w:pPr>
      <w:r w:rsidRPr="00DE0725">
        <w:rPr>
          <w:rStyle w:val="FootnoteReference"/>
          <w:rFonts w:ascii="Times New Roman" w:hAnsi="Times New Roman" w:cs="Times New Roman"/>
        </w:rPr>
        <w:footnoteRef/>
      </w:r>
      <w:r w:rsidRPr="00DE0725">
        <w:rPr>
          <w:rFonts w:ascii="Times New Roman" w:hAnsi="Times New Roman" w:cs="Times New Roman"/>
        </w:rPr>
        <w:t xml:space="preserve"> The number of audits may be overstated because some facilities will have the same set of reportable </w:t>
      </w:r>
      <w:r>
        <w:rPr>
          <w:rFonts w:ascii="Times New Roman" w:hAnsi="Times New Roman" w:cs="Times New Roman"/>
        </w:rPr>
        <w:t>accident</w:t>
      </w:r>
      <w:r w:rsidRPr="00DE0725">
        <w:rPr>
          <w:rFonts w:ascii="Times New Roman" w:hAnsi="Times New Roman" w:cs="Times New Roman"/>
        </w:rPr>
        <w:t xml:space="preserve">s in multiple </w:t>
      </w:r>
      <w:r>
        <w:rPr>
          <w:rFonts w:ascii="Times New Roman" w:hAnsi="Times New Roman" w:cs="Times New Roman"/>
        </w:rPr>
        <w:t>five-year</w:t>
      </w:r>
      <w:r w:rsidRPr="00DE0725">
        <w:rPr>
          <w:rFonts w:ascii="Times New Roman" w:hAnsi="Times New Roman" w:cs="Times New Roman"/>
        </w:rPr>
        <w:t xml:space="preserve"> periods.</w:t>
      </w:r>
    </w:p>
  </w:footnote>
  <w:footnote w:id="64">
    <w:p w14:paraId="364FEB40" w14:textId="77777777" w:rsidR="00330372" w:rsidRPr="0026346F" w:rsidRDefault="00330372" w:rsidP="00C0434F">
      <w:pPr>
        <w:spacing w:before="64" w:line="240" w:lineRule="auto"/>
        <w:ind w:right="90"/>
        <w:rPr>
          <w:rFonts w:ascii="Times New Roman" w:hAnsi="Times New Roman" w:cs="Times New Roman"/>
          <w:sz w:val="20"/>
          <w:szCs w:val="20"/>
        </w:rPr>
      </w:pPr>
      <w:r w:rsidRPr="0026346F">
        <w:rPr>
          <w:rStyle w:val="FootnoteReference"/>
          <w:rFonts w:ascii="Times New Roman" w:hAnsi="Times New Roman" w:cs="Times New Roman"/>
          <w:sz w:val="20"/>
          <w:szCs w:val="20"/>
        </w:rPr>
        <w:footnoteRef/>
      </w:r>
      <w:r w:rsidRPr="0026346F">
        <w:rPr>
          <w:rFonts w:ascii="Times New Roman" w:hAnsi="Times New Roman" w:cs="Times New Roman"/>
          <w:sz w:val="20"/>
          <w:szCs w:val="20"/>
        </w:rPr>
        <w:t xml:space="preserve"> Although the costs associated with those changes may in some cases be high, it is unlikely that a facility would implement costly changes unless it determined that its own private benefits (for example, production efficiency improvements as well as safety enhancements) would </w:t>
      </w:r>
      <w:r>
        <w:rPr>
          <w:rFonts w:ascii="Times New Roman" w:hAnsi="Times New Roman" w:cs="Times New Roman"/>
          <w:sz w:val="20"/>
          <w:szCs w:val="20"/>
        </w:rPr>
        <w:t>be</w:t>
      </w:r>
      <w:r w:rsidRPr="0026346F">
        <w:rPr>
          <w:rFonts w:ascii="Times New Roman" w:hAnsi="Times New Roman" w:cs="Times New Roman"/>
          <w:sz w:val="20"/>
          <w:szCs w:val="20"/>
        </w:rPr>
        <w:t xml:space="preserve"> equal </w:t>
      </w:r>
      <w:r>
        <w:rPr>
          <w:rFonts w:ascii="Times New Roman" w:hAnsi="Times New Roman" w:cs="Times New Roman"/>
          <w:sz w:val="20"/>
          <w:szCs w:val="20"/>
        </w:rPr>
        <w:t>to</w:t>
      </w:r>
      <w:r w:rsidRPr="0026346F">
        <w:rPr>
          <w:rFonts w:ascii="Times New Roman" w:hAnsi="Times New Roman" w:cs="Times New Roman"/>
          <w:sz w:val="20"/>
          <w:szCs w:val="20"/>
        </w:rPr>
        <w:t xml:space="preserve"> or exceed those costs.</w:t>
      </w:r>
    </w:p>
  </w:footnote>
  <w:footnote w:id="65">
    <w:p w14:paraId="1FEEF888" w14:textId="1B8F1CAF" w:rsidR="00623420" w:rsidRPr="00EA2A3A" w:rsidRDefault="00623420">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w:t>
      </w:r>
      <w:proofErr w:type="spellStart"/>
      <w:r w:rsidRPr="00EA2A3A">
        <w:rPr>
          <w:rFonts w:ascii="Times New Roman" w:hAnsi="Times New Roman" w:cs="Times New Roman"/>
        </w:rPr>
        <w:t>Duflo</w:t>
      </w:r>
      <w:proofErr w:type="spellEnd"/>
      <w:r w:rsidRPr="00EA2A3A">
        <w:rPr>
          <w:rFonts w:ascii="Times New Roman" w:hAnsi="Times New Roman" w:cs="Times New Roman"/>
        </w:rPr>
        <w:t>, Esther, Michael Greenstone, Rohini Pande, and Nicholas Ryan. “Truth-Telling by Third-Party Auditors and The Response of Polluting Firms: Experimental Evidence from India,” 128 Q. J. OF ECON. 4 at 1499-1545 (2013).</w:t>
      </w:r>
    </w:p>
  </w:footnote>
  <w:footnote w:id="66">
    <w:p w14:paraId="2DFD1042" w14:textId="4C9134CC" w:rsidR="00623420" w:rsidRPr="00EA2A3A" w:rsidRDefault="00623420">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w:t>
      </w:r>
      <w:proofErr w:type="spellStart"/>
      <w:r w:rsidRPr="00EA2A3A">
        <w:rPr>
          <w:rFonts w:ascii="Times New Roman" w:hAnsi="Times New Roman" w:cs="Times New Roman"/>
        </w:rPr>
        <w:t>Kunreuther</w:t>
      </w:r>
      <w:proofErr w:type="spellEnd"/>
      <w:r w:rsidRPr="00EA2A3A">
        <w:rPr>
          <w:rFonts w:ascii="Times New Roman" w:hAnsi="Times New Roman" w:cs="Times New Roman"/>
        </w:rPr>
        <w:t xml:space="preserve">, Howard C., Patrick J. McNulty, and Yong Kang. “Third-Party Inspection as an Alternative to </w:t>
      </w:r>
      <w:proofErr w:type="gramStart"/>
      <w:r w:rsidRPr="00EA2A3A">
        <w:rPr>
          <w:rFonts w:ascii="Times New Roman" w:hAnsi="Times New Roman" w:cs="Times New Roman"/>
        </w:rPr>
        <w:t>Command and Control</w:t>
      </w:r>
      <w:proofErr w:type="gramEnd"/>
      <w:r w:rsidRPr="00EA2A3A">
        <w:rPr>
          <w:rFonts w:ascii="Times New Roman" w:hAnsi="Times New Roman" w:cs="Times New Roman"/>
        </w:rPr>
        <w:t xml:space="preserve"> Regulation.” Risk Analysis Vol 22, Issue 2, April 2002, pp 309-318.</w:t>
      </w:r>
    </w:p>
  </w:footnote>
  <w:footnote w:id="67">
    <w:p w14:paraId="64396C4B" w14:textId="391C722A" w:rsidR="00623420" w:rsidRPr="00EA2A3A" w:rsidRDefault="00623420">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Carroll, J.S., J.W. Rudolph, and S. </w:t>
      </w:r>
      <w:proofErr w:type="spellStart"/>
      <w:r w:rsidRPr="00EA2A3A">
        <w:rPr>
          <w:rFonts w:ascii="Times New Roman" w:hAnsi="Times New Roman" w:cs="Times New Roman"/>
        </w:rPr>
        <w:t>Hatakenaka</w:t>
      </w:r>
      <w:proofErr w:type="spellEnd"/>
      <w:r w:rsidRPr="00EA2A3A">
        <w:rPr>
          <w:rFonts w:ascii="Times New Roman" w:hAnsi="Times New Roman" w:cs="Times New Roman"/>
        </w:rPr>
        <w:t xml:space="preserve">. “Lessons Learned from Non-Medical Industries: Root Cause Analysis as Culture Change at a Chemical Plant.” Qual </w:t>
      </w:r>
      <w:proofErr w:type="spellStart"/>
      <w:r w:rsidRPr="00EA2A3A">
        <w:rPr>
          <w:rFonts w:ascii="Times New Roman" w:hAnsi="Times New Roman" w:cs="Times New Roman"/>
        </w:rPr>
        <w:t>Saf</w:t>
      </w:r>
      <w:proofErr w:type="spellEnd"/>
      <w:r w:rsidRPr="00EA2A3A">
        <w:rPr>
          <w:rFonts w:ascii="Times New Roman" w:hAnsi="Times New Roman" w:cs="Times New Roman"/>
        </w:rPr>
        <w:t xml:space="preserve"> Health Care. 2002 Sep, 11(3) 266-9.</w:t>
      </w:r>
    </w:p>
  </w:footnote>
  <w:footnote w:id="68">
    <w:p w14:paraId="4A30ADB7" w14:textId="538FA6CC" w:rsidR="00623420" w:rsidRPr="00FC2D52" w:rsidRDefault="00623420">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w:t>
      </w:r>
      <w:proofErr w:type="spellStart"/>
      <w:r w:rsidRPr="00EA2A3A">
        <w:rPr>
          <w:rFonts w:ascii="Times New Roman" w:hAnsi="Times New Roman" w:cs="Times New Roman"/>
        </w:rPr>
        <w:t>Percarpio</w:t>
      </w:r>
      <w:proofErr w:type="spellEnd"/>
      <w:r w:rsidRPr="00EA2A3A">
        <w:rPr>
          <w:rFonts w:ascii="Times New Roman" w:hAnsi="Times New Roman" w:cs="Times New Roman"/>
        </w:rPr>
        <w:t>, Katherine B., Vince B. Watts, and William B. Weeks. “The Effectiveness of Root Cause Analysis: What Does the Literature Tell Us?” The Joint Commission Journal on Quality and Patient Safety, 34(7). 2008, July. 391-8.</w:t>
      </w:r>
    </w:p>
  </w:footnote>
  <w:footnote w:id="69">
    <w:p w14:paraId="2CF3A2FE" w14:textId="77777777" w:rsidR="001B5F9E" w:rsidRPr="00EA2A3A" w:rsidRDefault="002053CF" w:rsidP="001B5F9E">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w:t>
      </w:r>
      <w:proofErr w:type="spellStart"/>
      <w:r w:rsidR="001B5F9E" w:rsidRPr="00EA2A3A">
        <w:rPr>
          <w:rFonts w:ascii="Times New Roman" w:hAnsi="Times New Roman" w:cs="Times New Roman"/>
        </w:rPr>
        <w:t>Percarpio</w:t>
      </w:r>
      <w:proofErr w:type="spellEnd"/>
      <w:r w:rsidR="001B5F9E" w:rsidRPr="00EA2A3A">
        <w:rPr>
          <w:rFonts w:ascii="Times New Roman" w:hAnsi="Times New Roman" w:cs="Times New Roman"/>
        </w:rPr>
        <w:t>, Katherine B., and Vince Watts. “A Cross-Sectional Study on the Relationship Between Utilization of</w:t>
      </w:r>
    </w:p>
    <w:p w14:paraId="079E9ADD" w14:textId="098B476A" w:rsidR="002053CF" w:rsidRPr="00EA2A3A" w:rsidRDefault="001B5F9E">
      <w:pPr>
        <w:pStyle w:val="FootnoteText"/>
        <w:rPr>
          <w:rFonts w:ascii="Times New Roman" w:hAnsi="Times New Roman" w:cs="Times New Roman"/>
        </w:rPr>
      </w:pPr>
      <w:r w:rsidRPr="00EA2A3A">
        <w:rPr>
          <w:rFonts w:ascii="Times New Roman" w:hAnsi="Times New Roman" w:cs="Times New Roman"/>
        </w:rPr>
        <w:t xml:space="preserve">Root Cause Analysis and Patient Safety at 139 Department of </w:t>
      </w:r>
      <w:proofErr w:type="spellStart"/>
      <w:r w:rsidRPr="00EA2A3A">
        <w:rPr>
          <w:rFonts w:ascii="Times New Roman" w:hAnsi="Times New Roman" w:cs="Times New Roman"/>
        </w:rPr>
        <w:t>Verternas</w:t>
      </w:r>
      <w:proofErr w:type="spellEnd"/>
      <w:r w:rsidRPr="00EA2A3A">
        <w:rPr>
          <w:rFonts w:ascii="Times New Roman" w:hAnsi="Times New Roman" w:cs="Times New Roman"/>
        </w:rPr>
        <w:t xml:space="preserve"> Affairs Medical Centers.” The Joint Commission Journal on Quality and Patient Safety, 39(1). 2013. January. </w:t>
      </w:r>
      <w:r w:rsidR="00FA643E">
        <w:rPr>
          <w:rFonts w:ascii="Times New Roman" w:hAnsi="Times New Roman" w:cs="Times New Roman"/>
        </w:rPr>
        <w:t>p</w:t>
      </w:r>
      <w:r w:rsidRPr="00EA2A3A">
        <w:rPr>
          <w:rFonts w:ascii="Times New Roman" w:hAnsi="Times New Roman" w:cs="Times New Roman"/>
        </w:rPr>
        <w:t>p 32-7.</w:t>
      </w:r>
    </w:p>
  </w:footnote>
  <w:footnote w:id="70">
    <w:p w14:paraId="76C31CE4" w14:textId="18EAEEB3" w:rsidR="00A32C86" w:rsidRPr="00EA2A3A" w:rsidRDefault="00A32C86" w:rsidP="00A32C86">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CSB, “Formosa Plastics Vinyl Chloride Explosion,” last modified Mar. 6, 2007, https://www.csb.gov/formosa-plastics-vinyl-chloride-explosion/.</w:t>
      </w:r>
    </w:p>
  </w:footnote>
  <w:footnote w:id="71">
    <w:p w14:paraId="363860EC" w14:textId="48BD7E9B" w:rsidR="00A32C86" w:rsidRPr="00EA2A3A" w:rsidRDefault="00A32C86" w:rsidP="00A32C86">
      <w:pPr>
        <w:pStyle w:val="FootnoteText"/>
        <w:rPr>
          <w:rFonts w:ascii="Times New Roman" w:hAnsi="Times New Roman" w:cs="Times New Roman"/>
        </w:rPr>
      </w:pPr>
      <w:r w:rsidRPr="00EA2A3A">
        <w:rPr>
          <w:rStyle w:val="FootnoteReference"/>
          <w:rFonts w:ascii="Times New Roman" w:hAnsi="Times New Roman" w:cs="Times New Roman"/>
        </w:rPr>
        <w:footnoteRef/>
      </w:r>
      <w:r w:rsidR="00C567A1">
        <w:rPr>
          <w:rFonts w:ascii="Times New Roman" w:hAnsi="Times New Roman" w:cs="Times New Roman"/>
        </w:rPr>
        <w:t xml:space="preserve"> </w:t>
      </w:r>
      <w:r w:rsidRPr="00EA2A3A">
        <w:rPr>
          <w:rFonts w:ascii="Times New Roman" w:hAnsi="Times New Roman" w:cs="Times New Roman"/>
        </w:rPr>
        <w:t>CSB, “BP America Refinery Explosion,” last modified Mar. 20, 2007, https://www.csb.gov/bp-america-refinery-explosion/.</w:t>
      </w:r>
    </w:p>
  </w:footnote>
  <w:footnote w:id="72">
    <w:p w14:paraId="2BEB0E95" w14:textId="77777777" w:rsidR="00A32C86" w:rsidRPr="00EA2A3A" w:rsidRDefault="00A32C86" w:rsidP="00A32C86">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CSB, “Millard Refrigerated Services Ammonia Release,” last modified Jan. 15, 2015, https://www.csb.gov/millard-refrigerated-services-ammonia-release/.</w:t>
      </w:r>
    </w:p>
  </w:footnote>
  <w:footnote w:id="73">
    <w:p w14:paraId="7E5B0D5D" w14:textId="77777777" w:rsidR="00434514" w:rsidRPr="00EA2A3A" w:rsidRDefault="00623420" w:rsidP="00434514">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w:t>
      </w:r>
      <w:r w:rsidR="00434514" w:rsidRPr="00EA2A3A">
        <w:rPr>
          <w:rFonts w:ascii="Times New Roman" w:hAnsi="Times New Roman" w:cs="Times New Roman"/>
        </w:rPr>
        <w:t xml:space="preserve">Oberholzer-Gee, </w:t>
      </w:r>
      <w:proofErr w:type="gramStart"/>
      <w:r w:rsidR="00434514" w:rsidRPr="00EA2A3A">
        <w:rPr>
          <w:rFonts w:ascii="Times New Roman" w:hAnsi="Times New Roman" w:cs="Times New Roman"/>
        </w:rPr>
        <w:t>F.</w:t>
      </w:r>
      <w:proofErr w:type="gramEnd"/>
      <w:r w:rsidR="00434514" w:rsidRPr="00EA2A3A">
        <w:rPr>
          <w:rFonts w:ascii="Times New Roman" w:hAnsi="Times New Roman" w:cs="Times New Roman"/>
        </w:rPr>
        <w:t xml:space="preserve"> and M. </w:t>
      </w:r>
      <w:proofErr w:type="spellStart"/>
      <w:r w:rsidR="00434514" w:rsidRPr="00EA2A3A">
        <w:rPr>
          <w:rFonts w:ascii="Times New Roman" w:hAnsi="Times New Roman" w:cs="Times New Roman"/>
        </w:rPr>
        <w:t>Mitsunari</w:t>
      </w:r>
      <w:proofErr w:type="spellEnd"/>
      <w:r w:rsidR="00434514" w:rsidRPr="00EA2A3A">
        <w:rPr>
          <w:rFonts w:ascii="Times New Roman" w:hAnsi="Times New Roman" w:cs="Times New Roman"/>
        </w:rPr>
        <w:t>. “Information Regulation: Do the Victims of Externalities Pay Attention?”</w:t>
      </w:r>
    </w:p>
    <w:p w14:paraId="6781AF36" w14:textId="061C9210" w:rsidR="00623420" w:rsidRPr="00EA2A3A" w:rsidRDefault="00434514">
      <w:pPr>
        <w:pStyle w:val="FootnoteText"/>
        <w:rPr>
          <w:rFonts w:ascii="Times New Roman" w:hAnsi="Times New Roman" w:cs="Times New Roman"/>
        </w:rPr>
      </w:pPr>
      <w:r w:rsidRPr="00EA2A3A">
        <w:rPr>
          <w:rFonts w:ascii="Times New Roman" w:hAnsi="Times New Roman" w:cs="Times New Roman"/>
        </w:rPr>
        <w:t>Journal of Regulatory Economics. 2006. 30: 141.</w:t>
      </w:r>
    </w:p>
  </w:footnote>
  <w:footnote w:id="74">
    <w:p w14:paraId="7F7066BE" w14:textId="222BA6B0" w:rsidR="00434514" w:rsidRPr="00EA2A3A" w:rsidRDefault="00434514" w:rsidP="00434514">
      <w:pPr>
        <w:spacing w:after="0" w:line="240" w:lineRule="auto"/>
        <w:ind w:right="809"/>
        <w:jc w:val="both"/>
        <w:rPr>
          <w:rFonts w:ascii="Times New Roman" w:hAnsi="Times New Roman" w:cs="Times New Roman"/>
          <w:sz w:val="20"/>
          <w:szCs w:val="20"/>
        </w:rPr>
      </w:pPr>
      <w:r w:rsidRPr="00EA2A3A">
        <w:rPr>
          <w:rStyle w:val="FootnoteReference"/>
          <w:rFonts w:ascii="Times New Roman" w:hAnsi="Times New Roman" w:cs="Times New Roman"/>
          <w:sz w:val="20"/>
          <w:szCs w:val="20"/>
        </w:rPr>
        <w:footnoteRef/>
      </w:r>
      <w:r w:rsidRPr="00EA2A3A">
        <w:rPr>
          <w:rFonts w:ascii="Times New Roman" w:hAnsi="Times New Roman" w:cs="Times New Roman"/>
          <w:sz w:val="20"/>
          <w:szCs w:val="20"/>
        </w:rPr>
        <w:t xml:space="preserve"> </w:t>
      </w:r>
      <w:proofErr w:type="spellStart"/>
      <w:r w:rsidRPr="00EA2A3A">
        <w:rPr>
          <w:rFonts w:ascii="Times New Roman" w:hAnsi="Times New Roman" w:cs="Times New Roman"/>
          <w:sz w:val="20"/>
          <w:szCs w:val="20"/>
        </w:rPr>
        <w:t>Mastromonaco</w:t>
      </w:r>
      <w:proofErr w:type="spellEnd"/>
      <w:r w:rsidRPr="00EA2A3A">
        <w:rPr>
          <w:rFonts w:ascii="Times New Roman" w:hAnsi="Times New Roman" w:cs="Times New Roman"/>
          <w:sz w:val="20"/>
          <w:szCs w:val="20"/>
        </w:rPr>
        <w:t xml:space="preserve">, Ralph. “Do Environmental Right-to-Know Laws Affect Markets? Capitalization of Information in the Toxic Release inventory,” </w:t>
      </w:r>
      <w:r w:rsidRPr="00EA2A3A">
        <w:rPr>
          <w:rFonts w:ascii="Times New Roman" w:hAnsi="Times New Roman" w:cs="Times New Roman"/>
          <w:i/>
          <w:sz w:val="20"/>
          <w:szCs w:val="20"/>
        </w:rPr>
        <w:t>Journal of Environmental Economics and Management</w:t>
      </w:r>
      <w:r w:rsidRPr="00EA2A3A">
        <w:rPr>
          <w:rFonts w:ascii="Times New Roman" w:hAnsi="Times New Roman" w:cs="Times New Roman"/>
          <w:sz w:val="20"/>
          <w:szCs w:val="20"/>
        </w:rPr>
        <w:t xml:space="preserve">, 71. 2015. May. Pp 54-70. To support this statement, the author cites </w:t>
      </w:r>
      <w:hyperlink r:id="rId22" w:anchor="bib16">
        <w:r w:rsidRPr="00EA2A3A">
          <w:rPr>
            <w:rFonts w:ascii="Times New Roman" w:hAnsi="Times New Roman" w:cs="Times New Roman"/>
            <w:color w:val="306C9D"/>
            <w:sz w:val="20"/>
            <w:szCs w:val="20"/>
            <w:u w:val="single" w:color="306C9D"/>
            <w:shd w:val="clear" w:color="auto" w:fill="FBFBFB"/>
          </w:rPr>
          <w:t>Hamilton (1995)</w:t>
        </w:r>
      </w:hyperlink>
      <w:r w:rsidRPr="00EA2A3A">
        <w:rPr>
          <w:rFonts w:ascii="Times New Roman" w:hAnsi="Times New Roman" w:cs="Times New Roman"/>
          <w:color w:val="2D2D2D"/>
          <w:sz w:val="20"/>
          <w:szCs w:val="20"/>
          <w:shd w:val="clear" w:color="auto" w:fill="FBFBFB"/>
        </w:rPr>
        <w:t xml:space="preserve">, </w:t>
      </w:r>
      <w:hyperlink r:id="rId23" w:anchor="bib17">
        <w:r w:rsidRPr="00EA2A3A">
          <w:rPr>
            <w:rFonts w:ascii="Times New Roman" w:hAnsi="Times New Roman" w:cs="Times New Roman"/>
            <w:color w:val="306C9D"/>
            <w:sz w:val="20"/>
            <w:szCs w:val="20"/>
            <w:u w:val="single" w:color="306C9D"/>
            <w:shd w:val="clear" w:color="auto" w:fill="FBFBFB"/>
          </w:rPr>
          <w:t>Khanna et al. (1998)</w:t>
        </w:r>
      </w:hyperlink>
      <w:r w:rsidRPr="00EA2A3A">
        <w:rPr>
          <w:rFonts w:ascii="Times New Roman" w:hAnsi="Times New Roman" w:cs="Times New Roman"/>
          <w:color w:val="2D2D2D"/>
          <w:sz w:val="20"/>
          <w:szCs w:val="20"/>
          <w:shd w:val="clear" w:color="auto" w:fill="FBFBFB"/>
        </w:rPr>
        <w:t xml:space="preserve">, </w:t>
      </w:r>
      <w:hyperlink r:id="rId24" w:anchor="bib3">
        <w:r w:rsidRPr="00EA2A3A">
          <w:rPr>
            <w:rFonts w:ascii="Times New Roman" w:hAnsi="Times New Roman" w:cs="Times New Roman"/>
            <w:color w:val="306C9D"/>
            <w:sz w:val="20"/>
            <w:szCs w:val="20"/>
            <w:u w:val="single" w:color="306C9D"/>
            <w:shd w:val="clear" w:color="auto" w:fill="FBFBFB"/>
          </w:rPr>
          <w:t>Bui (2005)</w:t>
        </w:r>
      </w:hyperlink>
      <w:r w:rsidRPr="00EA2A3A">
        <w:rPr>
          <w:rFonts w:ascii="Times New Roman" w:hAnsi="Times New Roman" w:cs="Times New Roman"/>
          <w:color w:val="2D2D2D"/>
          <w:sz w:val="20"/>
          <w:szCs w:val="20"/>
          <w:shd w:val="clear" w:color="auto" w:fill="FBFBFB"/>
        </w:rPr>
        <w:t xml:space="preserve">, </w:t>
      </w:r>
      <w:hyperlink r:id="rId25" w:anchor="bib4">
        <w:r w:rsidRPr="00EA2A3A">
          <w:rPr>
            <w:rFonts w:ascii="Times New Roman" w:hAnsi="Times New Roman" w:cs="Times New Roman"/>
            <w:color w:val="306C9D"/>
            <w:sz w:val="20"/>
            <w:szCs w:val="20"/>
            <w:u w:val="single" w:color="306C9D"/>
            <w:shd w:val="clear" w:color="auto" w:fill="FBFBFB"/>
          </w:rPr>
          <w:t>Bui and Mayer</w:t>
        </w:r>
      </w:hyperlink>
      <w:r w:rsidRPr="00EA2A3A">
        <w:rPr>
          <w:rFonts w:ascii="Times New Roman" w:hAnsi="Times New Roman" w:cs="Times New Roman"/>
          <w:color w:val="306C9D"/>
          <w:sz w:val="20"/>
          <w:szCs w:val="20"/>
          <w:u w:val="single" w:color="306C9D"/>
          <w:shd w:val="clear" w:color="auto" w:fill="FBFBFB"/>
        </w:rPr>
        <w:t xml:space="preserve"> </w:t>
      </w:r>
      <w:hyperlink r:id="rId26" w:anchor="bib4">
        <w:r w:rsidRPr="00EA2A3A">
          <w:rPr>
            <w:rFonts w:ascii="Times New Roman" w:hAnsi="Times New Roman" w:cs="Times New Roman"/>
            <w:color w:val="306C9D"/>
            <w:sz w:val="20"/>
            <w:szCs w:val="20"/>
            <w:u w:val="single" w:color="306C9D"/>
            <w:shd w:val="clear" w:color="auto" w:fill="FBFBFB"/>
          </w:rPr>
          <w:t>(2003)</w:t>
        </w:r>
      </w:hyperlink>
      <w:r w:rsidRPr="00EA2A3A">
        <w:rPr>
          <w:rFonts w:ascii="Times New Roman" w:hAnsi="Times New Roman" w:cs="Times New Roman"/>
          <w:color w:val="2D2D2D"/>
          <w:sz w:val="20"/>
          <w:szCs w:val="20"/>
          <w:shd w:val="clear" w:color="auto" w:fill="FBFBFB"/>
        </w:rPr>
        <w:t xml:space="preserve">, </w:t>
      </w:r>
      <w:hyperlink r:id="rId27" w:anchor="bib1">
        <w:r w:rsidRPr="00EA2A3A">
          <w:rPr>
            <w:rFonts w:ascii="Times New Roman" w:hAnsi="Times New Roman" w:cs="Times New Roman"/>
            <w:color w:val="306C9D"/>
            <w:sz w:val="20"/>
            <w:szCs w:val="20"/>
            <w:u w:val="single" w:color="306C9D"/>
            <w:shd w:val="clear" w:color="auto" w:fill="FBFBFB"/>
          </w:rPr>
          <w:t xml:space="preserve">Banzhaf and Walsh (2008) </w:t>
        </w:r>
      </w:hyperlink>
      <w:r w:rsidRPr="00EA2A3A">
        <w:rPr>
          <w:rFonts w:ascii="Times New Roman" w:hAnsi="Times New Roman" w:cs="Times New Roman"/>
          <w:color w:val="2D2D2D"/>
          <w:sz w:val="20"/>
          <w:szCs w:val="20"/>
          <w:shd w:val="clear" w:color="auto" w:fill="FBFBFB"/>
        </w:rPr>
        <w:t xml:space="preserve">and </w:t>
      </w:r>
      <w:hyperlink r:id="rId28" w:anchor="bib19">
        <w:proofErr w:type="spellStart"/>
        <w:r w:rsidRPr="00EA2A3A">
          <w:rPr>
            <w:rFonts w:ascii="Times New Roman" w:hAnsi="Times New Roman" w:cs="Times New Roman"/>
            <w:color w:val="306C9D"/>
            <w:sz w:val="20"/>
            <w:szCs w:val="20"/>
            <w:u w:val="single" w:color="306C9D"/>
            <w:shd w:val="clear" w:color="auto" w:fill="FBFBFB"/>
          </w:rPr>
          <w:t>Konar</w:t>
        </w:r>
        <w:proofErr w:type="spellEnd"/>
        <w:r w:rsidRPr="00EA2A3A">
          <w:rPr>
            <w:rFonts w:ascii="Times New Roman" w:hAnsi="Times New Roman" w:cs="Times New Roman"/>
            <w:color w:val="306C9D"/>
            <w:sz w:val="20"/>
            <w:szCs w:val="20"/>
            <w:u w:val="single" w:color="306C9D"/>
            <w:shd w:val="clear" w:color="auto" w:fill="FBFBFB"/>
          </w:rPr>
          <w:t xml:space="preserve"> and Cohen (1997)</w:t>
        </w:r>
        <w:r w:rsidRPr="00EA2A3A">
          <w:rPr>
            <w:rFonts w:ascii="Times New Roman" w:hAnsi="Times New Roman" w:cs="Times New Roman"/>
            <w:color w:val="2D2D2D"/>
            <w:sz w:val="20"/>
            <w:szCs w:val="20"/>
            <w:shd w:val="clear" w:color="auto" w:fill="FBFBFB"/>
          </w:rPr>
          <w:t>.</w:t>
        </w:r>
      </w:hyperlink>
    </w:p>
  </w:footnote>
  <w:footnote w:id="75">
    <w:p w14:paraId="64E94CA2" w14:textId="220627C4" w:rsidR="00434514" w:rsidRPr="00FC2D52" w:rsidRDefault="00434514">
      <w:pPr>
        <w:pStyle w:val="FootnoteText"/>
        <w:rPr>
          <w:rFonts w:ascii="Times New Roman" w:hAnsi="Times New Roman" w:cs="Times New Roman"/>
        </w:rPr>
      </w:pPr>
      <w:r w:rsidRPr="00EA2A3A">
        <w:rPr>
          <w:rStyle w:val="FootnoteReference"/>
          <w:rFonts w:ascii="Times New Roman" w:hAnsi="Times New Roman" w:cs="Times New Roman"/>
        </w:rPr>
        <w:footnoteRef/>
      </w:r>
      <w:r w:rsidRPr="00EA2A3A">
        <w:rPr>
          <w:rFonts w:ascii="Times New Roman" w:hAnsi="Times New Roman" w:cs="Times New Roman"/>
        </w:rPr>
        <w:t xml:space="preserve"> See </w:t>
      </w:r>
      <w:r w:rsidRPr="00024556">
        <w:rPr>
          <w:rFonts w:ascii="Times New Roman" w:hAnsi="Times New Roman" w:cs="Times New Roman"/>
        </w:rPr>
        <w:t>footnote 4</w:t>
      </w:r>
      <w:r w:rsidR="00E70D26" w:rsidRPr="00024556">
        <w:rPr>
          <w:rFonts w:ascii="Times New Roman" w:hAnsi="Times New Roman" w:cs="Times New Roman"/>
        </w:rPr>
        <w:t>3</w:t>
      </w:r>
      <w:r w:rsidR="00A770D4">
        <w:rPr>
          <w:rFonts w:ascii="Times New Roman" w:hAnsi="Times New Roman" w:cs="Times New Roman"/>
        </w:rPr>
        <w:t xml:space="preserve"> </w:t>
      </w:r>
      <w:r w:rsidRPr="00EA2A3A">
        <w:rPr>
          <w:rFonts w:ascii="Times New Roman" w:hAnsi="Times New Roman" w:cs="Times New Roman"/>
        </w:rPr>
        <w:t xml:space="preserve">for the full </w:t>
      </w:r>
      <w:proofErr w:type="spellStart"/>
      <w:r w:rsidRPr="00EA2A3A">
        <w:rPr>
          <w:rFonts w:ascii="Times New Roman" w:hAnsi="Times New Roman" w:cs="Times New Roman"/>
        </w:rPr>
        <w:t>Mastromonaco</w:t>
      </w:r>
      <w:proofErr w:type="spellEnd"/>
      <w:r w:rsidRPr="00EA2A3A">
        <w:rPr>
          <w:rFonts w:ascii="Times New Roman" w:hAnsi="Times New Roman" w:cs="Times New Roman"/>
        </w:rPr>
        <w:t xml:space="preserve"> (2015) citation.</w:t>
      </w:r>
    </w:p>
  </w:footnote>
  <w:footnote w:id="76">
    <w:p w14:paraId="7615CFF6" w14:textId="77777777" w:rsidR="00D77E2A" w:rsidRPr="000E5E20" w:rsidRDefault="00D77E2A" w:rsidP="00D77E2A">
      <w:pPr>
        <w:pStyle w:val="FootnoteText"/>
        <w:rPr>
          <w:rFonts w:ascii="Times New Roman" w:hAnsi="Times New Roman" w:cs="Times New Roman"/>
        </w:rPr>
      </w:pPr>
      <w:r w:rsidRPr="000E5E20">
        <w:rPr>
          <w:rStyle w:val="FootnoteReference"/>
          <w:rFonts w:ascii="Times New Roman" w:hAnsi="Times New Roman" w:cs="Times New Roman"/>
        </w:rPr>
        <w:footnoteRef/>
      </w:r>
      <w:r w:rsidRPr="000E5E20">
        <w:rPr>
          <w:rFonts w:ascii="Times New Roman" w:hAnsi="Times New Roman" w:cs="Times New Roman"/>
        </w:rPr>
        <w:t xml:space="preserve"> See Exhibit 6-7 for more details.</w:t>
      </w:r>
    </w:p>
  </w:footnote>
  <w:footnote w:id="77">
    <w:p w14:paraId="0357A9F1" w14:textId="5B3B8D35" w:rsidR="00417CC9" w:rsidRPr="00AE3FE2" w:rsidRDefault="00417CC9">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Marsh, The 100 Largest Losses, 1974-2013, Large Property Damage Losses in the Hydrocarbon Industry, 23rd Edition. </w:t>
      </w:r>
      <w:hyperlink r:id="rId29">
        <w:r w:rsidRPr="00AE3FE2">
          <w:rPr>
            <w:rFonts w:ascii="Times New Roman" w:hAnsi="Times New Roman" w:cs="Times New Roman"/>
            <w:color w:val="0462C1"/>
            <w:w w:val="95"/>
            <w:u w:val="single" w:color="0462C1"/>
          </w:rPr>
          <w:t>https://uk.marsh.com/Portals/18/Documents/100%20Largest%20Losses%2023rd%20Edition%202014.pdf.</w:t>
        </w:r>
      </w:hyperlink>
      <w:r w:rsidRPr="00AE3FE2">
        <w:rPr>
          <w:rFonts w:ascii="Times New Roman" w:hAnsi="Times New Roman" w:cs="Times New Roman"/>
          <w:color w:val="0462C1"/>
          <w:w w:val="95"/>
        </w:rPr>
        <w:t xml:space="preserve">      </w:t>
      </w:r>
    </w:p>
  </w:footnote>
  <w:footnote w:id="78">
    <w:p w14:paraId="0685A2F5" w14:textId="29EB3E10" w:rsidR="003779BC" w:rsidRPr="00AE3FE2" w:rsidRDefault="003779BC">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EPA instructions for RMP submissions specifically direct the owner or operator not to include any losses incurred </w:t>
      </w:r>
      <w:proofErr w:type="gramStart"/>
      <w:r w:rsidRPr="00AE3FE2">
        <w:rPr>
          <w:rFonts w:ascii="Times New Roman" w:hAnsi="Times New Roman" w:cs="Times New Roman"/>
        </w:rPr>
        <w:t>as a result of</w:t>
      </w:r>
      <w:proofErr w:type="gramEnd"/>
      <w:r w:rsidRPr="00AE3FE2">
        <w:rPr>
          <w:rFonts w:ascii="Times New Roman" w:hAnsi="Times New Roman" w:cs="Times New Roman"/>
        </w:rPr>
        <w:t xml:space="preserve"> business interruption. See page 74 of the RMP*</w:t>
      </w:r>
      <w:proofErr w:type="spellStart"/>
      <w:r w:rsidRPr="00AE3FE2">
        <w:rPr>
          <w:rFonts w:ascii="Times New Roman" w:hAnsi="Times New Roman" w:cs="Times New Roman"/>
        </w:rPr>
        <w:t>eSubmit</w:t>
      </w:r>
      <w:proofErr w:type="spellEnd"/>
      <w:r w:rsidRPr="00AE3FE2">
        <w:rPr>
          <w:rFonts w:ascii="Times New Roman" w:hAnsi="Times New Roman" w:cs="Times New Roman"/>
        </w:rPr>
        <w:t xml:space="preserve"> User’s Manual (EPA, August 2019); </w:t>
      </w:r>
      <w:hyperlink r:id="rId30">
        <w:r w:rsidRPr="00AE3FE2">
          <w:rPr>
            <w:rFonts w:ascii="Times New Roman" w:hAnsi="Times New Roman" w:cs="Times New Roman"/>
            <w:color w:val="0462C1"/>
            <w:u w:val="single" w:color="0462C1"/>
          </w:rPr>
          <w:t>http://www.epa.gov/rmp/rmpesubmit-users-manual</w:t>
        </w:r>
        <w:r w:rsidRPr="00AE3FE2">
          <w:rPr>
            <w:rFonts w:ascii="Times New Roman" w:hAnsi="Times New Roman" w:cs="Times New Roman"/>
          </w:rPr>
          <w:t>.</w:t>
        </w:r>
      </w:hyperlink>
    </w:p>
  </w:footnote>
  <w:footnote w:id="79">
    <w:p w14:paraId="51385762" w14:textId="5EC79CFE" w:rsidR="003779BC" w:rsidRPr="00AE3FE2" w:rsidRDefault="003779BC" w:rsidP="003779BC">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Marsh, The 100 Largest Losses, 1974-201</w:t>
      </w:r>
      <w:r w:rsidR="00B857E2" w:rsidRPr="00AE3FE2">
        <w:rPr>
          <w:rFonts w:ascii="Times New Roman" w:hAnsi="Times New Roman" w:cs="Times New Roman"/>
        </w:rPr>
        <w:t>9</w:t>
      </w:r>
      <w:r w:rsidRPr="00AE3FE2">
        <w:rPr>
          <w:rFonts w:ascii="Times New Roman" w:hAnsi="Times New Roman" w:cs="Times New Roman"/>
        </w:rPr>
        <w:t>, Large property damage losses in the Hydrocarbon Industry</w:t>
      </w:r>
    </w:p>
    <w:p w14:paraId="679F35CF" w14:textId="478310D0" w:rsidR="003779BC" w:rsidRPr="00AE3FE2" w:rsidRDefault="003779BC" w:rsidP="003779BC">
      <w:pPr>
        <w:pStyle w:val="FootnoteText"/>
        <w:rPr>
          <w:rFonts w:ascii="Times New Roman" w:hAnsi="Times New Roman" w:cs="Times New Roman"/>
        </w:rPr>
      </w:pPr>
      <w:r w:rsidRPr="00AE3FE2">
        <w:rPr>
          <w:rFonts w:ascii="Times New Roman" w:hAnsi="Times New Roman" w:cs="Times New Roman"/>
        </w:rPr>
        <w:t>2</w:t>
      </w:r>
      <w:r w:rsidR="00B857E2" w:rsidRPr="00AE3FE2">
        <w:rPr>
          <w:rFonts w:ascii="Times New Roman" w:hAnsi="Times New Roman" w:cs="Times New Roman"/>
        </w:rPr>
        <w:t>6th</w:t>
      </w:r>
      <w:r w:rsidRPr="00AE3FE2">
        <w:rPr>
          <w:rFonts w:ascii="Times New Roman" w:hAnsi="Times New Roman" w:cs="Times New Roman"/>
        </w:rPr>
        <w:t xml:space="preserve"> Edition. Marsh provides estimates of property damage in current dollars and in a few cases, business loss costs.</w:t>
      </w:r>
    </w:p>
  </w:footnote>
  <w:footnote w:id="80">
    <w:p w14:paraId="1D0E47AC" w14:textId="7F39E7D0" w:rsidR="00E91F27" w:rsidRPr="00FC2D52" w:rsidRDefault="00E91F27">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RAND, Cost-Benefit Analysis of Proposed California Oil and Gas Refinery Regulations. https://www.rand.org/content/dam/rand/pubs/research_reports/RR1400/RR1421/RAND_RR1421.pdf</w:t>
      </w:r>
      <w:r w:rsidR="00AE3FE2" w:rsidRPr="00AE3FE2">
        <w:rPr>
          <w:rFonts w:ascii="Times New Roman" w:hAnsi="Times New Roman" w:cs="Times New Roman"/>
        </w:rPr>
        <w:t>.</w:t>
      </w:r>
    </w:p>
  </w:footnote>
  <w:footnote w:id="81">
    <w:p w14:paraId="055EAFD4" w14:textId="101C9966" w:rsidR="00E91F27" w:rsidRPr="00AE3FE2" w:rsidRDefault="00E91F27">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w:t>
      </w:r>
      <w:r w:rsidR="00AB5421" w:rsidRPr="00AE3FE2">
        <w:rPr>
          <w:rFonts w:ascii="Times New Roman" w:hAnsi="Times New Roman" w:cs="Times New Roman"/>
        </w:rPr>
        <w:t>http://www.nytimes.com/1989/10/25/us/reverberations-for-industries-but-not-for-us-households.html.</w:t>
      </w:r>
    </w:p>
  </w:footnote>
  <w:footnote w:id="82">
    <w:p w14:paraId="17EB29EB" w14:textId="4570F96F" w:rsidR="00134BFC" w:rsidRPr="00AE3FE2" w:rsidRDefault="00134BFC">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See Marsh, 3/25/1999 Richmond, CA explosion.</w:t>
      </w:r>
    </w:p>
  </w:footnote>
  <w:footnote w:id="83">
    <w:p w14:paraId="3C20F641" w14:textId="334675CE" w:rsidR="000F1BBF" w:rsidRPr="00AE3FE2" w:rsidRDefault="000F1BBF">
      <w:pPr>
        <w:pStyle w:val="FootnoteText"/>
        <w:rPr>
          <w:rFonts w:ascii="Times New Roman" w:hAnsi="Times New Roman" w:cs="Times New Roman"/>
        </w:rPr>
      </w:pPr>
      <w:r w:rsidRPr="00AE3FE2">
        <w:rPr>
          <w:rStyle w:val="FootnoteReference"/>
          <w:rFonts w:ascii="Times New Roman" w:hAnsi="Times New Roman" w:cs="Times New Roman"/>
        </w:rPr>
        <w:footnoteRef/>
      </w:r>
      <w:r w:rsidRPr="00AE3FE2">
        <w:rPr>
          <w:rFonts w:ascii="Times New Roman" w:hAnsi="Times New Roman" w:cs="Times New Roman"/>
        </w:rPr>
        <w:t xml:space="preserve"> See Marsh, Shell Norco explosion.</w:t>
      </w:r>
    </w:p>
  </w:footnote>
  <w:footnote w:id="84">
    <w:p w14:paraId="5A91A3FE" w14:textId="19A8EEE8" w:rsidR="00961293" w:rsidRPr="00EC7904" w:rsidRDefault="00961293" w:rsidP="00AC0ED3">
      <w:pPr>
        <w:pStyle w:val="EndNoteBibliography"/>
        <w:jc w:val="left"/>
        <w:rPr>
          <w:sz w:val="20"/>
          <w:szCs w:val="20"/>
        </w:rPr>
      </w:pPr>
      <w:r w:rsidRPr="00EC7904">
        <w:rPr>
          <w:rStyle w:val="FootnoteReference"/>
          <w:sz w:val="20"/>
          <w:szCs w:val="20"/>
        </w:rPr>
        <w:footnoteRef/>
      </w:r>
      <w:r w:rsidRPr="00EC7904">
        <w:rPr>
          <w:sz w:val="20"/>
          <w:szCs w:val="20"/>
        </w:rPr>
        <w:t xml:space="preserve"> For examples of studies of the impact of air quality on property values see </w:t>
      </w:r>
      <w:bookmarkStart w:id="128" w:name="_Hlk99961200"/>
      <w:r w:rsidRPr="00EC7904">
        <w:rPr>
          <w:sz w:val="20"/>
          <w:szCs w:val="20"/>
        </w:rPr>
        <w:t xml:space="preserve">Currie, Janet, Lucas Davic, Michael Greenstone, and Reed Walker. 2015. Environmental Health Risks and Housing Values: Evidence from 1,600 Toxic Plant Openings and Closings. </w:t>
      </w:r>
      <w:r w:rsidRPr="00EC7904">
        <w:rPr>
          <w:i/>
          <w:sz w:val="20"/>
          <w:szCs w:val="20"/>
        </w:rPr>
        <w:t>American Economic Review.</w:t>
      </w:r>
      <w:r w:rsidRPr="00EC7904">
        <w:rPr>
          <w:sz w:val="20"/>
          <w:szCs w:val="20"/>
        </w:rPr>
        <w:t xml:space="preserve"> 105(2): 678-709; or Lang, Corey. 2015. The dynamics of house price responsiveness and locational sorting: Evidence from air quality changes. </w:t>
      </w:r>
      <w:r w:rsidRPr="00EC7904">
        <w:rPr>
          <w:i/>
          <w:sz w:val="20"/>
          <w:szCs w:val="20"/>
        </w:rPr>
        <w:t>Regional Science and Urban Economics</w:t>
      </w:r>
      <w:r w:rsidRPr="00EC7904">
        <w:rPr>
          <w:sz w:val="20"/>
          <w:szCs w:val="20"/>
        </w:rPr>
        <w:t xml:space="preserve">. 52: 71-82.  </w:t>
      </w:r>
      <w:bookmarkEnd w:id="128"/>
      <w:r w:rsidRPr="00EC7904">
        <w:rPr>
          <w:sz w:val="20"/>
          <w:szCs w:val="20"/>
        </w:rPr>
        <w:t xml:space="preserve">For reviews of the literature, see Boyle, M. A. and K. A. Kiel. 2001. A Survey of House Price Hedonic Studies of the Impact of Environmental Externalities. Journal of Real Estate Literature 9(2): 117-144.  or Banzhaf, S. and E. McCormick, 2012. “Moving Beyond Cleanup” The Political Economy of Environmental Justice. Ed by H. Spencer Banzhaf. University Press or Stanford Scholarship Online: June 2013.  </w:t>
      </w:r>
    </w:p>
  </w:footnote>
  <w:footnote w:id="85">
    <w:p w14:paraId="204D3EF0" w14:textId="77777777" w:rsidR="00961293" w:rsidRPr="00EC7904" w:rsidRDefault="00961293" w:rsidP="00961293">
      <w:pPr>
        <w:pStyle w:val="FootnoteText"/>
        <w:rPr>
          <w:rFonts w:ascii="Times New Roman" w:hAnsi="Times New Roman" w:cs="Times New Roman"/>
        </w:rPr>
      </w:pPr>
      <w:r w:rsidRPr="00EC7904">
        <w:rPr>
          <w:rStyle w:val="FootnoteReference"/>
          <w:rFonts w:ascii="Times New Roman" w:hAnsi="Times New Roman" w:cs="Times New Roman"/>
        </w:rPr>
        <w:footnoteRef/>
      </w:r>
      <w:r w:rsidRPr="00EC7904">
        <w:rPr>
          <w:rFonts w:ascii="Times New Roman" w:hAnsi="Times New Roman" w:cs="Times New Roman"/>
        </w:rPr>
        <w:t xml:space="preserve">For a review of papers that have estimated the impacts of hazardous industrial facilities on property values, see </w:t>
      </w:r>
      <w:proofErr w:type="spellStart"/>
      <w:r w:rsidRPr="00EC7904">
        <w:rPr>
          <w:rFonts w:ascii="Times New Roman" w:hAnsi="Times New Roman" w:cs="Times New Roman"/>
        </w:rPr>
        <w:t>Grislain-Letrémy</w:t>
      </w:r>
      <w:proofErr w:type="spellEnd"/>
      <w:r w:rsidRPr="00EC7904">
        <w:rPr>
          <w:rFonts w:ascii="Times New Roman" w:hAnsi="Times New Roman" w:cs="Times New Roman"/>
        </w:rPr>
        <w:t xml:space="preserve">, C. and A. </w:t>
      </w:r>
      <w:proofErr w:type="spellStart"/>
      <w:r w:rsidRPr="00EC7904">
        <w:rPr>
          <w:rFonts w:ascii="Times New Roman" w:hAnsi="Times New Roman" w:cs="Times New Roman"/>
        </w:rPr>
        <w:t>Katossky</w:t>
      </w:r>
      <w:proofErr w:type="spellEnd"/>
      <w:r w:rsidRPr="00EC7904">
        <w:rPr>
          <w:rFonts w:ascii="Times New Roman" w:hAnsi="Times New Roman" w:cs="Times New Roman"/>
        </w:rPr>
        <w:t xml:space="preserve"> 2014. The impact of hazardous industrial facilities on housing prices: A comparison of parametric and semiparametric hedonic price models. Regional Science and Urban Economics 49: 93-107 for a review of the literature. (Their Appendix A.1 summarizes findings.)</w:t>
      </w:r>
    </w:p>
  </w:footnote>
  <w:footnote w:id="86">
    <w:p w14:paraId="4E7433BC" w14:textId="77777777" w:rsidR="00961293" w:rsidRPr="00EC7904" w:rsidRDefault="00961293" w:rsidP="00961293">
      <w:pPr>
        <w:pStyle w:val="FootnoteText"/>
        <w:rPr>
          <w:rFonts w:ascii="Times New Roman" w:hAnsi="Times New Roman" w:cs="Times New Roman"/>
        </w:rPr>
      </w:pPr>
      <w:r w:rsidRPr="00EC7904">
        <w:rPr>
          <w:rStyle w:val="FootnoteReference"/>
          <w:rFonts w:ascii="Times New Roman" w:hAnsi="Times New Roman" w:cs="Times New Roman"/>
        </w:rPr>
        <w:footnoteRef/>
      </w:r>
      <w:r w:rsidRPr="00EC7904">
        <w:rPr>
          <w:rFonts w:ascii="Times New Roman" w:hAnsi="Times New Roman" w:cs="Times New Roman"/>
        </w:rPr>
        <w:t xml:space="preserve"> Carroll, T.M., </w:t>
      </w:r>
      <w:proofErr w:type="spellStart"/>
      <w:r w:rsidRPr="00EC7904">
        <w:rPr>
          <w:rFonts w:ascii="Times New Roman" w:hAnsi="Times New Roman" w:cs="Times New Roman"/>
        </w:rPr>
        <w:t>Clauretie</w:t>
      </w:r>
      <w:proofErr w:type="spellEnd"/>
      <w:r w:rsidRPr="00EC7904">
        <w:rPr>
          <w:rFonts w:ascii="Times New Roman" w:hAnsi="Times New Roman" w:cs="Times New Roman"/>
        </w:rPr>
        <w:t xml:space="preserve">, T.M., Jensen, J. and </w:t>
      </w:r>
      <w:proofErr w:type="spellStart"/>
      <w:r w:rsidRPr="00EC7904">
        <w:rPr>
          <w:rFonts w:ascii="Times New Roman" w:hAnsi="Times New Roman" w:cs="Times New Roman"/>
        </w:rPr>
        <w:t>Waddoups</w:t>
      </w:r>
      <w:proofErr w:type="spellEnd"/>
      <w:r w:rsidRPr="00EC7904">
        <w:rPr>
          <w:rFonts w:ascii="Times New Roman" w:hAnsi="Times New Roman" w:cs="Times New Roman"/>
        </w:rPr>
        <w:t>, M. September 1996. The Economic Impact of a Transient Hazard on Property Values: The 1988 PEPCON Explosion in Henderson, Nevada. The Journal of Real Estate Finance and Economics, Volume 13, Issue 2, pp 143-167.</w:t>
      </w:r>
    </w:p>
  </w:footnote>
  <w:footnote w:id="87">
    <w:p w14:paraId="5AF19620" w14:textId="77777777" w:rsidR="00961293" w:rsidRPr="00EC7904" w:rsidRDefault="00961293" w:rsidP="00961293">
      <w:pPr>
        <w:pStyle w:val="FootnoteText"/>
        <w:rPr>
          <w:rFonts w:ascii="Times New Roman" w:hAnsi="Times New Roman" w:cs="Times New Roman"/>
        </w:rPr>
      </w:pPr>
      <w:r w:rsidRPr="00EC7904">
        <w:rPr>
          <w:rStyle w:val="FootnoteReference"/>
          <w:rFonts w:ascii="Times New Roman" w:hAnsi="Times New Roman" w:cs="Times New Roman"/>
        </w:rPr>
        <w:footnoteRef/>
      </w:r>
      <w:r w:rsidRPr="00EC7904">
        <w:rPr>
          <w:rFonts w:ascii="Times New Roman" w:hAnsi="Times New Roman" w:cs="Times New Roman"/>
        </w:rPr>
        <w:t xml:space="preserve"> An important difference between a pipeline and a chemical facility is that pipelines may not be as noticeable. Pipeline accidents may increase awareness of baseline risks as well as change perceptions of post-accident risks.</w:t>
      </w:r>
    </w:p>
  </w:footnote>
  <w:footnote w:id="88">
    <w:p w14:paraId="72234E61" w14:textId="5A604B3E" w:rsidR="00EA7864" w:rsidRPr="00EC7904" w:rsidRDefault="00EA7864" w:rsidP="009128A3">
      <w:pPr>
        <w:spacing w:after="0" w:line="240" w:lineRule="auto"/>
        <w:rPr>
          <w:rFonts w:ascii="Times New Roman" w:hAnsi="Times New Roman" w:cs="Times New Roman"/>
          <w:sz w:val="20"/>
          <w:szCs w:val="20"/>
        </w:rPr>
      </w:pPr>
      <w:r w:rsidRPr="00EC7904">
        <w:rPr>
          <w:rStyle w:val="FootnoteReference"/>
          <w:rFonts w:ascii="Times New Roman" w:hAnsi="Times New Roman" w:cs="Times New Roman"/>
          <w:sz w:val="20"/>
          <w:szCs w:val="20"/>
        </w:rPr>
        <w:footnoteRef/>
      </w:r>
      <w:r w:rsidRPr="00EC7904">
        <w:rPr>
          <w:rFonts w:ascii="Times New Roman" w:hAnsi="Times New Roman" w:cs="Times New Roman"/>
          <w:sz w:val="20"/>
          <w:szCs w:val="20"/>
        </w:rPr>
        <w:t xml:space="preserve"> Cheng, N., M. Li, P. Liu, Q. Luo, C. Tang, and W. Zhang. 2021. Pipeline and Property Values: A Nationwide Hedonic Analysis of Pipeline Accidents Over the Past Three Decades. Poster presentation at 2021 Annual AAEA meeting. Available at: </w:t>
      </w:r>
      <w:hyperlink r:id="rId31" w:history="1">
        <w:r w:rsidRPr="00EC7904">
          <w:rPr>
            <w:rFonts w:ascii="Times New Roman" w:hAnsi="Times New Roman" w:cs="Times New Roman"/>
            <w:color w:val="0563C1" w:themeColor="hyperlink"/>
            <w:sz w:val="20"/>
            <w:szCs w:val="20"/>
            <w:u w:val="single"/>
          </w:rPr>
          <w:t>https://ideas.repec.org/p/ags/aaea21/312676.html</w:t>
        </w:r>
      </w:hyperlink>
      <w:r w:rsidRPr="00EC7904">
        <w:rPr>
          <w:rFonts w:ascii="Times New Roman" w:hAnsi="Times New Roman" w:cs="Times New Roman"/>
          <w:sz w:val="20"/>
          <w:szCs w:val="20"/>
        </w:rPr>
        <w:t xml:space="preserve">. </w:t>
      </w:r>
    </w:p>
  </w:footnote>
  <w:footnote w:id="89">
    <w:p w14:paraId="011939DF" w14:textId="77777777" w:rsidR="00961293" w:rsidRPr="00EC7904" w:rsidRDefault="00961293" w:rsidP="00961293">
      <w:pPr>
        <w:pStyle w:val="FootnoteText"/>
        <w:rPr>
          <w:rFonts w:ascii="Times New Roman" w:hAnsi="Times New Roman" w:cs="Times New Roman"/>
        </w:rPr>
      </w:pPr>
      <w:r w:rsidRPr="00EC7904">
        <w:rPr>
          <w:rStyle w:val="FootnoteReference"/>
          <w:rFonts w:ascii="Times New Roman" w:hAnsi="Times New Roman" w:cs="Times New Roman"/>
        </w:rPr>
        <w:footnoteRef/>
      </w:r>
      <w:r w:rsidRPr="00EC7904">
        <w:rPr>
          <w:rFonts w:ascii="Times New Roman" w:hAnsi="Times New Roman" w:cs="Times New Roman"/>
        </w:rPr>
        <w:t xml:space="preserve"> Hansen, J. L., E. D. </w:t>
      </w:r>
      <w:proofErr w:type="gramStart"/>
      <w:r w:rsidRPr="00EC7904">
        <w:rPr>
          <w:rFonts w:ascii="Times New Roman" w:hAnsi="Times New Roman" w:cs="Times New Roman"/>
        </w:rPr>
        <w:t>Benson</w:t>
      </w:r>
      <w:proofErr w:type="gramEnd"/>
      <w:r w:rsidRPr="00EC7904">
        <w:rPr>
          <w:rFonts w:ascii="Times New Roman" w:hAnsi="Times New Roman" w:cs="Times New Roman"/>
        </w:rPr>
        <w:t xml:space="preserve"> and D. A. Hagen. 2006. Environmental Hazards and Residential Property Values: Evidence from a Major Pipeline Event. Land Economics 82(4): 529-541.</w:t>
      </w:r>
    </w:p>
  </w:footnote>
  <w:footnote w:id="90">
    <w:p w14:paraId="36BA7384" w14:textId="77777777" w:rsidR="0075046B" w:rsidRPr="00A770D4" w:rsidRDefault="0075046B" w:rsidP="00F01FC0">
      <w:pPr>
        <w:pStyle w:val="TOC2"/>
      </w:pPr>
      <w:r w:rsidRPr="00167F64">
        <w:rPr>
          <w:vertAlign w:val="superscript"/>
        </w:rPr>
        <w:footnoteRef/>
      </w:r>
      <w:r w:rsidRPr="00167F64">
        <w:rPr>
          <w:vertAlign w:val="superscript"/>
        </w:rPr>
        <w:t xml:space="preserve"> </w:t>
      </w:r>
      <w:r w:rsidRPr="00167F64">
        <w:t>Some small governments serve substantial populations associated with businesses, particularly irrigation districts that serve large farming areas but few residences, and small cities that have large tourist-related businesses.</w:t>
      </w:r>
    </w:p>
  </w:footnote>
  <w:footnote w:id="91">
    <w:p w14:paraId="29EE656C" w14:textId="5F4804BF" w:rsidR="0075046B" w:rsidRPr="00A770D4" w:rsidRDefault="0075046B" w:rsidP="00F01FC0">
      <w:pPr>
        <w:pStyle w:val="TOC2"/>
      </w:pPr>
      <w:r w:rsidRPr="00167F64">
        <w:rPr>
          <w:vertAlign w:val="superscript"/>
        </w:rPr>
        <w:footnoteRef/>
      </w:r>
      <w:r w:rsidRPr="00167F64">
        <w:t xml:space="preserve"> See Chapter 2 of Final Guidance for EPA Rulewriters: Regulatory Flexibility Act, </w:t>
      </w:r>
      <w:hyperlink r:id="rId32" w:history="1">
        <w:r w:rsidR="0048729A" w:rsidRPr="00B94B45">
          <w:rPr>
            <w:rStyle w:val="Hyperlink"/>
          </w:rPr>
          <w:t>http://www.epa.gov/rfa/documents/Guidance-RegFlexAct.pdf</w:t>
        </w:r>
      </w:hyperlink>
      <w:r w:rsidR="0048729A">
        <w:t xml:space="preserve"> .</w:t>
      </w:r>
    </w:p>
  </w:footnote>
  <w:footnote w:id="92">
    <w:p w14:paraId="39B5AB3D" w14:textId="37EE16F1" w:rsidR="0075046B" w:rsidRPr="00A770D4" w:rsidRDefault="0075046B" w:rsidP="00F01FC0">
      <w:pPr>
        <w:pStyle w:val="TOC2"/>
      </w:pPr>
      <w:r w:rsidRPr="00167F64">
        <w:rPr>
          <w:vertAlign w:val="superscript"/>
        </w:rPr>
        <w:footnoteRef/>
      </w:r>
      <w:r w:rsidRPr="00167F64">
        <w:t xml:space="preserve"> </w:t>
      </w:r>
      <w:hyperlink r:id="rId33" w:history="1">
        <w:r w:rsidR="0048729A" w:rsidRPr="00B94B45">
          <w:rPr>
            <w:rStyle w:val="Hyperlink"/>
          </w:rPr>
          <w:t>http://www.usda.gov/wps/portal/usda/usdahome?contentid=2013/10/0199.xml</w:t>
        </w:r>
      </w:hyperlink>
      <w:r w:rsidR="0048729A">
        <w:t xml:space="preserve"> .</w:t>
      </w:r>
    </w:p>
  </w:footnote>
  <w:footnote w:id="93">
    <w:p w14:paraId="482EDDE5" w14:textId="13DC2A12" w:rsidR="00157AE0" w:rsidRPr="00335421" w:rsidRDefault="00157AE0" w:rsidP="007B69CE">
      <w:pPr>
        <w:pStyle w:val="FootnoteText"/>
        <w:rPr>
          <w:rFonts w:ascii="Times New Roman" w:hAnsi="Times New Roman" w:cs="Times New Roman"/>
        </w:rPr>
      </w:pPr>
      <w:r w:rsidRPr="00335421">
        <w:rPr>
          <w:rStyle w:val="FootnoteReference"/>
          <w:rFonts w:ascii="Times New Roman" w:hAnsi="Times New Roman" w:cs="Times New Roman"/>
        </w:rPr>
        <w:footnoteRef/>
      </w:r>
      <w:r w:rsidRPr="00FC2D52">
        <w:rPr>
          <w:rFonts w:ascii="Times New Roman" w:hAnsi="Times New Roman" w:cs="Times New Roman"/>
        </w:rPr>
        <w:t xml:space="preserve"> </w:t>
      </w:r>
      <w:r w:rsidRPr="00335421">
        <w:rPr>
          <w:rFonts w:ascii="Times New Roman" w:hAnsi="Times New Roman" w:cs="Times New Roman"/>
        </w:rPr>
        <w:t xml:space="preserve">SBA definitions of small businesses apply to a </w:t>
      </w:r>
      <w:r w:rsidRPr="007763EA">
        <w:rPr>
          <w:rFonts w:ascii="Times New Roman" w:hAnsi="Times New Roman" w:cs="Times New Roman"/>
        </w:rPr>
        <w:t>firm</w:t>
      </w:r>
      <w:r w:rsidR="007763EA">
        <w:rPr>
          <w:rFonts w:ascii="Times New Roman" w:hAnsi="Times New Roman" w:cs="Times New Roman"/>
        </w:rPr>
        <w:t>’</w:t>
      </w:r>
      <w:r w:rsidRPr="007763EA">
        <w:rPr>
          <w:rFonts w:ascii="Times New Roman" w:hAnsi="Times New Roman" w:cs="Times New Roman"/>
        </w:rPr>
        <w:t>s</w:t>
      </w:r>
      <w:r w:rsidRPr="00335421">
        <w:rPr>
          <w:rFonts w:ascii="Times New Roman" w:hAnsi="Times New Roman" w:cs="Times New Roman"/>
        </w:rPr>
        <w:t xml:space="preserve"> parent company and all affiliates as a single entity.</w:t>
      </w:r>
    </w:p>
  </w:footnote>
  <w:footnote w:id="94">
    <w:p w14:paraId="0977162F" w14:textId="77777777" w:rsidR="0075046B" w:rsidRPr="00956202" w:rsidRDefault="0075046B" w:rsidP="00F01FC0">
      <w:pPr>
        <w:pStyle w:val="TOC2"/>
      </w:pPr>
      <w:r w:rsidRPr="00167F64">
        <w:rPr>
          <w:vertAlign w:val="superscript"/>
        </w:rPr>
        <w:footnoteRef/>
      </w:r>
      <w:r w:rsidRPr="00167F64">
        <w:t xml:space="preserve"> In some cases, NAICS codes are disaggregated to 5 digits and in others 6 digits. SBA does not include all 6-digit codes in its regulation.</w:t>
      </w:r>
    </w:p>
  </w:footnote>
  <w:footnote w:id="95">
    <w:p w14:paraId="389AC671" w14:textId="77777777" w:rsidR="0075046B" w:rsidRPr="006B3318" w:rsidRDefault="0075046B" w:rsidP="00956202">
      <w:pPr>
        <w:spacing w:after="240" w:line="240" w:lineRule="auto"/>
        <w:rPr>
          <w:rFonts w:ascii="Times New Roman" w:hAnsi="Times New Roman" w:cs="Times New Roman"/>
          <w:sz w:val="20"/>
          <w:szCs w:val="20"/>
        </w:rPr>
      </w:pPr>
      <w:r w:rsidRPr="006B3318">
        <w:rPr>
          <w:rFonts w:ascii="Times New Roman" w:hAnsi="Times New Roman" w:cs="Times New Roman"/>
          <w:sz w:val="20"/>
          <w:szCs w:val="20"/>
          <w:vertAlign w:val="superscript"/>
        </w:rPr>
        <w:footnoteRef/>
      </w:r>
      <w:r w:rsidRPr="006B3318">
        <w:rPr>
          <w:rFonts w:ascii="Times New Roman" w:hAnsi="Times New Roman" w:cs="Times New Roman"/>
          <w:sz w:val="20"/>
          <w:szCs w:val="20"/>
        </w:rPr>
        <w:t xml:space="preserve"> 5 U.S.C. 602.</w:t>
      </w:r>
    </w:p>
    <w:p w14:paraId="24BBADD3" w14:textId="77777777" w:rsidR="0075046B" w:rsidRPr="00956202" w:rsidRDefault="0075046B" w:rsidP="00F01FC0">
      <w:pPr>
        <w:pStyle w:val="TOC2"/>
      </w:pPr>
    </w:p>
  </w:footnote>
  <w:footnote w:id="96">
    <w:p w14:paraId="4F084A26" w14:textId="25EC396F" w:rsidR="0075046B" w:rsidRPr="00AA33BA" w:rsidRDefault="0075046B" w:rsidP="00AA33BA">
      <w:pPr>
        <w:spacing w:after="0" w:line="240" w:lineRule="auto"/>
        <w:rPr>
          <w:rFonts w:ascii="Times New Roman" w:hAnsi="Times New Roman" w:cs="Times New Roman"/>
          <w:sz w:val="20"/>
          <w:szCs w:val="20"/>
        </w:rPr>
      </w:pPr>
      <w:r w:rsidRPr="00AA33BA">
        <w:rPr>
          <w:rFonts w:ascii="Times New Roman" w:hAnsi="Times New Roman" w:cs="Times New Roman"/>
          <w:sz w:val="20"/>
          <w:szCs w:val="20"/>
          <w:vertAlign w:val="superscript"/>
        </w:rPr>
        <w:footnoteRef/>
      </w:r>
      <w:r w:rsidRPr="00AA33BA">
        <w:rPr>
          <w:rFonts w:ascii="Times New Roman" w:hAnsi="Times New Roman" w:cs="Times New Roman"/>
          <w:sz w:val="20"/>
          <w:szCs w:val="20"/>
        </w:rPr>
        <w:t xml:space="preserve"> U.S. Census Bureau, Census of Governments. </w:t>
      </w:r>
      <w:hyperlink r:id="rId34" w:history="1">
        <w:r w:rsidR="00B20325" w:rsidRPr="00B94B45">
          <w:rPr>
            <w:rStyle w:val="Hyperlink"/>
            <w:rFonts w:ascii="Times New Roman" w:hAnsi="Times New Roman" w:cs="Times New Roman"/>
            <w:sz w:val="20"/>
            <w:szCs w:val="20"/>
          </w:rPr>
          <w:t>https://www.census.gov/programs-surveys/gov-finances/data/historical-data.html</w:t>
        </w:r>
      </w:hyperlink>
      <w:r w:rsidR="00B20325">
        <w:rPr>
          <w:rFonts w:ascii="Times New Roman" w:hAnsi="Times New Roman" w:cs="Times New Roman"/>
          <w:sz w:val="20"/>
          <w:szCs w:val="20"/>
        </w:rPr>
        <w:t xml:space="preserve"> .</w:t>
      </w:r>
    </w:p>
  </w:footnote>
  <w:footnote w:id="97">
    <w:p w14:paraId="0C116D1F" w14:textId="01900B52" w:rsidR="0075046B" w:rsidRPr="00A770D4" w:rsidRDefault="0075046B" w:rsidP="00F01FC0">
      <w:pPr>
        <w:pStyle w:val="TOC2"/>
      </w:pPr>
      <w:r w:rsidRPr="00167F64">
        <w:rPr>
          <w:vertAlign w:val="superscript"/>
        </w:rPr>
        <w:footnoteRef/>
      </w:r>
      <w:r w:rsidRPr="00167F64">
        <w:t xml:space="preserve"> Norton Virginia CNW Sewer Authority, </w:t>
      </w:r>
      <w:hyperlink r:id="rId35" w:history="1">
        <w:r w:rsidRPr="00A770D4">
          <w:t>https://www.nortonva.gov/72/CNW-Sewer-Authority</w:t>
        </w:r>
      </w:hyperlink>
      <w:r w:rsidRPr="00167F64">
        <w:t>. Accessed March 4, 2022</w:t>
      </w:r>
      <w:r w:rsidR="00B20325">
        <w:t xml:space="preserve"> </w:t>
      </w:r>
    </w:p>
  </w:footnote>
  <w:footnote w:id="98">
    <w:p w14:paraId="13940586" w14:textId="2EBCBCBF" w:rsidR="0075046B" w:rsidRPr="00A770D4" w:rsidRDefault="0075046B" w:rsidP="00F01FC0">
      <w:pPr>
        <w:pStyle w:val="TOC2"/>
      </w:pPr>
      <w:r w:rsidRPr="00167F64">
        <w:rPr>
          <w:vertAlign w:val="superscript"/>
        </w:rPr>
        <w:footnoteRef/>
      </w:r>
      <w:r w:rsidRPr="00A770D4">
        <w:t xml:space="preserve"> </w:t>
      </w:r>
      <w:r w:rsidRPr="00167F64">
        <w:t xml:space="preserve">U.S. Census Bureau 2020. QuickFacts: Eden city, North Carolina. Retrieved from </w:t>
      </w:r>
      <w:hyperlink r:id="rId36" w:history="1">
        <w:r w:rsidRPr="00FC2D52">
          <w:rPr>
            <w:rStyle w:val="Heading3Char"/>
            <w:rFonts w:ascii="Times New Roman" w:hAnsi="Times New Roman" w:cs="Times New Roman"/>
            <w:b w:val="0"/>
            <w:sz w:val="20"/>
          </w:rPr>
          <w:t>https://www.census.gov/quickfacts/fact/table/edencitynorthcarolina/BZA210219</w:t>
        </w:r>
      </w:hyperlink>
      <w:r w:rsidR="00173F2C">
        <w:rPr>
          <w:rStyle w:val="Heading3Char"/>
          <w:rFonts w:ascii="Times New Roman" w:hAnsi="Times New Roman" w:cs="Times New Roman"/>
          <w:b w:val="0"/>
          <w:sz w:val="20"/>
        </w:rPr>
        <w:t xml:space="preserve">. </w:t>
      </w:r>
    </w:p>
  </w:footnote>
  <w:footnote w:id="99">
    <w:p w14:paraId="15BFCB13" w14:textId="77777777" w:rsidR="00173F2C" w:rsidRDefault="0075046B" w:rsidP="00F01FC0">
      <w:pPr>
        <w:pStyle w:val="TOC2"/>
      </w:pPr>
      <w:r w:rsidRPr="00167F64">
        <w:rPr>
          <w:vertAlign w:val="superscript"/>
        </w:rPr>
        <w:footnoteRef/>
      </w:r>
      <w:r w:rsidRPr="00167F64">
        <w:t xml:space="preserve"> City of Eden Financial Statements. June 30,</w:t>
      </w:r>
      <w:r w:rsidR="00AA33BA" w:rsidRPr="00167F64">
        <w:t xml:space="preserve"> </w:t>
      </w:r>
      <w:r w:rsidRPr="002E63FB">
        <w:t xml:space="preserve">2020. </w:t>
      </w:r>
    </w:p>
    <w:p w14:paraId="30A48F31" w14:textId="63F8BE2A" w:rsidR="0075046B" w:rsidRPr="00956202" w:rsidRDefault="00024031" w:rsidP="00F01FC0">
      <w:pPr>
        <w:pStyle w:val="TOC2"/>
      </w:pPr>
      <w:hyperlink r:id="rId37" w:history="1">
        <w:r w:rsidR="00173F2C" w:rsidRPr="00B94B45">
          <w:rPr>
            <w:rStyle w:val="Hyperlink"/>
          </w:rPr>
          <w:t>https://www.edennc.us/home/showpublishe ddocument/3781/637623947334730000</w:t>
        </w:r>
      </w:hyperlink>
      <w:r w:rsidR="00173F2C">
        <w:t xml:space="preserve"> .</w:t>
      </w:r>
    </w:p>
  </w:footnote>
  <w:footnote w:id="100">
    <w:p w14:paraId="70A3D7E3" w14:textId="6A2C8895" w:rsidR="00A70311" w:rsidRPr="00956202" w:rsidRDefault="00A70311" w:rsidP="00A70311">
      <w:pPr>
        <w:pStyle w:val="FootnoteText"/>
        <w:tabs>
          <w:tab w:val="left" w:pos="0"/>
        </w:tabs>
        <w:rPr>
          <w:rFonts w:ascii="Times New Roman" w:hAnsi="Times New Roman" w:cs="Times New Roman"/>
          <w:sz w:val="18"/>
          <w:szCs w:val="18"/>
        </w:rPr>
      </w:pPr>
      <w:r w:rsidRPr="00956202">
        <w:rPr>
          <w:rStyle w:val="FootnoteReference"/>
          <w:rFonts w:ascii="Times New Roman" w:hAnsi="Times New Roman" w:cs="Times New Roman"/>
          <w:sz w:val="18"/>
          <w:szCs w:val="18"/>
        </w:rPr>
        <w:footnoteRef/>
      </w:r>
      <w:r w:rsidRPr="0016780A">
        <w:rPr>
          <w:rFonts w:ascii="Times New Roman" w:hAnsi="Times New Roman" w:cs="Times New Roman"/>
        </w:rPr>
        <w:t xml:space="preserve">EPA (2022). Learn About Environmental Justice. </w:t>
      </w:r>
      <w:hyperlink r:id="rId38" w:history="1">
        <w:r w:rsidRPr="0016780A">
          <w:rPr>
            <w:rStyle w:val="Hyperlink"/>
            <w:rFonts w:ascii="Times New Roman" w:hAnsi="Times New Roman" w:cs="Times New Roman"/>
          </w:rPr>
          <w:t>https://www.epa.gov/environmentaljustice/learn-about-environmental-justice</w:t>
        </w:r>
      </w:hyperlink>
      <w:r w:rsidRPr="0016780A">
        <w:rPr>
          <w:rFonts w:ascii="Times New Roman" w:hAnsi="Times New Roman" w:cs="Times New Roman"/>
        </w:rPr>
        <w:t>. Accessed February 10, 2022.</w:t>
      </w:r>
    </w:p>
  </w:footnote>
  <w:footnote w:id="101">
    <w:p w14:paraId="589E11CE" w14:textId="64FB25EF" w:rsidR="00A70311" w:rsidRPr="0016780A" w:rsidRDefault="00A70311" w:rsidP="00A70311">
      <w:pPr>
        <w:pStyle w:val="FootnoteText"/>
        <w:tabs>
          <w:tab w:val="left" w:pos="0"/>
        </w:tabs>
        <w:rPr>
          <w:rFonts w:ascii="Times New Roman" w:hAnsi="Times New Roman" w:cs="Times New Roman"/>
        </w:rPr>
      </w:pPr>
      <w:r w:rsidRPr="00956202">
        <w:rPr>
          <w:rStyle w:val="FootnoteReference"/>
          <w:rFonts w:ascii="Times New Roman" w:hAnsi="Times New Roman" w:cs="Times New Roman"/>
          <w:sz w:val="18"/>
          <w:szCs w:val="18"/>
        </w:rPr>
        <w:footnoteRef/>
      </w:r>
      <w:r w:rsidRPr="00956202">
        <w:rPr>
          <w:rFonts w:ascii="Times New Roman" w:hAnsi="Times New Roman" w:cs="Times New Roman"/>
          <w:sz w:val="18"/>
          <w:szCs w:val="18"/>
        </w:rPr>
        <w:t xml:space="preserve"> </w:t>
      </w:r>
      <w:r w:rsidRPr="0016780A">
        <w:rPr>
          <w:rFonts w:ascii="Times New Roman" w:hAnsi="Times New Roman" w:cs="Times New Roman"/>
        </w:rPr>
        <w:t>EPA</w:t>
      </w:r>
      <w:r w:rsidRPr="00956202">
        <w:rPr>
          <w:rFonts w:ascii="Times New Roman" w:hAnsi="Times New Roman" w:cs="Times New Roman"/>
          <w:sz w:val="18"/>
          <w:szCs w:val="18"/>
        </w:rPr>
        <w:t xml:space="preserve"> </w:t>
      </w:r>
      <w:proofErr w:type="spellStart"/>
      <w:r w:rsidRPr="0016780A">
        <w:rPr>
          <w:rFonts w:ascii="Times New Roman" w:hAnsi="Times New Roman" w:cs="Times New Roman"/>
        </w:rPr>
        <w:t>EPA</w:t>
      </w:r>
      <w:proofErr w:type="spellEnd"/>
      <w:r w:rsidR="00DE0AA7" w:rsidRPr="0016780A">
        <w:rPr>
          <w:rFonts w:ascii="Times New Roman" w:hAnsi="Times New Roman" w:cs="Times New Roman"/>
        </w:rPr>
        <w:t xml:space="preserve"> </w:t>
      </w:r>
      <w:r w:rsidRPr="0016780A">
        <w:rPr>
          <w:rFonts w:ascii="Times New Roman" w:hAnsi="Times New Roman" w:cs="Times New Roman"/>
        </w:rPr>
        <w:t xml:space="preserve">(2016). Technical Guidance for Assessing Environmental Justice in Regulatory Analysis. </w:t>
      </w:r>
      <w:hyperlink r:id="rId39" w:history="1">
        <w:r w:rsidRPr="0016780A">
          <w:rPr>
            <w:rStyle w:val="Hyperlink"/>
            <w:rFonts w:ascii="Times New Roman" w:hAnsi="Times New Roman" w:cs="Times New Roman"/>
          </w:rPr>
          <w:t>https://www.epa.gov/sites/production/files/2016-06/documents/ejtg_5_6_16_v5.1.pdf</w:t>
        </w:r>
      </w:hyperlink>
      <w:r w:rsidRPr="0016780A">
        <w:rPr>
          <w:rFonts w:ascii="Times New Roman" w:hAnsi="Times New Roman" w:cs="Times New Roman"/>
        </w:rPr>
        <w:t>.</w:t>
      </w:r>
    </w:p>
  </w:footnote>
  <w:footnote w:id="102">
    <w:p w14:paraId="431DECDE" w14:textId="05F8EB61" w:rsidR="00A70311" w:rsidRPr="0016780A" w:rsidRDefault="00A70311" w:rsidP="00A70311">
      <w:pPr>
        <w:pStyle w:val="FootnoteText"/>
        <w:tabs>
          <w:tab w:val="left" w:pos="0"/>
        </w:tabs>
        <w:rPr>
          <w:rFonts w:ascii="Times New Roman" w:hAnsi="Times New Roman" w:cs="Times New Roman"/>
        </w:rPr>
      </w:pPr>
      <w:r w:rsidRPr="0016780A">
        <w:rPr>
          <w:rStyle w:val="FootnoteReference"/>
          <w:rFonts w:ascii="Times New Roman" w:hAnsi="Times New Roman" w:cs="Times New Roman"/>
        </w:rPr>
        <w:footnoteRef/>
      </w:r>
      <w:r w:rsidRPr="0016780A">
        <w:rPr>
          <w:rFonts w:ascii="Times New Roman" w:hAnsi="Times New Roman" w:cs="Times New Roman"/>
        </w:rPr>
        <w:t xml:space="preserve"> U.S. EPA (2018). Guidance on Considering Environmental Justice During the Development of Regulatory Actions</w:t>
      </w:r>
      <w:hyperlink r:id="rId40" w:history="1">
        <w:r w:rsidRPr="0016780A">
          <w:rPr>
            <w:rStyle w:val="Hyperlink"/>
            <w:rFonts w:ascii="Times New Roman" w:hAnsi="Times New Roman" w:cs="Times New Roman"/>
          </w:rPr>
          <w:t>. https://www.epa.gov/sites/default/files/2015-06/documents/considering-ej-in-rulemaking-guide-final.pdf</w:t>
        </w:r>
      </w:hyperlink>
    </w:p>
  </w:footnote>
  <w:footnote w:id="103">
    <w:p w14:paraId="6E14E31A" w14:textId="6CDFBAE4" w:rsidR="00A70311" w:rsidRPr="0016780A" w:rsidRDefault="00024031" w:rsidP="00A70311">
      <w:pPr>
        <w:pStyle w:val="FootnoteText"/>
        <w:tabs>
          <w:tab w:val="left" w:pos="0"/>
        </w:tabs>
        <w:rPr>
          <w:rFonts w:ascii="Times New Roman" w:hAnsi="Times New Roman" w:cs="Times New Roman"/>
        </w:rPr>
      </w:pPr>
      <w:hyperlink r:id="rId41" w:history="1">
        <w:r w:rsidR="00A70311" w:rsidRPr="0016780A">
          <w:rPr>
            <w:rStyle w:val="Hyperlink"/>
            <w:rFonts w:ascii="Times New Roman" w:hAnsi="Times New Roman" w:cs="Times New Roman"/>
            <w:vertAlign w:val="superscript"/>
          </w:rPr>
          <w:footnoteRef/>
        </w:r>
        <w:r w:rsidR="00A70311" w:rsidRPr="0016780A">
          <w:rPr>
            <w:rStyle w:val="Hyperlink"/>
            <w:rFonts w:ascii="Times New Roman" w:hAnsi="Times New Roman" w:cs="Times New Roman"/>
          </w:rPr>
          <w:t xml:space="preserve"> U.S. EPA. (2016). Technical Guidance for Assessing Environmental Justice in Regulatory Analysis. https://www.epa.gov/sites/production/files/2016-06/documents/ejtg_5_6_16_v5.1.pdf</w:t>
        </w:r>
      </w:hyperlink>
      <w:r w:rsidR="00A70311" w:rsidRPr="0016780A">
        <w:rPr>
          <w:rFonts w:ascii="Times New Roman" w:hAnsi="Times New Roman" w:cs="Times New Roman"/>
        </w:rPr>
        <w:t>.</w:t>
      </w:r>
    </w:p>
  </w:footnote>
  <w:footnote w:id="104">
    <w:p w14:paraId="32595036" w14:textId="77777777" w:rsidR="00A70311" w:rsidRPr="0016780A" w:rsidRDefault="00A70311" w:rsidP="00A70311">
      <w:pPr>
        <w:pStyle w:val="FootnoteText"/>
        <w:rPr>
          <w:rFonts w:ascii="Times New Roman" w:hAnsi="Times New Roman" w:cs="Times New Roman"/>
        </w:rPr>
      </w:pPr>
      <w:r w:rsidRPr="0016780A">
        <w:rPr>
          <w:rStyle w:val="FootnoteReference"/>
          <w:rFonts w:ascii="Times New Roman" w:hAnsi="Times New Roman" w:cs="Times New Roman"/>
        </w:rPr>
        <w:footnoteRef/>
      </w:r>
      <w:r w:rsidRPr="0016780A">
        <w:rPr>
          <w:rFonts w:ascii="Times New Roman" w:hAnsi="Times New Roman" w:cs="Times New Roman"/>
        </w:rPr>
        <w:t xml:space="preserve"> Differential impacts on population groups of concern can only be identified in relation to a comparison group. A comparison group can be defined in multiple ways, for instance in terms of individuals with similar socioeconomic characteristics located at a broader geographic level or with different socioeconomic characteristics within an affected area. The goal is to select a comparison group that allows one to identify how the effects of the regulation vary by race, ethnicity, and income separate from other systematic differences across groups or geographic areas. </w:t>
      </w:r>
    </w:p>
  </w:footnote>
  <w:footnote w:id="105">
    <w:p w14:paraId="2766F385" w14:textId="674EC784" w:rsidR="00A70311" w:rsidRPr="0016780A" w:rsidRDefault="00A70311" w:rsidP="00A70311">
      <w:pPr>
        <w:pStyle w:val="FootnoteText"/>
        <w:tabs>
          <w:tab w:val="left" w:pos="0"/>
        </w:tabs>
        <w:rPr>
          <w:rFonts w:ascii="Times New Roman" w:hAnsi="Times New Roman" w:cs="Times New Roman"/>
        </w:rPr>
      </w:pPr>
      <w:r w:rsidRPr="0016780A">
        <w:rPr>
          <w:rStyle w:val="FootnoteReference"/>
          <w:rFonts w:ascii="Times New Roman" w:hAnsi="Times New Roman" w:cs="Times New Roman"/>
        </w:rPr>
        <w:footnoteRef/>
      </w:r>
      <w:r w:rsidRPr="0016780A">
        <w:rPr>
          <w:rFonts w:ascii="Times New Roman" w:hAnsi="Times New Roman" w:cs="Times New Roman"/>
        </w:rPr>
        <w:t xml:space="preserve"> EPA (1994b). Environmental Justice Task Force Draft Final Report. EPA 540/R-94/004, April 1994. OSWER.</w:t>
      </w:r>
    </w:p>
    <w:p w14:paraId="33990F3B" w14:textId="52A6FDAC" w:rsidR="00A70311" w:rsidRPr="00956202" w:rsidRDefault="00A70311" w:rsidP="00A70311">
      <w:pPr>
        <w:pStyle w:val="FootnoteText"/>
        <w:tabs>
          <w:tab w:val="left" w:pos="0"/>
        </w:tabs>
        <w:rPr>
          <w:rFonts w:ascii="Times New Roman" w:hAnsi="Times New Roman" w:cs="Times New Roman"/>
          <w:sz w:val="18"/>
          <w:szCs w:val="18"/>
        </w:rPr>
      </w:pPr>
      <w:r w:rsidRPr="0016780A">
        <w:rPr>
          <w:rFonts w:ascii="Times New Roman" w:hAnsi="Times New Roman" w:cs="Times New Roman"/>
        </w:rPr>
        <w:t xml:space="preserve">U.S. EPA (2018). Guidance on Considering Environmental Justice During the Development of Regulatory Actions. </w:t>
      </w:r>
      <w:hyperlink r:id="rId42" w:history="1">
        <w:r w:rsidRPr="0016780A">
          <w:rPr>
            <w:rStyle w:val="Hyperlink"/>
            <w:rFonts w:ascii="Times New Roman" w:hAnsi="Times New Roman" w:cs="Times New Roman"/>
          </w:rPr>
          <w:t>https://www.epa.gov/sites/default/files/2015-06/documents/considering-ej-in-rulemaking-guide-final.pdf</w:t>
        </w:r>
      </w:hyperlink>
      <w:r w:rsidRPr="0016780A">
        <w:rPr>
          <w:rFonts w:ascii="Times New Roman" w:hAnsi="Times New Roman" w:cs="Times New Roman"/>
        </w:rPr>
        <w:t>.</w:t>
      </w:r>
    </w:p>
  </w:footnote>
  <w:footnote w:id="106">
    <w:p w14:paraId="11EA2314" w14:textId="154CE866" w:rsidR="00A70311" w:rsidRPr="0016780A" w:rsidRDefault="00A70311" w:rsidP="00A70311">
      <w:pPr>
        <w:pStyle w:val="FootnoteText"/>
        <w:tabs>
          <w:tab w:val="left" w:pos="0"/>
        </w:tabs>
        <w:rPr>
          <w:rFonts w:ascii="Times New Roman" w:hAnsi="Times New Roman" w:cs="Times New Roman"/>
        </w:rPr>
      </w:pPr>
      <w:r w:rsidRPr="0016780A">
        <w:rPr>
          <w:rStyle w:val="FootnoteReference"/>
          <w:rFonts w:ascii="Times New Roman" w:hAnsi="Times New Roman" w:cs="Times New Roman"/>
        </w:rPr>
        <w:footnoteRef/>
      </w:r>
      <w:r w:rsidRPr="0016780A">
        <w:rPr>
          <w:rFonts w:ascii="Times New Roman" w:hAnsi="Times New Roman" w:cs="Times New Roman"/>
        </w:rPr>
        <w:t xml:space="preserve"> U.S. EPA. (1994). Environmental Justice Task Force Draft Final Report. EPA 540/R-94/004, April 1994. OSWER.</w:t>
      </w:r>
    </w:p>
    <w:p w14:paraId="5E50652B" w14:textId="76ABDD33" w:rsidR="00A70311" w:rsidRPr="0016780A" w:rsidRDefault="00A70311" w:rsidP="00A70311">
      <w:pPr>
        <w:pStyle w:val="FootnoteText"/>
        <w:tabs>
          <w:tab w:val="left" w:pos="0"/>
        </w:tabs>
        <w:rPr>
          <w:rFonts w:ascii="Times New Roman" w:hAnsi="Times New Roman" w:cs="Times New Roman"/>
        </w:rPr>
      </w:pPr>
      <w:r w:rsidRPr="0016780A">
        <w:rPr>
          <w:rFonts w:ascii="Times New Roman" w:hAnsi="Times New Roman" w:cs="Times New Roman"/>
        </w:rPr>
        <w:t>U.S. EPA. (1994). Integration of Environmental Justice into OSWER Policy, Guidance, and Regulatory Development. OSWER directive No. 9200, 3-17. OSWER. September 1994.</w:t>
      </w:r>
    </w:p>
  </w:footnote>
  <w:footnote w:id="107">
    <w:p w14:paraId="4D461795" w14:textId="156BD97A" w:rsidR="00A70311" w:rsidRPr="0016780A" w:rsidRDefault="00A70311" w:rsidP="00A70311">
      <w:pPr>
        <w:pStyle w:val="FootnoteText"/>
        <w:rPr>
          <w:rFonts w:ascii="Times New Roman" w:hAnsi="Times New Roman" w:cs="Times New Roman"/>
        </w:rPr>
      </w:pPr>
      <w:r w:rsidRPr="0016780A">
        <w:rPr>
          <w:rStyle w:val="FootnoteReference"/>
          <w:rFonts w:ascii="Times New Roman" w:hAnsi="Times New Roman" w:cs="Times New Roman"/>
        </w:rPr>
        <w:footnoteRef/>
      </w:r>
      <w:r w:rsidRPr="0016780A">
        <w:rPr>
          <w:rFonts w:ascii="Times New Roman" w:hAnsi="Times New Roman" w:cs="Times New Roman"/>
        </w:rPr>
        <w:t xml:space="preserve"> </w:t>
      </w:r>
      <w:hyperlink r:id="rId43" w:history="1">
        <w:r w:rsidRPr="0016780A">
          <w:rPr>
            <w:rStyle w:val="Hyperlink"/>
            <w:rFonts w:ascii="Times New Roman" w:hAnsi="Times New Roman" w:cs="Times New Roman"/>
          </w:rPr>
          <w:t>https://www.epa.gov/ejscreen</w:t>
        </w:r>
      </w:hyperlink>
      <w:r w:rsidR="008D11E4">
        <w:rPr>
          <w:rStyle w:val="Hyperlink"/>
          <w:rFonts w:ascii="Times New Roman" w:hAnsi="Times New Roman" w:cs="Times New Roman"/>
        </w:rPr>
        <w:t>.</w:t>
      </w:r>
    </w:p>
  </w:footnote>
  <w:footnote w:id="108">
    <w:p w14:paraId="15039DBA" w14:textId="454A29F1" w:rsidR="00A70311" w:rsidRPr="00956202" w:rsidRDefault="00A70311" w:rsidP="00A70311">
      <w:pPr>
        <w:pStyle w:val="FootnoteText"/>
        <w:rPr>
          <w:rFonts w:ascii="Times New Roman" w:hAnsi="Times New Roman" w:cs="Times New Roman"/>
          <w:sz w:val="18"/>
          <w:szCs w:val="18"/>
        </w:rPr>
      </w:pPr>
      <w:r w:rsidRPr="0016780A">
        <w:rPr>
          <w:rStyle w:val="FootnoteReference"/>
          <w:rFonts w:ascii="Times New Roman" w:hAnsi="Times New Roman" w:cs="Times New Roman"/>
        </w:rPr>
        <w:footnoteRef/>
      </w:r>
      <w:r w:rsidR="00726A1F">
        <w:rPr>
          <w:rFonts w:ascii="Times New Roman" w:hAnsi="Times New Roman" w:cs="Times New Roman"/>
        </w:rPr>
        <w:t xml:space="preserve"> </w:t>
      </w:r>
      <w:r w:rsidRPr="0016780A">
        <w:rPr>
          <w:rFonts w:ascii="Times New Roman" w:hAnsi="Times New Roman" w:cs="Times New Roman"/>
        </w:rPr>
        <w:t>The EJ Screen technical background document states, “</w:t>
      </w:r>
      <w:r w:rsidRPr="0016780A">
        <w:rPr>
          <w:rFonts w:ascii="Times New Roman" w:hAnsi="Times New Roman" w:cs="Times New Roman"/>
          <w:i/>
        </w:rPr>
        <w:t>ESCREEN is a pre-decisional screening tool and was not designed to be the basis for agency decision-making or determinations regarding the existence or absence of environmental justice concerns. It also should not be used to identify or label an area as an ‘environmental justice Community</w:t>
      </w:r>
      <w:r w:rsidRPr="0016780A">
        <w:rPr>
          <w:rFonts w:ascii="Times New Roman" w:hAnsi="Times New Roman" w:cs="Times New Roman"/>
        </w:rPr>
        <w:t xml:space="preserve">,” page 9. U.S. EPA. (2019). EJSCREEN Technical Documentation. EJSCREEN Environmental Justice Screening and Mapping Tool. September 2019. </w:t>
      </w:r>
      <w:hyperlink r:id="rId44" w:history="1">
        <w:r w:rsidRPr="0016780A">
          <w:rPr>
            <w:rStyle w:val="Hyperlink"/>
            <w:rFonts w:ascii="Times New Roman" w:hAnsi="Times New Roman" w:cs="Times New Roman"/>
          </w:rPr>
          <w:t>https://www.epa.gov/ejscreen/technical-documentation-ejscreen</w:t>
        </w:r>
      </w:hyperlink>
      <w:r w:rsidRPr="0016780A">
        <w:rPr>
          <w:rFonts w:ascii="Times New Roman" w:hAnsi="Times New Roman" w:cs="Times New Roman"/>
        </w:rPr>
        <w:t>.</w:t>
      </w:r>
    </w:p>
  </w:footnote>
  <w:footnote w:id="109">
    <w:p w14:paraId="3E477D32" w14:textId="52193727" w:rsidR="00592C4E" w:rsidRPr="00592C4E" w:rsidRDefault="00592C4E" w:rsidP="00592C4E">
      <w:pPr>
        <w:pStyle w:val="CommentText"/>
        <w:spacing w:after="0"/>
        <w:rPr>
          <w:rFonts w:ascii="Times New Roman" w:hAnsi="Times New Roman" w:cs="Times New Roman"/>
        </w:rPr>
      </w:pPr>
      <w:r w:rsidRPr="00592C4E">
        <w:rPr>
          <w:rStyle w:val="FootnoteReference"/>
          <w:rFonts w:ascii="Times New Roman" w:hAnsi="Times New Roman" w:cs="Times New Roman"/>
        </w:rPr>
        <w:footnoteRef/>
      </w:r>
      <w:r w:rsidRPr="00592C4E">
        <w:rPr>
          <w:rFonts w:ascii="Times New Roman" w:hAnsi="Times New Roman" w:cs="Times New Roman"/>
        </w:rPr>
        <w:t xml:space="preserve"> </w:t>
      </w:r>
      <w:proofErr w:type="spellStart"/>
      <w:r w:rsidRPr="00592C4E">
        <w:rPr>
          <w:rFonts w:ascii="Times New Roman" w:hAnsi="Times New Roman" w:cs="Times New Roman"/>
        </w:rPr>
        <w:t>Zivin</w:t>
      </w:r>
      <w:proofErr w:type="spellEnd"/>
      <w:r w:rsidRPr="00592C4E">
        <w:rPr>
          <w:rFonts w:ascii="Times New Roman" w:hAnsi="Times New Roman" w:cs="Times New Roman"/>
        </w:rPr>
        <w:t xml:space="preserve"> Joshua Graff and </w:t>
      </w:r>
      <w:proofErr w:type="spellStart"/>
      <w:r w:rsidRPr="00592C4E">
        <w:rPr>
          <w:rFonts w:ascii="Times New Roman" w:hAnsi="Times New Roman" w:cs="Times New Roman"/>
        </w:rPr>
        <w:t>Neidell</w:t>
      </w:r>
      <w:proofErr w:type="spellEnd"/>
      <w:r w:rsidRPr="00592C4E">
        <w:rPr>
          <w:rFonts w:ascii="Times New Roman" w:hAnsi="Times New Roman" w:cs="Times New Roman"/>
        </w:rPr>
        <w:t xml:space="preserve"> Matthew. “Air Pollution’s Hidden Impacts.” </w:t>
      </w:r>
      <w:r w:rsidRPr="00592C4E">
        <w:rPr>
          <w:rFonts w:ascii="Times New Roman" w:hAnsi="Times New Roman" w:cs="Times New Roman"/>
          <w:i/>
          <w:iCs/>
        </w:rPr>
        <w:t>Science</w:t>
      </w:r>
      <w:r w:rsidRPr="00592C4E">
        <w:rPr>
          <w:rFonts w:ascii="Times New Roman" w:hAnsi="Times New Roman" w:cs="Times New Roman"/>
        </w:rPr>
        <w:t xml:space="preserve"> 359, no. 6371 (January 5, 2018): 39–40. </w:t>
      </w:r>
      <w:hyperlink r:id="rId45" w:history="1">
        <w:r w:rsidRPr="00592C4E">
          <w:rPr>
            <w:rStyle w:val="Hyperlink"/>
            <w:rFonts w:ascii="Times New Roman" w:hAnsi="Times New Roman" w:cs="Times New Roman"/>
          </w:rPr>
          <w:t>https://doi.org/10.1126/science.aap7711</w:t>
        </w:r>
      </w:hyperlink>
      <w:r w:rsidRPr="00592C4E">
        <w:rPr>
          <w:rFonts w:ascii="Times New Roman" w:hAnsi="Times New Roman" w:cs="Times New Roman"/>
        </w:rPr>
        <w:t>.</w:t>
      </w:r>
    </w:p>
  </w:footnote>
  <w:footnote w:id="110">
    <w:p w14:paraId="248767C0" w14:textId="2C65AD3C" w:rsidR="00592C4E" w:rsidRPr="00592C4E" w:rsidRDefault="00592C4E" w:rsidP="00592C4E">
      <w:pPr>
        <w:pStyle w:val="FootnoteText"/>
        <w:rPr>
          <w:rFonts w:ascii="Times New Roman" w:hAnsi="Times New Roman" w:cs="Times New Roman"/>
        </w:rPr>
      </w:pPr>
      <w:r w:rsidRPr="00592C4E">
        <w:rPr>
          <w:rStyle w:val="FootnoteReference"/>
          <w:rFonts w:ascii="Times New Roman" w:hAnsi="Times New Roman" w:cs="Times New Roman"/>
        </w:rPr>
        <w:footnoteRef/>
      </w:r>
      <w:r w:rsidRPr="00592C4E">
        <w:rPr>
          <w:rFonts w:ascii="Times New Roman" w:hAnsi="Times New Roman" w:cs="Times New Roman"/>
        </w:rPr>
        <w:t xml:space="preserve"> Berman, Eli, and Linda Bui. “Environmental Regulation </w:t>
      </w:r>
      <w:proofErr w:type="gramStart"/>
      <w:r w:rsidRPr="00592C4E">
        <w:rPr>
          <w:rFonts w:ascii="Times New Roman" w:hAnsi="Times New Roman" w:cs="Times New Roman"/>
        </w:rPr>
        <w:t>And</w:t>
      </w:r>
      <w:proofErr w:type="gramEnd"/>
      <w:r w:rsidRPr="00592C4E">
        <w:rPr>
          <w:rFonts w:ascii="Times New Roman" w:hAnsi="Times New Roman" w:cs="Times New Roman"/>
        </w:rPr>
        <w:t xml:space="preserve"> Productivity: Evidence From Oil Refineries.” </w:t>
      </w:r>
      <w:r w:rsidRPr="00592C4E">
        <w:rPr>
          <w:rFonts w:ascii="Times New Roman" w:hAnsi="Times New Roman" w:cs="Times New Roman"/>
          <w:i/>
          <w:iCs/>
        </w:rPr>
        <w:t>The Review of Economics and Statistics</w:t>
      </w:r>
      <w:r w:rsidRPr="00592C4E">
        <w:rPr>
          <w:rFonts w:ascii="Times New Roman" w:hAnsi="Times New Roman" w:cs="Times New Roman"/>
        </w:rPr>
        <w:t xml:space="preserve"> 83, no. 3 (2001): 498–510.</w:t>
      </w:r>
    </w:p>
  </w:footnote>
  <w:footnote w:id="111">
    <w:p w14:paraId="3A58F35A" w14:textId="533AFA37" w:rsidR="00461D85" w:rsidRPr="00470051" w:rsidRDefault="00461D85" w:rsidP="00461D85">
      <w:pPr>
        <w:pStyle w:val="FootnoteText"/>
        <w:rPr>
          <w:rFonts w:ascii="Times New Roman" w:hAnsi="Times New Roman" w:cs="Times New Roman"/>
        </w:rPr>
      </w:pPr>
      <w:r w:rsidRPr="00470051">
        <w:rPr>
          <w:rStyle w:val="FootnoteReference"/>
          <w:rFonts w:ascii="Times New Roman" w:hAnsi="Times New Roman" w:cs="Times New Roman"/>
        </w:rPr>
        <w:footnoteRef/>
      </w:r>
      <w:r w:rsidRPr="00470051">
        <w:rPr>
          <w:rFonts w:ascii="Times New Roman" w:hAnsi="Times New Roman" w:cs="Times New Roman"/>
        </w:rPr>
        <w:t xml:space="preserve"> Executive Order 13211 was issued May 18, 2002. The </w:t>
      </w:r>
      <w:r w:rsidR="00C840FC" w:rsidRPr="00470051">
        <w:rPr>
          <w:rFonts w:ascii="Times New Roman" w:hAnsi="Times New Roman" w:cs="Times New Roman"/>
        </w:rPr>
        <w:t>OMB</w:t>
      </w:r>
      <w:r w:rsidRPr="00470051">
        <w:rPr>
          <w:rFonts w:ascii="Times New Roman" w:hAnsi="Times New Roman" w:cs="Times New Roman"/>
        </w:rPr>
        <w:t xml:space="preserve"> later released an Implementation Guidance memorandum on July 13, 2002</w:t>
      </w:r>
      <w:r w:rsidR="000849BE" w:rsidRPr="00470051">
        <w:rPr>
          <w:rFonts w:ascii="Times New Roman" w:hAnsi="Times New Roman" w:cs="Times New Roman"/>
        </w:rPr>
        <w:t>.</w:t>
      </w:r>
    </w:p>
  </w:footnote>
  <w:footnote w:id="112">
    <w:p w14:paraId="1EDF4B44" w14:textId="5A49D08E" w:rsidR="00D47B80" w:rsidRPr="00CA671D" w:rsidRDefault="00D47B80" w:rsidP="00D47B80">
      <w:pPr>
        <w:pStyle w:val="FootnoteText"/>
        <w:rPr>
          <w:rFonts w:ascii="Times New Roman" w:hAnsi="Times New Roman" w:cs="Times New Roman"/>
        </w:rPr>
      </w:pPr>
      <w:r w:rsidRPr="00CA671D">
        <w:rPr>
          <w:rStyle w:val="FootnoteReference"/>
          <w:rFonts w:ascii="Times New Roman" w:hAnsi="Times New Roman" w:cs="Times New Roman"/>
        </w:rPr>
        <w:footnoteRef/>
      </w:r>
      <w:r w:rsidRPr="00CA671D">
        <w:rPr>
          <w:rFonts w:ascii="Times New Roman" w:hAnsi="Times New Roman" w:cs="Times New Roman"/>
        </w:rPr>
        <w:t xml:space="preserve"> EPA located two additional estimates of Solid Acid alkylation projects estimated as costing $25m and $23m but given that this technology is relatively new, EPA limited the representation of it to a single conservative data point – the $50m estimate included in the table. For a description of the two additional estimates see Zhang, S., L. Wilkinson, L. </w:t>
      </w:r>
      <w:proofErr w:type="spellStart"/>
      <w:r w:rsidRPr="00CA671D">
        <w:rPr>
          <w:rFonts w:ascii="Times New Roman" w:hAnsi="Times New Roman" w:cs="Times New Roman"/>
        </w:rPr>
        <w:t>Ogunde</w:t>
      </w:r>
      <w:proofErr w:type="spellEnd"/>
      <w:r w:rsidRPr="00CA671D">
        <w:rPr>
          <w:rFonts w:ascii="Times New Roman" w:hAnsi="Times New Roman" w:cs="Times New Roman"/>
        </w:rPr>
        <w:t xml:space="preserve">, R. Todd, C. </w:t>
      </w:r>
      <w:proofErr w:type="spellStart"/>
      <w:r w:rsidRPr="00CA671D">
        <w:rPr>
          <w:rFonts w:ascii="Times New Roman" w:hAnsi="Times New Roman" w:cs="Times New Roman"/>
        </w:rPr>
        <w:t>Steves</w:t>
      </w:r>
      <w:proofErr w:type="spellEnd"/>
      <w:r w:rsidRPr="00CA671D">
        <w:rPr>
          <w:rFonts w:ascii="Times New Roman" w:hAnsi="Times New Roman" w:cs="Times New Roman"/>
        </w:rPr>
        <w:t>, and S Haydel. 2016. Norton Engineering: Alkylation Technology Study: Final Report. South Coast Air Quality Management District (SCAQMD). September 9.  https://www.aqmd.gov/docs/default-source/permitting/alkylation-technology-study-final-report.pdf</w:t>
      </w:r>
    </w:p>
  </w:footnote>
  <w:footnote w:id="113">
    <w:p w14:paraId="3F987620" w14:textId="1E6800FF"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Hamby, Chris. 2011. “New oil refinery in South Dakota says it will use alternative to toxic acid.” The Center for Public Integrity. March 28.  Citing James </w:t>
      </w:r>
      <w:proofErr w:type="spellStart"/>
      <w:r w:rsidRPr="00CA671D">
        <w:rPr>
          <w:rFonts w:ascii="Times New Roman" w:hAnsi="Times New Roman" w:cs="Times New Roman"/>
          <w:sz w:val="20"/>
          <w:szCs w:val="20"/>
        </w:rPr>
        <w:t>Nehlsen</w:t>
      </w:r>
      <w:proofErr w:type="spellEnd"/>
      <w:r w:rsidRPr="00CA671D">
        <w:rPr>
          <w:rFonts w:ascii="Times New Roman" w:hAnsi="Times New Roman" w:cs="Times New Roman"/>
          <w:sz w:val="20"/>
          <w:szCs w:val="20"/>
        </w:rPr>
        <w:t xml:space="preserve">, a process development manager at </w:t>
      </w:r>
      <w:proofErr w:type="spellStart"/>
      <w:r w:rsidRPr="00CA671D">
        <w:rPr>
          <w:rFonts w:ascii="Times New Roman" w:hAnsi="Times New Roman" w:cs="Times New Roman"/>
          <w:sz w:val="20"/>
          <w:szCs w:val="20"/>
        </w:rPr>
        <w:t>Exelus</w:t>
      </w:r>
      <w:proofErr w:type="spellEnd"/>
      <w:r w:rsidRPr="00CA671D">
        <w:rPr>
          <w:rFonts w:ascii="Times New Roman" w:hAnsi="Times New Roman" w:cs="Times New Roman"/>
          <w:sz w:val="20"/>
          <w:szCs w:val="20"/>
        </w:rPr>
        <w:t xml:space="preserve">, Inc. Available at: </w:t>
      </w:r>
      <w:hyperlink r:id="rId46" w:history="1">
        <w:r w:rsidRPr="00CA671D">
          <w:rPr>
            <w:rStyle w:val="Hyperlink"/>
            <w:rFonts w:ascii="Times New Roman" w:hAnsi="Times New Roman" w:cs="Times New Roman"/>
            <w:sz w:val="20"/>
            <w:szCs w:val="20"/>
          </w:rPr>
          <w:t>https://publicintegrity.org/inequality-poverty-opportunity/workers-rights/worker-health-and-safety/fueling-fears/new-oil-refinery-in-south-dakota-says-it-will-use-alternative-to-toxic-acid/</w:t>
        </w:r>
      </w:hyperlink>
      <w:r w:rsidRPr="00CA671D">
        <w:rPr>
          <w:rFonts w:ascii="Times New Roman" w:hAnsi="Times New Roman" w:cs="Times New Roman"/>
          <w:sz w:val="20"/>
          <w:szCs w:val="20"/>
        </w:rPr>
        <w:t xml:space="preserve"> </w:t>
      </w:r>
      <w:r w:rsidR="00843847">
        <w:rPr>
          <w:rFonts w:ascii="Times New Roman" w:hAnsi="Times New Roman" w:cs="Times New Roman"/>
          <w:sz w:val="20"/>
          <w:szCs w:val="20"/>
        </w:rPr>
        <w:t>.</w:t>
      </w:r>
    </w:p>
  </w:footnote>
  <w:footnote w:id="114">
    <w:p w14:paraId="4EDE9434" w14:textId="65C3AA45"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w:t>
      </w:r>
      <w:r w:rsidRPr="00CA671D">
        <w:rPr>
          <w:rFonts w:ascii="Times New Roman" w:hAnsi="Times New Roman" w:cs="Times New Roman"/>
          <w:i/>
          <w:iCs/>
          <w:sz w:val="20"/>
          <w:szCs w:val="20"/>
        </w:rPr>
        <w:t>Oil and Gas Journal</w:t>
      </w:r>
      <w:r w:rsidRPr="00CA671D">
        <w:rPr>
          <w:rFonts w:ascii="Times New Roman" w:hAnsi="Times New Roman" w:cs="Times New Roman"/>
          <w:sz w:val="20"/>
          <w:szCs w:val="20"/>
        </w:rPr>
        <w:t xml:space="preserve">, “Chevron’s Salt Lake City refinery plans alkylation unit revamp.” Oct 4, 2016. Available at: </w:t>
      </w:r>
      <w:hyperlink r:id="rId47" w:history="1">
        <w:r w:rsidRPr="00CA671D">
          <w:rPr>
            <w:rFonts w:ascii="Times New Roman" w:hAnsi="Times New Roman" w:cs="Times New Roman"/>
            <w:color w:val="0563C1"/>
            <w:sz w:val="20"/>
            <w:szCs w:val="20"/>
            <w:u w:val="single"/>
          </w:rPr>
          <w:t>https://www.ogj.com/refining-processing/article/17250762/chevrons-salt-lake-city-refinery-plans-alkylation-unit-revamp</w:t>
        </w:r>
      </w:hyperlink>
      <w:r w:rsidRPr="00CA671D">
        <w:rPr>
          <w:rFonts w:ascii="Times New Roman" w:hAnsi="Times New Roman" w:cs="Times New Roman"/>
          <w:color w:val="0563C1"/>
          <w:sz w:val="20"/>
          <w:szCs w:val="20"/>
          <w:u w:val="single"/>
        </w:rPr>
        <w:t xml:space="preserve">; </w:t>
      </w:r>
      <w:r w:rsidRPr="00CA671D">
        <w:rPr>
          <w:rFonts w:ascii="Times New Roman" w:hAnsi="Times New Roman" w:cs="Times New Roman"/>
          <w:i/>
          <w:iCs/>
          <w:sz w:val="20"/>
          <w:szCs w:val="20"/>
        </w:rPr>
        <w:t>Oil and Gas Journal</w:t>
      </w:r>
      <w:r w:rsidRPr="00CA671D">
        <w:rPr>
          <w:rFonts w:ascii="Times New Roman" w:hAnsi="Times New Roman" w:cs="Times New Roman"/>
          <w:sz w:val="20"/>
          <w:szCs w:val="20"/>
        </w:rPr>
        <w:t xml:space="preserve">, “Chevron’s Utah refinery lets contract for alkylation technology retrofit.”  Feb 8, 2017. Available at: </w:t>
      </w:r>
      <w:hyperlink r:id="rId48" w:history="1">
        <w:r w:rsidRPr="00CA671D">
          <w:rPr>
            <w:rFonts w:ascii="Times New Roman" w:hAnsi="Times New Roman" w:cs="Times New Roman"/>
            <w:color w:val="0563C1"/>
            <w:sz w:val="20"/>
            <w:szCs w:val="20"/>
            <w:u w:val="single"/>
          </w:rPr>
          <w:t>https://www.ogj.com/refining-processing/article/17290342/chevrons-utah-refinery-lets-contract-for-alkylation-technology-retrofit</w:t>
        </w:r>
      </w:hyperlink>
      <w:r w:rsidR="00843847">
        <w:rPr>
          <w:rFonts w:ascii="Times New Roman" w:hAnsi="Times New Roman" w:cs="Times New Roman"/>
          <w:color w:val="0563C1"/>
          <w:sz w:val="20"/>
          <w:szCs w:val="20"/>
          <w:u w:val="single"/>
        </w:rPr>
        <w:t xml:space="preserve"> .</w:t>
      </w:r>
    </w:p>
  </w:footnote>
  <w:footnote w:id="115">
    <w:p w14:paraId="646C38D6" w14:textId="0714C0FF"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Letter from Torrance Refining Company, Torrance, CA to Bruce Moe, City Manager, Manhattan Beach CA, dated March 16, 2018. Burns/McDonnell, PBF Energy, Report Brief: Alkylation Study &amp; Estimate, Torrance Refinery, Project No. 98037. July 2017, see Tab 1. Available at: </w:t>
      </w:r>
      <w:hyperlink r:id="rId49" w:history="1">
        <w:r w:rsidRPr="00CA671D">
          <w:rPr>
            <w:rStyle w:val="Hyperlink"/>
            <w:rFonts w:ascii="Times New Roman" w:hAnsi="Times New Roman" w:cs="Times New Roman"/>
            <w:sz w:val="20"/>
            <w:szCs w:val="20"/>
          </w:rPr>
          <w:t>https://torrancerefinery.com/wp-content/uploads/2018/03/TORC-Comment-Letter-with-Attachments-Agenda-Item-No.-K.11.pdf</w:t>
        </w:r>
      </w:hyperlink>
      <w:r w:rsidRPr="00CA671D">
        <w:rPr>
          <w:rFonts w:ascii="Times New Roman" w:hAnsi="Times New Roman" w:cs="Times New Roman"/>
          <w:sz w:val="20"/>
          <w:szCs w:val="20"/>
        </w:rPr>
        <w:t xml:space="preserve">; South Coast AQMD, Governing Board Meeting, “Status Update on PR 1410 – Hydrogen Fluoride Storage and Use at Petroleum Refineries.” Diamond Bar, CA February 1, 2019. Available at: </w:t>
      </w:r>
      <w:hyperlink r:id="rId50" w:history="1">
        <w:r w:rsidRPr="00CA671D">
          <w:rPr>
            <w:rFonts w:ascii="Times New Roman" w:hAnsi="Times New Roman" w:cs="Times New Roman"/>
            <w:color w:val="0563C1"/>
            <w:sz w:val="20"/>
            <w:szCs w:val="20"/>
            <w:u w:val="single"/>
          </w:rPr>
          <w:t>http://www.aqmd.gov/docs/default-source/Agendas/Governing-Board/2019/2019-feb1-025.pdf?sfvrsn=6</w:t>
        </w:r>
      </w:hyperlink>
      <w:r w:rsidRPr="00CA671D">
        <w:rPr>
          <w:rFonts w:ascii="Times New Roman" w:hAnsi="Times New Roman" w:cs="Times New Roman"/>
          <w:sz w:val="20"/>
          <w:szCs w:val="20"/>
        </w:rPr>
        <w:t>; Buhl, Larry. “Activists and Oil Refiners</w:t>
      </w:r>
      <w:r w:rsidRPr="003165DF">
        <w:rPr>
          <w:rFonts w:ascii="Times New Roman" w:hAnsi="Times New Roman" w:cs="Times New Roman"/>
          <w:sz w:val="20"/>
          <w:szCs w:val="20"/>
        </w:rPr>
        <w:t xml:space="preserve"> Square Off Over Hydrofluoric Acid,” </w:t>
      </w:r>
      <w:proofErr w:type="spellStart"/>
      <w:r w:rsidRPr="003165DF">
        <w:rPr>
          <w:rFonts w:ascii="Times New Roman" w:hAnsi="Times New Roman" w:cs="Times New Roman"/>
          <w:i/>
          <w:iCs/>
          <w:sz w:val="20"/>
          <w:szCs w:val="20"/>
        </w:rPr>
        <w:t>Undark</w:t>
      </w:r>
      <w:proofErr w:type="spellEnd"/>
      <w:r w:rsidRPr="003165DF">
        <w:rPr>
          <w:rFonts w:ascii="Times New Roman" w:hAnsi="Times New Roman" w:cs="Times New Roman"/>
          <w:i/>
          <w:iCs/>
          <w:sz w:val="20"/>
          <w:szCs w:val="20"/>
        </w:rPr>
        <w:t>.</w:t>
      </w:r>
      <w:r w:rsidRPr="003165DF">
        <w:rPr>
          <w:rFonts w:ascii="Times New Roman" w:hAnsi="Times New Roman" w:cs="Times New Roman"/>
          <w:sz w:val="20"/>
          <w:szCs w:val="20"/>
        </w:rPr>
        <w:t xml:space="preserve"> October 10, 2018</w:t>
      </w:r>
      <w:r>
        <w:rPr>
          <w:rFonts w:ascii="Times New Roman" w:hAnsi="Times New Roman" w:cs="Times New Roman"/>
          <w:sz w:val="20"/>
          <w:szCs w:val="20"/>
        </w:rPr>
        <w:t xml:space="preserve">. Available at: </w:t>
      </w:r>
      <w:hyperlink r:id="rId51" w:history="1">
        <w:r w:rsidRPr="00A3147A">
          <w:rPr>
            <w:rStyle w:val="Hyperlink"/>
            <w:rFonts w:ascii="Times New Roman" w:hAnsi="Times New Roman" w:cs="Times New Roman"/>
            <w:sz w:val="20"/>
            <w:szCs w:val="20"/>
          </w:rPr>
          <w:t>https://undark.org/2018/10/10/hydrofluoric-acid-oil-refining-explosion/</w:t>
        </w:r>
      </w:hyperlink>
      <w:r w:rsidR="00843847">
        <w:rPr>
          <w:rFonts w:ascii="Times New Roman" w:hAnsi="Times New Roman" w:cs="Times New Roman"/>
          <w:sz w:val="20"/>
          <w:szCs w:val="20"/>
        </w:rPr>
        <w:t>.</w:t>
      </w:r>
    </w:p>
  </w:footnote>
  <w:footnote w:id="116">
    <w:p w14:paraId="76E113FB" w14:textId="79AB26E6" w:rsidR="00CA671D" w:rsidRPr="00CA671D" w:rsidRDefault="00CA671D" w:rsidP="00CA671D">
      <w:pPr>
        <w:pStyle w:val="FootnoteText"/>
        <w:rPr>
          <w:rFonts w:ascii="Times New Roman" w:hAnsi="Times New Roman" w:cs="Times New Roman"/>
        </w:rPr>
      </w:pPr>
      <w:r w:rsidRPr="00CA671D">
        <w:rPr>
          <w:rStyle w:val="FootnoteReference"/>
          <w:rFonts w:ascii="Times New Roman" w:hAnsi="Times New Roman" w:cs="Times New Roman"/>
        </w:rPr>
        <w:footnoteRef/>
      </w:r>
      <w:r w:rsidRPr="00CA671D">
        <w:rPr>
          <w:rFonts w:ascii="Times New Roman" w:hAnsi="Times New Roman" w:cs="Times New Roman"/>
        </w:rPr>
        <w:t xml:space="preserve"> See public comment on 2015 proposed RMP </w:t>
      </w:r>
      <w:r w:rsidR="00A55595">
        <w:rPr>
          <w:rFonts w:ascii="Times New Roman" w:hAnsi="Times New Roman" w:cs="Times New Roman"/>
        </w:rPr>
        <w:t>a</w:t>
      </w:r>
      <w:r w:rsidRPr="00CA671D">
        <w:rPr>
          <w:rFonts w:ascii="Times New Roman" w:hAnsi="Times New Roman" w:cs="Times New Roman"/>
        </w:rPr>
        <w:t xml:space="preserve">mendments </w:t>
      </w:r>
      <w:proofErr w:type="gramStart"/>
      <w:r w:rsidRPr="00CA671D">
        <w:rPr>
          <w:rFonts w:ascii="Times New Roman" w:hAnsi="Times New Roman" w:cs="Times New Roman"/>
        </w:rPr>
        <w:t>rule  EPA</w:t>
      </w:r>
      <w:proofErr w:type="gramEnd"/>
      <w:r w:rsidRPr="00CA671D">
        <w:rPr>
          <w:rFonts w:ascii="Times New Roman" w:hAnsi="Times New Roman" w:cs="Times New Roman"/>
        </w:rPr>
        <w:t xml:space="preserve">-HQ-OEM-2015-0725-0579, pp 142. Comment submitted by AFPM.  </w:t>
      </w:r>
    </w:p>
  </w:footnote>
  <w:footnote w:id="117">
    <w:p w14:paraId="51026DC4" w14:textId="16FAE7A5"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w:t>
      </w:r>
      <w:bookmarkStart w:id="193" w:name="_Hlk100922270"/>
      <w:r w:rsidRPr="00CA671D">
        <w:rPr>
          <w:rFonts w:ascii="Times New Roman" w:hAnsi="Times New Roman" w:cs="Times New Roman"/>
          <w:sz w:val="20"/>
          <w:szCs w:val="20"/>
        </w:rPr>
        <w:t>Communities for a Better Environment citing (</w:t>
      </w:r>
      <w:hyperlink r:id="rId52" w:history="1">
        <w:r w:rsidRPr="00CA671D">
          <w:rPr>
            <w:rStyle w:val="Hyperlink"/>
            <w:rFonts w:ascii="Times New Roman" w:hAnsi="Times New Roman" w:cs="Times New Roman"/>
            <w:sz w:val="20"/>
            <w:szCs w:val="20"/>
          </w:rPr>
          <w:t>https://www.cbecal.org/wp-content/uploads/2019/02/CBE-fact-sheet-MHF-replacement-COST-greatly-exagerated-01312019.pdf</w:t>
        </w:r>
      </w:hyperlink>
      <w:r w:rsidRPr="00CA671D">
        <w:rPr>
          <w:rFonts w:ascii="Times New Roman" w:hAnsi="Times New Roman" w:cs="Times New Roman"/>
          <w:sz w:val="20"/>
          <w:szCs w:val="20"/>
        </w:rPr>
        <w:t xml:space="preserve">): </w:t>
      </w:r>
      <w:bookmarkEnd w:id="193"/>
      <w:r w:rsidRPr="00CA671D">
        <w:rPr>
          <w:rFonts w:ascii="Times New Roman" w:hAnsi="Times New Roman" w:cs="Times New Roman"/>
          <w:sz w:val="20"/>
          <w:szCs w:val="20"/>
        </w:rPr>
        <w:t xml:space="preserve">US </w:t>
      </w:r>
      <w:proofErr w:type="spellStart"/>
      <w:r w:rsidRPr="00CA671D">
        <w:rPr>
          <w:rFonts w:ascii="Times New Roman" w:hAnsi="Times New Roman" w:cs="Times New Roman"/>
          <w:sz w:val="20"/>
          <w:szCs w:val="20"/>
        </w:rPr>
        <w:t>Delek</w:t>
      </w:r>
      <w:proofErr w:type="spellEnd"/>
      <w:r w:rsidRPr="00CA671D">
        <w:rPr>
          <w:rFonts w:ascii="Times New Roman" w:hAnsi="Times New Roman" w:cs="Times New Roman"/>
          <w:sz w:val="20"/>
          <w:szCs w:val="20"/>
        </w:rPr>
        <w:t xml:space="preserve"> Holdings to add alkylation unit at Louisiana refinery, Independent Commodity Intelligence Services (ICIS) News, 2018/01/16, from refinery SEC filing: </w:t>
      </w:r>
      <w:hyperlink r:id="rId53" w:history="1">
        <w:r w:rsidRPr="00CA671D">
          <w:rPr>
            <w:rStyle w:val="Hyperlink"/>
            <w:rFonts w:ascii="Times New Roman" w:hAnsi="Times New Roman" w:cs="Times New Roman"/>
            <w:sz w:val="20"/>
            <w:szCs w:val="20"/>
          </w:rPr>
          <w:t>https://www.icis.com/explore/resources/news/2018/01/16/10183692/us-delek-holdings-to-add-alkylation-unit-at-louisiana-refinery/</w:t>
        </w:r>
      </w:hyperlink>
      <w:r w:rsidRPr="00CA671D">
        <w:rPr>
          <w:rFonts w:ascii="Times New Roman" w:hAnsi="Times New Roman" w:cs="Times New Roman"/>
          <w:sz w:val="20"/>
          <w:szCs w:val="20"/>
        </w:rPr>
        <w:t xml:space="preserve"> </w:t>
      </w:r>
      <w:r w:rsidR="00843847">
        <w:rPr>
          <w:rFonts w:ascii="Times New Roman" w:hAnsi="Times New Roman" w:cs="Times New Roman"/>
          <w:sz w:val="20"/>
          <w:szCs w:val="20"/>
        </w:rPr>
        <w:t>.</w:t>
      </w:r>
    </w:p>
  </w:footnote>
  <w:footnote w:id="118">
    <w:p w14:paraId="50BB0F3D" w14:textId="3295507A"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Communities for a Better Environment citing (</w:t>
      </w:r>
      <w:hyperlink r:id="rId54" w:history="1">
        <w:r w:rsidRPr="00CA671D">
          <w:rPr>
            <w:rStyle w:val="Hyperlink"/>
            <w:rFonts w:ascii="Times New Roman" w:hAnsi="Times New Roman" w:cs="Times New Roman"/>
            <w:sz w:val="20"/>
            <w:szCs w:val="20"/>
          </w:rPr>
          <w:t>https://www.cbecal.org/wp-content/uploads/2019/02/CBE-fact-sheet-MHF-replacement-COST-greatly-exagerated-01312019.pdf</w:t>
        </w:r>
      </w:hyperlink>
      <w:r w:rsidRPr="00CA671D">
        <w:rPr>
          <w:rFonts w:ascii="Times New Roman" w:hAnsi="Times New Roman" w:cs="Times New Roman"/>
          <w:sz w:val="20"/>
          <w:szCs w:val="20"/>
        </w:rPr>
        <w:t xml:space="preserve">): Valero Energy Reports First Quarter 2016 Results, 13,000 bpd unit, </w:t>
      </w:r>
      <w:proofErr w:type="spellStart"/>
      <w:r w:rsidRPr="00CA671D">
        <w:rPr>
          <w:rFonts w:ascii="Times New Roman" w:hAnsi="Times New Roman" w:cs="Times New Roman"/>
          <w:sz w:val="20"/>
          <w:szCs w:val="20"/>
        </w:rPr>
        <w:t>GlobeNewsWire</w:t>
      </w:r>
      <w:proofErr w:type="spellEnd"/>
      <w:r w:rsidRPr="00CA671D">
        <w:rPr>
          <w:rFonts w:ascii="Times New Roman" w:hAnsi="Times New Roman" w:cs="Times New Roman"/>
          <w:sz w:val="20"/>
          <w:szCs w:val="20"/>
        </w:rPr>
        <w:t xml:space="preserve">, 05/03/2016. Available at: </w:t>
      </w:r>
      <w:hyperlink r:id="rId55" w:history="1">
        <w:r w:rsidRPr="00CA671D">
          <w:rPr>
            <w:rStyle w:val="Hyperlink"/>
            <w:rFonts w:ascii="Times New Roman" w:hAnsi="Times New Roman" w:cs="Times New Roman"/>
            <w:sz w:val="20"/>
            <w:szCs w:val="20"/>
          </w:rPr>
          <w:t>https://www.globenewswire.com/news-release/2016/05/03/835929/0/en/Valero-Energy-Reports-First-Quarter-2016-Results.html</w:t>
        </w:r>
      </w:hyperlink>
      <w:r w:rsidRPr="00CA671D">
        <w:rPr>
          <w:rFonts w:ascii="Times New Roman" w:hAnsi="Times New Roman" w:cs="Times New Roman"/>
          <w:sz w:val="20"/>
          <w:szCs w:val="20"/>
        </w:rPr>
        <w:t xml:space="preserve"> </w:t>
      </w:r>
      <w:r w:rsidR="00843847">
        <w:rPr>
          <w:rFonts w:ascii="Times New Roman" w:hAnsi="Times New Roman" w:cs="Times New Roman"/>
          <w:sz w:val="20"/>
          <w:szCs w:val="20"/>
        </w:rPr>
        <w:t>.</w:t>
      </w:r>
    </w:p>
  </w:footnote>
  <w:footnote w:id="119">
    <w:p w14:paraId="5B94D3DF" w14:textId="253D2041"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Communities for a Better Environment citing (</w:t>
      </w:r>
      <w:hyperlink r:id="rId56" w:history="1">
        <w:r w:rsidRPr="00CA671D">
          <w:rPr>
            <w:rStyle w:val="Hyperlink"/>
            <w:rFonts w:ascii="Times New Roman" w:hAnsi="Times New Roman" w:cs="Times New Roman"/>
            <w:sz w:val="20"/>
            <w:szCs w:val="20"/>
          </w:rPr>
          <w:t>https://www.cbecal.org/wp-content/uploads/2019/02/CBE-fact-sheet-MHF-replacement-COST-greatly-exagerated-01312019.pdf</w:t>
        </w:r>
      </w:hyperlink>
      <w:r w:rsidRPr="00CA671D">
        <w:rPr>
          <w:rFonts w:ascii="Times New Roman" w:hAnsi="Times New Roman" w:cs="Times New Roman"/>
          <w:sz w:val="20"/>
          <w:szCs w:val="20"/>
        </w:rPr>
        <w:t xml:space="preserve">): Valero Energy Reports First Quarter 2016 Results, 13,000 bpd unit, </w:t>
      </w:r>
      <w:proofErr w:type="spellStart"/>
      <w:r w:rsidRPr="00CA671D">
        <w:rPr>
          <w:rFonts w:ascii="Times New Roman" w:hAnsi="Times New Roman" w:cs="Times New Roman"/>
          <w:sz w:val="20"/>
          <w:szCs w:val="20"/>
        </w:rPr>
        <w:t>GlobeNewsWire</w:t>
      </w:r>
      <w:proofErr w:type="spellEnd"/>
      <w:r w:rsidRPr="00CA671D">
        <w:rPr>
          <w:rFonts w:ascii="Times New Roman" w:hAnsi="Times New Roman" w:cs="Times New Roman"/>
          <w:sz w:val="20"/>
          <w:szCs w:val="20"/>
        </w:rPr>
        <w:t xml:space="preserve">, 05/03/2016. Available at: </w:t>
      </w:r>
      <w:hyperlink r:id="rId57" w:history="1">
        <w:r w:rsidRPr="00CA671D">
          <w:rPr>
            <w:rStyle w:val="Hyperlink"/>
            <w:rFonts w:ascii="Times New Roman" w:hAnsi="Times New Roman" w:cs="Times New Roman"/>
            <w:sz w:val="20"/>
            <w:szCs w:val="20"/>
          </w:rPr>
          <w:t>https://www.globenewswire.com/new s-release/2016/05/03/835929/0/en/Valero-Energy-Reports-First-Quarter-2016-Results.html</w:t>
        </w:r>
      </w:hyperlink>
      <w:r w:rsidRPr="00CA671D">
        <w:rPr>
          <w:rFonts w:ascii="Times New Roman" w:hAnsi="Times New Roman" w:cs="Times New Roman"/>
          <w:sz w:val="20"/>
          <w:szCs w:val="20"/>
        </w:rPr>
        <w:t xml:space="preserve"> </w:t>
      </w:r>
      <w:r w:rsidR="00843847">
        <w:rPr>
          <w:rFonts w:ascii="Times New Roman" w:hAnsi="Times New Roman" w:cs="Times New Roman"/>
          <w:sz w:val="20"/>
          <w:szCs w:val="20"/>
        </w:rPr>
        <w:t>.</w:t>
      </w:r>
    </w:p>
  </w:footnote>
  <w:footnote w:id="120">
    <w:p w14:paraId="759A1B66" w14:textId="350B1F7A"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Zhang, S.; L. Wilkinson; L. </w:t>
      </w:r>
      <w:proofErr w:type="spellStart"/>
      <w:r w:rsidRPr="00CA671D">
        <w:rPr>
          <w:rFonts w:ascii="Times New Roman" w:hAnsi="Times New Roman" w:cs="Times New Roman"/>
          <w:sz w:val="20"/>
          <w:szCs w:val="20"/>
        </w:rPr>
        <w:t>Ogunde</w:t>
      </w:r>
      <w:proofErr w:type="spellEnd"/>
      <w:r w:rsidRPr="00CA671D">
        <w:rPr>
          <w:rFonts w:ascii="Times New Roman" w:hAnsi="Times New Roman" w:cs="Times New Roman"/>
          <w:sz w:val="20"/>
          <w:szCs w:val="20"/>
        </w:rPr>
        <w:t xml:space="preserve">; R. Todd; C. </w:t>
      </w:r>
      <w:proofErr w:type="spellStart"/>
      <w:r w:rsidRPr="00CA671D">
        <w:rPr>
          <w:rFonts w:ascii="Times New Roman" w:hAnsi="Times New Roman" w:cs="Times New Roman"/>
          <w:sz w:val="20"/>
          <w:szCs w:val="20"/>
        </w:rPr>
        <w:t>Steves</w:t>
      </w:r>
      <w:proofErr w:type="spellEnd"/>
      <w:r w:rsidRPr="00CA671D">
        <w:rPr>
          <w:rFonts w:ascii="Times New Roman" w:hAnsi="Times New Roman" w:cs="Times New Roman"/>
          <w:sz w:val="20"/>
          <w:szCs w:val="20"/>
        </w:rPr>
        <w:t xml:space="preserve">; S. Haydel.  Norton Engineering: Alkylation Technology Study: FINAL REPORT. South Coast Air Quality Management District, 09/09/2016. Available at: </w:t>
      </w:r>
      <w:hyperlink r:id="rId58" w:history="1">
        <w:r w:rsidRPr="00CA671D">
          <w:rPr>
            <w:rFonts w:ascii="Times New Roman" w:hAnsi="Times New Roman" w:cs="Times New Roman"/>
            <w:color w:val="0563C1"/>
            <w:sz w:val="20"/>
            <w:szCs w:val="20"/>
            <w:u w:val="single"/>
          </w:rPr>
          <w:t>https://www.aqmd.gov/docs/default-source/permitting/alkylation-technology-study-final-report.pdf</w:t>
        </w:r>
      </w:hyperlink>
      <w:r w:rsidR="00843847">
        <w:rPr>
          <w:rFonts w:ascii="Times New Roman" w:hAnsi="Times New Roman" w:cs="Times New Roman"/>
          <w:color w:val="0563C1"/>
          <w:sz w:val="20"/>
          <w:szCs w:val="20"/>
          <w:u w:val="single"/>
        </w:rPr>
        <w:t>.</w:t>
      </w:r>
    </w:p>
  </w:footnote>
  <w:footnote w:id="121">
    <w:p w14:paraId="52DF87E1" w14:textId="06C35833" w:rsidR="00CA671D" w:rsidRPr="00CA671D" w:rsidRDefault="00CA671D" w:rsidP="00CA671D">
      <w:pPr>
        <w:spacing w:after="0" w:line="240" w:lineRule="auto"/>
        <w:rPr>
          <w:rFonts w:ascii="Times New Roman" w:hAnsi="Times New Roman" w:cs="Times New Roman"/>
          <w:sz w:val="20"/>
          <w:szCs w:val="20"/>
        </w:rPr>
      </w:pPr>
      <w:r w:rsidRPr="00CA671D">
        <w:rPr>
          <w:rStyle w:val="FootnoteReference"/>
          <w:rFonts w:ascii="Times New Roman" w:hAnsi="Times New Roman" w:cs="Times New Roman"/>
          <w:sz w:val="20"/>
          <w:szCs w:val="20"/>
        </w:rPr>
        <w:footnoteRef/>
      </w:r>
      <w:r w:rsidRPr="00CA671D">
        <w:rPr>
          <w:rFonts w:ascii="Times New Roman" w:hAnsi="Times New Roman" w:cs="Times New Roman"/>
          <w:sz w:val="20"/>
          <w:szCs w:val="20"/>
        </w:rPr>
        <w:t xml:space="preserve"> Zhang, S.; L. Wilkinson; L. </w:t>
      </w:r>
      <w:proofErr w:type="spellStart"/>
      <w:r w:rsidRPr="00CA671D">
        <w:rPr>
          <w:rFonts w:ascii="Times New Roman" w:hAnsi="Times New Roman" w:cs="Times New Roman"/>
          <w:sz w:val="20"/>
          <w:szCs w:val="20"/>
        </w:rPr>
        <w:t>Ogunde</w:t>
      </w:r>
      <w:proofErr w:type="spellEnd"/>
      <w:r w:rsidRPr="00CA671D">
        <w:rPr>
          <w:rFonts w:ascii="Times New Roman" w:hAnsi="Times New Roman" w:cs="Times New Roman"/>
          <w:sz w:val="20"/>
          <w:szCs w:val="20"/>
        </w:rPr>
        <w:t xml:space="preserve">; R. Todd; C. </w:t>
      </w:r>
      <w:proofErr w:type="spellStart"/>
      <w:r w:rsidRPr="00CA671D">
        <w:rPr>
          <w:rFonts w:ascii="Times New Roman" w:hAnsi="Times New Roman" w:cs="Times New Roman"/>
          <w:sz w:val="20"/>
          <w:szCs w:val="20"/>
        </w:rPr>
        <w:t>Steves</w:t>
      </w:r>
      <w:proofErr w:type="spellEnd"/>
      <w:r w:rsidRPr="00CA671D">
        <w:rPr>
          <w:rFonts w:ascii="Times New Roman" w:hAnsi="Times New Roman" w:cs="Times New Roman"/>
          <w:sz w:val="20"/>
          <w:szCs w:val="20"/>
        </w:rPr>
        <w:t xml:space="preserve">; S. Haydel.  Norton Engineering: Alkylation Technology Study: FINAL REPORT. South Coast Air Quality Management District, 09/09/2016. Available at: </w:t>
      </w:r>
      <w:hyperlink r:id="rId59" w:history="1">
        <w:r w:rsidRPr="00CA671D">
          <w:rPr>
            <w:rFonts w:ascii="Times New Roman" w:hAnsi="Times New Roman" w:cs="Times New Roman"/>
            <w:color w:val="0563C1"/>
            <w:sz w:val="20"/>
            <w:szCs w:val="20"/>
            <w:u w:val="single"/>
          </w:rPr>
          <w:t>https://www.aqmd.gov/docs/default-source/permitting/alkylation-technology-study-final-report.pdf</w:t>
        </w:r>
      </w:hyperlink>
      <w:r w:rsidR="00843847">
        <w:rPr>
          <w:rFonts w:ascii="Times New Roman" w:hAnsi="Times New Roman" w:cs="Times New Roman"/>
          <w:color w:val="0563C1"/>
          <w:sz w:val="20"/>
          <w:szCs w:val="20"/>
          <w:u w:val="single"/>
        </w:rPr>
        <w:t>.</w:t>
      </w:r>
    </w:p>
    <w:p w14:paraId="37E90FE6" w14:textId="646C97DB" w:rsidR="00CA671D" w:rsidRDefault="00CA67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5838" w14:textId="77777777" w:rsidR="00451830" w:rsidRDefault="008550A6">
    <w:r>
      <w:cr/>
    </w:r>
    <w:r>
      <w:cr/>
    </w:r>
    <w:r w:rsidR="002A7710">
      <w:cr/>
    </w:r>
  </w:p>
  <w:p w14:paraId="1BC53C38" w14:textId="77777777" w:rsidR="00D501D7" w:rsidRDefault="008550A6">
    <w:r>
      <w:cr/>
    </w:r>
    <w:r>
      <w:cr/>
    </w:r>
    <w:r>
      <w:cr/>
    </w:r>
  </w:p>
  <w:p w14:paraId="0356D9C7" w14:textId="77777777" w:rsidR="007220D6" w:rsidRDefault="008550A6">
    <w:r>
      <w:cr/>
    </w:r>
    <w:r>
      <w:cr/>
    </w:r>
    <w:r>
      <w:cr/>
    </w:r>
  </w:p>
  <w:p w14:paraId="692BCE65" w14:textId="77777777" w:rsidR="008550A6" w:rsidRDefault="008550A6">
    <w:r>
      <w:cr/>
    </w:r>
    <w:r>
      <w:cr/>
    </w:r>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11C" w14:textId="77777777" w:rsidR="009D7BD0" w:rsidRDefault="009D7BD0">
    <w:pPr>
      <w:pStyle w:val="Header"/>
    </w:pPr>
  </w:p>
  <w:p w14:paraId="5099F526" w14:textId="77777777" w:rsidR="008550A6" w:rsidRDefault="008550A6">
    <w:pPr>
      <w:pStyle w:val="Header"/>
    </w:pPr>
    <w:r>
      <w:cr/>
    </w: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B953" w14:textId="77777777" w:rsidR="00451830" w:rsidRDefault="008550A6">
    <w:r>
      <w:cr/>
    </w:r>
    <w:r>
      <w:cr/>
    </w:r>
    <w:r w:rsidR="002A7710">
      <w:cr/>
    </w:r>
  </w:p>
  <w:p w14:paraId="67CC5AEA" w14:textId="77777777" w:rsidR="00D501D7" w:rsidRDefault="008550A6">
    <w:r>
      <w:cr/>
    </w:r>
    <w:r>
      <w:cr/>
    </w:r>
    <w:r>
      <w:cr/>
    </w:r>
  </w:p>
  <w:p w14:paraId="51C92FED" w14:textId="77777777" w:rsidR="007220D6" w:rsidRDefault="008550A6">
    <w:r>
      <w:cr/>
    </w:r>
    <w:r>
      <w:cr/>
    </w:r>
    <w:r>
      <w:cr/>
    </w:r>
  </w:p>
  <w:p w14:paraId="4291928A" w14:textId="77777777" w:rsidR="008550A6" w:rsidRDefault="008550A6">
    <w:r>
      <w:cr/>
    </w:r>
    <w:r>
      <w:cr/>
    </w:r>
    <w:r>
      <w:cr/>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860"/>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7476BD8"/>
    <w:multiLevelType w:val="hybridMultilevel"/>
    <w:tmpl w:val="14FE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E8F"/>
    <w:multiLevelType w:val="hybridMultilevel"/>
    <w:tmpl w:val="7A06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3A78"/>
    <w:multiLevelType w:val="hybridMultilevel"/>
    <w:tmpl w:val="55368BA4"/>
    <w:lvl w:ilvl="0" w:tplc="BD12E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E3E6A"/>
    <w:multiLevelType w:val="hybridMultilevel"/>
    <w:tmpl w:val="5BD69296"/>
    <w:lvl w:ilvl="0" w:tplc="E6C00166">
      <w:numFmt w:val="bullet"/>
      <w:lvlText w:val=""/>
      <w:lvlJc w:val="left"/>
      <w:pPr>
        <w:ind w:left="520" w:hanging="360"/>
      </w:pPr>
      <w:rPr>
        <w:rFonts w:ascii="Symbol" w:eastAsia="Symbol" w:hAnsi="Symbol" w:cs="Symbol" w:hint="default"/>
        <w:w w:val="100"/>
        <w:sz w:val="21"/>
        <w:szCs w:val="21"/>
        <w:lang w:val="en-US" w:eastAsia="en-US" w:bidi="en-US"/>
      </w:rPr>
    </w:lvl>
    <w:lvl w:ilvl="1" w:tplc="F6DA9BE2">
      <w:numFmt w:val="bullet"/>
      <w:lvlText w:val="•"/>
      <w:lvlJc w:val="left"/>
      <w:pPr>
        <w:ind w:left="718" w:hanging="360"/>
      </w:pPr>
      <w:rPr>
        <w:rFonts w:hint="default"/>
        <w:lang w:val="en-US" w:eastAsia="en-US" w:bidi="en-US"/>
      </w:rPr>
    </w:lvl>
    <w:lvl w:ilvl="2" w:tplc="C73C0614">
      <w:numFmt w:val="bullet"/>
      <w:lvlText w:val="•"/>
      <w:lvlJc w:val="left"/>
      <w:pPr>
        <w:ind w:left="917" w:hanging="360"/>
      </w:pPr>
      <w:rPr>
        <w:rFonts w:hint="default"/>
        <w:lang w:val="en-US" w:eastAsia="en-US" w:bidi="en-US"/>
      </w:rPr>
    </w:lvl>
    <w:lvl w:ilvl="3" w:tplc="AA8C2BB4">
      <w:numFmt w:val="bullet"/>
      <w:lvlText w:val="•"/>
      <w:lvlJc w:val="left"/>
      <w:pPr>
        <w:ind w:left="1115" w:hanging="360"/>
      </w:pPr>
      <w:rPr>
        <w:rFonts w:hint="default"/>
        <w:lang w:val="en-US" w:eastAsia="en-US" w:bidi="en-US"/>
      </w:rPr>
    </w:lvl>
    <w:lvl w:ilvl="4" w:tplc="F8265EC6">
      <w:numFmt w:val="bullet"/>
      <w:lvlText w:val="•"/>
      <w:lvlJc w:val="left"/>
      <w:pPr>
        <w:ind w:left="1314" w:hanging="360"/>
      </w:pPr>
      <w:rPr>
        <w:rFonts w:hint="default"/>
        <w:lang w:val="en-US" w:eastAsia="en-US" w:bidi="en-US"/>
      </w:rPr>
    </w:lvl>
    <w:lvl w:ilvl="5" w:tplc="35CEA832">
      <w:numFmt w:val="bullet"/>
      <w:lvlText w:val="•"/>
      <w:lvlJc w:val="left"/>
      <w:pPr>
        <w:ind w:left="1513" w:hanging="360"/>
      </w:pPr>
      <w:rPr>
        <w:rFonts w:hint="default"/>
        <w:lang w:val="en-US" w:eastAsia="en-US" w:bidi="en-US"/>
      </w:rPr>
    </w:lvl>
    <w:lvl w:ilvl="6" w:tplc="01C2C5C8">
      <w:numFmt w:val="bullet"/>
      <w:lvlText w:val="•"/>
      <w:lvlJc w:val="left"/>
      <w:pPr>
        <w:ind w:left="1711" w:hanging="360"/>
      </w:pPr>
      <w:rPr>
        <w:rFonts w:hint="default"/>
        <w:lang w:val="en-US" w:eastAsia="en-US" w:bidi="en-US"/>
      </w:rPr>
    </w:lvl>
    <w:lvl w:ilvl="7" w:tplc="3F1C63D8">
      <w:numFmt w:val="bullet"/>
      <w:lvlText w:val="•"/>
      <w:lvlJc w:val="left"/>
      <w:pPr>
        <w:ind w:left="1910" w:hanging="360"/>
      </w:pPr>
      <w:rPr>
        <w:rFonts w:hint="default"/>
        <w:lang w:val="en-US" w:eastAsia="en-US" w:bidi="en-US"/>
      </w:rPr>
    </w:lvl>
    <w:lvl w:ilvl="8" w:tplc="D102E662">
      <w:numFmt w:val="bullet"/>
      <w:lvlText w:val="•"/>
      <w:lvlJc w:val="left"/>
      <w:pPr>
        <w:ind w:left="2108" w:hanging="360"/>
      </w:pPr>
      <w:rPr>
        <w:rFonts w:hint="default"/>
        <w:lang w:val="en-US" w:eastAsia="en-US" w:bidi="en-US"/>
      </w:rPr>
    </w:lvl>
  </w:abstractNum>
  <w:abstractNum w:abstractNumId="5" w15:restartNumberingAfterBreak="0">
    <w:nsid w:val="1A6018C1"/>
    <w:multiLevelType w:val="hybridMultilevel"/>
    <w:tmpl w:val="2A36DC84"/>
    <w:lvl w:ilvl="0" w:tplc="B58C2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926FC3"/>
    <w:multiLevelType w:val="hybridMultilevel"/>
    <w:tmpl w:val="FA5052EA"/>
    <w:lvl w:ilvl="0" w:tplc="D2E88EC0">
      <w:start w:val="1"/>
      <w:numFmt w:val="lowerLetter"/>
      <w:lvlText w:val="%1."/>
      <w:lvlJc w:val="left"/>
      <w:pPr>
        <w:ind w:left="720" w:hanging="360"/>
      </w:pPr>
      <w:rPr>
        <w:rFonts w:asciiTheme="minorHAnsi" w:hAnsiTheme="minorHAnsi" w:cstheme="minorHAnsi"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A39F1"/>
    <w:multiLevelType w:val="hybridMultilevel"/>
    <w:tmpl w:val="3B5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021C3"/>
    <w:multiLevelType w:val="hybridMultilevel"/>
    <w:tmpl w:val="BB9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24CE6"/>
    <w:multiLevelType w:val="hybridMultilevel"/>
    <w:tmpl w:val="3B70873A"/>
    <w:lvl w:ilvl="0" w:tplc="77A80640">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372E24BF"/>
    <w:multiLevelType w:val="hybridMultilevel"/>
    <w:tmpl w:val="57D0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C35D2"/>
    <w:multiLevelType w:val="hybridMultilevel"/>
    <w:tmpl w:val="02CC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C63FA"/>
    <w:multiLevelType w:val="hybridMultilevel"/>
    <w:tmpl w:val="9DD0B498"/>
    <w:lvl w:ilvl="0" w:tplc="F640A38C">
      <w:start w:val="1"/>
      <w:numFmt w:val="decimal"/>
      <w:lvlText w:val="%1."/>
      <w:lvlJc w:val="left"/>
      <w:pPr>
        <w:ind w:left="580" w:hanging="360"/>
      </w:pPr>
      <w:rPr>
        <w:rFonts w:eastAsiaTheme="minorHAnsi"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15:restartNumberingAfterBreak="0">
    <w:nsid w:val="44B9389B"/>
    <w:multiLevelType w:val="hybridMultilevel"/>
    <w:tmpl w:val="B55897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9771F0"/>
    <w:multiLevelType w:val="hybridMultilevel"/>
    <w:tmpl w:val="D0E0DEF2"/>
    <w:lvl w:ilvl="0" w:tplc="A74ECF9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D3DDE"/>
    <w:multiLevelType w:val="hybridMultilevel"/>
    <w:tmpl w:val="6E0659AC"/>
    <w:lvl w:ilvl="0" w:tplc="8BCEC66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C6A62"/>
    <w:multiLevelType w:val="hybridMultilevel"/>
    <w:tmpl w:val="2CCCDA90"/>
    <w:lvl w:ilvl="0" w:tplc="BBF8A36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DA0AD0"/>
    <w:multiLevelType w:val="hybridMultilevel"/>
    <w:tmpl w:val="1ED0962A"/>
    <w:lvl w:ilvl="0" w:tplc="A46A217C">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15:restartNumberingAfterBreak="0">
    <w:nsid w:val="590E3EA9"/>
    <w:multiLevelType w:val="hybridMultilevel"/>
    <w:tmpl w:val="C5D645EA"/>
    <w:lvl w:ilvl="0" w:tplc="72443C7E">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2B7E81"/>
    <w:multiLevelType w:val="hybridMultilevel"/>
    <w:tmpl w:val="E62C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206CF"/>
    <w:multiLevelType w:val="multilevel"/>
    <w:tmpl w:val="CA64E3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AE4163F"/>
    <w:multiLevelType w:val="hybridMultilevel"/>
    <w:tmpl w:val="74B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04258"/>
    <w:multiLevelType w:val="hybridMultilevel"/>
    <w:tmpl w:val="4F46B394"/>
    <w:lvl w:ilvl="0" w:tplc="249A89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726B87"/>
    <w:multiLevelType w:val="hybridMultilevel"/>
    <w:tmpl w:val="C1F6A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3078CA"/>
    <w:multiLevelType w:val="hybridMultilevel"/>
    <w:tmpl w:val="057A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838FF"/>
    <w:multiLevelType w:val="hybridMultilevel"/>
    <w:tmpl w:val="763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61B9C"/>
    <w:multiLevelType w:val="hybridMultilevel"/>
    <w:tmpl w:val="A7EA7008"/>
    <w:lvl w:ilvl="0" w:tplc="41746DAA">
      <w:numFmt w:val="bullet"/>
      <w:lvlText w:val=""/>
      <w:lvlJc w:val="left"/>
      <w:pPr>
        <w:ind w:left="520" w:hanging="360"/>
      </w:pPr>
      <w:rPr>
        <w:rFonts w:ascii="Symbol" w:eastAsia="Symbol" w:hAnsi="Symbol" w:cs="Symbol" w:hint="default"/>
        <w:w w:val="100"/>
        <w:sz w:val="21"/>
        <w:szCs w:val="21"/>
        <w:lang w:val="en-US" w:eastAsia="en-US" w:bidi="en-US"/>
      </w:rPr>
    </w:lvl>
    <w:lvl w:ilvl="1" w:tplc="781AEFE8">
      <w:numFmt w:val="bullet"/>
      <w:lvlText w:val="•"/>
      <w:lvlJc w:val="left"/>
      <w:pPr>
        <w:ind w:left="718" w:hanging="360"/>
      </w:pPr>
      <w:rPr>
        <w:rFonts w:hint="default"/>
        <w:lang w:val="en-US" w:eastAsia="en-US" w:bidi="en-US"/>
      </w:rPr>
    </w:lvl>
    <w:lvl w:ilvl="2" w:tplc="4CD4D6DE">
      <w:numFmt w:val="bullet"/>
      <w:lvlText w:val="•"/>
      <w:lvlJc w:val="left"/>
      <w:pPr>
        <w:ind w:left="917" w:hanging="360"/>
      </w:pPr>
      <w:rPr>
        <w:rFonts w:hint="default"/>
        <w:lang w:val="en-US" w:eastAsia="en-US" w:bidi="en-US"/>
      </w:rPr>
    </w:lvl>
    <w:lvl w:ilvl="3" w:tplc="99FA92C4">
      <w:numFmt w:val="bullet"/>
      <w:lvlText w:val="•"/>
      <w:lvlJc w:val="left"/>
      <w:pPr>
        <w:ind w:left="1115" w:hanging="360"/>
      </w:pPr>
      <w:rPr>
        <w:rFonts w:hint="default"/>
        <w:lang w:val="en-US" w:eastAsia="en-US" w:bidi="en-US"/>
      </w:rPr>
    </w:lvl>
    <w:lvl w:ilvl="4" w:tplc="F8185B1C">
      <w:numFmt w:val="bullet"/>
      <w:lvlText w:val="•"/>
      <w:lvlJc w:val="left"/>
      <w:pPr>
        <w:ind w:left="1314" w:hanging="360"/>
      </w:pPr>
      <w:rPr>
        <w:rFonts w:hint="default"/>
        <w:lang w:val="en-US" w:eastAsia="en-US" w:bidi="en-US"/>
      </w:rPr>
    </w:lvl>
    <w:lvl w:ilvl="5" w:tplc="D22ECE82">
      <w:numFmt w:val="bullet"/>
      <w:lvlText w:val="•"/>
      <w:lvlJc w:val="left"/>
      <w:pPr>
        <w:ind w:left="1513" w:hanging="360"/>
      </w:pPr>
      <w:rPr>
        <w:rFonts w:hint="default"/>
        <w:lang w:val="en-US" w:eastAsia="en-US" w:bidi="en-US"/>
      </w:rPr>
    </w:lvl>
    <w:lvl w:ilvl="6" w:tplc="EB54B1AE">
      <w:numFmt w:val="bullet"/>
      <w:lvlText w:val="•"/>
      <w:lvlJc w:val="left"/>
      <w:pPr>
        <w:ind w:left="1711" w:hanging="360"/>
      </w:pPr>
      <w:rPr>
        <w:rFonts w:hint="default"/>
        <w:lang w:val="en-US" w:eastAsia="en-US" w:bidi="en-US"/>
      </w:rPr>
    </w:lvl>
    <w:lvl w:ilvl="7" w:tplc="FE6876EC">
      <w:numFmt w:val="bullet"/>
      <w:lvlText w:val="•"/>
      <w:lvlJc w:val="left"/>
      <w:pPr>
        <w:ind w:left="1910" w:hanging="360"/>
      </w:pPr>
      <w:rPr>
        <w:rFonts w:hint="default"/>
        <w:lang w:val="en-US" w:eastAsia="en-US" w:bidi="en-US"/>
      </w:rPr>
    </w:lvl>
    <w:lvl w:ilvl="8" w:tplc="CC3A48CC">
      <w:numFmt w:val="bullet"/>
      <w:lvlText w:val="•"/>
      <w:lvlJc w:val="left"/>
      <w:pPr>
        <w:ind w:left="2108" w:hanging="360"/>
      </w:pPr>
      <w:rPr>
        <w:rFonts w:hint="default"/>
        <w:lang w:val="en-US" w:eastAsia="en-US" w:bidi="en-US"/>
      </w:rPr>
    </w:lvl>
  </w:abstractNum>
  <w:abstractNum w:abstractNumId="27" w15:restartNumberingAfterBreak="0">
    <w:nsid w:val="7EDB74B2"/>
    <w:multiLevelType w:val="hybridMultilevel"/>
    <w:tmpl w:val="6E80A2C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1"/>
  </w:num>
  <w:num w:numId="4">
    <w:abstractNumId w:val="15"/>
  </w:num>
  <w:num w:numId="5">
    <w:abstractNumId w:val="24"/>
  </w:num>
  <w:num w:numId="6">
    <w:abstractNumId w:val="13"/>
  </w:num>
  <w:num w:numId="7">
    <w:abstractNumId w:val="26"/>
  </w:num>
  <w:num w:numId="8">
    <w:abstractNumId w:val="4"/>
  </w:num>
  <w:num w:numId="9">
    <w:abstractNumId w:val="8"/>
  </w:num>
  <w:num w:numId="10">
    <w:abstractNumId w:val="1"/>
  </w:num>
  <w:num w:numId="11">
    <w:abstractNumId w:val="25"/>
  </w:num>
  <w:num w:numId="12">
    <w:abstractNumId w:val="2"/>
  </w:num>
  <w:num w:numId="13">
    <w:abstractNumId w:val="10"/>
  </w:num>
  <w:num w:numId="14">
    <w:abstractNumId w:val="22"/>
  </w:num>
  <w:num w:numId="15">
    <w:abstractNumId w:val="14"/>
  </w:num>
  <w:num w:numId="16">
    <w:abstractNumId w:val="3"/>
  </w:num>
  <w:num w:numId="17">
    <w:abstractNumId w:val="0"/>
  </w:num>
  <w:num w:numId="18">
    <w:abstractNumId w:val="5"/>
  </w:num>
  <w:num w:numId="19">
    <w:abstractNumId w:val="21"/>
  </w:num>
  <w:num w:numId="20">
    <w:abstractNumId w:val="18"/>
  </w:num>
  <w:num w:numId="21">
    <w:abstractNumId w:val="12"/>
  </w:num>
  <w:num w:numId="22">
    <w:abstractNumId w:val="17"/>
  </w:num>
  <w:num w:numId="23">
    <w:abstractNumId w:val="9"/>
  </w:num>
  <w:num w:numId="24">
    <w:abstractNumId w:val="23"/>
  </w:num>
  <w:num w:numId="25">
    <w:abstractNumId w:val="16"/>
  </w:num>
  <w:num w:numId="26">
    <w:abstractNumId w:val="6"/>
  </w:num>
  <w:num w:numId="27">
    <w:abstractNumId w:val="27"/>
  </w:num>
  <w:num w:numId="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0D"/>
    <w:rsid w:val="000003CD"/>
    <w:rsid w:val="00000686"/>
    <w:rsid w:val="00000B1A"/>
    <w:rsid w:val="00000DCF"/>
    <w:rsid w:val="000017B3"/>
    <w:rsid w:val="000017D3"/>
    <w:rsid w:val="00001BC1"/>
    <w:rsid w:val="00001CB4"/>
    <w:rsid w:val="0000201E"/>
    <w:rsid w:val="000021EB"/>
    <w:rsid w:val="000022D7"/>
    <w:rsid w:val="000023D4"/>
    <w:rsid w:val="000025A8"/>
    <w:rsid w:val="00002829"/>
    <w:rsid w:val="0000321D"/>
    <w:rsid w:val="00003C15"/>
    <w:rsid w:val="00004D0E"/>
    <w:rsid w:val="000050E7"/>
    <w:rsid w:val="000053F5"/>
    <w:rsid w:val="00006312"/>
    <w:rsid w:val="000063B7"/>
    <w:rsid w:val="00006AB3"/>
    <w:rsid w:val="00006D38"/>
    <w:rsid w:val="00007ED0"/>
    <w:rsid w:val="000101AB"/>
    <w:rsid w:val="00010255"/>
    <w:rsid w:val="00010B01"/>
    <w:rsid w:val="00010ED9"/>
    <w:rsid w:val="00011562"/>
    <w:rsid w:val="0001178C"/>
    <w:rsid w:val="000119D0"/>
    <w:rsid w:val="00011ACD"/>
    <w:rsid w:val="00011B03"/>
    <w:rsid w:val="00011DBC"/>
    <w:rsid w:val="00011F27"/>
    <w:rsid w:val="0001247C"/>
    <w:rsid w:val="00012E3E"/>
    <w:rsid w:val="0001313D"/>
    <w:rsid w:val="000134E4"/>
    <w:rsid w:val="00013606"/>
    <w:rsid w:val="00013D8F"/>
    <w:rsid w:val="00013E32"/>
    <w:rsid w:val="00013E43"/>
    <w:rsid w:val="00013FB1"/>
    <w:rsid w:val="00013FD4"/>
    <w:rsid w:val="000140EC"/>
    <w:rsid w:val="00014310"/>
    <w:rsid w:val="00014A1C"/>
    <w:rsid w:val="00015065"/>
    <w:rsid w:val="00015219"/>
    <w:rsid w:val="00015727"/>
    <w:rsid w:val="00015B17"/>
    <w:rsid w:val="00015D92"/>
    <w:rsid w:val="00016024"/>
    <w:rsid w:val="00016040"/>
    <w:rsid w:val="000164C6"/>
    <w:rsid w:val="000166DB"/>
    <w:rsid w:val="000167AA"/>
    <w:rsid w:val="000167F7"/>
    <w:rsid w:val="00016D71"/>
    <w:rsid w:val="00016F56"/>
    <w:rsid w:val="000173AF"/>
    <w:rsid w:val="000174A4"/>
    <w:rsid w:val="000200A4"/>
    <w:rsid w:val="000205B1"/>
    <w:rsid w:val="000206C2"/>
    <w:rsid w:val="00020E03"/>
    <w:rsid w:val="00020E20"/>
    <w:rsid w:val="00021070"/>
    <w:rsid w:val="0002177D"/>
    <w:rsid w:val="000218B2"/>
    <w:rsid w:val="00021C04"/>
    <w:rsid w:val="00022054"/>
    <w:rsid w:val="000223C2"/>
    <w:rsid w:val="0002297A"/>
    <w:rsid w:val="00022A32"/>
    <w:rsid w:val="00022BB9"/>
    <w:rsid w:val="00022C5E"/>
    <w:rsid w:val="00023051"/>
    <w:rsid w:val="00023077"/>
    <w:rsid w:val="000234FF"/>
    <w:rsid w:val="0002397E"/>
    <w:rsid w:val="00023A97"/>
    <w:rsid w:val="00023D88"/>
    <w:rsid w:val="00024031"/>
    <w:rsid w:val="00024236"/>
    <w:rsid w:val="00024556"/>
    <w:rsid w:val="00024622"/>
    <w:rsid w:val="00024843"/>
    <w:rsid w:val="00024C99"/>
    <w:rsid w:val="00024F4D"/>
    <w:rsid w:val="000257ED"/>
    <w:rsid w:val="000259DB"/>
    <w:rsid w:val="00025A08"/>
    <w:rsid w:val="00025E27"/>
    <w:rsid w:val="00026114"/>
    <w:rsid w:val="00026316"/>
    <w:rsid w:val="00026A41"/>
    <w:rsid w:val="00026CDD"/>
    <w:rsid w:val="00026CF8"/>
    <w:rsid w:val="00026D58"/>
    <w:rsid w:val="000270D1"/>
    <w:rsid w:val="0002733D"/>
    <w:rsid w:val="000274E6"/>
    <w:rsid w:val="00027994"/>
    <w:rsid w:val="00027C53"/>
    <w:rsid w:val="00027F77"/>
    <w:rsid w:val="00030012"/>
    <w:rsid w:val="0003066E"/>
    <w:rsid w:val="0003075F"/>
    <w:rsid w:val="00030A04"/>
    <w:rsid w:val="00030A38"/>
    <w:rsid w:val="000310AF"/>
    <w:rsid w:val="00031153"/>
    <w:rsid w:val="0003137D"/>
    <w:rsid w:val="000314E8"/>
    <w:rsid w:val="00031866"/>
    <w:rsid w:val="0003189D"/>
    <w:rsid w:val="000319A8"/>
    <w:rsid w:val="00031B12"/>
    <w:rsid w:val="00031D54"/>
    <w:rsid w:val="00031DE7"/>
    <w:rsid w:val="00031EC2"/>
    <w:rsid w:val="00032BA3"/>
    <w:rsid w:val="00032DCD"/>
    <w:rsid w:val="00032EEA"/>
    <w:rsid w:val="000331EC"/>
    <w:rsid w:val="0003320E"/>
    <w:rsid w:val="00033802"/>
    <w:rsid w:val="0003391E"/>
    <w:rsid w:val="00033B27"/>
    <w:rsid w:val="00033D1A"/>
    <w:rsid w:val="0003425F"/>
    <w:rsid w:val="0003442A"/>
    <w:rsid w:val="0003457B"/>
    <w:rsid w:val="00034724"/>
    <w:rsid w:val="00034835"/>
    <w:rsid w:val="0003494D"/>
    <w:rsid w:val="00034A1A"/>
    <w:rsid w:val="00034AA0"/>
    <w:rsid w:val="00034C62"/>
    <w:rsid w:val="00035241"/>
    <w:rsid w:val="00035E0B"/>
    <w:rsid w:val="0003604B"/>
    <w:rsid w:val="000361F1"/>
    <w:rsid w:val="000365D9"/>
    <w:rsid w:val="000366AA"/>
    <w:rsid w:val="00036CFE"/>
    <w:rsid w:val="00036F8D"/>
    <w:rsid w:val="00037366"/>
    <w:rsid w:val="0003753E"/>
    <w:rsid w:val="00037AE8"/>
    <w:rsid w:val="000401F5"/>
    <w:rsid w:val="000402EB"/>
    <w:rsid w:val="00040398"/>
    <w:rsid w:val="000403EE"/>
    <w:rsid w:val="000409B2"/>
    <w:rsid w:val="000409BE"/>
    <w:rsid w:val="00040B97"/>
    <w:rsid w:val="00041666"/>
    <w:rsid w:val="0004172A"/>
    <w:rsid w:val="0004176B"/>
    <w:rsid w:val="00041A83"/>
    <w:rsid w:val="00041CE3"/>
    <w:rsid w:val="00042519"/>
    <w:rsid w:val="000427E7"/>
    <w:rsid w:val="0004307E"/>
    <w:rsid w:val="00043AFE"/>
    <w:rsid w:val="00043EFA"/>
    <w:rsid w:val="00044048"/>
    <w:rsid w:val="000443FE"/>
    <w:rsid w:val="0004450C"/>
    <w:rsid w:val="00044C40"/>
    <w:rsid w:val="0004509A"/>
    <w:rsid w:val="00045CAD"/>
    <w:rsid w:val="00045CC8"/>
    <w:rsid w:val="00045DB5"/>
    <w:rsid w:val="0004615A"/>
    <w:rsid w:val="00046B88"/>
    <w:rsid w:val="00046C99"/>
    <w:rsid w:val="0004709D"/>
    <w:rsid w:val="000476DF"/>
    <w:rsid w:val="00047856"/>
    <w:rsid w:val="00047BA2"/>
    <w:rsid w:val="00047BB3"/>
    <w:rsid w:val="00047C9D"/>
    <w:rsid w:val="00047CE2"/>
    <w:rsid w:val="00047F36"/>
    <w:rsid w:val="0005035A"/>
    <w:rsid w:val="000503A8"/>
    <w:rsid w:val="00050659"/>
    <w:rsid w:val="00050EFD"/>
    <w:rsid w:val="00051208"/>
    <w:rsid w:val="000515B0"/>
    <w:rsid w:val="000515CA"/>
    <w:rsid w:val="00051A25"/>
    <w:rsid w:val="00052314"/>
    <w:rsid w:val="000525AF"/>
    <w:rsid w:val="000527F8"/>
    <w:rsid w:val="00052D9B"/>
    <w:rsid w:val="0005301D"/>
    <w:rsid w:val="000537D9"/>
    <w:rsid w:val="00053A05"/>
    <w:rsid w:val="00054124"/>
    <w:rsid w:val="00054920"/>
    <w:rsid w:val="0005496A"/>
    <w:rsid w:val="00054D03"/>
    <w:rsid w:val="0005537E"/>
    <w:rsid w:val="0005538E"/>
    <w:rsid w:val="00055DC2"/>
    <w:rsid w:val="00055E74"/>
    <w:rsid w:val="00056CB6"/>
    <w:rsid w:val="00056D68"/>
    <w:rsid w:val="00056DED"/>
    <w:rsid w:val="00057212"/>
    <w:rsid w:val="000573A1"/>
    <w:rsid w:val="000576BD"/>
    <w:rsid w:val="000576E6"/>
    <w:rsid w:val="00057A98"/>
    <w:rsid w:val="00057E58"/>
    <w:rsid w:val="000603D5"/>
    <w:rsid w:val="0006044A"/>
    <w:rsid w:val="000607E5"/>
    <w:rsid w:val="00060AC7"/>
    <w:rsid w:val="00060BF2"/>
    <w:rsid w:val="00060F8B"/>
    <w:rsid w:val="0006116A"/>
    <w:rsid w:val="00061363"/>
    <w:rsid w:val="00061A00"/>
    <w:rsid w:val="00061AC6"/>
    <w:rsid w:val="00061AD9"/>
    <w:rsid w:val="00061CD4"/>
    <w:rsid w:val="00061CF2"/>
    <w:rsid w:val="00062241"/>
    <w:rsid w:val="0006228B"/>
    <w:rsid w:val="0006275D"/>
    <w:rsid w:val="00062CB6"/>
    <w:rsid w:val="00062FF9"/>
    <w:rsid w:val="000631AD"/>
    <w:rsid w:val="00063244"/>
    <w:rsid w:val="00063EF8"/>
    <w:rsid w:val="00063F8C"/>
    <w:rsid w:val="000645C5"/>
    <w:rsid w:val="0006468A"/>
    <w:rsid w:val="00064A3A"/>
    <w:rsid w:val="00064B03"/>
    <w:rsid w:val="00064D11"/>
    <w:rsid w:val="00064D2C"/>
    <w:rsid w:val="00065035"/>
    <w:rsid w:val="000650B2"/>
    <w:rsid w:val="000650E9"/>
    <w:rsid w:val="00065107"/>
    <w:rsid w:val="000654A0"/>
    <w:rsid w:val="000655A0"/>
    <w:rsid w:val="000659E9"/>
    <w:rsid w:val="00065A52"/>
    <w:rsid w:val="00065EEC"/>
    <w:rsid w:val="00065FEE"/>
    <w:rsid w:val="00066C1D"/>
    <w:rsid w:val="00066DF7"/>
    <w:rsid w:val="00066F90"/>
    <w:rsid w:val="000673B4"/>
    <w:rsid w:val="00067E5A"/>
    <w:rsid w:val="00067E5C"/>
    <w:rsid w:val="000703E4"/>
    <w:rsid w:val="00070783"/>
    <w:rsid w:val="0007094E"/>
    <w:rsid w:val="00070CEC"/>
    <w:rsid w:val="00070EAE"/>
    <w:rsid w:val="0007139A"/>
    <w:rsid w:val="00071758"/>
    <w:rsid w:val="00071957"/>
    <w:rsid w:val="0007239F"/>
    <w:rsid w:val="00072551"/>
    <w:rsid w:val="000726EB"/>
    <w:rsid w:val="000727AC"/>
    <w:rsid w:val="00072E24"/>
    <w:rsid w:val="00072EAE"/>
    <w:rsid w:val="00072F51"/>
    <w:rsid w:val="00073648"/>
    <w:rsid w:val="00073E4F"/>
    <w:rsid w:val="000743DC"/>
    <w:rsid w:val="00074885"/>
    <w:rsid w:val="000751D1"/>
    <w:rsid w:val="0007525C"/>
    <w:rsid w:val="00075345"/>
    <w:rsid w:val="0007556A"/>
    <w:rsid w:val="00075603"/>
    <w:rsid w:val="00075777"/>
    <w:rsid w:val="00075E73"/>
    <w:rsid w:val="00075F4A"/>
    <w:rsid w:val="0007603D"/>
    <w:rsid w:val="00076212"/>
    <w:rsid w:val="00076B9F"/>
    <w:rsid w:val="00077207"/>
    <w:rsid w:val="00077321"/>
    <w:rsid w:val="000774CC"/>
    <w:rsid w:val="000775B3"/>
    <w:rsid w:val="00077B33"/>
    <w:rsid w:val="00077D39"/>
    <w:rsid w:val="00080957"/>
    <w:rsid w:val="00080A5A"/>
    <w:rsid w:val="00080A90"/>
    <w:rsid w:val="00080B00"/>
    <w:rsid w:val="00080B49"/>
    <w:rsid w:val="00081030"/>
    <w:rsid w:val="00081356"/>
    <w:rsid w:val="000815DD"/>
    <w:rsid w:val="00081764"/>
    <w:rsid w:val="00081A09"/>
    <w:rsid w:val="00081BB9"/>
    <w:rsid w:val="00081D91"/>
    <w:rsid w:val="00081EDD"/>
    <w:rsid w:val="000822F0"/>
    <w:rsid w:val="000829A7"/>
    <w:rsid w:val="000829C2"/>
    <w:rsid w:val="00082A73"/>
    <w:rsid w:val="00082A93"/>
    <w:rsid w:val="00083045"/>
    <w:rsid w:val="000831AC"/>
    <w:rsid w:val="000838E4"/>
    <w:rsid w:val="00083ED4"/>
    <w:rsid w:val="0008413D"/>
    <w:rsid w:val="000848BD"/>
    <w:rsid w:val="000849BE"/>
    <w:rsid w:val="000855B0"/>
    <w:rsid w:val="000855EE"/>
    <w:rsid w:val="000858D7"/>
    <w:rsid w:val="000859D7"/>
    <w:rsid w:val="00085ACD"/>
    <w:rsid w:val="00085CF5"/>
    <w:rsid w:val="00085DEA"/>
    <w:rsid w:val="00086251"/>
    <w:rsid w:val="000863F3"/>
    <w:rsid w:val="0008657C"/>
    <w:rsid w:val="000866C7"/>
    <w:rsid w:val="00086BF0"/>
    <w:rsid w:val="000878F2"/>
    <w:rsid w:val="0008797D"/>
    <w:rsid w:val="0009026F"/>
    <w:rsid w:val="000905FC"/>
    <w:rsid w:val="000905FF"/>
    <w:rsid w:val="000914FE"/>
    <w:rsid w:val="0009150A"/>
    <w:rsid w:val="00091A48"/>
    <w:rsid w:val="00091B5C"/>
    <w:rsid w:val="00091C66"/>
    <w:rsid w:val="00092074"/>
    <w:rsid w:val="000922FA"/>
    <w:rsid w:val="000924F8"/>
    <w:rsid w:val="00092843"/>
    <w:rsid w:val="0009289A"/>
    <w:rsid w:val="00092AEB"/>
    <w:rsid w:val="00092D2A"/>
    <w:rsid w:val="000938B6"/>
    <w:rsid w:val="00093A65"/>
    <w:rsid w:val="00093C0A"/>
    <w:rsid w:val="00093EAB"/>
    <w:rsid w:val="00093F29"/>
    <w:rsid w:val="00093FBA"/>
    <w:rsid w:val="00094138"/>
    <w:rsid w:val="00094225"/>
    <w:rsid w:val="000943A3"/>
    <w:rsid w:val="00094409"/>
    <w:rsid w:val="00094ADC"/>
    <w:rsid w:val="00094B96"/>
    <w:rsid w:val="00094E5D"/>
    <w:rsid w:val="000955ED"/>
    <w:rsid w:val="00095819"/>
    <w:rsid w:val="00095C84"/>
    <w:rsid w:val="00095E5C"/>
    <w:rsid w:val="00095FCE"/>
    <w:rsid w:val="000963FB"/>
    <w:rsid w:val="00096679"/>
    <w:rsid w:val="00096F43"/>
    <w:rsid w:val="000971D5"/>
    <w:rsid w:val="00097958"/>
    <w:rsid w:val="00097FAE"/>
    <w:rsid w:val="000A0342"/>
    <w:rsid w:val="000A0745"/>
    <w:rsid w:val="000A0B6A"/>
    <w:rsid w:val="000A0DCD"/>
    <w:rsid w:val="000A0E6E"/>
    <w:rsid w:val="000A13CD"/>
    <w:rsid w:val="000A148D"/>
    <w:rsid w:val="000A165F"/>
    <w:rsid w:val="000A16E7"/>
    <w:rsid w:val="000A1C62"/>
    <w:rsid w:val="000A1E1B"/>
    <w:rsid w:val="000A1FA2"/>
    <w:rsid w:val="000A2A13"/>
    <w:rsid w:val="000A2A53"/>
    <w:rsid w:val="000A365A"/>
    <w:rsid w:val="000A391C"/>
    <w:rsid w:val="000A39D5"/>
    <w:rsid w:val="000A3C20"/>
    <w:rsid w:val="000A42EE"/>
    <w:rsid w:val="000A4363"/>
    <w:rsid w:val="000A4A3C"/>
    <w:rsid w:val="000A4A46"/>
    <w:rsid w:val="000A4F06"/>
    <w:rsid w:val="000A4F19"/>
    <w:rsid w:val="000A4F83"/>
    <w:rsid w:val="000A5782"/>
    <w:rsid w:val="000A58B1"/>
    <w:rsid w:val="000A590A"/>
    <w:rsid w:val="000A596E"/>
    <w:rsid w:val="000A5B45"/>
    <w:rsid w:val="000A5F1B"/>
    <w:rsid w:val="000A5FA6"/>
    <w:rsid w:val="000A625C"/>
    <w:rsid w:val="000A627E"/>
    <w:rsid w:val="000A6340"/>
    <w:rsid w:val="000A6721"/>
    <w:rsid w:val="000A701C"/>
    <w:rsid w:val="000A7D6B"/>
    <w:rsid w:val="000B0071"/>
    <w:rsid w:val="000B0204"/>
    <w:rsid w:val="000B0389"/>
    <w:rsid w:val="000B0C6F"/>
    <w:rsid w:val="000B0D0E"/>
    <w:rsid w:val="000B0DB9"/>
    <w:rsid w:val="000B0DD6"/>
    <w:rsid w:val="000B0E73"/>
    <w:rsid w:val="000B0F84"/>
    <w:rsid w:val="000B1223"/>
    <w:rsid w:val="000B1566"/>
    <w:rsid w:val="000B1DC0"/>
    <w:rsid w:val="000B1E88"/>
    <w:rsid w:val="000B1FE2"/>
    <w:rsid w:val="000B224F"/>
    <w:rsid w:val="000B28A6"/>
    <w:rsid w:val="000B2D31"/>
    <w:rsid w:val="000B381C"/>
    <w:rsid w:val="000B3BC0"/>
    <w:rsid w:val="000B3BDD"/>
    <w:rsid w:val="000B4046"/>
    <w:rsid w:val="000B40A1"/>
    <w:rsid w:val="000B45EE"/>
    <w:rsid w:val="000B492D"/>
    <w:rsid w:val="000B4CB8"/>
    <w:rsid w:val="000B55E3"/>
    <w:rsid w:val="000B56C4"/>
    <w:rsid w:val="000B5AEC"/>
    <w:rsid w:val="000B5BDE"/>
    <w:rsid w:val="000B5C6F"/>
    <w:rsid w:val="000B5FCC"/>
    <w:rsid w:val="000B6014"/>
    <w:rsid w:val="000B6150"/>
    <w:rsid w:val="000B62AE"/>
    <w:rsid w:val="000B698A"/>
    <w:rsid w:val="000B69E3"/>
    <w:rsid w:val="000B6B4B"/>
    <w:rsid w:val="000B7620"/>
    <w:rsid w:val="000B776E"/>
    <w:rsid w:val="000C0D1E"/>
    <w:rsid w:val="000C0D5A"/>
    <w:rsid w:val="000C1C1A"/>
    <w:rsid w:val="000C1F40"/>
    <w:rsid w:val="000C2437"/>
    <w:rsid w:val="000C24B5"/>
    <w:rsid w:val="000C2D04"/>
    <w:rsid w:val="000C2DE0"/>
    <w:rsid w:val="000C3215"/>
    <w:rsid w:val="000C341A"/>
    <w:rsid w:val="000C3748"/>
    <w:rsid w:val="000C38B0"/>
    <w:rsid w:val="000C3B74"/>
    <w:rsid w:val="000C3C23"/>
    <w:rsid w:val="000C3C7B"/>
    <w:rsid w:val="000C3D3B"/>
    <w:rsid w:val="000C4007"/>
    <w:rsid w:val="000C40D7"/>
    <w:rsid w:val="000C4168"/>
    <w:rsid w:val="000C4362"/>
    <w:rsid w:val="000C44FB"/>
    <w:rsid w:val="000C466F"/>
    <w:rsid w:val="000C47AB"/>
    <w:rsid w:val="000C48D2"/>
    <w:rsid w:val="000C4BCE"/>
    <w:rsid w:val="000C4EF2"/>
    <w:rsid w:val="000C4FFA"/>
    <w:rsid w:val="000C50C5"/>
    <w:rsid w:val="000C5160"/>
    <w:rsid w:val="000C52DA"/>
    <w:rsid w:val="000C5DD5"/>
    <w:rsid w:val="000C5FC7"/>
    <w:rsid w:val="000C60E0"/>
    <w:rsid w:val="000C6504"/>
    <w:rsid w:val="000C658E"/>
    <w:rsid w:val="000C669C"/>
    <w:rsid w:val="000C692B"/>
    <w:rsid w:val="000C69C1"/>
    <w:rsid w:val="000C7201"/>
    <w:rsid w:val="000C74ED"/>
    <w:rsid w:val="000C77E1"/>
    <w:rsid w:val="000C7820"/>
    <w:rsid w:val="000C791E"/>
    <w:rsid w:val="000C7AE8"/>
    <w:rsid w:val="000C7BED"/>
    <w:rsid w:val="000C7F41"/>
    <w:rsid w:val="000D0408"/>
    <w:rsid w:val="000D0A48"/>
    <w:rsid w:val="000D0A79"/>
    <w:rsid w:val="000D102B"/>
    <w:rsid w:val="000D136F"/>
    <w:rsid w:val="000D1673"/>
    <w:rsid w:val="000D1929"/>
    <w:rsid w:val="000D195D"/>
    <w:rsid w:val="000D1B9B"/>
    <w:rsid w:val="000D1D94"/>
    <w:rsid w:val="000D1DB1"/>
    <w:rsid w:val="000D278C"/>
    <w:rsid w:val="000D2D61"/>
    <w:rsid w:val="000D2DBD"/>
    <w:rsid w:val="000D2E07"/>
    <w:rsid w:val="000D2E5A"/>
    <w:rsid w:val="000D30DC"/>
    <w:rsid w:val="000D39C8"/>
    <w:rsid w:val="000D3FCC"/>
    <w:rsid w:val="000D4040"/>
    <w:rsid w:val="000D46A2"/>
    <w:rsid w:val="000D4AD7"/>
    <w:rsid w:val="000D4B2D"/>
    <w:rsid w:val="000D4BA4"/>
    <w:rsid w:val="000D4BC3"/>
    <w:rsid w:val="000D4D56"/>
    <w:rsid w:val="000D5255"/>
    <w:rsid w:val="000D52F7"/>
    <w:rsid w:val="000D5520"/>
    <w:rsid w:val="000D5937"/>
    <w:rsid w:val="000D622A"/>
    <w:rsid w:val="000D649A"/>
    <w:rsid w:val="000D6639"/>
    <w:rsid w:val="000D6719"/>
    <w:rsid w:val="000D68F9"/>
    <w:rsid w:val="000D6A7E"/>
    <w:rsid w:val="000D709E"/>
    <w:rsid w:val="000D7994"/>
    <w:rsid w:val="000E012C"/>
    <w:rsid w:val="000E047A"/>
    <w:rsid w:val="000E06E1"/>
    <w:rsid w:val="000E0A19"/>
    <w:rsid w:val="000E203C"/>
    <w:rsid w:val="000E22BF"/>
    <w:rsid w:val="000E25E8"/>
    <w:rsid w:val="000E2981"/>
    <w:rsid w:val="000E2AF4"/>
    <w:rsid w:val="000E2CB0"/>
    <w:rsid w:val="000E2F76"/>
    <w:rsid w:val="000E32A8"/>
    <w:rsid w:val="000E342F"/>
    <w:rsid w:val="000E3922"/>
    <w:rsid w:val="000E47C0"/>
    <w:rsid w:val="000E4BAB"/>
    <w:rsid w:val="000E4BE0"/>
    <w:rsid w:val="000E508A"/>
    <w:rsid w:val="000E54B2"/>
    <w:rsid w:val="000E5582"/>
    <w:rsid w:val="000E5F9E"/>
    <w:rsid w:val="000E6056"/>
    <w:rsid w:val="000E6473"/>
    <w:rsid w:val="000E6E0F"/>
    <w:rsid w:val="000E7242"/>
    <w:rsid w:val="000E729B"/>
    <w:rsid w:val="000E734A"/>
    <w:rsid w:val="000E7C59"/>
    <w:rsid w:val="000F017A"/>
    <w:rsid w:val="000F045C"/>
    <w:rsid w:val="000F05D4"/>
    <w:rsid w:val="000F0AA6"/>
    <w:rsid w:val="000F0BEF"/>
    <w:rsid w:val="000F0D34"/>
    <w:rsid w:val="000F13B5"/>
    <w:rsid w:val="000F1BBF"/>
    <w:rsid w:val="000F1D53"/>
    <w:rsid w:val="000F206A"/>
    <w:rsid w:val="000F2527"/>
    <w:rsid w:val="000F2550"/>
    <w:rsid w:val="000F27C2"/>
    <w:rsid w:val="000F2919"/>
    <w:rsid w:val="000F2A60"/>
    <w:rsid w:val="000F2CD5"/>
    <w:rsid w:val="000F35AD"/>
    <w:rsid w:val="000F376E"/>
    <w:rsid w:val="000F39E8"/>
    <w:rsid w:val="000F3A26"/>
    <w:rsid w:val="000F3D05"/>
    <w:rsid w:val="000F3F17"/>
    <w:rsid w:val="000F4223"/>
    <w:rsid w:val="000F4533"/>
    <w:rsid w:val="000F4A51"/>
    <w:rsid w:val="000F4A84"/>
    <w:rsid w:val="000F4F81"/>
    <w:rsid w:val="000F504A"/>
    <w:rsid w:val="000F528A"/>
    <w:rsid w:val="000F55D0"/>
    <w:rsid w:val="000F5960"/>
    <w:rsid w:val="000F67AD"/>
    <w:rsid w:val="000F6905"/>
    <w:rsid w:val="000F6C5B"/>
    <w:rsid w:val="000F7061"/>
    <w:rsid w:val="000F70CA"/>
    <w:rsid w:val="000F7510"/>
    <w:rsid w:val="000F7708"/>
    <w:rsid w:val="000F7A22"/>
    <w:rsid w:val="000F7E2E"/>
    <w:rsid w:val="000F7EA9"/>
    <w:rsid w:val="00100387"/>
    <w:rsid w:val="00100977"/>
    <w:rsid w:val="00100AF6"/>
    <w:rsid w:val="00100B95"/>
    <w:rsid w:val="00100F9B"/>
    <w:rsid w:val="0010162A"/>
    <w:rsid w:val="00101789"/>
    <w:rsid w:val="00101F43"/>
    <w:rsid w:val="00101FF2"/>
    <w:rsid w:val="00103090"/>
    <w:rsid w:val="00103165"/>
    <w:rsid w:val="001031B3"/>
    <w:rsid w:val="0010341B"/>
    <w:rsid w:val="001039CB"/>
    <w:rsid w:val="00103C03"/>
    <w:rsid w:val="001047A7"/>
    <w:rsid w:val="00104933"/>
    <w:rsid w:val="0010577E"/>
    <w:rsid w:val="00105885"/>
    <w:rsid w:val="00105A22"/>
    <w:rsid w:val="00106487"/>
    <w:rsid w:val="00106561"/>
    <w:rsid w:val="001065B4"/>
    <w:rsid w:val="0010663F"/>
    <w:rsid w:val="001066D1"/>
    <w:rsid w:val="001069A6"/>
    <w:rsid w:val="00107269"/>
    <w:rsid w:val="00107287"/>
    <w:rsid w:val="0010753C"/>
    <w:rsid w:val="00107A2C"/>
    <w:rsid w:val="00107A6E"/>
    <w:rsid w:val="00107B2F"/>
    <w:rsid w:val="00107C06"/>
    <w:rsid w:val="00110128"/>
    <w:rsid w:val="0011013D"/>
    <w:rsid w:val="00110341"/>
    <w:rsid w:val="001104F0"/>
    <w:rsid w:val="00110A87"/>
    <w:rsid w:val="00110E29"/>
    <w:rsid w:val="0011122C"/>
    <w:rsid w:val="0011164A"/>
    <w:rsid w:val="001118CA"/>
    <w:rsid w:val="00111A10"/>
    <w:rsid w:val="00111EE9"/>
    <w:rsid w:val="001125EE"/>
    <w:rsid w:val="0011263F"/>
    <w:rsid w:val="001126C9"/>
    <w:rsid w:val="0011277F"/>
    <w:rsid w:val="00112851"/>
    <w:rsid w:val="00112A7E"/>
    <w:rsid w:val="00112CB6"/>
    <w:rsid w:val="00112F98"/>
    <w:rsid w:val="001134D7"/>
    <w:rsid w:val="001135BC"/>
    <w:rsid w:val="00113838"/>
    <w:rsid w:val="00113A82"/>
    <w:rsid w:val="00113C04"/>
    <w:rsid w:val="00113DE6"/>
    <w:rsid w:val="00113F42"/>
    <w:rsid w:val="001140B8"/>
    <w:rsid w:val="0011413C"/>
    <w:rsid w:val="0011413D"/>
    <w:rsid w:val="00115223"/>
    <w:rsid w:val="00115B04"/>
    <w:rsid w:val="001161D5"/>
    <w:rsid w:val="00116433"/>
    <w:rsid w:val="00116E0C"/>
    <w:rsid w:val="00116E5E"/>
    <w:rsid w:val="00116E9D"/>
    <w:rsid w:val="00117DF3"/>
    <w:rsid w:val="00120454"/>
    <w:rsid w:val="00120A30"/>
    <w:rsid w:val="00120D04"/>
    <w:rsid w:val="00121723"/>
    <w:rsid w:val="00121A2C"/>
    <w:rsid w:val="00121ADF"/>
    <w:rsid w:val="00121D5E"/>
    <w:rsid w:val="00121FFA"/>
    <w:rsid w:val="001225EB"/>
    <w:rsid w:val="00122820"/>
    <w:rsid w:val="0012283A"/>
    <w:rsid w:val="00122DB6"/>
    <w:rsid w:val="00122E04"/>
    <w:rsid w:val="00122F69"/>
    <w:rsid w:val="001231D6"/>
    <w:rsid w:val="001235E7"/>
    <w:rsid w:val="00123763"/>
    <w:rsid w:val="00123776"/>
    <w:rsid w:val="00123988"/>
    <w:rsid w:val="00123DE0"/>
    <w:rsid w:val="001241A1"/>
    <w:rsid w:val="001243C2"/>
    <w:rsid w:val="001244FD"/>
    <w:rsid w:val="00124614"/>
    <w:rsid w:val="001247C0"/>
    <w:rsid w:val="00124A6C"/>
    <w:rsid w:val="00124E1B"/>
    <w:rsid w:val="00125107"/>
    <w:rsid w:val="0012547B"/>
    <w:rsid w:val="0012586B"/>
    <w:rsid w:val="00125D92"/>
    <w:rsid w:val="00125F1B"/>
    <w:rsid w:val="001273C8"/>
    <w:rsid w:val="001276BF"/>
    <w:rsid w:val="00127887"/>
    <w:rsid w:val="00127B91"/>
    <w:rsid w:val="00130175"/>
    <w:rsid w:val="00130541"/>
    <w:rsid w:val="001307C9"/>
    <w:rsid w:val="00130D77"/>
    <w:rsid w:val="00131023"/>
    <w:rsid w:val="00131265"/>
    <w:rsid w:val="0013127E"/>
    <w:rsid w:val="001312D1"/>
    <w:rsid w:val="001313C0"/>
    <w:rsid w:val="0013155B"/>
    <w:rsid w:val="00131982"/>
    <w:rsid w:val="00131EBB"/>
    <w:rsid w:val="0013285D"/>
    <w:rsid w:val="00132AE8"/>
    <w:rsid w:val="00132EB3"/>
    <w:rsid w:val="001333C2"/>
    <w:rsid w:val="00133555"/>
    <w:rsid w:val="0013364D"/>
    <w:rsid w:val="001338AE"/>
    <w:rsid w:val="001338FD"/>
    <w:rsid w:val="00133EB9"/>
    <w:rsid w:val="001345A6"/>
    <w:rsid w:val="00134BFC"/>
    <w:rsid w:val="00134BFE"/>
    <w:rsid w:val="00135110"/>
    <w:rsid w:val="001353CB"/>
    <w:rsid w:val="001354FD"/>
    <w:rsid w:val="001358BC"/>
    <w:rsid w:val="001358E1"/>
    <w:rsid w:val="00135B88"/>
    <w:rsid w:val="00135E22"/>
    <w:rsid w:val="00135EA4"/>
    <w:rsid w:val="00136104"/>
    <w:rsid w:val="00136430"/>
    <w:rsid w:val="0013650F"/>
    <w:rsid w:val="00136B3E"/>
    <w:rsid w:val="00136C75"/>
    <w:rsid w:val="00136C89"/>
    <w:rsid w:val="00136D35"/>
    <w:rsid w:val="00137143"/>
    <w:rsid w:val="0013719D"/>
    <w:rsid w:val="0013774A"/>
    <w:rsid w:val="0013776E"/>
    <w:rsid w:val="00137F7A"/>
    <w:rsid w:val="0014019D"/>
    <w:rsid w:val="0014026F"/>
    <w:rsid w:val="00140877"/>
    <w:rsid w:val="001411FD"/>
    <w:rsid w:val="001412D1"/>
    <w:rsid w:val="00141426"/>
    <w:rsid w:val="001418AB"/>
    <w:rsid w:val="00141984"/>
    <w:rsid w:val="001419A7"/>
    <w:rsid w:val="00141A3C"/>
    <w:rsid w:val="00141D42"/>
    <w:rsid w:val="00141E24"/>
    <w:rsid w:val="0014221B"/>
    <w:rsid w:val="00142230"/>
    <w:rsid w:val="0014228F"/>
    <w:rsid w:val="001422DE"/>
    <w:rsid w:val="00142508"/>
    <w:rsid w:val="00142B66"/>
    <w:rsid w:val="00142C57"/>
    <w:rsid w:val="00142C98"/>
    <w:rsid w:val="00142D90"/>
    <w:rsid w:val="00143008"/>
    <w:rsid w:val="001439D1"/>
    <w:rsid w:val="001441DF"/>
    <w:rsid w:val="0014493C"/>
    <w:rsid w:val="00144BC0"/>
    <w:rsid w:val="00144DA4"/>
    <w:rsid w:val="00144E5E"/>
    <w:rsid w:val="00145026"/>
    <w:rsid w:val="0014559F"/>
    <w:rsid w:val="001456A3"/>
    <w:rsid w:val="00145CF9"/>
    <w:rsid w:val="00145ED3"/>
    <w:rsid w:val="00146132"/>
    <w:rsid w:val="001462E1"/>
    <w:rsid w:val="00146366"/>
    <w:rsid w:val="00146404"/>
    <w:rsid w:val="00146A35"/>
    <w:rsid w:val="00146C18"/>
    <w:rsid w:val="00146C55"/>
    <w:rsid w:val="0014736A"/>
    <w:rsid w:val="0014772F"/>
    <w:rsid w:val="001477F5"/>
    <w:rsid w:val="00147A94"/>
    <w:rsid w:val="00150556"/>
    <w:rsid w:val="001507D4"/>
    <w:rsid w:val="00150B54"/>
    <w:rsid w:val="00150FD1"/>
    <w:rsid w:val="00151152"/>
    <w:rsid w:val="001519B7"/>
    <w:rsid w:val="00151DCB"/>
    <w:rsid w:val="00152049"/>
    <w:rsid w:val="00152B5D"/>
    <w:rsid w:val="00152E73"/>
    <w:rsid w:val="00152F31"/>
    <w:rsid w:val="00152F5E"/>
    <w:rsid w:val="0015311B"/>
    <w:rsid w:val="00153890"/>
    <w:rsid w:val="00153D11"/>
    <w:rsid w:val="00154A21"/>
    <w:rsid w:val="00154AA3"/>
    <w:rsid w:val="00154E00"/>
    <w:rsid w:val="0015544F"/>
    <w:rsid w:val="001557DD"/>
    <w:rsid w:val="0015583B"/>
    <w:rsid w:val="00155964"/>
    <w:rsid w:val="00155A3C"/>
    <w:rsid w:val="00155A40"/>
    <w:rsid w:val="00155BE2"/>
    <w:rsid w:val="00156118"/>
    <w:rsid w:val="00156298"/>
    <w:rsid w:val="00156870"/>
    <w:rsid w:val="001569A4"/>
    <w:rsid w:val="00156D98"/>
    <w:rsid w:val="0015758D"/>
    <w:rsid w:val="0015791C"/>
    <w:rsid w:val="00157AE0"/>
    <w:rsid w:val="00157AF4"/>
    <w:rsid w:val="00160023"/>
    <w:rsid w:val="0016020A"/>
    <w:rsid w:val="00160369"/>
    <w:rsid w:val="00160440"/>
    <w:rsid w:val="001608B9"/>
    <w:rsid w:val="001608EE"/>
    <w:rsid w:val="00160ACE"/>
    <w:rsid w:val="00160C77"/>
    <w:rsid w:val="00160D41"/>
    <w:rsid w:val="00160E22"/>
    <w:rsid w:val="00161835"/>
    <w:rsid w:val="00161C68"/>
    <w:rsid w:val="00161FBA"/>
    <w:rsid w:val="0016252B"/>
    <w:rsid w:val="00162671"/>
    <w:rsid w:val="001628B1"/>
    <w:rsid w:val="001629B8"/>
    <w:rsid w:val="00162ED8"/>
    <w:rsid w:val="00162F41"/>
    <w:rsid w:val="00162FB5"/>
    <w:rsid w:val="001631F7"/>
    <w:rsid w:val="00163F95"/>
    <w:rsid w:val="00164381"/>
    <w:rsid w:val="00164442"/>
    <w:rsid w:val="00164682"/>
    <w:rsid w:val="00164B42"/>
    <w:rsid w:val="0016535F"/>
    <w:rsid w:val="00165FE0"/>
    <w:rsid w:val="001660A2"/>
    <w:rsid w:val="00166235"/>
    <w:rsid w:val="00166EA1"/>
    <w:rsid w:val="0016780A"/>
    <w:rsid w:val="0016796D"/>
    <w:rsid w:val="00167D3C"/>
    <w:rsid w:val="00167E77"/>
    <w:rsid w:val="00167F64"/>
    <w:rsid w:val="0017028E"/>
    <w:rsid w:val="001705A1"/>
    <w:rsid w:val="00170A38"/>
    <w:rsid w:val="00170CAA"/>
    <w:rsid w:val="001710CC"/>
    <w:rsid w:val="00171310"/>
    <w:rsid w:val="001714ED"/>
    <w:rsid w:val="0017163F"/>
    <w:rsid w:val="001718B1"/>
    <w:rsid w:val="00171E3D"/>
    <w:rsid w:val="00172AD6"/>
    <w:rsid w:val="00172BBA"/>
    <w:rsid w:val="00172D10"/>
    <w:rsid w:val="00172E9B"/>
    <w:rsid w:val="00172EA7"/>
    <w:rsid w:val="001733CC"/>
    <w:rsid w:val="00173418"/>
    <w:rsid w:val="001737D3"/>
    <w:rsid w:val="0017397A"/>
    <w:rsid w:val="00173E4F"/>
    <w:rsid w:val="00173F2C"/>
    <w:rsid w:val="00173F66"/>
    <w:rsid w:val="00173FBA"/>
    <w:rsid w:val="001749B9"/>
    <w:rsid w:val="001751D9"/>
    <w:rsid w:val="0017561F"/>
    <w:rsid w:val="00175895"/>
    <w:rsid w:val="00175928"/>
    <w:rsid w:val="00175B98"/>
    <w:rsid w:val="00175E30"/>
    <w:rsid w:val="00176151"/>
    <w:rsid w:val="0017695D"/>
    <w:rsid w:val="00176A05"/>
    <w:rsid w:val="00176A23"/>
    <w:rsid w:val="00176E12"/>
    <w:rsid w:val="00176E95"/>
    <w:rsid w:val="0017702C"/>
    <w:rsid w:val="001771BE"/>
    <w:rsid w:val="00177C9D"/>
    <w:rsid w:val="00177D8C"/>
    <w:rsid w:val="00177E32"/>
    <w:rsid w:val="00180B8A"/>
    <w:rsid w:val="00180C62"/>
    <w:rsid w:val="00180D13"/>
    <w:rsid w:val="001816FE"/>
    <w:rsid w:val="0018189C"/>
    <w:rsid w:val="001818D6"/>
    <w:rsid w:val="001819F8"/>
    <w:rsid w:val="00181B08"/>
    <w:rsid w:val="00181B1A"/>
    <w:rsid w:val="00181C0E"/>
    <w:rsid w:val="00181C57"/>
    <w:rsid w:val="00181F4C"/>
    <w:rsid w:val="00182157"/>
    <w:rsid w:val="001821E5"/>
    <w:rsid w:val="001822CF"/>
    <w:rsid w:val="001823A5"/>
    <w:rsid w:val="00182B6E"/>
    <w:rsid w:val="00182E0E"/>
    <w:rsid w:val="001837AA"/>
    <w:rsid w:val="00183839"/>
    <w:rsid w:val="00183E2A"/>
    <w:rsid w:val="00184167"/>
    <w:rsid w:val="001848A7"/>
    <w:rsid w:val="001848D1"/>
    <w:rsid w:val="00184A32"/>
    <w:rsid w:val="00184E41"/>
    <w:rsid w:val="00185183"/>
    <w:rsid w:val="0018533E"/>
    <w:rsid w:val="0018572B"/>
    <w:rsid w:val="001859C1"/>
    <w:rsid w:val="00185FA3"/>
    <w:rsid w:val="001868C7"/>
    <w:rsid w:val="00186DD7"/>
    <w:rsid w:val="00186E5E"/>
    <w:rsid w:val="001870C0"/>
    <w:rsid w:val="001871E9"/>
    <w:rsid w:val="00187270"/>
    <w:rsid w:val="00187309"/>
    <w:rsid w:val="0018751F"/>
    <w:rsid w:val="00187D89"/>
    <w:rsid w:val="00190298"/>
    <w:rsid w:val="001903F4"/>
    <w:rsid w:val="00190457"/>
    <w:rsid w:val="0019055A"/>
    <w:rsid w:val="00190F99"/>
    <w:rsid w:val="00191016"/>
    <w:rsid w:val="00191091"/>
    <w:rsid w:val="001910CA"/>
    <w:rsid w:val="00191193"/>
    <w:rsid w:val="0019129F"/>
    <w:rsid w:val="00191326"/>
    <w:rsid w:val="001913D9"/>
    <w:rsid w:val="00191418"/>
    <w:rsid w:val="00191851"/>
    <w:rsid w:val="0019294C"/>
    <w:rsid w:val="001934FF"/>
    <w:rsid w:val="00193CA6"/>
    <w:rsid w:val="00193DE8"/>
    <w:rsid w:val="00194E2D"/>
    <w:rsid w:val="0019591C"/>
    <w:rsid w:val="00195A1C"/>
    <w:rsid w:val="00196087"/>
    <w:rsid w:val="001965B2"/>
    <w:rsid w:val="001967B8"/>
    <w:rsid w:val="001967FA"/>
    <w:rsid w:val="00196A94"/>
    <w:rsid w:val="0019739B"/>
    <w:rsid w:val="001976E1"/>
    <w:rsid w:val="00197C14"/>
    <w:rsid w:val="00197F1A"/>
    <w:rsid w:val="00197F71"/>
    <w:rsid w:val="001A01E8"/>
    <w:rsid w:val="001A0372"/>
    <w:rsid w:val="001A0503"/>
    <w:rsid w:val="001A0717"/>
    <w:rsid w:val="001A0F99"/>
    <w:rsid w:val="001A105A"/>
    <w:rsid w:val="001A11E6"/>
    <w:rsid w:val="001A121B"/>
    <w:rsid w:val="001A1547"/>
    <w:rsid w:val="001A1662"/>
    <w:rsid w:val="001A1C15"/>
    <w:rsid w:val="001A218A"/>
    <w:rsid w:val="001A21F5"/>
    <w:rsid w:val="001A226D"/>
    <w:rsid w:val="001A22E0"/>
    <w:rsid w:val="001A2509"/>
    <w:rsid w:val="001A25A1"/>
    <w:rsid w:val="001A2853"/>
    <w:rsid w:val="001A2A66"/>
    <w:rsid w:val="001A2EA4"/>
    <w:rsid w:val="001A368E"/>
    <w:rsid w:val="001A369C"/>
    <w:rsid w:val="001A372F"/>
    <w:rsid w:val="001A434E"/>
    <w:rsid w:val="001A495A"/>
    <w:rsid w:val="001A4972"/>
    <w:rsid w:val="001A4C12"/>
    <w:rsid w:val="001A4D40"/>
    <w:rsid w:val="001A56D9"/>
    <w:rsid w:val="001A5D89"/>
    <w:rsid w:val="001A60FF"/>
    <w:rsid w:val="001A6EE7"/>
    <w:rsid w:val="001A71A6"/>
    <w:rsid w:val="001A71AD"/>
    <w:rsid w:val="001A7531"/>
    <w:rsid w:val="001A7596"/>
    <w:rsid w:val="001A7AD1"/>
    <w:rsid w:val="001B0388"/>
    <w:rsid w:val="001B04AD"/>
    <w:rsid w:val="001B087A"/>
    <w:rsid w:val="001B0AB9"/>
    <w:rsid w:val="001B0B08"/>
    <w:rsid w:val="001B0C48"/>
    <w:rsid w:val="001B0E98"/>
    <w:rsid w:val="001B1049"/>
    <w:rsid w:val="001B11D8"/>
    <w:rsid w:val="001B124F"/>
    <w:rsid w:val="001B136D"/>
    <w:rsid w:val="001B15DD"/>
    <w:rsid w:val="001B169E"/>
    <w:rsid w:val="001B21AA"/>
    <w:rsid w:val="001B231D"/>
    <w:rsid w:val="001B2567"/>
    <w:rsid w:val="001B259F"/>
    <w:rsid w:val="001B2B17"/>
    <w:rsid w:val="001B2D69"/>
    <w:rsid w:val="001B31CE"/>
    <w:rsid w:val="001B33FA"/>
    <w:rsid w:val="001B347A"/>
    <w:rsid w:val="001B371C"/>
    <w:rsid w:val="001B39F8"/>
    <w:rsid w:val="001B3F77"/>
    <w:rsid w:val="001B41BF"/>
    <w:rsid w:val="001B4583"/>
    <w:rsid w:val="001B476C"/>
    <w:rsid w:val="001B49A6"/>
    <w:rsid w:val="001B4BE1"/>
    <w:rsid w:val="001B528B"/>
    <w:rsid w:val="001B544E"/>
    <w:rsid w:val="001B58BC"/>
    <w:rsid w:val="001B5F9E"/>
    <w:rsid w:val="001B60B1"/>
    <w:rsid w:val="001B60BD"/>
    <w:rsid w:val="001B66ED"/>
    <w:rsid w:val="001B67B5"/>
    <w:rsid w:val="001B6FE4"/>
    <w:rsid w:val="001B702B"/>
    <w:rsid w:val="001B7057"/>
    <w:rsid w:val="001B74EB"/>
    <w:rsid w:val="001B7902"/>
    <w:rsid w:val="001B7960"/>
    <w:rsid w:val="001B7ADE"/>
    <w:rsid w:val="001B7F7B"/>
    <w:rsid w:val="001C037A"/>
    <w:rsid w:val="001C0658"/>
    <w:rsid w:val="001C0819"/>
    <w:rsid w:val="001C087E"/>
    <w:rsid w:val="001C0B4A"/>
    <w:rsid w:val="001C0BAE"/>
    <w:rsid w:val="001C101F"/>
    <w:rsid w:val="001C1091"/>
    <w:rsid w:val="001C11BD"/>
    <w:rsid w:val="001C1241"/>
    <w:rsid w:val="001C163E"/>
    <w:rsid w:val="001C1783"/>
    <w:rsid w:val="001C1AFD"/>
    <w:rsid w:val="001C2314"/>
    <w:rsid w:val="001C2C71"/>
    <w:rsid w:val="001C2F3E"/>
    <w:rsid w:val="001C3616"/>
    <w:rsid w:val="001C3701"/>
    <w:rsid w:val="001C38B6"/>
    <w:rsid w:val="001C3AD1"/>
    <w:rsid w:val="001C3C9B"/>
    <w:rsid w:val="001C3F70"/>
    <w:rsid w:val="001C4E34"/>
    <w:rsid w:val="001C55B7"/>
    <w:rsid w:val="001C55C0"/>
    <w:rsid w:val="001C5B90"/>
    <w:rsid w:val="001C6077"/>
    <w:rsid w:val="001C6084"/>
    <w:rsid w:val="001C6181"/>
    <w:rsid w:val="001C6EA5"/>
    <w:rsid w:val="001C6F37"/>
    <w:rsid w:val="001C716D"/>
    <w:rsid w:val="001C79DD"/>
    <w:rsid w:val="001C7BC0"/>
    <w:rsid w:val="001C7C91"/>
    <w:rsid w:val="001D05E8"/>
    <w:rsid w:val="001D0894"/>
    <w:rsid w:val="001D0A70"/>
    <w:rsid w:val="001D0F48"/>
    <w:rsid w:val="001D1075"/>
    <w:rsid w:val="001D14FE"/>
    <w:rsid w:val="001D15F1"/>
    <w:rsid w:val="001D20B5"/>
    <w:rsid w:val="001D23EE"/>
    <w:rsid w:val="001D2482"/>
    <w:rsid w:val="001D26F1"/>
    <w:rsid w:val="001D2A68"/>
    <w:rsid w:val="001D2B02"/>
    <w:rsid w:val="001D2B5B"/>
    <w:rsid w:val="001D2E68"/>
    <w:rsid w:val="001D2E97"/>
    <w:rsid w:val="001D30F1"/>
    <w:rsid w:val="001D342A"/>
    <w:rsid w:val="001D3F66"/>
    <w:rsid w:val="001D4793"/>
    <w:rsid w:val="001D48B2"/>
    <w:rsid w:val="001D49E3"/>
    <w:rsid w:val="001D4BCD"/>
    <w:rsid w:val="001D4CD2"/>
    <w:rsid w:val="001D4E38"/>
    <w:rsid w:val="001D507E"/>
    <w:rsid w:val="001D54E3"/>
    <w:rsid w:val="001D5818"/>
    <w:rsid w:val="001D59FE"/>
    <w:rsid w:val="001D5F40"/>
    <w:rsid w:val="001D61D2"/>
    <w:rsid w:val="001D66C6"/>
    <w:rsid w:val="001D66E7"/>
    <w:rsid w:val="001D6AC8"/>
    <w:rsid w:val="001D6BF6"/>
    <w:rsid w:val="001D6C3A"/>
    <w:rsid w:val="001D6C81"/>
    <w:rsid w:val="001D74D0"/>
    <w:rsid w:val="001D761E"/>
    <w:rsid w:val="001E053C"/>
    <w:rsid w:val="001E11A2"/>
    <w:rsid w:val="001E1405"/>
    <w:rsid w:val="001E15F4"/>
    <w:rsid w:val="001E20B0"/>
    <w:rsid w:val="001E24F4"/>
    <w:rsid w:val="001E2DDB"/>
    <w:rsid w:val="001E2ED4"/>
    <w:rsid w:val="001E2F6F"/>
    <w:rsid w:val="001E346D"/>
    <w:rsid w:val="001E3996"/>
    <w:rsid w:val="001E3EE0"/>
    <w:rsid w:val="001E47FC"/>
    <w:rsid w:val="001E481D"/>
    <w:rsid w:val="001E49C0"/>
    <w:rsid w:val="001E49DF"/>
    <w:rsid w:val="001E4A82"/>
    <w:rsid w:val="001E4B4F"/>
    <w:rsid w:val="001E5BD1"/>
    <w:rsid w:val="001E6612"/>
    <w:rsid w:val="001E6876"/>
    <w:rsid w:val="001E6A1F"/>
    <w:rsid w:val="001E7774"/>
    <w:rsid w:val="001E780B"/>
    <w:rsid w:val="001E780E"/>
    <w:rsid w:val="001E7B02"/>
    <w:rsid w:val="001E7D38"/>
    <w:rsid w:val="001F0154"/>
    <w:rsid w:val="001F0360"/>
    <w:rsid w:val="001F0416"/>
    <w:rsid w:val="001F07B7"/>
    <w:rsid w:val="001F0AAE"/>
    <w:rsid w:val="001F0B45"/>
    <w:rsid w:val="001F0E28"/>
    <w:rsid w:val="001F1445"/>
    <w:rsid w:val="001F147F"/>
    <w:rsid w:val="001F1801"/>
    <w:rsid w:val="001F1ACA"/>
    <w:rsid w:val="001F1E69"/>
    <w:rsid w:val="001F1FDC"/>
    <w:rsid w:val="001F28AF"/>
    <w:rsid w:val="001F2A74"/>
    <w:rsid w:val="001F2B77"/>
    <w:rsid w:val="001F2C81"/>
    <w:rsid w:val="001F2C8E"/>
    <w:rsid w:val="001F4128"/>
    <w:rsid w:val="001F4839"/>
    <w:rsid w:val="001F4B42"/>
    <w:rsid w:val="001F4CD0"/>
    <w:rsid w:val="001F507C"/>
    <w:rsid w:val="001F5149"/>
    <w:rsid w:val="001F51E1"/>
    <w:rsid w:val="001F51FF"/>
    <w:rsid w:val="001F597B"/>
    <w:rsid w:val="001F62EB"/>
    <w:rsid w:val="001F6A39"/>
    <w:rsid w:val="001F6CD2"/>
    <w:rsid w:val="001F71C9"/>
    <w:rsid w:val="001F760A"/>
    <w:rsid w:val="00200686"/>
    <w:rsid w:val="0020074F"/>
    <w:rsid w:val="00200CBC"/>
    <w:rsid w:val="00201088"/>
    <w:rsid w:val="002011D1"/>
    <w:rsid w:val="00201459"/>
    <w:rsid w:val="00201714"/>
    <w:rsid w:val="002017E7"/>
    <w:rsid w:val="00201A50"/>
    <w:rsid w:val="002025CA"/>
    <w:rsid w:val="00202832"/>
    <w:rsid w:val="002029AD"/>
    <w:rsid w:val="00202CF3"/>
    <w:rsid w:val="00203664"/>
    <w:rsid w:val="002036EB"/>
    <w:rsid w:val="00203C5B"/>
    <w:rsid w:val="00203CCA"/>
    <w:rsid w:val="00203FCD"/>
    <w:rsid w:val="002041EC"/>
    <w:rsid w:val="002042AF"/>
    <w:rsid w:val="0020448F"/>
    <w:rsid w:val="0020471C"/>
    <w:rsid w:val="00204A48"/>
    <w:rsid w:val="002053CF"/>
    <w:rsid w:val="00205CD2"/>
    <w:rsid w:val="00205D21"/>
    <w:rsid w:val="00205DA9"/>
    <w:rsid w:val="00205DDB"/>
    <w:rsid w:val="00205F53"/>
    <w:rsid w:val="002062C5"/>
    <w:rsid w:val="00206443"/>
    <w:rsid w:val="0020663A"/>
    <w:rsid w:val="002068ED"/>
    <w:rsid w:val="00206D1A"/>
    <w:rsid w:val="002075FD"/>
    <w:rsid w:val="002077DD"/>
    <w:rsid w:val="00207803"/>
    <w:rsid w:val="00207817"/>
    <w:rsid w:val="002079BD"/>
    <w:rsid w:val="00207E1A"/>
    <w:rsid w:val="00207ED2"/>
    <w:rsid w:val="00210110"/>
    <w:rsid w:val="0021020C"/>
    <w:rsid w:val="002105C9"/>
    <w:rsid w:val="00210977"/>
    <w:rsid w:val="00210F9B"/>
    <w:rsid w:val="0021106D"/>
    <w:rsid w:val="00211C3E"/>
    <w:rsid w:val="002123F1"/>
    <w:rsid w:val="00213259"/>
    <w:rsid w:val="00213743"/>
    <w:rsid w:val="0021443D"/>
    <w:rsid w:val="00214C44"/>
    <w:rsid w:val="00214CBD"/>
    <w:rsid w:val="00214FA0"/>
    <w:rsid w:val="00215725"/>
    <w:rsid w:val="00215A72"/>
    <w:rsid w:val="00215DA8"/>
    <w:rsid w:val="00215DB4"/>
    <w:rsid w:val="002162C4"/>
    <w:rsid w:val="002162EB"/>
    <w:rsid w:val="0021691F"/>
    <w:rsid w:val="00216E85"/>
    <w:rsid w:val="00216F21"/>
    <w:rsid w:val="0021731C"/>
    <w:rsid w:val="00217343"/>
    <w:rsid w:val="00217713"/>
    <w:rsid w:val="00217915"/>
    <w:rsid w:val="00217981"/>
    <w:rsid w:val="0021798C"/>
    <w:rsid w:val="00217D69"/>
    <w:rsid w:val="00220224"/>
    <w:rsid w:val="002202C3"/>
    <w:rsid w:val="00220C29"/>
    <w:rsid w:val="00221C8C"/>
    <w:rsid w:val="00222153"/>
    <w:rsid w:val="00222370"/>
    <w:rsid w:val="00222AF9"/>
    <w:rsid w:val="00222F1C"/>
    <w:rsid w:val="002231BB"/>
    <w:rsid w:val="00223253"/>
    <w:rsid w:val="00223330"/>
    <w:rsid w:val="002233D4"/>
    <w:rsid w:val="002235C9"/>
    <w:rsid w:val="002235ED"/>
    <w:rsid w:val="0022390B"/>
    <w:rsid w:val="002239D1"/>
    <w:rsid w:val="00223A65"/>
    <w:rsid w:val="00223AE2"/>
    <w:rsid w:val="00223B42"/>
    <w:rsid w:val="00223D4F"/>
    <w:rsid w:val="00223DEE"/>
    <w:rsid w:val="00224079"/>
    <w:rsid w:val="0022409F"/>
    <w:rsid w:val="0022417B"/>
    <w:rsid w:val="0022422B"/>
    <w:rsid w:val="002242BA"/>
    <w:rsid w:val="00224573"/>
    <w:rsid w:val="0022464A"/>
    <w:rsid w:val="0022474A"/>
    <w:rsid w:val="00224BDC"/>
    <w:rsid w:val="002253E0"/>
    <w:rsid w:val="0022551E"/>
    <w:rsid w:val="00225818"/>
    <w:rsid w:val="00225833"/>
    <w:rsid w:val="00225BB8"/>
    <w:rsid w:val="00225D9C"/>
    <w:rsid w:val="00225E8D"/>
    <w:rsid w:val="002261EA"/>
    <w:rsid w:val="00226578"/>
    <w:rsid w:val="002268D1"/>
    <w:rsid w:val="00226C89"/>
    <w:rsid w:val="002272E1"/>
    <w:rsid w:val="0022732C"/>
    <w:rsid w:val="00227AE8"/>
    <w:rsid w:val="00227B49"/>
    <w:rsid w:val="00227C94"/>
    <w:rsid w:val="00227E29"/>
    <w:rsid w:val="00230399"/>
    <w:rsid w:val="00230424"/>
    <w:rsid w:val="0023094B"/>
    <w:rsid w:val="002309E0"/>
    <w:rsid w:val="00230ACF"/>
    <w:rsid w:val="00231119"/>
    <w:rsid w:val="002318FF"/>
    <w:rsid w:val="002319EE"/>
    <w:rsid w:val="0023269E"/>
    <w:rsid w:val="00232802"/>
    <w:rsid w:val="002329D8"/>
    <w:rsid w:val="002332B5"/>
    <w:rsid w:val="002334DF"/>
    <w:rsid w:val="0023353A"/>
    <w:rsid w:val="00233576"/>
    <w:rsid w:val="0023381F"/>
    <w:rsid w:val="00233CB9"/>
    <w:rsid w:val="00234245"/>
    <w:rsid w:val="0023484F"/>
    <w:rsid w:val="00234D8D"/>
    <w:rsid w:val="00234F0A"/>
    <w:rsid w:val="00234FD7"/>
    <w:rsid w:val="00235470"/>
    <w:rsid w:val="00235632"/>
    <w:rsid w:val="00235775"/>
    <w:rsid w:val="0023586A"/>
    <w:rsid w:val="002360E7"/>
    <w:rsid w:val="0023628C"/>
    <w:rsid w:val="002369FC"/>
    <w:rsid w:val="00236D50"/>
    <w:rsid w:val="00236DFB"/>
    <w:rsid w:val="00236F36"/>
    <w:rsid w:val="00237AB1"/>
    <w:rsid w:val="00237C25"/>
    <w:rsid w:val="00237CA7"/>
    <w:rsid w:val="002405DC"/>
    <w:rsid w:val="00240813"/>
    <w:rsid w:val="002408E5"/>
    <w:rsid w:val="00241363"/>
    <w:rsid w:val="00241ABB"/>
    <w:rsid w:val="0024281D"/>
    <w:rsid w:val="00242857"/>
    <w:rsid w:val="00242BC9"/>
    <w:rsid w:val="00242FC4"/>
    <w:rsid w:val="002431EF"/>
    <w:rsid w:val="002432B1"/>
    <w:rsid w:val="002435C3"/>
    <w:rsid w:val="00243601"/>
    <w:rsid w:val="002437D1"/>
    <w:rsid w:val="00243951"/>
    <w:rsid w:val="00243A44"/>
    <w:rsid w:val="00244196"/>
    <w:rsid w:val="00244758"/>
    <w:rsid w:val="00244CF6"/>
    <w:rsid w:val="00244F01"/>
    <w:rsid w:val="0024515C"/>
    <w:rsid w:val="00245176"/>
    <w:rsid w:val="002452D0"/>
    <w:rsid w:val="00245CB8"/>
    <w:rsid w:val="00245D96"/>
    <w:rsid w:val="00246471"/>
    <w:rsid w:val="00246A47"/>
    <w:rsid w:val="00246BCB"/>
    <w:rsid w:val="00246CBA"/>
    <w:rsid w:val="00246E77"/>
    <w:rsid w:val="00246EDC"/>
    <w:rsid w:val="002470E8"/>
    <w:rsid w:val="002471B8"/>
    <w:rsid w:val="0024748C"/>
    <w:rsid w:val="0024776B"/>
    <w:rsid w:val="00250136"/>
    <w:rsid w:val="002501E6"/>
    <w:rsid w:val="00250283"/>
    <w:rsid w:val="00250508"/>
    <w:rsid w:val="0025098C"/>
    <w:rsid w:val="00250BEC"/>
    <w:rsid w:val="00250ED7"/>
    <w:rsid w:val="00250EE2"/>
    <w:rsid w:val="002514F4"/>
    <w:rsid w:val="00251717"/>
    <w:rsid w:val="002517A9"/>
    <w:rsid w:val="00251A5E"/>
    <w:rsid w:val="00251B33"/>
    <w:rsid w:val="00251BEF"/>
    <w:rsid w:val="0025206C"/>
    <w:rsid w:val="002520F0"/>
    <w:rsid w:val="002522A4"/>
    <w:rsid w:val="00253244"/>
    <w:rsid w:val="0025332D"/>
    <w:rsid w:val="002533D1"/>
    <w:rsid w:val="00253617"/>
    <w:rsid w:val="002539E2"/>
    <w:rsid w:val="00253BE0"/>
    <w:rsid w:val="00253EDA"/>
    <w:rsid w:val="0025437C"/>
    <w:rsid w:val="00254AEC"/>
    <w:rsid w:val="00254B98"/>
    <w:rsid w:val="00254DEC"/>
    <w:rsid w:val="002559D6"/>
    <w:rsid w:val="00255F25"/>
    <w:rsid w:val="0025602D"/>
    <w:rsid w:val="00256324"/>
    <w:rsid w:val="00256555"/>
    <w:rsid w:val="002571FE"/>
    <w:rsid w:val="00257223"/>
    <w:rsid w:val="00257475"/>
    <w:rsid w:val="0025794A"/>
    <w:rsid w:val="002579C3"/>
    <w:rsid w:val="00257B8C"/>
    <w:rsid w:val="00257C21"/>
    <w:rsid w:val="0026016A"/>
    <w:rsid w:val="00260356"/>
    <w:rsid w:val="00260596"/>
    <w:rsid w:val="002607CE"/>
    <w:rsid w:val="00260938"/>
    <w:rsid w:val="00261305"/>
    <w:rsid w:val="002619CB"/>
    <w:rsid w:val="002619F7"/>
    <w:rsid w:val="00261E9F"/>
    <w:rsid w:val="00262705"/>
    <w:rsid w:val="00262C5E"/>
    <w:rsid w:val="00262CFF"/>
    <w:rsid w:val="00262E4D"/>
    <w:rsid w:val="00263102"/>
    <w:rsid w:val="0026343F"/>
    <w:rsid w:val="0026346F"/>
    <w:rsid w:val="00263680"/>
    <w:rsid w:val="00263695"/>
    <w:rsid w:val="00263814"/>
    <w:rsid w:val="00263965"/>
    <w:rsid w:val="00263B81"/>
    <w:rsid w:val="0026453E"/>
    <w:rsid w:val="00265312"/>
    <w:rsid w:val="00265FF0"/>
    <w:rsid w:val="00266048"/>
    <w:rsid w:val="0026640B"/>
    <w:rsid w:val="00266429"/>
    <w:rsid w:val="00266493"/>
    <w:rsid w:val="002668A8"/>
    <w:rsid w:val="00266928"/>
    <w:rsid w:val="00266E68"/>
    <w:rsid w:val="00266F43"/>
    <w:rsid w:val="00267462"/>
    <w:rsid w:val="0026751B"/>
    <w:rsid w:val="00267708"/>
    <w:rsid w:val="0027014B"/>
    <w:rsid w:val="00270989"/>
    <w:rsid w:val="00270C0D"/>
    <w:rsid w:val="00270FDF"/>
    <w:rsid w:val="00271065"/>
    <w:rsid w:val="002710B1"/>
    <w:rsid w:val="00271237"/>
    <w:rsid w:val="002718F2"/>
    <w:rsid w:val="00271B8A"/>
    <w:rsid w:val="00272196"/>
    <w:rsid w:val="002726F6"/>
    <w:rsid w:val="0027297C"/>
    <w:rsid w:val="00272C9C"/>
    <w:rsid w:val="00273807"/>
    <w:rsid w:val="00273EFE"/>
    <w:rsid w:val="00274001"/>
    <w:rsid w:val="002745D5"/>
    <w:rsid w:val="00274846"/>
    <w:rsid w:val="00274AFC"/>
    <w:rsid w:val="00274CC7"/>
    <w:rsid w:val="00274DD8"/>
    <w:rsid w:val="00274E1F"/>
    <w:rsid w:val="00274F68"/>
    <w:rsid w:val="00274FBC"/>
    <w:rsid w:val="00275001"/>
    <w:rsid w:val="002752D4"/>
    <w:rsid w:val="00275A10"/>
    <w:rsid w:val="00275B1F"/>
    <w:rsid w:val="0027612C"/>
    <w:rsid w:val="0027619B"/>
    <w:rsid w:val="002764B7"/>
    <w:rsid w:val="002766BC"/>
    <w:rsid w:val="00276983"/>
    <w:rsid w:val="0027725C"/>
    <w:rsid w:val="00277340"/>
    <w:rsid w:val="0027736A"/>
    <w:rsid w:val="002773E2"/>
    <w:rsid w:val="002775B3"/>
    <w:rsid w:val="0027782B"/>
    <w:rsid w:val="0028006E"/>
    <w:rsid w:val="0028049F"/>
    <w:rsid w:val="00280789"/>
    <w:rsid w:val="00280C4D"/>
    <w:rsid w:val="00280E94"/>
    <w:rsid w:val="00281014"/>
    <w:rsid w:val="00281187"/>
    <w:rsid w:val="00281409"/>
    <w:rsid w:val="00281500"/>
    <w:rsid w:val="0028168D"/>
    <w:rsid w:val="00281A6D"/>
    <w:rsid w:val="00281BCD"/>
    <w:rsid w:val="00281C61"/>
    <w:rsid w:val="00281DDC"/>
    <w:rsid w:val="002825CA"/>
    <w:rsid w:val="002828BA"/>
    <w:rsid w:val="002835AF"/>
    <w:rsid w:val="002839E5"/>
    <w:rsid w:val="00283B7F"/>
    <w:rsid w:val="002846B9"/>
    <w:rsid w:val="002848B0"/>
    <w:rsid w:val="002849CF"/>
    <w:rsid w:val="00284A9A"/>
    <w:rsid w:val="002855F9"/>
    <w:rsid w:val="0028561B"/>
    <w:rsid w:val="0028562F"/>
    <w:rsid w:val="002863B3"/>
    <w:rsid w:val="00286561"/>
    <w:rsid w:val="002865B7"/>
    <w:rsid w:val="0028693F"/>
    <w:rsid w:val="00286982"/>
    <w:rsid w:val="002869F0"/>
    <w:rsid w:val="0028719C"/>
    <w:rsid w:val="002872AB"/>
    <w:rsid w:val="002877BF"/>
    <w:rsid w:val="0028786D"/>
    <w:rsid w:val="00287B90"/>
    <w:rsid w:val="00287BC0"/>
    <w:rsid w:val="00287D47"/>
    <w:rsid w:val="002903BC"/>
    <w:rsid w:val="002906C3"/>
    <w:rsid w:val="002909B8"/>
    <w:rsid w:val="00290A22"/>
    <w:rsid w:val="00290E3F"/>
    <w:rsid w:val="0029104E"/>
    <w:rsid w:val="002919BB"/>
    <w:rsid w:val="002919D2"/>
    <w:rsid w:val="00291A60"/>
    <w:rsid w:val="00291B20"/>
    <w:rsid w:val="00291BC5"/>
    <w:rsid w:val="00291DCD"/>
    <w:rsid w:val="00291E49"/>
    <w:rsid w:val="002921A8"/>
    <w:rsid w:val="00292881"/>
    <w:rsid w:val="002936E8"/>
    <w:rsid w:val="00293A46"/>
    <w:rsid w:val="00293A6F"/>
    <w:rsid w:val="00293AC0"/>
    <w:rsid w:val="00293C5F"/>
    <w:rsid w:val="002946BB"/>
    <w:rsid w:val="002947FB"/>
    <w:rsid w:val="00294CD1"/>
    <w:rsid w:val="00294D34"/>
    <w:rsid w:val="00294DCC"/>
    <w:rsid w:val="00294FC8"/>
    <w:rsid w:val="002952D0"/>
    <w:rsid w:val="002953D2"/>
    <w:rsid w:val="00295BF0"/>
    <w:rsid w:val="00296137"/>
    <w:rsid w:val="0029647F"/>
    <w:rsid w:val="0029678B"/>
    <w:rsid w:val="002970AD"/>
    <w:rsid w:val="00297B80"/>
    <w:rsid w:val="002A0050"/>
    <w:rsid w:val="002A053F"/>
    <w:rsid w:val="002A0823"/>
    <w:rsid w:val="002A0898"/>
    <w:rsid w:val="002A1653"/>
    <w:rsid w:val="002A1AE4"/>
    <w:rsid w:val="002A1E34"/>
    <w:rsid w:val="002A1E5B"/>
    <w:rsid w:val="002A229E"/>
    <w:rsid w:val="002A24E9"/>
    <w:rsid w:val="002A2969"/>
    <w:rsid w:val="002A2B5E"/>
    <w:rsid w:val="002A2EB3"/>
    <w:rsid w:val="002A300B"/>
    <w:rsid w:val="002A3043"/>
    <w:rsid w:val="002A31B9"/>
    <w:rsid w:val="002A32E2"/>
    <w:rsid w:val="002A3380"/>
    <w:rsid w:val="002A364F"/>
    <w:rsid w:val="002A37EA"/>
    <w:rsid w:val="002A3967"/>
    <w:rsid w:val="002A3BF4"/>
    <w:rsid w:val="002A3C0F"/>
    <w:rsid w:val="002A3E93"/>
    <w:rsid w:val="002A4299"/>
    <w:rsid w:val="002A456D"/>
    <w:rsid w:val="002A4849"/>
    <w:rsid w:val="002A5DCA"/>
    <w:rsid w:val="002A5EA3"/>
    <w:rsid w:val="002A5FDF"/>
    <w:rsid w:val="002A63C4"/>
    <w:rsid w:val="002A6593"/>
    <w:rsid w:val="002A6AEF"/>
    <w:rsid w:val="002A6B4B"/>
    <w:rsid w:val="002A752B"/>
    <w:rsid w:val="002A7542"/>
    <w:rsid w:val="002A7710"/>
    <w:rsid w:val="002A7768"/>
    <w:rsid w:val="002A7F3D"/>
    <w:rsid w:val="002B0149"/>
    <w:rsid w:val="002B089C"/>
    <w:rsid w:val="002B0CC0"/>
    <w:rsid w:val="002B1396"/>
    <w:rsid w:val="002B166E"/>
    <w:rsid w:val="002B2041"/>
    <w:rsid w:val="002B2492"/>
    <w:rsid w:val="002B2755"/>
    <w:rsid w:val="002B2801"/>
    <w:rsid w:val="002B282B"/>
    <w:rsid w:val="002B2A1C"/>
    <w:rsid w:val="002B2F96"/>
    <w:rsid w:val="002B37E1"/>
    <w:rsid w:val="002B3DD4"/>
    <w:rsid w:val="002B3F5A"/>
    <w:rsid w:val="002B4145"/>
    <w:rsid w:val="002B4221"/>
    <w:rsid w:val="002B42DF"/>
    <w:rsid w:val="002B43E2"/>
    <w:rsid w:val="002B43F3"/>
    <w:rsid w:val="002B45C3"/>
    <w:rsid w:val="002B46B3"/>
    <w:rsid w:val="002B46F8"/>
    <w:rsid w:val="002B48C3"/>
    <w:rsid w:val="002B4A2F"/>
    <w:rsid w:val="002B51B2"/>
    <w:rsid w:val="002B537D"/>
    <w:rsid w:val="002B58D2"/>
    <w:rsid w:val="002B5C14"/>
    <w:rsid w:val="002B5D89"/>
    <w:rsid w:val="002B5D8E"/>
    <w:rsid w:val="002B5F03"/>
    <w:rsid w:val="002B6642"/>
    <w:rsid w:val="002B66E1"/>
    <w:rsid w:val="002B67CB"/>
    <w:rsid w:val="002B6B5E"/>
    <w:rsid w:val="002B7081"/>
    <w:rsid w:val="002B70D1"/>
    <w:rsid w:val="002B7613"/>
    <w:rsid w:val="002B76CF"/>
    <w:rsid w:val="002B7D35"/>
    <w:rsid w:val="002B7E25"/>
    <w:rsid w:val="002C0695"/>
    <w:rsid w:val="002C0B55"/>
    <w:rsid w:val="002C11A4"/>
    <w:rsid w:val="002C1940"/>
    <w:rsid w:val="002C1CE0"/>
    <w:rsid w:val="002C1EF4"/>
    <w:rsid w:val="002C2A61"/>
    <w:rsid w:val="002C37D9"/>
    <w:rsid w:val="002C390E"/>
    <w:rsid w:val="002C3C18"/>
    <w:rsid w:val="002C4310"/>
    <w:rsid w:val="002C437D"/>
    <w:rsid w:val="002C4CA1"/>
    <w:rsid w:val="002C50C4"/>
    <w:rsid w:val="002C5463"/>
    <w:rsid w:val="002C5635"/>
    <w:rsid w:val="002C569E"/>
    <w:rsid w:val="002C5E50"/>
    <w:rsid w:val="002C609F"/>
    <w:rsid w:val="002C60DC"/>
    <w:rsid w:val="002C6243"/>
    <w:rsid w:val="002C62FE"/>
    <w:rsid w:val="002C6625"/>
    <w:rsid w:val="002C6651"/>
    <w:rsid w:val="002C6989"/>
    <w:rsid w:val="002C6C07"/>
    <w:rsid w:val="002C6D81"/>
    <w:rsid w:val="002C6E41"/>
    <w:rsid w:val="002C700F"/>
    <w:rsid w:val="002C7440"/>
    <w:rsid w:val="002C793F"/>
    <w:rsid w:val="002C7D10"/>
    <w:rsid w:val="002D0DC3"/>
    <w:rsid w:val="002D0DDA"/>
    <w:rsid w:val="002D0E99"/>
    <w:rsid w:val="002D1045"/>
    <w:rsid w:val="002D108F"/>
    <w:rsid w:val="002D162D"/>
    <w:rsid w:val="002D1696"/>
    <w:rsid w:val="002D1C03"/>
    <w:rsid w:val="002D1C1C"/>
    <w:rsid w:val="002D1FAF"/>
    <w:rsid w:val="002D235B"/>
    <w:rsid w:val="002D2952"/>
    <w:rsid w:val="002D2A26"/>
    <w:rsid w:val="002D2D4F"/>
    <w:rsid w:val="002D2DAE"/>
    <w:rsid w:val="002D2E4F"/>
    <w:rsid w:val="002D2F9C"/>
    <w:rsid w:val="002D320E"/>
    <w:rsid w:val="002D35CD"/>
    <w:rsid w:val="002D372A"/>
    <w:rsid w:val="002D37F0"/>
    <w:rsid w:val="002D3D6D"/>
    <w:rsid w:val="002D46CE"/>
    <w:rsid w:val="002D4A6B"/>
    <w:rsid w:val="002D4C69"/>
    <w:rsid w:val="002D558B"/>
    <w:rsid w:val="002D585B"/>
    <w:rsid w:val="002D5A1D"/>
    <w:rsid w:val="002D5D1C"/>
    <w:rsid w:val="002D6001"/>
    <w:rsid w:val="002D603E"/>
    <w:rsid w:val="002D605E"/>
    <w:rsid w:val="002D6174"/>
    <w:rsid w:val="002D673E"/>
    <w:rsid w:val="002D6DC9"/>
    <w:rsid w:val="002D6FA7"/>
    <w:rsid w:val="002D7679"/>
    <w:rsid w:val="002D7900"/>
    <w:rsid w:val="002D7977"/>
    <w:rsid w:val="002D7B9B"/>
    <w:rsid w:val="002D7D2A"/>
    <w:rsid w:val="002D7F00"/>
    <w:rsid w:val="002DC906"/>
    <w:rsid w:val="002E032A"/>
    <w:rsid w:val="002E0524"/>
    <w:rsid w:val="002E05DE"/>
    <w:rsid w:val="002E0676"/>
    <w:rsid w:val="002E071F"/>
    <w:rsid w:val="002E0853"/>
    <w:rsid w:val="002E092B"/>
    <w:rsid w:val="002E097D"/>
    <w:rsid w:val="002E0A19"/>
    <w:rsid w:val="002E0C52"/>
    <w:rsid w:val="002E0E73"/>
    <w:rsid w:val="002E0F57"/>
    <w:rsid w:val="002E13B2"/>
    <w:rsid w:val="002E1D89"/>
    <w:rsid w:val="002E1DDD"/>
    <w:rsid w:val="002E1F21"/>
    <w:rsid w:val="002E23ED"/>
    <w:rsid w:val="002E3428"/>
    <w:rsid w:val="002E39D0"/>
    <w:rsid w:val="002E39F1"/>
    <w:rsid w:val="002E3A55"/>
    <w:rsid w:val="002E3CAE"/>
    <w:rsid w:val="002E417A"/>
    <w:rsid w:val="002E4462"/>
    <w:rsid w:val="002E48C3"/>
    <w:rsid w:val="002E4A6B"/>
    <w:rsid w:val="002E4A8B"/>
    <w:rsid w:val="002E4AB0"/>
    <w:rsid w:val="002E4C49"/>
    <w:rsid w:val="002E4DFD"/>
    <w:rsid w:val="002E5377"/>
    <w:rsid w:val="002E573B"/>
    <w:rsid w:val="002E5845"/>
    <w:rsid w:val="002E5990"/>
    <w:rsid w:val="002E5CBB"/>
    <w:rsid w:val="002E63FB"/>
    <w:rsid w:val="002E65E5"/>
    <w:rsid w:val="002E6638"/>
    <w:rsid w:val="002E666C"/>
    <w:rsid w:val="002E69B1"/>
    <w:rsid w:val="002E6D3A"/>
    <w:rsid w:val="002E7844"/>
    <w:rsid w:val="002E7B32"/>
    <w:rsid w:val="002E7D2B"/>
    <w:rsid w:val="002F0062"/>
    <w:rsid w:val="002F0655"/>
    <w:rsid w:val="002F0742"/>
    <w:rsid w:val="002F136D"/>
    <w:rsid w:val="002F16D9"/>
    <w:rsid w:val="002F2108"/>
    <w:rsid w:val="002F257E"/>
    <w:rsid w:val="002F25E0"/>
    <w:rsid w:val="002F3784"/>
    <w:rsid w:val="002F37B5"/>
    <w:rsid w:val="002F381C"/>
    <w:rsid w:val="002F38CE"/>
    <w:rsid w:val="002F3F74"/>
    <w:rsid w:val="002F40AD"/>
    <w:rsid w:val="002F41A2"/>
    <w:rsid w:val="002F43CB"/>
    <w:rsid w:val="002F4913"/>
    <w:rsid w:val="002F4A84"/>
    <w:rsid w:val="002F4E69"/>
    <w:rsid w:val="002F510C"/>
    <w:rsid w:val="002F52A1"/>
    <w:rsid w:val="002F5537"/>
    <w:rsid w:val="002F5DBD"/>
    <w:rsid w:val="002F60F6"/>
    <w:rsid w:val="002F61BA"/>
    <w:rsid w:val="002F6CD3"/>
    <w:rsid w:val="002F6E3C"/>
    <w:rsid w:val="002F6E8A"/>
    <w:rsid w:val="002F7523"/>
    <w:rsid w:val="002F7B56"/>
    <w:rsid w:val="002F7FE5"/>
    <w:rsid w:val="00300187"/>
    <w:rsid w:val="00300464"/>
    <w:rsid w:val="00300C00"/>
    <w:rsid w:val="00301242"/>
    <w:rsid w:val="00301301"/>
    <w:rsid w:val="00301408"/>
    <w:rsid w:val="0030171C"/>
    <w:rsid w:val="003017A1"/>
    <w:rsid w:val="003017EE"/>
    <w:rsid w:val="00301993"/>
    <w:rsid w:val="00301D9F"/>
    <w:rsid w:val="003020AE"/>
    <w:rsid w:val="00302592"/>
    <w:rsid w:val="0030268C"/>
    <w:rsid w:val="00302820"/>
    <w:rsid w:val="00302A07"/>
    <w:rsid w:val="00302BD7"/>
    <w:rsid w:val="00303026"/>
    <w:rsid w:val="00303033"/>
    <w:rsid w:val="003032AA"/>
    <w:rsid w:val="003033DA"/>
    <w:rsid w:val="00303902"/>
    <w:rsid w:val="00303E39"/>
    <w:rsid w:val="00303F43"/>
    <w:rsid w:val="00303F68"/>
    <w:rsid w:val="0030408C"/>
    <w:rsid w:val="00304151"/>
    <w:rsid w:val="003041FD"/>
    <w:rsid w:val="003045A0"/>
    <w:rsid w:val="00304BD0"/>
    <w:rsid w:val="00305065"/>
    <w:rsid w:val="003052A2"/>
    <w:rsid w:val="00305374"/>
    <w:rsid w:val="00305887"/>
    <w:rsid w:val="00305AE4"/>
    <w:rsid w:val="00305BC9"/>
    <w:rsid w:val="00305E1C"/>
    <w:rsid w:val="0030640A"/>
    <w:rsid w:val="003064DC"/>
    <w:rsid w:val="0030697F"/>
    <w:rsid w:val="00306C75"/>
    <w:rsid w:val="00306E18"/>
    <w:rsid w:val="00306EAF"/>
    <w:rsid w:val="003071A5"/>
    <w:rsid w:val="00307972"/>
    <w:rsid w:val="00307D0E"/>
    <w:rsid w:val="003101E6"/>
    <w:rsid w:val="00310306"/>
    <w:rsid w:val="003104E6"/>
    <w:rsid w:val="003108C7"/>
    <w:rsid w:val="003109F9"/>
    <w:rsid w:val="00310EFE"/>
    <w:rsid w:val="00311197"/>
    <w:rsid w:val="003112CC"/>
    <w:rsid w:val="00312034"/>
    <w:rsid w:val="0031207C"/>
    <w:rsid w:val="00312080"/>
    <w:rsid w:val="003125F1"/>
    <w:rsid w:val="00312845"/>
    <w:rsid w:val="00312851"/>
    <w:rsid w:val="003129AD"/>
    <w:rsid w:val="00313107"/>
    <w:rsid w:val="00313505"/>
    <w:rsid w:val="00313791"/>
    <w:rsid w:val="00313883"/>
    <w:rsid w:val="00313C9A"/>
    <w:rsid w:val="00313D7C"/>
    <w:rsid w:val="00314558"/>
    <w:rsid w:val="003146C9"/>
    <w:rsid w:val="00314CF8"/>
    <w:rsid w:val="003150DD"/>
    <w:rsid w:val="00315173"/>
    <w:rsid w:val="0031569A"/>
    <w:rsid w:val="003156C7"/>
    <w:rsid w:val="003159BD"/>
    <w:rsid w:val="00315CE2"/>
    <w:rsid w:val="003165DF"/>
    <w:rsid w:val="00316B70"/>
    <w:rsid w:val="00316D28"/>
    <w:rsid w:val="003172D9"/>
    <w:rsid w:val="0031735F"/>
    <w:rsid w:val="003175B4"/>
    <w:rsid w:val="003177F0"/>
    <w:rsid w:val="003179A7"/>
    <w:rsid w:val="00317CEA"/>
    <w:rsid w:val="0032023F"/>
    <w:rsid w:val="003205D2"/>
    <w:rsid w:val="003205E1"/>
    <w:rsid w:val="00322131"/>
    <w:rsid w:val="003226F8"/>
    <w:rsid w:val="003227C5"/>
    <w:rsid w:val="00322AC8"/>
    <w:rsid w:val="00322F4A"/>
    <w:rsid w:val="003231EE"/>
    <w:rsid w:val="003235F8"/>
    <w:rsid w:val="00323B97"/>
    <w:rsid w:val="00324573"/>
    <w:rsid w:val="0032479C"/>
    <w:rsid w:val="003247AD"/>
    <w:rsid w:val="0032481F"/>
    <w:rsid w:val="00324A23"/>
    <w:rsid w:val="00324A33"/>
    <w:rsid w:val="00324B20"/>
    <w:rsid w:val="00324F8C"/>
    <w:rsid w:val="003255F8"/>
    <w:rsid w:val="0032623A"/>
    <w:rsid w:val="003262F1"/>
    <w:rsid w:val="0032664D"/>
    <w:rsid w:val="00326C1D"/>
    <w:rsid w:val="00326FC1"/>
    <w:rsid w:val="0032785B"/>
    <w:rsid w:val="003278EE"/>
    <w:rsid w:val="00327BA6"/>
    <w:rsid w:val="00327E5B"/>
    <w:rsid w:val="00327EA9"/>
    <w:rsid w:val="003302F1"/>
    <w:rsid w:val="00330372"/>
    <w:rsid w:val="003305EB"/>
    <w:rsid w:val="00330693"/>
    <w:rsid w:val="00330720"/>
    <w:rsid w:val="003308B8"/>
    <w:rsid w:val="00330D0A"/>
    <w:rsid w:val="00330D97"/>
    <w:rsid w:val="00330EE5"/>
    <w:rsid w:val="00330F1B"/>
    <w:rsid w:val="003311BC"/>
    <w:rsid w:val="003313AC"/>
    <w:rsid w:val="003316E4"/>
    <w:rsid w:val="0033186B"/>
    <w:rsid w:val="003322B2"/>
    <w:rsid w:val="003322D9"/>
    <w:rsid w:val="00332695"/>
    <w:rsid w:val="0033285E"/>
    <w:rsid w:val="00332ADB"/>
    <w:rsid w:val="00332E1D"/>
    <w:rsid w:val="00333426"/>
    <w:rsid w:val="003334C1"/>
    <w:rsid w:val="00333695"/>
    <w:rsid w:val="00333F70"/>
    <w:rsid w:val="00334467"/>
    <w:rsid w:val="00334E33"/>
    <w:rsid w:val="003351E9"/>
    <w:rsid w:val="00335292"/>
    <w:rsid w:val="00335421"/>
    <w:rsid w:val="00335B6A"/>
    <w:rsid w:val="00335C40"/>
    <w:rsid w:val="00336511"/>
    <w:rsid w:val="00336764"/>
    <w:rsid w:val="00336A6F"/>
    <w:rsid w:val="00336C9E"/>
    <w:rsid w:val="003372C2"/>
    <w:rsid w:val="00337A5A"/>
    <w:rsid w:val="003401CE"/>
    <w:rsid w:val="00340751"/>
    <w:rsid w:val="00340C0E"/>
    <w:rsid w:val="00340C2A"/>
    <w:rsid w:val="00341252"/>
    <w:rsid w:val="003418B8"/>
    <w:rsid w:val="00341AAB"/>
    <w:rsid w:val="003420EC"/>
    <w:rsid w:val="0034221D"/>
    <w:rsid w:val="00342601"/>
    <w:rsid w:val="003426C9"/>
    <w:rsid w:val="00342878"/>
    <w:rsid w:val="00342F25"/>
    <w:rsid w:val="00343AD8"/>
    <w:rsid w:val="00343E92"/>
    <w:rsid w:val="0034425B"/>
    <w:rsid w:val="003446B9"/>
    <w:rsid w:val="00344AB4"/>
    <w:rsid w:val="00344DC5"/>
    <w:rsid w:val="00344E16"/>
    <w:rsid w:val="00344F2B"/>
    <w:rsid w:val="00344FDD"/>
    <w:rsid w:val="003451A0"/>
    <w:rsid w:val="0034528B"/>
    <w:rsid w:val="00345362"/>
    <w:rsid w:val="003456D0"/>
    <w:rsid w:val="00345F91"/>
    <w:rsid w:val="00346001"/>
    <w:rsid w:val="003467CB"/>
    <w:rsid w:val="00346CB9"/>
    <w:rsid w:val="00346E03"/>
    <w:rsid w:val="00347095"/>
    <w:rsid w:val="00347521"/>
    <w:rsid w:val="00347855"/>
    <w:rsid w:val="003478B6"/>
    <w:rsid w:val="00347E55"/>
    <w:rsid w:val="00350573"/>
    <w:rsid w:val="0035077A"/>
    <w:rsid w:val="00350D97"/>
    <w:rsid w:val="00350DFD"/>
    <w:rsid w:val="003514F4"/>
    <w:rsid w:val="00351533"/>
    <w:rsid w:val="003515EF"/>
    <w:rsid w:val="003516CA"/>
    <w:rsid w:val="003517E6"/>
    <w:rsid w:val="00351B42"/>
    <w:rsid w:val="00351E48"/>
    <w:rsid w:val="00352211"/>
    <w:rsid w:val="003522BC"/>
    <w:rsid w:val="003524DA"/>
    <w:rsid w:val="003525C5"/>
    <w:rsid w:val="00352618"/>
    <w:rsid w:val="0035265D"/>
    <w:rsid w:val="0035266B"/>
    <w:rsid w:val="003526A6"/>
    <w:rsid w:val="003537E7"/>
    <w:rsid w:val="00353C77"/>
    <w:rsid w:val="00353E42"/>
    <w:rsid w:val="00353F02"/>
    <w:rsid w:val="0035421E"/>
    <w:rsid w:val="00354528"/>
    <w:rsid w:val="0035471A"/>
    <w:rsid w:val="00354967"/>
    <w:rsid w:val="003549A5"/>
    <w:rsid w:val="00354D92"/>
    <w:rsid w:val="00354E17"/>
    <w:rsid w:val="003554D8"/>
    <w:rsid w:val="003559C4"/>
    <w:rsid w:val="00356476"/>
    <w:rsid w:val="00356569"/>
    <w:rsid w:val="00356832"/>
    <w:rsid w:val="00356887"/>
    <w:rsid w:val="00357073"/>
    <w:rsid w:val="00357283"/>
    <w:rsid w:val="00357B4B"/>
    <w:rsid w:val="00357BE9"/>
    <w:rsid w:val="00357D34"/>
    <w:rsid w:val="00357FAE"/>
    <w:rsid w:val="00360091"/>
    <w:rsid w:val="0036010E"/>
    <w:rsid w:val="00360738"/>
    <w:rsid w:val="003607EF"/>
    <w:rsid w:val="00361044"/>
    <w:rsid w:val="0036158D"/>
    <w:rsid w:val="0036169E"/>
    <w:rsid w:val="00361ACD"/>
    <w:rsid w:val="00362204"/>
    <w:rsid w:val="00362205"/>
    <w:rsid w:val="003622E6"/>
    <w:rsid w:val="003624A8"/>
    <w:rsid w:val="003627E9"/>
    <w:rsid w:val="00362A3E"/>
    <w:rsid w:val="00362AE6"/>
    <w:rsid w:val="003630EF"/>
    <w:rsid w:val="00363108"/>
    <w:rsid w:val="00363223"/>
    <w:rsid w:val="003632E2"/>
    <w:rsid w:val="00363341"/>
    <w:rsid w:val="003635DB"/>
    <w:rsid w:val="0036368B"/>
    <w:rsid w:val="0036451F"/>
    <w:rsid w:val="003645FE"/>
    <w:rsid w:val="003648C0"/>
    <w:rsid w:val="00364BC8"/>
    <w:rsid w:val="0036507A"/>
    <w:rsid w:val="00365519"/>
    <w:rsid w:val="0036570B"/>
    <w:rsid w:val="0036573A"/>
    <w:rsid w:val="00365AD3"/>
    <w:rsid w:val="00365B37"/>
    <w:rsid w:val="00365C3F"/>
    <w:rsid w:val="003665EA"/>
    <w:rsid w:val="00366A33"/>
    <w:rsid w:val="00366BF5"/>
    <w:rsid w:val="0036724A"/>
    <w:rsid w:val="00367466"/>
    <w:rsid w:val="0036751D"/>
    <w:rsid w:val="00367751"/>
    <w:rsid w:val="00367F91"/>
    <w:rsid w:val="00370703"/>
    <w:rsid w:val="0037088B"/>
    <w:rsid w:val="0037093A"/>
    <w:rsid w:val="00370B91"/>
    <w:rsid w:val="00370D93"/>
    <w:rsid w:val="00371548"/>
    <w:rsid w:val="003715E2"/>
    <w:rsid w:val="00371836"/>
    <w:rsid w:val="00371BB5"/>
    <w:rsid w:val="003720B7"/>
    <w:rsid w:val="003721E0"/>
    <w:rsid w:val="003727EA"/>
    <w:rsid w:val="00372809"/>
    <w:rsid w:val="003728F9"/>
    <w:rsid w:val="00372CD2"/>
    <w:rsid w:val="00372DA9"/>
    <w:rsid w:val="00373373"/>
    <w:rsid w:val="003734B0"/>
    <w:rsid w:val="0037375B"/>
    <w:rsid w:val="00373C35"/>
    <w:rsid w:val="00373CA0"/>
    <w:rsid w:val="003745DC"/>
    <w:rsid w:val="0037494A"/>
    <w:rsid w:val="00374E0A"/>
    <w:rsid w:val="00374F85"/>
    <w:rsid w:val="00375303"/>
    <w:rsid w:val="0037531D"/>
    <w:rsid w:val="003754A0"/>
    <w:rsid w:val="00375603"/>
    <w:rsid w:val="0037595F"/>
    <w:rsid w:val="00375DFE"/>
    <w:rsid w:val="00376087"/>
    <w:rsid w:val="00376111"/>
    <w:rsid w:val="003761EA"/>
    <w:rsid w:val="003763FD"/>
    <w:rsid w:val="003767D0"/>
    <w:rsid w:val="00376840"/>
    <w:rsid w:val="00376982"/>
    <w:rsid w:val="00376B96"/>
    <w:rsid w:val="00376C30"/>
    <w:rsid w:val="00376DDB"/>
    <w:rsid w:val="003770D4"/>
    <w:rsid w:val="003770F8"/>
    <w:rsid w:val="0037745A"/>
    <w:rsid w:val="003775CC"/>
    <w:rsid w:val="00377970"/>
    <w:rsid w:val="00377986"/>
    <w:rsid w:val="003779BC"/>
    <w:rsid w:val="00377B52"/>
    <w:rsid w:val="00377B6C"/>
    <w:rsid w:val="00377DD1"/>
    <w:rsid w:val="00380535"/>
    <w:rsid w:val="00380806"/>
    <w:rsid w:val="00381452"/>
    <w:rsid w:val="003819F2"/>
    <w:rsid w:val="00381DC2"/>
    <w:rsid w:val="0038220B"/>
    <w:rsid w:val="00382248"/>
    <w:rsid w:val="00382630"/>
    <w:rsid w:val="00382757"/>
    <w:rsid w:val="0038278C"/>
    <w:rsid w:val="00382E22"/>
    <w:rsid w:val="00383412"/>
    <w:rsid w:val="00383731"/>
    <w:rsid w:val="0038397E"/>
    <w:rsid w:val="00383A15"/>
    <w:rsid w:val="00384155"/>
    <w:rsid w:val="00384570"/>
    <w:rsid w:val="003848BA"/>
    <w:rsid w:val="0038504E"/>
    <w:rsid w:val="00385183"/>
    <w:rsid w:val="00385995"/>
    <w:rsid w:val="00386490"/>
    <w:rsid w:val="003867FD"/>
    <w:rsid w:val="00386AB6"/>
    <w:rsid w:val="00386CBE"/>
    <w:rsid w:val="00386F7C"/>
    <w:rsid w:val="003870DB"/>
    <w:rsid w:val="00387184"/>
    <w:rsid w:val="00387258"/>
    <w:rsid w:val="00387347"/>
    <w:rsid w:val="00387405"/>
    <w:rsid w:val="003874E0"/>
    <w:rsid w:val="00387766"/>
    <w:rsid w:val="003877C9"/>
    <w:rsid w:val="003879E7"/>
    <w:rsid w:val="00387CBC"/>
    <w:rsid w:val="00387D41"/>
    <w:rsid w:val="003905F8"/>
    <w:rsid w:val="0039067D"/>
    <w:rsid w:val="00390A90"/>
    <w:rsid w:val="00390B4D"/>
    <w:rsid w:val="00390CCB"/>
    <w:rsid w:val="00391081"/>
    <w:rsid w:val="003910A5"/>
    <w:rsid w:val="003912FB"/>
    <w:rsid w:val="00391762"/>
    <w:rsid w:val="0039246E"/>
    <w:rsid w:val="003924D0"/>
    <w:rsid w:val="003925E1"/>
    <w:rsid w:val="00392648"/>
    <w:rsid w:val="00392FB2"/>
    <w:rsid w:val="003932D1"/>
    <w:rsid w:val="003933CC"/>
    <w:rsid w:val="00393463"/>
    <w:rsid w:val="003941DA"/>
    <w:rsid w:val="003942C7"/>
    <w:rsid w:val="00394436"/>
    <w:rsid w:val="0039444D"/>
    <w:rsid w:val="0039462A"/>
    <w:rsid w:val="003948EF"/>
    <w:rsid w:val="00394DE9"/>
    <w:rsid w:val="003952BB"/>
    <w:rsid w:val="00395513"/>
    <w:rsid w:val="0039561F"/>
    <w:rsid w:val="00395E92"/>
    <w:rsid w:val="0039613E"/>
    <w:rsid w:val="003963A2"/>
    <w:rsid w:val="00396559"/>
    <w:rsid w:val="00396682"/>
    <w:rsid w:val="003966EF"/>
    <w:rsid w:val="00396CB9"/>
    <w:rsid w:val="00396E33"/>
    <w:rsid w:val="00397197"/>
    <w:rsid w:val="0039736E"/>
    <w:rsid w:val="003974C0"/>
    <w:rsid w:val="003978FB"/>
    <w:rsid w:val="00397E98"/>
    <w:rsid w:val="003A02FA"/>
    <w:rsid w:val="003A0453"/>
    <w:rsid w:val="003A087D"/>
    <w:rsid w:val="003A0B54"/>
    <w:rsid w:val="003A0E45"/>
    <w:rsid w:val="003A0EEF"/>
    <w:rsid w:val="003A116C"/>
    <w:rsid w:val="003A11C2"/>
    <w:rsid w:val="003A1220"/>
    <w:rsid w:val="003A1459"/>
    <w:rsid w:val="003A1711"/>
    <w:rsid w:val="003A1AB1"/>
    <w:rsid w:val="003A1AEF"/>
    <w:rsid w:val="003A208F"/>
    <w:rsid w:val="003A2223"/>
    <w:rsid w:val="003A25E5"/>
    <w:rsid w:val="003A2800"/>
    <w:rsid w:val="003A2849"/>
    <w:rsid w:val="003A2AEB"/>
    <w:rsid w:val="003A2F64"/>
    <w:rsid w:val="003A312E"/>
    <w:rsid w:val="003A3855"/>
    <w:rsid w:val="003A38C6"/>
    <w:rsid w:val="003A3DD5"/>
    <w:rsid w:val="003A418E"/>
    <w:rsid w:val="003A449B"/>
    <w:rsid w:val="003A44F7"/>
    <w:rsid w:val="003A466E"/>
    <w:rsid w:val="003A50A4"/>
    <w:rsid w:val="003A56DA"/>
    <w:rsid w:val="003A5B52"/>
    <w:rsid w:val="003A6462"/>
    <w:rsid w:val="003A68F7"/>
    <w:rsid w:val="003A6B05"/>
    <w:rsid w:val="003A6CBF"/>
    <w:rsid w:val="003A6DF5"/>
    <w:rsid w:val="003A6F37"/>
    <w:rsid w:val="003A70ED"/>
    <w:rsid w:val="003A730D"/>
    <w:rsid w:val="003A738D"/>
    <w:rsid w:val="003A775D"/>
    <w:rsid w:val="003A7769"/>
    <w:rsid w:val="003A7A16"/>
    <w:rsid w:val="003A7DA9"/>
    <w:rsid w:val="003B030B"/>
    <w:rsid w:val="003B0DD7"/>
    <w:rsid w:val="003B10E6"/>
    <w:rsid w:val="003B1205"/>
    <w:rsid w:val="003B13E6"/>
    <w:rsid w:val="003B1461"/>
    <w:rsid w:val="003B1632"/>
    <w:rsid w:val="003B1C0D"/>
    <w:rsid w:val="003B23FD"/>
    <w:rsid w:val="003B26AB"/>
    <w:rsid w:val="003B2848"/>
    <w:rsid w:val="003B2A27"/>
    <w:rsid w:val="003B2B24"/>
    <w:rsid w:val="003B2C69"/>
    <w:rsid w:val="003B3132"/>
    <w:rsid w:val="003B31C7"/>
    <w:rsid w:val="003B32F0"/>
    <w:rsid w:val="003B33F5"/>
    <w:rsid w:val="003B39B6"/>
    <w:rsid w:val="003B3D8F"/>
    <w:rsid w:val="003B3F94"/>
    <w:rsid w:val="003B3FF6"/>
    <w:rsid w:val="003B42D0"/>
    <w:rsid w:val="003B462C"/>
    <w:rsid w:val="003B49CC"/>
    <w:rsid w:val="003B4DCA"/>
    <w:rsid w:val="003B51B7"/>
    <w:rsid w:val="003B5828"/>
    <w:rsid w:val="003B5A6E"/>
    <w:rsid w:val="003B5A97"/>
    <w:rsid w:val="003B5CAF"/>
    <w:rsid w:val="003B5E2B"/>
    <w:rsid w:val="003B5EBA"/>
    <w:rsid w:val="003B5F0F"/>
    <w:rsid w:val="003B5F8F"/>
    <w:rsid w:val="003B6601"/>
    <w:rsid w:val="003B6621"/>
    <w:rsid w:val="003B6871"/>
    <w:rsid w:val="003B6DB8"/>
    <w:rsid w:val="003B6EA3"/>
    <w:rsid w:val="003B6F3C"/>
    <w:rsid w:val="003B7447"/>
    <w:rsid w:val="003B7FD3"/>
    <w:rsid w:val="003C04CA"/>
    <w:rsid w:val="003C05B2"/>
    <w:rsid w:val="003C0902"/>
    <w:rsid w:val="003C0F3A"/>
    <w:rsid w:val="003C1168"/>
    <w:rsid w:val="003C1806"/>
    <w:rsid w:val="003C211B"/>
    <w:rsid w:val="003C255F"/>
    <w:rsid w:val="003C27E8"/>
    <w:rsid w:val="003C2868"/>
    <w:rsid w:val="003C2A1B"/>
    <w:rsid w:val="003C2EBD"/>
    <w:rsid w:val="003C3826"/>
    <w:rsid w:val="003C3F81"/>
    <w:rsid w:val="003C481F"/>
    <w:rsid w:val="003C4ECC"/>
    <w:rsid w:val="003C5618"/>
    <w:rsid w:val="003C5798"/>
    <w:rsid w:val="003C5AD6"/>
    <w:rsid w:val="003C5AFC"/>
    <w:rsid w:val="003C5FF8"/>
    <w:rsid w:val="003C64CC"/>
    <w:rsid w:val="003C66AE"/>
    <w:rsid w:val="003C6BC0"/>
    <w:rsid w:val="003C6C3D"/>
    <w:rsid w:val="003C739E"/>
    <w:rsid w:val="003C7E28"/>
    <w:rsid w:val="003D0327"/>
    <w:rsid w:val="003D0557"/>
    <w:rsid w:val="003D0572"/>
    <w:rsid w:val="003D08F8"/>
    <w:rsid w:val="003D09B1"/>
    <w:rsid w:val="003D0EEE"/>
    <w:rsid w:val="003D1067"/>
    <w:rsid w:val="003D1120"/>
    <w:rsid w:val="003D1606"/>
    <w:rsid w:val="003D1A7E"/>
    <w:rsid w:val="003D1B61"/>
    <w:rsid w:val="003D1E65"/>
    <w:rsid w:val="003D1F75"/>
    <w:rsid w:val="003D22EF"/>
    <w:rsid w:val="003D245A"/>
    <w:rsid w:val="003D2673"/>
    <w:rsid w:val="003D2C69"/>
    <w:rsid w:val="003D2EB7"/>
    <w:rsid w:val="003D2F8B"/>
    <w:rsid w:val="003D2FC1"/>
    <w:rsid w:val="003D2FCA"/>
    <w:rsid w:val="003D32D3"/>
    <w:rsid w:val="003D33D6"/>
    <w:rsid w:val="003D3643"/>
    <w:rsid w:val="003D39CE"/>
    <w:rsid w:val="003D41E9"/>
    <w:rsid w:val="003D4306"/>
    <w:rsid w:val="003D4929"/>
    <w:rsid w:val="003D4982"/>
    <w:rsid w:val="003D4B08"/>
    <w:rsid w:val="003D4EEF"/>
    <w:rsid w:val="003D4EF4"/>
    <w:rsid w:val="003D5416"/>
    <w:rsid w:val="003D54D4"/>
    <w:rsid w:val="003D5C3F"/>
    <w:rsid w:val="003D6094"/>
    <w:rsid w:val="003D6A2B"/>
    <w:rsid w:val="003D6B3E"/>
    <w:rsid w:val="003D6BFB"/>
    <w:rsid w:val="003D6C8D"/>
    <w:rsid w:val="003D6E36"/>
    <w:rsid w:val="003D707A"/>
    <w:rsid w:val="003D72AD"/>
    <w:rsid w:val="003D7447"/>
    <w:rsid w:val="003D77FB"/>
    <w:rsid w:val="003D7842"/>
    <w:rsid w:val="003D79AA"/>
    <w:rsid w:val="003E063D"/>
    <w:rsid w:val="003E0800"/>
    <w:rsid w:val="003E0D67"/>
    <w:rsid w:val="003E0F04"/>
    <w:rsid w:val="003E10E4"/>
    <w:rsid w:val="003E110B"/>
    <w:rsid w:val="003E11F2"/>
    <w:rsid w:val="003E1651"/>
    <w:rsid w:val="003E1857"/>
    <w:rsid w:val="003E1ADB"/>
    <w:rsid w:val="003E2014"/>
    <w:rsid w:val="003E209D"/>
    <w:rsid w:val="003E2408"/>
    <w:rsid w:val="003E26CC"/>
    <w:rsid w:val="003E2AF7"/>
    <w:rsid w:val="003E2B86"/>
    <w:rsid w:val="003E338C"/>
    <w:rsid w:val="003E4230"/>
    <w:rsid w:val="003E44E0"/>
    <w:rsid w:val="003E456C"/>
    <w:rsid w:val="003E4817"/>
    <w:rsid w:val="003E4924"/>
    <w:rsid w:val="003E4928"/>
    <w:rsid w:val="003E4B92"/>
    <w:rsid w:val="003E650C"/>
    <w:rsid w:val="003E6595"/>
    <w:rsid w:val="003E662C"/>
    <w:rsid w:val="003E71F8"/>
    <w:rsid w:val="003E7526"/>
    <w:rsid w:val="003E7586"/>
    <w:rsid w:val="003E7A12"/>
    <w:rsid w:val="003E7BCB"/>
    <w:rsid w:val="003E7D21"/>
    <w:rsid w:val="003E7D5E"/>
    <w:rsid w:val="003F0135"/>
    <w:rsid w:val="003F06B6"/>
    <w:rsid w:val="003F09EE"/>
    <w:rsid w:val="003F1198"/>
    <w:rsid w:val="003F1700"/>
    <w:rsid w:val="003F180E"/>
    <w:rsid w:val="003F1820"/>
    <w:rsid w:val="003F1B6A"/>
    <w:rsid w:val="003F1D45"/>
    <w:rsid w:val="003F1E89"/>
    <w:rsid w:val="003F27C7"/>
    <w:rsid w:val="003F2E4B"/>
    <w:rsid w:val="003F31F5"/>
    <w:rsid w:val="003F3201"/>
    <w:rsid w:val="003F321C"/>
    <w:rsid w:val="003F3230"/>
    <w:rsid w:val="003F333C"/>
    <w:rsid w:val="003F35F1"/>
    <w:rsid w:val="003F3733"/>
    <w:rsid w:val="003F39ED"/>
    <w:rsid w:val="003F3CEA"/>
    <w:rsid w:val="003F453F"/>
    <w:rsid w:val="003F45B2"/>
    <w:rsid w:val="003F48EC"/>
    <w:rsid w:val="003F4DA5"/>
    <w:rsid w:val="003F52CE"/>
    <w:rsid w:val="003F598A"/>
    <w:rsid w:val="003F6617"/>
    <w:rsid w:val="003F6E3F"/>
    <w:rsid w:val="003F7361"/>
    <w:rsid w:val="003F78A5"/>
    <w:rsid w:val="003F7CF8"/>
    <w:rsid w:val="003F7D59"/>
    <w:rsid w:val="004005FD"/>
    <w:rsid w:val="00400C0F"/>
    <w:rsid w:val="00400C1A"/>
    <w:rsid w:val="00400DCC"/>
    <w:rsid w:val="004010ED"/>
    <w:rsid w:val="004011A2"/>
    <w:rsid w:val="004011D9"/>
    <w:rsid w:val="004013C5"/>
    <w:rsid w:val="004014D5"/>
    <w:rsid w:val="00401DFC"/>
    <w:rsid w:val="00401E3C"/>
    <w:rsid w:val="00401F0E"/>
    <w:rsid w:val="00402021"/>
    <w:rsid w:val="00402362"/>
    <w:rsid w:val="004024A9"/>
    <w:rsid w:val="00402517"/>
    <w:rsid w:val="00402856"/>
    <w:rsid w:val="00402BED"/>
    <w:rsid w:val="00402CAE"/>
    <w:rsid w:val="00402D42"/>
    <w:rsid w:val="00402D93"/>
    <w:rsid w:val="00402F61"/>
    <w:rsid w:val="0040300E"/>
    <w:rsid w:val="004031E1"/>
    <w:rsid w:val="0040323D"/>
    <w:rsid w:val="00404037"/>
    <w:rsid w:val="004041FC"/>
    <w:rsid w:val="0040447E"/>
    <w:rsid w:val="00404708"/>
    <w:rsid w:val="00404739"/>
    <w:rsid w:val="00404741"/>
    <w:rsid w:val="00404AE7"/>
    <w:rsid w:val="0040502E"/>
    <w:rsid w:val="00405042"/>
    <w:rsid w:val="004050EC"/>
    <w:rsid w:val="004051AB"/>
    <w:rsid w:val="004056D5"/>
    <w:rsid w:val="004059FF"/>
    <w:rsid w:val="00405B56"/>
    <w:rsid w:val="00405D40"/>
    <w:rsid w:val="00405D97"/>
    <w:rsid w:val="00406781"/>
    <w:rsid w:val="00406A83"/>
    <w:rsid w:val="00406CC5"/>
    <w:rsid w:val="00406FD0"/>
    <w:rsid w:val="00407228"/>
    <w:rsid w:val="00407817"/>
    <w:rsid w:val="00407839"/>
    <w:rsid w:val="00407EEB"/>
    <w:rsid w:val="004101BF"/>
    <w:rsid w:val="00410686"/>
    <w:rsid w:val="004108F1"/>
    <w:rsid w:val="00410B9F"/>
    <w:rsid w:val="00410FC2"/>
    <w:rsid w:val="00411019"/>
    <w:rsid w:val="00411029"/>
    <w:rsid w:val="00411983"/>
    <w:rsid w:val="004119F2"/>
    <w:rsid w:val="00411B58"/>
    <w:rsid w:val="004126F4"/>
    <w:rsid w:val="00412BCB"/>
    <w:rsid w:val="004131FF"/>
    <w:rsid w:val="00413B57"/>
    <w:rsid w:val="00413C7C"/>
    <w:rsid w:val="00414115"/>
    <w:rsid w:val="00415015"/>
    <w:rsid w:val="004157DF"/>
    <w:rsid w:val="00415A8D"/>
    <w:rsid w:val="00415EB3"/>
    <w:rsid w:val="004164B8"/>
    <w:rsid w:val="0041665C"/>
    <w:rsid w:val="0041695A"/>
    <w:rsid w:val="00417543"/>
    <w:rsid w:val="00417B71"/>
    <w:rsid w:val="00417CC9"/>
    <w:rsid w:val="00420006"/>
    <w:rsid w:val="004202BF"/>
    <w:rsid w:val="004208AD"/>
    <w:rsid w:val="004208F5"/>
    <w:rsid w:val="00420AB3"/>
    <w:rsid w:val="00420B91"/>
    <w:rsid w:val="00420F40"/>
    <w:rsid w:val="00421089"/>
    <w:rsid w:val="00421667"/>
    <w:rsid w:val="0042174D"/>
    <w:rsid w:val="004217FC"/>
    <w:rsid w:val="004220E1"/>
    <w:rsid w:val="00423459"/>
    <w:rsid w:val="00423E8A"/>
    <w:rsid w:val="004249E6"/>
    <w:rsid w:val="00424B0D"/>
    <w:rsid w:val="0042538C"/>
    <w:rsid w:val="0042591C"/>
    <w:rsid w:val="00425AFF"/>
    <w:rsid w:val="00425BAA"/>
    <w:rsid w:val="00425C58"/>
    <w:rsid w:val="00425F8C"/>
    <w:rsid w:val="00426262"/>
    <w:rsid w:val="0042671B"/>
    <w:rsid w:val="0042679B"/>
    <w:rsid w:val="00426932"/>
    <w:rsid w:val="00426DE3"/>
    <w:rsid w:val="00426EC1"/>
    <w:rsid w:val="0042732C"/>
    <w:rsid w:val="0042733E"/>
    <w:rsid w:val="0042765B"/>
    <w:rsid w:val="004279F6"/>
    <w:rsid w:val="00430135"/>
    <w:rsid w:val="0043023C"/>
    <w:rsid w:val="0043089D"/>
    <w:rsid w:val="004308B2"/>
    <w:rsid w:val="004309D1"/>
    <w:rsid w:val="00430A3A"/>
    <w:rsid w:val="00430A5F"/>
    <w:rsid w:val="00430B4C"/>
    <w:rsid w:val="00430B59"/>
    <w:rsid w:val="00430D8A"/>
    <w:rsid w:val="00431178"/>
    <w:rsid w:val="0043156E"/>
    <w:rsid w:val="0043158B"/>
    <w:rsid w:val="00431A80"/>
    <w:rsid w:val="00431DC6"/>
    <w:rsid w:val="00431EA9"/>
    <w:rsid w:val="00432132"/>
    <w:rsid w:val="004324FB"/>
    <w:rsid w:val="00432A61"/>
    <w:rsid w:val="00432D7D"/>
    <w:rsid w:val="00432EA4"/>
    <w:rsid w:val="00433544"/>
    <w:rsid w:val="0043379C"/>
    <w:rsid w:val="00433B00"/>
    <w:rsid w:val="00433B51"/>
    <w:rsid w:val="00434514"/>
    <w:rsid w:val="00435049"/>
    <w:rsid w:val="00435081"/>
    <w:rsid w:val="00435210"/>
    <w:rsid w:val="00435969"/>
    <w:rsid w:val="004359B4"/>
    <w:rsid w:val="00435AD1"/>
    <w:rsid w:val="00435EB2"/>
    <w:rsid w:val="004364DB"/>
    <w:rsid w:val="00436502"/>
    <w:rsid w:val="004366FC"/>
    <w:rsid w:val="004368CF"/>
    <w:rsid w:val="00436B5F"/>
    <w:rsid w:val="004374AE"/>
    <w:rsid w:val="00437579"/>
    <w:rsid w:val="00437585"/>
    <w:rsid w:val="00437673"/>
    <w:rsid w:val="004376E7"/>
    <w:rsid w:val="004379E2"/>
    <w:rsid w:val="00437A39"/>
    <w:rsid w:val="00437FE8"/>
    <w:rsid w:val="004403BC"/>
    <w:rsid w:val="0044066D"/>
    <w:rsid w:val="00440802"/>
    <w:rsid w:val="00440C78"/>
    <w:rsid w:val="00440CBC"/>
    <w:rsid w:val="00440F89"/>
    <w:rsid w:val="0044159E"/>
    <w:rsid w:val="00441B18"/>
    <w:rsid w:val="00441BF1"/>
    <w:rsid w:val="0044214C"/>
    <w:rsid w:val="004423CE"/>
    <w:rsid w:val="00442547"/>
    <w:rsid w:val="0044254B"/>
    <w:rsid w:val="00443298"/>
    <w:rsid w:val="004432B9"/>
    <w:rsid w:val="0044391E"/>
    <w:rsid w:val="00443AEA"/>
    <w:rsid w:val="00443BDA"/>
    <w:rsid w:val="00443EA5"/>
    <w:rsid w:val="00444079"/>
    <w:rsid w:val="004443B3"/>
    <w:rsid w:val="00444558"/>
    <w:rsid w:val="00444ECF"/>
    <w:rsid w:val="00444F47"/>
    <w:rsid w:val="0044519E"/>
    <w:rsid w:val="0044561E"/>
    <w:rsid w:val="00445A06"/>
    <w:rsid w:val="00445F16"/>
    <w:rsid w:val="004465EE"/>
    <w:rsid w:val="00446609"/>
    <w:rsid w:val="00446B1E"/>
    <w:rsid w:val="00446CFB"/>
    <w:rsid w:val="00446E02"/>
    <w:rsid w:val="00446E85"/>
    <w:rsid w:val="004473F2"/>
    <w:rsid w:val="004476BB"/>
    <w:rsid w:val="0044790B"/>
    <w:rsid w:val="00447AB6"/>
    <w:rsid w:val="00447BE5"/>
    <w:rsid w:val="00447BF8"/>
    <w:rsid w:val="00447C0A"/>
    <w:rsid w:val="0045043D"/>
    <w:rsid w:val="004509C7"/>
    <w:rsid w:val="00450ADC"/>
    <w:rsid w:val="00450FD5"/>
    <w:rsid w:val="00450FF7"/>
    <w:rsid w:val="00451830"/>
    <w:rsid w:val="004519F9"/>
    <w:rsid w:val="004523F3"/>
    <w:rsid w:val="00452769"/>
    <w:rsid w:val="00452860"/>
    <w:rsid w:val="0045295D"/>
    <w:rsid w:val="00452B6F"/>
    <w:rsid w:val="00452CE6"/>
    <w:rsid w:val="00453578"/>
    <w:rsid w:val="00453A86"/>
    <w:rsid w:val="00453D7F"/>
    <w:rsid w:val="00453E31"/>
    <w:rsid w:val="00453F4E"/>
    <w:rsid w:val="0045400F"/>
    <w:rsid w:val="004542D0"/>
    <w:rsid w:val="0045433A"/>
    <w:rsid w:val="0045476B"/>
    <w:rsid w:val="00454BA1"/>
    <w:rsid w:val="00454DF7"/>
    <w:rsid w:val="00454EDD"/>
    <w:rsid w:val="004550F2"/>
    <w:rsid w:val="004553BF"/>
    <w:rsid w:val="004554FF"/>
    <w:rsid w:val="00455B85"/>
    <w:rsid w:val="0045634F"/>
    <w:rsid w:val="00456A48"/>
    <w:rsid w:val="00456A5A"/>
    <w:rsid w:val="00456A97"/>
    <w:rsid w:val="00456CC3"/>
    <w:rsid w:val="00456DFD"/>
    <w:rsid w:val="00457541"/>
    <w:rsid w:val="0045787C"/>
    <w:rsid w:val="00457F97"/>
    <w:rsid w:val="00460278"/>
    <w:rsid w:val="00460552"/>
    <w:rsid w:val="004606DB"/>
    <w:rsid w:val="004610F9"/>
    <w:rsid w:val="00461552"/>
    <w:rsid w:val="00461D85"/>
    <w:rsid w:val="0046231C"/>
    <w:rsid w:val="00462DA9"/>
    <w:rsid w:val="00462EAF"/>
    <w:rsid w:val="00462F66"/>
    <w:rsid w:val="00462FA3"/>
    <w:rsid w:val="00463594"/>
    <w:rsid w:val="0046374F"/>
    <w:rsid w:val="00463D65"/>
    <w:rsid w:val="00463F3F"/>
    <w:rsid w:val="00463FD7"/>
    <w:rsid w:val="004645BC"/>
    <w:rsid w:val="004646FB"/>
    <w:rsid w:val="00464770"/>
    <w:rsid w:val="00464BAA"/>
    <w:rsid w:val="00465244"/>
    <w:rsid w:val="00465582"/>
    <w:rsid w:val="00465C02"/>
    <w:rsid w:val="00465DC5"/>
    <w:rsid w:val="00466389"/>
    <w:rsid w:val="0046657C"/>
    <w:rsid w:val="0046693F"/>
    <w:rsid w:val="00466AD3"/>
    <w:rsid w:val="00467366"/>
    <w:rsid w:val="00467387"/>
    <w:rsid w:val="0046740A"/>
    <w:rsid w:val="004675CD"/>
    <w:rsid w:val="0046763D"/>
    <w:rsid w:val="00470051"/>
    <w:rsid w:val="004700AC"/>
    <w:rsid w:val="004700F4"/>
    <w:rsid w:val="00470295"/>
    <w:rsid w:val="00470780"/>
    <w:rsid w:val="0047098F"/>
    <w:rsid w:val="004709FF"/>
    <w:rsid w:val="00470D0C"/>
    <w:rsid w:val="00470D9D"/>
    <w:rsid w:val="00470F46"/>
    <w:rsid w:val="00471E03"/>
    <w:rsid w:val="00471F4A"/>
    <w:rsid w:val="0047216E"/>
    <w:rsid w:val="004721C8"/>
    <w:rsid w:val="00472A6C"/>
    <w:rsid w:val="00472B3B"/>
    <w:rsid w:val="00472D49"/>
    <w:rsid w:val="00473558"/>
    <w:rsid w:val="00473C1A"/>
    <w:rsid w:val="00473DB0"/>
    <w:rsid w:val="004740D3"/>
    <w:rsid w:val="00474169"/>
    <w:rsid w:val="004743E3"/>
    <w:rsid w:val="004745BB"/>
    <w:rsid w:val="00474989"/>
    <w:rsid w:val="00474B5F"/>
    <w:rsid w:val="00475250"/>
    <w:rsid w:val="004755F8"/>
    <w:rsid w:val="00476435"/>
    <w:rsid w:val="00476DBA"/>
    <w:rsid w:val="00476F0D"/>
    <w:rsid w:val="00476F22"/>
    <w:rsid w:val="00477537"/>
    <w:rsid w:val="004779BB"/>
    <w:rsid w:val="00477F45"/>
    <w:rsid w:val="00477F6F"/>
    <w:rsid w:val="00480387"/>
    <w:rsid w:val="00480963"/>
    <w:rsid w:val="00480DAE"/>
    <w:rsid w:val="00480F70"/>
    <w:rsid w:val="0048130D"/>
    <w:rsid w:val="00481523"/>
    <w:rsid w:val="00481696"/>
    <w:rsid w:val="00481E5B"/>
    <w:rsid w:val="00481F6E"/>
    <w:rsid w:val="004828E8"/>
    <w:rsid w:val="00482C54"/>
    <w:rsid w:val="00482E5E"/>
    <w:rsid w:val="00482EA4"/>
    <w:rsid w:val="004831BF"/>
    <w:rsid w:val="004832B6"/>
    <w:rsid w:val="00483440"/>
    <w:rsid w:val="00483585"/>
    <w:rsid w:val="00483832"/>
    <w:rsid w:val="00483DD3"/>
    <w:rsid w:val="004840AD"/>
    <w:rsid w:val="00484104"/>
    <w:rsid w:val="004841EE"/>
    <w:rsid w:val="00484633"/>
    <w:rsid w:val="004846CF"/>
    <w:rsid w:val="0048482B"/>
    <w:rsid w:val="00484A6E"/>
    <w:rsid w:val="00484B53"/>
    <w:rsid w:val="00484B5B"/>
    <w:rsid w:val="00484C1F"/>
    <w:rsid w:val="0048547E"/>
    <w:rsid w:val="00485493"/>
    <w:rsid w:val="004857AA"/>
    <w:rsid w:val="004857C7"/>
    <w:rsid w:val="00485C4E"/>
    <w:rsid w:val="00486057"/>
    <w:rsid w:val="00486527"/>
    <w:rsid w:val="00486BD4"/>
    <w:rsid w:val="00487294"/>
    <w:rsid w:val="0048729A"/>
    <w:rsid w:val="004873A3"/>
    <w:rsid w:val="00487725"/>
    <w:rsid w:val="00487B1E"/>
    <w:rsid w:val="00487C6D"/>
    <w:rsid w:val="00487FB9"/>
    <w:rsid w:val="004905E0"/>
    <w:rsid w:val="004906AA"/>
    <w:rsid w:val="004908F1"/>
    <w:rsid w:val="00490C00"/>
    <w:rsid w:val="004910B2"/>
    <w:rsid w:val="00491317"/>
    <w:rsid w:val="0049159B"/>
    <w:rsid w:val="00491A8E"/>
    <w:rsid w:val="00491AB9"/>
    <w:rsid w:val="00491AE7"/>
    <w:rsid w:val="00491B39"/>
    <w:rsid w:val="00491BDA"/>
    <w:rsid w:val="0049215F"/>
    <w:rsid w:val="00492267"/>
    <w:rsid w:val="0049293C"/>
    <w:rsid w:val="00492C0D"/>
    <w:rsid w:val="00492C4D"/>
    <w:rsid w:val="00492D1A"/>
    <w:rsid w:val="004931D5"/>
    <w:rsid w:val="004933E7"/>
    <w:rsid w:val="00493B4B"/>
    <w:rsid w:val="00493CCD"/>
    <w:rsid w:val="00494057"/>
    <w:rsid w:val="004942BE"/>
    <w:rsid w:val="004944FB"/>
    <w:rsid w:val="00494EC6"/>
    <w:rsid w:val="00495042"/>
    <w:rsid w:val="00495FDF"/>
    <w:rsid w:val="004962A2"/>
    <w:rsid w:val="00496720"/>
    <w:rsid w:val="00497379"/>
    <w:rsid w:val="004973A1"/>
    <w:rsid w:val="004973A8"/>
    <w:rsid w:val="004A0867"/>
    <w:rsid w:val="004A086D"/>
    <w:rsid w:val="004A0BE1"/>
    <w:rsid w:val="004A0F74"/>
    <w:rsid w:val="004A10C0"/>
    <w:rsid w:val="004A1C13"/>
    <w:rsid w:val="004A1C70"/>
    <w:rsid w:val="004A1E98"/>
    <w:rsid w:val="004A2AA3"/>
    <w:rsid w:val="004A355D"/>
    <w:rsid w:val="004A3728"/>
    <w:rsid w:val="004A3899"/>
    <w:rsid w:val="004A3A1F"/>
    <w:rsid w:val="004A3AEC"/>
    <w:rsid w:val="004A3F8A"/>
    <w:rsid w:val="004A4234"/>
    <w:rsid w:val="004A4418"/>
    <w:rsid w:val="004A4BFF"/>
    <w:rsid w:val="004A4EE0"/>
    <w:rsid w:val="004A505E"/>
    <w:rsid w:val="004A54A6"/>
    <w:rsid w:val="004A5D91"/>
    <w:rsid w:val="004A5E4C"/>
    <w:rsid w:val="004A61AE"/>
    <w:rsid w:val="004A6215"/>
    <w:rsid w:val="004A6BA5"/>
    <w:rsid w:val="004A6E0B"/>
    <w:rsid w:val="004A6E21"/>
    <w:rsid w:val="004A6E56"/>
    <w:rsid w:val="004A71AB"/>
    <w:rsid w:val="004A744E"/>
    <w:rsid w:val="004A76A5"/>
    <w:rsid w:val="004A79D1"/>
    <w:rsid w:val="004A7C10"/>
    <w:rsid w:val="004A7C40"/>
    <w:rsid w:val="004A7E54"/>
    <w:rsid w:val="004B0067"/>
    <w:rsid w:val="004B04CD"/>
    <w:rsid w:val="004B05D6"/>
    <w:rsid w:val="004B0906"/>
    <w:rsid w:val="004B0965"/>
    <w:rsid w:val="004B0A09"/>
    <w:rsid w:val="004B0AF3"/>
    <w:rsid w:val="004B0C73"/>
    <w:rsid w:val="004B0D58"/>
    <w:rsid w:val="004B1079"/>
    <w:rsid w:val="004B10B8"/>
    <w:rsid w:val="004B14F1"/>
    <w:rsid w:val="004B1906"/>
    <w:rsid w:val="004B257A"/>
    <w:rsid w:val="004B312A"/>
    <w:rsid w:val="004B370E"/>
    <w:rsid w:val="004B3B12"/>
    <w:rsid w:val="004B3B17"/>
    <w:rsid w:val="004B3D06"/>
    <w:rsid w:val="004B42FB"/>
    <w:rsid w:val="004B48AF"/>
    <w:rsid w:val="004B4A62"/>
    <w:rsid w:val="004B4B40"/>
    <w:rsid w:val="004B4E97"/>
    <w:rsid w:val="004B53B6"/>
    <w:rsid w:val="004B5BA4"/>
    <w:rsid w:val="004B5D42"/>
    <w:rsid w:val="004B6AE3"/>
    <w:rsid w:val="004B6DC9"/>
    <w:rsid w:val="004B736B"/>
    <w:rsid w:val="004B7EB1"/>
    <w:rsid w:val="004C004E"/>
    <w:rsid w:val="004C0543"/>
    <w:rsid w:val="004C0845"/>
    <w:rsid w:val="004C1142"/>
    <w:rsid w:val="004C11CA"/>
    <w:rsid w:val="004C120A"/>
    <w:rsid w:val="004C1DAA"/>
    <w:rsid w:val="004C2296"/>
    <w:rsid w:val="004C2550"/>
    <w:rsid w:val="004C2554"/>
    <w:rsid w:val="004C2749"/>
    <w:rsid w:val="004C297C"/>
    <w:rsid w:val="004C4336"/>
    <w:rsid w:val="004C4363"/>
    <w:rsid w:val="004C43FA"/>
    <w:rsid w:val="004C44F7"/>
    <w:rsid w:val="004C4652"/>
    <w:rsid w:val="004C476D"/>
    <w:rsid w:val="004C495D"/>
    <w:rsid w:val="004C4C7B"/>
    <w:rsid w:val="004C50B2"/>
    <w:rsid w:val="004C51A8"/>
    <w:rsid w:val="004C52EA"/>
    <w:rsid w:val="004C585B"/>
    <w:rsid w:val="004C5A37"/>
    <w:rsid w:val="004C5B25"/>
    <w:rsid w:val="004C5BC9"/>
    <w:rsid w:val="004C67A6"/>
    <w:rsid w:val="004C6884"/>
    <w:rsid w:val="004C6B02"/>
    <w:rsid w:val="004C6B62"/>
    <w:rsid w:val="004C6D2B"/>
    <w:rsid w:val="004C7195"/>
    <w:rsid w:val="004C723C"/>
    <w:rsid w:val="004C725D"/>
    <w:rsid w:val="004C77B2"/>
    <w:rsid w:val="004C7E6F"/>
    <w:rsid w:val="004D0141"/>
    <w:rsid w:val="004D0154"/>
    <w:rsid w:val="004D0187"/>
    <w:rsid w:val="004D0707"/>
    <w:rsid w:val="004D0B3E"/>
    <w:rsid w:val="004D0C7D"/>
    <w:rsid w:val="004D0E28"/>
    <w:rsid w:val="004D0E40"/>
    <w:rsid w:val="004D0FD5"/>
    <w:rsid w:val="004D1770"/>
    <w:rsid w:val="004D188B"/>
    <w:rsid w:val="004D1BE9"/>
    <w:rsid w:val="004D1E3E"/>
    <w:rsid w:val="004D25E2"/>
    <w:rsid w:val="004D2850"/>
    <w:rsid w:val="004D2962"/>
    <w:rsid w:val="004D29C7"/>
    <w:rsid w:val="004D2BFA"/>
    <w:rsid w:val="004D2CAC"/>
    <w:rsid w:val="004D2D90"/>
    <w:rsid w:val="004D2ED0"/>
    <w:rsid w:val="004D30C0"/>
    <w:rsid w:val="004D3595"/>
    <w:rsid w:val="004D3842"/>
    <w:rsid w:val="004D390E"/>
    <w:rsid w:val="004D3B7F"/>
    <w:rsid w:val="004D4170"/>
    <w:rsid w:val="004D436D"/>
    <w:rsid w:val="004D444E"/>
    <w:rsid w:val="004D4635"/>
    <w:rsid w:val="004D4752"/>
    <w:rsid w:val="004D4942"/>
    <w:rsid w:val="004D4A61"/>
    <w:rsid w:val="004D4B61"/>
    <w:rsid w:val="004D507B"/>
    <w:rsid w:val="004D52B3"/>
    <w:rsid w:val="004D5880"/>
    <w:rsid w:val="004D59D6"/>
    <w:rsid w:val="004D59EB"/>
    <w:rsid w:val="004D6151"/>
    <w:rsid w:val="004D69CC"/>
    <w:rsid w:val="004D705D"/>
    <w:rsid w:val="004D792F"/>
    <w:rsid w:val="004D7EC1"/>
    <w:rsid w:val="004E00A9"/>
    <w:rsid w:val="004E02A7"/>
    <w:rsid w:val="004E05F1"/>
    <w:rsid w:val="004E063B"/>
    <w:rsid w:val="004E0D0F"/>
    <w:rsid w:val="004E0EC6"/>
    <w:rsid w:val="004E110C"/>
    <w:rsid w:val="004E1428"/>
    <w:rsid w:val="004E1B7C"/>
    <w:rsid w:val="004E1FFA"/>
    <w:rsid w:val="004E2172"/>
    <w:rsid w:val="004E29C3"/>
    <w:rsid w:val="004E2A62"/>
    <w:rsid w:val="004E2AAD"/>
    <w:rsid w:val="004E2EEA"/>
    <w:rsid w:val="004E3031"/>
    <w:rsid w:val="004E32A5"/>
    <w:rsid w:val="004E3BAA"/>
    <w:rsid w:val="004E400D"/>
    <w:rsid w:val="004E452E"/>
    <w:rsid w:val="004E4A3C"/>
    <w:rsid w:val="004E55B2"/>
    <w:rsid w:val="004E5766"/>
    <w:rsid w:val="004E582C"/>
    <w:rsid w:val="004E5986"/>
    <w:rsid w:val="004E5A26"/>
    <w:rsid w:val="004E5ACC"/>
    <w:rsid w:val="004E5F16"/>
    <w:rsid w:val="004E623C"/>
    <w:rsid w:val="004E630E"/>
    <w:rsid w:val="004E6A83"/>
    <w:rsid w:val="004E6F08"/>
    <w:rsid w:val="004E7719"/>
    <w:rsid w:val="004E7CBE"/>
    <w:rsid w:val="004F0266"/>
    <w:rsid w:val="004F02C1"/>
    <w:rsid w:val="004F042A"/>
    <w:rsid w:val="004F05CD"/>
    <w:rsid w:val="004F05D5"/>
    <w:rsid w:val="004F0738"/>
    <w:rsid w:val="004F07E0"/>
    <w:rsid w:val="004F0ABE"/>
    <w:rsid w:val="004F0CD5"/>
    <w:rsid w:val="004F1090"/>
    <w:rsid w:val="004F10EF"/>
    <w:rsid w:val="004F134D"/>
    <w:rsid w:val="004F1515"/>
    <w:rsid w:val="004F1857"/>
    <w:rsid w:val="004F1973"/>
    <w:rsid w:val="004F2004"/>
    <w:rsid w:val="004F20F7"/>
    <w:rsid w:val="004F2324"/>
    <w:rsid w:val="004F2D81"/>
    <w:rsid w:val="004F37E3"/>
    <w:rsid w:val="004F3AF4"/>
    <w:rsid w:val="004F3C86"/>
    <w:rsid w:val="004F3CF8"/>
    <w:rsid w:val="004F3CFE"/>
    <w:rsid w:val="004F3D40"/>
    <w:rsid w:val="004F4266"/>
    <w:rsid w:val="004F4289"/>
    <w:rsid w:val="004F4310"/>
    <w:rsid w:val="004F5129"/>
    <w:rsid w:val="004F5191"/>
    <w:rsid w:val="004F5228"/>
    <w:rsid w:val="004F55C5"/>
    <w:rsid w:val="004F576A"/>
    <w:rsid w:val="004F5CCE"/>
    <w:rsid w:val="004F5E93"/>
    <w:rsid w:val="004F5ED6"/>
    <w:rsid w:val="004F6270"/>
    <w:rsid w:val="004F656D"/>
    <w:rsid w:val="004F6570"/>
    <w:rsid w:val="004F6B1F"/>
    <w:rsid w:val="004F6D36"/>
    <w:rsid w:val="004F72E5"/>
    <w:rsid w:val="004F7953"/>
    <w:rsid w:val="004F7E2F"/>
    <w:rsid w:val="004F7ED4"/>
    <w:rsid w:val="00500432"/>
    <w:rsid w:val="00500497"/>
    <w:rsid w:val="00500AA1"/>
    <w:rsid w:val="00500BF4"/>
    <w:rsid w:val="00500C89"/>
    <w:rsid w:val="0050120E"/>
    <w:rsid w:val="00501340"/>
    <w:rsid w:val="0050139F"/>
    <w:rsid w:val="0050186D"/>
    <w:rsid w:val="00501F24"/>
    <w:rsid w:val="00502D32"/>
    <w:rsid w:val="00502ECD"/>
    <w:rsid w:val="005030AA"/>
    <w:rsid w:val="00503277"/>
    <w:rsid w:val="005034E6"/>
    <w:rsid w:val="0050387B"/>
    <w:rsid w:val="00503DA7"/>
    <w:rsid w:val="00504112"/>
    <w:rsid w:val="0050431E"/>
    <w:rsid w:val="00504CA3"/>
    <w:rsid w:val="005050FB"/>
    <w:rsid w:val="005051E7"/>
    <w:rsid w:val="005051E9"/>
    <w:rsid w:val="00505329"/>
    <w:rsid w:val="0050555A"/>
    <w:rsid w:val="0050594C"/>
    <w:rsid w:val="00505C13"/>
    <w:rsid w:val="00505E48"/>
    <w:rsid w:val="00506219"/>
    <w:rsid w:val="0050650E"/>
    <w:rsid w:val="005067EA"/>
    <w:rsid w:val="00506BCF"/>
    <w:rsid w:val="005071EA"/>
    <w:rsid w:val="005072E1"/>
    <w:rsid w:val="0050744B"/>
    <w:rsid w:val="0050786A"/>
    <w:rsid w:val="00507890"/>
    <w:rsid w:val="0050791B"/>
    <w:rsid w:val="00507BF9"/>
    <w:rsid w:val="00507DE2"/>
    <w:rsid w:val="005101D4"/>
    <w:rsid w:val="00510495"/>
    <w:rsid w:val="005104AB"/>
    <w:rsid w:val="0051061F"/>
    <w:rsid w:val="005107CD"/>
    <w:rsid w:val="00511137"/>
    <w:rsid w:val="00511339"/>
    <w:rsid w:val="00511731"/>
    <w:rsid w:val="00511771"/>
    <w:rsid w:val="00511CCC"/>
    <w:rsid w:val="00511D47"/>
    <w:rsid w:val="00511E16"/>
    <w:rsid w:val="00511EC6"/>
    <w:rsid w:val="00512066"/>
    <w:rsid w:val="0051219A"/>
    <w:rsid w:val="0051256C"/>
    <w:rsid w:val="005127CF"/>
    <w:rsid w:val="005132C3"/>
    <w:rsid w:val="0051354A"/>
    <w:rsid w:val="0051487C"/>
    <w:rsid w:val="00514BCB"/>
    <w:rsid w:val="005151E9"/>
    <w:rsid w:val="005153BE"/>
    <w:rsid w:val="0051596E"/>
    <w:rsid w:val="00515C73"/>
    <w:rsid w:val="00515D17"/>
    <w:rsid w:val="005161F0"/>
    <w:rsid w:val="00516AB9"/>
    <w:rsid w:val="00517096"/>
    <w:rsid w:val="005173DE"/>
    <w:rsid w:val="005174AB"/>
    <w:rsid w:val="005174F2"/>
    <w:rsid w:val="00517CF3"/>
    <w:rsid w:val="00517F5F"/>
    <w:rsid w:val="00520131"/>
    <w:rsid w:val="005201C7"/>
    <w:rsid w:val="00520590"/>
    <w:rsid w:val="00520B86"/>
    <w:rsid w:val="00520BEB"/>
    <w:rsid w:val="00521F85"/>
    <w:rsid w:val="005227B9"/>
    <w:rsid w:val="00522E44"/>
    <w:rsid w:val="00522EDE"/>
    <w:rsid w:val="00523288"/>
    <w:rsid w:val="005233CD"/>
    <w:rsid w:val="00523D5B"/>
    <w:rsid w:val="00523E19"/>
    <w:rsid w:val="00523E2B"/>
    <w:rsid w:val="00523F06"/>
    <w:rsid w:val="00524216"/>
    <w:rsid w:val="0052426E"/>
    <w:rsid w:val="0052448B"/>
    <w:rsid w:val="005246E8"/>
    <w:rsid w:val="00524AE7"/>
    <w:rsid w:val="00524BEA"/>
    <w:rsid w:val="00524E1A"/>
    <w:rsid w:val="00524E26"/>
    <w:rsid w:val="00524EBC"/>
    <w:rsid w:val="00525454"/>
    <w:rsid w:val="005254BF"/>
    <w:rsid w:val="0052591F"/>
    <w:rsid w:val="00525C67"/>
    <w:rsid w:val="005260ED"/>
    <w:rsid w:val="005264C5"/>
    <w:rsid w:val="00526C30"/>
    <w:rsid w:val="00527157"/>
    <w:rsid w:val="00527253"/>
    <w:rsid w:val="005276B7"/>
    <w:rsid w:val="00527E71"/>
    <w:rsid w:val="00527F97"/>
    <w:rsid w:val="0053065E"/>
    <w:rsid w:val="00530688"/>
    <w:rsid w:val="005309D1"/>
    <w:rsid w:val="00530B07"/>
    <w:rsid w:val="00530EB6"/>
    <w:rsid w:val="00530FF0"/>
    <w:rsid w:val="0053125E"/>
    <w:rsid w:val="005316D6"/>
    <w:rsid w:val="0053176C"/>
    <w:rsid w:val="00531B44"/>
    <w:rsid w:val="00531CF8"/>
    <w:rsid w:val="00531E24"/>
    <w:rsid w:val="00532970"/>
    <w:rsid w:val="00532F2E"/>
    <w:rsid w:val="00532FD4"/>
    <w:rsid w:val="00533C5E"/>
    <w:rsid w:val="00534013"/>
    <w:rsid w:val="005346E3"/>
    <w:rsid w:val="00534F99"/>
    <w:rsid w:val="005351EA"/>
    <w:rsid w:val="0053567A"/>
    <w:rsid w:val="005357C1"/>
    <w:rsid w:val="00535EC4"/>
    <w:rsid w:val="005363BA"/>
    <w:rsid w:val="00536740"/>
    <w:rsid w:val="0053680E"/>
    <w:rsid w:val="0053715B"/>
    <w:rsid w:val="0053724A"/>
    <w:rsid w:val="00537275"/>
    <w:rsid w:val="00540D6A"/>
    <w:rsid w:val="005411EE"/>
    <w:rsid w:val="005416F4"/>
    <w:rsid w:val="0054188A"/>
    <w:rsid w:val="00541A1C"/>
    <w:rsid w:val="00541BB4"/>
    <w:rsid w:val="00541C44"/>
    <w:rsid w:val="00541D0A"/>
    <w:rsid w:val="005426A5"/>
    <w:rsid w:val="0054286F"/>
    <w:rsid w:val="00543030"/>
    <w:rsid w:val="00543477"/>
    <w:rsid w:val="005437BB"/>
    <w:rsid w:val="00543C76"/>
    <w:rsid w:val="00543D99"/>
    <w:rsid w:val="005440C3"/>
    <w:rsid w:val="00544196"/>
    <w:rsid w:val="00544A22"/>
    <w:rsid w:val="005455C4"/>
    <w:rsid w:val="0054582A"/>
    <w:rsid w:val="00545BD8"/>
    <w:rsid w:val="005467FB"/>
    <w:rsid w:val="005468CA"/>
    <w:rsid w:val="00546A65"/>
    <w:rsid w:val="00546AF0"/>
    <w:rsid w:val="00546C78"/>
    <w:rsid w:val="00546F79"/>
    <w:rsid w:val="005470FB"/>
    <w:rsid w:val="00547489"/>
    <w:rsid w:val="005474A0"/>
    <w:rsid w:val="005477DD"/>
    <w:rsid w:val="00547B14"/>
    <w:rsid w:val="00547F0E"/>
    <w:rsid w:val="00547F65"/>
    <w:rsid w:val="005500C3"/>
    <w:rsid w:val="0055080B"/>
    <w:rsid w:val="00550A6C"/>
    <w:rsid w:val="005511F3"/>
    <w:rsid w:val="00551C0D"/>
    <w:rsid w:val="005521B5"/>
    <w:rsid w:val="005522B5"/>
    <w:rsid w:val="005522C1"/>
    <w:rsid w:val="00552856"/>
    <w:rsid w:val="00552A3F"/>
    <w:rsid w:val="005534A8"/>
    <w:rsid w:val="005535D8"/>
    <w:rsid w:val="0055368D"/>
    <w:rsid w:val="00553E53"/>
    <w:rsid w:val="0055425A"/>
    <w:rsid w:val="00554B33"/>
    <w:rsid w:val="00554E7D"/>
    <w:rsid w:val="0055534F"/>
    <w:rsid w:val="005557F6"/>
    <w:rsid w:val="00555A03"/>
    <w:rsid w:val="00555A42"/>
    <w:rsid w:val="00555C4C"/>
    <w:rsid w:val="0055616D"/>
    <w:rsid w:val="00556621"/>
    <w:rsid w:val="0055699A"/>
    <w:rsid w:val="00556BFE"/>
    <w:rsid w:val="00556F50"/>
    <w:rsid w:val="005575C7"/>
    <w:rsid w:val="005576E5"/>
    <w:rsid w:val="005578CE"/>
    <w:rsid w:val="00557947"/>
    <w:rsid w:val="00557B13"/>
    <w:rsid w:val="00557D5E"/>
    <w:rsid w:val="0056002E"/>
    <w:rsid w:val="0056010C"/>
    <w:rsid w:val="00560680"/>
    <w:rsid w:val="00560D28"/>
    <w:rsid w:val="00561455"/>
    <w:rsid w:val="005617AC"/>
    <w:rsid w:val="00561A41"/>
    <w:rsid w:val="00561BA6"/>
    <w:rsid w:val="00561C15"/>
    <w:rsid w:val="00562044"/>
    <w:rsid w:val="00562177"/>
    <w:rsid w:val="0056292E"/>
    <w:rsid w:val="00562DEE"/>
    <w:rsid w:val="0056329D"/>
    <w:rsid w:val="00563796"/>
    <w:rsid w:val="00563B75"/>
    <w:rsid w:val="00563C1C"/>
    <w:rsid w:val="005640D9"/>
    <w:rsid w:val="00564271"/>
    <w:rsid w:val="0056472B"/>
    <w:rsid w:val="005652DB"/>
    <w:rsid w:val="00565338"/>
    <w:rsid w:val="00565552"/>
    <w:rsid w:val="0056591B"/>
    <w:rsid w:val="00565B82"/>
    <w:rsid w:val="00566145"/>
    <w:rsid w:val="005663B6"/>
    <w:rsid w:val="00566414"/>
    <w:rsid w:val="00566F30"/>
    <w:rsid w:val="005671D1"/>
    <w:rsid w:val="005674E7"/>
    <w:rsid w:val="00567D27"/>
    <w:rsid w:val="0057018B"/>
    <w:rsid w:val="005702A5"/>
    <w:rsid w:val="005707EB"/>
    <w:rsid w:val="00570D4C"/>
    <w:rsid w:val="00571046"/>
    <w:rsid w:val="00571048"/>
    <w:rsid w:val="0057147D"/>
    <w:rsid w:val="00571487"/>
    <w:rsid w:val="0057148B"/>
    <w:rsid w:val="005714B6"/>
    <w:rsid w:val="00571700"/>
    <w:rsid w:val="00571B3B"/>
    <w:rsid w:val="00571C85"/>
    <w:rsid w:val="00571E71"/>
    <w:rsid w:val="00572149"/>
    <w:rsid w:val="00572B7C"/>
    <w:rsid w:val="00572C74"/>
    <w:rsid w:val="0057318A"/>
    <w:rsid w:val="00573283"/>
    <w:rsid w:val="00573324"/>
    <w:rsid w:val="005735DA"/>
    <w:rsid w:val="00573AFE"/>
    <w:rsid w:val="00573B54"/>
    <w:rsid w:val="00574ADD"/>
    <w:rsid w:val="00574B58"/>
    <w:rsid w:val="00574D61"/>
    <w:rsid w:val="005752DC"/>
    <w:rsid w:val="00575550"/>
    <w:rsid w:val="00575B08"/>
    <w:rsid w:val="0057602F"/>
    <w:rsid w:val="00576042"/>
    <w:rsid w:val="00576A93"/>
    <w:rsid w:val="00576BC0"/>
    <w:rsid w:val="00576C13"/>
    <w:rsid w:val="00576D01"/>
    <w:rsid w:val="00576F13"/>
    <w:rsid w:val="00576F93"/>
    <w:rsid w:val="005771E7"/>
    <w:rsid w:val="005772C1"/>
    <w:rsid w:val="00577874"/>
    <w:rsid w:val="005779A1"/>
    <w:rsid w:val="005779E9"/>
    <w:rsid w:val="00577B92"/>
    <w:rsid w:val="00577F55"/>
    <w:rsid w:val="005803C6"/>
    <w:rsid w:val="00580410"/>
    <w:rsid w:val="0058052D"/>
    <w:rsid w:val="0058063C"/>
    <w:rsid w:val="00580650"/>
    <w:rsid w:val="00580AE1"/>
    <w:rsid w:val="00580DC0"/>
    <w:rsid w:val="0058219F"/>
    <w:rsid w:val="0058234E"/>
    <w:rsid w:val="005823E4"/>
    <w:rsid w:val="005825FB"/>
    <w:rsid w:val="00582681"/>
    <w:rsid w:val="0058292C"/>
    <w:rsid w:val="00582ECB"/>
    <w:rsid w:val="005830FD"/>
    <w:rsid w:val="0058334E"/>
    <w:rsid w:val="005834E3"/>
    <w:rsid w:val="005838A5"/>
    <w:rsid w:val="005838A7"/>
    <w:rsid w:val="0058393D"/>
    <w:rsid w:val="00584024"/>
    <w:rsid w:val="005842AB"/>
    <w:rsid w:val="00584894"/>
    <w:rsid w:val="00584B6F"/>
    <w:rsid w:val="00584D6B"/>
    <w:rsid w:val="00584E8E"/>
    <w:rsid w:val="00584F15"/>
    <w:rsid w:val="00585115"/>
    <w:rsid w:val="00585185"/>
    <w:rsid w:val="0058592E"/>
    <w:rsid w:val="0058593A"/>
    <w:rsid w:val="0058651C"/>
    <w:rsid w:val="005868BC"/>
    <w:rsid w:val="00586DEC"/>
    <w:rsid w:val="00586F68"/>
    <w:rsid w:val="00587172"/>
    <w:rsid w:val="00587204"/>
    <w:rsid w:val="00587546"/>
    <w:rsid w:val="00587C5F"/>
    <w:rsid w:val="00587E8B"/>
    <w:rsid w:val="0059034F"/>
    <w:rsid w:val="005905B3"/>
    <w:rsid w:val="005909B1"/>
    <w:rsid w:val="00590BB5"/>
    <w:rsid w:val="00590BD8"/>
    <w:rsid w:val="00590E78"/>
    <w:rsid w:val="0059135F"/>
    <w:rsid w:val="0059147A"/>
    <w:rsid w:val="00591716"/>
    <w:rsid w:val="00592144"/>
    <w:rsid w:val="0059233F"/>
    <w:rsid w:val="0059248C"/>
    <w:rsid w:val="005924F4"/>
    <w:rsid w:val="00592579"/>
    <w:rsid w:val="005925A0"/>
    <w:rsid w:val="005925E8"/>
    <w:rsid w:val="005927E8"/>
    <w:rsid w:val="00592C4E"/>
    <w:rsid w:val="0059304B"/>
    <w:rsid w:val="0059314B"/>
    <w:rsid w:val="005934C4"/>
    <w:rsid w:val="0059366C"/>
    <w:rsid w:val="005938A7"/>
    <w:rsid w:val="00593B6E"/>
    <w:rsid w:val="00593B82"/>
    <w:rsid w:val="00593C29"/>
    <w:rsid w:val="00594378"/>
    <w:rsid w:val="00594622"/>
    <w:rsid w:val="00594684"/>
    <w:rsid w:val="00595052"/>
    <w:rsid w:val="00595C7D"/>
    <w:rsid w:val="005961BC"/>
    <w:rsid w:val="005963F6"/>
    <w:rsid w:val="005968D2"/>
    <w:rsid w:val="00596B74"/>
    <w:rsid w:val="0059737B"/>
    <w:rsid w:val="005974DB"/>
    <w:rsid w:val="00597625"/>
    <w:rsid w:val="005976EC"/>
    <w:rsid w:val="005979CD"/>
    <w:rsid w:val="00597B7C"/>
    <w:rsid w:val="00597CD4"/>
    <w:rsid w:val="005A04A0"/>
    <w:rsid w:val="005A07AC"/>
    <w:rsid w:val="005A0E64"/>
    <w:rsid w:val="005A0EA3"/>
    <w:rsid w:val="005A1235"/>
    <w:rsid w:val="005A12C1"/>
    <w:rsid w:val="005A136C"/>
    <w:rsid w:val="005A14B3"/>
    <w:rsid w:val="005A1CD5"/>
    <w:rsid w:val="005A1FCD"/>
    <w:rsid w:val="005A22FA"/>
    <w:rsid w:val="005A243F"/>
    <w:rsid w:val="005A25B0"/>
    <w:rsid w:val="005A2C68"/>
    <w:rsid w:val="005A3176"/>
    <w:rsid w:val="005A354C"/>
    <w:rsid w:val="005A3E03"/>
    <w:rsid w:val="005A41F4"/>
    <w:rsid w:val="005A4475"/>
    <w:rsid w:val="005A4D95"/>
    <w:rsid w:val="005A4E68"/>
    <w:rsid w:val="005A5148"/>
    <w:rsid w:val="005A536C"/>
    <w:rsid w:val="005A555A"/>
    <w:rsid w:val="005A5AD7"/>
    <w:rsid w:val="005A5DAC"/>
    <w:rsid w:val="005A78A8"/>
    <w:rsid w:val="005A7DCC"/>
    <w:rsid w:val="005B018C"/>
    <w:rsid w:val="005B0494"/>
    <w:rsid w:val="005B0C0A"/>
    <w:rsid w:val="005B0D11"/>
    <w:rsid w:val="005B1C97"/>
    <w:rsid w:val="005B2017"/>
    <w:rsid w:val="005B2996"/>
    <w:rsid w:val="005B2A95"/>
    <w:rsid w:val="005B2BC1"/>
    <w:rsid w:val="005B2D55"/>
    <w:rsid w:val="005B2E2C"/>
    <w:rsid w:val="005B323E"/>
    <w:rsid w:val="005B376A"/>
    <w:rsid w:val="005B38C3"/>
    <w:rsid w:val="005B38E8"/>
    <w:rsid w:val="005B39D0"/>
    <w:rsid w:val="005B3A67"/>
    <w:rsid w:val="005B3D27"/>
    <w:rsid w:val="005B3F66"/>
    <w:rsid w:val="005B4280"/>
    <w:rsid w:val="005B465F"/>
    <w:rsid w:val="005B46C8"/>
    <w:rsid w:val="005B4915"/>
    <w:rsid w:val="005B4CBB"/>
    <w:rsid w:val="005B52C6"/>
    <w:rsid w:val="005B55C0"/>
    <w:rsid w:val="005B5904"/>
    <w:rsid w:val="005B5B19"/>
    <w:rsid w:val="005B6205"/>
    <w:rsid w:val="005B63F5"/>
    <w:rsid w:val="005B6593"/>
    <w:rsid w:val="005B67B5"/>
    <w:rsid w:val="005B6905"/>
    <w:rsid w:val="005B6BBE"/>
    <w:rsid w:val="005B7400"/>
    <w:rsid w:val="005B7435"/>
    <w:rsid w:val="005B7518"/>
    <w:rsid w:val="005B77A7"/>
    <w:rsid w:val="005B79E1"/>
    <w:rsid w:val="005B7B49"/>
    <w:rsid w:val="005B7E5F"/>
    <w:rsid w:val="005C044C"/>
    <w:rsid w:val="005C06DC"/>
    <w:rsid w:val="005C08FC"/>
    <w:rsid w:val="005C09A7"/>
    <w:rsid w:val="005C0AB2"/>
    <w:rsid w:val="005C0B34"/>
    <w:rsid w:val="005C1060"/>
    <w:rsid w:val="005C1959"/>
    <w:rsid w:val="005C1B35"/>
    <w:rsid w:val="005C1B6F"/>
    <w:rsid w:val="005C211C"/>
    <w:rsid w:val="005C25A7"/>
    <w:rsid w:val="005C2737"/>
    <w:rsid w:val="005C294D"/>
    <w:rsid w:val="005C2AC7"/>
    <w:rsid w:val="005C3497"/>
    <w:rsid w:val="005C35F0"/>
    <w:rsid w:val="005C3636"/>
    <w:rsid w:val="005C391A"/>
    <w:rsid w:val="005C3943"/>
    <w:rsid w:val="005C472C"/>
    <w:rsid w:val="005C48EF"/>
    <w:rsid w:val="005C4978"/>
    <w:rsid w:val="005C4A61"/>
    <w:rsid w:val="005C5150"/>
    <w:rsid w:val="005C5224"/>
    <w:rsid w:val="005C5336"/>
    <w:rsid w:val="005C535B"/>
    <w:rsid w:val="005C58C0"/>
    <w:rsid w:val="005C58D6"/>
    <w:rsid w:val="005C5ABC"/>
    <w:rsid w:val="005C5D20"/>
    <w:rsid w:val="005C5F4C"/>
    <w:rsid w:val="005C64F7"/>
    <w:rsid w:val="005C6B37"/>
    <w:rsid w:val="005C6CEE"/>
    <w:rsid w:val="005C6FF1"/>
    <w:rsid w:val="005C718B"/>
    <w:rsid w:val="005C72D6"/>
    <w:rsid w:val="005C72F8"/>
    <w:rsid w:val="005C734F"/>
    <w:rsid w:val="005C7852"/>
    <w:rsid w:val="005C78B9"/>
    <w:rsid w:val="005C7FD4"/>
    <w:rsid w:val="005D029E"/>
    <w:rsid w:val="005D0805"/>
    <w:rsid w:val="005D09E9"/>
    <w:rsid w:val="005D1356"/>
    <w:rsid w:val="005D1816"/>
    <w:rsid w:val="005D1A04"/>
    <w:rsid w:val="005D1B46"/>
    <w:rsid w:val="005D2188"/>
    <w:rsid w:val="005D22DA"/>
    <w:rsid w:val="005D27C0"/>
    <w:rsid w:val="005D2DB3"/>
    <w:rsid w:val="005D347C"/>
    <w:rsid w:val="005D34EF"/>
    <w:rsid w:val="005D39C1"/>
    <w:rsid w:val="005D3A0B"/>
    <w:rsid w:val="005D3F7C"/>
    <w:rsid w:val="005D4109"/>
    <w:rsid w:val="005D42D6"/>
    <w:rsid w:val="005D45A5"/>
    <w:rsid w:val="005D5338"/>
    <w:rsid w:val="005D542D"/>
    <w:rsid w:val="005D5585"/>
    <w:rsid w:val="005D5646"/>
    <w:rsid w:val="005D5997"/>
    <w:rsid w:val="005D5AF5"/>
    <w:rsid w:val="005D5C34"/>
    <w:rsid w:val="005D5D37"/>
    <w:rsid w:val="005D5D40"/>
    <w:rsid w:val="005D6408"/>
    <w:rsid w:val="005D667A"/>
    <w:rsid w:val="005D6696"/>
    <w:rsid w:val="005D66EF"/>
    <w:rsid w:val="005D67FA"/>
    <w:rsid w:val="005D6908"/>
    <w:rsid w:val="005D6CB7"/>
    <w:rsid w:val="005D752B"/>
    <w:rsid w:val="005D76F6"/>
    <w:rsid w:val="005D7813"/>
    <w:rsid w:val="005D7832"/>
    <w:rsid w:val="005D7C45"/>
    <w:rsid w:val="005D7E7C"/>
    <w:rsid w:val="005E075A"/>
    <w:rsid w:val="005E09D1"/>
    <w:rsid w:val="005E0AE5"/>
    <w:rsid w:val="005E0DFE"/>
    <w:rsid w:val="005E1114"/>
    <w:rsid w:val="005E1343"/>
    <w:rsid w:val="005E14FD"/>
    <w:rsid w:val="005E1871"/>
    <w:rsid w:val="005E191F"/>
    <w:rsid w:val="005E1B40"/>
    <w:rsid w:val="005E21E1"/>
    <w:rsid w:val="005E22BE"/>
    <w:rsid w:val="005E23CC"/>
    <w:rsid w:val="005E2684"/>
    <w:rsid w:val="005E2B70"/>
    <w:rsid w:val="005E2BF6"/>
    <w:rsid w:val="005E2D25"/>
    <w:rsid w:val="005E300C"/>
    <w:rsid w:val="005E3490"/>
    <w:rsid w:val="005E37E4"/>
    <w:rsid w:val="005E4231"/>
    <w:rsid w:val="005E4664"/>
    <w:rsid w:val="005E4A47"/>
    <w:rsid w:val="005E52F9"/>
    <w:rsid w:val="005E567D"/>
    <w:rsid w:val="005E57AE"/>
    <w:rsid w:val="005E5B60"/>
    <w:rsid w:val="005E6739"/>
    <w:rsid w:val="005E6809"/>
    <w:rsid w:val="005E689B"/>
    <w:rsid w:val="005E6FE1"/>
    <w:rsid w:val="005E70D2"/>
    <w:rsid w:val="005E7239"/>
    <w:rsid w:val="005E732B"/>
    <w:rsid w:val="005E7861"/>
    <w:rsid w:val="005E7CC6"/>
    <w:rsid w:val="005E7E4A"/>
    <w:rsid w:val="005F03DB"/>
    <w:rsid w:val="005F0544"/>
    <w:rsid w:val="005F05A4"/>
    <w:rsid w:val="005F0BF3"/>
    <w:rsid w:val="005F10A1"/>
    <w:rsid w:val="005F10FF"/>
    <w:rsid w:val="005F1EAA"/>
    <w:rsid w:val="005F22BD"/>
    <w:rsid w:val="005F2E4E"/>
    <w:rsid w:val="005F3038"/>
    <w:rsid w:val="005F3182"/>
    <w:rsid w:val="005F3269"/>
    <w:rsid w:val="005F410C"/>
    <w:rsid w:val="005F4127"/>
    <w:rsid w:val="005F44C1"/>
    <w:rsid w:val="005F48DC"/>
    <w:rsid w:val="005F4D6E"/>
    <w:rsid w:val="005F4D98"/>
    <w:rsid w:val="005F4E4A"/>
    <w:rsid w:val="005F5098"/>
    <w:rsid w:val="005F50D6"/>
    <w:rsid w:val="005F5766"/>
    <w:rsid w:val="005F585F"/>
    <w:rsid w:val="005F58EE"/>
    <w:rsid w:val="005F6438"/>
    <w:rsid w:val="005F653D"/>
    <w:rsid w:val="005F6543"/>
    <w:rsid w:val="005F6AC9"/>
    <w:rsid w:val="005F6B1C"/>
    <w:rsid w:val="005F7841"/>
    <w:rsid w:val="005F7A55"/>
    <w:rsid w:val="005F7E56"/>
    <w:rsid w:val="006006CA"/>
    <w:rsid w:val="0060091D"/>
    <w:rsid w:val="00600BD6"/>
    <w:rsid w:val="00600F8B"/>
    <w:rsid w:val="0060195F"/>
    <w:rsid w:val="00601D0A"/>
    <w:rsid w:val="006023EF"/>
    <w:rsid w:val="0060244C"/>
    <w:rsid w:val="00602830"/>
    <w:rsid w:val="00602951"/>
    <w:rsid w:val="00602E69"/>
    <w:rsid w:val="00603834"/>
    <w:rsid w:val="0060385E"/>
    <w:rsid w:val="00603F0A"/>
    <w:rsid w:val="0060429A"/>
    <w:rsid w:val="006048FE"/>
    <w:rsid w:val="00604C18"/>
    <w:rsid w:val="00604E8E"/>
    <w:rsid w:val="00605040"/>
    <w:rsid w:val="00605E4B"/>
    <w:rsid w:val="00605E78"/>
    <w:rsid w:val="00605FB9"/>
    <w:rsid w:val="00606037"/>
    <w:rsid w:val="006069BA"/>
    <w:rsid w:val="00606A72"/>
    <w:rsid w:val="00606CB5"/>
    <w:rsid w:val="00606F8C"/>
    <w:rsid w:val="006071B8"/>
    <w:rsid w:val="006076C9"/>
    <w:rsid w:val="00607776"/>
    <w:rsid w:val="00607839"/>
    <w:rsid w:val="00607A87"/>
    <w:rsid w:val="00607F11"/>
    <w:rsid w:val="00607FDD"/>
    <w:rsid w:val="00607FF3"/>
    <w:rsid w:val="0061029A"/>
    <w:rsid w:val="00610B55"/>
    <w:rsid w:val="00610BF8"/>
    <w:rsid w:val="006110CB"/>
    <w:rsid w:val="006110DA"/>
    <w:rsid w:val="006113A9"/>
    <w:rsid w:val="00611401"/>
    <w:rsid w:val="0061166A"/>
    <w:rsid w:val="006128CF"/>
    <w:rsid w:val="00612AB3"/>
    <w:rsid w:val="00612E64"/>
    <w:rsid w:val="00613C57"/>
    <w:rsid w:val="00613D8B"/>
    <w:rsid w:val="00614018"/>
    <w:rsid w:val="00614B61"/>
    <w:rsid w:val="00614C06"/>
    <w:rsid w:val="00615133"/>
    <w:rsid w:val="00616272"/>
    <w:rsid w:val="006164B2"/>
    <w:rsid w:val="00616F0B"/>
    <w:rsid w:val="0061724B"/>
    <w:rsid w:val="00617295"/>
    <w:rsid w:val="00617307"/>
    <w:rsid w:val="00617868"/>
    <w:rsid w:val="0061794B"/>
    <w:rsid w:val="00620E2A"/>
    <w:rsid w:val="00620EAA"/>
    <w:rsid w:val="006213CF"/>
    <w:rsid w:val="00621785"/>
    <w:rsid w:val="00621ADA"/>
    <w:rsid w:val="00621CDE"/>
    <w:rsid w:val="00621DA2"/>
    <w:rsid w:val="00622185"/>
    <w:rsid w:val="00622801"/>
    <w:rsid w:val="006228B4"/>
    <w:rsid w:val="00623324"/>
    <w:rsid w:val="00623420"/>
    <w:rsid w:val="006236AE"/>
    <w:rsid w:val="006236E6"/>
    <w:rsid w:val="00623A6E"/>
    <w:rsid w:val="00623ED3"/>
    <w:rsid w:val="00623F0C"/>
    <w:rsid w:val="00624267"/>
    <w:rsid w:val="006243AF"/>
    <w:rsid w:val="00624ABA"/>
    <w:rsid w:val="00624B7A"/>
    <w:rsid w:val="00624CB3"/>
    <w:rsid w:val="00624D2C"/>
    <w:rsid w:val="00624EBE"/>
    <w:rsid w:val="00625851"/>
    <w:rsid w:val="00625BF0"/>
    <w:rsid w:val="00625D3D"/>
    <w:rsid w:val="00625E50"/>
    <w:rsid w:val="00625FE2"/>
    <w:rsid w:val="00626524"/>
    <w:rsid w:val="006265E6"/>
    <w:rsid w:val="006267A2"/>
    <w:rsid w:val="00626956"/>
    <w:rsid w:val="00626F2D"/>
    <w:rsid w:val="00627019"/>
    <w:rsid w:val="0062720E"/>
    <w:rsid w:val="00627EC9"/>
    <w:rsid w:val="00627F63"/>
    <w:rsid w:val="00630404"/>
    <w:rsid w:val="00630697"/>
    <w:rsid w:val="00630705"/>
    <w:rsid w:val="00630B7C"/>
    <w:rsid w:val="00631687"/>
    <w:rsid w:val="0063171C"/>
    <w:rsid w:val="006317C3"/>
    <w:rsid w:val="00631B7B"/>
    <w:rsid w:val="00631D1A"/>
    <w:rsid w:val="00631FEE"/>
    <w:rsid w:val="00632621"/>
    <w:rsid w:val="006327C3"/>
    <w:rsid w:val="006329AD"/>
    <w:rsid w:val="00632D91"/>
    <w:rsid w:val="00632F6F"/>
    <w:rsid w:val="00633335"/>
    <w:rsid w:val="006334D0"/>
    <w:rsid w:val="0063356F"/>
    <w:rsid w:val="0063380B"/>
    <w:rsid w:val="0063381B"/>
    <w:rsid w:val="00634064"/>
    <w:rsid w:val="0063445E"/>
    <w:rsid w:val="0063463E"/>
    <w:rsid w:val="00634BE0"/>
    <w:rsid w:val="00634CC4"/>
    <w:rsid w:val="006354C9"/>
    <w:rsid w:val="0063581A"/>
    <w:rsid w:val="00635AC5"/>
    <w:rsid w:val="00635D5A"/>
    <w:rsid w:val="00636661"/>
    <w:rsid w:val="00636756"/>
    <w:rsid w:val="00636A68"/>
    <w:rsid w:val="00636DB0"/>
    <w:rsid w:val="00637490"/>
    <w:rsid w:val="00637732"/>
    <w:rsid w:val="0064018F"/>
    <w:rsid w:val="00640207"/>
    <w:rsid w:val="006408C1"/>
    <w:rsid w:val="0064090E"/>
    <w:rsid w:val="00640AF5"/>
    <w:rsid w:val="00640E44"/>
    <w:rsid w:val="00640F2C"/>
    <w:rsid w:val="00641246"/>
    <w:rsid w:val="00641405"/>
    <w:rsid w:val="00641DB6"/>
    <w:rsid w:val="0064249B"/>
    <w:rsid w:val="0064293A"/>
    <w:rsid w:val="006431D8"/>
    <w:rsid w:val="0064326F"/>
    <w:rsid w:val="00643507"/>
    <w:rsid w:val="0064362F"/>
    <w:rsid w:val="0064397C"/>
    <w:rsid w:val="00643C61"/>
    <w:rsid w:val="00643F58"/>
    <w:rsid w:val="00644151"/>
    <w:rsid w:val="00644577"/>
    <w:rsid w:val="0064483B"/>
    <w:rsid w:val="00644A16"/>
    <w:rsid w:val="00644AAA"/>
    <w:rsid w:val="00644EAE"/>
    <w:rsid w:val="006453B8"/>
    <w:rsid w:val="00645D42"/>
    <w:rsid w:val="00645D70"/>
    <w:rsid w:val="00645E1A"/>
    <w:rsid w:val="00645FED"/>
    <w:rsid w:val="006460A9"/>
    <w:rsid w:val="00646616"/>
    <w:rsid w:val="00646C09"/>
    <w:rsid w:val="00646DCE"/>
    <w:rsid w:val="006470A1"/>
    <w:rsid w:val="00647958"/>
    <w:rsid w:val="006479D8"/>
    <w:rsid w:val="00647E06"/>
    <w:rsid w:val="0065012C"/>
    <w:rsid w:val="00650172"/>
    <w:rsid w:val="006501DC"/>
    <w:rsid w:val="006509EB"/>
    <w:rsid w:val="00650B20"/>
    <w:rsid w:val="00650FFA"/>
    <w:rsid w:val="00651197"/>
    <w:rsid w:val="006511CD"/>
    <w:rsid w:val="00651338"/>
    <w:rsid w:val="0065144E"/>
    <w:rsid w:val="0065152B"/>
    <w:rsid w:val="00651FB4"/>
    <w:rsid w:val="006521B5"/>
    <w:rsid w:val="006524D3"/>
    <w:rsid w:val="006527C6"/>
    <w:rsid w:val="00652909"/>
    <w:rsid w:val="00652F79"/>
    <w:rsid w:val="006531BB"/>
    <w:rsid w:val="006534DE"/>
    <w:rsid w:val="00653525"/>
    <w:rsid w:val="0065373F"/>
    <w:rsid w:val="00653F10"/>
    <w:rsid w:val="00653F59"/>
    <w:rsid w:val="00654073"/>
    <w:rsid w:val="00654300"/>
    <w:rsid w:val="00654FBF"/>
    <w:rsid w:val="00655018"/>
    <w:rsid w:val="006553FC"/>
    <w:rsid w:val="00655C51"/>
    <w:rsid w:val="006568BE"/>
    <w:rsid w:val="00656C6A"/>
    <w:rsid w:val="00656D69"/>
    <w:rsid w:val="00656F3B"/>
    <w:rsid w:val="006574D8"/>
    <w:rsid w:val="0065795C"/>
    <w:rsid w:val="00657C2D"/>
    <w:rsid w:val="00657E7E"/>
    <w:rsid w:val="00660358"/>
    <w:rsid w:val="006605E2"/>
    <w:rsid w:val="00660F79"/>
    <w:rsid w:val="006610DA"/>
    <w:rsid w:val="006618F1"/>
    <w:rsid w:val="00661C3F"/>
    <w:rsid w:val="00661DD7"/>
    <w:rsid w:val="00661DEE"/>
    <w:rsid w:val="00662207"/>
    <w:rsid w:val="00662459"/>
    <w:rsid w:val="00662606"/>
    <w:rsid w:val="006626C9"/>
    <w:rsid w:val="00662823"/>
    <w:rsid w:val="00662DCD"/>
    <w:rsid w:val="00662F49"/>
    <w:rsid w:val="00663314"/>
    <w:rsid w:val="00663B69"/>
    <w:rsid w:val="00664789"/>
    <w:rsid w:val="006647B0"/>
    <w:rsid w:val="006649B6"/>
    <w:rsid w:val="00664F16"/>
    <w:rsid w:val="006650FD"/>
    <w:rsid w:val="0066534C"/>
    <w:rsid w:val="0066550A"/>
    <w:rsid w:val="00665560"/>
    <w:rsid w:val="0066579C"/>
    <w:rsid w:val="00665AB6"/>
    <w:rsid w:val="00666033"/>
    <w:rsid w:val="006662EA"/>
    <w:rsid w:val="00666888"/>
    <w:rsid w:val="006669EF"/>
    <w:rsid w:val="00666FF1"/>
    <w:rsid w:val="00667244"/>
    <w:rsid w:val="006673E4"/>
    <w:rsid w:val="0066750E"/>
    <w:rsid w:val="0066753A"/>
    <w:rsid w:val="00667D37"/>
    <w:rsid w:val="00667D90"/>
    <w:rsid w:val="00670824"/>
    <w:rsid w:val="00670B29"/>
    <w:rsid w:val="00670F60"/>
    <w:rsid w:val="006715DE"/>
    <w:rsid w:val="006718CE"/>
    <w:rsid w:val="00672135"/>
    <w:rsid w:val="00672193"/>
    <w:rsid w:val="00672BB7"/>
    <w:rsid w:val="00672E95"/>
    <w:rsid w:val="006735E7"/>
    <w:rsid w:val="0067373E"/>
    <w:rsid w:val="00673838"/>
    <w:rsid w:val="00673ADA"/>
    <w:rsid w:val="00673B39"/>
    <w:rsid w:val="00673CA6"/>
    <w:rsid w:val="00673CF5"/>
    <w:rsid w:val="0067451A"/>
    <w:rsid w:val="006747B8"/>
    <w:rsid w:val="0067490A"/>
    <w:rsid w:val="00674A3F"/>
    <w:rsid w:val="00675742"/>
    <w:rsid w:val="00675CF1"/>
    <w:rsid w:val="00676749"/>
    <w:rsid w:val="00676757"/>
    <w:rsid w:val="006768AE"/>
    <w:rsid w:val="00677576"/>
    <w:rsid w:val="00677BCB"/>
    <w:rsid w:val="006804AC"/>
    <w:rsid w:val="00680A48"/>
    <w:rsid w:val="006810AA"/>
    <w:rsid w:val="006810E3"/>
    <w:rsid w:val="00681132"/>
    <w:rsid w:val="00681175"/>
    <w:rsid w:val="006813FF"/>
    <w:rsid w:val="0068152C"/>
    <w:rsid w:val="00681AF9"/>
    <w:rsid w:val="00681B55"/>
    <w:rsid w:val="00681C41"/>
    <w:rsid w:val="00681C8A"/>
    <w:rsid w:val="00682218"/>
    <w:rsid w:val="00682CDD"/>
    <w:rsid w:val="00682D04"/>
    <w:rsid w:val="00682E21"/>
    <w:rsid w:val="006831C5"/>
    <w:rsid w:val="00683618"/>
    <w:rsid w:val="00683691"/>
    <w:rsid w:val="0068412B"/>
    <w:rsid w:val="0068438D"/>
    <w:rsid w:val="00684A6A"/>
    <w:rsid w:val="00684A99"/>
    <w:rsid w:val="00685C2A"/>
    <w:rsid w:val="00685F6E"/>
    <w:rsid w:val="006860EA"/>
    <w:rsid w:val="00686779"/>
    <w:rsid w:val="00687B81"/>
    <w:rsid w:val="00687E3B"/>
    <w:rsid w:val="00687E52"/>
    <w:rsid w:val="006900F0"/>
    <w:rsid w:val="0069023E"/>
    <w:rsid w:val="0069057E"/>
    <w:rsid w:val="0069086E"/>
    <w:rsid w:val="00690C57"/>
    <w:rsid w:val="00691603"/>
    <w:rsid w:val="006916B2"/>
    <w:rsid w:val="0069175B"/>
    <w:rsid w:val="006918C2"/>
    <w:rsid w:val="00691C96"/>
    <w:rsid w:val="0069214D"/>
    <w:rsid w:val="006922B7"/>
    <w:rsid w:val="006924A4"/>
    <w:rsid w:val="00692A14"/>
    <w:rsid w:val="00692D08"/>
    <w:rsid w:val="00692EB0"/>
    <w:rsid w:val="006930D9"/>
    <w:rsid w:val="006935F5"/>
    <w:rsid w:val="006936A3"/>
    <w:rsid w:val="00693892"/>
    <w:rsid w:val="006940D0"/>
    <w:rsid w:val="00694115"/>
    <w:rsid w:val="00694242"/>
    <w:rsid w:val="00694277"/>
    <w:rsid w:val="006944DB"/>
    <w:rsid w:val="006946D9"/>
    <w:rsid w:val="006947BD"/>
    <w:rsid w:val="00694A02"/>
    <w:rsid w:val="00694AA3"/>
    <w:rsid w:val="006950F0"/>
    <w:rsid w:val="006953E6"/>
    <w:rsid w:val="006958B5"/>
    <w:rsid w:val="006959E8"/>
    <w:rsid w:val="00695C55"/>
    <w:rsid w:val="00696115"/>
    <w:rsid w:val="0069615F"/>
    <w:rsid w:val="0069660F"/>
    <w:rsid w:val="0069669A"/>
    <w:rsid w:val="0069731F"/>
    <w:rsid w:val="0069752D"/>
    <w:rsid w:val="00697762"/>
    <w:rsid w:val="00697804"/>
    <w:rsid w:val="006979DC"/>
    <w:rsid w:val="00697E30"/>
    <w:rsid w:val="00697ED3"/>
    <w:rsid w:val="006A0010"/>
    <w:rsid w:val="006A001A"/>
    <w:rsid w:val="006A0237"/>
    <w:rsid w:val="006A073F"/>
    <w:rsid w:val="006A0946"/>
    <w:rsid w:val="006A0AB0"/>
    <w:rsid w:val="006A0C56"/>
    <w:rsid w:val="006A132A"/>
    <w:rsid w:val="006A139F"/>
    <w:rsid w:val="006A15B7"/>
    <w:rsid w:val="006A17DB"/>
    <w:rsid w:val="006A2330"/>
    <w:rsid w:val="006A2627"/>
    <w:rsid w:val="006A288E"/>
    <w:rsid w:val="006A2A91"/>
    <w:rsid w:val="006A2BBC"/>
    <w:rsid w:val="006A3674"/>
    <w:rsid w:val="006A36A6"/>
    <w:rsid w:val="006A395C"/>
    <w:rsid w:val="006A39F8"/>
    <w:rsid w:val="006A4352"/>
    <w:rsid w:val="006A4B81"/>
    <w:rsid w:val="006A5158"/>
    <w:rsid w:val="006A52BA"/>
    <w:rsid w:val="006A52F2"/>
    <w:rsid w:val="006A5912"/>
    <w:rsid w:val="006A5BBB"/>
    <w:rsid w:val="006A5F88"/>
    <w:rsid w:val="006A6109"/>
    <w:rsid w:val="006A639A"/>
    <w:rsid w:val="006A67D8"/>
    <w:rsid w:val="006A6892"/>
    <w:rsid w:val="006A68F5"/>
    <w:rsid w:val="006A6985"/>
    <w:rsid w:val="006A6AAD"/>
    <w:rsid w:val="006A6B67"/>
    <w:rsid w:val="006A6BD3"/>
    <w:rsid w:val="006A6CDC"/>
    <w:rsid w:val="006A772A"/>
    <w:rsid w:val="006A7A36"/>
    <w:rsid w:val="006A7A8B"/>
    <w:rsid w:val="006B0034"/>
    <w:rsid w:val="006B04AC"/>
    <w:rsid w:val="006B0693"/>
    <w:rsid w:val="006B0AE9"/>
    <w:rsid w:val="006B11E1"/>
    <w:rsid w:val="006B1472"/>
    <w:rsid w:val="006B15C9"/>
    <w:rsid w:val="006B175D"/>
    <w:rsid w:val="006B1948"/>
    <w:rsid w:val="006B2090"/>
    <w:rsid w:val="006B222F"/>
    <w:rsid w:val="006B2239"/>
    <w:rsid w:val="006B24C3"/>
    <w:rsid w:val="006B2C59"/>
    <w:rsid w:val="006B2DF1"/>
    <w:rsid w:val="006B3318"/>
    <w:rsid w:val="006B33FC"/>
    <w:rsid w:val="006B3664"/>
    <w:rsid w:val="006B37BD"/>
    <w:rsid w:val="006B37C6"/>
    <w:rsid w:val="006B3E4B"/>
    <w:rsid w:val="006B4150"/>
    <w:rsid w:val="006B4580"/>
    <w:rsid w:val="006B4762"/>
    <w:rsid w:val="006B4875"/>
    <w:rsid w:val="006B4DA7"/>
    <w:rsid w:val="006B542B"/>
    <w:rsid w:val="006B55E6"/>
    <w:rsid w:val="006B5638"/>
    <w:rsid w:val="006B58F2"/>
    <w:rsid w:val="006B5B25"/>
    <w:rsid w:val="006B5EA0"/>
    <w:rsid w:val="006B63F3"/>
    <w:rsid w:val="006B6F93"/>
    <w:rsid w:val="006B70E8"/>
    <w:rsid w:val="006B7660"/>
    <w:rsid w:val="006B79C6"/>
    <w:rsid w:val="006B7DAE"/>
    <w:rsid w:val="006B7E00"/>
    <w:rsid w:val="006B7E45"/>
    <w:rsid w:val="006C0250"/>
    <w:rsid w:val="006C0544"/>
    <w:rsid w:val="006C0FB1"/>
    <w:rsid w:val="006C1061"/>
    <w:rsid w:val="006C16C8"/>
    <w:rsid w:val="006C17B4"/>
    <w:rsid w:val="006C1E6B"/>
    <w:rsid w:val="006C21C6"/>
    <w:rsid w:val="006C2C8B"/>
    <w:rsid w:val="006C30C8"/>
    <w:rsid w:val="006C359F"/>
    <w:rsid w:val="006C3A18"/>
    <w:rsid w:val="006C3CDA"/>
    <w:rsid w:val="006C429C"/>
    <w:rsid w:val="006C4912"/>
    <w:rsid w:val="006C5111"/>
    <w:rsid w:val="006C52F3"/>
    <w:rsid w:val="006C560A"/>
    <w:rsid w:val="006C5A10"/>
    <w:rsid w:val="006C5CE5"/>
    <w:rsid w:val="006C683C"/>
    <w:rsid w:val="006C6ED5"/>
    <w:rsid w:val="006C7587"/>
    <w:rsid w:val="006C75E6"/>
    <w:rsid w:val="006C78D3"/>
    <w:rsid w:val="006C79CC"/>
    <w:rsid w:val="006D0106"/>
    <w:rsid w:val="006D0949"/>
    <w:rsid w:val="006D0AD9"/>
    <w:rsid w:val="006D10E8"/>
    <w:rsid w:val="006D1141"/>
    <w:rsid w:val="006D1462"/>
    <w:rsid w:val="006D149C"/>
    <w:rsid w:val="006D19E0"/>
    <w:rsid w:val="006D1D7E"/>
    <w:rsid w:val="006D2153"/>
    <w:rsid w:val="006D28B6"/>
    <w:rsid w:val="006D2985"/>
    <w:rsid w:val="006D2991"/>
    <w:rsid w:val="006D2C05"/>
    <w:rsid w:val="006D3CF3"/>
    <w:rsid w:val="006D3D94"/>
    <w:rsid w:val="006D3F51"/>
    <w:rsid w:val="006D41B8"/>
    <w:rsid w:val="006D43F9"/>
    <w:rsid w:val="006D46CA"/>
    <w:rsid w:val="006D4DBC"/>
    <w:rsid w:val="006D4DD0"/>
    <w:rsid w:val="006D527E"/>
    <w:rsid w:val="006D54C5"/>
    <w:rsid w:val="006D5753"/>
    <w:rsid w:val="006D5A23"/>
    <w:rsid w:val="006D5AB5"/>
    <w:rsid w:val="006D5C72"/>
    <w:rsid w:val="006D625D"/>
    <w:rsid w:val="006D626E"/>
    <w:rsid w:val="006D6BA8"/>
    <w:rsid w:val="006D6CAC"/>
    <w:rsid w:val="006D6D63"/>
    <w:rsid w:val="006D7238"/>
    <w:rsid w:val="006D753C"/>
    <w:rsid w:val="006D788F"/>
    <w:rsid w:val="006D78D7"/>
    <w:rsid w:val="006D7AD2"/>
    <w:rsid w:val="006D7C37"/>
    <w:rsid w:val="006D7CFB"/>
    <w:rsid w:val="006D7DEA"/>
    <w:rsid w:val="006D7F45"/>
    <w:rsid w:val="006D7FD8"/>
    <w:rsid w:val="006E0081"/>
    <w:rsid w:val="006E0CC0"/>
    <w:rsid w:val="006E1093"/>
    <w:rsid w:val="006E1259"/>
    <w:rsid w:val="006E1865"/>
    <w:rsid w:val="006E20EE"/>
    <w:rsid w:val="006E233C"/>
    <w:rsid w:val="006E254C"/>
    <w:rsid w:val="006E27CE"/>
    <w:rsid w:val="006E29B7"/>
    <w:rsid w:val="006E29C6"/>
    <w:rsid w:val="006E2F55"/>
    <w:rsid w:val="006E2F90"/>
    <w:rsid w:val="006E2FEC"/>
    <w:rsid w:val="006E3EFF"/>
    <w:rsid w:val="006E43D1"/>
    <w:rsid w:val="006E47F3"/>
    <w:rsid w:val="006E4C90"/>
    <w:rsid w:val="006E4E6B"/>
    <w:rsid w:val="006E5BC5"/>
    <w:rsid w:val="006E62B1"/>
    <w:rsid w:val="006E64F0"/>
    <w:rsid w:val="006E699A"/>
    <w:rsid w:val="006E71CA"/>
    <w:rsid w:val="006E7589"/>
    <w:rsid w:val="006E780E"/>
    <w:rsid w:val="006E797D"/>
    <w:rsid w:val="006E7D43"/>
    <w:rsid w:val="006EA90B"/>
    <w:rsid w:val="006F0214"/>
    <w:rsid w:val="006F076A"/>
    <w:rsid w:val="006F07D4"/>
    <w:rsid w:val="006F0965"/>
    <w:rsid w:val="006F0AB1"/>
    <w:rsid w:val="006F129B"/>
    <w:rsid w:val="006F1606"/>
    <w:rsid w:val="006F16DF"/>
    <w:rsid w:val="006F1813"/>
    <w:rsid w:val="006F186B"/>
    <w:rsid w:val="006F1BAC"/>
    <w:rsid w:val="006F1FE0"/>
    <w:rsid w:val="006F22ED"/>
    <w:rsid w:val="006F2319"/>
    <w:rsid w:val="006F274A"/>
    <w:rsid w:val="006F2A59"/>
    <w:rsid w:val="006F3233"/>
    <w:rsid w:val="006F33A2"/>
    <w:rsid w:val="006F3FD4"/>
    <w:rsid w:val="006F40D6"/>
    <w:rsid w:val="006F4307"/>
    <w:rsid w:val="006F457A"/>
    <w:rsid w:val="006F45F5"/>
    <w:rsid w:val="006F4795"/>
    <w:rsid w:val="006F47BC"/>
    <w:rsid w:val="006F4908"/>
    <w:rsid w:val="006F4C60"/>
    <w:rsid w:val="006F4F27"/>
    <w:rsid w:val="006F53A1"/>
    <w:rsid w:val="006F5FDB"/>
    <w:rsid w:val="006F6769"/>
    <w:rsid w:val="006F6A3F"/>
    <w:rsid w:val="006F6ACE"/>
    <w:rsid w:val="006F6CFC"/>
    <w:rsid w:val="006F6E38"/>
    <w:rsid w:val="006F7687"/>
    <w:rsid w:val="006F7D0E"/>
    <w:rsid w:val="006F7EA3"/>
    <w:rsid w:val="006F7F2D"/>
    <w:rsid w:val="006F7F34"/>
    <w:rsid w:val="00700772"/>
    <w:rsid w:val="00700A8C"/>
    <w:rsid w:val="00700CD2"/>
    <w:rsid w:val="00700E9C"/>
    <w:rsid w:val="00701382"/>
    <w:rsid w:val="0070146B"/>
    <w:rsid w:val="007016C7"/>
    <w:rsid w:val="00701836"/>
    <w:rsid w:val="00701961"/>
    <w:rsid w:val="00703105"/>
    <w:rsid w:val="007033F4"/>
    <w:rsid w:val="0070347F"/>
    <w:rsid w:val="007036D6"/>
    <w:rsid w:val="00703CFB"/>
    <w:rsid w:val="00703D3F"/>
    <w:rsid w:val="007041B1"/>
    <w:rsid w:val="00704484"/>
    <w:rsid w:val="007047B7"/>
    <w:rsid w:val="007048EE"/>
    <w:rsid w:val="00704BC0"/>
    <w:rsid w:val="00704CA8"/>
    <w:rsid w:val="00704DBA"/>
    <w:rsid w:val="00704E39"/>
    <w:rsid w:val="007051A2"/>
    <w:rsid w:val="007052C9"/>
    <w:rsid w:val="00705A1B"/>
    <w:rsid w:val="00705C44"/>
    <w:rsid w:val="00705C9B"/>
    <w:rsid w:val="00705F16"/>
    <w:rsid w:val="0070603D"/>
    <w:rsid w:val="00706312"/>
    <w:rsid w:val="007066ED"/>
    <w:rsid w:val="00706965"/>
    <w:rsid w:val="00706A24"/>
    <w:rsid w:val="00706B0E"/>
    <w:rsid w:val="00706EAB"/>
    <w:rsid w:val="00706F96"/>
    <w:rsid w:val="0070708B"/>
    <w:rsid w:val="007070CD"/>
    <w:rsid w:val="00707119"/>
    <w:rsid w:val="00707251"/>
    <w:rsid w:val="00707853"/>
    <w:rsid w:val="007102B6"/>
    <w:rsid w:val="00710310"/>
    <w:rsid w:val="007103BF"/>
    <w:rsid w:val="00710877"/>
    <w:rsid w:val="00710C2B"/>
    <w:rsid w:val="00710F16"/>
    <w:rsid w:val="00711422"/>
    <w:rsid w:val="00711574"/>
    <w:rsid w:val="00711711"/>
    <w:rsid w:val="007117E8"/>
    <w:rsid w:val="0071186C"/>
    <w:rsid w:val="0071191D"/>
    <w:rsid w:val="00711F8A"/>
    <w:rsid w:val="0071214C"/>
    <w:rsid w:val="007122E2"/>
    <w:rsid w:val="0071247A"/>
    <w:rsid w:val="0071274D"/>
    <w:rsid w:val="00712D1F"/>
    <w:rsid w:val="00713366"/>
    <w:rsid w:val="00713378"/>
    <w:rsid w:val="007133B1"/>
    <w:rsid w:val="007133C5"/>
    <w:rsid w:val="0071358B"/>
    <w:rsid w:val="00713B4F"/>
    <w:rsid w:val="00713D2C"/>
    <w:rsid w:val="0071455D"/>
    <w:rsid w:val="00714774"/>
    <w:rsid w:val="00715751"/>
    <w:rsid w:val="0071594E"/>
    <w:rsid w:val="00715A48"/>
    <w:rsid w:val="00716451"/>
    <w:rsid w:val="0071649C"/>
    <w:rsid w:val="007164BE"/>
    <w:rsid w:val="0071664D"/>
    <w:rsid w:val="00716685"/>
    <w:rsid w:val="00716911"/>
    <w:rsid w:val="00716AC6"/>
    <w:rsid w:val="00716BD6"/>
    <w:rsid w:val="00716ED2"/>
    <w:rsid w:val="0071749B"/>
    <w:rsid w:val="00717975"/>
    <w:rsid w:val="00717E2E"/>
    <w:rsid w:val="007203C4"/>
    <w:rsid w:val="007206A2"/>
    <w:rsid w:val="00720AE9"/>
    <w:rsid w:val="00720D95"/>
    <w:rsid w:val="00720FA0"/>
    <w:rsid w:val="00721364"/>
    <w:rsid w:val="00721446"/>
    <w:rsid w:val="00721ACB"/>
    <w:rsid w:val="00721B19"/>
    <w:rsid w:val="00721E84"/>
    <w:rsid w:val="00721EB1"/>
    <w:rsid w:val="00721ECC"/>
    <w:rsid w:val="007220D6"/>
    <w:rsid w:val="007225FA"/>
    <w:rsid w:val="00722D73"/>
    <w:rsid w:val="00722FA7"/>
    <w:rsid w:val="00723BBB"/>
    <w:rsid w:val="00723D49"/>
    <w:rsid w:val="007241E0"/>
    <w:rsid w:val="00724341"/>
    <w:rsid w:val="00724C4D"/>
    <w:rsid w:val="00724CE9"/>
    <w:rsid w:val="0072522C"/>
    <w:rsid w:val="00725386"/>
    <w:rsid w:val="00725AC9"/>
    <w:rsid w:val="00725B75"/>
    <w:rsid w:val="00725E6A"/>
    <w:rsid w:val="0072688F"/>
    <w:rsid w:val="00726A1F"/>
    <w:rsid w:val="00726AC5"/>
    <w:rsid w:val="00726F59"/>
    <w:rsid w:val="0072735B"/>
    <w:rsid w:val="00727E96"/>
    <w:rsid w:val="007308EB"/>
    <w:rsid w:val="00730A1B"/>
    <w:rsid w:val="00731208"/>
    <w:rsid w:val="00731261"/>
    <w:rsid w:val="007313B8"/>
    <w:rsid w:val="00731479"/>
    <w:rsid w:val="0073167B"/>
    <w:rsid w:val="00731A09"/>
    <w:rsid w:val="00731D88"/>
    <w:rsid w:val="00732400"/>
    <w:rsid w:val="007326F0"/>
    <w:rsid w:val="007327A2"/>
    <w:rsid w:val="007328C7"/>
    <w:rsid w:val="00732BB4"/>
    <w:rsid w:val="00732C81"/>
    <w:rsid w:val="007335A7"/>
    <w:rsid w:val="007336DE"/>
    <w:rsid w:val="00733C75"/>
    <w:rsid w:val="00733CC8"/>
    <w:rsid w:val="00734107"/>
    <w:rsid w:val="007348F4"/>
    <w:rsid w:val="00734C4C"/>
    <w:rsid w:val="00734F8D"/>
    <w:rsid w:val="007354CB"/>
    <w:rsid w:val="007355CC"/>
    <w:rsid w:val="007357EB"/>
    <w:rsid w:val="00735840"/>
    <w:rsid w:val="00735E12"/>
    <w:rsid w:val="00735F50"/>
    <w:rsid w:val="0073612A"/>
    <w:rsid w:val="007368CD"/>
    <w:rsid w:val="00736D10"/>
    <w:rsid w:val="00736EB6"/>
    <w:rsid w:val="0073782B"/>
    <w:rsid w:val="007379DE"/>
    <w:rsid w:val="00737D78"/>
    <w:rsid w:val="00740117"/>
    <w:rsid w:val="00740145"/>
    <w:rsid w:val="007402B7"/>
    <w:rsid w:val="00740396"/>
    <w:rsid w:val="007407B3"/>
    <w:rsid w:val="00740CB6"/>
    <w:rsid w:val="0074118A"/>
    <w:rsid w:val="00741552"/>
    <w:rsid w:val="00741C1C"/>
    <w:rsid w:val="00741C90"/>
    <w:rsid w:val="007420A2"/>
    <w:rsid w:val="007426F2"/>
    <w:rsid w:val="00742B43"/>
    <w:rsid w:val="007431EA"/>
    <w:rsid w:val="007433ED"/>
    <w:rsid w:val="007437E5"/>
    <w:rsid w:val="00744079"/>
    <w:rsid w:val="007442AA"/>
    <w:rsid w:val="00744413"/>
    <w:rsid w:val="00744755"/>
    <w:rsid w:val="00744915"/>
    <w:rsid w:val="00745461"/>
    <w:rsid w:val="00745E14"/>
    <w:rsid w:val="00745FFE"/>
    <w:rsid w:val="0074647D"/>
    <w:rsid w:val="007465CE"/>
    <w:rsid w:val="007467CE"/>
    <w:rsid w:val="00746936"/>
    <w:rsid w:val="00746BD9"/>
    <w:rsid w:val="00746F2F"/>
    <w:rsid w:val="007476D8"/>
    <w:rsid w:val="0074775E"/>
    <w:rsid w:val="007479B8"/>
    <w:rsid w:val="007479C2"/>
    <w:rsid w:val="00747C18"/>
    <w:rsid w:val="0075046B"/>
    <w:rsid w:val="007505DF"/>
    <w:rsid w:val="007505F5"/>
    <w:rsid w:val="007506B0"/>
    <w:rsid w:val="007507F0"/>
    <w:rsid w:val="00750DB3"/>
    <w:rsid w:val="00750DF6"/>
    <w:rsid w:val="00750F79"/>
    <w:rsid w:val="007518B5"/>
    <w:rsid w:val="00751B93"/>
    <w:rsid w:val="0075276A"/>
    <w:rsid w:val="00752B60"/>
    <w:rsid w:val="00752B6B"/>
    <w:rsid w:val="00752D8A"/>
    <w:rsid w:val="00752DF7"/>
    <w:rsid w:val="007531B2"/>
    <w:rsid w:val="00753A8F"/>
    <w:rsid w:val="007542D9"/>
    <w:rsid w:val="0075452A"/>
    <w:rsid w:val="00754547"/>
    <w:rsid w:val="007548B2"/>
    <w:rsid w:val="00754EF0"/>
    <w:rsid w:val="00755B44"/>
    <w:rsid w:val="00755C98"/>
    <w:rsid w:val="00756042"/>
    <w:rsid w:val="007563F8"/>
    <w:rsid w:val="00756638"/>
    <w:rsid w:val="0075672E"/>
    <w:rsid w:val="00756CB4"/>
    <w:rsid w:val="0075742F"/>
    <w:rsid w:val="007578E9"/>
    <w:rsid w:val="0076021C"/>
    <w:rsid w:val="007602E5"/>
    <w:rsid w:val="00760315"/>
    <w:rsid w:val="007603C9"/>
    <w:rsid w:val="007604F5"/>
    <w:rsid w:val="0076057A"/>
    <w:rsid w:val="00760863"/>
    <w:rsid w:val="0076134C"/>
    <w:rsid w:val="007616BB"/>
    <w:rsid w:val="0076259D"/>
    <w:rsid w:val="0076262D"/>
    <w:rsid w:val="00762964"/>
    <w:rsid w:val="00762A4E"/>
    <w:rsid w:val="00762D32"/>
    <w:rsid w:val="00762E23"/>
    <w:rsid w:val="00762E72"/>
    <w:rsid w:val="0076315B"/>
    <w:rsid w:val="00763495"/>
    <w:rsid w:val="007638FD"/>
    <w:rsid w:val="00763C5A"/>
    <w:rsid w:val="00763CED"/>
    <w:rsid w:val="007641CD"/>
    <w:rsid w:val="0076422F"/>
    <w:rsid w:val="00764376"/>
    <w:rsid w:val="007645C8"/>
    <w:rsid w:val="00764914"/>
    <w:rsid w:val="0076536A"/>
    <w:rsid w:val="007653F8"/>
    <w:rsid w:val="00765E92"/>
    <w:rsid w:val="007661EA"/>
    <w:rsid w:val="007662B9"/>
    <w:rsid w:val="0076636E"/>
    <w:rsid w:val="007664DA"/>
    <w:rsid w:val="00766536"/>
    <w:rsid w:val="00766D36"/>
    <w:rsid w:val="00766D8F"/>
    <w:rsid w:val="00766F25"/>
    <w:rsid w:val="007670FD"/>
    <w:rsid w:val="00767466"/>
    <w:rsid w:val="0076783A"/>
    <w:rsid w:val="00767B62"/>
    <w:rsid w:val="00767B89"/>
    <w:rsid w:val="007701A4"/>
    <w:rsid w:val="0077021E"/>
    <w:rsid w:val="007707C9"/>
    <w:rsid w:val="00770888"/>
    <w:rsid w:val="00770D71"/>
    <w:rsid w:val="00771004"/>
    <w:rsid w:val="00771150"/>
    <w:rsid w:val="007714EE"/>
    <w:rsid w:val="00771592"/>
    <w:rsid w:val="007715EF"/>
    <w:rsid w:val="00771894"/>
    <w:rsid w:val="00771D2F"/>
    <w:rsid w:val="00771D41"/>
    <w:rsid w:val="007725DB"/>
    <w:rsid w:val="00772B56"/>
    <w:rsid w:val="00772C3F"/>
    <w:rsid w:val="007730F5"/>
    <w:rsid w:val="00773576"/>
    <w:rsid w:val="00773FD9"/>
    <w:rsid w:val="007743E5"/>
    <w:rsid w:val="00774A1C"/>
    <w:rsid w:val="00774AA4"/>
    <w:rsid w:val="00774D8D"/>
    <w:rsid w:val="007754D0"/>
    <w:rsid w:val="0077553B"/>
    <w:rsid w:val="00775801"/>
    <w:rsid w:val="00775808"/>
    <w:rsid w:val="00775A3C"/>
    <w:rsid w:val="00776290"/>
    <w:rsid w:val="007763EA"/>
    <w:rsid w:val="00776BE1"/>
    <w:rsid w:val="00776CE1"/>
    <w:rsid w:val="00777094"/>
    <w:rsid w:val="00777540"/>
    <w:rsid w:val="007776AD"/>
    <w:rsid w:val="00777DA2"/>
    <w:rsid w:val="00777F2C"/>
    <w:rsid w:val="00780685"/>
    <w:rsid w:val="00780A85"/>
    <w:rsid w:val="00780AD3"/>
    <w:rsid w:val="00780B80"/>
    <w:rsid w:val="00780C1F"/>
    <w:rsid w:val="00781202"/>
    <w:rsid w:val="007812BC"/>
    <w:rsid w:val="00781A67"/>
    <w:rsid w:val="00781DF0"/>
    <w:rsid w:val="00782179"/>
    <w:rsid w:val="00782370"/>
    <w:rsid w:val="00782CF5"/>
    <w:rsid w:val="00782D51"/>
    <w:rsid w:val="00782D86"/>
    <w:rsid w:val="00783861"/>
    <w:rsid w:val="007838BD"/>
    <w:rsid w:val="00783A75"/>
    <w:rsid w:val="00783E01"/>
    <w:rsid w:val="00783FE4"/>
    <w:rsid w:val="007846A1"/>
    <w:rsid w:val="00784B6E"/>
    <w:rsid w:val="00784F1A"/>
    <w:rsid w:val="007852CE"/>
    <w:rsid w:val="0078538F"/>
    <w:rsid w:val="00785731"/>
    <w:rsid w:val="00785CD2"/>
    <w:rsid w:val="00786916"/>
    <w:rsid w:val="00786AEF"/>
    <w:rsid w:val="00786EB3"/>
    <w:rsid w:val="00787739"/>
    <w:rsid w:val="00787BCE"/>
    <w:rsid w:val="00787C2E"/>
    <w:rsid w:val="00787E2C"/>
    <w:rsid w:val="00787F9F"/>
    <w:rsid w:val="00790A28"/>
    <w:rsid w:val="00790E04"/>
    <w:rsid w:val="00790FBF"/>
    <w:rsid w:val="00790FE4"/>
    <w:rsid w:val="0079121F"/>
    <w:rsid w:val="0079153D"/>
    <w:rsid w:val="00791934"/>
    <w:rsid w:val="00791AE5"/>
    <w:rsid w:val="00791C9B"/>
    <w:rsid w:val="007921D7"/>
    <w:rsid w:val="0079240B"/>
    <w:rsid w:val="0079245C"/>
    <w:rsid w:val="007926A2"/>
    <w:rsid w:val="00792F25"/>
    <w:rsid w:val="007930C0"/>
    <w:rsid w:val="00793172"/>
    <w:rsid w:val="007932E4"/>
    <w:rsid w:val="007934FB"/>
    <w:rsid w:val="007935D4"/>
    <w:rsid w:val="007937D3"/>
    <w:rsid w:val="00793E26"/>
    <w:rsid w:val="00794274"/>
    <w:rsid w:val="007943E1"/>
    <w:rsid w:val="0079451F"/>
    <w:rsid w:val="007947FB"/>
    <w:rsid w:val="00794D14"/>
    <w:rsid w:val="00794E3C"/>
    <w:rsid w:val="00794E6E"/>
    <w:rsid w:val="00794F08"/>
    <w:rsid w:val="00795361"/>
    <w:rsid w:val="007957E6"/>
    <w:rsid w:val="00795B18"/>
    <w:rsid w:val="00795D0D"/>
    <w:rsid w:val="00795E24"/>
    <w:rsid w:val="007960E2"/>
    <w:rsid w:val="007961F5"/>
    <w:rsid w:val="007962C2"/>
    <w:rsid w:val="00796810"/>
    <w:rsid w:val="00796A55"/>
    <w:rsid w:val="00796CBE"/>
    <w:rsid w:val="00796E32"/>
    <w:rsid w:val="007975CD"/>
    <w:rsid w:val="0079786F"/>
    <w:rsid w:val="00797AC4"/>
    <w:rsid w:val="00797D46"/>
    <w:rsid w:val="00797ECB"/>
    <w:rsid w:val="007A0016"/>
    <w:rsid w:val="007A0142"/>
    <w:rsid w:val="007A0731"/>
    <w:rsid w:val="007A0A15"/>
    <w:rsid w:val="007A0BED"/>
    <w:rsid w:val="007A0D5A"/>
    <w:rsid w:val="007A179F"/>
    <w:rsid w:val="007A17D4"/>
    <w:rsid w:val="007A2203"/>
    <w:rsid w:val="007A2362"/>
    <w:rsid w:val="007A262E"/>
    <w:rsid w:val="007A28AE"/>
    <w:rsid w:val="007A2A7D"/>
    <w:rsid w:val="007A2B50"/>
    <w:rsid w:val="007A2C41"/>
    <w:rsid w:val="007A2EEA"/>
    <w:rsid w:val="007A2F50"/>
    <w:rsid w:val="007A3AE1"/>
    <w:rsid w:val="007A3B60"/>
    <w:rsid w:val="007A3C1F"/>
    <w:rsid w:val="007A3E6D"/>
    <w:rsid w:val="007A3FB8"/>
    <w:rsid w:val="007A4489"/>
    <w:rsid w:val="007A466C"/>
    <w:rsid w:val="007A4835"/>
    <w:rsid w:val="007A4BD4"/>
    <w:rsid w:val="007A4CD3"/>
    <w:rsid w:val="007A4DB7"/>
    <w:rsid w:val="007A567C"/>
    <w:rsid w:val="007A5DED"/>
    <w:rsid w:val="007A6125"/>
    <w:rsid w:val="007A690E"/>
    <w:rsid w:val="007A6C71"/>
    <w:rsid w:val="007A70F4"/>
    <w:rsid w:val="007A7887"/>
    <w:rsid w:val="007A7971"/>
    <w:rsid w:val="007B02C9"/>
    <w:rsid w:val="007B0FA8"/>
    <w:rsid w:val="007B117F"/>
    <w:rsid w:val="007B142F"/>
    <w:rsid w:val="007B16DC"/>
    <w:rsid w:val="007B1A18"/>
    <w:rsid w:val="007B2092"/>
    <w:rsid w:val="007B216F"/>
    <w:rsid w:val="007B255C"/>
    <w:rsid w:val="007B27A1"/>
    <w:rsid w:val="007B29B4"/>
    <w:rsid w:val="007B2C60"/>
    <w:rsid w:val="007B2CC0"/>
    <w:rsid w:val="007B2D06"/>
    <w:rsid w:val="007B2D41"/>
    <w:rsid w:val="007B2E9A"/>
    <w:rsid w:val="007B344C"/>
    <w:rsid w:val="007B351D"/>
    <w:rsid w:val="007B3AFB"/>
    <w:rsid w:val="007B3FD8"/>
    <w:rsid w:val="007B47D0"/>
    <w:rsid w:val="007B480F"/>
    <w:rsid w:val="007B4D4E"/>
    <w:rsid w:val="007B4DB8"/>
    <w:rsid w:val="007B51B7"/>
    <w:rsid w:val="007B51C9"/>
    <w:rsid w:val="007B5779"/>
    <w:rsid w:val="007B5991"/>
    <w:rsid w:val="007B6273"/>
    <w:rsid w:val="007B6606"/>
    <w:rsid w:val="007B691B"/>
    <w:rsid w:val="007B699A"/>
    <w:rsid w:val="007B69CE"/>
    <w:rsid w:val="007B71DF"/>
    <w:rsid w:val="007B73E1"/>
    <w:rsid w:val="007B75FB"/>
    <w:rsid w:val="007B7665"/>
    <w:rsid w:val="007B78B6"/>
    <w:rsid w:val="007C0174"/>
    <w:rsid w:val="007C13BA"/>
    <w:rsid w:val="007C13DB"/>
    <w:rsid w:val="007C17EB"/>
    <w:rsid w:val="007C1954"/>
    <w:rsid w:val="007C1BA3"/>
    <w:rsid w:val="007C1E05"/>
    <w:rsid w:val="007C259F"/>
    <w:rsid w:val="007C2909"/>
    <w:rsid w:val="007C3076"/>
    <w:rsid w:val="007C3857"/>
    <w:rsid w:val="007C3A7B"/>
    <w:rsid w:val="007C3ACF"/>
    <w:rsid w:val="007C3BA5"/>
    <w:rsid w:val="007C3F7B"/>
    <w:rsid w:val="007C40B8"/>
    <w:rsid w:val="007C4791"/>
    <w:rsid w:val="007C48F6"/>
    <w:rsid w:val="007C4F58"/>
    <w:rsid w:val="007C575C"/>
    <w:rsid w:val="007C5FA7"/>
    <w:rsid w:val="007C602C"/>
    <w:rsid w:val="007C6211"/>
    <w:rsid w:val="007C63BC"/>
    <w:rsid w:val="007C66E7"/>
    <w:rsid w:val="007C676D"/>
    <w:rsid w:val="007C67CE"/>
    <w:rsid w:val="007C6952"/>
    <w:rsid w:val="007C70A8"/>
    <w:rsid w:val="007C7229"/>
    <w:rsid w:val="007C7281"/>
    <w:rsid w:val="007C76DD"/>
    <w:rsid w:val="007C778B"/>
    <w:rsid w:val="007C78F3"/>
    <w:rsid w:val="007C7B8F"/>
    <w:rsid w:val="007C7C0D"/>
    <w:rsid w:val="007C7ED4"/>
    <w:rsid w:val="007C7FBA"/>
    <w:rsid w:val="007D0116"/>
    <w:rsid w:val="007D01EE"/>
    <w:rsid w:val="007D02D6"/>
    <w:rsid w:val="007D0472"/>
    <w:rsid w:val="007D0854"/>
    <w:rsid w:val="007D09B3"/>
    <w:rsid w:val="007D0A02"/>
    <w:rsid w:val="007D0DC7"/>
    <w:rsid w:val="007D10F8"/>
    <w:rsid w:val="007D11EA"/>
    <w:rsid w:val="007D1414"/>
    <w:rsid w:val="007D1481"/>
    <w:rsid w:val="007D17AD"/>
    <w:rsid w:val="007D17F4"/>
    <w:rsid w:val="007D1B97"/>
    <w:rsid w:val="007D1D8B"/>
    <w:rsid w:val="007D222E"/>
    <w:rsid w:val="007D2321"/>
    <w:rsid w:val="007D2B23"/>
    <w:rsid w:val="007D3D41"/>
    <w:rsid w:val="007D435A"/>
    <w:rsid w:val="007D4E29"/>
    <w:rsid w:val="007D5078"/>
    <w:rsid w:val="007D5085"/>
    <w:rsid w:val="007D600F"/>
    <w:rsid w:val="007D6134"/>
    <w:rsid w:val="007D61AF"/>
    <w:rsid w:val="007D62E7"/>
    <w:rsid w:val="007D64EC"/>
    <w:rsid w:val="007D6ACB"/>
    <w:rsid w:val="007D6B0D"/>
    <w:rsid w:val="007D6BAD"/>
    <w:rsid w:val="007D6F31"/>
    <w:rsid w:val="007D7098"/>
    <w:rsid w:val="007D733F"/>
    <w:rsid w:val="007D7342"/>
    <w:rsid w:val="007D782A"/>
    <w:rsid w:val="007D7949"/>
    <w:rsid w:val="007D7E6C"/>
    <w:rsid w:val="007E0891"/>
    <w:rsid w:val="007E0D29"/>
    <w:rsid w:val="007E0F0F"/>
    <w:rsid w:val="007E0F53"/>
    <w:rsid w:val="007E104A"/>
    <w:rsid w:val="007E1235"/>
    <w:rsid w:val="007E1AA6"/>
    <w:rsid w:val="007E2858"/>
    <w:rsid w:val="007E28C4"/>
    <w:rsid w:val="007E2C89"/>
    <w:rsid w:val="007E2CE3"/>
    <w:rsid w:val="007E3388"/>
    <w:rsid w:val="007E33F6"/>
    <w:rsid w:val="007E35A4"/>
    <w:rsid w:val="007E37A0"/>
    <w:rsid w:val="007E3AB4"/>
    <w:rsid w:val="007E3EF4"/>
    <w:rsid w:val="007E3EFB"/>
    <w:rsid w:val="007E3F25"/>
    <w:rsid w:val="007E45DB"/>
    <w:rsid w:val="007E47D2"/>
    <w:rsid w:val="007E498D"/>
    <w:rsid w:val="007E4B44"/>
    <w:rsid w:val="007E4B91"/>
    <w:rsid w:val="007E4BF9"/>
    <w:rsid w:val="007E54AE"/>
    <w:rsid w:val="007E5965"/>
    <w:rsid w:val="007E5B8A"/>
    <w:rsid w:val="007E5C59"/>
    <w:rsid w:val="007E5EE6"/>
    <w:rsid w:val="007E624A"/>
    <w:rsid w:val="007E624B"/>
    <w:rsid w:val="007E6FBF"/>
    <w:rsid w:val="007E70E3"/>
    <w:rsid w:val="007E725C"/>
    <w:rsid w:val="007E7E42"/>
    <w:rsid w:val="007E7E80"/>
    <w:rsid w:val="007E7ECC"/>
    <w:rsid w:val="007E7EDD"/>
    <w:rsid w:val="007F0047"/>
    <w:rsid w:val="007F0055"/>
    <w:rsid w:val="007F0214"/>
    <w:rsid w:val="007F1347"/>
    <w:rsid w:val="007F1464"/>
    <w:rsid w:val="007F19BF"/>
    <w:rsid w:val="007F1B7B"/>
    <w:rsid w:val="007F1F6B"/>
    <w:rsid w:val="007F2131"/>
    <w:rsid w:val="007F21BE"/>
    <w:rsid w:val="007F229B"/>
    <w:rsid w:val="007F252C"/>
    <w:rsid w:val="007F2EFF"/>
    <w:rsid w:val="007F2F18"/>
    <w:rsid w:val="007F351E"/>
    <w:rsid w:val="007F3802"/>
    <w:rsid w:val="007F427A"/>
    <w:rsid w:val="007F4454"/>
    <w:rsid w:val="007F4908"/>
    <w:rsid w:val="007F4D5C"/>
    <w:rsid w:val="007F5BB7"/>
    <w:rsid w:val="007F673D"/>
    <w:rsid w:val="007F6842"/>
    <w:rsid w:val="007F7315"/>
    <w:rsid w:val="007F7A8C"/>
    <w:rsid w:val="0080073C"/>
    <w:rsid w:val="0080097F"/>
    <w:rsid w:val="008009A6"/>
    <w:rsid w:val="00800D30"/>
    <w:rsid w:val="00800D87"/>
    <w:rsid w:val="00800DA1"/>
    <w:rsid w:val="00800EC2"/>
    <w:rsid w:val="0080118F"/>
    <w:rsid w:val="00801625"/>
    <w:rsid w:val="00801E5B"/>
    <w:rsid w:val="00801F1D"/>
    <w:rsid w:val="00802029"/>
    <w:rsid w:val="00802052"/>
    <w:rsid w:val="00802250"/>
    <w:rsid w:val="008026B5"/>
    <w:rsid w:val="00802785"/>
    <w:rsid w:val="00802847"/>
    <w:rsid w:val="008030D0"/>
    <w:rsid w:val="008032CA"/>
    <w:rsid w:val="00803342"/>
    <w:rsid w:val="00803826"/>
    <w:rsid w:val="00803A68"/>
    <w:rsid w:val="0080410A"/>
    <w:rsid w:val="00804357"/>
    <w:rsid w:val="00804699"/>
    <w:rsid w:val="00804A92"/>
    <w:rsid w:val="00804CBF"/>
    <w:rsid w:val="0080538D"/>
    <w:rsid w:val="008058AC"/>
    <w:rsid w:val="008059AF"/>
    <w:rsid w:val="008059CD"/>
    <w:rsid w:val="00805D01"/>
    <w:rsid w:val="008065BC"/>
    <w:rsid w:val="00806671"/>
    <w:rsid w:val="0080686F"/>
    <w:rsid w:val="00806A6C"/>
    <w:rsid w:val="00807708"/>
    <w:rsid w:val="0080773E"/>
    <w:rsid w:val="00807785"/>
    <w:rsid w:val="00807881"/>
    <w:rsid w:val="00807BA6"/>
    <w:rsid w:val="00807ECC"/>
    <w:rsid w:val="008102AA"/>
    <w:rsid w:val="00811785"/>
    <w:rsid w:val="008123BF"/>
    <w:rsid w:val="008124A4"/>
    <w:rsid w:val="00812590"/>
    <w:rsid w:val="00812A38"/>
    <w:rsid w:val="00812FFE"/>
    <w:rsid w:val="00813277"/>
    <w:rsid w:val="008132F0"/>
    <w:rsid w:val="00813745"/>
    <w:rsid w:val="00813CF8"/>
    <w:rsid w:val="00813F48"/>
    <w:rsid w:val="00813F99"/>
    <w:rsid w:val="00814466"/>
    <w:rsid w:val="00814B93"/>
    <w:rsid w:val="00814F4B"/>
    <w:rsid w:val="00815C86"/>
    <w:rsid w:val="00815D69"/>
    <w:rsid w:val="008160FB"/>
    <w:rsid w:val="00816420"/>
    <w:rsid w:val="0081673B"/>
    <w:rsid w:val="00816A5B"/>
    <w:rsid w:val="00816B88"/>
    <w:rsid w:val="00816EAD"/>
    <w:rsid w:val="00817576"/>
    <w:rsid w:val="00817592"/>
    <w:rsid w:val="00817BF3"/>
    <w:rsid w:val="00817D42"/>
    <w:rsid w:val="00817E45"/>
    <w:rsid w:val="008200A0"/>
    <w:rsid w:val="0082058A"/>
    <w:rsid w:val="008206B4"/>
    <w:rsid w:val="008209B2"/>
    <w:rsid w:val="00820AED"/>
    <w:rsid w:val="00820B83"/>
    <w:rsid w:val="00820C75"/>
    <w:rsid w:val="00820EB9"/>
    <w:rsid w:val="00820F96"/>
    <w:rsid w:val="008211BF"/>
    <w:rsid w:val="00821A95"/>
    <w:rsid w:val="00821D4E"/>
    <w:rsid w:val="00822643"/>
    <w:rsid w:val="0082278F"/>
    <w:rsid w:val="00822D7D"/>
    <w:rsid w:val="008230C3"/>
    <w:rsid w:val="00823228"/>
    <w:rsid w:val="00823FFB"/>
    <w:rsid w:val="008242C2"/>
    <w:rsid w:val="008244DF"/>
    <w:rsid w:val="0082457D"/>
    <w:rsid w:val="00824D61"/>
    <w:rsid w:val="00824F23"/>
    <w:rsid w:val="0082514A"/>
    <w:rsid w:val="008251C2"/>
    <w:rsid w:val="008252ED"/>
    <w:rsid w:val="0082557F"/>
    <w:rsid w:val="00825797"/>
    <w:rsid w:val="00825835"/>
    <w:rsid w:val="00825A96"/>
    <w:rsid w:val="00825B57"/>
    <w:rsid w:val="00825FA5"/>
    <w:rsid w:val="008261D5"/>
    <w:rsid w:val="00826290"/>
    <w:rsid w:val="00826821"/>
    <w:rsid w:val="00826C8C"/>
    <w:rsid w:val="00826FDF"/>
    <w:rsid w:val="00827154"/>
    <w:rsid w:val="00827551"/>
    <w:rsid w:val="0083003E"/>
    <w:rsid w:val="008300C5"/>
    <w:rsid w:val="00830238"/>
    <w:rsid w:val="00830CB9"/>
    <w:rsid w:val="00830EC9"/>
    <w:rsid w:val="00830F34"/>
    <w:rsid w:val="00831353"/>
    <w:rsid w:val="00831C40"/>
    <w:rsid w:val="00831C9F"/>
    <w:rsid w:val="00831D11"/>
    <w:rsid w:val="00832495"/>
    <w:rsid w:val="0083257B"/>
    <w:rsid w:val="0083267A"/>
    <w:rsid w:val="00832721"/>
    <w:rsid w:val="00832A62"/>
    <w:rsid w:val="00832A88"/>
    <w:rsid w:val="00832D6D"/>
    <w:rsid w:val="00832D75"/>
    <w:rsid w:val="00832F49"/>
    <w:rsid w:val="00832FAA"/>
    <w:rsid w:val="00833105"/>
    <w:rsid w:val="008336ED"/>
    <w:rsid w:val="00833883"/>
    <w:rsid w:val="0083390A"/>
    <w:rsid w:val="00833A33"/>
    <w:rsid w:val="00833CE9"/>
    <w:rsid w:val="00833E50"/>
    <w:rsid w:val="008344EC"/>
    <w:rsid w:val="008348D6"/>
    <w:rsid w:val="00834B16"/>
    <w:rsid w:val="00834B1B"/>
    <w:rsid w:val="00834C80"/>
    <w:rsid w:val="00835122"/>
    <w:rsid w:val="00835597"/>
    <w:rsid w:val="00835781"/>
    <w:rsid w:val="00835820"/>
    <w:rsid w:val="0083605B"/>
    <w:rsid w:val="0083657A"/>
    <w:rsid w:val="008366A5"/>
    <w:rsid w:val="00836957"/>
    <w:rsid w:val="00836978"/>
    <w:rsid w:val="00836DF5"/>
    <w:rsid w:val="008374EB"/>
    <w:rsid w:val="0083756C"/>
    <w:rsid w:val="00837894"/>
    <w:rsid w:val="00837963"/>
    <w:rsid w:val="00837F16"/>
    <w:rsid w:val="0084008A"/>
    <w:rsid w:val="0084027E"/>
    <w:rsid w:val="0084044F"/>
    <w:rsid w:val="00840731"/>
    <w:rsid w:val="00840E12"/>
    <w:rsid w:val="00840EB0"/>
    <w:rsid w:val="0084191A"/>
    <w:rsid w:val="0084197D"/>
    <w:rsid w:val="00841BE3"/>
    <w:rsid w:val="00841DA0"/>
    <w:rsid w:val="0084241B"/>
    <w:rsid w:val="00842A3A"/>
    <w:rsid w:val="00842CE6"/>
    <w:rsid w:val="00842D8C"/>
    <w:rsid w:val="00842ED0"/>
    <w:rsid w:val="00842EED"/>
    <w:rsid w:val="00843003"/>
    <w:rsid w:val="008433E1"/>
    <w:rsid w:val="00843659"/>
    <w:rsid w:val="00843847"/>
    <w:rsid w:val="008438B4"/>
    <w:rsid w:val="00843AC9"/>
    <w:rsid w:val="008441BA"/>
    <w:rsid w:val="008441BF"/>
    <w:rsid w:val="008441E0"/>
    <w:rsid w:val="00844C44"/>
    <w:rsid w:val="00844DC4"/>
    <w:rsid w:val="00845762"/>
    <w:rsid w:val="008459AB"/>
    <w:rsid w:val="00845A5D"/>
    <w:rsid w:val="00845E24"/>
    <w:rsid w:val="00845F7F"/>
    <w:rsid w:val="0084636B"/>
    <w:rsid w:val="008463D2"/>
    <w:rsid w:val="00846620"/>
    <w:rsid w:val="0084692E"/>
    <w:rsid w:val="00846C7B"/>
    <w:rsid w:val="00846F56"/>
    <w:rsid w:val="008476DF"/>
    <w:rsid w:val="00847B59"/>
    <w:rsid w:val="00847CBD"/>
    <w:rsid w:val="00847F7A"/>
    <w:rsid w:val="0085019C"/>
    <w:rsid w:val="0085060F"/>
    <w:rsid w:val="00850767"/>
    <w:rsid w:val="0085097F"/>
    <w:rsid w:val="0085129C"/>
    <w:rsid w:val="008513BF"/>
    <w:rsid w:val="008514DC"/>
    <w:rsid w:val="0085171E"/>
    <w:rsid w:val="00851CCE"/>
    <w:rsid w:val="00851D20"/>
    <w:rsid w:val="00851F5E"/>
    <w:rsid w:val="00852616"/>
    <w:rsid w:val="00852811"/>
    <w:rsid w:val="00852847"/>
    <w:rsid w:val="00852A39"/>
    <w:rsid w:val="00852ADF"/>
    <w:rsid w:val="00852C2F"/>
    <w:rsid w:val="00852D6F"/>
    <w:rsid w:val="00853237"/>
    <w:rsid w:val="00853512"/>
    <w:rsid w:val="0085381F"/>
    <w:rsid w:val="0085396A"/>
    <w:rsid w:val="00853ABD"/>
    <w:rsid w:val="00853F41"/>
    <w:rsid w:val="00854171"/>
    <w:rsid w:val="0085419F"/>
    <w:rsid w:val="008543DD"/>
    <w:rsid w:val="008544CD"/>
    <w:rsid w:val="00854A2D"/>
    <w:rsid w:val="008550A6"/>
    <w:rsid w:val="008558A9"/>
    <w:rsid w:val="00855B9A"/>
    <w:rsid w:val="00856649"/>
    <w:rsid w:val="00856C5A"/>
    <w:rsid w:val="008572D2"/>
    <w:rsid w:val="00857478"/>
    <w:rsid w:val="00857555"/>
    <w:rsid w:val="008579F4"/>
    <w:rsid w:val="00857C33"/>
    <w:rsid w:val="00860185"/>
    <w:rsid w:val="008604F9"/>
    <w:rsid w:val="0086058E"/>
    <w:rsid w:val="00860ABD"/>
    <w:rsid w:val="00860CFA"/>
    <w:rsid w:val="008610D9"/>
    <w:rsid w:val="00861250"/>
    <w:rsid w:val="008615FD"/>
    <w:rsid w:val="00861665"/>
    <w:rsid w:val="00861B73"/>
    <w:rsid w:val="0086218D"/>
    <w:rsid w:val="008623E4"/>
    <w:rsid w:val="00862679"/>
    <w:rsid w:val="00862A2C"/>
    <w:rsid w:val="00862A3C"/>
    <w:rsid w:val="00862AE8"/>
    <w:rsid w:val="00862B4D"/>
    <w:rsid w:val="00862E1B"/>
    <w:rsid w:val="00862FB2"/>
    <w:rsid w:val="008631DF"/>
    <w:rsid w:val="00863B83"/>
    <w:rsid w:val="00863C52"/>
    <w:rsid w:val="00863D87"/>
    <w:rsid w:val="00864ADC"/>
    <w:rsid w:val="00865093"/>
    <w:rsid w:val="008656EB"/>
    <w:rsid w:val="00865733"/>
    <w:rsid w:val="0086577F"/>
    <w:rsid w:val="00865DFB"/>
    <w:rsid w:val="00866058"/>
    <w:rsid w:val="0086653D"/>
    <w:rsid w:val="008665E5"/>
    <w:rsid w:val="00866F10"/>
    <w:rsid w:val="00867AED"/>
    <w:rsid w:val="00867B1D"/>
    <w:rsid w:val="00867B5B"/>
    <w:rsid w:val="00867D21"/>
    <w:rsid w:val="00867E78"/>
    <w:rsid w:val="00870540"/>
    <w:rsid w:val="008705F2"/>
    <w:rsid w:val="0087079D"/>
    <w:rsid w:val="00870DC6"/>
    <w:rsid w:val="00870EC8"/>
    <w:rsid w:val="00870FA7"/>
    <w:rsid w:val="00870FA8"/>
    <w:rsid w:val="00871257"/>
    <w:rsid w:val="0087137F"/>
    <w:rsid w:val="008714FD"/>
    <w:rsid w:val="00872036"/>
    <w:rsid w:val="00872261"/>
    <w:rsid w:val="00872507"/>
    <w:rsid w:val="00872DE5"/>
    <w:rsid w:val="008737B8"/>
    <w:rsid w:val="00873CC5"/>
    <w:rsid w:val="00874141"/>
    <w:rsid w:val="0087476A"/>
    <w:rsid w:val="008747E5"/>
    <w:rsid w:val="00874889"/>
    <w:rsid w:val="00874C80"/>
    <w:rsid w:val="00875242"/>
    <w:rsid w:val="008759CA"/>
    <w:rsid w:val="00875BF4"/>
    <w:rsid w:val="00876023"/>
    <w:rsid w:val="00876BF2"/>
    <w:rsid w:val="00877650"/>
    <w:rsid w:val="00877F93"/>
    <w:rsid w:val="00877FDE"/>
    <w:rsid w:val="00878221"/>
    <w:rsid w:val="008802E5"/>
    <w:rsid w:val="00880433"/>
    <w:rsid w:val="008807B0"/>
    <w:rsid w:val="00880915"/>
    <w:rsid w:val="00880B30"/>
    <w:rsid w:val="008810C8"/>
    <w:rsid w:val="00881404"/>
    <w:rsid w:val="0088163C"/>
    <w:rsid w:val="00881791"/>
    <w:rsid w:val="00881B83"/>
    <w:rsid w:val="00881F35"/>
    <w:rsid w:val="00882195"/>
    <w:rsid w:val="00882469"/>
    <w:rsid w:val="008827F0"/>
    <w:rsid w:val="00882AFF"/>
    <w:rsid w:val="00882B16"/>
    <w:rsid w:val="00882C36"/>
    <w:rsid w:val="00882EC0"/>
    <w:rsid w:val="00883825"/>
    <w:rsid w:val="00883B77"/>
    <w:rsid w:val="008841DD"/>
    <w:rsid w:val="00884A8F"/>
    <w:rsid w:val="00885352"/>
    <w:rsid w:val="0088565B"/>
    <w:rsid w:val="00886091"/>
    <w:rsid w:val="008863C9"/>
    <w:rsid w:val="0088694C"/>
    <w:rsid w:val="008869E3"/>
    <w:rsid w:val="0088723E"/>
    <w:rsid w:val="008873B6"/>
    <w:rsid w:val="008873F8"/>
    <w:rsid w:val="00887803"/>
    <w:rsid w:val="008879C3"/>
    <w:rsid w:val="00887AA8"/>
    <w:rsid w:val="00890503"/>
    <w:rsid w:val="008911B3"/>
    <w:rsid w:val="008916A5"/>
    <w:rsid w:val="00891959"/>
    <w:rsid w:val="00891A05"/>
    <w:rsid w:val="00892AFA"/>
    <w:rsid w:val="00892BA6"/>
    <w:rsid w:val="00892BDA"/>
    <w:rsid w:val="00892C66"/>
    <w:rsid w:val="00892ECB"/>
    <w:rsid w:val="00893224"/>
    <w:rsid w:val="0089392D"/>
    <w:rsid w:val="00893B74"/>
    <w:rsid w:val="00893C19"/>
    <w:rsid w:val="00894068"/>
    <w:rsid w:val="0089420A"/>
    <w:rsid w:val="00894A45"/>
    <w:rsid w:val="00895FBD"/>
    <w:rsid w:val="008964F6"/>
    <w:rsid w:val="0089683F"/>
    <w:rsid w:val="00896B2E"/>
    <w:rsid w:val="00896F60"/>
    <w:rsid w:val="00896FB8"/>
    <w:rsid w:val="008970D6"/>
    <w:rsid w:val="008971EC"/>
    <w:rsid w:val="00897392"/>
    <w:rsid w:val="008973F4"/>
    <w:rsid w:val="008974A3"/>
    <w:rsid w:val="00897B93"/>
    <w:rsid w:val="00897C8B"/>
    <w:rsid w:val="008A0882"/>
    <w:rsid w:val="008A1965"/>
    <w:rsid w:val="008A1989"/>
    <w:rsid w:val="008A19E6"/>
    <w:rsid w:val="008A1BD5"/>
    <w:rsid w:val="008A1D45"/>
    <w:rsid w:val="008A271A"/>
    <w:rsid w:val="008A2782"/>
    <w:rsid w:val="008A2859"/>
    <w:rsid w:val="008A2B4F"/>
    <w:rsid w:val="008A2BE9"/>
    <w:rsid w:val="008A32EC"/>
    <w:rsid w:val="008A3354"/>
    <w:rsid w:val="008A340A"/>
    <w:rsid w:val="008A3AAD"/>
    <w:rsid w:val="008A3B90"/>
    <w:rsid w:val="008A4499"/>
    <w:rsid w:val="008A45E9"/>
    <w:rsid w:val="008A47AE"/>
    <w:rsid w:val="008A4C62"/>
    <w:rsid w:val="008A4D29"/>
    <w:rsid w:val="008A4D31"/>
    <w:rsid w:val="008A4DF1"/>
    <w:rsid w:val="008A5061"/>
    <w:rsid w:val="008A553E"/>
    <w:rsid w:val="008A5D14"/>
    <w:rsid w:val="008A65D8"/>
    <w:rsid w:val="008A682F"/>
    <w:rsid w:val="008A6AE3"/>
    <w:rsid w:val="008A6EA2"/>
    <w:rsid w:val="008A713E"/>
    <w:rsid w:val="008A75A6"/>
    <w:rsid w:val="008A771E"/>
    <w:rsid w:val="008B0204"/>
    <w:rsid w:val="008B0430"/>
    <w:rsid w:val="008B0795"/>
    <w:rsid w:val="008B0939"/>
    <w:rsid w:val="008B0A5D"/>
    <w:rsid w:val="008B0B7D"/>
    <w:rsid w:val="008B0D4D"/>
    <w:rsid w:val="008B14D4"/>
    <w:rsid w:val="008B17CB"/>
    <w:rsid w:val="008B20DA"/>
    <w:rsid w:val="008B23AB"/>
    <w:rsid w:val="008B26CC"/>
    <w:rsid w:val="008B2996"/>
    <w:rsid w:val="008B2F3B"/>
    <w:rsid w:val="008B3854"/>
    <w:rsid w:val="008B3AD8"/>
    <w:rsid w:val="008B3C3D"/>
    <w:rsid w:val="008B3D42"/>
    <w:rsid w:val="008B410E"/>
    <w:rsid w:val="008B42D4"/>
    <w:rsid w:val="008B4603"/>
    <w:rsid w:val="008B4641"/>
    <w:rsid w:val="008B46D8"/>
    <w:rsid w:val="008B47E4"/>
    <w:rsid w:val="008B493B"/>
    <w:rsid w:val="008B4B14"/>
    <w:rsid w:val="008B4CE2"/>
    <w:rsid w:val="008B4F5A"/>
    <w:rsid w:val="008B52EF"/>
    <w:rsid w:val="008B5335"/>
    <w:rsid w:val="008B5ABA"/>
    <w:rsid w:val="008B5ABD"/>
    <w:rsid w:val="008B5DED"/>
    <w:rsid w:val="008B5E14"/>
    <w:rsid w:val="008B6438"/>
    <w:rsid w:val="008B653D"/>
    <w:rsid w:val="008B653F"/>
    <w:rsid w:val="008B6BFA"/>
    <w:rsid w:val="008B6D43"/>
    <w:rsid w:val="008B6D61"/>
    <w:rsid w:val="008B6E04"/>
    <w:rsid w:val="008B6F01"/>
    <w:rsid w:val="008B6F18"/>
    <w:rsid w:val="008B72B0"/>
    <w:rsid w:val="008B73C4"/>
    <w:rsid w:val="008B7827"/>
    <w:rsid w:val="008B7BD1"/>
    <w:rsid w:val="008C03A9"/>
    <w:rsid w:val="008C0706"/>
    <w:rsid w:val="008C09E0"/>
    <w:rsid w:val="008C0CD2"/>
    <w:rsid w:val="008C0DD7"/>
    <w:rsid w:val="008C13D4"/>
    <w:rsid w:val="008C1A42"/>
    <w:rsid w:val="008C2027"/>
    <w:rsid w:val="008C22CB"/>
    <w:rsid w:val="008C278F"/>
    <w:rsid w:val="008C2CE9"/>
    <w:rsid w:val="008C2DAD"/>
    <w:rsid w:val="008C2FF2"/>
    <w:rsid w:val="008C385C"/>
    <w:rsid w:val="008C3EB2"/>
    <w:rsid w:val="008C3EB8"/>
    <w:rsid w:val="008C3FDE"/>
    <w:rsid w:val="008C40B0"/>
    <w:rsid w:val="008C41D5"/>
    <w:rsid w:val="008C41FB"/>
    <w:rsid w:val="008C425A"/>
    <w:rsid w:val="008C4778"/>
    <w:rsid w:val="008C4889"/>
    <w:rsid w:val="008C4C21"/>
    <w:rsid w:val="008C4C3C"/>
    <w:rsid w:val="008C4EDE"/>
    <w:rsid w:val="008C5243"/>
    <w:rsid w:val="008C578B"/>
    <w:rsid w:val="008C5B42"/>
    <w:rsid w:val="008C5B58"/>
    <w:rsid w:val="008C5B98"/>
    <w:rsid w:val="008C5C30"/>
    <w:rsid w:val="008C6215"/>
    <w:rsid w:val="008C66EA"/>
    <w:rsid w:val="008C6BEA"/>
    <w:rsid w:val="008C7025"/>
    <w:rsid w:val="008C7A27"/>
    <w:rsid w:val="008C7F31"/>
    <w:rsid w:val="008D0026"/>
    <w:rsid w:val="008D0099"/>
    <w:rsid w:val="008D064C"/>
    <w:rsid w:val="008D0837"/>
    <w:rsid w:val="008D1197"/>
    <w:rsid w:val="008D11E4"/>
    <w:rsid w:val="008D12A2"/>
    <w:rsid w:val="008D19B2"/>
    <w:rsid w:val="008D1E81"/>
    <w:rsid w:val="008D1FD1"/>
    <w:rsid w:val="008D21EE"/>
    <w:rsid w:val="008D23ED"/>
    <w:rsid w:val="008D2A19"/>
    <w:rsid w:val="008D2EC1"/>
    <w:rsid w:val="008D2FDB"/>
    <w:rsid w:val="008D3074"/>
    <w:rsid w:val="008D3149"/>
    <w:rsid w:val="008D3452"/>
    <w:rsid w:val="008D37B9"/>
    <w:rsid w:val="008D3A03"/>
    <w:rsid w:val="008D3F7E"/>
    <w:rsid w:val="008D3F94"/>
    <w:rsid w:val="008D4328"/>
    <w:rsid w:val="008D4496"/>
    <w:rsid w:val="008D4A5B"/>
    <w:rsid w:val="008D4C76"/>
    <w:rsid w:val="008D4DB0"/>
    <w:rsid w:val="008D4E6B"/>
    <w:rsid w:val="008D4EB3"/>
    <w:rsid w:val="008D5242"/>
    <w:rsid w:val="008D5ACD"/>
    <w:rsid w:val="008D5C4E"/>
    <w:rsid w:val="008D6165"/>
    <w:rsid w:val="008D6216"/>
    <w:rsid w:val="008D6A67"/>
    <w:rsid w:val="008D6AE2"/>
    <w:rsid w:val="008D6C7E"/>
    <w:rsid w:val="008D6CC7"/>
    <w:rsid w:val="008D6CFF"/>
    <w:rsid w:val="008D6FF1"/>
    <w:rsid w:val="008D749C"/>
    <w:rsid w:val="008D75C0"/>
    <w:rsid w:val="008D7697"/>
    <w:rsid w:val="008D7720"/>
    <w:rsid w:val="008D7DB5"/>
    <w:rsid w:val="008E0113"/>
    <w:rsid w:val="008E015A"/>
    <w:rsid w:val="008E04CB"/>
    <w:rsid w:val="008E06A0"/>
    <w:rsid w:val="008E0773"/>
    <w:rsid w:val="008E0A8F"/>
    <w:rsid w:val="008E0B93"/>
    <w:rsid w:val="008E0F4E"/>
    <w:rsid w:val="008E128E"/>
    <w:rsid w:val="008E1653"/>
    <w:rsid w:val="008E1698"/>
    <w:rsid w:val="008E19B6"/>
    <w:rsid w:val="008E1A28"/>
    <w:rsid w:val="008E1CA0"/>
    <w:rsid w:val="008E1F2D"/>
    <w:rsid w:val="008E1FE9"/>
    <w:rsid w:val="008E230B"/>
    <w:rsid w:val="008E3089"/>
    <w:rsid w:val="008E308C"/>
    <w:rsid w:val="008E3648"/>
    <w:rsid w:val="008E3651"/>
    <w:rsid w:val="008E3973"/>
    <w:rsid w:val="008E42AE"/>
    <w:rsid w:val="008E4786"/>
    <w:rsid w:val="008E4B11"/>
    <w:rsid w:val="008E4F60"/>
    <w:rsid w:val="008E512C"/>
    <w:rsid w:val="008E57BB"/>
    <w:rsid w:val="008E5876"/>
    <w:rsid w:val="008E5A41"/>
    <w:rsid w:val="008E5A42"/>
    <w:rsid w:val="008E5B86"/>
    <w:rsid w:val="008E5DB1"/>
    <w:rsid w:val="008E6105"/>
    <w:rsid w:val="008E663B"/>
    <w:rsid w:val="008E67C1"/>
    <w:rsid w:val="008E683A"/>
    <w:rsid w:val="008E6F6A"/>
    <w:rsid w:val="008E70F4"/>
    <w:rsid w:val="008E7585"/>
    <w:rsid w:val="008E7BA2"/>
    <w:rsid w:val="008F052F"/>
    <w:rsid w:val="008F0D25"/>
    <w:rsid w:val="008F1163"/>
    <w:rsid w:val="008F12C0"/>
    <w:rsid w:val="008F208C"/>
    <w:rsid w:val="008F2620"/>
    <w:rsid w:val="008F26AC"/>
    <w:rsid w:val="008F35F0"/>
    <w:rsid w:val="008F36A7"/>
    <w:rsid w:val="008F3998"/>
    <w:rsid w:val="008F4407"/>
    <w:rsid w:val="008F4487"/>
    <w:rsid w:val="008F46FC"/>
    <w:rsid w:val="008F56A0"/>
    <w:rsid w:val="008F5A5A"/>
    <w:rsid w:val="008F5D5D"/>
    <w:rsid w:val="008F6542"/>
    <w:rsid w:val="008F6693"/>
    <w:rsid w:val="008F6C35"/>
    <w:rsid w:val="008F6CC6"/>
    <w:rsid w:val="008F720B"/>
    <w:rsid w:val="008F7582"/>
    <w:rsid w:val="008F772D"/>
    <w:rsid w:val="008F7A36"/>
    <w:rsid w:val="009002C6"/>
    <w:rsid w:val="00900572"/>
    <w:rsid w:val="00900597"/>
    <w:rsid w:val="00900B2C"/>
    <w:rsid w:val="00900E4F"/>
    <w:rsid w:val="0090124F"/>
    <w:rsid w:val="009012A3"/>
    <w:rsid w:val="009015C1"/>
    <w:rsid w:val="00901988"/>
    <w:rsid w:val="00901BBD"/>
    <w:rsid w:val="00901C8F"/>
    <w:rsid w:val="00902386"/>
    <w:rsid w:val="00902A5E"/>
    <w:rsid w:val="009036B3"/>
    <w:rsid w:val="009037C7"/>
    <w:rsid w:val="0090387D"/>
    <w:rsid w:val="00903A24"/>
    <w:rsid w:val="009041B5"/>
    <w:rsid w:val="0090435F"/>
    <w:rsid w:val="009047C5"/>
    <w:rsid w:val="00904BA7"/>
    <w:rsid w:val="00904CAB"/>
    <w:rsid w:val="00904E3F"/>
    <w:rsid w:val="00904E99"/>
    <w:rsid w:val="00905114"/>
    <w:rsid w:val="00905178"/>
    <w:rsid w:val="009051F5"/>
    <w:rsid w:val="0090569B"/>
    <w:rsid w:val="00905A73"/>
    <w:rsid w:val="00905AAB"/>
    <w:rsid w:val="00905BA1"/>
    <w:rsid w:val="00905D93"/>
    <w:rsid w:val="00905EDD"/>
    <w:rsid w:val="00905F01"/>
    <w:rsid w:val="00906108"/>
    <w:rsid w:val="0090623C"/>
    <w:rsid w:val="00906553"/>
    <w:rsid w:val="009067D7"/>
    <w:rsid w:val="0090683B"/>
    <w:rsid w:val="00906D85"/>
    <w:rsid w:val="00906EBC"/>
    <w:rsid w:val="0090746F"/>
    <w:rsid w:val="009078A7"/>
    <w:rsid w:val="00907961"/>
    <w:rsid w:val="00907BD7"/>
    <w:rsid w:val="00907CC7"/>
    <w:rsid w:val="00907CD7"/>
    <w:rsid w:val="00907CFA"/>
    <w:rsid w:val="0091022B"/>
    <w:rsid w:val="0091041B"/>
    <w:rsid w:val="00911B5B"/>
    <w:rsid w:val="00912184"/>
    <w:rsid w:val="0091246E"/>
    <w:rsid w:val="009128A3"/>
    <w:rsid w:val="009130BD"/>
    <w:rsid w:val="0091326C"/>
    <w:rsid w:val="009133CC"/>
    <w:rsid w:val="009134C6"/>
    <w:rsid w:val="009135D0"/>
    <w:rsid w:val="0091375D"/>
    <w:rsid w:val="009137B4"/>
    <w:rsid w:val="009139F8"/>
    <w:rsid w:val="009144B6"/>
    <w:rsid w:val="0091514D"/>
    <w:rsid w:val="009157B1"/>
    <w:rsid w:val="00915AFF"/>
    <w:rsid w:val="00915D5D"/>
    <w:rsid w:val="00915E63"/>
    <w:rsid w:val="0091604D"/>
    <w:rsid w:val="0091609D"/>
    <w:rsid w:val="009169C1"/>
    <w:rsid w:val="00916BDC"/>
    <w:rsid w:val="00916CEB"/>
    <w:rsid w:val="00916E7B"/>
    <w:rsid w:val="00917699"/>
    <w:rsid w:val="00917711"/>
    <w:rsid w:val="00917A04"/>
    <w:rsid w:val="00917B4A"/>
    <w:rsid w:val="00917DD4"/>
    <w:rsid w:val="00917E0C"/>
    <w:rsid w:val="00920CD0"/>
    <w:rsid w:val="00921408"/>
    <w:rsid w:val="009215C4"/>
    <w:rsid w:val="00921A5C"/>
    <w:rsid w:val="00922714"/>
    <w:rsid w:val="00922742"/>
    <w:rsid w:val="0092297B"/>
    <w:rsid w:val="00922D75"/>
    <w:rsid w:val="0092303A"/>
    <w:rsid w:val="009235AC"/>
    <w:rsid w:val="0092360F"/>
    <w:rsid w:val="00923611"/>
    <w:rsid w:val="00923A22"/>
    <w:rsid w:val="00923F92"/>
    <w:rsid w:val="00924196"/>
    <w:rsid w:val="009244BC"/>
    <w:rsid w:val="009254E3"/>
    <w:rsid w:val="00925966"/>
    <w:rsid w:val="00925A1F"/>
    <w:rsid w:val="00926014"/>
    <w:rsid w:val="00926093"/>
    <w:rsid w:val="0092652B"/>
    <w:rsid w:val="00926573"/>
    <w:rsid w:val="00926578"/>
    <w:rsid w:val="009268BD"/>
    <w:rsid w:val="00926913"/>
    <w:rsid w:val="00926F9F"/>
    <w:rsid w:val="00927084"/>
    <w:rsid w:val="009270A5"/>
    <w:rsid w:val="009275B4"/>
    <w:rsid w:val="009275F6"/>
    <w:rsid w:val="00927708"/>
    <w:rsid w:val="009279D8"/>
    <w:rsid w:val="00927AF8"/>
    <w:rsid w:val="00930316"/>
    <w:rsid w:val="009307C2"/>
    <w:rsid w:val="009308A8"/>
    <w:rsid w:val="00930985"/>
    <w:rsid w:val="00930A3F"/>
    <w:rsid w:val="00930CFA"/>
    <w:rsid w:val="009315ED"/>
    <w:rsid w:val="009316B8"/>
    <w:rsid w:val="00931A11"/>
    <w:rsid w:val="00931C6B"/>
    <w:rsid w:val="00931F21"/>
    <w:rsid w:val="00932011"/>
    <w:rsid w:val="00932219"/>
    <w:rsid w:val="009336CE"/>
    <w:rsid w:val="009336F9"/>
    <w:rsid w:val="00933841"/>
    <w:rsid w:val="00933CCF"/>
    <w:rsid w:val="00933DCC"/>
    <w:rsid w:val="00933DFA"/>
    <w:rsid w:val="00933E7A"/>
    <w:rsid w:val="0093402A"/>
    <w:rsid w:val="0093404A"/>
    <w:rsid w:val="009341D7"/>
    <w:rsid w:val="009341EE"/>
    <w:rsid w:val="0093491B"/>
    <w:rsid w:val="00935008"/>
    <w:rsid w:val="009351A8"/>
    <w:rsid w:val="009352AB"/>
    <w:rsid w:val="0093573D"/>
    <w:rsid w:val="00935746"/>
    <w:rsid w:val="00935C73"/>
    <w:rsid w:val="009364B1"/>
    <w:rsid w:val="009366F2"/>
    <w:rsid w:val="009366F6"/>
    <w:rsid w:val="00936791"/>
    <w:rsid w:val="009368A8"/>
    <w:rsid w:val="009369ED"/>
    <w:rsid w:val="00936DFA"/>
    <w:rsid w:val="00936ECE"/>
    <w:rsid w:val="00936F7C"/>
    <w:rsid w:val="009370B9"/>
    <w:rsid w:val="0093748C"/>
    <w:rsid w:val="00937496"/>
    <w:rsid w:val="00937A0B"/>
    <w:rsid w:val="00937D68"/>
    <w:rsid w:val="00937EF5"/>
    <w:rsid w:val="00940124"/>
    <w:rsid w:val="00940B84"/>
    <w:rsid w:val="009410A9"/>
    <w:rsid w:val="009412CC"/>
    <w:rsid w:val="00941322"/>
    <w:rsid w:val="00941356"/>
    <w:rsid w:val="00941502"/>
    <w:rsid w:val="0094162C"/>
    <w:rsid w:val="00941633"/>
    <w:rsid w:val="009417AF"/>
    <w:rsid w:val="00941FA6"/>
    <w:rsid w:val="00942068"/>
    <w:rsid w:val="00942A3B"/>
    <w:rsid w:val="00942B00"/>
    <w:rsid w:val="00942C1C"/>
    <w:rsid w:val="00942CE3"/>
    <w:rsid w:val="00942DCB"/>
    <w:rsid w:val="009432C8"/>
    <w:rsid w:val="009435D9"/>
    <w:rsid w:val="00943834"/>
    <w:rsid w:val="00943872"/>
    <w:rsid w:val="00943B3B"/>
    <w:rsid w:val="00943B6E"/>
    <w:rsid w:val="00943CF6"/>
    <w:rsid w:val="009444B5"/>
    <w:rsid w:val="0094452C"/>
    <w:rsid w:val="009448E7"/>
    <w:rsid w:val="00944D46"/>
    <w:rsid w:val="0094508C"/>
    <w:rsid w:val="0094549E"/>
    <w:rsid w:val="00945922"/>
    <w:rsid w:val="009459A2"/>
    <w:rsid w:val="00945C0B"/>
    <w:rsid w:val="00945F52"/>
    <w:rsid w:val="009465EB"/>
    <w:rsid w:val="00946C8A"/>
    <w:rsid w:val="00946E55"/>
    <w:rsid w:val="00946E92"/>
    <w:rsid w:val="00947144"/>
    <w:rsid w:val="009478BA"/>
    <w:rsid w:val="00947B31"/>
    <w:rsid w:val="00950488"/>
    <w:rsid w:val="00950C1D"/>
    <w:rsid w:val="009511F0"/>
    <w:rsid w:val="009524E5"/>
    <w:rsid w:val="009528A8"/>
    <w:rsid w:val="00952A2B"/>
    <w:rsid w:val="00952D0C"/>
    <w:rsid w:val="009536AE"/>
    <w:rsid w:val="0095378D"/>
    <w:rsid w:val="009537D8"/>
    <w:rsid w:val="00953B8C"/>
    <w:rsid w:val="00953ED0"/>
    <w:rsid w:val="009540AB"/>
    <w:rsid w:val="009543B3"/>
    <w:rsid w:val="00954950"/>
    <w:rsid w:val="00954C7F"/>
    <w:rsid w:val="00954D5B"/>
    <w:rsid w:val="00955167"/>
    <w:rsid w:val="009556C7"/>
    <w:rsid w:val="00955941"/>
    <w:rsid w:val="00955DF0"/>
    <w:rsid w:val="00955EA4"/>
    <w:rsid w:val="00956202"/>
    <w:rsid w:val="009568CD"/>
    <w:rsid w:val="00956A02"/>
    <w:rsid w:val="00956BEA"/>
    <w:rsid w:val="00956E17"/>
    <w:rsid w:val="00957302"/>
    <w:rsid w:val="00957536"/>
    <w:rsid w:val="00957FB1"/>
    <w:rsid w:val="00957FFD"/>
    <w:rsid w:val="00960227"/>
    <w:rsid w:val="0096032E"/>
    <w:rsid w:val="0096036E"/>
    <w:rsid w:val="00960443"/>
    <w:rsid w:val="00960516"/>
    <w:rsid w:val="0096076C"/>
    <w:rsid w:val="009609A0"/>
    <w:rsid w:val="00960A44"/>
    <w:rsid w:val="00960AEB"/>
    <w:rsid w:val="00960C7D"/>
    <w:rsid w:val="00960D8D"/>
    <w:rsid w:val="0096104E"/>
    <w:rsid w:val="00961293"/>
    <w:rsid w:val="00961298"/>
    <w:rsid w:val="0096148C"/>
    <w:rsid w:val="009615C8"/>
    <w:rsid w:val="009616C4"/>
    <w:rsid w:val="009616F9"/>
    <w:rsid w:val="00961752"/>
    <w:rsid w:val="0096176E"/>
    <w:rsid w:val="00961786"/>
    <w:rsid w:val="009617CC"/>
    <w:rsid w:val="0096190A"/>
    <w:rsid w:val="00961FE3"/>
    <w:rsid w:val="0096254E"/>
    <w:rsid w:val="00962703"/>
    <w:rsid w:val="00962751"/>
    <w:rsid w:val="00962D89"/>
    <w:rsid w:val="009630A8"/>
    <w:rsid w:val="0096328C"/>
    <w:rsid w:val="00963C89"/>
    <w:rsid w:val="009643E0"/>
    <w:rsid w:val="009644D8"/>
    <w:rsid w:val="009646E2"/>
    <w:rsid w:val="00964863"/>
    <w:rsid w:val="00964C0A"/>
    <w:rsid w:val="0096511A"/>
    <w:rsid w:val="00965558"/>
    <w:rsid w:val="00965FDA"/>
    <w:rsid w:val="00965FF9"/>
    <w:rsid w:val="0096601C"/>
    <w:rsid w:val="00966A7E"/>
    <w:rsid w:val="00966E58"/>
    <w:rsid w:val="0096703A"/>
    <w:rsid w:val="009671C5"/>
    <w:rsid w:val="009674E9"/>
    <w:rsid w:val="00967A81"/>
    <w:rsid w:val="00967B71"/>
    <w:rsid w:val="00967E1B"/>
    <w:rsid w:val="00970111"/>
    <w:rsid w:val="009703D4"/>
    <w:rsid w:val="009706FE"/>
    <w:rsid w:val="00970C51"/>
    <w:rsid w:val="009713DB"/>
    <w:rsid w:val="00972415"/>
    <w:rsid w:val="0097269C"/>
    <w:rsid w:val="0097283A"/>
    <w:rsid w:val="009729A0"/>
    <w:rsid w:val="00972FD8"/>
    <w:rsid w:val="0097306B"/>
    <w:rsid w:val="0097316E"/>
    <w:rsid w:val="00973641"/>
    <w:rsid w:val="00973CAC"/>
    <w:rsid w:val="0097432C"/>
    <w:rsid w:val="009745E9"/>
    <w:rsid w:val="00974C43"/>
    <w:rsid w:val="00974CAE"/>
    <w:rsid w:val="00975497"/>
    <w:rsid w:val="009754C8"/>
    <w:rsid w:val="009754FC"/>
    <w:rsid w:val="0097559C"/>
    <w:rsid w:val="00975907"/>
    <w:rsid w:val="009759B9"/>
    <w:rsid w:val="00975B92"/>
    <w:rsid w:val="00975E60"/>
    <w:rsid w:val="00976218"/>
    <w:rsid w:val="009763E9"/>
    <w:rsid w:val="009767EA"/>
    <w:rsid w:val="00976B2F"/>
    <w:rsid w:val="009775CF"/>
    <w:rsid w:val="00977752"/>
    <w:rsid w:val="00977903"/>
    <w:rsid w:val="00977DA1"/>
    <w:rsid w:val="00977F9C"/>
    <w:rsid w:val="00980034"/>
    <w:rsid w:val="00980061"/>
    <w:rsid w:val="00980AE3"/>
    <w:rsid w:val="00981024"/>
    <w:rsid w:val="009815CB"/>
    <w:rsid w:val="0098181E"/>
    <w:rsid w:val="0098185E"/>
    <w:rsid w:val="00981C7D"/>
    <w:rsid w:val="00981CD0"/>
    <w:rsid w:val="00982453"/>
    <w:rsid w:val="00982577"/>
    <w:rsid w:val="009827D8"/>
    <w:rsid w:val="00982BDF"/>
    <w:rsid w:val="00982CAB"/>
    <w:rsid w:val="00983491"/>
    <w:rsid w:val="00983B0D"/>
    <w:rsid w:val="00983FE9"/>
    <w:rsid w:val="0098400D"/>
    <w:rsid w:val="0098416E"/>
    <w:rsid w:val="0098457C"/>
    <w:rsid w:val="00984595"/>
    <w:rsid w:val="0098473C"/>
    <w:rsid w:val="0098492A"/>
    <w:rsid w:val="00984C33"/>
    <w:rsid w:val="00984DD9"/>
    <w:rsid w:val="00984E46"/>
    <w:rsid w:val="009854C5"/>
    <w:rsid w:val="00985552"/>
    <w:rsid w:val="00985A4B"/>
    <w:rsid w:val="00985C06"/>
    <w:rsid w:val="00985DE3"/>
    <w:rsid w:val="00985DF2"/>
    <w:rsid w:val="009861FE"/>
    <w:rsid w:val="00986534"/>
    <w:rsid w:val="00986800"/>
    <w:rsid w:val="00986817"/>
    <w:rsid w:val="009868D9"/>
    <w:rsid w:val="00986A35"/>
    <w:rsid w:val="00986B28"/>
    <w:rsid w:val="00986DB1"/>
    <w:rsid w:val="00987146"/>
    <w:rsid w:val="00987300"/>
    <w:rsid w:val="009873CF"/>
    <w:rsid w:val="0098794F"/>
    <w:rsid w:val="00987A61"/>
    <w:rsid w:val="00987ECC"/>
    <w:rsid w:val="0098DAD5"/>
    <w:rsid w:val="009905AC"/>
    <w:rsid w:val="00990841"/>
    <w:rsid w:val="009908F1"/>
    <w:rsid w:val="00990A38"/>
    <w:rsid w:val="00991268"/>
    <w:rsid w:val="00991C71"/>
    <w:rsid w:val="00991F20"/>
    <w:rsid w:val="00992585"/>
    <w:rsid w:val="00992800"/>
    <w:rsid w:val="009929B8"/>
    <w:rsid w:val="00992C74"/>
    <w:rsid w:val="00993182"/>
    <w:rsid w:val="00993369"/>
    <w:rsid w:val="0099365E"/>
    <w:rsid w:val="0099367E"/>
    <w:rsid w:val="00993F45"/>
    <w:rsid w:val="00993FEC"/>
    <w:rsid w:val="009943AC"/>
    <w:rsid w:val="00994579"/>
    <w:rsid w:val="009947EE"/>
    <w:rsid w:val="00994830"/>
    <w:rsid w:val="00994840"/>
    <w:rsid w:val="009948DD"/>
    <w:rsid w:val="00994A06"/>
    <w:rsid w:val="00995015"/>
    <w:rsid w:val="0099522D"/>
    <w:rsid w:val="00995608"/>
    <w:rsid w:val="00995822"/>
    <w:rsid w:val="00995B13"/>
    <w:rsid w:val="00995DFE"/>
    <w:rsid w:val="009960BA"/>
    <w:rsid w:val="00996113"/>
    <w:rsid w:val="00996A1C"/>
    <w:rsid w:val="00996AEC"/>
    <w:rsid w:val="00996B0E"/>
    <w:rsid w:val="00996FC9"/>
    <w:rsid w:val="00996FCC"/>
    <w:rsid w:val="00997807"/>
    <w:rsid w:val="009979E4"/>
    <w:rsid w:val="00997BD8"/>
    <w:rsid w:val="00997D92"/>
    <w:rsid w:val="00997E57"/>
    <w:rsid w:val="009A002F"/>
    <w:rsid w:val="009A072A"/>
    <w:rsid w:val="009A0D4C"/>
    <w:rsid w:val="009A1054"/>
    <w:rsid w:val="009A19DE"/>
    <w:rsid w:val="009A1B13"/>
    <w:rsid w:val="009A1B5F"/>
    <w:rsid w:val="009A1B72"/>
    <w:rsid w:val="009A1EBB"/>
    <w:rsid w:val="009A1FED"/>
    <w:rsid w:val="009A22FE"/>
    <w:rsid w:val="009A240A"/>
    <w:rsid w:val="009A2514"/>
    <w:rsid w:val="009A261B"/>
    <w:rsid w:val="009A3092"/>
    <w:rsid w:val="009A3A25"/>
    <w:rsid w:val="009A3F54"/>
    <w:rsid w:val="009A4207"/>
    <w:rsid w:val="009A4DE7"/>
    <w:rsid w:val="009A5C01"/>
    <w:rsid w:val="009A5D6F"/>
    <w:rsid w:val="009A62FA"/>
    <w:rsid w:val="009A6892"/>
    <w:rsid w:val="009A6F8D"/>
    <w:rsid w:val="009A79EF"/>
    <w:rsid w:val="009A7A1F"/>
    <w:rsid w:val="009A7A7E"/>
    <w:rsid w:val="009A7B60"/>
    <w:rsid w:val="009A7D63"/>
    <w:rsid w:val="009A7E2B"/>
    <w:rsid w:val="009B0071"/>
    <w:rsid w:val="009B0BDB"/>
    <w:rsid w:val="009B0DBE"/>
    <w:rsid w:val="009B0E5A"/>
    <w:rsid w:val="009B0FE0"/>
    <w:rsid w:val="009B15A4"/>
    <w:rsid w:val="009B163E"/>
    <w:rsid w:val="009B1A4E"/>
    <w:rsid w:val="009B1D24"/>
    <w:rsid w:val="009B1D6E"/>
    <w:rsid w:val="009B1FEC"/>
    <w:rsid w:val="009B206F"/>
    <w:rsid w:val="009B2236"/>
    <w:rsid w:val="009B23C8"/>
    <w:rsid w:val="009B25B4"/>
    <w:rsid w:val="009B2802"/>
    <w:rsid w:val="009B2893"/>
    <w:rsid w:val="009B2C0B"/>
    <w:rsid w:val="009B2CB4"/>
    <w:rsid w:val="009B2D02"/>
    <w:rsid w:val="009B2D97"/>
    <w:rsid w:val="009B2F3B"/>
    <w:rsid w:val="009B30B9"/>
    <w:rsid w:val="009B3190"/>
    <w:rsid w:val="009B33E3"/>
    <w:rsid w:val="009B3AB7"/>
    <w:rsid w:val="009B3D82"/>
    <w:rsid w:val="009B4227"/>
    <w:rsid w:val="009B43A1"/>
    <w:rsid w:val="009B450B"/>
    <w:rsid w:val="009B4663"/>
    <w:rsid w:val="009B46C7"/>
    <w:rsid w:val="009B4CE5"/>
    <w:rsid w:val="009B58D1"/>
    <w:rsid w:val="009B6170"/>
    <w:rsid w:val="009B61F5"/>
    <w:rsid w:val="009B6397"/>
    <w:rsid w:val="009B6B82"/>
    <w:rsid w:val="009B7237"/>
    <w:rsid w:val="009B7241"/>
    <w:rsid w:val="009B745F"/>
    <w:rsid w:val="009B7461"/>
    <w:rsid w:val="009B749F"/>
    <w:rsid w:val="009B7A0D"/>
    <w:rsid w:val="009C0167"/>
    <w:rsid w:val="009C0CC1"/>
    <w:rsid w:val="009C19AA"/>
    <w:rsid w:val="009C19BA"/>
    <w:rsid w:val="009C1FEF"/>
    <w:rsid w:val="009C2233"/>
    <w:rsid w:val="009C29A8"/>
    <w:rsid w:val="009C2C67"/>
    <w:rsid w:val="009C2D66"/>
    <w:rsid w:val="009C2F36"/>
    <w:rsid w:val="009C2F62"/>
    <w:rsid w:val="009C2FF6"/>
    <w:rsid w:val="009C340C"/>
    <w:rsid w:val="009C3547"/>
    <w:rsid w:val="009C3BC7"/>
    <w:rsid w:val="009C3CE4"/>
    <w:rsid w:val="009C3D4C"/>
    <w:rsid w:val="009C3ED0"/>
    <w:rsid w:val="009C3F6B"/>
    <w:rsid w:val="009C40FF"/>
    <w:rsid w:val="009C434E"/>
    <w:rsid w:val="009C4379"/>
    <w:rsid w:val="009C48C6"/>
    <w:rsid w:val="009C4C9E"/>
    <w:rsid w:val="009C4F1D"/>
    <w:rsid w:val="009C4FCD"/>
    <w:rsid w:val="009C5373"/>
    <w:rsid w:val="009C5676"/>
    <w:rsid w:val="009C56D8"/>
    <w:rsid w:val="009C59A4"/>
    <w:rsid w:val="009C5CA6"/>
    <w:rsid w:val="009C60C9"/>
    <w:rsid w:val="009C6151"/>
    <w:rsid w:val="009C6181"/>
    <w:rsid w:val="009C6319"/>
    <w:rsid w:val="009C66B1"/>
    <w:rsid w:val="009C6967"/>
    <w:rsid w:val="009C6F7C"/>
    <w:rsid w:val="009C716E"/>
    <w:rsid w:val="009C7202"/>
    <w:rsid w:val="009C72F0"/>
    <w:rsid w:val="009C76C9"/>
    <w:rsid w:val="009C7B7A"/>
    <w:rsid w:val="009C7E1D"/>
    <w:rsid w:val="009D02EA"/>
    <w:rsid w:val="009D0913"/>
    <w:rsid w:val="009D0DC6"/>
    <w:rsid w:val="009D1372"/>
    <w:rsid w:val="009D1709"/>
    <w:rsid w:val="009D1A5B"/>
    <w:rsid w:val="009D1C12"/>
    <w:rsid w:val="009D1F87"/>
    <w:rsid w:val="009D2000"/>
    <w:rsid w:val="009D254B"/>
    <w:rsid w:val="009D2918"/>
    <w:rsid w:val="009D2E26"/>
    <w:rsid w:val="009D3349"/>
    <w:rsid w:val="009D34EA"/>
    <w:rsid w:val="009D38D9"/>
    <w:rsid w:val="009D39D3"/>
    <w:rsid w:val="009D3BA8"/>
    <w:rsid w:val="009D3E56"/>
    <w:rsid w:val="009D4322"/>
    <w:rsid w:val="009D451B"/>
    <w:rsid w:val="009D4D50"/>
    <w:rsid w:val="009D4E6B"/>
    <w:rsid w:val="009D4EC2"/>
    <w:rsid w:val="009D50B9"/>
    <w:rsid w:val="009D55D6"/>
    <w:rsid w:val="009D5634"/>
    <w:rsid w:val="009D5B51"/>
    <w:rsid w:val="009D5B94"/>
    <w:rsid w:val="009D5BE2"/>
    <w:rsid w:val="009D5EC1"/>
    <w:rsid w:val="009D60AC"/>
    <w:rsid w:val="009D6D8E"/>
    <w:rsid w:val="009D7030"/>
    <w:rsid w:val="009D7363"/>
    <w:rsid w:val="009D7A9E"/>
    <w:rsid w:val="009D7BD0"/>
    <w:rsid w:val="009D7BD5"/>
    <w:rsid w:val="009D7D6F"/>
    <w:rsid w:val="009D7DFD"/>
    <w:rsid w:val="009E004B"/>
    <w:rsid w:val="009E0140"/>
    <w:rsid w:val="009E01FB"/>
    <w:rsid w:val="009E0831"/>
    <w:rsid w:val="009E0A3A"/>
    <w:rsid w:val="009E11B4"/>
    <w:rsid w:val="009E12FE"/>
    <w:rsid w:val="009E13C4"/>
    <w:rsid w:val="009E15FF"/>
    <w:rsid w:val="009E1738"/>
    <w:rsid w:val="009E1756"/>
    <w:rsid w:val="009E1B46"/>
    <w:rsid w:val="009E200D"/>
    <w:rsid w:val="009E2071"/>
    <w:rsid w:val="009E2365"/>
    <w:rsid w:val="009E246F"/>
    <w:rsid w:val="009E26EF"/>
    <w:rsid w:val="009E275F"/>
    <w:rsid w:val="009E2825"/>
    <w:rsid w:val="009E2B48"/>
    <w:rsid w:val="009E2BA5"/>
    <w:rsid w:val="009E2EE1"/>
    <w:rsid w:val="009E2EFE"/>
    <w:rsid w:val="009E2F67"/>
    <w:rsid w:val="009E34DF"/>
    <w:rsid w:val="009E3518"/>
    <w:rsid w:val="009E3E2A"/>
    <w:rsid w:val="009E3F25"/>
    <w:rsid w:val="009E443D"/>
    <w:rsid w:val="009E45E2"/>
    <w:rsid w:val="009E4A6F"/>
    <w:rsid w:val="009E4A8B"/>
    <w:rsid w:val="009E4ED9"/>
    <w:rsid w:val="009E5146"/>
    <w:rsid w:val="009E54D5"/>
    <w:rsid w:val="009E57F8"/>
    <w:rsid w:val="009E5C76"/>
    <w:rsid w:val="009E5D58"/>
    <w:rsid w:val="009E5F44"/>
    <w:rsid w:val="009E60F9"/>
    <w:rsid w:val="009E61CD"/>
    <w:rsid w:val="009E6690"/>
    <w:rsid w:val="009E68D9"/>
    <w:rsid w:val="009E69DF"/>
    <w:rsid w:val="009E795D"/>
    <w:rsid w:val="009F0609"/>
    <w:rsid w:val="009F0976"/>
    <w:rsid w:val="009F0A65"/>
    <w:rsid w:val="009F0B1F"/>
    <w:rsid w:val="009F12C6"/>
    <w:rsid w:val="009F12F1"/>
    <w:rsid w:val="009F1426"/>
    <w:rsid w:val="009F1E2F"/>
    <w:rsid w:val="009F2012"/>
    <w:rsid w:val="009F243D"/>
    <w:rsid w:val="009F267E"/>
    <w:rsid w:val="009F3058"/>
    <w:rsid w:val="009F3495"/>
    <w:rsid w:val="009F363A"/>
    <w:rsid w:val="009F3737"/>
    <w:rsid w:val="009F37A2"/>
    <w:rsid w:val="009F3B61"/>
    <w:rsid w:val="009F3BAE"/>
    <w:rsid w:val="009F3F93"/>
    <w:rsid w:val="009F4534"/>
    <w:rsid w:val="009F4762"/>
    <w:rsid w:val="009F55DB"/>
    <w:rsid w:val="009F57E2"/>
    <w:rsid w:val="009F5B79"/>
    <w:rsid w:val="009F5BD4"/>
    <w:rsid w:val="009F5EC4"/>
    <w:rsid w:val="009F6315"/>
    <w:rsid w:val="009F63CE"/>
    <w:rsid w:val="009F68A4"/>
    <w:rsid w:val="009F6EEF"/>
    <w:rsid w:val="009F7277"/>
    <w:rsid w:val="009F728A"/>
    <w:rsid w:val="009F7A86"/>
    <w:rsid w:val="009F7C4C"/>
    <w:rsid w:val="00A00053"/>
    <w:rsid w:val="00A00096"/>
    <w:rsid w:val="00A00231"/>
    <w:rsid w:val="00A00270"/>
    <w:rsid w:val="00A00499"/>
    <w:rsid w:val="00A004FE"/>
    <w:rsid w:val="00A00A8F"/>
    <w:rsid w:val="00A00AC7"/>
    <w:rsid w:val="00A00CB7"/>
    <w:rsid w:val="00A010DE"/>
    <w:rsid w:val="00A011EA"/>
    <w:rsid w:val="00A0134C"/>
    <w:rsid w:val="00A0146A"/>
    <w:rsid w:val="00A014C8"/>
    <w:rsid w:val="00A0162B"/>
    <w:rsid w:val="00A01BB6"/>
    <w:rsid w:val="00A02711"/>
    <w:rsid w:val="00A0290B"/>
    <w:rsid w:val="00A0290C"/>
    <w:rsid w:val="00A0335E"/>
    <w:rsid w:val="00A033A4"/>
    <w:rsid w:val="00A033D6"/>
    <w:rsid w:val="00A038DD"/>
    <w:rsid w:val="00A03B87"/>
    <w:rsid w:val="00A03F7D"/>
    <w:rsid w:val="00A0476C"/>
    <w:rsid w:val="00A05087"/>
    <w:rsid w:val="00A0542F"/>
    <w:rsid w:val="00A06006"/>
    <w:rsid w:val="00A06245"/>
    <w:rsid w:val="00A0629C"/>
    <w:rsid w:val="00A0678A"/>
    <w:rsid w:val="00A06A1E"/>
    <w:rsid w:val="00A06B5B"/>
    <w:rsid w:val="00A07125"/>
    <w:rsid w:val="00A0757D"/>
    <w:rsid w:val="00A07CF2"/>
    <w:rsid w:val="00A10021"/>
    <w:rsid w:val="00A10237"/>
    <w:rsid w:val="00A10616"/>
    <w:rsid w:val="00A106FD"/>
    <w:rsid w:val="00A11092"/>
    <w:rsid w:val="00A11373"/>
    <w:rsid w:val="00A113C4"/>
    <w:rsid w:val="00A117DD"/>
    <w:rsid w:val="00A11951"/>
    <w:rsid w:val="00A11E60"/>
    <w:rsid w:val="00A1214F"/>
    <w:rsid w:val="00A124C6"/>
    <w:rsid w:val="00A12D27"/>
    <w:rsid w:val="00A138EC"/>
    <w:rsid w:val="00A13FD5"/>
    <w:rsid w:val="00A14094"/>
    <w:rsid w:val="00A140CF"/>
    <w:rsid w:val="00A145E3"/>
    <w:rsid w:val="00A14A64"/>
    <w:rsid w:val="00A1518F"/>
    <w:rsid w:val="00A15542"/>
    <w:rsid w:val="00A156D2"/>
    <w:rsid w:val="00A15945"/>
    <w:rsid w:val="00A159A1"/>
    <w:rsid w:val="00A1661D"/>
    <w:rsid w:val="00A16DBB"/>
    <w:rsid w:val="00A170D2"/>
    <w:rsid w:val="00A17133"/>
    <w:rsid w:val="00A1730E"/>
    <w:rsid w:val="00A1751D"/>
    <w:rsid w:val="00A1752B"/>
    <w:rsid w:val="00A17633"/>
    <w:rsid w:val="00A1763B"/>
    <w:rsid w:val="00A176AF"/>
    <w:rsid w:val="00A17A95"/>
    <w:rsid w:val="00A17FA8"/>
    <w:rsid w:val="00A17FFD"/>
    <w:rsid w:val="00A20384"/>
    <w:rsid w:val="00A20749"/>
    <w:rsid w:val="00A20CD3"/>
    <w:rsid w:val="00A21829"/>
    <w:rsid w:val="00A21898"/>
    <w:rsid w:val="00A22068"/>
    <w:rsid w:val="00A2289D"/>
    <w:rsid w:val="00A22D90"/>
    <w:rsid w:val="00A2322C"/>
    <w:rsid w:val="00A23544"/>
    <w:rsid w:val="00A236CE"/>
    <w:rsid w:val="00A23FEE"/>
    <w:rsid w:val="00A240A8"/>
    <w:rsid w:val="00A24254"/>
    <w:rsid w:val="00A2425A"/>
    <w:rsid w:val="00A243CD"/>
    <w:rsid w:val="00A244AC"/>
    <w:rsid w:val="00A244AD"/>
    <w:rsid w:val="00A2456E"/>
    <w:rsid w:val="00A24949"/>
    <w:rsid w:val="00A24CF1"/>
    <w:rsid w:val="00A24EBA"/>
    <w:rsid w:val="00A25010"/>
    <w:rsid w:val="00A25414"/>
    <w:rsid w:val="00A254DD"/>
    <w:rsid w:val="00A25AD2"/>
    <w:rsid w:val="00A25DC9"/>
    <w:rsid w:val="00A25EBF"/>
    <w:rsid w:val="00A2615C"/>
    <w:rsid w:val="00A2668C"/>
    <w:rsid w:val="00A26770"/>
    <w:rsid w:val="00A26FAB"/>
    <w:rsid w:val="00A27053"/>
    <w:rsid w:val="00A274E7"/>
    <w:rsid w:val="00A276FF"/>
    <w:rsid w:val="00A27A8F"/>
    <w:rsid w:val="00A27C2B"/>
    <w:rsid w:val="00A30550"/>
    <w:rsid w:val="00A305D4"/>
    <w:rsid w:val="00A313BF"/>
    <w:rsid w:val="00A3173C"/>
    <w:rsid w:val="00A3294F"/>
    <w:rsid w:val="00A32B29"/>
    <w:rsid w:val="00A32C86"/>
    <w:rsid w:val="00A32DBC"/>
    <w:rsid w:val="00A33138"/>
    <w:rsid w:val="00A331B4"/>
    <w:rsid w:val="00A33ABC"/>
    <w:rsid w:val="00A33B15"/>
    <w:rsid w:val="00A34462"/>
    <w:rsid w:val="00A34591"/>
    <w:rsid w:val="00A346C6"/>
    <w:rsid w:val="00A34A9D"/>
    <w:rsid w:val="00A350D5"/>
    <w:rsid w:val="00A351D2"/>
    <w:rsid w:val="00A353D7"/>
    <w:rsid w:val="00A35A78"/>
    <w:rsid w:val="00A35CFC"/>
    <w:rsid w:val="00A36FFF"/>
    <w:rsid w:val="00A371D9"/>
    <w:rsid w:val="00A37398"/>
    <w:rsid w:val="00A37D36"/>
    <w:rsid w:val="00A400C0"/>
    <w:rsid w:val="00A4024C"/>
    <w:rsid w:val="00A4027C"/>
    <w:rsid w:val="00A402A5"/>
    <w:rsid w:val="00A40B72"/>
    <w:rsid w:val="00A40D82"/>
    <w:rsid w:val="00A410E2"/>
    <w:rsid w:val="00A41C20"/>
    <w:rsid w:val="00A41D5D"/>
    <w:rsid w:val="00A4208D"/>
    <w:rsid w:val="00A423D3"/>
    <w:rsid w:val="00A423D9"/>
    <w:rsid w:val="00A4249D"/>
    <w:rsid w:val="00A4262F"/>
    <w:rsid w:val="00A42830"/>
    <w:rsid w:val="00A42A13"/>
    <w:rsid w:val="00A42AEB"/>
    <w:rsid w:val="00A43166"/>
    <w:rsid w:val="00A4390C"/>
    <w:rsid w:val="00A43CB7"/>
    <w:rsid w:val="00A43F3C"/>
    <w:rsid w:val="00A44032"/>
    <w:rsid w:val="00A44B96"/>
    <w:rsid w:val="00A454F9"/>
    <w:rsid w:val="00A45545"/>
    <w:rsid w:val="00A455F4"/>
    <w:rsid w:val="00A45768"/>
    <w:rsid w:val="00A4586F"/>
    <w:rsid w:val="00A461DC"/>
    <w:rsid w:val="00A46360"/>
    <w:rsid w:val="00A4642B"/>
    <w:rsid w:val="00A4642D"/>
    <w:rsid w:val="00A464DD"/>
    <w:rsid w:val="00A46561"/>
    <w:rsid w:val="00A4665C"/>
    <w:rsid w:val="00A46728"/>
    <w:rsid w:val="00A469CD"/>
    <w:rsid w:val="00A46B98"/>
    <w:rsid w:val="00A475DC"/>
    <w:rsid w:val="00A47664"/>
    <w:rsid w:val="00A476D6"/>
    <w:rsid w:val="00A47C75"/>
    <w:rsid w:val="00A47D4D"/>
    <w:rsid w:val="00A50195"/>
    <w:rsid w:val="00A50772"/>
    <w:rsid w:val="00A50C09"/>
    <w:rsid w:val="00A5134D"/>
    <w:rsid w:val="00A5156D"/>
    <w:rsid w:val="00A51CBD"/>
    <w:rsid w:val="00A51F20"/>
    <w:rsid w:val="00A52167"/>
    <w:rsid w:val="00A5247F"/>
    <w:rsid w:val="00A52DA2"/>
    <w:rsid w:val="00A53845"/>
    <w:rsid w:val="00A53886"/>
    <w:rsid w:val="00A53C5F"/>
    <w:rsid w:val="00A53D62"/>
    <w:rsid w:val="00A53FB9"/>
    <w:rsid w:val="00A54017"/>
    <w:rsid w:val="00A540D1"/>
    <w:rsid w:val="00A5418F"/>
    <w:rsid w:val="00A54395"/>
    <w:rsid w:val="00A545E7"/>
    <w:rsid w:val="00A54A48"/>
    <w:rsid w:val="00A54AAF"/>
    <w:rsid w:val="00A54F5B"/>
    <w:rsid w:val="00A54FE1"/>
    <w:rsid w:val="00A5553F"/>
    <w:rsid w:val="00A55595"/>
    <w:rsid w:val="00A55D45"/>
    <w:rsid w:val="00A5606B"/>
    <w:rsid w:val="00A564C3"/>
    <w:rsid w:val="00A5663C"/>
    <w:rsid w:val="00A56ECE"/>
    <w:rsid w:val="00A56FBE"/>
    <w:rsid w:val="00A57345"/>
    <w:rsid w:val="00A57971"/>
    <w:rsid w:val="00A57F8F"/>
    <w:rsid w:val="00A57FBE"/>
    <w:rsid w:val="00A6029D"/>
    <w:rsid w:val="00A608C2"/>
    <w:rsid w:val="00A60B5D"/>
    <w:rsid w:val="00A60E2D"/>
    <w:rsid w:val="00A61128"/>
    <w:rsid w:val="00A61136"/>
    <w:rsid w:val="00A6176A"/>
    <w:rsid w:val="00A62366"/>
    <w:rsid w:val="00A6255C"/>
    <w:rsid w:val="00A625E8"/>
    <w:rsid w:val="00A626E3"/>
    <w:rsid w:val="00A6278A"/>
    <w:rsid w:val="00A629BD"/>
    <w:rsid w:val="00A62B76"/>
    <w:rsid w:val="00A62E80"/>
    <w:rsid w:val="00A62FF1"/>
    <w:rsid w:val="00A6318F"/>
    <w:rsid w:val="00A63930"/>
    <w:rsid w:val="00A643AF"/>
    <w:rsid w:val="00A643B3"/>
    <w:rsid w:val="00A644E3"/>
    <w:rsid w:val="00A64563"/>
    <w:rsid w:val="00A64912"/>
    <w:rsid w:val="00A64AA9"/>
    <w:rsid w:val="00A64D9A"/>
    <w:rsid w:val="00A64FAB"/>
    <w:rsid w:val="00A653AA"/>
    <w:rsid w:val="00A65BFA"/>
    <w:rsid w:val="00A665FA"/>
    <w:rsid w:val="00A66A70"/>
    <w:rsid w:val="00A66ABE"/>
    <w:rsid w:val="00A6762E"/>
    <w:rsid w:val="00A676D1"/>
    <w:rsid w:val="00A67918"/>
    <w:rsid w:val="00A67ABC"/>
    <w:rsid w:val="00A67DF1"/>
    <w:rsid w:val="00A702B2"/>
    <w:rsid w:val="00A70311"/>
    <w:rsid w:val="00A70619"/>
    <w:rsid w:val="00A7107E"/>
    <w:rsid w:val="00A71278"/>
    <w:rsid w:val="00A71B45"/>
    <w:rsid w:val="00A71F3D"/>
    <w:rsid w:val="00A72509"/>
    <w:rsid w:val="00A7285F"/>
    <w:rsid w:val="00A729D8"/>
    <w:rsid w:val="00A72A9A"/>
    <w:rsid w:val="00A72E05"/>
    <w:rsid w:val="00A72E45"/>
    <w:rsid w:val="00A7313F"/>
    <w:rsid w:val="00A7369F"/>
    <w:rsid w:val="00A7375F"/>
    <w:rsid w:val="00A73C1C"/>
    <w:rsid w:val="00A73F21"/>
    <w:rsid w:val="00A7417B"/>
    <w:rsid w:val="00A74711"/>
    <w:rsid w:val="00A74B8B"/>
    <w:rsid w:val="00A75147"/>
    <w:rsid w:val="00A752C5"/>
    <w:rsid w:val="00A7542A"/>
    <w:rsid w:val="00A75982"/>
    <w:rsid w:val="00A75AE9"/>
    <w:rsid w:val="00A75B03"/>
    <w:rsid w:val="00A767DB"/>
    <w:rsid w:val="00A7684D"/>
    <w:rsid w:val="00A76980"/>
    <w:rsid w:val="00A770D4"/>
    <w:rsid w:val="00A777B8"/>
    <w:rsid w:val="00A77BCF"/>
    <w:rsid w:val="00A8001F"/>
    <w:rsid w:val="00A80239"/>
    <w:rsid w:val="00A8043F"/>
    <w:rsid w:val="00A8064D"/>
    <w:rsid w:val="00A8069B"/>
    <w:rsid w:val="00A807AF"/>
    <w:rsid w:val="00A80E96"/>
    <w:rsid w:val="00A80E9C"/>
    <w:rsid w:val="00A81290"/>
    <w:rsid w:val="00A818B0"/>
    <w:rsid w:val="00A81BE4"/>
    <w:rsid w:val="00A81F68"/>
    <w:rsid w:val="00A81F90"/>
    <w:rsid w:val="00A8230F"/>
    <w:rsid w:val="00A82513"/>
    <w:rsid w:val="00A8294A"/>
    <w:rsid w:val="00A82BAA"/>
    <w:rsid w:val="00A83261"/>
    <w:rsid w:val="00A833CF"/>
    <w:rsid w:val="00A83597"/>
    <w:rsid w:val="00A848A6"/>
    <w:rsid w:val="00A84C68"/>
    <w:rsid w:val="00A8506C"/>
    <w:rsid w:val="00A858B4"/>
    <w:rsid w:val="00A859C8"/>
    <w:rsid w:val="00A85F2A"/>
    <w:rsid w:val="00A861D9"/>
    <w:rsid w:val="00A863D0"/>
    <w:rsid w:val="00A866C2"/>
    <w:rsid w:val="00A86C3C"/>
    <w:rsid w:val="00A86CB4"/>
    <w:rsid w:val="00A86E4E"/>
    <w:rsid w:val="00A87016"/>
    <w:rsid w:val="00A8776B"/>
    <w:rsid w:val="00A87E78"/>
    <w:rsid w:val="00A909D8"/>
    <w:rsid w:val="00A90AB3"/>
    <w:rsid w:val="00A9167E"/>
    <w:rsid w:val="00A91A23"/>
    <w:rsid w:val="00A91E34"/>
    <w:rsid w:val="00A91E5D"/>
    <w:rsid w:val="00A91ED7"/>
    <w:rsid w:val="00A92504"/>
    <w:rsid w:val="00A9312A"/>
    <w:rsid w:val="00A93188"/>
    <w:rsid w:val="00A9320C"/>
    <w:rsid w:val="00A932E1"/>
    <w:rsid w:val="00A9332E"/>
    <w:rsid w:val="00A93677"/>
    <w:rsid w:val="00A93825"/>
    <w:rsid w:val="00A93EF6"/>
    <w:rsid w:val="00A941A0"/>
    <w:rsid w:val="00A9438B"/>
    <w:rsid w:val="00A9462D"/>
    <w:rsid w:val="00A9468F"/>
    <w:rsid w:val="00A94799"/>
    <w:rsid w:val="00A94D38"/>
    <w:rsid w:val="00A95009"/>
    <w:rsid w:val="00A95073"/>
    <w:rsid w:val="00A950BD"/>
    <w:rsid w:val="00A950D4"/>
    <w:rsid w:val="00A95258"/>
    <w:rsid w:val="00A95A8A"/>
    <w:rsid w:val="00A95DD4"/>
    <w:rsid w:val="00A95F8C"/>
    <w:rsid w:val="00A95FC1"/>
    <w:rsid w:val="00A96880"/>
    <w:rsid w:val="00A96A45"/>
    <w:rsid w:val="00A96F88"/>
    <w:rsid w:val="00A9774B"/>
    <w:rsid w:val="00AA009A"/>
    <w:rsid w:val="00AA0130"/>
    <w:rsid w:val="00AA015A"/>
    <w:rsid w:val="00AA0CBD"/>
    <w:rsid w:val="00AA14D6"/>
    <w:rsid w:val="00AA154C"/>
    <w:rsid w:val="00AA16F6"/>
    <w:rsid w:val="00AA182F"/>
    <w:rsid w:val="00AA1906"/>
    <w:rsid w:val="00AA23C7"/>
    <w:rsid w:val="00AA2B14"/>
    <w:rsid w:val="00AA33BA"/>
    <w:rsid w:val="00AA37B3"/>
    <w:rsid w:val="00AA3B58"/>
    <w:rsid w:val="00AA3C65"/>
    <w:rsid w:val="00AA401E"/>
    <w:rsid w:val="00AA433F"/>
    <w:rsid w:val="00AA43E3"/>
    <w:rsid w:val="00AA4996"/>
    <w:rsid w:val="00AA49FE"/>
    <w:rsid w:val="00AA4A55"/>
    <w:rsid w:val="00AA4B2D"/>
    <w:rsid w:val="00AA4F41"/>
    <w:rsid w:val="00AA5750"/>
    <w:rsid w:val="00AA5CF3"/>
    <w:rsid w:val="00AA61AB"/>
    <w:rsid w:val="00AA6415"/>
    <w:rsid w:val="00AA6F46"/>
    <w:rsid w:val="00AA737F"/>
    <w:rsid w:val="00AA73F8"/>
    <w:rsid w:val="00AA74D3"/>
    <w:rsid w:val="00AA7576"/>
    <w:rsid w:val="00AA76C5"/>
    <w:rsid w:val="00AA77A0"/>
    <w:rsid w:val="00AA7A82"/>
    <w:rsid w:val="00AB0168"/>
    <w:rsid w:val="00AB064E"/>
    <w:rsid w:val="00AB0792"/>
    <w:rsid w:val="00AB07A4"/>
    <w:rsid w:val="00AB0967"/>
    <w:rsid w:val="00AB0A56"/>
    <w:rsid w:val="00AB0B0E"/>
    <w:rsid w:val="00AB0CCF"/>
    <w:rsid w:val="00AB1012"/>
    <w:rsid w:val="00AB13E7"/>
    <w:rsid w:val="00AB176B"/>
    <w:rsid w:val="00AB1987"/>
    <w:rsid w:val="00AB1A36"/>
    <w:rsid w:val="00AB1BE7"/>
    <w:rsid w:val="00AB1C9C"/>
    <w:rsid w:val="00AB2661"/>
    <w:rsid w:val="00AB2E49"/>
    <w:rsid w:val="00AB3366"/>
    <w:rsid w:val="00AB34CF"/>
    <w:rsid w:val="00AB36DD"/>
    <w:rsid w:val="00AB399A"/>
    <w:rsid w:val="00AB3C33"/>
    <w:rsid w:val="00AB3E69"/>
    <w:rsid w:val="00AB4709"/>
    <w:rsid w:val="00AB4990"/>
    <w:rsid w:val="00AB4F6A"/>
    <w:rsid w:val="00AB4FCC"/>
    <w:rsid w:val="00AB5090"/>
    <w:rsid w:val="00AB5421"/>
    <w:rsid w:val="00AB5576"/>
    <w:rsid w:val="00AB57FB"/>
    <w:rsid w:val="00AB60F3"/>
    <w:rsid w:val="00AB6410"/>
    <w:rsid w:val="00AB6AB4"/>
    <w:rsid w:val="00AB6C31"/>
    <w:rsid w:val="00AB778D"/>
    <w:rsid w:val="00AB7F08"/>
    <w:rsid w:val="00AC017F"/>
    <w:rsid w:val="00AC031B"/>
    <w:rsid w:val="00AC032C"/>
    <w:rsid w:val="00AC0371"/>
    <w:rsid w:val="00AC0531"/>
    <w:rsid w:val="00AC075D"/>
    <w:rsid w:val="00AC08C1"/>
    <w:rsid w:val="00AC0C14"/>
    <w:rsid w:val="00AC0ED3"/>
    <w:rsid w:val="00AC0F64"/>
    <w:rsid w:val="00AC10A1"/>
    <w:rsid w:val="00AC1150"/>
    <w:rsid w:val="00AC13D8"/>
    <w:rsid w:val="00AC1C6C"/>
    <w:rsid w:val="00AC1DB7"/>
    <w:rsid w:val="00AC2393"/>
    <w:rsid w:val="00AC249B"/>
    <w:rsid w:val="00AC25A1"/>
    <w:rsid w:val="00AC36EE"/>
    <w:rsid w:val="00AC3A39"/>
    <w:rsid w:val="00AC3A63"/>
    <w:rsid w:val="00AC42C5"/>
    <w:rsid w:val="00AC4BD6"/>
    <w:rsid w:val="00AC4F9D"/>
    <w:rsid w:val="00AC5087"/>
    <w:rsid w:val="00AC51BB"/>
    <w:rsid w:val="00AC53E8"/>
    <w:rsid w:val="00AC5BAB"/>
    <w:rsid w:val="00AC5EF0"/>
    <w:rsid w:val="00AC622F"/>
    <w:rsid w:val="00AC647F"/>
    <w:rsid w:val="00AC64FD"/>
    <w:rsid w:val="00AC69C1"/>
    <w:rsid w:val="00AC6C8D"/>
    <w:rsid w:val="00AC6FDB"/>
    <w:rsid w:val="00AC74E1"/>
    <w:rsid w:val="00AC76C5"/>
    <w:rsid w:val="00AC7885"/>
    <w:rsid w:val="00AC78C5"/>
    <w:rsid w:val="00AC7A1A"/>
    <w:rsid w:val="00AD0B7E"/>
    <w:rsid w:val="00AD0C86"/>
    <w:rsid w:val="00AD0E6C"/>
    <w:rsid w:val="00AD188A"/>
    <w:rsid w:val="00AD1C89"/>
    <w:rsid w:val="00AD1D03"/>
    <w:rsid w:val="00AD2177"/>
    <w:rsid w:val="00AD217E"/>
    <w:rsid w:val="00AD21C6"/>
    <w:rsid w:val="00AD26C8"/>
    <w:rsid w:val="00AD2B28"/>
    <w:rsid w:val="00AD2D9E"/>
    <w:rsid w:val="00AD2F9C"/>
    <w:rsid w:val="00AD3246"/>
    <w:rsid w:val="00AD367B"/>
    <w:rsid w:val="00AD386C"/>
    <w:rsid w:val="00AD409D"/>
    <w:rsid w:val="00AD427E"/>
    <w:rsid w:val="00AD45A7"/>
    <w:rsid w:val="00AD4647"/>
    <w:rsid w:val="00AD4A42"/>
    <w:rsid w:val="00AD4D89"/>
    <w:rsid w:val="00AD50D0"/>
    <w:rsid w:val="00AD5112"/>
    <w:rsid w:val="00AD59A3"/>
    <w:rsid w:val="00AD59C2"/>
    <w:rsid w:val="00AD5A55"/>
    <w:rsid w:val="00AD67C7"/>
    <w:rsid w:val="00AD6AA8"/>
    <w:rsid w:val="00AD6F2A"/>
    <w:rsid w:val="00AD712F"/>
    <w:rsid w:val="00AD75C8"/>
    <w:rsid w:val="00AD7838"/>
    <w:rsid w:val="00AD7B61"/>
    <w:rsid w:val="00AD7FA1"/>
    <w:rsid w:val="00AE04D0"/>
    <w:rsid w:val="00AE0648"/>
    <w:rsid w:val="00AE08BD"/>
    <w:rsid w:val="00AE096C"/>
    <w:rsid w:val="00AE0F01"/>
    <w:rsid w:val="00AE110D"/>
    <w:rsid w:val="00AE1404"/>
    <w:rsid w:val="00AE1892"/>
    <w:rsid w:val="00AE1BC6"/>
    <w:rsid w:val="00AE240E"/>
    <w:rsid w:val="00AE3191"/>
    <w:rsid w:val="00AE3231"/>
    <w:rsid w:val="00AE3FE2"/>
    <w:rsid w:val="00AE4188"/>
    <w:rsid w:val="00AE418A"/>
    <w:rsid w:val="00AE4EDB"/>
    <w:rsid w:val="00AE50F1"/>
    <w:rsid w:val="00AE59B9"/>
    <w:rsid w:val="00AE5F10"/>
    <w:rsid w:val="00AE6183"/>
    <w:rsid w:val="00AE623B"/>
    <w:rsid w:val="00AE635A"/>
    <w:rsid w:val="00AE68C6"/>
    <w:rsid w:val="00AE6969"/>
    <w:rsid w:val="00AE7819"/>
    <w:rsid w:val="00AE7F16"/>
    <w:rsid w:val="00AF0629"/>
    <w:rsid w:val="00AF0AD0"/>
    <w:rsid w:val="00AF0D59"/>
    <w:rsid w:val="00AF0ED5"/>
    <w:rsid w:val="00AF126B"/>
    <w:rsid w:val="00AF12B9"/>
    <w:rsid w:val="00AF15E1"/>
    <w:rsid w:val="00AF16AC"/>
    <w:rsid w:val="00AF178C"/>
    <w:rsid w:val="00AF1EA5"/>
    <w:rsid w:val="00AF1F28"/>
    <w:rsid w:val="00AF230B"/>
    <w:rsid w:val="00AF2322"/>
    <w:rsid w:val="00AF3A03"/>
    <w:rsid w:val="00AF3DF7"/>
    <w:rsid w:val="00AF42B9"/>
    <w:rsid w:val="00AF45AD"/>
    <w:rsid w:val="00AF45ED"/>
    <w:rsid w:val="00AF46CE"/>
    <w:rsid w:val="00AF4AF6"/>
    <w:rsid w:val="00AF4E36"/>
    <w:rsid w:val="00AF4EF4"/>
    <w:rsid w:val="00AF536C"/>
    <w:rsid w:val="00AF568F"/>
    <w:rsid w:val="00AF56A3"/>
    <w:rsid w:val="00AF58CA"/>
    <w:rsid w:val="00AF5EB8"/>
    <w:rsid w:val="00AF61DE"/>
    <w:rsid w:val="00AF6816"/>
    <w:rsid w:val="00AF68D9"/>
    <w:rsid w:val="00AF6BA9"/>
    <w:rsid w:val="00AF6D87"/>
    <w:rsid w:val="00AF6F8B"/>
    <w:rsid w:val="00AF783E"/>
    <w:rsid w:val="00AF7B2C"/>
    <w:rsid w:val="00AF7D6F"/>
    <w:rsid w:val="00AF7E29"/>
    <w:rsid w:val="00AF7FF7"/>
    <w:rsid w:val="00B00C03"/>
    <w:rsid w:val="00B00C28"/>
    <w:rsid w:val="00B00C5E"/>
    <w:rsid w:val="00B00F36"/>
    <w:rsid w:val="00B00FB4"/>
    <w:rsid w:val="00B0126C"/>
    <w:rsid w:val="00B01871"/>
    <w:rsid w:val="00B021B2"/>
    <w:rsid w:val="00B02330"/>
    <w:rsid w:val="00B0273F"/>
    <w:rsid w:val="00B0299D"/>
    <w:rsid w:val="00B02A70"/>
    <w:rsid w:val="00B02E51"/>
    <w:rsid w:val="00B031A2"/>
    <w:rsid w:val="00B032B1"/>
    <w:rsid w:val="00B0382F"/>
    <w:rsid w:val="00B039F7"/>
    <w:rsid w:val="00B03AE4"/>
    <w:rsid w:val="00B0415C"/>
    <w:rsid w:val="00B04679"/>
    <w:rsid w:val="00B04BF5"/>
    <w:rsid w:val="00B04EA7"/>
    <w:rsid w:val="00B051B0"/>
    <w:rsid w:val="00B05535"/>
    <w:rsid w:val="00B05647"/>
    <w:rsid w:val="00B059E1"/>
    <w:rsid w:val="00B05BB4"/>
    <w:rsid w:val="00B060A5"/>
    <w:rsid w:val="00B0614A"/>
    <w:rsid w:val="00B06477"/>
    <w:rsid w:val="00B06765"/>
    <w:rsid w:val="00B067ED"/>
    <w:rsid w:val="00B068A5"/>
    <w:rsid w:val="00B06BC2"/>
    <w:rsid w:val="00B07029"/>
    <w:rsid w:val="00B07047"/>
    <w:rsid w:val="00B0730E"/>
    <w:rsid w:val="00B07337"/>
    <w:rsid w:val="00B07380"/>
    <w:rsid w:val="00B076F5"/>
    <w:rsid w:val="00B078CC"/>
    <w:rsid w:val="00B07A66"/>
    <w:rsid w:val="00B07C3B"/>
    <w:rsid w:val="00B103FC"/>
    <w:rsid w:val="00B10985"/>
    <w:rsid w:val="00B10A7F"/>
    <w:rsid w:val="00B10BA2"/>
    <w:rsid w:val="00B10C32"/>
    <w:rsid w:val="00B10DD0"/>
    <w:rsid w:val="00B11202"/>
    <w:rsid w:val="00B114CB"/>
    <w:rsid w:val="00B11C1B"/>
    <w:rsid w:val="00B11FEC"/>
    <w:rsid w:val="00B1259F"/>
    <w:rsid w:val="00B12B5C"/>
    <w:rsid w:val="00B12C04"/>
    <w:rsid w:val="00B12CB5"/>
    <w:rsid w:val="00B13343"/>
    <w:rsid w:val="00B1366E"/>
    <w:rsid w:val="00B139A4"/>
    <w:rsid w:val="00B13CEF"/>
    <w:rsid w:val="00B13FF6"/>
    <w:rsid w:val="00B146AF"/>
    <w:rsid w:val="00B14C4C"/>
    <w:rsid w:val="00B14CFD"/>
    <w:rsid w:val="00B1546C"/>
    <w:rsid w:val="00B155AE"/>
    <w:rsid w:val="00B15CC0"/>
    <w:rsid w:val="00B15E64"/>
    <w:rsid w:val="00B160A7"/>
    <w:rsid w:val="00B16C08"/>
    <w:rsid w:val="00B16D40"/>
    <w:rsid w:val="00B17351"/>
    <w:rsid w:val="00B175C9"/>
    <w:rsid w:val="00B179A6"/>
    <w:rsid w:val="00B17A0A"/>
    <w:rsid w:val="00B17ABA"/>
    <w:rsid w:val="00B20055"/>
    <w:rsid w:val="00B20325"/>
    <w:rsid w:val="00B2094A"/>
    <w:rsid w:val="00B20D20"/>
    <w:rsid w:val="00B2134E"/>
    <w:rsid w:val="00B217FE"/>
    <w:rsid w:val="00B22196"/>
    <w:rsid w:val="00B22305"/>
    <w:rsid w:val="00B2298A"/>
    <w:rsid w:val="00B229AA"/>
    <w:rsid w:val="00B22B5A"/>
    <w:rsid w:val="00B22C13"/>
    <w:rsid w:val="00B23C41"/>
    <w:rsid w:val="00B23EB1"/>
    <w:rsid w:val="00B2426E"/>
    <w:rsid w:val="00B24354"/>
    <w:rsid w:val="00B2442A"/>
    <w:rsid w:val="00B24A38"/>
    <w:rsid w:val="00B25082"/>
    <w:rsid w:val="00B25438"/>
    <w:rsid w:val="00B25562"/>
    <w:rsid w:val="00B255F9"/>
    <w:rsid w:val="00B258C7"/>
    <w:rsid w:val="00B25C07"/>
    <w:rsid w:val="00B260D0"/>
    <w:rsid w:val="00B2645F"/>
    <w:rsid w:val="00B26AC6"/>
    <w:rsid w:val="00B26B68"/>
    <w:rsid w:val="00B26C18"/>
    <w:rsid w:val="00B26F94"/>
    <w:rsid w:val="00B27892"/>
    <w:rsid w:val="00B30B24"/>
    <w:rsid w:val="00B312D0"/>
    <w:rsid w:val="00B31823"/>
    <w:rsid w:val="00B31A8C"/>
    <w:rsid w:val="00B31B54"/>
    <w:rsid w:val="00B328C5"/>
    <w:rsid w:val="00B32E1A"/>
    <w:rsid w:val="00B32EBD"/>
    <w:rsid w:val="00B32FE5"/>
    <w:rsid w:val="00B32FF2"/>
    <w:rsid w:val="00B33D86"/>
    <w:rsid w:val="00B33EEB"/>
    <w:rsid w:val="00B34244"/>
    <w:rsid w:val="00B34407"/>
    <w:rsid w:val="00B34447"/>
    <w:rsid w:val="00B344C0"/>
    <w:rsid w:val="00B349C6"/>
    <w:rsid w:val="00B34A26"/>
    <w:rsid w:val="00B34B76"/>
    <w:rsid w:val="00B34D22"/>
    <w:rsid w:val="00B355D9"/>
    <w:rsid w:val="00B3571A"/>
    <w:rsid w:val="00B35880"/>
    <w:rsid w:val="00B35C94"/>
    <w:rsid w:val="00B36295"/>
    <w:rsid w:val="00B3631A"/>
    <w:rsid w:val="00B363D6"/>
    <w:rsid w:val="00B363E1"/>
    <w:rsid w:val="00B36AA7"/>
    <w:rsid w:val="00B36ABC"/>
    <w:rsid w:val="00B36AE6"/>
    <w:rsid w:val="00B37411"/>
    <w:rsid w:val="00B37719"/>
    <w:rsid w:val="00B37785"/>
    <w:rsid w:val="00B37AE6"/>
    <w:rsid w:val="00B37D29"/>
    <w:rsid w:val="00B4035A"/>
    <w:rsid w:val="00B4060F"/>
    <w:rsid w:val="00B40BE0"/>
    <w:rsid w:val="00B40FF1"/>
    <w:rsid w:val="00B410C7"/>
    <w:rsid w:val="00B413F2"/>
    <w:rsid w:val="00B41489"/>
    <w:rsid w:val="00B421D1"/>
    <w:rsid w:val="00B425FC"/>
    <w:rsid w:val="00B42950"/>
    <w:rsid w:val="00B43086"/>
    <w:rsid w:val="00B431ED"/>
    <w:rsid w:val="00B43710"/>
    <w:rsid w:val="00B438F3"/>
    <w:rsid w:val="00B43EFA"/>
    <w:rsid w:val="00B4427E"/>
    <w:rsid w:val="00B4441C"/>
    <w:rsid w:val="00B44A3A"/>
    <w:rsid w:val="00B44C88"/>
    <w:rsid w:val="00B44D02"/>
    <w:rsid w:val="00B44D2F"/>
    <w:rsid w:val="00B44EDF"/>
    <w:rsid w:val="00B4527C"/>
    <w:rsid w:val="00B45428"/>
    <w:rsid w:val="00B4560B"/>
    <w:rsid w:val="00B45A86"/>
    <w:rsid w:val="00B45E59"/>
    <w:rsid w:val="00B4615F"/>
    <w:rsid w:val="00B4618C"/>
    <w:rsid w:val="00B46544"/>
    <w:rsid w:val="00B4664A"/>
    <w:rsid w:val="00B46930"/>
    <w:rsid w:val="00B46953"/>
    <w:rsid w:val="00B4726A"/>
    <w:rsid w:val="00B478AA"/>
    <w:rsid w:val="00B4791E"/>
    <w:rsid w:val="00B47B19"/>
    <w:rsid w:val="00B47C1E"/>
    <w:rsid w:val="00B5047F"/>
    <w:rsid w:val="00B506CA"/>
    <w:rsid w:val="00B50A53"/>
    <w:rsid w:val="00B50A8F"/>
    <w:rsid w:val="00B51183"/>
    <w:rsid w:val="00B51259"/>
    <w:rsid w:val="00B51362"/>
    <w:rsid w:val="00B51678"/>
    <w:rsid w:val="00B516CB"/>
    <w:rsid w:val="00B51727"/>
    <w:rsid w:val="00B51A07"/>
    <w:rsid w:val="00B51ACF"/>
    <w:rsid w:val="00B51E17"/>
    <w:rsid w:val="00B52022"/>
    <w:rsid w:val="00B5234B"/>
    <w:rsid w:val="00B528D6"/>
    <w:rsid w:val="00B52C6B"/>
    <w:rsid w:val="00B52E33"/>
    <w:rsid w:val="00B52F52"/>
    <w:rsid w:val="00B53118"/>
    <w:rsid w:val="00B536DF"/>
    <w:rsid w:val="00B5381B"/>
    <w:rsid w:val="00B53E27"/>
    <w:rsid w:val="00B540F3"/>
    <w:rsid w:val="00B545CC"/>
    <w:rsid w:val="00B546D1"/>
    <w:rsid w:val="00B54B43"/>
    <w:rsid w:val="00B55033"/>
    <w:rsid w:val="00B553A0"/>
    <w:rsid w:val="00B5543D"/>
    <w:rsid w:val="00B554B7"/>
    <w:rsid w:val="00B5560D"/>
    <w:rsid w:val="00B55724"/>
    <w:rsid w:val="00B55858"/>
    <w:rsid w:val="00B55E2D"/>
    <w:rsid w:val="00B561AD"/>
    <w:rsid w:val="00B56342"/>
    <w:rsid w:val="00B566A2"/>
    <w:rsid w:val="00B56809"/>
    <w:rsid w:val="00B56CD5"/>
    <w:rsid w:val="00B578A0"/>
    <w:rsid w:val="00B57B51"/>
    <w:rsid w:val="00B57E4F"/>
    <w:rsid w:val="00B60339"/>
    <w:rsid w:val="00B605C4"/>
    <w:rsid w:val="00B60603"/>
    <w:rsid w:val="00B60CA2"/>
    <w:rsid w:val="00B61F96"/>
    <w:rsid w:val="00B6206A"/>
    <w:rsid w:val="00B62641"/>
    <w:rsid w:val="00B62919"/>
    <w:rsid w:val="00B629AC"/>
    <w:rsid w:val="00B629EE"/>
    <w:rsid w:val="00B62D73"/>
    <w:rsid w:val="00B62F5C"/>
    <w:rsid w:val="00B6394B"/>
    <w:rsid w:val="00B63AF4"/>
    <w:rsid w:val="00B63DBF"/>
    <w:rsid w:val="00B63EF8"/>
    <w:rsid w:val="00B63FFC"/>
    <w:rsid w:val="00B64833"/>
    <w:rsid w:val="00B654CB"/>
    <w:rsid w:val="00B65544"/>
    <w:rsid w:val="00B65840"/>
    <w:rsid w:val="00B65A96"/>
    <w:rsid w:val="00B65AC8"/>
    <w:rsid w:val="00B65B83"/>
    <w:rsid w:val="00B65C56"/>
    <w:rsid w:val="00B65C57"/>
    <w:rsid w:val="00B65CD0"/>
    <w:rsid w:val="00B66355"/>
    <w:rsid w:val="00B66675"/>
    <w:rsid w:val="00B66C89"/>
    <w:rsid w:val="00B66E09"/>
    <w:rsid w:val="00B66E26"/>
    <w:rsid w:val="00B678AD"/>
    <w:rsid w:val="00B678BB"/>
    <w:rsid w:val="00B67A82"/>
    <w:rsid w:val="00B67D5D"/>
    <w:rsid w:val="00B67F95"/>
    <w:rsid w:val="00B67FAA"/>
    <w:rsid w:val="00B70389"/>
    <w:rsid w:val="00B70768"/>
    <w:rsid w:val="00B707AE"/>
    <w:rsid w:val="00B708A0"/>
    <w:rsid w:val="00B7091A"/>
    <w:rsid w:val="00B70D8E"/>
    <w:rsid w:val="00B7198A"/>
    <w:rsid w:val="00B71C4D"/>
    <w:rsid w:val="00B72723"/>
    <w:rsid w:val="00B727AA"/>
    <w:rsid w:val="00B72EB6"/>
    <w:rsid w:val="00B72F8E"/>
    <w:rsid w:val="00B72FC6"/>
    <w:rsid w:val="00B7379B"/>
    <w:rsid w:val="00B7390F"/>
    <w:rsid w:val="00B73AEF"/>
    <w:rsid w:val="00B73F87"/>
    <w:rsid w:val="00B740DC"/>
    <w:rsid w:val="00B74705"/>
    <w:rsid w:val="00B7494A"/>
    <w:rsid w:val="00B74A52"/>
    <w:rsid w:val="00B75127"/>
    <w:rsid w:val="00B75711"/>
    <w:rsid w:val="00B75800"/>
    <w:rsid w:val="00B75914"/>
    <w:rsid w:val="00B75985"/>
    <w:rsid w:val="00B768E4"/>
    <w:rsid w:val="00B76D85"/>
    <w:rsid w:val="00B772DC"/>
    <w:rsid w:val="00B77FA9"/>
    <w:rsid w:val="00B80449"/>
    <w:rsid w:val="00B80652"/>
    <w:rsid w:val="00B80C16"/>
    <w:rsid w:val="00B80DD5"/>
    <w:rsid w:val="00B80DF5"/>
    <w:rsid w:val="00B81145"/>
    <w:rsid w:val="00B81179"/>
    <w:rsid w:val="00B81383"/>
    <w:rsid w:val="00B818AD"/>
    <w:rsid w:val="00B819EF"/>
    <w:rsid w:val="00B82548"/>
    <w:rsid w:val="00B834AD"/>
    <w:rsid w:val="00B84230"/>
    <w:rsid w:val="00B8445F"/>
    <w:rsid w:val="00B84574"/>
    <w:rsid w:val="00B84693"/>
    <w:rsid w:val="00B8477A"/>
    <w:rsid w:val="00B847D8"/>
    <w:rsid w:val="00B849E6"/>
    <w:rsid w:val="00B84C3B"/>
    <w:rsid w:val="00B84CF0"/>
    <w:rsid w:val="00B850D5"/>
    <w:rsid w:val="00B857E2"/>
    <w:rsid w:val="00B85B4A"/>
    <w:rsid w:val="00B862B5"/>
    <w:rsid w:val="00B86527"/>
    <w:rsid w:val="00B86B87"/>
    <w:rsid w:val="00B872BB"/>
    <w:rsid w:val="00B87390"/>
    <w:rsid w:val="00B87C23"/>
    <w:rsid w:val="00B87D25"/>
    <w:rsid w:val="00B87FD9"/>
    <w:rsid w:val="00B905AC"/>
    <w:rsid w:val="00B90CBF"/>
    <w:rsid w:val="00B91018"/>
    <w:rsid w:val="00B91055"/>
    <w:rsid w:val="00B913D4"/>
    <w:rsid w:val="00B91A0B"/>
    <w:rsid w:val="00B91D41"/>
    <w:rsid w:val="00B9217E"/>
    <w:rsid w:val="00B924CE"/>
    <w:rsid w:val="00B92D86"/>
    <w:rsid w:val="00B93237"/>
    <w:rsid w:val="00B93258"/>
    <w:rsid w:val="00B93E45"/>
    <w:rsid w:val="00B93E59"/>
    <w:rsid w:val="00B944DB"/>
    <w:rsid w:val="00B9485C"/>
    <w:rsid w:val="00B94911"/>
    <w:rsid w:val="00B94C5E"/>
    <w:rsid w:val="00B94F4A"/>
    <w:rsid w:val="00B950B4"/>
    <w:rsid w:val="00B9541E"/>
    <w:rsid w:val="00B959F3"/>
    <w:rsid w:val="00B95B5F"/>
    <w:rsid w:val="00B95B76"/>
    <w:rsid w:val="00B95F2D"/>
    <w:rsid w:val="00B9608F"/>
    <w:rsid w:val="00B960B4"/>
    <w:rsid w:val="00B9693A"/>
    <w:rsid w:val="00B97048"/>
    <w:rsid w:val="00B9726B"/>
    <w:rsid w:val="00B97395"/>
    <w:rsid w:val="00B978B5"/>
    <w:rsid w:val="00B97BBE"/>
    <w:rsid w:val="00BA016D"/>
    <w:rsid w:val="00BA03D3"/>
    <w:rsid w:val="00BA064B"/>
    <w:rsid w:val="00BA0688"/>
    <w:rsid w:val="00BA0A2C"/>
    <w:rsid w:val="00BA0EA3"/>
    <w:rsid w:val="00BA1F8A"/>
    <w:rsid w:val="00BA1FA3"/>
    <w:rsid w:val="00BA203B"/>
    <w:rsid w:val="00BA2145"/>
    <w:rsid w:val="00BA3212"/>
    <w:rsid w:val="00BA34B9"/>
    <w:rsid w:val="00BA3576"/>
    <w:rsid w:val="00BA3A5D"/>
    <w:rsid w:val="00BA3EEC"/>
    <w:rsid w:val="00BA4403"/>
    <w:rsid w:val="00BA4734"/>
    <w:rsid w:val="00BA48DB"/>
    <w:rsid w:val="00BA4B01"/>
    <w:rsid w:val="00BA53FD"/>
    <w:rsid w:val="00BA5A82"/>
    <w:rsid w:val="00BA5CA8"/>
    <w:rsid w:val="00BA6162"/>
    <w:rsid w:val="00BA618B"/>
    <w:rsid w:val="00BA6386"/>
    <w:rsid w:val="00BA63F9"/>
    <w:rsid w:val="00BA6425"/>
    <w:rsid w:val="00BA6500"/>
    <w:rsid w:val="00BA6732"/>
    <w:rsid w:val="00BA68A7"/>
    <w:rsid w:val="00BA6CFE"/>
    <w:rsid w:val="00BA6F0B"/>
    <w:rsid w:val="00BA6F74"/>
    <w:rsid w:val="00BA6FAE"/>
    <w:rsid w:val="00BA7220"/>
    <w:rsid w:val="00BA7296"/>
    <w:rsid w:val="00BA7299"/>
    <w:rsid w:val="00BA747D"/>
    <w:rsid w:val="00BA7960"/>
    <w:rsid w:val="00BA7A0C"/>
    <w:rsid w:val="00BB01EF"/>
    <w:rsid w:val="00BB040F"/>
    <w:rsid w:val="00BB0922"/>
    <w:rsid w:val="00BB0C64"/>
    <w:rsid w:val="00BB118A"/>
    <w:rsid w:val="00BB1767"/>
    <w:rsid w:val="00BB21D5"/>
    <w:rsid w:val="00BB2240"/>
    <w:rsid w:val="00BB22CA"/>
    <w:rsid w:val="00BB22EA"/>
    <w:rsid w:val="00BB25C5"/>
    <w:rsid w:val="00BB2B84"/>
    <w:rsid w:val="00BB2D35"/>
    <w:rsid w:val="00BB33EF"/>
    <w:rsid w:val="00BB3658"/>
    <w:rsid w:val="00BB36C0"/>
    <w:rsid w:val="00BB380C"/>
    <w:rsid w:val="00BB39E2"/>
    <w:rsid w:val="00BB3C4C"/>
    <w:rsid w:val="00BB3E9E"/>
    <w:rsid w:val="00BB3F50"/>
    <w:rsid w:val="00BB3FAB"/>
    <w:rsid w:val="00BB4197"/>
    <w:rsid w:val="00BB4E8B"/>
    <w:rsid w:val="00BB51B0"/>
    <w:rsid w:val="00BB544A"/>
    <w:rsid w:val="00BB549C"/>
    <w:rsid w:val="00BB5906"/>
    <w:rsid w:val="00BB5C16"/>
    <w:rsid w:val="00BB5EB0"/>
    <w:rsid w:val="00BB637C"/>
    <w:rsid w:val="00BB65AB"/>
    <w:rsid w:val="00BB668E"/>
    <w:rsid w:val="00BB727F"/>
    <w:rsid w:val="00BB72DC"/>
    <w:rsid w:val="00BB76DE"/>
    <w:rsid w:val="00BB7B4E"/>
    <w:rsid w:val="00BB7BE3"/>
    <w:rsid w:val="00BB7E29"/>
    <w:rsid w:val="00BB7E80"/>
    <w:rsid w:val="00BC03C3"/>
    <w:rsid w:val="00BC07B6"/>
    <w:rsid w:val="00BC0A8A"/>
    <w:rsid w:val="00BC102C"/>
    <w:rsid w:val="00BC10A0"/>
    <w:rsid w:val="00BC1C9B"/>
    <w:rsid w:val="00BC2089"/>
    <w:rsid w:val="00BC2381"/>
    <w:rsid w:val="00BC238B"/>
    <w:rsid w:val="00BC24D7"/>
    <w:rsid w:val="00BC27D2"/>
    <w:rsid w:val="00BC31EF"/>
    <w:rsid w:val="00BC3BFC"/>
    <w:rsid w:val="00BC41AD"/>
    <w:rsid w:val="00BC492C"/>
    <w:rsid w:val="00BC4B0B"/>
    <w:rsid w:val="00BC4F9F"/>
    <w:rsid w:val="00BC505C"/>
    <w:rsid w:val="00BC5312"/>
    <w:rsid w:val="00BC58E9"/>
    <w:rsid w:val="00BC5DA9"/>
    <w:rsid w:val="00BC5F64"/>
    <w:rsid w:val="00BC64AD"/>
    <w:rsid w:val="00BC6693"/>
    <w:rsid w:val="00BC6760"/>
    <w:rsid w:val="00BC6A6A"/>
    <w:rsid w:val="00BC74D8"/>
    <w:rsid w:val="00BC76DC"/>
    <w:rsid w:val="00BC7919"/>
    <w:rsid w:val="00BC7FC1"/>
    <w:rsid w:val="00BD02BF"/>
    <w:rsid w:val="00BD0392"/>
    <w:rsid w:val="00BD03D8"/>
    <w:rsid w:val="00BD0645"/>
    <w:rsid w:val="00BD06CE"/>
    <w:rsid w:val="00BD0CFB"/>
    <w:rsid w:val="00BD0D80"/>
    <w:rsid w:val="00BD0E69"/>
    <w:rsid w:val="00BD0FF5"/>
    <w:rsid w:val="00BD128F"/>
    <w:rsid w:val="00BD162E"/>
    <w:rsid w:val="00BD172F"/>
    <w:rsid w:val="00BD18C0"/>
    <w:rsid w:val="00BD1962"/>
    <w:rsid w:val="00BD1D05"/>
    <w:rsid w:val="00BD1F6B"/>
    <w:rsid w:val="00BD202C"/>
    <w:rsid w:val="00BD2556"/>
    <w:rsid w:val="00BD263D"/>
    <w:rsid w:val="00BD28DF"/>
    <w:rsid w:val="00BD2B29"/>
    <w:rsid w:val="00BD2B59"/>
    <w:rsid w:val="00BD2BEB"/>
    <w:rsid w:val="00BD2C82"/>
    <w:rsid w:val="00BD2CF9"/>
    <w:rsid w:val="00BD2FC4"/>
    <w:rsid w:val="00BD3A1D"/>
    <w:rsid w:val="00BD3D51"/>
    <w:rsid w:val="00BD409E"/>
    <w:rsid w:val="00BD497C"/>
    <w:rsid w:val="00BD4C72"/>
    <w:rsid w:val="00BD594C"/>
    <w:rsid w:val="00BD5AF0"/>
    <w:rsid w:val="00BD5D44"/>
    <w:rsid w:val="00BD5D55"/>
    <w:rsid w:val="00BD6281"/>
    <w:rsid w:val="00BD640D"/>
    <w:rsid w:val="00BD6DFB"/>
    <w:rsid w:val="00BD6E5A"/>
    <w:rsid w:val="00BD6FF1"/>
    <w:rsid w:val="00BD7252"/>
    <w:rsid w:val="00BD7CC2"/>
    <w:rsid w:val="00BD7CD4"/>
    <w:rsid w:val="00BE005A"/>
    <w:rsid w:val="00BE0105"/>
    <w:rsid w:val="00BE0155"/>
    <w:rsid w:val="00BE0190"/>
    <w:rsid w:val="00BE02F6"/>
    <w:rsid w:val="00BE03B3"/>
    <w:rsid w:val="00BE05D7"/>
    <w:rsid w:val="00BE0C91"/>
    <w:rsid w:val="00BE13BD"/>
    <w:rsid w:val="00BE175D"/>
    <w:rsid w:val="00BE2052"/>
    <w:rsid w:val="00BE2354"/>
    <w:rsid w:val="00BE265B"/>
    <w:rsid w:val="00BE2CC9"/>
    <w:rsid w:val="00BE2D14"/>
    <w:rsid w:val="00BE2DA9"/>
    <w:rsid w:val="00BE3609"/>
    <w:rsid w:val="00BE390A"/>
    <w:rsid w:val="00BE3AC9"/>
    <w:rsid w:val="00BE3ACD"/>
    <w:rsid w:val="00BE3BDE"/>
    <w:rsid w:val="00BE3C67"/>
    <w:rsid w:val="00BE48EE"/>
    <w:rsid w:val="00BE4E59"/>
    <w:rsid w:val="00BE5236"/>
    <w:rsid w:val="00BE527C"/>
    <w:rsid w:val="00BE5684"/>
    <w:rsid w:val="00BE569E"/>
    <w:rsid w:val="00BE597D"/>
    <w:rsid w:val="00BE6499"/>
    <w:rsid w:val="00BE680E"/>
    <w:rsid w:val="00BE6858"/>
    <w:rsid w:val="00BE68D6"/>
    <w:rsid w:val="00BE70C9"/>
    <w:rsid w:val="00BE71A5"/>
    <w:rsid w:val="00BE77A8"/>
    <w:rsid w:val="00BE77D0"/>
    <w:rsid w:val="00BE7A1D"/>
    <w:rsid w:val="00BE7A87"/>
    <w:rsid w:val="00BE7DE2"/>
    <w:rsid w:val="00BE7E1B"/>
    <w:rsid w:val="00BF0513"/>
    <w:rsid w:val="00BF0917"/>
    <w:rsid w:val="00BF0ADF"/>
    <w:rsid w:val="00BF0B38"/>
    <w:rsid w:val="00BF0F19"/>
    <w:rsid w:val="00BF0FC8"/>
    <w:rsid w:val="00BF1A73"/>
    <w:rsid w:val="00BF1E96"/>
    <w:rsid w:val="00BF1F55"/>
    <w:rsid w:val="00BF221D"/>
    <w:rsid w:val="00BF2406"/>
    <w:rsid w:val="00BF29A5"/>
    <w:rsid w:val="00BF3067"/>
    <w:rsid w:val="00BF35F7"/>
    <w:rsid w:val="00BF3B96"/>
    <w:rsid w:val="00BF3D38"/>
    <w:rsid w:val="00BF3F4E"/>
    <w:rsid w:val="00BF42A8"/>
    <w:rsid w:val="00BF4D0A"/>
    <w:rsid w:val="00BF5581"/>
    <w:rsid w:val="00BF5825"/>
    <w:rsid w:val="00BF5EAF"/>
    <w:rsid w:val="00BF62C0"/>
    <w:rsid w:val="00BF6585"/>
    <w:rsid w:val="00BF66F1"/>
    <w:rsid w:val="00BF6804"/>
    <w:rsid w:val="00BF6DDF"/>
    <w:rsid w:val="00BF7455"/>
    <w:rsid w:val="00BF7602"/>
    <w:rsid w:val="00BF7884"/>
    <w:rsid w:val="00BF7B9E"/>
    <w:rsid w:val="00C0020D"/>
    <w:rsid w:val="00C006A1"/>
    <w:rsid w:val="00C006FD"/>
    <w:rsid w:val="00C00822"/>
    <w:rsid w:val="00C00DD5"/>
    <w:rsid w:val="00C01646"/>
    <w:rsid w:val="00C01C04"/>
    <w:rsid w:val="00C01F39"/>
    <w:rsid w:val="00C0240A"/>
    <w:rsid w:val="00C02EFC"/>
    <w:rsid w:val="00C03122"/>
    <w:rsid w:val="00C03127"/>
    <w:rsid w:val="00C03638"/>
    <w:rsid w:val="00C0387B"/>
    <w:rsid w:val="00C03DC9"/>
    <w:rsid w:val="00C03E70"/>
    <w:rsid w:val="00C0426D"/>
    <w:rsid w:val="00C0434F"/>
    <w:rsid w:val="00C04F81"/>
    <w:rsid w:val="00C05166"/>
    <w:rsid w:val="00C0530D"/>
    <w:rsid w:val="00C0544F"/>
    <w:rsid w:val="00C05834"/>
    <w:rsid w:val="00C05C70"/>
    <w:rsid w:val="00C05DD9"/>
    <w:rsid w:val="00C061BB"/>
    <w:rsid w:val="00C0655F"/>
    <w:rsid w:val="00C073C3"/>
    <w:rsid w:val="00C075BF"/>
    <w:rsid w:val="00C07834"/>
    <w:rsid w:val="00C07911"/>
    <w:rsid w:val="00C07B15"/>
    <w:rsid w:val="00C103FB"/>
    <w:rsid w:val="00C10524"/>
    <w:rsid w:val="00C107E0"/>
    <w:rsid w:val="00C10ADA"/>
    <w:rsid w:val="00C10DD0"/>
    <w:rsid w:val="00C11421"/>
    <w:rsid w:val="00C1163C"/>
    <w:rsid w:val="00C117BE"/>
    <w:rsid w:val="00C1188B"/>
    <w:rsid w:val="00C119DD"/>
    <w:rsid w:val="00C12424"/>
    <w:rsid w:val="00C124A1"/>
    <w:rsid w:val="00C128AA"/>
    <w:rsid w:val="00C128B3"/>
    <w:rsid w:val="00C12A36"/>
    <w:rsid w:val="00C12E34"/>
    <w:rsid w:val="00C13272"/>
    <w:rsid w:val="00C14121"/>
    <w:rsid w:val="00C142F3"/>
    <w:rsid w:val="00C1453D"/>
    <w:rsid w:val="00C146F1"/>
    <w:rsid w:val="00C147BD"/>
    <w:rsid w:val="00C1492D"/>
    <w:rsid w:val="00C14B2D"/>
    <w:rsid w:val="00C14B9E"/>
    <w:rsid w:val="00C159F2"/>
    <w:rsid w:val="00C15A41"/>
    <w:rsid w:val="00C15E25"/>
    <w:rsid w:val="00C1602A"/>
    <w:rsid w:val="00C161F6"/>
    <w:rsid w:val="00C1648A"/>
    <w:rsid w:val="00C16716"/>
    <w:rsid w:val="00C16E88"/>
    <w:rsid w:val="00C1726D"/>
    <w:rsid w:val="00C17482"/>
    <w:rsid w:val="00C17E79"/>
    <w:rsid w:val="00C202C2"/>
    <w:rsid w:val="00C205E4"/>
    <w:rsid w:val="00C20671"/>
    <w:rsid w:val="00C20694"/>
    <w:rsid w:val="00C20734"/>
    <w:rsid w:val="00C209EE"/>
    <w:rsid w:val="00C20AE0"/>
    <w:rsid w:val="00C20B52"/>
    <w:rsid w:val="00C20C34"/>
    <w:rsid w:val="00C21658"/>
    <w:rsid w:val="00C21ACE"/>
    <w:rsid w:val="00C21BD0"/>
    <w:rsid w:val="00C21C89"/>
    <w:rsid w:val="00C22A62"/>
    <w:rsid w:val="00C23082"/>
    <w:rsid w:val="00C231D7"/>
    <w:rsid w:val="00C232FA"/>
    <w:rsid w:val="00C235FE"/>
    <w:rsid w:val="00C23AD9"/>
    <w:rsid w:val="00C24032"/>
    <w:rsid w:val="00C2454D"/>
    <w:rsid w:val="00C249DE"/>
    <w:rsid w:val="00C24B57"/>
    <w:rsid w:val="00C25039"/>
    <w:rsid w:val="00C253A1"/>
    <w:rsid w:val="00C255E7"/>
    <w:rsid w:val="00C25601"/>
    <w:rsid w:val="00C2564D"/>
    <w:rsid w:val="00C257FC"/>
    <w:rsid w:val="00C2595C"/>
    <w:rsid w:val="00C265A9"/>
    <w:rsid w:val="00C265C8"/>
    <w:rsid w:val="00C26A40"/>
    <w:rsid w:val="00C26BE2"/>
    <w:rsid w:val="00C27315"/>
    <w:rsid w:val="00C27358"/>
    <w:rsid w:val="00C2785A"/>
    <w:rsid w:val="00C2791B"/>
    <w:rsid w:val="00C2798D"/>
    <w:rsid w:val="00C27FFB"/>
    <w:rsid w:val="00C3010A"/>
    <w:rsid w:val="00C3075A"/>
    <w:rsid w:val="00C308F2"/>
    <w:rsid w:val="00C30B5B"/>
    <w:rsid w:val="00C3144D"/>
    <w:rsid w:val="00C314D2"/>
    <w:rsid w:val="00C315AF"/>
    <w:rsid w:val="00C315BF"/>
    <w:rsid w:val="00C31722"/>
    <w:rsid w:val="00C31776"/>
    <w:rsid w:val="00C3178C"/>
    <w:rsid w:val="00C319DA"/>
    <w:rsid w:val="00C31AD5"/>
    <w:rsid w:val="00C31BC2"/>
    <w:rsid w:val="00C32324"/>
    <w:rsid w:val="00C32F5F"/>
    <w:rsid w:val="00C344D2"/>
    <w:rsid w:val="00C345C3"/>
    <w:rsid w:val="00C346EB"/>
    <w:rsid w:val="00C34748"/>
    <w:rsid w:val="00C34A35"/>
    <w:rsid w:val="00C34FC1"/>
    <w:rsid w:val="00C35185"/>
    <w:rsid w:val="00C35515"/>
    <w:rsid w:val="00C35718"/>
    <w:rsid w:val="00C3587A"/>
    <w:rsid w:val="00C35A4A"/>
    <w:rsid w:val="00C35EA3"/>
    <w:rsid w:val="00C36052"/>
    <w:rsid w:val="00C36902"/>
    <w:rsid w:val="00C373B8"/>
    <w:rsid w:val="00C37813"/>
    <w:rsid w:val="00C3786A"/>
    <w:rsid w:val="00C37C79"/>
    <w:rsid w:val="00C37CEC"/>
    <w:rsid w:val="00C3D7D0"/>
    <w:rsid w:val="00C4034F"/>
    <w:rsid w:val="00C40A26"/>
    <w:rsid w:val="00C40C35"/>
    <w:rsid w:val="00C4159D"/>
    <w:rsid w:val="00C41CE0"/>
    <w:rsid w:val="00C41D05"/>
    <w:rsid w:val="00C41FA9"/>
    <w:rsid w:val="00C42044"/>
    <w:rsid w:val="00C420FB"/>
    <w:rsid w:val="00C4239F"/>
    <w:rsid w:val="00C424C6"/>
    <w:rsid w:val="00C428BE"/>
    <w:rsid w:val="00C43307"/>
    <w:rsid w:val="00C4348A"/>
    <w:rsid w:val="00C43530"/>
    <w:rsid w:val="00C43D92"/>
    <w:rsid w:val="00C43F35"/>
    <w:rsid w:val="00C44011"/>
    <w:rsid w:val="00C4418D"/>
    <w:rsid w:val="00C445B3"/>
    <w:rsid w:val="00C44BC4"/>
    <w:rsid w:val="00C44C66"/>
    <w:rsid w:val="00C44D08"/>
    <w:rsid w:val="00C44D3A"/>
    <w:rsid w:val="00C450E8"/>
    <w:rsid w:val="00C451D9"/>
    <w:rsid w:val="00C45259"/>
    <w:rsid w:val="00C453D4"/>
    <w:rsid w:val="00C459AF"/>
    <w:rsid w:val="00C45F15"/>
    <w:rsid w:val="00C4614F"/>
    <w:rsid w:val="00C462F3"/>
    <w:rsid w:val="00C464F5"/>
    <w:rsid w:val="00C46A63"/>
    <w:rsid w:val="00C46ABA"/>
    <w:rsid w:val="00C46C43"/>
    <w:rsid w:val="00C46DE8"/>
    <w:rsid w:val="00C470B8"/>
    <w:rsid w:val="00C471ED"/>
    <w:rsid w:val="00C474F4"/>
    <w:rsid w:val="00C47EC6"/>
    <w:rsid w:val="00C47F13"/>
    <w:rsid w:val="00C47F51"/>
    <w:rsid w:val="00C500AC"/>
    <w:rsid w:val="00C503FC"/>
    <w:rsid w:val="00C5045E"/>
    <w:rsid w:val="00C507E6"/>
    <w:rsid w:val="00C5088C"/>
    <w:rsid w:val="00C50897"/>
    <w:rsid w:val="00C513F3"/>
    <w:rsid w:val="00C514DC"/>
    <w:rsid w:val="00C51552"/>
    <w:rsid w:val="00C51748"/>
    <w:rsid w:val="00C51CE2"/>
    <w:rsid w:val="00C51FAF"/>
    <w:rsid w:val="00C520D4"/>
    <w:rsid w:val="00C526D0"/>
    <w:rsid w:val="00C52AB5"/>
    <w:rsid w:val="00C530AA"/>
    <w:rsid w:val="00C53367"/>
    <w:rsid w:val="00C536E0"/>
    <w:rsid w:val="00C5384D"/>
    <w:rsid w:val="00C538E6"/>
    <w:rsid w:val="00C53902"/>
    <w:rsid w:val="00C53B08"/>
    <w:rsid w:val="00C53C31"/>
    <w:rsid w:val="00C54570"/>
    <w:rsid w:val="00C54658"/>
    <w:rsid w:val="00C54718"/>
    <w:rsid w:val="00C54840"/>
    <w:rsid w:val="00C54B21"/>
    <w:rsid w:val="00C55203"/>
    <w:rsid w:val="00C55334"/>
    <w:rsid w:val="00C5537F"/>
    <w:rsid w:val="00C55402"/>
    <w:rsid w:val="00C55755"/>
    <w:rsid w:val="00C55978"/>
    <w:rsid w:val="00C55AA9"/>
    <w:rsid w:val="00C55B8E"/>
    <w:rsid w:val="00C55D22"/>
    <w:rsid w:val="00C55E3A"/>
    <w:rsid w:val="00C55F3C"/>
    <w:rsid w:val="00C567A1"/>
    <w:rsid w:val="00C56814"/>
    <w:rsid w:val="00C569B6"/>
    <w:rsid w:val="00C56CD6"/>
    <w:rsid w:val="00C570EE"/>
    <w:rsid w:val="00C5758F"/>
    <w:rsid w:val="00C57626"/>
    <w:rsid w:val="00C57989"/>
    <w:rsid w:val="00C57AEB"/>
    <w:rsid w:val="00C57B16"/>
    <w:rsid w:val="00C57DF3"/>
    <w:rsid w:val="00C602B4"/>
    <w:rsid w:val="00C6033F"/>
    <w:rsid w:val="00C60494"/>
    <w:rsid w:val="00C60786"/>
    <w:rsid w:val="00C60955"/>
    <w:rsid w:val="00C60A29"/>
    <w:rsid w:val="00C618A8"/>
    <w:rsid w:val="00C6195D"/>
    <w:rsid w:val="00C62CEE"/>
    <w:rsid w:val="00C62E75"/>
    <w:rsid w:val="00C6305C"/>
    <w:rsid w:val="00C63166"/>
    <w:rsid w:val="00C63C08"/>
    <w:rsid w:val="00C646BC"/>
    <w:rsid w:val="00C64E1F"/>
    <w:rsid w:val="00C6512C"/>
    <w:rsid w:val="00C662A2"/>
    <w:rsid w:val="00C664F8"/>
    <w:rsid w:val="00C6654C"/>
    <w:rsid w:val="00C668BA"/>
    <w:rsid w:val="00C66D75"/>
    <w:rsid w:val="00C66EE7"/>
    <w:rsid w:val="00C6733A"/>
    <w:rsid w:val="00C67A95"/>
    <w:rsid w:val="00C67BC1"/>
    <w:rsid w:val="00C67C41"/>
    <w:rsid w:val="00C67E0E"/>
    <w:rsid w:val="00C70164"/>
    <w:rsid w:val="00C703C3"/>
    <w:rsid w:val="00C704CA"/>
    <w:rsid w:val="00C705B2"/>
    <w:rsid w:val="00C705D1"/>
    <w:rsid w:val="00C709C7"/>
    <w:rsid w:val="00C70A84"/>
    <w:rsid w:val="00C70BE2"/>
    <w:rsid w:val="00C70F5F"/>
    <w:rsid w:val="00C70FA6"/>
    <w:rsid w:val="00C7112E"/>
    <w:rsid w:val="00C71283"/>
    <w:rsid w:val="00C71331"/>
    <w:rsid w:val="00C716DC"/>
    <w:rsid w:val="00C71980"/>
    <w:rsid w:val="00C71B1E"/>
    <w:rsid w:val="00C71BB6"/>
    <w:rsid w:val="00C71E1E"/>
    <w:rsid w:val="00C71E32"/>
    <w:rsid w:val="00C721E2"/>
    <w:rsid w:val="00C7267C"/>
    <w:rsid w:val="00C72817"/>
    <w:rsid w:val="00C72A6F"/>
    <w:rsid w:val="00C72B42"/>
    <w:rsid w:val="00C72DDA"/>
    <w:rsid w:val="00C72EB6"/>
    <w:rsid w:val="00C72F9E"/>
    <w:rsid w:val="00C730F4"/>
    <w:rsid w:val="00C73631"/>
    <w:rsid w:val="00C7375F"/>
    <w:rsid w:val="00C73BF4"/>
    <w:rsid w:val="00C73C92"/>
    <w:rsid w:val="00C74CF1"/>
    <w:rsid w:val="00C75009"/>
    <w:rsid w:val="00C75BDE"/>
    <w:rsid w:val="00C75E63"/>
    <w:rsid w:val="00C761E7"/>
    <w:rsid w:val="00C763B4"/>
    <w:rsid w:val="00C76698"/>
    <w:rsid w:val="00C76D3A"/>
    <w:rsid w:val="00C76D8E"/>
    <w:rsid w:val="00C76E87"/>
    <w:rsid w:val="00C774DE"/>
    <w:rsid w:val="00C77509"/>
    <w:rsid w:val="00C77720"/>
    <w:rsid w:val="00C7782B"/>
    <w:rsid w:val="00C77991"/>
    <w:rsid w:val="00C77EEA"/>
    <w:rsid w:val="00C801D7"/>
    <w:rsid w:val="00C804A3"/>
    <w:rsid w:val="00C81212"/>
    <w:rsid w:val="00C8123D"/>
    <w:rsid w:val="00C8134E"/>
    <w:rsid w:val="00C8160F"/>
    <w:rsid w:val="00C817E7"/>
    <w:rsid w:val="00C81AF0"/>
    <w:rsid w:val="00C81B30"/>
    <w:rsid w:val="00C81B83"/>
    <w:rsid w:val="00C82158"/>
    <w:rsid w:val="00C8219C"/>
    <w:rsid w:val="00C824BE"/>
    <w:rsid w:val="00C8255C"/>
    <w:rsid w:val="00C8259C"/>
    <w:rsid w:val="00C826CC"/>
    <w:rsid w:val="00C82B74"/>
    <w:rsid w:val="00C830B2"/>
    <w:rsid w:val="00C832BB"/>
    <w:rsid w:val="00C8335A"/>
    <w:rsid w:val="00C83574"/>
    <w:rsid w:val="00C8360D"/>
    <w:rsid w:val="00C8366F"/>
    <w:rsid w:val="00C83707"/>
    <w:rsid w:val="00C8394B"/>
    <w:rsid w:val="00C8402B"/>
    <w:rsid w:val="00C840FC"/>
    <w:rsid w:val="00C84234"/>
    <w:rsid w:val="00C84470"/>
    <w:rsid w:val="00C84E4A"/>
    <w:rsid w:val="00C8618E"/>
    <w:rsid w:val="00C8628D"/>
    <w:rsid w:val="00C8647E"/>
    <w:rsid w:val="00C865CA"/>
    <w:rsid w:val="00C866D9"/>
    <w:rsid w:val="00C8679D"/>
    <w:rsid w:val="00C867FF"/>
    <w:rsid w:val="00C86B51"/>
    <w:rsid w:val="00C86CD3"/>
    <w:rsid w:val="00C86D21"/>
    <w:rsid w:val="00C87198"/>
    <w:rsid w:val="00C872DF"/>
    <w:rsid w:val="00C87350"/>
    <w:rsid w:val="00C87398"/>
    <w:rsid w:val="00C875B9"/>
    <w:rsid w:val="00C8766C"/>
    <w:rsid w:val="00C877BE"/>
    <w:rsid w:val="00C900C2"/>
    <w:rsid w:val="00C90170"/>
    <w:rsid w:val="00C906C0"/>
    <w:rsid w:val="00C90BDD"/>
    <w:rsid w:val="00C9138E"/>
    <w:rsid w:val="00C914C7"/>
    <w:rsid w:val="00C91556"/>
    <w:rsid w:val="00C915B2"/>
    <w:rsid w:val="00C916EA"/>
    <w:rsid w:val="00C91AF9"/>
    <w:rsid w:val="00C9230A"/>
    <w:rsid w:val="00C9241C"/>
    <w:rsid w:val="00C92567"/>
    <w:rsid w:val="00C9280A"/>
    <w:rsid w:val="00C92B03"/>
    <w:rsid w:val="00C92C4B"/>
    <w:rsid w:val="00C92F9C"/>
    <w:rsid w:val="00C935D2"/>
    <w:rsid w:val="00C93910"/>
    <w:rsid w:val="00C93B8E"/>
    <w:rsid w:val="00C93E58"/>
    <w:rsid w:val="00C94A17"/>
    <w:rsid w:val="00C9500B"/>
    <w:rsid w:val="00C952C9"/>
    <w:rsid w:val="00C95592"/>
    <w:rsid w:val="00C95661"/>
    <w:rsid w:val="00C95692"/>
    <w:rsid w:val="00C95A0D"/>
    <w:rsid w:val="00C95CA0"/>
    <w:rsid w:val="00C95D4A"/>
    <w:rsid w:val="00C964DE"/>
    <w:rsid w:val="00C9699A"/>
    <w:rsid w:val="00C969B3"/>
    <w:rsid w:val="00C96BDF"/>
    <w:rsid w:val="00C96ED3"/>
    <w:rsid w:val="00C97269"/>
    <w:rsid w:val="00CA0065"/>
    <w:rsid w:val="00CA0593"/>
    <w:rsid w:val="00CA0AE0"/>
    <w:rsid w:val="00CA0B73"/>
    <w:rsid w:val="00CA0C04"/>
    <w:rsid w:val="00CA0CB6"/>
    <w:rsid w:val="00CA0E0C"/>
    <w:rsid w:val="00CA11DA"/>
    <w:rsid w:val="00CA12F4"/>
    <w:rsid w:val="00CA18E9"/>
    <w:rsid w:val="00CA1D87"/>
    <w:rsid w:val="00CA2274"/>
    <w:rsid w:val="00CA2447"/>
    <w:rsid w:val="00CA261F"/>
    <w:rsid w:val="00CA2918"/>
    <w:rsid w:val="00CA2D33"/>
    <w:rsid w:val="00CA2DE0"/>
    <w:rsid w:val="00CA2E99"/>
    <w:rsid w:val="00CA3C20"/>
    <w:rsid w:val="00CA3D33"/>
    <w:rsid w:val="00CA3D57"/>
    <w:rsid w:val="00CA3EE0"/>
    <w:rsid w:val="00CA43B1"/>
    <w:rsid w:val="00CA4745"/>
    <w:rsid w:val="00CA48B6"/>
    <w:rsid w:val="00CA49CB"/>
    <w:rsid w:val="00CA4A71"/>
    <w:rsid w:val="00CA4E40"/>
    <w:rsid w:val="00CA51B4"/>
    <w:rsid w:val="00CA521B"/>
    <w:rsid w:val="00CA543F"/>
    <w:rsid w:val="00CA55CD"/>
    <w:rsid w:val="00CA56B0"/>
    <w:rsid w:val="00CA5ED5"/>
    <w:rsid w:val="00CA6019"/>
    <w:rsid w:val="00CA61F9"/>
    <w:rsid w:val="00CA63EA"/>
    <w:rsid w:val="00CA671D"/>
    <w:rsid w:val="00CA6898"/>
    <w:rsid w:val="00CA71EA"/>
    <w:rsid w:val="00CA7618"/>
    <w:rsid w:val="00CA7BAD"/>
    <w:rsid w:val="00CA7F77"/>
    <w:rsid w:val="00CB07BA"/>
    <w:rsid w:val="00CB0BC6"/>
    <w:rsid w:val="00CB0C65"/>
    <w:rsid w:val="00CB0E41"/>
    <w:rsid w:val="00CB0E42"/>
    <w:rsid w:val="00CB0FA1"/>
    <w:rsid w:val="00CB1185"/>
    <w:rsid w:val="00CB1F8F"/>
    <w:rsid w:val="00CB3251"/>
    <w:rsid w:val="00CB3727"/>
    <w:rsid w:val="00CB38FA"/>
    <w:rsid w:val="00CB412D"/>
    <w:rsid w:val="00CB46B4"/>
    <w:rsid w:val="00CB50C9"/>
    <w:rsid w:val="00CB532F"/>
    <w:rsid w:val="00CB5330"/>
    <w:rsid w:val="00CB536B"/>
    <w:rsid w:val="00CB547D"/>
    <w:rsid w:val="00CB54AA"/>
    <w:rsid w:val="00CB5B16"/>
    <w:rsid w:val="00CB5BC6"/>
    <w:rsid w:val="00CB60E0"/>
    <w:rsid w:val="00CB6720"/>
    <w:rsid w:val="00CB69DF"/>
    <w:rsid w:val="00CB6A87"/>
    <w:rsid w:val="00CB6D1C"/>
    <w:rsid w:val="00CB6D74"/>
    <w:rsid w:val="00CB6E15"/>
    <w:rsid w:val="00CB75C3"/>
    <w:rsid w:val="00CB7874"/>
    <w:rsid w:val="00CC03B6"/>
    <w:rsid w:val="00CC0DA5"/>
    <w:rsid w:val="00CC0E69"/>
    <w:rsid w:val="00CC0FBB"/>
    <w:rsid w:val="00CC1367"/>
    <w:rsid w:val="00CC1B32"/>
    <w:rsid w:val="00CC1CE7"/>
    <w:rsid w:val="00CC1F78"/>
    <w:rsid w:val="00CC22A5"/>
    <w:rsid w:val="00CC23F4"/>
    <w:rsid w:val="00CC2AA1"/>
    <w:rsid w:val="00CC32C5"/>
    <w:rsid w:val="00CC36C5"/>
    <w:rsid w:val="00CC36CD"/>
    <w:rsid w:val="00CC3A63"/>
    <w:rsid w:val="00CC3D3F"/>
    <w:rsid w:val="00CC3DB6"/>
    <w:rsid w:val="00CC3E48"/>
    <w:rsid w:val="00CC46E7"/>
    <w:rsid w:val="00CC47B2"/>
    <w:rsid w:val="00CC47F7"/>
    <w:rsid w:val="00CC5224"/>
    <w:rsid w:val="00CC5CC7"/>
    <w:rsid w:val="00CC6076"/>
    <w:rsid w:val="00CC64E4"/>
    <w:rsid w:val="00CC65B6"/>
    <w:rsid w:val="00CC69E1"/>
    <w:rsid w:val="00CC6B30"/>
    <w:rsid w:val="00CC6D7D"/>
    <w:rsid w:val="00CC6EB4"/>
    <w:rsid w:val="00CC784D"/>
    <w:rsid w:val="00CC7BE3"/>
    <w:rsid w:val="00CC7D08"/>
    <w:rsid w:val="00CD00B0"/>
    <w:rsid w:val="00CD03B0"/>
    <w:rsid w:val="00CD0753"/>
    <w:rsid w:val="00CD085F"/>
    <w:rsid w:val="00CD0A35"/>
    <w:rsid w:val="00CD0BC8"/>
    <w:rsid w:val="00CD0BF0"/>
    <w:rsid w:val="00CD0F7B"/>
    <w:rsid w:val="00CD1098"/>
    <w:rsid w:val="00CD1AE1"/>
    <w:rsid w:val="00CD1F21"/>
    <w:rsid w:val="00CD232F"/>
    <w:rsid w:val="00CD236D"/>
    <w:rsid w:val="00CD282A"/>
    <w:rsid w:val="00CD2BAF"/>
    <w:rsid w:val="00CD2C40"/>
    <w:rsid w:val="00CD3721"/>
    <w:rsid w:val="00CD3B24"/>
    <w:rsid w:val="00CD3F1A"/>
    <w:rsid w:val="00CD3FB1"/>
    <w:rsid w:val="00CD4048"/>
    <w:rsid w:val="00CD472D"/>
    <w:rsid w:val="00CD4881"/>
    <w:rsid w:val="00CD4A6C"/>
    <w:rsid w:val="00CD4B1E"/>
    <w:rsid w:val="00CD4C58"/>
    <w:rsid w:val="00CD4D51"/>
    <w:rsid w:val="00CD4ED4"/>
    <w:rsid w:val="00CD541A"/>
    <w:rsid w:val="00CD5921"/>
    <w:rsid w:val="00CD5958"/>
    <w:rsid w:val="00CD5A60"/>
    <w:rsid w:val="00CD5B55"/>
    <w:rsid w:val="00CD5C63"/>
    <w:rsid w:val="00CD5DBB"/>
    <w:rsid w:val="00CD63D6"/>
    <w:rsid w:val="00CD6A04"/>
    <w:rsid w:val="00CD6ADC"/>
    <w:rsid w:val="00CD6B19"/>
    <w:rsid w:val="00CD6D5C"/>
    <w:rsid w:val="00CD72BA"/>
    <w:rsid w:val="00CD72C9"/>
    <w:rsid w:val="00CD72FF"/>
    <w:rsid w:val="00CD7494"/>
    <w:rsid w:val="00CD75F3"/>
    <w:rsid w:val="00CD769E"/>
    <w:rsid w:val="00CD76AB"/>
    <w:rsid w:val="00CD7E27"/>
    <w:rsid w:val="00CE07E4"/>
    <w:rsid w:val="00CE090F"/>
    <w:rsid w:val="00CE091E"/>
    <w:rsid w:val="00CE0AEC"/>
    <w:rsid w:val="00CE0E20"/>
    <w:rsid w:val="00CE111B"/>
    <w:rsid w:val="00CE188D"/>
    <w:rsid w:val="00CE1B26"/>
    <w:rsid w:val="00CE1D67"/>
    <w:rsid w:val="00CE1EC5"/>
    <w:rsid w:val="00CE2281"/>
    <w:rsid w:val="00CE30BB"/>
    <w:rsid w:val="00CE3190"/>
    <w:rsid w:val="00CE3953"/>
    <w:rsid w:val="00CE3963"/>
    <w:rsid w:val="00CE3FE9"/>
    <w:rsid w:val="00CE406E"/>
    <w:rsid w:val="00CE40AC"/>
    <w:rsid w:val="00CE40F5"/>
    <w:rsid w:val="00CE474F"/>
    <w:rsid w:val="00CE49D7"/>
    <w:rsid w:val="00CE4A91"/>
    <w:rsid w:val="00CE4BC9"/>
    <w:rsid w:val="00CE507F"/>
    <w:rsid w:val="00CE519E"/>
    <w:rsid w:val="00CE53BD"/>
    <w:rsid w:val="00CE5506"/>
    <w:rsid w:val="00CE5622"/>
    <w:rsid w:val="00CE5F4C"/>
    <w:rsid w:val="00CE65BE"/>
    <w:rsid w:val="00CE6722"/>
    <w:rsid w:val="00CE674F"/>
    <w:rsid w:val="00CE6915"/>
    <w:rsid w:val="00CE696E"/>
    <w:rsid w:val="00CE6B57"/>
    <w:rsid w:val="00CE74E0"/>
    <w:rsid w:val="00CE7547"/>
    <w:rsid w:val="00CE7821"/>
    <w:rsid w:val="00CE7C5F"/>
    <w:rsid w:val="00CF0204"/>
    <w:rsid w:val="00CF053F"/>
    <w:rsid w:val="00CF0616"/>
    <w:rsid w:val="00CF07AF"/>
    <w:rsid w:val="00CF0F51"/>
    <w:rsid w:val="00CF10B6"/>
    <w:rsid w:val="00CF11C8"/>
    <w:rsid w:val="00CF122C"/>
    <w:rsid w:val="00CF194E"/>
    <w:rsid w:val="00CF1D3B"/>
    <w:rsid w:val="00CF1DEB"/>
    <w:rsid w:val="00CF2151"/>
    <w:rsid w:val="00CF23C8"/>
    <w:rsid w:val="00CF2457"/>
    <w:rsid w:val="00CF24C6"/>
    <w:rsid w:val="00CF25DF"/>
    <w:rsid w:val="00CF2678"/>
    <w:rsid w:val="00CF27B3"/>
    <w:rsid w:val="00CF3429"/>
    <w:rsid w:val="00CF3577"/>
    <w:rsid w:val="00CF359A"/>
    <w:rsid w:val="00CF3A38"/>
    <w:rsid w:val="00CF3C2D"/>
    <w:rsid w:val="00CF40A1"/>
    <w:rsid w:val="00CF416A"/>
    <w:rsid w:val="00CF41CB"/>
    <w:rsid w:val="00CF4332"/>
    <w:rsid w:val="00CF49A1"/>
    <w:rsid w:val="00CF4A28"/>
    <w:rsid w:val="00CF4E4E"/>
    <w:rsid w:val="00CF4E5F"/>
    <w:rsid w:val="00CF50B8"/>
    <w:rsid w:val="00CF5BF8"/>
    <w:rsid w:val="00CF64B8"/>
    <w:rsid w:val="00CF6E26"/>
    <w:rsid w:val="00CF6E4B"/>
    <w:rsid w:val="00CF7016"/>
    <w:rsid w:val="00CF729D"/>
    <w:rsid w:val="00CF72DD"/>
    <w:rsid w:val="00CF73E5"/>
    <w:rsid w:val="00CF73F0"/>
    <w:rsid w:val="00CF7466"/>
    <w:rsid w:val="00CF7546"/>
    <w:rsid w:val="00CF7A67"/>
    <w:rsid w:val="00CF7ACE"/>
    <w:rsid w:val="00CF7AF8"/>
    <w:rsid w:val="00CF7D15"/>
    <w:rsid w:val="00D002B4"/>
    <w:rsid w:val="00D002B6"/>
    <w:rsid w:val="00D00385"/>
    <w:rsid w:val="00D00523"/>
    <w:rsid w:val="00D005A7"/>
    <w:rsid w:val="00D007A9"/>
    <w:rsid w:val="00D0099F"/>
    <w:rsid w:val="00D0105F"/>
    <w:rsid w:val="00D01385"/>
    <w:rsid w:val="00D014B4"/>
    <w:rsid w:val="00D015D7"/>
    <w:rsid w:val="00D01AC8"/>
    <w:rsid w:val="00D01D3D"/>
    <w:rsid w:val="00D01EDC"/>
    <w:rsid w:val="00D0212F"/>
    <w:rsid w:val="00D02771"/>
    <w:rsid w:val="00D02C6A"/>
    <w:rsid w:val="00D0345B"/>
    <w:rsid w:val="00D03CFF"/>
    <w:rsid w:val="00D03EB9"/>
    <w:rsid w:val="00D0413A"/>
    <w:rsid w:val="00D04BF0"/>
    <w:rsid w:val="00D05D88"/>
    <w:rsid w:val="00D06784"/>
    <w:rsid w:val="00D067F2"/>
    <w:rsid w:val="00D0686A"/>
    <w:rsid w:val="00D06905"/>
    <w:rsid w:val="00D06BA1"/>
    <w:rsid w:val="00D06F5F"/>
    <w:rsid w:val="00D07223"/>
    <w:rsid w:val="00D07420"/>
    <w:rsid w:val="00D075DD"/>
    <w:rsid w:val="00D07CC3"/>
    <w:rsid w:val="00D102B0"/>
    <w:rsid w:val="00D104D5"/>
    <w:rsid w:val="00D10625"/>
    <w:rsid w:val="00D10755"/>
    <w:rsid w:val="00D10CFD"/>
    <w:rsid w:val="00D11599"/>
    <w:rsid w:val="00D11D9F"/>
    <w:rsid w:val="00D11DD1"/>
    <w:rsid w:val="00D121A9"/>
    <w:rsid w:val="00D124C3"/>
    <w:rsid w:val="00D12C10"/>
    <w:rsid w:val="00D13185"/>
    <w:rsid w:val="00D13293"/>
    <w:rsid w:val="00D13499"/>
    <w:rsid w:val="00D13CAC"/>
    <w:rsid w:val="00D13D38"/>
    <w:rsid w:val="00D1437B"/>
    <w:rsid w:val="00D14869"/>
    <w:rsid w:val="00D14990"/>
    <w:rsid w:val="00D14B92"/>
    <w:rsid w:val="00D14BFC"/>
    <w:rsid w:val="00D151BB"/>
    <w:rsid w:val="00D158DD"/>
    <w:rsid w:val="00D1599C"/>
    <w:rsid w:val="00D15B5D"/>
    <w:rsid w:val="00D15BF5"/>
    <w:rsid w:val="00D16A92"/>
    <w:rsid w:val="00D16CB7"/>
    <w:rsid w:val="00D173D6"/>
    <w:rsid w:val="00D17618"/>
    <w:rsid w:val="00D1780D"/>
    <w:rsid w:val="00D179F9"/>
    <w:rsid w:val="00D17D99"/>
    <w:rsid w:val="00D17F24"/>
    <w:rsid w:val="00D20482"/>
    <w:rsid w:val="00D205BB"/>
    <w:rsid w:val="00D205C0"/>
    <w:rsid w:val="00D20E08"/>
    <w:rsid w:val="00D210E3"/>
    <w:rsid w:val="00D2125B"/>
    <w:rsid w:val="00D214EF"/>
    <w:rsid w:val="00D2166D"/>
    <w:rsid w:val="00D2174C"/>
    <w:rsid w:val="00D21960"/>
    <w:rsid w:val="00D21E4B"/>
    <w:rsid w:val="00D21E51"/>
    <w:rsid w:val="00D21F3B"/>
    <w:rsid w:val="00D2222A"/>
    <w:rsid w:val="00D22253"/>
    <w:rsid w:val="00D2231A"/>
    <w:rsid w:val="00D2280E"/>
    <w:rsid w:val="00D230A1"/>
    <w:rsid w:val="00D232C4"/>
    <w:rsid w:val="00D242C5"/>
    <w:rsid w:val="00D243A1"/>
    <w:rsid w:val="00D2497A"/>
    <w:rsid w:val="00D24A96"/>
    <w:rsid w:val="00D24A9D"/>
    <w:rsid w:val="00D25642"/>
    <w:rsid w:val="00D261DC"/>
    <w:rsid w:val="00D26236"/>
    <w:rsid w:val="00D26640"/>
    <w:rsid w:val="00D266EB"/>
    <w:rsid w:val="00D266F4"/>
    <w:rsid w:val="00D2671B"/>
    <w:rsid w:val="00D26958"/>
    <w:rsid w:val="00D26DCF"/>
    <w:rsid w:val="00D27250"/>
    <w:rsid w:val="00D274E6"/>
    <w:rsid w:val="00D27650"/>
    <w:rsid w:val="00D27826"/>
    <w:rsid w:val="00D278CB"/>
    <w:rsid w:val="00D30436"/>
    <w:rsid w:val="00D307F3"/>
    <w:rsid w:val="00D31B43"/>
    <w:rsid w:val="00D32044"/>
    <w:rsid w:val="00D32085"/>
    <w:rsid w:val="00D324F9"/>
    <w:rsid w:val="00D32598"/>
    <w:rsid w:val="00D32BA7"/>
    <w:rsid w:val="00D32FE0"/>
    <w:rsid w:val="00D333F2"/>
    <w:rsid w:val="00D33516"/>
    <w:rsid w:val="00D339E8"/>
    <w:rsid w:val="00D33D06"/>
    <w:rsid w:val="00D3410C"/>
    <w:rsid w:val="00D3444D"/>
    <w:rsid w:val="00D3452D"/>
    <w:rsid w:val="00D34730"/>
    <w:rsid w:val="00D3478D"/>
    <w:rsid w:val="00D347BF"/>
    <w:rsid w:val="00D34C49"/>
    <w:rsid w:val="00D34FB5"/>
    <w:rsid w:val="00D3508D"/>
    <w:rsid w:val="00D35146"/>
    <w:rsid w:val="00D353A8"/>
    <w:rsid w:val="00D3559E"/>
    <w:rsid w:val="00D35639"/>
    <w:rsid w:val="00D3566C"/>
    <w:rsid w:val="00D35890"/>
    <w:rsid w:val="00D358D0"/>
    <w:rsid w:val="00D35DE3"/>
    <w:rsid w:val="00D35E10"/>
    <w:rsid w:val="00D363C3"/>
    <w:rsid w:val="00D363F7"/>
    <w:rsid w:val="00D364DB"/>
    <w:rsid w:val="00D3660E"/>
    <w:rsid w:val="00D36706"/>
    <w:rsid w:val="00D36B39"/>
    <w:rsid w:val="00D36F50"/>
    <w:rsid w:val="00D37672"/>
    <w:rsid w:val="00D378DC"/>
    <w:rsid w:val="00D37CD2"/>
    <w:rsid w:val="00D37D17"/>
    <w:rsid w:val="00D37DD6"/>
    <w:rsid w:val="00D37E6F"/>
    <w:rsid w:val="00D40152"/>
    <w:rsid w:val="00D40376"/>
    <w:rsid w:val="00D40575"/>
    <w:rsid w:val="00D405F7"/>
    <w:rsid w:val="00D411AF"/>
    <w:rsid w:val="00D419EA"/>
    <w:rsid w:val="00D41A5F"/>
    <w:rsid w:val="00D426E9"/>
    <w:rsid w:val="00D42821"/>
    <w:rsid w:val="00D4297F"/>
    <w:rsid w:val="00D42DDB"/>
    <w:rsid w:val="00D42FFA"/>
    <w:rsid w:val="00D4321D"/>
    <w:rsid w:val="00D436FA"/>
    <w:rsid w:val="00D437FE"/>
    <w:rsid w:val="00D43E40"/>
    <w:rsid w:val="00D43EF4"/>
    <w:rsid w:val="00D4424E"/>
    <w:rsid w:val="00D443DD"/>
    <w:rsid w:val="00D4459D"/>
    <w:rsid w:val="00D44AB8"/>
    <w:rsid w:val="00D44CD0"/>
    <w:rsid w:val="00D44EB6"/>
    <w:rsid w:val="00D4517D"/>
    <w:rsid w:val="00D456FF"/>
    <w:rsid w:val="00D463E4"/>
    <w:rsid w:val="00D46572"/>
    <w:rsid w:val="00D46A3A"/>
    <w:rsid w:val="00D46D48"/>
    <w:rsid w:val="00D4728F"/>
    <w:rsid w:val="00D47512"/>
    <w:rsid w:val="00D47648"/>
    <w:rsid w:val="00D47A43"/>
    <w:rsid w:val="00D47B80"/>
    <w:rsid w:val="00D50082"/>
    <w:rsid w:val="00D501D7"/>
    <w:rsid w:val="00D5036C"/>
    <w:rsid w:val="00D50AA4"/>
    <w:rsid w:val="00D519FB"/>
    <w:rsid w:val="00D52549"/>
    <w:rsid w:val="00D52644"/>
    <w:rsid w:val="00D52C9B"/>
    <w:rsid w:val="00D53938"/>
    <w:rsid w:val="00D53FCC"/>
    <w:rsid w:val="00D54687"/>
    <w:rsid w:val="00D547A0"/>
    <w:rsid w:val="00D54DB2"/>
    <w:rsid w:val="00D55069"/>
    <w:rsid w:val="00D552E4"/>
    <w:rsid w:val="00D55A9C"/>
    <w:rsid w:val="00D5659D"/>
    <w:rsid w:val="00D56BCB"/>
    <w:rsid w:val="00D56C64"/>
    <w:rsid w:val="00D5725B"/>
    <w:rsid w:val="00D577E1"/>
    <w:rsid w:val="00D57837"/>
    <w:rsid w:val="00D5787C"/>
    <w:rsid w:val="00D5789F"/>
    <w:rsid w:val="00D57904"/>
    <w:rsid w:val="00D57AE2"/>
    <w:rsid w:val="00D57B8E"/>
    <w:rsid w:val="00D6021F"/>
    <w:rsid w:val="00D60220"/>
    <w:rsid w:val="00D60710"/>
    <w:rsid w:val="00D60784"/>
    <w:rsid w:val="00D61016"/>
    <w:rsid w:val="00D61236"/>
    <w:rsid w:val="00D614E0"/>
    <w:rsid w:val="00D61874"/>
    <w:rsid w:val="00D61B8C"/>
    <w:rsid w:val="00D626A2"/>
    <w:rsid w:val="00D627ED"/>
    <w:rsid w:val="00D62ACB"/>
    <w:rsid w:val="00D62DE4"/>
    <w:rsid w:val="00D62DEA"/>
    <w:rsid w:val="00D63332"/>
    <w:rsid w:val="00D63C70"/>
    <w:rsid w:val="00D6423E"/>
    <w:rsid w:val="00D64C8B"/>
    <w:rsid w:val="00D64F50"/>
    <w:rsid w:val="00D659DD"/>
    <w:rsid w:val="00D65AF9"/>
    <w:rsid w:val="00D65BFB"/>
    <w:rsid w:val="00D660D4"/>
    <w:rsid w:val="00D66204"/>
    <w:rsid w:val="00D66ED2"/>
    <w:rsid w:val="00D66FE8"/>
    <w:rsid w:val="00D6713D"/>
    <w:rsid w:val="00D70069"/>
    <w:rsid w:val="00D70503"/>
    <w:rsid w:val="00D70A6A"/>
    <w:rsid w:val="00D70AF7"/>
    <w:rsid w:val="00D70FB6"/>
    <w:rsid w:val="00D71041"/>
    <w:rsid w:val="00D7128A"/>
    <w:rsid w:val="00D714DF"/>
    <w:rsid w:val="00D71720"/>
    <w:rsid w:val="00D71B16"/>
    <w:rsid w:val="00D71DE4"/>
    <w:rsid w:val="00D71DF9"/>
    <w:rsid w:val="00D71F6C"/>
    <w:rsid w:val="00D721E2"/>
    <w:rsid w:val="00D72257"/>
    <w:rsid w:val="00D726AA"/>
    <w:rsid w:val="00D726C0"/>
    <w:rsid w:val="00D7274D"/>
    <w:rsid w:val="00D729CF"/>
    <w:rsid w:val="00D730AB"/>
    <w:rsid w:val="00D7324B"/>
    <w:rsid w:val="00D7354D"/>
    <w:rsid w:val="00D73660"/>
    <w:rsid w:val="00D7392B"/>
    <w:rsid w:val="00D7399E"/>
    <w:rsid w:val="00D73E03"/>
    <w:rsid w:val="00D745D0"/>
    <w:rsid w:val="00D74651"/>
    <w:rsid w:val="00D74817"/>
    <w:rsid w:val="00D749F0"/>
    <w:rsid w:val="00D74A0E"/>
    <w:rsid w:val="00D74C56"/>
    <w:rsid w:val="00D74D0E"/>
    <w:rsid w:val="00D74DBD"/>
    <w:rsid w:val="00D74E30"/>
    <w:rsid w:val="00D7562E"/>
    <w:rsid w:val="00D7569A"/>
    <w:rsid w:val="00D75E2A"/>
    <w:rsid w:val="00D75E5A"/>
    <w:rsid w:val="00D762D2"/>
    <w:rsid w:val="00D764A4"/>
    <w:rsid w:val="00D7669F"/>
    <w:rsid w:val="00D7670E"/>
    <w:rsid w:val="00D769FE"/>
    <w:rsid w:val="00D76BD5"/>
    <w:rsid w:val="00D76E98"/>
    <w:rsid w:val="00D76FBA"/>
    <w:rsid w:val="00D77058"/>
    <w:rsid w:val="00D77329"/>
    <w:rsid w:val="00D778DB"/>
    <w:rsid w:val="00D77AD9"/>
    <w:rsid w:val="00D77AE6"/>
    <w:rsid w:val="00D77E2A"/>
    <w:rsid w:val="00D800ED"/>
    <w:rsid w:val="00D8052C"/>
    <w:rsid w:val="00D806A3"/>
    <w:rsid w:val="00D80703"/>
    <w:rsid w:val="00D80CD3"/>
    <w:rsid w:val="00D81BCD"/>
    <w:rsid w:val="00D81C5D"/>
    <w:rsid w:val="00D82659"/>
    <w:rsid w:val="00D83130"/>
    <w:rsid w:val="00D83925"/>
    <w:rsid w:val="00D83D35"/>
    <w:rsid w:val="00D83D37"/>
    <w:rsid w:val="00D83D84"/>
    <w:rsid w:val="00D83FB6"/>
    <w:rsid w:val="00D841D0"/>
    <w:rsid w:val="00D8435D"/>
    <w:rsid w:val="00D84411"/>
    <w:rsid w:val="00D845AD"/>
    <w:rsid w:val="00D848AA"/>
    <w:rsid w:val="00D84DF3"/>
    <w:rsid w:val="00D84EC7"/>
    <w:rsid w:val="00D84F83"/>
    <w:rsid w:val="00D852AA"/>
    <w:rsid w:val="00D85328"/>
    <w:rsid w:val="00D855FC"/>
    <w:rsid w:val="00D8609A"/>
    <w:rsid w:val="00D86594"/>
    <w:rsid w:val="00D8677B"/>
    <w:rsid w:val="00D869A0"/>
    <w:rsid w:val="00D86A17"/>
    <w:rsid w:val="00D86BB1"/>
    <w:rsid w:val="00D86F3B"/>
    <w:rsid w:val="00D872C0"/>
    <w:rsid w:val="00D876DE"/>
    <w:rsid w:val="00D877ED"/>
    <w:rsid w:val="00D87903"/>
    <w:rsid w:val="00D87957"/>
    <w:rsid w:val="00D87D92"/>
    <w:rsid w:val="00D87EA5"/>
    <w:rsid w:val="00D90350"/>
    <w:rsid w:val="00D90505"/>
    <w:rsid w:val="00D90775"/>
    <w:rsid w:val="00D90F35"/>
    <w:rsid w:val="00D91016"/>
    <w:rsid w:val="00D9112C"/>
    <w:rsid w:val="00D9178C"/>
    <w:rsid w:val="00D9245C"/>
    <w:rsid w:val="00D924B9"/>
    <w:rsid w:val="00D927E5"/>
    <w:rsid w:val="00D92843"/>
    <w:rsid w:val="00D92C4A"/>
    <w:rsid w:val="00D92EB8"/>
    <w:rsid w:val="00D93009"/>
    <w:rsid w:val="00D93178"/>
    <w:rsid w:val="00D93253"/>
    <w:rsid w:val="00D9330C"/>
    <w:rsid w:val="00D93321"/>
    <w:rsid w:val="00D936AC"/>
    <w:rsid w:val="00D94054"/>
    <w:rsid w:val="00D9464E"/>
    <w:rsid w:val="00D947A3"/>
    <w:rsid w:val="00D94CBE"/>
    <w:rsid w:val="00D95523"/>
    <w:rsid w:val="00D9594F"/>
    <w:rsid w:val="00D95C73"/>
    <w:rsid w:val="00D95E0E"/>
    <w:rsid w:val="00D95EFF"/>
    <w:rsid w:val="00D95F4C"/>
    <w:rsid w:val="00D9639A"/>
    <w:rsid w:val="00D96710"/>
    <w:rsid w:val="00D96C41"/>
    <w:rsid w:val="00D976CF"/>
    <w:rsid w:val="00D97EBE"/>
    <w:rsid w:val="00DA00EC"/>
    <w:rsid w:val="00DA01B2"/>
    <w:rsid w:val="00DA023B"/>
    <w:rsid w:val="00DA056E"/>
    <w:rsid w:val="00DA06D4"/>
    <w:rsid w:val="00DA0DB4"/>
    <w:rsid w:val="00DA1472"/>
    <w:rsid w:val="00DA1AD8"/>
    <w:rsid w:val="00DA2084"/>
    <w:rsid w:val="00DA279F"/>
    <w:rsid w:val="00DA287D"/>
    <w:rsid w:val="00DA3893"/>
    <w:rsid w:val="00DA3F45"/>
    <w:rsid w:val="00DA4480"/>
    <w:rsid w:val="00DA4553"/>
    <w:rsid w:val="00DA4788"/>
    <w:rsid w:val="00DA48A0"/>
    <w:rsid w:val="00DA4CDC"/>
    <w:rsid w:val="00DA4E9B"/>
    <w:rsid w:val="00DA51DA"/>
    <w:rsid w:val="00DA53AA"/>
    <w:rsid w:val="00DA56AD"/>
    <w:rsid w:val="00DA5727"/>
    <w:rsid w:val="00DA588D"/>
    <w:rsid w:val="00DA5CC0"/>
    <w:rsid w:val="00DA62A0"/>
    <w:rsid w:val="00DA6A7B"/>
    <w:rsid w:val="00DA6BE2"/>
    <w:rsid w:val="00DA7023"/>
    <w:rsid w:val="00DA74D7"/>
    <w:rsid w:val="00DA782C"/>
    <w:rsid w:val="00DA7B1C"/>
    <w:rsid w:val="00DA7B5C"/>
    <w:rsid w:val="00DA7E31"/>
    <w:rsid w:val="00DA7F17"/>
    <w:rsid w:val="00DB0518"/>
    <w:rsid w:val="00DB08C1"/>
    <w:rsid w:val="00DB0EA1"/>
    <w:rsid w:val="00DB1039"/>
    <w:rsid w:val="00DB1152"/>
    <w:rsid w:val="00DB11C2"/>
    <w:rsid w:val="00DB136D"/>
    <w:rsid w:val="00DB1621"/>
    <w:rsid w:val="00DB17CC"/>
    <w:rsid w:val="00DB1DD7"/>
    <w:rsid w:val="00DB1F80"/>
    <w:rsid w:val="00DB2085"/>
    <w:rsid w:val="00DB275C"/>
    <w:rsid w:val="00DB2848"/>
    <w:rsid w:val="00DB2FA9"/>
    <w:rsid w:val="00DB31A0"/>
    <w:rsid w:val="00DB339A"/>
    <w:rsid w:val="00DB3A9F"/>
    <w:rsid w:val="00DB44B6"/>
    <w:rsid w:val="00DB470C"/>
    <w:rsid w:val="00DB487F"/>
    <w:rsid w:val="00DB48A4"/>
    <w:rsid w:val="00DB48E1"/>
    <w:rsid w:val="00DB4DCA"/>
    <w:rsid w:val="00DB4E59"/>
    <w:rsid w:val="00DB50D3"/>
    <w:rsid w:val="00DB5E86"/>
    <w:rsid w:val="00DB6655"/>
    <w:rsid w:val="00DB673C"/>
    <w:rsid w:val="00DB6971"/>
    <w:rsid w:val="00DB6A74"/>
    <w:rsid w:val="00DB6DEF"/>
    <w:rsid w:val="00DB7525"/>
    <w:rsid w:val="00DB75DC"/>
    <w:rsid w:val="00DB7D7F"/>
    <w:rsid w:val="00DC0308"/>
    <w:rsid w:val="00DC04BD"/>
    <w:rsid w:val="00DC054D"/>
    <w:rsid w:val="00DC10DF"/>
    <w:rsid w:val="00DC18E5"/>
    <w:rsid w:val="00DC1982"/>
    <w:rsid w:val="00DC1BAB"/>
    <w:rsid w:val="00DC1D3F"/>
    <w:rsid w:val="00DC1F84"/>
    <w:rsid w:val="00DC1FCB"/>
    <w:rsid w:val="00DC22FB"/>
    <w:rsid w:val="00DC2545"/>
    <w:rsid w:val="00DC2CF1"/>
    <w:rsid w:val="00DC33A8"/>
    <w:rsid w:val="00DC348E"/>
    <w:rsid w:val="00DC369D"/>
    <w:rsid w:val="00DC3735"/>
    <w:rsid w:val="00DC3849"/>
    <w:rsid w:val="00DC3946"/>
    <w:rsid w:val="00DC3C4D"/>
    <w:rsid w:val="00DC3CAE"/>
    <w:rsid w:val="00DC3FC1"/>
    <w:rsid w:val="00DC4111"/>
    <w:rsid w:val="00DC44F3"/>
    <w:rsid w:val="00DC453F"/>
    <w:rsid w:val="00DC4615"/>
    <w:rsid w:val="00DC472E"/>
    <w:rsid w:val="00DC4A54"/>
    <w:rsid w:val="00DC4D13"/>
    <w:rsid w:val="00DC4E11"/>
    <w:rsid w:val="00DC51C0"/>
    <w:rsid w:val="00DC54B0"/>
    <w:rsid w:val="00DC55B8"/>
    <w:rsid w:val="00DC56C7"/>
    <w:rsid w:val="00DC581C"/>
    <w:rsid w:val="00DC5A3A"/>
    <w:rsid w:val="00DC5A6D"/>
    <w:rsid w:val="00DC5A92"/>
    <w:rsid w:val="00DC5ABE"/>
    <w:rsid w:val="00DC5FD7"/>
    <w:rsid w:val="00DC5FFA"/>
    <w:rsid w:val="00DC6215"/>
    <w:rsid w:val="00DC633C"/>
    <w:rsid w:val="00DC644F"/>
    <w:rsid w:val="00DC6530"/>
    <w:rsid w:val="00DC6608"/>
    <w:rsid w:val="00DC714B"/>
    <w:rsid w:val="00DC7373"/>
    <w:rsid w:val="00DC7417"/>
    <w:rsid w:val="00DC7616"/>
    <w:rsid w:val="00DC77D1"/>
    <w:rsid w:val="00DC784F"/>
    <w:rsid w:val="00DC7DE6"/>
    <w:rsid w:val="00DC7DF3"/>
    <w:rsid w:val="00DD010B"/>
    <w:rsid w:val="00DD01CE"/>
    <w:rsid w:val="00DD02BE"/>
    <w:rsid w:val="00DD02E5"/>
    <w:rsid w:val="00DD04E6"/>
    <w:rsid w:val="00DD08EE"/>
    <w:rsid w:val="00DD0B21"/>
    <w:rsid w:val="00DD0EC4"/>
    <w:rsid w:val="00DD1441"/>
    <w:rsid w:val="00DD1A89"/>
    <w:rsid w:val="00DD1FBB"/>
    <w:rsid w:val="00DD2D6E"/>
    <w:rsid w:val="00DD31EA"/>
    <w:rsid w:val="00DD34B8"/>
    <w:rsid w:val="00DD38E1"/>
    <w:rsid w:val="00DD3947"/>
    <w:rsid w:val="00DD3A57"/>
    <w:rsid w:val="00DD3B7F"/>
    <w:rsid w:val="00DD4094"/>
    <w:rsid w:val="00DD4580"/>
    <w:rsid w:val="00DD479B"/>
    <w:rsid w:val="00DD48CE"/>
    <w:rsid w:val="00DD4DFA"/>
    <w:rsid w:val="00DD5EE2"/>
    <w:rsid w:val="00DD5FC3"/>
    <w:rsid w:val="00DD61FF"/>
    <w:rsid w:val="00DD6843"/>
    <w:rsid w:val="00DD6923"/>
    <w:rsid w:val="00DD6E29"/>
    <w:rsid w:val="00DD6E6D"/>
    <w:rsid w:val="00DD7544"/>
    <w:rsid w:val="00DD7668"/>
    <w:rsid w:val="00DD76A5"/>
    <w:rsid w:val="00DD78A8"/>
    <w:rsid w:val="00DD796C"/>
    <w:rsid w:val="00DD7D55"/>
    <w:rsid w:val="00DE007D"/>
    <w:rsid w:val="00DE0108"/>
    <w:rsid w:val="00DE02FD"/>
    <w:rsid w:val="00DE0725"/>
    <w:rsid w:val="00DE0AA7"/>
    <w:rsid w:val="00DE0F7C"/>
    <w:rsid w:val="00DE11B7"/>
    <w:rsid w:val="00DE182F"/>
    <w:rsid w:val="00DE1BC5"/>
    <w:rsid w:val="00DE1D6B"/>
    <w:rsid w:val="00DE1DB8"/>
    <w:rsid w:val="00DE20B8"/>
    <w:rsid w:val="00DE24C2"/>
    <w:rsid w:val="00DE275A"/>
    <w:rsid w:val="00DE276C"/>
    <w:rsid w:val="00DE2B20"/>
    <w:rsid w:val="00DE2C82"/>
    <w:rsid w:val="00DE334A"/>
    <w:rsid w:val="00DE3378"/>
    <w:rsid w:val="00DE382B"/>
    <w:rsid w:val="00DE3F13"/>
    <w:rsid w:val="00DE4099"/>
    <w:rsid w:val="00DE415A"/>
    <w:rsid w:val="00DE436C"/>
    <w:rsid w:val="00DE478E"/>
    <w:rsid w:val="00DE4ABB"/>
    <w:rsid w:val="00DE4F7C"/>
    <w:rsid w:val="00DE50AC"/>
    <w:rsid w:val="00DE516F"/>
    <w:rsid w:val="00DE55BC"/>
    <w:rsid w:val="00DE63DF"/>
    <w:rsid w:val="00DE6426"/>
    <w:rsid w:val="00DE69A9"/>
    <w:rsid w:val="00DE6D93"/>
    <w:rsid w:val="00DE6E3B"/>
    <w:rsid w:val="00DE6FAA"/>
    <w:rsid w:val="00DE7026"/>
    <w:rsid w:val="00DE71D0"/>
    <w:rsid w:val="00DE7288"/>
    <w:rsid w:val="00DE7A4C"/>
    <w:rsid w:val="00DE7D2A"/>
    <w:rsid w:val="00DF05FD"/>
    <w:rsid w:val="00DF0BD3"/>
    <w:rsid w:val="00DF136E"/>
    <w:rsid w:val="00DF1D53"/>
    <w:rsid w:val="00DF1E32"/>
    <w:rsid w:val="00DF1FCD"/>
    <w:rsid w:val="00DF26BE"/>
    <w:rsid w:val="00DF27D7"/>
    <w:rsid w:val="00DF2A96"/>
    <w:rsid w:val="00DF3E27"/>
    <w:rsid w:val="00DF3F3B"/>
    <w:rsid w:val="00DF3FA6"/>
    <w:rsid w:val="00DF44BA"/>
    <w:rsid w:val="00DF4638"/>
    <w:rsid w:val="00DF4D16"/>
    <w:rsid w:val="00DF4DDB"/>
    <w:rsid w:val="00DF4E37"/>
    <w:rsid w:val="00DF5006"/>
    <w:rsid w:val="00DF5215"/>
    <w:rsid w:val="00DF58E2"/>
    <w:rsid w:val="00DF5927"/>
    <w:rsid w:val="00DF5A4B"/>
    <w:rsid w:val="00DF5CA7"/>
    <w:rsid w:val="00DF5CF0"/>
    <w:rsid w:val="00DF5D8E"/>
    <w:rsid w:val="00DF60B6"/>
    <w:rsid w:val="00DF62C5"/>
    <w:rsid w:val="00DF6936"/>
    <w:rsid w:val="00DF70A3"/>
    <w:rsid w:val="00DF7713"/>
    <w:rsid w:val="00DF77C6"/>
    <w:rsid w:val="00DF7993"/>
    <w:rsid w:val="00DF7CCA"/>
    <w:rsid w:val="00E00082"/>
    <w:rsid w:val="00E003D5"/>
    <w:rsid w:val="00E005E1"/>
    <w:rsid w:val="00E006CD"/>
    <w:rsid w:val="00E00F25"/>
    <w:rsid w:val="00E01892"/>
    <w:rsid w:val="00E018C7"/>
    <w:rsid w:val="00E018D8"/>
    <w:rsid w:val="00E01D1D"/>
    <w:rsid w:val="00E020C8"/>
    <w:rsid w:val="00E026E1"/>
    <w:rsid w:val="00E027B6"/>
    <w:rsid w:val="00E02973"/>
    <w:rsid w:val="00E02ACF"/>
    <w:rsid w:val="00E0363A"/>
    <w:rsid w:val="00E03CD2"/>
    <w:rsid w:val="00E040D1"/>
    <w:rsid w:val="00E0413B"/>
    <w:rsid w:val="00E046A5"/>
    <w:rsid w:val="00E047DD"/>
    <w:rsid w:val="00E049B4"/>
    <w:rsid w:val="00E04A5D"/>
    <w:rsid w:val="00E058B4"/>
    <w:rsid w:val="00E06157"/>
    <w:rsid w:val="00E063A7"/>
    <w:rsid w:val="00E06715"/>
    <w:rsid w:val="00E06D53"/>
    <w:rsid w:val="00E075E6"/>
    <w:rsid w:val="00E0777A"/>
    <w:rsid w:val="00E078E6"/>
    <w:rsid w:val="00E079B0"/>
    <w:rsid w:val="00E07B5A"/>
    <w:rsid w:val="00E10647"/>
    <w:rsid w:val="00E106A6"/>
    <w:rsid w:val="00E111F0"/>
    <w:rsid w:val="00E11765"/>
    <w:rsid w:val="00E1187E"/>
    <w:rsid w:val="00E11EA6"/>
    <w:rsid w:val="00E125A8"/>
    <w:rsid w:val="00E127E4"/>
    <w:rsid w:val="00E12E5B"/>
    <w:rsid w:val="00E13123"/>
    <w:rsid w:val="00E137D8"/>
    <w:rsid w:val="00E13A9A"/>
    <w:rsid w:val="00E148EA"/>
    <w:rsid w:val="00E14A6B"/>
    <w:rsid w:val="00E14AB6"/>
    <w:rsid w:val="00E14C9E"/>
    <w:rsid w:val="00E14DCE"/>
    <w:rsid w:val="00E14DD8"/>
    <w:rsid w:val="00E15138"/>
    <w:rsid w:val="00E154E0"/>
    <w:rsid w:val="00E155B6"/>
    <w:rsid w:val="00E1561E"/>
    <w:rsid w:val="00E15A42"/>
    <w:rsid w:val="00E15B36"/>
    <w:rsid w:val="00E15BE1"/>
    <w:rsid w:val="00E15F56"/>
    <w:rsid w:val="00E1628F"/>
    <w:rsid w:val="00E16619"/>
    <w:rsid w:val="00E1687B"/>
    <w:rsid w:val="00E16A3A"/>
    <w:rsid w:val="00E17376"/>
    <w:rsid w:val="00E1771E"/>
    <w:rsid w:val="00E179B9"/>
    <w:rsid w:val="00E17A22"/>
    <w:rsid w:val="00E17C28"/>
    <w:rsid w:val="00E20018"/>
    <w:rsid w:val="00E200A9"/>
    <w:rsid w:val="00E20B2B"/>
    <w:rsid w:val="00E21075"/>
    <w:rsid w:val="00E213EC"/>
    <w:rsid w:val="00E21A8A"/>
    <w:rsid w:val="00E21E4B"/>
    <w:rsid w:val="00E2257E"/>
    <w:rsid w:val="00E22913"/>
    <w:rsid w:val="00E22CD2"/>
    <w:rsid w:val="00E22E72"/>
    <w:rsid w:val="00E235AD"/>
    <w:rsid w:val="00E235B1"/>
    <w:rsid w:val="00E23C23"/>
    <w:rsid w:val="00E240FA"/>
    <w:rsid w:val="00E24457"/>
    <w:rsid w:val="00E247BC"/>
    <w:rsid w:val="00E24E2D"/>
    <w:rsid w:val="00E24F05"/>
    <w:rsid w:val="00E25359"/>
    <w:rsid w:val="00E258F1"/>
    <w:rsid w:val="00E25947"/>
    <w:rsid w:val="00E259DE"/>
    <w:rsid w:val="00E25BB8"/>
    <w:rsid w:val="00E25BE2"/>
    <w:rsid w:val="00E25D5E"/>
    <w:rsid w:val="00E2614A"/>
    <w:rsid w:val="00E26349"/>
    <w:rsid w:val="00E263F8"/>
    <w:rsid w:val="00E2715A"/>
    <w:rsid w:val="00E276AE"/>
    <w:rsid w:val="00E276F2"/>
    <w:rsid w:val="00E27896"/>
    <w:rsid w:val="00E27A23"/>
    <w:rsid w:val="00E27CEA"/>
    <w:rsid w:val="00E27FCD"/>
    <w:rsid w:val="00E30139"/>
    <w:rsid w:val="00E30160"/>
    <w:rsid w:val="00E3024F"/>
    <w:rsid w:val="00E30465"/>
    <w:rsid w:val="00E3066A"/>
    <w:rsid w:val="00E3071D"/>
    <w:rsid w:val="00E308A0"/>
    <w:rsid w:val="00E31619"/>
    <w:rsid w:val="00E31A8A"/>
    <w:rsid w:val="00E31DDC"/>
    <w:rsid w:val="00E31FA9"/>
    <w:rsid w:val="00E3277A"/>
    <w:rsid w:val="00E32931"/>
    <w:rsid w:val="00E32D40"/>
    <w:rsid w:val="00E32E20"/>
    <w:rsid w:val="00E33356"/>
    <w:rsid w:val="00E337DF"/>
    <w:rsid w:val="00E339C8"/>
    <w:rsid w:val="00E33BCE"/>
    <w:rsid w:val="00E33C00"/>
    <w:rsid w:val="00E33DAA"/>
    <w:rsid w:val="00E342D0"/>
    <w:rsid w:val="00E344B3"/>
    <w:rsid w:val="00E348E8"/>
    <w:rsid w:val="00E34983"/>
    <w:rsid w:val="00E349A3"/>
    <w:rsid w:val="00E349CF"/>
    <w:rsid w:val="00E34BFD"/>
    <w:rsid w:val="00E350D3"/>
    <w:rsid w:val="00E35230"/>
    <w:rsid w:val="00E35243"/>
    <w:rsid w:val="00E3536B"/>
    <w:rsid w:val="00E356CB"/>
    <w:rsid w:val="00E35AB7"/>
    <w:rsid w:val="00E35B18"/>
    <w:rsid w:val="00E35C0E"/>
    <w:rsid w:val="00E35CAC"/>
    <w:rsid w:val="00E36539"/>
    <w:rsid w:val="00E36872"/>
    <w:rsid w:val="00E368DC"/>
    <w:rsid w:val="00E36CBF"/>
    <w:rsid w:val="00E372C1"/>
    <w:rsid w:val="00E3744D"/>
    <w:rsid w:val="00E3777C"/>
    <w:rsid w:val="00E3791F"/>
    <w:rsid w:val="00E401D2"/>
    <w:rsid w:val="00E402C3"/>
    <w:rsid w:val="00E40378"/>
    <w:rsid w:val="00E404E0"/>
    <w:rsid w:val="00E40535"/>
    <w:rsid w:val="00E40B1B"/>
    <w:rsid w:val="00E40F72"/>
    <w:rsid w:val="00E4135D"/>
    <w:rsid w:val="00E41690"/>
    <w:rsid w:val="00E41B11"/>
    <w:rsid w:val="00E42388"/>
    <w:rsid w:val="00E424E7"/>
    <w:rsid w:val="00E4251C"/>
    <w:rsid w:val="00E42552"/>
    <w:rsid w:val="00E4289D"/>
    <w:rsid w:val="00E42944"/>
    <w:rsid w:val="00E43547"/>
    <w:rsid w:val="00E4370F"/>
    <w:rsid w:val="00E43787"/>
    <w:rsid w:val="00E43943"/>
    <w:rsid w:val="00E43B37"/>
    <w:rsid w:val="00E45092"/>
    <w:rsid w:val="00E4573F"/>
    <w:rsid w:val="00E4588E"/>
    <w:rsid w:val="00E45AB8"/>
    <w:rsid w:val="00E45E6C"/>
    <w:rsid w:val="00E45EA6"/>
    <w:rsid w:val="00E46335"/>
    <w:rsid w:val="00E46619"/>
    <w:rsid w:val="00E4675F"/>
    <w:rsid w:val="00E468F7"/>
    <w:rsid w:val="00E46FC9"/>
    <w:rsid w:val="00E4700E"/>
    <w:rsid w:val="00E472E9"/>
    <w:rsid w:val="00E47357"/>
    <w:rsid w:val="00E47AE4"/>
    <w:rsid w:val="00E47C3D"/>
    <w:rsid w:val="00E47C7B"/>
    <w:rsid w:val="00E47D02"/>
    <w:rsid w:val="00E5045A"/>
    <w:rsid w:val="00E507D7"/>
    <w:rsid w:val="00E509E8"/>
    <w:rsid w:val="00E5123D"/>
    <w:rsid w:val="00E51312"/>
    <w:rsid w:val="00E516C7"/>
    <w:rsid w:val="00E51861"/>
    <w:rsid w:val="00E5212B"/>
    <w:rsid w:val="00E5217A"/>
    <w:rsid w:val="00E52368"/>
    <w:rsid w:val="00E5271A"/>
    <w:rsid w:val="00E529CB"/>
    <w:rsid w:val="00E52BDF"/>
    <w:rsid w:val="00E53370"/>
    <w:rsid w:val="00E5388C"/>
    <w:rsid w:val="00E53B06"/>
    <w:rsid w:val="00E5465D"/>
    <w:rsid w:val="00E54DC6"/>
    <w:rsid w:val="00E54E3F"/>
    <w:rsid w:val="00E54F18"/>
    <w:rsid w:val="00E552BB"/>
    <w:rsid w:val="00E557B5"/>
    <w:rsid w:val="00E561DF"/>
    <w:rsid w:val="00E562F8"/>
    <w:rsid w:val="00E56823"/>
    <w:rsid w:val="00E56A1C"/>
    <w:rsid w:val="00E56D84"/>
    <w:rsid w:val="00E572C6"/>
    <w:rsid w:val="00E575C0"/>
    <w:rsid w:val="00E57A07"/>
    <w:rsid w:val="00E60189"/>
    <w:rsid w:val="00E604BC"/>
    <w:rsid w:val="00E605DA"/>
    <w:rsid w:val="00E60B87"/>
    <w:rsid w:val="00E60BF3"/>
    <w:rsid w:val="00E610A7"/>
    <w:rsid w:val="00E6146A"/>
    <w:rsid w:val="00E61DBB"/>
    <w:rsid w:val="00E61E6A"/>
    <w:rsid w:val="00E6210A"/>
    <w:rsid w:val="00E62308"/>
    <w:rsid w:val="00E62666"/>
    <w:rsid w:val="00E6291B"/>
    <w:rsid w:val="00E62DB2"/>
    <w:rsid w:val="00E62FA0"/>
    <w:rsid w:val="00E62FD2"/>
    <w:rsid w:val="00E6346C"/>
    <w:rsid w:val="00E642DF"/>
    <w:rsid w:val="00E64D83"/>
    <w:rsid w:val="00E650B3"/>
    <w:rsid w:val="00E65B63"/>
    <w:rsid w:val="00E65F96"/>
    <w:rsid w:val="00E665C4"/>
    <w:rsid w:val="00E665EC"/>
    <w:rsid w:val="00E669FA"/>
    <w:rsid w:val="00E66EC1"/>
    <w:rsid w:val="00E6747A"/>
    <w:rsid w:val="00E679EE"/>
    <w:rsid w:val="00E679F5"/>
    <w:rsid w:val="00E67C72"/>
    <w:rsid w:val="00E701B9"/>
    <w:rsid w:val="00E70569"/>
    <w:rsid w:val="00E7075E"/>
    <w:rsid w:val="00E70C3A"/>
    <w:rsid w:val="00E70C6A"/>
    <w:rsid w:val="00E70D26"/>
    <w:rsid w:val="00E70E1E"/>
    <w:rsid w:val="00E70E3A"/>
    <w:rsid w:val="00E70F05"/>
    <w:rsid w:val="00E71024"/>
    <w:rsid w:val="00E71C0B"/>
    <w:rsid w:val="00E722EB"/>
    <w:rsid w:val="00E72933"/>
    <w:rsid w:val="00E72EDA"/>
    <w:rsid w:val="00E734CC"/>
    <w:rsid w:val="00E73DB2"/>
    <w:rsid w:val="00E73FBC"/>
    <w:rsid w:val="00E742F0"/>
    <w:rsid w:val="00E74DA8"/>
    <w:rsid w:val="00E7502C"/>
    <w:rsid w:val="00E75BE9"/>
    <w:rsid w:val="00E75C1F"/>
    <w:rsid w:val="00E75D03"/>
    <w:rsid w:val="00E75E05"/>
    <w:rsid w:val="00E76949"/>
    <w:rsid w:val="00E7699A"/>
    <w:rsid w:val="00E7780C"/>
    <w:rsid w:val="00E7789F"/>
    <w:rsid w:val="00E77C7F"/>
    <w:rsid w:val="00E77DD9"/>
    <w:rsid w:val="00E77F88"/>
    <w:rsid w:val="00E80470"/>
    <w:rsid w:val="00E805CA"/>
    <w:rsid w:val="00E806AD"/>
    <w:rsid w:val="00E80E2C"/>
    <w:rsid w:val="00E81080"/>
    <w:rsid w:val="00E81409"/>
    <w:rsid w:val="00E81745"/>
    <w:rsid w:val="00E8190C"/>
    <w:rsid w:val="00E81952"/>
    <w:rsid w:val="00E819DC"/>
    <w:rsid w:val="00E81DC0"/>
    <w:rsid w:val="00E81F49"/>
    <w:rsid w:val="00E82612"/>
    <w:rsid w:val="00E826B0"/>
    <w:rsid w:val="00E82AB9"/>
    <w:rsid w:val="00E82CCB"/>
    <w:rsid w:val="00E82EF8"/>
    <w:rsid w:val="00E8324E"/>
    <w:rsid w:val="00E8349B"/>
    <w:rsid w:val="00E83899"/>
    <w:rsid w:val="00E83A02"/>
    <w:rsid w:val="00E842CB"/>
    <w:rsid w:val="00E844E7"/>
    <w:rsid w:val="00E84CCE"/>
    <w:rsid w:val="00E85381"/>
    <w:rsid w:val="00E8550E"/>
    <w:rsid w:val="00E85587"/>
    <w:rsid w:val="00E85E8E"/>
    <w:rsid w:val="00E85FF7"/>
    <w:rsid w:val="00E862FC"/>
    <w:rsid w:val="00E865F3"/>
    <w:rsid w:val="00E86659"/>
    <w:rsid w:val="00E866E1"/>
    <w:rsid w:val="00E868DD"/>
    <w:rsid w:val="00E86CDF"/>
    <w:rsid w:val="00E86D9B"/>
    <w:rsid w:val="00E86F08"/>
    <w:rsid w:val="00E86F4E"/>
    <w:rsid w:val="00E86F7A"/>
    <w:rsid w:val="00E872EC"/>
    <w:rsid w:val="00E873C7"/>
    <w:rsid w:val="00E87724"/>
    <w:rsid w:val="00E87DB2"/>
    <w:rsid w:val="00E87F11"/>
    <w:rsid w:val="00E9002B"/>
    <w:rsid w:val="00E90399"/>
    <w:rsid w:val="00E9050D"/>
    <w:rsid w:val="00E90BF3"/>
    <w:rsid w:val="00E91048"/>
    <w:rsid w:val="00E91164"/>
    <w:rsid w:val="00E9131D"/>
    <w:rsid w:val="00E9178A"/>
    <w:rsid w:val="00E91796"/>
    <w:rsid w:val="00E917A3"/>
    <w:rsid w:val="00E9181C"/>
    <w:rsid w:val="00E918D5"/>
    <w:rsid w:val="00E91905"/>
    <w:rsid w:val="00E91967"/>
    <w:rsid w:val="00E91E93"/>
    <w:rsid w:val="00E91F27"/>
    <w:rsid w:val="00E91FE9"/>
    <w:rsid w:val="00E92045"/>
    <w:rsid w:val="00E92275"/>
    <w:rsid w:val="00E9268D"/>
    <w:rsid w:val="00E92760"/>
    <w:rsid w:val="00E9299D"/>
    <w:rsid w:val="00E92C51"/>
    <w:rsid w:val="00E92F49"/>
    <w:rsid w:val="00E93077"/>
    <w:rsid w:val="00E93220"/>
    <w:rsid w:val="00E93325"/>
    <w:rsid w:val="00E9352E"/>
    <w:rsid w:val="00E937A6"/>
    <w:rsid w:val="00E937E3"/>
    <w:rsid w:val="00E93EC3"/>
    <w:rsid w:val="00E9406D"/>
    <w:rsid w:val="00E94B2D"/>
    <w:rsid w:val="00E94D34"/>
    <w:rsid w:val="00E94D67"/>
    <w:rsid w:val="00E94F14"/>
    <w:rsid w:val="00E95214"/>
    <w:rsid w:val="00E9533F"/>
    <w:rsid w:val="00E95691"/>
    <w:rsid w:val="00E958B6"/>
    <w:rsid w:val="00E95F8A"/>
    <w:rsid w:val="00E96098"/>
    <w:rsid w:val="00E9611E"/>
    <w:rsid w:val="00E96892"/>
    <w:rsid w:val="00E96F47"/>
    <w:rsid w:val="00E96FC8"/>
    <w:rsid w:val="00E970D4"/>
    <w:rsid w:val="00E97373"/>
    <w:rsid w:val="00E97536"/>
    <w:rsid w:val="00E9770B"/>
    <w:rsid w:val="00E97812"/>
    <w:rsid w:val="00E97B31"/>
    <w:rsid w:val="00E97BCC"/>
    <w:rsid w:val="00EA01CA"/>
    <w:rsid w:val="00EA0499"/>
    <w:rsid w:val="00EA0961"/>
    <w:rsid w:val="00EA1132"/>
    <w:rsid w:val="00EA1577"/>
    <w:rsid w:val="00EA1796"/>
    <w:rsid w:val="00EA179B"/>
    <w:rsid w:val="00EA1821"/>
    <w:rsid w:val="00EA1992"/>
    <w:rsid w:val="00EA19D2"/>
    <w:rsid w:val="00EA1A08"/>
    <w:rsid w:val="00EA1BAA"/>
    <w:rsid w:val="00EA23F3"/>
    <w:rsid w:val="00EA246E"/>
    <w:rsid w:val="00EA249A"/>
    <w:rsid w:val="00EA26EF"/>
    <w:rsid w:val="00EA2A3A"/>
    <w:rsid w:val="00EA2B92"/>
    <w:rsid w:val="00EA2D59"/>
    <w:rsid w:val="00EA2F45"/>
    <w:rsid w:val="00EA3043"/>
    <w:rsid w:val="00EA319C"/>
    <w:rsid w:val="00EA3271"/>
    <w:rsid w:val="00EA336D"/>
    <w:rsid w:val="00EA350E"/>
    <w:rsid w:val="00EA3833"/>
    <w:rsid w:val="00EA39E6"/>
    <w:rsid w:val="00EA3ABD"/>
    <w:rsid w:val="00EA403D"/>
    <w:rsid w:val="00EA40FD"/>
    <w:rsid w:val="00EA416B"/>
    <w:rsid w:val="00EA4216"/>
    <w:rsid w:val="00EA4276"/>
    <w:rsid w:val="00EA43E2"/>
    <w:rsid w:val="00EA44FB"/>
    <w:rsid w:val="00EA49BD"/>
    <w:rsid w:val="00EA49BE"/>
    <w:rsid w:val="00EA4E87"/>
    <w:rsid w:val="00EA5913"/>
    <w:rsid w:val="00EA5CFF"/>
    <w:rsid w:val="00EA5E5B"/>
    <w:rsid w:val="00EA5ECA"/>
    <w:rsid w:val="00EA67BD"/>
    <w:rsid w:val="00EA6810"/>
    <w:rsid w:val="00EA6CAC"/>
    <w:rsid w:val="00EA7431"/>
    <w:rsid w:val="00EA761E"/>
    <w:rsid w:val="00EA7864"/>
    <w:rsid w:val="00EAEAB9"/>
    <w:rsid w:val="00EB018F"/>
    <w:rsid w:val="00EB042B"/>
    <w:rsid w:val="00EB0581"/>
    <w:rsid w:val="00EB08C3"/>
    <w:rsid w:val="00EB0962"/>
    <w:rsid w:val="00EB1166"/>
    <w:rsid w:val="00EB1710"/>
    <w:rsid w:val="00EB18AA"/>
    <w:rsid w:val="00EB1B05"/>
    <w:rsid w:val="00EB1D9F"/>
    <w:rsid w:val="00EB1DF8"/>
    <w:rsid w:val="00EB1F3E"/>
    <w:rsid w:val="00EB1FA4"/>
    <w:rsid w:val="00EB1FE0"/>
    <w:rsid w:val="00EB2327"/>
    <w:rsid w:val="00EB234E"/>
    <w:rsid w:val="00EB2AB1"/>
    <w:rsid w:val="00EB2BAD"/>
    <w:rsid w:val="00EB2D8C"/>
    <w:rsid w:val="00EB2F2E"/>
    <w:rsid w:val="00EB2F4F"/>
    <w:rsid w:val="00EB3772"/>
    <w:rsid w:val="00EB403B"/>
    <w:rsid w:val="00EB41C2"/>
    <w:rsid w:val="00EB42E8"/>
    <w:rsid w:val="00EB452C"/>
    <w:rsid w:val="00EB45C4"/>
    <w:rsid w:val="00EB4B1D"/>
    <w:rsid w:val="00EB5D8C"/>
    <w:rsid w:val="00EB6376"/>
    <w:rsid w:val="00EB640B"/>
    <w:rsid w:val="00EB640E"/>
    <w:rsid w:val="00EB661A"/>
    <w:rsid w:val="00EB670A"/>
    <w:rsid w:val="00EB685C"/>
    <w:rsid w:val="00EB703A"/>
    <w:rsid w:val="00EB72E6"/>
    <w:rsid w:val="00EB78C7"/>
    <w:rsid w:val="00EB7C86"/>
    <w:rsid w:val="00EB7D5B"/>
    <w:rsid w:val="00EB7E5B"/>
    <w:rsid w:val="00EC00B4"/>
    <w:rsid w:val="00EC0151"/>
    <w:rsid w:val="00EC0153"/>
    <w:rsid w:val="00EC0571"/>
    <w:rsid w:val="00EC05D8"/>
    <w:rsid w:val="00EC0608"/>
    <w:rsid w:val="00EC07B8"/>
    <w:rsid w:val="00EC0823"/>
    <w:rsid w:val="00EC0A24"/>
    <w:rsid w:val="00EC0D75"/>
    <w:rsid w:val="00EC0DA7"/>
    <w:rsid w:val="00EC12C6"/>
    <w:rsid w:val="00EC1672"/>
    <w:rsid w:val="00EC1EB9"/>
    <w:rsid w:val="00EC24D5"/>
    <w:rsid w:val="00EC25C9"/>
    <w:rsid w:val="00EC29C2"/>
    <w:rsid w:val="00EC2C6D"/>
    <w:rsid w:val="00EC2DB6"/>
    <w:rsid w:val="00EC2DE1"/>
    <w:rsid w:val="00EC2FD4"/>
    <w:rsid w:val="00EC3087"/>
    <w:rsid w:val="00EC30C9"/>
    <w:rsid w:val="00EC31EB"/>
    <w:rsid w:val="00EC334D"/>
    <w:rsid w:val="00EC38A5"/>
    <w:rsid w:val="00EC394C"/>
    <w:rsid w:val="00EC39D9"/>
    <w:rsid w:val="00EC413D"/>
    <w:rsid w:val="00EC4167"/>
    <w:rsid w:val="00EC4279"/>
    <w:rsid w:val="00EC44AE"/>
    <w:rsid w:val="00EC4923"/>
    <w:rsid w:val="00EC4CCA"/>
    <w:rsid w:val="00EC52AF"/>
    <w:rsid w:val="00EC5395"/>
    <w:rsid w:val="00EC57C9"/>
    <w:rsid w:val="00EC5884"/>
    <w:rsid w:val="00EC63B4"/>
    <w:rsid w:val="00EC659C"/>
    <w:rsid w:val="00EC6864"/>
    <w:rsid w:val="00EC6B2B"/>
    <w:rsid w:val="00EC6C08"/>
    <w:rsid w:val="00EC6CDE"/>
    <w:rsid w:val="00EC6E58"/>
    <w:rsid w:val="00EC720B"/>
    <w:rsid w:val="00EC74A5"/>
    <w:rsid w:val="00EC7544"/>
    <w:rsid w:val="00EC7698"/>
    <w:rsid w:val="00EC7904"/>
    <w:rsid w:val="00ED0310"/>
    <w:rsid w:val="00ED0535"/>
    <w:rsid w:val="00ED05F9"/>
    <w:rsid w:val="00ED08E2"/>
    <w:rsid w:val="00ED1006"/>
    <w:rsid w:val="00ED1472"/>
    <w:rsid w:val="00ED1700"/>
    <w:rsid w:val="00ED17FA"/>
    <w:rsid w:val="00ED1C05"/>
    <w:rsid w:val="00ED1C9A"/>
    <w:rsid w:val="00ED1F13"/>
    <w:rsid w:val="00ED2239"/>
    <w:rsid w:val="00ED25DF"/>
    <w:rsid w:val="00ED2659"/>
    <w:rsid w:val="00ED2906"/>
    <w:rsid w:val="00ED2BBE"/>
    <w:rsid w:val="00ED2D34"/>
    <w:rsid w:val="00ED2F3A"/>
    <w:rsid w:val="00ED3152"/>
    <w:rsid w:val="00ED351A"/>
    <w:rsid w:val="00ED3857"/>
    <w:rsid w:val="00ED3C8F"/>
    <w:rsid w:val="00ED3CA7"/>
    <w:rsid w:val="00ED3CD4"/>
    <w:rsid w:val="00ED4316"/>
    <w:rsid w:val="00ED4588"/>
    <w:rsid w:val="00ED47B5"/>
    <w:rsid w:val="00ED48DE"/>
    <w:rsid w:val="00ED4913"/>
    <w:rsid w:val="00ED492B"/>
    <w:rsid w:val="00ED5A97"/>
    <w:rsid w:val="00ED6295"/>
    <w:rsid w:val="00ED62AE"/>
    <w:rsid w:val="00ED6417"/>
    <w:rsid w:val="00ED64D2"/>
    <w:rsid w:val="00ED666A"/>
    <w:rsid w:val="00ED6910"/>
    <w:rsid w:val="00ED69F8"/>
    <w:rsid w:val="00ED6A13"/>
    <w:rsid w:val="00ED6B86"/>
    <w:rsid w:val="00ED6BCD"/>
    <w:rsid w:val="00ED6F98"/>
    <w:rsid w:val="00ED7019"/>
    <w:rsid w:val="00ED70C2"/>
    <w:rsid w:val="00ED72A5"/>
    <w:rsid w:val="00ED7B13"/>
    <w:rsid w:val="00ED7CF9"/>
    <w:rsid w:val="00ED7D47"/>
    <w:rsid w:val="00ED7FCA"/>
    <w:rsid w:val="00EE009F"/>
    <w:rsid w:val="00EE0346"/>
    <w:rsid w:val="00EE068C"/>
    <w:rsid w:val="00EE0761"/>
    <w:rsid w:val="00EE077F"/>
    <w:rsid w:val="00EE0B07"/>
    <w:rsid w:val="00EE1804"/>
    <w:rsid w:val="00EE19EF"/>
    <w:rsid w:val="00EE2A79"/>
    <w:rsid w:val="00EE30F2"/>
    <w:rsid w:val="00EE337E"/>
    <w:rsid w:val="00EE3FB2"/>
    <w:rsid w:val="00EE427D"/>
    <w:rsid w:val="00EE44D7"/>
    <w:rsid w:val="00EE4B07"/>
    <w:rsid w:val="00EE4B0B"/>
    <w:rsid w:val="00EE51A1"/>
    <w:rsid w:val="00EE550D"/>
    <w:rsid w:val="00EE5783"/>
    <w:rsid w:val="00EE5D8F"/>
    <w:rsid w:val="00EE5F46"/>
    <w:rsid w:val="00EE6035"/>
    <w:rsid w:val="00EE6096"/>
    <w:rsid w:val="00EE6324"/>
    <w:rsid w:val="00EE669F"/>
    <w:rsid w:val="00EE6911"/>
    <w:rsid w:val="00EE6BDE"/>
    <w:rsid w:val="00EE739E"/>
    <w:rsid w:val="00EE749F"/>
    <w:rsid w:val="00EE75DA"/>
    <w:rsid w:val="00EF019B"/>
    <w:rsid w:val="00EF02E8"/>
    <w:rsid w:val="00EF0628"/>
    <w:rsid w:val="00EF0743"/>
    <w:rsid w:val="00EF09FB"/>
    <w:rsid w:val="00EF0A97"/>
    <w:rsid w:val="00EF1178"/>
    <w:rsid w:val="00EF12F4"/>
    <w:rsid w:val="00EF16CD"/>
    <w:rsid w:val="00EF1715"/>
    <w:rsid w:val="00EF1BC3"/>
    <w:rsid w:val="00EF201A"/>
    <w:rsid w:val="00EF226B"/>
    <w:rsid w:val="00EF2396"/>
    <w:rsid w:val="00EF24D2"/>
    <w:rsid w:val="00EF287C"/>
    <w:rsid w:val="00EF2D74"/>
    <w:rsid w:val="00EF3230"/>
    <w:rsid w:val="00EF3668"/>
    <w:rsid w:val="00EF373F"/>
    <w:rsid w:val="00EF3844"/>
    <w:rsid w:val="00EF4063"/>
    <w:rsid w:val="00EF40DD"/>
    <w:rsid w:val="00EF4576"/>
    <w:rsid w:val="00EF4687"/>
    <w:rsid w:val="00EF484F"/>
    <w:rsid w:val="00EF489D"/>
    <w:rsid w:val="00EF499D"/>
    <w:rsid w:val="00EF4BFD"/>
    <w:rsid w:val="00EF4F95"/>
    <w:rsid w:val="00EF5061"/>
    <w:rsid w:val="00EF55F0"/>
    <w:rsid w:val="00EF5992"/>
    <w:rsid w:val="00EF6514"/>
    <w:rsid w:val="00EF69CC"/>
    <w:rsid w:val="00EF6D8E"/>
    <w:rsid w:val="00EF6F4B"/>
    <w:rsid w:val="00EF6FFC"/>
    <w:rsid w:val="00EF7CF0"/>
    <w:rsid w:val="00EF7D8A"/>
    <w:rsid w:val="00F00689"/>
    <w:rsid w:val="00F00B0F"/>
    <w:rsid w:val="00F00C17"/>
    <w:rsid w:val="00F00F0F"/>
    <w:rsid w:val="00F01157"/>
    <w:rsid w:val="00F012C7"/>
    <w:rsid w:val="00F0140A"/>
    <w:rsid w:val="00F017E0"/>
    <w:rsid w:val="00F017F5"/>
    <w:rsid w:val="00F01B10"/>
    <w:rsid w:val="00F01E66"/>
    <w:rsid w:val="00F01EE1"/>
    <w:rsid w:val="00F01FC0"/>
    <w:rsid w:val="00F02137"/>
    <w:rsid w:val="00F022DC"/>
    <w:rsid w:val="00F022FE"/>
    <w:rsid w:val="00F02390"/>
    <w:rsid w:val="00F024FF"/>
    <w:rsid w:val="00F02814"/>
    <w:rsid w:val="00F0397E"/>
    <w:rsid w:val="00F03AC8"/>
    <w:rsid w:val="00F042B7"/>
    <w:rsid w:val="00F04965"/>
    <w:rsid w:val="00F04A55"/>
    <w:rsid w:val="00F04B34"/>
    <w:rsid w:val="00F05307"/>
    <w:rsid w:val="00F053E1"/>
    <w:rsid w:val="00F05473"/>
    <w:rsid w:val="00F05911"/>
    <w:rsid w:val="00F05F14"/>
    <w:rsid w:val="00F0617E"/>
    <w:rsid w:val="00F0618E"/>
    <w:rsid w:val="00F061FC"/>
    <w:rsid w:val="00F06393"/>
    <w:rsid w:val="00F06544"/>
    <w:rsid w:val="00F0680C"/>
    <w:rsid w:val="00F068F8"/>
    <w:rsid w:val="00F06C1C"/>
    <w:rsid w:val="00F072BB"/>
    <w:rsid w:val="00F073CF"/>
    <w:rsid w:val="00F07416"/>
    <w:rsid w:val="00F075A1"/>
    <w:rsid w:val="00F10C31"/>
    <w:rsid w:val="00F10C32"/>
    <w:rsid w:val="00F10CB8"/>
    <w:rsid w:val="00F1118D"/>
    <w:rsid w:val="00F11324"/>
    <w:rsid w:val="00F1174B"/>
    <w:rsid w:val="00F11FDE"/>
    <w:rsid w:val="00F1235B"/>
    <w:rsid w:val="00F1263B"/>
    <w:rsid w:val="00F12679"/>
    <w:rsid w:val="00F12A12"/>
    <w:rsid w:val="00F12B05"/>
    <w:rsid w:val="00F12C03"/>
    <w:rsid w:val="00F12D0C"/>
    <w:rsid w:val="00F12ED9"/>
    <w:rsid w:val="00F12F64"/>
    <w:rsid w:val="00F1379E"/>
    <w:rsid w:val="00F13A2A"/>
    <w:rsid w:val="00F13A57"/>
    <w:rsid w:val="00F13E4C"/>
    <w:rsid w:val="00F143E6"/>
    <w:rsid w:val="00F1468B"/>
    <w:rsid w:val="00F146BE"/>
    <w:rsid w:val="00F14BC3"/>
    <w:rsid w:val="00F14C07"/>
    <w:rsid w:val="00F156E9"/>
    <w:rsid w:val="00F15734"/>
    <w:rsid w:val="00F15826"/>
    <w:rsid w:val="00F15869"/>
    <w:rsid w:val="00F158B9"/>
    <w:rsid w:val="00F15CCF"/>
    <w:rsid w:val="00F15DA7"/>
    <w:rsid w:val="00F15FC0"/>
    <w:rsid w:val="00F1605F"/>
    <w:rsid w:val="00F161B7"/>
    <w:rsid w:val="00F16FC1"/>
    <w:rsid w:val="00F17193"/>
    <w:rsid w:val="00F1727C"/>
    <w:rsid w:val="00F17636"/>
    <w:rsid w:val="00F17B23"/>
    <w:rsid w:val="00F2049A"/>
    <w:rsid w:val="00F20604"/>
    <w:rsid w:val="00F20840"/>
    <w:rsid w:val="00F208D2"/>
    <w:rsid w:val="00F20BD9"/>
    <w:rsid w:val="00F20C64"/>
    <w:rsid w:val="00F21C96"/>
    <w:rsid w:val="00F21E97"/>
    <w:rsid w:val="00F2204F"/>
    <w:rsid w:val="00F22642"/>
    <w:rsid w:val="00F227C7"/>
    <w:rsid w:val="00F229D1"/>
    <w:rsid w:val="00F22A7A"/>
    <w:rsid w:val="00F22B9B"/>
    <w:rsid w:val="00F22C47"/>
    <w:rsid w:val="00F22D65"/>
    <w:rsid w:val="00F22E69"/>
    <w:rsid w:val="00F23151"/>
    <w:rsid w:val="00F2379B"/>
    <w:rsid w:val="00F23880"/>
    <w:rsid w:val="00F23917"/>
    <w:rsid w:val="00F23B30"/>
    <w:rsid w:val="00F25990"/>
    <w:rsid w:val="00F25DB5"/>
    <w:rsid w:val="00F26258"/>
    <w:rsid w:val="00F2629D"/>
    <w:rsid w:val="00F26932"/>
    <w:rsid w:val="00F26C45"/>
    <w:rsid w:val="00F26CE9"/>
    <w:rsid w:val="00F26D17"/>
    <w:rsid w:val="00F26F59"/>
    <w:rsid w:val="00F27099"/>
    <w:rsid w:val="00F27341"/>
    <w:rsid w:val="00F27734"/>
    <w:rsid w:val="00F278C7"/>
    <w:rsid w:val="00F278F9"/>
    <w:rsid w:val="00F27C2F"/>
    <w:rsid w:val="00F3022E"/>
    <w:rsid w:val="00F30319"/>
    <w:rsid w:val="00F3119F"/>
    <w:rsid w:val="00F3123C"/>
    <w:rsid w:val="00F315FB"/>
    <w:rsid w:val="00F32474"/>
    <w:rsid w:val="00F3248D"/>
    <w:rsid w:val="00F32608"/>
    <w:rsid w:val="00F32626"/>
    <w:rsid w:val="00F32675"/>
    <w:rsid w:val="00F33327"/>
    <w:rsid w:val="00F33C21"/>
    <w:rsid w:val="00F33FE0"/>
    <w:rsid w:val="00F3410C"/>
    <w:rsid w:val="00F3480C"/>
    <w:rsid w:val="00F348E6"/>
    <w:rsid w:val="00F34FAA"/>
    <w:rsid w:val="00F35377"/>
    <w:rsid w:val="00F35388"/>
    <w:rsid w:val="00F35C8D"/>
    <w:rsid w:val="00F35FB6"/>
    <w:rsid w:val="00F36047"/>
    <w:rsid w:val="00F36730"/>
    <w:rsid w:val="00F36819"/>
    <w:rsid w:val="00F36A98"/>
    <w:rsid w:val="00F36C88"/>
    <w:rsid w:val="00F36D4B"/>
    <w:rsid w:val="00F36D51"/>
    <w:rsid w:val="00F3719C"/>
    <w:rsid w:val="00F371F3"/>
    <w:rsid w:val="00F372FC"/>
    <w:rsid w:val="00F37600"/>
    <w:rsid w:val="00F37ADE"/>
    <w:rsid w:val="00F4004B"/>
    <w:rsid w:val="00F400AC"/>
    <w:rsid w:val="00F40213"/>
    <w:rsid w:val="00F40282"/>
    <w:rsid w:val="00F406D0"/>
    <w:rsid w:val="00F40AC5"/>
    <w:rsid w:val="00F4112B"/>
    <w:rsid w:val="00F4124A"/>
    <w:rsid w:val="00F41324"/>
    <w:rsid w:val="00F4190D"/>
    <w:rsid w:val="00F41B88"/>
    <w:rsid w:val="00F41C9F"/>
    <w:rsid w:val="00F41D0E"/>
    <w:rsid w:val="00F41DE1"/>
    <w:rsid w:val="00F421BD"/>
    <w:rsid w:val="00F42ABB"/>
    <w:rsid w:val="00F42E0C"/>
    <w:rsid w:val="00F43099"/>
    <w:rsid w:val="00F4375E"/>
    <w:rsid w:val="00F43928"/>
    <w:rsid w:val="00F43F2A"/>
    <w:rsid w:val="00F43FE1"/>
    <w:rsid w:val="00F4411E"/>
    <w:rsid w:val="00F445A6"/>
    <w:rsid w:val="00F44BED"/>
    <w:rsid w:val="00F44D04"/>
    <w:rsid w:val="00F44DBF"/>
    <w:rsid w:val="00F44DD2"/>
    <w:rsid w:val="00F44EAB"/>
    <w:rsid w:val="00F44FF2"/>
    <w:rsid w:val="00F457C7"/>
    <w:rsid w:val="00F45D44"/>
    <w:rsid w:val="00F45DA9"/>
    <w:rsid w:val="00F460B6"/>
    <w:rsid w:val="00F46348"/>
    <w:rsid w:val="00F46872"/>
    <w:rsid w:val="00F46B2D"/>
    <w:rsid w:val="00F46E0E"/>
    <w:rsid w:val="00F4757C"/>
    <w:rsid w:val="00F475A7"/>
    <w:rsid w:val="00F47973"/>
    <w:rsid w:val="00F47DEB"/>
    <w:rsid w:val="00F47F76"/>
    <w:rsid w:val="00F50A72"/>
    <w:rsid w:val="00F50C84"/>
    <w:rsid w:val="00F50D17"/>
    <w:rsid w:val="00F51155"/>
    <w:rsid w:val="00F51361"/>
    <w:rsid w:val="00F518E1"/>
    <w:rsid w:val="00F51A5B"/>
    <w:rsid w:val="00F51D3D"/>
    <w:rsid w:val="00F5206A"/>
    <w:rsid w:val="00F524C3"/>
    <w:rsid w:val="00F53113"/>
    <w:rsid w:val="00F53460"/>
    <w:rsid w:val="00F53DF0"/>
    <w:rsid w:val="00F53E77"/>
    <w:rsid w:val="00F54228"/>
    <w:rsid w:val="00F54F01"/>
    <w:rsid w:val="00F54F17"/>
    <w:rsid w:val="00F5519C"/>
    <w:rsid w:val="00F55CD4"/>
    <w:rsid w:val="00F5607F"/>
    <w:rsid w:val="00F56B01"/>
    <w:rsid w:val="00F573DD"/>
    <w:rsid w:val="00F5747D"/>
    <w:rsid w:val="00F57E1D"/>
    <w:rsid w:val="00F57F1B"/>
    <w:rsid w:val="00F601A4"/>
    <w:rsid w:val="00F60657"/>
    <w:rsid w:val="00F60EBD"/>
    <w:rsid w:val="00F6126F"/>
    <w:rsid w:val="00F61349"/>
    <w:rsid w:val="00F61543"/>
    <w:rsid w:val="00F6175E"/>
    <w:rsid w:val="00F619D8"/>
    <w:rsid w:val="00F619FA"/>
    <w:rsid w:val="00F61CE3"/>
    <w:rsid w:val="00F61F3D"/>
    <w:rsid w:val="00F61F4A"/>
    <w:rsid w:val="00F62296"/>
    <w:rsid w:val="00F623DA"/>
    <w:rsid w:val="00F62448"/>
    <w:rsid w:val="00F62506"/>
    <w:rsid w:val="00F62CC4"/>
    <w:rsid w:val="00F63E03"/>
    <w:rsid w:val="00F63F75"/>
    <w:rsid w:val="00F6429E"/>
    <w:rsid w:val="00F64600"/>
    <w:rsid w:val="00F654FB"/>
    <w:rsid w:val="00F65ED6"/>
    <w:rsid w:val="00F65FF4"/>
    <w:rsid w:val="00F664AB"/>
    <w:rsid w:val="00F665B9"/>
    <w:rsid w:val="00F66738"/>
    <w:rsid w:val="00F67149"/>
    <w:rsid w:val="00F672A3"/>
    <w:rsid w:val="00F67382"/>
    <w:rsid w:val="00F67A06"/>
    <w:rsid w:val="00F70451"/>
    <w:rsid w:val="00F70913"/>
    <w:rsid w:val="00F70954"/>
    <w:rsid w:val="00F70E12"/>
    <w:rsid w:val="00F70F74"/>
    <w:rsid w:val="00F7125C"/>
    <w:rsid w:val="00F7171F"/>
    <w:rsid w:val="00F71B55"/>
    <w:rsid w:val="00F721F1"/>
    <w:rsid w:val="00F72368"/>
    <w:rsid w:val="00F72375"/>
    <w:rsid w:val="00F725B2"/>
    <w:rsid w:val="00F725C9"/>
    <w:rsid w:val="00F72689"/>
    <w:rsid w:val="00F7277B"/>
    <w:rsid w:val="00F72E2D"/>
    <w:rsid w:val="00F73595"/>
    <w:rsid w:val="00F73674"/>
    <w:rsid w:val="00F7376B"/>
    <w:rsid w:val="00F737AF"/>
    <w:rsid w:val="00F73B59"/>
    <w:rsid w:val="00F73B89"/>
    <w:rsid w:val="00F73B9A"/>
    <w:rsid w:val="00F73DED"/>
    <w:rsid w:val="00F73E7C"/>
    <w:rsid w:val="00F74094"/>
    <w:rsid w:val="00F744D4"/>
    <w:rsid w:val="00F745ED"/>
    <w:rsid w:val="00F7474A"/>
    <w:rsid w:val="00F74C25"/>
    <w:rsid w:val="00F75CF3"/>
    <w:rsid w:val="00F7617E"/>
    <w:rsid w:val="00F76291"/>
    <w:rsid w:val="00F76649"/>
    <w:rsid w:val="00F76659"/>
    <w:rsid w:val="00F76851"/>
    <w:rsid w:val="00F769D2"/>
    <w:rsid w:val="00F76A53"/>
    <w:rsid w:val="00F76D44"/>
    <w:rsid w:val="00F76F23"/>
    <w:rsid w:val="00F772B4"/>
    <w:rsid w:val="00F775EE"/>
    <w:rsid w:val="00F777DF"/>
    <w:rsid w:val="00F77966"/>
    <w:rsid w:val="00F779EA"/>
    <w:rsid w:val="00F77BFB"/>
    <w:rsid w:val="00F77EDC"/>
    <w:rsid w:val="00F8011D"/>
    <w:rsid w:val="00F808AC"/>
    <w:rsid w:val="00F80962"/>
    <w:rsid w:val="00F80A33"/>
    <w:rsid w:val="00F80C9F"/>
    <w:rsid w:val="00F81165"/>
    <w:rsid w:val="00F81324"/>
    <w:rsid w:val="00F814E3"/>
    <w:rsid w:val="00F8179D"/>
    <w:rsid w:val="00F81BE3"/>
    <w:rsid w:val="00F81E23"/>
    <w:rsid w:val="00F81F27"/>
    <w:rsid w:val="00F823C3"/>
    <w:rsid w:val="00F82665"/>
    <w:rsid w:val="00F827B3"/>
    <w:rsid w:val="00F828B6"/>
    <w:rsid w:val="00F82AFE"/>
    <w:rsid w:val="00F82B4C"/>
    <w:rsid w:val="00F82F18"/>
    <w:rsid w:val="00F8362E"/>
    <w:rsid w:val="00F83C3B"/>
    <w:rsid w:val="00F845E7"/>
    <w:rsid w:val="00F849FD"/>
    <w:rsid w:val="00F851BA"/>
    <w:rsid w:val="00F851E2"/>
    <w:rsid w:val="00F85467"/>
    <w:rsid w:val="00F85D43"/>
    <w:rsid w:val="00F863B9"/>
    <w:rsid w:val="00F866BD"/>
    <w:rsid w:val="00F8675B"/>
    <w:rsid w:val="00F868E7"/>
    <w:rsid w:val="00F86A55"/>
    <w:rsid w:val="00F86B48"/>
    <w:rsid w:val="00F86FAE"/>
    <w:rsid w:val="00F872D8"/>
    <w:rsid w:val="00F87515"/>
    <w:rsid w:val="00F8780C"/>
    <w:rsid w:val="00F879A7"/>
    <w:rsid w:val="00F908FE"/>
    <w:rsid w:val="00F913AB"/>
    <w:rsid w:val="00F91692"/>
    <w:rsid w:val="00F9176E"/>
    <w:rsid w:val="00F91C3E"/>
    <w:rsid w:val="00F92067"/>
    <w:rsid w:val="00F9210A"/>
    <w:rsid w:val="00F9213D"/>
    <w:rsid w:val="00F930F4"/>
    <w:rsid w:val="00F93531"/>
    <w:rsid w:val="00F9368D"/>
    <w:rsid w:val="00F93918"/>
    <w:rsid w:val="00F942BE"/>
    <w:rsid w:val="00F94761"/>
    <w:rsid w:val="00F94899"/>
    <w:rsid w:val="00F94DE2"/>
    <w:rsid w:val="00F94F07"/>
    <w:rsid w:val="00F95176"/>
    <w:rsid w:val="00F953BF"/>
    <w:rsid w:val="00F9541E"/>
    <w:rsid w:val="00F958E4"/>
    <w:rsid w:val="00F9598C"/>
    <w:rsid w:val="00F95D7F"/>
    <w:rsid w:val="00F95E96"/>
    <w:rsid w:val="00F95EBB"/>
    <w:rsid w:val="00F9607C"/>
    <w:rsid w:val="00F962DC"/>
    <w:rsid w:val="00F9658E"/>
    <w:rsid w:val="00F9661D"/>
    <w:rsid w:val="00F96A02"/>
    <w:rsid w:val="00F96A24"/>
    <w:rsid w:val="00F96E67"/>
    <w:rsid w:val="00F97354"/>
    <w:rsid w:val="00F979E9"/>
    <w:rsid w:val="00F97D5F"/>
    <w:rsid w:val="00F97E89"/>
    <w:rsid w:val="00F97F47"/>
    <w:rsid w:val="00FA0033"/>
    <w:rsid w:val="00FA0A2B"/>
    <w:rsid w:val="00FA1399"/>
    <w:rsid w:val="00FA14B6"/>
    <w:rsid w:val="00FA16DB"/>
    <w:rsid w:val="00FA1764"/>
    <w:rsid w:val="00FA17A4"/>
    <w:rsid w:val="00FA1A18"/>
    <w:rsid w:val="00FA1C61"/>
    <w:rsid w:val="00FA247D"/>
    <w:rsid w:val="00FA313C"/>
    <w:rsid w:val="00FA3899"/>
    <w:rsid w:val="00FA3B63"/>
    <w:rsid w:val="00FA3BC9"/>
    <w:rsid w:val="00FA42BC"/>
    <w:rsid w:val="00FA430B"/>
    <w:rsid w:val="00FA4829"/>
    <w:rsid w:val="00FA4ED7"/>
    <w:rsid w:val="00FA518F"/>
    <w:rsid w:val="00FA5311"/>
    <w:rsid w:val="00FA53C0"/>
    <w:rsid w:val="00FA5787"/>
    <w:rsid w:val="00FA5A4D"/>
    <w:rsid w:val="00FA5A78"/>
    <w:rsid w:val="00FA5CE6"/>
    <w:rsid w:val="00FA6137"/>
    <w:rsid w:val="00FA61F4"/>
    <w:rsid w:val="00FA643E"/>
    <w:rsid w:val="00FA64D5"/>
    <w:rsid w:val="00FA73B8"/>
    <w:rsid w:val="00FA74D0"/>
    <w:rsid w:val="00FA758D"/>
    <w:rsid w:val="00FA763A"/>
    <w:rsid w:val="00FA7B5D"/>
    <w:rsid w:val="00FA7D81"/>
    <w:rsid w:val="00FA7DFB"/>
    <w:rsid w:val="00FB01FE"/>
    <w:rsid w:val="00FB0ADC"/>
    <w:rsid w:val="00FB0F5D"/>
    <w:rsid w:val="00FB0F71"/>
    <w:rsid w:val="00FB2092"/>
    <w:rsid w:val="00FB2138"/>
    <w:rsid w:val="00FB23CB"/>
    <w:rsid w:val="00FB321E"/>
    <w:rsid w:val="00FB372E"/>
    <w:rsid w:val="00FB397E"/>
    <w:rsid w:val="00FB3B7B"/>
    <w:rsid w:val="00FB3D0A"/>
    <w:rsid w:val="00FB3D8F"/>
    <w:rsid w:val="00FB47D7"/>
    <w:rsid w:val="00FB4B98"/>
    <w:rsid w:val="00FB4CE0"/>
    <w:rsid w:val="00FB4D10"/>
    <w:rsid w:val="00FB4FA2"/>
    <w:rsid w:val="00FB546F"/>
    <w:rsid w:val="00FB593C"/>
    <w:rsid w:val="00FB645D"/>
    <w:rsid w:val="00FB67B3"/>
    <w:rsid w:val="00FB6D65"/>
    <w:rsid w:val="00FB7716"/>
    <w:rsid w:val="00FB78F4"/>
    <w:rsid w:val="00FB7AD0"/>
    <w:rsid w:val="00FB7B7C"/>
    <w:rsid w:val="00FB7EC1"/>
    <w:rsid w:val="00FB7F15"/>
    <w:rsid w:val="00FC0884"/>
    <w:rsid w:val="00FC096E"/>
    <w:rsid w:val="00FC0A08"/>
    <w:rsid w:val="00FC0A97"/>
    <w:rsid w:val="00FC0F53"/>
    <w:rsid w:val="00FC1ACA"/>
    <w:rsid w:val="00FC1BE8"/>
    <w:rsid w:val="00FC1F15"/>
    <w:rsid w:val="00FC2143"/>
    <w:rsid w:val="00FC2481"/>
    <w:rsid w:val="00FC27FE"/>
    <w:rsid w:val="00FC297C"/>
    <w:rsid w:val="00FC2AAF"/>
    <w:rsid w:val="00FC2D52"/>
    <w:rsid w:val="00FC3176"/>
    <w:rsid w:val="00FC3203"/>
    <w:rsid w:val="00FC352B"/>
    <w:rsid w:val="00FC39AE"/>
    <w:rsid w:val="00FC3B58"/>
    <w:rsid w:val="00FC3F08"/>
    <w:rsid w:val="00FC40A0"/>
    <w:rsid w:val="00FC444F"/>
    <w:rsid w:val="00FC487E"/>
    <w:rsid w:val="00FC4F09"/>
    <w:rsid w:val="00FC4FBB"/>
    <w:rsid w:val="00FC52B4"/>
    <w:rsid w:val="00FC53B0"/>
    <w:rsid w:val="00FC572C"/>
    <w:rsid w:val="00FC59BA"/>
    <w:rsid w:val="00FC5FAA"/>
    <w:rsid w:val="00FC62D0"/>
    <w:rsid w:val="00FC6813"/>
    <w:rsid w:val="00FC6C81"/>
    <w:rsid w:val="00FC6CB9"/>
    <w:rsid w:val="00FC6EEF"/>
    <w:rsid w:val="00FC713C"/>
    <w:rsid w:val="00FC718B"/>
    <w:rsid w:val="00FC7190"/>
    <w:rsid w:val="00FC7220"/>
    <w:rsid w:val="00FC72D8"/>
    <w:rsid w:val="00FC7484"/>
    <w:rsid w:val="00FC768A"/>
    <w:rsid w:val="00FC7748"/>
    <w:rsid w:val="00FC7EF3"/>
    <w:rsid w:val="00FC7F56"/>
    <w:rsid w:val="00FD0AF5"/>
    <w:rsid w:val="00FD1A19"/>
    <w:rsid w:val="00FD1A21"/>
    <w:rsid w:val="00FD1A4C"/>
    <w:rsid w:val="00FD1C3F"/>
    <w:rsid w:val="00FD20EF"/>
    <w:rsid w:val="00FD211A"/>
    <w:rsid w:val="00FD21DE"/>
    <w:rsid w:val="00FD257F"/>
    <w:rsid w:val="00FD2A56"/>
    <w:rsid w:val="00FD2BB0"/>
    <w:rsid w:val="00FD2C65"/>
    <w:rsid w:val="00FD3285"/>
    <w:rsid w:val="00FD362F"/>
    <w:rsid w:val="00FD382E"/>
    <w:rsid w:val="00FD3890"/>
    <w:rsid w:val="00FD3A69"/>
    <w:rsid w:val="00FD3BE2"/>
    <w:rsid w:val="00FD3BF3"/>
    <w:rsid w:val="00FD4511"/>
    <w:rsid w:val="00FD481A"/>
    <w:rsid w:val="00FD483D"/>
    <w:rsid w:val="00FD4AF4"/>
    <w:rsid w:val="00FD537E"/>
    <w:rsid w:val="00FD541F"/>
    <w:rsid w:val="00FD5675"/>
    <w:rsid w:val="00FD5CF8"/>
    <w:rsid w:val="00FD6614"/>
    <w:rsid w:val="00FD6633"/>
    <w:rsid w:val="00FD6A5E"/>
    <w:rsid w:val="00FD7604"/>
    <w:rsid w:val="00FD77BA"/>
    <w:rsid w:val="00FD7DD5"/>
    <w:rsid w:val="00FD7ED7"/>
    <w:rsid w:val="00FE0B4A"/>
    <w:rsid w:val="00FE0F54"/>
    <w:rsid w:val="00FE1671"/>
    <w:rsid w:val="00FE19FB"/>
    <w:rsid w:val="00FE1DA3"/>
    <w:rsid w:val="00FE2293"/>
    <w:rsid w:val="00FE234F"/>
    <w:rsid w:val="00FE23C4"/>
    <w:rsid w:val="00FE24A6"/>
    <w:rsid w:val="00FE2555"/>
    <w:rsid w:val="00FE25B1"/>
    <w:rsid w:val="00FE29D1"/>
    <w:rsid w:val="00FE2F5E"/>
    <w:rsid w:val="00FE2FD8"/>
    <w:rsid w:val="00FE38CC"/>
    <w:rsid w:val="00FE38D3"/>
    <w:rsid w:val="00FE3966"/>
    <w:rsid w:val="00FE3C1B"/>
    <w:rsid w:val="00FE45B0"/>
    <w:rsid w:val="00FE4910"/>
    <w:rsid w:val="00FE4FE9"/>
    <w:rsid w:val="00FE5872"/>
    <w:rsid w:val="00FE5F3D"/>
    <w:rsid w:val="00FE6135"/>
    <w:rsid w:val="00FE6192"/>
    <w:rsid w:val="00FE63C5"/>
    <w:rsid w:val="00FE699E"/>
    <w:rsid w:val="00FE6A3D"/>
    <w:rsid w:val="00FE6B96"/>
    <w:rsid w:val="00FE6C9F"/>
    <w:rsid w:val="00FE6CCB"/>
    <w:rsid w:val="00FE6D07"/>
    <w:rsid w:val="00FE6E99"/>
    <w:rsid w:val="00FE71C1"/>
    <w:rsid w:val="00FE733F"/>
    <w:rsid w:val="00FE780F"/>
    <w:rsid w:val="00FE7AD5"/>
    <w:rsid w:val="00FE7B12"/>
    <w:rsid w:val="00FF0096"/>
    <w:rsid w:val="00FF02D3"/>
    <w:rsid w:val="00FF061B"/>
    <w:rsid w:val="00FF0E66"/>
    <w:rsid w:val="00FF0FC8"/>
    <w:rsid w:val="00FF0FDB"/>
    <w:rsid w:val="00FF197A"/>
    <w:rsid w:val="00FF1BE2"/>
    <w:rsid w:val="00FF1CCA"/>
    <w:rsid w:val="00FF2413"/>
    <w:rsid w:val="00FF24FB"/>
    <w:rsid w:val="00FF2B19"/>
    <w:rsid w:val="00FF3106"/>
    <w:rsid w:val="00FF375B"/>
    <w:rsid w:val="00FF3834"/>
    <w:rsid w:val="00FF3965"/>
    <w:rsid w:val="00FF42D3"/>
    <w:rsid w:val="00FF45E7"/>
    <w:rsid w:val="00FF46EB"/>
    <w:rsid w:val="00FF474D"/>
    <w:rsid w:val="00FF4818"/>
    <w:rsid w:val="00FF5014"/>
    <w:rsid w:val="00FF502C"/>
    <w:rsid w:val="00FF5218"/>
    <w:rsid w:val="00FF5296"/>
    <w:rsid w:val="00FF54E3"/>
    <w:rsid w:val="00FF55C7"/>
    <w:rsid w:val="00FF55EB"/>
    <w:rsid w:val="00FF58E1"/>
    <w:rsid w:val="00FF5A7F"/>
    <w:rsid w:val="00FF5B7D"/>
    <w:rsid w:val="00FF6097"/>
    <w:rsid w:val="00FF6287"/>
    <w:rsid w:val="00FF62B6"/>
    <w:rsid w:val="00FF642C"/>
    <w:rsid w:val="00FF659F"/>
    <w:rsid w:val="00FF67B3"/>
    <w:rsid w:val="00FF6F71"/>
    <w:rsid w:val="00FF6FF2"/>
    <w:rsid w:val="00FF7272"/>
    <w:rsid w:val="00FF741C"/>
    <w:rsid w:val="012211FF"/>
    <w:rsid w:val="012254A4"/>
    <w:rsid w:val="012C7DBF"/>
    <w:rsid w:val="012D6B0E"/>
    <w:rsid w:val="013BDF3E"/>
    <w:rsid w:val="013DF258"/>
    <w:rsid w:val="0153A962"/>
    <w:rsid w:val="01AB1E3C"/>
    <w:rsid w:val="01AB91FE"/>
    <w:rsid w:val="01B2EE17"/>
    <w:rsid w:val="01B866E4"/>
    <w:rsid w:val="01C03FE0"/>
    <w:rsid w:val="01CFB34C"/>
    <w:rsid w:val="01DB8EA3"/>
    <w:rsid w:val="01F624F8"/>
    <w:rsid w:val="02188F68"/>
    <w:rsid w:val="024069F6"/>
    <w:rsid w:val="0242697B"/>
    <w:rsid w:val="025FEF3A"/>
    <w:rsid w:val="02748D0C"/>
    <w:rsid w:val="02820C4B"/>
    <w:rsid w:val="029B478F"/>
    <w:rsid w:val="02A19D3F"/>
    <w:rsid w:val="02B07C78"/>
    <w:rsid w:val="02C66674"/>
    <w:rsid w:val="02E2448A"/>
    <w:rsid w:val="032C428B"/>
    <w:rsid w:val="03304F35"/>
    <w:rsid w:val="0331A33C"/>
    <w:rsid w:val="0349D690"/>
    <w:rsid w:val="034B1630"/>
    <w:rsid w:val="034C8A29"/>
    <w:rsid w:val="034C8CDB"/>
    <w:rsid w:val="036E38D2"/>
    <w:rsid w:val="03920939"/>
    <w:rsid w:val="03979D52"/>
    <w:rsid w:val="03B541C8"/>
    <w:rsid w:val="03D3C7A7"/>
    <w:rsid w:val="03E0EB23"/>
    <w:rsid w:val="03F48F24"/>
    <w:rsid w:val="03FD93EE"/>
    <w:rsid w:val="0417F386"/>
    <w:rsid w:val="042ADFEE"/>
    <w:rsid w:val="045B210C"/>
    <w:rsid w:val="045F696F"/>
    <w:rsid w:val="04680EC2"/>
    <w:rsid w:val="048A214B"/>
    <w:rsid w:val="04901369"/>
    <w:rsid w:val="04960945"/>
    <w:rsid w:val="049F50FC"/>
    <w:rsid w:val="04C24953"/>
    <w:rsid w:val="04C7DFDB"/>
    <w:rsid w:val="04D785AC"/>
    <w:rsid w:val="04F3814C"/>
    <w:rsid w:val="05064F35"/>
    <w:rsid w:val="050D17BE"/>
    <w:rsid w:val="05198C21"/>
    <w:rsid w:val="0540BA51"/>
    <w:rsid w:val="0563E5B7"/>
    <w:rsid w:val="056764FE"/>
    <w:rsid w:val="056EF388"/>
    <w:rsid w:val="059CF4AA"/>
    <w:rsid w:val="05A97AC0"/>
    <w:rsid w:val="05B346A6"/>
    <w:rsid w:val="06013739"/>
    <w:rsid w:val="062AC830"/>
    <w:rsid w:val="06496A15"/>
    <w:rsid w:val="0652E83E"/>
    <w:rsid w:val="0669DFE3"/>
    <w:rsid w:val="06773899"/>
    <w:rsid w:val="067A0FF9"/>
    <w:rsid w:val="067AD196"/>
    <w:rsid w:val="0694CF7E"/>
    <w:rsid w:val="069CDF5C"/>
    <w:rsid w:val="06A52F14"/>
    <w:rsid w:val="06B90F88"/>
    <w:rsid w:val="06BC59CF"/>
    <w:rsid w:val="06C35280"/>
    <w:rsid w:val="06C9A0F9"/>
    <w:rsid w:val="06F010AE"/>
    <w:rsid w:val="0701D709"/>
    <w:rsid w:val="0714800F"/>
    <w:rsid w:val="07172E30"/>
    <w:rsid w:val="07372D4E"/>
    <w:rsid w:val="073B68B6"/>
    <w:rsid w:val="07699035"/>
    <w:rsid w:val="078DCB3F"/>
    <w:rsid w:val="07952BA6"/>
    <w:rsid w:val="07A292FC"/>
    <w:rsid w:val="07BDFC5E"/>
    <w:rsid w:val="07C8C4EE"/>
    <w:rsid w:val="07D06E60"/>
    <w:rsid w:val="07D2B797"/>
    <w:rsid w:val="07D84424"/>
    <w:rsid w:val="07D857DF"/>
    <w:rsid w:val="07D939BD"/>
    <w:rsid w:val="07DEA2EE"/>
    <w:rsid w:val="07EE8684"/>
    <w:rsid w:val="07EF1E7B"/>
    <w:rsid w:val="07F4E766"/>
    <w:rsid w:val="082506A5"/>
    <w:rsid w:val="082CA8F1"/>
    <w:rsid w:val="082CC2A0"/>
    <w:rsid w:val="0845313B"/>
    <w:rsid w:val="08636F52"/>
    <w:rsid w:val="088A00CC"/>
    <w:rsid w:val="088FB387"/>
    <w:rsid w:val="08CEEDE5"/>
    <w:rsid w:val="08E1DD51"/>
    <w:rsid w:val="091977C5"/>
    <w:rsid w:val="0936A2B2"/>
    <w:rsid w:val="09546A4E"/>
    <w:rsid w:val="09695F72"/>
    <w:rsid w:val="09883F1A"/>
    <w:rsid w:val="0989CF3B"/>
    <w:rsid w:val="098D757C"/>
    <w:rsid w:val="0992CD08"/>
    <w:rsid w:val="09B0107D"/>
    <w:rsid w:val="09D1296E"/>
    <w:rsid w:val="0A0CB679"/>
    <w:rsid w:val="0A161584"/>
    <w:rsid w:val="0A1D47BE"/>
    <w:rsid w:val="0A3A130B"/>
    <w:rsid w:val="0A48B1C3"/>
    <w:rsid w:val="0A6EB570"/>
    <w:rsid w:val="0A7BE1E9"/>
    <w:rsid w:val="0A98DE66"/>
    <w:rsid w:val="0A9D043A"/>
    <w:rsid w:val="0AA017A0"/>
    <w:rsid w:val="0AA210CE"/>
    <w:rsid w:val="0AA27FD9"/>
    <w:rsid w:val="0AB0FB6E"/>
    <w:rsid w:val="0AB9BE47"/>
    <w:rsid w:val="0ABB2341"/>
    <w:rsid w:val="0ABB60AD"/>
    <w:rsid w:val="0AC5B444"/>
    <w:rsid w:val="0AD37932"/>
    <w:rsid w:val="0ADDABD1"/>
    <w:rsid w:val="0AFB0C9F"/>
    <w:rsid w:val="0B171993"/>
    <w:rsid w:val="0B27D21E"/>
    <w:rsid w:val="0B28B6FC"/>
    <w:rsid w:val="0B3A23B1"/>
    <w:rsid w:val="0B3B793F"/>
    <w:rsid w:val="0B5026AD"/>
    <w:rsid w:val="0B61A8DA"/>
    <w:rsid w:val="0B6E252C"/>
    <w:rsid w:val="0B7DBA45"/>
    <w:rsid w:val="0B8E42CE"/>
    <w:rsid w:val="0BA36241"/>
    <w:rsid w:val="0BB5A226"/>
    <w:rsid w:val="0BCFFEAC"/>
    <w:rsid w:val="0BDE589F"/>
    <w:rsid w:val="0BE47F6D"/>
    <w:rsid w:val="0BEF68BA"/>
    <w:rsid w:val="0BF0CC2D"/>
    <w:rsid w:val="0BF5001A"/>
    <w:rsid w:val="0C181188"/>
    <w:rsid w:val="0C254E83"/>
    <w:rsid w:val="0C380ED8"/>
    <w:rsid w:val="0C38410A"/>
    <w:rsid w:val="0C3B265F"/>
    <w:rsid w:val="0C4249FE"/>
    <w:rsid w:val="0C7E617E"/>
    <w:rsid w:val="0CC16151"/>
    <w:rsid w:val="0CD2E709"/>
    <w:rsid w:val="0D06F057"/>
    <w:rsid w:val="0D09DD8D"/>
    <w:rsid w:val="0D1087ED"/>
    <w:rsid w:val="0D31C4A9"/>
    <w:rsid w:val="0D403336"/>
    <w:rsid w:val="0D425BEC"/>
    <w:rsid w:val="0D614C0F"/>
    <w:rsid w:val="0D6E1BF2"/>
    <w:rsid w:val="0D78C661"/>
    <w:rsid w:val="0D82226C"/>
    <w:rsid w:val="0D8F05A0"/>
    <w:rsid w:val="0D9D5476"/>
    <w:rsid w:val="0DBDA188"/>
    <w:rsid w:val="0DE12963"/>
    <w:rsid w:val="0DF505A2"/>
    <w:rsid w:val="0DF60A93"/>
    <w:rsid w:val="0E05E87B"/>
    <w:rsid w:val="0E127D9B"/>
    <w:rsid w:val="0E17A229"/>
    <w:rsid w:val="0E2E9DF3"/>
    <w:rsid w:val="0E30CD2A"/>
    <w:rsid w:val="0E7C7D37"/>
    <w:rsid w:val="0E8A0FAD"/>
    <w:rsid w:val="0E97B004"/>
    <w:rsid w:val="0E9C574A"/>
    <w:rsid w:val="0E9E7B4E"/>
    <w:rsid w:val="0EA76591"/>
    <w:rsid w:val="0EDAA8A3"/>
    <w:rsid w:val="0EE75441"/>
    <w:rsid w:val="0EF2EB7E"/>
    <w:rsid w:val="0EF5A007"/>
    <w:rsid w:val="0F164FE1"/>
    <w:rsid w:val="0F6DA7B5"/>
    <w:rsid w:val="0F72EA61"/>
    <w:rsid w:val="0F7EA469"/>
    <w:rsid w:val="0F8081E5"/>
    <w:rsid w:val="0FA5C95C"/>
    <w:rsid w:val="0FB2532B"/>
    <w:rsid w:val="0FCEB758"/>
    <w:rsid w:val="0FE6413E"/>
    <w:rsid w:val="0FF1DF29"/>
    <w:rsid w:val="0FFBF72C"/>
    <w:rsid w:val="1008B3F3"/>
    <w:rsid w:val="102A2DB1"/>
    <w:rsid w:val="1035E4C7"/>
    <w:rsid w:val="1047879F"/>
    <w:rsid w:val="1087849A"/>
    <w:rsid w:val="10969F63"/>
    <w:rsid w:val="109AB991"/>
    <w:rsid w:val="10D568DC"/>
    <w:rsid w:val="10F24662"/>
    <w:rsid w:val="10FEA224"/>
    <w:rsid w:val="1106925E"/>
    <w:rsid w:val="110D1DDA"/>
    <w:rsid w:val="11123982"/>
    <w:rsid w:val="11155514"/>
    <w:rsid w:val="113F6880"/>
    <w:rsid w:val="114E54A4"/>
    <w:rsid w:val="114F0267"/>
    <w:rsid w:val="11632C9A"/>
    <w:rsid w:val="11634E6F"/>
    <w:rsid w:val="116B3A81"/>
    <w:rsid w:val="117E2504"/>
    <w:rsid w:val="11825FD4"/>
    <w:rsid w:val="11837A7C"/>
    <w:rsid w:val="11892885"/>
    <w:rsid w:val="119E0C37"/>
    <w:rsid w:val="11A246D1"/>
    <w:rsid w:val="11C0A25D"/>
    <w:rsid w:val="11F4E2D9"/>
    <w:rsid w:val="12124ED5"/>
    <w:rsid w:val="12228741"/>
    <w:rsid w:val="123865FB"/>
    <w:rsid w:val="1263AF36"/>
    <w:rsid w:val="12796925"/>
    <w:rsid w:val="12967517"/>
    <w:rsid w:val="12A76062"/>
    <w:rsid w:val="12C89EC4"/>
    <w:rsid w:val="12CB37FB"/>
    <w:rsid w:val="130BCF14"/>
    <w:rsid w:val="1316E9A6"/>
    <w:rsid w:val="1321B1E5"/>
    <w:rsid w:val="1338D73A"/>
    <w:rsid w:val="135777DB"/>
    <w:rsid w:val="13641F56"/>
    <w:rsid w:val="137DB616"/>
    <w:rsid w:val="13976C6C"/>
    <w:rsid w:val="13BBDD76"/>
    <w:rsid w:val="13BFDB64"/>
    <w:rsid w:val="13C07D24"/>
    <w:rsid w:val="13CFAFD6"/>
    <w:rsid w:val="13D377B7"/>
    <w:rsid w:val="140E0026"/>
    <w:rsid w:val="1429E5F7"/>
    <w:rsid w:val="142DE5AF"/>
    <w:rsid w:val="14425260"/>
    <w:rsid w:val="1477A3F9"/>
    <w:rsid w:val="148D642B"/>
    <w:rsid w:val="14C5E3BD"/>
    <w:rsid w:val="14DA8A5D"/>
    <w:rsid w:val="157603A4"/>
    <w:rsid w:val="158CD2D0"/>
    <w:rsid w:val="15C85463"/>
    <w:rsid w:val="15E9F087"/>
    <w:rsid w:val="16365074"/>
    <w:rsid w:val="1644893F"/>
    <w:rsid w:val="165D2352"/>
    <w:rsid w:val="167DFCB0"/>
    <w:rsid w:val="169C51BB"/>
    <w:rsid w:val="16D1E221"/>
    <w:rsid w:val="16E032B5"/>
    <w:rsid w:val="16E130BD"/>
    <w:rsid w:val="16ECE106"/>
    <w:rsid w:val="16FB3E33"/>
    <w:rsid w:val="170B1AF7"/>
    <w:rsid w:val="1737532A"/>
    <w:rsid w:val="17409CD8"/>
    <w:rsid w:val="174B0839"/>
    <w:rsid w:val="174D277E"/>
    <w:rsid w:val="176439E0"/>
    <w:rsid w:val="17665443"/>
    <w:rsid w:val="176717DD"/>
    <w:rsid w:val="17730199"/>
    <w:rsid w:val="17A00042"/>
    <w:rsid w:val="17AA09DD"/>
    <w:rsid w:val="17B6BF22"/>
    <w:rsid w:val="17BAFA52"/>
    <w:rsid w:val="17C741E2"/>
    <w:rsid w:val="17C82E9C"/>
    <w:rsid w:val="17EFA48A"/>
    <w:rsid w:val="17F1968D"/>
    <w:rsid w:val="18027FEF"/>
    <w:rsid w:val="183BE138"/>
    <w:rsid w:val="183C89B3"/>
    <w:rsid w:val="184E2E63"/>
    <w:rsid w:val="185F8F49"/>
    <w:rsid w:val="18600F4F"/>
    <w:rsid w:val="1863B8C9"/>
    <w:rsid w:val="186B87FC"/>
    <w:rsid w:val="187E8F0C"/>
    <w:rsid w:val="187EE797"/>
    <w:rsid w:val="188595C6"/>
    <w:rsid w:val="18924A8E"/>
    <w:rsid w:val="189A33E2"/>
    <w:rsid w:val="18AF7F8D"/>
    <w:rsid w:val="18BC562E"/>
    <w:rsid w:val="18D93FC9"/>
    <w:rsid w:val="18F7340B"/>
    <w:rsid w:val="192666E2"/>
    <w:rsid w:val="192C5B2F"/>
    <w:rsid w:val="193C9B89"/>
    <w:rsid w:val="19463F8E"/>
    <w:rsid w:val="1963D5ED"/>
    <w:rsid w:val="196B774D"/>
    <w:rsid w:val="196FA940"/>
    <w:rsid w:val="1973E51E"/>
    <w:rsid w:val="199C0CDA"/>
    <w:rsid w:val="199D7A05"/>
    <w:rsid w:val="19A580B4"/>
    <w:rsid w:val="19BA7DBF"/>
    <w:rsid w:val="19CE80BA"/>
    <w:rsid w:val="19D1B64A"/>
    <w:rsid w:val="19EB12CD"/>
    <w:rsid w:val="1A007037"/>
    <w:rsid w:val="1A2D1ACA"/>
    <w:rsid w:val="1A3A6FAA"/>
    <w:rsid w:val="1A421871"/>
    <w:rsid w:val="1A578413"/>
    <w:rsid w:val="1A5C4040"/>
    <w:rsid w:val="1A6BC814"/>
    <w:rsid w:val="1A7AD810"/>
    <w:rsid w:val="1ABC9B37"/>
    <w:rsid w:val="1AC11E7E"/>
    <w:rsid w:val="1AE6D800"/>
    <w:rsid w:val="1AF598CA"/>
    <w:rsid w:val="1B7EE5A8"/>
    <w:rsid w:val="1B9C832A"/>
    <w:rsid w:val="1BA2FA77"/>
    <w:rsid w:val="1BB005E1"/>
    <w:rsid w:val="1BCBD125"/>
    <w:rsid w:val="1C0221C2"/>
    <w:rsid w:val="1C21B97B"/>
    <w:rsid w:val="1C24E6A1"/>
    <w:rsid w:val="1C5B9F20"/>
    <w:rsid w:val="1C5DFF19"/>
    <w:rsid w:val="1C66DA37"/>
    <w:rsid w:val="1C6C5BE7"/>
    <w:rsid w:val="1C9D987F"/>
    <w:rsid w:val="1CBFE775"/>
    <w:rsid w:val="1CD89EE2"/>
    <w:rsid w:val="1CEDE324"/>
    <w:rsid w:val="1CEE3A96"/>
    <w:rsid w:val="1D19C67B"/>
    <w:rsid w:val="1D2D82EE"/>
    <w:rsid w:val="1D406A87"/>
    <w:rsid w:val="1D4268B3"/>
    <w:rsid w:val="1D476527"/>
    <w:rsid w:val="1D56D267"/>
    <w:rsid w:val="1D5A1BC9"/>
    <w:rsid w:val="1D84E215"/>
    <w:rsid w:val="1D974F99"/>
    <w:rsid w:val="1DA141AE"/>
    <w:rsid w:val="1DA701AB"/>
    <w:rsid w:val="1DAF339B"/>
    <w:rsid w:val="1DCBCC84"/>
    <w:rsid w:val="1DD0B7FC"/>
    <w:rsid w:val="1DDEACD2"/>
    <w:rsid w:val="1DF56EC5"/>
    <w:rsid w:val="1E2E010D"/>
    <w:rsid w:val="1E39A183"/>
    <w:rsid w:val="1E584ADA"/>
    <w:rsid w:val="1E591D22"/>
    <w:rsid w:val="1E78E1CD"/>
    <w:rsid w:val="1E84C98F"/>
    <w:rsid w:val="1E9F084B"/>
    <w:rsid w:val="1EDA2EF2"/>
    <w:rsid w:val="1EE07CB6"/>
    <w:rsid w:val="1EE26092"/>
    <w:rsid w:val="1EE66429"/>
    <w:rsid w:val="1EED451C"/>
    <w:rsid w:val="1EF00805"/>
    <w:rsid w:val="1EF26706"/>
    <w:rsid w:val="1F1790C3"/>
    <w:rsid w:val="1F288F7D"/>
    <w:rsid w:val="1F2FE1FE"/>
    <w:rsid w:val="1F52394E"/>
    <w:rsid w:val="1F78E99C"/>
    <w:rsid w:val="1F88E33C"/>
    <w:rsid w:val="1F8C0941"/>
    <w:rsid w:val="1FA2E48A"/>
    <w:rsid w:val="1FAD1D81"/>
    <w:rsid w:val="1FB27D5B"/>
    <w:rsid w:val="1FC7E196"/>
    <w:rsid w:val="1FD23F52"/>
    <w:rsid w:val="1FD38D04"/>
    <w:rsid w:val="1FD631C6"/>
    <w:rsid w:val="1FD7E24D"/>
    <w:rsid w:val="20022AE4"/>
    <w:rsid w:val="20060234"/>
    <w:rsid w:val="2007DA57"/>
    <w:rsid w:val="2008F83B"/>
    <w:rsid w:val="200DA5EE"/>
    <w:rsid w:val="203800F1"/>
    <w:rsid w:val="20481C89"/>
    <w:rsid w:val="20635916"/>
    <w:rsid w:val="2073C5A7"/>
    <w:rsid w:val="209AB32F"/>
    <w:rsid w:val="20A3C544"/>
    <w:rsid w:val="20AA6672"/>
    <w:rsid w:val="20D35F90"/>
    <w:rsid w:val="20E6908B"/>
    <w:rsid w:val="20FCFB9F"/>
    <w:rsid w:val="210240E2"/>
    <w:rsid w:val="210B9458"/>
    <w:rsid w:val="21102060"/>
    <w:rsid w:val="212ADCF2"/>
    <w:rsid w:val="21402380"/>
    <w:rsid w:val="21487C2F"/>
    <w:rsid w:val="216DCFCD"/>
    <w:rsid w:val="21774B60"/>
    <w:rsid w:val="217A9FB0"/>
    <w:rsid w:val="217EBF65"/>
    <w:rsid w:val="21842D9F"/>
    <w:rsid w:val="219593B9"/>
    <w:rsid w:val="21A66E25"/>
    <w:rsid w:val="21C07D79"/>
    <w:rsid w:val="21E7FB68"/>
    <w:rsid w:val="21EC920C"/>
    <w:rsid w:val="21ED1E1D"/>
    <w:rsid w:val="22123855"/>
    <w:rsid w:val="22165922"/>
    <w:rsid w:val="222698EF"/>
    <w:rsid w:val="223DF527"/>
    <w:rsid w:val="223F1EDD"/>
    <w:rsid w:val="224D4101"/>
    <w:rsid w:val="2265C634"/>
    <w:rsid w:val="227FDC29"/>
    <w:rsid w:val="22B75402"/>
    <w:rsid w:val="22D497F8"/>
    <w:rsid w:val="22DB5F16"/>
    <w:rsid w:val="22DF433D"/>
    <w:rsid w:val="22F30B45"/>
    <w:rsid w:val="22FF4C51"/>
    <w:rsid w:val="231EBC4A"/>
    <w:rsid w:val="232E5BAE"/>
    <w:rsid w:val="233686C5"/>
    <w:rsid w:val="233BFF98"/>
    <w:rsid w:val="234D1CC8"/>
    <w:rsid w:val="235441AE"/>
    <w:rsid w:val="235ACB8A"/>
    <w:rsid w:val="236DFB0E"/>
    <w:rsid w:val="23807F6A"/>
    <w:rsid w:val="23994624"/>
    <w:rsid w:val="23AF456E"/>
    <w:rsid w:val="23BA35F9"/>
    <w:rsid w:val="23C24229"/>
    <w:rsid w:val="23C68A67"/>
    <w:rsid w:val="23CCEE6C"/>
    <w:rsid w:val="23E3D9E2"/>
    <w:rsid w:val="23EC8297"/>
    <w:rsid w:val="23F6480E"/>
    <w:rsid w:val="24137C98"/>
    <w:rsid w:val="241718AF"/>
    <w:rsid w:val="242DF013"/>
    <w:rsid w:val="242F1C9A"/>
    <w:rsid w:val="243693A0"/>
    <w:rsid w:val="2454708D"/>
    <w:rsid w:val="245A8409"/>
    <w:rsid w:val="24632352"/>
    <w:rsid w:val="24646F91"/>
    <w:rsid w:val="2467B61F"/>
    <w:rsid w:val="246EF151"/>
    <w:rsid w:val="24AD4801"/>
    <w:rsid w:val="24B6E6F6"/>
    <w:rsid w:val="24C77BFC"/>
    <w:rsid w:val="24CE2AF9"/>
    <w:rsid w:val="24D0F78A"/>
    <w:rsid w:val="24D6CABF"/>
    <w:rsid w:val="24E1077F"/>
    <w:rsid w:val="24FE2FF3"/>
    <w:rsid w:val="250D27B3"/>
    <w:rsid w:val="25244C15"/>
    <w:rsid w:val="2526989B"/>
    <w:rsid w:val="252EFFD2"/>
    <w:rsid w:val="253A67C5"/>
    <w:rsid w:val="254C4349"/>
    <w:rsid w:val="2554AD11"/>
    <w:rsid w:val="255DA5CA"/>
    <w:rsid w:val="2574884A"/>
    <w:rsid w:val="25876AD9"/>
    <w:rsid w:val="258C57D6"/>
    <w:rsid w:val="25953A39"/>
    <w:rsid w:val="25A7466B"/>
    <w:rsid w:val="25AD40CF"/>
    <w:rsid w:val="25AE444F"/>
    <w:rsid w:val="25B2039D"/>
    <w:rsid w:val="25D02A1E"/>
    <w:rsid w:val="25D94AC1"/>
    <w:rsid w:val="2605B338"/>
    <w:rsid w:val="2613DB35"/>
    <w:rsid w:val="2617E0A1"/>
    <w:rsid w:val="263FCA2B"/>
    <w:rsid w:val="2653821E"/>
    <w:rsid w:val="26602F1C"/>
    <w:rsid w:val="266DFEBF"/>
    <w:rsid w:val="26932891"/>
    <w:rsid w:val="26A11011"/>
    <w:rsid w:val="26A25686"/>
    <w:rsid w:val="26BC8174"/>
    <w:rsid w:val="26BDD09B"/>
    <w:rsid w:val="26CDC55C"/>
    <w:rsid w:val="272DABBE"/>
    <w:rsid w:val="27305212"/>
    <w:rsid w:val="273834FA"/>
    <w:rsid w:val="27388DCC"/>
    <w:rsid w:val="27525D18"/>
    <w:rsid w:val="27694FF4"/>
    <w:rsid w:val="27819B60"/>
    <w:rsid w:val="27833461"/>
    <w:rsid w:val="27A16D13"/>
    <w:rsid w:val="27A27678"/>
    <w:rsid w:val="27CA4FF2"/>
    <w:rsid w:val="27CE6D7C"/>
    <w:rsid w:val="27DBB0C9"/>
    <w:rsid w:val="27E3EEE1"/>
    <w:rsid w:val="27E410AD"/>
    <w:rsid w:val="27E8C46B"/>
    <w:rsid w:val="28076054"/>
    <w:rsid w:val="28097FCA"/>
    <w:rsid w:val="28251A70"/>
    <w:rsid w:val="28296535"/>
    <w:rsid w:val="28318DA9"/>
    <w:rsid w:val="28725582"/>
    <w:rsid w:val="287F244E"/>
    <w:rsid w:val="28A74CD4"/>
    <w:rsid w:val="28B89A61"/>
    <w:rsid w:val="28E43BE3"/>
    <w:rsid w:val="28EB3F1E"/>
    <w:rsid w:val="28F10858"/>
    <w:rsid w:val="28FAEF8E"/>
    <w:rsid w:val="29041527"/>
    <w:rsid w:val="29184CDE"/>
    <w:rsid w:val="2918595C"/>
    <w:rsid w:val="293CD79D"/>
    <w:rsid w:val="295AAA3C"/>
    <w:rsid w:val="295BFA8C"/>
    <w:rsid w:val="295E0ED3"/>
    <w:rsid w:val="2960C495"/>
    <w:rsid w:val="2968CB3C"/>
    <w:rsid w:val="299784B8"/>
    <w:rsid w:val="2999D337"/>
    <w:rsid w:val="29BA67B7"/>
    <w:rsid w:val="29E5483C"/>
    <w:rsid w:val="2A3659BB"/>
    <w:rsid w:val="2A444674"/>
    <w:rsid w:val="2A4FE331"/>
    <w:rsid w:val="2A6694FB"/>
    <w:rsid w:val="2A785783"/>
    <w:rsid w:val="2A7D4E08"/>
    <w:rsid w:val="2A84F54D"/>
    <w:rsid w:val="2A8553C5"/>
    <w:rsid w:val="2A8FD478"/>
    <w:rsid w:val="2AB9C854"/>
    <w:rsid w:val="2ABCC78D"/>
    <w:rsid w:val="2AC540FE"/>
    <w:rsid w:val="2AD1AC1E"/>
    <w:rsid w:val="2AEA5AAA"/>
    <w:rsid w:val="2AF3BCD4"/>
    <w:rsid w:val="2AFC3C69"/>
    <w:rsid w:val="2B004F87"/>
    <w:rsid w:val="2B08B331"/>
    <w:rsid w:val="2B1664C5"/>
    <w:rsid w:val="2B29D156"/>
    <w:rsid w:val="2B2D468C"/>
    <w:rsid w:val="2B2DC8A0"/>
    <w:rsid w:val="2B312CBC"/>
    <w:rsid w:val="2B403EB2"/>
    <w:rsid w:val="2B5BA7C9"/>
    <w:rsid w:val="2B6658EF"/>
    <w:rsid w:val="2B6EA81F"/>
    <w:rsid w:val="2B770132"/>
    <w:rsid w:val="2B939613"/>
    <w:rsid w:val="2BA051D0"/>
    <w:rsid w:val="2BAB4C0C"/>
    <w:rsid w:val="2BACEA26"/>
    <w:rsid w:val="2BB97F0C"/>
    <w:rsid w:val="2BBA797D"/>
    <w:rsid w:val="2BC1D395"/>
    <w:rsid w:val="2BDA20A4"/>
    <w:rsid w:val="2BDD06E1"/>
    <w:rsid w:val="2BE2015E"/>
    <w:rsid w:val="2BE2C9B1"/>
    <w:rsid w:val="2BE53A6C"/>
    <w:rsid w:val="2BF1939E"/>
    <w:rsid w:val="2BF35DA5"/>
    <w:rsid w:val="2BFB6587"/>
    <w:rsid w:val="2C0150CB"/>
    <w:rsid w:val="2C36991D"/>
    <w:rsid w:val="2C3984E0"/>
    <w:rsid w:val="2C39FE2D"/>
    <w:rsid w:val="2C3EDD01"/>
    <w:rsid w:val="2C5CBC81"/>
    <w:rsid w:val="2C688D1A"/>
    <w:rsid w:val="2CA44119"/>
    <w:rsid w:val="2CA79F1A"/>
    <w:rsid w:val="2CC1201A"/>
    <w:rsid w:val="2CCBBEAF"/>
    <w:rsid w:val="2CE8AEFF"/>
    <w:rsid w:val="2CF91682"/>
    <w:rsid w:val="2CF94938"/>
    <w:rsid w:val="2D467E22"/>
    <w:rsid w:val="2D498F89"/>
    <w:rsid w:val="2D4EE745"/>
    <w:rsid w:val="2D513BF5"/>
    <w:rsid w:val="2D55A902"/>
    <w:rsid w:val="2D81A280"/>
    <w:rsid w:val="2D9A5631"/>
    <w:rsid w:val="2DBDCFFF"/>
    <w:rsid w:val="2DC109CD"/>
    <w:rsid w:val="2DD8D690"/>
    <w:rsid w:val="2DDDAA8B"/>
    <w:rsid w:val="2DEEFD12"/>
    <w:rsid w:val="2DF22902"/>
    <w:rsid w:val="2DFFBD17"/>
    <w:rsid w:val="2E0C66A6"/>
    <w:rsid w:val="2E632287"/>
    <w:rsid w:val="2E781B71"/>
    <w:rsid w:val="2E86CBC8"/>
    <w:rsid w:val="2EA372FC"/>
    <w:rsid w:val="2EBFE26A"/>
    <w:rsid w:val="2EDE8E41"/>
    <w:rsid w:val="2EE6D10E"/>
    <w:rsid w:val="2EEB69E7"/>
    <w:rsid w:val="2EF31912"/>
    <w:rsid w:val="2EFE7F40"/>
    <w:rsid w:val="2F02E6D7"/>
    <w:rsid w:val="2F1B807B"/>
    <w:rsid w:val="2F23D3A7"/>
    <w:rsid w:val="2F2891C6"/>
    <w:rsid w:val="2F2CCD44"/>
    <w:rsid w:val="2F33548A"/>
    <w:rsid w:val="2F48F0B0"/>
    <w:rsid w:val="2F4B53EE"/>
    <w:rsid w:val="2F61D8D1"/>
    <w:rsid w:val="2F86DF51"/>
    <w:rsid w:val="2F8AF5C1"/>
    <w:rsid w:val="2F927CB2"/>
    <w:rsid w:val="2FA50DA7"/>
    <w:rsid w:val="2FA8EA5A"/>
    <w:rsid w:val="2FA9367F"/>
    <w:rsid w:val="2FFE1258"/>
    <w:rsid w:val="30070A78"/>
    <w:rsid w:val="301A098A"/>
    <w:rsid w:val="3033D503"/>
    <w:rsid w:val="30465581"/>
    <w:rsid w:val="30542814"/>
    <w:rsid w:val="305625E0"/>
    <w:rsid w:val="306BA45A"/>
    <w:rsid w:val="307407AC"/>
    <w:rsid w:val="3076AE55"/>
    <w:rsid w:val="307B4CDF"/>
    <w:rsid w:val="309527BF"/>
    <w:rsid w:val="309E2A51"/>
    <w:rsid w:val="30A4F33E"/>
    <w:rsid w:val="30AE2E44"/>
    <w:rsid w:val="30C7FA2A"/>
    <w:rsid w:val="30E8CA22"/>
    <w:rsid w:val="30F27C00"/>
    <w:rsid w:val="30F3D09F"/>
    <w:rsid w:val="30F6CC6E"/>
    <w:rsid w:val="31023C30"/>
    <w:rsid w:val="310BCDA7"/>
    <w:rsid w:val="31233F03"/>
    <w:rsid w:val="31421800"/>
    <w:rsid w:val="314580F6"/>
    <w:rsid w:val="31697B40"/>
    <w:rsid w:val="316EE85D"/>
    <w:rsid w:val="3174F13B"/>
    <w:rsid w:val="3192887E"/>
    <w:rsid w:val="31A21E61"/>
    <w:rsid w:val="31AD1937"/>
    <w:rsid w:val="31BDBEE7"/>
    <w:rsid w:val="31C49F38"/>
    <w:rsid w:val="31DA66AC"/>
    <w:rsid w:val="31F0D8EF"/>
    <w:rsid w:val="31F5DC78"/>
    <w:rsid w:val="31F6A6E4"/>
    <w:rsid w:val="32171BE6"/>
    <w:rsid w:val="3228A271"/>
    <w:rsid w:val="323D3303"/>
    <w:rsid w:val="32402E88"/>
    <w:rsid w:val="32B46E38"/>
    <w:rsid w:val="32B4A77B"/>
    <w:rsid w:val="32E8B6E8"/>
    <w:rsid w:val="33077D69"/>
    <w:rsid w:val="3309B219"/>
    <w:rsid w:val="33190959"/>
    <w:rsid w:val="333251D2"/>
    <w:rsid w:val="33596B0B"/>
    <w:rsid w:val="33900DE7"/>
    <w:rsid w:val="33985BC8"/>
    <w:rsid w:val="339D7918"/>
    <w:rsid w:val="33ABD01A"/>
    <w:rsid w:val="33AE82C2"/>
    <w:rsid w:val="33B29C6C"/>
    <w:rsid w:val="33C4EB68"/>
    <w:rsid w:val="33D21CF3"/>
    <w:rsid w:val="33D44D47"/>
    <w:rsid w:val="33DEC62A"/>
    <w:rsid w:val="33EAEF24"/>
    <w:rsid w:val="33F23344"/>
    <w:rsid w:val="343DC624"/>
    <w:rsid w:val="344A0F4B"/>
    <w:rsid w:val="344DD638"/>
    <w:rsid w:val="345EE88F"/>
    <w:rsid w:val="34943758"/>
    <w:rsid w:val="34A9431B"/>
    <w:rsid w:val="34B389AE"/>
    <w:rsid w:val="34C16130"/>
    <w:rsid w:val="34D2C55B"/>
    <w:rsid w:val="34E5EB3A"/>
    <w:rsid w:val="34F3859A"/>
    <w:rsid w:val="3500B901"/>
    <w:rsid w:val="35057AA7"/>
    <w:rsid w:val="35098A66"/>
    <w:rsid w:val="350A50F0"/>
    <w:rsid w:val="350EC749"/>
    <w:rsid w:val="351C76EE"/>
    <w:rsid w:val="352331CB"/>
    <w:rsid w:val="35277897"/>
    <w:rsid w:val="352854E1"/>
    <w:rsid w:val="352F5E14"/>
    <w:rsid w:val="3542F5DE"/>
    <w:rsid w:val="354770E2"/>
    <w:rsid w:val="35621D6C"/>
    <w:rsid w:val="3562BCD6"/>
    <w:rsid w:val="3572EC05"/>
    <w:rsid w:val="358DB10E"/>
    <w:rsid w:val="3596E006"/>
    <w:rsid w:val="35980595"/>
    <w:rsid w:val="3598BF52"/>
    <w:rsid w:val="35B67BE7"/>
    <w:rsid w:val="35B71898"/>
    <w:rsid w:val="35BC4D79"/>
    <w:rsid w:val="35C27770"/>
    <w:rsid w:val="35D1BAD0"/>
    <w:rsid w:val="35ED826C"/>
    <w:rsid w:val="35F99C27"/>
    <w:rsid w:val="3603D8D8"/>
    <w:rsid w:val="361E2C32"/>
    <w:rsid w:val="3644A6DF"/>
    <w:rsid w:val="3657C154"/>
    <w:rsid w:val="366AE4C2"/>
    <w:rsid w:val="366F2A0C"/>
    <w:rsid w:val="3678664A"/>
    <w:rsid w:val="367FC8EC"/>
    <w:rsid w:val="36DE3D17"/>
    <w:rsid w:val="36EBD93C"/>
    <w:rsid w:val="36F3A888"/>
    <w:rsid w:val="371689EA"/>
    <w:rsid w:val="374F253E"/>
    <w:rsid w:val="37517C42"/>
    <w:rsid w:val="37602392"/>
    <w:rsid w:val="378627D2"/>
    <w:rsid w:val="37A7B5F9"/>
    <w:rsid w:val="37AA689B"/>
    <w:rsid w:val="37C39208"/>
    <w:rsid w:val="380D2DEA"/>
    <w:rsid w:val="383BC1B7"/>
    <w:rsid w:val="38485B8D"/>
    <w:rsid w:val="385AC98C"/>
    <w:rsid w:val="386004EC"/>
    <w:rsid w:val="38797694"/>
    <w:rsid w:val="387F9C6E"/>
    <w:rsid w:val="3893A5BE"/>
    <w:rsid w:val="38BE4379"/>
    <w:rsid w:val="38DEA43F"/>
    <w:rsid w:val="38E2AC31"/>
    <w:rsid w:val="38F3D3D0"/>
    <w:rsid w:val="3917DB30"/>
    <w:rsid w:val="3931BE06"/>
    <w:rsid w:val="3937E206"/>
    <w:rsid w:val="39405047"/>
    <w:rsid w:val="394F22A1"/>
    <w:rsid w:val="3967DB13"/>
    <w:rsid w:val="39762940"/>
    <w:rsid w:val="399B299F"/>
    <w:rsid w:val="399B95E1"/>
    <w:rsid w:val="39A0195E"/>
    <w:rsid w:val="39C3D6F5"/>
    <w:rsid w:val="39F576C8"/>
    <w:rsid w:val="3A37A388"/>
    <w:rsid w:val="3A4DB700"/>
    <w:rsid w:val="3A532C9E"/>
    <w:rsid w:val="3A561CD3"/>
    <w:rsid w:val="3A5A6280"/>
    <w:rsid w:val="3A64263E"/>
    <w:rsid w:val="3A6FD2AA"/>
    <w:rsid w:val="3A92BD6B"/>
    <w:rsid w:val="3AA6830A"/>
    <w:rsid w:val="3AE1B62B"/>
    <w:rsid w:val="3AE3A714"/>
    <w:rsid w:val="3B1EFD4D"/>
    <w:rsid w:val="3B267FF0"/>
    <w:rsid w:val="3B50BA3D"/>
    <w:rsid w:val="3B52AC77"/>
    <w:rsid w:val="3B5580B3"/>
    <w:rsid w:val="3B579C28"/>
    <w:rsid w:val="3B598FFA"/>
    <w:rsid w:val="3B5CA161"/>
    <w:rsid w:val="3B731C7A"/>
    <w:rsid w:val="3B7D2192"/>
    <w:rsid w:val="3B7DD136"/>
    <w:rsid w:val="3B9C4A06"/>
    <w:rsid w:val="3BC3BC59"/>
    <w:rsid w:val="3BCC1571"/>
    <w:rsid w:val="3BF06BF2"/>
    <w:rsid w:val="3BF40B80"/>
    <w:rsid w:val="3C057E1F"/>
    <w:rsid w:val="3C36FD51"/>
    <w:rsid w:val="3C38CD48"/>
    <w:rsid w:val="3C50402F"/>
    <w:rsid w:val="3C824CD5"/>
    <w:rsid w:val="3C8F011E"/>
    <w:rsid w:val="3C942933"/>
    <w:rsid w:val="3C9508E2"/>
    <w:rsid w:val="3C9CECFD"/>
    <w:rsid w:val="3CA28474"/>
    <w:rsid w:val="3CA76C1F"/>
    <w:rsid w:val="3CA8AA01"/>
    <w:rsid w:val="3CACCBF1"/>
    <w:rsid w:val="3CAD42ED"/>
    <w:rsid w:val="3CD085E1"/>
    <w:rsid w:val="3CF6F14A"/>
    <w:rsid w:val="3CF79137"/>
    <w:rsid w:val="3D4E9AFD"/>
    <w:rsid w:val="3D68008F"/>
    <w:rsid w:val="3D68AC51"/>
    <w:rsid w:val="3D7DA160"/>
    <w:rsid w:val="3D84E432"/>
    <w:rsid w:val="3D882D36"/>
    <w:rsid w:val="3D8B59E2"/>
    <w:rsid w:val="3D90CA02"/>
    <w:rsid w:val="3DA82E2F"/>
    <w:rsid w:val="3DB93A25"/>
    <w:rsid w:val="3DEF3EBC"/>
    <w:rsid w:val="3E0AF2D2"/>
    <w:rsid w:val="3E426849"/>
    <w:rsid w:val="3E4CACDE"/>
    <w:rsid w:val="3E510036"/>
    <w:rsid w:val="3E54C922"/>
    <w:rsid w:val="3E799795"/>
    <w:rsid w:val="3E877185"/>
    <w:rsid w:val="3EAC1A47"/>
    <w:rsid w:val="3ECD8D60"/>
    <w:rsid w:val="3EE05352"/>
    <w:rsid w:val="3EE40F05"/>
    <w:rsid w:val="3F0F337A"/>
    <w:rsid w:val="3F37ED78"/>
    <w:rsid w:val="3F441573"/>
    <w:rsid w:val="3F5AE12B"/>
    <w:rsid w:val="3F6134C0"/>
    <w:rsid w:val="3F666486"/>
    <w:rsid w:val="3F82BB82"/>
    <w:rsid w:val="3FA01582"/>
    <w:rsid w:val="3FB3233C"/>
    <w:rsid w:val="3FDE7DF5"/>
    <w:rsid w:val="3FE25B5C"/>
    <w:rsid w:val="3FECFDC7"/>
    <w:rsid w:val="40157D0A"/>
    <w:rsid w:val="4017F5C9"/>
    <w:rsid w:val="4021A3B4"/>
    <w:rsid w:val="4039B7E2"/>
    <w:rsid w:val="40440DA8"/>
    <w:rsid w:val="4063C938"/>
    <w:rsid w:val="4068B1B9"/>
    <w:rsid w:val="406D3A66"/>
    <w:rsid w:val="406D4E3B"/>
    <w:rsid w:val="407B5C7C"/>
    <w:rsid w:val="40A59E86"/>
    <w:rsid w:val="40C1A722"/>
    <w:rsid w:val="40D714A6"/>
    <w:rsid w:val="40FAC4BB"/>
    <w:rsid w:val="410EBADE"/>
    <w:rsid w:val="41134E2E"/>
    <w:rsid w:val="41205150"/>
    <w:rsid w:val="412BFB54"/>
    <w:rsid w:val="4153431F"/>
    <w:rsid w:val="41716A61"/>
    <w:rsid w:val="4177C744"/>
    <w:rsid w:val="419DA42F"/>
    <w:rsid w:val="419DD486"/>
    <w:rsid w:val="41A5A3C9"/>
    <w:rsid w:val="41B568EC"/>
    <w:rsid w:val="41B97B30"/>
    <w:rsid w:val="41BA84EC"/>
    <w:rsid w:val="41BB7DD3"/>
    <w:rsid w:val="41BCCA1A"/>
    <w:rsid w:val="41C7CD3D"/>
    <w:rsid w:val="41DEC494"/>
    <w:rsid w:val="4205F1A6"/>
    <w:rsid w:val="423B5FBD"/>
    <w:rsid w:val="4245D227"/>
    <w:rsid w:val="424C952A"/>
    <w:rsid w:val="424CC0BE"/>
    <w:rsid w:val="4250E995"/>
    <w:rsid w:val="42545CB0"/>
    <w:rsid w:val="42693497"/>
    <w:rsid w:val="42790040"/>
    <w:rsid w:val="42816F86"/>
    <w:rsid w:val="4297B5CD"/>
    <w:rsid w:val="42A83C73"/>
    <w:rsid w:val="42BD80DE"/>
    <w:rsid w:val="42D2B826"/>
    <w:rsid w:val="42F41417"/>
    <w:rsid w:val="432161DC"/>
    <w:rsid w:val="43491A70"/>
    <w:rsid w:val="436DABD2"/>
    <w:rsid w:val="43948E9D"/>
    <w:rsid w:val="439A54AD"/>
    <w:rsid w:val="43A00526"/>
    <w:rsid w:val="43E33B1A"/>
    <w:rsid w:val="4406765D"/>
    <w:rsid w:val="440993C3"/>
    <w:rsid w:val="441A032E"/>
    <w:rsid w:val="441B49A7"/>
    <w:rsid w:val="442C942B"/>
    <w:rsid w:val="443A1ACE"/>
    <w:rsid w:val="4447518D"/>
    <w:rsid w:val="444BD73A"/>
    <w:rsid w:val="44552963"/>
    <w:rsid w:val="447282FD"/>
    <w:rsid w:val="447684C3"/>
    <w:rsid w:val="44956912"/>
    <w:rsid w:val="44AFCB05"/>
    <w:rsid w:val="44B60A37"/>
    <w:rsid w:val="44C1252E"/>
    <w:rsid w:val="44D0BBA5"/>
    <w:rsid w:val="44D7B45C"/>
    <w:rsid w:val="44F33B8A"/>
    <w:rsid w:val="44F3F3EA"/>
    <w:rsid w:val="44F84968"/>
    <w:rsid w:val="44F8F831"/>
    <w:rsid w:val="45059FD6"/>
    <w:rsid w:val="451465A6"/>
    <w:rsid w:val="4546F833"/>
    <w:rsid w:val="454791B8"/>
    <w:rsid w:val="45564A60"/>
    <w:rsid w:val="4574D979"/>
    <w:rsid w:val="458C88A7"/>
    <w:rsid w:val="45A7680D"/>
    <w:rsid w:val="45BDC180"/>
    <w:rsid w:val="45C2A61C"/>
    <w:rsid w:val="45EFFD85"/>
    <w:rsid w:val="45F32AFB"/>
    <w:rsid w:val="45F57990"/>
    <w:rsid w:val="45FD0FE1"/>
    <w:rsid w:val="4607CB69"/>
    <w:rsid w:val="46238690"/>
    <w:rsid w:val="46276160"/>
    <w:rsid w:val="462B6C83"/>
    <w:rsid w:val="462DF3A5"/>
    <w:rsid w:val="464415C6"/>
    <w:rsid w:val="464F06BC"/>
    <w:rsid w:val="46555429"/>
    <w:rsid w:val="465CCE3A"/>
    <w:rsid w:val="46708D80"/>
    <w:rsid w:val="4676A950"/>
    <w:rsid w:val="46813887"/>
    <w:rsid w:val="468870B8"/>
    <w:rsid w:val="4694CD95"/>
    <w:rsid w:val="46994720"/>
    <w:rsid w:val="46B011BB"/>
    <w:rsid w:val="46CA516C"/>
    <w:rsid w:val="46D4B6F8"/>
    <w:rsid w:val="46EC363B"/>
    <w:rsid w:val="46EEC1A8"/>
    <w:rsid w:val="46F5F43E"/>
    <w:rsid w:val="470EA468"/>
    <w:rsid w:val="472BF855"/>
    <w:rsid w:val="47392F38"/>
    <w:rsid w:val="474699AA"/>
    <w:rsid w:val="47564867"/>
    <w:rsid w:val="475AC106"/>
    <w:rsid w:val="477AFDFE"/>
    <w:rsid w:val="477E551D"/>
    <w:rsid w:val="47803133"/>
    <w:rsid w:val="47B0FB50"/>
    <w:rsid w:val="47C78830"/>
    <w:rsid w:val="47E68B86"/>
    <w:rsid w:val="47EDACD5"/>
    <w:rsid w:val="48034C19"/>
    <w:rsid w:val="4809DE57"/>
    <w:rsid w:val="481C6027"/>
    <w:rsid w:val="481E08F7"/>
    <w:rsid w:val="483DA28A"/>
    <w:rsid w:val="4840562E"/>
    <w:rsid w:val="484256DA"/>
    <w:rsid w:val="484648FB"/>
    <w:rsid w:val="48466830"/>
    <w:rsid w:val="484A82A5"/>
    <w:rsid w:val="48525C03"/>
    <w:rsid w:val="4857942E"/>
    <w:rsid w:val="485AB5E8"/>
    <w:rsid w:val="485FC41E"/>
    <w:rsid w:val="4864F87F"/>
    <w:rsid w:val="4866B537"/>
    <w:rsid w:val="4871F72F"/>
    <w:rsid w:val="48A411C9"/>
    <w:rsid w:val="48C9536D"/>
    <w:rsid w:val="48D66FB5"/>
    <w:rsid w:val="48E25F24"/>
    <w:rsid w:val="48E26D03"/>
    <w:rsid w:val="492888B2"/>
    <w:rsid w:val="492FD82C"/>
    <w:rsid w:val="495E8DCA"/>
    <w:rsid w:val="4965EC74"/>
    <w:rsid w:val="49774A90"/>
    <w:rsid w:val="498B6044"/>
    <w:rsid w:val="49915A1A"/>
    <w:rsid w:val="499E21EF"/>
    <w:rsid w:val="49DFEEEF"/>
    <w:rsid w:val="49E21BD0"/>
    <w:rsid w:val="49F8A4D7"/>
    <w:rsid w:val="4A0360A6"/>
    <w:rsid w:val="4A371F95"/>
    <w:rsid w:val="4A4BF271"/>
    <w:rsid w:val="4A4C3570"/>
    <w:rsid w:val="4A5E9A92"/>
    <w:rsid w:val="4A742551"/>
    <w:rsid w:val="4A75DADA"/>
    <w:rsid w:val="4A776F61"/>
    <w:rsid w:val="4A8C7EEC"/>
    <w:rsid w:val="4A8DEBE0"/>
    <w:rsid w:val="4A9CAE15"/>
    <w:rsid w:val="4AB22BF3"/>
    <w:rsid w:val="4AB85D03"/>
    <w:rsid w:val="4AC2CCA9"/>
    <w:rsid w:val="4AD955DA"/>
    <w:rsid w:val="4AE2C5A2"/>
    <w:rsid w:val="4AE38B1E"/>
    <w:rsid w:val="4AE5C82E"/>
    <w:rsid w:val="4B01CE53"/>
    <w:rsid w:val="4B0B1F1B"/>
    <w:rsid w:val="4B1D018C"/>
    <w:rsid w:val="4B32E4BB"/>
    <w:rsid w:val="4B3582C3"/>
    <w:rsid w:val="4B492DF1"/>
    <w:rsid w:val="4B68F2A8"/>
    <w:rsid w:val="4B6EDAD0"/>
    <w:rsid w:val="4B90E409"/>
    <w:rsid w:val="4B996843"/>
    <w:rsid w:val="4B9F8CF1"/>
    <w:rsid w:val="4BA21D34"/>
    <w:rsid w:val="4BA710C9"/>
    <w:rsid w:val="4BAB702A"/>
    <w:rsid w:val="4BAFBC77"/>
    <w:rsid w:val="4BD1317B"/>
    <w:rsid w:val="4BDABFA9"/>
    <w:rsid w:val="4BDECAAB"/>
    <w:rsid w:val="4BFE6E6E"/>
    <w:rsid w:val="4C04F9D2"/>
    <w:rsid w:val="4C2DC2AF"/>
    <w:rsid w:val="4C2EFDFD"/>
    <w:rsid w:val="4C3247CC"/>
    <w:rsid w:val="4C7D6346"/>
    <w:rsid w:val="4C7FD99A"/>
    <w:rsid w:val="4CCDDC1E"/>
    <w:rsid w:val="4CD90A25"/>
    <w:rsid w:val="4CE0FDB1"/>
    <w:rsid w:val="4D1F4A9C"/>
    <w:rsid w:val="4D222BC9"/>
    <w:rsid w:val="4D42284F"/>
    <w:rsid w:val="4D4810AA"/>
    <w:rsid w:val="4D8F9D61"/>
    <w:rsid w:val="4DA12408"/>
    <w:rsid w:val="4DBE7AD2"/>
    <w:rsid w:val="4DBF11E9"/>
    <w:rsid w:val="4DC07269"/>
    <w:rsid w:val="4DD77FC6"/>
    <w:rsid w:val="4E03AEE3"/>
    <w:rsid w:val="4E1552AF"/>
    <w:rsid w:val="4E2F243F"/>
    <w:rsid w:val="4E38F89C"/>
    <w:rsid w:val="4E4BC726"/>
    <w:rsid w:val="4E4E53C2"/>
    <w:rsid w:val="4E5267D7"/>
    <w:rsid w:val="4E69E105"/>
    <w:rsid w:val="4E70BEB7"/>
    <w:rsid w:val="4E86C9F8"/>
    <w:rsid w:val="4EB56358"/>
    <w:rsid w:val="4EC37814"/>
    <w:rsid w:val="4ED39D68"/>
    <w:rsid w:val="4EF4542F"/>
    <w:rsid w:val="4EF4EB1A"/>
    <w:rsid w:val="4EFBAFD3"/>
    <w:rsid w:val="4F0087CB"/>
    <w:rsid w:val="4F0FC1DF"/>
    <w:rsid w:val="4F101D75"/>
    <w:rsid w:val="4F11A7A2"/>
    <w:rsid w:val="4F14624F"/>
    <w:rsid w:val="4F182FE4"/>
    <w:rsid w:val="4F18C9D5"/>
    <w:rsid w:val="4F1CA070"/>
    <w:rsid w:val="4F2DF456"/>
    <w:rsid w:val="4F31BB98"/>
    <w:rsid w:val="4F3B08D2"/>
    <w:rsid w:val="4F4CAE14"/>
    <w:rsid w:val="4F974FA7"/>
    <w:rsid w:val="4FA036CB"/>
    <w:rsid w:val="4FA72901"/>
    <w:rsid w:val="4FAD41DC"/>
    <w:rsid w:val="4FE20AA8"/>
    <w:rsid w:val="4FE5AF3D"/>
    <w:rsid w:val="4FE863FF"/>
    <w:rsid w:val="4FF22DBE"/>
    <w:rsid w:val="4FF9EBC0"/>
    <w:rsid w:val="50444121"/>
    <w:rsid w:val="5044C2A5"/>
    <w:rsid w:val="5058C8D0"/>
    <w:rsid w:val="507EFD7B"/>
    <w:rsid w:val="508897BC"/>
    <w:rsid w:val="50B20032"/>
    <w:rsid w:val="510B3499"/>
    <w:rsid w:val="513A4906"/>
    <w:rsid w:val="5141A4DF"/>
    <w:rsid w:val="51632A3A"/>
    <w:rsid w:val="5174FD1B"/>
    <w:rsid w:val="51BD8036"/>
    <w:rsid w:val="51D903A9"/>
    <w:rsid w:val="51F3FC64"/>
    <w:rsid w:val="51F89716"/>
    <w:rsid w:val="5205CEEA"/>
    <w:rsid w:val="5205FBF7"/>
    <w:rsid w:val="52067ED3"/>
    <w:rsid w:val="520BADFD"/>
    <w:rsid w:val="521F2721"/>
    <w:rsid w:val="524ADFED"/>
    <w:rsid w:val="52546D4E"/>
    <w:rsid w:val="527ACA64"/>
    <w:rsid w:val="527D6171"/>
    <w:rsid w:val="52827ABF"/>
    <w:rsid w:val="529000EE"/>
    <w:rsid w:val="529C2852"/>
    <w:rsid w:val="52A860E2"/>
    <w:rsid w:val="52AF9CFC"/>
    <w:rsid w:val="52D29564"/>
    <w:rsid w:val="52D451FD"/>
    <w:rsid w:val="52E19240"/>
    <w:rsid w:val="52E58E95"/>
    <w:rsid w:val="52FFE888"/>
    <w:rsid w:val="53010835"/>
    <w:rsid w:val="5315442C"/>
    <w:rsid w:val="53300E60"/>
    <w:rsid w:val="533F671B"/>
    <w:rsid w:val="5351CECB"/>
    <w:rsid w:val="535A2256"/>
    <w:rsid w:val="53897312"/>
    <w:rsid w:val="53964C0E"/>
    <w:rsid w:val="539D60DF"/>
    <w:rsid w:val="53B0DC20"/>
    <w:rsid w:val="53B6C35C"/>
    <w:rsid w:val="540220C5"/>
    <w:rsid w:val="54071981"/>
    <w:rsid w:val="542F7913"/>
    <w:rsid w:val="54620604"/>
    <w:rsid w:val="5487B274"/>
    <w:rsid w:val="549B5971"/>
    <w:rsid w:val="54BA9A95"/>
    <w:rsid w:val="54CCED04"/>
    <w:rsid w:val="54D1A6D5"/>
    <w:rsid w:val="54D21E02"/>
    <w:rsid w:val="54F73FAA"/>
    <w:rsid w:val="54FFADEC"/>
    <w:rsid w:val="55084D0A"/>
    <w:rsid w:val="550E5D31"/>
    <w:rsid w:val="55119D28"/>
    <w:rsid w:val="5516E756"/>
    <w:rsid w:val="552D2B30"/>
    <w:rsid w:val="552E5D86"/>
    <w:rsid w:val="553A51CE"/>
    <w:rsid w:val="55465BBE"/>
    <w:rsid w:val="555BD9E2"/>
    <w:rsid w:val="555E4EC6"/>
    <w:rsid w:val="556CC4AA"/>
    <w:rsid w:val="55731E3E"/>
    <w:rsid w:val="55758D82"/>
    <w:rsid w:val="55820571"/>
    <w:rsid w:val="558243BE"/>
    <w:rsid w:val="55877E6D"/>
    <w:rsid w:val="55A1494F"/>
    <w:rsid w:val="55AFB5F8"/>
    <w:rsid w:val="55B92DB6"/>
    <w:rsid w:val="55C48F21"/>
    <w:rsid w:val="55C7234C"/>
    <w:rsid w:val="55F1E078"/>
    <w:rsid w:val="5615BBB0"/>
    <w:rsid w:val="561E5BC5"/>
    <w:rsid w:val="561F2341"/>
    <w:rsid w:val="56379604"/>
    <w:rsid w:val="5637A639"/>
    <w:rsid w:val="563BB476"/>
    <w:rsid w:val="56524711"/>
    <w:rsid w:val="56590FA3"/>
    <w:rsid w:val="5661D8D6"/>
    <w:rsid w:val="566DDDAC"/>
    <w:rsid w:val="567928AF"/>
    <w:rsid w:val="56851DD7"/>
    <w:rsid w:val="56873F31"/>
    <w:rsid w:val="56918338"/>
    <w:rsid w:val="5691F49E"/>
    <w:rsid w:val="56A2D169"/>
    <w:rsid w:val="56A8DD5B"/>
    <w:rsid w:val="56B462D4"/>
    <w:rsid w:val="56C294C0"/>
    <w:rsid w:val="56F71BF0"/>
    <w:rsid w:val="571381D6"/>
    <w:rsid w:val="572B5777"/>
    <w:rsid w:val="572E4407"/>
    <w:rsid w:val="572E9262"/>
    <w:rsid w:val="5738C00F"/>
    <w:rsid w:val="5747AA3F"/>
    <w:rsid w:val="5747DAF1"/>
    <w:rsid w:val="57961722"/>
    <w:rsid w:val="57A639DD"/>
    <w:rsid w:val="57AB7925"/>
    <w:rsid w:val="57AF4DA7"/>
    <w:rsid w:val="57B0B5BF"/>
    <w:rsid w:val="57BE6DFD"/>
    <w:rsid w:val="57D790FD"/>
    <w:rsid w:val="57DDE820"/>
    <w:rsid w:val="580C57B5"/>
    <w:rsid w:val="581A92B3"/>
    <w:rsid w:val="581EC3D9"/>
    <w:rsid w:val="583DFA39"/>
    <w:rsid w:val="5865BCBB"/>
    <w:rsid w:val="586F6790"/>
    <w:rsid w:val="58875306"/>
    <w:rsid w:val="588A2BD6"/>
    <w:rsid w:val="589C5CDB"/>
    <w:rsid w:val="58B0FA19"/>
    <w:rsid w:val="58BA2BDA"/>
    <w:rsid w:val="58DCC7D5"/>
    <w:rsid w:val="58FD2420"/>
    <w:rsid w:val="590BBBFA"/>
    <w:rsid w:val="591F1421"/>
    <w:rsid w:val="59552DEC"/>
    <w:rsid w:val="5997E69D"/>
    <w:rsid w:val="59A1F5A3"/>
    <w:rsid w:val="59A3E8CF"/>
    <w:rsid w:val="59BC3CDC"/>
    <w:rsid w:val="59BD0CBE"/>
    <w:rsid w:val="59CF0CEC"/>
    <w:rsid w:val="59EF0F1B"/>
    <w:rsid w:val="5A03E0A6"/>
    <w:rsid w:val="5A061594"/>
    <w:rsid w:val="5A1A742E"/>
    <w:rsid w:val="5A344DD3"/>
    <w:rsid w:val="5A72B71E"/>
    <w:rsid w:val="5A9C0FDB"/>
    <w:rsid w:val="5AC212DA"/>
    <w:rsid w:val="5AC423BF"/>
    <w:rsid w:val="5AD2BB64"/>
    <w:rsid w:val="5AE4B937"/>
    <w:rsid w:val="5AE86739"/>
    <w:rsid w:val="5AF667B0"/>
    <w:rsid w:val="5B17B87C"/>
    <w:rsid w:val="5B3D9D3B"/>
    <w:rsid w:val="5B612547"/>
    <w:rsid w:val="5B6CD8A2"/>
    <w:rsid w:val="5B7FD844"/>
    <w:rsid w:val="5B9203F4"/>
    <w:rsid w:val="5BB87B98"/>
    <w:rsid w:val="5BF8906A"/>
    <w:rsid w:val="5C02E788"/>
    <w:rsid w:val="5C07357B"/>
    <w:rsid w:val="5C09A016"/>
    <w:rsid w:val="5C2BDFA0"/>
    <w:rsid w:val="5C33E309"/>
    <w:rsid w:val="5C3C0368"/>
    <w:rsid w:val="5C4C6DA0"/>
    <w:rsid w:val="5C4CFCF0"/>
    <w:rsid w:val="5C4E8892"/>
    <w:rsid w:val="5C62FF6C"/>
    <w:rsid w:val="5C6ED881"/>
    <w:rsid w:val="5C80894E"/>
    <w:rsid w:val="5C856A0C"/>
    <w:rsid w:val="5C9A67D2"/>
    <w:rsid w:val="5C9CA142"/>
    <w:rsid w:val="5CB58621"/>
    <w:rsid w:val="5CDABE70"/>
    <w:rsid w:val="5CE6F641"/>
    <w:rsid w:val="5D3152F3"/>
    <w:rsid w:val="5D3B180F"/>
    <w:rsid w:val="5D444193"/>
    <w:rsid w:val="5D47CFD9"/>
    <w:rsid w:val="5D4D99D5"/>
    <w:rsid w:val="5D51F740"/>
    <w:rsid w:val="5D90EEE1"/>
    <w:rsid w:val="5D9D4206"/>
    <w:rsid w:val="5DB67391"/>
    <w:rsid w:val="5DB764B5"/>
    <w:rsid w:val="5DBCDF5C"/>
    <w:rsid w:val="5DC20F19"/>
    <w:rsid w:val="5DD51B40"/>
    <w:rsid w:val="5E06F923"/>
    <w:rsid w:val="5E2D69CF"/>
    <w:rsid w:val="5E311F74"/>
    <w:rsid w:val="5E613F27"/>
    <w:rsid w:val="5E6DBE2A"/>
    <w:rsid w:val="5E712C86"/>
    <w:rsid w:val="5EAB561A"/>
    <w:rsid w:val="5EBC30FE"/>
    <w:rsid w:val="5ECD8C09"/>
    <w:rsid w:val="5EDDC5B5"/>
    <w:rsid w:val="5EDE9463"/>
    <w:rsid w:val="5EE7A0EC"/>
    <w:rsid w:val="5EEFF537"/>
    <w:rsid w:val="5EF79772"/>
    <w:rsid w:val="5EFFF804"/>
    <w:rsid w:val="5F117242"/>
    <w:rsid w:val="5F16084A"/>
    <w:rsid w:val="5F228582"/>
    <w:rsid w:val="5F467CB9"/>
    <w:rsid w:val="5F469965"/>
    <w:rsid w:val="5F508E5C"/>
    <w:rsid w:val="5F5D8D58"/>
    <w:rsid w:val="5F6DB162"/>
    <w:rsid w:val="5F78A72E"/>
    <w:rsid w:val="5F8A1FB7"/>
    <w:rsid w:val="5F935C3C"/>
    <w:rsid w:val="5F9D58E2"/>
    <w:rsid w:val="5FC5471B"/>
    <w:rsid w:val="5FD829C7"/>
    <w:rsid w:val="5FF1D241"/>
    <w:rsid w:val="5FF315F6"/>
    <w:rsid w:val="5FFE97B2"/>
    <w:rsid w:val="6016EE9F"/>
    <w:rsid w:val="6017C497"/>
    <w:rsid w:val="60186237"/>
    <w:rsid w:val="6019D44A"/>
    <w:rsid w:val="602B2AC8"/>
    <w:rsid w:val="603B57AC"/>
    <w:rsid w:val="60550FC2"/>
    <w:rsid w:val="605A3684"/>
    <w:rsid w:val="60737F85"/>
    <w:rsid w:val="60765F9B"/>
    <w:rsid w:val="607B9715"/>
    <w:rsid w:val="60946E46"/>
    <w:rsid w:val="609D4AAB"/>
    <w:rsid w:val="60B48FAE"/>
    <w:rsid w:val="60D3A864"/>
    <w:rsid w:val="60DC53A6"/>
    <w:rsid w:val="60DFD47E"/>
    <w:rsid w:val="60E86BE5"/>
    <w:rsid w:val="60FFCAB1"/>
    <w:rsid w:val="610B4707"/>
    <w:rsid w:val="61223660"/>
    <w:rsid w:val="612AE1D2"/>
    <w:rsid w:val="6137657D"/>
    <w:rsid w:val="6149B6C0"/>
    <w:rsid w:val="61588B24"/>
    <w:rsid w:val="615B7E28"/>
    <w:rsid w:val="6179A358"/>
    <w:rsid w:val="619DF0DD"/>
    <w:rsid w:val="61D7E130"/>
    <w:rsid w:val="61E98CFC"/>
    <w:rsid w:val="6221BA86"/>
    <w:rsid w:val="6225CCB3"/>
    <w:rsid w:val="622B02EA"/>
    <w:rsid w:val="622EBEA3"/>
    <w:rsid w:val="623725C9"/>
    <w:rsid w:val="624EA251"/>
    <w:rsid w:val="62540574"/>
    <w:rsid w:val="6256C0B1"/>
    <w:rsid w:val="6262A488"/>
    <w:rsid w:val="62637676"/>
    <w:rsid w:val="6278F94D"/>
    <w:rsid w:val="629338AC"/>
    <w:rsid w:val="62B061D0"/>
    <w:rsid w:val="62B24FEC"/>
    <w:rsid w:val="62BA4000"/>
    <w:rsid w:val="62CA5EBE"/>
    <w:rsid w:val="62D6FE70"/>
    <w:rsid w:val="62D9DCA5"/>
    <w:rsid w:val="62EEBEC9"/>
    <w:rsid w:val="63031436"/>
    <w:rsid w:val="632C069B"/>
    <w:rsid w:val="63315C43"/>
    <w:rsid w:val="6333F691"/>
    <w:rsid w:val="633DAD2E"/>
    <w:rsid w:val="63482A84"/>
    <w:rsid w:val="6357748C"/>
    <w:rsid w:val="639D9CCF"/>
    <w:rsid w:val="63B8F7F9"/>
    <w:rsid w:val="63BADD3E"/>
    <w:rsid w:val="63DDFD38"/>
    <w:rsid w:val="63E6813B"/>
    <w:rsid w:val="641792C9"/>
    <w:rsid w:val="64243950"/>
    <w:rsid w:val="644A52A7"/>
    <w:rsid w:val="64639F7C"/>
    <w:rsid w:val="64772738"/>
    <w:rsid w:val="64818C61"/>
    <w:rsid w:val="649B7DCB"/>
    <w:rsid w:val="64B35294"/>
    <w:rsid w:val="64B547F6"/>
    <w:rsid w:val="64CF6174"/>
    <w:rsid w:val="64DD6B5C"/>
    <w:rsid w:val="64ECC0AA"/>
    <w:rsid w:val="64FDBCB5"/>
    <w:rsid w:val="6507E9E8"/>
    <w:rsid w:val="653029DC"/>
    <w:rsid w:val="65512288"/>
    <w:rsid w:val="6554CB0F"/>
    <w:rsid w:val="658AE82A"/>
    <w:rsid w:val="659AF853"/>
    <w:rsid w:val="65A39955"/>
    <w:rsid w:val="65AC3ABB"/>
    <w:rsid w:val="65C0F803"/>
    <w:rsid w:val="65CF3452"/>
    <w:rsid w:val="65D9061E"/>
    <w:rsid w:val="65F30AF9"/>
    <w:rsid w:val="6606E99D"/>
    <w:rsid w:val="662D791C"/>
    <w:rsid w:val="66303EAB"/>
    <w:rsid w:val="66317254"/>
    <w:rsid w:val="665179E9"/>
    <w:rsid w:val="6666CA89"/>
    <w:rsid w:val="6673A7A9"/>
    <w:rsid w:val="667D0440"/>
    <w:rsid w:val="6692E600"/>
    <w:rsid w:val="6693106B"/>
    <w:rsid w:val="66A8E9B8"/>
    <w:rsid w:val="66A9778C"/>
    <w:rsid w:val="66E80B15"/>
    <w:rsid w:val="66EDA0E5"/>
    <w:rsid w:val="675C8A52"/>
    <w:rsid w:val="678A7755"/>
    <w:rsid w:val="679542B8"/>
    <w:rsid w:val="67ACFEBD"/>
    <w:rsid w:val="67CA6636"/>
    <w:rsid w:val="67D95A76"/>
    <w:rsid w:val="67E1B230"/>
    <w:rsid w:val="67E92F67"/>
    <w:rsid w:val="67E97E41"/>
    <w:rsid w:val="684FB8A2"/>
    <w:rsid w:val="6850DBC7"/>
    <w:rsid w:val="6853C99E"/>
    <w:rsid w:val="6859D1F1"/>
    <w:rsid w:val="6859EF00"/>
    <w:rsid w:val="686EDA45"/>
    <w:rsid w:val="6870D367"/>
    <w:rsid w:val="68731CA1"/>
    <w:rsid w:val="687CFE22"/>
    <w:rsid w:val="688CE058"/>
    <w:rsid w:val="68980B6E"/>
    <w:rsid w:val="68A07B85"/>
    <w:rsid w:val="68B34F09"/>
    <w:rsid w:val="68C423B1"/>
    <w:rsid w:val="68D6E3F9"/>
    <w:rsid w:val="68DFAD10"/>
    <w:rsid w:val="68E23B95"/>
    <w:rsid w:val="68FFA7F4"/>
    <w:rsid w:val="6901A55A"/>
    <w:rsid w:val="6914FFD7"/>
    <w:rsid w:val="6915169F"/>
    <w:rsid w:val="693E2633"/>
    <w:rsid w:val="693F8944"/>
    <w:rsid w:val="6948B32E"/>
    <w:rsid w:val="69559888"/>
    <w:rsid w:val="69618450"/>
    <w:rsid w:val="69897761"/>
    <w:rsid w:val="698D97F8"/>
    <w:rsid w:val="69B4D88E"/>
    <w:rsid w:val="69B586DA"/>
    <w:rsid w:val="69B5FBC0"/>
    <w:rsid w:val="69BFA71A"/>
    <w:rsid w:val="69C2D850"/>
    <w:rsid w:val="69C89D1E"/>
    <w:rsid w:val="69E7DF6B"/>
    <w:rsid w:val="69EA83E4"/>
    <w:rsid w:val="6A005AD4"/>
    <w:rsid w:val="6A04D417"/>
    <w:rsid w:val="6A0B85C7"/>
    <w:rsid w:val="6A0ED392"/>
    <w:rsid w:val="6A127D9E"/>
    <w:rsid w:val="6A22061D"/>
    <w:rsid w:val="6A25DDBD"/>
    <w:rsid w:val="6A327DE2"/>
    <w:rsid w:val="6A4777DD"/>
    <w:rsid w:val="6A4D2B56"/>
    <w:rsid w:val="6A51C87D"/>
    <w:rsid w:val="6A8A4EA2"/>
    <w:rsid w:val="6A912226"/>
    <w:rsid w:val="6A97A983"/>
    <w:rsid w:val="6AA4F962"/>
    <w:rsid w:val="6AB0D18F"/>
    <w:rsid w:val="6ABB4ED9"/>
    <w:rsid w:val="6AC11B02"/>
    <w:rsid w:val="6ADBF1F7"/>
    <w:rsid w:val="6AE4F551"/>
    <w:rsid w:val="6AEEE6B0"/>
    <w:rsid w:val="6B22F12C"/>
    <w:rsid w:val="6B23C3A1"/>
    <w:rsid w:val="6B3AE752"/>
    <w:rsid w:val="6B4013FC"/>
    <w:rsid w:val="6B477F0F"/>
    <w:rsid w:val="6B48DC11"/>
    <w:rsid w:val="6B5ABD18"/>
    <w:rsid w:val="6B6D20FF"/>
    <w:rsid w:val="6B8A1BEB"/>
    <w:rsid w:val="6B9BE65C"/>
    <w:rsid w:val="6BD21A62"/>
    <w:rsid w:val="6BE13A51"/>
    <w:rsid w:val="6BE4FDE0"/>
    <w:rsid w:val="6BF3374E"/>
    <w:rsid w:val="6BF84103"/>
    <w:rsid w:val="6C070F85"/>
    <w:rsid w:val="6C1437D0"/>
    <w:rsid w:val="6C1B4CCE"/>
    <w:rsid w:val="6C1BCBDC"/>
    <w:rsid w:val="6C282E57"/>
    <w:rsid w:val="6C351B02"/>
    <w:rsid w:val="6C3D826F"/>
    <w:rsid w:val="6C456320"/>
    <w:rsid w:val="6C560B60"/>
    <w:rsid w:val="6C589126"/>
    <w:rsid w:val="6C718033"/>
    <w:rsid w:val="6C8710E1"/>
    <w:rsid w:val="6C8ED4BF"/>
    <w:rsid w:val="6C9A50A5"/>
    <w:rsid w:val="6CBC06B8"/>
    <w:rsid w:val="6CCE3C2B"/>
    <w:rsid w:val="6CCEE62D"/>
    <w:rsid w:val="6CD3E86B"/>
    <w:rsid w:val="6CDFFB85"/>
    <w:rsid w:val="6CE94E33"/>
    <w:rsid w:val="6CEADC92"/>
    <w:rsid w:val="6CEB5FDA"/>
    <w:rsid w:val="6CF0FA71"/>
    <w:rsid w:val="6D462753"/>
    <w:rsid w:val="6D672602"/>
    <w:rsid w:val="6D75BED6"/>
    <w:rsid w:val="6D8CD890"/>
    <w:rsid w:val="6D90A5C4"/>
    <w:rsid w:val="6D99E1CE"/>
    <w:rsid w:val="6DA31C71"/>
    <w:rsid w:val="6DC24E89"/>
    <w:rsid w:val="6DC667BB"/>
    <w:rsid w:val="6DDE4969"/>
    <w:rsid w:val="6E0D159B"/>
    <w:rsid w:val="6E0EDFA7"/>
    <w:rsid w:val="6E1B473A"/>
    <w:rsid w:val="6E26C73E"/>
    <w:rsid w:val="6E2F1B9D"/>
    <w:rsid w:val="6E3FEF4D"/>
    <w:rsid w:val="6E413A4F"/>
    <w:rsid w:val="6E4378F7"/>
    <w:rsid w:val="6E44AB0C"/>
    <w:rsid w:val="6E4AA31C"/>
    <w:rsid w:val="6E6A2926"/>
    <w:rsid w:val="6E6C776B"/>
    <w:rsid w:val="6E77A79D"/>
    <w:rsid w:val="6E8C3411"/>
    <w:rsid w:val="6E91DE43"/>
    <w:rsid w:val="6E93AD08"/>
    <w:rsid w:val="6EB41969"/>
    <w:rsid w:val="6EB951F7"/>
    <w:rsid w:val="6ECE4449"/>
    <w:rsid w:val="6ED260C6"/>
    <w:rsid w:val="6EF16548"/>
    <w:rsid w:val="6EFD8D35"/>
    <w:rsid w:val="6F026101"/>
    <w:rsid w:val="6F19E264"/>
    <w:rsid w:val="6F458E05"/>
    <w:rsid w:val="6F4F67BB"/>
    <w:rsid w:val="6F55E6B0"/>
    <w:rsid w:val="6F599B90"/>
    <w:rsid w:val="6F6EED5F"/>
    <w:rsid w:val="6FC64AEB"/>
    <w:rsid w:val="6FC70AE8"/>
    <w:rsid w:val="6FCBD905"/>
    <w:rsid w:val="6FD0EDCA"/>
    <w:rsid w:val="6FD67F6D"/>
    <w:rsid w:val="6FE590B9"/>
    <w:rsid w:val="7016AF63"/>
    <w:rsid w:val="703139D0"/>
    <w:rsid w:val="703AD8E4"/>
    <w:rsid w:val="7056607B"/>
    <w:rsid w:val="70598109"/>
    <w:rsid w:val="70855E04"/>
    <w:rsid w:val="70871814"/>
    <w:rsid w:val="708F56E2"/>
    <w:rsid w:val="70933252"/>
    <w:rsid w:val="7095AF6C"/>
    <w:rsid w:val="70B562CD"/>
    <w:rsid w:val="70D0D82B"/>
    <w:rsid w:val="70D78073"/>
    <w:rsid w:val="70DACC7A"/>
    <w:rsid w:val="70F4F71D"/>
    <w:rsid w:val="712638AF"/>
    <w:rsid w:val="717A56E2"/>
    <w:rsid w:val="718CE3DD"/>
    <w:rsid w:val="71A59313"/>
    <w:rsid w:val="71AF37F9"/>
    <w:rsid w:val="71BFE4B7"/>
    <w:rsid w:val="71CEEEE1"/>
    <w:rsid w:val="71CF065B"/>
    <w:rsid w:val="71CF1D61"/>
    <w:rsid w:val="71D543D6"/>
    <w:rsid w:val="71D5F1D3"/>
    <w:rsid w:val="71F28B29"/>
    <w:rsid w:val="71F4F690"/>
    <w:rsid w:val="71F4FB60"/>
    <w:rsid w:val="720B5081"/>
    <w:rsid w:val="7241A4BA"/>
    <w:rsid w:val="7252C988"/>
    <w:rsid w:val="7260BDE3"/>
    <w:rsid w:val="7281C9D0"/>
    <w:rsid w:val="7281F263"/>
    <w:rsid w:val="729ADC3A"/>
    <w:rsid w:val="72BA611E"/>
    <w:rsid w:val="72D46A9F"/>
    <w:rsid w:val="72E6D449"/>
    <w:rsid w:val="72EDE364"/>
    <w:rsid w:val="72EE083E"/>
    <w:rsid w:val="72F5769D"/>
    <w:rsid w:val="7300EA89"/>
    <w:rsid w:val="7317CAAD"/>
    <w:rsid w:val="731B26BF"/>
    <w:rsid w:val="732751A9"/>
    <w:rsid w:val="73360E73"/>
    <w:rsid w:val="73835578"/>
    <w:rsid w:val="739B14B3"/>
    <w:rsid w:val="73CFDFC8"/>
    <w:rsid w:val="73E2A8C2"/>
    <w:rsid w:val="73F4DAE2"/>
    <w:rsid w:val="74227474"/>
    <w:rsid w:val="7428EF64"/>
    <w:rsid w:val="742A6CD0"/>
    <w:rsid w:val="743E592F"/>
    <w:rsid w:val="7459E516"/>
    <w:rsid w:val="745BCB08"/>
    <w:rsid w:val="74634E34"/>
    <w:rsid w:val="74772E34"/>
    <w:rsid w:val="74B6E03E"/>
    <w:rsid w:val="74DBC6E9"/>
    <w:rsid w:val="74E0002C"/>
    <w:rsid w:val="74E45725"/>
    <w:rsid w:val="74F42D88"/>
    <w:rsid w:val="74F7C77C"/>
    <w:rsid w:val="75155260"/>
    <w:rsid w:val="751A1150"/>
    <w:rsid w:val="751EC640"/>
    <w:rsid w:val="7527B23A"/>
    <w:rsid w:val="7529EA69"/>
    <w:rsid w:val="755E5FD9"/>
    <w:rsid w:val="755F3BA1"/>
    <w:rsid w:val="756D0BD4"/>
    <w:rsid w:val="7570E591"/>
    <w:rsid w:val="75771C9B"/>
    <w:rsid w:val="75848413"/>
    <w:rsid w:val="758D2EDC"/>
    <w:rsid w:val="75941503"/>
    <w:rsid w:val="7599F492"/>
    <w:rsid w:val="75A2CF7D"/>
    <w:rsid w:val="75B3A099"/>
    <w:rsid w:val="75B57D38"/>
    <w:rsid w:val="75CE3917"/>
    <w:rsid w:val="761F3540"/>
    <w:rsid w:val="7629A6EF"/>
    <w:rsid w:val="7629E169"/>
    <w:rsid w:val="762F996F"/>
    <w:rsid w:val="76338B70"/>
    <w:rsid w:val="7639A9B8"/>
    <w:rsid w:val="7646D162"/>
    <w:rsid w:val="764F8EDA"/>
    <w:rsid w:val="765A2098"/>
    <w:rsid w:val="7661A88F"/>
    <w:rsid w:val="766A628D"/>
    <w:rsid w:val="76852B3C"/>
    <w:rsid w:val="769FB0F6"/>
    <w:rsid w:val="76A9C16C"/>
    <w:rsid w:val="76B33070"/>
    <w:rsid w:val="76B89B70"/>
    <w:rsid w:val="76D2AD48"/>
    <w:rsid w:val="76E071E1"/>
    <w:rsid w:val="76EA0532"/>
    <w:rsid w:val="77083330"/>
    <w:rsid w:val="77276801"/>
    <w:rsid w:val="7728C289"/>
    <w:rsid w:val="773A1073"/>
    <w:rsid w:val="773EB98E"/>
    <w:rsid w:val="7742FBD9"/>
    <w:rsid w:val="77585538"/>
    <w:rsid w:val="7764A623"/>
    <w:rsid w:val="777DC98D"/>
    <w:rsid w:val="777E4087"/>
    <w:rsid w:val="7799E874"/>
    <w:rsid w:val="77A184FC"/>
    <w:rsid w:val="77B4844E"/>
    <w:rsid w:val="77BF1F77"/>
    <w:rsid w:val="77D6CF36"/>
    <w:rsid w:val="77F8B73D"/>
    <w:rsid w:val="780978EA"/>
    <w:rsid w:val="782DE559"/>
    <w:rsid w:val="783EAA8A"/>
    <w:rsid w:val="7862E62D"/>
    <w:rsid w:val="786648C0"/>
    <w:rsid w:val="786FEAF8"/>
    <w:rsid w:val="788942A3"/>
    <w:rsid w:val="78899AC8"/>
    <w:rsid w:val="78A3FA59"/>
    <w:rsid w:val="78DBD895"/>
    <w:rsid w:val="78E3EAE6"/>
    <w:rsid w:val="790710BA"/>
    <w:rsid w:val="79383DCC"/>
    <w:rsid w:val="794122BA"/>
    <w:rsid w:val="7942CF3D"/>
    <w:rsid w:val="794786B9"/>
    <w:rsid w:val="79626E9B"/>
    <w:rsid w:val="79896168"/>
    <w:rsid w:val="799BE8AD"/>
    <w:rsid w:val="79F3F939"/>
    <w:rsid w:val="7A1D750B"/>
    <w:rsid w:val="7A465194"/>
    <w:rsid w:val="7A4923DD"/>
    <w:rsid w:val="7A5A8FBE"/>
    <w:rsid w:val="7A9F5FF3"/>
    <w:rsid w:val="7ABC2A13"/>
    <w:rsid w:val="7AE3AACB"/>
    <w:rsid w:val="7B08E9A5"/>
    <w:rsid w:val="7B0CF050"/>
    <w:rsid w:val="7B1B67A0"/>
    <w:rsid w:val="7B220390"/>
    <w:rsid w:val="7B280B1B"/>
    <w:rsid w:val="7B3B36A2"/>
    <w:rsid w:val="7B3D48FE"/>
    <w:rsid w:val="7B3FAA58"/>
    <w:rsid w:val="7B495C80"/>
    <w:rsid w:val="7B565475"/>
    <w:rsid w:val="7B58617D"/>
    <w:rsid w:val="7B5A272B"/>
    <w:rsid w:val="7B68D78E"/>
    <w:rsid w:val="7B878819"/>
    <w:rsid w:val="7B937D83"/>
    <w:rsid w:val="7B95789D"/>
    <w:rsid w:val="7B9F7377"/>
    <w:rsid w:val="7BBA0389"/>
    <w:rsid w:val="7BCC0E47"/>
    <w:rsid w:val="7BCC6ACB"/>
    <w:rsid w:val="7BE17D5E"/>
    <w:rsid w:val="7BFAAA63"/>
    <w:rsid w:val="7C1973D7"/>
    <w:rsid w:val="7C4E8E36"/>
    <w:rsid w:val="7C7D7BD3"/>
    <w:rsid w:val="7C9908B4"/>
    <w:rsid w:val="7CAD16A4"/>
    <w:rsid w:val="7CC35D0F"/>
    <w:rsid w:val="7CDD6E4E"/>
    <w:rsid w:val="7CDD9D2E"/>
    <w:rsid w:val="7CE91DEE"/>
    <w:rsid w:val="7D027ADB"/>
    <w:rsid w:val="7D173C88"/>
    <w:rsid w:val="7D1E5E9C"/>
    <w:rsid w:val="7D2E8DB4"/>
    <w:rsid w:val="7D31157B"/>
    <w:rsid w:val="7D4CE22A"/>
    <w:rsid w:val="7D559A98"/>
    <w:rsid w:val="7D587F97"/>
    <w:rsid w:val="7D5B847B"/>
    <w:rsid w:val="7D5FA4DA"/>
    <w:rsid w:val="7D6F3D4E"/>
    <w:rsid w:val="7D7DE156"/>
    <w:rsid w:val="7D80A21A"/>
    <w:rsid w:val="7D9D818F"/>
    <w:rsid w:val="7DA5FA9A"/>
    <w:rsid w:val="7DBBEEBA"/>
    <w:rsid w:val="7DCA854A"/>
    <w:rsid w:val="7DCD42AF"/>
    <w:rsid w:val="7DE7738C"/>
    <w:rsid w:val="7E02863C"/>
    <w:rsid w:val="7E0E39E9"/>
    <w:rsid w:val="7E2997E2"/>
    <w:rsid w:val="7E3B3567"/>
    <w:rsid w:val="7E44AAB4"/>
    <w:rsid w:val="7E493B7F"/>
    <w:rsid w:val="7E5588B2"/>
    <w:rsid w:val="7E57A518"/>
    <w:rsid w:val="7E602EEC"/>
    <w:rsid w:val="7E6F0F7A"/>
    <w:rsid w:val="7E8E6DF9"/>
    <w:rsid w:val="7E9171BE"/>
    <w:rsid w:val="7EAB6D19"/>
    <w:rsid w:val="7EB37D9C"/>
    <w:rsid w:val="7EBAC79E"/>
    <w:rsid w:val="7ED9F60A"/>
    <w:rsid w:val="7EED5B88"/>
    <w:rsid w:val="7EF5ECA8"/>
    <w:rsid w:val="7EF715B2"/>
    <w:rsid w:val="7EFFC05E"/>
    <w:rsid w:val="7F009BBA"/>
    <w:rsid w:val="7F19FFE0"/>
    <w:rsid w:val="7F1E3833"/>
    <w:rsid w:val="7F2B5BFE"/>
    <w:rsid w:val="7F3D49BF"/>
    <w:rsid w:val="7F3EA893"/>
    <w:rsid w:val="7F400F77"/>
    <w:rsid w:val="7F4BEB28"/>
    <w:rsid w:val="7F4D51C5"/>
    <w:rsid w:val="7F57C471"/>
    <w:rsid w:val="7F660F56"/>
    <w:rsid w:val="7F855F81"/>
    <w:rsid w:val="7F88EACF"/>
    <w:rsid w:val="7FD9B331"/>
    <w:rsid w:val="7FDE0B09"/>
    <w:rsid w:val="7FF4F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0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E5"/>
  </w:style>
  <w:style w:type="paragraph" w:styleId="Heading1">
    <w:name w:val="heading 1"/>
    <w:basedOn w:val="Normal"/>
    <w:next w:val="Normal"/>
    <w:link w:val="Heading1Char"/>
    <w:uiPriority w:val="9"/>
    <w:qFormat/>
    <w:rsid w:val="009B7A0D"/>
    <w:pPr>
      <w:jc w:val="center"/>
      <w:outlineLvl w:val="0"/>
    </w:pPr>
    <w:rPr>
      <w:rFonts w:ascii="Times New Roman" w:hAnsi="Times New Roman" w:cs="Times New Roman"/>
      <w:b/>
      <w:bCs/>
      <w:sz w:val="36"/>
      <w:szCs w:val="36"/>
    </w:rPr>
  </w:style>
  <w:style w:type="paragraph" w:styleId="Heading2">
    <w:name w:val="heading 2"/>
    <w:basedOn w:val="Normal"/>
    <w:next w:val="Normal"/>
    <w:link w:val="Heading2Char"/>
    <w:autoRedefine/>
    <w:uiPriority w:val="9"/>
    <w:unhideWhenUsed/>
    <w:qFormat/>
    <w:rsid w:val="00813745"/>
    <w:pPr>
      <w:keepNext/>
      <w:keepLines/>
      <w:spacing w:after="0" w:line="240" w:lineRule="auto"/>
      <w:ind w:left="720" w:hanging="720"/>
      <w:outlineLvl w:val="1"/>
    </w:pPr>
    <w:rPr>
      <w:rFonts w:ascii="Times New Roman" w:eastAsiaTheme="majorEastAsia" w:hAnsi="Times New Roman" w:cs="Times New Roman"/>
      <w:bCs/>
      <w:i/>
      <w:iCs/>
    </w:rPr>
  </w:style>
  <w:style w:type="paragraph" w:styleId="Heading3">
    <w:name w:val="heading 3"/>
    <w:basedOn w:val="Normal"/>
    <w:link w:val="Heading3Char"/>
    <w:uiPriority w:val="9"/>
    <w:unhideWhenUsed/>
    <w:qFormat/>
    <w:rsid w:val="00435210"/>
    <w:pPr>
      <w:widowControl w:val="0"/>
      <w:autoSpaceDE w:val="0"/>
      <w:autoSpaceDN w:val="0"/>
      <w:spacing w:after="0" w:line="240" w:lineRule="auto"/>
      <w:ind w:left="1000" w:hanging="721"/>
      <w:outlineLvl w:val="2"/>
    </w:pPr>
    <w:rPr>
      <w:rFonts w:ascii="Calibri" w:eastAsia="Calibri" w:hAnsi="Calibri" w:cs="Calibri"/>
      <w:b/>
      <w:bCs/>
      <w:sz w:val="24"/>
      <w:szCs w:val="24"/>
      <w:lang w:bidi="en-US"/>
    </w:rPr>
  </w:style>
  <w:style w:type="paragraph" w:styleId="Heading4">
    <w:name w:val="heading 4"/>
    <w:basedOn w:val="Normal"/>
    <w:next w:val="Normal"/>
    <w:link w:val="Heading4Char"/>
    <w:uiPriority w:val="9"/>
    <w:unhideWhenUsed/>
    <w:qFormat/>
    <w:rsid w:val="004352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0D"/>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813745"/>
    <w:rPr>
      <w:rFonts w:ascii="Times New Roman" w:eastAsiaTheme="majorEastAsia" w:hAnsi="Times New Roman" w:cs="Times New Roman"/>
      <w:bCs/>
      <w:i/>
      <w:iCs/>
    </w:rPr>
  </w:style>
  <w:style w:type="character" w:customStyle="1" w:styleId="Heading3Char">
    <w:name w:val="Heading 3 Char"/>
    <w:basedOn w:val="DefaultParagraphFont"/>
    <w:link w:val="Heading3"/>
    <w:uiPriority w:val="9"/>
    <w:rsid w:val="00435210"/>
    <w:rPr>
      <w:rFonts w:ascii="Calibri" w:eastAsia="Calibri" w:hAnsi="Calibri" w:cs="Calibri"/>
      <w:b/>
      <w:bCs/>
      <w:sz w:val="24"/>
      <w:szCs w:val="24"/>
      <w:lang w:bidi="en-US"/>
    </w:rPr>
  </w:style>
  <w:style w:type="character" w:customStyle="1" w:styleId="Heading4Char">
    <w:name w:val="Heading 4 Char"/>
    <w:basedOn w:val="DefaultParagraphFont"/>
    <w:link w:val="Heading4"/>
    <w:uiPriority w:val="9"/>
    <w:rsid w:val="00435210"/>
    <w:rPr>
      <w:rFonts w:asciiTheme="majorHAnsi" w:eastAsiaTheme="majorEastAsia" w:hAnsiTheme="majorHAnsi" w:cstheme="majorBidi"/>
      <w:i/>
      <w:iCs/>
      <w:color w:val="2F5496" w:themeColor="accent1" w:themeShade="BF"/>
    </w:rPr>
  </w:style>
  <w:style w:type="paragraph" w:customStyle="1" w:styleId="Default">
    <w:name w:val="Default"/>
    <w:rsid w:val="009B7A0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B7A0D"/>
    <w:rPr>
      <w:color w:val="0563C1" w:themeColor="hyperlink"/>
      <w:u w:val="single"/>
    </w:rPr>
  </w:style>
  <w:style w:type="paragraph" w:styleId="TOCHeading">
    <w:name w:val="TOC Heading"/>
    <w:basedOn w:val="Heading1"/>
    <w:next w:val="Normal"/>
    <w:uiPriority w:val="39"/>
    <w:unhideWhenUsed/>
    <w:qFormat/>
    <w:rsid w:val="009B7A0D"/>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Default"/>
    <w:next w:val="Normal"/>
    <w:autoRedefine/>
    <w:uiPriority w:val="39"/>
    <w:unhideWhenUsed/>
    <w:qFormat/>
    <w:rsid w:val="002D46CE"/>
    <w:pPr>
      <w:tabs>
        <w:tab w:val="right" w:leader="dot" w:pos="9970"/>
      </w:tabs>
      <w:autoSpaceDE/>
      <w:autoSpaceDN/>
      <w:adjustRightInd/>
      <w:spacing w:before="360" w:line="259" w:lineRule="auto"/>
      <w:ind w:left="360" w:hanging="360"/>
    </w:pPr>
    <w:rPr>
      <w:rFonts w:ascii="Times New Roman" w:hAnsi="Times New Roman" w:cs="Times New Roman"/>
      <w:b/>
      <w:bCs/>
      <w:caps/>
      <w:noProof/>
      <w:color w:val="auto"/>
    </w:rPr>
  </w:style>
  <w:style w:type="paragraph" w:styleId="TOC2">
    <w:name w:val="toc 2"/>
    <w:basedOn w:val="Default"/>
    <w:next w:val="Default"/>
    <w:autoRedefine/>
    <w:uiPriority w:val="39"/>
    <w:unhideWhenUsed/>
    <w:qFormat/>
    <w:rsid w:val="00F01FC0"/>
    <w:pPr>
      <w:tabs>
        <w:tab w:val="right" w:leader="dot" w:pos="9970"/>
      </w:tabs>
      <w:autoSpaceDE/>
      <w:autoSpaceDN/>
      <w:adjustRightInd/>
    </w:pPr>
    <w:rPr>
      <w:rFonts w:ascii="Times New Roman" w:hAnsi="Times New Roman" w:cs="Times New Roman"/>
      <w:noProof/>
      <w:color w:val="auto"/>
      <w:sz w:val="20"/>
      <w:szCs w:val="20"/>
    </w:rPr>
  </w:style>
  <w:style w:type="paragraph" w:styleId="ListParagraph">
    <w:name w:val="List Paragraph"/>
    <w:basedOn w:val="Normal"/>
    <w:uiPriority w:val="34"/>
    <w:qFormat/>
    <w:rsid w:val="00093C0A"/>
    <w:pPr>
      <w:ind w:left="720"/>
      <w:contextualSpacing/>
    </w:p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fn1"/>
    <w:basedOn w:val="Normal"/>
    <w:link w:val="FootnoteTextChar"/>
    <w:uiPriority w:val="99"/>
    <w:unhideWhenUsed/>
    <w:qFormat/>
    <w:rsid w:val="00093C0A"/>
    <w:pPr>
      <w:spacing w:after="0" w:line="240" w:lineRule="auto"/>
    </w:pPr>
    <w:rPr>
      <w:sz w:val="20"/>
      <w:szCs w:val="20"/>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basedOn w:val="DefaultParagraphFont"/>
    <w:link w:val="FootnoteText"/>
    <w:uiPriority w:val="99"/>
    <w:rsid w:val="00093C0A"/>
    <w:rPr>
      <w:sz w:val="20"/>
      <w:szCs w:val="20"/>
    </w:rPr>
  </w:style>
  <w:style w:type="character" w:styleId="FootnoteReference">
    <w:name w:val="footnote reference"/>
    <w:aliases w:val="MC-PRE Footnote Reference"/>
    <w:basedOn w:val="DefaultParagraphFont"/>
    <w:uiPriority w:val="99"/>
    <w:unhideWhenUsed/>
    <w:qFormat/>
    <w:rsid w:val="00093C0A"/>
    <w:rPr>
      <w:vertAlign w:val="superscript"/>
    </w:rPr>
  </w:style>
  <w:style w:type="character" w:styleId="CommentReference">
    <w:name w:val="annotation reference"/>
    <w:basedOn w:val="DefaultParagraphFont"/>
    <w:uiPriority w:val="99"/>
    <w:unhideWhenUsed/>
    <w:rsid w:val="00093C0A"/>
    <w:rPr>
      <w:sz w:val="16"/>
      <w:szCs w:val="16"/>
    </w:rPr>
  </w:style>
  <w:style w:type="paragraph" w:styleId="CommentText">
    <w:name w:val="annotation text"/>
    <w:basedOn w:val="Normal"/>
    <w:link w:val="CommentTextChar"/>
    <w:uiPriority w:val="99"/>
    <w:unhideWhenUsed/>
    <w:rsid w:val="00093C0A"/>
    <w:pPr>
      <w:spacing w:line="240" w:lineRule="auto"/>
    </w:pPr>
    <w:rPr>
      <w:sz w:val="20"/>
      <w:szCs w:val="20"/>
    </w:rPr>
  </w:style>
  <w:style w:type="character" w:customStyle="1" w:styleId="CommentTextChar">
    <w:name w:val="Comment Text Char"/>
    <w:basedOn w:val="DefaultParagraphFont"/>
    <w:link w:val="CommentText"/>
    <w:uiPriority w:val="99"/>
    <w:rsid w:val="00093C0A"/>
    <w:rPr>
      <w:sz w:val="20"/>
      <w:szCs w:val="20"/>
    </w:rPr>
  </w:style>
  <w:style w:type="paragraph" w:styleId="CommentSubject">
    <w:name w:val="annotation subject"/>
    <w:basedOn w:val="CommentText"/>
    <w:next w:val="CommentText"/>
    <w:link w:val="CommentSubjectChar"/>
    <w:uiPriority w:val="99"/>
    <w:unhideWhenUsed/>
    <w:rsid w:val="00266F43"/>
    <w:rPr>
      <w:b/>
      <w:bCs/>
    </w:rPr>
  </w:style>
  <w:style w:type="character" w:customStyle="1" w:styleId="CommentSubjectChar">
    <w:name w:val="Comment Subject Char"/>
    <w:basedOn w:val="CommentTextChar"/>
    <w:link w:val="CommentSubject"/>
    <w:uiPriority w:val="99"/>
    <w:rsid w:val="00266F43"/>
    <w:rPr>
      <w:b/>
      <w:bCs/>
      <w:sz w:val="20"/>
      <w:szCs w:val="20"/>
    </w:rPr>
  </w:style>
  <w:style w:type="character" w:styleId="Mention">
    <w:name w:val="Mention"/>
    <w:basedOn w:val="DefaultParagraphFont"/>
    <w:uiPriority w:val="99"/>
    <w:unhideWhenUsed/>
    <w:rsid w:val="0075046B"/>
    <w:rPr>
      <w:color w:val="2B579A"/>
      <w:shd w:val="clear" w:color="auto" w:fill="E1DFDD"/>
    </w:rPr>
  </w:style>
  <w:style w:type="paragraph" w:customStyle="1" w:styleId="TableParagraph">
    <w:name w:val="Table Paragraph"/>
    <w:basedOn w:val="Normal"/>
    <w:uiPriority w:val="1"/>
    <w:qFormat/>
    <w:rsid w:val="0075046B"/>
    <w:pPr>
      <w:widowControl w:val="0"/>
      <w:autoSpaceDE w:val="0"/>
      <w:autoSpaceDN w:val="0"/>
      <w:spacing w:before="18" w:after="0" w:line="240" w:lineRule="auto"/>
      <w:jc w:val="center"/>
    </w:pPr>
    <w:rPr>
      <w:rFonts w:ascii="Calibri" w:eastAsia="Calibri" w:hAnsi="Calibri" w:cs="Calibri"/>
      <w:lang w:bidi="en-US"/>
    </w:rPr>
  </w:style>
  <w:style w:type="paragraph" w:styleId="BodyText">
    <w:name w:val="Body Text"/>
    <w:basedOn w:val="Normal"/>
    <w:link w:val="BodyTextChar"/>
    <w:uiPriority w:val="1"/>
    <w:qFormat/>
    <w:rsid w:val="00C5384D"/>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C5384D"/>
    <w:rPr>
      <w:rFonts w:ascii="Calibri" w:eastAsia="Calibri" w:hAnsi="Calibri" w:cs="Calibri"/>
      <w:lang w:bidi="en-US"/>
    </w:rPr>
  </w:style>
  <w:style w:type="paragraph" w:styleId="TOC3">
    <w:name w:val="toc 3"/>
    <w:basedOn w:val="Normal"/>
    <w:uiPriority w:val="39"/>
    <w:qFormat/>
    <w:rsid w:val="00435210"/>
    <w:pPr>
      <w:spacing w:after="0"/>
      <w:ind w:left="220"/>
    </w:pPr>
    <w:rPr>
      <w:rFonts w:cstheme="minorHAnsi"/>
      <w:sz w:val="20"/>
      <w:szCs w:val="20"/>
    </w:rPr>
  </w:style>
  <w:style w:type="paragraph" w:styleId="TOC4">
    <w:name w:val="toc 4"/>
    <w:basedOn w:val="Normal"/>
    <w:uiPriority w:val="1"/>
    <w:qFormat/>
    <w:rsid w:val="00435210"/>
    <w:pPr>
      <w:spacing w:after="0"/>
      <w:ind w:left="440"/>
    </w:pPr>
    <w:rPr>
      <w:rFonts w:cstheme="minorHAnsi"/>
      <w:sz w:val="20"/>
      <w:szCs w:val="20"/>
    </w:rPr>
  </w:style>
  <w:style w:type="paragraph" w:styleId="Header">
    <w:name w:val="header"/>
    <w:basedOn w:val="Normal"/>
    <w:link w:val="HeaderChar"/>
    <w:uiPriority w:val="99"/>
    <w:unhideWhenUsed/>
    <w:rsid w:val="00435210"/>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HeaderChar">
    <w:name w:val="Header Char"/>
    <w:basedOn w:val="DefaultParagraphFont"/>
    <w:link w:val="Header"/>
    <w:uiPriority w:val="99"/>
    <w:rsid w:val="00435210"/>
    <w:rPr>
      <w:rFonts w:ascii="Calibri" w:eastAsia="Calibri" w:hAnsi="Calibri" w:cs="Calibri"/>
      <w:lang w:bidi="en-US"/>
    </w:rPr>
  </w:style>
  <w:style w:type="paragraph" w:styleId="Footer">
    <w:name w:val="footer"/>
    <w:basedOn w:val="Normal"/>
    <w:link w:val="FooterChar"/>
    <w:uiPriority w:val="99"/>
    <w:unhideWhenUsed/>
    <w:rsid w:val="00435210"/>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FooterChar">
    <w:name w:val="Footer Char"/>
    <w:basedOn w:val="DefaultParagraphFont"/>
    <w:link w:val="Footer"/>
    <w:uiPriority w:val="99"/>
    <w:rsid w:val="00435210"/>
    <w:rPr>
      <w:rFonts w:ascii="Calibri" w:eastAsia="Calibri" w:hAnsi="Calibri" w:cs="Calibri"/>
      <w:lang w:bidi="en-US"/>
    </w:rPr>
  </w:style>
  <w:style w:type="character" w:styleId="UnresolvedMention">
    <w:name w:val="Unresolved Mention"/>
    <w:basedOn w:val="DefaultParagraphFont"/>
    <w:uiPriority w:val="99"/>
    <w:unhideWhenUsed/>
    <w:rsid w:val="00CF2457"/>
    <w:rPr>
      <w:color w:val="605E5C"/>
      <w:shd w:val="clear" w:color="auto" w:fill="E1DFDD"/>
    </w:rPr>
  </w:style>
  <w:style w:type="paragraph" w:styleId="TOC5">
    <w:name w:val="toc 5"/>
    <w:basedOn w:val="Normal"/>
    <w:uiPriority w:val="1"/>
    <w:qFormat/>
    <w:rsid w:val="00E93325"/>
    <w:pPr>
      <w:spacing w:after="0"/>
      <w:ind w:left="660"/>
    </w:pPr>
    <w:rPr>
      <w:rFonts w:cstheme="minorHAnsi"/>
      <w:sz w:val="20"/>
      <w:szCs w:val="20"/>
    </w:rPr>
  </w:style>
  <w:style w:type="paragraph" w:styleId="TOC6">
    <w:name w:val="toc 6"/>
    <w:basedOn w:val="Normal"/>
    <w:uiPriority w:val="1"/>
    <w:qFormat/>
    <w:rsid w:val="00E93325"/>
    <w:pPr>
      <w:spacing w:after="0"/>
      <w:ind w:left="880"/>
    </w:pPr>
    <w:rPr>
      <w:rFonts w:cstheme="minorHAnsi"/>
      <w:sz w:val="20"/>
      <w:szCs w:val="20"/>
    </w:rPr>
  </w:style>
  <w:style w:type="paragraph" w:styleId="Revision">
    <w:name w:val="Revision"/>
    <w:hidden/>
    <w:uiPriority w:val="99"/>
    <w:semiHidden/>
    <w:rsid w:val="00E93325"/>
    <w:pPr>
      <w:spacing w:after="0" w:line="240" w:lineRule="auto"/>
    </w:pPr>
    <w:rPr>
      <w:rFonts w:ascii="Calibri" w:eastAsia="Calibri" w:hAnsi="Calibri" w:cs="Calibri"/>
      <w:lang w:bidi="en-US"/>
    </w:rPr>
  </w:style>
  <w:style w:type="table" w:styleId="TableGrid">
    <w:name w:val="Table Grid"/>
    <w:basedOn w:val="TableNormal"/>
    <w:uiPriority w:val="59"/>
    <w:rsid w:val="00504CA3"/>
    <w:pPr>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link w:val="TableTitleChar"/>
    <w:rsid w:val="00504CA3"/>
    <w:pPr>
      <w:keepNext/>
      <w:keepLines/>
      <w:spacing w:before="60" w:after="60" w:line="264" w:lineRule="auto"/>
    </w:pPr>
    <w:rPr>
      <w:rFonts w:ascii="Times New Roman" w:eastAsia="Times New Roman" w:hAnsi="Times New Roman" w:cs="Times New Roman"/>
      <w:b/>
      <w:sz w:val="24"/>
    </w:rPr>
  </w:style>
  <w:style w:type="character" w:customStyle="1" w:styleId="TableTitleChar">
    <w:name w:val="Table Title Char"/>
    <w:link w:val="TableTitle"/>
    <w:locked/>
    <w:rsid w:val="00504CA3"/>
    <w:rPr>
      <w:rFonts w:ascii="Times New Roman" w:eastAsia="Times New Roman" w:hAnsi="Times New Roman" w:cs="Times New Roman"/>
      <w:b/>
      <w:sz w:val="24"/>
    </w:rPr>
  </w:style>
  <w:style w:type="character" w:styleId="Strong">
    <w:name w:val="Strong"/>
    <w:uiPriority w:val="22"/>
    <w:qFormat/>
    <w:rsid w:val="00504CA3"/>
    <w:rPr>
      <w:b/>
      <w:bCs/>
    </w:rPr>
  </w:style>
  <w:style w:type="paragraph" w:customStyle="1" w:styleId="paragraph">
    <w:name w:val="paragraph"/>
    <w:basedOn w:val="Normal"/>
    <w:rsid w:val="00C37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7813"/>
  </w:style>
  <w:style w:type="character" w:customStyle="1" w:styleId="eop">
    <w:name w:val="eop"/>
    <w:basedOn w:val="DefaultParagraphFont"/>
    <w:rsid w:val="00C37813"/>
  </w:style>
  <w:style w:type="paragraph" w:styleId="TOC7">
    <w:name w:val="toc 7"/>
    <w:basedOn w:val="Normal"/>
    <w:next w:val="Normal"/>
    <w:autoRedefine/>
    <w:uiPriority w:val="39"/>
    <w:unhideWhenUsed/>
    <w:rsid w:val="00244CF6"/>
    <w:pPr>
      <w:spacing w:after="0"/>
      <w:ind w:left="1100"/>
    </w:pPr>
    <w:rPr>
      <w:rFonts w:cstheme="minorHAnsi"/>
      <w:sz w:val="20"/>
      <w:szCs w:val="20"/>
    </w:rPr>
  </w:style>
  <w:style w:type="paragraph" w:styleId="TOC8">
    <w:name w:val="toc 8"/>
    <w:basedOn w:val="Normal"/>
    <w:next w:val="Normal"/>
    <w:autoRedefine/>
    <w:uiPriority w:val="39"/>
    <w:unhideWhenUsed/>
    <w:rsid w:val="00244CF6"/>
    <w:pPr>
      <w:spacing w:after="0"/>
      <w:ind w:left="1320"/>
    </w:pPr>
    <w:rPr>
      <w:rFonts w:cstheme="minorHAnsi"/>
      <w:sz w:val="20"/>
      <w:szCs w:val="20"/>
    </w:rPr>
  </w:style>
  <w:style w:type="paragraph" w:styleId="TOC9">
    <w:name w:val="toc 9"/>
    <w:basedOn w:val="Normal"/>
    <w:next w:val="Normal"/>
    <w:autoRedefine/>
    <w:uiPriority w:val="39"/>
    <w:unhideWhenUsed/>
    <w:rsid w:val="00244CF6"/>
    <w:pPr>
      <w:spacing w:after="0"/>
      <w:ind w:left="1540"/>
    </w:pPr>
    <w:rPr>
      <w:rFonts w:cstheme="minorHAnsi"/>
      <w:sz w:val="20"/>
      <w:szCs w:val="20"/>
    </w:rPr>
  </w:style>
  <w:style w:type="paragraph" w:styleId="NoSpacing">
    <w:name w:val="No Spacing"/>
    <w:uiPriority w:val="1"/>
    <w:qFormat/>
    <w:rsid w:val="003B5828"/>
    <w:pPr>
      <w:spacing w:after="0" w:line="240" w:lineRule="auto"/>
    </w:pPr>
  </w:style>
  <w:style w:type="paragraph" w:styleId="BalloonText">
    <w:name w:val="Balloon Text"/>
    <w:basedOn w:val="Normal"/>
    <w:link w:val="BalloonTextChar"/>
    <w:uiPriority w:val="99"/>
    <w:semiHidden/>
    <w:unhideWhenUsed/>
    <w:rsid w:val="00AE4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DB"/>
    <w:rPr>
      <w:rFonts w:ascii="Segoe UI" w:hAnsi="Segoe UI" w:cs="Segoe UI"/>
      <w:sz w:val="18"/>
      <w:szCs w:val="18"/>
    </w:rPr>
  </w:style>
  <w:style w:type="table" w:customStyle="1" w:styleId="TableGrid1">
    <w:name w:val="Table Grid1"/>
    <w:basedOn w:val="TableNormal"/>
    <w:next w:val="TableGrid"/>
    <w:uiPriority w:val="39"/>
    <w:rsid w:val="00AA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2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BibliographyChar">
    <w:name w:val="EndNote Bibliography Char"/>
    <w:basedOn w:val="DefaultParagraphFont"/>
    <w:link w:val="EndNoteBibliography"/>
    <w:uiPriority w:val="99"/>
    <w:locked/>
    <w:rsid w:val="00961293"/>
    <w:rPr>
      <w:rFonts w:ascii="Times New Roman" w:eastAsia="STIXSizeThreeSym" w:hAnsi="Times New Roman" w:cs="Times New Roman"/>
      <w:noProof/>
      <w:sz w:val="24"/>
      <w:szCs w:val="24"/>
    </w:rPr>
  </w:style>
  <w:style w:type="paragraph" w:customStyle="1" w:styleId="EndNoteBibliography">
    <w:name w:val="EndNote Bibliography"/>
    <w:basedOn w:val="Normal"/>
    <w:link w:val="EndNoteBibliographyChar"/>
    <w:uiPriority w:val="99"/>
    <w:rsid w:val="00961293"/>
    <w:pPr>
      <w:spacing w:after="0" w:line="240" w:lineRule="auto"/>
      <w:jc w:val="both"/>
    </w:pPr>
    <w:rPr>
      <w:rFonts w:ascii="Times New Roman" w:eastAsia="STIXSizeThreeSym" w:hAnsi="Times New Roman" w:cs="Times New Roman"/>
      <w:noProof/>
      <w:sz w:val="24"/>
      <w:szCs w:val="24"/>
    </w:rPr>
  </w:style>
  <w:style w:type="paragraph" w:styleId="Caption">
    <w:name w:val="caption"/>
    <w:basedOn w:val="Normal"/>
    <w:next w:val="Normal"/>
    <w:uiPriority w:val="35"/>
    <w:unhideWhenUsed/>
    <w:qFormat/>
    <w:rsid w:val="00514BC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6C18"/>
    <w:pPr>
      <w:spacing w:after="0"/>
    </w:pPr>
  </w:style>
  <w:style w:type="character" w:styleId="FollowedHyperlink">
    <w:name w:val="FollowedHyperlink"/>
    <w:basedOn w:val="DefaultParagraphFont"/>
    <w:uiPriority w:val="99"/>
    <w:semiHidden/>
    <w:unhideWhenUsed/>
    <w:rsid w:val="005440C3"/>
    <w:rPr>
      <w:color w:val="954F72" w:themeColor="followedHyperlink"/>
      <w:u w:val="single"/>
    </w:rPr>
  </w:style>
  <w:style w:type="paragraph" w:styleId="EndnoteText">
    <w:name w:val="endnote text"/>
    <w:basedOn w:val="Normal"/>
    <w:link w:val="EndnoteTextChar"/>
    <w:uiPriority w:val="99"/>
    <w:semiHidden/>
    <w:unhideWhenUsed/>
    <w:rsid w:val="00EB08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08C3"/>
    <w:rPr>
      <w:sz w:val="20"/>
      <w:szCs w:val="20"/>
    </w:rPr>
  </w:style>
  <w:style w:type="character" w:styleId="EndnoteReference">
    <w:name w:val="endnote reference"/>
    <w:basedOn w:val="DefaultParagraphFont"/>
    <w:uiPriority w:val="99"/>
    <w:semiHidden/>
    <w:unhideWhenUsed/>
    <w:rsid w:val="00EB08C3"/>
    <w:rPr>
      <w:vertAlign w:val="superscript"/>
    </w:rPr>
  </w:style>
  <w:style w:type="table" w:styleId="TableGridLight">
    <w:name w:val="Grid Table Light"/>
    <w:basedOn w:val="TableNormal"/>
    <w:uiPriority w:val="40"/>
    <w:rsid w:val="00D84EC7"/>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5789">
      <w:bodyDiv w:val="1"/>
      <w:marLeft w:val="0"/>
      <w:marRight w:val="0"/>
      <w:marTop w:val="0"/>
      <w:marBottom w:val="0"/>
      <w:divBdr>
        <w:top w:val="none" w:sz="0" w:space="0" w:color="auto"/>
        <w:left w:val="none" w:sz="0" w:space="0" w:color="auto"/>
        <w:bottom w:val="none" w:sz="0" w:space="0" w:color="auto"/>
        <w:right w:val="none" w:sz="0" w:space="0" w:color="auto"/>
      </w:divBdr>
    </w:div>
    <w:div w:id="115953199">
      <w:bodyDiv w:val="1"/>
      <w:marLeft w:val="0"/>
      <w:marRight w:val="0"/>
      <w:marTop w:val="0"/>
      <w:marBottom w:val="0"/>
      <w:divBdr>
        <w:top w:val="none" w:sz="0" w:space="0" w:color="auto"/>
        <w:left w:val="none" w:sz="0" w:space="0" w:color="auto"/>
        <w:bottom w:val="none" w:sz="0" w:space="0" w:color="auto"/>
        <w:right w:val="none" w:sz="0" w:space="0" w:color="auto"/>
      </w:divBdr>
    </w:div>
    <w:div w:id="164782631">
      <w:bodyDiv w:val="1"/>
      <w:marLeft w:val="0"/>
      <w:marRight w:val="0"/>
      <w:marTop w:val="0"/>
      <w:marBottom w:val="0"/>
      <w:divBdr>
        <w:top w:val="none" w:sz="0" w:space="0" w:color="auto"/>
        <w:left w:val="none" w:sz="0" w:space="0" w:color="auto"/>
        <w:bottom w:val="none" w:sz="0" w:space="0" w:color="auto"/>
        <w:right w:val="none" w:sz="0" w:space="0" w:color="auto"/>
      </w:divBdr>
    </w:div>
    <w:div w:id="411201641">
      <w:bodyDiv w:val="1"/>
      <w:marLeft w:val="0"/>
      <w:marRight w:val="0"/>
      <w:marTop w:val="0"/>
      <w:marBottom w:val="0"/>
      <w:divBdr>
        <w:top w:val="none" w:sz="0" w:space="0" w:color="auto"/>
        <w:left w:val="none" w:sz="0" w:space="0" w:color="auto"/>
        <w:bottom w:val="none" w:sz="0" w:space="0" w:color="auto"/>
        <w:right w:val="none" w:sz="0" w:space="0" w:color="auto"/>
      </w:divBdr>
    </w:div>
    <w:div w:id="599222702">
      <w:bodyDiv w:val="1"/>
      <w:marLeft w:val="0"/>
      <w:marRight w:val="0"/>
      <w:marTop w:val="0"/>
      <w:marBottom w:val="0"/>
      <w:divBdr>
        <w:top w:val="none" w:sz="0" w:space="0" w:color="auto"/>
        <w:left w:val="none" w:sz="0" w:space="0" w:color="auto"/>
        <w:bottom w:val="none" w:sz="0" w:space="0" w:color="auto"/>
        <w:right w:val="none" w:sz="0" w:space="0" w:color="auto"/>
      </w:divBdr>
    </w:div>
    <w:div w:id="654338349">
      <w:bodyDiv w:val="1"/>
      <w:marLeft w:val="0"/>
      <w:marRight w:val="0"/>
      <w:marTop w:val="0"/>
      <w:marBottom w:val="0"/>
      <w:divBdr>
        <w:top w:val="none" w:sz="0" w:space="0" w:color="auto"/>
        <w:left w:val="none" w:sz="0" w:space="0" w:color="auto"/>
        <w:bottom w:val="none" w:sz="0" w:space="0" w:color="auto"/>
        <w:right w:val="none" w:sz="0" w:space="0" w:color="auto"/>
      </w:divBdr>
    </w:div>
    <w:div w:id="676810354">
      <w:bodyDiv w:val="1"/>
      <w:marLeft w:val="0"/>
      <w:marRight w:val="0"/>
      <w:marTop w:val="0"/>
      <w:marBottom w:val="0"/>
      <w:divBdr>
        <w:top w:val="none" w:sz="0" w:space="0" w:color="auto"/>
        <w:left w:val="none" w:sz="0" w:space="0" w:color="auto"/>
        <w:bottom w:val="none" w:sz="0" w:space="0" w:color="auto"/>
        <w:right w:val="none" w:sz="0" w:space="0" w:color="auto"/>
      </w:divBdr>
    </w:div>
    <w:div w:id="696926478">
      <w:bodyDiv w:val="1"/>
      <w:marLeft w:val="0"/>
      <w:marRight w:val="0"/>
      <w:marTop w:val="0"/>
      <w:marBottom w:val="0"/>
      <w:divBdr>
        <w:top w:val="none" w:sz="0" w:space="0" w:color="auto"/>
        <w:left w:val="none" w:sz="0" w:space="0" w:color="auto"/>
        <w:bottom w:val="none" w:sz="0" w:space="0" w:color="auto"/>
        <w:right w:val="none" w:sz="0" w:space="0" w:color="auto"/>
      </w:divBdr>
    </w:div>
    <w:div w:id="984042699">
      <w:bodyDiv w:val="1"/>
      <w:marLeft w:val="0"/>
      <w:marRight w:val="0"/>
      <w:marTop w:val="0"/>
      <w:marBottom w:val="0"/>
      <w:divBdr>
        <w:top w:val="none" w:sz="0" w:space="0" w:color="auto"/>
        <w:left w:val="none" w:sz="0" w:space="0" w:color="auto"/>
        <w:bottom w:val="none" w:sz="0" w:space="0" w:color="auto"/>
        <w:right w:val="none" w:sz="0" w:space="0" w:color="auto"/>
      </w:divBdr>
    </w:div>
    <w:div w:id="1032001909">
      <w:bodyDiv w:val="1"/>
      <w:marLeft w:val="0"/>
      <w:marRight w:val="0"/>
      <w:marTop w:val="0"/>
      <w:marBottom w:val="0"/>
      <w:divBdr>
        <w:top w:val="none" w:sz="0" w:space="0" w:color="auto"/>
        <w:left w:val="none" w:sz="0" w:space="0" w:color="auto"/>
        <w:bottom w:val="none" w:sz="0" w:space="0" w:color="auto"/>
        <w:right w:val="none" w:sz="0" w:space="0" w:color="auto"/>
      </w:divBdr>
    </w:div>
    <w:div w:id="1032344824">
      <w:bodyDiv w:val="1"/>
      <w:marLeft w:val="0"/>
      <w:marRight w:val="0"/>
      <w:marTop w:val="0"/>
      <w:marBottom w:val="0"/>
      <w:divBdr>
        <w:top w:val="none" w:sz="0" w:space="0" w:color="auto"/>
        <w:left w:val="none" w:sz="0" w:space="0" w:color="auto"/>
        <w:bottom w:val="none" w:sz="0" w:space="0" w:color="auto"/>
        <w:right w:val="none" w:sz="0" w:space="0" w:color="auto"/>
      </w:divBdr>
    </w:div>
    <w:div w:id="1042678264">
      <w:bodyDiv w:val="1"/>
      <w:marLeft w:val="0"/>
      <w:marRight w:val="0"/>
      <w:marTop w:val="0"/>
      <w:marBottom w:val="0"/>
      <w:divBdr>
        <w:top w:val="none" w:sz="0" w:space="0" w:color="auto"/>
        <w:left w:val="none" w:sz="0" w:space="0" w:color="auto"/>
        <w:bottom w:val="none" w:sz="0" w:space="0" w:color="auto"/>
        <w:right w:val="none" w:sz="0" w:space="0" w:color="auto"/>
      </w:divBdr>
    </w:div>
    <w:div w:id="1095706380">
      <w:bodyDiv w:val="1"/>
      <w:marLeft w:val="0"/>
      <w:marRight w:val="0"/>
      <w:marTop w:val="0"/>
      <w:marBottom w:val="0"/>
      <w:divBdr>
        <w:top w:val="none" w:sz="0" w:space="0" w:color="auto"/>
        <w:left w:val="none" w:sz="0" w:space="0" w:color="auto"/>
        <w:bottom w:val="none" w:sz="0" w:space="0" w:color="auto"/>
        <w:right w:val="none" w:sz="0" w:space="0" w:color="auto"/>
      </w:divBdr>
    </w:div>
    <w:div w:id="1100953864">
      <w:bodyDiv w:val="1"/>
      <w:marLeft w:val="0"/>
      <w:marRight w:val="0"/>
      <w:marTop w:val="0"/>
      <w:marBottom w:val="0"/>
      <w:divBdr>
        <w:top w:val="none" w:sz="0" w:space="0" w:color="auto"/>
        <w:left w:val="none" w:sz="0" w:space="0" w:color="auto"/>
        <w:bottom w:val="none" w:sz="0" w:space="0" w:color="auto"/>
        <w:right w:val="none" w:sz="0" w:space="0" w:color="auto"/>
      </w:divBdr>
    </w:div>
    <w:div w:id="1161239481">
      <w:bodyDiv w:val="1"/>
      <w:marLeft w:val="0"/>
      <w:marRight w:val="0"/>
      <w:marTop w:val="0"/>
      <w:marBottom w:val="0"/>
      <w:divBdr>
        <w:top w:val="none" w:sz="0" w:space="0" w:color="auto"/>
        <w:left w:val="none" w:sz="0" w:space="0" w:color="auto"/>
        <w:bottom w:val="none" w:sz="0" w:space="0" w:color="auto"/>
        <w:right w:val="none" w:sz="0" w:space="0" w:color="auto"/>
      </w:divBdr>
    </w:div>
    <w:div w:id="1167014301">
      <w:bodyDiv w:val="1"/>
      <w:marLeft w:val="0"/>
      <w:marRight w:val="0"/>
      <w:marTop w:val="0"/>
      <w:marBottom w:val="0"/>
      <w:divBdr>
        <w:top w:val="none" w:sz="0" w:space="0" w:color="auto"/>
        <w:left w:val="none" w:sz="0" w:space="0" w:color="auto"/>
        <w:bottom w:val="none" w:sz="0" w:space="0" w:color="auto"/>
        <w:right w:val="none" w:sz="0" w:space="0" w:color="auto"/>
      </w:divBdr>
    </w:div>
    <w:div w:id="1399672362">
      <w:bodyDiv w:val="1"/>
      <w:marLeft w:val="0"/>
      <w:marRight w:val="0"/>
      <w:marTop w:val="0"/>
      <w:marBottom w:val="0"/>
      <w:divBdr>
        <w:top w:val="none" w:sz="0" w:space="0" w:color="auto"/>
        <w:left w:val="none" w:sz="0" w:space="0" w:color="auto"/>
        <w:bottom w:val="none" w:sz="0" w:space="0" w:color="auto"/>
        <w:right w:val="none" w:sz="0" w:space="0" w:color="auto"/>
      </w:divBdr>
    </w:div>
    <w:div w:id="1400202355">
      <w:bodyDiv w:val="1"/>
      <w:marLeft w:val="0"/>
      <w:marRight w:val="0"/>
      <w:marTop w:val="0"/>
      <w:marBottom w:val="0"/>
      <w:divBdr>
        <w:top w:val="none" w:sz="0" w:space="0" w:color="auto"/>
        <w:left w:val="none" w:sz="0" w:space="0" w:color="auto"/>
        <w:bottom w:val="none" w:sz="0" w:space="0" w:color="auto"/>
        <w:right w:val="none" w:sz="0" w:space="0" w:color="auto"/>
      </w:divBdr>
    </w:div>
    <w:div w:id="1639261780">
      <w:bodyDiv w:val="1"/>
      <w:marLeft w:val="0"/>
      <w:marRight w:val="0"/>
      <w:marTop w:val="0"/>
      <w:marBottom w:val="0"/>
      <w:divBdr>
        <w:top w:val="none" w:sz="0" w:space="0" w:color="auto"/>
        <w:left w:val="none" w:sz="0" w:space="0" w:color="auto"/>
        <w:bottom w:val="none" w:sz="0" w:space="0" w:color="auto"/>
        <w:right w:val="none" w:sz="0" w:space="0" w:color="auto"/>
      </w:divBdr>
    </w:div>
    <w:div w:id="1652783710">
      <w:bodyDiv w:val="1"/>
      <w:marLeft w:val="0"/>
      <w:marRight w:val="0"/>
      <w:marTop w:val="0"/>
      <w:marBottom w:val="0"/>
      <w:divBdr>
        <w:top w:val="none" w:sz="0" w:space="0" w:color="auto"/>
        <w:left w:val="none" w:sz="0" w:space="0" w:color="auto"/>
        <w:bottom w:val="none" w:sz="0" w:space="0" w:color="auto"/>
        <w:right w:val="none" w:sz="0" w:space="0" w:color="auto"/>
      </w:divBdr>
    </w:div>
    <w:div w:id="1654915618">
      <w:bodyDiv w:val="1"/>
      <w:marLeft w:val="0"/>
      <w:marRight w:val="0"/>
      <w:marTop w:val="0"/>
      <w:marBottom w:val="0"/>
      <w:divBdr>
        <w:top w:val="none" w:sz="0" w:space="0" w:color="auto"/>
        <w:left w:val="none" w:sz="0" w:space="0" w:color="auto"/>
        <w:bottom w:val="none" w:sz="0" w:space="0" w:color="auto"/>
        <w:right w:val="none" w:sz="0" w:space="0" w:color="auto"/>
      </w:divBdr>
    </w:div>
    <w:div w:id="1918515898">
      <w:bodyDiv w:val="1"/>
      <w:marLeft w:val="0"/>
      <w:marRight w:val="0"/>
      <w:marTop w:val="0"/>
      <w:marBottom w:val="0"/>
      <w:divBdr>
        <w:top w:val="none" w:sz="0" w:space="0" w:color="auto"/>
        <w:left w:val="none" w:sz="0" w:space="0" w:color="auto"/>
        <w:bottom w:val="none" w:sz="0" w:space="0" w:color="auto"/>
        <w:right w:val="none" w:sz="0" w:space="0" w:color="auto"/>
      </w:divBdr>
    </w:div>
    <w:div w:id="2000647462">
      <w:bodyDiv w:val="1"/>
      <w:marLeft w:val="0"/>
      <w:marRight w:val="0"/>
      <w:marTop w:val="0"/>
      <w:marBottom w:val="0"/>
      <w:divBdr>
        <w:top w:val="none" w:sz="0" w:space="0" w:color="auto"/>
        <w:left w:val="none" w:sz="0" w:space="0" w:color="auto"/>
        <w:bottom w:val="none" w:sz="0" w:space="0" w:color="auto"/>
        <w:right w:val="none" w:sz="0" w:space="0" w:color="auto"/>
      </w:divBdr>
    </w:div>
    <w:div w:id="2042432758">
      <w:bodyDiv w:val="1"/>
      <w:marLeft w:val="0"/>
      <w:marRight w:val="0"/>
      <w:marTop w:val="0"/>
      <w:marBottom w:val="0"/>
      <w:divBdr>
        <w:top w:val="none" w:sz="0" w:space="0" w:color="auto"/>
        <w:left w:val="none" w:sz="0" w:space="0" w:color="auto"/>
        <w:bottom w:val="none" w:sz="0" w:space="0" w:color="auto"/>
        <w:right w:val="none" w:sz="0" w:space="0" w:color="auto"/>
      </w:divBdr>
    </w:div>
    <w:div w:id="20629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csb.gov/tpc-group-explosion-and-fire/" TargetMode="Externa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ls.gov/news.release/ecec.nr0.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bls.gov/oes/2020/may/oes_nat.htm"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sb.gov/tpc-group-explosion-and-fire/" TargetMode="External"/><Relationship Id="rId27" Type="http://schemas.openxmlformats.org/officeDocument/2006/relationships/hyperlink" Target="https://www.marsh.com/us/industries/energy-and-power/insights/100-largest-losses-in-the-hydrocarbon-industry.htm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bls.gov/oes/2020/may/oes_nat.htm" TargetMode="External"/><Relationship Id="rId18" Type="http://schemas.openxmlformats.org/officeDocument/2006/relationships/hyperlink" Target="https://www.epa.gov/emc/emc-continuous-emission-monitoring-systems" TargetMode="External"/><Relationship Id="rId26" Type="http://schemas.openxmlformats.org/officeDocument/2006/relationships/hyperlink" Target="http://www.sciencedirect.com/science/article/pii/S0095069615000194" TargetMode="External"/><Relationship Id="rId39" Type="http://schemas.openxmlformats.org/officeDocument/2006/relationships/hyperlink" Target="https://www.epa.gov/sites/production/files/2016-06/documents/ejtg_5_6_16_v5.1.pdf" TargetMode="External"/><Relationship Id="rId21" Type="http://schemas.openxmlformats.org/officeDocument/2006/relationships/hyperlink" Target="https://www.fema.gov/emergency-managers/practitioners/integrated-public-alert-warning-system" TargetMode="External"/><Relationship Id="rId34" Type="http://schemas.openxmlformats.org/officeDocument/2006/relationships/hyperlink" Target="https://www.census.gov/programs-surveys/gov-finances/data/historical-data.html" TargetMode="External"/><Relationship Id="rId42" Type="http://schemas.openxmlformats.org/officeDocument/2006/relationships/hyperlink" Target="https://www.epa.gov/sites/default/files/2015-06/documents/considering-ej-in-rulemaking-guide-final.pdf" TargetMode="External"/><Relationship Id="rId47" Type="http://schemas.openxmlformats.org/officeDocument/2006/relationships/hyperlink" Target="https://www.ogj.com/refining-processing/article/17250762/chevrons-salt-lake-city-refinery-plans-alkylation-unit-revamp" TargetMode="External"/><Relationship Id="rId50" Type="http://schemas.openxmlformats.org/officeDocument/2006/relationships/hyperlink" Target="http://www.aqmd.gov/docs/default-source/Agendas/Governing-Board/2019/2019-feb1-025.pdf?sfvrsn=6" TargetMode="External"/><Relationship Id="rId55" Type="http://schemas.openxmlformats.org/officeDocument/2006/relationships/hyperlink" Target="https://www.globenewswire.com/news-release/2016/05/03/835929/0/en/Valero-Energy-Reports-First-Quarter-2016-Results.html" TargetMode="External"/><Relationship Id="rId7" Type="http://schemas.openxmlformats.org/officeDocument/2006/relationships/hyperlink" Target="https://gephardtdaily.com/local/toxic-gas-kills-worker-at-rio-tinto-kennecott/" TargetMode="External"/><Relationship Id="rId2" Type="http://schemas.openxmlformats.org/officeDocument/2006/relationships/hyperlink" Target="https://www.whitehouse.gov/the-press-office/2013/08/01/executive-order-improving-chemical-facility-safety-and-security" TargetMode="External"/><Relationship Id="rId16" Type="http://schemas.openxmlformats.org/officeDocument/2006/relationships/hyperlink" Target="https://pubmed.ncbi.nlm.nih.gov/33339315/" TargetMode="External"/><Relationship Id="rId29" Type="http://schemas.openxmlformats.org/officeDocument/2006/relationships/hyperlink" Target="https://uk.marsh.com/Portals/18/Documents/100%20Largest%20Losses%2023rd%20Edition%202014.pdf" TargetMode="External"/><Relationship Id="rId11" Type="http://schemas.openxmlformats.org/officeDocument/2006/relationships/hyperlink" Target="https://www.kqed.org/news/11756861/after-two-major-refinery-accidents-valero-and-benicia-take-steps-to-work-better-together" TargetMode="External"/><Relationship Id="rId24" Type="http://schemas.openxmlformats.org/officeDocument/2006/relationships/hyperlink" Target="http://www.sciencedirect.com/science/article/pii/S0095069615000194" TargetMode="External"/><Relationship Id="rId32" Type="http://schemas.openxmlformats.org/officeDocument/2006/relationships/hyperlink" Target="http://www.epa.gov/rfa/documents/Guidance-RegFlexAct.pdf" TargetMode="External"/><Relationship Id="rId37" Type="http://schemas.openxmlformats.org/officeDocument/2006/relationships/hyperlink" Target="https://www.edennc.us/home/showpublishe%20ddocument/3781/637623947334730000" TargetMode="External"/><Relationship Id="rId40" Type="http://schemas.openxmlformats.org/officeDocument/2006/relationships/hyperlink" Target="https://usepa.sharepoint.com/sites/RMPRetrospectionRule/Shared%20Documents/General/RIA%20Documents/.%20https:/www.epa.gov/sites/default/files/2015-06/documents/considering-ej-in-rulemaking-guide-final.pdf" TargetMode="External"/><Relationship Id="rId45" Type="http://schemas.openxmlformats.org/officeDocument/2006/relationships/hyperlink" Target="https://doi.org/10.1126/science.aap7711" TargetMode="External"/><Relationship Id="rId53" Type="http://schemas.openxmlformats.org/officeDocument/2006/relationships/hyperlink" Target="https://www.icis.com/explore/resources/news/2018/01/16/10183692/us-delek-holdings-to-add-alkylation-unit-at-louisiana-refinery/" TargetMode="External"/><Relationship Id="rId58" Type="http://schemas.openxmlformats.org/officeDocument/2006/relationships/hyperlink" Target="https://www.aqmd.gov/docs/default-source/permitting/alkylation-technology-study-final-report.pdf" TargetMode="External"/><Relationship Id="rId5" Type="http://schemas.openxmlformats.org/officeDocument/2006/relationships/hyperlink" Target="https://www.epa.gov/rmp/accessing-rmp-data" TargetMode="External"/><Relationship Id="rId19" Type="http://schemas.openxmlformats.org/officeDocument/2006/relationships/hyperlink" Target="https://www.epa.gov/sites/default/files/2020-08/documents/04-nh3_cems.pdf" TargetMode="External"/><Relationship Id="rId4" Type="http://schemas.openxmlformats.org/officeDocument/2006/relationships/hyperlink" Target="https://www.whitehouse.gov/briefing-room/presidential-actions/2021/01/20/executive-order-protecting-public-health-and-environment-and-restoring-science-to-tackle-climate-crisis/" TargetMode="External"/><Relationship Id="rId9" Type="http://schemas.openxmlformats.org/officeDocument/2006/relationships/hyperlink" Target="https://www.wcnc.com/article/news/local/statesville-ammonia-hazmat-spill/275-7936486e-03fc-40e0-96b8-ccdbc499bdb4" TargetMode="External"/><Relationship Id="rId14" Type="http://schemas.openxmlformats.org/officeDocument/2006/relationships/hyperlink" Target="http://www.bls.gov/news.release/ecec.t01.htm" TargetMode="External"/><Relationship Id="rId22" Type="http://schemas.openxmlformats.org/officeDocument/2006/relationships/hyperlink" Target="http://www.sciencedirect.com/science/article/pii/S0095069615000194" TargetMode="External"/><Relationship Id="rId27" Type="http://schemas.openxmlformats.org/officeDocument/2006/relationships/hyperlink" Target="http://www.sciencedirect.com/science/article/pii/S0095069615000194" TargetMode="External"/><Relationship Id="rId30" Type="http://schemas.openxmlformats.org/officeDocument/2006/relationships/hyperlink" Target="http://www.epa.gov/rmp/rmpesubmit-users-manual" TargetMode="External"/><Relationship Id="rId35" Type="http://schemas.openxmlformats.org/officeDocument/2006/relationships/hyperlink" Target="https://www.nortonva.gov/72/CNW-Sewer-Authority" TargetMode="External"/><Relationship Id="rId43" Type="http://schemas.openxmlformats.org/officeDocument/2006/relationships/hyperlink" Target="https://www.epa.gov/ejscreen" TargetMode="External"/><Relationship Id="rId48" Type="http://schemas.openxmlformats.org/officeDocument/2006/relationships/hyperlink" Target="https://www.ogj.com/refining-processing/article/17290342/chevrons-utah-refinery-lets-contract-for-alkylation-technology-retrofit" TargetMode="External"/><Relationship Id="rId56" Type="http://schemas.openxmlformats.org/officeDocument/2006/relationships/hyperlink" Target="https://www.cbecal.org/wp-content/uploads/2019/02/CBE-fact-sheet-MHF-replacement-COST-greatly-exagerated-01312019.pdf" TargetMode="External"/><Relationship Id="rId8" Type="http://schemas.openxmlformats.org/officeDocument/2006/relationships/hyperlink" Target="https://www.gosanangelo.com/story/news/crime/2021/10/01/west-texas-gas-company-settles-big-lake-chemical-leak-fatal-accident/5954744001/" TargetMode="External"/><Relationship Id="rId51" Type="http://schemas.openxmlformats.org/officeDocument/2006/relationships/hyperlink" Target="https://undark.org/2018/10/10/hydrofluoric-acid-oil-refining-explosion/" TargetMode="External"/><Relationship Id="rId3" Type="http://schemas.openxmlformats.org/officeDocument/2006/relationships/hyperlink" Target="https://www.regulations.gov/search?filter=DHS-2013-0075" TargetMode="External"/><Relationship Id="rId12" Type="http://schemas.openxmlformats.org/officeDocument/2006/relationships/hyperlink" Target="http://hcupnet.ahrq.gov/" TargetMode="External"/><Relationship Id="rId17" Type="http://schemas.openxmlformats.org/officeDocument/2006/relationships/hyperlink" Target="https://www.bls.gov/oes/2020/may/oes_nat.htm" TargetMode="External"/><Relationship Id="rId25" Type="http://schemas.openxmlformats.org/officeDocument/2006/relationships/hyperlink" Target="http://www.sciencedirect.com/science/article/pii/S0095069615000194" TargetMode="External"/><Relationship Id="rId33" Type="http://schemas.openxmlformats.org/officeDocument/2006/relationships/hyperlink" Target="http://www.usda.gov/wps/portal/usda/usdahome?contentid=2013/10/0199.xml" TargetMode="External"/><Relationship Id="rId38" Type="http://schemas.openxmlformats.org/officeDocument/2006/relationships/hyperlink" Target="https://www.epa.gov/environmentaljustice/learn-about-environmental-justice" TargetMode="External"/><Relationship Id="rId46" Type="http://schemas.openxmlformats.org/officeDocument/2006/relationships/hyperlink" Target="https://publicintegrity.org/inequality-poverty-opportunity/workers-rights/worker-health-and-safety/fueling-fears/new-oil-refinery-in-south-dakota-says-it-will-use-alternative-to-toxic-acid/" TargetMode="External"/><Relationship Id="rId59" Type="http://schemas.openxmlformats.org/officeDocument/2006/relationships/hyperlink" Target="https://www.aqmd.gov/docs/default-source/permitting/alkylation-technology-study-final-report.pdf" TargetMode="External"/><Relationship Id="rId20" Type="http://schemas.openxmlformats.org/officeDocument/2006/relationships/hyperlink" Target="https://www.forbes.com/advisor/home-improvement/generator-cost-guide/" TargetMode="External"/><Relationship Id="rId41" Type="http://schemas.openxmlformats.org/officeDocument/2006/relationships/hyperlink" Target="https://usepa.sharepoint.com/sites/RMPRetrospectionRule/Shared%20Documents/General/RIA%20Documents/U.S.%20EPA.%20(2016).%20Technical%20Guidance%20for%20Assessing%20Environmental%20Justice%20in%20Regulatory%20Analysis.%20https:/www.epa.gov/sites/production/files/2016-06/documents/ejtg_5_6_16_v5.1.pdf" TargetMode="External"/><Relationship Id="rId54" Type="http://schemas.openxmlformats.org/officeDocument/2006/relationships/hyperlink" Target="https://www.cbecal.org/wp-content/uploads/2019/02/CBE-fact-sheet-MHF-replacement-COST-greatly-exagerated-01312019.pdf" TargetMode="External"/><Relationship Id="rId1" Type="http://schemas.openxmlformats.org/officeDocument/2006/relationships/hyperlink" Target="https://www.epa.gov/rmp/guidance-facilities-risk-management-programs-rmp" TargetMode="External"/><Relationship Id="rId6" Type="http://schemas.openxmlformats.org/officeDocument/2006/relationships/hyperlink" Target="https://www.phila.gov/media/20191204161826/US-CSB-PES-Factual-Update.pdf" TargetMode="External"/><Relationship Id="rId15" Type="http://schemas.openxmlformats.org/officeDocument/2006/relationships/hyperlink" Target="https://emergency.cdc.gov/planning/Shelteringfacts.asp" TargetMode="External"/><Relationship Id="rId23" Type="http://schemas.openxmlformats.org/officeDocument/2006/relationships/hyperlink" Target="http://www.sciencedirect.com/science/article/pii/S0095069615000194" TargetMode="External"/><Relationship Id="rId28" Type="http://schemas.openxmlformats.org/officeDocument/2006/relationships/hyperlink" Target="http://www.sciencedirect.com/science/article/pii/S0095069615000194" TargetMode="External"/><Relationship Id="rId36" Type="http://schemas.openxmlformats.org/officeDocument/2006/relationships/hyperlink" Target="https://www.census.gov/quickfacts/fact/table/edencitynorthcarolina/BZA210219" TargetMode="External"/><Relationship Id="rId49" Type="http://schemas.openxmlformats.org/officeDocument/2006/relationships/hyperlink" Target="https://torrancerefinery.com/wp-content/uploads/2018/03/TORC-Comment-Letter-with-Attachments-Agenda-Item-No.-K.11.pdf" TargetMode="External"/><Relationship Id="rId57" Type="http://schemas.openxmlformats.org/officeDocument/2006/relationships/hyperlink" Target="https://www.globenewswire.com/new%20s-release/2016/05/03/835929/0/en/Valero-Energy-Reports-First-Quarter-2016-Results.html" TargetMode="External"/><Relationship Id="rId10" Type="http://schemas.openxmlformats.org/officeDocument/2006/relationships/hyperlink" Target="https://www.texas-wrongful-death-lawyer.net/79294/water-treatment-ammonia-leak-accident-big-spring-tx.htm" TargetMode="External"/><Relationship Id="rId31" Type="http://schemas.openxmlformats.org/officeDocument/2006/relationships/hyperlink" Target="https://ideas.repec.org/p/ags/aaea21/312676.html" TargetMode="External"/><Relationship Id="rId44" Type="http://schemas.openxmlformats.org/officeDocument/2006/relationships/hyperlink" Target="https://www.epa.gov/ejscreen/technical-documentation-ejscreen" TargetMode="External"/><Relationship Id="rId52" Type="http://schemas.openxmlformats.org/officeDocument/2006/relationships/hyperlink" Target="https://www.cbecal.org/wp-content/uploads/2019/02/CBE-fact-sheet-MHF-replacement-COST-greatly-exagerated-01312019.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883173273861001"/>
          <c:y val="3.2677307726674557E-2"/>
          <c:w val="0.72116826726139005"/>
          <c:h val="0.48935168876419888"/>
        </c:manualLayout>
      </c:layout>
      <c:barChart>
        <c:barDir val="col"/>
        <c:grouping val="clustered"/>
        <c:varyColors val="0"/>
        <c:ser>
          <c:idx val="2"/>
          <c:order val="0"/>
          <c:tx>
            <c:strRef>
              <c:f>'[EPA RMP Retrospection Rule_Accident and Facility Analysis_Feb 2022.xlsx]Tables-clean'!$L$159</c:f>
              <c:strCache>
                <c:ptCount val="1"/>
                <c:pt idx="0">
                  <c:v>2020</c:v>
                </c:pt>
              </c:strCache>
            </c:strRef>
          </c:tx>
          <c:spPr>
            <a:solidFill>
              <a:schemeClr val="accent3"/>
            </a:solidFill>
            <a:ln>
              <a:noFill/>
            </a:ln>
            <a:effectLst/>
          </c:spPr>
          <c:invertIfNegative val="0"/>
          <c:cat>
            <c:strRef>
              <c:f>'[EPA RMP Retrospection Rule_Accident and Facility Analysis_Feb 2022.xlsx]Tables-clean'!$H$160:$H$173</c:f>
              <c:strCache>
                <c:ptCount val="14"/>
                <c:pt idx="0">
                  <c:v>Administration of environmental quality programs (i.e., governments), gov water</c:v>
                </c:pt>
                <c:pt idx="1">
                  <c:v>Agricultural chemical distributors/wholesalers</c:v>
                </c:pt>
                <c:pt idx="2">
                  <c:v>Chemical manufacturing</c:v>
                </c:pt>
                <c:pt idx="3">
                  <c:v>Chemical wholesalers</c:v>
                </c:pt>
                <c:pt idx="4">
                  <c:v>Food and beverage manufacturing</c:v>
                </c:pt>
                <c:pt idx="5">
                  <c:v>Oil and gas extraction</c:v>
                </c:pt>
                <c:pt idx="6">
                  <c:v>Other</c:v>
                </c:pt>
                <c:pt idx="7">
                  <c:v>Other manufacturing</c:v>
                </c:pt>
                <c:pt idx="8">
                  <c:v>Other wholesale</c:v>
                </c:pt>
                <c:pt idx="9">
                  <c:v>Paper manufacturing</c:v>
                </c:pt>
                <c:pt idx="10">
                  <c:v>Petroleum and coal products manufacturing</c:v>
                </c:pt>
                <c:pt idx="11">
                  <c:v>Petroleum wholesalers</c:v>
                </c:pt>
                <c:pt idx="12">
                  <c:v>Utilities/ Water</c:v>
                </c:pt>
                <c:pt idx="13">
                  <c:v>Warehousing and storage</c:v>
                </c:pt>
              </c:strCache>
            </c:strRef>
          </c:cat>
          <c:val>
            <c:numRef>
              <c:f>'[EPA RMP Retrospection Rule_Accident and Facility Analysis_Feb 2022.xlsx]Tables-clean'!$L$160:$L$173</c:f>
              <c:numCache>
                <c:formatCode>#,##0</c:formatCode>
                <c:ptCount val="14"/>
                <c:pt idx="0">
                  <c:v>1452</c:v>
                </c:pt>
                <c:pt idx="1">
                  <c:v>3315</c:v>
                </c:pt>
                <c:pt idx="2">
                  <c:v>1502</c:v>
                </c:pt>
                <c:pt idx="3">
                  <c:v>317</c:v>
                </c:pt>
                <c:pt idx="4">
                  <c:v>1571</c:v>
                </c:pt>
                <c:pt idx="5">
                  <c:v>719</c:v>
                </c:pt>
                <c:pt idx="6">
                  <c:v>246</c:v>
                </c:pt>
                <c:pt idx="7">
                  <c:v>375</c:v>
                </c:pt>
                <c:pt idx="8">
                  <c:v>39</c:v>
                </c:pt>
                <c:pt idx="9">
                  <c:v>55</c:v>
                </c:pt>
                <c:pt idx="10">
                  <c:v>156</c:v>
                </c:pt>
                <c:pt idx="11">
                  <c:v>367</c:v>
                </c:pt>
                <c:pt idx="12">
                  <c:v>516</c:v>
                </c:pt>
                <c:pt idx="13">
                  <c:v>1110</c:v>
                </c:pt>
              </c:numCache>
            </c:numRef>
          </c:val>
          <c:extLst>
            <c:ext xmlns:c16="http://schemas.microsoft.com/office/drawing/2014/chart" uri="{C3380CC4-5D6E-409C-BE32-E72D297353CC}">
              <c16:uniqueId val="{00000000-4331-4EE3-BABA-2C59D4F6367E}"/>
            </c:ext>
          </c:extLst>
        </c:ser>
        <c:dLbls>
          <c:showLegendKey val="0"/>
          <c:showVal val="0"/>
          <c:showCatName val="0"/>
          <c:showSerName val="0"/>
          <c:showPercent val="0"/>
          <c:showBubbleSize val="0"/>
        </c:dLbls>
        <c:gapWidth val="219"/>
        <c:overlap val="-27"/>
        <c:axId val="946569120"/>
        <c:axId val="946558720"/>
      </c:barChart>
      <c:catAx>
        <c:axId val="94656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6558720"/>
        <c:crosses val="autoZero"/>
        <c:auto val="1"/>
        <c:lblAlgn val="ctr"/>
        <c:lblOffset val="100"/>
        <c:noMultiLvlLbl val="0"/>
      </c:catAx>
      <c:valAx>
        <c:axId val="946558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a:t>
                </a:r>
                <a:r>
                  <a:rPr lang="en-US" baseline="0"/>
                  <a:t> Facilities</a:t>
                </a:r>
                <a:endParaRPr lang="en-US"/>
              </a:p>
            </c:rich>
          </c:tx>
          <c:layout>
            <c:manualLayout>
              <c:xMode val="edge"/>
              <c:yMode val="edge"/>
              <c:x val="0.15028901734104047"/>
              <c:y val="0.147698390087056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5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3F-4422-B604-F468961802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3F-4422-B604-F468961802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3F-4422-B604-F468961802A9}"/>
              </c:ext>
            </c:extLst>
          </c:dPt>
          <c:dLbls>
            <c:dLbl>
              <c:idx val="0"/>
              <c:layout>
                <c:manualLayout>
                  <c:x val="-2.0273148995910394E-2"/>
                  <c:y val="0.115277076214529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3F-4422-B604-F468961802A9}"/>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'[EPA RMP Retrospection Rule_Accident and Facility Analysis_Feb 2022.xlsx]Tables-working'!$B$156:$B$158</c:f>
              <c:strCache>
                <c:ptCount val="3"/>
                <c:pt idx="0">
                  <c:v>P1 Facilities </c:v>
                </c:pt>
                <c:pt idx="1">
                  <c:v>P2 Facilities </c:v>
                </c:pt>
                <c:pt idx="2">
                  <c:v>P3 Facilities </c:v>
                </c:pt>
              </c:strCache>
            </c:strRef>
          </c:cat>
          <c:val>
            <c:numRef>
              <c:f>'[EPA RMP Retrospection Rule_Accident and Facility Analysis_Feb 2022.xlsx]Tables-working'!$D$177:$F$177</c:f>
              <c:numCache>
                <c:formatCode>General</c:formatCode>
                <c:ptCount val="3"/>
                <c:pt idx="0">
                  <c:v>660</c:v>
                </c:pt>
                <c:pt idx="1">
                  <c:v>3975</c:v>
                </c:pt>
                <c:pt idx="2">
                  <c:v>7105</c:v>
                </c:pt>
              </c:numCache>
            </c:numRef>
          </c:val>
          <c:extLst>
            <c:ext xmlns:c16="http://schemas.microsoft.com/office/drawing/2014/chart" uri="{C3380CC4-5D6E-409C-BE32-E72D297353CC}">
              <c16:uniqueId val="{00000006-E13F-4422-B604-F468961802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2022-08-03T14:33:46+00:00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lcf76f155ced4ddcb4097134ff3c332f xmlns="f681fe1a-6f3a-4bc8-bd95-a336c6044f0b">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96F4FF33A1A1F409242C0E212D83C63" ma:contentTypeVersion="14" ma:contentTypeDescription="Create a new document." ma:contentTypeScope="" ma:versionID="9857acfc3c010a75c88f81ddd7db203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681fe1a-6f3a-4bc8-bd95-a336c6044f0b" xmlns:ns6="770616d2-97d1-4359-9fe0-fce270a195bc" targetNamespace="http://schemas.microsoft.com/office/2006/metadata/properties" ma:root="true" ma:fieldsID="324171a692135546d3380a00d0d80bf2" ns1:_="" ns2:_="" ns3:_="" ns4:_="" ns5:_="" ns6:_="">
    <xsd:import namespace="http://schemas.microsoft.com/sharepoint/v3"/>
    <xsd:import namespace="4ffa91fb-a0ff-4ac5-b2db-65c790d184a4"/>
    <xsd:import namespace="http://schemas.microsoft.com/sharepoint.v3"/>
    <xsd:import namespace="http://schemas.microsoft.com/sharepoint/v3/fields"/>
    <xsd:import namespace="f681fe1a-6f3a-4bc8-bd95-a336c6044f0b"/>
    <xsd:import namespace="770616d2-97d1-4359-9fe0-fce270a195b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23ce1b3-5a1c-4dcb-8a6d-bf4647a78b84}" ma:internalName="TaxCatchAllLabel" ma:readOnly="true" ma:showField="CatchAllDataLabel" ma:web="770616d2-97d1-4359-9fe0-fce270a195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23ce1b3-5a1c-4dcb-8a6d-bf4647a78b84}" ma:internalName="TaxCatchAll" ma:showField="CatchAllData" ma:web="770616d2-97d1-4359-9fe0-fce270a19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1fe1a-6f3a-4bc8-bd95-a336c6044f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0616d2-97d1-4359-9fe0-fce270a195b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B6D9-84EE-4F68-B3A9-00212448F233}">
  <ds:schemaRefs>
    <ds:schemaRef ds:uri="http://purl.org/dc/elements/1.1/"/>
    <ds:schemaRef ds:uri="http://www.w3.org/XML/1998/namespace"/>
    <ds:schemaRef ds:uri="http://schemas.microsoft.com/sharepoint/v3/fields"/>
    <ds:schemaRef ds:uri="http://schemas.microsoft.com/sharepoint.v3"/>
    <ds:schemaRef ds:uri="http://schemas.microsoft.com/sharepoint/v3"/>
    <ds:schemaRef ds:uri="http://purl.org/dc/dcmitype/"/>
    <ds:schemaRef ds:uri="http://purl.org/dc/terms/"/>
    <ds:schemaRef ds:uri="770616d2-97d1-4359-9fe0-fce270a195bc"/>
    <ds:schemaRef ds:uri="4ffa91fb-a0ff-4ac5-b2db-65c790d184a4"/>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681fe1a-6f3a-4bc8-bd95-a336c6044f0b"/>
  </ds:schemaRefs>
</ds:datastoreItem>
</file>

<file path=customXml/itemProps2.xml><?xml version="1.0" encoding="utf-8"?>
<ds:datastoreItem xmlns:ds="http://schemas.openxmlformats.org/officeDocument/2006/customXml" ds:itemID="{EC205DC6-770B-4753-B030-954C7B135241}">
  <ds:schemaRefs>
    <ds:schemaRef ds:uri="http://schemas.microsoft.com/sharepoint/v3/contenttype/forms"/>
  </ds:schemaRefs>
</ds:datastoreItem>
</file>

<file path=customXml/itemProps3.xml><?xml version="1.0" encoding="utf-8"?>
<ds:datastoreItem xmlns:ds="http://schemas.openxmlformats.org/officeDocument/2006/customXml" ds:itemID="{AA12F2A2-F5EE-46F1-9608-A7B3C79EF3F4}">
  <ds:schemaRefs>
    <ds:schemaRef ds:uri="Microsoft.SharePoint.Taxonomy.ContentTypeSync"/>
  </ds:schemaRefs>
</ds:datastoreItem>
</file>

<file path=customXml/itemProps4.xml><?xml version="1.0" encoding="utf-8"?>
<ds:datastoreItem xmlns:ds="http://schemas.openxmlformats.org/officeDocument/2006/customXml" ds:itemID="{48390701-0BEF-439E-A2AC-95E7FF406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681fe1a-6f3a-4bc8-bd95-a336c6044f0b"/>
    <ds:schemaRef ds:uri="770616d2-97d1-4359-9fe0-fce270a1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978E0-70E4-403A-8DBE-68F07443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39236</Words>
  <Characters>223650</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2022-08-03T14:20:00Z</dcterms:created>
  <dcterms:modified xsi:type="dcterms:W3CDTF">2022-08-09T11:32:00Z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0x010100196F4FF33A1A1F409242C0E212D83C63</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