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92C4D" w:rsidR="00B92C4D" w:rsidP="00B92C4D" w:rsidRDefault="00B92C4D" w14:paraId="6D67291F" w14:textId="127F23F8">
      <w:pPr>
        <w:pStyle w:val="Heading2"/>
        <w:ind w:left="0" w:firstLine="0"/>
        <w:jc w:val="center"/>
        <w:rPr>
          <w:b w:val="0"/>
          <w:bCs/>
          <w:i w:val="0"/>
          <w:iCs/>
          <w:szCs w:val="24"/>
        </w:rPr>
      </w:pPr>
      <w:bookmarkStart w:name="_Toc458001166" w:id="0"/>
      <w:r w:rsidRPr="00B92C4D">
        <w:rPr>
          <w:i w:val="0"/>
          <w:iCs/>
        </w:rPr>
        <w:t xml:space="preserve">NSCAW III </w:t>
      </w:r>
      <w:r w:rsidRPr="00B92C4D">
        <w:rPr>
          <w:i w:val="0"/>
          <w:iCs/>
        </w:rPr>
        <w:t>R</w:t>
      </w:r>
      <w:r w:rsidRPr="00B92C4D">
        <w:rPr>
          <w:i w:val="0"/>
          <w:iCs/>
        </w:rPr>
        <w:t>e</w:t>
      </w:r>
      <w:r w:rsidRPr="00B92C4D">
        <w:rPr>
          <w:i w:val="0"/>
          <w:iCs/>
        </w:rPr>
        <w:t xml:space="preserve">search </w:t>
      </w:r>
      <w:r w:rsidRPr="00B92C4D">
        <w:rPr>
          <w:i w:val="0"/>
          <w:iCs/>
          <w:szCs w:val="24"/>
        </w:rPr>
        <w:t>Questions</w:t>
      </w:r>
      <w:bookmarkEnd w:id="0"/>
    </w:p>
    <w:p w:rsidR="00B92C4D" w:rsidP="00B92C4D" w:rsidRDefault="00B92C4D" w14:paraId="29A180BA" w14:textId="51069F4C">
      <w:pPr>
        <w:pStyle w:val="BodyText"/>
      </w:pPr>
      <w:r>
        <w:rPr>
          <w:color w:val="1A1A1A"/>
          <w:szCs w:val="24"/>
        </w:rPr>
        <w:t>NSCAW III</w:t>
      </w:r>
      <w:r w:rsidR="00A114F0">
        <w:rPr>
          <w:color w:val="1A1A1A"/>
          <w:szCs w:val="24"/>
        </w:rPr>
        <w:t xml:space="preserve"> Phase II</w:t>
      </w:r>
      <w:bookmarkStart w:name="_GoBack" w:id="1"/>
      <w:bookmarkEnd w:id="1"/>
      <w:r>
        <w:rPr>
          <w:color w:val="1A1A1A"/>
          <w:szCs w:val="24"/>
        </w:rPr>
        <w:t xml:space="preserve"> research questions and the corresponding instruments and data sources are listed in </w:t>
      </w:r>
      <w:r w:rsidRPr="00B92C4D">
        <w:rPr>
          <w:b/>
          <w:bCs/>
          <w:color w:val="1A1A1A"/>
          <w:szCs w:val="24"/>
        </w:rPr>
        <w:t xml:space="preserve">Table </w:t>
      </w:r>
      <w:r w:rsidRPr="00B92C4D">
        <w:rPr>
          <w:b/>
          <w:bCs/>
          <w:i/>
          <w:iCs/>
          <w:color w:val="1A1A1A"/>
          <w:szCs w:val="24"/>
        </w:rPr>
        <w:t>1.</w:t>
      </w:r>
      <w:r>
        <w:rPr>
          <w:b/>
          <w:bCs/>
          <w:i/>
          <w:iCs/>
          <w:color w:val="1A1A1A"/>
          <w:szCs w:val="24"/>
        </w:rPr>
        <w:t xml:space="preserve">  </w:t>
      </w:r>
    </w:p>
    <w:p w:rsidRPr="006052F2" w:rsidR="00B92C4D" w:rsidP="00B92C4D" w:rsidRDefault="00B92C4D" w14:paraId="73EB2D28" w14:textId="0ED91D71">
      <w:pPr>
        <w:pStyle w:val="ExhibitTitle"/>
      </w:pPr>
      <w:bookmarkStart w:name="_Toc458001292" w:id="2"/>
      <w:r>
        <w:t>Table 1</w:t>
      </w:r>
      <w:r w:rsidRPr="006052F2">
        <w:t>.</w:t>
      </w:r>
      <w:r>
        <w:t xml:space="preserve"> Research Questions and Corresponding Instruments/Data Sources</w:t>
      </w:r>
      <w:bookmarkEnd w:id="2"/>
      <w:r>
        <w:t xml:space="preserve"> </w:t>
      </w:r>
    </w:p>
    <w:tbl>
      <w:tblPr>
        <w:tblStyle w:val="Graytablecomplex"/>
        <w:tblW w:w="4950" w:type="pct"/>
        <w:jc w:val="center"/>
        <w:tblInd w:w="0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1621"/>
        <w:gridCol w:w="495"/>
        <w:gridCol w:w="675"/>
        <w:gridCol w:w="450"/>
        <w:gridCol w:w="450"/>
        <w:gridCol w:w="1349"/>
        <w:gridCol w:w="1620"/>
        <w:gridCol w:w="2606"/>
      </w:tblGrid>
      <w:tr w:rsidRPr="001764F6" w:rsidR="00B92C4D" w:rsidTr="00210943" w14:paraId="16A6E1B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6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tcBorders>
              <w:left w:val="nil"/>
              <w:bottom w:val="single" w:color="auto" w:sz="6" w:space="0"/>
              <w:right w:val="single" w:color="FFFFFF" w:sz="6" w:space="0"/>
            </w:tcBorders>
            <w:vAlign w:val="bottom"/>
            <w:hideMark/>
          </w:tcPr>
          <w:p w:rsidRPr="001764F6" w:rsidR="00B92C4D" w:rsidP="00210943" w:rsidRDefault="00B92C4D" w14:paraId="20304694" w14:textId="77777777">
            <w:pPr>
              <w:pStyle w:val="TableHeader"/>
              <w:keepNext w:val="0"/>
            </w:pPr>
            <w:r w:rsidRPr="001764F6">
              <w:t>NSCAW III Research Questions</w:t>
            </w:r>
          </w:p>
        </w:tc>
        <w:tc>
          <w:tcPr>
            <w:tcW w:w="267" w:type="pct"/>
            <w:tcBorders>
              <w:left w:val="single" w:color="FFFFFF" w:sz="6" w:space="0"/>
              <w:bottom w:val="single" w:color="auto" w:sz="6" w:space="0"/>
              <w:right w:val="single" w:color="FFFFFF" w:sz="6" w:space="0"/>
            </w:tcBorders>
            <w:textDirection w:val="btLr"/>
            <w:vAlign w:val="center"/>
            <w:hideMark/>
          </w:tcPr>
          <w:p w:rsidRPr="001764F6" w:rsidR="00B92C4D" w:rsidP="00210943" w:rsidRDefault="00B92C4D" w14:paraId="771056BB" w14:textId="77777777">
            <w:pPr>
              <w:pStyle w:val="TableHeader"/>
              <w:keepNext w:val="0"/>
              <w:spacing w:before="0" w:beforeAutospacing="0" w:after="0" w:afterAutospacing="0"/>
              <w:ind w:left="29" w:right="2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Population estimates</w:t>
            </w:r>
          </w:p>
        </w:tc>
        <w:tc>
          <w:tcPr>
            <w:tcW w:w="364" w:type="pct"/>
            <w:tcBorders>
              <w:left w:val="single" w:color="FFFFFF" w:sz="6" w:space="0"/>
              <w:bottom w:val="single" w:color="auto" w:sz="6" w:space="0"/>
              <w:right w:val="single" w:color="FFFFFF" w:sz="6" w:space="0"/>
            </w:tcBorders>
            <w:textDirection w:val="btLr"/>
            <w:vAlign w:val="center"/>
            <w:hideMark/>
          </w:tcPr>
          <w:p w:rsidRPr="001764F6" w:rsidR="00B92C4D" w:rsidP="00210943" w:rsidRDefault="00B92C4D" w14:paraId="48DC4243" w14:textId="77777777">
            <w:pPr>
              <w:pStyle w:val="TableHeader"/>
              <w:keepNext w:val="0"/>
              <w:spacing w:before="0" w:beforeAutospacing="0" w:after="0" w:afterAutospacing="0"/>
              <w:ind w:left="29" w:right="2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Group comparisons/ bivariate correlations</w:t>
            </w:r>
          </w:p>
        </w:tc>
        <w:tc>
          <w:tcPr>
            <w:tcW w:w="243" w:type="pct"/>
            <w:tcBorders>
              <w:left w:val="single" w:color="FFFFFF" w:sz="6" w:space="0"/>
              <w:bottom w:val="single" w:color="auto" w:sz="6" w:space="0"/>
              <w:right w:val="single" w:color="FFFFFF" w:sz="6" w:space="0"/>
            </w:tcBorders>
            <w:textDirection w:val="btLr"/>
            <w:vAlign w:val="center"/>
            <w:hideMark/>
          </w:tcPr>
          <w:p w:rsidRPr="001764F6" w:rsidR="00B92C4D" w:rsidP="00210943" w:rsidRDefault="00B92C4D" w14:paraId="44E6E7C5" w14:textId="77777777">
            <w:pPr>
              <w:pStyle w:val="TableHeader"/>
              <w:keepNext w:val="0"/>
              <w:spacing w:before="0" w:beforeAutospacing="0" w:after="0" w:afterAutospacing="0"/>
              <w:ind w:left="29" w:right="2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Multivariate models</w:t>
            </w:r>
          </w:p>
        </w:tc>
        <w:tc>
          <w:tcPr>
            <w:tcW w:w="243" w:type="pct"/>
            <w:tcBorders>
              <w:left w:val="single" w:color="FFFFFF" w:sz="6" w:space="0"/>
              <w:bottom w:val="single" w:color="auto" w:sz="6" w:space="0"/>
              <w:right w:val="single" w:color="FFFFFF" w:sz="6" w:space="0"/>
            </w:tcBorders>
            <w:textDirection w:val="btLr"/>
            <w:vAlign w:val="center"/>
            <w:hideMark/>
          </w:tcPr>
          <w:p w:rsidRPr="001764F6" w:rsidR="00B92C4D" w:rsidP="00210943" w:rsidRDefault="00B92C4D" w14:paraId="69564BD4" w14:textId="77777777">
            <w:pPr>
              <w:pStyle w:val="TableHeader"/>
              <w:keepNext w:val="0"/>
              <w:spacing w:before="0" w:beforeAutospacing="0" w:after="0" w:afterAutospacing="0"/>
              <w:ind w:left="29" w:right="2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Change analyses</w:t>
            </w:r>
          </w:p>
        </w:tc>
        <w:tc>
          <w:tcPr>
            <w:tcW w:w="728" w:type="pct"/>
            <w:tcBorders>
              <w:left w:val="single" w:color="FFFFFF" w:sz="6" w:space="0"/>
              <w:bottom w:val="single" w:color="auto" w:sz="6" w:space="0"/>
              <w:right w:val="single" w:color="FFFFFF" w:sz="6" w:space="0"/>
            </w:tcBorders>
            <w:vAlign w:val="bottom"/>
            <w:hideMark/>
          </w:tcPr>
          <w:p w:rsidRPr="001764F6" w:rsidR="00B92C4D" w:rsidP="00210943" w:rsidRDefault="00B92C4D" w14:paraId="2EA7E6FF" w14:textId="77777777">
            <w:pPr>
              <w:pStyle w:val="TableHeader"/>
              <w:keepNext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Constructs</w:t>
            </w:r>
          </w:p>
        </w:tc>
        <w:tc>
          <w:tcPr>
            <w:tcW w:w="874" w:type="pct"/>
            <w:tcBorders>
              <w:left w:val="single" w:color="FFFFFF" w:sz="6" w:space="0"/>
              <w:bottom w:val="single" w:color="auto" w:sz="6" w:space="0"/>
              <w:right w:val="single" w:color="FFFFFF" w:sz="6" w:space="0"/>
            </w:tcBorders>
            <w:vAlign w:val="bottom"/>
          </w:tcPr>
          <w:p w:rsidRPr="001764F6" w:rsidR="00B92C4D" w:rsidP="00210943" w:rsidRDefault="00B92C4D" w14:paraId="7A559C73" w14:textId="77777777">
            <w:pPr>
              <w:pStyle w:val="TableHeader"/>
              <w:keepNext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Potential Respondents of Data Sources</w:t>
            </w:r>
          </w:p>
        </w:tc>
        <w:tc>
          <w:tcPr>
            <w:tcW w:w="1406" w:type="pct"/>
            <w:tcBorders>
              <w:left w:val="single" w:color="FFFFFF" w:sz="6" w:space="0"/>
              <w:bottom w:val="single" w:color="auto" w:sz="6" w:space="0"/>
              <w:right w:val="nil"/>
            </w:tcBorders>
            <w:vAlign w:val="bottom"/>
            <w:hideMark/>
          </w:tcPr>
          <w:p w:rsidRPr="001764F6" w:rsidR="00B92C4D" w:rsidP="00210943" w:rsidRDefault="00B92C4D" w14:paraId="415FE37C" w14:textId="20A1B124">
            <w:pPr>
              <w:pStyle w:val="TableHeader"/>
              <w:keepNext w:val="0"/>
              <w:spacing w:before="100"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Potential Data Collection instrument, measure or items</w:t>
            </w:r>
          </w:p>
        </w:tc>
      </w:tr>
      <w:tr w:rsidRPr="001764F6" w:rsidR="00B92C4D" w:rsidTr="00210943" w14:paraId="6144E4F5" w14:textId="77777777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hideMark/>
          </w:tcPr>
          <w:p w:rsidRPr="001764F6" w:rsidR="00B92C4D" w:rsidP="00210943" w:rsidRDefault="00B92C4D" w14:paraId="1B2D0E62" w14:textId="77777777">
            <w:pPr>
              <w:pStyle w:val="TableText"/>
              <w:keepNext w:val="0"/>
            </w:pPr>
            <w:r w:rsidRPr="001764F6">
              <w:t xml:space="preserve">Who are the children and families who </w:t>
            </w:r>
            <w:proofErr w:type="gramStart"/>
            <w:r w:rsidRPr="001764F6">
              <w:t>come into contact with</w:t>
            </w:r>
            <w:proofErr w:type="gramEnd"/>
            <w:r w:rsidRPr="001764F6">
              <w:t xml:space="preserve"> the </w:t>
            </w:r>
            <w:r>
              <w:t>CWS</w:t>
            </w:r>
            <w:r w:rsidRPr="001764F6">
              <w:t xml:space="preserve"> in 2017–2018?</w:t>
            </w:r>
          </w:p>
        </w:tc>
        <w:tc>
          <w:tcPr>
            <w:tcW w:w="2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2A8D793B" w14:textId="77777777">
            <w:pPr>
              <w:pStyle w:val="TableText"/>
              <w:keepNext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107085AF" w14:textId="77777777">
            <w:pPr>
              <w:pStyle w:val="TableText"/>
              <w:keepNext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47C5355C" w14:textId="77777777">
            <w:pPr>
              <w:pStyle w:val="TableText"/>
              <w:keepNext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739CD965" w14:textId="77777777">
            <w:pPr>
              <w:pStyle w:val="TableText"/>
              <w:keepNext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764F6" w:rsidR="00B92C4D" w:rsidP="00210943" w:rsidRDefault="00B92C4D" w14:paraId="634CE2C3" w14:textId="77777777">
            <w:pPr>
              <w:pStyle w:val="TableText"/>
              <w:keepNex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Safety, permanency, well-being</w:t>
            </w:r>
          </w:p>
        </w:tc>
        <w:tc>
          <w:tcPr>
            <w:tcW w:w="8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17A44269" w14:textId="77777777">
            <w:pPr>
              <w:pStyle w:val="TableBulletL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Caseworker</w:t>
            </w:r>
          </w:p>
          <w:p w:rsidRPr="001764F6" w:rsidR="00B92C4D" w:rsidP="00210943" w:rsidRDefault="00B92C4D" w14:paraId="13947B62" w14:textId="77777777">
            <w:pPr>
              <w:pStyle w:val="TableBulletL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Child</w:t>
            </w:r>
          </w:p>
          <w:p w:rsidRPr="001764F6" w:rsidR="00B92C4D" w:rsidP="00210943" w:rsidRDefault="00B92C4D" w14:paraId="424E0BC9" w14:textId="77777777">
            <w:pPr>
              <w:pStyle w:val="TableBulletL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Caregiver</w:t>
            </w:r>
          </w:p>
          <w:p w:rsidRPr="001764F6" w:rsidR="00B92C4D" w:rsidP="00210943" w:rsidRDefault="00B92C4D" w14:paraId="4726E5CD" w14:textId="77777777">
            <w:pPr>
              <w:pStyle w:val="TableBulletL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NCANDS</w:t>
            </w:r>
          </w:p>
        </w:tc>
        <w:tc>
          <w:tcPr>
            <w:tcW w:w="14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hideMark/>
          </w:tcPr>
          <w:p w:rsidRPr="001764F6" w:rsidR="00B92C4D" w:rsidP="00210943" w:rsidRDefault="00B92C4D" w14:paraId="3A4AC3C3" w14:textId="77777777">
            <w:pPr>
              <w:pStyle w:val="TableText"/>
              <w:keepNex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Child/Caregiver household roster; caseworker risk assessment; NCANDS maltreatment variables</w:t>
            </w:r>
          </w:p>
        </w:tc>
      </w:tr>
      <w:tr w:rsidRPr="001764F6" w:rsidR="00B92C4D" w:rsidTr="00210943" w14:paraId="0A92111F" w14:textId="77777777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hideMark/>
          </w:tcPr>
          <w:p w:rsidRPr="001764F6" w:rsidR="00B92C4D" w:rsidP="00210943" w:rsidRDefault="00B92C4D" w14:paraId="2B107208" w14:textId="77777777">
            <w:pPr>
              <w:pStyle w:val="TableText"/>
              <w:keepNext w:val="0"/>
            </w:pPr>
            <w:r w:rsidRPr="001764F6">
              <w:t>To what extent are children entering the CWS via pathways other than a maltreatment investigation or assessment? What are their characteristics?</w:t>
            </w:r>
          </w:p>
        </w:tc>
        <w:tc>
          <w:tcPr>
            <w:tcW w:w="2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764F6" w:rsidR="00B92C4D" w:rsidP="00210943" w:rsidRDefault="00B92C4D" w14:paraId="30F36D61" w14:textId="77777777">
            <w:pPr>
              <w:pStyle w:val="TableText"/>
              <w:keepNext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05B7FF3A" w14:textId="77777777">
            <w:pPr>
              <w:pStyle w:val="TableText"/>
              <w:keepNext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764F6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2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7EC71781" w14:textId="77777777">
            <w:pPr>
              <w:pStyle w:val="TableText"/>
              <w:keepNext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36DD9BFC" w14:textId="77777777">
            <w:pPr>
              <w:pStyle w:val="TableText"/>
              <w:keepNext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764F6" w:rsidR="00B92C4D" w:rsidP="00210943" w:rsidRDefault="00B92C4D" w14:paraId="6EB5F094" w14:textId="77777777">
            <w:pPr>
              <w:pStyle w:val="TableText"/>
              <w:keepNex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Child welfare practice</w:t>
            </w:r>
          </w:p>
        </w:tc>
        <w:tc>
          <w:tcPr>
            <w:tcW w:w="8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54DB5C65" w14:textId="77777777">
            <w:pPr>
              <w:pStyle w:val="TableBulletL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Caseworker</w:t>
            </w:r>
          </w:p>
          <w:p w:rsidRPr="001764F6" w:rsidR="00B92C4D" w:rsidP="00210943" w:rsidRDefault="00B92C4D" w14:paraId="7E7467A1" w14:textId="77777777">
            <w:pPr>
              <w:pStyle w:val="TableBulletL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NCANDS</w:t>
            </w:r>
          </w:p>
        </w:tc>
        <w:tc>
          <w:tcPr>
            <w:tcW w:w="14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hideMark/>
          </w:tcPr>
          <w:p w:rsidRPr="001764F6" w:rsidR="00B92C4D" w:rsidP="00210943" w:rsidRDefault="00B92C4D" w14:paraId="52B87CA1" w14:textId="77777777">
            <w:pPr>
              <w:pStyle w:val="TableText"/>
              <w:keepNex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Caseworker case investigation module; caseworker risk assessment module; NCANDS maltreatment variables</w:t>
            </w:r>
          </w:p>
        </w:tc>
      </w:tr>
      <w:tr w:rsidRPr="001764F6" w:rsidR="00B92C4D" w:rsidTr="00210943" w14:paraId="7495C856" w14:textId="77777777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186836" w:rsidR="00B92C4D" w:rsidP="00210943" w:rsidRDefault="00B92C4D" w14:paraId="20A78391" w14:textId="6ABE76D4">
            <w:pPr>
              <w:pStyle w:val="TableText"/>
              <w:keepNext w:val="0"/>
              <w:rPr>
                <w:bCs/>
              </w:rPr>
            </w:pPr>
            <w:r>
              <w:rPr>
                <w:bCs/>
              </w:rPr>
              <w:t>What are</w:t>
            </w:r>
            <w:r w:rsidRPr="00186836">
              <w:rPr>
                <w:bCs/>
              </w:rPr>
              <w:t xml:space="preserve"> the </w:t>
            </w:r>
            <w:r>
              <w:rPr>
                <w:bCs/>
              </w:rPr>
              <w:t xml:space="preserve">socioemotional, behavioral, cognitive, and developmental well-being outcomes of children involved with the CWS?  </w:t>
            </w:r>
          </w:p>
        </w:tc>
        <w:tc>
          <w:tcPr>
            <w:tcW w:w="2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556F1915" w14:textId="77777777">
            <w:pPr>
              <w:pStyle w:val="TableText"/>
              <w:keepNext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22221871" w14:textId="77777777">
            <w:pPr>
              <w:pStyle w:val="TableText"/>
              <w:keepNext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2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11106A6A" w14:textId="77777777">
            <w:pPr>
              <w:pStyle w:val="TableText"/>
              <w:keepNext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3DCF234C" w14:textId="77777777">
            <w:pPr>
              <w:pStyle w:val="TableText"/>
              <w:keepNext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4E89FCB1" w14:textId="77777777">
            <w:pPr>
              <w:pStyle w:val="TableText"/>
              <w:keepNex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Well-being</w:t>
            </w:r>
          </w:p>
        </w:tc>
        <w:tc>
          <w:tcPr>
            <w:tcW w:w="8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B92C4D" w:rsidP="00B92C4D" w:rsidRDefault="00B92C4D" w14:paraId="1EAFE33A" w14:textId="77777777">
            <w:pPr>
              <w:pStyle w:val="TableBulletLM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Child</w:t>
            </w:r>
          </w:p>
          <w:p w:rsidR="00B92C4D" w:rsidP="00B92C4D" w:rsidRDefault="00B92C4D" w14:paraId="5CACE223" w14:textId="77777777">
            <w:pPr>
              <w:pStyle w:val="TableBulletLM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Caregiver</w:t>
            </w:r>
          </w:p>
          <w:p w:rsidR="00B92C4D" w:rsidP="00B92C4D" w:rsidRDefault="00B92C4D" w14:paraId="6F6C5026" w14:textId="77777777">
            <w:pPr>
              <w:pStyle w:val="TableBulletLM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Caseworker</w:t>
            </w:r>
          </w:p>
          <w:p w:rsidRPr="001764F6" w:rsidR="00B92C4D" w:rsidP="00210943" w:rsidRDefault="00B92C4D" w14:paraId="294BB02D" w14:textId="77777777">
            <w:pPr>
              <w:pStyle w:val="TableBulletLM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="00B92C4D" w:rsidP="00210943" w:rsidRDefault="00B92C4D" w14:paraId="3AD461A0" w14:textId="77777777">
            <w:pPr>
              <w:pStyle w:val="TableText"/>
              <w:keepNex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Child assessments (Battelle Developmental Inventory; Woodcock-Johnson; Kaufmann Brief Intelligence Test; Preschool Language Scales); Child Behavior Checklist/Youth Self-Report; Child self-report of self-esteem, peer relations, school engagement</w:t>
            </w:r>
          </w:p>
          <w:p w:rsidRPr="001764F6" w:rsidR="00B92C4D" w:rsidP="00210943" w:rsidRDefault="00B92C4D" w14:paraId="57B27740" w14:textId="59AC1CA9">
            <w:pPr>
              <w:pStyle w:val="TableText"/>
              <w:keepNex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1764F6" w:rsidR="00B92C4D" w:rsidTr="00210943" w14:paraId="3203AE63" w14:textId="77777777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hideMark/>
          </w:tcPr>
          <w:p w:rsidRPr="001764F6" w:rsidR="00B92C4D" w:rsidP="00210943" w:rsidRDefault="00B92C4D" w14:paraId="31336F46" w14:textId="77777777">
            <w:pPr>
              <w:pStyle w:val="TableText"/>
              <w:keepNext w:val="0"/>
            </w:pPr>
            <w:r w:rsidRPr="001764F6">
              <w:lastRenderedPageBreak/>
              <w:t>To what extent are children receiving mental health, psychotropic medications (including polypharmacy), and other services covered by Medicaid?</w:t>
            </w:r>
          </w:p>
        </w:tc>
        <w:tc>
          <w:tcPr>
            <w:tcW w:w="2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764F6" w:rsidR="00B92C4D" w:rsidP="00210943" w:rsidRDefault="00B92C4D" w14:paraId="1D4096CA" w14:textId="77777777">
            <w:pPr>
              <w:pStyle w:val="TableText"/>
              <w:keepNext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51E58C5D" w14:textId="77777777">
            <w:pPr>
              <w:pStyle w:val="TableText"/>
              <w:keepNext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2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6E46A27A" w14:textId="77777777">
            <w:pPr>
              <w:pStyle w:val="TableText"/>
              <w:keepNext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2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26D4023B" w14:textId="77777777">
            <w:pPr>
              <w:pStyle w:val="TableText"/>
              <w:keepNext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764F6" w:rsidR="00B92C4D" w:rsidP="00210943" w:rsidRDefault="00B92C4D" w14:paraId="2E665818" w14:textId="77777777">
            <w:pPr>
              <w:pStyle w:val="TableText"/>
              <w:keepNex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Mental health treatment: Psychotropic medication</w:t>
            </w:r>
          </w:p>
        </w:tc>
        <w:tc>
          <w:tcPr>
            <w:tcW w:w="8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274E4F36" w14:textId="77777777">
            <w:pPr>
              <w:pStyle w:val="TableBulletL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Caregiver</w:t>
            </w:r>
          </w:p>
          <w:p w:rsidRPr="001764F6" w:rsidR="00B92C4D" w:rsidP="00210943" w:rsidRDefault="00B92C4D" w14:paraId="024190D4" w14:textId="77777777">
            <w:pPr>
              <w:pStyle w:val="TableBulletL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Medicaid data</w:t>
            </w:r>
          </w:p>
        </w:tc>
        <w:tc>
          <w:tcPr>
            <w:tcW w:w="14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hideMark/>
          </w:tcPr>
          <w:p w:rsidRPr="001764F6" w:rsidR="00B92C4D" w:rsidP="00210943" w:rsidRDefault="00B92C4D" w14:paraId="285DD010" w14:textId="77777777">
            <w:pPr>
              <w:pStyle w:val="TableText"/>
              <w:keepNex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 xml:space="preserve">Health insurance coverage items; Child Health &amp; Services module; Medicaid behavioral health and medication service receipt variables </w:t>
            </w:r>
          </w:p>
        </w:tc>
      </w:tr>
      <w:tr w:rsidRPr="001764F6" w:rsidR="00B92C4D" w:rsidTr="00210943" w14:paraId="7780EA43" w14:textId="77777777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272CCFB6" w14:textId="77777777">
            <w:pPr>
              <w:pStyle w:val="TableText"/>
              <w:keepNext w:val="0"/>
              <w:rPr>
                <w:b/>
                <w:bCs/>
              </w:rPr>
            </w:pPr>
            <w:r w:rsidRPr="001764F6">
              <w:t>What are the predictors of permanency and well-being outcomes for older youth who enter the CWS?</w:t>
            </w:r>
          </w:p>
        </w:tc>
        <w:tc>
          <w:tcPr>
            <w:tcW w:w="2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7D293AFA" w14:textId="77777777">
            <w:pPr>
              <w:pStyle w:val="TableText"/>
              <w:keepNext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31C87C10" w14:textId="77777777">
            <w:pPr>
              <w:pStyle w:val="TableText"/>
              <w:keepNext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734C335F" w14:textId="77777777">
            <w:pPr>
              <w:pStyle w:val="TableText"/>
              <w:keepNext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2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4D5BC13E" w14:textId="77777777">
            <w:pPr>
              <w:pStyle w:val="TableText"/>
              <w:keepNext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54113992" w14:textId="77777777">
            <w:pPr>
              <w:pStyle w:val="TableText"/>
              <w:keepNex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Permanency and well-being; out-of-home placement</w:t>
            </w:r>
          </w:p>
        </w:tc>
        <w:tc>
          <w:tcPr>
            <w:tcW w:w="8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33DA6BE8" w14:textId="77777777">
            <w:pPr>
              <w:pStyle w:val="TableBulletL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Caseworker</w:t>
            </w:r>
          </w:p>
          <w:p w:rsidRPr="001764F6" w:rsidR="00B92C4D" w:rsidP="00210943" w:rsidRDefault="00B92C4D" w14:paraId="5D6A8343" w14:textId="77777777">
            <w:pPr>
              <w:pStyle w:val="TableBulletL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Child</w:t>
            </w:r>
          </w:p>
          <w:p w:rsidRPr="001764F6" w:rsidR="00B92C4D" w:rsidP="00210943" w:rsidRDefault="00B92C4D" w14:paraId="5A3A9554" w14:textId="77777777">
            <w:pPr>
              <w:pStyle w:val="TableBulletL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Caregiver</w:t>
            </w:r>
          </w:p>
          <w:p w:rsidRPr="001764F6" w:rsidR="00B92C4D" w:rsidP="00210943" w:rsidRDefault="00B92C4D" w14:paraId="147F9840" w14:textId="77777777">
            <w:pPr>
              <w:pStyle w:val="TableBulletL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AFCARS</w:t>
            </w:r>
          </w:p>
        </w:tc>
        <w:tc>
          <w:tcPr>
            <w:tcW w:w="14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1764F6" w:rsidR="00B92C4D" w:rsidP="00210943" w:rsidRDefault="00B92C4D" w14:paraId="7E0095D4" w14:textId="77777777">
            <w:pPr>
              <w:pStyle w:val="TableText"/>
              <w:keepNex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 xml:space="preserve">Caseworker risk assessment and services to child/family modules; AFCARS placement history variables; Child Behavior Checklist/Youth Self-Report; Trauma Symptoms Checklist; </w:t>
            </w:r>
            <w:r>
              <w:t>Questionnaire for Identifying Children with Chronic Conditions-Revised (</w:t>
            </w:r>
            <w:r w:rsidRPr="001764F6">
              <w:t>QUICC-R</w:t>
            </w:r>
            <w:r>
              <w:t>)</w:t>
            </w:r>
            <w:r w:rsidRPr="001764F6">
              <w:t xml:space="preserve">; Child Health and Services module; </w:t>
            </w:r>
            <w:r>
              <w:t>d</w:t>
            </w:r>
            <w:r w:rsidRPr="001764F6">
              <w:t>elinquency</w:t>
            </w:r>
          </w:p>
        </w:tc>
      </w:tr>
      <w:tr w:rsidRPr="001764F6" w:rsidR="00B92C4D" w:rsidTr="00210943" w14:paraId="0C8A8E10" w14:textId="77777777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27A7FD1C" w14:textId="77777777">
            <w:pPr>
              <w:pStyle w:val="TableText"/>
              <w:keepNext w:val="0"/>
            </w:pPr>
            <w:r w:rsidRPr="001764F6">
              <w:t xml:space="preserve">What are the predictors of a successful transition to adulthood and other outcomes for </w:t>
            </w:r>
            <w:r>
              <w:t>youth aging out of foster care?</w:t>
            </w:r>
          </w:p>
        </w:tc>
        <w:tc>
          <w:tcPr>
            <w:tcW w:w="2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72A5DCE2" w14:textId="77777777">
            <w:pPr>
              <w:pStyle w:val="TableText"/>
              <w:keepNext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6017AF67" w14:textId="77777777">
            <w:pPr>
              <w:pStyle w:val="TableText"/>
              <w:keepNext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07B0F271" w14:textId="77777777">
            <w:pPr>
              <w:pStyle w:val="TableText"/>
              <w:keepNext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2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2A517B5F" w14:textId="77777777">
            <w:pPr>
              <w:pStyle w:val="TableText"/>
              <w:keepNext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7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12F6A655" w14:textId="77777777">
            <w:pPr>
              <w:pStyle w:val="TableText"/>
              <w:keepNex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Young adult well-being; permanency</w:t>
            </w:r>
          </w:p>
        </w:tc>
        <w:tc>
          <w:tcPr>
            <w:tcW w:w="8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1B57D4E9" w14:textId="77777777">
            <w:pPr>
              <w:pStyle w:val="TableBulletL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Young adult</w:t>
            </w:r>
          </w:p>
          <w:p w:rsidRPr="001764F6" w:rsidR="00B92C4D" w:rsidP="00210943" w:rsidRDefault="00B92C4D" w14:paraId="138FB3CE" w14:textId="77777777">
            <w:pPr>
              <w:pStyle w:val="TableBulletL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Caseworker</w:t>
            </w:r>
          </w:p>
          <w:p w:rsidRPr="001764F6" w:rsidR="00B92C4D" w:rsidP="00210943" w:rsidRDefault="00B92C4D" w14:paraId="0AF1B26B" w14:textId="77777777">
            <w:pPr>
              <w:pStyle w:val="TableBulletL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AFCARS</w:t>
            </w:r>
          </w:p>
        </w:tc>
        <w:tc>
          <w:tcPr>
            <w:tcW w:w="14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1764F6" w:rsidR="00B92C4D" w:rsidP="00210943" w:rsidRDefault="00B92C4D" w14:paraId="75565868" w14:textId="77777777">
            <w:pPr>
              <w:pStyle w:val="TableText"/>
              <w:keepNex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Caseworker risk assessment and services to child/family modules; AFCARS placement history variables; Young Adult Self-Report; Trauma Symptoms Checklist; Child Health and Services module; G</w:t>
            </w:r>
            <w:r>
              <w:t>lobal Appraisal of Individual Needs (G</w:t>
            </w:r>
            <w:r w:rsidRPr="001764F6">
              <w:t>AIN</w:t>
            </w:r>
            <w:r>
              <w:t>)</w:t>
            </w:r>
            <w:r w:rsidRPr="001764F6">
              <w:t xml:space="preserve"> substance abuse subscales; Independent Living Skills module</w:t>
            </w:r>
          </w:p>
        </w:tc>
      </w:tr>
      <w:tr w:rsidRPr="001764F6" w:rsidR="00B92C4D" w:rsidTr="00210943" w14:paraId="6A026CEA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3A78AE17" w14:textId="77777777">
            <w:pPr>
              <w:pStyle w:val="TableText"/>
              <w:keepNext w:val="0"/>
            </w:pPr>
            <w:r w:rsidRPr="001764F6">
              <w:t>To what extent are developmental risks among infants being identified and addressed?</w:t>
            </w:r>
          </w:p>
        </w:tc>
        <w:tc>
          <w:tcPr>
            <w:tcW w:w="2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42BB7DA0" w14:textId="77777777">
            <w:pPr>
              <w:pStyle w:val="TableText"/>
              <w:keepNext w:val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1764F6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2DCF31BA" w14:textId="77777777">
            <w:pPr>
              <w:pStyle w:val="TableText"/>
              <w:keepNext w:val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00B374CE" w14:textId="77777777">
            <w:pPr>
              <w:pStyle w:val="TableText"/>
              <w:keepNext w:val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1764F6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2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7F94BA34" w14:textId="77777777">
            <w:pPr>
              <w:pStyle w:val="TableText"/>
              <w:keepNext w:val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07B86604" w14:textId="77777777">
            <w:pPr>
              <w:pStyle w:val="TableText"/>
              <w:keepNext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Young child well-being; child welfare practice</w:t>
            </w:r>
          </w:p>
        </w:tc>
        <w:tc>
          <w:tcPr>
            <w:tcW w:w="8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482E4F8A" w14:textId="77777777">
            <w:pPr>
              <w:pStyle w:val="TableBulletLM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Child</w:t>
            </w:r>
          </w:p>
          <w:p w:rsidRPr="001764F6" w:rsidR="00B92C4D" w:rsidP="00210943" w:rsidRDefault="00B92C4D" w14:paraId="33AE41CB" w14:textId="77777777">
            <w:pPr>
              <w:pStyle w:val="TableBulletLM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Caregiver</w:t>
            </w:r>
          </w:p>
          <w:p w:rsidRPr="001764F6" w:rsidR="00B92C4D" w:rsidP="00210943" w:rsidRDefault="00B92C4D" w14:paraId="3F1EC85C" w14:textId="77777777">
            <w:pPr>
              <w:pStyle w:val="TableBulletLM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1764F6">
              <w:t xml:space="preserve">Caseworker </w:t>
            </w:r>
          </w:p>
        </w:tc>
        <w:tc>
          <w:tcPr>
            <w:tcW w:w="14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1764F6" w:rsidR="00B92C4D" w:rsidP="00210943" w:rsidRDefault="00B92C4D" w14:paraId="1AF9536E" w14:textId="77777777">
            <w:pPr>
              <w:pStyle w:val="TableText"/>
              <w:keepNext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Bayley Infant Neurodevelopmental Screener (BINS); Preschool Language Scales; Brief Toddler Social Emotional Assessment; Caseworker risk assessment; Caseworker services to child/family</w:t>
            </w:r>
          </w:p>
        </w:tc>
      </w:tr>
    </w:tbl>
    <w:p w:rsidR="00B92C4D" w:rsidP="00B92C4D" w:rsidRDefault="00B92C4D" w14:paraId="7A19318F" w14:textId="0BBB4837">
      <w:pPr>
        <w:pStyle w:val="ExhibitTitlecontinued"/>
        <w:ind w:left="0" w:firstLine="0"/>
      </w:pPr>
      <w:r>
        <w:rPr>
          <w:snapToGrid/>
        </w:rPr>
        <w:br w:type="page"/>
      </w:r>
    </w:p>
    <w:tbl>
      <w:tblPr>
        <w:tblStyle w:val="Graytablecomplex"/>
        <w:tblW w:w="4950" w:type="pct"/>
        <w:jc w:val="center"/>
        <w:tblInd w:w="0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1621"/>
        <w:gridCol w:w="495"/>
        <w:gridCol w:w="675"/>
        <w:gridCol w:w="450"/>
        <w:gridCol w:w="450"/>
        <w:gridCol w:w="1349"/>
        <w:gridCol w:w="1620"/>
        <w:gridCol w:w="2606"/>
      </w:tblGrid>
      <w:tr w:rsidRPr="001764F6" w:rsidR="00B92C4D" w:rsidTr="00210943" w14:paraId="7EB7D28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6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tcBorders>
              <w:left w:val="nil"/>
              <w:bottom w:val="single" w:color="auto" w:sz="6" w:space="0"/>
              <w:right w:val="single" w:color="FFFFFF" w:sz="6" w:space="0"/>
            </w:tcBorders>
            <w:vAlign w:val="bottom"/>
            <w:hideMark/>
          </w:tcPr>
          <w:p w:rsidRPr="001764F6" w:rsidR="00B92C4D" w:rsidP="00210943" w:rsidRDefault="00B92C4D" w14:paraId="177E68B2" w14:textId="77777777">
            <w:pPr>
              <w:pStyle w:val="TableHeader"/>
              <w:keepNext w:val="0"/>
            </w:pPr>
            <w:r w:rsidRPr="001764F6">
              <w:lastRenderedPageBreak/>
              <w:t>NSCAW III Research Questions</w:t>
            </w:r>
          </w:p>
        </w:tc>
        <w:tc>
          <w:tcPr>
            <w:tcW w:w="267" w:type="pct"/>
            <w:tcBorders>
              <w:left w:val="single" w:color="FFFFFF" w:sz="6" w:space="0"/>
              <w:bottom w:val="single" w:color="auto" w:sz="6" w:space="0"/>
              <w:right w:val="single" w:color="FFFFFF" w:sz="6" w:space="0"/>
            </w:tcBorders>
            <w:textDirection w:val="btLr"/>
            <w:vAlign w:val="center"/>
            <w:hideMark/>
          </w:tcPr>
          <w:p w:rsidRPr="001764F6" w:rsidR="00B92C4D" w:rsidP="00210943" w:rsidRDefault="00B92C4D" w14:paraId="678332B4" w14:textId="77777777">
            <w:pPr>
              <w:pStyle w:val="TableHeader"/>
              <w:keepNext w:val="0"/>
              <w:spacing w:before="0" w:beforeAutospacing="0" w:after="0" w:afterAutospacing="0"/>
              <w:ind w:left="29" w:right="2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Population estimates</w:t>
            </w:r>
          </w:p>
        </w:tc>
        <w:tc>
          <w:tcPr>
            <w:tcW w:w="364" w:type="pct"/>
            <w:tcBorders>
              <w:left w:val="single" w:color="FFFFFF" w:sz="6" w:space="0"/>
              <w:bottom w:val="single" w:color="auto" w:sz="6" w:space="0"/>
              <w:right w:val="single" w:color="FFFFFF" w:sz="6" w:space="0"/>
            </w:tcBorders>
            <w:textDirection w:val="btLr"/>
            <w:vAlign w:val="center"/>
            <w:hideMark/>
          </w:tcPr>
          <w:p w:rsidRPr="001764F6" w:rsidR="00B92C4D" w:rsidP="00210943" w:rsidRDefault="00B92C4D" w14:paraId="2F3D0C84" w14:textId="77777777">
            <w:pPr>
              <w:pStyle w:val="TableHeader"/>
              <w:keepNext w:val="0"/>
              <w:spacing w:before="0" w:beforeAutospacing="0" w:after="0" w:afterAutospacing="0"/>
              <w:ind w:left="29" w:right="2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Group comparisons/ bivariate correlations</w:t>
            </w:r>
          </w:p>
        </w:tc>
        <w:tc>
          <w:tcPr>
            <w:tcW w:w="243" w:type="pct"/>
            <w:tcBorders>
              <w:left w:val="single" w:color="FFFFFF" w:sz="6" w:space="0"/>
              <w:bottom w:val="single" w:color="auto" w:sz="6" w:space="0"/>
              <w:right w:val="single" w:color="FFFFFF" w:sz="6" w:space="0"/>
            </w:tcBorders>
            <w:textDirection w:val="btLr"/>
            <w:vAlign w:val="center"/>
            <w:hideMark/>
          </w:tcPr>
          <w:p w:rsidRPr="001764F6" w:rsidR="00B92C4D" w:rsidP="00210943" w:rsidRDefault="00B92C4D" w14:paraId="5415F7B9" w14:textId="77777777">
            <w:pPr>
              <w:pStyle w:val="TableHeader"/>
              <w:keepNext w:val="0"/>
              <w:spacing w:before="0" w:beforeAutospacing="0" w:after="0" w:afterAutospacing="0"/>
              <w:ind w:left="29" w:right="2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Multivariate models</w:t>
            </w:r>
          </w:p>
        </w:tc>
        <w:tc>
          <w:tcPr>
            <w:tcW w:w="243" w:type="pct"/>
            <w:tcBorders>
              <w:left w:val="single" w:color="FFFFFF" w:sz="6" w:space="0"/>
              <w:bottom w:val="single" w:color="auto" w:sz="6" w:space="0"/>
              <w:right w:val="single" w:color="FFFFFF" w:sz="6" w:space="0"/>
            </w:tcBorders>
            <w:textDirection w:val="btLr"/>
            <w:vAlign w:val="center"/>
            <w:hideMark/>
          </w:tcPr>
          <w:p w:rsidRPr="001764F6" w:rsidR="00B92C4D" w:rsidP="00210943" w:rsidRDefault="00B92C4D" w14:paraId="69CD50E4" w14:textId="77777777">
            <w:pPr>
              <w:pStyle w:val="TableHeader"/>
              <w:keepNext w:val="0"/>
              <w:spacing w:before="0" w:beforeAutospacing="0" w:after="0" w:afterAutospacing="0"/>
              <w:ind w:left="29" w:right="2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Change analyses</w:t>
            </w:r>
          </w:p>
        </w:tc>
        <w:tc>
          <w:tcPr>
            <w:tcW w:w="728" w:type="pct"/>
            <w:tcBorders>
              <w:left w:val="single" w:color="FFFFFF" w:sz="6" w:space="0"/>
              <w:bottom w:val="single" w:color="auto" w:sz="6" w:space="0"/>
              <w:right w:val="single" w:color="FFFFFF" w:sz="6" w:space="0"/>
            </w:tcBorders>
            <w:vAlign w:val="bottom"/>
            <w:hideMark/>
          </w:tcPr>
          <w:p w:rsidRPr="001764F6" w:rsidR="00B92C4D" w:rsidP="00210943" w:rsidRDefault="00B92C4D" w14:paraId="04A52F1F" w14:textId="77777777">
            <w:pPr>
              <w:pStyle w:val="TableHeader"/>
              <w:keepNext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Constructs</w:t>
            </w:r>
          </w:p>
        </w:tc>
        <w:tc>
          <w:tcPr>
            <w:tcW w:w="874" w:type="pct"/>
            <w:tcBorders>
              <w:left w:val="single" w:color="FFFFFF" w:sz="6" w:space="0"/>
              <w:bottom w:val="single" w:color="auto" w:sz="6" w:space="0"/>
              <w:right w:val="single" w:color="FFFFFF" w:sz="6" w:space="0"/>
            </w:tcBorders>
            <w:vAlign w:val="bottom"/>
          </w:tcPr>
          <w:p w:rsidRPr="001764F6" w:rsidR="00B92C4D" w:rsidP="00210943" w:rsidRDefault="00B92C4D" w14:paraId="500D6824" w14:textId="77777777">
            <w:pPr>
              <w:pStyle w:val="TableHeader"/>
              <w:keepNext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Potential Respondents of Data Sources</w:t>
            </w:r>
          </w:p>
        </w:tc>
        <w:tc>
          <w:tcPr>
            <w:tcW w:w="1406" w:type="pct"/>
            <w:tcBorders>
              <w:left w:val="single" w:color="FFFFFF" w:sz="6" w:space="0"/>
              <w:bottom w:val="single" w:color="auto" w:sz="6" w:space="0"/>
              <w:right w:val="nil"/>
            </w:tcBorders>
            <w:vAlign w:val="bottom"/>
            <w:hideMark/>
          </w:tcPr>
          <w:p w:rsidRPr="001764F6" w:rsidR="00B92C4D" w:rsidP="00210943" w:rsidRDefault="00B92C4D" w14:paraId="2D61098B" w14:textId="77777777">
            <w:pPr>
              <w:pStyle w:val="TableHeader"/>
              <w:keepNext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Potential Data Collection instrument, measure or items</w:t>
            </w:r>
          </w:p>
        </w:tc>
      </w:tr>
      <w:tr w:rsidRPr="001764F6" w:rsidR="00B92C4D" w:rsidTr="00210943" w14:paraId="1929A5CC" w14:textId="77777777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6D13F48E" w14:textId="77777777">
            <w:pPr>
              <w:pStyle w:val="TableText"/>
              <w:keepNext w:val="0"/>
            </w:pPr>
            <w:r w:rsidRPr="001764F6">
              <w:t>To what extent do economic resources and family context play a role in CWS processes and determinations and in child and family outcomes?</w:t>
            </w:r>
          </w:p>
        </w:tc>
        <w:tc>
          <w:tcPr>
            <w:tcW w:w="2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3199ED4A" w14:textId="77777777">
            <w:pPr>
              <w:pStyle w:val="TableText"/>
              <w:keepNext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7930F38A" w14:textId="77777777">
            <w:pPr>
              <w:pStyle w:val="TableText"/>
              <w:keepNext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65FBF628" w14:textId="77777777">
            <w:pPr>
              <w:pStyle w:val="TableText"/>
              <w:keepNext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2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0E1F54A5" w14:textId="77777777">
            <w:pPr>
              <w:pStyle w:val="TableText"/>
              <w:keepNext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7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62FEF7EF" w14:textId="77777777">
            <w:pPr>
              <w:pStyle w:val="TableText"/>
              <w:keepNex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Family and neighborhood environment; child welfare practice; child and family well-being</w:t>
            </w:r>
          </w:p>
        </w:tc>
        <w:tc>
          <w:tcPr>
            <w:tcW w:w="8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6A7A7C4A" w14:textId="77777777">
            <w:pPr>
              <w:pStyle w:val="TableBulletL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Caregiver</w:t>
            </w:r>
          </w:p>
          <w:p w:rsidRPr="001764F6" w:rsidR="00B92C4D" w:rsidP="00210943" w:rsidRDefault="00B92C4D" w14:paraId="77FF155F" w14:textId="77777777">
            <w:pPr>
              <w:pStyle w:val="TableBulletL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Caseworker</w:t>
            </w:r>
          </w:p>
          <w:p w:rsidRPr="001764F6" w:rsidR="00B92C4D" w:rsidP="00210943" w:rsidRDefault="00B92C4D" w14:paraId="0FE3CC55" w14:textId="77777777">
            <w:pPr>
              <w:pStyle w:val="TableBulletL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Child</w:t>
            </w:r>
          </w:p>
        </w:tc>
        <w:tc>
          <w:tcPr>
            <w:tcW w:w="14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1764F6" w:rsidR="00B92C4D" w:rsidP="00210943" w:rsidRDefault="00B92C4D" w14:paraId="3122A53B" w14:textId="77777777">
            <w:pPr>
              <w:pStyle w:val="TableText"/>
              <w:keepNex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Household income and resources items; Philadelphia Family Management Study neighborhood factors scale; Conflict Tactics Scale; Caseworker risk assessment; Child health and services (caseworker and caregiver report)</w:t>
            </w:r>
          </w:p>
        </w:tc>
      </w:tr>
      <w:tr w:rsidRPr="001764F6" w:rsidR="00B92C4D" w:rsidTr="00210943" w14:paraId="42700D8B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hideMark/>
          </w:tcPr>
          <w:p w:rsidRPr="001764F6" w:rsidR="00B92C4D" w:rsidP="00210943" w:rsidRDefault="00B92C4D" w14:paraId="6DCA4305" w14:textId="77777777">
            <w:pPr>
              <w:pStyle w:val="TableText"/>
              <w:keepNext w:val="0"/>
              <w:rPr>
                <w:b/>
                <w:bCs/>
              </w:rPr>
            </w:pPr>
            <w:r w:rsidRPr="001764F6">
              <w:t>How do aspects of out-of-home placement (e.g., placement type, subsidies, and licensure) influence child outcomes?</w:t>
            </w:r>
          </w:p>
        </w:tc>
        <w:tc>
          <w:tcPr>
            <w:tcW w:w="2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037A14B3" w14:textId="77777777">
            <w:pPr>
              <w:pStyle w:val="TableText"/>
              <w:keepNext w:val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7D78D07E" w14:textId="77777777">
            <w:pPr>
              <w:pStyle w:val="TableText"/>
              <w:keepNext w:val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1EE37E31" w14:textId="77777777">
            <w:pPr>
              <w:pStyle w:val="TableText"/>
              <w:keepNext w:val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1764F6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2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186CE091" w14:textId="77777777">
            <w:pPr>
              <w:pStyle w:val="TableText"/>
              <w:keepNext w:val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1764F6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7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764F6" w:rsidR="00B92C4D" w:rsidP="00210943" w:rsidRDefault="00B92C4D" w14:paraId="23EFC816" w14:textId="77777777">
            <w:pPr>
              <w:pStyle w:val="TableText"/>
              <w:keepNext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Permanency, child well-being</w:t>
            </w:r>
          </w:p>
        </w:tc>
        <w:tc>
          <w:tcPr>
            <w:tcW w:w="8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764F6" w:rsidR="00B92C4D" w:rsidP="00210943" w:rsidRDefault="00B92C4D" w14:paraId="40DBAA51" w14:textId="77777777">
            <w:pPr>
              <w:pStyle w:val="TableBulletLM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Caseworker</w:t>
            </w:r>
          </w:p>
          <w:p w:rsidRPr="001764F6" w:rsidR="00B92C4D" w:rsidP="00210943" w:rsidRDefault="00B92C4D" w14:paraId="4621B35A" w14:textId="77777777">
            <w:pPr>
              <w:pStyle w:val="TableBulletLM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AFCARS</w:t>
            </w:r>
          </w:p>
          <w:p w:rsidRPr="001764F6" w:rsidR="00B92C4D" w:rsidP="00210943" w:rsidRDefault="00B92C4D" w14:paraId="15EA59F1" w14:textId="77777777">
            <w:pPr>
              <w:pStyle w:val="TableBulletLM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Child</w:t>
            </w:r>
          </w:p>
          <w:p w:rsidRPr="001764F6" w:rsidR="00B92C4D" w:rsidP="00210943" w:rsidRDefault="00B92C4D" w14:paraId="5A8928A6" w14:textId="77777777">
            <w:pPr>
              <w:pStyle w:val="TableBulletLM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Caregiver</w:t>
            </w:r>
          </w:p>
        </w:tc>
        <w:tc>
          <w:tcPr>
            <w:tcW w:w="14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hideMark/>
          </w:tcPr>
          <w:p w:rsidRPr="001764F6" w:rsidR="00B92C4D" w:rsidP="00210943" w:rsidRDefault="00B92C4D" w14:paraId="5AE947B0" w14:textId="77777777">
            <w:pPr>
              <w:pStyle w:val="TableText"/>
              <w:keepNext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1764F6">
              <w:t>Caseworker and caregiver permanency planning modules; caseworker living environment; AFCARS placement history variables; child health and services module; adoption module for foster parents; Child Behavior Checklist/Youth Self-Report; school engagement; Academic Achievement (Woodcock-Johnson)</w:t>
            </w:r>
          </w:p>
        </w:tc>
      </w:tr>
    </w:tbl>
    <w:p w:rsidR="001B25B2" w:rsidP="00B92C4D" w:rsidRDefault="001B25B2" w14:paraId="4BE8C06C" w14:textId="3293970C">
      <w:pPr>
        <w:pStyle w:val="BodyText"/>
      </w:pPr>
    </w:p>
    <w:sectPr w:rsidR="001B2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B6F57" w14:textId="77777777" w:rsidR="00B92C4D" w:rsidRDefault="00B92C4D" w:rsidP="00B92C4D">
      <w:r>
        <w:separator/>
      </w:r>
    </w:p>
  </w:endnote>
  <w:endnote w:type="continuationSeparator" w:id="0">
    <w:p w14:paraId="3E982243" w14:textId="77777777" w:rsidR="00B92C4D" w:rsidRDefault="00B92C4D" w:rsidP="00B9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5F5F4" w14:textId="77777777" w:rsidR="00B92C4D" w:rsidRDefault="00B92C4D" w:rsidP="00B92C4D">
      <w:r>
        <w:separator/>
      </w:r>
    </w:p>
  </w:footnote>
  <w:footnote w:type="continuationSeparator" w:id="0">
    <w:p w14:paraId="70C6C072" w14:textId="77777777" w:rsidR="00B92C4D" w:rsidRDefault="00B92C4D" w:rsidP="00B92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C53F4"/>
    <w:multiLevelType w:val="hybridMultilevel"/>
    <w:tmpl w:val="F53466D6"/>
    <w:lvl w:ilvl="0" w:tplc="5DEC8478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Arial" w:hAnsi="Arial" w:hint="default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00CC6"/>
    <w:multiLevelType w:val="hybridMultilevel"/>
    <w:tmpl w:val="6F488C7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4D"/>
    <w:rsid w:val="001B25B2"/>
    <w:rsid w:val="00493A8B"/>
    <w:rsid w:val="00A114F0"/>
    <w:rsid w:val="00B9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EB7E8"/>
  <w15:chartTrackingRefBased/>
  <w15:docId w15:val="{3460E191-F5E4-40AB-9324-543C9149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C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92C4D"/>
    <w:pPr>
      <w:keepNext/>
      <w:keepLines/>
      <w:spacing w:before="240" w:after="120"/>
      <w:ind w:left="720" w:hanging="720"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92C4D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BodyText">
    <w:name w:val="Body Text"/>
    <w:basedOn w:val="Normal"/>
    <w:link w:val="BodyTextChar"/>
    <w:qFormat/>
    <w:rsid w:val="00B92C4D"/>
    <w:pPr>
      <w:spacing w:after="240" w:line="280" w:lineRule="atLeast"/>
    </w:pPr>
  </w:style>
  <w:style w:type="character" w:customStyle="1" w:styleId="BodyTextChar">
    <w:name w:val="Body Text Char"/>
    <w:basedOn w:val="DefaultParagraphFont"/>
    <w:link w:val="BodyText"/>
    <w:rsid w:val="00B92C4D"/>
    <w:rPr>
      <w:rFonts w:ascii="Times New Roman" w:eastAsia="Times New Roman" w:hAnsi="Times New Roman" w:cs="Times New Roman"/>
      <w:sz w:val="24"/>
      <w:szCs w:val="20"/>
    </w:rPr>
  </w:style>
  <w:style w:type="paragraph" w:customStyle="1" w:styleId="ExhibitTitle">
    <w:name w:val="Exhibit Title"/>
    <w:link w:val="ExhibitTitleChar"/>
    <w:qFormat/>
    <w:rsid w:val="00B92C4D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120" w:line="240" w:lineRule="auto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455560"/>
      <w:bdr w:val="nil"/>
    </w:rPr>
  </w:style>
  <w:style w:type="paragraph" w:customStyle="1" w:styleId="TableText">
    <w:name w:val="Table Text"/>
    <w:basedOn w:val="Normal"/>
    <w:qFormat/>
    <w:rsid w:val="00B92C4D"/>
    <w:pPr>
      <w:keepNext/>
      <w:spacing w:before="60" w:after="60"/>
    </w:pPr>
    <w:rPr>
      <w:snapToGrid w:val="0"/>
      <w:sz w:val="20"/>
    </w:rPr>
  </w:style>
  <w:style w:type="paragraph" w:customStyle="1" w:styleId="TableBulletLM">
    <w:name w:val="Table Bullet LM"/>
    <w:basedOn w:val="ListBullet"/>
    <w:qFormat/>
    <w:rsid w:val="00B92C4D"/>
    <w:pPr>
      <w:spacing w:before="60" w:after="60" w:line="200" w:lineRule="exact"/>
      <w:ind w:left="288" w:hanging="288"/>
      <w:contextualSpacing w:val="0"/>
    </w:pPr>
    <w:rPr>
      <w:rFonts w:eastAsia="MS Mincho"/>
      <w:sz w:val="20"/>
      <w:szCs w:val="18"/>
    </w:rPr>
  </w:style>
  <w:style w:type="character" w:customStyle="1" w:styleId="ExhibitTitleChar">
    <w:name w:val="Exhibit Title Char"/>
    <w:basedOn w:val="DefaultParagraphFont"/>
    <w:link w:val="ExhibitTitle"/>
    <w:locked/>
    <w:rsid w:val="00B92C4D"/>
    <w:rPr>
      <w:rFonts w:ascii="Times New Roman" w:eastAsia="Arial Unicode MS" w:hAnsi="Times New Roman" w:cs="Arial Unicode MS"/>
      <w:b/>
      <w:bCs/>
      <w:color w:val="000000"/>
      <w:sz w:val="24"/>
      <w:szCs w:val="24"/>
      <w:u w:color="455560"/>
      <w:bdr w:val="nil"/>
    </w:rPr>
  </w:style>
  <w:style w:type="paragraph" w:styleId="FootnoteText">
    <w:name w:val="footnote text"/>
    <w:basedOn w:val="Normal"/>
    <w:link w:val="FootnoteTextChar"/>
    <w:rsid w:val="00B92C4D"/>
    <w:pPr>
      <w:ind w:left="274" w:hanging="27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92C4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B92C4D"/>
    <w:rPr>
      <w:rFonts w:ascii="Times New Roman" w:hAnsi="Times New Roman"/>
      <w:position w:val="0"/>
      <w:sz w:val="20"/>
      <w:szCs w:val="20"/>
      <w:vertAlign w:val="superscript"/>
    </w:rPr>
  </w:style>
  <w:style w:type="paragraph" w:customStyle="1" w:styleId="TableHeader">
    <w:name w:val="Table Header"/>
    <w:basedOn w:val="Normal"/>
    <w:qFormat/>
    <w:rsid w:val="00B92C4D"/>
    <w:pPr>
      <w:keepNext/>
      <w:spacing w:before="80" w:after="80"/>
      <w:jc w:val="center"/>
    </w:pPr>
    <w:rPr>
      <w:b/>
      <w:snapToGrid w:val="0"/>
      <w:sz w:val="20"/>
    </w:rPr>
  </w:style>
  <w:style w:type="paragraph" w:customStyle="1" w:styleId="ExhibitTitlecontinued">
    <w:name w:val="Exhibit Title continued"/>
    <w:basedOn w:val="ExhibitTitle"/>
    <w:uiPriority w:val="1"/>
    <w:qFormat/>
    <w:rsid w:val="00B92C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/>
      <w:ind w:left="1080" w:hanging="1080"/>
    </w:pPr>
    <w:rPr>
      <w:rFonts w:eastAsiaTheme="minorHAnsi" w:cs="Arial"/>
      <w:bCs w:val="0"/>
      <w:snapToGrid w:val="0"/>
      <w:spacing w:val="1"/>
      <w:szCs w:val="22"/>
      <w:bdr w:val="none" w:sz="0" w:space="0" w:color="auto"/>
    </w:rPr>
  </w:style>
  <w:style w:type="table" w:customStyle="1" w:styleId="Graytablecomplex">
    <w:name w:val="Gray_table_complex"/>
    <w:basedOn w:val="TableNormal"/>
    <w:rsid w:val="00B92C4D"/>
    <w:pPr>
      <w:spacing w:before="40" w:after="40" w:line="240" w:lineRule="auto"/>
    </w:pPr>
    <w:rPr>
      <w:rFonts w:ascii="Arial" w:eastAsia="Times New Roman" w:hAnsi="Arial" w:cs="Times New Roman"/>
      <w:sz w:val="20"/>
      <w:szCs w:val="20"/>
    </w:rPr>
    <w:tblPr>
      <w:tblInd w:w="0" w:type="nil"/>
      <w:tblBorders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</w:pPr>
      <w:tblPr/>
      <w:tcPr>
        <w:tcBorders>
          <w:top w:val="single" w:sz="12" w:space="0" w:color="auto"/>
        </w:tcBorders>
        <w:shd w:val="clear" w:color="auto" w:fill="0A357E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styleId="ListBullet">
    <w:name w:val="List Bullet"/>
    <w:basedOn w:val="Normal"/>
    <w:uiPriority w:val="99"/>
    <w:semiHidden/>
    <w:unhideWhenUsed/>
    <w:rsid w:val="00B92C4D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C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C4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Dolan, Melissa</dc:creator>
  <cp:keywords/>
  <dc:description/>
  <cp:lastModifiedBy>Dolan, Melissa</cp:lastModifiedBy>
  <cp:revision>2</cp:revision>
  <dcterms:created xsi:type="dcterms:W3CDTF">2020-03-27T22:03:00Z</dcterms:created>
  <dcterms:modified xsi:type="dcterms:W3CDTF">2020-03-27T22:18:00Z</dcterms:modified>
</cp:coreProperties>
</file>