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09DF" w:rsidP="00EF2F2F" w:rsidRDefault="00A309DF" w14:paraId="76B6B685" w14:textId="77777777">
      <w:pPr>
        <w:rPr>
          <w:color w:val="000000" w:themeColor="text1"/>
          <w:sz w:val="24"/>
          <w:szCs w:val="24"/>
        </w:rPr>
      </w:pPr>
      <w:bookmarkStart w:name="_Toc145333171" w:id="0"/>
      <w:bookmarkStart w:name="_Toc145333446" w:id="1"/>
      <w:bookmarkStart w:name="_Toc151958684" w:id="2"/>
    </w:p>
    <w:p w:rsidR="00A309DF" w:rsidP="00F4372A" w:rsidRDefault="00A309DF" w14:paraId="39C8C3E5" w14:textId="77777777">
      <w:pPr>
        <w:jc w:val="center"/>
        <w:rPr>
          <w:color w:val="000000" w:themeColor="text1"/>
          <w:sz w:val="24"/>
          <w:szCs w:val="24"/>
        </w:rPr>
      </w:pPr>
    </w:p>
    <w:p w:rsidR="00A309DF" w:rsidP="00F4372A" w:rsidRDefault="00A309DF" w14:paraId="10A34DA4" w14:textId="77777777">
      <w:pPr>
        <w:jc w:val="center"/>
        <w:rPr>
          <w:color w:val="000000" w:themeColor="text1"/>
          <w:sz w:val="24"/>
          <w:szCs w:val="24"/>
        </w:rPr>
      </w:pPr>
    </w:p>
    <w:p w:rsidR="00A309DF" w:rsidP="00F4372A" w:rsidRDefault="00A309DF" w14:paraId="12B89052" w14:textId="77777777">
      <w:pPr>
        <w:jc w:val="center"/>
        <w:rPr>
          <w:color w:val="000000" w:themeColor="text1"/>
          <w:sz w:val="24"/>
          <w:szCs w:val="24"/>
        </w:rPr>
      </w:pPr>
    </w:p>
    <w:p w:rsidR="00A309DF" w:rsidP="00F4372A" w:rsidRDefault="00A309DF" w14:paraId="116FF328" w14:textId="77777777">
      <w:pPr>
        <w:jc w:val="center"/>
        <w:rPr>
          <w:color w:val="000000" w:themeColor="text1"/>
          <w:sz w:val="24"/>
          <w:szCs w:val="24"/>
        </w:rPr>
      </w:pPr>
    </w:p>
    <w:p w:rsidRPr="005C0A40" w:rsidR="00F4372A" w:rsidP="00F4372A" w:rsidRDefault="00F4372A" w14:paraId="3409E8E2" w14:textId="4D856491">
      <w:pPr>
        <w:jc w:val="center"/>
        <w:rPr>
          <w:color w:val="000000" w:themeColor="text1"/>
          <w:sz w:val="24"/>
          <w:szCs w:val="24"/>
        </w:rPr>
      </w:pPr>
      <w:r w:rsidRPr="005C0A40">
        <w:rPr>
          <w:color w:val="000000" w:themeColor="text1"/>
          <w:sz w:val="24"/>
          <w:szCs w:val="24"/>
        </w:rPr>
        <w:t xml:space="preserve">Supporting Statement </w:t>
      </w:r>
      <w:r w:rsidRPr="005C0A40" w:rsidR="007C6CA5">
        <w:rPr>
          <w:color w:val="000000" w:themeColor="text1"/>
          <w:sz w:val="24"/>
          <w:szCs w:val="24"/>
        </w:rPr>
        <w:t xml:space="preserve">B </w:t>
      </w:r>
      <w:r w:rsidRPr="005C0A40">
        <w:rPr>
          <w:color w:val="000000" w:themeColor="text1"/>
          <w:sz w:val="24"/>
          <w:szCs w:val="24"/>
        </w:rPr>
        <w:t>for Request for Clearance</w:t>
      </w:r>
    </w:p>
    <w:p w:rsidRPr="005C0A40" w:rsidR="00F4372A" w:rsidP="00F4372A" w:rsidRDefault="00F4372A" w14:paraId="7B38027C" w14:textId="77777777">
      <w:pPr>
        <w:jc w:val="center"/>
        <w:rPr>
          <w:rFonts w:cs="Arial"/>
          <w:color w:val="000000" w:themeColor="text1"/>
          <w:sz w:val="24"/>
          <w:szCs w:val="24"/>
        </w:rPr>
      </w:pPr>
    </w:p>
    <w:p w:rsidRPr="005C0A40" w:rsidR="00F4372A" w:rsidP="00F4372A" w:rsidRDefault="00F4372A" w14:paraId="2EC44DD4" w14:textId="77777777">
      <w:pPr>
        <w:jc w:val="center"/>
        <w:rPr>
          <w:rFonts w:cs="Arial"/>
          <w:color w:val="000000" w:themeColor="text1"/>
          <w:sz w:val="24"/>
          <w:szCs w:val="24"/>
        </w:rPr>
      </w:pPr>
      <w:r w:rsidRPr="005C0A40">
        <w:rPr>
          <w:rFonts w:cs="Arial"/>
          <w:color w:val="000000" w:themeColor="text1"/>
          <w:sz w:val="24"/>
          <w:szCs w:val="24"/>
        </w:rPr>
        <w:t xml:space="preserve">National Health </w:t>
      </w:r>
      <w:r w:rsidRPr="005C0A40" w:rsidR="00D7410A">
        <w:rPr>
          <w:rFonts w:cs="Arial"/>
          <w:color w:val="000000" w:themeColor="text1"/>
          <w:sz w:val="24"/>
          <w:szCs w:val="24"/>
        </w:rPr>
        <w:t xml:space="preserve">and </w:t>
      </w:r>
      <w:r w:rsidRPr="005C0A40">
        <w:rPr>
          <w:rFonts w:cs="Arial"/>
          <w:color w:val="000000" w:themeColor="text1"/>
          <w:sz w:val="24"/>
          <w:szCs w:val="24"/>
        </w:rPr>
        <w:t>Nutrition Examination Survey</w:t>
      </w:r>
    </w:p>
    <w:p w:rsidRPr="005C0A40" w:rsidR="00F4372A" w:rsidP="00F4372A" w:rsidRDefault="00F4372A" w14:paraId="3BEA7E61" w14:textId="77777777">
      <w:pPr>
        <w:pStyle w:val="TOC1"/>
        <w:rPr>
          <w:color w:val="000000" w:themeColor="text1"/>
          <w:sz w:val="24"/>
          <w:szCs w:val="24"/>
        </w:rPr>
      </w:pPr>
    </w:p>
    <w:p w:rsidRPr="005C0A40" w:rsidR="00F4372A" w:rsidP="00F4372A" w:rsidRDefault="00F4372A" w14:paraId="2DFF2A34" w14:textId="77777777">
      <w:pPr>
        <w:jc w:val="center"/>
        <w:rPr>
          <w:color w:val="000000" w:themeColor="text1"/>
          <w:sz w:val="24"/>
          <w:szCs w:val="24"/>
        </w:rPr>
      </w:pPr>
    </w:p>
    <w:p w:rsidRPr="005C0A40" w:rsidR="00E83DF5" w:rsidP="00F4372A" w:rsidRDefault="00F4372A" w14:paraId="3102D400" w14:textId="77777777">
      <w:pPr>
        <w:jc w:val="center"/>
        <w:rPr>
          <w:color w:val="000000" w:themeColor="text1"/>
          <w:sz w:val="24"/>
          <w:szCs w:val="24"/>
        </w:rPr>
      </w:pPr>
      <w:r w:rsidRPr="005C0A40">
        <w:rPr>
          <w:color w:val="000000" w:themeColor="text1"/>
          <w:sz w:val="24"/>
          <w:szCs w:val="24"/>
        </w:rPr>
        <w:t>OMB No. 0920-</w:t>
      </w:r>
      <w:r w:rsidRPr="005C0A40" w:rsidR="00440F61">
        <w:rPr>
          <w:color w:val="000000" w:themeColor="text1"/>
          <w:sz w:val="24"/>
          <w:szCs w:val="24"/>
        </w:rPr>
        <w:t>0950</w:t>
      </w:r>
    </w:p>
    <w:p w:rsidRPr="005C0A40" w:rsidR="00E83DF5" w:rsidP="00F4372A" w:rsidRDefault="00E83DF5" w14:paraId="548BC5F0" w14:textId="77777777">
      <w:pPr>
        <w:jc w:val="center"/>
        <w:rPr>
          <w:color w:val="000000" w:themeColor="text1"/>
          <w:sz w:val="24"/>
          <w:szCs w:val="24"/>
        </w:rPr>
      </w:pPr>
    </w:p>
    <w:p w:rsidRPr="005C0A40" w:rsidR="00F4372A" w:rsidP="00F4372A" w:rsidRDefault="00F4372A" w14:paraId="11355C09" w14:textId="77777777">
      <w:pPr>
        <w:jc w:val="center"/>
        <w:rPr>
          <w:color w:val="000000" w:themeColor="text1"/>
          <w:sz w:val="24"/>
          <w:szCs w:val="24"/>
        </w:rPr>
      </w:pPr>
    </w:p>
    <w:p w:rsidRPr="005C0A40" w:rsidR="00F4372A" w:rsidP="00F4372A" w:rsidRDefault="00F4372A" w14:paraId="47188290" w14:textId="77777777">
      <w:pPr>
        <w:jc w:val="center"/>
        <w:rPr>
          <w:color w:val="000000" w:themeColor="text1"/>
          <w:sz w:val="24"/>
          <w:szCs w:val="24"/>
        </w:rPr>
      </w:pPr>
      <w:r w:rsidRPr="005C0A40">
        <w:rPr>
          <w:color w:val="000000" w:themeColor="text1"/>
          <w:sz w:val="24"/>
          <w:szCs w:val="24"/>
        </w:rPr>
        <w:t>Contact Information:</w:t>
      </w:r>
    </w:p>
    <w:p w:rsidRPr="005C0A40" w:rsidR="00F4372A" w:rsidP="00F4372A" w:rsidRDefault="00F4372A" w14:paraId="1255981F" w14:textId="77777777">
      <w:pPr>
        <w:jc w:val="center"/>
        <w:rPr>
          <w:color w:val="000000" w:themeColor="text1"/>
          <w:sz w:val="24"/>
          <w:szCs w:val="24"/>
        </w:rPr>
      </w:pPr>
    </w:p>
    <w:p w:rsidRPr="005C0A40" w:rsidR="000819A6" w:rsidP="000819A6" w:rsidRDefault="000819A6" w14:paraId="18FF491A" w14:textId="77777777">
      <w:pPr>
        <w:jc w:val="center"/>
        <w:rPr>
          <w:color w:val="000000" w:themeColor="text1"/>
          <w:sz w:val="24"/>
          <w:szCs w:val="24"/>
        </w:rPr>
      </w:pPr>
      <w:r w:rsidRPr="005C0A40">
        <w:rPr>
          <w:color w:val="000000" w:themeColor="text1"/>
          <w:sz w:val="24"/>
          <w:szCs w:val="24"/>
        </w:rPr>
        <w:t>David Woodwell, MPH</w:t>
      </w:r>
    </w:p>
    <w:p w:rsidRPr="005C0A40" w:rsidR="000819A6" w:rsidP="000819A6" w:rsidRDefault="000819A6" w14:paraId="14A41BFA" w14:textId="77777777">
      <w:pPr>
        <w:jc w:val="center"/>
        <w:rPr>
          <w:color w:val="000000" w:themeColor="text1"/>
          <w:sz w:val="24"/>
          <w:szCs w:val="24"/>
        </w:rPr>
      </w:pPr>
      <w:r w:rsidRPr="005C0A40">
        <w:rPr>
          <w:color w:val="000000" w:themeColor="text1"/>
          <w:sz w:val="24"/>
          <w:szCs w:val="24"/>
        </w:rPr>
        <w:t>Chief, Planning Branch</w:t>
      </w:r>
    </w:p>
    <w:p w:rsidRPr="005C0A40" w:rsidR="00CB78B3" w:rsidP="00CB78B3" w:rsidRDefault="00CB78B3" w14:paraId="0EC3D651" w14:textId="67AE26F4">
      <w:pPr>
        <w:jc w:val="center"/>
        <w:rPr>
          <w:color w:val="000000" w:themeColor="text1"/>
          <w:sz w:val="24"/>
          <w:szCs w:val="24"/>
        </w:rPr>
      </w:pPr>
      <w:r w:rsidRPr="005C0A40">
        <w:rPr>
          <w:color w:val="000000" w:themeColor="text1"/>
          <w:sz w:val="24"/>
          <w:szCs w:val="24"/>
        </w:rPr>
        <w:t xml:space="preserve">Division of Health and Nutrition Examination </w:t>
      </w:r>
      <w:r w:rsidR="00444008">
        <w:rPr>
          <w:color w:val="000000" w:themeColor="text1"/>
          <w:sz w:val="24"/>
          <w:szCs w:val="24"/>
        </w:rPr>
        <w:t>Surveys</w:t>
      </w:r>
    </w:p>
    <w:p w:rsidRPr="005C0A40" w:rsidR="000819A6" w:rsidP="000819A6" w:rsidRDefault="000819A6" w14:paraId="70B48603" w14:textId="77777777">
      <w:pPr>
        <w:jc w:val="center"/>
        <w:rPr>
          <w:color w:val="000000" w:themeColor="text1"/>
          <w:sz w:val="24"/>
          <w:szCs w:val="24"/>
        </w:rPr>
      </w:pPr>
      <w:r w:rsidRPr="005C0A40">
        <w:rPr>
          <w:color w:val="000000" w:themeColor="text1"/>
          <w:sz w:val="24"/>
          <w:szCs w:val="24"/>
        </w:rPr>
        <w:t>National Center for Health Statistics/CDC</w:t>
      </w:r>
    </w:p>
    <w:p w:rsidRPr="005C0A40" w:rsidR="000819A6" w:rsidP="000819A6" w:rsidRDefault="000819A6" w14:paraId="58860C03" w14:textId="77777777">
      <w:pPr>
        <w:jc w:val="center"/>
        <w:rPr>
          <w:color w:val="000000" w:themeColor="text1"/>
          <w:sz w:val="24"/>
          <w:szCs w:val="24"/>
        </w:rPr>
      </w:pPr>
      <w:r w:rsidRPr="005C0A40">
        <w:rPr>
          <w:color w:val="000000" w:themeColor="text1"/>
          <w:sz w:val="24"/>
          <w:szCs w:val="24"/>
        </w:rPr>
        <w:t>3311 Toledo Road</w:t>
      </w:r>
    </w:p>
    <w:p w:rsidRPr="005C0A40" w:rsidR="000819A6" w:rsidP="000819A6" w:rsidRDefault="000819A6" w14:paraId="2987B0B9" w14:textId="77777777">
      <w:pPr>
        <w:jc w:val="center"/>
        <w:rPr>
          <w:color w:val="000000" w:themeColor="text1"/>
          <w:sz w:val="24"/>
          <w:szCs w:val="24"/>
        </w:rPr>
      </w:pPr>
      <w:r w:rsidRPr="005C0A40">
        <w:rPr>
          <w:color w:val="000000" w:themeColor="text1"/>
          <w:sz w:val="24"/>
          <w:szCs w:val="24"/>
        </w:rPr>
        <w:t>Hyattsville, MD 20782</w:t>
      </w:r>
    </w:p>
    <w:p w:rsidRPr="005C0A40" w:rsidR="000819A6" w:rsidP="000819A6" w:rsidRDefault="000819A6" w14:paraId="559376AF" w14:textId="77777777">
      <w:pPr>
        <w:jc w:val="center"/>
        <w:rPr>
          <w:color w:val="000000" w:themeColor="text1"/>
          <w:sz w:val="24"/>
          <w:szCs w:val="24"/>
        </w:rPr>
      </w:pPr>
    </w:p>
    <w:p w:rsidRPr="005C0A40" w:rsidR="000819A6" w:rsidP="000819A6" w:rsidRDefault="000819A6" w14:paraId="153CEA5F" w14:textId="77777777">
      <w:pPr>
        <w:jc w:val="center"/>
        <w:rPr>
          <w:color w:val="000000" w:themeColor="text1"/>
          <w:sz w:val="24"/>
          <w:szCs w:val="24"/>
        </w:rPr>
      </w:pPr>
      <w:r w:rsidRPr="005C0A40">
        <w:rPr>
          <w:color w:val="000000" w:themeColor="text1"/>
          <w:sz w:val="24"/>
          <w:szCs w:val="24"/>
        </w:rPr>
        <w:t>Telephone: 301-458-4327</w:t>
      </w:r>
    </w:p>
    <w:p w:rsidRPr="005C0A40" w:rsidR="000819A6" w:rsidP="000819A6" w:rsidRDefault="000819A6" w14:paraId="5CF80D56" w14:textId="77777777">
      <w:pPr>
        <w:jc w:val="center"/>
        <w:rPr>
          <w:color w:val="000000" w:themeColor="text1"/>
          <w:sz w:val="24"/>
          <w:szCs w:val="24"/>
        </w:rPr>
      </w:pPr>
      <w:r w:rsidRPr="005C0A40">
        <w:rPr>
          <w:color w:val="000000" w:themeColor="text1"/>
          <w:sz w:val="24"/>
          <w:szCs w:val="24"/>
        </w:rPr>
        <w:t>FAX: 301-458-4028</w:t>
      </w:r>
    </w:p>
    <w:p w:rsidRPr="005C0A40" w:rsidR="000819A6" w:rsidP="000819A6" w:rsidRDefault="000819A6" w14:paraId="33247961" w14:textId="77777777">
      <w:pPr>
        <w:jc w:val="center"/>
        <w:rPr>
          <w:color w:val="000000" w:themeColor="text1"/>
          <w:sz w:val="24"/>
          <w:szCs w:val="24"/>
        </w:rPr>
      </w:pPr>
    </w:p>
    <w:p w:rsidRPr="005C0A40" w:rsidR="000819A6" w:rsidP="000819A6" w:rsidRDefault="000819A6" w14:paraId="19514F9D" w14:textId="77777777">
      <w:pPr>
        <w:jc w:val="center"/>
        <w:rPr>
          <w:color w:val="000000" w:themeColor="text1"/>
          <w:sz w:val="24"/>
          <w:szCs w:val="24"/>
        </w:rPr>
      </w:pPr>
      <w:r w:rsidRPr="005C0A40">
        <w:rPr>
          <w:color w:val="000000" w:themeColor="text1"/>
          <w:sz w:val="24"/>
          <w:szCs w:val="24"/>
        </w:rPr>
        <w:t>E-mail: DWoodwell@cdc.gov</w:t>
      </w:r>
    </w:p>
    <w:p w:rsidRPr="005C0A40" w:rsidR="00D25898" w:rsidP="00D25898" w:rsidRDefault="00D25898" w14:paraId="776E929A" w14:textId="77777777">
      <w:pPr>
        <w:jc w:val="center"/>
        <w:rPr>
          <w:rFonts w:cs="Arial"/>
          <w:color w:val="000000" w:themeColor="text1"/>
          <w:sz w:val="24"/>
          <w:szCs w:val="24"/>
          <w:lang w:val="fr-FR"/>
        </w:rPr>
      </w:pPr>
    </w:p>
    <w:p w:rsidRPr="005C0A40" w:rsidR="00D25898" w:rsidP="00D25898" w:rsidRDefault="00D25898" w14:paraId="67FB1DD9" w14:textId="77777777">
      <w:pPr>
        <w:jc w:val="center"/>
        <w:rPr>
          <w:color w:val="000000" w:themeColor="text1"/>
          <w:sz w:val="24"/>
          <w:szCs w:val="24"/>
        </w:rPr>
      </w:pPr>
    </w:p>
    <w:p w:rsidRPr="005C0A40" w:rsidR="00D30DA5" w:rsidP="006C1482" w:rsidRDefault="00F00E67" w14:paraId="5E022872" w14:textId="4D09EFDC">
      <w:pPr>
        <w:jc w:val="center"/>
        <w:rPr>
          <w:color w:val="000000" w:themeColor="text1"/>
        </w:rPr>
      </w:pPr>
      <w:r>
        <w:rPr>
          <w:color w:val="000000" w:themeColor="text1"/>
          <w:sz w:val="24"/>
          <w:szCs w:val="24"/>
        </w:rPr>
        <w:t xml:space="preserve">March </w:t>
      </w:r>
      <w:r w:rsidR="00852389">
        <w:rPr>
          <w:color w:val="000000" w:themeColor="text1"/>
          <w:sz w:val="24"/>
          <w:szCs w:val="24"/>
        </w:rPr>
        <w:t>31</w:t>
      </w:r>
      <w:r w:rsidRPr="005C0A40" w:rsidR="00BB3E23">
        <w:rPr>
          <w:color w:val="000000" w:themeColor="text1"/>
          <w:sz w:val="24"/>
          <w:szCs w:val="24"/>
        </w:rPr>
        <w:t xml:space="preserve">, </w:t>
      </w:r>
      <w:r w:rsidRPr="005C0A40" w:rsidR="00F45B35">
        <w:rPr>
          <w:color w:val="000000" w:themeColor="text1"/>
          <w:sz w:val="24"/>
          <w:szCs w:val="24"/>
        </w:rPr>
        <w:t>202</w:t>
      </w:r>
      <w:r>
        <w:rPr>
          <w:color w:val="000000" w:themeColor="text1"/>
          <w:sz w:val="24"/>
          <w:szCs w:val="24"/>
        </w:rPr>
        <w:t>1</w:t>
      </w:r>
    </w:p>
    <w:p w:rsidRPr="005C0A40" w:rsidR="00D30DA5" w:rsidP="00684960" w:rsidRDefault="00D30DA5" w14:paraId="13D691EE" w14:textId="77777777">
      <w:pPr>
        <w:rPr>
          <w:color w:val="000000" w:themeColor="text1"/>
        </w:rPr>
      </w:pPr>
    </w:p>
    <w:p w:rsidRPr="005C0A40" w:rsidR="00D30DA5" w:rsidP="00684960" w:rsidRDefault="00D30DA5" w14:paraId="29A91C3F" w14:textId="77777777">
      <w:pPr>
        <w:rPr>
          <w:color w:val="000000" w:themeColor="text1"/>
        </w:rPr>
      </w:pPr>
    </w:p>
    <w:p w:rsidRPr="005C0A40" w:rsidR="00D30DA5" w:rsidP="00684960" w:rsidRDefault="00D30DA5" w14:paraId="57AD6CFC" w14:textId="77777777">
      <w:pPr>
        <w:rPr>
          <w:color w:val="000000" w:themeColor="text1"/>
        </w:rPr>
      </w:pPr>
    </w:p>
    <w:p w:rsidRPr="005C0A40" w:rsidR="00D30DA5" w:rsidP="00684960" w:rsidRDefault="00D30DA5" w14:paraId="333AE00E" w14:textId="77777777">
      <w:pPr>
        <w:rPr>
          <w:color w:val="000000" w:themeColor="text1"/>
        </w:rPr>
      </w:pPr>
    </w:p>
    <w:p w:rsidRPr="005C0A40" w:rsidR="00D30DA5" w:rsidP="00684960" w:rsidRDefault="00D30DA5" w14:paraId="74B25120" w14:textId="77777777">
      <w:pPr>
        <w:tabs>
          <w:tab w:val="left" w:pos="2760"/>
        </w:tabs>
        <w:rPr>
          <w:color w:val="000000" w:themeColor="text1"/>
        </w:rPr>
      </w:pPr>
      <w:r w:rsidRPr="005C0A40">
        <w:rPr>
          <w:color w:val="000000" w:themeColor="text1"/>
        </w:rPr>
        <w:tab/>
      </w:r>
    </w:p>
    <w:p w:rsidRPr="005C0A40" w:rsidR="00D30DA5" w:rsidP="005A7B2F" w:rsidRDefault="00D30DA5" w14:paraId="77DF22D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color w:val="000000" w:themeColor="text1"/>
        </w:rPr>
      </w:pPr>
    </w:p>
    <w:p w:rsidRPr="005C0A40" w:rsidR="00D30DA5" w:rsidP="005A7B2F" w:rsidRDefault="00D30DA5" w14:paraId="4649B4B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color w:val="000000" w:themeColor="text1"/>
        </w:rPr>
      </w:pPr>
    </w:p>
    <w:p w:rsidRPr="005C0A40" w:rsidR="00D30DA5" w:rsidP="00684960" w:rsidRDefault="00D30DA5" w14:paraId="14A73D2F" w14:textId="77777777">
      <w:pPr>
        <w:keepNext/>
        <w:keepLines/>
        <w:tabs>
          <w:tab w:val="left" w:pos="0"/>
          <w:tab w:val="left" w:pos="720"/>
          <w:tab w:val="left" w:pos="1440"/>
          <w:tab w:val="left" w:pos="2160"/>
          <w:tab w:val="left" w:pos="2440"/>
          <w:tab w:val="left" w:pos="2880"/>
          <w:tab w:val="left" w:pos="3600"/>
          <w:tab w:val="left" w:pos="4320"/>
          <w:tab w:val="left" w:pos="5040"/>
          <w:tab w:val="left" w:pos="5760"/>
          <w:tab w:val="left" w:pos="6480"/>
          <w:tab w:val="left" w:pos="7200"/>
          <w:tab w:val="left" w:pos="7920"/>
          <w:tab w:val="left" w:pos="8640"/>
        </w:tabs>
        <w:outlineLvl w:val="0"/>
        <w:rPr>
          <w:color w:val="000000" w:themeColor="text1"/>
        </w:rPr>
      </w:pPr>
      <w:r w:rsidRPr="005C0A40">
        <w:rPr>
          <w:color w:val="000000" w:themeColor="text1"/>
        </w:rPr>
        <w:tab/>
      </w:r>
      <w:r w:rsidRPr="005C0A40">
        <w:rPr>
          <w:color w:val="000000" w:themeColor="text1"/>
        </w:rPr>
        <w:tab/>
      </w:r>
      <w:r w:rsidRPr="005C0A40">
        <w:rPr>
          <w:color w:val="000000" w:themeColor="text1"/>
        </w:rPr>
        <w:tab/>
      </w:r>
      <w:r w:rsidRPr="005C0A40">
        <w:rPr>
          <w:color w:val="000000" w:themeColor="text1"/>
        </w:rPr>
        <w:tab/>
      </w:r>
      <w:r w:rsidRPr="005C0A40">
        <w:rPr>
          <w:color w:val="000000" w:themeColor="text1"/>
        </w:rPr>
        <w:tab/>
      </w:r>
      <w:r w:rsidRPr="005C0A40">
        <w:rPr>
          <w:color w:val="000000" w:themeColor="text1"/>
        </w:rPr>
        <w:tab/>
      </w:r>
    </w:p>
    <w:p w:rsidRPr="005C0A40" w:rsidR="00C924F1" w:rsidP="004B3B7C" w:rsidRDefault="00F4372A" w14:paraId="6EE2DFF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cs="Arial"/>
          <w:color w:val="000000" w:themeColor="text1"/>
          <w:szCs w:val="22"/>
        </w:rPr>
      </w:pPr>
      <w:r w:rsidRPr="005C0A40">
        <w:rPr>
          <w:color w:val="000000" w:themeColor="text1"/>
        </w:rPr>
        <w:br w:type="page"/>
      </w:r>
      <w:bookmarkEnd w:id="0"/>
      <w:bookmarkEnd w:id="1"/>
      <w:bookmarkEnd w:id="2"/>
      <w:r w:rsidRPr="005C0A40" w:rsidR="00713B02">
        <w:rPr>
          <w:rFonts w:cs="Arial"/>
          <w:color w:val="000000" w:themeColor="text1"/>
          <w:szCs w:val="22"/>
        </w:rPr>
        <w:lastRenderedPageBreak/>
        <w:t xml:space="preserve"> </w:t>
      </w:r>
    </w:p>
    <w:p w:rsidRPr="005C0A40" w:rsidR="008619D5" w:rsidRDefault="008619D5" w14:paraId="10B78AF6" w14:textId="77777777">
      <w:pPr>
        <w:widowControl/>
        <w:autoSpaceDE/>
        <w:autoSpaceDN/>
        <w:adjustRightInd/>
        <w:rPr>
          <w:rFonts w:cs="Arial"/>
          <w:color w:val="000000" w:themeColor="text1"/>
          <w:szCs w:val="22"/>
        </w:rPr>
      </w:pPr>
      <w:r w:rsidRPr="005C0A40">
        <w:rPr>
          <w:rFonts w:cs="Arial"/>
          <w:color w:val="000000" w:themeColor="text1"/>
          <w:szCs w:val="22"/>
        </w:rPr>
        <w:t>Table of Contents</w:t>
      </w:r>
    </w:p>
    <w:p w:rsidRPr="005C0A40" w:rsidR="008619D5" w:rsidRDefault="008619D5" w14:paraId="6C5AACB2" w14:textId="77777777">
      <w:pPr>
        <w:widowControl/>
        <w:autoSpaceDE/>
        <w:autoSpaceDN/>
        <w:adjustRightInd/>
        <w:rPr>
          <w:rFonts w:cs="Arial"/>
          <w:color w:val="000000" w:themeColor="text1"/>
          <w:szCs w:val="22"/>
        </w:rPr>
      </w:pPr>
    </w:p>
    <w:p w:rsidRPr="005C0A40" w:rsidR="008619D5" w:rsidP="008619D5" w:rsidRDefault="008619D5" w14:paraId="6DA024BE" w14:textId="3FE7110C">
      <w:pPr>
        <w:tabs>
          <w:tab w:val="left" w:pos="8268"/>
        </w:tabs>
        <w:rPr>
          <w:color w:val="000000" w:themeColor="text1"/>
        </w:rPr>
      </w:pPr>
      <w:r w:rsidRPr="005C0A40">
        <w:rPr>
          <w:color w:val="000000" w:themeColor="text1"/>
        </w:rPr>
        <w:t>B.  Collections of Information Employing Statistical Methods…………………</w:t>
      </w:r>
      <w:r w:rsidR="00B14E4F">
        <w:rPr>
          <w:color w:val="000000" w:themeColor="text1"/>
        </w:rPr>
        <w:t>.</w:t>
      </w:r>
      <w:r w:rsidRPr="005C0A40">
        <w:rPr>
          <w:color w:val="000000" w:themeColor="text1"/>
        </w:rPr>
        <w:t>…</w:t>
      </w:r>
      <w:r w:rsidR="0090325A">
        <w:rPr>
          <w:color w:val="000000" w:themeColor="text1"/>
        </w:rPr>
        <w:t>…</w:t>
      </w:r>
      <w:r w:rsidRPr="005C0A40">
        <w:rPr>
          <w:color w:val="000000" w:themeColor="text1"/>
        </w:rPr>
        <w:t xml:space="preserve">      </w:t>
      </w:r>
      <w:r w:rsidRPr="005C0A40" w:rsidR="004F2558">
        <w:rPr>
          <w:color w:val="000000" w:themeColor="text1"/>
        </w:rPr>
        <w:t>3</w:t>
      </w:r>
    </w:p>
    <w:p w:rsidRPr="005C0A40" w:rsidR="008619D5" w:rsidP="008619D5" w:rsidRDefault="008619D5" w14:paraId="33AE856F" w14:textId="1E85D081">
      <w:pPr>
        <w:ind w:firstLine="720"/>
        <w:rPr>
          <w:color w:val="000000" w:themeColor="text1"/>
        </w:rPr>
      </w:pPr>
      <w:r w:rsidRPr="005C0A40">
        <w:rPr>
          <w:color w:val="000000" w:themeColor="text1"/>
        </w:rPr>
        <w:t>1. Respondent Universe and Sampling Methods.......................................      </w:t>
      </w:r>
      <w:r w:rsidRPr="005C0A40" w:rsidR="004F2558">
        <w:rPr>
          <w:color w:val="000000" w:themeColor="text1"/>
        </w:rPr>
        <w:t>3</w:t>
      </w:r>
      <w:r w:rsidRPr="005C0A40">
        <w:rPr>
          <w:color w:val="000000" w:themeColor="text1"/>
        </w:rPr>
        <w:t>               </w:t>
      </w:r>
    </w:p>
    <w:p w:rsidRPr="005C0A40" w:rsidR="008619D5" w:rsidP="008619D5" w:rsidRDefault="008619D5" w14:paraId="4941C944" w14:textId="0E9CA1DC">
      <w:pPr>
        <w:ind w:firstLine="720"/>
        <w:rPr>
          <w:color w:val="000000" w:themeColor="text1"/>
        </w:rPr>
      </w:pPr>
      <w:r w:rsidRPr="005C0A40">
        <w:rPr>
          <w:color w:val="000000" w:themeColor="text1"/>
        </w:rPr>
        <w:t>2. Procedures for the Collection of Information...........................................     </w:t>
      </w:r>
      <w:r w:rsidRPr="005C0A40" w:rsidR="00DC749A">
        <w:rPr>
          <w:color w:val="000000" w:themeColor="text1"/>
        </w:rPr>
        <w:t xml:space="preserve">4              </w:t>
      </w:r>
    </w:p>
    <w:p w:rsidRPr="005C0A40" w:rsidR="008619D5" w:rsidP="008619D5" w:rsidRDefault="008619D5" w14:paraId="7BD31CA7" w14:textId="29FA22DB">
      <w:pPr>
        <w:ind w:firstLine="720"/>
        <w:rPr>
          <w:color w:val="000000" w:themeColor="text1"/>
        </w:rPr>
      </w:pPr>
      <w:r w:rsidRPr="005C0A40">
        <w:rPr>
          <w:color w:val="000000" w:themeColor="text1"/>
        </w:rPr>
        <w:t xml:space="preserve">3. Methods to Maximize Response Rates and Deal with </w:t>
      </w:r>
      <w:proofErr w:type="gramStart"/>
      <w:r w:rsidRPr="005C0A40">
        <w:rPr>
          <w:color w:val="000000" w:themeColor="text1"/>
        </w:rPr>
        <w:t>Nonresponse</w:t>
      </w:r>
      <w:r w:rsidR="006266FA">
        <w:rPr>
          <w:color w:val="000000" w:themeColor="text1"/>
        </w:rPr>
        <w:t>..</w:t>
      </w:r>
      <w:proofErr w:type="gramEnd"/>
      <w:r w:rsidRPr="005C0A40">
        <w:rPr>
          <w:color w:val="000000" w:themeColor="text1"/>
        </w:rPr>
        <w:t>…    </w:t>
      </w:r>
      <w:r w:rsidRPr="005C0A40" w:rsidR="00DC749A">
        <w:rPr>
          <w:color w:val="000000" w:themeColor="text1"/>
        </w:rPr>
        <w:t xml:space="preserve"> </w:t>
      </w:r>
      <w:r w:rsidR="002A5631">
        <w:rPr>
          <w:color w:val="000000" w:themeColor="text1"/>
        </w:rPr>
        <w:t>9</w:t>
      </w:r>
      <w:r w:rsidRPr="005C0A40" w:rsidR="002A5631">
        <w:rPr>
          <w:color w:val="000000" w:themeColor="text1"/>
        </w:rPr>
        <w:t xml:space="preserve">             </w:t>
      </w:r>
    </w:p>
    <w:p w:rsidRPr="005C0A40" w:rsidR="008619D5" w:rsidP="008619D5" w:rsidRDefault="008619D5" w14:paraId="6CFF2289" w14:textId="3CD0F70D">
      <w:pPr>
        <w:ind w:firstLine="720"/>
        <w:rPr>
          <w:color w:val="000000" w:themeColor="text1"/>
        </w:rPr>
      </w:pPr>
      <w:r w:rsidRPr="005C0A40">
        <w:rPr>
          <w:color w:val="000000" w:themeColor="text1"/>
        </w:rPr>
        <w:t>4. Tests of Procedures or Methods to be Undertaken...............................</w:t>
      </w:r>
      <w:r w:rsidRPr="005C0A40" w:rsidR="00BF75F6">
        <w:rPr>
          <w:color w:val="000000" w:themeColor="text1"/>
        </w:rPr>
        <w:t>.     </w:t>
      </w:r>
      <w:r w:rsidRPr="005C0A40" w:rsidR="00A80786">
        <w:rPr>
          <w:color w:val="000000" w:themeColor="text1"/>
        </w:rPr>
        <w:t>1</w:t>
      </w:r>
      <w:r w:rsidR="004C05A6">
        <w:rPr>
          <w:color w:val="000000" w:themeColor="text1"/>
        </w:rPr>
        <w:t>1</w:t>
      </w:r>
      <w:r w:rsidRPr="005C0A40" w:rsidR="00DC749A">
        <w:rPr>
          <w:color w:val="000000" w:themeColor="text1"/>
        </w:rPr>
        <w:t xml:space="preserve">               </w:t>
      </w:r>
    </w:p>
    <w:p w:rsidRPr="005C0A40" w:rsidR="008619D5" w:rsidP="008619D5" w:rsidRDefault="008619D5" w14:paraId="12DCC2F4" w14:textId="37A286AA">
      <w:pPr>
        <w:ind w:firstLine="720"/>
        <w:rPr>
          <w:color w:val="000000" w:themeColor="text1"/>
        </w:rPr>
      </w:pPr>
      <w:r w:rsidRPr="005C0A40">
        <w:rPr>
          <w:color w:val="000000" w:themeColor="text1"/>
        </w:rPr>
        <w:t>5. Individuals Consulted on Statistical Aspects and Individual</w:t>
      </w:r>
      <w:r w:rsidRPr="005C0A40" w:rsidR="004436BD">
        <w:rPr>
          <w:color w:val="000000" w:themeColor="text1"/>
        </w:rPr>
        <w:t>s</w:t>
      </w:r>
      <w:r w:rsidRPr="005C0A40">
        <w:rPr>
          <w:color w:val="000000" w:themeColor="text1"/>
        </w:rPr>
        <w:t xml:space="preserve"> Collecting</w:t>
      </w:r>
    </w:p>
    <w:p w:rsidRPr="005C0A40" w:rsidR="008619D5" w:rsidP="008619D5" w:rsidRDefault="008619D5" w14:paraId="3A2FD4BF" w14:textId="7114F289">
      <w:pPr>
        <w:ind w:firstLine="720"/>
        <w:rPr>
          <w:color w:val="000000" w:themeColor="text1"/>
        </w:rPr>
      </w:pPr>
      <w:r w:rsidRPr="005C0A40">
        <w:rPr>
          <w:color w:val="000000" w:themeColor="text1"/>
        </w:rPr>
        <w:t xml:space="preserve">    and/or Analyzing Data……………………………………………</w:t>
      </w:r>
      <w:proofErr w:type="gramStart"/>
      <w:r w:rsidRPr="005C0A40" w:rsidR="00BF75F6">
        <w:rPr>
          <w:color w:val="000000" w:themeColor="text1"/>
        </w:rPr>
        <w:t>…..</w:t>
      </w:r>
      <w:proofErr w:type="gramEnd"/>
      <w:r w:rsidRPr="005C0A40">
        <w:rPr>
          <w:color w:val="000000" w:themeColor="text1"/>
        </w:rPr>
        <w:t>……..</w:t>
      </w:r>
      <w:r w:rsidRPr="005C0A40" w:rsidR="00BF75F6">
        <w:rPr>
          <w:color w:val="000000" w:themeColor="text1"/>
        </w:rPr>
        <w:t xml:space="preserve">.    </w:t>
      </w:r>
      <w:r w:rsidR="0090325A">
        <w:rPr>
          <w:color w:val="000000" w:themeColor="text1"/>
        </w:rPr>
        <w:t xml:space="preserve"> </w:t>
      </w:r>
      <w:r w:rsidRPr="005C0A40" w:rsidR="007320AB">
        <w:rPr>
          <w:color w:val="000000" w:themeColor="text1"/>
        </w:rPr>
        <w:t>1</w:t>
      </w:r>
      <w:r w:rsidR="007320AB">
        <w:rPr>
          <w:color w:val="000000" w:themeColor="text1"/>
        </w:rPr>
        <w:t>3</w:t>
      </w:r>
      <w:r w:rsidRPr="005C0A40" w:rsidR="007320AB">
        <w:rPr>
          <w:color w:val="000000" w:themeColor="text1"/>
        </w:rPr>
        <w:t xml:space="preserve">                </w:t>
      </w:r>
    </w:p>
    <w:p w:rsidRPr="005C0A40" w:rsidR="008619D5" w:rsidP="004B3B7C" w:rsidRDefault="008619D5" w14:paraId="58016F8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p>
    <w:p w:rsidRPr="005C0A40" w:rsidR="00164496" w:rsidP="00164496" w:rsidRDefault="00164496" w14:paraId="3C3874FE" w14:textId="77777777">
      <w:pPr>
        <w:ind w:hanging="360"/>
        <w:rPr>
          <w:u w:val="single"/>
        </w:rPr>
      </w:pPr>
      <w:r w:rsidRPr="005C0A40">
        <w:rPr>
          <w:u w:val="single"/>
        </w:rPr>
        <w:t>Attachment List</w:t>
      </w:r>
    </w:p>
    <w:p w:rsidRPr="00BD7F4C" w:rsidR="00756BAA" w:rsidP="00756BAA" w:rsidRDefault="00756BAA" w14:paraId="773D875F" w14:textId="77777777">
      <w:pPr>
        <w:rPr>
          <w:rFonts w:cs="Arial"/>
          <w:color w:val="000000" w:themeColor="text1"/>
          <w:szCs w:val="22"/>
        </w:rPr>
      </w:pPr>
      <w:r w:rsidRPr="00BD7F4C">
        <w:rPr>
          <w:rFonts w:cs="Arial"/>
          <w:color w:val="000000" w:themeColor="text1"/>
          <w:szCs w:val="22"/>
        </w:rPr>
        <w:t>Attachment 1 – Applicable Laws or Regulations (Excerpts)</w:t>
      </w:r>
      <w:r w:rsidRPr="00BD7F4C">
        <w:rPr>
          <w:rFonts w:cs="Arial"/>
          <w:color w:val="000000" w:themeColor="text1"/>
          <w:szCs w:val="22"/>
        </w:rPr>
        <w:tab/>
      </w:r>
    </w:p>
    <w:p w:rsidRPr="00BD7F4C" w:rsidR="00756BAA" w:rsidP="00756BAA" w:rsidRDefault="00756BAA" w14:paraId="0E7F4D7D" w14:textId="77777777">
      <w:pPr>
        <w:rPr>
          <w:rFonts w:cs="Arial"/>
          <w:color w:val="000000" w:themeColor="text1"/>
          <w:szCs w:val="22"/>
        </w:rPr>
      </w:pPr>
      <w:r w:rsidRPr="00BD7F4C">
        <w:rPr>
          <w:rFonts w:cs="Arial"/>
          <w:color w:val="000000" w:themeColor="text1"/>
          <w:szCs w:val="22"/>
        </w:rPr>
        <w:t>Attachment 2a – 60-Day Federal Register Notice</w:t>
      </w:r>
    </w:p>
    <w:p w:rsidRPr="00BD7F4C" w:rsidR="00756BAA" w:rsidP="00756BAA" w:rsidRDefault="00756BAA" w14:paraId="44CC5F32" w14:textId="4BA9563F">
      <w:pPr>
        <w:rPr>
          <w:rFonts w:cs="Arial"/>
          <w:color w:val="000000" w:themeColor="text1"/>
          <w:szCs w:val="22"/>
        </w:rPr>
      </w:pPr>
      <w:r w:rsidRPr="00BD7F4C">
        <w:rPr>
          <w:rFonts w:cs="Arial"/>
          <w:color w:val="000000" w:themeColor="text1"/>
          <w:szCs w:val="22"/>
        </w:rPr>
        <w:t xml:space="preserve">Attachment 2b </w:t>
      </w:r>
      <w:r w:rsidRPr="00BD7F4C" w:rsidR="004C05A6">
        <w:rPr>
          <w:rFonts w:cs="Arial"/>
          <w:color w:val="000000" w:themeColor="text1"/>
          <w:szCs w:val="22"/>
        </w:rPr>
        <w:t>–</w:t>
      </w:r>
      <w:r w:rsidRPr="00BD7F4C">
        <w:rPr>
          <w:rFonts w:cs="Arial"/>
          <w:color w:val="000000" w:themeColor="text1"/>
          <w:szCs w:val="22"/>
        </w:rPr>
        <w:t xml:space="preserve"> Public Comments to the 60-day Federal Register Notice</w:t>
      </w:r>
    </w:p>
    <w:p w:rsidRPr="00BD7F4C" w:rsidR="00756BAA" w:rsidP="00756BAA" w:rsidRDefault="00756BAA" w14:paraId="6F6CD023" w14:textId="77777777">
      <w:pPr>
        <w:rPr>
          <w:rFonts w:cs="Arial"/>
          <w:color w:val="000000" w:themeColor="text1"/>
          <w:szCs w:val="22"/>
        </w:rPr>
      </w:pPr>
      <w:r w:rsidRPr="00BD7F4C">
        <w:rPr>
          <w:rFonts w:cs="Arial"/>
          <w:color w:val="000000" w:themeColor="text1"/>
          <w:szCs w:val="22"/>
        </w:rPr>
        <w:t>Attachment 3a – Summary of Examination and Questionnaire Changes</w:t>
      </w:r>
      <w:r w:rsidRPr="00BD7F4C">
        <w:rPr>
          <w:rFonts w:cs="Arial"/>
          <w:szCs w:val="22"/>
        </w:rPr>
        <w:t xml:space="preserve"> </w:t>
      </w:r>
      <w:r w:rsidRPr="00BD7F4C">
        <w:rPr>
          <w:rFonts w:cs="Arial"/>
          <w:color w:val="000000" w:themeColor="text1"/>
          <w:szCs w:val="22"/>
        </w:rPr>
        <w:t>in 2021-2022</w:t>
      </w:r>
    </w:p>
    <w:p w:rsidRPr="00BD7F4C" w:rsidR="00756BAA" w:rsidP="00756BAA" w:rsidRDefault="00756BAA" w14:paraId="3C79B9CA" w14:textId="77777777">
      <w:pPr>
        <w:rPr>
          <w:rFonts w:cs="Arial"/>
          <w:color w:val="000000" w:themeColor="text1"/>
          <w:szCs w:val="22"/>
        </w:rPr>
      </w:pPr>
      <w:r w:rsidRPr="00BD7F4C">
        <w:rPr>
          <w:rFonts w:cs="Arial"/>
          <w:color w:val="000000" w:themeColor="text1"/>
          <w:szCs w:val="22"/>
        </w:rPr>
        <w:t>Attachment 3b – Household Screener and Family Relationship Modules</w:t>
      </w:r>
    </w:p>
    <w:p w:rsidRPr="00BD7F4C" w:rsidR="00756BAA" w:rsidP="00756BAA" w:rsidRDefault="00756BAA" w14:paraId="24D94397" w14:textId="77777777">
      <w:pPr>
        <w:rPr>
          <w:rFonts w:cs="Arial"/>
          <w:color w:val="000000" w:themeColor="text1"/>
          <w:szCs w:val="22"/>
        </w:rPr>
      </w:pPr>
      <w:r w:rsidRPr="00BD7F4C">
        <w:rPr>
          <w:rFonts w:cs="Arial"/>
          <w:color w:val="000000" w:themeColor="text1"/>
          <w:szCs w:val="22"/>
        </w:rPr>
        <w:t>Attachment 3c – Household Interview Instruments</w:t>
      </w:r>
    </w:p>
    <w:p w:rsidRPr="00BD7F4C" w:rsidR="00756BAA" w:rsidP="00756BAA" w:rsidRDefault="00756BAA" w14:paraId="3E02BD17" w14:textId="77777777">
      <w:pPr>
        <w:rPr>
          <w:rFonts w:cs="Arial"/>
          <w:color w:val="000000" w:themeColor="text1"/>
          <w:szCs w:val="22"/>
        </w:rPr>
      </w:pPr>
      <w:r w:rsidRPr="00BD7F4C">
        <w:rPr>
          <w:rFonts w:cs="Arial"/>
          <w:color w:val="000000" w:themeColor="text1"/>
          <w:szCs w:val="22"/>
        </w:rPr>
        <w:t>Attachment 3d – Household Interview Hand Cards</w:t>
      </w:r>
    </w:p>
    <w:p w:rsidRPr="00BD7F4C" w:rsidR="00756BAA" w:rsidP="00756BAA" w:rsidRDefault="00756BAA" w14:paraId="0A1CEEE7" w14:textId="77777777">
      <w:pPr>
        <w:rPr>
          <w:rFonts w:cs="Arial"/>
          <w:color w:val="000000" w:themeColor="text1"/>
          <w:szCs w:val="22"/>
        </w:rPr>
      </w:pPr>
      <w:r w:rsidRPr="00BD7F4C">
        <w:rPr>
          <w:rFonts w:cs="Arial"/>
          <w:color w:val="000000" w:themeColor="text1"/>
          <w:szCs w:val="22"/>
        </w:rPr>
        <w:t>Attachment 3e – Mobile Exam Center (MEC) Interview and Examination Data Collection Forms</w:t>
      </w:r>
    </w:p>
    <w:p w:rsidRPr="00BD7F4C" w:rsidR="00756BAA" w:rsidP="00756BAA" w:rsidRDefault="00756BAA" w14:paraId="1305DBB4" w14:textId="4B717C51">
      <w:pPr>
        <w:rPr>
          <w:rFonts w:cs="Arial"/>
          <w:color w:val="000000" w:themeColor="text1"/>
          <w:szCs w:val="22"/>
        </w:rPr>
      </w:pPr>
      <w:r w:rsidRPr="00BD7F4C">
        <w:rPr>
          <w:rFonts w:cs="Arial"/>
          <w:color w:val="000000" w:themeColor="text1"/>
          <w:szCs w:val="22"/>
        </w:rPr>
        <w:t xml:space="preserve">Attachment 3f – </w:t>
      </w:r>
      <w:r w:rsidR="00E62C70">
        <w:rPr>
          <w:rFonts w:cs="Arial"/>
          <w:color w:val="000000" w:themeColor="text1"/>
          <w:szCs w:val="22"/>
        </w:rPr>
        <w:t>Deleted</w:t>
      </w:r>
    </w:p>
    <w:p w:rsidRPr="00BD7F4C" w:rsidR="00756BAA" w:rsidP="00756BAA" w:rsidRDefault="00756BAA" w14:paraId="62CA3C50" w14:textId="130712B2">
      <w:pPr>
        <w:rPr>
          <w:rFonts w:cs="Arial"/>
          <w:color w:val="000000" w:themeColor="text1"/>
          <w:szCs w:val="22"/>
        </w:rPr>
      </w:pPr>
      <w:r w:rsidRPr="00BD7F4C">
        <w:rPr>
          <w:rFonts w:cs="Arial"/>
          <w:color w:val="000000" w:themeColor="text1"/>
          <w:szCs w:val="22"/>
        </w:rPr>
        <w:t>Attachment 3g – Dietary Interview Forms: Dietary Recall and Dietary Supplements</w:t>
      </w:r>
    </w:p>
    <w:p w:rsidRPr="00BD7F4C" w:rsidR="00756BAA" w:rsidP="00756BAA" w:rsidRDefault="00756BAA" w14:paraId="0378C48C" w14:textId="0903EA52">
      <w:pPr>
        <w:ind w:left="1710" w:hanging="1710"/>
        <w:rPr>
          <w:rFonts w:cs="Arial"/>
          <w:color w:val="000000" w:themeColor="text1"/>
          <w:szCs w:val="22"/>
        </w:rPr>
      </w:pPr>
      <w:r w:rsidRPr="00BD7F4C">
        <w:rPr>
          <w:rFonts w:cs="Arial"/>
          <w:color w:val="000000" w:themeColor="text1"/>
          <w:szCs w:val="22"/>
        </w:rPr>
        <w:t xml:space="preserve">Attachment 3h – </w:t>
      </w:r>
      <w:r w:rsidRPr="00BD7F4C">
        <w:rPr>
          <w:rFonts w:cs="Arial"/>
          <w:szCs w:val="22"/>
        </w:rPr>
        <w:t>Dietary Interview Hand Cards: Dietary Recall (DRQ) and Dietary Supplements (SAQ)</w:t>
      </w:r>
    </w:p>
    <w:p w:rsidRPr="00BD7F4C" w:rsidR="00756BAA" w:rsidP="00756BAA" w:rsidRDefault="00756BAA" w14:paraId="4B18EF86" w14:textId="349F3B9F">
      <w:pPr>
        <w:ind w:left="1620" w:hanging="1620"/>
        <w:rPr>
          <w:rFonts w:cs="Arial"/>
          <w:color w:val="000000" w:themeColor="text1"/>
          <w:szCs w:val="22"/>
        </w:rPr>
      </w:pPr>
      <w:r w:rsidRPr="00BD7F4C">
        <w:rPr>
          <w:rFonts w:cs="Arial"/>
          <w:color w:val="000000" w:themeColor="text1"/>
          <w:szCs w:val="22"/>
        </w:rPr>
        <w:t>Attachment 3i – Flexible Consumer Behavior Survey (FCBS) Phone Follow-Up Module Data Collection Form</w:t>
      </w:r>
    </w:p>
    <w:p w:rsidRPr="00BD7F4C" w:rsidR="00756BAA" w:rsidP="00756BAA" w:rsidRDefault="00756BAA" w14:paraId="16A9B828" w14:textId="25153188">
      <w:pPr>
        <w:ind w:left="1620" w:hanging="1620"/>
        <w:rPr>
          <w:rFonts w:cs="Arial"/>
          <w:color w:val="000000" w:themeColor="text1"/>
          <w:szCs w:val="22"/>
        </w:rPr>
      </w:pPr>
      <w:r w:rsidRPr="00BD7F4C">
        <w:rPr>
          <w:rFonts w:cs="Arial"/>
          <w:color w:val="000000" w:themeColor="text1"/>
          <w:szCs w:val="22"/>
        </w:rPr>
        <w:t>Attachment 3j – Flexible Consumer Behavior Survey (FCBS) Phone Follow-Up Module Hand Cards</w:t>
      </w:r>
    </w:p>
    <w:p w:rsidRPr="00BD7F4C" w:rsidR="00756BAA" w:rsidP="00756BAA" w:rsidRDefault="00756BAA" w14:paraId="080A8D28" w14:textId="444F7106">
      <w:pPr>
        <w:rPr>
          <w:rFonts w:cs="Arial"/>
          <w:color w:val="000000" w:themeColor="text1"/>
          <w:szCs w:val="22"/>
        </w:rPr>
      </w:pPr>
      <w:r w:rsidRPr="00BD7F4C">
        <w:rPr>
          <w:rFonts w:cs="Arial"/>
          <w:color w:val="000000" w:themeColor="text1"/>
          <w:szCs w:val="22"/>
        </w:rPr>
        <w:t>Attachment 3k – Questionnaires, Hand Cards, and MEC Data Collection Forms 2019-2020</w:t>
      </w:r>
    </w:p>
    <w:p w:rsidRPr="00BD7F4C" w:rsidR="00756BAA" w:rsidP="00756BAA" w:rsidRDefault="00756BAA" w14:paraId="17D5FAF8" w14:textId="77777777">
      <w:pPr>
        <w:rPr>
          <w:rFonts w:cs="Arial"/>
          <w:color w:val="000000" w:themeColor="text1"/>
          <w:szCs w:val="22"/>
        </w:rPr>
      </w:pPr>
      <w:r w:rsidRPr="00BD7F4C">
        <w:rPr>
          <w:rFonts w:cs="Arial"/>
          <w:color w:val="000000" w:themeColor="text1"/>
          <w:szCs w:val="22"/>
        </w:rPr>
        <w:t>Attachment 4 – Developmental Project Report-Incentives</w:t>
      </w:r>
    </w:p>
    <w:p w:rsidRPr="00BD7F4C" w:rsidR="00756BAA" w:rsidP="00756BAA" w:rsidRDefault="00756BAA" w14:paraId="0709C1DB" w14:textId="77777777">
      <w:pPr>
        <w:rPr>
          <w:rFonts w:cs="Arial"/>
          <w:color w:val="000000" w:themeColor="text1"/>
          <w:szCs w:val="22"/>
        </w:rPr>
      </w:pPr>
      <w:r w:rsidRPr="00BD7F4C">
        <w:rPr>
          <w:rFonts w:cs="Arial"/>
          <w:color w:val="000000" w:themeColor="text1"/>
          <w:szCs w:val="22"/>
        </w:rPr>
        <w:t>Attachment 5a – Sample Design Tables 2021-22</w:t>
      </w:r>
    </w:p>
    <w:p w:rsidRPr="00BD7F4C" w:rsidR="00756BAA" w:rsidP="00756BAA" w:rsidRDefault="00756BAA" w14:paraId="1C5EA628" w14:textId="1122EEF1">
      <w:pPr>
        <w:rPr>
          <w:rFonts w:cs="Arial"/>
          <w:color w:val="000000" w:themeColor="text1"/>
          <w:szCs w:val="22"/>
        </w:rPr>
      </w:pPr>
      <w:r w:rsidRPr="00BD7F4C">
        <w:rPr>
          <w:rFonts w:cs="Arial"/>
          <w:color w:val="000000" w:themeColor="text1"/>
          <w:szCs w:val="22"/>
        </w:rPr>
        <w:t>Attachment 5b – Sample Design Tables 2019-2020</w:t>
      </w:r>
    </w:p>
    <w:p w:rsidRPr="00BD7F4C" w:rsidR="00756BAA" w:rsidP="00756BAA" w:rsidRDefault="00756BAA" w14:paraId="76191DD3" w14:textId="77777777">
      <w:pPr>
        <w:rPr>
          <w:rFonts w:cs="Arial"/>
          <w:color w:val="000000" w:themeColor="text1"/>
          <w:szCs w:val="22"/>
        </w:rPr>
      </w:pPr>
      <w:r w:rsidRPr="00BD7F4C">
        <w:rPr>
          <w:rFonts w:cs="Arial"/>
          <w:color w:val="000000" w:themeColor="text1"/>
          <w:szCs w:val="22"/>
        </w:rPr>
        <w:t>Attachment 6a – Laboratory Assessments 2021-2022 and earlier</w:t>
      </w:r>
    </w:p>
    <w:p w:rsidRPr="00BD7F4C" w:rsidR="00756BAA" w:rsidP="00756BAA" w:rsidRDefault="00756BAA" w14:paraId="3C9A2AED" w14:textId="77777777">
      <w:pPr>
        <w:rPr>
          <w:rFonts w:cs="Arial"/>
          <w:color w:val="000000" w:themeColor="text1"/>
          <w:szCs w:val="22"/>
        </w:rPr>
      </w:pPr>
      <w:r w:rsidRPr="00BD7F4C">
        <w:rPr>
          <w:rFonts w:cs="Arial"/>
          <w:color w:val="000000" w:themeColor="text1"/>
          <w:szCs w:val="22"/>
        </w:rPr>
        <w:t>Attachment 6b – Laboratory Assessments 2019-20 and earlier</w:t>
      </w:r>
    </w:p>
    <w:p w:rsidRPr="00BD7F4C" w:rsidR="00756BAA" w:rsidP="00756BAA" w:rsidRDefault="00756BAA" w14:paraId="016DA8EF" w14:textId="77777777">
      <w:pPr>
        <w:rPr>
          <w:rFonts w:cs="Arial"/>
          <w:color w:val="000000" w:themeColor="text1"/>
          <w:szCs w:val="22"/>
        </w:rPr>
      </w:pPr>
      <w:r w:rsidRPr="00BD7F4C">
        <w:rPr>
          <w:rFonts w:cs="Arial"/>
          <w:color w:val="000000" w:themeColor="text1"/>
          <w:szCs w:val="22"/>
        </w:rPr>
        <w:t xml:space="preserve">Attachment 7 – 3-5 </w:t>
      </w:r>
      <w:proofErr w:type="spellStart"/>
      <w:r w:rsidRPr="00BD7F4C">
        <w:rPr>
          <w:rFonts w:cs="Arial"/>
          <w:color w:val="000000" w:themeColor="text1"/>
          <w:szCs w:val="22"/>
        </w:rPr>
        <w:t>Yr</w:t>
      </w:r>
      <w:proofErr w:type="spellEnd"/>
      <w:r w:rsidRPr="00BD7F4C">
        <w:rPr>
          <w:rFonts w:cs="Arial"/>
          <w:color w:val="000000" w:themeColor="text1"/>
          <w:szCs w:val="22"/>
        </w:rPr>
        <w:t xml:space="preserve"> Urine Fact Sheet</w:t>
      </w:r>
    </w:p>
    <w:p w:rsidRPr="00BD7F4C" w:rsidR="00756BAA" w:rsidP="00756BAA" w:rsidRDefault="00756BAA" w14:paraId="66F67C57" w14:textId="77777777">
      <w:pPr>
        <w:rPr>
          <w:rFonts w:cs="Arial"/>
          <w:color w:val="000000" w:themeColor="text1"/>
          <w:szCs w:val="22"/>
        </w:rPr>
      </w:pPr>
      <w:r w:rsidRPr="00BD7F4C">
        <w:rPr>
          <w:rFonts w:cs="Arial"/>
          <w:color w:val="000000" w:themeColor="text1"/>
          <w:szCs w:val="22"/>
        </w:rPr>
        <w:t>Attachment 8 – Agencies consulted 2021-2022</w:t>
      </w:r>
    </w:p>
    <w:p w:rsidRPr="00BD7F4C" w:rsidR="00756BAA" w:rsidP="00756BAA" w:rsidRDefault="00756BAA" w14:paraId="190CF332" w14:textId="77777777">
      <w:pPr>
        <w:rPr>
          <w:rFonts w:cs="Arial"/>
          <w:color w:val="000000" w:themeColor="text1"/>
          <w:szCs w:val="22"/>
        </w:rPr>
      </w:pPr>
      <w:r w:rsidRPr="00BD7F4C">
        <w:rPr>
          <w:rFonts w:cs="Arial"/>
          <w:color w:val="000000" w:themeColor="text1"/>
          <w:szCs w:val="22"/>
        </w:rPr>
        <w:t>Attachment 9 – NHANES History</w:t>
      </w:r>
    </w:p>
    <w:p w:rsidRPr="00BD7F4C" w:rsidR="00756BAA" w:rsidP="00756BAA" w:rsidRDefault="00756BAA" w14:paraId="20DA7F16" w14:textId="77777777">
      <w:pPr>
        <w:rPr>
          <w:rFonts w:cs="Arial"/>
          <w:szCs w:val="22"/>
        </w:rPr>
      </w:pPr>
      <w:r w:rsidRPr="00BD7F4C">
        <w:rPr>
          <w:rFonts w:cs="Arial"/>
          <w:color w:val="000000" w:themeColor="text1"/>
          <w:szCs w:val="22"/>
        </w:rPr>
        <w:t xml:space="preserve">Attachment 10a – </w:t>
      </w:r>
      <w:r w:rsidRPr="00BD7F4C">
        <w:rPr>
          <w:rFonts w:cs="Arial"/>
          <w:szCs w:val="22"/>
        </w:rPr>
        <w:t>Advance Contact 1: Letter</w:t>
      </w:r>
    </w:p>
    <w:p w:rsidRPr="00BD7F4C" w:rsidR="00756BAA" w:rsidP="00756BAA" w:rsidRDefault="00756BAA" w14:paraId="794A3220" w14:textId="77777777">
      <w:pPr>
        <w:pStyle w:val="NoSpacing"/>
        <w:rPr>
          <w:rFonts w:ascii="Arial" w:hAnsi="Arial" w:cs="Arial"/>
        </w:rPr>
      </w:pPr>
      <w:r w:rsidRPr="00BD7F4C">
        <w:rPr>
          <w:rFonts w:ascii="Arial" w:hAnsi="Arial" w:cs="Arial"/>
        </w:rPr>
        <w:t xml:space="preserve">Attachment 10b </w:t>
      </w:r>
      <w:r w:rsidRPr="00BD7F4C">
        <w:rPr>
          <w:rFonts w:ascii="Arial" w:hAnsi="Arial" w:cs="Arial"/>
          <w:color w:val="000000" w:themeColor="text1"/>
        </w:rPr>
        <w:t xml:space="preserve">– </w:t>
      </w:r>
      <w:r w:rsidRPr="00BD7F4C">
        <w:rPr>
          <w:rFonts w:ascii="Arial" w:hAnsi="Arial" w:cs="Arial"/>
        </w:rPr>
        <w:t>Spanish Advance Contact 1: Letter</w:t>
      </w:r>
    </w:p>
    <w:p w:rsidRPr="00BD7F4C" w:rsidR="00756BAA" w:rsidP="00756BAA" w:rsidRDefault="00756BAA" w14:paraId="2E71EC3D" w14:textId="77777777">
      <w:pPr>
        <w:rPr>
          <w:rFonts w:cs="Arial"/>
          <w:color w:val="000000" w:themeColor="text1"/>
          <w:szCs w:val="22"/>
        </w:rPr>
      </w:pPr>
      <w:r w:rsidRPr="00BD7F4C">
        <w:rPr>
          <w:rFonts w:cs="Arial"/>
          <w:szCs w:val="22"/>
        </w:rPr>
        <w:t xml:space="preserve">Attachment 10c </w:t>
      </w:r>
      <w:r w:rsidRPr="00BD7F4C">
        <w:rPr>
          <w:rFonts w:cs="Arial"/>
          <w:color w:val="000000" w:themeColor="text1"/>
          <w:szCs w:val="22"/>
        </w:rPr>
        <w:t xml:space="preserve">– </w:t>
      </w:r>
      <w:r w:rsidRPr="00BD7F4C">
        <w:rPr>
          <w:rFonts w:cs="Arial"/>
          <w:szCs w:val="22"/>
        </w:rPr>
        <w:t>Advance Contact 2: Postcard</w:t>
      </w:r>
    </w:p>
    <w:p w:rsidRPr="00BD7F4C" w:rsidR="00756BAA" w:rsidP="00756BAA" w:rsidRDefault="00756BAA" w14:paraId="6380A850" w14:textId="77777777">
      <w:pPr>
        <w:pStyle w:val="NoSpacing"/>
        <w:rPr>
          <w:rFonts w:ascii="Arial" w:hAnsi="Arial" w:cs="Arial"/>
        </w:rPr>
      </w:pPr>
      <w:r w:rsidRPr="00BD7F4C">
        <w:rPr>
          <w:rFonts w:ascii="Arial" w:hAnsi="Arial" w:cs="Arial"/>
        </w:rPr>
        <w:t xml:space="preserve">Attachment 10d </w:t>
      </w:r>
      <w:r w:rsidRPr="00BD7F4C">
        <w:rPr>
          <w:rFonts w:ascii="Arial" w:hAnsi="Arial" w:cs="Arial"/>
          <w:color w:val="000000" w:themeColor="text1"/>
        </w:rPr>
        <w:t xml:space="preserve">– </w:t>
      </w:r>
      <w:r w:rsidRPr="00BD7F4C">
        <w:rPr>
          <w:rFonts w:ascii="Arial" w:hAnsi="Arial" w:cs="Arial"/>
        </w:rPr>
        <w:t xml:space="preserve">Spanish Advance Contact 2: Postcard </w:t>
      </w:r>
    </w:p>
    <w:p w:rsidRPr="00BD7F4C" w:rsidR="00756BAA" w:rsidP="00756BAA" w:rsidRDefault="00756BAA" w14:paraId="59C60231" w14:textId="77777777">
      <w:pPr>
        <w:pStyle w:val="NoSpacing"/>
        <w:rPr>
          <w:rFonts w:ascii="Arial" w:hAnsi="Arial" w:cs="Arial"/>
        </w:rPr>
      </w:pPr>
      <w:r w:rsidRPr="00BD7F4C">
        <w:rPr>
          <w:rFonts w:ascii="Arial" w:hAnsi="Arial" w:cs="Arial"/>
        </w:rPr>
        <w:t xml:space="preserve">Attachment 10e </w:t>
      </w:r>
      <w:r w:rsidRPr="00BD7F4C">
        <w:rPr>
          <w:rFonts w:ascii="Arial" w:hAnsi="Arial" w:cs="Arial"/>
          <w:color w:val="000000" w:themeColor="text1"/>
        </w:rPr>
        <w:t xml:space="preserve">– </w:t>
      </w:r>
      <w:r w:rsidRPr="00BD7F4C">
        <w:rPr>
          <w:rFonts w:ascii="Arial" w:hAnsi="Arial" w:cs="Arial"/>
        </w:rPr>
        <w:t xml:space="preserve">Advance Contact 3: Reminder Letter – Express Delivery </w:t>
      </w:r>
    </w:p>
    <w:p w:rsidRPr="00BD7F4C" w:rsidR="00756BAA" w:rsidP="00756BAA" w:rsidRDefault="00756BAA" w14:paraId="1C4EF8AE" w14:textId="77777777">
      <w:pPr>
        <w:pStyle w:val="NoSpacing"/>
        <w:rPr>
          <w:rFonts w:ascii="Arial" w:hAnsi="Arial" w:cs="Arial"/>
        </w:rPr>
      </w:pPr>
      <w:r w:rsidRPr="00BD7F4C">
        <w:rPr>
          <w:rFonts w:ascii="Arial" w:hAnsi="Arial" w:cs="Arial"/>
        </w:rPr>
        <w:t xml:space="preserve">Attachment 10f </w:t>
      </w:r>
      <w:r w:rsidRPr="00BD7F4C">
        <w:rPr>
          <w:rFonts w:ascii="Arial" w:hAnsi="Arial" w:cs="Arial"/>
          <w:color w:val="000000" w:themeColor="text1"/>
        </w:rPr>
        <w:t>–</w:t>
      </w:r>
      <w:r w:rsidRPr="00BD7F4C">
        <w:rPr>
          <w:rFonts w:ascii="Arial" w:hAnsi="Arial" w:cs="Arial"/>
        </w:rPr>
        <w:t xml:space="preserve"> Spanish Advance Contact 3: Reminder Letter – Express Delivery </w:t>
      </w:r>
    </w:p>
    <w:p w:rsidRPr="00BD7F4C" w:rsidR="00756BAA" w:rsidP="00756BAA" w:rsidRDefault="00756BAA" w14:paraId="1CA6EDC0" w14:textId="77777777">
      <w:pPr>
        <w:pStyle w:val="NoSpacing"/>
        <w:rPr>
          <w:rFonts w:ascii="Arial" w:hAnsi="Arial" w:cs="Arial"/>
        </w:rPr>
      </w:pPr>
      <w:r w:rsidRPr="00BD7F4C">
        <w:rPr>
          <w:rFonts w:ascii="Arial" w:hAnsi="Arial" w:cs="Arial"/>
        </w:rPr>
        <w:t xml:space="preserve">Attachment 10g </w:t>
      </w:r>
      <w:r w:rsidRPr="00BD7F4C">
        <w:rPr>
          <w:rFonts w:ascii="Arial" w:hAnsi="Arial" w:cs="Arial"/>
          <w:color w:val="000000" w:themeColor="text1"/>
        </w:rPr>
        <w:t xml:space="preserve">– </w:t>
      </w:r>
      <w:r w:rsidRPr="00BD7F4C">
        <w:rPr>
          <w:rFonts w:ascii="Arial" w:hAnsi="Arial" w:cs="Arial"/>
        </w:rPr>
        <w:t xml:space="preserve">Advance Contact 4: Final Reminder Letter </w:t>
      </w:r>
    </w:p>
    <w:p w:rsidRPr="00BD7F4C" w:rsidR="00756BAA" w:rsidP="00756BAA" w:rsidRDefault="00756BAA" w14:paraId="4AFB9D9D" w14:textId="77777777">
      <w:pPr>
        <w:pStyle w:val="NoSpacing"/>
        <w:rPr>
          <w:rFonts w:ascii="Arial" w:hAnsi="Arial" w:cs="Arial"/>
        </w:rPr>
      </w:pPr>
      <w:r w:rsidRPr="00BD7F4C">
        <w:rPr>
          <w:rFonts w:ascii="Arial" w:hAnsi="Arial" w:cs="Arial"/>
        </w:rPr>
        <w:t xml:space="preserve">Attachment 10h </w:t>
      </w:r>
      <w:r w:rsidRPr="00BD7F4C">
        <w:rPr>
          <w:rFonts w:ascii="Arial" w:hAnsi="Arial" w:cs="Arial"/>
          <w:color w:val="000000" w:themeColor="text1"/>
        </w:rPr>
        <w:t xml:space="preserve">– </w:t>
      </w:r>
      <w:r w:rsidRPr="00BD7F4C">
        <w:rPr>
          <w:rFonts w:ascii="Arial" w:hAnsi="Arial" w:cs="Arial"/>
        </w:rPr>
        <w:t xml:space="preserve">Spanish Advance Contact 4: Final Reminder Letter  </w:t>
      </w:r>
    </w:p>
    <w:p w:rsidRPr="00BD7F4C" w:rsidR="00756BAA" w:rsidP="00756BAA" w:rsidRDefault="00756BAA" w14:paraId="31DA7916" w14:textId="77777777">
      <w:pPr>
        <w:pStyle w:val="NoSpacing"/>
        <w:rPr>
          <w:rFonts w:ascii="Arial" w:hAnsi="Arial" w:cs="Arial"/>
        </w:rPr>
      </w:pPr>
      <w:r w:rsidRPr="00BD7F4C">
        <w:rPr>
          <w:rFonts w:ascii="Arial" w:hAnsi="Arial" w:cs="Arial"/>
        </w:rPr>
        <w:t xml:space="preserve">Attachment 11a </w:t>
      </w:r>
      <w:r w:rsidRPr="00BD7F4C">
        <w:rPr>
          <w:rFonts w:ascii="Arial" w:hAnsi="Arial" w:cs="Arial"/>
          <w:color w:val="000000" w:themeColor="text1"/>
        </w:rPr>
        <w:t xml:space="preserve">– </w:t>
      </w:r>
      <w:r w:rsidRPr="00BD7F4C">
        <w:rPr>
          <w:rFonts w:ascii="Arial" w:hAnsi="Arial" w:cs="Arial"/>
        </w:rPr>
        <w:t xml:space="preserve">Home Interview Consent Form </w:t>
      </w:r>
    </w:p>
    <w:p w:rsidRPr="00BD7F4C" w:rsidR="00756BAA" w:rsidP="00756BAA" w:rsidRDefault="00756BAA" w14:paraId="25640DCC" w14:textId="77777777">
      <w:pPr>
        <w:pStyle w:val="NoSpacing"/>
        <w:rPr>
          <w:rFonts w:ascii="Arial" w:hAnsi="Arial" w:cs="Arial"/>
        </w:rPr>
      </w:pPr>
      <w:r w:rsidRPr="00BD7F4C">
        <w:rPr>
          <w:rFonts w:ascii="Arial" w:hAnsi="Arial" w:cs="Arial"/>
        </w:rPr>
        <w:t xml:space="preserve">Attachment 11b </w:t>
      </w:r>
      <w:r w:rsidRPr="00BD7F4C">
        <w:rPr>
          <w:rFonts w:ascii="Arial" w:hAnsi="Arial" w:cs="Arial"/>
          <w:color w:val="000000" w:themeColor="text1"/>
        </w:rPr>
        <w:t xml:space="preserve">– </w:t>
      </w:r>
      <w:r w:rsidRPr="00BD7F4C">
        <w:rPr>
          <w:rFonts w:ascii="Arial" w:hAnsi="Arial" w:cs="Arial"/>
        </w:rPr>
        <w:t xml:space="preserve">Health Measurements List </w:t>
      </w:r>
    </w:p>
    <w:p w:rsidRPr="00BD7F4C" w:rsidR="00756BAA" w:rsidP="00756BAA" w:rsidRDefault="00756BAA" w14:paraId="0A72058F" w14:textId="7CFD152B">
      <w:pPr>
        <w:pStyle w:val="NoSpacing"/>
        <w:rPr>
          <w:rFonts w:ascii="Arial" w:hAnsi="Arial" w:cs="Arial"/>
        </w:rPr>
      </w:pPr>
      <w:r w:rsidRPr="00BD7F4C">
        <w:rPr>
          <w:rFonts w:ascii="Arial" w:hAnsi="Arial" w:cs="Arial"/>
        </w:rPr>
        <w:t xml:space="preserve">Attachment 11c </w:t>
      </w:r>
      <w:r w:rsidRPr="00BD7F4C">
        <w:rPr>
          <w:rFonts w:ascii="Arial" w:hAnsi="Arial" w:cs="Arial"/>
          <w:color w:val="000000" w:themeColor="text1"/>
        </w:rPr>
        <w:t xml:space="preserve">– </w:t>
      </w:r>
      <w:r w:rsidRPr="00BD7F4C">
        <w:rPr>
          <w:rFonts w:ascii="Arial" w:hAnsi="Arial" w:cs="Arial"/>
        </w:rPr>
        <w:t>Health Measurements List –Dry Run</w:t>
      </w:r>
    </w:p>
    <w:p w:rsidRPr="00BD7F4C" w:rsidR="00756BAA" w:rsidP="00756BAA" w:rsidRDefault="00756BAA" w14:paraId="534BE623" w14:textId="77777777">
      <w:pPr>
        <w:pStyle w:val="NoSpacing"/>
        <w:rPr>
          <w:rFonts w:ascii="Arial" w:hAnsi="Arial" w:cs="Arial"/>
        </w:rPr>
      </w:pPr>
      <w:r w:rsidRPr="00BD7F4C">
        <w:rPr>
          <w:rFonts w:ascii="Arial" w:hAnsi="Arial" w:cs="Arial"/>
        </w:rPr>
        <w:t xml:space="preserve">Attachment 11d </w:t>
      </w:r>
      <w:r w:rsidRPr="00BD7F4C">
        <w:rPr>
          <w:rFonts w:ascii="Arial" w:hAnsi="Arial" w:cs="Arial"/>
          <w:color w:val="000000" w:themeColor="text1"/>
        </w:rPr>
        <w:t xml:space="preserve">– </w:t>
      </w:r>
      <w:r w:rsidRPr="00BD7F4C">
        <w:rPr>
          <w:rFonts w:ascii="Arial" w:hAnsi="Arial" w:cs="Arial"/>
        </w:rPr>
        <w:t xml:space="preserve">MEC Assent Brochure (7-11 years) </w:t>
      </w:r>
    </w:p>
    <w:p w:rsidRPr="00BD7F4C" w:rsidR="00756BAA" w:rsidP="00756BAA" w:rsidRDefault="00756BAA" w14:paraId="21C8A67B" w14:textId="77777777">
      <w:pPr>
        <w:pStyle w:val="NoSpacing"/>
        <w:rPr>
          <w:rFonts w:ascii="Arial" w:hAnsi="Arial" w:cs="Arial"/>
        </w:rPr>
      </w:pPr>
      <w:r w:rsidRPr="00BD7F4C">
        <w:rPr>
          <w:rFonts w:ascii="Arial" w:hAnsi="Arial" w:cs="Arial"/>
        </w:rPr>
        <w:t xml:space="preserve">Attachment 11e </w:t>
      </w:r>
      <w:r w:rsidRPr="00BD7F4C">
        <w:rPr>
          <w:rFonts w:ascii="Arial" w:hAnsi="Arial" w:cs="Arial"/>
          <w:color w:val="000000" w:themeColor="text1"/>
        </w:rPr>
        <w:t xml:space="preserve">– </w:t>
      </w:r>
      <w:r w:rsidRPr="00BD7F4C">
        <w:rPr>
          <w:rFonts w:ascii="Arial" w:hAnsi="Arial" w:cs="Arial"/>
        </w:rPr>
        <w:t xml:space="preserve">MEC Adult/Parental Consent/Assent Brochure </w:t>
      </w:r>
    </w:p>
    <w:p w:rsidRPr="00BD7F4C" w:rsidR="00756BAA" w:rsidP="00756BAA" w:rsidRDefault="00756BAA" w14:paraId="29A78764" w14:textId="77777777">
      <w:pPr>
        <w:pStyle w:val="NoSpacing"/>
        <w:rPr>
          <w:rFonts w:ascii="Arial" w:hAnsi="Arial" w:cs="Arial"/>
        </w:rPr>
      </w:pPr>
      <w:r w:rsidRPr="00BD7F4C">
        <w:rPr>
          <w:rFonts w:ascii="Arial" w:hAnsi="Arial" w:cs="Arial"/>
        </w:rPr>
        <w:t xml:space="preserve">Attachment 11f </w:t>
      </w:r>
      <w:r w:rsidRPr="00BD7F4C">
        <w:rPr>
          <w:rFonts w:ascii="Arial" w:hAnsi="Arial" w:cs="Arial"/>
          <w:color w:val="000000" w:themeColor="text1"/>
        </w:rPr>
        <w:t xml:space="preserve">– </w:t>
      </w:r>
      <w:r w:rsidRPr="00BD7F4C">
        <w:rPr>
          <w:rFonts w:ascii="Arial" w:hAnsi="Arial" w:cs="Arial"/>
        </w:rPr>
        <w:t xml:space="preserve">MEC Adult/Parental/Child Consent/Assent Form </w:t>
      </w:r>
    </w:p>
    <w:p w:rsidRPr="00BD7F4C" w:rsidR="00756BAA" w:rsidP="00756BAA" w:rsidRDefault="00756BAA" w14:paraId="1B01BE7A" w14:textId="77777777">
      <w:pPr>
        <w:pStyle w:val="NoSpacing"/>
        <w:rPr>
          <w:rFonts w:ascii="Arial" w:hAnsi="Arial" w:cs="Arial"/>
        </w:rPr>
      </w:pPr>
      <w:r w:rsidRPr="00BD7F4C">
        <w:rPr>
          <w:rFonts w:ascii="Arial" w:hAnsi="Arial" w:cs="Arial"/>
        </w:rPr>
        <w:lastRenderedPageBreak/>
        <w:t xml:space="preserve">Attachment 11g </w:t>
      </w:r>
      <w:r w:rsidRPr="00BD7F4C">
        <w:rPr>
          <w:rFonts w:ascii="Arial" w:hAnsi="Arial" w:cs="Arial"/>
          <w:color w:val="000000" w:themeColor="text1"/>
        </w:rPr>
        <w:t xml:space="preserve">– </w:t>
      </w:r>
      <w:r w:rsidRPr="00BD7F4C">
        <w:rPr>
          <w:rFonts w:ascii="Arial" w:hAnsi="Arial" w:cs="Arial"/>
        </w:rPr>
        <w:t>Future Research Consent Form for Specimen Storage and Continuing Studies without DNA Testing</w:t>
      </w:r>
    </w:p>
    <w:p w:rsidRPr="00BD7F4C" w:rsidR="00756BAA" w:rsidP="00756BAA" w:rsidRDefault="00756BAA" w14:paraId="2CF51C2C" w14:textId="77777777">
      <w:pPr>
        <w:pStyle w:val="NoSpacing"/>
        <w:rPr>
          <w:rFonts w:ascii="Arial" w:hAnsi="Arial" w:cs="Arial"/>
        </w:rPr>
      </w:pPr>
      <w:r w:rsidRPr="00BD7F4C">
        <w:rPr>
          <w:rFonts w:ascii="Arial" w:hAnsi="Arial" w:cs="Arial"/>
        </w:rPr>
        <w:t xml:space="preserve">Attachment 12 </w:t>
      </w:r>
      <w:r w:rsidRPr="00BD7F4C">
        <w:rPr>
          <w:rFonts w:ascii="Arial" w:hAnsi="Arial" w:cs="Arial"/>
          <w:color w:val="000000" w:themeColor="text1"/>
        </w:rPr>
        <w:t xml:space="preserve">– </w:t>
      </w:r>
      <w:r w:rsidRPr="00BD7F4C">
        <w:rPr>
          <w:rFonts w:ascii="Arial" w:hAnsi="Arial" w:cs="Arial"/>
        </w:rPr>
        <w:t>Nonresponse Letter</w:t>
      </w:r>
    </w:p>
    <w:p w:rsidRPr="00BD7F4C" w:rsidR="00756BAA" w:rsidP="00756BAA" w:rsidRDefault="00756BAA" w14:paraId="52469342" w14:textId="77777777">
      <w:pPr>
        <w:pStyle w:val="NoSpacing"/>
        <w:rPr>
          <w:rFonts w:ascii="Arial" w:hAnsi="Arial" w:cs="Arial"/>
        </w:rPr>
      </w:pPr>
      <w:r w:rsidRPr="00BD7F4C">
        <w:rPr>
          <w:rFonts w:ascii="Arial" w:hAnsi="Arial" w:cs="Arial"/>
        </w:rPr>
        <w:t xml:space="preserve">Attachment 13a </w:t>
      </w:r>
      <w:r w:rsidRPr="00BD7F4C">
        <w:rPr>
          <w:rFonts w:ascii="Arial" w:hAnsi="Arial" w:cs="Arial"/>
          <w:color w:val="000000" w:themeColor="text1"/>
        </w:rPr>
        <w:t xml:space="preserve">– </w:t>
      </w:r>
      <w:r w:rsidRPr="00BD7F4C">
        <w:rPr>
          <w:rFonts w:ascii="Arial" w:hAnsi="Arial" w:cs="Arial"/>
        </w:rPr>
        <w:t xml:space="preserve">Introductory Letter for SP Questionnaire </w:t>
      </w:r>
    </w:p>
    <w:p w:rsidRPr="00BD7F4C" w:rsidR="00756BAA" w:rsidP="00756BAA" w:rsidRDefault="00756BAA" w14:paraId="788C2B8E" w14:textId="77777777">
      <w:pPr>
        <w:pStyle w:val="NoSpacing"/>
        <w:rPr>
          <w:rFonts w:ascii="Arial" w:hAnsi="Arial" w:cs="Arial"/>
        </w:rPr>
      </w:pPr>
      <w:r w:rsidRPr="00BD7F4C">
        <w:rPr>
          <w:rFonts w:ascii="Arial" w:hAnsi="Arial" w:cs="Arial"/>
        </w:rPr>
        <w:t xml:space="preserve">Attachment 13b </w:t>
      </w:r>
      <w:r w:rsidRPr="00BD7F4C">
        <w:rPr>
          <w:rFonts w:ascii="Arial" w:hAnsi="Arial" w:cs="Arial"/>
          <w:color w:val="000000" w:themeColor="text1"/>
        </w:rPr>
        <w:t xml:space="preserve">– </w:t>
      </w:r>
      <w:r w:rsidRPr="00BD7F4C">
        <w:rPr>
          <w:rFonts w:ascii="Arial" w:hAnsi="Arial" w:cs="Arial"/>
        </w:rPr>
        <w:t xml:space="preserve">Confidentiality Flyer </w:t>
      </w:r>
    </w:p>
    <w:p w:rsidRPr="00BD7F4C" w:rsidR="00756BAA" w:rsidP="00756BAA" w:rsidRDefault="00756BAA" w14:paraId="346FEBF6" w14:textId="77777777">
      <w:pPr>
        <w:pStyle w:val="NoSpacing"/>
        <w:rPr>
          <w:rFonts w:ascii="Arial" w:hAnsi="Arial" w:cs="Arial"/>
        </w:rPr>
      </w:pPr>
      <w:r w:rsidRPr="00BD7F4C">
        <w:rPr>
          <w:rFonts w:ascii="Arial" w:hAnsi="Arial" w:cs="Arial"/>
        </w:rPr>
        <w:t xml:space="preserve">Attachment 13c </w:t>
      </w:r>
      <w:r w:rsidRPr="00BD7F4C">
        <w:rPr>
          <w:rFonts w:ascii="Arial" w:hAnsi="Arial" w:cs="Arial"/>
          <w:color w:val="000000" w:themeColor="text1"/>
        </w:rPr>
        <w:t xml:space="preserve">– </w:t>
      </w:r>
      <w:r w:rsidRPr="00BD7F4C">
        <w:rPr>
          <w:rFonts w:ascii="Arial" w:hAnsi="Arial" w:cs="Arial"/>
        </w:rPr>
        <w:t xml:space="preserve">Sample Selection Brochure </w:t>
      </w:r>
    </w:p>
    <w:p w:rsidRPr="00BD7F4C" w:rsidR="00756BAA" w:rsidP="00756BAA" w:rsidRDefault="00756BAA" w14:paraId="44BBFC22" w14:textId="77777777">
      <w:pPr>
        <w:pStyle w:val="NoSpacing"/>
        <w:rPr>
          <w:rFonts w:ascii="Arial" w:hAnsi="Arial" w:cs="Arial"/>
        </w:rPr>
      </w:pPr>
      <w:r w:rsidRPr="00BD7F4C">
        <w:rPr>
          <w:rFonts w:ascii="Arial" w:hAnsi="Arial" w:cs="Arial"/>
        </w:rPr>
        <w:t xml:space="preserve">Attachment 13d </w:t>
      </w:r>
      <w:r w:rsidRPr="00BD7F4C">
        <w:rPr>
          <w:rFonts w:ascii="Arial" w:hAnsi="Arial" w:cs="Arial"/>
          <w:color w:val="000000" w:themeColor="text1"/>
        </w:rPr>
        <w:t xml:space="preserve">– </w:t>
      </w:r>
      <w:proofErr w:type="gramStart"/>
      <w:r w:rsidRPr="00BD7F4C">
        <w:rPr>
          <w:rFonts w:ascii="Arial" w:hAnsi="Arial" w:cs="Arial"/>
        </w:rPr>
        <w:t>Make a Plan</w:t>
      </w:r>
      <w:proofErr w:type="gramEnd"/>
      <w:r w:rsidRPr="00BD7F4C">
        <w:rPr>
          <w:rFonts w:ascii="Arial" w:hAnsi="Arial" w:cs="Arial"/>
        </w:rPr>
        <w:t xml:space="preserve"> Card </w:t>
      </w:r>
    </w:p>
    <w:p w:rsidRPr="00BD7F4C" w:rsidR="00756BAA" w:rsidP="00756BAA" w:rsidRDefault="00756BAA" w14:paraId="7AC46DEE" w14:textId="77777777">
      <w:pPr>
        <w:pStyle w:val="NoSpacing"/>
        <w:rPr>
          <w:rFonts w:ascii="Arial" w:hAnsi="Arial" w:cs="Arial"/>
        </w:rPr>
      </w:pPr>
      <w:r w:rsidRPr="00BD7F4C">
        <w:rPr>
          <w:rFonts w:ascii="Arial" w:hAnsi="Arial" w:cs="Arial"/>
        </w:rPr>
        <w:t xml:space="preserve">Attachment 13e </w:t>
      </w:r>
      <w:r w:rsidRPr="00BD7F4C">
        <w:rPr>
          <w:rFonts w:ascii="Arial" w:hAnsi="Arial" w:cs="Arial"/>
          <w:color w:val="000000" w:themeColor="text1"/>
        </w:rPr>
        <w:t xml:space="preserve">– </w:t>
      </w:r>
      <w:r w:rsidRPr="00BD7F4C">
        <w:rPr>
          <w:rFonts w:ascii="Arial" w:hAnsi="Arial" w:cs="Arial"/>
        </w:rPr>
        <w:t>Welcome to NHANES Brochure</w:t>
      </w:r>
    </w:p>
    <w:p w:rsidRPr="00BD7F4C" w:rsidR="00756BAA" w:rsidP="00756BAA" w:rsidRDefault="00756BAA" w14:paraId="5CBA2B89" w14:textId="77777777">
      <w:pPr>
        <w:pStyle w:val="NoSpacing"/>
        <w:rPr>
          <w:rFonts w:ascii="Arial" w:hAnsi="Arial" w:cs="Arial"/>
        </w:rPr>
      </w:pPr>
      <w:r w:rsidRPr="00BD7F4C">
        <w:rPr>
          <w:rFonts w:ascii="Arial" w:hAnsi="Arial" w:cs="Arial"/>
        </w:rPr>
        <w:t xml:space="preserve">Attachment 13f </w:t>
      </w:r>
      <w:r w:rsidRPr="00BD7F4C">
        <w:rPr>
          <w:rFonts w:ascii="Arial" w:hAnsi="Arial" w:cs="Arial"/>
          <w:color w:val="000000" w:themeColor="text1"/>
        </w:rPr>
        <w:t xml:space="preserve">– </w:t>
      </w:r>
      <w:r w:rsidRPr="00BD7F4C">
        <w:rPr>
          <w:rFonts w:ascii="Arial" w:hAnsi="Arial" w:cs="Arial"/>
        </w:rPr>
        <w:t>Overview Brochure</w:t>
      </w:r>
    </w:p>
    <w:p w:rsidRPr="00BD7F4C" w:rsidR="00756BAA" w:rsidP="00756BAA" w:rsidRDefault="00756BAA" w14:paraId="6D250C25" w14:textId="163D8444">
      <w:pPr>
        <w:pStyle w:val="NoSpacing"/>
        <w:rPr>
          <w:rFonts w:ascii="Arial" w:hAnsi="Arial" w:cs="Arial"/>
        </w:rPr>
      </w:pPr>
      <w:r w:rsidRPr="00BD7F4C">
        <w:rPr>
          <w:rFonts w:ascii="Arial" w:hAnsi="Arial" w:cs="Arial"/>
        </w:rPr>
        <w:t xml:space="preserve">Attachment 14a </w:t>
      </w:r>
      <w:r w:rsidRPr="00BD7F4C">
        <w:rPr>
          <w:rFonts w:ascii="Arial" w:hAnsi="Arial" w:cs="Arial"/>
          <w:color w:val="000000" w:themeColor="text1"/>
        </w:rPr>
        <w:t xml:space="preserve">– </w:t>
      </w:r>
      <w:r w:rsidRPr="00BD7F4C">
        <w:rPr>
          <w:rFonts w:ascii="Arial" w:hAnsi="Arial" w:cs="Arial"/>
        </w:rPr>
        <w:t>Appointment slips</w:t>
      </w:r>
    </w:p>
    <w:p w:rsidRPr="00BD7F4C" w:rsidR="00756BAA" w:rsidP="00756BAA" w:rsidRDefault="00756BAA" w14:paraId="414FDE6E" w14:textId="3A5E9F0E">
      <w:pPr>
        <w:pStyle w:val="NoSpacing"/>
        <w:rPr>
          <w:rFonts w:ascii="Arial" w:hAnsi="Arial" w:cs="Arial"/>
        </w:rPr>
      </w:pPr>
      <w:r w:rsidRPr="00BD7F4C">
        <w:rPr>
          <w:rFonts w:ascii="Arial" w:hAnsi="Arial" w:cs="Arial"/>
        </w:rPr>
        <w:t xml:space="preserve">Attachment 14b – Appt Reminder Letter </w:t>
      </w:r>
      <w:r w:rsidRPr="00BD7F4C" w:rsidR="004C05A6">
        <w:rPr>
          <w:rFonts w:ascii="Arial" w:hAnsi="Arial" w:cs="Arial"/>
        </w:rPr>
        <w:t>–</w:t>
      </w:r>
      <w:r w:rsidRPr="00BD7F4C">
        <w:rPr>
          <w:rFonts w:ascii="Arial" w:hAnsi="Arial" w:cs="Arial"/>
        </w:rPr>
        <w:t xml:space="preserve"> Fasting</w:t>
      </w:r>
    </w:p>
    <w:p w:rsidRPr="00BD7F4C" w:rsidR="00756BAA" w:rsidP="00756BAA" w:rsidRDefault="00756BAA" w14:paraId="3014E686" w14:textId="77777777">
      <w:pPr>
        <w:pStyle w:val="NoSpacing"/>
        <w:rPr>
          <w:rFonts w:ascii="Arial" w:hAnsi="Arial" w:cs="Arial"/>
        </w:rPr>
      </w:pPr>
      <w:r w:rsidRPr="00BD7F4C">
        <w:rPr>
          <w:rFonts w:ascii="Arial" w:hAnsi="Arial" w:cs="Arial"/>
        </w:rPr>
        <w:t xml:space="preserve">Attachment 14c </w:t>
      </w:r>
      <w:r w:rsidRPr="00BD7F4C">
        <w:rPr>
          <w:rFonts w:ascii="Arial" w:hAnsi="Arial" w:cs="Arial"/>
          <w:color w:val="000000" w:themeColor="text1"/>
        </w:rPr>
        <w:t xml:space="preserve">– </w:t>
      </w:r>
      <w:r w:rsidRPr="00BD7F4C">
        <w:rPr>
          <w:rFonts w:ascii="Arial" w:hAnsi="Arial" w:cs="Arial"/>
        </w:rPr>
        <w:t>Appt Reminder Letter – No Fasting</w:t>
      </w:r>
    </w:p>
    <w:p w:rsidRPr="00BD7F4C" w:rsidR="00756BAA" w:rsidP="00756BAA" w:rsidRDefault="00756BAA" w14:paraId="2CDC5DE0" w14:textId="77777777">
      <w:pPr>
        <w:pStyle w:val="NoSpacing"/>
        <w:rPr>
          <w:rFonts w:ascii="Arial" w:hAnsi="Arial" w:cs="Arial"/>
        </w:rPr>
      </w:pPr>
      <w:r w:rsidRPr="00BD7F4C">
        <w:rPr>
          <w:rFonts w:ascii="Arial" w:hAnsi="Arial" w:cs="Arial"/>
        </w:rPr>
        <w:t xml:space="preserve">Attachment 14d </w:t>
      </w:r>
      <w:r w:rsidRPr="00BD7F4C">
        <w:rPr>
          <w:rFonts w:ascii="Arial" w:hAnsi="Arial" w:cs="Arial"/>
          <w:color w:val="000000" w:themeColor="text1"/>
        </w:rPr>
        <w:t xml:space="preserve">– </w:t>
      </w:r>
      <w:r w:rsidRPr="00BD7F4C">
        <w:rPr>
          <w:rFonts w:ascii="Arial" w:hAnsi="Arial" w:cs="Arial"/>
        </w:rPr>
        <w:t>Appt Reminder Call Script</w:t>
      </w:r>
    </w:p>
    <w:p w:rsidRPr="004C05A6" w:rsidR="00756BAA" w:rsidP="00756BAA" w:rsidRDefault="00756BAA" w14:paraId="1D0A20E3" w14:textId="77777777">
      <w:pPr>
        <w:pStyle w:val="NoSpacing"/>
        <w:rPr>
          <w:rFonts w:ascii="Arial" w:hAnsi="Arial" w:cs="Arial"/>
        </w:rPr>
      </w:pPr>
      <w:r w:rsidRPr="004C05A6">
        <w:rPr>
          <w:rFonts w:ascii="Arial" w:hAnsi="Arial" w:cs="Arial"/>
        </w:rPr>
        <w:t xml:space="preserve">Attachment 14e </w:t>
      </w:r>
      <w:r w:rsidRPr="004C05A6">
        <w:rPr>
          <w:rFonts w:ascii="Arial" w:hAnsi="Arial" w:cs="Arial"/>
          <w:color w:val="000000" w:themeColor="text1"/>
        </w:rPr>
        <w:t xml:space="preserve">– </w:t>
      </w:r>
      <w:r w:rsidRPr="004C05A6">
        <w:rPr>
          <w:rFonts w:ascii="Arial" w:hAnsi="Arial" w:cs="Arial"/>
        </w:rPr>
        <w:t>Lab Blood Flyer</w:t>
      </w:r>
    </w:p>
    <w:p w:rsidRPr="00302E2D" w:rsidR="00756BAA" w:rsidP="00756BAA" w:rsidRDefault="00756BAA" w14:paraId="10766F45" w14:textId="1987BB3A">
      <w:pPr>
        <w:pStyle w:val="NoSpacing"/>
        <w:rPr>
          <w:rFonts w:ascii="Arial" w:hAnsi="Arial" w:cs="Arial"/>
        </w:rPr>
      </w:pPr>
      <w:r w:rsidRPr="00302E2D">
        <w:rPr>
          <w:rFonts w:ascii="Arial" w:hAnsi="Arial" w:cs="Arial"/>
        </w:rPr>
        <w:t xml:space="preserve">Attachment </w:t>
      </w:r>
      <w:r w:rsidRPr="00302E2D" w:rsidR="00A950AB">
        <w:rPr>
          <w:rFonts w:ascii="Arial" w:hAnsi="Arial" w:cs="Arial"/>
        </w:rPr>
        <w:t xml:space="preserve">14f </w:t>
      </w:r>
      <w:r w:rsidRPr="00302E2D">
        <w:rPr>
          <w:rFonts w:ascii="Arial" w:hAnsi="Arial" w:cs="Arial"/>
          <w:color w:val="000000" w:themeColor="text1"/>
        </w:rPr>
        <w:t xml:space="preserve">– </w:t>
      </w:r>
      <w:r w:rsidRPr="00302E2D">
        <w:rPr>
          <w:rFonts w:ascii="Arial" w:hAnsi="Arial" w:cs="Arial"/>
        </w:rPr>
        <w:t xml:space="preserve">Environmental Exposures Flyer </w:t>
      </w:r>
    </w:p>
    <w:p w:rsidRPr="00302E2D" w:rsidR="00756BAA" w:rsidP="00756BAA" w:rsidRDefault="00756BAA" w14:paraId="2A97645D" w14:textId="07265247">
      <w:pPr>
        <w:pStyle w:val="NoSpacing"/>
        <w:rPr>
          <w:rFonts w:ascii="Arial" w:hAnsi="Arial" w:cs="Arial"/>
        </w:rPr>
      </w:pPr>
      <w:r w:rsidRPr="00302E2D">
        <w:rPr>
          <w:rFonts w:ascii="Arial" w:hAnsi="Arial" w:cs="Arial"/>
        </w:rPr>
        <w:t xml:space="preserve">Attachment </w:t>
      </w:r>
      <w:r w:rsidRPr="00302E2D" w:rsidR="00A950AB">
        <w:rPr>
          <w:rFonts w:ascii="Arial" w:hAnsi="Arial" w:cs="Arial"/>
        </w:rPr>
        <w:t xml:space="preserve">14g </w:t>
      </w:r>
      <w:r w:rsidRPr="00302E2D">
        <w:rPr>
          <w:rFonts w:ascii="Arial" w:hAnsi="Arial" w:cs="Arial"/>
          <w:color w:val="000000" w:themeColor="text1"/>
        </w:rPr>
        <w:t xml:space="preserve">– </w:t>
      </w:r>
      <w:r w:rsidRPr="00302E2D">
        <w:rPr>
          <w:rFonts w:ascii="Arial" w:hAnsi="Arial" w:cs="Arial"/>
        </w:rPr>
        <w:t xml:space="preserve">Report of Findings Sample </w:t>
      </w:r>
    </w:p>
    <w:p w:rsidRPr="00302E2D" w:rsidR="00756BAA" w:rsidP="00756BAA" w:rsidRDefault="00756BAA" w14:paraId="0CF20367" w14:textId="642F15BA">
      <w:pPr>
        <w:pStyle w:val="NoSpacing"/>
        <w:rPr>
          <w:rFonts w:ascii="Arial" w:hAnsi="Arial" w:cs="Arial"/>
        </w:rPr>
      </w:pPr>
      <w:r w:rsidRPr="00302E2D">
        <w:rPr>
          <w:rFonts w:ascii="Arial" w:hAnsi="Arial" w:cs="Arial"/>
        </w:rPr>
        <w:t xml:space="preserve">Attachment </w:t>
      </w:r>
      <w:r w:rsidRPr="00302E2D" w:rsidR="00A950AB">
        <w:rPr>
          <w:rFonts w:ascii="Arial" w:hAnsi="Arial" w:cs="Arial"/>
        </w:rPr>
        <w:t xml:space="preserve">14h </w:t>
      </w:r>
      <w:r w:rsidRPr="00302E2D">
        <w:rPr>
          <w:rFonts w:ascii="Arial" w:hAnsi="Arial" w:cs="Arial"/>
          <w:color w:val="000000" w:themeColor="text1"/>
        </w:rPr>
        <w:t xml:space="preserve">– </w:t>
      </w:r>
      <w:r w:rsidRPr="00302E2D">
        <w:rPr>
          <w:rFonts w:ascii="Arial" w:hAnsi="Arial" w:cs="Arial"/>
        </w:rPr>
        <w:t xml:space="preserve">Community Service Letter </w:t>
      </w:r>
    </w:p>
    <w:p w:rsidRPr="00302E2D" w:rsidR="00756BAA" w:rsidP="00756BAA" w:rsidRDefault="00756BAA" w14:paraId="3B794210" w14:textId="7D6179A7">
      <w:pPr>
        <w:pStyle w:val="NoSpacing"/>
        <w:rPr>
          <w:rFonts w:ascii="Arial" w:hAnsi="Arial" w:cs="Arial"/>
        </w:rPr>
      </w:pPr>
      <w:r w:rsidRPr="00302E2D">
        <w:rPr>
          <w:rFonts w:ascii="Arial" w:hAnsi="Arial" w:cs="Arial"/>
        </w:rPr>
        <w:t xml:space="preserve">Attachment </w:t>
      </w:r>
      <w:r w:rsidRPr="00302E2D" w:rsidR="00A950AB">
        <w:rPr>
          <w:rFonts w:ascii="Arial" w:hAnsi="Arial" w:cs="Arial"/>
        </w:rPr>
        <w:t xml:space="preserve">14i </w:t>
      </w:r>
      <w:r w:rsidRPr="00302E2D">
        <w:rPr>
          <w:rFonts w:ascii="Arial" w:hAnsi="Arial" w:cs="Arial"/>
          <w:color w:val="000000" w:themeColor="text1"/>
        </w:rPr>
        <w:t xml:space="preserve">– </w:t>
      </w:r>
      <w:r w:rsidRPr="00302E2D">
        <w:rPr>
          <w:rFonts w:ascii="Arial" w:hAnsi="Arial" w:cs="Arial"/>
        </w:rPr>
        <w:t xml:space="preserve">Principal Letter </w:t>
      </w:r>
    </w:p>
    <w:p w:rsidRPr="00302E2D" w:rsidR="00756BAA" w:rsidP="00756BAA" w:rsidRDefault="00756BAA" w14:paraId="35E829C5" w14:textId="1F84E9E4">
      <w:pPr>
        <w:pStyle w:val="NoSpacing"/>
        <w:rPr>
          <w:rFonts w:ascii="Arial" w:hAnsi="Arial" w:cs="Arial"/>
        </w:rPr>
      </w:pPr>
      <w:r w:rsidRPr="00302E2D">
        <w:rPr>
          <w:rFonts w:ascii="Arial" w:hAnsi="Arial" w:cs="Arial"/>
        </w:rPr>
        <w:t xml:space="preserve">Attachment </w:t>
      </w:r>
      <w:r w:rsidRPr="00302E2D" w:rsidR="00A950AB">
        <w:rPr>
          <w:rFonts w:ascii="Arial" w:hAnsi="Arial" w:cs="Arial"/>
        </w:rPr>
        <w:t xml:space="preserve">14j </w:t>
      </w:r>
      <w:r w:rsidRPr="00302E2D">
        <w:rPr>
          <w:rFonts w:ascii="Arial" w:hAnsi="Arial" w:cs="Arial"/>
          <w:color w:val="000000" w:themeColor="text1"/>
        </w:rPr>
        <w:t xml:space="preserve">– </w:t>
      </w:r>
      <w:r w:rsidRPr="00302E2D">
        <w:rPr>
          <w:rFonts w:ascii="Arial" w:hAnsi="Arial" w:cs="Arial"/>
        </w:rPr>
        <w:t>COVID 19 Safety Flyer</w:t>
      </w:r>
    </w:p>
    <w:p w:rsidRPr="004C05A6" w:rsidR="00756BAA" w:rsidP="00756BAA" w:rsidRDefault="00756BAA" w14:paraId="269728C2" w14:textId="317EE5F4">
      <w:pPr>
        <w:pStyle w:val="NoSpacing"/>
        <w:rPr>
          <w:rFonts w:ascii="Arial" w:hAnsi="Arial" w:cs="Arial"/>
        </w:rPr>
      </w:pPr>
      <w:r w:rsidRPr="00302E2D">
        <w:rPr>
          <w:rFonts w:ascii="Arial" w:hAnsi="Arial" w:cs="Arial"/>
        </w:rPr>
        <w:t xml:space="preserve">Attachment </w:t>
      </w:r>
      <w:r w:rsidRPr="00576209" w:rsidR="00A950AB">
        <w:rPr>
          <w:rFonts w:ascii="Arial" w:hAnsi="Arial" w:cs="Arial"/>
        </w:rPr>
        <w:t xml:space="preserve">14k </w:t>
      </w:r>
      <w:r w:rsidRPr="00576209">
        <w:rPr>
          <w:rFonts w:ascii="Arial" w:hAnsi="Arial" w:cs="Arial"/>
        </w:rPr>
        <w:t xml:space="preserve">– </w:t>
      </w:r>
      <w:r w:rsidRPr="004C05A6" w:rsidR="007E3256">
        <w:rPr>
          <w:rFonts w:ascii="Arial" w:hAnsi="Arial" w:cs="Arial"/>
        </w:rPr>
        <w:t>Deleted</w:t>
      </w:r>
    </w:p>
    <w:p w:rsidRPr="00CF435A" w:rsidR="006716E2" w:rsidP="006716E2" w:rsidRDefault="006716E2" w14:paraId="2D011A33" w14:textId="5B08B2B4">
      <w:pPr>
        <w:pStyle w:val="NoSpacing"/>
        <w:rPr>
          <w:rFonts w:ascii="Arial" w:hAnsi="Arial" w:cs="Arial"/>
        </w:rPr>
      </w:pPr>
      <w:r w:rsidRPr="00CF435A">
        <w:rPr>
          <w:rFonts w:ascii="Arial" w:hAnsi="Arial" w:cs="Arial"/>
        </w:rPr>
        <w:t xml:space="preserve">Attachment 15 </w:t>
      </w:r>
      <w:r w:rsidRPr="00CF435A" w:rsidR="0090325A">
        <w:rPr>
          <w:rFonts w:ascii="Arial" w:hAnsi="Arial" w:cs="Arial"/>
        </w:rPr>
        <w:t>–</w:t>
      </w:r>
      <w:r w:rsidRPr="00CF435A">
        <w:rPr>
          <w:rFonts w:ascii="Arial" w:hAnsi="Arial" w:cs="Arial"/>
        </w:rPr>
        <w:t xml:space="preserve"> ERB Approval</w:t>
      </w:r>
    </w:p>
    <w:p w:rsidRPr="00CF435A" w:rsidR="00F82A91" w:rsidP="00EA71BC" w:rsidRDefault="006716E2" w14:paraId="3B06C49C" w14:textId="77777777">
      <w:pPr>
        <w:pStyle w:val="NoSpacing"/>
        <w:rPr>
          <w:rFonts w:ascii="Arial" w:hAnsi="Arial" w:cs="Arial"/>
        </w:rPr>
      </w:pPr>
      <w:r w:rsidRPr="00CF435A">
        <w:rPr>
          <w:rFonts w:ascii="Arial" w:hAnsi="Arial" w:cs="Arial"/>
        </w:rPr>
        <w:t xml:space="preserve">Attachment 16 – </w:t>
      </w:r>
      <w:r w:rsidRPr="00CF435A" w:rsidR="00F82A91">
        <w:rPr>
          <w:rFonts w:ascii="Arial" w:hAnsi="Arial" w:cs="Arial"/>
        </w:rPr>
        <w:t>Developmental Projects &amp; Special Studies</w:t>
      </w:r>
    </w:p>
    <w:p w:rsidRPr="00CF435A" w:rsidR="000B0AC5" w:rsidP="00EA71BC" w:rsidRDefault="00756BAA" w14:paraId="00A4F785" w14:textId="7F45FCF8">
      <w:pPr>
        <w:pStyle w:val="NoSpacing"/>
        <w:rPr>
          <w:rFonts w:ascii="Arial" w:hAnsi="Arial" w:cs="Arial"/>
        </w:rPr>
      </w:pPr>
      <w:r w:rsidRPr="00CF435A">
        <w:rPr>
          <w:rFonts w:ascii="Arial" w:hAnsi="Arial" w:cs="Arial"/>
        </w:rPr>
        <w:t>Attachment 17 – 24-Hour Wearable Devices</w:t>
      </w:r>
    </w:p>
    <w:p w:rsidRPr="00EF2F2F" w:rsidR="008472C3" w:rsidP="008472C3" w:rsidRDefault="008472C3" w14:paraId="0A84AFAB" w14:textId="551D9F64">
      <w:pPr>
        <w:pStyle w:val="CommentText"/>
        <w:widowControl/>
        <w:autoSpaceDE/>
        <w:autoSpaceDN/>
        <w:adjustRightInd/>
        <w:rPr>
          <w:rFonts w:cs="Arial"/>
          <w:color w:val="000000" w:themeColor="text1"/>
          <w:sz w:val="22"/>
          <w:szCs w:val="22"/>
        </w:rPr>
      </w:pPr>
      <w:r w:rsidRPr="00EF2F2F">
        <w:rPr>
          <w:rFonts w:cs="Arial"/>
          <w:color w:val="000000" w:themeColor="text1"/>
          <w:sz w:val="22"/>
          <w:szCs w:val="22"/>
        </w:rPr>
        <w:t xml:space="preserve">Attachment 18 – NHANES Coming </w:t>
      </w:r>
      <w:proofErr w:type="gramStart"/>
      <w:r w:rsidRPr="00EF2F2F">
        <w:rPr>
          <w:rFonts w:cs="Arial"/>
          <w:color w:val="000000" w:themeColor="text1"/>
          <w:sz w:val="22"/>
          <w:szCs w:val="22"/>
        </w:rPr>
        <w:t>To</w:t>
      </w:r>
      <w:proofErr w:type="gramEnd"/>
      <w:r w:rsidRPr="00EF2F2F">
        <w:rPr>
          <w:rFonts w:cs="Arial"/>
          <w:color w:val="000000" w:themeColor="text1"/>
          <w:sz w:val="22"/>
          <w:szCs w:val="22"/>
        </w:rPr>
        <w:t xml:space="preserve"> Your Community</w:t>
      </w:r>
    </w:p>
    <w:p w:rsidRPr="00CF435A" w:rsidR="00CF435A" w:rsidP="00CF435A" w:rsidRDefault="00CF435A" w14:paraId="21A2E846" w14:textId="77777777">
      <w:pPr>
        <w:pStyle w:val="NoSpacing"/>
        <w:rPr>
          <w:rFonts w:ascii="Arial" w:hAnsi="Arial" w:cs="Arial"/>
          <w:color w:val="000000" w:themeColor="text1"/>
        </w:rPr>
      </w:pPr>
      <w:r w:rsidRPr="00EF2F2F">
        <w:rPr>
          <w:rFonts w:ascii="Arial" w:hAnsi="Arial" w:cs="Arial"/>
          <w:color w:val="000000" w:themeColor="text1"/>
        </w:rPr>
        <w:t>Attachment 19 – Liver Genetics FAQ</w:t>
      </w:r>
    </w:p>
    <w:p w:rsidRPr="002109EB" w:rsidR="00CF435A" w:rsidP="008472C3" w:rsidRDefault="00CF435A" w14:paraId="6C78AC1F" w14:textId="77777777">
      <w:pPr>
        <w:pStyle w:val="CommentText"/>
        <w:widowControl/>
        <w:autoSpaceDE/>
        <w:autoSpaceDN/>
        <w:adjustRightInd/>
        <w:rPr>
          <w:rFonts w:cs="Arial"/>
          <w:color w:val="000000" w:themeColor="text1"/>
        </w:rPr>
      </w:pPr>
    </w:p>
    <w:p w:rsidR="000B0AC5" w:rsidRDefault="000B0AC5" w14:paraId="1ACE380F" w14:textId="77777777">
      <w:pPr>
        <w:widowControl/>
        <w:autoSpaceDE/>
        <w:autoSpaceDN/>
        <w:adjustRightInd/>
        <w:rPr>
          <w:rFonts w:cs="Arial" w:eastAsiaTheme="minorHAnsi"/>
          <w:szCs w:val="22"/>
        </w:rPr>
      </w:pPr>
      <w:r>
        <w:rPr>
          <w:rFonts w:cs="Arial"/>
        </w:rPr>
        <w:br w:type="page"/>
      </w:r>
    </w:p>
    <w:p w:rsidRPr="005C0A40" w:rsidR="00EE5D92" w:rsidP="00EE5D92" w:rsidRDefault="00EE5D92" w14:paraId="66651A12" w14:textId="77777777">
      <w:pPr>
        <w:jc w:val="center"/>
        <w:rPr>
          <w:rFonts w:cs="Arial"/>
          <w:color w:val="000000" w:themeColor="text1"/>
          <w:szCs w:val="22"/>
        </w:rPr>
      </w:pPr>
      <w:r w:rsidRPr="005C0A40">
        <w:rPr>
          <w:rFonts w:cs="Arial"/>
          <w:color w:val="000000" w:themeColor="text1"/>
          <w:szCs w:val="22"/>
        </w:rPr>
        <w:lastRenderedPageBreak/>
        <w:t>Supporting Statement B</w:t>
      </w:r>
    </w:p>
    <w:p w:rsidRPr="005C0A40" w:rsidR="00EE5D92" w:rsidP="00EE5D92" w:rsidRDefault="00EE5D92" w14:paraId="4FA61AC6" w14:textId="77777777">
      <w:pPr>
        <w:jc w:val="center"/>
        <w:rPr>
          <w:rFonts w:cs="Arial"/>
          <w:color w:val="000000" w:themeColor="text1"/>
        </w:rPr>
      </w:pPr>
    </w:p>
    <w:p w:rsidRPr="005C0A40" w:rsidR="00EE5D92" w:rsidP="00EE5D92" w:rsidRDefault="00EE5D92" w14:paraId="325E0FE6" w14:textId="77777777">
      <w:pPr>
        <w:jc w:val="center"/>
        <w:rPr>
          <w:rFonts w:cs="Arial"/>
          <w:color w:val="000000" w:themeColor="text1"/>
        </w:rPr>
      </w:pPr>
      <w:r w:rsidRPr="005C0A40">
        <w:rPr>
          <w:rFonts w:cs="Arial"/>
          <w:color w:val="000000" w:themeColor="text1"/>
        </w:rPr>
        <w:t>National Center for Health Statistics (NCHS)</w:t>
      </w:r>
    </w:p>
    <w:p w:rsidRPr="005C0A40" w:rsidR="00EE5D92" w:rsidP="00EE5D92" w:rsidRDefault="00EE5D92" w14:paraId="5D94A898" w14:textId="77777777">
      <w:pPr>
        <w:jc w:val="center"/>
        <w:rPr>
          <w:rFonts w:cs="Arial"/>
          <w:color w:val="000000" w:themeColor="text1"/>
        </w:rPr>
      </w:pPr>
      <w:r w:rsidRPr="005C0A40">
        <w:rPr>
          <w:rFonts w:cs="Arial"/>
          <w:color w:val="000000" w:themeColor="text1"/>
        </w:rPr>
        <w:t>National Health and Nutrition Examination Survey (NHANES)</w:t>
      </w:r>
    </w:p>
    <w:p w:rsidRPr="005C0A40" w:rsidR="00EE5D92" w:rsidP="004B3B7C" w:rsidRDefault="00EE5D92" w14:paraId="67B6AF0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p>
    <w:p w:rsidRPr="005C0A40" w:rsidR="004B3B7C" w:rsidP="004B3B7C" w:rsidRDefault="004B3B7C" w14:paraId="4463FF6C" w14:textId="1E5A212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r w:rsidRPr="005C0A40">
        <w:rPr>
          <w:rFonts w:cs="Arial"/>
          <w:color w:val="000000" w:themeColor="text1"/>
          <w:szCs w:val="22"/>
        </w:rPr>
        <w:t>B.  Collection of Information Employing Statistical Method</w:t>
      </w:r>
      <w:r w:rsidR="00396E81">
        <w:rPr>
          <w:rFonts w:cs="Arial"/>
          <w:color w:val="000000" w:themeColor="text1"/>
          <w:szCs w:val="22"/>
        </w:rPr>
        <w:t>s</w:t>
      </w:r>
    </w:p>
    <w:p w:rsidRPr="005C0A40" w:rsidR="004B3B7C" w:rsidP="004B3B7C" w:rsidRDefault="004B3B7C" w14:paraId="4B4AA8A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themeColor="text1"/>
          <w:szCs w:val="22"/>
        </w:rPr>
      </w:pPr>
    </w:p>
    <w:p w:rsidRPr="005C0A40" w:rsidR="004B3B7C" w:rsidP="004B3B7C" w:rsidRDefault="004B3B7C" w14:paraId="0A33EC8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color w:val="000000" w:themeColor="text1"/>
          <w:szCs w:val="22"/>
        </w:rPr>
      </w:pPr>
      <w:r w:rsidRPr="005C0A40">
        <w:rPr>
          <w:rFonts w:cs="Arial"/>
          <w:color w:val="000000" w:themeColor="text1"/>
          <w:szCs w:val="22"/>
        </w:rPr>
        <w:t xml:space="preserve">1.  Respondent Universe and Sampling Methods </w:t>
      </w:r>
    </w:p>
    <w:p w:rsidR="002A77A8" w:rsidP="002A77A8" w:rsidRDefault="002A77A8" w14:paraId="452D22B6" w14:textId="0E2C3B8E">
      <w:pPr>
        <w:keepNext/>
        <w:spacing w:before="240" w:after="60"/>
        <w:outlineLvl w:val="1"/>
        <w:rPr>
          <w:rFonts w:cs="Arial"/>
          <w:color w:val="000000" w:themeColor="text1"/>
          <w:szCs w:val="22"/>
        </w:rPr>
      </w:pPr>
      <w:r w:rsidRPr="005C0A40">
        <w:rPr>
          <w:rFonts w:cs="Arial"/>
          <w:color w:val="000000" w:themeColor="text1"/>
          <w:szCs w:val="22"/>
        </w:rPr>
        <w:t xml:space="preserve">Overview of the Continuous NHANES Sample Design </w:t>
      </w:r>
    </w:p>
    <w:p w:rsidR="00142293" w:rsidP="00A826D8" w:rsidRDefault="00142293" w14:paraId="07BEF2A6" w14:textId="77777777">
      <w:pPr>
        <w:rPr>
          <w:rFonts w:cs="Arial"/>
          <w:color w:val="000000" w:themeColor="text1"/>
        </w:rPr>
      </w:pPr>
    </w:p>
    <w:p w:rsidR="000F444C" w:rsidP="00B46959" w:rsidRDefault="00DA1C8D" w14:paraId="04A87F76" w14:textId="72ECFF89">
      <w:pPr>
        <w:rPr>
          <w:rFonts w:cs="Arial"/>
        </w:rPr>
      </w:pPr>
      <w:r>
        <w:rPr>
          <w:rFonts w:cs="Arial"/>
        </w:rPr>
        <w:t xml:space="preserve">In 1999, NHANES became a </w:t>
      </w:r>
      <w:r w:rsidRPr="00B37C71">
        <w:rPr>
          <w:rFonts w:cs="Arial"/>
        </w:rPr>
        <w:t xml:space="preserve">continuous on-going survey </w:t>
      </w:r>
      <w:r w:rsidRPr="00B46959" w:rsidR="00B46959">
        <w:rPr>
          <w:rFonts w:cs="Arial"/>
        </w:rPr>
        <w:t>in order to provide more timely data on</w:t>
      </w:r>
      <w:r w:rsidR="00B46959">
        <w:rPr>
          <w:rFonts w:cs="Arial"/>
        </w:rPr>
        <w:t xml:space="preserve"> </w:t>
      </w:r>
      <w:r w:rsidRPr="00B46959" w:rsidR="00B46959">
        <w:rPr>
          <w:rFonts w:cs="Arial"/>
        </w:rPr>
        <w:t>the health and nutrition status of the US population, and</w:t>
      </w:r>
      <w:r w:rsidR="00B46959">
        <w:rPr>
          <w:rFonts w:cs="Arial"/>
        </w:rPr>
        <w:t xml:space="preserve"> </w:t>
      </w:r>
      <w:r w:rsidRPr="00B46959" w:rsidR="00B46959">
        <w:rPr>
          <w:rFonts w:cs="Arial"/>
        </w:rPr>
        <w:t>to allow more flexibility in response to the need for data to</w:t>
      </w:r>
      <w:r w:rsidR="00B46959">
        <w:rPr>
          <w:rFonts w:cs="Arial"/>
        </w:rPr>
        <w:t xml:space="preserve"> </w:t>
      </w:r>
      <w:r w:rsidRPr="00B46959" w:rsidR="00B46959">
        <w:rPr>
          <w:rFonts w:cs="Arial"/>
        </w:rPr>
        <w:t>address emerging public health concerns</w:t>
      </w:r>
      <w:r>
        <w:rPr>
          <w:rFonts w:cs="Arial"/>
        </w:rPr>
        <w:t xml:space="preserve">. </w:t>
      </w:r>
      <w:r w:rsidR="006E3BCD">
        <w:rPr>
          <w:rFonts w:cs="Arial"/>
          <w:color w:val="000000" w:themeColor="text1"/>
        </w:rPr>
        <w:t>Starting in</w:t>
      </w:r>
      <w:r w:rsidRPr="00142293" w:rsidR="006E3BCD">
        <w:rPr>
          <w:rFonts w:cs="Arial"/>
          <w:color w:val="000000" w:themeColor="text1"/>
        </w:rPr>
        <w:t xml:space="preserve"> 2007, statisticians selected a four-year sample for NHANES with each year being nationally representative. </w:t>
      </w:r>
      <w:r w:rsidR="009E66D5">
        <w:rPr>
          <w:rFonts w:cs="Arial"/>
          <w:color w:val="000000" w:themeColor="text1"/>
        </w:rPr>
        <w:t>The</w:t>
      </w:r>
      <w:r w:rsidRPr="00142293" w:rsidR="009E66D5">
        <w:rPr>
          <w:rFonts w:cs="Arial"/>
          <w:color w:val="000000" w:themeColor="text1"/>
        </w:rPr>
        <w:t xml:space="preserve"> </w:t>
      </w:r>
      <w:r w:rsidRPr="00142293" w:rsidR="006E3BCD">
        <w:rPr>
          <w:rFonts w:cs="Arial"/>
          <w:color w:val="000000" w:themeColor="text1"/>
        </w:rPr>
        <w:t>four-year designs were NHANES 2007-2010</w:t>
      </w:r>
      <w:r w:rsidRPr="006E3BCD" w:rsidR="006E3BCD">
        <w:rPr>
          <w:rFonts w:cs="Arial"/>
          <w:color w:val="000000" w:themeColor="text1"/>
          <w:vertAlign w:val="superscript"/>
        </w:rPr>
        <w:t>1</w:t>
      </w:r>
      <w:r w:rsidRPr="00142293" w:rsidR="006E3BCD">
        <w:rPr>
          <w:rFonts w:cs="Arial"/>
          <w:color w:val="000000" w:themeColor="text1"/>
        </w:rPr>
        <w:t>, NHANES 2011-</w:t>
      </w:r>
      <w:r w:rsidR="006E3BCD">
        <w:rPr>
          <w:rFonts w:cs="Arial"/>
          <w:color w:val="000000" w:themeColor="text1"/>
        </w:rPr>
        <w:t>20</w:t>
      </w:r>
      <w:r w:rsidRPr="00142293" w:rsidR="006E3BCD">
        <w:rPr>
          <w:rFonts w:cs="Arial"/>
          <w:color w:val="000000" w:themeColor="text1"/>
        </w:rPr>
        <w:t>14</w:t>
      </w:r>
      <w:r w:rsidRPr="006E3BCD" w:rsidR="006E3BCD">
        <w:rPr>
          <w:rFonts w:cs="Arial"/>
          <w:color w:val="000000" w:themeColor="text1"/>
          <w:vertAlign w:val="superscript"/>
        </w:rPr>
        <w:t>2</w:t>
      </w:r>
      <w:r w:rsidRPr="00142293" w:rsidR="006E3BCD">
        <w:rPr>
          <w:rFonts w:cs="Arial"/>
          <w:color w:val="000000" w:themeColor="text1"/>
        </w:rPr>
        <w:t>, and NHANES 2015-</w:t>
      </w:r>
      <w:r w:rsidR="00531541">
        <w:rPr>
          <w:rFonts w:cs="Arial"/>
          <w:color w:val="000000" w:themeColor="text1"/>
        </w:rPr>
        <w:t>20</w:t>
      </w:r>
      <w:r w:rsidRPr="00142293" w:rsidR="00531541">
        <w:rPr>
          <w:rFonts w:cs="Arial"/>
          <w:color w:val="000000" w:themeColor="text1"/>
        </w:rPr>
        <w:t>18</w:t>
      </w:r>
      <w:r w:rsidRPr="006E3BCD" w:rsidR="00531541">
        <w:rPr>
          <w:rFonts w:cs="Arial"/>
          <w:color w:val="000000" w:themeColor="text1"/>
          <w:vertAlign w:val="superscript"/>
        </w:rPr>
        <w:t>3</w:t>
      </w:r>
      <w:r w:rsidRPr="00531541" w:rsidR="00531541">
        <w:rPr>
          <w:rFonts w:cs="Arial"/>
          <w:color w:val="000000" w:themeColor="text1"/>
        </w:rPr>
        <w:t>.</w:t>
      </w:r>
      <w:r w:rsidR="009E66D5">
        <w:rPr>
          <w:rFonts w:cs="Arial"/>
        </w:rPr>
        <w:t xml:space="preserve"> </w:t>
      </w:r>
      <w:r w:rsidR="00FE2596">
        <w:rPr>
          <w:rFonts w:cs="Arial"/>
        </w:rPr>
        <w:t xml:space="preserve">For the </w:t>
      </w:r>
      <w:r w:rsidRPr="00B637B5" w:rsidR="000F444C">
        <w:rPr>
          <w:rFonts w:cs="Arial"/>
        </w:rPr>
        <w:t>2019-2020 cycle</w:t>
      </w:r>
      <w:r w:rsidR="00FE2596">
        <w:rPr>
          <w:rFonts w:cs="Arial"/>
        </w:rPr>
        <w:t>, a different design</w:t>
      </w:r>
      <w:r w:rsidRPr="00B637B5" w:rsidR="000F444C">
        <w:rPr>
          <w:rFonts w:cs="Arial"/>
        </w:rPr>
        <w:t xml:space="preserve"> was </w:t>
      </w:r>
      <w:r w:rsidR="00FE2596">
        <w:rPr>
          <w:rFonts w:cs="Arial"/>
        </w:rPr>
        <w:t xml:space="preserve">implemented </w:t>
      </w:r>
      <w:r w:rsidR="009E66D5">
        <w:rPr>
          <w:rFonts w:cs="Arial"/>
        </w:rPr>
        <w:t xml:space="preserve">so </w:t>
      </w:r>
      <w:r w:rsidR="00FE2596">
        <w:rPr>
          <w:rFonts w:cs="Arial"/>
        </w:rPr>
        <w:t>the sample</w:t>
      </w:r>
      <w:r w:rsidR="009E66D5">
        <w:rPr>
          <w:rFonts w:cs="Arial"/>
        </w:rPr>
        <w:t xml:space="preserve"> was nationally representative when both years of data were combined </w:t>
      </w:r>
      <w:r w:rsidR="00590E50">
        <w:rPr>
          <w:rFonts w:cs="Arial"/>
        </w:rPr>
        <w:t>(see Attachment 5b)</w:t>
      </w:r>
      <w:r w:rsidRPr="00B637B5" w:rsidR="000F444C">
        <w:rPr>
          <w:rFonts w:cs="Arial"/>
        </w:rPr>
        <w:t xml:space="preserve">. Neither 2019 nor 2020 was nationally representative on its own. </w:t>
      </w:r>
    </w:p>
    <w:p w:rsidRPr="006178E1" w:rsidR="00DA1C8D" w:rsidP="00576209" w:rsidRDefault="00DA1C8D" w14:paraId="7BAEE1E9" w14:textId="77777777">
      <w:pPr>
        <w:widowControl/>
        <w:autoSpaceDE/>
        <w:autoSpaceDN/>
        <w:adjustRightInd/>
        <w:spacing w:after="200" w:line="276" w:lineRule="auto"/>
        <w:contextualSpacing/>
        <w:rPr>
          <w:rFonts w:cs="Arial"/>
        </w:rPr>
      </w:pPr>
    </w:p>
    <w:p w:rsidRPr="00B37C71" w:rsidR="00AB5D4C" w:rsidP="00AB5D4C" w:rsidRDefault="00AB5D4C" w14:paraId="043B9B46" w14:textId="74685831">
      <w:pPr>
        <w:rPr>
          <w:rFonts w:cs="Arial"/>
        </w:rPr>
      </w:pPr>
      <w:r w:rsidRPr="00B37C71">
        <w:rPr>
          <w:rFonts w:cs="Arial"/>
        </w:rPr>
        <w:t xml:space="preserve">This </w:t>
      </w:r>
      <w:r w:rsidRPr="00B37C71" w:rsidR="00805C63">
        <w:rPr>
          <w:rFonts w:cs="Arial"/>
        </w:rPr>
        <w:t>2019-20</w:t>
      </w:r>
      <w:r w:rsidR="00DF2D06">
        <w:rPr>
          <w:rFonts w:cs="Arial"/>
        </w:rPr>
        <w:t>20</w:t>
      </w:r>
      <w:r w:rsidRPr="00B37C71" w:rsidR="00805C63">
        <w:rPr>
          <w:rFonts w:cs="Arial"/>
        </w:rPr>
        <w:t xml:space="preserve"> </w:t>
      </w:r>
      <w:r w:rsidRPr="00B37C71">
        <w:rPr>
          <w:rFonts w:cs="Arial"/>
        </w:rPr>
        <w:t>change was made to increase operational efficienc</w:t>
      </w:r>
      <w:r w:rsidRPr="00B37C71" w:rsidR="00805C63">
        <w:rPr>
          <w:rFonts w:cs="Arial"/>
        </w:rPr>
        <w:t>ies</w:t>
      </w:r>
      <w:r w:rsidRPr="00B37C71">
        <w:rPr>
          <w:rFonts w:cs="Arial"/>
        </w:rPr>
        <w:t>, such as:</w:t>
      </w:r>
    </w:p>
    <w:p w:rsidRPr="00302E2D" w:rsidR="00AB5D4C" w:rsidP="00554EE2" w:rsidRDefault="002D184B" w14:paraId="6BB05C82" w14:textId="620C51A6">
      <w:pPr>
        <w:pStyle w:val="ListParagraph"/>
        <w:numPr>
          <w:ilvl w:val="0"/>
          <w:numId w:val="20"/>
        </w:numPr>
        <w:contextualSpacing/>
        <w:rPr>
          <w:rFonts w:cs="Arial"/>
        </w:rPr>
      </w:pPr>
      <w:r>
        <w:rPr>
          <w:rFonts w:cs="Arial"/>
        </w:rPr>
        <w:t>It allowed</w:t>
      </w:r>
      <w:r w:rsidRPr="00B37C71" w:rsidR="00AB5D4C">
        <w:rPr>
          <w:rFonts w:cs="Arial"/>
        </w:rPr>
        <w:t xml:space="preserve"> the Mobile Exam</w:t>
      </w:r>
      <w:r w:rsidR="004A6C37">
        <w:rPr>
          <w:rFonts w:cs="Arial"/>
        </w:rPr>
        <w:t>ination</w:t>
      </w:r>
      <w:r w:rsidRPr="00B37C71" w:rsidR="00AB5D4C">
        <w:rPr>
          <w:rFonts w:cs="Arial"/>
        </w:rPr>
        <w:t xml:space="preserve"> Centers (MECs) to stay in one location longer, </w:t>
      </w:r>
      <w:r w:rsidR="005248FD">
        <w:rPr>
          <w:rFonts w:cs="Arial"/>
        </w:rPr>
        <w:t>which allowed for more screening and interviewing time</w:t>
      </w:r>
      <w:r>
        <w:rPr>
          <w:rFonts w:cs="Arial"/>
        </w:rPr>
        <w:t>, and</w:t>
      </w:r>
    </w:p>
    <w:p w:rsidR="00AB5D4C" w:rsidP="00554EE2" w:rsidRDefault="002D184B" w14:paraId="67D9D5E5" w14:textId="59F57BC9">
      <w:pPr>
        <w:pStyle w:val="ListParagraph"/>
        <w:widowControl/>
        <w:numPr>
          <w:ilvl w:val="0"/>
          <w:numId w:val="20"/>
        </w:numPr>
        <w:autoSpaceDE/>
        <w:autoSpaceDN/>
        <w:adjustRightInd/>
        <w:contextualSpacing/>
        <w:rPr>
          <w:rFonts w:cs="Arial"/>
        </w:rPr>
      </w:pPr>
      <w:r>
        <w:rPr>
          <w:rFonts w:cs="Arial"/>
        </w:rPr>
        <w:t>It r</w:t>
      </w:r>
      <w:r w:rsidRPr="00B37C71" w:rsidR="00AB5D4C">
        <w:rPr>
          <w:rFonts w:cs="Arial"/>
        </w:rPr>
        <w:t>educe</w:t>
      </w:r>
      <w:r>
        <w:rPr>
          <w:rFonts w:cs="Arial"/>
        </w:rPr>
        <w:t>d</w:t>
      </w:r>
      <w:r w:rsidRPr="00B37C71" w:rsidR="00AB5D4C">
        <w:rPr>
          <w:rFonts w:cs="Arial"/>
        </w:rPr>
        <w:t xml:space="preserve"> the travel distance of the MECs </w:t>
      </w:r>
      <w:r w:rsidR="00FE2596">
        <w:rPr>
          <w:rFonts w:cs="Arial"/>
        </w:rPr>
        <w:t xml:space="preserve">by </w:t>
      </w:r>
      <w:r>
        <w:rPr>
          <w:rFonts w:cs="Arial"/>
        </w:rPr>
        <w:t>allow</w:t>
      </w:r>
      <w:r w:rsidR="00C64BD4">
        <w:rPr>
          <w:rFonts w:cs="Arial"/>
        </w:rPr>
        <w:t>ing</w:t>
      </w:r>
      <w:r w:rsidRPr="00B37C71" w:rsidR="00AB5D4C">
        <w:rPr>
          <w:rFonts w:cs="Arial"/>
        </w:rPr>
        <w:t xml:space="preserve"> them to stay in one region of the country </w:t>
      </w:r>
      <w:proofErr w:type="gramStart"/>
      <w:r w:rsidRPr="00B37C71" w:rsidR="00AB5D4C">
        <w:rPr>
          <w:rFonts w:cs="Arial"/>
        </w:rPr>
        <w:t>in a given year</w:t>
      </w:r>
      <w:proofErr w:type="gramEnd"/>
      <w:r w:rsidRPr="00B37C71" w:rsidR="00AB5D4C">
        <w:rPr>
          <w:rFonts w:cs="Arial"/>
        </w:rPr>
        <w:t xml:space="preserve"> vs. crisscrossing the country each year. </w:t>
      </w:r>
    </w:p>
    <w:p w:rsidR="009652B3" w:rsidP="00531541" w:rsidRDefault="009652B3" w14:paraId="73FA760B" w14:textId="77777777">
      <w:pPr>
        <w:widowControl/>
        <w:autoSpaceDE/>
        <w:autoSpaceDN/>
        <w:adjustRightInd/>
        <w:spacing w:after="200"/>
        <w:contextualSpacing/>
        <w:rPr>
          <w:rFonts w:cs="Arial"/>
        </w:rPr>
      </w:pPr>
    </w:p>
    <w:p w:rsidRPr="00DA1848" w:rsidR="00DA1848" w:rsidP="00531541" w:rsidRDefault="007679F9" w14:paraId="4CE79409" w14:textId="22C2BA97">
      <w:pPr>
        <w:widowControl/>
        <w:autoSpaceDE/>
        <w:autoSpaceDN/>
        <w:adjustRightInd/>
        <w:spacing w:after="200"/>
        <w:contextualSpacing/>
        <w:rPr>
          <w:rFonts w:cs="Arial"/>
        </w:rPr>
      </w:pPr>
      <w:r>
        <w:rPr>
          <w:rFonts w:cs="Arial"/>
        </w:rPr>
        <w:t>The suspension of</w:t>
      </w:r>
      <w:r w:rsidRPr="007679F9">
        <w:rPr>
          <w:rFonts w:cs="Arial"/>
        </w:rPr>
        <w:t xml:space="preserve"> field operations in March 2020 due to </w:t>
      </w:r>
      <w:r w:rsidR="00554EE2">
        <w:rPr>
          <w:rFonts w:cs="Arial"/>
        </w:rPr>
        <w:t xml:space="preserve">the </w:t>
      </w:r>
      <w:r w:rsidRPr="007679F9">
        <w:rPr>
          <w:rFonts w:cs="Arial"/>
        </w:rPr>
        <w:t>COVID-19 pandemic</w:t>
      </w:r>
      <w:r>
        <w:rPr>
          <w:rFonts w:cs="Arial"/>
        </w:rPr>
        <w:t xml:space="preserve"> resulted in</w:t>
      </w:r>
      <w:r w:rsidRPr="007679F9">
        <w:rPr>
          <w:rFonts w:cs="Arial"/>
        </w:rPr>
        <w:t xml:space="preserve"> the collected data </w:t>
      </w:r>
      <w:r w:rsidR="0016166D">
        <w:rPr>
          <w:rFonts w:cs="Arial"/>
        </w:rPr>
        <w:t>for</w:t>
      </w:r>
      <w:r>
        <w:rPr>
          <w:rFonts w:cs="Arial"/>
        </w:rPr>
        <w:t xml:space="preserve"> the 2019-2020 cycle</w:t>
      </w:r>
      <w:r w:rsidRPr="007679F9">
        <w:rPr>
          <w:rFonts w:cs="Arial"/>
        </w:rPr>
        <w:t xml:space="preserve"> not </w:t>
      </w:r>
      <w:r w:rsidR="00554EE2">
        <w:rPr>
          <w:rFonts w:cs="Arial"/>
        </w:rPr>
        <w:t xml:space="preserve">being </w:t>
      </w:r>
      <w:r w:rsidRPr="007679F9">
        <w:rPr>
          <w:rFonts w:cs="Arial"/>
        </w:rPr>
        <w:t>nationally representative</w:t>
      </w:r>
      <w:r>
        <w:rPr>
          <w:rFonts w:cs="Arial"/>
        </w:rPr>
        <w:t>.</w:t>
      </w:r>
      <w:r w:rsidR="00D219E6">
        <w:rPr>
          <w:rFonts w:cs="Arial"/>
        </w:rPr>
        <w:t xml:space="preserve"> For c</w:t>
      </w:r>
      <w:r w:rsidRPr="00D219E6" w:rsidR="00D219E6">
        <w:rPr>
          <w:rFonts w:cs="Arial"/>
        </w:rPr>
        <w:t xml:space="preserve">omponents that were </w:t>
      </w:r>
      <w:r w:rsidR="007B0F12">
        <w:rPr>
          <w:rFonts w:cs="Arial"/>
        </w:rPr>
        <w:t>included</w:t>
      </w:r>
      <w:r w:rsidRPr="00D219E6" w:rsidR="00D219E6">
        <w:rPr>
          <w:rFonts w:cs="Arial"/>
        </w:rPr>
        <w:t xml:space="preserve"> in both 2017-2018 and 2019-2020, data collected from 2019 to March 2020 </w:t>
      </w:r>
      <w:r w:rsidR="00D219E6">
        <w:rPr>
          <w:rFonts w:cs="Arial"/>
        </w:rPr>
        <w:t>will be</w:t>
      </w:r>
      <w:r w:rsidRPr="00D219E6" w:rsidR="00D219E6">
        <w:rPr>
          <w:rFonts w:cs="Arial"/>
        </w:rPr>
        <w:t xml:space="preserve"> combined with data from the 2017-2018 cycle to form a nationally representative sample of NHANES 2017-March 2020 pre-pandemic </w:t>
      </w:r>
      <w:r w:rsidR="00D219E6">
        <w:rPr>
          <w:rFonts w:cs="Arial"/>
        </w:rPr>
        <w:t xml:space="preserve">data and made </w:t>
      </w:r>
      <w:r w:rsidRPr="00D219E6" w:rsidR="00D219E6">
        <w:rPr>
          <w:rFonts w:cs="Arial"/>
        </w:rPr>
        <w:t xml:space="preserve">available to the public. </w:t>
      </w:r>
      <w:r w:rsidR="007B0F12">
        <w:rPr>
          <w:rFonts w:cs="Arial"/>
        </w:rPr>
        <w:t>Survey components</w:t>
      </w:r>
      <w:r w:rsidRPr="002E1AA4" w:rsidR="007B0F12">
        <w:rPr>
          <w:rFonts w:cs="Arial"/>
        </w:rPr>
        <w:t xml:space="preserve"> </w:t>
      </w:r>
      <w:r w:rsidRPr="002E1AA4" w:rsidR="002E1AA4">
        <w:rPr>
          <w:rFonts w:cs="Arial"/>
        </w:rPr>
        <w:t xml:space="preserve">that </w:t>
      </w:r>
      <w:r w:rsidR="007B0F12">
        <w:rPr>
          <w:rFonts w:cs="Arial"/>
        </w:rPr>
        <w:t>were</w:t>
      </w:r>
      <w:r w:rsidRPr="002E1AA4" w:rsidR="007B0F12">
        <w:rPr>
          <w:rFonts w:cs="Arial"/>
        </w:rPr>
        <w:t xml:space="preserve"> </w:t>
      </w:r>
      <w:r w:rsidRPr="002E1AA4" w:rsidR="002E1AA4">
        <w:rPr>
          <w:rFonts w:cs="Arial"/>
        </w:rPr>
        <w:t>new in 2019-</w:t>
      </w:r>
      <w:r w:rsidR="00C70B7A">
        <w:rPr>
          <w:rFonts w:cs="Arial"/>
        </w:rPr>
        <w:t>20</w:t>
      </w:r>
      <w:r w:rsidRPr="002E1AA4" w:rsidR="002E1AA4">
        <w:rPr>
          <w:rFonts w:cs="Arial"/>
        </w:rPr>
        <w:t xml:space="preserve">20 </w:t>
      </w:r>
      <w:r w:rsidR="007B0F12">
        <w:rPr>
          <w:rFonts w:cs="Arial"/>
        </w:rPr>
        <w:t>will</w:t>
      </w:r>
      <w:r w:rsidRPr="002E1AA4" w:rsidR="002E1AA4">
        <w:rPr>
          <w:rFonts w:cs="Arial"/>
        </w:rPr>
        <w:t xml:space="preserve"> be </w:t>
      </w:r>
      <w:r w:rsidR="007B0F12">
        <w:rPr>
          <w:rFonts w:cs="Arial"/>
        </w:rPr>
        <w:t xml:space="preserve">made </w:t>
      </w:r>
      <w:r w:rsidRPr="002E1AA4" w:rsidR="002E1AA4">
        <w:rPr>
          <w:rFonts w:cs="Arial"/>
        </w:rPr>
        <w:t xml:space="preserve">available </w:t>
      </w:r>
      <w:r w:rsidR="007B0F12">
        <w:rPr>
          <w:rFonts w:cs="Arial"/>
        </w:rPr>
        <w:t xml:space="preserve">as </w:t>
      </w:r>
      <w:r w:rsidRPr="007B0F12" w:rsidR="007B0F12">
        <w:rPr>
          <w:rFonts w:cs="Arial"/>
        </w:rPr>
        <w:t>a convenience sample</w:t>
      </w:r>
      <w:r w:rsidR="007B0F12">
        <w:rPr>
          <w:rFonts w:cs="Arial"/>
        </w:rPr>
        <w:t xml:space="preserve"> </w:t>
      </w:r>
      <w:r w:rsidRPr="002E1AA4" w:rsidR="002E1AA4">
        <w:rPr>
          <w:rFonts w:cs="Arial"/>
        </w:rPr>
        <w:t>through restricted access.</w:t>
      </w:r>
    </w:p>
    <w:p w:rsidR="006178E1" w:rsidP="00B637B5" w:rsidRDefault="006178E1" w14:paraId="2D1FB64C" w14:textId="77777777">
      <w:pPr>
        <w:widowControl/>
        <w:autoSpaceDE/>
        <w:autoSpaceDN/>
        <w:adjustRightInd/>
        <w:spacing w:after="200" w:line="276" w:lineRule="auto"/>
        <w:contextualSpacing/>
        <w:rPr>
          <w:rFonts w:cs="Arial"/>
        </w:rPr>
      </w:pPr>
    </w:p>
    <w:p w:rsidRPr="00285BEB" w:rsidR="00B637B5" w:rsidP="00B637B5" w:rsidRDefault="00B637B5" w14:paraId="07CBEA17" w14:textId="621CB2E0">
      <w:pPr>
        <w:keepNext/>
        <w:spacing w:before="240" w:after="60"/>
        <w:outlineLvl w:val="1"/>
        <w:rPr>
          <w:rFonts w:cs="Arial"/>
          <w:bCs/>
          <w:iCs/>
          <w:color w:val="000000" w:themeColor="text1"/>
          <w:szCs w:val="22"/>
        </w:rPr>
      </w:pPr>
      <w:r w:rsidRPr="00285BEB">
        <w:rPr>
          <w:rFonts w:cs="Arial"/>
          <w:bCs/>
          <w:iCs/>
          <w:color w:val="000000" w:themeColor="text1"/>
          <w:szCs w:val="22"/>
        </w:rPr>
        <w:t>Background on the Sample Design for NHANES 20</w:t>
      </w:r>
      <w:r>
        <w:rPr>
          <w:rFonts w:cs="Arial"/>
          <w:bCs/>
          <w:iCs/>
          <w:color w:val="000000" w:themeColor="text1"/>
          <w:szCs w:val="22"/>
        </w:rPr>
        <w:t>21</w:t>
      </w:r>
      <w:r w:rsidRPr="00285BEB">
        <w:rPr>
          <w:rFonts w:cs="Arial"/>
          <w:bCs/>
          <w:iCs/>
          <w:color w:val="000000" w:themeColor="text1"/>
          <w:szCs w:val="22"/>
        </w:rPr>
        <w:t>-2022</w:t>
      </w:r>
    </w:p>
    <w:p w:rsidR="009652B3" w:rsidP="00142293" w:rsidRDefault="009652B3" w14:paraId="63282CDF" w14:textId="77777777">
      <w:pPr>
        <w:rPr>
          <w:rFonts w:cs="Arial"/>
        </w:rPr>
      </w:pPr>
    </w:p>
    <w:p w:rsidR="00142293" w:rsidP="00142293" w:rsidRDefault="00F82640" w14:paraId="74424CDB" w14:textId="0A686CF2">
      <w:pPr>
        <w:rPr>
          <w:rFonts w:cs="Arial"/>
          <w:color w:val="000000" w:themeColor="text1"/>
        </w:rPr>
      </w:pPr>
      <w:r w:rsidRPr="005C0A40">
        <w:rPr>
          <w:rFonts w:cs="Arial"/>
        </w:rPr>
        <w:t xml:space="preserve">In 2021-22, the program is making changes </w:t>
      </w:r>
      <w:r w:rsidRPr="00285BEB">
        <w:rPr>
          <w:rFonts w:cs="Arial"/>
        </w:rPr>
        <w:t xml:space="preserve">to respond to the COVID-19 </w:t>
      </w:r>
      <w:r w:rsidR="00042559">
        <w:rPr>
          <w:rFonts w:cs="Arial"/>
        </w:rPr>
        <w:t xml:space="preserve">disease </w:t>
      </w:r>
      <w:r w:rsidRPr="00285BEB">
        <w:rPr>
          <w:rFonts w:cs="Arial"/>
        </w:rPr>
        <w:t>pandemic. The proposed changes include</w:t>
      </w:r>
      <w:r>
        <w:rPr>
          <w:rFonts w:cs="Arial"/>
        </w:rPr>
        <w:t xml:space="preserve"> those that reduce frequency of in-person interactions necessary between </w:t>
      </w:r>
      <w:r w:rsidR="00A64C13">
        <w:rPr>
          <w:rFonts w:cs="Arial"/>
        </w:rPr>
        <w:t>staff</w:t>
      </w:r>
      <w:r>
        <w:rPr>
          <w:rFonts w:cs="Arial"/>
        </w:rPr>
        <w:t xml:space="preserve"> and the public. Changes</w:t>
      </w:r>
      <w:r>
        <w:rPr>
          <w:rFonts w:cs="Arial"/>
          <w:color w:val="000000" w:themeColor="text1"/>
        </w:rPr>
        <w:t xml:space="preserve"> also include </w:t>
      </w:r>
      <w:r w:rsidR="009E562F">
        <w:rPr>
          <w:rFonts w:cs="Arial"/>
          <w:color w:val="000000" w:themeColor="text1"/>
        </w:rPr>
        <w:t xml:space="preserve">a </w:t>
      </w:r>
      <w:r>
        <w:rPr>
          <w:rFonts w:cs="Arial"/>
          <w:color w:val="000000" w:themeColor="text1"/>
        </w:rPr>
        <w:t>return to a sample design where e</w:t>
      </w:r>
      <w:r w:rsidRPr="00142293">
        <w:rPr>
          <w:rFonts w:cs="Arial"/>
          <w:color w:val="000000" w:themeColor="text1"/>
        </w:rPr>
        <w:t xml:space="preserve">ach </w:t>
      </w:r>
      <w:r w:rsidR="008A74F1">
        <w:rPr>
          <w:rFonts w:cs="Arial"/>
          <w:color w:val="000000" w:themeColor="text1"/>
        </w:rPr>
        <w:t>single</w:t>
      </w:r>
      <w:r w:rsidRPr="00142293" w:rsidR="008A74F1">
        <w:rPr>
          <w:rFonts w:cs="Arial"/>
          <w:color w:val="000000" w:themeColor="text1"/>
        </w:rPr>
        <w:t xml:space="preserve"> </w:t>
      </w:r>
      <w:r w:rsidRPr="00142293">
        <w:rPr>
          <w:rFonts w:cs="Arial"/>
          <w:color w:val="000000" w:themeColor="text1"/>
        </w:rPr>
        <w:t>year</w:t>
      </w:r>
      <w:r>
        <w:rPr>
          <w:rFonts w:cs="Arial"/>
          <w:color w:val="000000" w:themeColor="text1"/>
        </w:rPr>
        <w:t xml:space="preserve"> of the 2021-</w:t>
      </w:r>
      <w:r w:rsidR="000B2662">
        <w:rPr>
          <w:rFonts w:cs="Arial"/>
          <w:color w:val="000000" w:themeColor="text1"/>
        </w:rPr>
        <w:t>20</w:t>
      </w:r>
      <w:r>
        <w:rPr>
          <w:rFonts w:cs="Arial"/>
          <w:color w:val="000000" w:themeColor="text1"/>
        </w:rPr>
        <w:t xml:space="preserve">22 cycle </w:t>
      </w:r>
      <w:r w:rsidRPr="00142293" w:rsidR="00142293">
        <w:rPr>
          <w:rFonts w:cs="Arial"/>
          <w:color w:val="000000" w:themeColor="text1"/>
        </w:rPr>
        <w:t>is nationally representative sample. See Attachment 5a for the 2021-</w:t>
      </w:r>
      <w:r w:rsidR="000B2662">
        <w:rPr>
          <w:rFonts w:cs="Arial"/>
          <w:color w:val="000000" w:themeColor="text1"/>
        </w:rPr>
        <w:t>20</w:t>
      </w:r>
      <w:r w:rsidRPr="00142293" w:rsidR="00142293">
        <w:rPr>
          <w:rFonts w:cs="Arial"/>
          <w:color w:val="000000" w:themeColor="text1"/>
        </w:rPr>
        <w:t xml:space="preserve">22 sample design tables.  </w:t>
      </w:r>
    </w:p>
    <w:p w:rsidR="00142293" w:rsidP="00A826D8" w:rsidRDefault="00142293" w14:paraId="57A75FDE" w14:textId="77777777">
      <w:pPr>
        <w:rPr>
          <w:rFonts w:cs="Arial"/>
          <w:color w:val="000000" w:themeColor="text1"/>
        </w:rPr>
      </w:pPr>
    </w:p>
    <w:p w:rsidRPr="00285BEB" w:rsidR="00A826D8" w:rsidP="00A826D8" w:rsidRDefault="00A826D8" w14:paraId="6A35E8D5" w14:textId="0EECBF62">
      <w:pPr>
        <w:rPr>
          <w:rFonts w:cs="Arial"/>
        </w:rPr>
      </w:pPr>
      <w:r w:rsidRPr="64B97125">
        <w:rPr>
          <w:rFonts w:cs="Arial"/>
          <w:color w:val="000000" w:themeColor="text1"/>
        </w:rPr>
        <w:t xml:space="preserve">The primary objective of NHANES is to estimate a broad range of descriptive health and nutrition statistics for </w:t>
      </w:r>
      <w:r w:rsidR="007A6AFF">
        <w:rPr>
          <w:rFonts w:cs="Arial"/>
          <w:color w:val="000000" w:themeColor="text1"/>
        </w:rPr>
        <w:t>gender</w:t>
      </w:r>
      <w:r w:rsidRPr="64B97125">
        <w:rPr>
          <w:rFonts w:cs="Arial"/>
          <w:color w:val="000000" w:themeColor="text1"/>
        </w:rPr>
        <w:t xml:space="preserve">, race/Hispanic origin, </w:t>
      </w:r>
      <w:r w:rsidR="00B20CF0">
        <w:rPr>
          <w:rFonts w:cs="Arial"/>
          <w:color w:val="000000" w:themeColor="text1"/>
        </w:rPr>
        <w:t xml:space="preserve">and </w:t>
      </w:r>
      <w:r w:rsidRPr="64B97125">
        <w:rPr>
          <w:rFonts w:cs="Arial"/>
          <w:color w:val="000000" w:themeColor="text1"/>
        </w:rPr>
        <w:t xml:space="preserve">age subdomains of the U.S. population. Data are publicly released every two years to improve the analytic stability of estimates and to decrease disclosure risk. </w:t>
      </w:r>
    </w:p>
    <w:p w:rsidR="00A826D8" w:rsidP="00EF2F2F" w:rsidRDefault="00A826D8" w14:paraId="68D007E7" w14:textId="77777777">
      <w:pPr>
        <w:rPr>
          <w:rFonts w:cs="Arial"/>
          <w:color w:val="000000" w:themeColor="text1"/>
        </w:rPr>
      </w:pPr>
    </w:p>
    <w:p w:rsidRPr="005C0A40" w:rsidR="007263B1" w:rsidP="00EF2F2F" w:rsidRDefault="00862733" w14:paraId="7C05001A" w14:textId="0420EE55">
      <w:pPr>
        <w:rPr>
          <w:rFonts w:cs="Arial"/>
          <w:color w:val="000000" w:themeColor="text1"/>
          <w:szCs w:val="22"/>
        </w:rPr>
      </w:pPr>
      <w:r w:rsidRPr="00D2545D">
        <w:rPr>
          <w:rFonts w:cs="Arial"/>
          <w:color w:val="000000" w:themeColor="text1"/>
        </w:rPr>
        <w:t>NHANES 2021-2022 is oversampling children (0-19 years old) and older persons (60 years and o</w:t>
      </w:r>
      <w:r w:rsidR="00042559">
        <w:rPr>
          <w:rFonts w:cs="Arial"/>
          <w:color w:val="000000" w:themeColor="text1"/>
        </w:rPr>
        <w:t>ver</w:t>
      </w:r>
      <w:r w:rsidRPr="00D2545D">
        <w:rPr>
          <w:rFonts w:cs="Arial"/>
          <w:color w:val="000000" w:themeColor="text1"/>
        </w:rPr>
        <w:t>)</w:t>
      </w:r>
      <w:r w:rsidR="00A826D8">
        <w:rPr>
          <w:rFonts w:cs="Arial"/>
          <w:color w:val="000000" w:themeColor="text1"/>
        </w:rPr>
        <w:t xml:space="preserve">, but not </w:t>
      </w:r>
      <w:r w:rsidR="00BF661F">
        <w:rPr>
          <w:rFonts w:cs="Arial"/>
          <w:color w:val="000000" w:themeColor="text1"/>
        </w:rPr>
        <w:t xml:space="preserve">oversampling </w:t>
      </w:r>
      <w:r w:rsidRPr="00D2545D">
        <w:rPr>
          <w:rFonts w:cs="Arial"/>
          <w:color w:val="000000" w:themeColor="text1"/>
        </w:rPr>
        <w:t>by race, Hispanic origin</w:t>
      </w:r>
      <w:r w:rsidR="00961FFB">
        <w:rPr>
          <w:rFonts w:cs="Arial"/>
          <w:color w:val="000000" w:themeColor="text1"/>
        </w:rPr>
        <w:t>,</w:t>
      </w:r>
      <w:r w:rsidRPr="00D2545D">
        <w:rPr>
          <w:rFonts w:cs="Arial"/>
          <w:color w:val="000000" w:themeColor="text1"/>
        </w:rPr>
        <w:t xml:space="preserve"> or income</w:t>
      </w:r>
      <w:r w:rsidR="007A6AFF">
        <w:rPr>
          <w:rFonts w:cs="Arial"/>
          <w:color w:val="000000" w:themeColor="text1"/>
        </w:rPr>
        <w:t xml:space="preserve">. </w:t>
      </w:r>
      <w:r w:rsidRPr="00B12C08" w:rsidR="00843D3F">
        <w:rPr>
          <w:rFonts w:cs="Arial"/>
          <w:color w:val="000000" w:themeColor="text1"/>
        </w:rPr>
        <w:t xml:space="preserve">Dropping </w:t>
      </w:r>
      <w:r w:rsidR="00843D3F">
        <w:rPr>
          <w:rFonts w:cs="Arial"/>
          <w:color w:val="000000" w:themeColor="text1"/>
        </w:rPr>
        <w:t xml:space="preserve">the </w:t>
      </w:r>
      <w:r w:rsidRPr="00B12C08" w:rsidR="00843D3F">
        <w:rPr>
          <w:rFonts w:cs="Arial"/>
          <w:color w:val="000000" w:themeColor="text1"/>
        </w:rPr>
        <w:t>race, Hispanic origin</w:t>
      </w:r>
      <w:r w:rsidR="00843D3F">
        <w:rPr>
          <w:rFonts w:cs="Arial"/>
          <w:color w:val="000000" w:themeColor="text1"/>
        </w:rPr>
        <w:t>,</w:t>
      </w:r>
      <w:r w:rsidRPr="00B12C08" w:rsidR="00843D3F">
        <w:rPr>
          <w:rFonts w:cs="Arial"/>
          <w:color w:val="000000" w:themeColor="text1"/>
        </w:rPr>
        <w:t xml:space="preserve"> and income oversampling significantly reduces the number of households</w:t>
      </w:r>
      <w:r w:rsidR="00843D3F">
        <w:rPr>
          <w:rFonts w:cs="Arial"/>
          <w:color w:val="000000" w:themeColor="text1"/>
        </w:rPr>
        <w:t xml:space="preserve"> needed to be </w:t>
      </w:r>
      <w:r w:rsidR="00843D3F">
        <w:rPr>
          <w:rFonts w:cs="Arial"/>
          <w:color w:val="000000" w:themeColor="text1"/>
        </w:rPr>
        <w:lastRenderedPageBreak/>
        <w:t>screened</w:t>
      </w:r>
      <w:r w:rsidRPr="00B12C08" w:rsidR="00843D3F">
        <w:rPr>
          <w:rFonts w:cs="Arial"/>
          <w:color w:val="000000" w:themeColor="text1"/>
        </w:rPr>
        <w:t>, thereby minimizing in-person contact with households</w:t>
      </w:r>
      <w:r w:rsidR="00843D3F">
        <w:rPr>
          <w:rFonts w:cs="Arial"/>
          <w:color w:val="000000" w:themeColor="text1"/>
        </w:rPr>
        <w:t>. This change is made with the</w:t>
      </w:r>
      <w:r w:rsidRPr="00B12C08" w:rsidR="00843D3F">
        <w:rPr>
          <w:rFonts w:cs="Arial"/>
          <w:color w:val="000000" w:themeColor="text1"/>
        </w:rPr>
        <w:t xml:space="preserve"> safety considerations for </w:t>
      </w:r>
      <w:r w:rsidR="00843D3F">
        <w:rPr>
          <w:rFonts w:cs="Arial"/>
          <w:color w:val="000000" w:themeColor="text1"/>
        </w:rPr>
        <w:t xml:space="preserve">staff and the communities in the </w:t>
      </w:r>
      <w:r w:rsidRPr="00B12C08" w:rsidR="00843D3F">
        <w:rPr>
          <w:rFonts w:cs="Arial"/>
          <w:color w:val="000000" w:themeColor="text1"/>
        </w:rPr>
        <w:t>COVID-19</w:t>
      </w:r>
      <w:r w:rsidR="00843D3F">
        <w:rPr>
          <w:rFonts w:cs="Arial"/>
          <w:color w:val="000000" w:themeColor="text1"/>
        </w:rPr>
        <w:t xml:space="preserve"> environment</w:t>
      </w:r>
      <w:r w:rsidRPr="00B12C08" w:rsidR="00843D3F">
        <w:rPr>
          <w:rFonts w:cs="Arial"/>
          <w:color w:val="000000" w:themeColor="text1"/>
        </w:rPr>
        <w:t xml:space="preserve">. </w:t>
      </w:r>
      <w:r w:rsidR="00A826D8">
        <w:t>T</w:t>
      </w:r>
      <w:r w:rsidRPr="00EF2F2F" w:rsidR="007263B1">
        <w:t xml:space="preserve">he 2021-2022 </w:t>
      </w:r>
      <w:r w:rsidR="0069058E">
        <w:t>NHANES</w:t>
      </w:r>
      <w:r w:rsidRPr="00EF2F2F" w:rsidR="007263B1">
        <w:t xml:space="preserve"> data </w:t>
      </w:r>
      <w:r w:rsidR="00142294">
        <w:t>is expected</w:t>
      </w:r>
      <w:r w:rsidR="0069058E">
        <w:t xml:space="preserve"> </w:t>
      </w:r>
      <w:r w:rsidRPr="00EF2F2F" w:rsidR="007263B1">
        <w:t xml:space="preserve">provide national estimates overall, by </w:t>
      </w:r>
      <w:r w:rsidR="007A6AFF">
        <w:t>gender</w:t>
      </w:r>
      <w:r w:rsidRPr="00EF2F2F" w:rsidR="007263B1">
        <w:t>, by race-Hispanic origin</w:t>
      </w:r>
      <w:r w:rsidR="004526BF">
        <w:t>,</w:t>
      </w:r>
      <w:r w:rsidRPr="00EF2F2F" w:rsidR="007263B1">
        <w:t xml:space="preserve"> and by age group </w:t>
      </w:r>
      <w:proofErr w:type="gramStart"/>
      <w:r w:rsidR="00893EE5">
        <w:t>similar to</w:t>
      </w:r>
      <w:proofErr w:type="gramEnd"/>
      <w:r w:rsidR="00893EE5">
        <w:t xml:space="preserve"> the</w:t>
      </w:r>
      <w:r w:rsidRPr="00EF2F2F" w:rsidR="007263B1">
        <w:t xml:space="preserve"> previous </w:t>
      </w:r>
      <w:r w:rsidR="0069058E">
        <w:t xml:space="preserve">cycles’ </w:t>
      </w:r>
      <w:r w:rsidRPr="00EF2F2F" w:rsidR="007263B1">
        <w:t xml:space="preserve">sample design. NHANES data should </w:t>
      </w:r>
      <w:r w:rsidR="00142294">
        <w:t xml:space="preserve">also </w:t>
      </w:r>
      <w:r w:rsidRPr="00EF2F2F" w:rsidR="007263B1">
        <w:t>have enough sample size for two-way subgroups (race-gender, race-</w:t>
      </w:r>
      <w:proofErr w:type="gramStart"/>
      <w:r w:rsidRPr="00EF2F2F" w:rsidR="007263B1">
        <w:t>age</w:t>
      </w:r>
      <w:proofErr w:type="gramEnd"/>
      <w:r w:rsidRPr="00EF2F2F" w:rsidR="007263B1">
        <w:t xml:space="preserve"> and age-gender)</w:t>
      </w:r>
      <w:r w:rsidR="0069058E">
        <w:t xml:space="preserve"> for most sub-</w:t>
      </w:r>
      <w:r w:rsidR="00142294">
        <w:t>groups.</w:t>
      </w:r>
      <w:r w:rsidRPr="00142294" w:rsidR="00142294">
        <w:t xml:space="preserve"> </w:t>
      </w:r>
      <w:r w:rsidR="00142294">
        <w:t>However</w:t>
      </w:r>
      <w:r w:rsidR="0069058E">
        <w:t>, e</w:t>
      </w:r>
      <w:r w:rsidRPr="00EF2F2F" w:rsidR="007263B1">
        <w:t xml:space="preserve">stimates for </w:t>
      </w:r>
      <w:r w:rsidR="009608A8">
        <w:t xml:space="preserve">some population subgroups, such as </w:t>
      </w:r>
      <w:r w:rsidR="00124601">
        <w:t xml:space="preserve">non-Hispanic </w:t>
      </w:r>
      <w:r w:rsidRPr="00EF2F2F" w:rsidR="007263B1">
        <w:t>Asian</w:t>
      </w:r>
      <w:r w:rsidR="00142294">
        <w:t>s</w:t>
      </w:r>
      <w:r w:rsidRPr="00EF2F2F" w:rsidR="007263B1">
        <w:t xml:space="preserve"> by gender, </w:t>
      </w:r>
      <w:r w:rsidR="00124601">
        <w:t xml:space="preserve">non-Hispanic </w:t>
      </w:r>
      <w:r w:rsidRPr="00EF2F2F" w:rsidR="007263B1">
        <w:t>Asian</w:t>
      </w:r>
      <w:r w:rsidR="00142294">
        <w:t>s</w:t>
      </w:r>
      <w:r w:rsidRPr="00EF2F2F" w:rsidR="007263B1">
        <w:t xml:space="preserve"> by age</w:t>
      </w:r>
      <w:r w:rsidR="00661A67">
        <w:t>,</w:t>
      </w:r>
      <w:r w:rsidRPr="00EF2F2F" w:rsidR="007263B1">
        <w:t xml:space="preserve"> </w:t>
      </w:r>
      <w:r w:rsidR="00124601">
        <w:t>or</w:t>
      </w:r>
      <w:r w:rsidRPr="00EF2F2F" w:rsidR="00124601">
        <w:t xml:space="preserve"> </w:t>
      </w:r>
      <w:r w:rsidR="00893EE5">
        <w:t xml:space="preserve">non-Hispanic </w:t>
      </w:r>
      <w:r w:rsidR="00BF661F">
        <w:rPr>
          <w:rFonts w:cs="Arial"/>
          <w:color w:val="000000" w:themeColor="text1"/>
        </w:rPr>
        <w:t xml:space="preserve">Black </w:t>
      </w:r>
      <w:r w:rsidR="00661A67">
        <w:rPr>
          <w:rFonts w:cs="Arial"/>
          <w:color w:val="000000" w:themeColor="text1"/>
        </w:rPr>
        <w:t>persons</w:t>
      </w:r>
      <w:r w:rsidR="00D036A4">
        <w:rPr>
          <w:rFonts w:cs="Arial"/>
          <w:color w:val="000000" w:themeColor="text1"/>
        </w:rPr>
        <w:t xml:space="preserve"> </w:t>
      </w:r>
      <w:r w:rsidR="0069058E">
        <w:t xml:space="preserve">in the </w:t>
      </w:r>
      <w:r w:rsidR="009608A8">
        <w:t xml:space="preserve">age group of </w:t>
      </w:r>
      <w:r w:rsidRPr="00EF2F2F" w:rsidR="007263B1">
        <w:t xml:space="preserve">40-59 </w:t>
      </w:r>
      <w:r w:rsidR="009608A8">
        <w:t xml:space="preserve">years </w:t>
      </w:r>
      <w:r w:rsidRPr="00EF2F2F" w:rsidR="007263B1">
        <w:t xml:space="preserve">might depend on </w:t>
      </w:r>
      <w:r w:rsidR="00893EE5">
        <w:t xml:space="preserve">the </w:t>
      </w:r>
      <w:r w:rsidR="00BF661F">
        <w:t>prevalence of a given outcome</w:t>
      </w:r>
      <w:r w:rsidRPr="00EF2F2F" w:rsidR="007263B1">
        <w:t>. Without oversampling, sample sizes for three-way subgroup</w:t>
      </w:r>
      <w:r w:rsidR="000D3B0E">
        <w:t>s</w:t>
      </w:r>
      <w:r w:rsidRPr="00EF2F2F" w:rsidR="007263B1">
        <w:t xml:space="preserve"> (gender-race-age) </w:t>
      </w:r>
      <w:r w:rsidR="0069058E">
        <w:t>may</w:t>
      </w:r>
      <w:r w:rsidRPr="00EF2F2F" w:rsidR="007263B1">
        <w:t xml:space="preserve"> be too small. </w:t>
      </w:r>
      <w:r w:rsidR="0069058E">
        <w:t xml:space="preserve">This is expected considering that in past NHANES, even </w:t>
      </w:r>
      <w:r w:rsidR="00D036A4">
        <w:t>when</w:t>
      </w:r>
      <w:r w:rsidRPr="00EF2F2F" w:rsidR="007263B1">
        <w:t xml:space="preserve"> oversampl</w:t>
      </w:r>
      <w:r w:rsidR="0069058E">
        <w:t xml:space="preserve">ing by race, Hispanic origin and income, it was still necessary to </w:t>
      </w:r>
      <w:r w:rsidRPr="00EF2F2F" w:rsidR="007263B1">
        <w:t xml:space="preserve">combine </w:t>
      </w:r>
      <w:r w:rsidR="0069058E">
        <w:t>more than one cycle of data</w:t>
      </w:r>
      <w:r w:rsidRPr="00EF2F2F" w:rsidR="007263B1">
        <w:t xml:space="preserve"> to get stable estimates for </w:t>
      </w:r>
      <w:r w:rsidR="00D036A4">
        <w:t xml:space="preserve">condition with </w:t>
      </w:r>
      <w:r w:rsidRPr="00EF2F2F" w:rsidR="007263B1">
        <w:t>small prevalence of by gender-race-age.</w:t>
      </w:r>
      <w:r w:rsidR="00805C63">
        <w:t xml:space="preserve"> </w:t>
      </w:r>
      <w:r w:rsidR="000F104F">
        <w:t xml:space="preserve">The </w:t>
      </w:r>
      <w:r w:rsidR="00142294">
        <w:t>NHANES</w:t>
      </w:r>
      <w:r w:rsidR="000F104F">
        <w:t xml:space="preserve"> 2021-</w:t>
      </w:r>
      <w:r w:rsidR="000D3B0E">
        <w:t>20</w:t>
      </w:r>
      <w:r w:rsidR="000F104F">
        <w:t xml:space="preserve">22 </w:t>
      </w:r>
      <w:r w:rsidRPr="00142294" w:rsidR="00142294">
        <w:t>design should</w:t>
      </w:r>
      <w:r w:rsidR="000F104F">
        <w:t>, however,</w:t>
      </w:r>
      <w:r w:rsidRPr="00EF2F2F" w:rsidR="007263B1">
        <w:t xml:space="preserve"> have smaller variance estimates across race</w:t>
      </w:r>
      <w:r w:rsidR="00F379A0">
        <w:t xml:space="preserve"> and Hispanic origin</w:t>
      </w:r>
      <w:r w:rsidRPr="00EF2F2F" w:rsidR="007263B1">
        <w:t xml:space="preserve"> and age for outcome variables with similar </w:t>
      </w:r>
      <w:r w:rsidR="00124601">
        <w:t>sample sizes</w:t>
      </w:r>
      <w:r w:rsidRPr="00EF2F2F" w:rsidR="00E527B6">
        <w:t xml:space="preserve"> </w:t>
      </w:r>
      <w:r w:rsidRPr="00EF2F2F" w:rsidR="007263B1">
        <w:t>(due to less base weight variation).</w:t>
      </w:r>
    </w:p>
    <w:p w:rsidR="00BF20BC" w:rsidP="00BF20BC" w:rsidRDefault="00BF20BC" w14:paraId="21CEFB92" w14:textId="287A54A9">
      <w:pPr>
        <w:rPr>
          <w:rFonts w:cs="Arial"/>
          <w:color w:val="000000" w:themeColor="text1"/>
          <w:szCs w:val="22"/>
        </w:rPr>
      </w:pPr>
    </w:p>
    <w:p w:rsidRPr="005C0A40" w:rsidR="00B637B5" w:rsidP="00B637B5" w:rsidRDefault="00901BD8" w14:paraId="64A13443" w14:textId="4C23DFD6">
      <w:pPr>
        <w:rPr>
          <w:rFonts w:cs="Arial"/>
          <w:color w:val="000000" w:themeColor="text1"/>
          <w:szCs w:val="22"/>
        </w:rPr>
      </w:pPr>
      <w:r>
        <w:rPr>
          <w:rFonts w:cs="Arial"/>
          <w:color w:val="000000" w:themeColor="text1"/>
          <w:szCs w:val="22"/>
        </w:rPr>
        <w:t>T</w:t>
      </w:r>
      <w:r w:rsidRPr="008C3672" w:rsidR="00B637B5">
        <w:rPr>
          <w:rFonts w:cs="Arial"/>
          <w:color w:val="000000" w:themeColor="text1"/>
          <w:szCs w:val="22"/>
        </w:rPr>
        <w:t xml:space="preserve">he design for NHANES </w:t>
      </w:r>
      <w:r w:rsidR="00805C63">
        <w:rPr>
          <w:rFonts w:cs="Arial"/>
          <w:color w:val="000000" w:themeColor="text1"/>
          <w:szCs w:val="22"/>
        </w:rPr>
        <w:t xml:space="preserve">2021-22 </w:t>
      </w:r>
      <w:r w:rsidR="00BF661F">
        <w:rPr>
          <w:rFonts w:cs="Arial"/>
          <w:color w:val="000000" w:themeColor="text1"/>
          <w:szCs w:val="22"/>
        </w:rPr>
        <w:t>remains</w:t>
      </w:r>
      <w:r w:rsidRPr="008C3672" w:rsidR="00BF661F">
        <w:rPr>
          <w:rFonts w:cs="Arial"/>
          <w:color w:val="000000" w:themeColor="text1"/>
          <w:szCs w:val="22"/>
        </w:rPr>
        <w:t xml:space="preserve"> </w:t>
      </w:r>
      <w:r w:rsidRPr="008C3672" w:rsidR="00B637B5">
        <w:rPr>
          <w:rFonts w:cs="Arial"/>
          <w:color w:val="000000" w:themeColor="text1"/>
          <w:szCs w:val="22"/>
        </w:rPr>
        <w:t>a stratified, multistage probability sample of the civilian non-institutionalized population of the U.S. In hierarchical order, the stages of the sample selection are first: selection of Primary Sampling Units or PSUs (counties or small groups of contiguous counties); second: segments within PSU (a block or group of blocks containing a cluster of households); third: households within segments; and fourth: one or more survey participants within households. The assumption is that the field operations will include two mobile examination center (MEC) teams in operation and approximately 5,000 persons examined in 15 PSUs per year. The expected sample size is based on past NHANES experience with response rates for each subdomain of interest.</w:t>
      </w:r>
      <w:r w:rsidRPr="005C0A40" w:rsidR="00B637B5">
        <w:rPr>
          <w:rFonts w:cs="Arial"/>
          <w:color w:val="000000" w:themeColor="text1"/>
          <w:szCs w:val="22"/>
        </w:rPr>
        <w:t xml:space="preserve"> </w:t>
      </w:r>
    </w:p>
    <w:p w:rsidRPr="00285BEB" w:rsidR="00BF20BC" w:rsidP="00BF20BC" w:rsidRDefault="00BF20BC" w14:paraId="5037BC25" w14:textId="77777777">
      <w:pPr>
        <w:rPr>
          <w:rFonts w:cs="Arial"/>
          <w:b/>
          <w:color w:val="000000" w:themeColor="text1"/>
          <w:szCs w:val="22"/>
        </w:rPr>
      </w:pPr>
    </w:p>
    <w:p w:rsidR="00BF20BC" w:rsidP="00BF20BC" w:rsidRDefault="00BF20BC" w14:paraId="0539BB1A" w14:textId="1421D9C1">
      <w:pPr>
        <w:rPr>
          <w:rFonts w:cs="Arial"/>
          <w:color w:val="000000" w:themeColor="text1"/>
          <w:szCs w:val="22"/>
        </w:rPr>
      </w:pPr>
      <w:r w:rsidRPr="008C3672">
        <w:rPr>
          <w:rFonts w:cs="Arial"/>
          <w:color w:val="000000" w:themeColor="text1"/>
          <w:szCs w:val="22"/>
        </w:rPr>
        <w:t>T</w:t>
      </w:r>
      <w:r w:rsidR="00B637B5">
        <w:rPr>
          <w:rFonts w:cs="Arial"/>
          <w:color w:val="000000" w:themeColor="text1"/>
          <w:szCs w:val="22"/>
        </w:rPr>
        <w:t>his</w:t>
      </w:r>
      <w:r w:rsidRPr="008C3672">
        <w:rPr>
          <w:rFonts w:cs="Arial"/>
          <w:color w:val="000000" w:themeColor="text1"/>
          <w:szCs w:val="22"/>
        </w:rPr>
        <w:t xml:space="preserve"> </w:t>
      </w:r>
      <w:r w:rsidRPr="008C3672" w:rsidR="00144263">
        <w:rPr>
          <w:rFonts w:cs="Arial"/>
          <w:color w:val="000000" w:themeColor="text1"/>
          <w:szCs w:val="22"/>
        </w:rPr>
        <w:t>submission</w:t>
      </w:r>
      <w:r w:rsidRPr="008C3672">
        <w:rPr>
          <w:rFonts w:cs="Arial"/>
          <w:color w:val="000000" w:themeColor="text1"/>
          <w:szCs w:val="22"/>
        </w:rPr>
        <w:t xml:space="preserve"> is limited to seeking approval for the NHANES 20</w:t>
      </w:r>
      <w:r w:rsidRPr="008C3672" w:rsidR="00FB6ADE">
        <w:rPr>
          <w:rFonts w:cs="Arial"/>
          <w:color w:val="000000" w:themeColor="text1"/>
          <w:szCs w:val="22"/>
        </w:rPr>
        <w:t>21</w:t>
      </w:r>
      <w:r w:rsidRPr="008C3672">
        <w:rPr>
          <w:rFonts w:cs="Arial"/>
          <w:color w:val="000000" w:themeColor="text1"/>
          <w:szCs w:val="22"/>
        </w:rPr>
        <w:t>-202</w:t>
      </w:r>
      <w:r w:rsidRPr="008C3672" w:rsidR="00FB6ADE">
        <w:rPr>
          <w:rFonts w:cs="Arial"/>
          <w:color w:val="000000" w:themeColor="text1"/>
          <w:szCs w:val="22"/>
        </w:rPr>
        <w:t>2</w:t>
      </w:r>
      <w:r w:rsidRPr="008C3672">
        <w:rPr>
          <w:rFonts w:cs="Arial"/>
          <w:color w:val="000000" w:themeColor="text1"/>
          <w:szCs w:val="22"/>
        </w:rPr>
        <w:t xml:space="preserve"> sample. The program needs to be flexible in an era of budget uncertainty and plans to evaluate options for NHANES 202</w:t>
      </w:r>
      <w:r w:rsidRPr="008C3672" w:rsidR="00FB6ADE">
        <w:rPr>
          <w:rFonts w:cs="Arial"/>
          <w:color w:val="000000" w:themeColor="text1"/>
          <w:szCs w:val="22"/>
        </w:rPr>
        <w:t>3</w:t>
      </w:r>
      <w:r w:rsidRPr="008C3672">
        <w:rPr>
          <w:rFonts w:cs="Arial"/>
          <w:color w:val="000000" w:themeColor="text1"/>
          <w:szCs w:val="22"/>
        </w:rPr>
        <w:t>-</w:t>
      </w:r>
      <w:r w:rsidR="00AE0540">
        <w:rPr>
          <w:rFonts w:cs="Arial"/>
          <w:color w:val="000000" w:themeColor="text1"/>
          <w:szCs w:val="22"/>
        </w:rPr>
        <w:t>20</w:t>
      </w:r>
      <w:r w:rsidRPr="008C3672">
        <w:rPr>
          <w:rFonts w:cs="Arial"/>
          <w:color w:val="000000" w:themeColor="text1"/>
          <w:szCs w:val="22"/>
        </w:rPr>
        <w:t>2</w:t>
      </w:r>
      <w:r w:rsidRPr="008C3672" w:rsidR="00FB6ADE">
        <w:rPr>
          <w:rFonts w:cs="Arial"/>
          <w:color w:val="000000" w:themeColor="text1"/>
          <w:szCs w:val="22"/>
        </w:rPr>
        <w:t>4</w:t>
      </w:r>
      <w:r w:rsidRPr="008C3672">
        <w:rPr>
          <w:rFonts w:cs="Arial"/>
          <w:color w:val="000000" w:themeColor="text1"/>
          <w:szCs w:val="22"/>
        </w:rPr>
        <w:t xml:space="preserve">. Should funding fall short, the NHANES program may choose to stop oversampling in </w:t>
      </w:r>
      <w:r w:rsidRPr="008C3672" w:rsidR="003D111C">
        <w:rPr>
          <w:rFonts w:cs="Arial"/>
          <w:color w:val="000000" w:themeColor="text1"/>
          <w:szCs w:val="22"/>
        </w:rPr>
        <w:t>2023-</w:t>
      </w:r>
      <w:r w:rsidR="00A216CE">
        <w:rPr>
          <w:rFonts w:cs="Arial"/>
          <w:color w:val="000000" w:themeColor="text1"/>
          <w:szCs w:val="22"/>
        </w:rPr>
        <w:t>20</w:t>
      </w:r>
      <w:r w:rsidRPr="008C3672" w:rsidR="003D111C">
        <w:rPr>
          <w:rFonts w:cs="Arial"/>
          <w:color w:val="000000" w:themeColor="text1"/>
          <w:szCs w:val="22"/>
        </w:rPr>
        <w:t>24 and</w:t>
      </w:r>
      <w:r w:rsidRPr="008C3672">
        <w:rPr>
          <w:rFonts w:cs="Arial"/>
          <w:color w:val="000000" w:themeColor="text1"/>
          <w:szCs w:val="22"/>
        </w:rPr>
        <w:t xml:space="preserve"> draw a new sample. </w:t>
      </w:r>
      <w:r w:rsidR="00EF2F2F">
        <w:rPr>
          <w:rFonts w:cs="Arial"/>
          <w:color w:val="000000" w:themeColor="text1"/>
          <w:szCs w:val="22"/>
        </w:rPr>
        <w:t>T</w:t>
      </w:r>
      <w:r w:rsidRPr="008C3672">
        <w:rPr>
          <w:rFonts w:cs="Arial"/>
          <w:color w:val="000000" w:themeColor="text1"/>
          <w:szCs w:val="22"/>
        </w:rPr>
        <w:t xml:space="preserve">he program will submit a future </w:t>
      </w:r>
      <w:r w:rsidRPr="008C3672" w:rsidR="007370A2">
        <w:rPr>
          <w:rFonts w:cs="Arial"/>
          <w:color w:val="000000" w:themeColor="text1"/>
          <w:szCs w:val="22"/>
        </w:rPr>
        <w:t xml:space="preserve">change request </w:t>
      </w:r>
      <w:r w:rsidRPr="008C3672">
        <w:rPr>
          <w:rFonts w:cs="Arial"/>
          <w:color w:val="000000" w:themeColor="text1"/>
          <w:szCs w:val="22"/>
        </w:rPr>
        <w:t>to seek approval for the NHANES 202</w:t>
      </w:r>
      <w:r w:rsidRPr="008C3672" w:rsidR="00FB6ADE">
        <w:rPr>
          <w:rFonts w:cs="Arial"/>
          <w:color w:val="000000" w:themeColor="text1"/>
          <w:szCs w:val="22"/>
        </w:rPr>
        <w:t>3</w:t>
      </w:r>
      <w:r w:rsidRPr="008C3672">
        <w:rPr>
          <w:rFonts w:cs="Arial"/>
          <w:color w:val="000000" w:themeColor="text1"/>
          <w:szCs w:val="22"/>
        </w:rPr>
        <w:t>-</w:t>
      </w:r>
      <w:r w:rsidR="00A216CE">
        <w:rPr>
          <w:rFonts w:cs="Arial"/>
          <w:color w:val="000000" w:themeColor="text1"/>
          <w:szCs w:val="22"/>
        </w:rPr>
        <w:t>20</w:t>
      </w:r>
      <w:r w:rsidRPr="008C3672">
        <w:rPr>
          <w:rFonts w:cs="Arial"/>
          <w:color w:val="000000" w:themeColor="text1"/>
          <w:szCs w:val="22"/>
        </w:rPr>
        <w:t>2</w:t>
      </w:r>
      <w:r w:rsidRPr="008C3672" w:rsidR="00FB6ADE">
        <w:rPr>
          <w:rFonts w:cs="Arial"/>
          <w:color w:val="000000" w:themeColor="text1"/>
          <w:szCs w:val="22"/>
        </w:rPr>
        <w:t>4</w:t>
      </w:r>
      <w:r w:rsidRPr="008C3672">
        <w:rPr>
          <w:rFonts w:cs="Arial"/>
          <w:color w:val="000000" w:themeColor="text1"/>
          <w:szCs w:val="22"/>
        </w:rPr>
        <w:t xml:space="preserve"> sample design.  </w:t>
      </w:r>
    </w:p>
    <w:p w:rsidR="00590E50" w:rsidP="00BF20BC" w:rsidRDefault="00590E50" w14:paraId="71AB7D5A" w14:textId="5AF4E765">
      <w:pPr>
        <w:rPr>
          <w:rFonts w:cs="Arial"/>
          <w:color w:val="000000" w:themeColor="text1"/>
          <w:szCs w:val="22"/>
        </w:rPr>
      </w:pPr>
    </w:p>
    <w:p w:rsidRPr="008C3672" w:rsidR="00144263" w:rsidP="00144263" w:rsidRDefault="00144263" w14:paraId="5132A33F" w14:textId="77777777">
      <w:pPr>
        <w:rPr>
          <w:rFonts w:cs="Arial"/>
          <w:color w:val="000000" w:themeColor="text1"/>
          <w:szCs w:val="22"/>
        </w:rPr>
      </w:pPr>
      <w:r w:rsidRPr="008C3672">
        <w:rPr>
          <w:rFonts w:cs="Arial"/>
          <w:color w:val="000000" w:themeColor="text1"/>
          <w:szCs w:val="22"/>
        </w:rPr>
        <w:t>References</w:t>
      </w:r>
    </w:p>
    <w:p w:rsidRPr="002477D3" w:rsidR="00144263" w:rsidP="008C3672" w:rsidRDefault="00092D3D" w14:paraId="1EAD8B18" w14:textId="3D27FF80">
      <w:pPr>
        <w:pStyle w:val="ListParagraph"/>
        <w:widowControl/>
        <w:numPr>
          <w:ilvl w:val="0"/>
          <w:numId w:val="5"/>
        </w:numPr>
        <w:autoSpaceDE/>
        <w:autoSpaceDN/>
        <w:adjustRightInd/>
        <w:spacing w:after="200" w:line="276" w:lineRule="auto"/>
        <w:contextualSpacing/>
        <w:rPr>
          <w:rFonts w:cs="Arial"/>
          <w:color w:val="000000" w:themeColor="text1"/>
          <w:szCs w:val="22"/>
        </w:rPr>
      </w:pPr>
      <w:hyperlink w:history="1" r:id="rId11">
        <w:r w:rsidRPr="009E5612" w:rsidR="009E5612">
          <w:rPr>
            <w:rStyle w:val="Hyperlink"/>
            <w:rFonts w:cs="Arial"/>
            <w:szCs w:val="22"/>
          </w:rPr>
          <w:t>https://www.cdc.gov/nchs/data/series/sr_02/sr02_160.pdf</w:t>
        </w:r>
      </w:hyperlink>
    </w:p>
    <w:p w:rsidRPr="002477D3" w:rsidR="00144263" w:rsidP="008C3672" w:rsidRDefault="00092D3D" w14:paraId="02BDDE15" w14:textId="6CFABF53">
      <w:pPr>
        <w:pStyle w:val="ListParagraph"/>
        <w:widowControl/>
        <w:numPr>
          <w:ilvl w:val="0"/>
          <w:numId w:val="5"/>
        </w:numPr>
        <w:autoSpaceDE/>
        <w:autoSpaceDN/>
        <w:adjustRightInd/>
        <w:spacing w:after="200" w:line="276" w:lineRule="auto"/>
        <w:contextualSpacing/>
        <w:rPr>
          <w:rStyle w:val="Hyperlink"/>
          <w:rFonts w:cs="Arial"/>
          <w:color w:val="000000" w:themeColor="text1"/>
          <w:szCs w:val="22"/>
          <w:u w:val="none"/>
        </w:rPr>
      </w:pPr>
      <w:hyperlink w:history="1" r:id="rId12">
        <w:r w:rsidRPr="009E5612" w:rsidR="00F765E1">
          <w:rPr>
            <w:rStyle w:val="Hyperlink"/>
            <w:rFonts w:cs="Arial"/>
            <w:szCs w:val="22"/>
          </w:rPr>
          <w:t>https://www.cdc.gov/nchs/data/series/sr_02/sr02_162.pdf</w:t>
        </w:r>
      </w:hyperlink>
    </w:p>
    <w:p w:rsidRPr="005C0A40" w:rsidR="001D0D6E" w:rsidP="008C3672" w:rsidRDefault="00092D3D" w14:paraId="2DECB7CF" w14:textId="58A78120">
      <w:pPr>
        <w:pStyle w:val="ListParagraph"/>
        <w:widowControl/>
        <w:numPr>
          <w:ilvl w:val="0"/>
          <w:numId w:val="5"/>
        </w:numPr>
        <w:autoSpaceDE/>
        <w:autoSpaceDN/>
        <w:adjustRightInd/>
        <w:spacing w:after="200" w:line="276" w:lineRule="auto"/>
        <w:contextualSpacing/>
        <w:rPr>
          <w:rFonts w:cs="Arial"/>
          <w:color w:val="000000" w:themeColor="text1"/>
          <w:szCs w:val="22"/>
        </w:rPr>
      </w:pPr>
      <w:hyperlink w:history="1" r:id="rId13">
        <w:r w:rsidRPr="005C0A40" w:rsidR="001D0D6E">
          <w:rPr>
            <w:rStyle w:val="Hyperlink"/>
          </w:rPr>
          <w:t>https://www.cdc.gov/nchs/data/ser</w:t>
        </w:r>
        <w:r w:rsidRPr="00285BEB" w:rsidR="001D0D6E">
          <w:rPr>
            <w:rStyle w:val="Hyperlink"/>
          </w:rPr>
          <w:t>ies/sr_02/sr02-184-508.pdf</w:t>
        </w:r>
      </w:hyperlink>
    </w:p>
    <w:p w:rsidRPr="00285BEB" w:rsidR="00C924F1" w:rsidP="00C924F1" w:rsidRDefault="00C924F1" w14:paraId="04200F64" w14:textId="3FA0CB7C">
      <w:pPr>
        <w:keepNext/>
        <w:outlineLvl w:val="1"/>
        <w:rPr>
          <w:rFonts w:cs="Arial"/>
          <w:color w:val="000000" w:themeColor="text1"/>
          <w:szCs w:val="22"/>
        </w:rPr>
      </w:pPr>
      <w:r w:rsidRPr="00285BEB">
        <w:rPr>
          <w:rFonts w:cs="Arial"/>
          <w:color w:val="000000" w:themeColor="text1"/>
          <w:szCs w:val="22"/>
        </w:rPr>
        <w:t>2.  Procedures for the Collection of Information</w:t>
      </w:r>
    </w:p>
    <w:p w:rsidRPr="00285BEB" w:rsidR="008639D0" w:rsidP="008639D0" w:rsidRDefault="008639D0" w14:paraId="5CFB2BCB" w14:textId="77777777">
      <w:pPr>
        <w:keepNext/>
        <w:rPr>
          <w:rFonts w:cs="Arial"/>
          <w:b/>
          <w:color w:val="000000" w:themeColor="text1"/>
          <w:szCs w:val="22"/>
        </w:rPr>
      </w:pPr>
    </w:p>
    <w:p w:rsidRPr="00285BEB" w:rsidR="008639D0" w:rsidP="008639D0" w:rsidRDefault="008639D0" w14:paraId="2ACBFAFE" w14:textId="77777777">
      <w:pPr>
        <w:keepNext/>
        <w:rPr>
          <w:rFonts w:cs="Arial"/>
          <w:color w:val="000000" w:themeColor="text1"/>
          <w:szCs w:val="22"/>
        </w:rPr>
      </w:pPr>
      <w:r w:rsidRPr="00285BEB">
        <w:rPr>
          <w:rFonts w:cs="Arial"/>
          <w:color w:val="000000" w:themeColor="text1"/>
          <w:szCs w:val="22"/>
        </w:rPr>
        <w:t>Data Collection Procedures</w:t>
      </w:r>
      <w:r w:rsidRPr="00285BEB">
        <w:rPr>
          <w:rFonts w:cs="Arial"/>
          <w:bCs/>
          <w:color w:val="000000" w:themeColor="text1"/>
          <w:szCs w:val="22"/>
        </w:rPr>
        <w:t xml:space="preserve"> </w:t>
      </w:r>
    </w:p>
    <w:p w:rsidRPr="00285BEB" w:rsidR="008639D0" w:rsidP="008639D0" w:rsidRDefault="008639D0" w14:paraId="6E68997E" w14:textId="77777777">
      <w:pPr>
        <w:keepNext/>
        <w:rPr>
          <w:rFonts w:cs="Arial"/>
          <w:color w:val="000000" w:themeColor="text1"/>
          <w:szCs w:val="22"/>
        </w:rPr>
      </w:pPr>
    </w:p>
    <w:p w:rsidRPr="00285BEB" w:rsidR="006A0084" w:rsidP="008639D0" w:rsidRDefault="008639D0" w14:paraId="3DD571F5" w14:textId="2B0E50F7">
      <w:pPr>
        <w:rPr>
          <w:rFonts w:cs="Arial"/>
          <w:color w:val="000000" w:themeColor="text1"/>
          <w:szCs w:val="22"/>
        </w:rPr>
      </w:pPr>
      <w:r w:rsidRPr="00285BEB">
        <w:rPr>
          <w:rFonts w:cs="Arial"/>
          <w:color w:val="000000" w:themeColor="text1"/>
        </w:rPr>
        <w:t xml:space="preserve">A contractor is responsible for data collection procedures. The responsibilities of the contractor </w:t>
      </w:r>
      <w:r w:rsidRPr="00285BEB" w:rsidR="009C6865">
        <w:rPr>
          <w:rFonts w:cs="Arial"/>
          <w:color w:val="000000" w:themeColor="text1"/>
          <w:szCs w:val="22"/>
        </w:rPr>
        <w:t>include</w:t>
      </w:r>
      <w:r w:rsidRPr="00285BEB" w:rsidR="006A0084">
        <w:rPr>
          <w:rFonts w:cs="Arial"/>
          <w:color w:val="000000" w:themeColor="text1"/>
          <w:szCs w:val="22"/>
        </w:rPr>
        <w:t>:</w:t>
      </w:r>
    </w:p>
    <w:p w:rsidRPr="00285BEB" w:rsidR="006A0084" w:rsidP="002477D3" w:rsidRDefault="00A216CE" w14:paraId="40818F28" w14:textId="7662FF9F">
      <w:pPr>
        <w:pStyle w:val="ListParagraph"/>
        <w:numPr>
          <w:ilvl w:val="0"/>
          <w:numId w:val="2"/>
        </w:numPr>
        <w:rPr>
          <w:rFonts w:cs="Arial"/>
          <w:bCs/>
          <w:color w:val="000000" w:themeColor="text1"/>
          <w:szCs w:val="22"/>
        </w:rPr>
      </w:pPr>
      <w:r>
        <w:rPr>
          <w:rFonts w:cs="Arial"/>
          <w:color w:val="000000" w:themeColor="text1"/>
          <w:szCs w:val="22"/>
        </w:rPr>
        <w:t>S</w:t>
      </w:r>
      <w:r w:rsidRPr="00285BEB" w:rsidR="008639D0">
        <w:rPr>
          <w:rFonts w:cs="Arial"/>
          <w:color w:val="000000" w:themeColor="text1"/>
          <w:szCs w:val="22"/>
        </w:rPr>
        <w:t>elect Primary Sampling Units</w:t>
      </w:r>
      <w:r w:rsidRPr="00285BEB" w:rsidR="009A1E62">
        <w:rPr>
          <w:rFonts w:cs="Arial"/>
          <w:color w:val="000000" w:themeColor="text1"/>
          <w:szCs w:val="22"/>
        </w:rPr>
        <w:t xml:space="preserve"> (PSUs)</w:t>
      </w:r>
      <w:r w:rsidRPr="00285BEB" w:rsidR="008639D0">
        <w:rPr>
          <w:rFonts w:cs="Arial"/>
          <w:color w:val="000000" w:themeColor="text1"/>
          <w:szCs w:val="22"/>
        </w:rPr>
        <w:t xml:space="preserve"> and other units of the sample design</w:t>
      </w:r>
    </w:p>
    <w:p w:rsidRPr="00285BEB" w:rsidR="006A0084" w:rsidP="002477D3" w:rsidRDefault="00A216CE" w14:paraId="455DD27D" w14:textId="4EF5741E">
      <w:pPr>
        <w:pStyle w:val="ListParagraph"/>
        <w:numPr>
          <w:ilvl w:val="0"/>
          <w:numId w:val="2"/>
        </w:numPr>
        <w:rPr>
          <w:rFonts w:cs="Arial"/>
          <w:color w:val="000000" w:themeColor="text1"/>
        </w:rPr>
      </w:pPr>
      <w:r>
        <w:rPr>
          <w:rFonts w:cs="Arial"/>
          <w:color w:val="000000" w:themeColor="text1"/>
        </w:rPr>
        <w:t>L</w:t>
      </w:r>
      <w:r w:rsidRPr="6BC90254" w:rsidR="008639D0">
        <w:rPr>
          <w:rFonts w:cs="Arial"/>
          <w:color w:val="000000" w:themeColor="text1"/>
        </w:rPr>
        <w:t xml:space="preserve">ist </w:t>
      </w:r>
      <w:r w:rsidRPr="6BC90254" w:rsidR="008B1D7A">
        <w:rPr>
          <w:rFonts w:cs="Arial"/>
          <w:color w:val="000000" w:themeColor="text1"/>
        </w:rPr>
        <w:t>all dwelling units within each segment</w:t>
      </w:r>
    </w:p>
    <w:p w:rsidRPr="00285BEB" w:rsidR="006A0084" w:rsidP="002477D3" w:rsidRDefault="00A216CE" w14:paraId="3B60E0E6" w14:textId="39747864">
      <w:pPr>
        <w:pStyle w:val="ListParagraph"/>
        <w:numPr>
          <w:ilvl w:val="0"/>
          <w:numId w:val="2"/>
        </w:numPr>
        <w:rPr>
          <w:rFonts w:cs="Arial"/>
          <w:color w:val="000000" w:themeColor="text1"/>
        </w:rPr>
      </w:pPr>
      <w:r>
        <w:rPr>
          <w:rFonts w:cs="Arial"/>
          <w:color w:val="000000" w:themeColor="text1"/>
        </w:rPr>
        <w:t>M</w:t>
      </w:r>
      <w:r w:rsidRPr="395C42BB" w:rsidR="008639D0">
        <w:rPr>
          <w:rFonts w:cs="Arial"/>
          <w:color w:val="000000" w:themeColor="text1"/>
        </w:rPr>
        <w:t>ake advance arrangements for each locatio</w:t>
      </w:r>
      <w:r w:rsidRPr="395C42BB" w:rsidR="025B51B1">
        <w:rPr>
          <w:rFonts w:cs="Arial"/>
          <w:color w:val="000000" w:themeColor="text1"/>
        </w:rPr>
        <w:t>n</w:t>
      </w:r>
    </w:p>
    <w:p w:rsidRPr="00285BEB" w:rsidR="006A0084" w:rsidP="002477D3" w:rsidRDefault="00A216CE" w14:paraId="0EA0A914" w14:textId="443B77D5">
      <w:pPr>
        <w:pStyle w:val="ListParagraph"/>
        <w:numPr>
          <w:ilvl w:val="0"/>
          <w:numId w:val="2"/>
        </w:numPr>
        <w:rPr>
          <w:rFonts w:cs="Arial"/>
          <w:bCs/>
          <w:color w:val="000000" w:themeColor="text1"/>
          <w:szCs w:val="22"/>
        </w:rPr>
      </w:pPr>
      <w:r>
        <w:rPr>
          <w:rFonts w:cs="Arial"/>
          <w:color w:val="000000" w:themeColor="text1"/>
          <w:szCs w:val="22"/>
        </w:rPr>
        <w:t>P</w:t>
      </w:r>
      <w:r w:rsidRPr="00285BEB" w:rsidR="008639D0">
        <w:rPr>
          <w:rFonts w:cs="Arial"/>
          <w:color w:val="000000" w:themeColor="text1"/>
          <w:szCs w:val="22"/>
        </w:rPr>
        <w:t>rovide input on NCHS’s publicity/outreach methods and materials</w:t>
      </w:r>
    </w:p>
    <w:p w:rsidRPr="00285BEB" w:rsidR="009A1E62" w:rsidP="002477D3" w:rsidRDefault="006E7D32" w14:paraId="56CF448F" w14:textId="3871089C">
      <w:pPr>
        <w:pStyle w:val="ListParagraph"/>
        <w:numPr>
          <w:ilvl w:val="0"/>
          <w:numId w:val="2"/>
        </w:numPr>
        <w:rPr>
          <w:rFonts w:cs="Arial"/>
          <w:bCs/>
          <w:color w:val="000000" w:themeColor="text1"/>
          <w:szCs w:val="22"/>
        </w:rPr>
      </w:pPr>
      <w:r>
        <w:rPr>
          <w:rFonts w:cs="Arial"/>
          <w:color w:val="000000" w:themeColor="text1"/>
          <w:szCs w:val="22"/>
        </w:rPr>
        <w:t>H</w:t>
      </w:r>
      <w:r w:rsidRPr="00285BEB" w:rsidR="009A1E62">
        <w:rPr>
          <w:rFonts w:cs="Arial"/>
          <w:color w:val="000000" w:themeColor="text1"/>
          <w:szCs w:val="22"/>
        </w:rPr>
        <w:t xml:space="preserve">ire </w:t>
      </w:r>
      <w:r w:rsidRPr="00285BEB" w:rsidR="005342B2">
        <w:rPr>
          <w:rFonts w:cs="Arial"/>
          <w:color w:val="000000" w:themeColor="text1"/>
          <w:szCs w:val="22"/>
        </w:rPr>
        <w:t xml:space="preserve">and train </w:t>
      </w:r>
      <w:r w:rsidRPr="00285BEB" w:rsidR="009A1E62">
        <w:rPr>
          <w:rFonts w:cs="Arial"/>
          <w:color w:val="000000" w:themeColor="text1"/>
          <w:szCs w:val="22"/>
        </w:rPr>
        <w:t>field staff</w:t>
      </w:r>
    </w:p>
    <w:p w:rsidRPr="00285BEB" w:rsidR="006A0084" w:rsidP="002477D3" w:rsidRDefault="006E7D32" w14:paraId="44832FB8" w14:textId="63642787">
      <w:pPr>
        <w:pStyle w:val="ListParagraph"/>
        <w:numPr>
          <w:ilvl w:val="0"/>
          <w:numId w:val="2"/>
        </w:numPr>
        <w:rPr>
          <w:rFonts w:cs="Arial"/>
          <w:bCs/>
          <w:color w:val="000000" w:themeColor="text1"/>
          <w:szCs w:val="22"/>
        </w:rPr>
      </w:pPr>
      <w:r>
        <w:rPr>
          <w:rFonts w:cs="Arial"/>
          <w:color w:val="000000" w:themeColor="text1"/>
          <w:szCs w:val="22"/>
        </w:rPr>
        <w:t>S</w:t>
      </w:r>
      <w:r w:rsidRPr="00285BEB" w:rsidR="008639D0">
        <w:rPr>
          <w:rFonts w:cs="Arial"/>
          <w:color w:val="000000" w:themeColor="text1"/>
          <w:szCs w:val="22"/>
        </w:rPr>
        <w:t xml:space="preserve">et up and maintain field </w:t>
      </w:r>
      <w:r w:rsidRPr="00285BEB" w:rsidR="004447E5">
        <w:rPr>
          <w:rFonts w:cs="Arial"/>
          <w:color w:val="000000" w:themeColor="text1"/>
          <w:szCs w:val="22"/>
        </w:rPr>
        <w:t>activities</w:t>
      </w:r>
    </w:p>
    <w:p w:rsidRPr="00285BEB" w:rsidR="006A0084" w:rsidP="002477D3" w:rsidRDefault="006E7D32" w14:paraId="77CA7C4F" w14:textId="144D649A">
      <w:pPr>
        <w:pStyle w:val="ListParagraph"/>
        <w:numPr>
          <w:ilvl w:val="0"/>
          <w:numId w:val="2"/>
        </w:numPr>
        <w:rPr>
          <w:rFonts w:cs="Arial"/>
          <w:bCs/>
          <w:color w:val="000000" w:themeColor="text1"/>
          <w:szCs w:val="22"/>
        </w:rPr>
      </w:pPr>
      <w:r>
        <w:rPr>
          <w:rFonts w:cs="Arial"/>
          <w:color w:val="000000" w:themeColor="text1"/>
          <w:szCs w:val="22"/>
        </w:rPr>
        <w:t>S</w:t>
      </w:r>
      <w:r w:rsidRPr="00285BEB" w:rsidR="008639D0">
        <w:rPr>
          <w:rFonts w:cs="Arial"/>
          <w:color w:val="000000" w:themeColor="text1"/>
          <w:szCs w:val="22"/>
        </w:rPr>
        <w:t>et up and maintain the MECs</w:t>
      </w:r>
    </w:p>
    <w:p w:rsidRPr="00285BEB" w:rsidR="006A0084" w:rsidP="002477D3" w:rsidRDefault="006E7D32" w14:paraId="2E0FD411" w14:textId="78191367">
      <w:pPr>
        <w:pStyle w:val="ListParagraph"/>
        <w:numPr>
          <w:ilvl w:val="0"/>
          <w:numId w:val="2"/>
        </w:numPr>
        <w:rPr>
          <w:rFonts w:cs="Arial"/>
          <w:bCs/>
          <w:color w:val="000000" w:themeColor="text1"/>
          <w:szCs w:val="22"/>
        </w:rPr>
      </w:pPr>
      <w:r>
        <w:rPr>
          <w:rFonts w:cs="Arial"/>
          <w:color w:val="000000" w:themeColor="text1"/>
          <w:szCs w:val="22"/>
        </w:rPr>
        <w:t>T</w:t>
      </w:r>
      <w:r w:rsidRPr="00285BEB" w:rsidR="008639D0">
        <w:rPr>
          <w:rFonts w:cs="Arial"/>
          <w:color w:val="000000" w:themeColor="text1"/>
          <w:szCs w:val="22"/>
        </w:rPr>
        <w:t>ranslate all questionnaires into Spanish</w:t>
      </w:r>
      <w:r w:rsidRPr="00285BEB" w:rsidR="00F164E0">
        <w:rPr>
          <w:rFonts w:cs="Arial"/>
          <w:color w:val="000000" w:themeColor="text1"/>
          <w:szCs w:val="22"/>
        </w:rPr>
        <w:t xml:space="preserve"> </w:t>
      </w:r>
      <w:r w:rsidRPr="00285BEB" w:rsidR="00EE7755">
        <w:rPr>
          <w:rFonts w:cs="Arial"/>
          <w:color w:val="000000" w:themeColor="text1"/>
          <w:szCs w:val="22"/>
        </w:rPr>
        <w:t>an</w:t>
      </w:r>
      <w:r w:rsidRPr="00285BEB" w:rsidR="00F164E0">
        <w:rPr>
          <w:rFonts w:cs="Arial"/>
          <w:color w:val="000000" w:themeColor="text1"/>
          <w:szCs w:val="22"/>
        </w:rPr>
        <w:t>d</w:t>
      </w:r>
      <w:r w:rsidRPr="00285BEB" w:rsidR="00EE7755">
        <w:rPr>
          <w:rFonts w:cs="Arial"/>
          <w:color w:val="000000" w:themeColor="text1"/>
          <w:szCs w:val="22"/>
        </w:rPr>
        <w:t xml:space="preserve"> use translators for other languages, when </w:t>
      </w:r>
      <w:r w:rsidRPr="00285BEB" w:rsidR="00EE7755">
        <w:rPr>
          <w:rFonts w:cs="Arial"/>
          <w:color w:val="000000" w:themeColor="text1"/>
          <w:szCs w:val="22"/>
        </w:rPr>
        <w:lastRenderedPageBreak/>
        <w:t>needed</w:t>
      </w:r>
    </w:p>
    <w:p w:rsidRPr="00285BEB" w:rsidR="006A0084" w:rsidP="002477D3" w:rsidRDefault="006E7D32" w14:paraId="3DB838C4" w14:textId="750A3DBE">
      <w:pPr>
        <w:pStyle w:val="ListParagraph"/>
        <w:numPr>
          <w:ilvl w:val="0"/>
          <w:numId w:val="2"/>
        </w:numPr>
        <w:rPr>
          <w:rFonts w:cs="Arial"/>
          <w:bCs/>
          <w:color w:val="000000" w:themeColor="text1"/>
          <w:szCs w:val="22"/>
        </w:rPr>
      </w:pPr>
      <w:r>
        <w:rPr>
          <w:rFonts w:cs="Arial"/>
          <w:color w:val="000000" w:themeColor="text1"/>
          <w:szCs w:val="22"/>
        </w:rPr>
        <w:t>C</w:t>
      </w:r>
      <w:r w:rsidRPr="00285BEB" w:rsidR="008639D0">
        <w:rPr>
          <w:rFonts w:cs="Arial"/>
          <w:color w:val="000000" w:themeColor="text1"/>
          <w:szCs w:val="22"/>
        </w:rPr>
        <w:t>reate manuals and training programs for all field procedures (including training in NCHS confidentiality guidelines and regulations)</w:t>
      </w:r>
    </w:p>
    <w:p w:rsidRPr="00285BEB" w:rsidR="006A0084" w:rsidP="002477D3" w:rsidRDefault="006E7D32" w14:paraId="7ADD3B6D" w14:textId="24EF8E72">
      <w:pPr>
        <w:pStyle w:val="ListParagraph"/>
        <w:numPr>
          <w:ilvl w:val="0"/>
          <w:numId w:val="2"/>
        </w:numPr>
        <w:rPr>
          <w:rFonts w:cs="Arial"/>
          <w:bCs/>
          <w:color w:val="000000" w:themeColor="text1"/>
          <w:szCs w:val="22"/>
        </w:rPr>
      </w:pPr>
      <w:r>
        <w:rPr>
          <w:rFonts w:cs="Arial"/>
          <w:color w:val="000000" w:themeColor="text1"/>
          <w:szCs w:val="22"/>
        </w:rPr>
        <w:t>L</w:t>
      </w:r>
      <w:r w:rsidRPr="00285BEB" w:rsidR="008639D0">
        <w:rPr>
          <w:rFonts w:cs="Arial"/>
          <w:color w:val="000000" w:themeColor="text1"/>
          <w:szCs w:val="22"/>
        </w:rPr>
        <w:t>ist the households to be sampled</w:t>
      </w:r>
    </w:p>
    <w:p w:rsidRPr="00285BEB" w:rsidR="006A0084" w:rsidP="002477D3" w:rsidRDefault="006E7D32" w14:paraId="143DC0C2" w14:textId="15387EF6">
      <w:pPr>
        <w:pStyle w:val="ListParagraph"/>
        <w:numPr>
          <w:ilvl w:val="0"/>
          <w:numId w:val="2"/>
        </w:numPr>
        <w:rPr>
          <w:rFonts w:cs="Arial"/>
          <w:bCs/>
          <w:color w:val="000000" w:themeColor="text1"/>
          <w:szCs w:val="22"/>
        </w:rPr>
      </w:pPr>
      <w:r>
        <w:rPr>
          <w:rFonts w:cs="Arial"/>
          <w:color w:val="000000" w:themeColor="text1"/>
          <w:szCs w:val="22"/>
        </w:rPr>
        <w:t>S</w:t>
      </w:r>
      <w:r w:rsidRPr="00285BEB" w:rsidR="008639D0">
        <w:rPr>
          <w:rFonts w:cs="Arial"/>
          <w:color w:val="000000" w:themeColor="text1"/>
          <w:szCs w:val="22"/>
        </w:rPr>
        <w:t xml:space="preserve">elect </w:t>
      </w:r>
      <w:r w:rsidR="00EF6289">
        <w:rPr>
          <w:rFonts w:cs="Arial"/>
          <w:color w:val="000000" w:themeColor="text1"/>
          <w:szCs w:val="22"/>
        </w:rPr>
        <w:t xml:space="preserve">a </w:t>
      </w:r>
      <w:r w:rsidRPr="00285BEB" w:rsidR="008639D0">
        <w:rPr>
          <w:rFonts w:cs="Arial"/>
          <w:color w:val="000000" w:themeColor="text1"/>
          <w:szCs w:val="22"/>
        </w:rPr>
        <w:t>sample</w:t>
      </w:r>
      <w:r w:rsidRPr="00285BEB" w:rsidR="00C65037">
        <w:rPr>
          <w:rFonts w:cs="Arial"/>
          <w:color w:val="000000" w:themeColor="text1"/>
          <w:szCs w:val="22"/>
        </w:rPr>
        <w:t xml:space="preserve"> </w:t>
      </w:r>
      <w:r w:rsidR="004C3F6F">
        <w:rPr>
          <w:rFonts w:cs="Arial"/>
          <w:color w:val="000000" w:themeColor="text1"/>
          <w:szCs w:val="22"/>
        </w:rPr>
        <w:t xml:space="preserve">of </w:t>
      </w:r>
      <w:r w:rsidR="00EF6289">
        <w:rPr>
          <w:rFonts w:cs="Arial"/>
          <w:color w:val="000000" w:themeColor="text1"/>
          <w:szCs w:val="22"/>
        </w:rPr>
        <w:t xml:space="preserve">the </w:t>
      </w:r>
      <w:r w:rsidRPr="00285BEB" w:rsidR="00C65037">
        <w:rPr>
          <w:rFonts w:cs="Arial"/>
          <w:color w:val="000000" w:themeColor="text1"/>
          <w:szCs w:val="22"/>
        </w:rPr>
        <w:t>civilian non-institutional U.S. population</w:t>
      </w:r>
    </w:p>
    <w:p w:rsidRPr="00EF6289" w:rsidR="00EF6289" w:rsidP="002477D3" w:rsidRDefault="004E2E99" w14:paraId="4C1670B2" w14:textId="336B6B26">
      <w:pPr>
        <w:pStyle w:val="ListParagraph"/>
        <w:numPr>
          <w:ilvl w:val="0"/>
          <w:numId w:val="2"/>
        </w:numPr>
        <w:rPr>
          <w:rFonts w:cs="Arial"/>
          <w:bCs/>
          <w:color w:val="000000" w:themeColor="text1"/>
          <w:szCs w:val="22"/>
        </w:rPr>
      </w:pPr>
      <w:r>
        <w:rPr>
          <w:rFonts w:cs="Arial"/>
          <w:color w:val="000000" w:themeColor="text1"/>
          <w:szCs w:val="22"/>
        </w:rPr>
        <w:t>C</w:t>
      </w:r>
      <w:r w:rsidRPr="00285BEB" w:rsidR="008639D0">
        <w:rPr>
          <w:rFonts w:cs="Arial"/>
          <w:color w:val="000000" w:themeColor="text1"/>
          <w:szCs w:val="22"/>
        </w:rPr>
        <w:t xml:space="preserve">onduct </w:t>
      </w:r>
      <w:r w:rsidR="00EF6289">
        <w:rPr>
          <w:rFonts w:cs="Arial"/>
          <w:color w:val="000000" w:themeColor="text1"/>
          <w:szCs w:val="22"/>
        </w:rPr>
        <w:t xml:space="preserve">household </w:t>
      </w:r>
      <w:r w:rsidR="00B64AE4">
        <w:rPr>
          <w:rFonts w:cs="Arial"/>
          <w:color w:val="000000" w:themeColor="text1"/>
          <w:szCs w:val="22"/>
        </w:rPr>
        <w:t>eligibility</w:t>
      </w:r>
      <w:r w:rsidR="00EF6289">
        <w:rPr>
          <w:rFonts w:cs="Arial"/>
          <w:color w:val="000000" w:themeColor="text1"/>
          <w:szCs w:val="22"/>
        </w:rPr>
        <w:t xml:space="preserve"> </w:t>
      </w:r>
      <w:r w:rsidRPr="00285BEB" w:rsidR="008639D0">
        <w:rPr>
          <w:rFonts w:cs="Arial"/>
          <w:color w:val="000000" w:themeColor="text1"/>
          <w:szCs w:val="22"/>
        </w:rPr>
        <w:t xml:space="preserve">screening </w:t>
      </w:r>
    </w:p>
    <w:p w:rsidRPr="00285BEB" w:rsidR="006A0084" w:rsidP="002477D3" w:rsidRDefault="004E2E99" w14:paraId="20188535" w14:textId="3AFA6B18">
      <w:pPr>
        <w:pStyle w:val="ListParagraph"/>
        <w:numPr>
          <w:ilvl w:val="0"/>
          <w:numId w:val="2"/>
        </w:numPr>
        <w:rPr>
          <w:rFonts w:cs="Arial"/>
          <w:bCs/>
          <w:color w:val="000000" w:themeColor="text1"/>
          <w:szCs w:val="22"/>
        </w:rPr>
      </w:pPr>
      <w:r>
        <w:rPr>
          <w:rFonts w:cs="Arial"/>
          <w:color w:val="000000" w:themeColor="text1"/>
          <w:szCs w:val="22"/>
        </w:rPr>
        <w:t>A</w:t>
      </w:r>
      <w:r w:rsidR="00EF6289">
        <w:rPr>
          <w:rFonts w:cs="Arial"/>
          <w:color w:val="000000" w:themeColor="text1"/>
          <w:szCs w:val="22"/>
        </w:rPr>
        <w:t>dminister extended telephone interviews with sampled participants</w:t>
      </w:r>
    </w:p>
    <w:p w:rsidRPr="00285BEB" w:rsidR="006A0084" w:rsidP="002477D3" w:rsidRDefault="004E2E99" w14:paraId="67BAF49B" w14:textId="33EB4CD7">
      <w:pPr>
        <w:pStyle w:val="ListParagraph"/>
        <w:numPr>
          <w:ilvl w:val="0"/>
          <w:numId w:val="2"/>
        </w:numPr>
        <w:rPr>
          <w:rFonts w:cs="Arial"/>
          <w:bCs/>
          <w:color w:val="000000" w:themeColor="text1"/>
          <w:szCs w:val="22"/>
        </w:rPr>
      </w:pPr>
      <w:r>
        <w:rPr>
          <w:rFonts w:cs="Arial"/>
          <w:color w:val="000000" w:themeColor="text1"/>
          <w:szCs w:val="22"/>
        </w:rPr>
        <w:t>P</w:t>
      </w:r>
      <w:r w:rsidRPr="00285BEB" w:rsidR="008639D0">
        <w:rPr>
          <w:rFonts w:cs="Arial"/>
          <w:color w:val="000000" w:themeColor="text1"/>
          <w:szCs w:val="22"/>
        </w:rPr>
        <w:t>erform all interview and examination procedures in the examination centers</w:t>
      </w:r>
    </w:p>
    <w:p w:rsidRPr="00285BEB" w:rsidR="006A0084" w:rsidP="002477D3" w:rsidRDefault="004E2E99" w14:paraId="566F5756" w14:textId="64EF94C4">
      <w:pPr>
        <w:pStyle w:val="ListParagraph"/>
        <w:numPr>
          <w:ilvl w:val="0"/>
          <w:numId w:val="2"/>
        </w:numPr>
        <w:rPr>
          <w:rFonts w:cs="Arial"/>
          <w:bCs/>
          <w:color w:val="000000" w:themeColor="text1"/>
          <w:szCs w:val="22"/>
        </w:rPr>
      </w:pPr>
      <w:r>
        <w:rPr>
          <w:rFonts w:cs="Arial"/>
          <w:color w:val="000000" w:themeColor="text1"/>
          <w:szCs w:val="22"/>
        </w:rPr>
        <w:t>D</w:t>
      </w:r>
      <w:r w:rsidRPr="00285BEB" w:rsidR="008639D0">
        <w:rPr>
          <w:rFonts w:cs="Arial"/>
          <w:color w:val="000000" w:themeColor="text1"/>
          <w:szCs w:val="22"/>
        </w:rPr>
        <w:t xml:space="preserve">esign and carry out quality control </w:t>
      </w:r>
      <w:r w:rsidRPr="00285BEB" w:rsidR="00A46C43">
        <w:rPr>
          <w:rFonts w:cs="Arial"/>
          <w:color w:val="000000" w:themeColor="text1"/>
          <w:szCs w:val="22"/>
        </w:rPr>
        <w:t>procedures and</w:t>
      </w:r>
      <w:r w:rsidRPr="00285BEB" w:rsidR="008639D0">
        <w:rPr>
          <w:rFonts w:cs="Arial"/>
          <w:color w:val="000000" w:themeColor="text1"/>
          <w:szCs w:val="22"/>
        </w:rPr>
        <w:t xml:space="preserve"> transmit </w:t>
      </w:r>
      <w:r w:rsidRPr="00285BEB" w:rsidR="005342B2">
        <w:rPr>
          <w:rFonts w:cs="Arial"/>
          <w:color w:val="000000" w:themeColor="text1"/>
          <w:szCs w:val="22"/>
        </w:rPr>
        <w:t xml:space="preserve">survey data </w:t>
      </w:r>
      <w:r w:rsidRPr="00285BEB" w:rsidR="008639D0">
        <w:rPr>
          <w:rFonts w:cs="Arial"/>
          <w:color w:val="000000" w:themeColor="text1"/>
          <w:szCs w:val="22"/>
        </w:rPr>
        <w:t xml:space="preserve">to NCHS.  </w:t>
      </w:r>
    </w:p>
    <w:p w:rsidR="005031CA" w:rsidP="005031CA" w:rsidRDefault="005031CA" w14:paraId="33B51063" w14:textId="2C94C1E8">
      <w:pPr>
        <w:rPr>
          <w:rFonts w:cs="Arial"/>
          <w:color w:val="000000" w:themeColor="text1"/>
          <w:szCs w:val="22"/>
        </w:rPr>
      </w:pPr>
    </w:p>
    <w:p w:rsidR="0003069D" w:rsidP="005031CA" w:rsidRDefault="0003069D" w14:paraId="3C0F9E7E" w14:textId="3E401553">
      <w:pPr>
        <w:rPr>
          <w:rFonts w:cs="Arial"/>
          <w:color w:val="000000" w:themeColor="text1"/>
          <w:szCs w:val="22"/>
        </w:rPr>
      </w:pPr>
    </w:p>
    <w:p w:rsidRPr="005C0A40" w:rsidR="0003069D" w:rsidP="0003069D" w:rsidRDefault="0003069D" w14:paraId="0F070414" w14:textId="4E50C9C6">
      <w:pPr>
        <w:rPr>
          <w:color w:val="000000" w:themeColor="text1"/>
        </w:rPr>
      </w:pPr>
      <w:r w:rsidRPr="00285BEB">
        <w:rPr>
          <w:color w:val="000000" w:themeColor="text1"/>
        </w:rPr>
        <w:t xml:space="preserve">NHANES will have two examination teams that operate continuously and travel from one PSU to another approximately every 6 weeks </w:t>
      </w:r>
      <w:proofErr w:type="gramStart"/>
      <w:r w:rsidRPr="00285BEB">
        <w:rPr>
          <w:color w:val="000000" w:themeColor="text1"/>
        </w:rPr>
        <w:t>in a given year</w:t>
      </w:r>
      <w:proofErr w:type="gramEnd"/>
      <w:r w:rsidRPr="00285BEB">
        <w:rPr>
          <w:color w:val="000000" w:themeColor="text1"/>
        </w:rPr>
        <w:t>. </w:t>
      </w:r>
      <w:r w:rsidRPr="002477D3">
        <w:rPr>
          <w:rFonts w:cs="Arial"/>
          <w:color w:val="000000" w:themeColor="text1"/>
          <w:szCs w:val="22"/>
        </w:rPr>
        <w:t>This means the field staff and household interviewing staff support two complete examination teams at the same time for the eleven months of the year NHANES is in operation.</w:t>
      </w:r>
      <w:r>
        <w:rPr>
          <w:rFonts w:cs="Arial"/>
          <w:color w:val="000000" w:themeColor="text1"/>
          <w:szCs w:val="22"/>
        </w:rPr>
        <w:t xml:space="preserve"> </w:t>
      </w:r>
      <w:r w:rsidRPr="00285BEB">
        <w:rPr>
          <w:color w:val="000000" w:themeColor="text1"/>
        </w:rPr>
        <w:t xml:space="preserve">Because of the time required for setting up, dismantling, relocating, and calibrating equipment, it has been determined, from previous NHANES that the MECs must be at each location for at least 4 weeks to be operationally feasible and cost effective. An upper bound of 8 weeks at each location was established to have an adequate number of PSUs for producing acceptable between-PSU sampling variances. </w:t>
      </w:r>
      <w:r w:rsidRPr="00BE12E3">
        <w:rPr>
          <w:color w:val="000000" w:themeColor="text1"/>
        </w:rPr>
        <w:t>The operational and statistical constraints result in an expected sample of 5,000 examined persons and 15 PSUs per year for NHANES.</w:t>
      </w:r>
      <w:r w:rsidRPr="005C0A40">
        <w:rPr>
          <w:color w:val="000000" w:themeColor="text1"/>
        </w:rPr>
        <w:t xml:space="preserve"> </w:t>
      </w:r>
      <w:r w:rsidRPr="002477D3">
        <w:rPr>
          <w:rFonts w:cs="Arial"/>
          <w:color w:val="000000" w:themeColor="text1"/>
          <w:szCs w:val="22"/>
        </w:rPr>
        <w:t>NHANES is not in operation for about two weeks at New Years and for about two weeks in the summer.</w:t>
      </w:r>
    </w:p>
    <w:p w:rsidRPr="002477D3" w:rsidR="0003069D" w:rsidP="005031CA" w:rsidRDefault="0003069D" w14:paraId="3B7EEAEB" w14:textId="77777777">
      <w:pPr>
        <w:rPr>
          <w:rFonts w:cs="Arial"/>
          <w:color w:val="000000" w:themeColor="text1"/>
          <w:szCs w:val="22"/>
        </w:rPr>
      </w:pPr>
    </w:p>
    <w:p w:rsidR="005031CA" w:rsidP="001C6086" w:rsidRDefault="005031CA" w14:paraId="0F35DCBE" w14:textId="77777777">
      <w:pPr>
        <w:rPr>
          <w:rFonts w:cs="Arial"/>
          <w:color w:val="000000" w:themeColor="text1"/>
          <w:szCs w:val="22"/>
        </w:rPr>
      </w:pPr>
    </w:p>
    <w:p w:rsidRPr="002477D3" w:rsidR="001C6086" w:rsidP="001C6086" w:rsidRDefault="00BF661F" w14:paraId="6280D970" w14:textId="701050D9">
      <w:pPr>
        <w:rPr>
          <w:rFonts w:cs="Arial"/>
          <w:color w:val="000000" w:themeColor="text1"/>
          <w:szCs w:val="22"/>
        </w:rPr>
      </w:pPr>
      <w:r>
        <w:rPr>
          <w:rFonts w:cs="Arial"/>
          <w:color w:val="000000" w:themeColor="text1"/>
          <w:szCs w:val="22"/>
        </w:rPr>
        <w:t>P</w:t>
      </w:r>
      <w:r w:rsidRPr="002477D3" w:rsidR="001C6086">
        <w:rPr>
          <w:rFonts w:cs="Arial"/>
          <w:color w:val="000000" w:themeColor="text1"/>
          <w:szCs w:val="22"/>
        </w:rPr>
        <w:t>rior to data collection, the contractor initiates the listing of each segment within every PSU (driving each street in the segment to list all dwelling units and using supplemental software to assist the listing process), which identifies households to be potentially included in NHANES. Selected households will be screened for eligibility using a multi-mode, “push-to-web” approach.  The contact and screening strategy is described below.</w:t>
      </w:r>
    </w:p>
    <w:p w:rsidRPr="002477D3" w:rsidR="001C6086" w:rsidP="001C6086" w:rsidRDefault="001C6086" w14:paraId="04228218" w14:textId="77777777">
      <w:pPr>
        <w:rPr>
          <w:rFonts w:cs="Arial"/>
          <w:color w:val="000000" w:themeColor="text1"/>
          <w:szCs w:val="22"/>
        </w:rPr>
      </w:pPr>
    </w:p>
    <w:p w:rsidRPr="002477D3" w:rsidR="001C6086" w:rsidP="002477D3" w:rsidRDefault="001C6086" w14:paraId="3AE5957B" w14:textId="74FA0A6A">
      <w:pPr>
        <w:pStyle w:val="ListParagraph"/>
        <w:numPr>
          <w:ilvl w:val="0"/>
          <w:numId w:val="8"/>
        </w:numPr>
        <w:rPr>
          <w:rFonts w:cs="Arial"/>
          <w:color w:val="000000" w:themeColor="text1"/>
          <w:szCs w:val="22"/>
        </w:rPr>
      </w:pPr>
      <w:r w:rsidRPr="002477D3">
        <w:rPr>
          <w:rFonts w:cs="Arial"/>
          <w:color w:val="000000" w:themeColor="text1"/>
          <w:szCs w:val="22"/>
        </w:rPr>
        <w:t xml:space="preserve">Households will receive an initial letter inviting them to go online and complete the household eligibility screening questionnaire. The letter will also provide a toll-free telephone number to complete the survey by phone with a field representative.  Each household is assigned a secure user-id that is provided in the mailing.  </w:t>
      </w:r>
    </w:p>
    <w:p w:rsidRPr="002477D3" w:rsidR="001C6086" w:rsidP="002477D3" w:rsidRDefault="001C6086" w14:paraId="14A46375" w14:textId="77777777">
      <w:pPr>
        <w:pStyle w:val="ListParagraph"/>
        <w:numPr>
          <w:ilvl w:val="0"/>
          <w:numId w:val="8"/>
        </w:numPr>
        <w:rPr>
          <w:rFonts w:cs="Arial"/>
          <w:color w:val="000000" w:themeColor="text1"/>
          <w:szCs w:val="22"/>
        </w:rPr>
      </w:pPr>
      <w:r w:rsidRPr="002477D3">
        <w:rPr>
          <w:rFonts w:cs="Arial"/>
          <w:color w:val="000000" w:themeColor="text1"/>
          <w:szCs w:val="22"/>
        </w:rPr>
        <w:t>Approximately one week after the first letter is mailed, households will be sent a reminder postcard again asking for their participation.  Those who already responded, and addresses found to be undeliverable will be excluded from this and all subsequent mailings.</w:t>
      </w:r>
    </w:p>
    <w:p w:rsidRPr="002477D3" w:rsidR="001C6086" w:rsidP="002477D3" w:rsidRDefault="001C6086" w14:paraId="018835D5" w14:textId="36646C9E">
      <w:pPr>
        <w:pStyle w:val="ListParagraph"/>
        <w:numPr>
          <w:ilvl w:val="0"/>
          <w:numId w:val="8"/>
        </w:numPr>
        <w:rPr>
          <w:rFonts w:cs="Arial"/>
          <w:color w:val="000000" w:themeColor="text1"/>
          <w:szCs w:val="22"/>
        </w:rPr>
      </w:pPr>
      <w:r w:rsidRPr="002477D3">
        <w:rPr>
          <w:rFonts w:cs="Arial"/>
          <w:color w:val="000000" w:themeColor="text1"/>
          <w:szCs w:val="22"/>
        </w:rPr>
        <w:t xml:space="preserve">A third mailing will be sent </w:t>
      </w:r>
      <w:r w:rsidRPr="002477D3" w:rsidR="00C44E2B">
        <w:rPr>
          <w:rFonts w:cs="Arial"/>
          <w:color w:val="000000" w:themeColor="text1"/>
          <w:szCs w:val="22"/>
        </w:rPr>
        <w:t xml:space="preserve">via FedEx </w:t>
      </w:r>
      <w:r w:rsidRPr="002477D3">
        <w:rPr>
          <w:rFonts w:cs="Arial"/>
          <w:color w:val="000000" w:themeColor="text1"/>
          <w:szCs w:val="22"/>
        </w:rPr>
        <w:t xml:space="preserve">to nonrespondents approximately one week following the postcard delivery. </w:t>
      </w:r>
      <w:r w:rsidR="00C44E2B">
        <w:rPr>
          <w:rFonts w:cs="Arial"/>
          <w:color w:val="000000" w:themeColor="text1"/>
          <w:szCs w:val="22"/>
        </w:rPr>
        <w:t xml:space="preserve">This mailing </w:t>
      </w:r>
      <w:r w:rsidRPr="002477D3">
        <w:rPr>
          <w:rFonts w:cs="Arial"/>
          <w:color w:val="000000" w:themeColor="text1"/>
          <w:szCs w:val="22"/>
        </w:rPr>
        <w:t xml:space="preserve">will include a hard copy questionnaire to ensure households without, or with limited, internet access </w:t>
      </w:r>
      <w:proofErr w:type="gramStart"/>
      <w:r w:rsidRPr="002477D3">
        <w:rPr>
          <w:rFonts w:cs="Arial"/>
          <w:color w:val="000000" w:themeColor="text1"/>
          <w:szCs w:val="22"/>
        </w:rPr>
        <w:t>are</w:t>
      </w:r>
      <w:proofErr w:type="gramEnd"/>
      <w:r w:rsidRPr="002477D3">
        <w:rPr>
          <w:rFonts w:cs="Arial"/>
          <w:color w:val="000000" w:themeColor="text1"/>
          <w:szCs w:val="22"/>
        </w:rPr>
        <w:t xml:space="preserve"> able to participate in the survey.  The accompanying letter will again request participation and offer multiple options for response.  </w:t>
      </w:r>
    </w:p>
    <w:p w:rsidRPr="002477D3" w:rsidR="001C6086" w:rsidP="002477D3" w:rsidRDefault="001C6086" w14:paraId="6185D3F0" w14:textId="283477ED">
      <w:pPr>
        <w:pStyle w:val="ListParagraph"/>
        <w:numPr>
          <w:ilvl w:val="0"/>
          <w:numId w:val="8"/>
        </w:numPr>
        <w:rPr>
          <w:rFonts w:cs="Arial"/>
          <w:color w:val="000000" w:themeColor="text1"/>
          <w:szCs w:val="22"/>
        </w:rPr>
      </w:pPr>
      <w:r w:rsidRPr="002477D3">
        <w:rPr>
          <w:rFonts w:cs="Arial"/>
          <w:color w:val="000000" w:themeColor="text1"/>
          <w:szCs w:val="22"/>
        </w:rPr>
        <w:t>The final mailing will be sent approximately 2 weeks before Field Interviewers will begin visiting nonresponding households in-person. This letter notifies the occupant(s) that they may be visited by an interviewer, the purpose of the visit, and the options for self-response.</w:t>
      </w:r>
    </w:p>
    <w:p w:rsidRPr="002477D3" w:rsidR="001C6086" w:rsidP="002477D3" w:rsidRDefault="001C6086" w14:paraId="66209ACB" w14:textId="77777777">
      <w:pPr>
        <w:pStyle w:val="ListParagraph"/>
        <w:numPr>
          <w:ilvl w:val="0"/>
          <w:numId w:val="8"/>
        </w:numPr>
      </w:pPr>
      <w:r w:rsidRPr="002477D3">
        <w:t xml:space="preserve">When the interviewer arrives at the home, he or she shows official identification and briefly explains the purpose of the survey. If the person answering the screener questions has not seen the final mailing, a copy is given to him/her. The interviewer then </w:t>
      </w:r>
      <w:r w:rsidRPr="002477D3">
        <w:lastRenderedPageBreak/>
        <w:t xml:space="preserve">administers the Household Screener Questionnaire Module to determine eligibility. </w:t>
      </w:r>
    </w:p>
    <w:p w:rsidRPr="002477D3" w:rsidR="001C6086" w:rsidP="001C6086" w:rsidRDefault="001C6086" w14:paraId="0BDF45AD" w14:textId="77777777">
      <w:pPr>
        <w:rPr>
          <w:rFonts w:cs="Arial"/>
          <w:color w:val="000000" w:themeColor="text1"/>
          <w:szCs w:val="22"/>
        </w:rPr>
      </w:pPr>
    </w:p>
    <w:p w:rsidRPr="002477D3" w:rsidR="001C6086" w:rsidP="001C6086" w:rsidRDefault="001C6086" w14:paraId="0F80AEDB" w14:textId="7FE99663">
      <w:pPr>
        <w:rPr>
          <w:rFonts w:cs="Arial"/>
          <w:color w:val="000000" w:themeColor="text1"/>
          <w:szCs w:val="22"/>
        </w:rPr>
      </w:pPr>
      <w:r w:rsidRPr="002477D3">
        <w:rPr>
          <w:rFonts w:cs="Arial"/>
          <w:color w:val="000000" w:themeColor="text1"/>
          <w:szCs w:val="22"/>
        </w:rPr>
        <w:t>Individual household members found to be eligible to participate will be contacted by a field interviewer to complete a “gaining cooperation” visit</w:t>
      </w:r>
      <w:r w:rsidR="00CB1A99">
        <w:rPr>
          <w:rFonts w:cs="Arial"/>
          <w:color w:val="000000" w:themeColor="text1"/>
          <w:szCs w:val="22"/>
        </w:rPr>
        <w:t xml:space="preserve"> in-person or via telephone</w:t>
      </w:r>
      <w:r w:rsidRPr="002477D3">
        <w:rPr>
          <w:rFonts w:cs="Arial"/>
          <w:color w:val="000000" w:themeColor="text1"/>
          <w:szCs w:val="22"/>
        </w:rPr>
        <w:t xml:space="preserve">. The goal of this interaction is for the interviewer to answer questions about participation, explain the household questionnaires to participants who </w:t>
      </w:r>
      <w:proofErr w:type="gramStart"/>
      <w:r w:rsidRPr="002477D3">
        <w:rPr>
          <w:rFonts w:cs="Arial"/>
          <w:color w:val="000000" w:themeColor="text1"/>
          <w:szCs w:val="22"/>
        </w:rPr>
        <w:t>are at least 16 years</w:t>
      </w:r>
      <w:proofErr w:type="gramEnd"/>
      <w:r w:rsidRPr="002477D3">
        <w:rPr>
          <w:rFonts w:cs="Arial"/>
          <w:color w:val="000000" w:themeColor="text1"/>
          <w:szCs w:val="22"/>
        </w:rPr>
        <w:t xml:space="preserve"> old</w:t>
      </w:r>
      <w:r w:rsidR="00F006A7">
        <w:rPr>
          <w:rFonts w:cs="Arial"/>
          <w:color w:val="000000" w:themeColor="text1"/>
          <w:szCs w:val="22"/>
        </w:rPr>
        <w:t>,</w:t>
      </w:r>
      <w:r w:rsidRPr="002477D3">
        <w:rPr>
          <w:rFonts w:cs="Arial"/>
          <w:color w:val="000000" w:themeColor="text1"/>
          <w:szCs w:val="22"/>
        </w:rPr>
        <w:t xml:space="preserve"> and inform them of their rights and of the confidentiality protections afforded to them.  </w:t>
      </w:r>
    </w:p>
    <w:p w:rsidR="001C6086" w:rsidP="001C6086" w:rsidRDefault="001C6086" w14:paraId="56C0B317" w14:textId="1A00ABC9">
      <w:pPr>
        <w:rPr>
          <w:rFonts w:cs="Arial"/>
          <w:color w:val="000000" w:themeColor="text1"/>
          <w:szCs w:val="22"/>
        </w:rPr>
      </w:pPr>
    </w:p>
    <w:p w:rsidRPr="002477D3" w:rsidR="001C6086" w:rsidP="001C6086" w:rsidRDefault="00821582" w14:paraId="39A367A7" w14:textId="1A79E860">
      <w:pPr>
        <w:rPr>
          <w:rFonts w:cs="Arial"/>
          <w:color w:val="000000" w:themeColor="text1"/>
          <w:szCs w:val="22"/>
        </w:rPr>
      </w:pPr>
      <w:r w:rsidRPr="002477D3">
        <w:rPr>
          <w:rFonts w:cs="Arial"/>
          <w:color w:val="000000" w:themeColor="text1"/>
          <w:szCs w:val="22"/>
        </w:rPr>
        <w:t xml:space="preserve">For the 2021-2022 data collection cycle, the </w:t>
      </w:r>
      <w:r>
        <w:rPr>
          <w:rFonts w:cs="Arial"/>
          <w:color w:val="000000" w:themeColor="text1"/>
          <w:szCs w:val="22"/>
        </w:rPr>
        <w:t>sampled participant</w:t>
      </w:r>
      <w:r w:rsidRPr="002477D3">
        <w:rPr>
          <w:rFonts w:cs="Arial"/>
          <w:color w:val="000000" w:themeColor="text1"/>
          <w:szCs w:val="22"/>
        </w:rPr>
        <w:t xml:space="preserve"> </w:t>
      </w:r>
      <w:r w:rsidR="008200BD">
        <w:rPr>
          <w:rFonts w:cs="Arial"/>
          <w:color w:val="000000" w:themeColor="text1"/>
          <w:szCs w:val="22"/>
        </w:rPr>
        <w:t xml:space="preserve">(SP) </w:t>
      </w:r>
      <w:r w:rsidRPr="002477D3">
        <w:rPr>
          <w:rFonts w:cs="Arial"/>
          <w:color w:val="000000" w:themeColor="text1"/>
          <w:szCs w:val="22"/>
        </w:rPr>
        <w:t>interview will be conducted by telephone.</w:t>
      </w:r>
      <w:r>
        <w:rPr>
          <w:rFonts w:cs="Arial"/>
          <w:color w:val="000000" w:themeColor="text1"/>
          <w:szCs w:val="22"/>
        </w:rPr>
        <w:t xml:space="preserve"> </w:t>
      </w:r>
      <w:r w:rsidRPr="002477D3" w:rsidR="001C6086">
        <w:rPr>
          <w:rFonts w:cs="Arial"/>
          <w:color w:val="000000" w:themeColor="text1"/>
          <w:szCs w:val="22"/>
        </w:rPr>
        <w:t xml:space="preserve">Field interviewers will schedule </w:t>
      </w:r>
      <w:r w:rsidR="00F006A7">
        <w:rPr>
          <w:rFonts w:cs="Arial"/>
          <w:color w:val="000000" w:themeColor="text1"/>
          <w:szCs w:val="22"/>
        </w:rPr>
        <w:t xml:space="preserve">telephone </w:t>
      </w:r>
      <w:r w:rsidRPr="002477D3" w:rsidR="001C6086">
        <w:rPr>
          <w:rFonts w:cs="Arial"/>
          <w:color w:val="000000" w:themeColor="text1"/>
          <w:szCs w:val="22"/>
        </w:rPr>
        <w:t>interviews with participants</w:t>
      </w:r>
      <w:r w:rsidR="00CB1A99">
        <w:rPr>
          <w:rFonts w:cs="Arial"/>
          <w:color w:val="000000" w:themeColor="text1"/>
          <w:szCs w:val="22"/>
        </w:rPr>
        <w:t>.</w:t>
      </w:r>
      <w:r w:rsidRPr="002477D3" w:rsidR="001C6086">
        <w:rPr>
          <w:rFonts w:cs="Arial"/>
          <w:color w:val="000000" w:themeColor="text1"/>
          <w:szCs w:val="22"/>
        </w:rPr>
        <w:t xml:space="preserve"> </w:t>
      </w:r>
      <w:r w:rsidR="00CB1A99">
        <w:rPr>
          <w:rFonts w:cs="Arial"/>
          <w:color w:val="000000" w:themeColor="text1"/>
          <w:szCs w:val="22"/>
        </w:rPr>
        <w:t>A</w:t>
      </w:r>
      <w:r w:rsidRPr="002477D3" w:rsidR="001C6086">
        <w:rPr>
          <w:rFonts w:cs="Arial"/>
          <w:color w:val="000000" w:themeColor="text1"/>
          <w:szCs w:val="22"/>
        </w:rPr>
        <w:t xml:space="preserve"> packet of materials </w:t>
      </w:r>
      <w:r w:rsidR="00CB1A99">
        <w:rPr>
          <w:rFonts w:cs="Arial"/>
          <w:color w:val="000000" w:themeColor="text1"/>
          <w:szCs w:val="22"/>
        </w:rPr>
        <w:t>will be provided through mail or in-person prior to the interview</w:t>
      </w:r>
      <w:r w:rsidRPr="002477D3" w:rsidR="001C6086">
        <w:rPr>
          <w:rFonts w:cs="Arial"/>
          <w:color w:val="000000" w:themeColor="text1"/>
          <w:szCs w:val="22"/>
        </w:rPr>
        <w:t>. The content of the packet will be discussed in detail at the beginning of the scheduled interview. The packet contains a letter of appreciation thanking the participant and describing the accompanying booklet. The booklet contains:</w:t>
      </w:r>
    </w:p>
    <w:p w:rsidRPr="002477D3" w:rsidR="001C6086" w:rsidP="002477D3" w:rsidRDefault="001C6086" w14:paraId="4CCC3388" w14:textId="77777777">
      <w:pPr>
        <w:pStyle w:val="ListParagraph"/>
        <w:numPr>
          <w:ilvl w:val="0"/>
          <w:numId w:val="9"/>
        </w:numPr>
        <w:rPr>
          <w:rFonts w:cs="Arial"/>
          <w:color w:val="000000" w:themeColor="text1"/>
          <w:szCs w:val="22"/>
        </w:rPr>
      </w:pPr>
      <w:r w:rsidRPr="002477D3">
        <w:rPr>
          <w:rFonts w:cs="Arial"/>
          <w:color w:val="000000" w:themeColor="text1"/>
          <w:szCs w:val="22"/>
        </w:rPr>
        <w:t>copies of all NHANES Informed Consent documents</w:t>
      </w:r>
    </w:p>
    <w:p w:rsidRPr="002477D3" w:rsidR="001C6086" w:rsidP="002477D3" w:rsidRDefault="001C6086" w14:paraId="50E1B548" w14:textId="77777777">
      <w:pPr>
        <w:pStyle w:val="ListParagraph"/>
        <w:numPr>
          <w:ilvl w:val="0"/>
          <w:numId w:val="9"/>
        </w:numPr>
        <w:rPr>
          <w:rFonts w:cs="Arial"/>
          <w:color w:val="000000" w:themeColor="text1"/>
          <w:szCs w:val="22"/>
        </w:rPr>
      </w:pPr>
      <w:r w:rsidRPr="002477D3">
        <w:rPr>
          <w:rFonts w:cs="Arial"/>
          <w:color w:val="000000" w:themeColor="text1"/>
          <w:szCs w:val="22"/>
        </w:rPr>
        <w:t>a brochure describing NHANES commitment to maintaining participants privacy and confidentiality</w:t>
      </w:r>
    </w:p>
    <w:p w:rsidRPr="002477D3" w:rsidR="001C6086" w:rsidP="002477D3" w:rsidRDefault="001C6086" w14:paraId="7DF472EE" w14:textId="51D4726E">
      <w:pPr>
        <w:pStyle w:val="ListParagraph"/>
        <w:numPr>
          <w:ilvl w:val="0"/>
          <w:numId w:val="9"/>
        </w:numPr>
        <w:rPr>
          <w:rFonts w:cs="Arial"/>
          <w:color w:val="000000" w:themeColor="text1"/>
          <w:szCs w:val="22"/>
        </w:rPr>
      </w:pPr>
      <w:r w:rsidRPr="002477D3">
        <w:rPr>
          <w:rFonts w:cs="Arial"/>
          <w:color w:val="000000" w:themeColor="text1"/>
          <w:szCs w:val="22"/>
        </w:rPr>
        <w:t xml:space="preserve">a listing of </w:t>
      </w:r>
      <w:r w:rsidRPr="002477D3" w:rsidR="00C06898">
        <w:rPr>
          <w:rFonts w:cs="Arial"/>
          <w:color w:val="000000" w:themeColor="text1"/>
          <w:szCs w:val="22"/>
        </w:rPr>
        <w:t>all</w:t>
      </w:r>
      <w:r w:rsidRPr="002477D3">
        <w:rPr>
          <w:rFonts w:cs="Arial"/>
          <w:color w:val="000000" w:themeColor="text1"/>
          <w:szCs w:val="22"/>
        </w:rPr>
        <w:t xml:space="preserve"> the examinations and measures participants will be asked to complete at the mobile examination center</w:t>
      </w:r>
    </w:p>
    <w:p w:rsidRPr="002477D3" w:rsidR="001C6086" w:rsidP="002477D3" w:rsidRDefault="001C6086" w14:paraId="25EA0442" w14:textId="77777777">
      <w:pPr>
        <w:pStyle w:val="ListParagraph"/>
        <w:numPr>
          <w:ilvl w:val="0"/>
          <w:numId w:val="9"/>
        </w:numPr>
        <w:rPr>
          <w:rFonts w:cs="Arial"/>
          <w:color w:val="000000" w:themeColor="text1"/>
          <w:szCs w:val="22"/>
        </w:rPr>
      </w:pPr>
      <w:r w:rsidRPr="002477D3">
        <w:rPr>
          <w:rFonts w:cs="Arial"/>
          <w:color w:val="000000" w:themeColor="text1"/>
          <w:szCs w:val="22"/>
        </w:rPr>
        <w:t>a series of printed cards with response categories from specific questions on the survey (“hand cards”). These serve as an aid for the participant when completing the interview</w:t>
      </w:r>
    </w:p>
    <w:p w:rsidRPr="002477D3" w:rsidR="001C6086" w:rsidP="001C6086" w:rsidRDefault="001C6086" w14:paraId="1DB20BC1" w14:textId="77777777">
      <w:pPr>
        <w:rPr>
          <w:rFonts w:cs="Arial"/>
          <w:color w:val="000000" w:themeColor="text1"/>
          <w:szCs w:val="22"/>
        </w:rPr>
      </w:pPr>
    </w:p>
    <w:p w:rsidR="001C6086" w:rsidP="001C6086" w:rsidRDefault="001C6086" w14:paraId="5279B24B" w14:textId="1752113F">
      <w:pPr>
        <w:rPr>
          <w:rFonts w:cs="Arial"/>
          <w:color w:val="000000" w:themeColor="text1"/>
          <w:szCs w:val="22"/>
        </w:rPr>
      </w:pPr>
      <w:r w:rsidRPr="002477D3">
        <w:rPr>
          <w:rFonts w:cs="Arial"/>
          <w:color w:val="000000" w:themeColor="text1"/>
          <w:szCs w:val="22"/>
        </w:rPr>
        <w:t xml:space="preserve">The packet also includes an unfunded VISA debit card and FAQ documents describing the process for accessing incentives as the stages of NHANES are completed. </w:t>
      </w:r>
    </w:p>
    <w:p w:rsidRPr="002477D3" w:rsidR="00646B1A" w:rsidP="001C6086" w:rsidRDefault="00646B1A" w14:paraId="426C6C56" w14:textId="77777777">
      <w:pPr>
        <w:rPr>
          <w:rFonts w:cs="Arial"/>
          <w:color w:val="000000" w:themeColor="text1"/>
          <w:szCs w:val="22"/>
        </w:rPr>
      </w:pPr>
    </w:p>
    <w:p w:rsidRPr="002477D3" w:rsidR="001C6086" w:rsidP="001C6086" w:rsidRDefault="00646B1A" w14:paraId="244EB1E1" w14:textId="24EBF70B">
      <w:pPr>
        <w:rPr>
          <w:rFonts w:cs="Arial"/>
          <w:color w:val="000000" w:themeColor="text1"/>
          <w:szCs w:val="22"/>
        </w:rPr>
      </w:pPr>
      <w:r>
        <w:rPr>
          <w:rFonts w:cs="Arial"/>
          <w:color w:val="000000" w:themeColor="text1"/>
          <w:szCs w:val="22"/>
        </w:rPr>
        <w:t xml:space="preserve">All participants will be asked to provide informed consent </w:t>
      </w:r>
      <w:r w:rsidR="009357D1">
        <w:rPr>
          <w:rFonts w:cs="Arial"/>
          <w:color w:val="000000" w:themeColor="text1"/>
          <w:szCs w:val="22"/>
        </w:rPr>
        <w:t xml:space="preserve">before the interview begins.  At the start of the </w:t>
      </w:r>
      <w:r w:rsidR="00465C47">
        <w:rPr>
          <w:rFonts w:cs="Arial"/>
          <w:color w:val="000000" w:themeColor="text1"/>
          <w:szCs w:val="22"/>
        </w:rPr>
        <w:t xml:space="preserve">telephone-based SP interview, </w:t>
      </w:r>
      <w:r w:rsidRPr="002477D3" w:rsidR="001C6086">
        <w:rPr>
          <w:rFonts w:cs="Arial"/>
          <w:color w:val="000000" w:themeColor="text1"/>
          <w:szCs w:val="22"/>
        </w:rPr>
        <w:t xml:space="preserve">the respondent is </w:t>
      </w:r>
      <w:r w:rsidR="00765D9E">
        <w:rPr>
          <w:rFonts w:cs="Arial"/>
          <w:color w:val="000000" w:themeColor="text1"/>
          <w:szCs w:val="22"/>
        </w:rPr>
        <w:t xml:space="preserve">verbally </w:t>
      </w:r>
      <w:r w:rsidRPr="002477D3" w:rsidR="001C6086">
        <w:rPr>
          <w:rFonts w:cs="Arial"/>
          <w:color w:val="000000" w:themeColor="text1"/>
          <w:szCs w:val="22"/>
        </w:rPr>
        <w:t xml:space="preserve">asked to agree to participate in the household interview portion of the survey. For participants who are </w:t>
      </w:r>
      <w:r w:rsidR="00AA023B">
        <w:rPr>
          <w:rFonts w:cs="Arial"/>
          <w:color w:val="000000" w:themeColor="text1"/>
          <w:szCs w:val="22"/>
        </w:rPr>
        <w:t>16</w:t>
      </w:r>
      <w:r w:rsidRPr="002477D3" w:rsidR="001C6086">
        <w:rPr>
          <w:rFonts w:cs="Arial"/>
          <w:color w:val="000000" w:themeColor="text1"/>
          <w:szCs w:val="22"/>
        </w:rPr>
        <w:t xml:space="preserve">-17 years of age, a parent or guardian </w:t>
      </w:r>
      <w:r w:rsidR="00AA023B">
        <w:rPr>
          <w:rFonts w:cs="Arial"/>
          <w:color w:val="000000" w:themeColor="text1"/>
          <w:szCs w:val="22"/>
        </w:rPr>
        <w:t xml:space="preserve">will be asked to provide </w:t>
      </w:r>
      <w:r w:rsidRPr="002477D3" w:rsidR="001C6086">
        <w:rPr>
          <w:rFonts w:cs="Arial"/>
          <w:color w:val="000000" w:themeColor="text1"/>
          <w:szCs w:val="22"/>
        </w:rPr>
        <w:t>consent</w:t>
      </w:r>
      <w:r w:rsidR="00AA023B">
        <w:rPr>
          <w:rFonts w:cs="Arial"/>
          <w:color w:val="000000" w:themeColor="text1"/>
          <w:szCs w:val="22"/>
        </w:rPr>
        <w:t xml:space="preserve"> first</w:t>
      </w:r>
      <w:r w:rsidR="00EF4701">
        <w:rPr>
          <w:rFonts w:cs="Arial"/>
          <w:color w:val="000000" w:themeColor="text1"/>
          <w:szCs w:val="22"/>
        </w:rPr>
        <w:t>.</w:t>
      </w:r>
      <w:r w:rsidR="00AA023B">
        <w:rPr>
          <w:rFonts w:cs="Arial"/>
          <w:color w:val="000000" w:themeColor="text1"/>
          <w:szCs w:val="22"/>
        </w:rPr>
        <w:t xml:space="preserve"> Once the parental consent is provided,</w:t>
      </w:r>
      <w:r w:rsidRPr="002477D3" w:rsidR="001C6086">
        <w:rPr>
          <w:rFonts w:cs="Arial"/>
          <w:color w:val="000000" w:themeColor="text1"/>
          <w:szCs w:val="22"/>
        </w:rPr>
        <w:t xml:space="preserve"> the child </w:t>
      </w:r>
      <w:r w:rsidR="00AA023B">
        <w:rPr>
          <w:rFonts w:cs="Arial"/>
          <w:color w:val="000000" w:themeColor="text1"/>
          <w:szCs w:val="22"/>
        </w:rPr>
        <w:t>will be asked to provide informed consent (</w:t>
      </w:r>
      <w:r w:rsidRPr="002477D3" w:rsidR="001C6086">
        <w:rPr>
          <w:rFonts w:cs="Arial"/>
          <w:color w:val="000000" w:themeColor="text1"/>
          <w:szCs w:val="22"/>
        </w:rPr>
        <w:t xml:space="preserve">Attachment 11a). Informed consent will be captured verbally and recorded.  </w:t>
      </w:r>
      <w:r w:rsidR="005D3997">
        <w:rPr>
          <w:rFonts w:cs="Arial"/>
          <w:color w:val="000000" w:themeColor="text1"/>
          <w:szCs w:val="22"/>
        </w:rPr>
        <w:t>A consent form (unsigned) is given to participants prior to obtaining their signatures and may be kept for reference.</w:t>
      </w:r>
    </w:p>
    <w:p w:rsidRPr="002477D3" w:rsidR="001C6086" w:rsidP="001C6086" w:rsidRDefault="001C6086" w14:paraId="7A0ACB18" w14:textId="77777777">
      <w:pPr>
        <w:rPr>
          <w:rFonts w:cs="Arial"/>
          <w:color w:val="000000" w:themeColor="text1"/>
          <w:szCs w:val="22"/>
        </w:rPr>
      </w:pPr>
    </w:p>
    <w:p w:rsidRPr="002477D3" w:rsidR="001C6086" w:rsidP="001C6086" w:rsidRDefault="001C6086" w14:paraId="0B1E4711" w14:textId="1DABCC36">
      <w:pPr>
        <w:rPr>
          <w:rFonts w:cs="Arial"/>
          <w:color w:val="000000" w:themeColor="text1"/>
          <w:szCs w:val="22"/>
        </w:rPr>
      </w:pPr>
      <w:r w:rsidRPr="002477D3">
        <w:rPr>
          <w:rFonts w:cs="Arial"/>
          <w:color w:val="000000" w:themeColor="text1"/>
          <w:szCs w:val="22"/>
        </w:rPr>
        <w:t xml:space="preserve">For persons under 16 who are eligible, the household questionnaire interview is conducted with a proxy, usually the parent or guardian of the survey participant. If there is no one living in the household who is over 16, the teenage participant can be interviewed him/herself. If emancipated minors are prohibited by state law to </w:t>
      </w:r>
      <w:r w:rsidRPr="002477D3" w:rsidR="002C61E7">
        <w:rPr>
          <w:rFonts w:cs="Arial"/>
          <w:color w:val="000000" w:themeColor="text1"/>
          <w:szCs w:val="22"/>
        </w:rPr>
        <w:t>participate,</w:t>
      </w:r>
      <w:r w:rsidRPr="002477D3">
        <w:rPr>
          <w:rFonts w:cs="Arial"/>
          <w:color w:val="000000" w:themeColor="text1"/>
          <w:szCs w:val="22"/>
        </w:rPr>
        <w:t xml:space="preserve"> they will be sampled, but not asked to participate and therefore are non-responders. </w:t>
      </w:r>
    </w:p>
    <w:p w:rsidRPr="002477D3" w:rsidR="001C6086" w:rsidP="001C6086" w:rsidRDefault="001C6086" w14:paraId="239907A8" w14:textId="77777777">
      <w:pPr>
        <w:rPr>
          <w:rFonts w:cs="Arial"/>
          <w:color w:val="000000" w:themeColor="text1"/>
          <w:szCs w:val="22"/>
        </w:rPr>
      </w:pPr>
    </w:p>
    <w:p w:rsidRPr="002477D3" w:rsidR="001C6086" w:rsidP="001C6086" w:rsidRDefault="001C6086" w14:paraId="40C77F83" w14:textId="0AEBABB8">
      <w:pPr>
        <w:rPr>
          <w:rFonts w:cs="Arial"/>
          <w:color w:val="000000" w:themeColor="text1"/>
          <w:szCs w:val="22"/>
        </w:rPr>
      </w:pPr>
      <w:r w:rsidRPr="002477D3">
        <w:rPr>
          <w:rFonts w:cs="Arial"/>
          <w:color w:val="000000" w:themeColor="text1"/>
          <w:szCs w:val="22"/>
        </w:rPr>
        <w:t>The 2021-</w:t>
      </w:r>
      <w:r w:rsidR="00F06982">
        <w:rPr>
          <w:rFonts w:cs="Arial"/>
          <w:color w:val="000000" w:themeColor="text1"/>
          <w:szCs w:val="22"/>
        </w:rPr>
        <w:t>20</w:t>
      </w:r>
      <w:r w:rsidRPr="002477D3">
        <w:rPr>
          <w:rFonts w:cs="Arial"/>
          <w:color w:val="000000" w:themeColor="text1"/>
          <w:szCs w:val="22"/>
        </w:rPr>
        <w:t>22 household screener and interview questions appear in Attachments 3b and 3</w:t>
      </w:r>
      <w:r w:rsidR="007F3203">
        <w:rPr>
          <w:rFonts w:cs="Arial"/>
          <w:color w:val="000000" w:themeColor="text1"/>
          <w:szCs w:val="22"/>
        </w:rPr>
        <w:t>c</w:t>
      </w:r>
      <w:r w:rsidRPr="002477D3">
        <w:rPr>
          <w:rFonts w:cs="Arial"/>
          <w:color w:val="000000" w:themeColor="text1"/>
          <w:szCs w:val="22"/>
        </w:rPr>
        <w:t xml:space="preserve">, respectively. Household interview hand cards are in Attachment </w:t>
      </w:r>
      <w:r w:rsidRPr="002477D3" w:rsidR="00B73A5A">
        <w:rPr>
          <w:rFonts w:cs="Arial"/>
          <w:color w:val="000000" w:themeColor="text1"/>
          <w:szCs w:val="22"/>
        </w:rPr>
        <w:t>3</w:t>
      </w:r>
      <w:r w:rsidR="00B73A5A">
        <w:rPr>
          <w:rFonts w:cs="Arial"/>
          <w:color w:val="000000" w:themeColor="text1"/>
          <w:szCs w:val="22"/>
        </w:rPr>
        <w:t>d</w:t>
      </w:r>
      <w:r w:rsidRPr="002477D3">
        <w:rPr>
          <w:rFonts w:cs="Arial"/>
          <w:color w:val="000000" w:themeColor="text1"/>
          <w:szCs w:val="22"/>
        </w:rPr>
        <w:t>. The Sample Participant and Family Questionnaires are recorded for quality control purposes. Verbal consent is obtained and recorded at the beginning of the</w:t>
      </w:r>
      <w:r w:rsidR="00270CDB">
        <w:rPr>
          <w:rFonts w:cs="Arial"/>
          <w:color w:val="000000" w:themeColor="text1"/>
          <w:szCs w:val="22"/>
        </w:rPr>
        <w:t xml:space="preserve"> </w:t>
      </w:r>
      <w:r w:rsidRPr="002477D3">
        <w:rPr>
          <w:rFonts w:cs="Arial"/>
          <w:color w:val="000000" w:themeColor="text1"/>
          <w:szCs w:val="22"/>
        </w:rPr>
        <w:t xml:space="preserve">questionnaire.  </w:t>
      </w:r>
    </w:p>
    <w:p w:rsidRPr="002477D3" w:rsidR="001C6086" w:rsidP="001C6086" w:rsidRDefault="001C6086" w14:paraId="4073A95E" w14:textId="77777777">
      <w:pPr>
        <w:rPr>
          <w:rFonts w:cs="Arial"/>
          <w:color w:val="000000" w:themeColor="text1"/>
          <w:szCs w:val="22"/>
        </w:rPr>
      </w:pPr>
    </w:p>
    <w:p w:rsidRPr="002477D3" w:rsidR="001C6086" w:rsidP="64B97125" w:rsidRDefault="001C6086" w14:paraId="303560C1" w14:textId="41399E8A">
      <w:pPr>
        <w:rPr>
          <w:rFonts w:cs="Arial"/>
          <w:color w:val="000000" w:themeColor="text1"/>
        </w:rPr>
      </w:pPr>
      <w:r w:rsidRPr="64B97125">
        <w:rPr>
          <w:rFonts w:cs="Arial"/>
          <w:color w:val="000000" w:themeColor="text1"/>
        </w:rPr>
        <w:t xml:space="preserve">When the questionnaire is completed, the interviewer reviews information about the MEC examination and asks </w:t>
      </w:r>
      <w:r w:rsidRPr="64B97125" w:rsidR="006F661E">
        <w:rPr>
          <w:rFonts w:cs="Arial"/>
          <w:color w:val="000000" w:themeColor="text1"/>
        </w:rPr>
        <w:t>the participant</w:t>
      </w:r>
      <w:r w:rsidRPr="64B97125">
        <w:rPr>
          <w:rFonts w:cs="Arial"/>
          <w:color w:val="000000" w:themeColor="text1"/>
        </w:rPr>
        <w:t xml:space="preserve"> to set</w:t>
      </w:r>
      <w:r w:rsidR="005446A7">
        <w:rPr>
          <w:rFonts w:cs="Arial"/>
          <w:color w:val="000000" w:themeColor="text1"/>
        </w:rPr>
        <w:t xml:space="preserve"> up</w:t>
      </w:r>
      <w:r w:rsidRPr="64B97125">
        <w:rPr>
          <w:rFonts w:cs="Arial"/>
          <w:color w:val="000000" w:themeColor="text1"/>
        </w:rPr>
        <w:t xml:space="preserve"> an appointment. If the participant agrees, the interviewer then telephones the field staff to make the examination appointments. The interviewer informs the participants that they will receive an incentive for participating in the examination, as well as help with out of pocket expenses such as transportation and childcare, if necessary. If the participant has questions or cannot come at the randomly assigned time, the </w:t>
      </w:r>
      <w:r w:rsidRPr="64B97125">
        <w:rPr>
          <w:rFonts w:cs="Arial"/>
          <w:color w:val="000000" w:themeColor="text1"/>
        </w:rPr>
        <w:lastRenderedPageBreak/>
        <w:t xml:space="preserve">interviewer will resolve </w:t>
      </w:r>
      <w:r w:rsidRPr="64B97125" w:rsidR="00041116">
        <w:rPr>
          <w:rFonts w:cs="Arial"/>
          <w:color w:val="000000" w:themeColor="text1"/>
        </w:rPr>
        <w:t>these or other</w:t>
      </w:r>
      <w:r w:rsidRPr="64B97125">
        <w:rPr>
          <w:rFonts w:cs="Arial"/>
          <w:color w:val="000000" w:themeColor="text1"/>
        </w:rPr>
        <w:t xml:space="preserve"> outstanding issues. As part of explaining incentives the interviewer may mention that participation in components occurring after the examination (dietary </w:t>
      </w:r>
      <w:r w:rsidRPr="64B97125" w:rsidR="03AC54F3">
        <w:rPr>
          <w:rFonts w:cs="Arial"/>
          <w:color w:val="000000" w:themeColor="text1"/>
        </w:rPr>
        <w:t xml:space="preserve">interviews </w:t>
      </w:r>
      <w:r w:rsidRPr="64B97125">
        <w:rPr>
          <w:rFonts w:cs="Arial"/>
          <w:color w:val="000000" w:themeColor="text1"/>
        </w:rPr>
        <w:t>by phone</w:t>
      </w:r>
      <w:r w:rsidRPr="64B97125">
        <w:rPr>
          <w:color w:val="000000" w:themeColor="text1"/>
        </w:rPr>
        <w:t>) may also result in an incentive.</w:t>
      </w:r>
    </w:p>
    <w:p w:rsidRPr="002477D3" w:rsidR="001C6086" w:rsidP="001C6086" w:rsidRDefault="001C6086" w14:paraId="0ACD8B48" w14:textId="77777777">
      <w:pPr>
        <w:rPr>
          <w:rFonts w:cs="Arial"/>
          <w:color w:val="000000" w:themeColor="text1"/>
          <w:szCs w:val="22"/>
        </w:rPr>
      </w:pPr>
    </w:p>
    <w:p w:rsidR="00055FF5" w:rsidP="001C6086" w:rsidRDefault="001C6086" w14:paraId="4E93FA34" w14:textId="05E839D7">
      <w:pPr>
        <w:rPr>
          <w:rFonts w:cs="Arial"/>
          <w:color w:val="000000" w:themeColor="text1"/>
        </w:rPr>
      </w:pPr>
      <w:r w:rsidRPr="6EFFEBFD">
        <w:rPr>
          <w:rFonts w:cs="Arial"/>
          <w:color w:val="000000" w:themeColor="text1"/>
        </w:rPr>
        <w:t xml:space="preserve">When arriving at the MEC all participants, interpreters, observers, and staff will be screened for COVID-19 symptoms outside of the building.  The screening will include answering a series of questions related to symptoms and </w:t>
      </w:r>
      <w:proofErr w:type="gramStart"/>
      <w:r w:rsidRPr="6EFFEBFD">
        <w:rPr>
          <w:rFonts w:cs="Arial"/>
          <w:color w:val="000000" w:themeColor="text1"/>
        </w:rPr>
        <w:t>exposures</w:t>
      </w:r>
      <w:r w:rsidRPr="6EFFEBFD" w:rsidR="00DF6598">
        <w:rPr>
          <w:rFonts w:cs="Arial"/>
          <w:color w:val="000000" w:themeColor="text1"/>
        </w:rPr>
        <w:t xml:space="preserve">, </w:t>
      </w:r>
      <w:r w:rsidR="008A232A">
        <w:rPr>
          <w:rFonts w:cs="Arial"/>
          <w:color w:val="000000" w:themeColor="text1"/>
        </w:rPr>
        <w:t>and</w:t>
      </w:r>
      <w:proofErr w:type="gramEnd"/>
      <w:r w:rsidR="008A232A">
        <w:rPr>
          <w:rFonts w:cs="Arial"/>
          <w:color w:val="000000" w:themeColor="text1"/>
        </w:rPr>
        <w:t xml:space="preserve"> </w:t>
      </w:r>
      <w:r w:rsidRPr="6EFFEBFD">
        <w:rPr>
          <w:rFonts w:cs="Arial"/>
          <w:color w:val="000000" w:themeColor="text1"/>
        </w:rPr>
        <w:t xml:space="preserve">having a temperature check. </w:t>
      </w:r>
      <w:r w:rsidR="008A232A">
        <w:rPr>
          <w:rFonts w:cs="Arial"/>
          <w:color w:val="000000" w:themeColor="text1"/>
        </w:rPr>
        <w:t>A</w:t>
      </w:r>
      <w:r w:rsidRPr="6EFFEBFD" w:rsidR="008A232A">
        <w:rPr>
          <w:rFonts w:cs="Arial"/>
          <w:color w:val="000000" w:themeColor="text1"/>
        </w:rPr>
        <w:t xml:space="preserve">nyone </w:t>
      </w:r>
      <w:r w:rsidR="008A232A">
        <w:rPr>
          <w:rFonts w:cs="Arial"/>
          <w:color w:val="000000" w:themeColor="text1"/>
        </w:rPr>
        <w:t>report</w:t>
      </w:r>
      <w:r w:rsidR="00802455">
        <w:rPr>
          <w:rFonts w:cs="Arial"/>
          <w:color w:val="000000" w:themeColor="text1"/>
        </w:rPr>
        <w:t>ing</w:t>
      </w:r>
      <w:r w:rsidRPr="6EFFEBFD" w:rsidR="008A232A">
        <w:rPr>
          <w:rFonts w:cs="Arial"/>
          <w:color w:val="000000" w:themeColor="text1"/>
        </w:rPr>
        <w:t xml:space="preserve"> </w:t>
      </w:r>
      <w:r w:rsidRPr="6EFFEBFD" w:rsidR="00905BA6">
        <w:rPr>
          <w:rFonts w:cs="Arial"/>
          <w:color w:val="000000" w:themeColor="text1"/>
        </w:rPr>
        <w:t xml:space="preserve">symptoms or </w:t>
      </w:r>
      <w:proofErr w:type="gramStart"/>
      <w:r w:rsidR="008A232A">
        <w:rPr>
          <w:rFonts w:cs="Arial"/>
          <w:color w:val="000000" w:themeColor="text1"/>
        </w:rPr>
        <w:t>exposures, or</w:t>
      </w:r>
      <w:proofErr w:type="gramEnd"/>
      <w:r w:rsidR="008A232A">
        <w:rPr>
          <w:rFonts w:cs="Arial"/>
          <w:color w:val="000000" w:themeColor="text1"/>
        </w:rPr>
        <w:t xml:space="preserve"> having temperature at or above 100.4 degree F</w:t>
      </w:r>
      <w:r w:rsidRPr="008A232A" w:rsidR="008A232A">
        <w:rPr>
          <w:rFonts w:cs="Arial"/>
          <w:color w:val="000000" w:themeColor="text1"/>
        </w:rPr>
        <w:t>ahrenheit</w:t>
      </w:r>
      <w:r w:rsidRPr="6EFFEBFD" w:rsidR="00905BA6">
        <w:rPr>
          <w:rFonts w:cs="Arial"/>
          <w:color w:val="000000" w:themeColor="text1"/>
        </w:rPr>
        <w:t xml:space="preserve"> will not be allowed </w:t>
      </w:r>
      <w:r w:rsidR="008A232A">
        <w:rPr>
          <w:rFonts w:cs="Arial"/>
          <w:color w:val="000000" w:themeColor="text1"/>
        </w:rPr>
        <w:t>to enter</w:t>
      </w:r>
      <w:r w:rsidRPr="6EFFEBFD" w:rsidR="008A232A">
        <w:rPr>
          <w:rFonts w:cs="Arial"/>
          <w:color w:val="000000" w:themeColor="text1"/>
        </w:rPr>
        <w:t xml:space="preserve"> </w:t>
      </w:r>
      <w:r w:rsidRPr="6EFFEBFD" w:rsidR="00905BA6">
        <w:rPr>
          <w:rFonts w:cs="Arial"/>
          <w:color w:val="000000" w:themeColor="text1"/>
        </w:rPr>
        <w:t>the MEC</w:t>
      </w:r>
      <w:r w:rsidRPr="6EFFEBFD" w:rsidR="00EE71B3">
        <w:rPr>
          <w:rFonts w:cs="Arial"/>
          <w:color w:val="000000" w:themeColor="text1"/>
        </w:rPr>
        <w:t xml:space="preserve"> (</w:t>
      </w:r>
      <w:r w:rsidRPr="002477D3" w:rsidR="008A232A">
        <w:rPr>
          <w:rFonts w:cs="Arial"/>
          <w:color w:val="000000" w:themeColor="text1"/>
          <w:szCs w:val="22"/>
        </w:rPr>
        <w:t>Attachment 3</w:t>
      </w:r>
      <w:r w:rsidR="008A232A">
        <w:rPr>
          <w:rFonts w:cs="Arial"/>
          <w:color w:val="000000" w:themeColor="text1"/>
          <w:szCs w:val="22"/>
        </w:rPr>
        <w:t>e</w:t>
      </w:r>
      <w:r w:rsidRPr="6EFFEBFD" w:rsidR="00EE71B3">
        <w:rPr>
          <w:rFonts w:cs="Arial"/>
          <w:color w:val="000000" w:themeColor="text1"/>
        </w:rPr>
        <w:t xml:space="preserve">). </w:t>
      </w:r>
      <w:r w:rsidRPr="6EFFEBFD">
        <w:rPr>
          <w:rFonts w:cs="Arial"/>
          <w:color w:val="000000" w:themeColor="text1"/>
        </w:rPr>
        <w:t xml:space="preserve">Once inside the MEC, </w:t>
      </w:r>
      <w:r w:rsidR="008A232A">
        <w:rPr>
          <w:rFonts w:cs="Arial"/>
          <w:color w:val="000000" w:themeColor="text1"/>
        </w:rPr>
        <w:t>staff will</w:t>
      </w:r>
      <w:r w:rsidRPr="6EFFEBFD">
        <w:rPr>
          <w:rFonts w:cs="Arial"/>
          <w:color w:val="000000" w:themeColor="text1"/>
        </w:rPr>
        <w:t xml:space="preserve"> verif</w:t>
      </w:r>
      <w:r w:rsidR="00222DA9">
        <w:rPr>
          <w:rFonts w:cs="Arial"/>
          <w:color w:val="000000" w:themeColor="text1"/>
        </w:rPr>
        <w:t>y</w:t>
      </w:r>
      <w:r w:rsidRPr="6EFFEBFD">
        <w:rPr>
          <w:rFonts w:cs="Arial"/>
          <w:color w:val="000000" w:themeColor="text1"/>
        </w:rPr>
        <w:t xml:space="preserve"> their identity</w:t>
      </w:r>
      <w:r w:rsidR="008A232A">
        <w:rPr>
          <w:rFonts w:cs="Arial"/>
          <w:color w:val="000000" w:themeColor="text1"/>
        </w:rPr>
        <w:t xml:space="preserve"> and</w:t>
      </w:r>
      <w:r w:rsidRPr="6EFFEBFD">
        <w:rPr>
          <w:rFonts w:cs="Arial"/>
          <w:color w:val="000000" w:themeColor="text1"/>
        </w:rPr>
        <w:t xml:space="preserve"> review the informed consent brochure and consent forms for the MEC examinations (Attachments </w:t>
      </w:r>
      <w:r w:rsidRPr="6EFFEBFD" w:rsidR="00864A94">
        <w:rPr>
          <w:rFonts w:cs="Arial"/>
          <w:color w:val="000000" w:themeColor="text1"/>
        </w:rPr>
        <w:t>11</w:t>
      </w:r>
      <w:r w:rsidR="00864A94">
        <w:rPr>
          <w:rFonts w:cs="Arial"/>
          <w:color w:val="000000" w:themeColor="text1"/>
        </w:rPr>
        <w:t>b</w:t>
      </w:r>
      <w:r w:rsidRPr="6EFFEBFD" w:rsidR="00864A94">
        <w:rPr>
          <w:rFonts w:cs="Arial"/>
          <w:color w:val="000000" w:themeColor="text1"/>
        </w:rPr>
        <w:t xml:space="preserve"> </w:t>
      </w:r>
      <w:r w:rsidR="00864A94">
        <w:rPr>
          <w:rFonts w:cs="Arial"/>
          <w:color w:val="000000" w:themeColor="text1"/>
        </w:rPr>
        <w:t>to</w:t>
      </w:r>
      <w:r w:rsidRPr="6EFFEBFD" w:rsidR="00864A94">
        <w:rPr>
          <w:rFonts w:cs="Arial"/>
          <w:color w:val="000000" w:themeColor="text1"/>
        </w:rPr>
        <w:t xml:space="preserve"> </w:t>
      </w:r>
      <w:r w:rsidRPr="6EFFEBFD">
        <w:rPr>
          <w:rFonts w:cs="Arial"/>
          <w:color w:val="000000" w:themeColor="text1"/>
        </w:rPr>
        <w:t xml:space="preserve">11g) with the </w:t>
      </w:r>
      <w:r w:rsidRPr="6EFFEBFD" w:rsidR="00BD7D3E">
        <w:rPr>
          <w:rFonts w:cs="Arial"/>
          <w:color w:val="000000" w:themeColor="text1"/>
        </w:rPr>
        <w:t>participant and</w:t>
      </w:r>
      <w:r w:rsidRPr="6EFFEBFD">
        <w:rPr>
          <w:rFonts w:cs="Arial"/>
          <w:color w:val="000000" w:themeColor="text1"/>
        </w:rPr>
        <w:t xml:space="preserve"> respond to any questions and concerns. </w:t>
      </w:r>
      <w:r w:rsidRPr="00864A94" w:rsidR="00864A94">
        <w:rPr>
          <w:rFonts w:cs="Arial"/>
          <w:color w:val="000000" w:themeColor="text1"/>
        </w:rPr>
        <w:t xml:space="preserve">For participants who are 7-17 years of age, a parent or guardian consents and the child assents. </w:t>
      </w:r>
      <w:r w:rsidRPr="6EFFEBFD">
        <w:rPr>
          <w:rFonts w:cs="Arial"/>
          <w:color w:val="000000" w:themeColor="text1"/>
        </w:rPr>
        <w:t>Participants will be asked to read, and sign consent</w:t>
      </w:r>
      <w:r w:rsidR="00864A94">
        <w:rPr>
          <w:rFonts w:cs="Arial"/>
          <w:color w:val="000000" w:themeColor="text1"/>
        </w:rPr>
        <w:t>/assent</w:t>
      </w:r>
      <w:r w:rsidRPr="6EFFEBFD">
        <w:rPr>
          <w:rFonts w:cs="Arial"/>
          <w:color w:val="000000" w:themeColor="text1"/>
        </w:rPr>
        <w:t xml:space="preserve"> forms for the examinations and storage of specimens once </w:t>
      </w:r>
      <w:r w:rsidRPr="6EFFEBFD" w:rsidR="00FE6D8E">
        <w:rPr>
          <w:rFonts w:cs="Arial"/>
          <w:color w:val="000000" w:themeColor="text1"/>
        </w:rPr>
        <w:t>all</w:t>
      </w:r>
      <w:r w:rsidRPr="6EFFEBFD">
        <w:rPr>
          <w:rFonts w:cs="Arial"/>
          <w:color w:val="000000" w:themeColor="text1"/>
        </w:rPr>
        <w:t xml:space="preserve"> their questions have been answered.</w:t>
      </w:r>
      <w:r w:rsidRPr="6EFFEBFD" w:rsidR="00055FF5">
        <w:rPr>
          <w:rFonts w:cs="Arial"/>
          <w:color w:val="000000" w:themeColor="text1"/>
        </w:rPr>
        <w:t xml:space="preserve">  </w:t>
      </w:r>
      <w:r w:rsidRPr="6EFFEBFD">
        <w:rPr>
          <w:rFonts w:cs="Arial"/>
          <w:color w:val="000000" w:themeColor="text1"/>
        </w:rPr>
        <w:t xml:space="preserve">MEC staff ask the participant to change into a disposable set of exam clothes and slippers. At this point, we also give the participant a container to provide a urine specimen while they are changing into their exam clothes. </w:t>
      </w:r>
    </w:p>
    <w:p w:rsidR="00055FF5" w:rsidP="001C6086" w:rsidRDefault="00055FF5" w14:paraId="78A80247" w14:textId="77777777">
      <w:pPr>
        <w:rPr>
          <w:rFonts w:cs="Arial"/>
          <w:color w:val="000000" w:themeColor="text1"/>
          <w:szCs w:val="22"/>
        </w:rPr>
      </w:pPr>
    </w:p>
    <w:p w:rsidRPr="002477D3" w:rsidR="001C6086" w:rsidP="001C6086" w:rsidRDefault="001C6086" w14:paraId="10D2778B" w14:textId="1DF26F64">
      <w:pPr>
        <w:rPr>
          <w:rFonts w:cs="Arial"/>
          <w:color w:val="000000" w:themeColor="text1"/>
          <w:szCs w:val="22"/>
        </w:rPr>
      </w:pPr>
      <w:r w:rsidRPr="002477D3">
        <w:rPr>
          <w:rFonts w:cs="Arial"/>
          <w:color w:val="000000" w:themeColor="text1"/>
          <w:szCs w:val="22"/>
        </w:rPr>
        <w:t>In addition to the Coordinator, the survey team at each MEC consists of a clinician, certified medical technologists, health technicians (at least two of whom are radiological technicians), a certified phlebotomist, and a facility equipment specialist.</w:t>
      </w:r>
    </w:p>
    <w:p w:rsidRPr="002477D3" w:rsidR="001C6086" w:rsidP="001C6086" w:rsidRDefault="001C6086" w14:paraId="7540BD33" w14:textId="77777777">
      <w:pPr>
        <w:rPr>
          <w:rFonts w:cs="Arial"/>
          <w:color w:val="000000" w:themeColor="text1"/>
          <w:szCs w:val="22"/>
        </w:rPr>
      </w:pPr>
    </w:p>
    <w:p w:rsidRPr="002477D3" w:rsidR="001C6086" w:rsidP="001C6086" w:rsidRDefault="001C6086" w14:paraId="4FA74616" w14:textId="06283EEE">
      <w:pPr>
        <w:rPr>
          <w:rFonts w:cs="Arial"/>
          <w:color w:val="000000" w:themeColor="text1"/>
          <w:szCs w:val="22"/>
        </w:rPr>
      </w:pPr>
      <w:r w:rsidRPr="002477D3">
        <w:rPr>
          <w:rFonts w:cs="Arial"/>
          <w:color w:val="000000" w:themeColor="text1"/>
          <w:szCs w:val="22"/>
        </w:rPr>
        <w:t>The 2020-21 MEC questionnaire and examination data collection forms are in Attachment 3</w:t>
      </w:r>
      <w:r w:rsidR="0095193D">
        <w:rPr>
          <w:rFonts w:cs="Arial"/>
          <w:color w:val="000000" w:themeColor="text1"/>
          <w:szCs w:val="22"/>
        </w:rPr>
        <w:t>e</w:t>
      </w:r>
      <w:r w:rsidRPr="002477D3">
        <w:rPr>
          <w:rFonts w:cs="Arial"/>
          <w:color w:val="000000" w:themeColor="text1"/>
          <w:szCs w:val="22"/>
        </w:rPr>
        <w:t xml:space="preserve">. Some of the medical findings of the examination are given to the examinees before they leave the MEC. The remaining examination results are mailed to participants </w:t>
      </w:r>
      <w:proofErr w:type="gramStart"/>
      <w:r w:rsidRPr="002477D3">
        <w:rPr>
          <w:rFonts w:cs="Arial"/>
          <w:color w:val="000000" w:themeColor="text1"/>
          <w:szCs w:val="22"/>
        </w:rPr>
        <w:t>at a later date</w:t>
      </w:r>
      <w:proofErr w:type="gramEnd"/>
      <w:r w:rsidRPr="002477D3">
        <w:rPr>
          <w:rFonts w:cs="Arial"/>
          <w:color w:val="000000" w:themeColor="text1"/>
          <w:szCs w:val="22"/>
        </w:rPr>
        <w:t xml:space="preserve"> (usually between 3-4 months after their MEC exam took place). The sexually transmitted disease (STD) laboratory test results are not mailed with the other exam results, but rather reported to participants only via telephone to further protect their confidentiality. The participants call NCHS for the results and provide the personalized password they created during their MEC examination. Examples of the Reports of Findings given to examinees and a description of the Reports of Findings process are included in Attachment </w:t>
      </w:r>
      <w:r w:rsidRPr="002477D3" w:rsidR="00864A94">
        <w:rPr>
          <w:rFonts w:cs="Arial"/>
          <w:color w:val="000000" w:themeColor="text1"/>
          <w:szCs w:val="22"/>
        </w:rPr>
        <w:t>14</w:t>
      </w:r>
      <w:r w:rsidR="00864A94">
        <w:rPr>
          <w:rFonts w:cs="Arial"/>
          <w:color w:val="000000" w:themeColor="text1"/>
          <w:szCs w:val="22"/>
        </w:rPr>
        <w:t>g</w:t>
      </w:r>
      <w:r w:rsidRPr="002477D3">
        <w:rPr>
          <w:rFonts w:cs="Arial"/>
          <w:color w:val="000000" w:themeColor="text1"/>
          <w:szCs w:val="22"/>
        </w:rPr>
        <w:t>.</w:t>
      </w:r>
    </w:p>
    <w:p w:rsidRPr="002477D3" w:rsidR="001C6086" w:rsidP="001C6086" w:rsidRDefault="001C6086" w14:paraId="5F389D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2"/>
        </w:rPr>
      </w:pPr>
    </w:p>
    <w:p w:rsidRPr="00285BEB" w:rsidR="00793BD7" w:rsidP="00793BD7" w:rsidRDefault="008547AD" w14:paraId="74F5A0DC" w14:textId="0DE08EE7">
      <w:pPr>
        <w:widowControl/>
        <w:rPr>
          <w:rFonts w:cs="Arial"/>
          <w:color w:val="000000" w:themeColor="text1"/>
        </w:rPr>
      </w:pPr>
      <w:r w:rsidRPr="64B97125">
        <w:rPr>
          <w:rFonts w:cs="Arial"/>
        </w:rPr>
        <w:t>We propose to collect two dietary interviews via telephone in the 2021-22 NHANES.</w:t>
      </w:r>
      <w:r w:rsidRPr="64B97125" w:rsidR="00A64CA9">
        <w:rPr>
          <w:rFonts w:cs="Arial"/>
        </w:rPr>
        <w:t xml:space="preserve"> </w:t>
      </w:r>
      <w:r w:rsidRPr="64B97125">
        <w:rPr>
          <w:rFonts w:cs="Arial"/>
        </w:rPr>
        <w:t>Currently, NHANES conducts an in-person dietary interview at the mobile examination</w:t>
      </w:r>
      <w:r w:rsidRPr="64B97125" w:rsidR="00A64CA9">
        <w:rPr>
          <w:rFonts w:cs="Arial"/>
        </w:rPr>
        <w:t xml:space="preserve"> </w:t>
      </w:r>
      <w:r w:rsidRPr="64B97125">
        <w:rPr>
          <w:rFonts w:cs="Arial"/>
        </w:rPr>
        <w:t>center (Day 1) and a second dietary interview by phone (Day 2). Given the current</w:t>
      </w:r>
      <w:r w:rsidRPr="64B97125" w:rsidR="00CB38FC">
        <w:rPr>
          <w:rFonts w:cs="Arial"/>
        </w:rPr>
        <w:t xml:space="preserve"> </w:t>
      </w:r>
      <w:r w:rsidRPr="64B97125">
        <w:rPr>
          <w:rFonts w:cs="Arial"/>
        </w:rPr>
        <w:t>circumstances due to the</w:t>
      </w:r>
      <w:r w:rsidRPr="64B97125" w:rsidR="00CB38FC">
        <w:rPr>
          <w:rFonts w:cs="Arial"/>
        </w:rPr>
        <w:t xml:space="preserve"> </w:t>
      </w:r>
      <w:r w:rsidRPr="64B97125">
        <w:rPr>
          <w:rFonts w:cs="Arial"/>
        </w:rPr>
        <w:t xml:space="preserve">COVID-19 pandemic, we propose to change the mode of the </w:t>
      </w:r>
      <w:r w:rsidRPr="64B97125" w:rsidR="00BD7D3E">
        <w:rPr>
          <w:rFonts w:cs="Arial"/>
        </w:rPr>
        <w:t>in-person</w:t>
      </w:r>
      <w:r w:rsidRPr="64B97125" w:rsidR="00285BEB">
        <w:rPr>
          <w:rFonts w:cs="Arial"/>
        </w:rPr>
        <w:t xml:space="preserve"> </w:t>
      </w:r>
      <w:r w:rsidRPr="64B97125">
        <w:rPr>
          <w:rFonts w:cs="Arial"/>
        </w:rPr>
        <w:t>interview (Day 1) to also be via phone to limit face-to-face interaction with</w:t>
      </w:r>
      <w:r w:rsidRPr="64B97125" w:rsidR="00CB38FC">
        <w:rPr>
          <w:rFonts w:cs="Arial"/>
        </w:rPr>
        <w:t xml:space="preserve"> </w:t>
      </w:r>
      <w:r w:rsidRPr="64B97125">
        <w:rPr>
          <w:rFonts w:cs="Arial"/>
        </w:rPr>
        <w:t>respondents. That is, we propose both Day 1 and Day 2 Dietary Interviews be conducted</w:t>
      </w:r>
      <w:r w:rsidRPr="64B97125" w:rsidR="00CB38FC">
        <w:rPr>
          <w:rFonts w:cs="Arial"/>
        </w:rPr>
        <w:t xml:space="preserve"> </w:t>
      </w:r>
      <w:r w:rsidRPr="64B97125">
        <w:rPr>
          <w:rFonts w:cs="Arial"/>
        </w:rPr>
        <w:t>via telephone when the NHANES survey restarts in 2021. Interviews will be conducted in</w:t>
      </w:r>
      <w:r w:rsidRPr="64B97125" w:rsidR="00CB38FC">
        <w:rPr>
          <w:rFonts w:cs="Arial"/>
        </w:rPr>
        <w:t xml:space="preserve"> </w:t>
      </w:r>
      <w:r w:rsidRPr="64B97125">
        <w:rPr>
          <w:rFonts w:cs="Arial"/>
        </w:rPr>
        <w:t xml:space="preserve">English </w:t>
      </w:r>
      <w:r w:rsidRPr="64B97125" w:rsidR="0526F917">
        <w:rPr>
          <w:rFonts w:cs="Arial"/>
        </w:rPr>
        <w:t xml:space="preserve">or </w:t>
      </w:r>
      <w:r w:rsidRPr="64B97125">
        <w:rPr>
          <w:rFonts w:cs="Arial"/>
        </w:rPr>
        <w:t>Spanish. When the participant goes to the MEC, staff will schedule an appointment</w:t>
      </w:r>
      <w:r w:rsidRPr="64B97125" w:rsidR="00CB38FC">
        <w:rPr>
          <w:rFonts w:cs="Arial"/>
        </w:rPr>
        <w:t xml:space="preserve"> </w:t>
      </w:r>
      <w:r w:rsidRPr="64B97125">
        <w:rPr>
          <w:rFonts w:cs="Arial"/>
        </w:rPr>
        <w:t xml:space="preserve">for the participant to </w:t>
      </w:r>
      <w:r w:rsidRPr="64B97125" w:rsidR="4F964A04">
        <w:rPr>
          <w:rFonts w:cs="Arial"/>
        </w:rPr>
        <w:t xml:space="preserve">be </w:t>
      </w:r>
      <w:r w:rsidRPr="64B97125">
        <w:rPr>
          <w:rFonts w:cs="Arial"/>
        </w:rPr>
        <w:t>call</w:t>
      </w:r>
      <w:r w:rsidRPr="64B97125" w:rsidR="60EE38BE">
        <w:rPr>
          <w:rFonts w:cs="Arial"/>
        </w:rPr>
        <w:t>ed</w:t>
      </w:r>
      <w:r w:rsidRPr="64B97125">
        <w:rPr>
          <w:rFonts w:cs="Arial"/>
        </w:rPr>
        <w:t xml:space="preserve"> 3-7 days later to complete the Day 1 Dietary</w:t>
      </w:r>
      <w:r w:rsidRPr="64B97125" w:rsidR="00CB38FC">
        <w:rPr>
          <w:rFonts w:cs="Arial"/>
        </w:rPr>
        <w:t xml:space="preserve"> </w:t>
      </w:r>
      <w:r w:rsidRPr="64B97125">
        <w:rPr>
          <w:rFonts w:cs="Arial"/>
        </w:rPr>
        <w:t>Interview</w:t>
      </w:r>
      <w:r w:rsidRPr="64B97125" w:rsidR="004B1D95">
        <w:rPr>
          <w:rFonts w:cs="Arial"/>
        </w:rPr>
        <w:t>.</w:t>
      </w:r>
      <w:r w:rsidRPr="64B97125">
        <w:rPr>
          <w:rFonts w:cs="Arial"/>
        </w:rPr>
        <w:t xml:space="preserve"> </w:t>
      </w:r>
      <w:r w:rsidRPr="64B97125" w:rsidR="004B1D95">
        <w:rPr>
          <w:rFonts w:cs="Arial"/>
        </w:rPr>
        <w:t xml:space="preserve">We </w:t>
      </w:r>
      <w:r w:rsidRPr="64B97125">
        <w:rPr>
          <w:rFonts w:cs="Arial"/>
        </w:rPr>
        <w:t xml:space="preserve">will give a Food Model Booklet and dietary kit </w:t>
      </w:r>
      <w:r w:rsidRPr="64B97125" w:rsidR="004B1D95">
        <w:rPr>
          <w:rFonts w:cs="Arial"/>
        </w:rPr>
        <w:t xml:space="preserve">to each </w:t>
      </w:r>
      <w:r w:rsidRPr="64B97125">
        <w:rPr>
          <w:rFonts w:cs="Arial"/>
        </w:rPr>
        <w:t>family to estimate portions</w:t>
      </w:r>
      <w:r w:rsidRPr="64B97125" w:rsidR="00CB38FC">
        <w:rPr>
          <w:rFonts w:cs="Arial"/>
        </w:rPr>
        <w:t xml:space="preserve"> </w:t>
      </w:r>
      <w:r w:rsidRPr="64B97125">
        <w:rPr>
          <w:rFonts w:cs="Arial"/>
        </w:rPr>
        <w:t>consumed</w:t>
      </w:r>
      <w:r w:rsidRPr="64B97125" w:rsidR="00611DD5">
        <w:rPr>
          <w:rFonts w:cs="Arial"/>
        </w:rPr>
        <w:t xml:space="preserve"> (</w:t>
      </w:r>
      <w:r w:rsidRPr="64B97125" w:rsidR="00E0697F">
        <w:rPr>
          <w:rFonts w:cs="Arial"/>
        </w:rPr>
        <w:t>Attachments 3g and 3h)</w:t>
      </w:r>
      <w:r w:rsidRPr="64B97125">
        <w:rPr>
          <w:rFonts w:cs="Arial"/>
        </w:rPr>
        <w:t>. At the end of the Day 1 Dietary Interview, the interviewer will ask if he/she can</w:t>
      </w:r>
      <w:r w:rsidRPr="64B97125" w:rsidR="00CB38FC">
        <w:rPr>
          <w:rFonts w:cs="Arial"/>
        </w:rPr>
        <w:t xml:space="preserve"> </w:t>
      </w:r>
      <w:r w:rsidRPr="64B97125">
        <w:rPr>
          <w:rFonts w:cs="Arial"/>
        </w:rPr>
        <w:t xml:space="preserve">schedule an appointment for a second dietary interview. </w:t>
      </w:r>
      <w:r w:rsidRPr="64B97125" w:rsidR="00285BEB">
        <w:rPr>
          <w:rFonts w:cs="Arial"/>
        </w:rPr>
        <w:t>At the end of the Day 2 Dietary</w:t>
      </w:r>
      <w:r w:rsidRPr="64B97125" w:rsidR="00CB38FC">
        <w:rPr>
          <w:rFonts w:cs="Arial"/>
        </w:rPr>
        <w:t xml:space="preserve"> </w:t>
      </w:r>
      <w:r w:rsidRPr="64B97125" w:rsidR="00285BEB">
        <w:rPr>
          <w:rFonts w:cs="Arial"/>
        </w:rPr>
        <w:t xml:space="preserve">Interview, the interviewer will ask if the participants aged 16 years and over will complete </w:t>
      </w:r>
      <w:r w:rsidRPr="64B97125" w:rsidR="00EB0777">
        <w:rPr>
          <w:rFonts w:cs="Arial"/>
        </w:rPr>
        <w:t>the</w:t>
      </w:r>
      <w:r w:rsidRPr="64B97125" w:rsidR="004960E2">
        <w:rPr>
          <w:rFonts w:cs="Arial"/>
        </w:rPr>
        <w:t xml:space="preserve"> </w:t>
      </w:r>
      <w:r w:rsidRPr="64B97125" w:rsidR="00EB0777">
        <w:rPr>
          <w:rFonts w:cs="Arial"/>
        </w:rPr>
        <w:t>Flexible Consumer Behavior Survey (FCBS)</w:t>
      </w:r>
      <w:r w:rsidRPr="64B97125" w:rsidR="06F97C6F">
        <w:rPr>
          <w:rFonts w:cs="Arial"/>
        </w:rPr>
        <w:t xml:space="preserve"> phone follow-up</w:t>
      </w:r>
      <w:r w:rsidRPr="64B97125" w:rsidR="00EB0777">
        <w:rPr>
          <w:rFonts w:cs="Arial"/>
        </w:rPr>
        <w:t xml:space="preserve"> </w:t>
      </w:r>
      <w:r w:rsidRPr="64B97125" w:rsidR="2257C15C">
        <w:rPr>
          <w:rFonts w:cs="Arial"/>
        </w:rPr>
        <w:t xml:space="preserve">module </w:t>
      </w:r>
      <w:r w:rsidRPr="64B97125" w:rsidR="00EB0777">
        <w:rPr>
          <w:rFonts w:cs="Arial"/>
        </w:rPr>
        <w:t>(Attachment</w:t>
      </w:r>
      <w:r w:rsidRPr="64B97125" w:rsidR="00DB3B1A">
        <w:rPr>
          <w:rFonts w:cs="Arial"/>
        </w:rPr>
        <w:t>s 3i and 3j</w:t>
      </w:r>
      <w:r w:rsidRPr="64B97125" w:rsidR="00EB0777">
        <w:rPr>
          <w:rFonts w:cs="Arial"/>
        </w:rPr>
        <w:t xml:space="preserve">), which asks about </w:t>
      </w:r>
      <w:r w:rsidRPr="64B97125" w:rsidR="3CB78180">
        <w:rPr>
          <w:rFonts w:cs="Arial"/>
        </w:rPr>
        <w:t xml:space="preserve">food </w:t>
      </w:r>
      <w:r w:rsidRPr="64B97125" w:rsidR="00285BEB">
        <w:rPr>
          <w:rFonts w:cs="Arial"/>
        </w:rPr>
        <w:t>shopping</w:t>
      </w:r>
      <w:r w:rsidRPr="64B97125" w:rsidR="004960E2">
        <w:rPr>
          <w:rFonts w:cs="Arial"/>
        </w:rPr>
        <w:t xml:space="preserve"> </w:t>
      </w:r>
      <w:r w:rsidRPr="64B97125" w:rsidR="00285BEB">
        <w:rPr>
          <w:rFonts w:cs="Arial"/>
        </w:rPr>
        <w:t>habits.</w:t>
      </w:r>
      <w:r w:rsidRPr="64B97125" w:rsidR="00285BEB">
        <w:rPr>
          <w:rFonts w:cs="Arial"/>
          <w:sz w:val="23"/>
          <w:szCs w:val="23"/>
        </w:rPr>
        <w:t xml:space="preserve"> </w:t>
      </w:r>
      <w:r w:rsidRPr="00F213BB" w:rsidR="004B1D95">
        <w:rPr>
          <w:rFonts w:cs="Arial"/>
          <w:szCs w:val="22"/>
        </w:rPr>
        <w:t xml:space="preserve">An adult will be asked to complete </w:t>
      </w:r>
      <w:r w:rsidRPr="00F213BB" w:rsidR="00EB0777">
        <w:rPr>
          <w:rFonts w:cs="Arial"/>
          <w:szCs w:val="22"/>
        </w:rPr>
        <w:t xml:space="preserve">the FCBS </w:t>
      </w:r>
      <w:r w:rsidRPr="64B97125" w:rsidR="004B1D95">
        <w:rPr>
          <w:rFonts w:cs="Arial"/>
          <w:szCs w:val="22"/>
        </w:rPr>
        <w:t xml:space="preserve">for participants aged 1-15 years </w:t>
      </w:r>
      <w:r w:rsidRPr="64B97125" w:rsidR="00E168EC">
        <w:rPr>
          <w:rFonts w:cs="Arial"/>
        </w:rPr>
        <w:t>old.</w:t>
      </w:r>
      <w:r w:rsidRPr="64B97125" w:rsidR="004B1D95">
        <w:rPr>
          <w:rFonts w:cs="Arial"/>
        </w:rPr>
        <w:t xml:space="preserve"> </w:t>
      </w:r>
    </w:p>
    <w:p w:rsidRPr="00285BEB" w:rsidR="001E28FB" w:rsidRDefault="001E28FB" w14:paraId="1AEA1E19" w14:textId="77777777">
      <w:pPr>
        <w:widowControl/>
        <w:autoSpaceDE/>
        <w:autoSpaceDN/>
        <w:adjustRightInd/>
        <w:rPr>
          <w:rFonts w:cs="Arial"/>
          <w:color w:val="000000" w:themeColor="text1"/>
          <w:szCs w:val="22"/>
        </w:rPr>
      </w:pPr>
    </w:p>
    <w:p w:rsidRPr="00285BEB" w:rsidR="001E0AA6" w:rsidP="001E0AA6" w:rsidRDefault="001E0AA6" w14:paraId="44CFB358" w14:textId="77777777">
      <w:pPr>
        <w:rPr>
          <w:color w:val="000000" w:themeColor="text1"/>
        </w:rPr>
      </w:pPr>
    </w:p>
    <w:p w:rsidRPr="00285BEB" w:rsidR="00C738B1" w:rsidP="001E0AA6" w:rsidRDefault="00C738B1" w14:paraId="40A3C5F5" w14:textId="77777777">
      <w:pPr>
        <w:rPr>
          <w:color w:val="000000" w:themeColor="text1"/>
        </w:rPr>
      </w:pPr>
    </w:p>
    <w:p w:rsidRPr="00285BEB" w:rsidR="001E0AA6" w:rsidP="001E0AA6" w:rsidRDefault="001E0AA6" w14:paraId="43BEA3E0" w14:textId="2C227308">
      <w:pPr>
        <w:rPr>
          <w:color w:val="000000" w:themeColor="text1"/>
        </w:rPr>
      </w:pPr>
      <w:r w:rsidRPr="00285BEB">
        <w:rPr>
          <w:color w:val="000000" w:themeColor="text1"/>
        </w:rPr>
        <w:t xml:space="preserve">Selection of Primary Sampling Units (PSUs) </w:t>
      </w:r>
    </w:p>
    <w:p w:rsidRPr="00285BEB" w:rsidR="001E0AA6" w:rsidP="001E0AA6" w:rsidRDefault="001E0AA6" w14:paraId="03A1A524" w14:textId="77777777">
      <w:pPr>
        <w:rPr>
          <w:color w:val="000000" w:themeColor="text1"/>
        </w:rPr>
      </w:pPr>
    </w:p>
    <w:p w:rsidRPr="005C0A40" w:rsidR="00857AEE" w:rsidP="00857AEE" w:rsidRDefault="00857AEE" w14:paraId="0C3C64C3" w14:textId="77777777">
      <w:pPr>
        <w:rPr>
          <w:color w:val="000000" w:themeColor="text1"/>
        </w:rPr>
      </w:pPr>
      <w:r w:rsidRPr="00BE12E3">
        <w:rPr>
          <w:color w:val="000000" w:themeColor="text1"/>
        </w:rPr>
        <w:t>To determine a probability of selection for each PSU, a measure of size (MOS) based on the most recently available projection from Census data is established for each PSU. </w:t>
      </w:r>
      <w:r>
        <w:rPr>
          <w:color w:val="000000" w:themeColor="text1"/>
        </w:rPr>
        <w:t>For the 2021-2022 sample, t</w:t>
      </w:r>
      <w:r w:rsidRPr="00BE12E3">
        <w:rPr>
          <w:color w:val="000000" w:themeColor="text1"/>
        </w:rPr>
        <w:t xml:space="preserve">he MOS reflects the </w:t>
      </w:r>
      <w:r>
        <w:rPr>
          <w:color w:val="000000" w:themeColor="text1"/>
        </w:rPr>
        <w:t xml:space="preserve">total civilian noninstitutionalized </w:t>
      </w:r>
      <w:r w:rsidRPr="00BE12E3">
        <w:rPr>
          <w:color w:val="000000" w:themeColor="text1"/>
        </w:rPr>
        <w:t>population in the PSU</w:t>
      </w:r>
      <w:r>
        <w:rPr>
          <w:color w:val="000000" w:themeColor="text1"/>
        </w:rPr>
        <w:t>.</w:t>
      </w:r>
    </w:p>
    <w:p w:rsidRPr="00285BEB" w:rsidR="001E0AA6" w:rsidP="001E0AA6" w:rsidRDefault="001E0AA6" w14:paraId="6B42A6CA" w14:textId="77777777">
      <w:pPr>
        <w:rPr>
          <w:color w:val="000000" w:themeColor="text1"/>
        </w:rPr>
      </w:pPr>
    </w:p>
    <w:p w:rsidRPr="00285BEB" w:rsidR="001E0AA6" w:rsidP="001E0AA6" w:rsidRDefault="001E0AA6" w14:paraId="77059694" w14:textId="77777777">
      <w:pPr>
        <w:rPr>
          <w:color w:val="000000" w:themeColor="text1"/>
        </w:rPr>
      </w:pPr>
      <w:r w:rsidRPr="00285BEB">
        <w:rPr>
          <w:color w:val="000000" w:themeColor="text1"/>
        </w:rPr>
        <w:t>Selection of Sample Persons within Households</w:t>
      </w:r>
    </w:p>
    <w:p w:rsidRPr="00285BEB" w:rsidR="001E0AA6" w:rsidP="001E0AA6" w:rsidRDefault="001E0AA6" w14:paraId="2C6EAE11" w14:textId="77777777">
      <w:pPr>
        <w:rPr>
          <w:color w:val="000000" w:themeColor="text1"/>
        </w:rPr>
      </w:pPr>
    </w:p>
    <w:p w:rsidRPr="00285BEB" w:rsidR="001E0AA6" w:rsidP="001E0AA6" w:rsidRDefault="001E0AA6" w14:paraId="2D189739" w14:textId="3586B5C3">
      <w:pPr>
        <w:rPr>
          <w:color w:val="000000" w:themeColor="text1"/>
        </w:rPr>
      </w:pPr>
      <w:r w:rsidRPr="64B97125">
        <w:rPr>
          <w:color w:val="000000" w:themeColor="text1"/>
        </w:rPr>
        <w:t xml:space="preserve">The sample of persons </w:t>
      </w:r>
      <w:r w:rsidRPr="64B97125" w:rsidR="006D7C2E">
        <w:rPr>
          <w:color w:val="000000" w:themeColor="text1"/>
        </w:rPr>
        <w:t xml:space="preserve">within the household is </w:t>
      </w:r>
      <w:r w:rsidRPr="64B97125" w:rsidR="3499592E">
        <w:rPr>
          <w:color w:val="000000" w:themeColor="text1"/>
        </w:rPr>
        <w:t xml:space="preserve">selected </w:t>
      </w:r>
      <w:r w:rsidRPr="64B97125" w:rsidR="003C151E">
        <w:rPr>
          <w:color w:val="000000" w:themeColor="text1"/>
        </w:rPr>
        <w:t>through the multimode screening process</w:t>
      </w:r>
      <w:r w:rsidRPr="64B97125" w:rsidR="00F71F2B">
        <w:rPr>
          <w:color w:val="000000" w:themeColor="text1"/>
        </w:rPr>
        <w:t xml:space="preserve"> described above</w:t>
      </w:r>
      <w:r w:rsidRPr="64B97125" w:rsidR="00DA2B0A">
        <w:rPr>
          <w:color w:val="000000" w:themeColor="text1"/>
        </w:rPr>
        <w:t xml:space="preserve">. The household will </w:t>
      </w:r>
      <w:r w:rsidRPr="64B97125" w:rsidR="00F71F2B">
        <w:rPr>
          <w:color w:val="000000" w:themeColor="text1"/>
        </w:rPr>
        <w:t>complete the screen</w:t>
      </w:r>
      <w:r w:rsidRPr="64B97125" w:rsidR="00252063">
        <w:rPr>
          <w:color w:val="000000" w:themeColor="text1"/>
        </w:rPr>
        <w:t>er</w:t>
      </w:r>
      <w:r w:rsidRPr="64B97125" w:rsidR="009D694F">
        <w:rPr>
          <w:color w:val="000000" w:themeColor="text1"/>
        </w:rPr>
        <w:t xml:space="preserve"> </w:t>
      </w:r>
      <w:r w:rsidRPr="64B97125" w:rsidR="002F00D9">
        <w:rPr>
          <w:color w:val="000000" w:themeColor="text1"/>
        </w:rPr>
        <w:t xml:space="preserve">via the web, </w:t>
      </w:r>
      <w:r w:rsidRPr="64B97125" w:rsidR="00741811">
        <w:rPr>
          <w:color w:val="000000" w:themeColor="text1"/>
        </w:rPr>
        <w:t>a</w:t>
      </w:r>
      <w:r w:rsidRPr="64B97125" w:rsidR="002F00D9">
        <w:rPr>
          <w:color w:val="000000" w:themeColor="text1"/>
        </w:rPr>
        <w:t xml:space="preserve"> paper copy, or by calling the provided toll-free telephone number</w:t>
      </w:r>
      <w:r w:rsidRPr="64B97125" w:rsidR="0088333A">
        <w:rPr>
          <w:color w:val="000000" w:themeColor="text1"/>
        </w:rPr>
        <w:t xml:space="preserve">. </w:t>
      </w:r>
      <w:r w:rsidRPr="64B97125" w:rsidR="009D694F">
        <w:rPr>
          <w:color w:val="000000" w:themeColor="text1"/>
        </w:rPr>
        <w:t xml:space="preserve">If they do not </w:t>
      </w:r>
      <w:r w:rsidRPr="64B97125" w:rsidR="00FE20E0">
        <w:rPr>
          <w:color w:val="000000" w:themeColor="text1"/>
        </w:rPr>
        <w:t xml:space="preserve">respond using </w:t>
      </w:r>
      <w:r w:rsidRPr="64B97125" w:rsidR="00027CDB">
        <w:rPr>
          <w:color w:val="000000" w:themeColor="text1"/>
        </w:rPr>
        <w:t xml:space="preserve">any of these methods, the </w:t>
      </w:r>
      <w:r w:rsidRPr="64B97125" w:rsidR="00B24014">
        <w:rPr>
          <w:color w:val="000000" w:themeColor="text1"/>
        </w:rPr>
        <w:t xml:space="preserve">contractor will send an </w:t>
      </w:r>
      <w:r w:rsidRPr="64B97125" w:rsidR="00F0704D">
        <w:rPr>
          <w:color w:val="000000" w:themeColor="text1"/>
        </w:rPr>
        <w:t>interviewer</w:t>
      </w:r>
      <w:r w:rsidRPr="64B97125" w:rsidR="00027CDB">
        <w:rPr>
          <w:color w:val="000000" w:themeColor="text1"/>
        </w:rPr>
        <w:t xml:space="preserve"> </w:t>
      </w:r>
      <w:r w:rsidRPr="64B97125" w:rsidR="001E1F39">
        <w:rPr>
          <w:color w:val="000000" w:themeColor="text1"/>
        </w:rPr>
        <w:t xml:space="preserve">to the household to </w:t>
      </w:r>
      <w:r w:rsidRPr="64B97125" w:rsidR="00F0704D">
        <w:rPr>
          <w:color w:val="000000" w:themeColor="text1"/>
        </w:rPr>
        <w:t>gather the information</w:t>
      </w:r>
      <w:r w:rsidRPr="64B97125">
        <w:rPr>
          <w:color w:val="000000" w:themeColor="text1"/>
        </w:rPr>
        <w:t xml:space="preserve">. Participants are then selected based on the </w:t>
      </w:r>
      <w:r w:rsidRPr="64B97125" w:rsidR="00CB38D8">
        <w:rPr>
          <w:color w:val="000000" w:themeColor="text1"/>
        </w:rPr>
        <w:t xml:space="preserve">age </w:t>
      </w:r>
      <w:r w:rsidRPr="64B97125">
        <w:rPr>
          <w:color w:val="000000" w:themeColor="text1"/>
        </w:rPr>
        <w:t>selection probabilities.</w:t>
      </w:r>
    </w:p>
    <w:p w:rsidRPr="00285BEB" w:rsidR="001E0AA6" w:rsidP="64B97125" w:rsidRDefault="001E0AA6" w14:paraId="5539FF7E" w14:textId="784F8EED">
      <w:pPr>
        <w:rPr>
          <w:color w:val="000000" w:themeColor="text1"/>
        </w:rPr>
      </w:pPr>
    </w:p>
    <w:p w:rsidRPr="00285BEB" w:rsidR="001E0AA6" w:rsidP="64B97125" w:rsidRDefault="2D1EB52B" w14:paraId="236E1F67" w14:textId="491DB807">
      <w:pPr>
        <w:rPr>
          <w:color w:val="000000" w:themeColor="text1"/>
        </w:rPr>
      </w:pPr>
      <w:r w:rsidRPr="64B97125">
        <w:rPr>
          <w:color w:val="000000" w:themeColor="text1"/>
        </w:rPr>
        <w:t xml:space="preserve">In 2021-22, within all selected households, anyone aged 0-19 years and 60 years and older will be eligible. In addition, one or two people aged 20-59, residing in the selected households, will be eligible as well. </w:t>
      </w:r>
      <w:r w:rsidRPr="64B97125" w:rsidR="3993D44A">
        <w:rPr>
          <w:color w:val="000000" w:themeColor="text1"/>
        </w:rPr>
        <w:t>A computer program</w:t>
      </w:r>
      <w:r w:rsidR="00BD5FD0">
        <w:rPr>
          <w:color w:val="000000" w:themeColor="text1"/>
        </w:rPr>
        <w:t xml:space="preserve"> on the interviewer</w:t>
      </w:r>
      <w:r w:rsidR="00D76BE3">
        <w:rPr>
          <w:color w:val="000000" w:themeColor="text1"/>
        </w:rPr>
        <w:t>’s</w:t>
      </w:r>
      <w:r w:rsidR="00BD5FD0">
        <w:rPr>
          <w:color w:val="000000" w:themeColor="text1"/>
        </w:rPr>
        <w:t xml:space="preserve"> laptop will identify </w:t>
      </w:r>
      <w:r w:rsidR="00D76BE3">
        <w:rPr>
          <w:color w:val="000000" w:themeColor="text1"/>
        </w:rPr>
        <w:t>who should be selected in the household using a predetermined algor</w:t>
      </w:r>
      <w:r w:rsidR="009235FA">
        <w:rPr>
          <w:color w:val="000000" w:themeColor="text1"/>
        </w:rPr>
        <w:t>ithm.</w:t>
      </w:r>
      <w:r w:rsidRPr="64B97125" w:rsidR="3993D44A">
        <w:rPr>
          <w:color w:val="000000" w:themeColor="text1"/>
        </w:rPr>
        <w:t xml:space="preserve"> </w:t>
      </w:r>
    </w:p>
    <w:p w:rsidR="00592EFA" w:rsidP="001E0AA6" w:rsidRDefault="00592EFA" w14:paraId="4C2D483F" w14:textId="77777777">
      <w:pPr>
        <w:rPr>
          <w:color w:val="000000" w:themeColor="text1"/>
        </w:rPr>
      </w:pPr>
    </w:p>
    <w:p w:rsidRPr="005C0A40" w:rsidR="001E0AA6" w:rsidP="001E0AA6" w:rsidRDefault="005B399C" w14:paraId="52B78703" w14:textId="0DCB529F">
      <w:pPr>
        <w:rPr>
          <w:color w:val="000000" w:themeColor="text1"/>
        </w:rPr>
      </w:pPr>
      <w:r w:rsidRPr="64B97125">
        <w:rPr>
          <w:color w:val="000000" w:themeColor="text1"/>
        </w:rPr>
        <w:t xml:space="preserve">The </w:t>
      </w:r>
      <w:r w:rsidRPr="64B97125" w:rsidR="221900E8">
        <w:rPr>
          <w:color w:val="000000" w:themeColor="text1"/>
        </w:rPr>
        <w:t>expected sample domain distributions result</w:t>
      </w:r>
      <w:r w:rsidR="00A36B8A">
        <w:rPr>
          <w:color w:val="000000" w:themeColor="text1"/>
        </w:rPr>
        <w:t xml:space="preserve">ing are found </w:t>
      </w:r>
      <w:r w:rsidRPr="64B97125">
        <w:rPr>
          <w:color w:val="000000" w:themeColor="text1"/>
        </w:rPr>
        <w:t xml:space="preserve">in Table </w:t>
      </w:r>
      <w:r w:rsidRPr="64B97125" w:rsidR="2E8F28A1">
        <w:rPr>
          <w:color w:val="000000" w:themeColor="text1"/>
        </w:rPr>
        <w:t>2</w:t>
      </w:r>
      <w:r w:rsidRPr="64B97125">
        <w:rPr>
          <w:color w:val="000000" w:themeColor="text1"/>
        </w:rPr>
        <w:t xml:space="preserve"> of attachment </w:t>
      </w:r>
      <w:r w:rsidRPr="64B97125" w:rsidR="56514029">
        <w:rPr>
          <w:color w:val="000000" w:themeColor="text1"/>
        </w:rPr>
        <w:t>5a</w:t>
      </w:r>
      <w:r w:rsidRPr="64B97125">
        <w:rPr>
          <w:color w:val="000000" w:themeColor="text1"/>
        </w:rPr>
        <w:t>. Each gender, and age-specific row is a subdomain of interest for NHANES. </w:t>
      </w:r>
      <w:r w:rsidR="000836E9">
        <w:rPr>
          <w:color w:val="000000" w:themeColor="text1"/>
        </w:rPr>
        <w:t xml:space="preserve">Unlike previous survey cycles, </w:t>
      </w:r>
      <w:r w:rsidRPr="64B97125">
        <w:rPr>
          <w:color w:val="000000" w:themeColor="text1"/>
        </w:rPr>
        <w:t>NHANES 2021-2022 subdomains are defined only by age and gender, regardless of race</w:t>
      </w:r>
      <w:r w:rsidRPr="64B97125" w:rsidR="4DF0E769">
        <w:rPr>
          <w:color w:val="000000" w:themeColor="text1"/>
        </w:rPr>
        <w:t>,</w:t>
      </w:r>
      <w:r w:rsidRPr="64B97125">
        <w:rPr>
          <w:color w:val="000000" w:themeColor="text1"/>
        </w:rPr>
        <w:t xml:space="preserve"> Hispanic origin</w:t>
      </w:r>
      <w:r w:rsidRPr="64B97125" w:rsidR="5BDD1F44">
        <w:rPr>
          <w:color w:val="000000" w:themeColor="text1"/>
        </w:rPr>
        <w:t>, or income level</w:t>
      </w:r>
      <w:r w:rsidRPr="64B97125">
        <w:rPr>
          <w:color w:val="000000" w:themeColor="text1"/>
        </w:rPr>
        <w:t>. </w:t>
      </w:r>
      <w:r w:rsidRPr="64B97125" w:rsidR="00663B98">
        <w:rPr>
          <w:color w:val="000000" w:themeColor="text1"/>
        </w:rPr>
        <w:t xml:space="preserve">This </w:t>
      </w:r>
      <w:r w:rsidRPr="64B97125" w:rsidR="1B17FB1A">
        <w:rPr>
          <w:color w:val="000000" w:themeColor="text1"/>
        </w:rPr>
        <w:t>reflect</w:t>
      </w:r>
      <w:r w:rsidR="00080BBE">
        <w:rPr>
          <w:color w:val="000000" w:themeColor="text1"/>
        </w:rPr>
        <w:t>s</w:t>
      </w:r>
      <w:r w:rsidRPr="64B97125" w:rsidR="1B17FB1A">
        <w:rPr>
          <w:color w:val="000000" w:themeColor="text1"/>
        </w:rPr>
        <w:t xml:space="preserve"> the </w:t>
      </w:r>
      <w:r w:rsidRPr="64B97125" w:rsidR="00663B98">
        <w:rPr>
          <w:color w:val="000000" w:themeColor="text1"/>
        </w:rPr>
        <w:t>elimination of oversampling</w:t>
      </w:r>
      <w:r w:rsidRPr="64B97125" w:rsidR="79E63B90">
        <w:rPr>
          <w:color w:val="000000" w:themeColor="text1"/>
        </w:rPr>
        <w:t xml:space="preserve"> of these</w:t>
      </w:r>
      <w:r w:rsidRPr="64B97125" w:rsidR="478A5105">
        <w:rPr>
          <w:color w:val="000000" w:themeColor="text1"/>
        </w:rPr>
        <w:t xml:space="preserve"> population subgroups </w:t>
      </w:r>
      <w:proofErr w:type="gramStart"/>
      <w:r w:rsidR="00486720">
        <w:rPr>
          <w:color w:val="000000" w:themeColor="text1"/>
        </w:rPr>
        <w:t xml:space="preserve">in order </w:t>
      </w:r>
      <w:r w:rsidR="0089644B">
        <w:rPr>
          <w:color w:val="000000" w:themeColor="text1"/>
        </w:rPr>
        <w:t>to</w:t>
      </w:r>
      <w:proofErr w:type="gramEnd"/>
      <w:r w:rsidR="0089644B">
        <w:rPr>
          <w:color w:val="000000" w:themeColor="text1"/>
        </w:rPr>
        <w:t xml:space="preserve"> help reduce </w:t>
      </w:r>
      <w:r w:rsidRPr="64B97125" w:rsidR="00663B98">
        <w:rPr>
          <w:color w:val="000000" w:themeColor="text1"/>
        </w:rPr>
        <w:t>screener burden</w:t>
      </w:r>
      <w:r w:rsidRPr="64B97125" w:rsidR="01A06A81">
        <w:rPr>
          <w:color w:val="000000" w:themeColor="text1"/>
        </w:rPr>
        <w:t xml:space="preserve"> and</w:t>
      </w:r>
      <w:r w:rsidRPr="64B97125" w:rsidR="5F9CAE43">
        <w:rPr>
          <w:color w:val="000000" w:themeColor="text1"/>
        </w:rPr>
        <w:t xml:space="preserve"> </w:t>
      </w:r>
      <w:r w:rsidRPr="64B97125" w:rsidR="1E30ADD1">
        <w:rPr>
          <w:color w:val="000000" w:themeColor="text1"/>
        </w:rPr>
        <w:t>minimiz</w:t>
      </w:r>
      <w:r w:rsidR="003C4963">
        <w:rPr>
          <w:color w:val="000000" w:themeColor="text1"/>
        </w:rPr>
        <w:t>es</w:t>
      </w:r>
      <w:r w:rsidRPr="64B97125" w:rsidR="1E30ADD1">
        <w:rPr>
          <w:color w:val="000000" w:themeColor="text1"/>
        </w:rPr>
        <w:t xml:space="preserve"> in-person contac</w:t>
      </w:r>
      <w:r w:rsidRPr="64B97125" w:rsidR="5022EAE4">
        <w:rPr>
          <w:color w:val="000000" w:themeColor="text1"/>
        </w:rPr>
        <w:t>ts in a pandemic environment.</w:t>
      </w:r>
    </w:p>
    <w:p w:rsidRPr="00285BEB" w:rsidR="001E0AA6" w:rsidP="001E0AA6" w:rsidRDefault="001E0AA6" w14:paraId="65C35AB3" w14:textId="77777777">
      <w:pPr>
        <w:rPr>
          <w:color w:val="000000" w:themeColor="text1"/>
        </w:rPr>
      </w:pPr>
    </w:p>
    <w:p w:rsidRPr="00285BEB" w:rsidR="001E0AA6" w:rsidP="001E0AA6" w:rsidRDefault="001E0AA6" w14:paraId="127B725A" w14:textId="77777777">
      <w:pPr>
        <w:rPr>
          <w:color w:val="000000" w:themeColor="text1"/>
        </w:rPr>
      </w:pPr>
      <w:r w:rsidRPr="00285BEB">
        <w:rPr>
          <w:color w:val="000000" w:themeColor="text1"/>
        </w:rPr>
        <w:t xml:space="preserve">Estimation </w:t>
      </w:r>
    </w:p>
    <w:p w:rsidRPr="00285BEB" w:rsidR="001E0AA6" w:rsidP="001E0AA6" w:rsidRDefault="001E0AA6" w14:paraId="24DE9AB3" w14:textId="77777777">
      <w:pPr>
        <w:rPr>
          <w:color w:val="000000" w:themeColor="text1"/>
        </w:rPr>
      </w:pPr>
    </w:p>
    <w:p w:rsidRPr="00BE12E3" w:rsidR="001E0AA6" w:rsidP="001E0AA6" w:rsidRDefault="001E0AA6" w14:paraId="0AE17AC1" w14:textId="763C1CBF">
      <w:pPr>
        <w:rPr>
          <w:color w:val="000000" w:themeColor="text1"/>
        </w:rPr>
      </w:pPr>
      <w:r w:rsidRPr="00BE12E3">
        <w:rPr>
          <w:color w:val="000000" w:themeColor="text1"/>
        </w:rPr>
        <w:t>To produce unbiased cross-sectional estimates for the civilian, noninstitutionalized population of the United States, the sample data will be inflated to the level of the population from which the sample is drawn. As in previous NHANES, the sampling weight for each sample person will be the product of three factors: the reciprocal of the probabilit</w:t>
      </w:r>
      <w:r w:rsidR="00A668E2">
        <w:rPr>
          <w:color w:val="000000" w:themeColor="text1"/>
        </w:rPr>
        <w:t>y</w:t>
      </w:r>
      <w:r w:rsidRPr="00BE12E3">
        <w:rPr>
          <w:color w:val="000000" w:themeColor="text1"/>
        </w:rPr>
        <w:t xml:space="preserve"> of selection; an adjustment for nonresponse; and a </w:t>
      </w:r>
      <w:r w:rsidR="00ED6085">
        <w:rPr>
          <w:color w:val="000000" w:themeColor="text1"/>
        </w:rPr>
        <w:t>calibration</w:t>
      </w:r>
      <w:r w:rsidRPr="00BE12E3" w:rsidR="00ED6085">
        <w:rPr>
          <w:color w:val="000000" w:themeColor="text1"/>
        </w:rPr>
        <w:t xml:space="preserve"> </w:t>
      </w:r>
      <w:r w:rsidRPr="00BE12E3" w:rsidR="00A5269C">
        <w:rPr>
          <w:color w:val="000000" w:themeColor="text1"/>
        </w:rPr>
        <w:t>adjustment</w:t>
      </w:r>
      <w:r w:rsidRPr="00BE12E3">
        <w:rPr>
          <w:color w:val="000000" w:themeColor="text1"/>
        </w:rPr>
        <w:t xml:space="preserve"> factor to make the resulting survey estimates in each age, sex, race, and Hispanic origin category approximately equal to independent control totals from</w:t>
      </w:r>
      <w:r w:rsidR="00853C9D">
        <w:rPr>
          <w:color w:val="000000" w:themeColor="text1"/>
        </w:rPr>
        <w:t xml:space="preserve"> the</w:t>
      </w:r>
      <w:r w:rsidR="001005DE">
        <w:rPr>
          <w:color w:val="000000" w:themeColor="text1"/>
        </w:rPr>
        <w:t xml:space="preserve"> </w:t>
      </w:r>
      <w:r w:rsidRPr="001005DE" w:rsidR="001005DE">
        <w:rPr>
          <w:color w:val="000000" w:themeColor="text1"/>
        </w:rPr>
        <w:t>Public Use Microdata Sample (PUMS)</w:t>
      </w:r>
      <w:r w:rsidR="00D95E1A">
        <w:rPr>
          <w:color w:val="000000" w:themeColor="text1"/>
        </w:rPr>
        <w:t xml:space="preserve"> of</w:t>
      </w:r>
      <w:r w:rsidRPr="00BE12E3">
        <w:rPr>
          <w:color w:val="000000" w:themeColor="text1"/>
        </w:rPr>
        <w:t xml:space="preserve"> the American Community Survey (ACS) conducted by the U.S. Bureau of the Census. </w:t>
      </w:r>
    </w:p>
    <w:p w:rsidRPr="00BE12E3" w:rsidR="001E0AA6" w:rsidP="001E0AA6" w:rsidRDefault="001E0AA6" w14:paraId="072EFAA9" w14:textId="77777777">
      <w:pPr>
        <w:rPr>
          <w:color w:val="000000" w:themeColor="text1"/>
        </w:rPr>
      </w:pPr>
    </w:p>
    <w:p w:rsidRPr="00BE12E3" w:rsidR="001E0AA6" w:rsidP="001E0AA6" w:rsidRDefault="001E0AA6" w14:paraId="3052CFE1" w14:textId="5B13C557">
      <w:pPr>
        <w:rPr>
          <w:color w:val="000000" w:themeColor="text1"/>
        </w:rPr>
      </w:pPr>
      <w:r w:rsidRPr="00BE12E3">
        <w:rPr>
          <w:color w:val="000000" w:themeColor="text1"/>
        </w:rPr>
        <w:t xml:space="preserve">Variances for NHANES can be estimated using </w:t>
      </w:r>
      <w:proofErr w:type="gramStart"/>
      <w:r w:rsidRPr="00BE12E3">
        <w:rPr>
          <w:color w:val="000000" w:themeColor="text1"/>
        </w:rPr>
        <w:t>a number of</w:t>
      </w:r>
      <w:proofErr w:type="gramEnd"/>
      <w:r w:rsidRPr="00BE12E3">
        <w:rPr>
          <w:color w:val="000000" w:themeColor="text1"/>
        </w:rPr>
        <w:t xml:space="preserve"> procedures and software programs. To allow for the computation of variance estimates, sample design variables are included on the public use data files. These variables are analogous to the typical stratum and PSU variables that were used in NHANES III, but the current design variables have been "masked" to limit the possibility of geographic disclosure. Masked design variables have been used by NHANES since the 1999-2000 data release. Examples of widely available software programs capable of producing variance estimates from complex surveys include:  SUDAAN (Research Triangle Institute), </w:t>
      </w:r>
      <w:proofErr w:type="spellStart"/>
      <w:r w:rsidRPr="00BE12E3">
        <w:rPr>
          <w:color w:val="000000" w:themeColor="text1"/>
        </w:rPr>
        <w:t>WesVar</w:t>
      </w:r>
      <w:proofErr w:type="spellEnd"/>
      <w:r w:rsidRPr="00BE12E3">
        <w:rPr>
          <w:color w:val="000000" w:themeColor="text1"/>
        </w:rPr>
        <w:t xml:space="preserve"> (Westat), SAS Survey Procedures (SAS Institute), STATA (</w:t>
      </w:r>
      <w:proofErr w:type="spellStart"/>
      <w:r w:rsidRPr="00BE12E3">
        <w:rPr>
          <w:color w:val="000000" w:themeColor="text1"/>
        </w:rPr>
        <w:t>StataCorp</w:t>
      </w:r>
      <w:proofErr w:type="spellEnd"/>
      <w:r w:rsidRPr="00BE12E3">
        <w:rPr>
          <w:color w:val="000000" w:themeColor="text1"/>
        </w:rPr>
        <w:t>) and R Survey Package (Lumley).</w:t>
      </w:r>
    </w:p>
    <w:p w:rsidRPr="00BE12E3" w:rsidR="001E0AA6" w:rsidP="001E0AA6" w:rsidRDefault="001E0AA6" w14:paraId="73FDC433" w14:textId="77777777">
      <w:pPr>
        <w:rPr>
          <w:color w:val="000000" w:themeColor="text1"/>
        </w:rPr>
      </w:pPr>
    </w:p>
    <w:p w:rsidRPr="00F22DB7" w:rsidR="00AF6F7F" w:rsidP="00F22DB7" w:rsidRDefault="001E0AA6" w14:paraId="483E8866" w14:textId="440C20C5">
      <w:r w:rsidRPr="00F22DB7">
        <w:t>Analytic guidelines are provided on the NHANES website</w:t>
      </w:r>
      <w:r w:rsidRPr="00F22DB7" w:rsidR="003528B7">
        <w:t>:</w:t>
      </w:r>
    </w:p>
    <w:p w:rsidRPr="00F22DB7" w:rsidR="00AF6F7F" w:rsidP="00214C3C" w:rsidRDefault="00092D3D" w14:paraId="7F8C46FC" w14:textId="403F9678">
      <w:pPr>
        <w:pStyle w:val="ListParagraph"/>
        <w:numPr>
          <w:ilvl w:val="0"/>
          <w:numId w:val="19"/>
        </w:numPr>
      </w:pPr>
      <w:hyperlink r:id="rId14">
        <w:r w:rsidRPr="64B97125" w:rsidR="001E0AA6">
          <w:rPr>
            <w:rStyle w:val="Hyperlink"/>
          </w:rPr>
          <w:t>http://www.cdc.gov/nchs/data/series/sr_02/sr02_161.pdf</w:t>
        </w:r>
      </w:hyperlink>
    </w:p>
    <w:p w:rsidR="03A63B53" w:rsidP="64B97125" w:rsidRDefault="00092D3D" w14:paraId="166E5E8B" w14:textId="1FD9C026">
      <w:pPr>
        <w:pStyle w:val="ListParagraph"/>
        <w:numPr>
          <w:ilvl w:val="0"/>
          <w:numId w:val="19"/>
        </w:numPr>
        <w:rPr>
          <w:rFonts w:eastAsia="Arial" w:cs="Arial"/>
          <w:szCs w:val="22"/>
        </w:rPr>
      </w:pPr>
      <w:hyperlink w:history="1" r:id="rId15">
        <w:r w:rsidRPr="64B97125" w:rsidR="03A63B53">
          <w:rPr>
            <w:rStyle w:val="Hyperlink"/>
          </w:rPr>
          <w:t>https://wwwn.cdc.gov/nchs/data/nhanes/analyticguidelines/11-16-analytic-guidelines.pdf</w:t>
        </w:r>
      </w:hyperlink>
    </w:p>
    <w:p w:rsidR="2E638F87" w:rsidP="64B97125" w:rsidRDefault="00092D3D" w14:paraId="0455A6A4" w14:textId="1945C40B">
      <w:pPr>
        <w:pStyle w:val="ListParagraph"/>
        <w:numPr>
          <w:ilvl w:val="0"/>
          <w:numId w:val="19"/>
        </w:numPr>
        <w:rPr>
          <w:rFonts w:eastAsia="Arial" w:cs="Arial"/>
          <w:szCs w:val="22"/>
        </w:rPr>
      </w:pPr>
      <w:hyperlink w:history="1" r:id="rId16">
        <w:r w:rsidRPr="00D35E4F" w:rsidR="0003069D">
          <w:rPr>
            <w:rStyle w:val="Hyperlink"/>
          </w:rPr>
          <w:t>https://wwwn.cdc.gov/nchs/data/nhanes/analyticguidelines/17-18-sampling-variability-nonresponse-508.pdf</w:t>
        </w:r>
      </w:hyperlink>
      <w:r w:rsidR="0003069D">
        <w:t xml:space="preserve"> </w:t>
      </w:r>
    </w:p>
    <w:p w:rsidR="0096388D" w:rsidP="006103AB" w:rsidRDefault="0096388D" w14:paraId="2BB0340E" w14:textId="77777777"/>
    <w:p w:rsidRPr="00137A3A" w:rsidR="001E0AA6" w:rsidP="006103AB" w:rsidRDefault="00616A03" w14:paraId="294117B3" w14:textId="2F60B298">
      <w:r w:rsidRPr="006103AB">
        <w:t xml:space="preserve">These documents </w:t>
      </w:r>
      <w:r w:rsidRPr="00214C3C" w:rsidR="001E0AA6">
        <w:t>provide a broad overview of the statistical and methodological issues the user needs to be aware of when analyzing data from a complex, continuous survey lik</w:t>
      </w:r>
      <w:r w:rsidRPr="00214C3C" w:rsidR="00A34A3E">
        <w:t>e</w:t>
      </w:r>
      <w:r w:rsidR="001F0E6A">
        <w:t xml:space="preserve"> </w:t>
      </w:r>
      <w:r w:rsidRPr="00681608" w:rsidR="001E0AA6">
        <w:t>NHANES</w:t>
      </w:r>
      <w:r w:rsidR="00CD5E1A">
        <w:t>. T</w:t>
      </w:r>
      <w:r w:rsidRPr="00137A3A" w:rsidR="001E0AA6">
        <w:t>hese are updated and expanded periodically.</w:t>
      </w:r>
    </w:p>
    <w:p w:rsidR="001E0AA6" w:rsidP="001E0AA6" w:rsidRDefault="001E0AA6" w14:paraId="41370159" w14:textId="247E8A1A">
      <w:pPr>
        <w:rPr>
          <w:color w:val="000000" w:themeColor="text1"/>
        </w:rPr>
      </w:pPr>
    </w:p>
    <w:p w:rsidR="0003069D" w:rsidP="001E0AA6" w:rsidRDefault="0003069D" w14:paraId="2584D273" w14:textId="738A58CC">
      <w:pPr>
        <w:rPr>
          <w:color w:val="000000" w:themeColor="text1"/>
        </w:rPr>
      </w:pPr>
    </w:p>
    <w:p w:rsidRPr="00BE12E3" w:rsidR="0003069D" w:rsidP="001E0AA6" w:rsidRDefault="0003069D" w14:paraId="1D7D6DD7" w14:textId="77777777">
      <w:pPr>
        <w:rPr>
          <w:color w:val="000000" w:themeColor="text1"/>
        </w:rPr>
      </w:pPr>
    </w:p>
    <w:p w:rsidRPr="005C0A40" w:rsidR="001E0AA6" w:rsidP="001E0AA6" w:rsidRDefault="001E0AA6" w14:paraId="763B8C92" w14:textId="21FC28B2">
      <w:pPr>
        <w:rPr>
          <w:color w:val="000000" w:themeColor="text1"/>
        </w:rPr>
      </w:pPr>
      <w:r w:rsidRPr="005C0A40">
        <w:rPr>
          <w:color w:val="000000" w:themeColor="text1"/>
        </w:rPr>
        <w:t>Quality Control</w:t>
      </w:r>
    </w:p>
    <w:p w:rsidRPr="00285BEB" w:rsidR="001E0AA6" w:rsidP="001E0AA6" w:rsidRDefault="001E0AA6" w14:paraId="658CA3B0" w14:textId="77777777">
      <w:pPr>
        <w:rPr>
          <w:color w:val="000000" w:themeColor="text1"/>
        </w:rPr>
      </w:pPr>
    </w:p>
    <w:p w:rsidRPr="005C0A40" w:rsidR="001E0AA6" w:rsidP="001E0AA6" w:rsidRDefault="001E0AA6" w14:paraId="5F709172" w14:textId="4C4CA076">
      <w:pPr>
        <w:rPr>
          <w:color w:val="000000" w:themeColor="text1"/>
        </w:rPr>
      </w:pPr>
      <w:r w:rsidRPr="00BE12E3">
        <w:rPr>
          <w:color w:val="000000" w:themeColor="text1"/>
        </w:rPr>
        <w:t xml:space="preserve">Two primary sources of error </w:t>
      </w:r>
      <w:proofErr w:type="gramStart"/>
      <w:r w:rsidRPr="00BE12E3">
        <w:rPr>
          <w:color w:val="000000" w:themeColor="text1"/>
        </w:rPr>
        <w:t>enter into</w:t>
      </w:r>
      <w:proofErr w:type="gramEnd"/>
      <w:r w:rsidRPr="00BE12E3">
        <w:rPr>
          <w:color w:val="000000" w:themeColor="text1"/>
        </w:rPr>
        <w:t xml:space="preserve"> a survey such as NHANES: sampling error and non-sampling error. Both types of errors can affect the estimates produced from the survey and may lead to a substantial loss in precision in statistical tests. Therefore, an extensive quality control system is a critical element in the operation of NHANES. The objective of the NHANES quality control program is to minimize measurement errors, to control them, or to measure these errors.</w:t>
      </w:r>
    </w:p>
    <w:p w:rsidRPr="00285BEB" w:rsidR="001E0AA6" w:rsidP="001E0AA6" w:rsidRDefault="001E0AA6" w14:paraId="7C889B93" w14:textId="77777777">
      <w:pPr>
        <w:rPr>
          <w:color w:val="000000" w:themeColor="text1"/>
        </w:rPr>
      </w:pPr>
    </w:p>
    <w:p w:rsidRPr="00285BEB" w:rsidR="007C1C7F" w:rsidP="007C1C7F" w:rsidRDefault="00D87742" w14:paraId="0EE8DF01" w14:textId="77777777">
      <w:pPr>
        <w:outlineLvl w:val="1"/>
        <w:rPr>
          <w:rFonts w:cs="Arial"/>
          <w:color w:val="000000" w:themeColor="text1"/>
          <w:szCs w:val="22"/>
        </w:rPr>
      </w:pPr>
      <w:bookmarkStart w:name="_Toc80019650" w:id="3"/>
      <w:bookmarkStart w:name="_Toc80020477" w:id="4"/>
      <w:bookmarkStart w:name="_Toc81620535" w:id="5"/>
      <w:bookmarkStart w:name="_Toc145333175" w:id="6"/>
      <w:bookmarkStart w:name="_Toc145333450" w:id="7"/>
      <w:bookmarkStart w:name="_Toc151958688" w:id="8"/>
      <w:r w:rsidRPr="00285BEB">
        <w:rPr>
          <w:rFonts w:cs="Arial"/>
          <w:color w:val="000000" w:themeColor="text1"/>
          <w:szCs w:val="22"/>
        </w:rPr>
        <w:t>3.  Methods to Maximize Response Rates and Deal with Nonresponse</w:t>
      </w:r>
      <w:r w:rsidRPr="00285BEB" w:rsidR="002735C4">
        <w:rPr>
          <w:rFonts w:cs="Arial"/>
          <w:color w:val="000000" w:themeColor="text1"/>
          <w:szCs w:val="22"/>
        </w:rPr>
        <w:t xml:space="preserve"> </w:t>
      </w:r>
    </w:p>
    <w:p w:rsidRPr="00285BEB" w:rsidR="007C1C7F" w:rsidP="007C1C7F" w:rsidRDefault="007C1C7F" w14:paraId="16BFE755" w14:textId="77777777">
      <w:pPr>
        <w:rPr>
          <w:rFonts w:cs="Arial"/>
          <w:color w:val="000000" w:themeColor="text1"/>
          <w:sz w:val="24"/>
          <w:szCs w:val="24"/>
        </w:rPr>
      </w:pPr>
    </w:p>
    <w:p w:rsidRPr="00BE12E3" w:rsidR="00B41549" w:rsidP="00B41549" w:rsidRDefault="00B41549" w14:paraId="550CFD65" w14:textId="4DB1F140">
      <w:pPr>
        <w:rPr>
          <w:rFonts w:cs="Arial"/>
          <w:color w:val="000000" w:themeColor="text1"/>
        </w:rPr>
      </w:pPr>
      <w:r w:rsidRPr="00BE12E3">
        <w:rPr>
          <w:rFonts w:cs="Arial"/>
          <w:color w:val="000000" w:themeColor="text1"/>
        </w:rPr>
        <w:t xml:space="preserve">Interviewers have access to a variety of materials to assist them in sample person induction and nonresponse conversion. There is a follow-up letter that is, when possible, customized to fit the circumstance of each individual sample person who refuses the interview, </w:t>
      </w:r>
      <w:proofErr w:type="gramStart"/>
      <w:r w:rsidRPr="00BE12E3">
        <w:rPr>
          <w:rFonts w:cs="Arial"/>
          <w:color w:val="000000" w:themeColor="text1"/>
        </w:rPr>
        <w:t>examination</w:t>
      </w:r>
      <w:proofErr w:type="gramEnd"/>
      <w:r w:rsidRPr="00BE12E3">
        <w:rPr>
          <w:rFonts w:cs="Arial"/>
          <w:color w:val="000000" w:themeColor="text1"/>
        </w:rPr>
        <w:t xml:space="preserve"> or both. Attachment </w:t>
      </w:r>
      <w:r w:rsidR="00BE12E3">
        <w:rPr>
          <w:rFonts w:cs="Arial"/>
          <w:color w:val="000000" w:themeColor="text1"/>
        </w:rPr>
        <w:t xml:space="preserve">12 </w:t>
      </w:r>
      <w:r w:rsidRPr="00BE12E3">
        <w:rPr>
          <w:rFonts w:cs="Arial"/>
          <w:color w:val="000000" w:themeColor="text1"/>
        </w:rPr>
        <w:t>contains the generic version of this letter. In addition to the follow-up letter that is sent to every potential sample person who refuses</w:t>
      </w:r>
      <w:r w:rsidR="00BE12E3">
        <w:rPr>
          <w:rFonts w:cs="Arial"/>
          <w:color w:val="000000" w:themeColor="text1"/>
        </w:rPr>
        <w:t>,</w:t>
      </w:r>
      <w:r w:rsidRPr="00BE12E3">
        <w:rPr>
          <w:rFonts w:cs="Arial"/>
          <w:color w:val="000000" w:themeColor="text1"/>
        </w:rPr>
        <w:t xml:space="preserve"> interviewers have additional tools ranging from refusal conversion training, techniques for especially challenging conversions, to brochures and materials to help gain respondent cooperation. During the interviewing process there are multiple attempts made by the interviewer to gain cooperation for the screener interview or household person interview. </w:t>
      </w:r>
    </w:p>
    <w:p w:rsidRPr="00BE12E3" w:rsidR="00B41549" w:rsidP="00B41549" w:rsidRDefault="00B41549" w14:paraId="6E61DBB6" w14:textId="77777777">
      <w:pPr>
        <w:rPr>
          <w:rFonts w:cs="Arial"/>
          <w:color w:val="000000" w:themeColor="text1"/>
          <w:sz w:val="24"/>
          <w:szCs w:val="24"/>
        </w:rPr>
      </w:pPr>
    </w:p>
    <w:p w:rsidRPr="00BE12E3" w:rsidR="00B41549" w:rsidP="00B41549" w:rsidRDefault="00B41549" w14:paraId="4196FD0E" w14:textId="7A1CCFC3">
      <w:pPr>
        <w:rPr>
          <w:rFonts w:cs="Arial"/>
          <w:color w:val="000000" w:themeColor="text1"/>
        </w:rPr>
      </w:pPr>
      <w:r w:rsidRPr="00BE12E3">
        <w:rPr>
          <w:rFonts w:cs="Arial"/>
          <w:color w:val="000000" w:themeColor="text1"/>
        </w:rPr>
        <w:t>Other methods to maximize response include:</w:t>
      </w:r>
    </w:p>
    <w:p w:rsidRPr="00BE12E3" w:rsidR="00B41549" w:rsidP="00B41549" w:rsidRDefault="00B41549" w14:paraId="5876CC90" w14:textId="77777777">
      <w:pPr>
        <w:pStyle w:val="ListParagraph"/>
        <w:numPr>
          <w:ilvl w:val="0"/>
          <w:numId w:val="3"/>
        </w:numPr>
        <w:rPr>
          <w:rFonts w:cs="Arial"/>
          <w:color w:val="000000" w:themeColor="text1"/>
        </w:rPr>
      </w:pPr>
      <w:r w:rsidRPr="00BE12E3">
        <w:rPr>
          <w:rFonts w:cs="Arial"/>
          <w:color w:val="000000" w:themeColor="text1"/>
        </w:rPr>
        <w:t>Arrange for free transportation to MEC for sample persons or for incentives to help cover out of pocket expenses</w:t>
      </w:r>
    </w:p>
    <w:p w:rsidR="00B41549" w:rsidP="00B41549" w:rsidRDefault="00B41549" w14:paraId="60929F48" w14:textId="766F49FC">
      <w:pPr>
        <w:pStyle w:val="ListParagraph"/>
        <w:numPr>
          <w:ilvl w:val="0"/>
          <w:numId w:val="3"/>
        </w:numPr>
        <w:rPr>
          <w:rFonts w:cs="Arial"/>
          <w:color w:val="000000" w:themeColor="text1"/>
        </w:rPr>
      </w:pPr>
      <w:r w:rsidRPr="00BE12E3">
        <w:rPr>
          <w:rFonts w:cs="Arial"/>
          <w:color w:val="000000" w:themeColor="text1"/>
        </w:rPr>
        <w:t>Allow a companion (parent, caregiver, etc.) to accompany participant through the exam</w:t>
      </w:r>
    </w:p>
    <w:p w:rsidRPr="00BE12E3" w:rsidR="00B41549" w:rsidP="00B41549" w:rsidRDefault="00B41549" w14:paraId="73F5675E" w14:textId="01549ECB">
      <w:pPr>
        <w:pStyle w:val="ListParagraph"/>
        <w:numPr>
          <w:ilvl w:val="0"/>
          <w:numId w:val="3"/>
        </w:numPr>
        <w:rPr>
          <w:rFonts w:cs="Arial"/>
          <w:color w:val="000000" w:themeColor="text1"/>
        </w:rPr>
      </w:pPr>
      <w:r w:rsidRPr="00BE12E3">
        <w:rPr>
          <w:rFonts w:cs="Arial"/>
          <w:color w:val="000000" w:themeColor="text1"/>
        </w:rPr>
        <w:t>Provide a report of examination</w:t>
      </w:r>
      <w:r w:rsidR="008118A2">
        <w:rPr>
          <w:rFonts w:cs="Arial"/>
          <w:color w:val="000000" w:themeColor="text1"/>
        </w:rPr>
        <w:t xml:space="preserve"> </w:t>
      </w:r>
      <w:r w:rsidRPr="00BE12E3">
        <w:rPr>
          <w:rFonts w:cs="Arial"/>
          <w:color w:val="000000" w:themeColor="text1"/>
        </w:rPr>
        <w:t>findings</w:t>
      </w:r>
    </w:p>
    <w:p w:rsidRPr="00BE12E3" w:rsidR="00B41549" w:rsidP="00B41549" w:rsidRDefault="00B41549" w14:paraId="288B75AA" w14:textId="77777777">
      <w:pPr>
        <w:pStyle w:val="ListParagraph"/>
        <w:numPr>
          <w:ilvl w:val="0"/>
          <w:numId w:val="3"/>
        </w:numPr>
        <w:rPr>
          <w:rFonts w:cs="Arial"/>
          <w:color w:val="000000" w:themeColor="text1"/>
        </w:rPr>
      </w:pPr>
      <w:r w:rsidRPr="00BE12E3">
        <w:rPr>
          <w:rFonts w:cs="Arial"/>
          <w:color w:val="000000" w:themeColor="text1"/>
        </w:rPr>
        <w:t>Bilingual staff (Spanish)</w:t>
      </w:r>
    </w:p>
    <w:p w:rsidRPr="00BE12E3" w:rsidR="00B41549" w:rsidP="00B41549" w:rsidRDefault="00B41549" w14:paraId="092DBF9F" w14:textId="77777777">
      <w:pPr>
        <w:pStyle w:val="ListParagraph"/>
        <w:numPr>
          <w:ilvl w:val="0"/>
          <w:numId w:val="3"/>
        </w:numPr>
        <w:rPr>
          <w:rFonts w:cs="Arial"/>
          <w:color w:val="000000" w:themeColor="text1"/>
        </w:rPr>
      </w:pPr>
      <w:r w:rsidRPr="00BE12E3">
        <w:rPr>
          <w:rFonts w:cs="Arial"/>
          <w:color w:val="000000" w:themeColor="text1"/>
        </w:rPr>
        <w:t>Interpreters for languages other than Spanish</w:t>
      </w:r>
    </w:p>
    <w:p w:rsidRPr="00BE12E3" w:rsidR="00B41549" w:rsidP="00B41549" w:rsidRDefault="00B41549" w14:paraId="3B1CE777" w14:textId="77777777">
      <w:pPr>
        <w:pStyle w:val="ListParagraph"/>
        <w:numPr>
          <w:ilvl w:val="0"/>
          <w:numId w:val="3"/>
        </w:numPr>
        <w:rPr>
          <w:rFonts w:cs="Arial"/>
          <w:color w:val="000000" w:themeColor="text1"/>
        </w:rPr>
      </w:pPr>
      <w:r w:rsidRPr="00BE12E3">
        <w:rPr>
          <w:rFonts w:cs="Arial"/>
          <w:color w:val="000000" w:themeColor="text1"/>
        </w:rPr>
        <w:t>Advance publicity and contact with/endorsements from community leaders and groups</w:t>
      </w:r>
    </w:p>
    <w:p w:rsidRPr="00BE12E3" w:rsidR="00B41549" w:rsidP="00B41549" w:rsidRDefault="00B41549" w14:paraId="5EE89C9E" w14:textId="77777777">
      <w:pPr>
        <w:pStyle w:val="ListParagraph"/>
        <w:numPr>
          <w:ilvl w:val="0"/>
          <w:numId w:val="3"/>
        </w:numPr>
        <w:rPr>
          <w:rFonts w:cs="Arial"/>
          <w:color w:val="000000" w:themeColor="text1"/>
        </w:rPr>
      </w:pPr>
      <w:r w:rsidRPr="00BE12E3">
        <w:rPr>
          <w:rFonts w:cs="Arial"/>
          <w:color w:val="000000" w:themeColor="text1"/>
        </w:rPr>
        <w:t>Sampling multiple individuals in a household</w:t>
      </w:r>
    </w:p>
    <w:p w:rsidRPr="00BE12E3" w:rsidR="00B41549" w:rsidP="00B41549" w:rsidRDefault="00B41549" w14:paraId="1CCD31D1" w14:textId="77777777">
      <w:pPr>
        <w:pStyle w:val="ListParagraph"/>
        <w:numPr>
          <w:ilvl w:val="0"/>
          <w:numId w:val="3"/>
        </w:numPr>
        <w:rPr>
          <w:rFonts w:cs="Arial"/>
          <w:color w:val="000000" w:themeColor="text1"/>
        </w:rPr>
      </w:pPr>
      <w:r w:rsidRPr="00BE12E3">
        <w:rPr>
          <w:rFonts w:cs="Arial"/>
          <w:color w:val="000000" w:themeColor="text1"/>
        </w:rPr>
        <w:t>Flexible examination schedule including evenings and weekends</w:t>
      </w:r>
    </w:p>
    <w:p w:rsidRPr="00BE12E3" w:rsidR="00B41549" w:rsidP="00B41549" w:rsidRDefault="00B41549" w14:paraId="06FCDF4B" w14:textId="77777777">
      <w:pPr>
        <w:pStyle w:val="ListParagraph"/>
        <w:numPr>
          <w:ilvl w:val="0"/>
          <w:numId w:val="3"/>
        </w:numPr>
        <w:rPr>
          <w:rFonts w:cs="Arial"/>
          <w:color w:val="000000" w:themeColor="text1"/>
        </w:rPr>
      </w:pPr>
      <w:r w:rsidRPr="00BE12E3">
        <w:rPr>
          <w:rFonts w:cs="Arial"/>
          <w:color w:val="000000" w:themeColor="text1"/>
        </w:rPr>
        <w:t>Telephone reminders before scheduled appointments</w:t>
      </w:r>
    </w:p>
    <w:p w:rsidRPr="00BE12E3" w:rsidR="00B41549" w:rsidP="00B41549" w:rsidRDefault="00B41549" w14:paraId="2E0EF4D9" w14:textId="77777777">
      <w:pPr>
        <w:pStyle w:val="ListParagraph"/>
        <w:numPr>
          <w:ilvl w:val="0"/>
          <w:numId w:val="3"/>
        </w:numPr>
        <w:rPr>
          <w:rFonts w:cs="Arial"/>
          <w:color w:val="000000" w:themeColor="text1"/>
        </w:rPr>
      </w:pPr>
      <w:r w:rsidRPr="00BE12E3">
        <w:rPr>
          <w:rFonts w:cs="Arial"/>
          <w:color w:val="000000" w:themeColor="text1"/>
        </w:rPr>
        <w:t>Customized follow-up efforts</w:t>
      </w:r>
    </w:p>
    <w:p w:rsidRPr="00BE12E3" w:rsidR="00B41549" w:rsidRDefault="00DD5CE1" w14:paraId="0ED3EFF1" w14:textId="00E5BA04">
      <w:pPr>
        <w:pStyle w:val="ListParagraph"/>
        <w:numPr>
          <w:ilvl w:val="0"/>
          <w:numId w:val="3"/>
        </w:numPr>
        <w:rPr>
          <w:rFonts w:cs="Arial"/>
          <w:color w:val="000000" w:themeColor="text1"/>
        </w:rPr>
      </w:pPr>
      <w:r>
        <w:rPr>
          <w:rFonts w:cs="Arial"/>
          <w:color w:val="000000" w:themeColor="text1"/>
        </w:rPr>
        <w:t xml:space="preserve">Multi-media material </w:t>
      </w:r>
      <w:r w:rsidRPr="00BE12E3" w:rsidR="00B41549">
        <w:rPr>
          <w:rFonts w:cs="Arial"/>
          <w:color w:val="000000" w:themeColor="text1"/>
        </w:rPr>
        <w:t xml:space="preserve">for </w:t>
      </w:r>
      <w:r w:rsidR="00956BC5">
        <w:rPr>
          <w:rFonts w:cs="Arial"/>
          <w:color w:val="000000" w:themeColor="text1"/>
        </w:rPr>
        <w:t>advance arrangements or outreach</w:t>
      </w:r>
      <w:r w:rsidR="00A232CF">
        <w:rPr>
          <w:rFonts w:cs="Arial"/>
          <w:color w:val="000000" w:themeColor="text1"/>
        </w:rPr>
        <w:t xml:space="preserve"> purposes (e.g., </w:t>
      </w:r>
      <w:r w:rsidRPr="00BE12E3" w:rsidR="00B41549">
        <w:rPr>
          <w:rFonts w:cs="Arial"/>
          <w:color w:val="000000" w:themeColor="text1"/>
        </w:rPr>
        <w:t>TV</w:t>
      </w:r>
      <w:r w:rsidR="00956BC5">
        <w:rPr>
          <w:rFonts w:cs="Arial"/>
          <w:color w:val="000000" w:themeColor="text1"/>
        </w:rPr>
        <w:t xml:space="preserve">, </w:t>
      </w:r>
      <w:r w:rsidR="00504552">
        <w:rPr>
          <w:rFonts w:cs="Arial"/>
          <w:color w:val="000000" w:themeColor="text1"/>
        </w:rPr>
        <w:t xml:space="preserve">social media, </w:t>
      </w:r>
      <w:r w:rsidR="00956BC5">
        <w:rPr>
          <w:rFonts w:cs="Arial"/>
          <w:color w:val="000000" w:themeColor="text1"/>
        </w:rPr>
        <w:t>local officials, community leaders</w:t>
      </w:r>
      <w:r w:rsidR="00504552">
        <w:rPr>
          <w:rFonts w:cs="Arial"/>
          <w:color w:val="000000" w:themeColor="text1"/>
        </w:rPr>
        <w:t>, individuals</w:t>
      </w:r>
      <w:r w:rsidR="00956BC5">
        <w:rPr>
          <w:rFonts w:cs="Arial"/>
          <w:color w:val="000000" w:themeColor="text1"/>
        </w:rPr>
        <w:t xml:space="preserve"> etc.) (see Attachment 18)</w:t>
      </w:r>
    </w:p>
    <w:p w:rsidRPr="00BE12E3" w:rsidR="00B41549" w:rsidP="00B41549" w:rsidRDefault="00B41549" w14:paraId="73A8B27C" w14:textId="77777777">
      <w:pPr>
        <w:pStyle w:val="ListParagraph"/>
        <w:numPr>
          <w:ilvl w:val="0"/>
          <w:numId w:val="3"/>
        </w:numPr>
        <w:rPr>
          <w:rFonts w:cs="Arial"/>
          <w:color w:val="000000" w:themeColor="text1"/>
        </w:rPr>
      </w:pPr>
      <w:r w:rsidRPr="00BE12E3">
        <w:rPr>
          <w:rFonts w:cs="Arial"/>
          <w:color w:val="000000" w:themeColor="text1"/>
        </w:rPr>
        <w:t xml:space="preserve">Multimedia presentation on interviewers' tablet computers  </w:t>
      </w:r>
    </w:p>
    <w:p w:rsidRPr="00BE12E3" w:rsidR="00B41549" w:rsidP="00B41549" w:rsidRDefault="00B41549" w14:paraId="29D43942" w14:textId="77777777">
      <w:pPr>
        <w:pStyle w:val="ListParagraph"/>
        <w:numPr>
          <w:ilvl w:val="0"/>
          <w:numId w:val="3"/>
        </w:numPr>
        <w:rPr>
          <w:rFonts w:cs="Arial"/>
          <w:color w:val="000000" w:themeColor="text1"/>
        </w:rPr>
      </w:pPr>
      <w:r w:rsidRPr="00BE12E3">
        <w:rPr>
          <w:rFonts w:cs="Arial"/>
          <w:color w:val="000000" w:themeColor="text1"/>
        </w:rPr>
        <w:t>Evaluative studies of response where appropriate</w:t>
      </w:r>
    </w:p>
    <w:p w:rsidRPr="00BE12E3" w:rsidR="00B41549" w:rsidP="00B41549" w:rsidRDefault="00B41549" w14:paraId="4DA55658" w14:textId="77777777">
      <w:pPr>
        <w:pStyle w:val="ListParagraph"/>
        <w:numPr>
          <w:ilvl w:val="0"/>
          <w:numId w:val="3"/>
        </w:numPr>
        <w:rPr>
          <w:rFonts w:cs="Arial"/>
          <w:color w:val="000000" w:themeColor="text1"/>
        </w:rPr>
      </w:pPr>
      <w:r w:rsidRPr="00BE12E3">
        <w:rPr>
          <w:rFonts w:cs="Arial"/>
          <w:color w:val="000000" w:themeColor="text1"/>
        </w:rPr>
        <w:t>A website page dedicated specifically for survey participants</w:t>
      </w:r>
    </w:p>
    <w:p w:rsidRPr="003F40CD" w:rsidR="00B41549" w:rsidP="00B41549" w:rsidRDefault="00B41549" w14:paraId="5AEE3EBD" w14:textId="7443131B">
      <w:pPr>
        <w:pStyle w:val="ListParagraph"/>
        <w:numPr>
          <w:ilvl w:val="0"/>
          <w:numId w:val="3"/>
        </w:numPr>
        <w:rPr>
          <w:rFonts w:cs="Arial"/>
          <w:color w:val="000000" w:themeColor="text1"/>
        </w:rPr>
      </w:pPr>
      <w:r w:rsidRPr="00BE12E3">
        <w:rPr>
          <w:rFonts w:cs="Arial"/>
          <w:color w:val="000000" w:themeColor="text1"/>
        </w:rPr>
        <w:t xml:space="preserve">“Make a Plan” tracker tool which serves as a reminder for participants to complete each stage of the survey (see Attachment </w:t>
      </w:r>
      <w:r w:rsidR="003F40CD">
        <w:rPr>
          <w:rFonts w:cs="Arial"/>
          <w:color w:val="000000" w:themeColor="text1"/>
        </w:rPr>
        <w:t>13d</w:t>
      </w:r>
      <w:r w:rsidRPr="00BE12E3">
        <w:rPr>
          <w:rFonts w:cs="Arial"/>
          <w:color w:val="000000" w:themeColor="text1"/>
        </w:rPr>
        <w:t>)</w:t>
      </w:r>
      <w:r w:rsidRPr="003F40CD">
        <w:rPr>
          <w:rFonts w:cs="Arial"/>
          <w:color w:val="000000" w:themeColor="text1"/>
        </w:rPr>
        <w:t> </w:t>
      </w:r>
    </w:p>
    <w:p w:rsidRPr="003F40CD" w:rsidR="00B41549" w:rsidP="00B41549" w:rsidRDefault="00B41549" w14:paraId="00E9D186" w14:textId="77777777">
      <w:pPr>
        <w:ind w:left="360"/>
        <w:rPr>
          <w:rFonts w:cs="Arial"/>
          <w:color w:val="000000" w:themeColor="text1"/>
        </w:rPr>
      </w:pPr>
    </w:p>
    <w:p w:rsidRPr="003F40CD" w:rsidR="00B41549" w:rsidP="00B41549" w:rsidRDefault="00B41549" w14:paraId="2517B4A2" w14:textId="7C490A47">
      <w:pPr>
        <w:rPr>
          <w:rFonts w:cs="Arial"/>
          <w:color w:val="000000" w:themeColor="text1"/>
        </w:rPr>
      </w:pPr>
      <w:r w:rsidRPr="64B97125">
        <w:rPr>
          <w:rFonts w:cs="Arial"/>
          <w:color w:val="000000" w:themeColor="text1"/>
        </w:rPr>
        <w:t xml:space="preserve">Participation in the MEC examinations is also </w:t>
      </w:r>
      <w:r w:rsidR="00565A14">
        <w:rPr>
          <w:rFonts w:cs="Arial"/>
          <w:color w:val="000000" w:themeColor="text1"/>
        </w:rPr>
        <w:t>emphasized</w:t>
      </w:r>
      <w:r w:rsidRPr="64B97125">
        <w:rPr>
          <w:rFonts w:cs="Arial"/>
          <w:color w:val="000000" w:themeColor="text1"/>
        </w:rPr>
        <w:t xml:space="preserve">. If sample persons are apprehensive or reluctant to participate in the examination, there are </w:t>
      </w:r>
      <w:r w:rsidRPr="64B97125" w:rsidR="00222DA9">
        <w:rPr>
          <w:rFonts w:cs="Arial"/>
          <w:color w:val="000000" w:themeColor="text1"/>
        </w:rPr>
        <w:t>several</w:t>
      </w:r>
      <w:r w:rsidRPr="64B97125">
        <w:rPr>
          <w:rFonts w:cs="Arial"/>
          <w:color w:val="000000" w:themeColor="text1"/>
        </w:rPr>
        <w:t xml:space="preserve"> techniques that can be employed by the interviewer once a reason for noncooperation has been determined. Some techniques </w:t>
      </w:r>
      <w:r w:rsidRPr="64B97125">
        <w:rPr>
          <w:rFonts w:cs="Arial"/>
          <w:color w:val="000000" w:themeColor="text1"/>
        </w:rPr>
        <w:lastRenderedPageBreak/>
        <w:t>are the same as those used to convince sample persons to participate in the household interview while others are unique to the examination component.</w:t>
      </w:r>
    </w:p>
    <w:p w:rsidRPr="003F40CD" w:rsidR="00B41549" w:rsidP="00B41549" w:rsidRDefault="00B41549" w14:paraId="1979721D" w14:textId="77777777">
      <w:pPr>
        <w:rPr>
          <w:rFonts w:cs="Arial"/>
          <w:color w:val="000000" w:themeColor="text1"/>
        </w:rPr>
      </w:pPr>
    </w:p>
    <w:p w:rsidRPr="003F40CD" w:rsidR="00B41549" w:rsidP="00B41549" w:rsidRDefault="00B41549" w14:paraId="631B778C" w14:textId="624FD78E">
      <w:pPr>
        <w:rPr>
          <w:rFonts w:cs="Arial"/>
          <w:color w:val="000000" w:themeColor="text1"/>
        </w:rPr>
      </w:pPr>
      <w:r w:rsidRPr="003F40CD">
        <w:rPr>
          <w:rFonts w:cs="Arial"/>
          <w:color w:val="000000" w:themeColor="text1"/>
        </w:rPr>
        <w:t xml:space="preserve">Appointment reminders are an additional tool used for compliance. For </w:t>
      </w:r>
      <w:r w:rsidR="0066045B">
        <w:rPr>
          <w:rFonts w:cs="Arial"/>
          <w:color w:val="000000" w:themeColor="text1"/>
        </w:rPr>
        <w:t xml:space="preserve">participants </w:t>
      </w:r>
      <w:r w:rsidRPr="003F40CD">
        <w:rPr>
          <w:rFonts w:cs="Arial"/>
          <w:color w:val="000000" w:themeColor="text1"/>
        </w:rPr>
        <w:t>who have scheduled an examination appointment, a reminder is sent in advance. Additionally, within forty</w:t>
      </w:r>
      <w:r w:rsidRPr="003F40CD">
        <w:rPr>
          <w:rFonts w:cs="Arial"/>
          <w:color w:val="000000" w:themeColor="text1"/>
        </w:rPr>
        <w:noBreakHyphen/>
        <w:t>eight hours of their examination appointment, all sample persons receive a reminder telephone call. For sample persons who do not have phones, whose phones are not working, or who have not been contacted by phone for some other reason, a home visit is made. If the contact attempts are unsuccessful, an appointment slip is left at the household for each sample person. If a sample person cancels an examination appointment, recontact is made immediately.</w:t>
      </w:r>
    </w:p>
    <w:p w:rsidRPr="003F40CD" w:rsidR="00B41549" w:rsidP="00B41549" w:rsidRDefault="00B41549" w14:paraId="2FC6101D" w14:textId="77777777">
      <w:pPr>
        <w:rPr>
          <w:rFonts w:cs="Arial"/>
          <w:color w:val="000000" w:themeColor="text1"/>
        </w:rPr>
      </w:pPr>
    </w:p>
    <w:p w:rsidRPr="003F40CD" w:rsidR="00B41549" w:rsidP="00B41549" w:rsidRDefault="00B41549" w14:paraId="5C64E706" w14:textId="77777777">
      <w:pPr>
        <w:rPr>
          <w:rFonts w:cs="Arial"/>
          <w:color w:val="000000" w:themeColor="text1"/>
        </w:rPr>
      </w:pPr>
      <w:r w:rsidRPr="003F40CD">
        <w:rPr>
          <w:rFonts w:cs="Arial"/>
          <w:color w:val="000000" w:themeColor="text1"/>
        </w:rPr>
        <w:t>Lastly, we are continuing the following steps to improve response rates:</w:t>
      </w:r>
    </w:p>
    <w:p w:rsidRPr="003F40CD" w:rsidR="00B41549" w:rsidP="00B41549" w:rsidRDefault="00B41549" w14:paraId="25FFBDC1" w14:textId="77777777">
      <w:pPr>
        <w:rPr>
          <w:rFonts w:cs="Arial"/>
          <w:color w:val="000000" w:themeColor="text1"/>
        </w:rPr>
      </w:pPr>
    </w:p>
    <w:p w:rsidRPr="003F40CD" w:rsidR="00B41549" w:rsidP="00B41549" w:rsidRDefault="00B41549" w14:paraId="5F1F5028" w14:textId="5BA3CFD8">
      <w:pPr>
        <w:numPr>
          <w:ilvl w:val="0"/>
          <w:numId w:val="1"/>
        </w:numPr>
        <w:rPr>
          <w:rFonts w:cs="Arial"/>
          <w:color w:val="000000" w:themeColor="text1"/>
        </w:rPr>
      </w:pPr>
      <w:r w:rsidRPr="003F40CD">
        <w:rPr>
          <w:rFonts w:cs="Arial"/>
          <w:color w:val="000000" w:themeColor="text1"/>
        </w:rPr>
        <w:t>Collecting and analyzing para</w:t>
      </w:r>
      <w:r w:rsidR="00C7451F">
        <w:rPr>
          <w:rFonts w:cs="Arial"/>
          <w:color w:val="000000" w:themeColor="text1"/>
        </w:rPr>
        <w:t>-</w:t>
      </w:r>
      <w:r w:rsidRPr="003F40CD">
        <w:rPr>
          <w:rFonts w:cs="Arial"/>
          <w:color w:val="000000" w:themeColor="text1"/>
        </w:rPr>
        <w:t>data to better understand the characteristics of the recruitment process</w:t>
      </w:r>
    </w:p>
    <w:p w:rsidRPr="003F40CD" w:rsidR="00B41549" w:rsidP="00B41549" w:rsidRDefault="00B41549" w14:paraId="4F52ED77" w14:textId="77777777">
      <w:pPr>
        <w:ind w:left="720"/>
        <w:rPr>
          <w:rFonts w:cs="Arial"/>
          <w:color w:val="000000" w:themeColor="text1"/>
        </w:rPr>
      </w:pPr>
    </w:p>
    <w:p w:rsidRPr="003F40CD" w:rsidR="00B41549" w:rsidP="00B41549" w:rsidRDefault="00B41549" w14:paraId="02E84B3F" w14:textId="77777777">
      <w:pPr>
        <w:numPr>
          <w:ilvl w:val="0"/>
          <w:numId w:val="1"/>
        </w:numPr>
        <w:rPr>
          <w:rFonts w:cs="Arial"/>
          <w:color w:val="000000" w:themeColor="text1"/>
        </w:rPr>
      </w:pPr>
      <w:r w:rsidRPr="003F40CD">
        <w:rPr>
          <w:rFonts w:cs="Arial"/>
          <w:color w:val="000000" w:themeColor="text1"/>
        </w:rPr>
        <w:t xml:space="preserve">Increased efforts (e.g., new advertising and outreach sources, etc.) to recruit and train more qualified/experienced full time and backup household interviewers.                                               </w:t>
      </w:r>
    </w:p>
    <w:p w:rsidRPr="003F40CD" w:rsidR="00B41549" w:rsidP="00B41549" w:rsidRDefault="00B41549" w14:paraId="249B725A" w14:textId="77777777">
      <w:pPr>
        <w:rPr>
          <w:rFonts w:cs="Arial"/>
          <w:color w:val="000000" w:themeColor="text1"/>
        </w:rPr>
      </w:pPr>
    </w:p>
    <w:p w:rsidRPr="003F40CD" w:rsidR="00B41549" w:rsidP="00B41549" w:rsidRDefault="00B41549" w14:paraId="7A7E9E97" w14:textId="77777777">
      <w:pPr>
        <w:numPr>
          <w:ilvl w:val="0"/>
          <w:numId w:val="1"/>
        </w:numPr>
        <w:spacing w:after="240"/>
        <w:rPr>
          <w:rFonts w:cs="Arial"/>
          <w:color w:val="000000" w:themeColor="text1"/>
        </w:rPr>
      </w:pPr>
      <w:r w:rsidRPr="003F40CD">
        <w:rPr>
          <w:rFonts w:cs="Arial"/>
          <w:color w:val="000000" w:themeColor="text1"/>
        </w:rPr>
        <w:t xml:space="preserve">Enhancement of the “obtaining cooperation” portion of the initial interviewer training and Interviewer Manual to include more “real life” practice modules.   </w:t>
      </w:r>
    </w:p>
    <w:p w:rsidRPr="003F40CD" w:rsidR="00B41549" w:rsidP="00B41549" w:rsidRDefault="00B41549" w14:paraId="66970B07" w14:textId="77777777">
      <w:pPr>
        <w:pStyle w:val="ListParagraph"/>
        <w:numPr>
          <w:ilvl w:val="0"/>
          <w:numId w:val="1"/>
        </w:numPr>
        <w:contextualSpacing/>
        <w:rPr>
          <w:rFonts w:eastAsia="Calibri" w:cs="Arial"/>
          <w:color w:val="000000" w:themeColor="text1"/>
          <w:szCs w:val="22"/>
        </w:rPr>
      </w:pPr>
      <w:r w:rsidRPr="003F40CD">
        <w:rPr>
          <w:rFonts w:eastAsia="Calibri" w:cs="Arial"/>
          <w:color w:val="000000" w:themeColor="text1"/>
          <w:szCs w:val="22"/>
        </w:rPr>
        <w:t xml:space="preserve">2018 to present, we are retraining field interviewers to sharpen their doorstep presentation skills and equipping them with talking points to combat real-day concerns about participation.   </w:t>
      </w:r>
    </w:p>
    <w:p w:rsidRPr="003F40CD" w:rsidR="00B41549" w:rsidP="00B41549" w:rsidRDefault="00B41549" w14:paraId="4B8EF544" w14:textId="77777777">
      <w:pPr>
        <w:rPr>
          <w:rFonts w:cs="Arial"/>
          <w:color w:val="000000" w:themeColor="text1"/>
        </w:rPr>
      </w:pPr>
    </w:p>
    <w:p w:rsidRPr="003F40CD" w:rsidR="00B41549" w:rsidP="00B41549" w:rsidRDefault="00B41549" w14:paraId="466416DB" w14:textId="77777777">
      <w:pPr>
        <w:numPr>
          <w:ilvl w:val="0"/>
          <w:numId w:val="1"/>
        </w:numPr>
        <w:rPr>
          <w:rFonts w:cs="Arial"/>
          <w:color w:val="000000" w:themeColor="text1"/>
        </w:rPr>
      </w:pPr>
      <w:r w:rsidRPr="003F40CD">
        <w:rPr>
          <w:rFonts w:cs="Arial"/>
          <w:color w:val="000000" w:themeColor="text1"/>
        </w:rPr>
        <w:t xml:space="preserve">Supervisory field staff are encouraged to provide more one-on-one interviewer training on refusal conversion strategies.  </w:t>
      </w:r>
    </w:p>
    <w:p w:rsidRPr="003F40CD" w:rsidR="00B41549" w:rsidP="00B41549" w:rsidRDefault="00B41549" w14:paraId="08CDB1A5" w14:textId="77777777">
      <w:pPr>
        <w:rPr>
          <w:rFonts w:cs="Arial"/>
          <w:color w:val="000000" w:themeColor="text1"/>
        </w:rPr>
      </w:pPr>
    </w:p>
    <w:p w:rsidRPr="003F40CD" w:rsidR="00B41549" w:rsidP="00B41549" w:rsidRDefault="00B41549" w14:paraId="5624B180" w14:textId="77777777">
      <w:pPr>
        <w:numPr>
          <w:ilvl w:val="0"/>
          <w:numId w:val="1"/>
        </w:numPr>
        <w:rPr>
          <w:rFonts w:cs="Arial"/>
          <w:color w:val="000000" w:themeColor="text1"/>
        </w:rPr>
      </w:pPr>
      <w:r w:rsidRPr="003F40CD">
        <w:rPr>
          <w:rFonts w:cs="Arial"/>
          <w:color w:val="000000" w:themeColor="text1"/>
        </w:rPr>
        <w:t>The Listers, staff who visit PSUs at least four months prior to the opening of stands, are asked to provide more information about every segment they visit so that we can address potential problems as early as possible, especially locked buildings, gated communities, and college campuses.</w:t>
      </w:r>
    </w:p>
    <w:p w:rsidRPr="003F40CD" w:rsidR="00B41549" w:rsidP="00B41549" w:rsidRDefault="00B41549" w14:paraId="58BA5BEE" w14:textId="77777777">
      <w:pPr>
        <w:rPr>
          <w:rFonts w:cs="Arial"/>
          <w:color w:val="000000" w:themeColor="text1"/>
        </w:rPr>
      </w:pPr>
    </w:p>
    <w:p w:rsidRPr="003F40CD" w:rsidR="00B41549" w:rsidP="00B41549" w:rsidRDefault="00B41549" w14:paraId="0065B0E7" w14:textId="77777777">
      <w:pPr>
        <w:numPr>
          <w:ilvl w:val="0"/>
          <w:numId w:val="1"/>
        </w:numPr>
        <w:rPr>
          <w:rFonts w:cs="Arial"/>
          <w:color w:val="000000" w:themeColor="text1"/>
        </w:rPr>
      </w:pPr>
      <w:r w:rsidRPr="003F40CD">
        <w:rPr>
          <w:rFonts w:cs="Arial"/>
          <w:color w:val="000000" w:themeColor="text1"/>
        </w:rPr>
        <w:t>The Advance Team addresses community support beginning with their earliest contacts with community leaders.</w:t>
      </w:r>
    </w:p>
    <w:p w:rsidRPr="003F40CD" w:rsidR="00B41549" w:rsidP="00B41549" w:rsidRDefault="00B41549" w14:paraId="58402F8F" w14:textId="77777777">
      <w:pPr>
        <w:rPr>
          <w:rFonts w:cs="Arial"/>
          <w:color w:val="000000" w:themeColor="text1"/>
        </w:rPr>
      </w:pPr>
    </w:p>
    <w:p w:rsidRPr="003F40CD" w:rsidR="00B41549" w:rsidP="00B41549" w:rsidRDefault="00B41549" w14:paraId="316D7025" w14:textId="191C4822">
      <w:pPr>
        <w:numPr>
          <w:ilvl w:val="0"/>
          <w:numId w:val="1"/>
        </w:numPr>
        <w:rPr>
          <w:rFonts w:cs="Arial"/>
          <w:color w:val="000000" w:themeColor="text1"/>
        </w:rPr>
      </w:pPr>
      <w:r w:rsidRPr="003F40CD">
        <w:rPr>
          <w:rFonts w:cs="Arial"/>
          <w:color w:val="000000" w:themeColor="text1"/>
        </w:rPr>
        <w:t xml:space="preserve">NCHS works with the contractor </w:t>
      </w:r>
      <w:r w:rsidRPr="003F40CD" w:rsidR="00222DA9">
        <w:rPr>
          <w:rFonts w:cs="Arial"/>
          <w:color w:val="000000" w:themeColor="text1"/>
        </w:rPr>
        <w:t>to</w:t>
      </w:r>
      <w:r w:rsidRPr="003F40CD">
        <w:rPr>
          <w:rFonts w:cs="Arial"/>
          <w:color w:val="000000" w:themeColor="text1"/>
        </w:rPr>
        <w:t xml:space="preserve"> obtain more media coverage at every sampled PSU.</w:t>
      </w:r>
    </w:p>
    <w:p w:rsidRPr="003F40CD" w:rsidR="00B41549" w:rsidP="00B41549" w:rsidRDefault="00B41549" w14:paraId="4E741295" w14:textId="77777777">
      <w:pPr>
        <w:rPr>
          <w:rFonts w:cs="Arial"/>
          <w:color w:val="000000" w:themeColor="text1"/>
        </w:rPr>
      </w:pPr>
    </w:p>
    <w:p w:rsidRPr="003F40CD" w:rsidR="00B41549" w:rsidP="00B41549" w:rsidRDefault="00B41549" w14:paraId="55F9C17C" w14:textId="77777777">
      <w:pPr>
        <w:numPr>
          <w:ilvl w:val="0"/>
          <w:numId w:val="1"/>
        </w:numPr>
        <w:rPr>
          <w:rFonts w:cs="Arial"/>
          <w:color w:val="000000" w:themeColor="text1"/>
        </w:rPr>
      </w:pPr>
      <w:r w:rsidRPr="003F40CD">
        <w:rPr>
          <w:rFonts w:cs="Arial"/>
          <w:color w:val="000000" w:themeColor="text1"/>
        </w:rPr>
        <w:t>The contractor provides NCHS with additional names of prominent people and organizations which could assist with endorsements.</w:t>
      </w:r>
    </w:p>
    <w:p w:rsidRPr="003F40CD" w:rsidR="00B41549" w:rsidP="00B41549" w:rsidRDefault="00B41549" w14:paraId="69808657" w14:textId="77777777">
      <w:pPr>
        <w:rPr>
          <w:rFonts w:cs="Arial"/>
          <w:color w:val="000000" w:themeColor="text1"/>
        </w:rPr>
      </w:pPr>
    </w:p>
    <w:p w:rsidRPr="003F40CD" w:rsidR="00B41549" w:rsidP="00B41549" w:rsidRDefault="00B41549" w14:paraId="02AE9EB6" w14:textId="77777777">
      <w:pPr>
        <w:numPr>
          <w:ilvl w:val="0"/>
          <w:numId w:val="1"/>
        </w:numPr>
        <w:rPr>
          <w:rFonts w:cs="Arial"/>
          <w:color w:val="000000" w:themeColor="text1"/>
        </w:rPr>
      </w:pPr>
      <w:r w:rsidRPr="003F40CD">
        <w:rPr>
          <w:rFonts w:cs="Arial"/>
          <w:color w:val="000000" w:themeColor="text1"/>
        </w:rPr>
        <w:t>The contractor obtains more local endorsements for every stand beginning as early as four months prior to the start of a stand.</w:t>
      </w:r>
    </w:p>
    <w:p w:rsidRPr="003F40CD" w:rsidR="00B41549" w:rsidP="00B41549" w:rsidRDefault="00B41549" w14:paraId="000B5D33" w14:textId="77777777">
      <w:pPr>
        <w:pStyle w:val="ListParagraph"/>
        <w:rPr>
          <w:rFonts w:cs="Arial"/>
          <w:color w:val="000000" w:themeColor="text1"/>
          <w:szCs w:val="22"/>
        </w:rPr>
      </w:pPr>
    </w:p>
    <w:p w:rsidRPr="003F40CD" w:rsidR="00B41549" w:rsidP="00B41549" w:rsidRDefault="00B41549" w14:paraId="4F032008" w14:textId="77777777">
      <w:pPr>
        <w:numPr>
          <w:ilvl w:val="0"/>
          <w:numId w:val="1"/>
        </w:numPr>
        <w:rPr>
          <w:rFonts w:cs="Arial"/>
          <w:color w:val="000000" w:themeColor="text1"/>
        </w:rPr>
      </w:pPr>
      <w:r w:rsidRPr="003F40CD">
        <w:rPr>
          <w:rFonts w:cs="Arial"/>
          <w:color w:val="000000" w:themeColor="text1"/>
        </w:rPr>
        <w:t>The NHANES operations branch works more closely with contractor to assist in obtaining community and national endorsements in support of the survey.</w:t>
      </w:r>
    </w:p>
    <w:p w:rsidRPr="003F40CD" w:rsidR="00B41549" w:rsidP="00B41549" w:rsidRDefault="00B41549" w14:paraId="45F0ADB7" w14:textId="77777777">
      <w:pPr>
        <w:rPr>
          <w:color w:val="000000" w:themeColor="text1"/>
        </w:rPr>
      </w:pPr>
    </w:p>
    <w:p w:rsidRPr="005C0A40" w:rsidR="00B41549" w:rsidP="00B41549" w:rsidRDefault="00B41549" w14:paraId="3D451415" w14:textId="77777777">
      <w:pPr>
        <w:rPr>
          <w:color w:val="000000" w:themeColor="text1"/>
        </w:rPr>
      </w:pPr>
      <w:r w:rsidRPr="003F40CD">
        <w:rPr>
          <w:color w:val="000000" w:themeColor="text1"/>
        </w:rPr>
        <w:t xml:space="preserve">Should the above efforts lead to changes in outreach\background\administrative materials etc. </w:t>
      </w:r>
      <w:r w:rsidRPr="003F40CD">
        <w:rPr>
          <w:color w:val="000000" w:themeColor="text1"/>
        </w:rPr>
        <w:lastRenderedPageBreak/>
        <w:t>or to the development of new materials for use in NHANES, then the program would submit a non-substantive clearance request.</w:t>
      </w:r>
    </w:p>
    <w:p w:rsidRPr="00285BEB" w:rsidR="00B41549" w:rsidP="00B41549" w:rsidRDefault="00B41549" w14:paraId="1E2031DD" w14:textId="77777777">
      <w:pPr>
        <w:rPr>
          <w:color w:val="000000" w:themeColor="text1"/>
        </w:rPr>
      </w:pPr>
    </w:p>
    <w:p w:rsidRPr="00F84EBD" w:rsidR="00C924F1" w:rsidP="00C924F1" w:rsidRDefault="00C924F1" w14:paraId="38F0310D" w14:textId="5222EA40">
      <w:pPr>
        <w:keepNext/>
        <w:keepLines/>
        <w:outlineLvl w:val="1"/>
        <w:rPr>
          <w:rFonts w:cs="Arial"/>
          <w:color w:val="000000" w:themeColor="text1"/>
          <w:szCs w:val="22"/>
        </w:rPr>
      </w:pPr>
      <w:r w:rsidRPr="00285BEB">
        <w:rPr>
          <w:rFonts w:cs="Arial"/>
          <w:color w:val="000000" w:themeColor="text1"/>
          <w:szCs w:val="22"/>
        </w:rPr>
        <w:t>4</w:t>
      </w:r>
      <w:r w:rsidRPr="00F84EBD">
        <w:rPr>
          <w:rFonts w:cs="Arial"/>
          <w:color w:val="000000" w:themeColor="text1"/>
          <w:szCs w:val="22"/>
        </w:rPr>
        <w:t>.  Tests of Procedures or Methods to be Undertaken</w:t>
      </w:r>
      <w:bookmarkEnd w:id="3"/>
      <w:bookmarkEnd w:id="4"/>
      <w:bookmarkEnd w:id="5"/>
      <w:bookmarkEnd w:id="6"/>
      <w:bookmarkEnd w:id="7"/>
      <w:bookmarkEnd w:id="8"/>
    </w:p>
    <w:p w:rsidRPr="00F84EBD" w:rsidR="00C924F1" w:rsidP="00C924F1" w:rsidRDefault="00C924F1" w14:paraId="71968C85" w14:textId="77777777">
      <w:pPr>
        <w:keepNext/>
        <w:keepLines/>
        <w:rPr>
          <w:rFonts w:cs="Arial"/>
          <w:color w:val="000000" w:themeColor="text1"/>
          <w:szCs w:val="22"/>
        </w:rPr>
      </w:pPr>
    </w:p>
    <w:p w:rsidRPr="00F84EBD" w:rsidR="00930564" w:rsidP="00930564" w:rsidRDefault="00930564" w14:paraId="333EA72B" w14:textId="60F08DD7">
      <w:pPr>
        <w:rPr>
          <w:rFonts w:cs="Arial"/>
          <w:color w:val="000000" w:themeColor="text1"/>
          <w:szCs w:val="22"/>
        </w:rPr>
      </w:pPr>
      <w:r w:rsidRPr="00F84EBD">
        <w:rPr>
          <w:rFonts w:cs="Arial"/>
          <w:color w:val="000000" w:themeColor="text1"/>
          <w:szCs w:val="22"/>
        </w:rPr>
        <w:t xml:space="preserve">The continuous operation of NHANES presents unique challenges in testing new components. As protocols and systems are designed and developed, they are fielded. Each examination component is operationalized and evaluated for feasibility of exam room arrangement and procedures, performance of equipment, efficiency, completion times and interaction with the system. Procedures are conducted with trained examiners and actual subjects of the required ages to ensure accurate testing of the components and systems.  Standard operating procedures are evaluated for efficiency and coordination of subject flow through the MEC, completion of required exam components, subject cooperation and refusal conversion, staff productivity, and adequacy of facility and supplies. NCHS staff, the contractor’s development staff and consultants participate in the evaluation effort. </w:t>
      </w:r>
    </w:p>
    <w:p w:rsidRPr="00F84EBD" w:rsidR="00930564" w:rsidP="00930564" w:rsidRDefault="00930564" w14:paraId="059FE322" w14:textId="77777777">
      <w:pPr>
        <w:rPr>
          <w:rFonts w:cs="Arial"/>
          <w:color w:val="000000" w:themeColor="text1"/>
          <w:szCs w:val="22"/>
        </w:rPr>
      </w:pPr>
    </w:p>
    <w:p w:rsidRPr="00F84EBD" w:rsidR="00930564" w:rsidP="00930564" w:rsidRDefault="00930564" w14:paraId="61D93FE7" w14:textId="257CE3E2">
      <w:pPr>
        <w:rPr>
          <w:rFonts w:cs="Arial"/>
          <w:color w:val="000000" w:themeColor="text1"/>
          <w:szCs w:val="22"/>
        </w:rPr>
      </w:pPr>
      <w:r w:rsidRPr="00F84EBD">
        <w:rPr>
          <w:rFonts w:cs="Arial"/>
          <w:color w:val="000000" w:themeColor="text1"/>
          <w:szCs w:val="22"/>
        </w:rPr>
        <w:t>In certain cases, additional testing using non-NHANES respondents may be necessary. This could occur, for example, when the NHANES is developing a method to be used in the survey that can be tested or calibrated outside the NHANES survey setting. For example</w:t>
      </w:r>
      <w:r w:rsidRPr="00F84EBD" w:rsidR="0066195C">
        <w:rPr>
          <w:rFonts w:cs="Arial"/>
          <w:color w:val="000000" w:themeColor="text1"/>
          <w:szCs w:val="22"/>
        </w:rPr>
        <w:t>,</w:t>
      </w:r>
      <w:r w:rsidRPr="00F84EBD">
        <w:rPr>
          <w:rFonts w:cs="Arial"/>
          <w:color w:val="000000" w:themeColor="text1"/>
          <w:szCs w:val="22"/>
        </w:rPr>
        <w:t xml:space="preserve"> prior to pilot testing a NHANES </w:t>
      </w:r>
      <w:r w:rsidRPr="00F84EBD" w:rsidR="0066195C">
        <w:rPr>
          <w:rFonts w:cs="Arial"/>
          <w:color w:val="000000" w:themeColor="text1"/>
          <w:szCs w:val="22"/>
        </w:rPr>
        <w:t>24-hour</w:t>
      </w:r>
      <w:r w:rsidRPr="00F84EBD">
        <w:rPr>
          <w:rFonts w:cs="Arial"/>
          <w:color w:val="000000" w:themeColor="text1"/>
          <w:szCs w:val="22"/>
        </w:rPr>
        <w:t xml:space="preserve"> urine collection within the survey, a calibration study was done with volunteers</w:t>
      </w:r>
      <w:r w:rsidRPr="00F84EBD" w:rsidR="00860D25">
        <w:rPr>
          <w:rFonts w:cs="Arial"/>
          <w:color w:val="000000" w:themeColor="text1"/>
          <w:szCs w:val="22"/>
        </w:rPr>
        <w:t xml:space="preserve"> who received an incentive</w:t>
      </w:r>
      <w:r w:rsidRPr="00F84EBD">
        <w:rPr>
          <w:rFonts w:cs="Arial"/>
          <w:color w:val="000000" w:themeColor="text1"/>
          <w:szCs w:val="22"/>
        </w:rPr>
        <w:t>.</w:t>
      </w:r>
    </w:p>
    <w:p w:rsidRPr="00F84EBD" w:rsidR="00930564" w:rsidP="00930564" w:rsidRDefault="00930564" w14:paraId="667575BB" w14:textId="77777777">
      <w:pPr>
        <w:rPr>
          <w:rFonts w:cs="Arial"/>
          <w:color w:val="000000" w:themeColor="text1"/>
          <w:szCs w:val="22"/>
        </w:rPr>
      </w:pPr>
    </w:p>
    <w:p w:rsidRPr="00F84EBD" w:rsidR="00930564" w:rsidP="00930564" w:rsidRDefault="00930564" w14:paraId="43326797" w14:textId="4387A0D3">
      <w:pPr>
        <w:rPr>
          <w:rFonts w:cs="Arial"/>
          <w:b/>
          <w:color w:val="000000" w:themeColor="text1"/>
          <w:szCs w:val="22"/>
        </w:rPr>
      </w:pPr>
      <w:r w:rsidRPr="00F84EBD">
        <w:rPr>
          <w:rFonts w:cs="Arial"/>
          <w:color w:val="000000" w:themeColor="text1"/>
          <w:szCs w:val="22"/>
        </w:rPr>
        <w:t>There may also be a need to conduct testing within NHANES for projects that may supplement/compliment NHANES or that may be implemented in alternative settings</w:t>
      </w:r>
      <w:r w:rsidR="00C7451F">
        <w:rPr>
          <w:rFonts w:cs="Arial"/>
          <w:color w:val="000000" w:themeColor="text1"/>
          <w:szCs w:val="22"/>
        </w:rPr>
        <w:t>,</w:t>
      </w:r>
      <w:r w:rsidRPr="00F84EBD">
        <w:rPr>
          <w:rFonts w:cs="Arial"/>
          <w:color w:val="000000" w:themeColor="text1"/>
          <w:szCs w:val="22"/>
        </w:rPr>
        <w:t xml:space="preserve"> such as within other health studies, in home environments or in non-NHANES subgroups. For </w:t>
      </w:r>
      <w:r w:rsidRPr="00F84EBD" w:rsidR="00BD7D3E">
        <w:rPr>
          <w:rFonts w:cs="Arial"/>
          <w:color w:val="000000" w:themeColor="text1"/>
          <w:szCs w:val="22"/>
        </w:rPr>
        <w:t>example,</w:t>
      </w:r>
      <w:r w:rsidRPr="00F84EBD">
        <w:rPr>
          <w:rFonts w:cs="Arial"/>
          <w:color w:val="000000" w:themeColor="text1"/>
          <w:szCs w:val="22"/>
        </w:rPr>
        <w:t xml:space="preserve"> in 2012, NHANES conducted a Health Measures at Home Methodology Study (HMHS) among a small subset of NHANES participants. This involved collecting height, weight, blood pressure and dried blood spots both in NHANES participants’ homes and in the NHANES MEC. This project was conducted because NCHS sought to investigate the feasibility of incorporating physical measures and biologic specimen collection into the National Health Interview Survey (NHIS) (OMB No. 0920-0214</w:t>
      </w:r>
      <w:r w:rsidRPr="00F84EBD" w:rsidR="00B342CE">
        <w:rPr>
          <w:rFonts w:cs="Arial"/>
          <w:color w:val="000000" w:themeColor="text1"/>
          <w:szCs w:val="22"/>
        </w:rPr>
        <w:t>, Exp. Date 12/31/2020</w:t>
      </w:r>
      <w:r w:rsidRPr="00F84EBD">
        <w:rPr>
          <w:rFonts w:cs="Arial"/>
          <w:color w:val="000000" w:themeColor="text1"/>
          <w:szCs w:val="22"/>
        </w:rPr>
        <w:t xml:space="preserve">) by implementing the HMHS within NHANES.  </w:t>
      </w:r>
    </w:p>
    <w:p w:rsidRPr="00F84EBD" w:rsidR="00930564" w:rsidP="00930564" w:rsidRDefault="00930564" w14:paraId="7FBCF1D4" w14:textId="77777777">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color w:val="000000" w:themeColor="text1"/>
          <w:szCs w:val="22"/>
        </w:rPr>
      </w:pPr>
    </w:p>
    <w:p w:rsidRPr="00F84EBD" w:rsidR="005C1DB1" w:rsidP="00930564" w:rsidRDefault="005C1DB1" w14:paraId="6E4CD2B2" w14:textId="7658ED2E">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color w:val="000000" w:themeColor="text1"/>
          <w:szCs w:val="22"/>
        </w:rPr>
      </w:pPr>
      <w:bookmarkStart w:name="_Hlk36640390" w:id="9"/>
    </w:p>
    <w:bookmarkEnd w:id="9"/>
    <w:p w:rsidRPr="0066045B" w:rsidR="00930564" w:rsidP="00930564" w:rsidRDefault="00AB4052" w14:paraId="4D50C892" w14:textId="2FDB4208">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Cs/>
          <w:color w:val="000000" w:themeColor="text1"/>
          <w:szCs w:val="22"/>
        </w:rPr>
      </w:pPr>
      <w:r w:rsidRPr="0066045B">
        <w:rPr>
          <w:rFonts w:cs="Arial"/>
          <w:bCs/>
          <w:color w:val="000000" w:themeColor="text1"/>
          <w:szCs w:val="22"/>
        </w:rPr>
        <w:t xml:space="preserve">Summary of </w:t>
      </w:r>
      <w:r w:rsidRPr="0066045B" w:rsidR="007651A5">
        <w:rPr>
          <w:rFonts w:cs="Arial"/>
          <w:bCs/>
          <w:color w:val="000000" w:themeColor="text1"/>
          <w:szCs w:val="22"/>
        </w:rPr>
        <w:t xml:space="preserve">Potential </w:t>
      </w:r>
      <w:r w:rsidRPr="0066045B">
        <w:rPr>
          <w:rFonts w:cs="Arial"/>
          <w:bCs/>
          <w:color w:val="000000" w:themeColor="text1"/>
          <w:szCs w:val="22"/>
        </w:rPr>
        <w:t xml:space="preserve">2021-22 NHANES </w:t>
      </w:r>
      <w:r w:rsidRPr="0066045B" w:rsidR="00930564">
        <w:rPr>
          <w:rFonts w:cs="Arial"/>
          <w:bCs/>
          <w:color w:val="000000" w:themeColor="text1"/>
          <w:szCs w:val="22"/>
        </w:rPr>
        <w:t>Developmental Projects</w:t>
      </w:r>
    </w:p>
    <w:p w:rsidRPr="00F84EBD" w:rsidR="007823AE" w:rsidP="00930564" w:rsidRDefault="007823AE" w14:paraId="3C6652FE" w14:textId="77777777">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color w:val="000000" w:themeColor="text1"/>
          <w:szCs w:val="22"/>
        </w:rPr>
      </w:pPr>
    </w:p>
    <w:p w:rsidRPr="00F84EBD" w:rsidR="00E64BF3" w:rsidP="00930564" w:rsidRDefault="00930564" w14:paraId="0C3441B3" w14:textId="01D19EA3">
      <w:pPr>
        <w:rPr>
          <w:rFonts w:cs="Arial"/>
          <w:color w:val="000000" w:themeColor="text1"/>
          <w:szCs w:val="22"/>
        </w:rPr>
      </w:pPr>
      <w:r w:rsidRPr="00F84EBD">
        <w:rPr>
          <w:rFonts w:cs="Arial"/>
          <w:color w:val="000000" w:themeColor="text1"/>
          <w:szCs w:val="22"/>
        </w:rPr>
        <w:t>NHANES expects to plan future developmental projects for testing or implementation within the NHANES 20</w:t>
      </w:r>
      <w:r w:rsidRPr="00F84EBD" w:rsidR="00E64BF3">
        <w:rPr>
          <w:rFonts w:cs="Arial"/>
          <w:color w:val="000000" w:themeColor="text1"/>
          <w:szCs w:val="22"/>
        </w:rPr>
        <w:t>21-22</w:t>
      </w:r>
      <w:r w:rsidRPr="00F84EBD" w:rsidR="00727BE0">
        <w:rPr>
          <w:rFonts w:cs="Arial"/>
          <w:color w:val="000000" w:themeColor="text1"/>
          <w:szCs w:val="22"/>
        </w:rPr>
        <w:t xml:space="preserve"> </w:t>
      </w:r>
      <w:r w:rsidRPr="00F84EBD">
        <w:rPr>
          <w:rFonts w:cs="Arial"/>
          <w:color w:val="000000" w:themeColor="text1"/>
          <w:szCs w:val="22"/>
        </w:rPr>
        <w:t>environment.</w:t>
      </w:r>
      <w:r w:rsidRPr="00F84EBD" w:rsidR="00E64BF3">
        <w:rPr>
          <w:rFonts w:cs="Arial"/>
          <w:color w:val="000000" w:themeColor="text1"/>
          <w:szCs w:val="22"/>
        </w:rPr>
        <w:t xml:space="preserve"> These will focus on planning for </w:t>
      </w:r>
      <w:r w:rsidRPr="00F84EBD" w:rsidR="001A47D0">
        <w:rPr>
          <w:rFonts w:cs="Arial"/>
          <w:color w:val="000000" w:themeColor="text1"/>
          <w:szCs w:val="22"/>
        </w:rPr>
        <w:t xml:space="preserve">NHANES </w:t>
      </w:r>
      <w:r w:rsidRPr="00F84EBD" w:rsidR="00E64BF3">
        <w:rPr>
          <w:rFonts w:cs="Arial"/>
          <w:color w:val="000000" w:themeColor="text1"/>
          <w:szCs w:val="22"/>
        </w:rPr>
        <w:t>2023 and beyond</w:t>
      </w:r>
      <w:r w:rsidRPr="00F84EBD" w:rsidR="001A47D0">
        <w:rPr>
          <w:rFonts w:cs="Arial"/>
          <w:color w:val="000000" w:themeColor="text1"/>
          <w:szCs w:val="22"/>
        </w:rPr>
        <w:t xml:space="preserve">. </w:t>
      </w:r>
      <w:r w:rsidRPr="00F84EBD" w:rsidR="00E64BF3">
        <w:rPr>
          <w:rFonts w:cs="Arial"/>
          <w:color w:val="000000" w:themeColor="text1"/>
          <w:szCs w:val="22"/>
        </w:rPr>
        <w:t xml:space="preserve">These may include activities such as non-response related initiatives, testing of new components, tests of new equipment, crossover studies between current and proposed methods, test of different study modes, settings or technology, outreach materials, incentive strategies, sample storage and processing or sample designs.  </w:t>
      </w:r>
    </w:p>
    <w:p w:rsidRPr="00F84EBD" w:rsidR="00E64BF3" w:rsidP="00930564" w:rsidRDefault="00E64BF3" w14:paraId="01DC2C92" w14:textId="77777777">
      <w:pPr>
        <w:rPr>
          <w:rFonts w:cs="Arial"/>
          <w:color w:val="000000" w:themeColor="text1"/>
          <w:szCs w:val="22"/>
        </w:rPr>
      </w:pPr>
    </w:p>
    <w:p w:rsidRPr="00F84EBD" w:rsidR="00F07124" w:rsidP="00930564" w:rsidRDefault="008608BA" w14:paraId="6A4F7E2C" w14:textId="0D4E3294">
      <w:pPr>
        <w:rPr>
          <w:rFonts w:cs="Arial"/>
          <w:color w:val="000000" w:themeColor="text1"/>
          <w:szCs w:val="22"/>
        </w:rPr>
      </w:pPr>
      <w:r w:rsidRPr="00F84EBD">
        <w:rPr>
          <w:rFonts w:cs="Arial"/>
          <w:color w:val="000000" w:themeColor="text1"/>
          <w:szCs w:val="22"/>
        </w:rPr>
        <w:t xml:space="preserve">The projects </w:t>
      </w:r>
      <w:r w:rsidRPr="00F84EBD" w:rsidR="00861849">
        <w:rPr>
          <w:rFonts w:cs="Arial"/>
          <w:color w:val="000000" w:themeColor="text1"/>
          <w:szCs w:val="22"/>
        </w:rPr>
        <w:t xml:space="preserve">may </w:t>
      </w:r>
      <w:r w:rsidRPr="00F84EBD">
        <w:rPr>
          <w:rFonts w:cs="Arial"/>
          <w:color w:val="000000" w:themeColor="text1"/>
          <w:szCs w:val="22"/>
        </w:rPr>
        <w:t>include</w:t>
      </w:r>
      <w:r w:rsidRPr="00F84EBD" w:rsidR="00F07124">
        <w:rPr>
          <w:rFonts w:cs="Arial"/>
          <w:color w:val="000000" w:themeColor="text1"/>
          <w:szCs w:val="22"/>
        </w:rPr>
        <w:t xml:space="preserve"> </w:t>
      </w:r>
      <w:r w:rsidRPr="00F84EBD" w:rsidR="00861849">
        <w:rPr>
          <w:rFonts w:cs="Arial"/>
          <w:color w:val="000000" w:themeColor="text1"/>
          <w:szCs w:val="22"/>
        </w:rPr>
        <w:t>a focus on NHANES content such as</w:t>
      </w:r>
      <w:r w:rsidRPr="00F84EBD" w:rsidR="00F07124">
        <w:rPr>
          <w:rFonts w:cs="Arial"/>
          <w:color w:val="000000" w:themeColor="text1"/>
          <w:szCs w:val="22"/>
        </w:rPr>
        <w:t>:</w:t>
      </w:r>
    </w:p>
    <w:p w:rsidRPr="00F84EBD" w:rsidR="007E7B22" w:rsidP="0051124E" w:rsidRDefault="007E7B22" w14:paraId="3C7962E5" w14:textId="77777777">
      <w:pPr>
        <w:pStyle w:val="ListParagraph"/>
        <w:widowControl/>
        <w:numPr>
          <w:ilvl w:val="0"/>
          <w:numId w:val="6"/>
        </w:numPr>
        <w:autoSpaceDE/>
        <w:autoSpaceDN/>
        <w:adjustRightInd/>
        <w:spacing w:after="160" w:line="252" w:lineRule="auto"/>
        <w:contextualSpacing/>
        <w:rPr>
          <w:rFonts w:ascii="Calibri" w:hAnsi="Calibri"/>
        </w:rPr>
      </w:pPr>
      <w:r w:rsidRPr="00F84EBD">
        <w:t>Height and weight measurement</w:t>
      </w:r>
    </w:p>
    <w:p w:rsidRPr="00F84EBD" w:rsidR="007E7B22" w:rsidP="0051124E" w:rsidRDefault="007E7B22" w14:paraId="17D3BFB7" w14:textId="3BDFD4DE">
      <w:pPr>
        <w:pStyle w:val="ListParagraph"/>
        <w:widowControl/>
        <w:numPr>
          <w:ilvl w:val="0"/>
          <w:numId w:val="6"/>
        </w:numPr>
        <w:autoSpaceDE/>
        <w:autoSpaceDN/>
        <w:adjustRightInd/>
        <w:spacing w:after="160" w:line="252" w:lineRule="auto"/>
        <w:contextualSpacing/>
      </w:pPr>
      <w:r w:rsidRPr="00F84EBD">
        <w:t xml:space="preserve">Measuring </w:t>
      </w:r>
      <w:r w:rsidRPr="00F84EBD" w:rsidR="00046F5E">
        <w:t>blood pressure</w:t>
      </w:r>
    </w:p>
    <w:p w:rsidRPr="00F84EBD" w:rsidR="007E7B22" w:rsidP="0051124E" w:rsidRDefault="007E7B22" w14:paraId="316E7EC3" w14:textId="77777777">
      <w:pPr>
        <w:pStyle w:val="ListParagraph"/>
        <w:widowControl/>
        <w:numPr>
          <w:ilvl w:val="0"/>
          <w:numId w:val="6"/>
        </w:numPr>
        <w:autoSpaceDE/>
        <w:autoSpaceDN/>
        <w:adjustRightInd/>
        <w:spacing w:after="160" w:line="252" w:lineRule="auto"/>
        <w:contextualSpacing/>
      </w:pPr>
      <w:r w:rsidRPr="00F84EBD">
        <w:t xml:space="preserve">Assessment of nutrition intake </w:t>
      </w:r>
    </w:p>
    <w:p w:rsidRPr="00F84EBD" w:rsidR="007E7B22" w:rsidP="0051124E" w:rsidRDefault="007E7B22" w14:paraId="7701C9EA" w14:textId="77777777">
      <w:pPr>
        <w:pStyle w:val="ListParagraph"/>
        <w:widowControl/>
        <w:numPr>
          <w:ilvl w:val="0"/>
          <w:numId w:val="6"/>
        </w:numPr>
        <w:autoSpaceDE/>
        <w:autoSpaceDN/>
        <w:adjustRightInd/>
        <w:spacing w:after="160" w:line="252" w:lineRule="auto"/>
        <w:contextualSpacing/>
      </w:pPr>
      <w:r w:rsidRPr="00F84EBD">
        <w:t>Biospecimen (blood and urine) collection at MEC (overall) and processing of specific analytes (listed below)</w:t>
      </w:r>
    </w:p>
    <w:p w:rsidRPr="00F84EBD" w:rsidR="007E7B22" w:rsidP="0051124E" w:rsidRDefault="007E7B22" w14:paraId="1AAC165D" w14:textId="77777777">
      <w:pPr>
        <w:pStyle w:val="ListParagraph"/>
        <w:widowControl/>
        <w:numPr>
          <w:ilvl w:val="0"/>
          <w:numId w:val="6"/>
        </w:numPr>
        <w:autoSpaceDE/>
        <w:autoSpaceDN/>
        <w:adjustRightInd/>
        <w:spacing w:after="160" w:line="252" w:lineRule="auto"/>
        <w:contextualSpacing/>
        <w:rPr>
          <w:rFonts w:cs="Arial"/>
        </w:rPr>
      </w:pPr>
      <w:r w:rsidRPr="00F84EBD">
        <w:rPr>
          <w:rFonts w:cs="Arial"/>
        </w:rPr>
        <w:t>Dental caries and tooth count</w:t>
      </w:r>
    </w:p>
    <w:p w:rsidRPr="00F84EBD" w:rsidR="007E7B22" w:rsidP="0051124E" w:rsidRDefault="007E7B22" w14:paraId="56E2A71B" w14:textId="77777777">
      <w:pPr>
        <w:pStyle w:val="ListParagraph"/>
        <w:widowControl/>
        <w:numPr>
          <w:ilvl w:val="0"/>
          <w:numId w:val="6"/>
        </w:numPr>
        <w:autoSpaceDE/>
        <w:autoSpaceDN/>
        <w:adjustRightInd/>
        <w:spacing w:after="160" w:line="252" w:lineRule="auto"/>
        <w:contextualSpacing/>
        <w:rPr>
          <w:rFonts w:cs="Arial"/>
        </w:rPr>
      </w:pPr>
      <w:r w:rsidRPr="00F84EBD">
        <w:rPr>
          <w:rFonts w:cs="Arial"/>
        </w:rPr>
        <w:lastRenderedPageBreak/>
        <w:t>Liver elastography</w:t>
      </w:r>
    </w:p>
    <w:p w:rsidRPr="00F84EBD" w:rsidR="007E7B22" w:rsidP="0051124E" w:rsidRDefault="007E7B22" w14:paraId="50318EEC" w14:textId="77777777">
      <w:pPr>
        <w:pStyle w:val="ListParagraph"/>
        <w:widowControl/>
        <w:numPr>
          <w:ilvl w:val="0"/>
          <w:numId w:val="6"/>
        </w:numPr>
        <w:autoSpaceDE/>
        <w:autoSpaceDN/>
        <w:adjustRightInd/>
        <w:spacing w:after="160" w:line="252" w:lineRule="auto"/>
        <w:contextualSpacing/>
        <w:rPr>
          <w:rFonts w:cs="Arial"/>
        </w:rPr>
      </w:pPr>
      <w:r w:rsidRPr="00F84EBD">
        <w:rPr>
          <w:rFonts w:cs="Arial"/>
        </w:rPr>
        <w:t>Dietary supplements – at household and MEC</w:t>
      </w:r>
    </w:p>
    <w:p w:rsidRPr="00F84EBD" w:rsidR="007E7B22" w:rsidP="0051124E" w:rsidRDefault="007E7B22" w14:paraId="1844E4F4" w14:textId="77777777">
      <w:pPr>
        <w:pStyle w:val="ListParagraph"/>
        <w:widowControl/>
        <w:numPr>
          <w:ilvl w:val="0"/>
          <w:numId w:val="6"/>
        </w:numPr>
        <w:autoSpaceDE/>
        <w:autoSpaceDN/>
        <w:adjustRightInd/>
        <w:spacing w:after="160" w:line="252" w:lineRule="auto"/>
        <w:contextualSpacing/>
        <w:rPr>
          <w:rFonts w:cs="Arial"/>
        </w:rPr>
      </w:pPr>
      <w:r w:rsidRPr="00F84EBD">
        <w:rPr>
          <w:rFonts w:cs="Arial"/>
        </w:rPr>
        <w:t>Audiometry</w:t>
      </w:r>
    </w:p>
    <w:p w:rsidRPr="00F84EBD" w:rsidR="007E7B22" w:rsidP="0051124E" w:rsidRDefault="007E7B22" w14:paraId="261029BA" w14:textId="77777777">
      <w:pPr>
        <w:pStyle w:val="ListParagraph"/>
        <w:widowControl/>
        <w:numPr>
          <w:ilvl w:val="0"/>
          <w:numId w:val="6"/>
        </w:numPr>
        <w:autoSpaceDE/>
        <w:autoSpaceDN/>
        <w:adjustRightInd/>
        <w:spacing w:after="160" w:line="252" w:lineRule="auto"/>
        <w:contextualSpacing/>
        <w:rPr>
          <w:rFonts w:cs="Arial"/>
        </w:rPr>
      </w:pPr>
      <w:r w:rsidRPr="00F84EBD">
        <w:rPr>
          <w:rFonts w:cs="Arial"/>
        </w:rPr>
        <w:t>Assessment of visual acuity only</w:t>
      </w:r>
    </w:p>
    <w:p w:rsidRPr="00F84EBD" w:rsidR="007E7B22" w:rsidP="0051124E" w:rsidRDefault="00046F5E" w14:paraId="551D8A2E" w14:textId="23BDCF0E">
      <w:pPr>
        <w:pStyle w:val="ListParagraph"/>
        <w:widowControl/>
        <w:numPr>
          <w:ilvl w:val="0"/>
          <w:numId w:val="6"/>
        </w:numPr>
        <w:autoSpaceDE/>
        <w:autoSpaceDN/>
        <w:adjustRightInd/>
        <w:spacing w:after="160" w:line="252" w:lineRule="auto"/>
        <w:contextualSpacing/>
        <w:rPr>
          <w:rFonts w:cs="Arial"/>
        </w:rPr>
      </w:pPr>
      <w:r w:rsidRPr="00F84EBD">
        <w:rPr>
          <w:rFonts w:cs="Arial"/>
        </w:rPr>
        <w:t xml:space="preserve">Physical </w:t>
      </w:r>
      <w:r w:rsidRPr="00F84EBD" w:rsidR="007E7B22">
        <w:rPr>
          <w:rFonts w:cs="Arial"/>
        </w:rPr>
        <w:t>A</w:t>
      </w:r>
      <w:r w:rsidRPr="00F84EBD">
        <w:rPr>
          <w:rFonts w:cs="Arial"/>
        </w:rPr>
        <w:t xml:space="preserve">ctivity </w:t>
      </w:r>
      <w:r w:rsidRPr="00F84EBD" w:rsidR="007E7B22">
        <w:rPr>
          <w:rFonts w:cs="Arial"/>
        </w:rPr>
        <w:t>M</w:t>
      </w:r>
      <w:r w:rsidRPr="00F84EBD">
        <w:rPr>
          <w:rFonts w:cs="Arial"/>
        </w:rPr>
        <w:t>onitoring</w:t>
      </w:r>
    </w:p>
    <w:p w:rsidRPr="00F84EBD" w:rsidR="007E7B22" w:rsidP="0051124E" w:rsidRDefault="007E7B22" w14:paraId="694AD6BB" w14:textId="77777777">
      <w:pPr>
        <w:pStyle w:val="ListParagraph"/>
        <w:widowControl/>
        <w:numPr>
          <w:ilvl w:val="0"/>
          <w:numId w:val="6"/>
        </w:numPr>
        <w:autoSpaceDE/>
        <w:autoSpaceDN/>
        <w:adjustRightInd/>
        <w:spacing w:after="160" w:line="252" w:lineRule="auto"/>
        <w:contextualSpacing/>
        <w:rPr>
          <w:rFonts w:cs="Arial"/>
        </w:rPr>
      </w:pPr>
      <w:r w:rsidRPr="00F84EBD">
        <w:rPr>
          <w:rFonts w:cs="Arial"/>
        </w:rPr>
        <w:t>DEXA</w:t>
      </w:r>
    </w:p>
    <w:p w:rsidRPr="00F84EBD" w:rsidR="007E7B22" w:rsidRDefault="007E7B22" w14:paraId="771CC3D5" w14:textId="4D9404D9">
      <w:pPr>
        <w:pStyle w:val="ListParagraph"/>
        <w:widowControl/>
        <w:numPr>
          <w:ilvl w:val="0"/>
          <w:numId w:val="6"/>
        </w:numPr>
        <w:autoSpaceDE/>
        <w:autoSpaceDN/>
        <w:adjustRightInd/>
        <w:spacing w:after="160" w:line="252" w:lineRule="auto"/>
        <w:contextualSpacing/>
        <w:rPr>
          <w:rFonts w:cs="Arial"/>
        </w:rPr>
      </w:pPr>
      <w:r w:rsidRPr="00F84EBD">
        <w:rPr>
          <w:rFonts w:cs="Arial"/>
        </w:rPr>
        <w:t>Physical functioning (grip strength, sit/stand, timed walk)</w:t>
      </w:r>
    </w:p>
    <w:p w:rsidRPr="00F84EBD" w:rsidR="00046F5E" w:rsidRDefault="00046F5E" w14:paraId="428AE794" w14:textId="541DA315">
      <w:pPr>
        <w:pStyle w:val="ListParagraph"/>
        <w:widowControl/>
        <w:numPr>
          <w:ilvl w:val="0"/>
          <w:numId w:val="6"/>
        </w:numPr>
        <w:autoSpaceDE/>
        <w:autoSpaceDN/>
        <w:adjustRightInd/>
        <w:spacing w:after="160" w:line="252" w:lineRule="auto"/>
        <w:contextualSpacing/>
        <w:rPr>
          <w:rFonts w:cs="Arial"/>
        </w:rPr>
      </w:pPr>
      <w:r w:rsidRPr="00F84EBD">
        <w:rPr>
          <w:rFonts w:cs="Arial"/>
        </w:rPr>
        <w:t>Screening related to COVID-19</w:t>
      </w:r>
    </w:p>
    <w:p w:rsidRPr="00F84EBD" w:rsidR="000F44A7" w:rsidP="001E1023" w:rsidRDefault="000F44A7" w14:paraId="1006374C" w14:textId="15F1E667">
      <w:pPr>
        <w:pStyle w:val="ListParagraph"/>
        <w:widowControl/>
        <w:numPr>
          <w:ilvl w:val="0"/>
          <w:numId w:val="6"/>
        </w:numPr>
        <w:autoSpaceDE/>
        <w:autoSpaceDN/>
        <w:adjustRightInd/>
        <w:spacing w:after="160" w:line="252" w:lineRule="auto"/>
        <w:contextualSpacing/>
        <w:rPr>
          <w:rFonts w:cs="Arial"/>
        </w:rPr>
      </w:pPr>
      <w:r w:rsidRPr="00F84EBD">
        <w:rPr>
          <w:rFonts w:cs="Arial"/>
        </w:rPr>
        <w:t>24-hour wearable device testing</w:t>
      </w:r>
    </w:p>
    <w:p w:rsidR="001E1023" w:rsidP="007E7B22" w:rsidRDefault="001E1023" w14:paraId="53AC4F22" w14:textId="77777777">
      <w:pPr>
        <w:rPr>
          <w:rFonts w:cs="Arial"/>
          <w:color w:val="000000" w:themeColor="text1"/>
        </w:rPr>
      </w:pPr>
    </w:p>
    <w:p w:rsidRPr="00F84EBD" w:rsidR="00E64BF3" w:rsidP="007E7B22" w:rsidRDefault="007E7B22" w14:paraId="06DDA090" w14:textId="3EFF4C00">
      <w:pPr>
        <w:rPr>
          <w:rFonts w:cs="Arial"/>
          <w:color w:val="000000" w:themeColor="text1"/>
        </w:rPr>
      </w:pPr>
      <w:r w:rsidRPr="00F84EBD">
        <w:rPr>
          <w:rFonts w:cs="Arial"/>
          <w:color w:val="000000" w:themeColor="text1"/>
        </w:rPr>
        <w:t xml:space="preserve">Other considerations </w:t>
      </w:r>
      <w:r w:rsidRPr="00F84EBD" w:rsidR="00581A4E">
        <w:rPr>
          <w:rFonts w:cs="Arial"/>
          <w:color w:val="000000" w:themeColor="text1"/>
        </w:rPr>
        <w:t>these projects</w:t>
      </w:r>
      <w:r w:rsidRPr="00F84EBD">
        <w:rPr>
          <w:rFonts w:cs="Arial"/>
          <w:color w:val="000000" w:themeColor="text1"/>
        </w:rPr>
        <w:t xml:space="preserve"> may address in include:</w:t>
      </w:r>
    </w:p>
    <w:p w:rsidRPr="00F84EBD" w:rsidR="007E7B22" w:rsidP="007E7B22" w:rsidRDefault="007E7B22" w14:paraId="12541CE4" w14:textId="3FE52428">
      <w:pPr>
        <w:rPr>
          <w:rFonts w:cs="Arial"/>
          <w:color w:val="000000" w:themeColor="text1"/>
        </w:rPr>
      </w:pPr>
    </w:p>
    <w:p w:rsidRPr="00F84EBD" w:rsidR="007E7B22" w:rsidP="001E1023" w:rsidRDefault="00581A4E" w14:paraId="76DCBDFB" w14:textId="0BF71D74">
      <w:pPr>
        <w:pStyle w:val="ListParagraph"/>
        <w:widowControl/>
        <w:numPr>
          <w:ilvl w:val="0"/>
          <w:numId w:val="7"/>
        </w:numPr>
        <w:autoSpaceDE/>
        <w:autoSpaceDN/>
        <w:adjustRightInd/>
        <w:spacing w:after="160" w:line="252" w:lineRule="auto"/>
        <w:contextualSpacing/>
        <w:rPr>
          <w:rFonts w:cs="Arial"/>
        </w:rPr>
      </w:pPr>
      <w:r w:rsidRPr="00F84EBD">
        <w:rPr>
          <w:rFonts w:cs="Arial"/>
        </w:rPr>
        <w:t>Modifications to existing e</w:t>
      </w:r>
      <w:r w:rsidRPr="00F84EBD" w:rsidR="007E7B22">
        <w:rPr>
          <w:rFonts w:cs="Arial"/>
        </w:rPr>
        <w:t>xam protocol</w:t>
      </w:r>
    </w:p>
    <w:p w:rsidRPr="00F84EBD" w:rsidR="007E7B22" w:rsidP="001E1023" w:rsidRDefault="007E7B22" w14:paraId="0D713202" w14:textId="77777777">
      <w:pPr>
        <w:pStyle w:val="ListParagraph"/>
        <w:widowControl/>
        <w:numPr>
          <w:ilvl w:val="0"/>
          <w:numId w:val="7"/>
        </w:numPr>
        <w:autoSpaceDE/>
        <w:autoSpaceDN/>
        <w:adjustRightInd/>
        <w:spacing w:after="160" w:line="252" w:lineRule="auto"/>
        <w:contextualSpacing/>
      </w:pPr>
      <w:r w:rsidRPr="00F84EBD">
        <w:t>Equipment (is installation of equipment necessary (e.g., audio booth)?)</w:t>
      </w:r>
    </w:p>
    <w:p w:rsidRPr="00F84EBD" w:rsidR="007E7B22" w:rsidP="001E1023" w:rsidRDefault="007E7B22" w14:paraId="4A9838E3" w14:textId="77777777">
      <w:pPr>
        <w:pStyle w:val="ListParagraph"/>
        <w:widowControl/>
        <w:numPr>
          <w:ilvl w:val="0"/>
          <w:numId w:val="7"/>
        </w:numPr>
        <w:autoSpaceDE/>
        <w:autoSpaceDN/>
        <w:adjustRightInd/>
        <w:spacing w:after="160" w:line="252" w:lineRule="auto"/>
        <w:contextualSpacing/>
      </w:pPr>
      <w:r w:rsidRPr="00F84EBD">
        <w:t>Examiner (is a specialist necessary (e.g., dentist, physician)</w:t>
      </w:r>
    </w:p>
    <w:p w:rsidRPr="00F84EBD" w:rsidR="007E7B22" w:rsidP="001E1023" w:rsidRDefault="007E7B22" w14:paraId="4CCB4537" w14:textId="77777777">
      <w:pPr>
        <w:pStyle w:val="ListParagraph"/>
        <w:widowControl/>
        <w:numPr>
          <w:ilvl w:val="0"/>
          <w:numId w:val="7"/>
        </w:numPr>
        <w:autoSpaceDE/>
        <w:autoSpaceDN/>
        <w:adjustRightInd/>
        <w:spacing w:after="160" w:line="252" w:lineRule="auto"/>
        <w:contextualSpacing/>
      </w:pPr>
      <w:r w:rsidRPr="00F84EBD">
        <w:t xml:space="preserve">Time to complete exam (report percentiles by age groups and not just mean). </w:t>
      </w:r>
    </w:p>
    <w:p w:rsidRPr="00F84EBD" w:rsidR="007E7B22" w:rsidP="001E1023" w:rsidRDefault="007E7B22" w14:paraId="2D2B2646" w14:textId="77777777">
      <w:pPr>
        <w:pStyle w:val="ListParagraph"/>
        <w:widowControl/>
        <w:numPr>
          <w:ilvl w:val="0"/>
          <w:numId w:val="7"/>
        </w:numPr>
        <w:autoSpaceDE/>
        <w:autoSpaceDN/>
        <w:adjustRightInd/>
        <w:spacing w:after="160" w:line="252" w:lineRule="auto"/>
        <w:contextualSpacing/>
      </w:pPr>
      <w:r w:rsidRPr="00F84EBD">
        <w:t xml:space="preserve">Space utilized on MEC </w:t>
      </w:r>
    </w:p>
    <w:p w:rsidRPr="00F84EBD" w:rsidR="007E7B22" w:rsidP="001E1023" w:rsidRDefault="00046F5E" w14:paraId="6B68165B" w14:textId="2E9147D7">
      <w:pPr>
        <w:pStyle w:val="ListParagraph"/>
        <w:widowControl/>
        <w:numPr>
          <w:ilvl w:val="0"/>
          <w:numId w:val="7"/>
        </w:numPr>
        <w:autoSpaceDE/>
        <w:autoSpaceDN/>
        <w:adjustRightInd/>
        <w:spacing w:after="160" w:line="252" w:lineRule="auto"/>
        <w:contextualSpacing/>
      </w:pPr>
      <w:r w:rsidRPr="00F84EBD">
        <w:t>S</w:t>
      </w:r>
      <w:r w:rsidRPr="00F84EBD" w:rsidR="00581A4E">
        <w:t>treamlining</w:t>
      </w:r>
      <w:r w:rsidRPr="00F84EBD" w:rsidR="007E7B22">
        <w:t xml:space="preserve"> household questions</w:t>
      </w:r>
    </w:p>
    <w:p w:rsidRPr="00F84EBD" w:rsidR="007E7B22" w:rsidP="001E1023" w:rsidRDefault="00581A4E" w14:paraId="132E937A" w14:textId="6431A9FC">
      <w:pPr>
        <w:pStyle w:val="ListParagraph"/>
        <w:widowControl/>
        <w:numPr>
          <w:ilvl w:val="0"/>
          <w:numId w:val="7"/>
        </w:numPr>
        <w:autoSpaceDE/>
        <w:autoSpaceDN/>
        <w:adjustRightInd/>
        <w:spacing w:after="160" w:line="252" w:lineRule="auto"/>
        <w:contextualSpacing/>
      </w:pPr>
      <w:r w:rsidRPr="00F84EBD">
        <w:t>Assessing a</w:t>
      </w:r>
      <w:r w:rsidRPr="00F84EBD" w:rsidR="007E7B22">
        <w:t>ny MEC exclusion questions</w:t>
      </w:r>
    </w:p>
    <w:p w:rsidRPr="00F84EBD" w:rsidR="007E7B22" w:rsidP="001E1023" w:rsidRDefault="00581A4E" w14:paraId="41B87EA4" w14:textId="5E903FC0">
      <w:pPr>
        <w:pStyle w:val="ListParagraph"/>
        <w:widowControl/>
        <w:numPr>
          <w:ilvl w:val="0"/>
          <w:numId w:val="7"/>
        </w:numPr>
        <w:autoSpaceDE/>
        <w:autoSpaceDN/>
        <w:adjustRightInd/>
        <w:spacing w:after="160" w:line="252" w:lineRule="auto"/>
        <w:contextualSpacing/>
      </w:pPr>
      <w:r w:rsidRPr="00F84EBD">
        <w:t>Looking at ways to be more efficient regarding the t</w:t>
      </w:r>
      <w:r w:rsidRPr="00F84EBD" w:rsidR="007E7B22">
        <w:t>ime from end of data collection to QC data release</w:t>
      </w:r>
    </w:p>
    <w:p w:rsidRPr="00F84EBD" w:rsidR="007E7B22" w:rsidP="001E1023" w:rsidRDefault="00581A4E" w14:paraId="5DDF2F72" w14:textId="39E3ACC7">
      <w:pPr>
        <w:pStyle w:val="ListParagraph"/>
        <w:widowControl/>
        <w:numPr>
          <w:ilvl w:val="0"/>
          <w:numId w:val="7"/>
        </w:numPr>
        <w:autoSpaceDE/>
        <w:autoSpaceDN/>
        <w:adjustRightInd/>
        <w:spacing w:after="160" w:line="252" w:lineRule="auto"/>
        <w:contextualSpacing/>
      </w:pPr>
      <w:r w:rsidRPr="00F84EBD">
        <w:t xml:space="preserve">Streamlining the </w:t>
      </w:r>
      <w:r w:rsidRPr="00F84EBD" w:rsidR="007E7B22">
        <w:t xml:space="preserve">QC process </w:t>
      </w:r>
    </w:p>
    <w:p w:rsidRPr="00F84EBD" w:rsidR="007E7B22" w:rsidP="001E1023" w:rsidRDefault="00046F5E" w14:paraId="562C0865" w14:textId="77B1EEE0">
      <w:pPr>
        <w:pStyle w:val="ListParagraph"/>
        <w:widowControl/>
        <w:numPr>
          <w:ilvl w:val="0"/>
          <w:numId w:val="7"/>
        </w:numPr>
        <w:autoSpaceDE/>
        <w:autoSpaceDN/>
        <w:adjustRightInd/>
        <w:spacing w:after="160" w:line="252" w:lineRule="auto"/>
        <w:contextualSpacing/>
      </w:pPr>
      <w:r w:rsidRPr="00F84EBD">
        <w:t xml:space="preserve">Determining </w:t>
      </w:r>
      <w:r w:rsidRPr="00F84EBD" w:rsidR="00581A4E">
        <w:t>when</w:t>
      </w:r>
      <w:r w:rsidRPr="00F84EBD" w:rsidR="007E7B22">
        <w:t xml:space="preserve"> gold standard exam</w:t>
      </w:r>
      <w:r w:rsidRPr="00F84EBD" w:rsidR="00581A4E">
        <w:t>s are and are not needed</w:t>
      </w:r>
    </w:p>
    <w:p w:rsidRPr="00F84EBD" w:rsidR="007E7B22" w:rsidRDefault="00581A4E" w14:paraId="5CD0BF92" w14:textId="02C6C34E">
      <w:pPr>
        <w:pStyle w:val="ListParagraph"/>
        <w:widowControl/>
        <w:numPr>
          <w:ilvl w:val="0"/>
          <w:numId w:val="7"/>
        </w:numPr>
        <w:autoSpaceDE/>
        <w:autoSpaceDN/>
        <w:adjustRightInd/>
        <w:spacing w:after="160" w:line="252" w:lineRule="auto"/>
        <w:contextualSpacing/>
      </w:pPr>
      <w:r w:rsidRPr="00F84EBD">
        <w:t>Evaluating the d</w:t>
      </w:r>
      <w:r w:rsidRPr="00F84EBD" w:rsidR="007E7B22">
        <w:t xml:space="preserve">ata editing process </w:t>
      </w:r>
      <w:r w:rsidRPr="00F84EBD">
        <w:t>(including</w:t>
      </w:r>
      <w:r w:rsidRPr="00F84EBD" w:rsidR="007E7B22">
        <w:t xml:space="preserve"> internal editing, or consultants/collaborators</w:t>
      </w:r>
      <w:r w:rsidRPr="00F84EBD">
        <w:t>’ input</w:t>
      </w:r>
      <w:r w:rsidRPr="00F84EBD" w:rsidR="007E7B22">
        <w:t>?)</w:t>
      </w:r>
    </w:p>
    <w:p w:rsidRPr="00F84EBD" w:rsidR="00046F5E" w:rsidP="001E1023" w:rsidRDefault="00046F5E" w14:paraId="1E3F3784" w14:textId="3D205E8F">
      <w:pPr>
        <w:pStyle w:val="ListParagraph"/>
        <w:widowControl/>
        <w:numPr>
          <w:ilvl w:val="0"/>
          <w:numId w:val="7"/>
        </w:numPr>
        <w:autoSpaceDE/>
        <w:autoSpaceDN/>
        <w:adjustRightInd/>
        <w:spacing w:after="160" w:line="252" w:lineRule="auto"/>
        <w:contextualSpacing/>
      </w:pPr>
      <w:r w:rsidRPr="00F84EBD">
        <w:t xml:space="preserve">Assess the feasibility of </w:t>
      </w:r>
      <w:r w:rsidRPr="00F84EBD" w:rsidR="00B66317">
        <w:t>self-collection</w:t>
      </w:r>
      <w:r w:rsidRPr="00F84EBD">
        <w:t xml:space="preserve"> of biometric data</w:t>
      </w:r>
    </w:p>
    <w:p w:rsidRPr="00F84EBD" w:rsidR="007E7B22" w:rsidP="001E1023" w:rsidRDefault="00581A4E" w14:paraId="4F5228E4" w14:textId="7FC2BA9E">
      <w:pPr>
        <w:pStyle w:val="ListParagraph"/>
        <w:widowControl/>
        <w:numPr>
          <w:ilvl w:val="0"/>
          <w:numId w:val="7"/>
        </w:numPr>
        <w:autoSpaceDE/>
        <w:autoSpaceDN/>
        <w:adjustRightInd/>
        <w:spacing w:after="160" w:line="252" w:lineRule="auto"/>
        <w:contextualSpacing/>
      </w:pPr>
      <w:r w:rsidRPr="00F84EBD">
        <w:t>Harnessing n</w:t>
      </w:r>
      <w:r w:rsidRPr="00F84EBD" w:rsidR="007E7B22">
        <w:t>ew innovations</w:t>
      </w:r>
      <w:r w:rsidRPr="00F84EBD">
        <w:t xml:space="preserve"> that may become available</w:t>
      </w:r>
    </w:p>
    <w:p w:rsidR="007E7B22" w:rsidP="001E1023" w:rsidRDefault="00046F5E" w14:paraId="1DF79F67" w14:textId="4DDFDF54">
      <w:pPr>
        <w:pStyle w:val="ListParagraph"/>
        <w:widowControl/>
        <w:numPr>
          <w:ilvl w:val="0"/>
          <w:numId w:val="7"/>
        </w:numPr>
        <w:autoSpaceDE/>
        <w:autoSpaceDN/>
        <w:adjustRightInd/>
        <w:spacing w:after="160" w:line="252" w:lineRule="auto"/>
        <w:contextualSpacing/>
      </w:pPr>
      <w:r w:rsidRPr="00F84EBD">
        <w:t xml:space="preserve">Pilot </w:t>
      </w:r>
      <w:r w:rsidRPr="00F84EBD" w:rsidR="007E7B22">
        <w:t xml:space="preserve">testing </w:t>
      </w:r>
      <w:r w:rsidRPr="00F84EBD" w:rsidR="0064011A">
        <w:t xml:space="preserve">needed </w:t>
      </w:r>
      <w:r w:rsidRPr="00F84EBD" w:rsidR="007E7B22">
        <w:t>before 2023</w:t>
      </w:r>
      <w:r w:rsidRPr="00F84EBD" w:rsidR="0064011A">
        <w:t>, possibly in settings other than the NHANES environment</w:t>
      </w:r>
    </w:p>
    <w:p w:rsidRPr="00F84EBD" w:rsidR="00F91CAF" w:rsidP="001E1023" w:rsidRDefault="00F91CAF" w14:paraId="20877A40" w14:textId="54AC21A0">
      <w:pPr>
        <w:pStyle w:val="ListParagraph"/>
        <w:widowControl/>
        <w:numPr>
          <w:ilvl w:val="0"/>
          <w:numId w:val="7"/>
        </w:numPr>
        <w:autoSpaceDE/>
        <w:autoSpaceDN/>
        <w:adjustRightInd/>
        <w:spacing w:after="160" w:line="252" w:lineRule="auto"/>
        <w:contextualSpacing/>
      </w:pPr>
      <w:r>
        <w:t xml:space="preserve">Development of multimedia </w:t>
      </w:r>
      <w:r w:rsidR="006B419B">
        <w:t>materials</w:t>
      </w:r>
      <w:r>
        <w:t xml:space="preserve"> such as a NHANES participant video or MEC Tour Video</w:t>
      </w:r>
    </w:p>
    <w:p w:rsidRPr="00F84EBD" w:rsidR="00930564" w:rsidP="00930564" w:rsidRDefault="00930564" w14:paraId="43419BCF" w14:textId="2FB0FAA2">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F84EBD">
        <w:rPr>
          <w:rFonts w:cs="Arial"/>
          <w:color w:val="000000" w:themeColor="text1"/>
          <w:szCs w:val="22"/>
        </w:rPr>
        <w:t>For these projects and any currently unforeseen developmental projects</w:t>
      </w:r>
      <w:r w:rsidR="00B120C2">
        <w:rPr>
          <w:rFonts w:cs="Arial"/>
          <w:color w:val="000000" w:themeColor="text1"/>
          <w:szCs w:val="22"/>
        </w:rPr>
        <w:t xml:space="preserve">, NCHS would discuss with OMB whether </w:t>
      </w:r>
      <w:r w:rsidRPr="00F84EBD">
        <w:rPr>
          <w:rFonts w:cs="Arial"/>
          <w:color w:val="000000" w:themeColor="text1"/>
          <w:szCs w:val="22"/>
        </w:rPr>
        <w:t>a non-substantive change package</w:t>
      </w:r>
      <w:r w:rsidRPr="00F84EBD" w:rsidR="00754A23">
        <w:rPr>
          <w:rFonts w:cs="Arial"/>
          <w:color w:val="000000" w:themeColor="text1"/>
          <w:szCs w:val="22"/>
        </w:rPr>
        <w:t xml:space="preserve"> or </w:t>
      </w:r>
      <w:proofErr w:type="spellStart"/>
      <w:r w:rsidRPr="00F84EBD" w:rsidR="00754A23">
        <w:rPr>
          <w:rFonts w:cs="Arial"/>
          <w:color w:val="000000" w:themeColor="text1"/>
          <w:szCs w:val="22"/>
        </w:rPr>
        <w:t>GenIC</w:t>
      </w:r>
      <w:proofErr w:type="spellEnd"/>
      <w:r w:rsidRPr="00F84EBD">
        <w:rPr>
          <w:rFonts w:cs="Arial"/>
          <w:color w:val="000000" w:themeColor="text1"/>
          <w:szCs w:val="22"/>
        </w:rPr>
        <w:t xml:space="preserve"> </w:t>
      </w:r>
      <w:r w:rsidRPr="00F84EBD" w:rsidR="00246931">
        <w:rPr>
          <w:rFonts w:cs="Arial"/>
          <w:color w:val="000000" w:themeColor="text1"/>
          <w:szCs w:val="22"/>
        </w:rPr>
        <w:t>request</w:t>
      </w:r>
      <w:r w:rsidRPr="00F84EBD" w:rsidR="00A004EE">
        <w:rPr>
          <w:rFonts w:cs="Arial"/>
          <w:color w:val="000000" w:themeColor="text1"/>
          <w:szCs w:val="22"/>
        </w:rPr>
        <w:t xml:space="preserve"> </w:t>
      </w:r>
      <w:r w:rsidRPr="00F84EBD" w:rsidR="00F83DA7">
        <w:rPr>
          <w:rFonts w:cs="Arial"/>
          <w:color w:val="000000" w:themeColor="text1"/>
          <w:szCs w:val="22"/>
        </w:rPr>
        <w:t xml:space="preserve">(under the approved </w:t>
      </w:r>
      <w:r w:rsidRPr="00F84EBD" w:rsidR="00246931">
        <w:rPr>
          <w:rFonts w:cs="Arial"/>
          <w:color w:val="000000" w:themeColor="text1"/>
          <w:szCs w:val="22"/>
        </w:rPr>
        <w:t xml:space="preserve">package </w:t>
      </w:r>
      <w:r w:rsidRPr="00F84EBD" w:rsidR="00EA1EEE">
        <w:rPr>
          <w:rFonts w:cs="Arial"/>
          <w:bCs/>
          <w:color w:val="000000" w:themeColor="text1"/>
          <w:szCs w:val="22"/>
        </w:rPr>
        <w:t>OMB Control No.</w:t>
      </w:r>
      <w:r w:rsidRPr="00F84EBD" w:rsidR="00734BF3">
        <w:rPr>
          <w:rFonts w:cs="Arial"/>
          <w:color w:val="000000" w:themeColor="text1"/>
          <w:szCs w:val="22"/>
        </w:rPr>
        <w:t xml:space="preserve"> </w:t>
      </w:r>
      <w:r w:rsidRPr="00F84EBD" w:rsidR="00734BF3">
        <w:rPr>
          <w:rFonts w:cs="Arial"/>
          <w:bCs/>
          <w:color w:val="000000" w:themeColor="text1"/>
          <w:szCs w:val="22"/>
        </w:rPr>
        <w:t>0920-1208</w:t>
      </w:r>
      <w:r w:rsidRPr="00F84EBD" w:rsidR="00EA1EEE">
        <w:rPr>
          <w:rFonts w:cs="Arial"/>
          <w:bCs/>
          <w:color w:val="000000" w:themeColor="text1"/>
          <w:szCs w:val="22"/>
        </w:rPr>
        <w:t xml:space="preserve">, Exp. </w:t>
      </w:r>
      <w:r w:rsidRPr="00F84EBD" w:rsidR="00D72910">
        <w:rPr>
          <w:rFonts w:cs="Arial"/>
          <w:bCs/>
          <w:color w:val="000000" w:themeColor="text1"/>
          <w:szCs w:val="22"/>
        </w:rPr>
        <w:t>08</w:t>
      </w:r>
      <w:r w:rsidRPr="00F84EBD" w:rsidR="00EA1EEE">
        <w:rPr>
          <w:rFonts w:cs="Arial"/>
          <w:bCs/>
          <w:color w:val="000000" w:themeColor="text1"/>
          <w:szCs w:val="22"/>
        </w:rPr>
        <w:t>/31/20</w:t>
      </w:r>
      <w:r w:rsidRPr="00F84EBD" w:rsidR="00F02910">
        <w:rPr>
          <w:rFonts w:cs="Arial"/>
          <w:bCs/>
          <w:color w:val="000000" w:themeColor="text1"/>
          <w:szCs w:val="22"/>
        </w:rPr>
        <w:t>2</w:t>
      </w:r>
      <w:r w:rsidRPr="00F84EBD" w:rsidR="00D72910">
        <w:rPr>
          <w:rFonts w:cs="Arial"/>
          <w:bCs/>
          <w:color w:val="000000" w:themeColor="text1"/>
          <w:szCs w:val="22"/>
        </w:rPr>
        <w:t>3</w:t>
      </w:r>
      <w:r w:rsidRPr="00F84EBD" w:rsidR="00EA1EEE">
        <w:rPr>
          <w:rFonts w:cs="Arial"/>
          <w:bCs/>
          <w:color w:val="000000" w:themeColor="text1"/>
          <w:szCs w:val="22"/>
        </w:rPr>
        <w:t>)</w:t>
      </w:r>
      <w:r w:rsidRPr="00F84EBD" w:rsidR="00F02910">
        <w:rPr>
          <w:rFonts w:cs="Arial"/>
          <w:bCs/>
          <w:color w:val="000000" w:themeColor="text1"/>
          <w:szCs w:val="22"/>
        </w:rPr>
        <w:t xml:space="preserve"> </w:t>
      </w:r>
      <w:r w:rsidRPr="00F84EBD">
        <w:rPr>
          <w:rFonts w:cs="Arial"/>
          <w:color w:val="000000" w:themeColor="text1"/>
          <w:szCs w:val="22"/>
        </w:rPr>
        <w:t xml:space="preserve">would </w:t>
      </w:r>
      <w:r w:rsidR="00B120C2">
        <w:rPr>
          <w:rFonts w:cs="Arial"/>
          <w:color w:val="000000" w:themeColor="text1"/>
          <w:szCs w:val="22"/>
        </w:rPr>
        <w:t>suffice</w:t>
      </w:r>
      <w:r w:rsidRPr="00F84EBD">
        <w:rPr>
          <w:rFonts w:cs="Arial"/>
          <w:color w:val="000000" w:themeColor="text1"/>
          <w:szCs w:val="22"/>
        </w:rPr>
        <w:t xml:space="preserve"> before undertaking the </w:t>
      </w:r>
      <w:r w:rsidRPr="00F84EBD" w:rsidR="00D107D6">
        <w:rPr>
          <w:rFonts w:cs="Arial"/>
          <w:color w:val="000000" w:themeColor="text1"/>
          <w:szCs w:val="22"/>
        </w:rPr>
        <w:t>project</w:t>
      </w:r>
      <w:r w:rsidRPr="00F84EBD">
        <w:rPr>
          <w:rFonts w:cs="Arial"/>
          <w:color w:val="000000" w:themeColor="text1"/>
          <w:szCs w:val="22"/>
        </w:rPr>
        <w:t>.</w:t>
      </w:r>
    </w:p>
    <w:p w:rsidRPr="00F84EBD" w:rsidR="00930564" w:rsidP="00930564" w:rsidRDefault="00930564" w14:paraId="47032E6A" w14:textId="77777777">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rsidRPr="00F84EBD" w:rsidR="00930564" w:rsidP="00930564" w:rsidRDefault="00930564" w14:paraId="2327262E" w14:textId="182CE188">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F84EBD">
        <w:rPr>
          <w:rFonts w:cs="Arial"/>
          <w:color w:val="000000" w:themeColor="text1"/>
          <w:szCs w:val="22"/>
        </w:rPr>
        <w:t xml:space="preserve">For these projects and any currently unforeseen developmental projects </w:t>
      </w:r>
      <w:r w:rsidRPr="00F84EBD">
        <w:rPr>
          <w:rFonts w:cs="Arial"/>
          <w:b/>
          <w:color w:val="000000" w:themeColor="text1"/>
          <w:szCs w:val="22"/>
        </w:rPr>
        <w:t>not</w:t>
      </w:r>
      <w:r w:rsidRPr="00F84EBD">
        <w:rPr>
          <w:rFonts w:cs="Arial"/>
          <w:color w:val="000000" w:themeColor="text1"/>
          <w:szCs w:val="22"/>
        </w:rPr>
        <w:t xml:space="preserve"> related to future NHANES content</w:t>
      </w:r>
      <w:r w:rsidRPr="00F84EBD" w:rsidR="003343BB">
        <w:rPr>
          <w:rFonts w:cs="Arial"/>
          <w:color w:val="000000" w:themeColor="text1"/>
          <w:szCs w:val="22"/>
        </w:rPr>
        <w:t xml:space="preserve"> (</w:t>
      </w:r>
      <w:r w:rsidRPr="00F84EBD" w:rsidR="008D418A">
        <w:rPr>
          <w:rFonts w:cs="Arial"/>
          <w:color w:val="000000" w:themeColor="text1"/>
          <w:szCs w:val="22"/>
        </w:rPr>
        <w:t xml:space="preserve">e.g., </w:t>
      </w:r>
      <w:r w:rsidRPr="00F84EBD" w:rsidR="003343BB">
        <w:rPr>
          <w:rFonts w:cs="Arial"/>
          <w:color w:val="000000" w:themeColor="text1"/>
          <w:szCs w:val="22"/>
        </w:rPr>
        <w:t>a project done for a different survey, such as a community HANES)</w:t>
      </w:r>
      <w:r w:rsidR="00B120C2">
        <w:rPr>
          <w:rFonts w:cs="Arial"/>
          <w:color w:val="000000" w:themeColor="text1"/>
          <w:szCs w:val="22"/>
        </w:rPr>
        <w:t xml:space="preserve"> options include a</w:t>
      </w:r>
      <w:r w:rsidRPr="00F84EBD" w:rsidR="00754A23">
        <w:rPr>
          <w:rFonts w:cs="Arial"/>
          <w:color w:val="000000" w:themeColor="text1"/>
          <w:szCs w:val="22"/>
        </w:rPr>
        <w:t xml:space="preserve"> </w:t>
      </w:r>
      <w:proofErr w:type="spellStart"/>
      <w:r w:rsidRPr="00F84EBD" w:rsidR="00754A23">
        <w:rPr>
          <w:rFonts w:cs="Arial"/>
          <w:color w:val="000000" w:themeColor="text1"/>
          <w:szCs w:val="22"/>
        </w:rPr>
        <w:t>GenIC</w:t>
      </w:r>
      <w:proofErr w:type="spellEnd"/>
      <w:r w:rsidRPr="00F84EBD" w:rsidR="003E059B">
        <w:rPr>
          <w:rFonts w:cs="Arial"/>
          <w:color w:val="000000" w:themeColor="text1"/>
          <w:szCs w:val="22"/>
        </w:rPr>
        <w:t>,</w:t>
      </w:r>
      <w:r w:rsidRPr="00F84EBD">
        <w:rPr>
          <w:rFonts w:cs="Arial"/>
          <w:color w:val="000000" w:themeColor="text1"/>
          <w:szCs w:val="22"/>
        </w:rPr>
        <w:t xml:space="preserve"> </w:t>
      </w:r>
      <w:r w:rsidRPr="00F84EBD" w:rsidR="003E059B">
        <w:rPr>
          <w:rFonts w:cs="Arial"/>
          <w:color w:val="000000" w:themeColor="text1"/>
          <w:szCs w:val="22"/>
        </w:rPr>
        <w:t xml:space="preserve">(under the approved package OMB Control No. 0920-1208, Exp. </w:t>
      </w:r>
      <w:r w:rsidRPr="00F84EBD" w:rsidR="00D72910">
        <w:rPr>
          <w:rFonts w:cs="Arial"/>
          <w:color w:val="000000" w:themeColor="text1"/>
          <w:szCs w:val="22"/>
        </w:rPr>
        <w:t>08</w:t>
      </w:r>
      <w:r w:rsidRPr="00F84EBD" w:rsidR="003E059B">
        <w:rPr>
          <w:rFonts w:cs="Arial"/>
          <w:color w:val="000000" w:themeColor="text1"/>
          <w:szCs w:val="22"/>
        </w:rPr>
        <w:t>/31/</w:t>
      </w:r>
      <w:r w:rsidRPr="00F84EBD" w:rsidR="00D72910">
        <w:rPr>
          <w:rFonts w:cs="Arial"/>
          <w:color w:val="000000" w:themeColor="text1"/>
          <w:szCs w:val="22"/>
        </w:rPr>
        <w:t>2023</w:t>
      </w:r>
      <w:r w:rsidRPr="00F84EBD" w:rsidR="003E059B">
        <w:rPr>
          <w:rFonts w:cs="Arial"/>
          <w:color w:val="000000" w:themeColor="text1"/>
          <w:szCs w:val="22"/>
        </w:rPr>
        <w:t xml:space="preserve">) </w:t>
      </w:r>
      <w:r w:rsidRPr="00F84EBD">
        <w:rPr>
          <w:rFonts w:cs="Arial"/>
          <w:color w:val="000000" w:themeColor="text1"/>
          <w:szCs w:val="22"/>
        </w:rPr>
        <w:t>or a full revision, as appropriate, would be submitted to OMB before undertaking the study.</w:t>
      </w:r>
    </w:p>
    <w:p w:rsidRPr="00F84EBD" w:rsidR="00177A27" w:rsidP="00930564" w:rsidRDefault="00177A27" w14:paraId="534F7470" w14:textId="77777777">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rsidRPr="00F84EBD" w:rsidR="00930564" w:rsidP="00930564" w:rsidRDefault="00930564" w14:paraId="2FF082D0" w14:textId="7B71AEE5">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F84EBD">
        <w:rPr>
          <w:rFonts w:cs="Arial"/>
          <w:color w:val="000000" w:themeColor="text1"/>
          <w:szCs w:val="22"/>
        </w:rPr>
        <w:t>Special Studies and Additional Health and Nutrition Studies</w:t>
      </w:r>
    </w:p>
    <w:p w:rsidRPr="00F84EBD" w:rsidR="00930564" w:rsidP="00930564" w:rsidRDefault="00930564" w14:paraId="38D71FB5" w14:textId="3462B4C4">
      <w:pPr>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F84EBD">
        <w:rPr>
          <w:rFonts w:cs="Arial"/>
          <w:color w:val="000000" w:themeColor="text1"/>
          <w:szCs w:val="22"/>
        </w:rPr>
        <w:t xml:space="preserve">This request also seeks permission for </w:t>
      </w:r>
      <w:r w:rsidRPr="00F84EBD" w:rsidR="00D7633B">
        <w:rPr>
          <w:rFonts w:cs="Arial"/>
          <w:color w:val="000000" w:themeColor="text1"/>
          <w:szCs w:val="22"/>
        </w:rPr>
        <w:t>the Division of Health and Nutrition Examination Surveys (D</w:t>
      </w:r>
      <w:r w:rsidRPr="00F84EBD" w:rsidR="00E56C77">
        <w:rPr>
          <w:rFonts w:cs="Arial"/>
          <w:color w:val="000000" w:themeColor="text1"/>
          <w:szCs w:val="22"/>
        </w:rPr>
        <w:t>HANES</w:t>
      </w:r>
      <w:r w:rsidRPr="00F84EBD" w:rsidR="00D7633B">
        <w:rPr>
          <w:rFonts w:cs="Arial"/>
          <w:color w:val="000000" w:themeColor="text1"/>
          <w:szCs w:val="22"/>
        </w:rPr>
        <w:t>)</w:t>
      </w:r>
      <w:r w:rsidRPr="00F84EBD">
        <w:rPr>
          <w:rFonts w:cs="Arial"/>
          <w:color w:val="000000" w:themeColor="text1"/>
          <w:szCs w:val="22"/>
        </w:rPr>
        <w:t xml:space="preserve"> to plan </w:t>
      </w:r>
      <w:r w:rsidRPr="00F84EBD" w:rsidR="00754A23">
        <w:rPr>
          <w:rFonts w:cs="Arial"/>
          <w:color w:val="000000" w:themeColor="text1"/>
          <w:szCs w:val="22"/>
        </w:rPr>
        <w:t xml:space="preserve">or </w:t>
      </w:r>
      <w:r w:rsidRPr="00F84EBD">
        <w:rPr>
          <w:rFonts w:cs="Arial"/>
          <w:color w:val="000000" w:themeColor="text1"/>
          <w:szCs w:val="22"/>
        </w:rPr>
        <w:t xml:space="preserve">test </w:t>
      </w:r>
      <w:r w:rsidRPr="00F84EBD" w:rsidR="00EB1CA1">
        <w:rPr>
          <w:rFonts w:cs="Arial"/>
          <w:color w:val="000000" w:themeColor="text1"/>
          <w:szCs w:val="22"/>
        </w:rPr>
        <w:t>components for</w:t>
      </w:r>
      <w:r w:rsidRPr="00F84EBD">
        <w:rPr>
          <w:rFonts w:cs="Arial"/>
          <w:color w:val="000000" w:themeColor="text1"/>
          <w:szCs w:val="22"/>
        </w:rPr>
        <w:t xml:space="preserve"> special studies or additional components </w:t>
      </w:r>
      <w:r w:rsidR="00C23778">
        <w:rPr>
          <w:rFonts w:cs="Arial"/>
          <w:color w:val="000000" w:themeColor="text1"/>
          <w:szCs w:val="22"/>
        </w:rPr>
        <w:t xml:space="preserve">either within or </w:t>
      </w:r>
      <w:r w:rsidRPr="00F84EBD">
        <w:rPr>
          <w:rFonts w:cs="Arial"/>
          <w:color w:val="000000" w:themeColor="text1"/>
          <w:szCs w:val="22"/>
        </w:rPr>
        <w:t xml:space="preserve">outside the current NHANES sample. Such projects could directly relate to the future or current content of NHANES. An example might be testing wearable devices among volunteers </w:t>
      </w:r>
      <w:r w:rsidRPr="00F84EBD">
        <w:rPr>
          <w:rFonts w:cs="Arial"/>
          <w:color w:val="000000" w:themeColor="text1"/>
          <w:szCs w:val="22"/>
        </w:rPr>
        <w:lastRenderedPageBreak/>
        <w:t>first, to assess the potential of using such devices in NHANES. Or</w:t>
      </w:r>
      <w:r w:rsidRPr="00F84EBD" w:rsidR="000F44A7">
        <w:rPr>
          <w:rFonts w:cs="Arial"/>
          <w:color w:val="000000" w:themeColor="text1"/>
          <w:szCs w:val="22"/>
        </w:rPr>
        <w:t>,</w:t>
      </w:r>
      <w:r w:rsidRPr="00F84EBD">
        <w:rPr>
          <w:rFonts w:cs="Arial"/>
          <w:color w:val="000000" w:themeColor="text1"/>
          <w:szCs w:val="22"/>
        </w:rPr>
        <w:t xml:space="preserve"> such projects could relate to studies complimentary to NHANES. An example might be a follow-up of past NHANES participants or studies like the 2012 NHANES National Youth Fitness Survey (NNYFS). Or such projects could relate to the content of other health and nutrition studies, such as a community HANES. </w:t>
      </w:r>
      <w:r w:rsidR="00222DA9">
        <w:rPr>
          <w:rFonts w:cs="Arial"/>
          <w:color w:val="000000" w:themeColor="text1"/>
          <w:szCs w:val="22"/>
        </w:rPr>
        <w:t xml:space="preserve">An example of a </w:t>
      </w:r>
      <w:r w:rsidR="00EF2F2F">
        <w:rPr>
          <w:rFonts w:cs="Arial"/>
          <w:color w:val="000000" w:themeColor="text1"/>
          <w:szCs w:val="22"/>
        </w:rPr>
        <w:t>C</w:t>
      </w:r>
      <w:r w:rsidR="00617940">
        <w:rPr>
          <w:rFonts w:cs="Arial"/>
          <w:color w:val="000000" w:themeColor="text1"/>
          <w:szCs w:val="22"/>
        </w:rPr>
        <w:t>ommunity HANES project</w:t>
      </w:r>
      <w:r w:rsidR="00222DA9">
        <w:rPr>
          <w:rFonts w:cs="Arial"/>
          <w:color w:val="000000" w:themeColor="text1"/>
          <w:szCs w:val="22"/>
        </w:rPr>
        <w:t xml:space="preserve"> </w:t>
      </w:r>
      <w:r w:rsidR="00456DAD">
        <w:rPr>
          <w:rFonts w:cs="Arial"/>
          <w:color w:val="000000" w:themeColor="text1"/>
          <w:szCs w:val="22"/>
        </w:rPr>
        <w:t xml:space="preserve">to consider </w:t>
      </w:r>
      <w:r w:rsidR="00222DA9">
        <w:rPr>
          <w:rFonts w:cs="Arial"/>
          <w:color w:val="000000" w:themeColor="text1"/>
          <w:szCs w:val="22"/>
        </w:rPr>
        <w:t xml:space="preserve">might </w:t>
      </w:r>
      <w:r w:rsidR="00456DAD">
        <w:rPr>
          <w:rFonts w:cs="Arial"/>
          <w:color w:val="000000" w:themeColor="text1"/>
          <w:szCs w:val="22"/>
        </w:rPr>
        <w:t>be collecting health information among</w:t>
      </w:r>
      <w:r w:rsidR="00222DA9">
        <w:rPr>
          <w:rFonts w:cs="Arial"/>
          <w:color w:val="000000" w:themeColor="text1"/>
          <w:szCs w:val="22"/>
        </w:rPr>
        <w:t xml:space="preserve"> </w:t>
      </w:r>
      <w:r w:rsidR="00617940">
        <w:rPr>
          <w:rFonts w:cs="Arial"/>
          <w:color w:val="000000" w:themeColor="text1"/>
          <w:szCs w:val="22"/>
        </w:rPr>
        <w:t>sub-population</w:t>
      </w:r>
      <w:r w:rsidR="00456DAD">
        <w:rPr>
          <w:rFonts w:cs="Arial"/>
          <w:color w:val="000000" w:themeColor="text1"/>
          <w:szCs w:val="22"/>
        </w:rPr>
        <w:t>s</w:t>
      </w:r>
      <w:r w:rsidR="00B7197A">
        <w:rPr>
          <w:rFonts w:cs="Arial"/>
          <w:color w:val="000000" w:themeColor="text1"/>
          <w:szCs w:val="22"/>
        </w:rPr>
        <w:t>/communities</w:t>
      </w:r>
      <w:r w:rsidR="00C73ACA">
        <w:rPr>
          <w:rFonts w:cs="Arial"/>
          <w:color w:val="000000" w:themeColor="text1"/>
          <w:szCs w:val="22"/>
        </w:rPr>
        <w:t xml:space="preserve"> that have been</w:t>
      </w:r>
      <w:r w:rsidR="00617940">
        <w:rPr>
          <w:rFonts w:cs="Arial"/>
          <w:color w:val="000000" w:themeColor="text1"/>
          <w:szCs w:val="22"/>
        </w:rPr>
        <w:t xml:space="preserve"> disproportionately impacted by the COVID pandemic</w:t>
      </w:r>
      <w:r w:rsidR="00222DA9">
        <w:rPr>
          <w:rFonts w:cs="Arial"/>
          <w:color w:val="000000" w:themeColor="text1"/>
          <w:szCs w:val="22"/>
        </w:rPr>
        <w:t>.</w:t>
      </w:r>
    </w:p>
    <w:p w:rsidRPr="00F84EBD" w:rsidR="00930564" w:rsidP="00930564" w:rsidRDefault="00930564" w14:paraId="2FE83ACC" w14:textId="77777777">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rsidRPr="00F84EBD" w:rsidR="00727D55" w:rsidP="00930564" w:rsidRDefault="00CA34DB" w14:paraId="69BEE37B" w14:textId="229E24D2">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r w:rsidRPr="00F84EBD">
        <w:rPr>
          <w:rFonts w:cs="Arial"/>
          <w:color w:val="000000" w:themeColor="text1"/>
          <w:szCs w:val="22"/>
        </w:rPr>
        <w:t xml:space="preserve">NHANES </w:t>
      </w:r>
      <w:r w:rsidRPr="00F84EBD" w:rsidR="00930564">
        <w:rPr>
          <w:rFonts w:cs="Arial"/>
          <w:color w:val="000000" w:themeColor="text1"/>
          <w:szCs w:val="22"/>
        </w:rPr>
        <w:t xml:space="preserve">is including burden hours to accommodate </w:t>
      </w:r>
      <w:r w:rsidRPr="00F84EBD" w:rsidR="00C01F64">
        <w:rPr>
          <w:rFonts w:cs="Arial"/>
          <w:color w:val="000000" w:themeColor="text1"/>
          <w:szCs w:val="22"/>
        </w:rPr>
        <w:t xml:space="preserve">developmental projects and </w:t>
      </w:r>
      <w:r w:rsidRPr="00F84EBD" w:rsidR="00930564">
        <w:rPr>
          <w:rFonts w:cs="Arial"/>
          <w:color w:val="000000" w:themeColor="text1"/>
          <w:szCs w:val="22"/>
        </w:rPr>
        <w:t>special studies (Attachment 1</w:t>
      </w:r>
      <w:r w:rsidRPr="00F84EBD" w:rsidR="00C01F64">
        <w:rPr>
          <w:rFonts w:cs="Arial"/>
          <w:color w:val="000000" w:themeColor="text1"/>
          <w:szCs w:val="22"/>
        </w:rPr>
        <w:t>2</w:t>
      </w:r>
      <w:r w:rsidRPr="00F84EBD" w:rsidR="00930564">
        <w:rPr>
          <w:rFonts w:cs="Arial"/>
          <w:color w:val="000000" w:themeColor="text1"/>
          <w:szCs w:val="22"/>
        </w:rPr>
        <w:t xml:space="preserve">) involving up to 3,500 </w:t>
      </w:r>
      <w:r w:rsidRPr="00F84EBD">
        <w:rPr>
          <w:rFonts w:cs="Arial"/>
          <w:color w:val="000000" w:themeColor="text1"/>
          <w:szCs w:val="22"/>
        </w:rPr>
        <w:t>persons</w:t>
      </w:r>
      <w:r w:rsidRPr="00F84EBD" w:rsidR="00930564">
        <w:rPr>
          <w:rFonts w:cs="Arial"/>
          <w:color w:val="000000" w:themeColor="text1"/>
          <w:szCs w:val="22"/>
        </w:rPr>
        <w:t xml:space="preserve"> (Section A12, Table 1, line </w:t>
      </w:r>
      <w:r w:rsidRPr="00F84EBD" w:rsidR="002512DD">
        <w:rPr>
          <w:rFonts w:cs="Arial"/>
          <w:color w:val="000000" w:themeColor="text1"/>
          <w:szCs w:val="22"/>
        </w:rPr>
        <w:t>5</w:t>
      </w:r>
      <w:r w:rsidRPr="00F84EBD" w:rsidR="00930564">
        <w:rPr>
          <w:rFonts w:cs="Arial"/>
          <w:color w:val="000000" w:themeColor="text1"/>
          <w:szCs w:val="22"/>
        </w:rPr>
        <w:t xml:space="preserve">). </w:t>
      </w:r>
      <w:r w:rsidRPr="00F84EBD">
        <w:rPr>
          <w:rFonts w:cs="Arial"/>
          <w:color w:val="000000" w:themeColor="text1"/>
          <w:szCs w:val="22"/>
        </w:rPr>
        <w:t xml:space="preserve">NHANES </w:t>
      </w:r>
      <w:r w:rsidRPr="00F84EBD" w:rsidR="00930564">
        <w:rPr>
          <w:rFonts w:cs="Arial"/>
          <w:color w:val="000000" w:themeColor="text1"/>
          <w:szCs w:val="22"/>
        </w:rPr>
        <w:t xml:space="preserve">understands that submitting a </w:t>
      </w:r>
      <w:proofErr w:type="spellStart"/>
      <w:r w:rsidRPr="00F84EBD" w:rsidR="00930564">
        <w:rPr>
          <w:rFonts w:cs="Arial"/>
          <w:color w:val="000000" w:themeColor="text1"/>
          <w:szCs w:val="22"/>
        </w:rPr>
        <w:t>nonsubstantive</w:t>
      </w:r>
      <w:proofErr w:type="spellEnd"/>
      <w:r w:rsidRPr="00F84EBD" w:rsidR="00930564">
        <w:rPr>
          <w:rFonts w:cs="Arial"/>
          <w:color w:val="000000" w:themeColor="text1"/>
          <w:szCs w:val="22"/>
        </w:rPr>
        <w:t xml:space="preserve"> request</w:t>
      </w:r>
      <w:r w:rsidRPr="00F84EBD" w:rsidR="002512DD">
        <w:rPr>
          <w:rFonts w:cs="Arial"/>
          <w:color w:val="000000" w:themeColor="text1"/>
          <w:szCs w:val="22"/>
        </w:rPr>
        <w:t xml:space="preserve"> </w:t>
      </w:r>
      <w:r w:rsidRPr="00F84EBD" w:rsidR="00930564">
        <w:rPr>
          <w:rFonts w:cs="Arial"/>
          <w:color w:val="000000" w:themeColor="text1"/>
          <w:szCs w:val="22"/>
        </w:rPr>
        <w:t xml:space="preserve">to OMB for clearance would be required before starting </w:t>
      </w:r>
      <w:r w:rsidRPr="00F84EBD" w:rsidR="00C76E81">
        <w:rPr>
          <w:rFonts w:cs="Arial"/>
          <w:color w:val="000000" w:themeColor="text1"/>
          <w:szCs w:val="22"/>
        </w:rPr>
        <w:t>such</w:t>
      </w:r>
      <w:r w:rsidRPr="00F84EBD" w:rsidR="00930564">
        <w:rPr>
          <w:rFonts w:cs="Arial"/>
          <w:color w:val="000000" w:themeColor="text1"/>
          <w:szCs w:val="22"/>
        </w:rPr>
        <w:t xml:space="preserve"> project</w:t>
      </w:r>
      <w:r w:rsidRPr="00F84EBD" w:rsidR="00C76E81">
        <w:rPr>
          <w:rFonts w:cs="Arial"/>
          <w:color w:val="000000" w:themeColor="text1"/>
          <w:szCs w:val="22"/>
        </w:rPr>
        <w:t>s</w:t>
      </w:r>
      <w:r w:rsidRPr="00F84EBD" w:rsidR="00930564">
        <w:rPr>
          <w:rFonts w:cs="Arial"/>
          <w:color w:val="000000" w:themeColor="text1"/>
          <w:szCs w:val="22"/>
        </w:rPr>
        <w:t xml:space="preserve">.  </w:t>
      </w:r>
    </w:p>
    <w:p w:rsidRPr="00F84EBD" w:rsidR="008B0FC0" w:rsidP="00930564" w:rsidRDefault="008B0FC0" w14:paraId="27F75A24" w14:textId="77777777">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themeColor="text1"/>
          <w:szCs w:val="22"/>
        </w:rPr>
      </w:pPr>
    </w:p>
    <w:p w:rsidRPr="00F84EBD" w:rsidR="00FE5D21" w:rsidP="00C924F1" w:rsidRDefault="00FE5D21" w14:paraId="4F4642FD" w14:textId="77777777">
      <w:pPr>
        <w:rPr>
          <w:rFonts w:cs="Arial"/>
          <w:bCs/>
          <w:color w:val="000000" w:themeColor="text1"/>
          <w:szCs w:val="22"/>
        </w:rPr>
      </w:pPr>
    </w:p>
    <w:p w:rsidRPr="00F84EBD" w:rsidR="00C924F1" w:rsidP="00C924F1" w:rsidRDefault="00C924F1" w14:paraId="22DD1BC4" w14:textId="6DA08D39">
      <w:pPr>
        <w:rPr>
          <w:rFonts w:cs="Arial"/>
          <w:color w:val="000000" w:themeColor="text1"/>
          <w:szCs w:val="22"/>
        </w:rPr>
      </w:pPr>
      <w:r w:rsidRPr="00F84EBD">
        <w:rPr>
          <w:rFonts w:cs="Arial"/>
          <w:bCs/>
          <w:color w:val="000000" w:themeColor="text1"/>
          <w:szCs w:val="22"/>
        </w:rPr>
        <w:t xml:space="preserve">Nonresponse </w:t>
      </w:r>
      <w:r w:rsidRPr="00F84EBD" w:rsidR="00884301">
        <w:rPr>
          <w:rFonts w:cs="Arial"/>
          <w:bCs/>
          <w:color w:val="000000" w:themeColor="text1"/>
          <w:szCs w:val="22"/>
        </w:rPr>
        <w:t xml:space="preserve">and Gaining Cooperation </w:t>
      </w:r>
      <w:r w:rsidRPr="00F84EBD">
        <w:rPr>
          <w:rFonts w:cs="Arial"/>
          <w:bCs/>
          <w:color w:val="000000" w:themeColor="text1"/>
          <w:szCs w:val="22"/>
        </w:rPr>
        <w:t>Investigation</w:t>
      </w:r>
      <w:r w:rsidRPr="00F84EBD" w:rsidR="00884301">
        <w:rPr>
          <w:rFonts w:cs="Arial"/>
          <w:color w:val="000000" w:themeColor="text1"/>
          <w:szCs w:val="22"/>
        </w:rPr>
        <w:t>s</w:t>
      </w:r>
    </w:p>
    <w:p w:rsidRPr="00F84EBD" w:rsidR="00C924F1" w:rsidP="00C924F1" w:rsidRDefault="00C924F1" w14:paraId="177EF803" w14:textId="77777777">
      <w:pPr>
        <w:rPr>
          <w:rFonts w:cs="Arial"/>
          <w:color w:val="000000" w:themeColor="text1"/>
          <w:szCs w:val="22"/>
        </w:rPr>
      </w:pPr>
    </w:p>
    <w:p w:rsidRPr="005C0A40" w:rsidR="00C924F1" w:rsidP="00C924F1" w:rsidRDefault="00C924F1" w14:paraId="7CFD3B57" w14:textId="2F0AAE92">
      <w:pPr>
        <w:rPr>
          <w:rFonts w:cs="Arial"/>
          <w:color w:val="000000" w:themeColor="text1"/>
          <w:szCs w:val="22"/>
        </w:rPr>
      </w:pPr>
      <w:r w:rsidRPr="00F84EBD">
        <w:rPr>
          <w:rFonts w:cs="Arial"/>
          <w:color w:val="000000" w:themeColor="text1"/>
          <w:szCs w:val="22"/>
        </w:rPr>
        <w:t xml:space="preserve">Nonresponse </w:t>
      </w:r>
      <w:r w:rsidRPr="00F84EBD" w:rsidR="00884301">
        <w:rPr>
          <w:rFonts w:cs="Arial"/>
          <w:color w:val="000000" w:themeColor="text1"/>
          <w:szCs w:val="22"/>
        </w:rPr>
        <w:t xml:space="preserve">and gaining cooperation </w:t>
      </w:r>
      <w:r w:rsidRPr="00F84EBD">
        <w:rPr>
          <w:rFonts w:cs="Arial"/>
          <w:color w:val="000000" w:themeColor="text1"/>
          <w:szCs w:val="22"/>
        </w:rPr>
        <w:t xml:space="preserve">investigations under DHHS task order contracts or other contract mechanisms may be necessary should nonresponse rates make that advisable. Details of any such investigations that involve public participation will be </w:t>
      </w:r>
      <w:r w:rsidRPr="00F84EBD" w:rsidR="00940934">
        <w:rPr>
          <w:rFonts w:cs="Arial"/>
          <w:color w:val="000000" w:themeColor="text1"/>
          <w:szCs w:val="22"/>
        </w:rPr>
        <w:t xml:space="preserve">described under </w:t>
      </w:r>
      <w:r w:rsidRPr="00F84EBD" w:rsidR="00B97BF5">
        <w:rPr>
          <w:rFonts w:cs="Arial"/>
          <w:color w:val="000000" w:themeColor="text1"/>
          <w:szCs w:val="22"/>
        </w:rPr>
        <w:t>a non-substantive change pa</w:t>
      </w:r>
      <w:r w:rsidRPr="00F84EBD" w:rsidR="00DD5743">
        <w:rPr>
          <w:rFonts w:cs="Arial"/>
          <w:color w:val="000000" w:themeColor="text1"/>
          <w:szCs w:val="22"/>
        </w:rPr>
        <w:t xml:space="preserve">ckage using burden from </w:t>
      </w:r>
      <w:r w:rsidRPr="00F84EBD" w:rsidR="00C343D4">
        <w:rPr>
          <w:rFonts w:cs="Arial"/>
          <w:color w:val="000000" w:themeColor="text1"/>
          <w:szCs w:val="22"/>
        </w:rPr>
        <w:t>developmental projects</w:t>
      </w:r>
      <w:r w:rsidRPr="00F84EBD" w:rsidR="00B97BF5">
        <w:rPr>
          <w:rFonts w:cs="Arial"/>
          <w:color w:val="000000" w:themeColor="text1"/>
          <w:szCs w:val="22"/>
        </w:rPr>
        <w:t>.</w:t>
      </w:r>
    </w:p>
    <w:p w:rsidRPr="00285BEB" w:rsidR="00C924F1" w:rsidP="00C924F1" w:rsidRDefault="00C924F1" w14:paraId="19DA77E9" w14:textId="77777777">
      <w:pPr>
        <w:rPr>
          <w:rFonts w:cs="Arial"/>
          <w:color w:val="000000" w:themeColor="text1"/>
          <w:szCs w:val="22"/>
        </w:rPr>
      </w:pPr>
    </w:p>
    <w:p w:rsidRPr="00285BEB" w:rsidR="00C924F1" w:rsidP="00C924F1" w:rsidRDefault="00C924F1" w14:paraId="6D36F07F" w14:textId="77777777">
      <w:pPr>
        <w:keepNext/>
        <w:keepLines/>
        <w:outlineLvl w:val="1"/>
        <w:rPr>
          <w:rFonts w:cs="Arial"/>
          <w:color w:val="000000" w:themeColor="text1"/>
          <w:szCs w:val="22"/>
        </w:rPr>
      </w:pPr>
      <w:bookmarkStart w:name="_Toc80019651" w:id="10"/>
      <w:bookmarkStart w:name="_Toc80020478" w:id="11"/>
      <w:bookmarkStart w:name="_Toc81620536" w:id="12"/>
      <w:bookmarkStart w:name="_Toc145333176" w:id="13"/>
      <w:bookmarkStart w:name="_Toc145333451" w:id="14"/>
      <w:bookmarkStart w:name="_Toc151958689" w:id="15"/>
      <w:bookmarkStart w:name="_Hlk53563761" w:id="16"/>
      <w:r w:rsidRPr="00285BEB">
        <w:rPr>
          <w:rFonts w:cs="Arial"/>
          <w:color w:val="000000" w:themeColor="text1"/>
          <w:szCs w:val="22"/>
        </w:rPr>
        <w:t>5.  Individuals Consulted on Statistical Aspects and Individuals Collecting and/or Analyzing Data</w:t>
      </w:r>
      <w:bookmarkEnd w:id="10"/>
      <w:bookmarkEnd w:id="11"/>
      <w:bookmarkEnd w:id="12"/>
      <w:bookmarkEnd w:id="13"/>
      <w:bookmarkEnd w:id="14"/>
      <w:bookmarkEnd w:id="15"/>
    </w:p>
    <w:p w:rsidRPr="00285BEB" w:rsidR="00C924F1" w:rsidP="00C924F1" w:rsidRDefault="00C924F1" w14:paraId="6FB52395" w14:textId="77777777">
      <w:pPr>
        <w:keepNext/>
        <w:keepLines/>
        <w:rPr>
          <w:rFonts w:cs="Arial"/>
          <w:color w:val="000000" w:themeColor="text1"/>
          <w:szCs w:val="22"/>
        </w:rPr>
      </w:pPr>
    </w:p>
    <w:p w:rsidRPr="00285BEB" w:rsidR="00220041" w:rsidP="00220041" w:rsidRDefault="00220041" w14:paraId="585BBD54" w14:textId="1EC098D4">
      <w:pPr>
        <w:rPr>
          <w:szCs w:val="22"/>
        </w:rPr>
      </w:pPr>
      <w:r w:rsidRPr="00285BEB">
        <w:rPr>
          <w:szCs w:val="22"/>
        </w:rPr>
        <w:t>1) The following person will be consulted in the statistical aspects of the design of the developmental projects related to DH</w:t>
      </w:r>
      <w:r w:rsidRPr="00285BEB" w:rsidR="00F74797">
        <w:rPr>
          <w:szCs w:val="22"/>
        </w:rPr>
        <w:t>A</w:t>
      </w:r>
      <w:r w:rsidRPr="00285BEB">
        <w:rPr>
          <w:szCs w:val="22"/>
        </w:rPr>
        <w:t>NES and other:</w:t>
      </w:r>
    </w:p>
    <w:p w:rsidRPr="00285BEB" w:rsidR="00220041" w:rsidP="00220041" w:rsidRDefault="00220041" w14:paraId="527B2EA2" w14:textId="77777777">
      <w:pPr>
        <w:ind w:left="720"/>
        <w:rPr>
          <w:szCs w:val="22"/>
        </w:rPr>
      </w:pPr>
    </w:p>
    <w:p w:rsidRPr="00285BEB" w:rsidR="0011480A" w:rsidP="0011480A" w:rsidRDefault="0011480A" w14:paraId="7006AF76" w14:textId="77777777">
      <w:pPr>
        <w:ind w:left="720"/>
        <w:rPr>
          <w:szCs w:val="22"/>
        </w:rPr>
      </w:pPr>
      <w:r w:rsidRPr="00285BEB">
        <w:rPr>
          <w:szCs w:val="22"/>
        </w:rPr>
        <w:t>Ryne Paulose, PhD</w:t>
      </w:r>
    </w:p>
    <w:p w:rsidRPr="00285BEB" w:rsidR="0011480A" w:rsidP="0011480A" w:rsidRDefault="0011480A" w14:paraId="4B863076" w14:textId="4B559F08">
      <w:pPr>
        <w:ind w:left="720"/>
        <w:rPr>
          <w:szCs w:val="22"/>
        </w:rPr>
      </w:pPr>
      <w:r w:rsidRPr="00285BEB">
        <w:rPr>
          <w:szCs w:val="22"/>
        </w:rPr>
        <w:t xml:space="preserve">Acting </w:t>
      </w:r>
      <w:r w:rsidRPr="00285BEB" w:rsidR="009D192C">
        <w:rPr>
          <w:szCs w:val="22"/>
        </w:rPr>
        <w:t>Division</w:t>
      </w:r>
      <w:r w:rsidRPr="00285BEB">
        <w:rPr>
          <w:szCs w:val="22"/>
        </w:rPr>
        <w:t xml:space="preserve"> Director</w:t>
      </w:r>
    </w:p>
    <w:p w:rsidRPr="00285BEB" w:rsidR="0011480A" w:rsidP="0011480A" w:rsidRDefault="0011480A" w14:paraId="75FDFC99" w14:textId="77777777">
      <w:pPr>
        <w:ind w:left="720"/>
        <w:rPr>
          <w:szCs w:val="22"/>
        </w:rPr>
      </w:pPr>
      <w:r w:rsidRPr="00285BEB">
        <w:rPr>
          <w:szCs w:val="22"/>
        </w:rPr>
        <w:t>Division of Health and Nutrition Examination Surveys</w:t>
      </w:r>
    </w:p>
    <w:p w:rsidRPr="00285BEB" w:rsidR="0011480A" w:rsidP="0011480A" w:rsidRDefault="0011480A" w14:paraId="2BD082B4" w14:textId="77777777">
      <w:pPr>
        <w:ind w:left="720"/>
        <w:rPr>
          <w:szCs w:val="22"/>
        </w:rPr>
      </w:pPr>
      <w:r w:rsidRPr="00285BEB">
        <w:rPr>
          <w:szCs w:val="22"/>
        </w:rPr>
        <w:t>National Center for Health Statistics</w:t>
      </w:r>
    </w:p>
    <w:p w:rsidRPr="00285BEB" w:rsidR="0011480A" w:rsidP="0011480A" w:rsidRDefault="0011480A" w14:paraId="7932F673" w14:textId="77777777">
      <w:pPr>
        <w:ind w:left="720"/>
        <w:rPr>
          <w:szCs w:val="22"/>
        </w:rPr>
      </w:pPr>
      <w:r w:rsidRPr="00285BEB">
        <w:rPr>
          <w:szCs w:val="22"/>
        </w:rPr>
        <w:t>Centers for Disease Control and Prevention</w:t>
      </w:r>
    </w:p>
    <w:p w:rsidRPr="00285BEB" w:rsidR="0024350D" w:rsidP="0011480A" w:rsidRDefault="006979CA" w14:paraId="38DBFC38" w14:textId="1CB05E64">
      <w:pPr>
        <w:ind w:left="720"/>
        <w:rPr>
          <w:szCs w:val="22"/>
        </w:rPr>
      </w:pPr>
      <w:r w:rsidRPr="00285BEB">
        <w:rPr>
          <w:szCs w:val="22"/>
        </w:rPr>
        <w:t>r</w:t>
      </w:r>
      <w:r w:rsidRPr="00285BEB" w:rsidR="0024350D">
        <w:rPr>
          <w:szCs w:val="22"/>
        </w:rPr>
        <w:t>np0</w:t>
      </w:r>
      <w:r w:rsidRPr="00285BEB">
        <w:rPr>
          <w:szCs w:val="22"/>
        </w:rPr>
        <w:t>@cdc.gov</w:t>
      </w:r>
    </w:p>
    <w:p w:rsidRPr="00285BEB" w:rsidR="009D192C" w:rsidP="0011480A" w:rsidRDefault="0011480A" w14:paraId="6F376280" w14:textId="5258EF2A">
      <w:pPr>
        <w:ind w:left="720"/>
        <w:rPr>
          <w:szCs w:val="22"/>
        </w:rPr>
      </w:pPr>
      <w:r w:rsidRPr="00285BEB">
        <w:rPr>
          <w:szCs w:val="22"/>
        </w:rPr>
        <w:t>Phone:  301-458-4484</w:t>
      </w:r>
    </w:p>
    <w:p w:rsidRPr="00285BEB" w:rsidR="009D192C" w:rsidP="0011480A" w:rsidRDefault="009D192C" w14:paraId="0CC81E14" w14:textId="77777777">
      <w:pPr>
        <w:ind w:left="720"/>
        <w:rPr>
          <w:szCs w:val="22"/>
        </w:rPr>
      </w:pPr>
    </w:p>
    <w:p w:rsidRPr="00370E36" w:rsidR="00947BC9" w:rsidP="0011480A" w:rsidRDefault="00947BC9" w14:paraId="0039D4DF" w14:textId="4E268BAF">
      <w:pPr>
        <w:ind w:left="720"/>
        <w:rPr>
          <w:szCs w:val="22"/>
        </w:rPr>
      </w:pPr>
      <w:r w:rsidRPr="00370E36">
        <w:rPr>
          <w:szCs w:val="22"/>
        </w:rPr>
        <w:t>Te-Chin</w:t>
      </w:r>
      <w:r w:rsidRPr="00370E36" w:rsidR="004A74BB">
        <w:rPr>
          <w:szCs w:val="22"/>
        </w:rPr>
        <w:t>g</w:t>
      </w:r>
      <w:r w:rsidRPr="00370E36">
        <w:rPr>
          <w:szCs w:val="22"/>
        </w:rPr>
        <w:t xml:space="preserve"> Chen</w:t>
      </w:r>
      <w:r w:rsidRPr="00370E36" w:rsidR="004A74BB">
        <w:rPr>
          <w:szCs w:val="22"/>
        </w:rPr>
        <w:t>, PhD</w:t>
      </w:r>
    </w:p>
    <w:p w:rsidRPr="005C0A40" w:rsidR="00AB53AF" w:rsidP="00AB53AF" w:rsidRDefault="004C29E1" w14:paraId="2839C7A7" w14:textId="77777777">
      <w:pPr>
        <w:ind w:left="720"/>
        <w:rPr>
          <w:szCs w:val="22"/>
        </w:rPr>
      </w:pPr>
      <w:r w:rsidRPr="00370E36">
        <w:rPr>
          <w:szCs w:val="22"/>
        </w:rPr>
        <w:t>Mathematical Statistician</w:t>
      </w:r>
      <w:r w:rsidRPr="005C0A40" w:rsidR="00AB53AF">
        <w:rPr>
          <w:szCs w:val="22"/>
        </w:rPr>
        <w:t xml:space="preserve"> </w:t>
      </w:r>
    </w:p>
    <w:p w:rsidRPr="00285BEB" w:rsidR="00AB53AF" w:rsidP="00AB53AF" w:rsidRDefault="00AB53AF" w14:paraId="26B66BF5" w14:textId="7C2EBDF1">
      <w:pPr>
        <w:ind w:left="720"/>
        <w:rPr>
          <w:szCs w:val="22"/>
        </w:rPr>
      </w:pPr>
      <w:r w:rsidRPr="00285BEB">
        <w:rPr>
          <w:szCs w:val="22"/>
        </w:rPr>
        <w:t>Division of Health and Nutrition Examination Surveys</w:t>
      </w:r>
    </w:p>
    <w:p w:rsidRPr="00285BEB" w:rsidR="00AB53AF" w:rsidP="00AB53AF" w:rsidRDefault="00AB53AF" w14:paraId="3F585565" w14:textId="77777777">
      <w:pPr>
        <w:ind w:left="720"/>
        <w:rPr>
          <w:szCs w:val="22"/>
        </w:rPr>
      </w:pPr>
      <w:r w:rsidRPr="00285BEB">
        <w:rPr>
          <w:szCs w:val="22"/>
        </w:rPr>
        <w:t>National Center for Health Statistics</w:t>
      </w:r>
    </w:p>
    <w:p w:rsidRPr="00285BEB" w:rsidR="00AB53AF" w:rsidP="00AB53AF" w:rsidRDefault="00AB53AF" w14:paraId="3AD0D0CB" w14:textId="77777777">
      <w:pPr>
        <w:ind w:left="720"/>
        <w:rPr>
          <w:szCs w:val="22"/>
        </w:rPr>
      </w:pPr>
      <w:r w:rsidRPr="00285BEB">
        <w:rPr>
          <w:szCs w:val="22"/>
        </w:rPr>
        <w:t>Centers for Disease Control and Prevention</w:t>
      </w:r>
    </w:p>
    <w:p w:rsidRPr="00285BEB" w:rsidR="00DE6C6A" w:rsidP="00220041" w:rsidRDefault="009C2ED6" w14:paraId="2ABC9945" w14:textId="283B9F2E">
      <w:pPr>
        <w:ind w:left="720"/>
        <w:rPr>
          <w:szCs w:val="22"/>
        </w:rPr>
      </w:pPr>
      <w:r w:rsidRPr="00285BEB">
        <w:rPr>
          <w:szCs w:val="22"/>
        </w:rPr>
        <w:t>hsw3@cdc.gov</w:t>
      </w:r>
    </w:p>
    <w:p w:rsidRPr="00285BEB" w:rsidR="00220041" w:rsidP="00220041" w:rsidRDefault="00AB53AF" w14:paraId="5F312977" w14:textId="373A213C">
      <w:pPr>
        <w:ind w:left="720"/>
        <w:rPr>
          <w:szCs w:val="22"/>
        </w:rPr>
      </w:pPr>
      <w:r w:rsidRPr="00285BEB">
        <w:rPr>
          <w:szCs w:val="22"/>
        </w:rPr>
        <w:t>Phone:  301-458-4</w:t>
      </w:r>
      <w:r w:rsidRPr="00285BEB" w:rsidR="00E67979">
        <w:rPr>
          <w:szCs w:val="22"/>
        </w:rPr>
        <w:t>751</w:t>
      </w:r>
    </w:p>
    <w:bookmarkEnd w:id="16"/>
    <w:p w:rsidRPr="00285BEB" w:rsidR="00220041" w:rsidP="00220041" w:rsidRDefault="00220041" w14:paraId="7C109B8F" w14:textId="77777777">
      <w:pPr>
        <w:ind w:firstLine="720"/>
        <w:rPr>
          <w:szCs w:val="22"/>
        </w:rPr>
      </w:pPr>
    </w:p>
    <w:p w:rsidRPr="00285BEB" w:rsidR="00220041" w:rsidP="00220041" w:rsidRDefault="00220041" w14:paraId="242CBB48" w14:textId="4B07567A">
      <w:pPr>
        <w:rPr>
          <w:szCs w:val="22"/>
        </w:rPr>
      </w:pPr>
      <w:r w:rsidRPr="00285BEB">
        <w:rPr>
          <w:szCs w:val="22"/>
        </w:rPr>
        <w:t xml:space="preserve">2) </w:t>
      </w:r>
      <w:bookmarkStart w:name="_Hlk56705409" w:id="17"/>
      <w:r w:rsidRPr="00285BEB">
        <w:rPr>
          <w:szCs w:val="22"/>
        </w:rPr>
        <w:t xml:space="preserve">The following person is responsible </w:t>
      </w:r>
      <w:r w:rsidR="00B41D2D">
        <w:rPr>
          <w:szCs w:val="22"/>
        </w:rPr>
        <w:t xml:space="preserve">for </w:t>
      </w:r>
      <w:r w:rsidRPr="00285BEB">
        <w:rPr>
          <w:szCs w:val="22"/>
        </w:rPr>
        <w:t>data collection activities</w:t>
      </w:r>
      <w:bookmarkEnd w:id="17"/>
      <w:r w:rsidRPr="00285BEB">
        <w:rPr>
          <w:szCs w:val="22"/>
        </w:rPr>
        <w:t>:</w:t>
      </w:r>
    </w:p>
    <w:p w:rsidRPr="00285BEB" w:rsidR="00220041" w:rsidP="00220041" w:rsidRDefault="00220041" w14:paraId="63197639" w14:textId="77777777">
      <w:pPr>
        <w:rPr>
          <w:szCs w:val="22"/>
        </w:rPr>
      </w:pPr>
    </w:p>
    <w:p w:rsidRPr="00285BEB" w:rsidR="00220041" w:rsidP="00220041" w:rsidRDefault="00220041" w14:paraId="62D943F8" w14:textId="77777777">
      <w:pPr>
        <w:ind w:left="720"/>
        <w:rPr>
          <w:szCs w:val="22"/>
        </w:rPr>
      </w:pPr>
      <w:r w:rsidRPr="00285BEB">
        <w:rPr>
          <w:szCs w:val="22"/>
        </w:rPr>
        <w:t>David Woodwell, MPH</w:t>
      </w:r>
    </w:p>
    <w:p w:rsidRPr="00285BEB" w:rsidR="00220041" w:rsidP="00220041" w:rsidRDefault="00220041" w14:paraId="44116413" w14:textId="77777777">
      <w:pPr>
        <w:ind w:left="720"/>
        <w:rPr>
          <w:szCs w:val="22"/>
        </w:rPr>
      </w:pPr>
      <w:r w:rsidRPr="00285BEB">
        <w:rPr>
          <w:szCs w:val="22"/>
        </w:rPr>
        <w:t>Chief, Planning Branch</w:t>
      </w:r>
    </w:p>
    <w:p w:rsidRPr="00285BEB" w:rsidR="00220041" w:rsidP="00220041" w:rsidRDefault="00220041" w14:paraId="6A3904B7" w14:textId="77777777">
      <w:pPr>
        <w:ind w:left="720"/>
        <w:rPr>
          <w:szCs w:val="22"/>
        </w:rPr>
      </w:pPr>
      <w:r w:rsidRPr="00285BEB">
        <w:rPr>
          <w:szCs w:val="22"/>
        </w:rPr>
        <w:t>Division of Health and Nutrition Examination Surveys</w:t>
      </w:r>
    </w:p>
    <w:p w:rsidRPr="00285BEB" w:rsidR="00220041" w:rsidP="00220041" w:rsidRDefault="00220041" w14:paraId="2876DC30" w14:textId="77777777">
      <w:pPr>
        <w:ind w:left="720"/>
        <w:rPr>
          <w:szCs w:val="22"/>
        </w:rPr>
      </w:pPr>
      <w:r w:rsidRPr="00285BEB">
        <w:rPr>
          <w:szCs w:val="22"/>
        </w:rPr>
        <w:t>National Center for Health Statistics</w:t>
      </w:r>
    </w:p>
    <w:p w:rsidRPr="00285BEB" w:rsidR="00220041" w:rsidP="00220041" w:rsidRDefault="00220041" w14:paraId="72E9F301" w14:textId="77777777">
      <w:pPr>
        <w:ind w:left="720"/>
        <w:rPr>
          <w:szCs w:val="22"/>
        </w:rPr>
      </w:pPr>
      <w:r w:rsidRPr="00285BEB">
        <w:rPr>
          <w:szCs w:val="22"/>
        </w:rPr>
        <w:t>Centers for Disease Control and Prevention</w:t>
      </w:r>
    </w:p>
    <w:p w:rsidRPr="00285BEB" w:rsidR="00220041" w:rsidP="00220041" w:rsidRDefault="00220041" w14:paraId="141C57D7" w14:textId="77777777">
      <w:pPr>
        <w:ind w:left="720"/>
        <w:rPr>
          <w:szCs w:val="22"/>
        </w:rPr>
      </w:pPr>
      <w:r w:rsidRPr="00285BEB">
        <w:rPr>
          <w:szCs w:val="22"/>
        </w:rPr>
        <w:t>dwoodwell@cdc.gov</w:t>
      </w:r>
    </w:p>
    <w:p w:rsidRPr="00285BEB" w:rsidR="00220041" w:rsidP="00220041" w:rsidRDefault="00220041" w14:paraId="1E628AEE" w14:textId="77777777">
      <w:pPr>
        <w:ind w:left="720"/>
        <w:rPr>
          <w:szCs w:val="22"/>
        </w:rPr>
      </w:pPr>
      <w:r w:rsidRPr="00285BEB">
        <w:rPr>
          <w:szCs w:val="22"/>
        </w:rPr>
        <w:t>Phone:  301-458-4327</w:t>
      </w:r>
    </w:p>
    <w:p w:rsidRPr="00285BEB" w:rsidR="00220041" w:rsidP="00220041" w:rsidRDefault="00220041" w14:paraId="45788C4D" w14:textId="77777777">
      <w:pPr>
        <w:rPr>
          <w:szCs w:val="22"/>
        </w:rPr>
      </w:pPr>
    </w:p>
    <w:p w:rsidRPr="00285BEB" w:rsidR="00220041" w:rsidP="00220041" w:rsidRDefault="00220041" w14:paraId="3CAB3685" w14:textId="77777777">
      <w:pPr>
        <w:rPr>
          <w:szCs w:val="22"/>
        </w:rPr>
      </w:pPr>
      <w:r w:rsidRPr="00285BEB">
        <w:rPr>
          <w:szCs w:val="22"/>
        </w:rPr>
        <w:t>3) The following person is responsible for analysis of the NHANES data:</w:t>
      </w:r>
    </w:p>
    <w:p w:rsidRPr="00285BEB" w:rsidR="00220041" w:rsidP="00220041" w:rsidRDefault="00220041" w14:paraId="0F577046" w14:textId="77777777">
      <w:pPr>
        <w:rPr>
          <w:szCs w:val="22"/>
        </w:rPr>
      </w:pPr>
    </w:p>
    <w:p w:rsidRPr="00285BEB" w:rsidR="00220041" w:rsidP="00220041" w:rsidRDefault="00220041" w14:paraId="287AECBF" w14:textId="77777777">
      <w:pPr>
        <w:ind w:left="720"/>
        <w:rPr>
          <w:szCs w:val="22"/>
        </w:rPr>
      </w:pPr>
      <w:r w:rsidRPr="00285BEB">
        <w:rPr>
          <w:szCs w:val="22"/>
        </w:rPr>
        <w:t>Ryne Paulose, PhD</w:t>
      </w:r>
    </w:p>
    <w:p w:rsidRPr="00285BEB" w:rsidR="00220041" w:rsidP="00220041" w:rsidRDefault="00220041" w14:paraId="0ED92186" w14:textId="125ECD66">
      <w:pPr>
        <w:ind w:left="720"/>
        <w:rPr>
          <w:szCs w:val="22"/>
        </w:rPr>
      </w:pPr>
      <w:r w:rsidRPr="00285BEB">
        <w:rPr>
          <w:szCs w:val="22"/>
        </w:rPr>
        <w:t xml:space="preserve">Acting </w:t>
      </w:r>
      <w:r w:rsidRPr="00285BEB" w:rsidR="009D192C">
        <w:rPr>
          <w:szCs w:val="22"/>
        </w:rPr>
        <w:t xml:space="preserve">Division </w:t>
      </w:r>
      <w:r w:rsidRPr="00285BEB">
        <w:rPr>
          <w:szCs w:val="22"/>
        </w:rPr>
        <w:t>Director</w:t>
      </w:r>
    </w:p>
    <w:p w:rsidRPr="00285BEB" w:rsidR="00220041" w:rsidP="00220041" w:rsidRDefault="00220041" w14:paraId="3AE7C5C1" w14:textId="77777777">
      <w:pPr>
        <w:ind w:left="720"/>
        <w:rPr>
          <w:szCs w:val="22"/>
        </w:rPr>
      </w:pPr>
      <w:r w:rsidRPr="00285BEB">
        <w:rPr>
          <w:szCs w:val="22"/>
        </w:rPr>
        <w:t>Division of Health and Nutrition Examination Surveys</w:t>
      </w:r>
    </w:p>
    <w:p w:rsidRPr="00285BEB" w:rsidR="00220041" w:rsidP="00220041" w:rsidRDefault="00220041" w14:paraId="689A602B" w14:textId="77777777">
      <w:pPr>
        <w:ind w:left="720"/>
        <w:rPr>
          <w:szCs w:val="22"/>
        </w:rPr>
      </w:pPr>
      <w:r w:rsidRPr="00285BEB">
        <w:rPr>
          <w:szCs w:val="22"/>
        </w:rPr>
        <w:t>National Center for Health Statistics</w:t>
      </w:r>
    </w:p>
    <w:p w:rsidRPr="00285BEB" w:rsidR="00220041" w:rsidP="00220041" w:rsidRDefault="00220041" w14:paraId="05683069" w14:textId="77777777">
      <w:pPr>
        <w:ind w:left="720"/>
        <w:rPr>
          <w:szCs w:val="22"/>
        </w:rPr>
      </w:pPr>
      <w:r w:rsidRPr="00285BEB">
        <w:rPr>
          <w:szCs w:val="22"/>
        </w:rPr>
        <w:t>Centers for Disease Control and Prevention</w:t>
      </w:r>
    </w:p>
    <w:p w:rsidRPr="00285BEB" w:rsidR="0024350D" w:rsidP="00220041" w:rsidRDefault="00D86DF5" w14:paraId="4397E305" w14:textId="383A00D6">
      <w:pPr>
        <w:ind w:firstLine="720"/>
        <w:rPr>
          <w:szCs w:val="22"/>
        </w:rPr>
      </w:pPr>
      <w:r w:rsidRPr="00285BEB">
        <w:rPr>
          <w:szCs w:val="22"/>
        </w:rPr>
        <w:t>r</w:t>
      </w:r>
      <w:r w:rsidRPr="00285BEB" w:rsidR="0024350D">
        <w:rPr>
          <w:szCs w:val="22"/>
        </w:rPr>
        <w:t>np</w:t>
      </w:r>
      <w:r w:rsidRPr="00285BEB">
        <w:rPr>
          <w:szCs w:val="22"/>
        </w:rPr>
        <w:t>0</w:t>
      </w:r>
      <w:r w:rsidRPr="00285BEB" w:rsidR="0024350D">
        <w:rPr>
          <w:szCs w:val="22"/>
        </w:rPr>
        <w:t>@cdc.gov</w:t>
      </w:r>
    </w:p>
    <w:p w:rsidRPr="00777262" w:rsidR="00220041" w:rsidP="00220041" w:rsidRDefault="00220041" w14:paraId="0915D702" w14:textId="6E54BB07">
      <w:pPr>
        <w:ind w:firstLine="720"/>
        <w:rPr>
          <w:szCs w:val="22"/>
        </w:rPr>
      </w:pPr>
      <w:r w:rsidRPr="00285BEB">
        <w:rPr>
          <w:szCs w:val="22"/>
        </w:rPr>
        <w:t>Phone:  301-458-4484</w:t>
      </w:r>
    </w:p>
    <w:p w:rsidRPr="001E28FB" w:rsidR="00532B60" w:rsidP="00DE508B" w:rsidRDefault="00532B60" w14:paraId="2EB8963A" w14:textId="4A9BD41F">
      <w:pPr>
        <w:widowControl/>
        <w:autoSpaceDE/>
        <w:autoSpaceDN/>
        <w:adjustRightInd/>
        <w:rPr>
          <w:color w:val="000000" w:themeColor="text1"/>
        </w:rPr>
      </w:pPr>
    </w:p>
    <w:sectPr w:rsidRPr="001E28FB" w:rsidR="00532B60" w:rsidSect="00D16394">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F79E5" w14:textId="77777777" w:rsidR="00EE4992" w:rsidRDefault="00EE4992">
      <w:r>
        <w:separator/>
      </w:r>
    </w:p>
  </w:endnote>
  <w:endnote w:type="continuationSeparator" w:id="0">
    <w:p w14:paraId="6A4DF131" w14:textId="77777777" w:rsidR="00EE4992" w:rsidRDefault="00EE4992">
      <w:r>
        <w:continuationSeparator/>
      </w:r>
    </w:p>
  </w:endnote>
  <w:endnote w:type="continuationNotice" w:id="1">
    <w:p w14:paraId="47EAE5AC" w14:textId="77777777" w:rsidR="00EE4992" w:rsidRDefault="00EE4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F25DE" w14:textId="77777777" w:rsidR="008A4C38" w:rsidRDefault="008A4C38" w:rsidP="00440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C7B09" w14:textId="77777777" w:rsidR="008A4C38" w:rsidRDefault="008A4C38" w:rsidP="005D6C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2640005"/>
      <w:docPartObj>
        <w:docPartGallery w:val="Page Numbers (Bottom of Page)"/>
        <w:docPartUnique/>
      </w:docPartObj>
    </w:sdtPr>
    <w:sdtEndPr>
      <w:rPr>
        <w:noProof/>
      </w:rPr>
    </w:sdtEndPr>
    <w:sdtContent>
      <w:p w14:paraId="6E944510" w14:textId="78FD160C" w:rsidR="008A4C38" w:rsidRDefault="008A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7B29B0" w14:textId="77777777" w:rsidR="008A4C38" w:rsidRDefault="008A4C38" w:rsidP="005D6C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E10A9" w14:textId="77777777" w:rsidR="008A4C38" w:rsidRDefault="008A4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02C95" w14:textId="77777777" w:rsidR="00EE4992" w:rsidRDefault="00EE4992">
      <w:r>
        <w:separator/>
      </w:r>
    </w:p>
  </w:footnote>
  <w:footnote w:type="continuationSeparator" w:id="0">
    <w:p w14:paraId="1EE30D33" w14:textId="77777777" w:rsidR="00EE4992" w:rsidRDefault="00EE4992">
      <w:r>
        <w:continuationSeparator/>
      </w:r>
    </w:p>
  </w:footnote>
  <w:footnote w:type="continuationNotice" w:id="1">
    <w:p w14:paraId="0D19A59D" w14:textId="77777777" w:rsidR="00EE4992" w:rsidRDefault="00EE49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1231" w14:textId="77777777" w:rsidR="008A4C38" w:rsidRDefault="008A4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1F7F2" w14:textId="77777777" w:rsidR="008A4C38" w:rsidRDefault="008A4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E8DD6" w14:textId="77777777" w:rsidR="008A4C38" w:rsidRDefault="008A4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8C2443"/>
    <w:multiLevelType w:val="hybridMultilevel"/>
    <w:tmpl w:val="A6C08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A6FDD"/>
    <w:multiLevelType w:val="hybridMultilevel"/>
    <w:tmpl w:val="9EAE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D4B"/>
    <w:multiLevelType w:val="hybridMultilevel"/>
    <w:tmpl w:val="3280C6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BA4C0A"/>
    <w:multiLevelType w:val="hybridMultilevel"/>
    <w:tmpl w:val="C95A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47B7E"/>
    <w:multiLevelType w:val="hybridMultilevel"/>
    <w:tmpl w:val="D80C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21996"/>
    <w:multiLevelType w:val="hybridMultilevel"/>
    <w:tmpl w:val="A032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53D5B"/>
    <w:multiLevelType w:val="hybridMultilevel"/>
    <w:tmpl w:val="77DA56C6"/>
    <w:lvl w:ilvl="0" w:tplc="56FEE3DE">
      <w:start w:val="1"/>
      <w:numFmt w:val="bullet"/>
      <w:lvlText w:val=""/>
      <w:lvlJc w:val="left"/>
      <w:pPr>
        <w:tabs>
          <w:tab w:val="num" w:pos="360"/>
        </w:tabs>
        <w:ind w:left="360" w:hanging="360"/>
      </w:pPr>
      <w:rPr>
        <w:rFonts w:ascii="Symbol" w:hAnsi="Symbol" w:hint="default"/>
      </w:rPr>
    </w:lvl>
    <w:lvl w:ilvl="1" w:tplc="393292AE">
      <w:start w:val="1"/>
      <w:numFmt w:val="bullet"/>
      <w:lvlText w:val=""/>
      <w:lvlJc w:val="left"/>
      <w:pPr>
        <w:tabs>
          <w:tab w:val="num" w:pos="720"/>
        </w:tabs>
        <w:ind w:left="720" w:hanging="360"/>
      </w:pPr>
      <w:rPr>
        <w:rFonts w:ascii="Symbol" w:hAnsi="Symbol" w:hint="default"/>
      </w:rPr>
    </w:lvl>
    <w:lvl w:ilvl="2" w:tplc="9C841A70">
      <w:start w:val="1"/>
      <w:numFmt w:val="lowerRoman"/>
      <w:lvlText w:val="%3."/>
      <w:lvlJc w:val="right"/>
      <w:pPr>
        <w:tabs>
          <w:tab w:val="num" w:pos="1080"/>
        </w:tabs>
        <w:ind w:left="1080" w:hanging="360"/>
      </w:pPr>
    </w:lvl>
    <w:lvl w:ilvl="3" w:tplc="7B0A99A2">
      <w:start w:val="1"/>
      <w:numFmt w:val="decimal"/>
      <w:lvlText w:val="(%4)"/>
      <w:lvlJc w:val="left"/>
      <w:pPr>
        <w:tabs>
          <w:tab w:val="num" w:pos="1440"/>
        </w:tabs>
        <w:ind w:left="1440" w:hanging="360"/>
      </w:pPr>
    </w:lvl>
    <w:lvl w:ilvl="4" w:tplc="75107698">
      <w:start w:val="1"/>
      <w:numFmt w:val="lowerLetter"/>
      <w:lvlText w:val="(%5)"/>
      <w:lvlJc w:val="left"/>
      <w:pPr>
        <w:tabs>
          <w:tab w:val="num" w:pos="1800"/>
        </w:tabs>
        <w:ind w:left="1800" w:hanging="360"/>
      </w:pPr>
    </w:lvl>
    <w:lvl w:ilvl="5" w:tplc="14626D20">
      <w:start w:val="1"/>
      <w:numFmt w:val="lowerRoman"/>
      <w:lvlText w:val="(%6)"/>
      <w:lvlJc w:val="left"/>
      <w:pPr>
        <w:tabs>
          <w:tab w:val="num" w:pos="2160"/>
        </w:tabs>
        <w:ind w:left="2160" w:hanging="360"/>
      </w:pPr>
    </w:lvl>
    <w:lvl w:ilvl="6" w:tplc="FE8E1284">
      <w:start w:val="1"/>
      <w:numFmt w:val="decimal"/>
      <w:lvlText w:val="%7."/>
      <w:lvlJc w:val="left"/>
      <w:pPr>
        <w:tabs>
          <w:tab w:val="num" w:pos="2520"/>
        </w:tabs>
        <w:ind w:left="2520" w:hanging="360"/>
      </w:pPr>
    </w:lvl>
    <w:lvl w:ilvl="7" w:tplc="BD7A6A0E">
      <w:start w:val="1"/>
      <w:numFmt w:val="lowerLetter"/>
      <w:lvlText w:val="%8."/>
      <w:lvlJc w:val="left"/>
      <w:pPr>
        <w:tabs>
          <w:tab w:val="num" w:pos="2880"/>
        </w:tabs>
        <w:ind w:left="2880" w:hanging="360"/>
      </w:pPr>
    </w:lvl>
    <w:lvl w:ilvl="8" w:tplc="1E82CFAA">
      <w:start w:val="1"/>
      <w:numFmt w:val="lowerRoman"/>
      <w:lvlText w:val="%9."/>
      <w:lvlJc w:val="left"/>
      <w:pPr>
        <w:tabs>
          <w:tab w:val="num" w:pos="3240"/>
        </w:tabs>
        <w:ind w:left="3240" w:hanging="360"/>
      </w:pPr>
    </w:lvl>
  </w:abstractNum>
  <w:abstractNum w:abstractNumId="8" w15:restartNumberingAfterBreak="0">
    <w:nsid w:val="2F7965FD"/>
    <w:multiLevelType w:val="hybridMultilevel"/>
    <w:tmpl w:val="FB7EB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32F9C"/>
    <w:multiLevelType w:val="hybridMultilevel"/>
    <w:tmpl w:val="60B2EA02"/>
    <w:lvl w:ilvl="0" w:tplc="3C9A67E2">
      <w:start w:val="1"/>
      <w:numFmt w:val="decimal"/>
      <w:lvlText w:val="%1."/>
      <w:lvlJc w:val="left"/>
      <w:pPr>
        <w:tabs>
          <w:tab w:val="num" w:pos="720"/>
        </w:tabs>
        <w:ind w:left="720" w:hanging="720"/>
      </w:pPr>
    </w:lvl>
    <w:lvl w:ilvl="1" w:tplc="CCF69DC2">
      <w:start w:val="1"/>
      <w:numFmt w:val="decimal"/>
      <w:lvlText w:val="%2."/>
      <w:lvlJc w:val="left"/>
      <w:pPr>
        <w:tabs>
          <w:tab w:val="num" w:pos="1440"/>
        </w:tabs>
        <w:ind w:left="1440" w:hanging="720"/>
      </w:pPr>
    </w:lvl>
    <w:lvl w:ilvl="2" w:tplc="8EFAB484">
      <w:start w:val="1"/>
      <w:numFmt w:val="decimal"/>
      <w:lvlText w:val="%3."/>
      <w:lvlJc w:val="left"/>
      <w:pPr>
        <w:tabs>
          <w:tab w:val="num" w:pos="2160"/>
        </w:tabs>
        <w:ind w:left="2160" w:hanging="720"/>
      </w:pPr>
    </w:lvl>
    <w:lvl w:ilvl="3" w:tplc="988A7F36">
      <w:start w:val="1"/>
      <w:numFmt w:val="decimal"/>
      <w:lvlText w:val="%4."/>
      <w:lvlJc w:val="left"/>
      <w:pPr>
        <w:tabs>
          <w:tab w:val="num" w:pos="2880"/>
        </w:tabs>
        <w:ind w:left="2880" w:hanging="720"/>
      </w:pPr>
    </w:lvl>
    <w:lvl w:ilvl="4" w:tplc="D40EBC2C">
      <w:start w:val="1"/>
      <w:numFmt w:val="decimal"/>
      <w:lvlText w:val="%5."/>
      <w:lvlJc w:val="left"/>
      <w:pPr>
        <w:tabs>
          <w:tab w:val="num" w:pos="3600"/>
        </w:tabs>
        <w:ind w:left="3600" w:hanging="720"/>
      </w:pPr>
    </w:lvl>
    <w:lvl w:ilvl="5" w:tplc="648CEF6A">
      <w:start w:val="1"/>
      <w:numFmt w:val="decimal"/>
      <w:lvlText w:val="%6."/>
      <w:lvlJc w:val="left"/>
      <w:pPr>
        <w:tabs>
          <w:tab w:val="num" w:pos="4320"/>
        </w:tabs>
        <w:ind w:left="4320" w:hanging="720"/>
      </w:pPr>
    </w:lvl>
    <w:lvl w:ilvl="6" w:tplc="4C04C44E">
      <w:start w:val="1"/>
      <w:numFmt w:val="decimal"/>
      <w:lvlText w:val="%7."/>
      <w:lvlJc w:val="left"/>
      <w:pPr>
        <w:tabs>
          <w:tab w:val="num" w:pos="5040"/>
        </w:tabs>
        <w:ind w:left="5040" w:hanging="720"/>
      </w:pPr>
    </w:lvl>
    <w:lvl w:ilvl="7" w:tplc="6DA0241C">
      <w:start w:val="1"/>
      <w:numFmt w:val="decimal"/>
      <w:lvlText w:val="%8."/>
      <w:lvlJc w:val="left"/>
      <w:pPr>
        <w:tabs>
          <w:tab w:val="num" w:pos="5760"/>
        </w:tabs>
        <w:ind w:left="5760" w:hanging="720"/>
      </w:pPr>
    </w:lvl>
    <w:lvl w:ilvl="8" w:tplc="A61A9CD0">
      <w:start w:val="1"/>
      <w:numFmt w:val="decimal"/>
      <w:lvlText w:val="%9."/>
      <w:lvlJc w:val="left"/>
      <w:pPr>
        <w:tabs>
          <w:tab w:val="num" w:pos="6480"/>
        </w:tabs>
        <w:ind w:left="6480" w:hanging="720"/>
      </w:pPr>
    </w:lvl>
  </w:abstractNum>
  <w:abstractNum w:abstractNumId="10" w15:restartNumberingAfterBreak="0">
    <w:nsid w:val="4DF754A2"/>
    <w:multiLevelType w:val="hybridMultilevel"/>
    <w:tmpl w:val="409C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04C40"/>
    <w:multiLevelType w:val="hybridMultilevel"/>
    <w:tmpl w:val="D04C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E65F0"/>
    <w:multiLevelType w:val="hybridMultilevel"/>
    <w:tmpl w:val="CD548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ED6078"/>
    <w:multiLevelType w:val="hybridMultilevel"/>
    <w:tmpl w:val="D65E74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0"/>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3"/>
  </w:num>
  <w:num w:numId="6">
    <w:abstractNumId w:val="1"/>
  </w:num>
  <w:num w:numId="7">
    <w:abstractNumId w:val="3"/>
  </w:num>
  <w:num w:numId="8">
    <w:abstractNumId w:val="10"/>
  </w:num>
  <w:num w:numId="9">
    <w:abstractNumId w:val="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 w:numId="19">
    <w:abstractNumId w:val="11"/>
  </w:num>
  <w:num w:numId="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F1"/>
    <w:rsid w:val="00001EDC"/>
    <w:rsid w:val="000037F1"/>
    <w:rsid w:val="00003BC2"/>
    <w:rsid w:val="00004E19"/>
    <w:rsid w:val="0000575E"/>
    <w:rsid w:val="0000696D"/>
    <w:rsid w:val="00007B54"/>
    <w:rsid w:val="00007B9B"/>
    <w:rsid w:val="00010AA4"/>
    <w:rsid w:val="00011BFC"/>
    <w:rsid w:val="0001374A"/>
    <w:rsid w:val="00013846"/>
    <w:rsid w:val="00016E23"/>
    <w:rsid w:val="00021F28"/>
    <w:rsid w:val="000249AD"/>
    <w:rsid w:val="00024E39"/>
    <w:rsid w:val="000269C4"/>
    <w:rsid w:val="00027A8E"/>
    <w:rsid w:val="00027CDB"/>
    <w:rsid w:val="00030353"/>
    <w:rsid w:val="000303EE"/>
    <w:rsid w:val="0003069D"/>
    <w:rsid w:val="00033F13"/>
    <w:rsid w:val="000340AF"/>
    <w:rsid w:val="00035648"/>
    <w:rsid w:val="00035689"/>
    <w:rsid w:val="000356A9"/>
    <w:rsid w:val="00035BDA"/>
    <w:rsid w:val="00035E53"/>
    <w:rsid w:val="00041116"/>
    <w:rsid w:val="000415EA"/>
    <w:rsid w:val="00042559"/>
    <w:rsid w:val="00042DB1"/>
    <w:rsid w:val="000451C3"/>
    <w:rsid w:val="00045C50"/>
    <w:rsid w:val="0004647B"/>
    <w:rsid w:val="00046F5E"/>
    <w:rsid w:val="0005242B"/>
    <w:rsid w:val="00053854"/>
    <w:rsid w:val="00054C98"/>
    <w:rsid w:val="00055FF5"/>
    <w:rsid w:val="00057F4D"/>
    <w:rsid w:val="0006113B"/>
    <w:rsid w:val="000640A0"/>
    <w:rsid w:val="00064C68"/>
    <w:rsid w:val="00065A64"/>
    <w:rsid w:val="00066BF3"/>
    <w:rsid w:val="00067A0F"/>
    <w:rsid w:val="000707C8"/>
    <w:rsid w:val="00072036"/>
    <w:rsid w:val="000738E7"/>
    <w:rsid w:val="0007481C"/>
    <w:rsid w:val="000760FC"/>
    <w:rsid w:val="0007748A"/>
    <w:rsid w:val="00080BBE"/>
    <w:rsid w:val="000819A6"/>
    <w:rsid w:val="0008221F"/>
    <w:rsid w:val="000825D3"/>
    <w:rsid w:val="00082DCB"/>
    <w:rsid w:val="000836E9"/>
    <w:rsid w:val="00084F1A"/>
    <w:rsid w:val="00086462"/>
    <w:rsid w:val="00086671"/>
    <w:rsid w:val="00092D3D"/>
    <w:rsid w:val="0009465A"/>
    <w:rsid w:val="00094BC1"/>
    <w:rsid w:val="00094EE1"/>
    <w:rsid w:val="000959C3"/>
    <w:rsid w:val="00097C7C"/>
    <w:rsid w:val="000A22F9"/>
    <w:rsid w:val="000A488A"/>
    <w:rsid w:val="000A58C8"/>
    <w:rsid w:val="000A5C1C"/>
    <w:rsid w:val="000A5CB7"/>
    <w:rsid w:val="000A6F11"/>
    <w:rsid w:val="000B0AC5"/>
    <w:rsid w:val="000B0DC7"/>
    <w:rsid w:val="000B211B"/>
    <w:rsid w:val="000B2662"/>
    <w:rsid w:val="000B3F2C"/>
    <w:rsid w:val="000B44E8"/>
    <w:rsid w:val="000B58B5"/>
    <w:rsid w:val="000B6471"/>
    <w:rsid w:val="000B7FEF"/>
    <w:rsid w:val="000C0DB4"/>
    <w:rsid w:val="000C3903"/>
    <w:rsid w:val="000C4FAA"/>
    <w:rsid w:val="000C526F"/>
    <w:rsid w:val="000C59FB"/>
    <w:rsid w:val="000C6821"/>
    <w:rsid w:val="000C7665"/>
    <w:rsid w:val="000D1E8E"/>
    <w:rsid w:val="000D26AB"/>
    <w:rsid w:val="000D3B0E"/>
    <w:rsid w:val="000D50C9"/>
    <w:rsid w:val="000D5F21"/>
    <w:rsid w:val="000E0D93"/>
    <w:rsid w:val="000E1D31"/>
    <w:rsid w:val="000E49E1"/>
    <w:rsid w:val="000E5420"/>
    <w:rsid w:val="000E6D5C"/>
    <w:rsid w:val="000E7A36"/>
    <w:rsid w:val="000F104F"/>
    <w:rsid w:val="000F2583"/>
    <w:rsid w:val="000F444C"/>
    <w:rsid w:val="000F44A7"/>
    <w:rsid w:val="000F498D"/>
    <w:rsid w:val="000F4D00"/>
    <w:rsid w:val="000F716C"/>
    <w:rsid w:val="001005DE"/>
    <w:rsid w:val="0010063D"/>
    <w:rsid w:val="00100A16"/>
    <w:rsid w:val="001030A6"/>
    <w:rsid w:val="001040C2"/>
    <w:rsid w:val="00104316"/>
    <w:rsid w:val="0010472E"/>
    <w:rsid w:val="001052E9"/>
    <w:rsid w:val="00105385"/>
    <w:rsid w:val="001072EB"/>
    <w:rsid w:val="001073AE"/>
    <w:rsid w:val="00110873"/>
    <w:rsid w:val="001109C8"/>
    <w:rsid w:val="00111401"/>
    <w:rsid w:val="00111AA6"/>
    <w:rsid w:val="00111AED"/>
    <w:rsid w:val="0011480A"/>
    <w:rsid w:val="00115EA5"/>
    <w:rsid w:val="00115FF9"/>
    <w:rsid w:val="00117010"/>
    <w:rsid w:val="001207F5"/>
    <w:rsid w:val="00124601"/>
    <w:rsid w:val="00126299"/>
    <w:rsid w:val="00126C5D"/>
    <w:rsid w:val="00127C69"/>
    <w:rsid w:val="0013185E"/>
    <w:rsid w:val="00133642"/>
    <w:rsid w:val="00135A5E"/>
    <w:rsid w:val="00136DC1"/>
    <w:rsid w:val="00137A3A"/>
    <w:rsid w:val="0014097A"/>
    <w:rsid w:val="00140CBB"/>
    <w:rsid w:val="00140E04"/>
    <w:rsid w:val="00142158"/>
    <w:rsid w:val="00142293"/>
    <w:rsid w:val="00142294"/>
    <w:rsid w:val="00143148"/>
    <w:rsid w:val="00144263"/>
    <w:rsid w:val="0014444D"/>
    <w:rsid w:val="0014462D"/>
    <w:rsid w:val="00144B52"/>
    <w:rsid w:val="00145658"/>
    <w:rsid w:val="0014618C"/>
    <w:rsid w:val="00146BA5"/>
    <w:rsid w:val="001508FE"/>
    <w:rsid w:val="001526AD"/>
    <w:rsid w:val="00153A84"/>
    <w:rsid w:val="00160068"/>
    <w:rsid w:val="00160E09"/>
    <w:rsid w:val="0016166D"/>
    <w:rsid w:val="001631C5"/>
    <w:rsid w:val="00164496"/>
    <w:rsid w:val="00164DE0"/>
    <w:rsid w:val="00165CC4"/>
    <w:rsid w:val="00166E9A"/>
    <w:rsid w:val="001731E7"/>
    <w:rsid w:val="00174798"/>
    <w:rsid w:val="00174A3F"/>
    <w:rsid w:val="00176879"/>
    <w:rsid w:val="00177A27"/>
    <w:rsid w:val="00181541"/>
    <w:rsid w:val="0018172D"/>
    <w:rsid w:val="00184818"/>
    <w:rsid w:val="00186374"/>
    <w:rsid w:val="00187241"/>
    <w:rsid w:val="00190E7D"/>
    <w:rsid w:val="00191384"/>
    <w:rsid w:val="00191C0D"/>
    <w:rsid w:val="001967C1"/>
    <w:rsid w:val="0019684D"/>
    <w:rsid w:val="0019731A"/>
    <w:rsid w:val="00197BE5"/>
    <w:rsid w:val="001A1477"/>
    <w:rsid w:val="001A240B"/>
    <w:rsid w:val="001A47D0"/>
    <w:rsid w:val="001A6794"/>
    <w:rsid w:val="001B4C89"/>
    <w:rsid w:val="001B514D"/>
    <w:rsid w:val="001B5A30"/>
    <w:rsid w:val="001B62AA"/>
    <w:rsid w:val="001B69FC"/>
    <w:rsid w:val="001C336D"/>
    <w:rsid w:val="001C6086"/>
    <w:rsid w:val="001C7415"/>
    <w:rsid w:val="001D007B"/>
    <w:rsid w:val="001D0D6E"/>
    <w:rsid w:val="001D18CD"/>
    <w:rsid w:val="001D190B"/>
    <w:rsid w:val="001D2C1C"/>
    <w:rsid w:val="001D34AD"/>
    <w:rsid w:val="001D79E2"/>
    <w:rsid w:val="001D7EDB"/>
    <w:rsid w:val="001D7F10"/>
    <w:rsid w:val="001E0AA6"/>
    <w:rsid w:val="001E1023"/>
    <w:rsid w:val="001E19CB"/>
    <w:rsid w:val="001E1F39"/>
    <w:rsid w:val="001E28FB"/>
    <w:rsid w:val="001E2BED"/>
    <w:rsid w:val="001E4284"/>
    <w:rsid w:val="001E7B1F"/>
    <w:rsid w:val="001F0108"/>
    <w:rsid w:val="001F0D14"/>
    <w:rsid w:val="001F0E6A"/>
    <w:rsid w:val="001F1243"/>
    <w:rsid w:val="001F1E94"/>
    <w:rsid w:val="001F2074"/>
    <w:rsid w:val="001F3C0C"/>
    <w:rsid w:val="001F4AF7"/>
    <w:rsid w:val="001F61B3"/>
    <w:rsid w:val="001F67C3"/>
    <w:rsid w:val="001F6E8E"/>
    <w:rsid w:val="002007B3"/>
    <w:rsid w:val="002028D7"/>
    <w:rsid w:val="002053AC"/>
    <w:rsid w:val="00205DD4"/>
    <w:rsid w:val="00206B76"/>
    <w:rsid w:val="00210154"/>
    <w:rsid w:val="00210FCC"/>
    <w:rsid w:val="002113C4"/>
    <w:rsid w:val="002121C1"/>
    <w:rsid w:val="00213DA4"/>
    <w:rsid w:val="002144A5"/>
    <w:rsid w:val="0021483A"/>
    <w:rsid w:val="00214C3C"/>
    <w:rsid w:val="00215041"/>
    <w:rsid w:val="00215ECC"/>
    <w:rsid w:val="002171CE"/>
    <w:rsid w:val="00217C24"/>
    <w:rsid w:val="00220041"/>
    <w:rsid w:val="00220EA9"/>
    <w:rsid w:val="00221E2D"/>
    <w:rsid w:val="00221ECB"/>
    <w:rsid w:val="00222DA9"/>
    <w:rsid w:val="0022693F"/>
    <w:rsid w:val="00226A9F"/>
    <w:rsid w:val="00227001"/>
    <w:rsid w:val="002273EB"/>
    <w:rsid w:val="00227FD1"/>
    <w:rsid w:val="00231473"/>
    <w:rsid w:val="00231CCD"/>
    <w:rsid w:val="002330EB"/>
    <w:rsid w:val="00233B35"/>
    <w:rsid w:val="002356FC"/>
    <w:rsid w:val="00237D4E"/>
    <w:rsid w:val="0024350D"/>
    <w:rsid w:val="00244941"/>
    <w:rsid w:val="00244ACB"/>
    <w:rsid w:val="00245BCF"/>
    <w:rsid w:val="00246931"/>
    <w:rsid w:val="002477D3"/>
    <w:rsid w:val="00247D95"/>
    <w:rsid w:val="002512DD"/>
    <w:rsid w:val="00251350"/>
    <w:rsid w:val="00252063"/>
    <w:rsid w:val="002532D4"/>
    <w:rsid w:val="002539C7"/>
    <w:rsid w:val="00254668"/>
    <w:rsid w:val="00254F9A"/>
    <w:rsid w:val="0025636C"/>
    <w:rsid w:val="00256A93"/>
    <w:rsid w:val="002600BF"/>
    <w:rsid w:val="00260D78"/>
    <w:rsid w:val="00261A14"/>
    <w:rsid w:val="00262E1F"/>
    <w:rsid w:val="00263D6C"/>
    <w:rsid w:val="0026461F"/>
    <w:rsid w:val="0026488A"/>
    <w:rsid w:val="002649B6"/>
    <w:rsid w:val="002654EA"/>
    <w:rsid w:val="00265D4E"/>
    <w:rsid w:val="00266A50"/>
    <w:rsid w:val="00266B21"/>
    <w:rsid w:val="0027016C"/>
    <w:rsid w:val="00270CDB"/>
    <w:rsid w:val="002718BD"/>
    <w:rsid w:val="00271BF5"/>
    <w:rsid w:val="002735C4"/>
    <w:rsid w:val="00273D64"/>
    <w:rsid w:val="00275248"/>
    <w:rsid w:val="00275CD8"/>
    <w:rsid w:val="002762F2"/>
    <w:rsid w:val="00277DFB"/>
    <w:rsid w:val="002846BD"/>
    <w:rsid w:val="00285BEB"/>
    <w:rsid w:val="002863C8"/>
    <w:rsid w:val="00287FD3"/>
    <w:rsid w:val="00291B42"/>
    <w:rsid w:val="0029315D"/>
    <w:rsid w:val="00293BBE"/>
    <w:rsid w:val="002948D5"/>
    <w:rsid w:val="00296CAB"/>
    <w:rsid w:val="002970EE"/>
    <w:rsid w:val="002978FE"/>
    <w:rsid w:val="00297F89"/>
    <w:rsid w:val="002A091A"/>
    <w:rsid w:val="002A0FB0"/>
    <w:rsid w:val="002A1111"/>
    <w:rsid w:val="002A3EC9"/>
    <w:rsid w:val="002A5631"/>
    <w:rsid w:val="002A648A"/>
    <w:rsid w:val="002A77A8"/>
    <w:rsid w:val="002A7832"/>
    <w:rsid w:val="002A7DD4"/>
    <w:rsid w:val="002B106C"/>
    <w:rsid w:val="002B141C"/>
    <w:rsid w:val="002B2576"/>
    <w:rsid w:val="002B2CF6"/>
    <w:rsid w:val="002B5635"/>
    <w:rsid w:val="002B6739"/>
    <w:rsid w:val="002B7B8C"/>
    <w:rsid w:val="002C0D1F"/>
    <w:rsid w:val="002C1754"/>
    <w:rsid w:val="002C1D0D"/>
    <w:rsid w:val="002C2652"/>
    <w:rsid w:val="002C4405"/>
    <w:rsid w:val="002C5772"/>
    <w:rsid w:val="002C5A18"/>
    <w:rsid w:val="002C61E7"/>
    <w:rsid w:val="002C7B2C"/>
    <w:rsid w:val="002D038B"/>
    <w:rsid w:val="002D0A63"/>
    <w:rsid w:val="002D0D22"/>
    <w:rsid w:val="002D184B"/>
    <w:rsid w:val="002D1B4C"/>
    <w:rsid w:val="002D25A1"/>
    <w:rsid w:val="002D3012"/>
    <w:rsid w:val="002D3A76"/>
    <w:rsid w:val="002D41E1"/>
    <w:rsid w:val="002D44AF"/>
    <w:rsid w:val="002E08E6"/>
    <w:rsid w:val="002E12E3"/>
    <w:rsid w:val="002E196A"/>
    <w:rsid w:val="002E1AA4"/>
    <w:rsid w:val="002E3D91"/>
    <w:rsid w:val="002E7306"/>
    <w:rsid w:val="002F00D9"/>
    <w:rsid w:val="002F2B29"/>
    <w:rsid w:val="002F2C3D"/>
    <w:rsid w:val="002F5119"/>
    <w:rsid w:val="002F58E4"/>
    <w:rsid w:val="002F6797"/>
    <w:rsid w:val="00300AEB"/>
    <w:rsid w:val="003023B6"/>
    <w:rsid w:val="00302E2D"/>
    <w:rsid w:val="0030363D"/>
    <w:rsid w:val="003055B8"/>
    <w:rsid w:val="003058E9"/>
    <w:rsid w:val="00306197"/>
    <w:rsid w:val="003109DE"/>
    <w:rsid w:val="00311C4B"/>
    <w:rsid w:val="00311FD4"/>
    <w:rsid w:val="00312579"/>
    <w:rsid w:val="00314A8A"/>
    <w:rsid w:val="00315491"/>
    <w:rsid w:val="00315D04"/>
    <w:rsid w:val="00317401"/>
    <w:rsid w:val="00324202"/>
    <w:rsid w:val="00325C39"/>
    <w:rsid w:val="003276A3"/>
    <w:rsid w:val="003343BB"/>
    <w:rsid w:val="00335525"/>
    <w:rsid w:val="00335AB7"/>
    <w:rsid w:val="003361C6"/>
    <w:rsid w:val="00337EA9"/>
    <w:rsid w:val="00340135"/>
    <w:rsid w:val="003416F4"/>
    <w:rsid w:val="003426B1"/>
    <w:rsid w:val="00346872"/>
    <w:rsid w:val="003528B7"/>
    <w:rsid w:val="00355537"/>
    <w:rsid w:val="00355957"/>
    <w:rsid w:val="00357E3F"/>
    <w:rsid w:val="0036021F"/>
    <w:rsid w:val="0036027D"/>
    <w:rsid w:val="00362EEA"/>
    <w:rsid w:val="003636B4"/>
    <w:rsid w:val="00370E36"/>
    <w:rsid w:val="00371BBA"/>
    <w:rsid w:val="0037321C"/>
    <w:rsid w:val="003739B1"/>
    <w:rsid w:val="00376C65"/>
    <w:rsid w:val="003776E4"/>
    <w:rsid w:val="00377700"/>
    <w:rsid w:val="00377FA1"/>
    <w:rsid w:val="00380C4C"/>
    <w:rsid w:val="00381854"/>
    <w:rsid w:val="0038205D"/>
    <w:rsid w:val="003821CF"/>
    <w:rsid w:val="0038464B"/>
    <w:rsid w:val="0038604D"/>
    <w:rsid w:val="003863B6"/>
    <w:rsid w:val="0039160B"/>
    <w:rsid w:val="00391A99"/>
    <w:rsid w:val="00392F8D"/>
    <w:rsid w:val="00394079"/>
    <w:rsid w:val="00394D41"/>
    <w:rsid w:val="003966A8"/>
    <w:rsid w:val="00396705"/>
    <w:rsid w:val="00396857"/>
    <w:rsid w:val="00396E81"/>
    <w:rsid w:val="003A0AFA"/>
    <w:rsid w:val="003A14A4"/>
    <w:rsid w:val="003A1960"/>
    <w:rsid w:val="003A1B95"/>
    <w:rsid w:val="003A2629"/>
    <w:rsid w:val="003A2A2D"/>
    <w:rsid w:val="003A3C91"/>
    <w:rsid w:val="003B2037"/>
    <w:rsid w:val="003B3FC4"/>
    <w:rsid w:val="003B528C"/>
    <w:rsid w:val="003B6191"/>
    <w:rsid w:val="003B70B0"/>
    <w:rsid w:val="003B780D"/>
    <w:rsid w:val="003C032C"/>
    <w:rsid w:val="003C151E"/>
    <w:rsid w:val="003C2BEC"/>
    <w:rsid w:val="003C4963"/>
    <w:rsid w:val="003C4C3B"/>
    <w:rsid w:val="003C652B"/>
    <w:rsid w:val="003D0133"/>
    <w:rsid w:val="003D111C"/>
    <w:rsid w:val="003D30DC"/>
    <w:rsid w:val="003D3873"/>
    <w:rsid w:val="003D3CCC"/>
    <w:rsid w:val="003D4AE0"/>
    <w:rsid w:val="003E059B"/>
    <w:rsid w:val="003E21DA"/>
    <w:rsid w:val="003E29EA"/>
    <w:rsid w:val="003E2EED"/>
    <w:rsid w:val="003E3820"/>
    <w:rsid w:val="003E57F4"/>
    <w:rsid w:val="003E7979"/>
    <w:rsid w:val="003F1C2D"/>
    <w:rsid w:val="003F40CD"/>
    <w:rsid w:val="003F4756"/>
    <w:rsid w:val="003F5853"/>
    <w:rsid w:val="003F68F6"/>
    <w:rsid w:val="003F75B8"/>
    <w:rsid w:val="00401143"/>
    <w:rsid w:val="00404363"/>
    <w:rsid w:val="004066AB"/>
    <w:rsid w:val="004111B0"/>
    <w:rsid w:val="00411B42"/>
    <w:rsid w:val="00413C6B"/>
    <w:rsid w:val="00413F09"/>
    <w:rsid w:val="004144E0"/>
    <w:rsid w:val="00414AC0"/>
    <w:rsid w:val="00414EA1"/>
    <w:rsid w:val="0041690D"/>
    <w:rsid w:val="004176D1"/>
    <w:rsid w:val="00420249"/>
    <w:rsid w:val="00420B1D"/>
    <w:rsid w:val="00421C99"/>
    <w:rsid w:val="004227C1"/>
    <w:rsid w:val="004229B9"/>
    <w:rsid w:val="00422DFF"/>
    <w:rsid w:val="004233C3"/>
    <w:rsid w:val="004257F4"/>
    <w:rsid w:val="0042589D"/>
    <w:rsid w:val="00430D87"/>
    <w:rsid w:val="004347BC"/>
    <w:rsid w:val="00437B81"/>
    <w:rsid w:val="00440121"/>
    <w:rsid w:val="0044040C"/>
    <w:rsid w:val="00440D62"/>
    <w:rsid w:val="00440F61"/>
    <w:rsid w:val="004419D3"/>
    <w:rsid w:val="0044241D"/>
    <w:rsid w:val="004432FE"/>
    <w:rsid w:val="004436BD"/>
    <w:rsid w:val="00443CFD"/>
    <w:rsid w:val="00444008"/>
    <w:rsid w:val="0044465E"/>
    <w:rsid w:val="004447E5"/>
    <w:rsid w:val="00446D8A"/>
    <w:rsid w:val="00446F85"/>
    <w:rsid w:val="00447E66"/>
    <w:rsid w:val="004517D1"/>
    <w:rsid w:val="004526BF"/>
    <w:rsid w:val="004527C1"/>
    <w:rsid w:val="004553F1"/>
    <w:rsid w:val="0045650B"/>
    <w:rsid w:val="00456B7C"/>
    <w:rsid w:val="00456CA2"/>
    <w:rsid w:val="00456DAD"/>
    <w:rsid w:val="00461249"/>
    <w:rsid w:val="00461B15"/>
    <w:rsid w:val="00461C77"/>
    <w:rsid w:val="00462D49"/>
    <w:rsid w:val="00465C47"/>
    <w:rsid w:val="0046727F"/>
    <w:rsid w:val="00467F5A"/>
    <w:rsid w:val="004710C7"/>
    <w:rsid w:val="004717E3"/>
    <w:rsid w:val="00471FA2"/>
    <w:rsid w:val="004726B6"/>
    <w:rsid w:val="00473979"/>
    <w:rsid w:val="0048015F"/>
    <w:rsid w:val="004802FE"/>
    <w:rsid w:val="0048161C"/>
    <w:rsid w:val="004835FC"/>
    <w:rsid w:val="004854F7"/>
    <w:rsid w:val="00486720"/>
    <w:rsid w:val="00486FC0"/>
    <w:rsid w:val="004871A9"/>
    <w:rsid w:val="00487840"/>
    <w:rsid w:val="00491855"/>
    <w:rsid w:val="00492537"/>
    <w:rsid w:val="00493284"/>
    <w:rsid w:val="00493E71"/>
    <w:rsid w:val="004960E2"/>
    <w:rsid w:val="00496EB0"/>
    <w:rsid w:val="004A03CC"/>
    <w:rsid w:val="004A2ECB"/>
    <w:rsid w:val="004A304B"/>
    <w:rsid w:val="004A3423"/>
    <w:rsid w:val="004A3A1C"/>
    <w:rsid w:val="004A46FD"/>
    <w:rsid w:val="004A4CBD"/>
    <w:rsid w:val="004A54A7"/>
    <w:rsid w:val="004A5A94"/>
    <w:rsid w:val="004A5D78"/>
    <w:rsid w:val="004A6C37"/>
    <w:rsid w:val="004A74BB"/>
    <w:rsid w:val="004A77CF"/>
    <w:rsid w:val="004B0E93"/>
    <w:rsid w:val="004B1716"/>
    <w:rsid w:val="004B1D95"/>
    <w:rsid w:val="004B3B7C"/>
    <w:rsid w:val="004B6491"/>
    <w:rsid w:val="004B7EB9"/>
    <w:rsid w:val="004C05A6"/>
    <w:rsid w:val="004C28DE"/>
    <w:rsid w:val="004C29E1"/>
    <w:rsid w:val="004C38FE"/>
    <w:rsid w:val="004C3F6F"/>
    <w:rsid w:val="004C6178"/>
    <w:rsid w:val="004D0D31"/>
    <w:rsid w:val="004D4E7A"/>
    <w:rsid w:val="004D6798"/>
    <w:rsid w:val="004D7853"/>
    <w:rsid w:val="004D7997"/>
    <w:rsid w:val="004E0118"/>
    <w:rsid w:val="004E1DDF"/>
    <w:rsid w:val="004E22E6"/>
    <w:rsid w:val="004E2E99"/>
    <w:rsid w:val="004E5AD0"/>
    <w:rsid w:val="004E6B3F"/>
    <w:rsid w:val="004E7903"/>
    <w:rsid w:val="004E7D64"/>
    <w:rsid w:val="004F0883"/>
    <w:rsid w:val="004F0931"/>
    <w:rsid w:val="004F0A87"/>
    <w:rsid w:val="004F2558"/>
    <w:rsid w:val="004F36AF"/>
    <w:rsid w:val="004F4F90"/>
    <w:rsid w:val="004F55D6"/>
    <w:rsid w:val="005004F3"/>
    <w:rsid w:val="005017B2"/>
    <w:rsid w:val="00501C8E"/>
    <w:rsid w:val="00501EAF"/>
    <w:rsid w:val="00502DFF"/>
    <w:rsid w:val="005031CA"/>
    <w:rsid w:val="0050389E"/>
    <w:rsid w:val="00504552"/>
    <w:rsid w:val="0050642C"/>
    <w:rsid w:val="00506B7B"/>
    <w:rsid w:val="0051045C"/>
    <w:rsid w:val="0051124E"/>
    <w:rsid w:val="00516B4A"/>
    <w:rsid w:val="00520889"/>
    <w:rsid w:val="0052098E"/>
    <w:rsid w:val="00520B20"/>
    <w:rsid w:val="005248FD"/>
    <w:rsid w:val="00524C06"/>
    <w:rsid w:val="00524DC2"/>
    <w:rsid w:val="00525864"/>
    <w:rsid w:val="00527354"/>
    <w:rsid w:val="005279E6"/>
    <w:rsid w:val="00530510"/>
    <w:rsid w:val="00530ADF"/>
    <w:rsid w:val="00531541"/>
    <w:rsid w:val="005322C3"/>
    <w:rsid w:val="00532B60"/>
    <w:rsid w:val="005342B2"/>
    <w:rsid w:val="0053696C"/>
    <w:rsid w:val="0054088A"/>
    <w:rsid w:val="005412F2"/>
    <w:rsid w:val="005446A7"/>
    <w:rsid w:val="00546E39"/>
    <w:rsid w:val="005477BC"/>
    <w:rsid w:val="00547843"/>
    <w:rsid w:val="005502AF"/>
    <w:rsid w:val="00551481"/>
    <w:rsid w:val="005531EB"/>
    <w:rsid w:val="0055361A"/>
    <w:rsid w:val="005544FB"/>
    <w:rsid w:val="00554A6B"/>
    <w:rsid w:val="00554EE2"/>
    <w:rsid w:val="00556686"/>
    <w:rsid w:val="0056008B"/>
    <w:rsid w:val="00561070"/>
    <w:rsid w:val="00562A2A"/>
    <w:rsid w:val="00565500"/>
    <w:rsid w:val="00565A14"/>
    <w:rsid w:val="00566083"/>
    <w:rsid w:val="00566D5D"/>
    <w:rsid w:val="0056738F"/>
    <w:rsid w:val="0056770F"/>
    <w:rsid w:val="00567900"/>
    <w:rsid w:val="00567937"/>
    <w:rsid w:val="00570384"/>
    <w:rsid w:val="005713E8"/>
    <w:rsid w:val="005723A3"/>
    <w:rsid w:val="005726FD"/>
    <w:rsid w:val="00573535"/>
    <w:rsid w:val="00573754"/>
    <w:rsid w:val="005758EE"/>
    <w:rsid w:val="00576209"/>
    <w:rsid w:val="0057786A"/>
    <w:rsid w:val="00581A48"/>
    <w:rsid w:val="00581A4E"/>
    <w:rsid w:val="00582A44"/>
    <w:rsid w:val="005842EA"/>
    <w:rsid w:val="00585BE5"/>
    <w:rsid w:val="00585EB5"/>
    <w:rsid w:val="00587F02"/>
    <w:rsid w:val="00590666"/>
    <w:rsid w:val="00590E50"/>
    <w:rsid w:val="00590F67"/>
    <w:rsid w:val="00592EFA"/>
    <w:rsid w:val="00593A78"/>
    <w:rsid w:val="005947CB"/>
    <w:rsid w:val="00594C68"/>
    <w:rsid w:val="00595AA9"/>
    <w:rsid w:val="00596A58"/>
    <w:rsid w:val="00597A71"/>
    <w:rsid w:val="005A1D8D"/>
    <w:rsid w:val="005A2A39"/>
    <w:rsid w:val="005A2BE2"/>
    <w:rsid w:val="005A3B9E"/>
    <w:rsid w:val="005A423E"/>
    <w:rsid w:val="005A5A1E"/>
    <w:rsid w:val="005A7401"/>
    <w:rsid w:val="005A7B2F"/>
    <w:rsid w:val="005B059F"/>
    <w:rsid w:val="005B0DBE"/>
    <w:rsid w:val="005B1820"/>
    <w:rsid w:val="005B231A"/>
    <w:rsid w:val="005B399C"/>
    <w:rsid w:val="005B4225"/>
    <w:rsid w:val="005B4CAE"/>
    <w:rsid w:val="005B69E1"/>
    <w:rsid w:val="005C0051"/>
    <w:rsid w:val="005C023B"/>
    <w:rsid w:val="005C0A40"/>
    <w:rsid w:val="005C1370"/>
    <w:rsid w:val="005C1DB1"/>
    <w:rsid w:val="005C2876"/>
    <w:rsid w:val="005C2899"/>
    <w:rsid w:val="005C46D0"/>
    <w:rsid w:val="005C5539"/>
    <w:rsid w:val="005C5EC7"/>
    <w:rsid w:val="005D0C4D"/>
    <w:rsid w:val="005D200C"/>
    <w:rsid w:val="005D2357"/>
    <w:rsid w:val="005D3997"/>
    <w:rsid w:val="005D481A"/>
    <w:rsid w:val="005D6CE0"/>
    <w:rsid w:val="005E01CB"/>
    <w:rsid w:val="005E05A1"/>
    <w:rsid w:val="005E4B78"/>
    <w:rsid w:val="005E5B2A"/>
    <w:rsid w:val="005F0621"/>
    <w:rsid w:val="005F0A1E"/>
    <w:rsid w:val="005F6BF7"/>
    <w:rsid w:val="005F7588"/>
    <w:rsid w:val="005F7C4A"/>
    <w:rsid w:val="00601140"/>
    <w:rsid w:val="0060149E"/>
    <w:rsid w:val="0060270B"/>
    <w:rsid w:val="00602775"/>
    <w:rsid w:val="00603DA8"/>
    <w:rsid w:val="0060454E"/>
    <w:rsid w:val="00605FB4"/>
    <w:rsid w:val="006067C7"/>
    <w:rsid w:val="00606C8C"/>
    <w:rsid w:val="006103AB"/>
    <w:rsid w:val="00610780"/>
    <w:rsid w:val="00610AE6"/>
    <w:rsid w:val="00611DD5"/>
    <w:rsid w:val="006132C8"/>
    <w:rsid w:val="0061348D"/>
    <w:rsid w:val="00613C4B"/>
    <w:rsid w:val="00613D2C"/>
    <w:rsid w:val="006144C9"/>
    <w:rsid w:val="00615620"/>
    <w:rsid w:val="00616653"/>
    <w:rsid w:val="00616A03"/>
    <w:rsid w:val="00617665"/>
    <w:rsid w:val="006178E1"/>
    <w:rsid w:val="00617940"/>
    <w:rsid w:val="00621DE5"/>
    <w:rsid w:val="006252D4"/>
    <w:rsid w:val="006262FC"/>
    <w:rsid w:val="006266FA"/>
    <w:rsid w:val="006268A9"/>
    <w:rsid w:val="00630FD1"/>
    <w:rsid w:val="00631E33"/>
    <w:rsid w:val="006367B7"/>
    <w:rsid w:val="00637076"/>
    <w:rsid w:val="00637E2D"/>
    <w:rsid w:val="0064011A"/>
    <w:rsid w:val="006419CB"/>
    <w:rsid w:val="00643563"/>
    <w:rsid w:val="00644684"/>
    <w:rsid w:val="0064595A"/>
    <w:rsid w:val="00646B1A"/>
    <w:rsid w:val="00647C66"/>
    <w:rsid w:val="00647E19"/>
    <w:rsid w:val="00651F2D"/>
    <w:rsid w:val="006520CA"/>
    <w:rsid w:val="00654349"/>
    <w:rsid w:val="00654B3C"/>
    <w:rsid w:val="00657286"/>
    <w:rsid w:val="0066045B"/>
    <w:rsid w:val="0066195C"/>
    <w:rsid w:val="00661A67"/>
    <w:rsid w:val="006639AA"/>
    <w:rsid w:val="00663B98"/>
    <w:rsid w:val="00663E5C"/>
    <w:rsid w:val="00666829"/>
    <w:rsid w:val="006674C4"/>
    <w:rsid w:val="006678B9"/>
    <w:rsid w:val="00667E16"/>
    <w:rsid w:val="00670EF5"/>
    <w:rsid w:val="00671102"/>
    <w:rsid w:val="006716E2"/>
    <w:rsid w:val="00671BEC"/>
    <w:rsid w:val="006739AF"/>
    <w:rsid w:val="0067629F"/>
    <w:rsid w:val="00676EA9"/>
    <w:rsid w:val="00677C1C"/>
    <w:rsid w:val="00681457"/>
    <w:rsid w:val="00681608"/>
    <w:rsid w:val="00682F56"/>
    <w:rsid w:val="00684330"/>
    <w:rsid w:val="00684562"/>
    <w:rsid w:val="00684960"/>
    <w:rsid w:val="006849DA"/>
    <w:rsid w:val="0068647F"/>
    <w:rsid w:val="006876B2"/>
    <w:rsid w:val="00687A2D"/>
    <w:rsid w:val="0069058E"/>
    <w:rsid w:val="00691A66"/>
    <w:rsid w:val="006936C2"/>
    <w:rsid w:val="00693715"/>
    <w:rsid w:val="006938A2"/>
    <w:rsid w:val="00694A4D"/>
    <w:rsid w:val="006962F9"/>
    <w:rsid w:val="006964F5"/>
    <w:rsid w:val="00696CE0"/>
    <w:rsid w:val="006979CA"/>
    <w:rsid w:val="006A0084"/>
    <w:rsid w:val="006A1802"/>
    <w:rsid w:val="006A2D80"/>
    <w:rsid w:val="006A65CC"/>
    <w:rsid w:val="006A74E6"/>
    <w:rsid w:val="006B2903"/>
    <w:rsid w:val="006B38DF"/>
    <w:rsid w:val="006B3925"/>
    <w:rsid w:val="006B3CAF"/>
    <w:rsid w:val="006B419B"/>
    <w:rsid w:val="006B558C"/>
    <w:rsid w:val="006C034D"/>
    <w:rsid w:val="006C1482"/>
    <w:rsid w:val="006C2694"/>
    <w:rsid w:val="006C2741"/>
    <w:rsid w:val="006C5801"/>
    <w:rsid w:val="006C69CE"/>
    <w:rsid w:val="006D0A7E"/>
    <w:rsid w:val="006D0D35"/>
    <w:rsid w:val="006D1095"/>
    <w:rsid w:val="006D2A2B"/>
    <w:rsid w:val="006D4D1A"/>
    <w:rsid w:val="006D6150"/>
    <w:rsid w:val="006D7C2E"/>
    <w:rsid w:val="006D7E17"/>
    <w:rsid w:val="006E01F9"/>
    <w:rsid w:val="006E309C"/>
    <w:rsid w:val="006E393D"/>
    <w:rsid w:val="006E3BCD"/>
    <w:rsid w:val="006E7D11"/>
    <w:rsid w:val="006E7D32"/>
    <w:rsid w:val="006F2424"/>
    <w:rsid w:val="006F2F4E"/>
    <w:rsid w:val="006F4A54"/>
    <w:rsid w:val="006F661E"/>
    <w:rsid w:val="006F7E42"/>
    <w:rsid w:val="00701B8A"/>
    <w:rsid w:val="00701D4B"/>
    <w:rsid w:val="00703960"/>
    <w:rsid w:val="00704FC4"/>
    <w:rsid w:val="00705088"/>
    <w:rsid w:val="00705BFA"/>
    <w:rsid w:val="00713B02"/>
    <w:rsid w:val="00714920"/>
    <w:rsid w:val="00714BB4"/>
    <w:rsid w:val="007204AA"/>
    <w:rsid w:val="0072068B"/>
    <w:rsid w:val="0072139C"/>
    <w:rsid w:val="00722A25"/>
    <w:rsid w:val="00723604"/>
    <w:rsid w:val="00723EB7"/>
    <w:rsid w:val="007263B1"/>
    <w:rsid w:val="00727BE0"/>
    <w:rsid w:val="00727D55"/>
    <w:rsid w:val="00730EA2"/>
    <w:rsid w:val="00731031"/>
    <w:rsid w:val="00731239"/>
    <w:rsid w:val="00731ED9"/>
    <w:rsid w:val="00731EF0"/>
    <w:rsid w:val="007320AB"/>
    <w:rsid w:val="00732502"/>
    <w:rsid w:val="00733BF7"/>
    <w:rsid w:val="007346E0"/>
    <w:rsid w:val="00734BF3"/>
    <w:rsid w:val="00734F6D"/>
    <w:rsid w:val="007370A2"/>
    <w:rsid w:val="0073743E"/>
    <w:rsid w:val="00737F51"/>
    <w:rsid w:val="00740250"/>
    <w:rsid w:val="00740D36"/>
    <w:rsid w:val="00741811"/>
    <w:rsid w:val="00744087"/>
    <w:rsid w:val="00750A79"/>
    <w:rsid w:val="00753313"/>
    <w:rsid w:val="00753C09"/>
    <w:rsid w:val="00754A23"/>
    <w:rsid w:val="00756BAA"/>
    <w:rsid w:val="00756EF8"/>
    <w:rsid w:val="00757C9F"/>
    <w:rsid w:val="00760BF2"/>
    <w:rsid w:val="0076296E"/>
    <w:rsid w:val="00762EB5"/>
    <w:rsid w:val="0076495E"/>
    <w:rsid w:val="007651A5"/>
    <w:rsid w:val="00765D9E"/>
    <w:rsid w:val="00765FB0"/>
    <w:rsid w:val="0076740A"/>
    <w:rsid w:val="007674AB"/>
    <w:rsid w:val="007679D3"/>
    <w:rsid w:val="007679F9"/>
    <w:rsid w:val="00774085"/>
    <w:rsid w:val="00774776"/>
    <w:rsid w:val="00774786"/>
    <w:rsid w:val="00777262"/>
    <w:rsid w:val="00777736"/>
    <w:rsid w:val="007823AE"/>
    <w:rsid w:val="00786FD0"/>
    <w:rsid w:val="00787623"/>
    <w:rsid w:val="00787C9A"/>
    <w:rsid w:val="007930D9"/>
    <w:rsid w:val="00793BD7"/>
    <w:rsid w:val="00796460"/>
    <w:rsid w:val="007A182A"/>
    <w:rsid w:val="007A2379"/>
    <w:rsid w:val="007A2584"/>
    <w:rsid w:val="007A28BB"/>
    <w:rsid w:val="007A4603"/>
    <w:rsid w:val="007A50F6"/>
    <w:rsid w:val="007A656D"/>
    <w:rsid w:val="007A6760"/>
    <w:rsid w:val="007A6AFF"/>
    <w:rsid w:val="007A7CBD"/>
    <w:rsid w:val="007B0332"/>
    <w:rsid w:val="007B0590"/>
    <w:rsid w:val="007B0F12"/>
    <w:rsid w:val="007B5422"/>
    <w:rsid w:val="007B5A0E"/>
    <w:rsid w:val="007C04C1"/>
    <w:rsid w:val="007C1C7F"/>
    <w:rsid w:val="007C20D1"/>
    <w:rsid w:val="007C4508"/>
    <w:rsid w:val="007C6CA5"/>
    <w:rsid w:val="007C6DB0"/>
    <w:rsid w:val="007D5765"/>
    <w:rsid w:val="007D5BFD"/>
    <w:rsid w:val="007D6B31"/>
    <w:rsid w:val="007D7B88"/>
    <w:rsid w:val="007D7C43"/>
    <w:rsid w:val="007D7E93"/>
    <w:rsid w:val="007E026F"/>
    <w:rsid w:val="007E2233"/>
    <w:rsid w:val="007E3228"/>
    <w:rsid w:val="007E3256"/>
    <w:rsid w:val="007E40FE"/>
    <w:rsid w:val="007E4A16"/>
    <w:rsid w:val="007E4BC6"/>
    <w:rsid w:val="007E631A"/>
    <w:rsid w:val="007E7B22"/>
    <w:rsid w:val="007F0FFA"/>
    <w:rsid w:val="007F17FF"/>
    <w:rsid w:val="007F1FAD"/>
    <w:rsid w:val="007F26BE"/>
    <w:rsid w:val="007F2F84"/>
    <w:rsid w:val="007F3203"/>
    <w:rsid w:val="007F4E3B"/>
    <w:rsid w:val="007F4F11"/>
    <w:rsid w:val="007F57AB"/>
    <w:rsid w:val="007F5B1A"/>
    <w:rsid w:val="007F62E1"/>
    <w:rsid w:val="007F6F39"/>
    <w:rsid w:val="00801330"/>
    <w:rsid w:val="00802455"/>
    <w:rsid w:val="00803099"/>
    <w:rsid w:val="00803C3A"/>
    <w:rsid w:val="008044E5"/>
    <w:rsid w:val="00805C63"/>
    <w:rsid w:val="00807626"/>
    <w:rsid w:val="00807DCD"/>
    <w:rsid w:val="00811207"/>
    <w:rsid w:val="008118A2"/>
    <w:rsid w:val="008166BC"/>
    <w:rsid w:val="00816D2E"/>
    <w:rsid w:val="00817B72"/>
    <w:rsid w:val="008200BD"/>
    <w:rsid w:val="008203C2"/>
    <w:rsid w:val="00820B98"/>
    <w:rsid w:val="00821582"/>
    <w:rsid w:val="00823668"/>
    <w:rsid w:val="00825828"/>
    <w:rsid w:val="00826003"/>
    <w:rsid w:val="008263A2"/>
    <w:rsid w:val="00826E5E"/>
    <w:rsid w:val="00827BD2"/>
    <w:rsid w:val="00827E50"/>
    <w:rsid w:val="00830454"/>
    <w:rsid w:val="00832B00"/>
    <w:rsid w:val="008351E4"/>
    <w:rsid w:val="008362E5"/>
    <w:rsid w:val="00837FAF"/>
    <w:rsid w:val="008428FC"/>
    <w:rsid w:val="0084361D"/>
    <w:rsid w:val="00843D3F"/>
    <w:rsid w:val="00843FEB"/>
    <w:rsid w:val="008461B3"/>
    <w:rsid w:val="008472C3"/>
    <w:rsid w:val="00847FBE"/>
    <w:rsid w:val="00850CDA"/>
    <w:rsid w:val="00852389"/>
    <w:rsid w:val="008527B6"/>
    <w:rsid w:val="00852F94"/>
    <w:rsid w:val="00853986"/>
    <w:rsid w:val="00853C9D"/>
    <w:rsid w:val="008547AD"/>
    <w:rsid w:val="00857AEE"/>
    <w:rsid w:val="00860112"/>
    <w:rsid w:val="00860538"/>
    <w:rsid w:val="008608BA"/>
    <w:rsid w:val="00860D25"/>
    <w:rsid w:val="00861454"/>
    <w:rsid w:val="00861849"/>
    <w:rsid w:val="008619D5"/>
    <w:rsid w:val="00862225"/>
    <w:rsid w:val="00862448"/>
    <w:rsid w:val="00862733"/>
    <w:rsid w:val="008639D0"/>
    <w:rsid w:val="00863D90"/>
    <w:rsid w:val="008641D9"/>
    <w:rsid w:val="00864A94"/>
    <w:rsid w:val="00866CB5"/>
    <w:rsid w:val="008719FE"/>
    <w:rsid w:val="00873E70"/>
    <w:rsid w:val="008742CA"/>
    <w:rsid w:val="00874A13"/>
    <w:rsid w:val="0087533B"/>
    <w:rsid w:val="0088333A"/>
    <w:rsid w:val="00884301"/>
    <w:rsid w:val="00886A81"/>
    <w:rsid w:val="00890A76"/>
    <w:rsid w:val="00892CEE"/>
    <w:rsid w:val="00893EE5"/>
    <w:rsid w:val="00893FBC"/>
    <w:rsid w:val="0089443D"/>
    <w:rsid w:val="00895804"/>
    <w:rsid w:val="00895B11"/>
    <w:rsid w:val="00895F7F"/>
    <w:rsid w:val="008960CE"/>
    <w:rsid w:val="008962BF"/>
    <w:rsid w:val="0089644B"/>
    <w:rsid w:val="008972E8"/>
    <w:rsid w:val="008A1EE1"/>
    <w:rsid w:val="008A232A"/>
    <w:rsid w:val="008A41A8"/>
    <w:rsid w:val="008A4C2C"/>
    <w:rsid w:val="008A4C38"/>
    <w:rsid w:val="008A57A2"/>
    <w:rsid w:val="008A6328"/>
    <w:rsid w:val="008A6EAD"/>
    <w:rsid w:val="008A74F1"/>
    <w:rsid w:val="008A7E78"/>
    <w:rsid w:val="008B0FC0"/>
    <w:rsid w:val="008B1D7A"/>
    <w:rsid w:val="008B2571"/>
    <w:rsid w:val="008B2870"/>
    <w:rsid w:val="008B50BF"/>
    <w:rsid w:val="008B7082"/>
    <w:rsid w:val="008C3672"/>
    <w:rsid w:val="008C3689"/>
    <w:rsid w:val="008C3989"/>
    <w:rsid w:val="008C5B93"/>
    <w:rsid w:val="008C7A18"/>
    <w:rsid w:val="008D012E"/>
    <w:rsid w:val="008D1976"/>
    <w:rsid w:val="008D418A"/>
    <w:rsid w:val="008D5410"/>
    <w:rsid w:val="008D5ED2"/>
    <w:rsid w:val="008E144C"/>
    <w:rsid w:val="008E1C0C"/>
    <w:rsid w:val="008E1DDC"/>
    <w:rsid w:val="008E1FB9"/>
    <w:rsid w:val="008E3502"/>
    <w:rsid w:val="008E3B74"/>
    <w:rsid w:val="008F2B04"/>
    <w:rsid w:val="008F6548"/>
    <w:rsid w:val="00901BD8"/>
    <w:rsid w:val="00901BE4"/>
    <w:rsid w:val="009030D3"/>
    <w:rsid w:val="0090325A"/>
    <w:rsid w:val="00903CA6"/>
    <w:rsid w:val="00905BA6"/>
    <w:rsid w:val="00906709"/>
    <w:rsid w:val="00906920"/>
    <w:rsid w:val="00907D4C"/>
    <w:rsid w:val="00910686"/>
    <w:rsid w:val="00910C95"/>
    <w:rsid w:val="00911F32"/>
    <w:rsid w:val="0091406A"/>
    <w:rsid w:val="00916D00"/>
    <w:rsid w:val="009203D3"/>
    <w:rsid w:val="0092221D"/>
    <w:rsid w:val="009231A8"/>
    <w:rsid w:val="009235FA"/>
    <w:rsid w:val="009272C7"/>
    <w:rsid w:val="009303D5"/>
    <w:rsid w:val="00930557"/>
    <w:rsid w:val="00930564"/>
    <w:rsid w:val="00930E6C"/>
    <w:rsid w:val="00930F83"/>
    <w:rsid w:val="00931B43"/>
    <w:rsid w:val="009323F3"/>
    <w:rsid w:val="0093514D"/>
    <w:rsid w:val="009357D1"/>
    <w:rsid w:val="00940934"/>
    <w:rsid w:val="00941E7D"/>
    <w:rsid w:val="009438A4"/>
    <w:rsid w:val="00945DB2"/>
    <w:rsid w:val="00947BC9"/>
    <w:rsid w:val="00947D1B"/>
    <w:rsid w:val="00947D2B"/>
    <w:rsid w:val="0095021C"/>
    <w:rsid w:val="00951340"/>
    <w:rsid w:val="0095193D"/>
    <w:rsid w:val="00951A92"/>
    <w:rsid w:val="00952391"/>
    <w:rsid w:val="009536CA"/>
    <w:rsid w:val="00953F13"/>
    <w:rsid w:val="00954003"/>
    <w:rsid w:val="00954649"/>
    <w:rsid w:val="00955214"/>
    <w:rsid w:val="00955E67"/>
    <w:rsid w:val="00956BC5"/>
    <w:rsid w:val="009608A8"/>
    <w:rsid w:val="00961FFB"/>
    <w:rsid w:val="0096378E"/>
    <w:rsid w:val="0096388D"/>
    <w:rsid w:val="009652B3"/>
    <w:rsid w:val="00967342"/>
    <w:rsid w:val="0097009A"/>
    <w:rsid w:val="009718B3"/>
    <w:rsid w:val="00971A44"/>
    <w:rsid w:val="00972912"/>
    <w:rsid w:val="0097394C"/>
    <w:rsid w:val="00973C93"/>
    <w:rsid w:val="00975DAA"/>
    <w:rsid w:val="0097645A"/>
    <w:rsid w:val="009774EB"/>
    <w:rsid w:val="00977C92"/>
    <w:rsid w:val="00981CEA"/>
    <w:rsid w:val="00982385"/>
    <w:rsid w:val="00982D3F"/>
    <w:rsid w:val="0098360E"/>
    <w:rsid w:val="00983767"/>
    <w:rsid w:val="00987E2C"/>
    <w:rsid w:val="009925E3"/>
    <w:rsid w:val="00994348"/>
    <w:rsid w:val="00995822"/>
    <w:rsid w:val="0099649D"/>
    <w:rsid w:val="00997AE9"/>
    <w:rsid w:val="00997B38"/>
    <w:rsid w:val="009A075C"/>
    <w:rsid w:val="009A1E62"/>
    <w:rsid w:val="009B08A6"/>
    <w:rsid w:val="009B2307"/>
    <w:rsid w:val="009B2701"/>
    <w:rsid w:val="009B2859"/>
    <w:rsid w:val="009B3342"/>
    <w:rsid w:val="009B37EB"/>
    <w:rsid w:val="009B40B9"/>
    <w:rsid w:val="009B40BF"/>
    <w:rsid w:val="009B711F"/>
    <w:rsid w:val="009B72C0"/>
    <w:rsid w:val="009C00B4"/>
    <w:rsid w:val="009C0235"/>
    <w:rsid w:val="009C2ED6"/>
    <w:rsid w:val="009C4374"/>
    <w:rsid w:val="009C6865"/>
    <w:rsid w:val="009D0BCD"/>
    <w:rsid w:val="009D192C"/>
    <w:rsid w:val="009D3165"/>
    <w:rsid w:val="009D3D0C"/>
    <w:rsid w:val="009D4B59"/>
    <w:rsid w:val="009D694F"/>
    <w:rsid w:val="009D6C84"/>
    <w:rsid w:val="009E05BD"/>
    <w:rsid w:val="009E5612"/>
    <w:rsid w:val="009E562F"/>
    <w:rsid w:val="009E6249"/>
    <w:rsid w:val="009E66D5"/>
    <w:rsid w:val="009F3846"/>
    <w:rsid w:val="009F41CB"/>
    <w:rsid w:val="009F4545"/>
    <w:rsid w:val="009F5CFA"/>
    <w:rsid w:val="009F67F3"/>
    <w:rsid w:val="00A004EE"/>
    <w:rsid w:val="00A00E7D"/>
    <w:rsid w:val="00A041CB"/>
    <w:rsid w:val="00A0456F"/>
    <w:rsid w:val="00A05AB0"/>
    <w:rsid w:val="00A06F0E"/>
    <w:rsid w:val="00A07E08"/>
    <w:rsid w:val="00A11D7D"/>
    <w:rsid w:val="00A135EC"/>
    <w:rsid w:val="00A14B08"/>
    <w:rsid w:val="00A15CBF"/>
    <w:rsid w:val="00A216CE"/>
    <w:rsid w:val="00A232CF"/>
    <w:rsid w:val="00A23F04"/>
    <w:rsid w:val="00A240CD"/>
    <w:rsid w:val="00A245CA"/>
    <w:rsid w:val="00A309DF"/>
    <w:rsid w:val="00A30B2A"/>
    <w:rsid w:val="00A3133E"/>
    <w:rsid w:val="00A31CB9"/>
    <w:rsid w:val="00A31CD5"/>
    <w:rsid w:val="00A321D0"/>
    <w:rsid w:val="00A328B7"/>
    <w:rsid w:val="00A32B71"/>
    <w:rsid w:val="00A33251"/>
    <w:rsid w:val="00A34A3E"/>
    <w:rsid w:val="00A353D7"/>
    <w:rsid w:val="00A36B8A"/>
    <w:rsid w:val="00A4433C"/>
    <w:rsid w:val="00A4673D"/>
    <w:rsid w:val="00A46C43"/>
    <w:rsid w:val="00A509C0"/>
    <w:rsid w:val="00A509DE"/>
    <w:rsid w:val="00A50D49"/>
    <w:rsid w:val="00A5236D"/>
    <w:rsid w:val="00A525FA"/>
    <w:rsid w:val="00A5269C"/>
    <w:rsid w:val="00A556A7"/>
    <w:rsid w:val="00A56310"/>
    <w:rsid w:val="00A56EFE"/>
    <w:rsid w:val="00A60D8A"/>
    <w:rsid w:val="00A618A8"/>
    <w:rsid w:val="00A63733"/>
    <w:rsid w:val="00A63966"/>
    <w:rsid w:val="00A64C13"/>
    <w:rsid w:val="00A64CA9"/>
    <w:rsid w:val="00A65936"/>
    <w:rsid w:val="00A6593D"/>
    <w:rsid w:val="00A668E2"/>
    <w:rsid w:val="00A70E14"/>
    <w:rsid w:val="00A71CD6"/>
    <w:rsid w:val="00A71DF6"/>
    <w:rsid w:val="00A730EF"/>
    <w:rsid w:val="00A73433"/>
    <w:rsid w:val="00A74415"/>
    <w:rsid w:val="00A74AB2"/>
    <w:rsid w:val="00A74E33"/>
    <w:rsid w:val="00A75012"/>
    <w:rsid w:val="00A751C1"/>
    <w:rsid w:val="00A75AFE"/>
    <w:rsid w:val="00A75E02"/>
    <w:rsid w:val="00A80786"/>
    <w:rsid w:val="00A81285"/>
    <w:rsid w:val="00A81466"/>
    <w:rsid w:val="00A81940"/>
    <w:rsid w:val="00A826D8"/>
    <w:rsid w:val="00A8530E"/>
    <w:rsid w:val="00A87C08"/>
    <w:rsid w:val="00A90FA4"/>
    <w:rsid w:val="00A921A7"/>
    <w:rsid w:val="00A93DA6"/>
    <w:rsid w:val="00A950AB"/>
    <w:rsid w:val="00A95AB0"/>
    <w:rsid w:val="00A96DE2"/>
    <w:rsid w:val="00A977FE"/>
    <w:rsid w:val="00AA023B"/>
    <w:rsid w:val="00AA0E7F"/>
    <w:rsid w:val="00AA1262"/>
    <w:rsid w:val="00AA6027"/>
    <w:rsid w:val="00AA65C0"/>
    <w:rsid w:val="00AB0FAE"/>
    <w:rsid w:val="00AB15AD"/>
    <w:rsid w:val="00AB16CF"/>
    <w:rsid w:val="00AB24C3"/>
    <w:rsid w:val="00AB3664"/>
    <w:rsid w:val="00AB4052"/>
    <w:rsid w:val="00AB4E26"/>
    <w:rsid w:val="00AB5053"/>
    <w:rsid w:val="00AB53AF"/>
    <w:rsid w:val="00AB56C1"/>
    <w:rsid w:val="00AB5D4C"/>
    <w:rsid w:val="00AB7737"/>
    <w:rsid w:val="00AB7CF2"/>
    <w:rsid w:val="00AC1AFF"/>
    <w:rsid w:val="00AC22CC"/>
    <w:rsid w:val="00AC3C18"/>
    <w:rsid w:val="00AC4174"/>
    <w:rsid w:val="00AC448D"/>
    <w:rsid w:val="00AC65F2"/>
    <w:rsid w:val="00AC6D38"/>
    <w:rsid w:val="00AC7358"/>
    <w:rsid w:val="00AC75FA"/>
    <w:rsid w:val="00AD21C8"/>
    <w:rsid w:val="00AD3120"/>
    <w:rsid w:val="00AD47C4"/>
    <w:rsid w:val="00AD6E81"/>
    <w:rsid w:val="00AE0540"/>
    <w:rsid w:val="00AE07B7"/>
    <w:rsid w:val="00AE1979"/>
    <w:rsid w:val="00AE5D31"/>
    <w:rsid w:val="00AE61E2"/>
    <w:rsid w:val="00AF10D3"/>
    <w:rsid w:val="00AF135F"/>
    <w:rsid w:val="00AF1A65"/>
    <w:rsid w:val="00AF20EE"/>
    <w:rsid w:val="00AF4E4D"/>
    <w:rsid w:val="00AF536A"/>
    <w:rsid w:val="00AF55D4"/>
    <w:rsid w:val="00AF5F66"/>
    <w:rsid w:val="00AF68B0"/>
    <w:rsid w:val="00AF6F7F"/>
    <w:rsid w:val="00B00912"/>
    <w:rsid w:val="00B050CB"/>
    <w:rsid w:val="00B054CC"/>
    <w:rsid w:val="00B058B8"/>
    <w:rsid w:val="00B05C8E"/>
    <w:rsid w:val="00B114D7"/>
    <w:rsid w:val="00B120C2"/>
    <w:rsid w:val="00B146E0"/>
    <w:rsid w:val="00B14E4F"/>
    <w:rsid w:val="00B15653"/>
    <w:rsid w:val="00B168A2"/>
    <w:rsid w:val="00B16CA9"/>
    <w:rsid w:val="00B20CF0"/>
    <w:rsid w:val="00B21642"/>
    <w:rsid w:val="00B24014"/>
    <w:rsid w:val="00B25073"/>
    <w:rsid w:val="00B260DE"/>
    <w:rsid w:val="00B2647F"/>
    <w:rsid w:val="00B26ED6"/>
    <w:rsid w:val="00B27A59"/>
    <w:rsid w:val="00B3192B"/>
    <w:rsid w:val="00B342CE"/>
    <w:rsid w:val="00B34399"/>
    <w:rsid w:val="00B347C1"/>
    <w:rsid w:val="00B37C71"/>
    <w:rsid w:val="00B4035B"/>
    <w:rsid w:val="00B41549"/>
    <w:rsid w:val="00B41D2D"/>
    <w:rsid w:val="00B420B4"/>
    <w:rsid w:val="00B43DCF"/>
    <w:rsid w:val="00B44E80"/>
    <w:rsid w:val="00B45313"/>
    <w:rsid w:val="00B4557A"/>
    <w:rsid w:val="00B46959"/>
    <w:rsid w:val="00B46C9B"/>
    <w:rsid w:val="00B51210"/>
    <w:rsid w:val="00B528FA"/>
    <w:rsid w:val="00B53567"/>
    <w:rsid w:val="00B5382F"/>
    <w:rsid w:val="00B54F78"/>
    <w:rsid w:val="00B564AB"/>
    <w:rsid w:val="00B56692"/>
    <w:rsid w:val="00B57692"/>
    <w:rsid w:val="00B57F2A"/>
    <w:rsid w:val="00B60710"/>
    <w:rsid w:val="00B61A24"/>
    <w:rsid w:val="00B637B5"/>
    <w:rsid w:val="00B64620"/>
    <w:rsid w:val="00B64AE4"/>
    <w:rsid w:val="00B66317"/>
    <w:rsid w:val="00B66B44"/>
    <w:rsid w:val="00B704EA"/>
    <w:rsid w:val="00B7197A"/>
    <w:rsid w:val="00B71A90"/>
    <w:rsid w:val="00B73A5A"/>
    <w:rsid w:val="00B7464C"/>
    <w:rsid w:val="00B758F0"/>
    <w:rsid w:val="00B75F7C"/>
    <w:rsid w:val="00B77932"/>
    <w:rsid w:val="00B80CF8"/>
    <w:rsid w:val="00B8266F"/>
    <w:rsid w:val="00B8613B"/>
    <w:rsid w:val="00B901EA"/>
    <w:rsid w:val="00B90F5F"/>
    <w:rsid w:val="00B92622"/>
    <w:rsid w:val="00B92E90"/>
    <w:rsid w:val="00B9604A"/>
    <w:rsid w:val="00B97BF5"/>
    <w:rsid w:val="00BA1040"/>
    <w:rsid w:val="00BA156C"/>
    <w:rsid w:val="00BA18BF"/>
    <w:rsid w:val="00BA43E8"/>
    <w:rsid w:val="00BA7AFF"/>
    <w:rsid w:val="00BB063A"/>
    <w:rsid w:val="00BB07C1"/>
    <w:rsid w:val="00BB2255"/>
    <w:rsid w:val="00BB3E23"/>
    <w:rsid w:val="00BB595F"/>
    <w:rsid w:val="00BB5AD7"/>
    <w:rsid w:val="00BB6A00"/>
    <w:rsid w:val="00BB7F7C"/>
    <w:rsid w:val="00BC2F52"/>
    <w:rsid w:val="00BC327C"/>
    <w:rsid w:val="00BC3615"/>
    <w:rsid w:val="00BC4B5F"/>
    <w:rsid w:val="00BD4F15"/>
    <w:rsid w:val="00BD5A9F"/>
    <w:rsid w:val="00BD5FD0"/>
    <w:rsid w:val="00BD7D3E"/>
    <w:rsid w:val="00BD7F4C"/>
    <w:rsid w:val="00BE048E"/>
    <w:rsid w:val="00BE12E3"/>
    <w:rsid w:val="00BE2864"/>
    <w:rsid w:val="00BE5063"/>
    <w:rsid w:val="00BE639F"/>
    <w:rsid w:val="00BF0934"/>
    <w:rsid w:val="00BF20BC"/>
    <w:rsid w:val="00BF2E11"/>
    <w:rsid w:val="00BF48F3"/>
    <w:rsid w:val="00BF5B42"/>
    <w:rsid w:val="00BF6187"/>
    <w:rsid w:val="00BF661F"/>
    <w:rsid w:val="00BF75F6"/>
    <w:rsid w:val="00BF7AC3"/>
    <w:rsid w:val="00C01F64"/>
    <w:rsid w:val="00C05A2D"/>
    <w:rsid w:val="00C06898"/>
    <w:rsid w:val="00C075C8"/>
    <w:rsid w:val="00C11CB3"/>
    <w:rsid w:val="00C13F73"/>
    <w:rsid w:val="00C141D4"/>
    <w:rsid w:val="00C16669"/>
    <w:rsid w:val="00C21922"/>
    <w:rsid w:val="00C224EA"/>
    <w:rsid w:val="00C23125"/>
    <w:rsid w:val="00C23778"/>
    <w:rsid w:val="00C25452"/>
    <w:rsid w:val="00C25519"/>
    <w:rsid w:val="00C256F9"/>
    <w:rsid w:val="00C275A7"/>
    <w:rsid w:val="00C27BA9"/>
    <w:rsid w:val="00C300C0"/>
    <w:rsid w:val="00C343D4"/>
    <w:rsid w:val="00C344A3"/>
    <w:rsid w:val="00C355B3"/>
    <w:rsid w:val="00C35D47"/>
    <w:rsid w:val="00C35F9A"/>
    <w:rsid w:val="00C36282"/>
    <w:rsid w:val="00C3764C"/>
    <w:rsid w:val="00C40196"/>
    <w:rsid w:val="00C40B80"/>
    <w:rsid w:val="00C41BD1"/>
    <w:rsid w:val="00C432EC"/>
    <w:rsid w:val="00C44835"/>
    <w:rsid w:val="00C44E2B"/>
    <w:rsid w:val="00C46EED"/>
    <w:rsid w:val="00C50A07"/>
    <w:rsid w:val="00C53B0F"/>
    <w:rsid w:val="00C55295"/>
    <w:rsid w:val="00C56298"/>
    <w:rsid w:val="00C63844"/>
    <w:rsid w:val="00C64BD4"/>
    <w:rsid w:val="00C65037"/>
    <w:rsid w:val="00C65335"/>
    <w:rsid w:val="00C655B8"/>
    <w:rsid w:val="00C664F6"/>
    <w:rsid w:val="00C665CE"/>
    <w:rsid w:val="00C70692"/>
    <w:rsid w:val="00C70B7A"/>
    <w:rsid w:val="00C71D30"/>
    <w:rsid w:val="00C71E88"/>
    <w:rsid w:val="00C73166"/>
    <w:rsid w:val="00C738B1"/>
    <w:rsid w:val="00C73A84"/>
    <w:rsid w:val="00C73ACA"/>
    <w:rsid w:val="00C73F65"/>
    <w:rsid w:val="00C7451F"/>
    <w:rsid w:val="00C75AC6"/>
    <w:rsid w:val="00C75E69"/>
    <w:rsid w:val="00C76E81"/>
    <w:rsid w:val="00C76E95"/>
    <w:rsid w:val="00C7727E"/>
    <w:rsid w:val="00C77298"/>
    <w:rsid w:val="00C77769"/>
    <w:rsid w:val="00C810E3"/>
    <w:rsid w:val="00C82116"/>
    <w:rsid w:val="00C82850"/>
    <w:rsid w:val="00C8327F"/>
    <w:rsid w:val="00C8412C"/>
    <w:rsid w:val="00C85C8C"/>
    <w:rsid w:val="00C90403"/>
    <w:rsid w:val="00C91F28"/>
    <w:rsid w:val="00C924F1"/>
    <w:rsid w:val="00C93407"/>
    <w:rsid w:val="00C94C18"/>
    <w:rsid w:val="00C96008"/>
    <w:rsid w:val="00CA1AD2"/>
    <w:rsid w:val="00CA34DB"/>
    <w:rsid w:val="00CA4E88"/>
    <w:rsid w:val="00CB0065"/>
    <w:rsid w:val="00CB1A99"/>
    <w:rsid w:val="00CB34F9"/>
    <w:rsid w:val="00CB38D8"/>
    <w:rsid w:val="00CB38FC"/>
    <w:rsid w:val="00CB480F"/>
    <w:rsid w:val="00CB7560"/>
    <w:rsid w:val="00CB78B3"/>
    <w:rsid w:val="00CB7C39"/>
    <w:rsid w:val="00CC0EED"/>
    <w:rsid w:val="00CC2E15"/>
    <w:rsid w:val="00CC3146"/>
    <w:rsid w:val="00CC3D5A"/>
    <w:rsid w:val="00CC3E32"/>
    <w:rsid w:val="00CC507F"/>
    <w:rsid w:val="00CC552F"/>
    <w:rsid w:val="00CC74D1"/>
    <w:rsid w:val="00CC7D04"/>
    <w:rsid w:val="00CD0292"/>
    <w:rsid w:val="00CD0C21"/>
    <w:rsid w:val="00CD10EE"/>
    <w:rsid w:val="00CD4BE8"/>
    <w:rsid w:val="00CD4C28"/>
    <w:rsid w:val="00CD5E1A"/>
    <w:rsid w:val="00CD77C6"/>
    <w:rsid w:val="00CE0379"/>
    <w:rsid w:val="00CE15CE"/>
    <w:rsid w:val="00CE3376"/>
    <w:rsid w:val="00CE4103"/>
    <w:rsid w:val="00CE4B96"/>
    <w:rsid w:val="00CE5362"/>
    <w:rsid w:val="00CE70F7"/>
    <w:rsid w:val="00CE7A8C"/>
    <w:rsid w:val="00CF2C69"/>
    <w:rsid w:val="00CF3CC9"/>
    <w:rsid w:val="00CF42E3"/>
    <w:rsid w:val="00CF435A"/>
    <w:rsid w:val="00CF6841"/>
    <w:rsid w:val="00CF7C2B"/>
    <w:rsid w:val="00D0074A"/>
    <w:rsid w:val="00D036A4"/>
    <w:rsid w:val="00D03C44"/>
    <w:rsid w:val="00D04D05"/>
    <w:rsid w:val="00D056C1"/>
    <w:rsid w:val="00D05907"/>
    <w:rsid w:val="00D05D74"/>
    <w:rsid w:val="00D0698A"/>
    <w:rsid w:val="00D070BD"/>
    <w:rsid w:val="00D074F7"/>
    <w:rsid w:val="00D107D6"/>
    <w:rsid w:val="00D11A3D"/>
    <w:rsid w:val="00D11B09"/>
    <w:rsid w:val="00D14966"/>
    <w:rsid w:val="00D15F27"/>
    <w:rsid w:val="00D16394"/>
    <w:rsid w:val="00D16558"/>
    <w:rsid w:val="00D219E6"/>
    <w:rsid w:val="00D22423"/>
    <w:rsid w:val="00D22479"/>
    <w:rsid w:val="00D22977"/>
    <w:rsid w:val="00D23125"/>
    <w:rsid w:val="00D24080"/>
    <w:rsid w:val="00D242CE"/>
    <w:rsid w:val="00D25898"/>
    <w:rsid w:val="00D30DA5"/>
    <w:rsid w:val="00D34266"/>
    <w:rsid w:val="00D36F2F"/>
    <w:rsid w:val="00D3757F"/>
    <w:rsid w:val="00D42492"/>
    <w:rsid w:val="00D53BE7"/>
    <w:rsid w:val="00D53F3D"/>
    <w:rsid w:val="00D54736"/>
    <w:rsid w:val="00D556C1"/>
    <w:rsid w:val="00D5587F"/>
    <w:rsid w:val="00D55973"/>
    <w:rsid w:val="00D55A52"/>
    <w:rsid w:val="00D56E4B"/>
    <w:rsid w:val="00D63BC9"/>
    <w:rsid w:val="00D6599E"/>
    <w:rsid w:val="00D65F92"/>
    <w:rsid w:val="00D67673"/>
    <w:rsid w:val="00D72338"/>
    <w:rsid w:val="00D72910"/>
    <w:rsid w:val="00D7410A"/>
    <w:rsid w:val="00D74135"/>
    <w:rsid w:val="00D75E25"/>
    <w:rsid w:val="00D7633B"/>
    <w:rsid w:val="00D76BE3"/>
    <w:rsid w:val="00D77019"/>
    <w:rsid w:val="00D772F6"/>
    <w:rsid w:val="00D817BC"/>
    <w:rsid w:val="00D83874"/>
    <w:rsid w:val="00D86DF5"/>
    <w:rsid w:val="00D87742"/>
    <w:rsid w:val="00D87823"/>
    <w:rsid w:val="00D9450E"/>
    <w:rsid w:val="00D94934"/>
    <w:rsid w:val="00D95E1A"/>
    <w:rsid w:val="00D9679B"/>
    <w:rsid w:val="00DA106E"/>
    <w:rsid w:val="00DA1848"/>
    <w:rsid w:val="00DA1C8D"/>
    <w:rsid w:val="00DA2B0A"/>
    <w:rsid w:val="00DA38C9"/>
    <w:rsid w:val="00DA3BB9"/>
    <w:rsid w:val="00DA3EE5"/>
    <w:rsid w:val="00DA3F0C"/>
    <w:rsid w:val="00DA49A7"/>
    <w:rsid w:val="00DA4D35"/>
    <w:rsid w:val="00DA4E74"/>
    <w:rsid w:val="00DA5BD4"/>
    <w:rsid w:val="00DA5E8F"/>
    <w:rsid w:val="00DA6849"/>
    <w:rsid w:val="00DA6CA1"/>
    <w:rsid w:val="00DA70F6"/>
    <w:rsid w:val="00DA7190"/>
    <w:rsid w:val="00DB0274"/>
    <w:rsid w:val="00DB2116"/>
    <w:rsid w:val="00DB227B"/>
    <w:rsid w:val="00DB3B1A"/>
    <w:rsid w:val="00DB57D8"/>
    <w:rsid w:val="00DB5B6A"/>
    <w:rsid w:val="00DB5D15"/>
    <w:rsid w:val="00DB741D"/>
    <w:rsid w:val="00DC38A3"/>
    <w:rsid w:val="00DC480C"/>
    <w:rsid w:val="00DC6267"/>
    <w:rsid w:val="00DC73FA"/>
    <w:rsid w:val="00DC749A"/>
    <w:rsid w:val="00DD2BE6"/>
    <w:rsid w:val="00DD5743"/>
    <w:rsid w:val="00DD5CE1"/>
    <w:rsid w:val="00DD65F7"/>
    <w:rsid w:val="00DD7838"/>
    <w:rsid w:val="00DD7F67"/>
    <w:rsid w:val="00DE0EE9"/>
    <w:rsid w:val="00DE14FD"/>
    <w:rsid w:val="00DE508B"/>
    <w:rsid w:val="00DE5095"/>
    <w:rsid w:val="00DE5285"/>
    <w:rsid w:val="00DE5E67"/>
    <w:rsid w:val="00DE6C6A"/>
    <w:rsid w:val="00DE6D93"/>
    <w:rsid w:val="00DE72BA"/>
    <w:rsid w:val="00DF06CB"/>
    <w:rsid w:val="00DF1408"/>
    <w:rsid w:val="00DF15D0"/>
    <w:rsid w:val="00DF1C81"/>
    <w:rsid w:val="00DF1D87"/>
    <w:rsid w:val="00DF2D06"/>
    <w:rsid w:val="00DF3511"/>
    <w:rsid w:val="00DF42A6"/>
    <w:rsid w:val="00DF476A"/>
    <w:rsid w:val="00DF493D"/>
    <w:rsid w:val="00DF5193"/>
    <w:rsid w:val="00DF5EB3"/>
    <w:rsid w:val="00DF6598"/>
    <w:rsid w:val="00E008B6"/>
    <w:rsid w:val="00E01527"/>
    <w:rsid w:val="00E01C90"/>
    <w:rsid w:val="00E03259"/>
    <w:rsid w:val="00E04C81"/>
    <w:rsid w:val="00E0697F"/>
    <w:rsid w:val="00E109D5"/>
    <w:rsid w:val="00E13266"/>
    <w:rsid w:val="00E1545B"/>
    <w:rsid w:val="00E15FF7"/>
    <w:rsid w:val="00E16210"/>
    <w:rsid w:val="00E168EC"/>
    <w:rsid w:val="00E17231"/>
    <w:rsid w:val="00E21D03"/>
    <w:rsid w:val="00E21D31"/>
    <w:rsid w:val="00E22D2A"/>
    <w:rsid w:val="00E23C11"/>
    <w:rsid w:val="00E24DC4"/>
    <w:rsid w:val="00E257BD"/>
    <w:rsid w:val="00E25DE4"/>
    <w:rsid w:val="00E262B8"/>
    <w:rsid w:val="00E306AC"/>
    <w:rsid w:val="00E31CE2"/>
    <w:rsid w:val="00E320F0"/>
    <w:rsid w:val="00E337D3"/>
    <w:rsid w:val="00E35ACE"/>
    <w:rsid w:val="00E37712"/>
    <w:rsid w:val="00E43986"/>
    <w:rsid w:val="00E47B89"/>
    <w:rsid w:val="00E50052"/>
    <w:rsid w:val="00E5154C"/>
    <w:rsid w:val="00E52370"/>
    <w:rsid w:val="00E527B6"/>
    <w:rsid w:val="00E52ECF"/>
    <w:rsid w:val="00E53F1C"/>
    <w:rsid w:val="00E55A5B"/>
    <w:rsid w:val="00E55BAB"/>
    <w:rsid w:val="00E56C77"/>
    <w:rsid w:val="00E60726"/>
    <w:rsid w:val="00E62C70"/>
    <w:rsid w:val="00E64BF3"/>
    <w:rsid w:val="00E67979"/>
    <w:rsid w:val="00E67D42"/>
    <w:rsid w:val="00E71646"/>
    <w:rsid w:val="00E716BB"/>
    <w:rsid w:val="00E75BFE"/>
    <w:rsid w:val="00E76A99"/>
    <w:rsid w:val="00E772E8"/>
    <w:rsid w:val="00E809D8"/>
    <w:rsid w:val="00E81A3B"/>
    <w:rsid w:val="00E8292C"/>
    <w:rsid w:val="00E82D69"/>
    <w:rsid w:val="00E83DF5"/>
    <w:rsid w:val="00E83E33"/>
    <w:rsid w:val="00E84925"/>
    <w:rsid w:val="00E849D3"/>
    <w:rsid w:val="00E854D6"/>
    <w:rsid w:val="00E92197"/>
    <w:rsid w:val="00E92A27"/>
    <w:rsid w:val="00E93D28"/>
    <w:rsid w:val="00E970F1"/>
    <w:rsid w:val="00EA0149"/>
    <w:rsid w:val="00EA1EEE"/>
    <w:rsid w:val="00EA23D1"/>
    <w:rsid w:val="00EA2DEF"/>
    <w:rsid w:val="00EA3B14"/>
    <w:rsid w:val="00EA46ED"/>
    <w:rsid w:val="00EA68DA"/>
    <w:rsid w:val="00EA71BC"/>
    <w:rsid w:val="00EA735B"/>
    <w:rsid w:val="00EB0777"/>
    <w:rsid w:val="00EB0F5F"/>
    <w:rsid w:val="00EB1098"/>
    <w:rsid w:val="00EB1CA1"/>
    <w:rsid w:val="00EB2BFF"/>
    <w:rsid w:val="00EB3F17"/>
    <w:rsid w:val="00EB4CF4"/>
    <w:rsid w:val="00EB5BA7"/>
    <w:rsid w:val="00EB6C3A"/>
    <w:rsid w:val="00EC1734"/>
    <w:rsid w:val="00EC3A4F"/>
    <w:rsid w:val="00EC5266"/>
    <w:rsid w:val="00EC6474"/>
    <w:rsid w:val="00EC7D21"/>
    <w:rsid w:val="00ED0BAC"/>
    <w:rsid w:val="00ED21B7"/>
    <w:rsid w:val="00ED2F0A"/>
    <w:rsid w:val="00ED352B"/>
    <w:rsid w:val="00ED52EA"/>
    <w:rsid w:val="00ED5A75"/>
    <w:rsid w:val="00ED6085"/>
    <w:rsid w:val="00ED725A"/>
    <w:rsid w:val="00EE0159"/>
    <w:rsid w:val="00EE189F"/>
    <w:rsid w:val="00EE2C12"/>
    <w:rsid w:val="00EE452E"/>
    <w:rsid w:val="00EE4992"/>
    <w:rsid w:val="00EE5D92"/>
    <w:rsid w:val="00EE7014"/>
    <w:rsid w:val="00EE71B3"/>
    <w:rsid w:val="00EE7755"/>
    <w:rsid w:val="00EE7807"/>
    <w:rsid w:val="00EF2F2F"/>
    <w:rsid w:val="00EF3E5C"/>
    <w:rsid w:val="00EF4701"/>
    <w:rsid w:val="00EF4720"/>
    <w:rsid w:val="00EF6289"/>
    <w:rsid w:val="00EF6BBD"/>
    <w:rsid w:val="00EF7D2C"/>
    <w:rsid w:val="00EF7DC3"/>
    <w:rsid w:val="00F006A7"/>
    <w:rsid w:val="00F00E67"/>
    <w:rsid w:val="00F0140B"/>
    <w:rsid w:val="00F02910"/>
    <w:rsid w:val="00F02F24"/>
    <w:rsid w:val="00F062D9"/>
    <w:rsid w:val="00F06982"/>
    <w:rsid w:val="00F0704D"/>
    <w:rsid w:val="00F07124"/>
    <w:rsid w:val="00F07DD6"/>
    <w:rsid w:val="00F11118"/>
    <w:rsid w:val="00F1647C"/>
    <w:rsid w:val="00F164E0"/>
    <w:rsid w:val="00F213BB"/>
    <w:rsid w:val="00F22DB7"/>
    <w:rsid w:val="00F23133"/>
    <w:rsid w:val="00F23C2B"/>
    <w:rsid w:val="00F26B13"/>
    <w:rsid w:val="00F31467"/>
    <w:rsid w:val="00F32FE1"/>
    <w:rsid w:val="00F336A7"/>
    <w:rsid w:val="00F34AF8"/>
    <w:rsid w:val="00F36CF0"/>
    <w:rsid w:val="00F379A0"/>
    <w:rsid w:val="00F41640"/>
    <w:rsid w:val="00F420AF"/>
    <w:rsid w:val="00F4372A"/>
    <w:rsid w:val="00F459D8"/>
    <w:rsid w:val="00F45B35"/>
    <w:rsid w:val="00F45B82"/>
    <w:rsid w:val="00F50BDB"/>
    <w:rsid w:val="00F51095"/>
    <w:rsid w:val="00F51644"/>
    <w:rsid w:val="00F52560"/>
    <w:rsid w:val="00F5295F"/>
    <w:rsid w:val="00F5396F"/>
    <w:rsid w:val="00F539D5"/>
    <w:rsid w:val="00F53A5A"/>
    <w:rsid w:val="00F54A0E"/>
    <w:rsid w:val="00F551AB"/>
    <w:rsid w:val="00F55D0E"/>
    <w:rsid w:val="00F56B74"/>
    <w:rsid w:val="00F57018"/>
    <w:rsid w:val="00F6124E"/>
    <w:rsid w:val="00F62934"/>
    <w:rsid w:val="00F64010"/>
    <w:rsid w:val="00F648DA"/>
    <w:rsid w:val="00F673C3"/>
    <w:rsid w:val="00F6782D"/>
    <w:rsid w:val="00F67F16"/>
    <w:rsid w:val="00F700F6"/>
    <w:rsid w:val="00F7031D"/>
    <w:rsid w:val="00F7069B"/>
    <w:rsid w:val="00F70B57"/>
    <w:rsid w:val="00F7108B"/>
    <w:rsid w:val="00F71F2B"/>
    <w:rsid w:val="00F734A8"/>
    <w:rsid w:val="00F7379B"/>
    <w:rsid w:val="00F73A4C"/>
    <w:rsid w:val="00F73D14"/>
    <w:rsid w:val="00F74797"/>
    <w:rsid w:val="00F755AC"/>
    <w:rsid w:val="00F758ED"/>
    <w:rsid w:val="00F764B4"/>
    <w:rsid w:val="00F765E1"/>
    <w:rsid w:val="00F80083"/>
    <w:rsid w:val="00F82640"/>
    <w:rsid w:val="00F82A91"/>
    <w:rsid w:val="00F83DA7"/>
    <w:rsid w:val="00F84EBD"/>
    <w:rsid w:val="00F86A82"/>
    <w:rsid w:val="00F90D75"/>
    <w:rsid w:val="00F90FD6"/>
    <w:rsid w:val="00F914B3"/>
    <w:rsid w:val="00F916CE"/>
    <w:rsid w:val="00F91CAF"/>
    <w:rsid w:val="00F91E56"/>
    <w:rsid w:val="00F91EC2"/>
    <w:rsid w:val="00F92520"/>
    <w:rsid w:val="00F92578"/>
    <w:rsid w:val="00F92EB7"/>
    <w:rsid w:val="00F9485F"/>
    <w:rsid w:val="00F94C27"/>
    <w:rsid w:val="00F95574"/>
    <w:rsid w:val="00F969FC"/>
    <w:rsid w:val="00F96D62"/>
    <w:rsid w:val="00FA3E04"/>
    <w:rsid w:val="00FA6822"/>
    <w:rsid w:val="00FA6E19"/>
    <w:rsid w:val="00FA6EC0"/>
    <w:rsid w:val="00FA7E6F"/>
    <w:rsid w:val="00FA7F3A"/>
    <w:rsid w:val="00FB1865"/>
    <w:rsid w:val="00FB1FF6"/>
    <w:rsid w:val="00FB2796"/>
    <w:rsid w:val="00FB3A24"/>
    <w:rsid w:val="00FB4E42"/>
    <w:rsid w:val="00FB6ADE"/>
    <w:rsid w:val="00FC01BC"/>
    <w:rsid w:val="00FC28AD"/>
    <w:rsid w:val="00FC3F64"/>
    <w:rsid w:val="00FC40F7"/>
    <w:rsid w:val="00FC4F67"/>
    <w:rsid w:val="00FC6F14"/>
    <w:rsid w:val="00FD0280"/>
    <w:rsid w:val="00FD02A9"/>
    <w:rsid w:val="00FD0322"/>
    <w:rsid w:val="00FD206E"/>
    <w:rsid w:val="00FD2528"/>
    <w:rsid w:val="00FD4D1F"/>
    <w:rsid w:val="00FD53B4"/>
    <w:rsid w:val="00FE021A"/>
    <w:rsid w:val="00FE1065"/>
    <w:rsid w:val="00FE20E0"/>
    <w:rsid w:val="00FE2596"/>
    <w:rsid w:val="00FE307C"/>
    <w:rsid w:val="00FE5922"/>
    <w:rsid w:val="00FE5D21"/>
    <w:rsid w:val="00FE65F0"/>
    <w:rsid w:val="00FE6D8E"/>
    <w:rsid w:val="00FE6FDD"/>
    <w:rsid w:val="00FE7ABF"/>
    <w:rsid w:val="00FF3991"/>
    <w:rsid w:val="00FF517B"/>
    <w:rsid w:val="00FF7080"/>
    <w:rsid w:val="01A06A81"/>
    <w:rsid w:val="025B51B1"/>
    <w:rsid w:val="02CF12E3"/>
    <w:rsid w:val="03A63B53"/>
    <w:rsid w:val="03AC54F3"/>
    <w:rsid w:val="03FDF06F"/>
    <w:rsid w:val="0526F917"/>
    <w:rsid w:val="05368218"/>
    <w:rsid w:val="05854880"/>
    <w:rsid w:val="05B5AAAD"/>
    <w:rsid w:val="05E62D95"/>
    <w:rsid w:val="05ECCB68"/>
    <w:rsid w:val="06449B5D"/>
    <w:rsid w:val="06F97C6F"/>
    <w:rsid w:val="07D39D7A"/>
    <w:rsid w:val="082FEA81"/>
    <w:rsid w:val="0BEAE1C9"/>
    <w:rsid w:val="0C7127C4"/>
    <w:rsid w:val="0DAC5A99"/>
    <w:rsid w:val="17B7D7C6"/>
    <w:rsid w:val="18CE5CFF"/>
    <w:rsid w:val="19E9DB41"/>
    <w:rsid w:val="1A293280"/>
    <w:rsid w:val="1AA2F0C7"/>
    <w:rsid w:val="1B1583BA"/>
    <w:rsid w:val="1B17FB1A"/>
    <w:rsid w:val="1B4543C3"/>
    <w:rsid w:val="1B9EB95D"/>
    <w:rsid w:val="1E30ADD1"/>
    <w:rsid w:val="1E959115"/>
    <w:rsid w:val="221900E8"/>
    <w:rsid w:val="2257C15C"/>
    <w:rsid w:val="2504D299"/>
    <w:rsid w:val="256864E5"/>
    <w:rsid w:val="2759C562"/>
    <w:rsid w:val="279B2F1B"/>
    <w:rsid w:val="28DE8C7C"/>
    <w:rsid w:val="29B08669"/>
    <w:rsid w:val="2C2AB101"/>
    <w:rsid w:val="2CBE6066"/>
    <w:rsid w:val="2CC4949B"/>
    <w:rsid w:val="2D1EB52B"/>
    <w:rsid w:val="2D5A4E6D"/>
    <w:rsid w:val="2DBFEA0A"/>
    <w:rsid w:val="2E638F87"/>
    <w:rsid w:val="2E8F28A1"/>
    <w:rsid w:val="2EAAF629"/>
    <w:rsid w:val="3015B053"/>
    <w:rsid w:val="32A543A7"/>
    <w:rsid w:val="32BDF037"/>
    <w:rsid w:val="3499592E"/>
    <w:rsid w:val="34BFA531"/>
    <w:rsid w:val="36A58BED"/>
    <w:rsid w:val="376B3A03"/>
    <w:rsid w:val="37731A23"/>
    <w:rsid w:val="38415C4E"/>
    <w:rsid w:val="38E37DAF"/>
    <w:rsid w:val="394CFC08"/>
    <w:rsid w:val="395C42BB"/>
    <w:rsid w:val="3993D44A"/>
    <w:rsid w:val="3A509811"/>
    <w:rsid w:val="3CB78180"/>
    <w:rsid w:val="3F37CB3C"/>
    <w:rsid w:val="431E7DF0"/>
    <w:rsid w:val="43679512"/>
    <w:rsid w:val="4482C064"/>
    <w:rsid w:val="45C41273"/>
    <w:rsid w:val="4679376B"/>
    <w:rsid w:val="4693F264"/>
    <w:rsid w:val="46A30327"/>
    <w:rsid w:val="470619A6"/>
    <w:rsid w:val="478A5105"/>
    <w:rsid w:val="482FC2C5"/>
    <w:rsid w:val="4A852AE2"/>
    <w:rsid w:val="4AC4B8C4"/>
    <w:rsid w:val="4DA70CCD"/>
    <w:rsid w:val="4DF0E769"/>
    <w:rsid w:val="4F07DD3F"/>
    <w:rsid w:val="4F875FEF"/>
    <w:rsid w:val="4F964A04"/>
    <w:rsid w:val="5022EAE4"/>
    <w:rsid w:val="5074850F"/>
    <w:rsid w:val="512E979D"/>
    <w:rsid w:val="526A7155"/>
    <w:rsid w:val="5319C5FE"/>
    <w:rsid w:val="53685DD2"/>
    <w:rsid w:val="5474EB73"/>
    <w:rsid w:val="54AB895D"/>
    <w:rsid w:val="5604D5DF"/>
    <w:rsid w:val="5629D0AB"/>
    <w:rsid w:val="56306803"/>
    <w:rsid w:val="56514029"/>
    <w:rsid w:val="5850BDDA"/>
    <w:rsid w:val="58C2B521"/>
    <w:rsid w:val="59483E78"/>
    <w:rsid w:val="59AB7199"/>
    <w:rsid w:val="5B10E1DF"/>
    <w:rsid w:val="5B66102C"/>
    <w:rsid w:val="5BDD1F44"/>
    <w:rsid w:val="5BE184BF"/>
    <w:rsid w:val="5C6732AA"/>
    <w:rsid w:val="5D416BDD"/>
    <w:rsid w:val="5DF0F353"/>
    <w:rsid w:val="5F9CAE43"/>
    <w:rsid w:val="604E5293"/>
    <w:rsid w:val="60EE38BE"/>
    <w:rsid w:val="619DBA4C"/>
    <w:rsid w:val="625AE61E"/>
    <w:rsid w:val="631C0295"/>
    <w:rsid w:val="64591C32"/>
    <w:rsid w:val="64B97125"/>
    <w:rsid w:val="65AD4F8F"/>
    <w:rsid w:val="665C5716"/>
    <w:rsid w:val="67DCFE6A"/>
    <w:rsid w:val="6A1F0095"/>
    <w:rsid w:val="6A522535"/>
    <w:rsid w:val="6AB214D7"/>
    <w:rsid w:val="6B08A907"/>
    <w:rsid w:val="6BC90254"/>
    <w:rsid w:val="6EFFEBFD"/>
    <w:rsid w:val="6FD5914C"/>
    <w:rsid w:val="7021FE11"/>
    <w:rsid w:val="702DBAF2"/>
    <w:rsid w:val="70A0C20B"/>
    <w:rsid w:val="7145A9D9"/>
    <w:rsid w:val="7274D678"/>
    <w:rsid w:val="72CC372E"/>
    <w:rsid w:val="73D6EB5B"/>
    <w:rsid w:val="748FDA12"/>
    <w:rsid w:val="74A57716"/>
    <w:rsid w:val="75524202"/>
    <w:rsid w:val="7612FDE3"/>
    <w:rsid w:val="79E63B90"/>
    <w:rsid w:val="7AE66F06"/>
    <w:rsid w:val="7C61A64E"/>
    <w:rsid w:val="7E0EFF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904BF35"/>
  <w15:docId w15:val="{50994899-FCE9-4D15-8442-DB1703B4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4F1"/>
    <w:pPr>
      <w:widowControl w:val="0"/>
      <w:autoSpaceDE w:val="0"/>
      <w:autoSpaceDN w:val="0"/>
      <w:adjustRightInd w:val="0"/>
    </w:pPr>
    <w:rPr>
      <w:rFonts w:ascii="Arial" w:hAnsi="Arial"/>
      <w:sz w:val="22"/>
    </w:rPr>
  </w:style>
  <w:style w:type="paragraph" w:styleId="Heading1">
    <w:name w:val="heading 1"/>
    <w:basedOn w:val="Normal"/>
    <w:next w:val="Normal"/>
    <w:link w:val="Heading1Char"/>
    <w:qFormat/>
    <w:rsid w:val="002A77A8"/>
    <w:pPr>
      <w:keepNext/>
      <w:jc w:val="both"/>
      <w:outlineLvl w:val="0"/>
    </w:pPr>
    <w:rPr>
      <w:rFonts w:ascii="Times New Roman" w:hAnsi="Times New Roman"/>
      <w:b/>
      <w:bCs/>
      <w:sz w:val="24"/>
      <w:szCs w:val="24"/>
    </w:rPr>
  </w:style>
  <w:style w:type="paragraph" w:styleId="Heading2">
    <w:name w:val="heading 2"/>
    <w:basedOn w:val="Normal"/>
    <w:next w:val="Normal"/>
    <w:link w:val="Heading2Char"/>
    <w:uiPriority w:val="9"/>
    <w:unhideWhenUsed/>
    <w:qFormat/>
    <w:rsid w:val="002A77A8"/>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A77A8"/>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24F1"/>
    <w:pPr>
      <w:tabs>
        <w:tab w:val="center" w:pos="4320"/>
        <w:tab w:val="right" w:pos="8640"/>
      </w:tabs>
    </w:pPr>
  </w:style>
  <w:style w:type="paragraph" w:styleId="TOC1">
    <w:name w:val="toc 1"/>
    <w:basedOn w:val="Normal"/>
    <w:next w:val="Normal"/>
    <w:autoRedefine/>
    <w:uiPriority w:val="39"/>
    <w:rsid w:val="00C924F1"/>
    <w:pPr>
      <w:tabs>
        <w:tab w:val="left" w:leader="dot" w:pos="8280"/>
      </w:tabs>
      <w:jc w:val="center"/>
    </w:pPr>
  </w:style>
  <w:style w:type="character" w:styleId="CommentReference">
    <w:name w:val="annotation reference"/>
    <w:semiHidden/>
    <w:rsid w:val="00A74E33"/>
    <w:rPr>
      <w:sz w:val="16"/>
      <w:szCs w:val="16"/>
    </w:rPr>
  </w:style>
  <w:style w:type="paragraph" w:styleId="CommentText">
    <w:name w:val="annotation text"/>
    <w:basedOn w:val="Normal"/>
    <w:link w:val="CommentTextChar"/>
    <w:rsid w:val="00A74E33"/>
    <w:rPr>
      <w:sz w:val="20"/>
    </w:rPr>
  </w:style>
  <w:style w:type="paragraph" w:styleId="CommentSubject">
    <w:name w:val="annotation subject"/>
    <w:basedOn w:val="CommentText"/>
    <w:next w:val="CommentText"/>
    <w:link w:val="CommentSubjectChar"/>
    <w:uiPriority w:val="99"/>
    <w:semiHidden/>
    <w:rsid w:val="00A74E33"/>
    <w:rPr>
      <w:b/>
      <w:bCs/>
    </w:rPr>
  </w:style>
  <w:style w:type="paragraph" w:styleId="BalloonText">
    <w:name w:val="Balloon Text"/>
    <w:basedOn w:val="Normal"/>
    <w:link w:val="BalloonTextChar"/>
    <w:uiPriority w:val="99"/>
    <w:semiHidden/>
    <w:rsid w:val="00A74E33"/>
    <w:rPr>
      <w:rFonts w:ascii="Tahoma" w:hAnsi="Tahoma" w:cs="Tahoma"/>
      <w:sz w:val="16"/>
      <w:szCs w:val="16"/>
    </w:rPr>
  </w:style>
  <w:style w:type="paragraph" w:styleId="Footer">
    <w:name w:val="footer"/>
    <w:basedOn w:val="Normal"/>
    <w:link w:val="FooterChar"/>
    <w:uiPriority w:val="99"/>
    <w:rsid w:val="005D6CE0"/>
    <w:pPr>
      <w:tabs>
        <w:tab w:val="center" w:pos="4320"/>
        <w:tab w:val="right" w:pos="8640"/>
      </w:tabs>
    </w:pPr>
  </w:style>
  <w:style w:type="character" w:styleId="PageNumber">
    <w:name w:val="page number"/>
    <w:basedOn w:val="DefaultParagraphFont"/>
    <w:rsid w:val="005D6CE0"/>
  </w:style>
  <w:style w:type="table" w:styleId="TableGrid">
    <w:name w:val="Table Grid"/>
    <w:basedOn w:val="TableNormal"/>
    <w:uiPriority w:val="59"/>
    <w:rsid w:val="00226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86462"/>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rsid w:val="00086462"/>
    <w:rPr>
      <w:rFonts w:ascii="Arial" w:hAnsi="Arial"/>
      <w:sz w:val="22"/>
      <w:szCs w:val="22"/>
    </w:rPr>
  </w:style>
  <w:style w:type="paragraph" w:styleId="ListParagraph">
    <w:name w:val="List Paragraph"/>
    <w:basedOn w:val="Normal"/>
    <w:uiPriority w:val="34"/>
    <w:qFormat/>
    <w:rsid w:val="00C46EED"/>
    <w:pPr>
      <w:ind w:left="720"/>
    </w:pPr>
  </w:style>
  <w:style w:type="paragraph" w:styleId="Revision">
    <w:name w:val="Revision"/>
    <w:hidden/>
    <w:uiPriority w:val="99"/>
    <w:semiHidden/>
    <w:rsid w:val="00B92E90"/>
    <w:rPr>
      <w:rFonts w:ascii="Arial" w:hAnsi="Arial"/>
      <w:sz w:val="22"/>
    </w:rPr>
  </w:style>
  <w:style w:type="character" w:customStyle="1" w:styleId="CommentTextChar">
    <w:name w:val="Comment Text Char"/>
    <w:link w:val="CommentText"/>
    <w:rsid w:val="0019731A"/>
    <w:rPr>
      <w:rFonts w:ascii="Arial" w:hAnsi="Arial"/>
    </w:rPr>
  </w:style>
  <w:style w:type="character" w:styleId="Hyperlink">
    <w:name w:val="Hyperlink"/>
    <w:basedOn w:val="DefaultParagraphFont"/>
    <w:uiPriority w:val="99"/>
    <w:unhideWhenUsed/>
    <w:rsid w:val="00BE5063"/>
    <w:rPr>
      <w:color w:val="0000FF"/>
      <w:u w:val="single"/>
    </w:rPr>
  </w:style>
  <w:style w:type="character" w:styleId="FollowedHyperlink">
    <w:name w:val="FollowedHyperlink"/>
    <w:basedOn w:val="DefaultParagraphFont"/>
    <w:semiHidden/>
    <w:unhideWhenUsed/>
    <w:rsid w:val="00187241"/>
    <w:rPr>
      <w:color w:val="800080" w:themeColor="followedHyperlink"/>
      <w:u w:val="single"/>
    </w:rPr>
  </w:style>
  <w:style w:type="character" w:customStyle="1" w:styleId="Heading1Char">
    <w:name w:val="Heading 1 Char"/>
    <w:basedOn w:val="DefaultParagraphFont"/>
    <w:link w:val="Heading1"/>
    <w:rsid w:val="002A77A8"/>
    <w:rPr>
      <w:b/>
      <w:bCs/>
      <w:sz w:val="24"/>
      <w:szCs w:val="24"/>
    </w:rPr>
  </w:style>
  <w:style w:type="character" w:customStyle="1" w:styleId="Heading2Char">
    <w:name w:val="Heading 2 Char"/>
    <w:basedOn w:val="DefaultParagraphFont"/>
    <w:link w:val="Heading2"/>
    <w:uiPriority w:val="9"/>
    <w:rsid w:val="002A77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A77A8"/>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2A77A8"/>
    <w:rPr>
      <w:rFonts w:ascii="Arial" w:hAnsi="Arial"/>
      <w:sz w:val="22"/>
    </w:rPr>
  </w:style>
  <w:style w:type="character" w:customStyle="1" w:styleId="FooterChar">
    <w:name w:val="Footer Char"/>
    <w:basedOn w:val="DefaultParagraphFont"/>
    <w:link w:val="Footer"/>
    <w:uiPriority w:val="99"/>
    <w:rsid w:val="002A77A8"/>
    <w:rPr>
      <w:rFonts w:ascii="Arial" w:hAnsi="Arial"/>
      <w:sz w:val="22"/>
    </w:rPr>
  </w:style>
  <w:style w:type="paragraph" w:customStyle="1" w:styleId="Level1">
    <w:name w:val="Level 1"/>
    <w:basedOn w:val="Normal"/>
    <w:rsid w:val="002A77A8"/>
    <w:pPr>
      <w:numPr>
        <w:numId w:val="4"/>
      </w:numPr>
      <w:ind w:left="720" w:hanging="720"/>
      <w:outlineLvl w:val="0"/>
    </w:pPr>
    <w:rPr>
      <w:rFonts w:ascii="Times New Roman" w:hAnsi="Times New Roman"/>
      <w:sz w:val="24"/>
      <w:szCs w:val="24"/>
    </w:rPr>
  </w:style>
  <w:style w:type="paragraph" w:customStyle="1" w:styleId="FormBodyText">
    <w:name w:val="Form Body Text"/>
    <w:basedOn w:val="Normal"/>
    <w:rsid w:val="002A77A8"/>
    <w:pPr>
      <w:widowControl/>
      <w:tabs>
        <w:tab w:val="right" w:pos="9360"/>
      </w:tabs>
      <w:autoSpaceDE/>
      <w:autoSpaceDN/>
      <w:adjustRightInd/>
      <w:spacing w:before="60" w:after="60"/>
    </w:pPr>
    <w:rPr>
      <w:rFonts w:ascii="Times New Roman" w:hAnsi="Times New Roman"/>
      <w:sz w:val="20"/>
    </w:rPr>
  </w:style>
  <w:style w:type="paragraph" w:styleId="BlockText">
    <w:name w:val="Block Text"/>
    <w:basedOn w:val="Normal"/>
    <w:rsid w:val="002A77A8"/>
    <w:pPr>
      <w:widowControl/>
      <w:autoSpaceDE/>
      <w:autoSpaceDN/>
      <w:adjustRightInd/>
      <w:spacing w:after="120"/>
      <w:ind w:left="1440" w:right="1440"/>
    </w:pPr>
    <w:rPr>
      <w:rFonts w:ascii="Times New Roman" w:hAnsi="Times New Roman"/>
      <w:sz w:val="24"/>
      <w:szCs w:val="24"/>
    </w:rPr>
  </w:style>
  <w:style w:type="paragraph" w:styleId="NoSpacing">
    <w:name w:val="No Spacing"/>
    <w:uiPriority w:val="1"/>
    <w:qFormat/>
    <w:rsid w:val="002A77A8"/>
    <w:rPr>
      <w:rFonts w:asciiTheme="minorHAnsi" w:eastAsiaTheme="minorHAnsi" w:hAnsiTheme="minorHAnsi" w:cstheme="minorBidi"/>
      <w:sz w:val="22"/>
      <w:szCs w:val="22"/>
    </w:rPr>
  </w:style>
  <w:style w:type="paragraph" w:styleId="BodyTextIndent">
    <w:name w:val="Body Text Indent"/>
    <w:basedOn w:val="Normal"/>
    <w:link w:val="BodyTextIndentChar"/>
    <w:rsid w:val="002A77A8"/>
    <w:pPr>
      <w:spacing w:line="360" w:lineRule="auto"/>
      <w:ind w:firstLine="720"/>
    </w:pPr>
    <w:rPr>
      <w:rFonts w:ascii="Times New Roman" w:hAnsi="Times New Roman"/>
      <w:sz w:val="24"/>
      <w:szCs w:val="24"/>
    </w:rPr>
  </w:style>
  <w:style w:type="character" w:customStyle="1" w:styleId="BodyTextIndentChar">
    <w:name w:val="Body Text Indent Char"/>
    <w:basedOn w:val="DefaultParagraphFont"/>
    <w:link w:val="BodyTextIndent"/>
    <w:rsid w:val="002A77A8"/>
    <w:rPr>
      <w:sz w:val="24"/>
      <w:szCs w:val="24"/>
    </w:rPr>
  </w:style>
  <w:style w:type="paragraph" w:customStyle="1" w:styleId="EndNoteBibliography">
    <w:name w:val="EndNote Bibliography"/>
    <w:basedOn w:val="Normal"/>
    <w:link w:val="EndNoteBibliographyChar"/>
    <w:rsid w:val="002A77A8"/>
    <w:pPr>
      <w:widowControl/>
      <w:autoSpaceDE/>
      <w:autoSpaceDN/>
      <w:adjustRightInd/>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2A77A8"/>
    <w:rPr>
      <w:rFonts w:ascii="Calibri" w:eastAsiaTheme="minorHAnsi" w:hAnsi="Calibri" w:cstheme="minorBidi"/>
      <w:noProof/>
      <w:sz w:val="22"/>
      <w:szCs w:val="22"/>
    </w:rPr>
  </w:style>
  <w:style w:type="paragraph" w:styleId="FootnoteText">
    <w:name w:val="footnote text"/>
    <w:basedOn w:val="Normal"/>
    <w:link w:val="FootnoteTextChar"/>
    <w:uiPriority w:val="99"/>
    <w:unhideWhenUsed/>
    <w:rsid w:val="002A77A8"/>
    <w:pPr>
      <w:widowControl/>
      <w:autoSpaceDE/>
      <w:autoSpaceDN/>
      <w:adjustRightInd/>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2A77A8"/>
    <w:rPr>
      <w:rFonts w:asciiTheme="minorHAnsi" w:eastAsiaTheme="minorHAnsi" w:hAnsiTheme="minorHAnsi" w:cstheme="minorBidi"/>
    </w:rPr>
  </w:style>
  <w:style w:type="character" w:styleId="FootnoteReference">
    <w:name w:val="footnote reference"/>
    <w:basedOn w:val="DefaultParagraphFont"/>
    <w:uiPriority w:val="99"/>
    <w:unhideWhenUsed/>
    <w:rsid w:val="002A77A8"/>
    <w:rPr>
      <w:vertAlign w:val="superscript"/>
    </w:rPr>
  </w:style>
  <w:style w:type="character" w:styleId="SubtleEmphasis">
    <w:name w:val="Subtle Emphasis"/>
    <w:basedOn w:val="DefaultParagraphFont"/>
    <w:uiPriority w:val="19"/>
    <w:qFormat/>
    <w:rsid w:val="002A77A8"/>
    <w:rPr>
      <w:i/>
      <w:iCs/>
      <w:color w:val="808080" w:themeColor="text1" w:themeTint="7F"/>
    </w:rPr>
  </w:style>
  <w:style w:type="character" w:styleId="Emphasis">
    <w:name w:val="Emphasis"/>
    <w:basedOn w:val="DefaultParagraphFont"/>
    <w:uiPriority w:val="20"/>
    <w:qFormat/>
    <w:rsid w:val="002A77A8"/>
    <w:rPr>
      <w:i/>
      <w:iCs/>
    </w:rPr>
  </w:style>
  <w:style w:type="paragraph" w:customStyle="1" w:styleId="Default">
    <w:name w:val="Default"/>
    <w:rsid w:val="002A77A8"/>
    <w:pPr>
      <w:autoSpaceDE w:val="0"/>
      <w:autoSpaceDN w:val="0"/>
      <w:adjustRightInd w:val="0"/>
    </w:pPr>
    <w:rPr>
      <w:rFonts w:ascii="Gill Sans MT" w:eastAsiaTheme="minorHAnsi" w:hAnsi="Gill Sans MT" w:cs="Gill Sans MT"/>
      <w:color w:val="000000"/>
      <w:sz w:val="24"/>
      <w:szCs w:val="24"/>
    </w:rPr>
  </w:style>
  <w:style w:type="character" w:customStyle="1" w:styleId="BalloonTextChar">
    <w:name w:val="Balloon Text Char"/>
    <w:basedOn w:val="DefaultParagraphFont"/>
    <w:link w:val="BalloonText"/>
    <w:uiPriority w:val="99"/>
    <w:semiHidden/>
    <w:rsid w:val="002A77A8"/>
    <w:rPr>
      <w:rFonts w:ascii="Tahoma" w:hAnsi="Tahoma" w:cs="Tahoma"/>
      <w:sz w:val="16"/>
      <w:szCs w:val="16"/>
    </w:rPr>
  </w:style>
  <w:style w:type="character" w:customStyle="1" w:styleId="CommentSubjectChar">
    <w:name w:val="Comment Subject Char"/>
    <w:basedOn w:val="CommentTextChar"/>
    <w:link w:val="CommentSubject"/>
    <w:uiPriority w:val="99"/>
    <w:semiHidden/>
    <w:rsid w:val="002A77A8"/>
    <w:rPr>
      <w:rFonts w:ascii="Arial" w:hAnsi="Arial"/>
      <w:b/>
      <w:bCs/>
    </w:rPr>
  </w:style>
  <w:style w:type="character" w:customStyle="1" w:styleId="highlight2">
    <w:name w:val="highlight2"/>
    <w:basedOn w:val="DefaultParagraphFont"/>
    <w:rsid w:val="002A77A8"/>
  </w:style>
  <w:style w:type="character" w:customStyle="1" w:styleId="slug-doi">
    <w:name w:val="slug-doi"/>
    <w:basedOn w:val="DefaultParagraphFont"/>
    <w:rsid w:val="002A77A8"/>
  </w:style>
  <w:style w:type="paragraph" w:customStyle="1" w:styleId="NoSpacing2">
    <w:name w:val="No Spacing2"/>
    <w:uiPriority w:val="1"/>
    <w:qFormat/>
    <w:rsid w:val="002A77A8"/>
    <w:rPr>
      <w:rFonts w:ascii="Calibri" w:eastAsia="Calibri" w:hAnsi="Calibri"/>
      <w:sz w:val="22"/>
      <w:szCs w:val="22"/>
    </w:rPr>
  </w:style>
  <w:style w:type="paragraph" w:styleId="Caption">
    <w:name w:val="caption"/>
    <w:basedOn w:val="Normal"/>
    <w:next w:val="Normal"/>
    <w:uiPriority w:val="35"/>
    <w:unhideWhenUsed/>
    <w:qFormat/>
    <w:rsid w:val="002A77A8"/>
    <w:pPr>
      <w:widowControl/>
      <w:autoSpaceDE/>
      <w:autoSpaceDN/>
      <w:adjustRightInd/>
      <w:spacing w:after="200"/>
    </w:pPr>
    <w:rPr>
      <w:rFonts w:asciiTheme="minorHAnsi" w:eastAsiaTheme="minorHAnsi" w:hAnsiTheme="minorHAnsi" w:cstheme="minorBidi"/>
      <w:i/>
      <w:iCs/>
      <w:color w:val="1F497D" w:themeColor="text2"/>
      <w:sz w:val="18"/>
      <w:szCs w:val="18"/>
    </w:rPr>
  </w:style>
  <w:style w:type="paragraph" w:styleId="EndnoteText">
    <w:name w:val="endnote text"/>
    <w:basedOn w:val="Normal"/>
    <w:link w:val="EndnoteTextChar"/>
    <w:uiPriority w:val="99"/>
    <w:semiHidden/>
    <w:unhideWhenUsed/>
    <w:rsid w:val="002A77A8"/>
    <w:pPr>
      <w:widowControl/>
      <w:autoSpaceDE/>
      <w:autoSpaceDN/>
      <w:adjustRightInd/>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2A77A8"/>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A77A8"/>
    <w:rPr>
      <w:vertAlign w:val="superscript"/>
    </w:rPr>
  </w:style>
  <w:style w:type="table" w:customStyle="1" w:styleId="TableGrid1">
    <w:name w:val="Table Grid1"/>
    <w:basedOn w:val="TableNormal"/>
    <w:next w:val="TableGrid"/>
    <w:uiPriority w:val="59"/>
    <w:rsid w:val="002A77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A77A8"/>
    <w:rPr>
      <w:rFonts w:ascii="Franklin Gothic Medium" w:hAnsi="Franklin Gothic Medium"/>
    </w:rPr>
    <w:tblPr>
      <w:tblInd w:w="0" w:type="nil"/>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TOCHeading">
    <w:name w:val="TOC Heading"/>
    <w:basedOn w:val="Heading1"/>
    <w:next w:val="Normal"/>
    <w:uiPriority w:val="39"/>
    <w:unhideWhenUsed/>
    <w:qFormat/>
    <w:rsid w:val="002A77A8"/>
    <w:pPr>
      <w:keepLines/>
      <w:widowControl/>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A77A8"/>
    <w:pPr>
      <w:widowControl/>
      <w:autoSpaceDE/>
      <w:autoSpaceDN/>
      <w:adjustRightInd/>
      <w:spacing w:after="100" w:line="276" w:lineRule="auto"/>
      <w:ind w:left="220"/>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BB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84202">
      <w:bodyDiv w:val="1"/>
      <w:marLeft w:val="0"/>
      <w:marRight w:val="0"/>
      <w:marTop w:val="0"/>
      <w:marBottom w:val="0"/>
      <w:divBdr>
        <w:top w:val="none" w:sz="0" w:space="0" w:color="auto"/>
        <w:left w:val="none" w:sz="0" w:space="0" w:color="auto"/>
        <w:bottom w:val="none" w:sz="0" w:space="0" w:color="auto"/>
        <w:right w:val="none" w:sz="0" w:space="0" w:color="auto"/>
      </w:divBdr>
    </w:div>
    <w:div w:id="270481002">
      <w:bodyDiv w:val="1"/>
      <w:marLeft w:val="0"/>
      <w:marRight w:val="0"/>
      <w:marTop w:val="0"/>
      <w:marBottom w:val="0"/>
      <w:divBdr>
        <w:top w:val="none" w:sz="0" w:space="0" w:color="auto"/>
        <w:left w:val="none" w:sz="0" w:space="0" w:color="auto"/>
        <w:bottom w:val="none" w:sz="0" w:space="0" w:color="auto"/>
        <w:right w:val="none" w:sz="0" w:space="0" w:color="auto"/>
      </w:divBdr>
    </w:div>
    <w:div w:id="419445630">
      <w:bodyDiv w:val="1"/>
      <w:marLeft w:val="0"/>
      <w:marRight w:val="0"/>
      <w:marTop w:val="0"/>
      <w:marBottom w:val="0"/>
      <w:divBdr>
        <w:top w:val="none" w:sz="0" w:space="0" w:color="auto"/>
        <w:left w:val="none" w:sz="0" w:space="0" w:color="auto"/>
        <w:bottom w:val="none" w:sz="0" w:space="0" w:color="auto"/>
        <w:right w:val="none" w:sz="0" w:space="0" w:color="auto"/>
      </w:divBdr>
    </w:div>
    <w:div w:id="447896747">
      <w:bodyDiv w:val="1"/>
      <w:marLeft w:val="0"/>
      <w:marRight w:val="0"/>
      <w:marTop w:val="0"/>
      <w:marBottom w:val="0"/>
      <w:divBdr>
        <w:top w:val="none" w:sz="0" w:space="0" w:color="auto"/>
        <w:left w:val="none" w:sz="0" w:space="0" w:color="auto"/>
        <w:bottom w:val="none" w:sz="0" w:space="0" w:color="auto"/>
        <w:right w:val="none" w:sz="0" w:space="0" w:color="auto"/>
      </w:divBdr>
    </w:div>
    <w:div w:id="511998007">
      <w:bodyDiv w:val="1"/>
      <w:marLeft w:val="0"/>
      <w:marRight w:val="0"/>
      <w:marTop w:val="0"/>
      <w:marBottom w:val="0"/>
      <w:divBdr>
        <w:top w:val="none" w:sz="0" w:space="0" w:color="auto"/>
        <w:left w:val="none" w:sz="0" w:space="0" w:color="auto"/>
        <w:bottom w:val="none" w:sz="0" w:space="0" w:color="auto"/>
        <w:right w:val="none" w:sz="0" w:space="0" w:color="auto"/>
      </w:divBdr>
    </w:div>
    <w:div w:id="517431861">
      <w:bodyDiv w:val="1"/>
      <w:marLeft w:val="0"/>
      <w:marRight w:val="0"/>
      <w:marTop w:val="0"/>
      <w:marBottom w:val="0"/>
      <w:divBdr>
        <w:top w:val="none" w:sz="0" w:space="0" w:color="auto"/>
        <w:left w:val="none" w:sz="0" w:space="0" w:color="auto"/>
        <w:bottom w:val="none" w:sz="0" w:space="0" w:color="auto"/>
        <w:right w:val="none" w:sz="0" w:space="0" w:color="auto"/>
      </w:divBdr>
    </w:div>
    <w:div w:id="571624923">
      <w:bodyDiv w:val="1"/>
      <w:marLeft w:val="0"/>
      <w:marRight w:val="0"/>
      <w:marTop w:val="0"/>
      <w:marBottom w:val="0"/>
      <w:divBdr>
        <w:top w:val="none" w:sz="0" w:space="0" w:color="auto"/>
        <w:left w:val="none" w:sz="0" w:space="0" w:color="auto"/>
        <w:bottom w:val="none" w:sz="0" w:space="0" w:color="auto"/>
        <w:right w:val="none" w:sz="0" w:space="0" w:color="auto"/>
      </w:divBdr>
    </w:div>
    <w:div w:id="664672926">
      <w:bodyDiv w:val="1"/>
      <w:marLeft w:val="0"/>
      <w:marRight w:val="0"/>
      <w:marTop w:val="0"/>
      <w:marBottom w:val="0"/>
      <w:divBdr>
        <w:top w:val="none" w:sz="0" w:space="0" w:color="auto"/>
        <w:left w:val="none" w:sz="0" w:space="0" w:color="auto"/>
        <w:bottom w:val="none" w:sz="0" w:space="0" w:color="auto"/>
        <w:right w:val="none" w:sz="0" w:space="0" w:color="auto"/>
      </w:divBdr>
    </w:div>
    <w:div w:id="832181371">
      <w:bodyDiv w:val="1"/>
      <w:marLeft w:val="0"/>
      <w:marRight w:val="0"/>
      <w:marTop w:val="0"/>
      <w:marBottom w:val="0"/>
      <w:divBdr>
        <w:top w:val="none" w:sz="0" w:space="0" w:color="auto"/>
        <w:left w:val="none" w:sz="0" w:space="0" w:color="auto"/>
        <w:bottom w:val="none" w:sz="0" w:space="0" w:color="auto"/>
        <w:right w:val="none" w:sz="0" w:space="0" w:color="auto"/>
      </w:divBdr>
    </w:div>
    <w:div w:id="878710356">
      <w:bodyDiv w:val="1"/>
      <w:marLeft w:val="0"/>
      <w:marRight w:val="0"/>
      <w:marTop w:val="0"/>
      <w:marBottom w:val="0"/>
      <w:divBdr>
        <w:top w:val="none" w:sz="0" w:space="0" w:color="auto"/>
        <w:left w:val="none" w:sz="0" w:space="0" w:color="auto"/>
        <w:bottom w:val="none" w:sz="0" w:space="0" w:color="auto"/>
        <w:right w:val="none" w:sz="0" w:space="0" w:color="auto"/>
      </w:divBdr>
    </w:div>
    <w:div w:id="946232920">
      <w:bodyDiv w:val="1"/>
      <w:marLeft w:val="0"/>
      <w:marRight w:val="0"/>
      <w:marTop w:val="0"/>
      <w:marBottom w:val="0"/>
      <w:divBdr>
        <w:top w:val="none" w:sz="0" w:space="0" w:color="auto"/>
        <w:left w:val="none" w:sz="0" w:space="0" w:color="auto"/>
        <w:bottom w:val="none" w:sz="0" w:space="0" w:color="auto"/>
        <w:right w:val="none" w:sz="0" w:space="0" w:color="auto"/>
      </w:divBdr>
    </w:div>
    <w:div w:id="953755151">
      <w:bodyDiv w:val="1"/>
      <w:marLeft w:val="0"/>
      <w:marRight w:val="0"/>
      <w:marTop w:val="0"/>
      <w:marBottom w:val="0"/>
      <w:divBdr>
        <w:top w:val="none" w:sz="0" w:space="0" w:color="auto"/>
        <w:left w:val="none" w:sz="0" w:space="0" w:color="auto"/>
        <w:bottom w:val="none" w:sz="0" w:space="0" w:color="auto"/>
        <w:right w:val="none" w:sz="0" w:space="0" w:color="auto"/>
      </w:divBdr>
    </w:div>
    <w:div w:id="955867248">
      <w:bodyDiv w:val="1"/>
      <w:marLeft w:val="0"/>
      <w:marRight w:val="0"/>
      <w:marTop w:val="0"/>
      <w:marBottom w:val="0"/>
      <w:divBdr>
        <w:top w:val="none" w:sz="0" w:space="0" w:color="auto"/>
        <w:left w:val="none" w:sz="0" w:space="0" w:color="auto"/>
        <w:bottom w:val="none" w:sz="0" w:space="0" w:color="auto"/>
        <w:right w:val="none" w:sz="0" w:space="0" w:color="auto"/>
      </w:divBdr>
    </w:div>
    <w:div w:id="1044402691">
      <w:bodyDiv w:val="1"/>
      <w:marLeft w:val="0"/>
      <w:marRight w:val="0"/>
      <w:marTop w:val="0"/>
      <w:marBottom w:val="0"/>
      <w:divBdr>
        <w:top w:val="none" w:sz="0" w:space="0" w:color="auto"/>
        <w:left w:val="none" w:sz="0" w:space="0" w:color="auto"/>
        <w:bottom w:val="none" w:sz="0" w:space="0" w:color="auto"/>
        <w:right w:val="none" w:sz="0" w:space="0" w:color="auto"/>
      </w:divBdr>
    </w:div>
    <w:div w:id="1080912032">
      <w:bodyDiv w:val="1"/>
      <w:marLeft w:val="0"/>
      <w:marRight w:val="0"/>
      <w:marTop w:val="0"/>
      <w:marBottom w:val="0"/>
      <w:divBdr>
        <w:top w:val="none" w:sz="0" w:space="0" w:color="auto"/>
        <w:left w:val="none" w:sz="0" w:space="0" w:color="auto"/>
        <w:bottom w:val="none" w:sz="0" w:space="0" w:color="auto"/>
        <w:right w:val="none" w:sz="0" w:space="0" w:color="auto"/>
      </w:divBdr>
    </w:div>
    <w:div w:id="1120806791">
      <w:bodyDiv w:val="1"/>
      <w:marLeft w:val="0"/>
      <w:marRight w:val="0"/>
      <w:marTop w:val="0"/>
      <w:marBottom w:val="0"/>
      <w:divBdr>
        <w:top w:val="none" w:sz="0" w:space="0" w:color="auto"/>
        <w:left w:val="none" w:sz="0" w:space="0" w:color="auto"/>
        <w:bottom w:val="none" w:sz="0" w:space="0" w:color="auto"/>
        <w:right w:val="none" w:sz="0" w:space="0" w:color="auto"/>
      </w:divBdr>
    </w:div>
    <w:div w:id="1283419884">
      <w:bodyDiv w:val="1"/>
      <w:marLeft w:val="0"/>
      <w:marRight w:val="0"/>
      <w:marTop w:val="0"/>
      <w:marBottom w:val="0"/>
      <w:divBdr>
        <w:top w:val="none" w:sz="0" w:space="0" w:color="auto"/>
        <w:left w:val="none" w:sz="0" w:space="0" w:color="auto"/>
        <w:bottom w:val="none" w:sz="0" w:space="0" w:color="auto"/>
        <w:right w:val="none" w:sz="0" w:space="0" w:color="auto"/>
      </w:divBdr>
    </w:div>
    <w:div w:id="1288194702">
      <w:bodyDiv w:val="1"/>
      <w:marLeft w:val="0"/>
      <w:marRight w:val="0"/>
      <w:marTop w:val="0"/>
      <w:marBottom w:val="0"/>
      <w:divBdr>
        <w:top w:val="none" w:sz="0" w:space="0" w:color="auto"/>
        <w:left w:val="none" w:sz="0" w:space="0" w:color="auto"/>
        <w:bottom w:val="none" w:sz="0" w:space="0" w:color="auto"/>
        <w:right w:val="none" w:sz="0" w:space="0" w:color="auto"/>
      </w:divBdr>
    </w:div>
    <w:div w:id="1407606960">
      <w:bodyDiv w:val="1"/>
      <w:marLeft w:val="0"/>
      <w:marRight w:val="0"/>
      <w:marTop w:val="0"/>
      <w:marBottom w:val="0"/>
      <w:divBdr>
        <w:top w:val="none" w:sz="0" w:space="0" w:color="auto"/>
        <w:left w:val="none" w:sz="0" w:space="0" w:color="auto"/>
        <w:bottom w:val="none" w:sz="0" w:space="0" w:color="auto"/>
        <w:right w:val="none" w:sz="0" w:space="0" w:color="auto"/>
      </w:divBdr>
      <w:divsChild>
        <w:div w:id="15738268">
          <w:marLeft w:val="0"/>
          <w:marRight w:val="0"/>
          <w:marTop w:val="0"/>
          <w:marBottom w:val="0"/>
          <w:divBdr>
            <w:top w:val="none" w:sz="0" w:space="0" w:color="auto"/>
            <w:left w:val="none" w:sz="0" w:space="0" w:color="auto"/>
            <w:bottom w:val="none" w:sz="0" w:space="0" w:color="auto"/>
            <w:right w:val="none" w:sz="0" w:space="0" w:color="auto"/>
          </w:divBdr>
          <w:divsChild>
            <w:div w:id="523792916">
              <w:marLeft w:val="0"/>
              <w:marRight w:val="0"/>
              <w:marTop w:val="0"/>
              <w:marBottom w:val="0"/>
              <w:divBdr>
                <w:top w:val="none" w:sz="0" w:space="0" w:color="auto"/>
                <w:left w:val="none" w:sz="0" w:space="0" w:color="auto"/>
                <w:bottom w:val="none" w:sz="0" w:space="0" w:color="auto"/>
                <w:right w:val="none" w:sz="0" w:space="0" w:color="auto"/>
              </w:divBdr>
              <w:divsChild>
                <w:div w:id="4724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47789">
      <w:bodyDiv w:val="1"/>
      <w:marLeft w:val="0"/>
      <w:marRight w:val="0"/>
      <w:marTop w:val="0"/>
      <w:marBottom w:val="0"/>
      <w:divBdr>
        <w:top w:val="none" w:sz="0" w:space="0" w:color="auto"/>
        <w:left w:val="none" w:sz="0" w:space="0" w:color="auto"/>
        <w:bottom w:val="none" w:sz="0" w:space="0" w:color="auto"/>
        <w:right w:val="none" w:sz="0" w:space="0" w:color="auto"/>
      </w:divBdr>
    </w:div>
    <w:div w:id="1450128255">
      <w:bodyDiv w:val="1"/>
      <w:marLeft w:val="0"/>
      <w:marRight w:val="0"/>
      <w:marTop w:val="0"/>
      <w:marBottom w:val="0"/>
      <w:divBdr>
        <w:top w:val="none" w:sz="0" w:space="0" w:color="auto"/>
        <w:left w:val="none" w:sz="0" w:space="0" w:color="auto"/>
        <w:bottom w:val="none" w:sz="0" w:space="0" w:color="auto"/>
        <w:right w:val="none" w:sz="0" w:space="0" w:color="auto"/>
      </w:divBdr>
    </w:div>
    <w:div w:id="1480612550">
      <w:bodyDiv w:val="1"/>
      <w:marLeft w:val="0"/>
      <w:marRight w:val="0"/>
      <w:marTop w:val="0"/>
      <w:marBottom w:val="0"/>
      <w:divBdr>
        <w:top w:val="none" w:sz="0" w:space="0" w:color="auto"/>
        <w:left w:val="none" w:sz="0" w:space="0" w:color="auto"/>
        <w:bottom w:val="none" w:sz="0" w:space="0" w:color="auto"/>
        <w:right w:val="none" w:sz="0" w:space="0" w:color="auto"/>
      </w:divBdr>
    </w:div>
    <w:div w:id="1582908627">
      <w:bodyDiv w:val="1"/>
      <w:marLeft w:val="0"/>
      <w:marRight w:val="0"/>
      <w:marTop w:val="0"/>
      <w:marBottom w:val="0"/>
      <w:divBdr>
        <w:top w:val="none" w:sz="0" w:space="0" w:color="auto"/>
        <w:left w:val="none" w:sz="0" w:space="0" w:color="auto"/>
        <w:bottom w:val="none" w:sz="0" w:space="0" w:color="auto"/>
        <w:right w:val="none" w:sz="0" w:space="0" w:color="auto"/>
      </w:divBdr>
    </w:div>
    <w:div w:id="1712487810">
      <w:bodyDiv w:val="1"/>
      <w:marLeft w:val="0"/>
      <w:marRight w:val="0"/>
      <w:marTop w:val="0"/>
      <w:marBottom w:val="0"/>
      <w:divBdr>
        <w:top w:val="none" w:sz="0" w:space="0" w:color="auto"/>
        <w:left w:val="none" w:sz="0" w:space="0" w:color="auto"/>
        <w:bottom w:val="none" w:sz="0" w:space="0" w:color="auto"/>
        <w:right w:val="none" w:sz="0" w:space="0" w:color="auto"/>
      </w:divBdr>
    </w:div>
    <w:div w:id="1772315948">
      <w:bodyDiv w:val="1"/>
      <w:marLeft w:val="0"/>
      <w:marRight w:val="0"/>
      <w:marTop w:val="0"/>
      <w:marBottom w:val="0"/>
      <w:divBdr>
        <w:top w:val="none" w:sz="0" w:space="0" w:color="auto"/>
        <w:left w:val="none" w:sz="0" w:space="0" w:color="auto"/>
        <w:bottom w:val="none" w:sz="0" w:space="0" w:color="auto"/>
        <w:right w:val="none" w:sz="0" w:space="0" w:color="auto"/>
      </w:divBdr>
    </w:div>
    <w:div w:id="1824615185">
      <w:bodyDiv w:val="1"/>
      <w:marLeft w:val="0"/>
      <w:marRight w:val="0"/>
      <w:marTop w:val="0"/>
      <w:marBottom w:val="0"/>
      <w:divBdr>
        <w:top w:val="none" w:sz="0" w:space="0" w:color="auto"/>
        <w:left w:val="none" w:sz="0" w:space="0" w:color="auto"/>
        <w:bottom w:val="none" w:sz="0" w:space="0" w:color="auto"/>
        <w:right w:val="none" w:sz="0" w:space="0" w:color="auto"/>
      </w:divBdr>
    </w:div>
    <w:div w:id="1825314203">
      <w:bodyDiv w:val="1"/>
      <w:marLeft w:val="0"/>
      <w:marRight w:val="0"/>
      <w:marTop w:val="0"/>
      <w:marBottom w:val="0"/>
      <w:divBdr>
        <w:top w:val="none" w:sz="0" w:space="0" w:color="auto"/>
        <w:left w:val="none" w:sz="0" w:space="0" w:color="auto"/>
        <w:bottom w:val="none" w:sz="0" w:space="0" w:color="auto"/>
        <w:right w:val="none" w:sz="0" w:space="0" w:color="auto"/>
      </w:divBdr>
    </w:div>
    <w:div w:id="1878196557">
      <w:bodyDiv w:val="1"/>
      <w:marLeft w:val="0"/>
      <w:marRight w:val="0"/>
      <w:marTop w:val="0"/>
      <w:marBottom w:val="0"/>
      <w:divBdr>
        <w:top w:val="none" w:sz="0" w:space="0" w:color="auto"/>
        <w:left w:val="none" w:sz="0" w:space="0" w:color="auto"/>
        <w:bottom w:val="none" w:sz="0" w:space="0" w:color="auto"/>
        <w:right w:val="none" w:sz="0" w:space="0" w:color="auto"/>
      </w:divBdr>
    </w:div>
    <w:div w:id="2025550731">
      <w:bodyDiv w:val="1"/>
      <w:marLeft w:val="0"/>
      <w:marRight w:val="0"/>
      <w:marTop w:val="0"/>
      <w:marBottom w:val="0"/>
      <w:divBdr>
        <w:top w:val="none" w:sz="0" w:space="0" w:color="auto"/>
        <w:left w:val="none" w:sz="0" w:space="0" w:color="auto"/>
        <w:bottom w:val="none" w:sz="0" w:space="0" w:color="auto"/>
        <w:right w:val="none" w:sz="0" w:space="0" w:color="auto"/>
      </w:divBdr>
    </w:div>
    <w:div w:id="2084177123">
      <w:bodyDiv w:val="1"/>
      <w:marLeft w:val="0"/>
      <w:marRight w:val="0"/>
      <w:marTop w:val="0"/>
      <w:marBottom w:val="0"/>
      <w:divBdr>
        <w:top w:val="none" w:sz="0" w:space="0" w:color="auto"/>
        <w:left w:val="none" w:sz="0" w:space="0" w:color="auto"/>
        <w:bottom w:val="none" w:sz="0" w:space="0" w:color="auto"/>
        <w:right w:val="none" w:sz="0" w:space="0" w:color="auto"/>
      </w:divBdr>
    </w:div>
    <w:div w:id="21069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nchs/data/series/sr_02/sr02-184-508.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dc.gov/nchs/data/series/sr_02/sr02_16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cdc.gov/nchs/data/nhanes/analyticguidelines/17-18-sampling-variability-nonresponse-50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hs/data/series/sr_02/sr02_160.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dc.gov/nchs/data/nhanes/analyticguidelines/11-16-analytic-guideline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nchs/data/series/sr_02/sr02_161.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5" ma:contentTypeDescription="Create a new document." ma:contentTypeScope="" ma:versionID="55471526ab87ed2632acdca2f67e611b">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82fdcaf072f6761d9c47262d5c4c9d9b"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793FB-9B6A-4534-AA8B-A29B17381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2011A-11DE-406B-B7EF-0E55D7197BDB}">
  <ds:schemaRefs>
    <ds:schemaRef ds:uri="508508a9-2d59-4074-9a0f-ccfddcb81bc1"/>
    <ds:schemaRef ds:uri="http://purl.org/dc/terms/"/>
    <ds:schemaRef ds:uri="http://purl.org/dc/dcmitype/"/>
    <ds:schemaRef ds:uri="http://schemas.microsoft.com/office/2006/documentManagement/types"/>
    <ds:schemaRef ds:uri="http://schemas.microsoft.com/office/2006/metadata/properties"/>
    <ds:schemaRef ds:uri="a0d95979-b78d-4456-a83d-a4e89158df7f"/>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5BA1A73-FA2A-4657-B103-2A6384223FE2}">
  <ds:schemaRefs>
    <ds:schemaRef ds:uri="http://schemas.microsoft.com/sharepoint/v3/contenttype/forms"/>
  </ds:schemaRefs>
</ds:datastoreItem>
</file>

<file path=customXml/itemProps4.xml><?xml version="1.0" encoding="utf-8"?>
<ds:datastoreItem xmlns:ds="http://schemas.openxmlformats.org/officeDocument/2006/customXml" ds:itemID="{019F8695-F6E6-496A-A5CD-A27DF515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5503</Words>
  <Characters>33319</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Chiappa, Michele (CDC/DDPHSS/NCHS/DHNES) (CTR)</dc:creator>
  <cp:keywords/>
  <cp:lastModifiedBy>Woodwell, David A. (CDC/DDPHSS/NCHS/DHNES)</cp:lastModifiedBy>
  <cp:revision>2</cp:revision>
  <cp:lastPrinted>2021-03-31T19:44:00Z</cp:lastPrinted>
  <dcterms:created xsi:type="dcterms:W3CDTF">2021-03-31T20:15:00Z</dcterms:created>
  <dcterms:modified xsi:type="dcterms:W3CDTF">2021-03-31T20:15:00Z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2020-10-26T12:07:21Z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351daff3-9b71-4723-9d93-3f5f4765d194</vt:lpwstr>
  </property>
  <property fmtid="{D5CDD505-2E9C-101B-9397-08002B2CF9AE}" pid="8" name="MSIP_Label_7b94a7b8-f06c-4dfe-bdcc-9b548fd58c31_ContentBits">
    <vt:lpwstr>0</vt:lpwstr>
  </property>
  <property fmtid="{D5CDD505-2E9C-101B-9397-08002B2CF9AE}" pid="9" name="ContentTypeId">
    <vt:lpwstr>0x010100EE11798AB5217849912631DAF75A3B79</vt:lpwstr>
  </property>
</Properties>
</file>