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61C5B" w:rsidRPr="00EE701C" w:rsidP="00E61C5B" w14:paraId="37C73309" w14:textId="77777777">
      <w:pPr>
        <w:autoSpaceDE w:val="0"/>
        <w:autoSpaceDN w:val="0"/>
        <w:adjustRightInd w:val="0"/>
      </w:pPr>
    </w:p>
    <w:p w:rsidR="00E61C5B" w:rsidRPr="00EE701C" w:rsidP="00E61C5B" w14:paraId="6FFDB516" w14:textId="77777777">
      <w:pPr>
        <w:autoSpaceDE w:val="0"/>
        <w:autoSpaceDN w:val="0"/>
        <w:adjustRightInd w:val="0"/>
      </w:pPr>
      <w:r w:rsidRPr="00EE701C">
        <w:t xml:space="preserve">DEPARTMENT OF HEALTH AND HUMAN SERVICES </w:t>
      </w:r>
    </w:p>
    <w:p w:rsidR="00E61C5B" w:rsidRPr="00EE701C" w:rsidP="00E61C5B" w14:paraId="7318FE81" w14:textId="77777777">
      <w:pPr>
        <w:autoSpaceDE w:val="0"/>
        <w:autoSpaceDN w:val="0"/>
        <w:adjustRightInd w:val="0"/>
      </w:pPr>
      <w:r w:rsidRPr="00EE701C">
        <w:t xml:space="preserve">Food and Drug Administration </w:t>
      </w:r>
    </w:p>
    <w:p w:rsidR="00E61C5B" w:rsidRPr="00EE701C" w:rsidP="00E61C5B" w14:paraId="20E8A243" w14:textId="77777777">
      <w:pPr>
        <w:autoSpaceDE w:val="0"/>
        <w:autoSpaceDN w:val="0"/>
        <w:adjustRightInd w:val="0"/>
        <w:jc w:val="center"/>
        <w:rPr>
          <w:sz w:val="48"/>
          <w:szCs w:val="48"/>
        </w:rPr>
      </w:pPr>
    </w:p>
    <w:p w:rsidR="00E61C5B" w:rsidRPr="00EE701C" w:rsidP="00E61C5B" w14:paraId="17A5A083" w14:textId="77777777">
      <w:pPr>
        <w:autoSpaceDE w:val="0"/>
        <w:autoSpaceDN w:val="0"/>
        <w:adjustRightInd w:val="0"/>
        <w:jc w:val="center"/>
        <w:rPr>
          <w:sz w:val="48"/>
          <w:szCs w:val="48"/>
        </w:rPr>
      </w:pPr>
    </w:p>
    <w:p w:rsidR="00214BFC" w:rsidRPr="00EE701C" w:rsidP="00E61C5B" w14:paraId="79C50849" w14:textId="77777777">
      <w:pPr>
        <w:autoSpaceDE w:val="0"/>
        <w:autoSpaceDN w:val="0"/>
        <w:adjustRightInd w:val="0"/>
        <w:jc w:val="center"/>
        <w:rPr>
          <w:sz w:val="48"/>
          <w:szCs w:val="48"/>
        </w:rPr>
      </w:pPr>
    </w:p>
    <w:p w:rsidR="00E61C5B" w:rsidRPr="008D7428" w:rsidP="00E61C5B" w14:paraId="16DBD235" w14:textId="77777777">
      <w:pPr>
        <w:autoSpaceDE w:val="0"/>
        <w:autoSpaceDN w:val="0"/>
        <w:adjustRightInd w:val="0"/>
        <w:jc w:val="center"/>
        <w:rPr>
          <w:sz w:val="52"/>
          <w:szCs w:val="48"/>
        </w:rPr>
      </w:pPr>
      <w:r w:rsidRPr="008D7428">
        <w:rPr>
          <w:sz w:val="48"/>
          <w:szCs w:val="44"/>
        </w:rPr>
        <w:t>Annual Summary Reporting Requirements Under the Right to Try Act</w:t>
      </w:r>
    </w:p>
    <w:p w:rsidR="00214BFC" w:rsidRPr="00EE701C" w:rsidP="00E61C5B" w14:paraId="0A1BEE22" w14:textId="77777777">
      <w:pPr>
        <w:autoSpaceDE w:val="0"/>
        <w:autoSpaceDN w:val="0"/>
        <w:adjustRightInd w:val="0"/>
        <w:jc w:val="center"/>
        <w:rPr>
          <w:sz w:val="48"/>
          <w:szCs w:val="48"/>
        </w:rPr>
      </w:pPr>
    </w:p>
    <w:p w:rsidR="00E61C5B" w:rsidRPr="00EE701C" w:rsidP="00E61C5B" w14:paraId="6C8B4EA3" w14:textId="0F9A19D6">
      <w:pPr>
        <w:autoSpaceDE w:val="0"/>
        <w:autoSpaceDN w:val="0"/>
        <w:adjustRightInd w:val="0"/>
        <w:jc w:val="center"/>
      </w:pPr>
      <w:r w:rsidRPr="00EE701C">
        <w:t>Docket No. FDA</w:t>
      </w:r>
      <w:r w:rsidRPr="00CE51BE" w:rsidR="006B1F5C">
        <w:rPr>
          <w:bCs/>
        </w:rPr>
        <w:t>-2019-N-5553</w:t>
      </w:r>
    </w:p>
    <w:p w:rsidR="00D33B68" w:rsidRPr="00EE701C" w:rsidP="00E61C5B" w14:paraId="3754BD93" w14:textId="77777777">
      <w:pPr>
        <w:autoSpaceDE w:val="0"/>
        <w:autoSpaceDN w:val="0"/>
        <w:adjustRightInd w:val="0"/>
        <w:jc w:val="center"/>
        <w:rPr>
          <w:sz w:val="40"/>
          <w:szCs w:val="40"/>
        </w:rPr>
      </w:pPr>
    </w:p>
    <w:p w:rsidR="00214BFC" w:rsidRPr="00EE701C" w:rsidP="00E61C5B" w14:paraId="48F97BB4" w14:textId="77777777">
      <w:pPr>
        <w:autoSpaceDE w:val="0"/>
        <w:autoSpaceDN w:val="0"/>
        <w:adjustRightInd w:val="0"/>
        <w:jc w:val="center"/>
        <w:rPr>
          <w:sz w:val="40"/>
          <w:szCs w:val="40"/>
        </w:rPr>
      </w:pPr>
    </w:p>
    <w:p w:rsidR="00214BFC" w:rsidRPr="00EE701C" w:rsidP="00E61C5B" w14:paraId="260B9749" w14:textId="77777777">
      <w:pPr>
        <w:autoSpaceDE w:val="0"/>
        <w:autoSpaceDN w:val="0"/>
        <w:adjustRightInd w:val="0"/>
        <w:jc w:val="center"/>
        <w:rPr>
          <w:sz w:val="40"/>
          <w:szCs w:val="40"/>
        </w:rPr>
      </w:pPr>
    </w:p>
    <w:p w:rsidR="00E61C5B" w:rsidRPr="00EE701C" w:rsidP="009B3C6A" w14:paraId="4B89E7BB" w14:textId="0D6703CB">
      <w:pPr>
        <w:autoSpaceDE w:val="0"/>
        <w:autoSpaceDN w:val="0"/>
        <w:adjustRightInd w:val="0"/>
        <w:spacing w:after="0"/>
        <w:jc w:val="center"/>
        <w:rPr>
          <w:sz w:val="36"/>
          <w:szCs w:val="36"/>
        </w:rPr>
      </w:pPr>
      <w:r>
        <w:rPr>
          <w:sz w:val="40"/>
          <w:szCs w:val="40"/>
        </w:rPr>
        <w:t>Final</w:t>
      </w:r>
      <w:r w:rsidRPr="00EE701C">
        <w:rPr>
          <w:sz w:val="36"/>
          <w:szCs w:val="36"/>
        </w:rPr>
        <w:t xml:space="preserve"> Regulatory Impact Analysis </w:t>
      </w:r>
    </w:p>
    <w:p w:rsidR="00D33B68" w:rsidRPr="00EE701C" w:rsidP="009B3C6A" w14:paraId="048BC48F" w14:textId="2E148E96">
      <w:pPr>
        <w:autoSpaceDE w:val="0"/>
        <w:autoSpaceDN w:val="0"/>
        <w:adjustRightInd w:val="0"/>
        <w:spacing w:after="0"/>
        <w:jc w:val="center"/>
        <w:rPr>
          <w:sz w:val="36"/>
          <w:szCs w:val="36"/>
        </w:rPr>
      </w:pPr>
      <w:r>
        <w:rPr>
          <w:sz w:val="36"/>
          <w:szCs w:val="36"/>
        </w:rPr>
        <w:t>Final</w:t>
      </w:r>
      <w:r w:rsidRPr="00EE701C">
        <w:rPr>
          <w:sz w:val="36"/>
          <w:szCs w:val="36"/>
        </w:rPr>
        <w:t xml:space="preserve"> </w:t>
      </w:r>
      <w:r w:rsidRPr="00EE701C" w:rsidR="00151962">
        <w:rPr>
          <w:sz w:val="36"/>
          <w:szCs w:val="36"/>
        </w:rPr>
        <w:t>Regulatory Flexibility</w:t>
      </w:r>
      <w:r w:rsidRPr="00EE701C">
        <w:rPr>
          <w:sz w:val="36"/>
          <w:szCs w:val="36"/>
        </w:rPr>
        <w:t xml:space="preserve"> Analysis</w:t>
      </w:r>
    </w:p>
    <w:p w:rsidR="00D33B68" w:rsidRPr="00EE701C" w:rsidP="009B3C6A" w14:paraId="01004A57" w14:textId="77777777">
      <w:pPr>
        <w:autoSpaceDE w:val="0"/>
        <w:autoSpaceDN w:val="0"/>
        <w:adjustRightInd w:val="0"/>
        <w:spacing w:after="0"/>
        <w:jc w:val="center"/>
        <w:rPr>
          <w:sz w:val="36"/>
          <w:szCs w:val="36"/>
        </w:rPr>
      </w:pPr>
      <w:r w:rsidRPr="00EE701C">
        <w:rPr>
          <w:sz w:val="36"/>
          <w:szCs w:val="36"/>
        </w:rPr>
        <w:t xml:space="preserve">Unfunded Mandates </w:t>
      </w:r>
      <w:r w:rsidRPr="00EE701C" w:rsidR="00146E26">
        <w:rPr>
          <w:sz w:val="36"/>
          <w:szCs w:val="36"/>
        </w:rPr>
        <w:t xml:space="preserve">Reform </w:t>
      </w:r>
      <w:r w:rsidRPr="00EE701C">
        <w:rPr>
          <w:sz w:val="36"/>
          <w:szCs w:val="36"/>
        </w:rPr>
        <w:t>Act Analysis</w:t>
      </w:r>
    </w:p>
    <w:p w:rsidR="00D33B68" w:rsidRPr="00EE701C" w:rsidP="009B3C6A" w14:paraId="03309B6A" w14:textId="77777777">
      <w:pPr>
        <w:autoSpaceDE w:val="0"/>
        <w:autoSpaceDN w:val="0"/>
        <w:adjustRightInd w:val="0"/>
        <w:spacing w:after="0"/>
        <w:jc w:val="center"/>
        <w:rPr>
          <w:sz w:val="28"/>
          <w:szCs w:val="28"/>
        </w:rPr>
      </w:pPr>
    </w:p>
    <w:p w:rsidR="00D33B68" w:rsidRPr="00EE701C" w:rsidP="009B3C6A" w14:paraId="7AC6E0A3" w14:textId="77777777">
      <w:pPr>
        <w:autoSpaceDE w:val="0"/>
        <w:autoSpaceDN w:val="0"/>
        <w:adjustRightInd w:val="0"/>
        <w:spacing w:after="0"/>
        <w:jc w:val="center"/>
        <w:rPr>
          <w:sz w:val="28"/>
          <w:szCs w:val="28"/>
        </w:rPr>
      </w:pPr>
    </w:p>
    <w:p w:rsidR="00214BFC" w:rsidRPr="00EE701C" w:rsidP="009B3C6A" w14:paraId="3AA4BC38" w14:textId="77777777">
      <w:pPr>
        <w:autoSpaceDE w:val="0"/>
        <w:autoSpaceDN w:val="0"/>
        <w:adjustRightInd w:val="0"/>
        <w:spacing w:after="0"/>
        <w:jc w:val="center"/>
        <w:rPr>
          <w:sz w:val="28"/>
          <w:szCs w:val="28"/>
        </w:rPr>
      </w:pPr>
    </w:p>
    <w:p w:rsidR="00214BFC" w:rsidRPr="00EE701C" w:rsidP="009B3C6A" w14:paraId="5CD58A55" w14:textId="77777777">
      <w:pPr>
        <w:autoSpaceDE w:val="0"/>
        <w:autoSpaceDN w:val="0"/>
        <w:adjustRightInd w:val="0"/>
        <w:spacing w:after="0"/>
        <w:jc w:val="center"/>
        <w:rPr>
          <w:sz w:val="28"/>
          <w:szCs w:val="28"/>
        </w:rPr>
      </w:pPr>
    </w:p>
    <w:p w:rsidR="00D33B68" w:rsidRPr="00EE701C" w:rsidP="009B3C6A" w14:paraId="0728BE7E" w14:textId="77777777">
      <w:pPr>
        <w:autoSpaceDE w:val="0"/>
        <w:autoSpaceDN w:val="0"/>
        <w:adjustRightInd w:val="0"/>
        <w:spacing w:after="0"/>
        <w:jc w:val="center"/>
        <w:rPr>
          <w:sz w:val="28"/>
          <w:szCs w:val="28"/>
        </w:rPr>
      </w:pPr>
    </w:p>
    <w:p w:rsidR="00146E26" w:rsidRPr="00EE701C" w:rsidP="009B3C6A" w14:paraId="4120928F" w14:textId="77777777">
      <w:pPr>
        <w:autoSpaceDE w:val="0"/>
        <w:autoSpaceDN w:val="0"/>
        <w:adjustRightInd w:val="0"/>
        <w:spacing w:after="0"/>
        <w:jc w:val="center"/>
        <w:rPr>
          <w:sz w:val="28"/>
          <w:szCs w:val="28"/>
        </w:rPr>
      </w:pPr>
      <w:r w:rsidRPr="00EE701C">
        <w:rPr>
          <w:sz w:val="28"/>
          <w:szCs w:val="28"/>
        </w:rPr>
        <w:t>Economics Staff</w:t>
      </w:r>
    </w:p>
    <w:p w:rsidR="00146E26" w:rsidRPr="00EE701C" w:rsidP="009B3C6A" w14:paraId="19A346ED" w14:textId="77777777">
      <w:pPr>
        <w:autoSpaceDE w:val="0"/>
        <w:autoSpaceDN w:val="0"/>
        <w:adjustRightInd w:val="0"/>
        <w:spacing w:after="0"/>
        <w:jc w:val="center"/>
        <w:rPr>
          <w:sz w:val="28"/>
          <w:szCs w:val="28"/>
        </w:rPr>
      </w:pPr>
      <w:r w:rsidRPr="00EE701C">
        <w:rPr>
          <w:sz w:val="28"/>
          <w:szCs w:val="28"/>
        </w:rPr>
        <w:t xml:space="preserve">Office of </w:t>
      </w:r>
      <w:r w:rsidR="008177E0">
        <w:rPr>
          <w:sz w:val="28"/>
          <w:szCs w:val="28"/>
        </w:rPr>
        <w:t>Economics and Analysis</w:t>
      </w:r>
    </w:p>
    <w:p w:rsidR="00E61C5B" w:rsidRPr="00EE701C" w:rsidP="009B3C6A" w14:paraId="27E4B6CF" w14:textId="77777777">
      <w:pPr>
        <w:autoSpaceDE w:val="0"/>
        <w:autoSpaceDN w:val="0"/>
        <w:adjustRightInd w:val="0"/>
        <w:spacing w:after="0"/>
        <w:jc w:val="center"/>
        <w:rPr>
          <w:sz w:val="28"/>
          <w:szCs w:val="28"/>
        </w:rPr>
      </w:pPr>
      <w:r w:rsidRPr="00EE701C">
        <w:rPr>
          <w:sz w:val="28"/>
          <w:szCs w:val="28"/>
        </w:rPr>
        <w:t xml:space="preserve"> Office of Policy</w:t>
      </w:r>
      <w:r w:rsidRPr="00EE701C" w:rsidR="00CF3946">
        <w:rPr>
          <w:sz w:val="28"/>
          <w:szCs w:val="28"/>
        </w:rPr>
        <w:t>,</w:t>
      </w:r>
      <w:r w:rsidRPr="00EE701C">
        <w:rPr>
          <w:sz w:val="28"/>
          <w:szCs w:val="28"/>
        </w:rPr>
        <w:t xml:space="preserve"> </w:t>
      </w:r>
      <w:r w:rsidRPr="00EE701C" w:rsidR="00CF3946">
        <w:rPr>
          <w:sz w:val="28"/>
          <w:szCs w:val="28"/>
        </w:rPr>
        <w:t>Legislation</w:t>
      </w:r>
      <w:r w:rsidR="008177E0">
        <w:rPr>
          <w:sz w:val="28"/>
          <w:szCs w:val="28"/>
        </w:rPr>
        <w:t>,</w:t>
      </w:r>
      <w:r w:rsidRPr="00EE701C" w:rsidR="00457997">
        <w:rPr>
          <w:sz w:val="28"/>
          <w:szCs w:val="28"/>
        </w:rPr>
        <w:t xml:space="preserve"> and </w:t>
      </w:r>
      <w:r w:rsidR="008177E0">
        <w:rPr>
          <w:sz w:val="28"/>
          <w:szCs w:val="28"/>
        </w:rPr>
        <w:t>International Affairs</w:t>
      </w:r>
      <w:r w:rsidRPr="00EE701C">
        <w:rPr>
          <w:sz w:val="28"/>
          <w:szCs w:val="28"/>
        </w:rPr>
        <w:t xml:space="preserve"> </w:t>
      </w:r>
    </w:p>
    <w:p w:rsidR="009B229E" w:rsidP="00021F7C" w14:paraId="0A47DC85" w14:textId="5CCB3461">
      <w:pPr>
        <w:autoSpaceDE w:val="0"/>
        <w:autoSpaceDN w:val="0"/>
        <w:adjustRightInd w:val="0"/>
        <w:spacing w:after="0"/>
        <w:jc w:val="center"/>
        <w:rPr>
          <w:rFonts w:eastAsiaTheme="majorEastAsia" w:cstheme="majorBidi"/>
          <w:b/>
          <w:szCs w:val="32"/>
          <w:u w:val="single"/>
        </w:rPr>
      </w:pPr>
      <w:r w:rsidRPr="00EE701C">
        <w:rPr>
          <w:sz w:val="28"/>
          <w:szCs w:val="28"/>
        </w:rPr>
        <w:t>Office of the Commissioner</w:t>
      </w:r>
      <w:bookmarkStart w:id="0" w:name="_Toc75273088"/>
      <w:bookmarkStart w:id="1" w:name="_Toc75273116"/>
      <w:r>
        <w:br w:type="page"/>
      </w:r>
    </w:p>
    <w:p w:rsidR="009B229E" w:rsidRPr="00EE701C" w:rsidP="009B229E" w14:paraId="605F9061" w14:textId="7FAF7C7E">
      <w:pPr>
        <w:pStyle w:val="Style1"/>
      </w:pPr>
      <w:r>
        <w:t>Executive Summary</w:t>
      </w:r>
      <w:bookmarkEnd w:id="0"/>
      <w:bookmarkEnd w:id="1"/>
    </w:p>
    <w:p w:rsidR="00021F7C" w:rsidRPr="00EE701C" w:rsidP="00021F7C" w14:paraId="7C3FD903" w14:textId="77777777">
      <w:r w:rsidRPr="00DD1C4F">
        <w:t xml:space="preserve">This </w:t>
      </w:r>
      <w:r>
        <w:t xml:space="preserve">final </w:t>
      </w:r>
      <w:r w:rsidRPr="00DD1C4F">
        <w:t>rule establish</w:t>
      </w:r>
      <w:r>
        <w:t>es</w:t>
      </w:r>
      <w:r w:rsidRPr="00DD1C4F">
        <w:t xml:space="preserve"> the deadline for submission of annual summaries of use of investigational drugs supplied under the Right to Try Act.  The rule also establish</w:t>
      </w:r>
      <w:r>
        <w:t>es</w:t>
      </w:r>
      <w:r w:rsidRPr="00DD1C4F">
        <w:t xml:space="preserve"> the required contents of these submissions</w:t>
      </w:r>
      <w:r w:rsidRPr="00AE5B77">
        <w:rPr>
          <w:i/>
        </w:rPr>
        <w:t>.</w:t>
      </w:r>
      <w:r w:rsidRPr="00E4309E">
        <w:rPr>
          <w:rStyle w:val="CommentReference"/>
        </w:rPr>
        <w:t xml:space="preserve"> </w:t>
      </w:r>
      <w:r w:rsidRPr="00E4309E">
        <w:t xml:space="preserve"> </w:t>
      </w:r>
      <w:r w:rsidRPr="00DD1C4F">
        <w:t>These reporting requirements instruct firms to collect all known serious adverse events and submit them once per year to FDA.  In addition, based on the information in these annual summaries, FDA intends to post online an annual summary report in accordance with section 561B(d)(2) of the FD&amp;C Act.</w:t>
      </w:r>
    </w:p>
    <w:p w:rsidR="00021F7C" w:rsidRPr="00DD1C4F" w:rsidP="00021F7C" w14:paraId="2F97CD88" w14:textId="633B63B9">
      <w:r w:rsidRPr="00DD1C4F">
        <w:t xml:space="preserve">The benefits of this rule consist of societal and public health outcomes that may accrue from the disclosure of the use of investigational drugs and any known serious adverse events provided in these annual summary reports.  </w:t>
      </w:r>
      <w:r>
        <w:t>T</w:t>
      </w:r>
      <w:r w:rsidRPr="00DD1C4F">
        <w:t xml:space="preserve">here is no data that would allow us to predict the </w:t>
      </w:r>
      <w:r>
        <w:t>magnitude of generated</w:t>
      </w:r>
      <w:r w:rsidRPr="00DD1C4F">
        <w:t xml:space="preserve"> benefits </w:t>
      </w:r>
      <w:r>
        <w:t>and thus w</w:t>
      </w:r>
      <w:r w:rsidRPr="00DD1C4F">
        <w:t>e are unable to quantify the expected benefits of this rule</w:t>
      </w:r>
      <w:r>
        <w:t>.</w:t>
      </w:r>
      <w:r w:rsidRPr="00DD1C4F">
        <w:t xml:space="preserve"> </w:t>
      </w:r>
    </w:p>
    <w:p w:rsidR="00021F7C" w:rsidRPr="00DD1C4F" w:rsidP="00021F7C" w14:paraId="3647C687" w14:textId="387535DC">
      <w:r w:rsidRPr="00E4309E">
        <w:t>Costs are estimated as the time sp</w:t>
      </w:r>
      <w:r w:rsidRPr="00010B3F">
        <w:t>ent by firms to prepare and submit these annual summary reports.  The total estimated present value of this rule’s costs is $</w:t>
      </w:r>
      <w:r w:rsidRPr="00DD1C4F">
        <w:t>3</w:t>
      </w:r>
      <w:r>
        <w:t>7,132</w:t>
      </w:r>
      <w:r w:rsidRPr="00DD1C4F">
        <w:t xml:space="preserve"> at a seven percent discount rate and $4</w:t>
      </w:r>
      <w:r>
        <w:t>5,818</w:t>
      </w:r>
      <w:r w:rsidRPr="00DD1C4F">
        <w:t xml:space="preserve"> at a three percent discount rate.  The annualized cost of this rule over 10 years is $5,</w:t>
      </w:r>
      <w:r>
        <w:t>287</w:t>
      </w:r>
      <w:r w:rsidRPr="00DD1C4F">
        <w:t xml:space="preserve"> at a seven percent discount rate and $5,</w:t>
      </w:r>
      <w:r>
        <w:t>371</w:t>
      </w:r>
      <w:r w:rsidRPr="00DD1C4F">
        <w:t xml:space="preserve"> at a three percent discount rate</w:t>
      </w:r>
      <w:r>
        <w:t>.</w:t>
      </w:r>
    </w:p>
    <w:p w:rsidR="00214BFC" w:rsidP="00021F7C" w14:paraId="68FF1FBA" w14:textId="65AED400"/>
    <w:p w:rsidR="005A1352" w:rsidP="00D33B68" w14:paraId="7F07F716" w14:textId="6F9F0731"/>
    <w:p w:rsidR="005A1352" w14:paraId="42E3DAE9" w14:textId="3A51FD14">
      <w:r>
        <w:br w:type="page"/>
      </w:r>
    </w:p>
    <w:sdt>
      <w:sdtPr>
        <w:rPr>
          <w:rFonts w:ascii="Times New Roman" w:eastAsia="MS Mincho" w:hAnsi="Times New Roman" w:cs="Times New Roman"/>
          <w:color w:val="auto"/>
          <w:sz w:val="24"/>
          <w:szCs w:val="24"/>
          <w:lang w:eastAsia="ja-JP"/>
        </w:rPr>
        <w:id w:val="1469084604"/>
        <w:docPartObj>
          <w:docPartGallery w:val="Table of Contents"/>
          <w:docPartUnique/>
        </w:docPartObj>
      </w:sdtPr>
      <w:sdtEndPr>
        <w:rPr>
          <w:b/>
          <w:bCs/>
          <w:noProof/>
        </w:rPr>
      </w:sdtEndPr>
      <w:sdtContent>
        <w:p w:rsidR="009B229E" w14:paraId="73A8D694" w14:textId="09736A78">
          <w:pPr>
            <w:pStyle w:val="TOCHeading"/>
          </w:pPr>
          <w:r>
            <w:t>Table of Contents</w:t>
          </w:r>
        </w:p>
        <w:p w:rsidR="009B229E" w14:paraId="4554AAC1" w14:textId="64845332">
          <w:pPr>
            <w:pStyle w:val="TOC1"/>
            <w:tabs>
              <w:tab w:val="right" w:leader="dot" w:pos="8630"/>
            </w:tabs>
            <w:rPr>
              <w:rFonts w:asciiTheme="minorHAnsi" w:eastAsiaTheme="minorEastAsia" w:hAnsiTheme="minorHAnsi" w:cstheme="minorBidi"/>
              <w:noProof/>
              <w:sz w:val="22"/>
              <w:szCs w:val="22"/>
              <w:lang w:eastAsia="en-US"/>
            </w:rPr>
          </w:pPr>
          <w:r>
            <w:fldChar w:fldCharType="begin"/>
          </w:r>
          <w:r>
            <w:instrText xml:space="preserve"> TOC \o "1-3" \h \z \u </w:instrText>
          </w:r>
          <w:r>
            <w:fldChar w:fldCharType="separate"/>
          </w:r>
          <w:hyperlink w:anchor="_Toc75273116" w:history="1">
            <w:r w:rsidRPr="00366D35">
              <w:rPr>
                <w:rStyle w:val="Hyperlink"/>
                <w:noProof/>
              </w:rPr>
              <w:t>Executive Summary</w:t>
            </w:r>
            <w:r>
              <w:rPr>
                <w:noProof/>
                <w:webHidden/>
              </w:rPr>
              <w:tab/>
            </w:r>
            <w:r>
              <w:rPr>
                <w:noProof/>
                <w:webHidden/>
              </w:rPr>
              <w:fldChar w:fldCharType="begin"/>
            </w:r>
            <w:r>
              <w:rPr>
                <w:noProof/>
                <w:webHidden/>
              </w:rPr>
              <w:instrText xml:space="preserve"> PAGEREF _Toc75273116 \h </w:instrText>
            </w:r>
            <w:r>
              <w:rPr>
                <w:noProof/>
                <w:webHidden/>
              </w:rPr>
              <w:fldChar w:fldCharType="separate"/>
            </w:r>
            <w:r w:rsidR="001633BA">
              <w:rPr>
                <w:noProof/>
                <w:webHidden/>
              </w:rPr>
              <w:t>2</w:t>
            </w:r>
            <w:r>
              <w:rPr>
                <w:noProof/>
                <w:webHidden/>
              </w:rPr>
              <w:fldChar w:fldCharType="end"/>
            </w:r>
          </w:hyperlink>
        </w:p>
        <w:p w:rsidR="009B229E" w14:paraId="5C277777" w14:textId="01F418EB">
          <w:pPr>
            <w:pStyle w:val="TOC1"/>
            <w:tabs>
              <w:tab w:val="right" w:leader="dot" w:pos="8630"/>
            </w:tabs>
            <w:rPr>
              <w:rFonts w:asciiTheme="minorHAnsi" w:eastAsiaTheme="minorEastAsia" w:hAnsiTheme="minorHAnsi" w:cstheme="minorBidi"/>
              <w:noProof/>
              <w:sz w:val="22"/>
              <w:szCs w:val="22"/>
              <w:lang w:eastAsia="en-US"/>
            </w:rPr>
          </w:pPr>
          <w:hyperlink w:anchor="_Toc75273117" w:history="1">
            <w:r w:rsidRPr="00366D35">
              <w:rPr>
                <w:rStyle w:val="Hyperlink"/>
                <w:noProof/>
              </w:rPr>
              <w:t>I. Introduction and Summary</w:t>
            </w:r>
            <w:r>
              <w:rPr>
                <w:noProof/>
                <w:webHidden/>
              </w:rPr>
              <w:tab/>
            </w:r>
            <w:r>
              <w:rPr>
                <w:noProof/>
                <w:webHidden/>
              </w:rPr>
              <w:fldChar w:fldCharType="begin"/>
            </w:r>
            <w:r>
              <w:rPr>
                <w:noProof/>
                <w:webHidden/>
              </w:rPr>
              <w:instrText xml:space="preserve"> PAGEREF _Toc75273117 \h </w:instrText>
            </w:r>
            <w:r>
              <w:rPr>
                <w:noProof/>
                <w:webHidden/>
              </w:rPr>
              <w:fldChar w:fldCharType="separate"/>
            </w:r>
            <w:r w:rsidR="001633BA">
              <w:rPr>
                <w:noProof/>
                <w:webHidden/>
              </w:rPr>
              <w:t>4</w:t>
            </w:r>
            <w:r>
              <w:rPr>
                <w:noProof/>
                <w:webHidden/>
              </w:rPr>
              <w:fldChar w:fldCharType="end"/>
            </w:r>
          </w:hyperlink>
        </w:p>
        <w:p w:rsidR="009B229E" w14:paraId="711F09C3" w14:textId="068A529B">
          <w:pPr>
            <w:pStyle w:val="TOC2"/>
            <w:tabs>
              <w:tab w:val="right" w:leader="dot" w:pos="8630"/>
            </w:tabs>
            <w:rPr>
              <w:rFonts w:asciiTheme="minorHAnsi" w:eastAsiaTheme="minorEastAsia" w:hAnsiTheme="minorHAnsi" w:cstheme="minorBidi"/>
              <w:noProof/>
              <w:sz w:val="22"/>
              <w:szCs w:val="22"/>
              <w:lang w:eastAsia="en-US"/>
            </w:rPr>
          </w:pPr>
          <w:hyperlink w:anchor="_Toc75273118" w:history="1">
            <w:r w:rsidRPr="00366D35">
              <w:rPr>
                <w:rStyle w:val="Hyperlink"/>
                <w:noProof/>
              </w:rPr>
              <w:t>A. Introduction</w:t>
            </w:r>
            <w:r>
              <w:rPr>
                <w:noProof/>
                <w:webHidden/>
              </w:rPr>
              <w:tab/>
            </w:r>
            <w:r>
              <w:rPr>
                <w:noProof/>
                <w:webHidden/>
              </w:rPr>
              <w:fldChar w:fldCharType="begin"/>
            </w:r>
            <w:r>
              <w:rPr>
                <w:noProof/>
                <w:webHidden/>
              </w:rPr>
              <w:instrText xml:space="preserve"> PAGEREF _Toc75273118 \h </w:instrText>
            </w:r>
            <w:r>
              <w:rPr>
                <w:noProof/>
                <w:webHidden/>
              </w:rPr>
              <w:fldChar w:fldCharType="separate"/>
            </w:r>
            <w:r w:rsidR="001633BA">
              <w:rPr>
                <w:noProof/>
                <w:webHidden/>
              </w:rPr>
              <w:t>4</w:t>
            </w:r>
            <w:r>
              <w:rPr>
                <w:noProof/>
                <w:webHidden/>
              </w:rPr>
              <w:fldChar w:fldCharType="end"/>
            </w:r>
          </w:hyperlink>
        </w:p>
        <w:p w:rsidR="009B229E" w14:paraId="4EC66F81" w14:textId="32E9FD90">
          <w:pPr>
            <w:pStyle w:val="TOC2"/>
            <w:tabs>
              <w:tab w:val="right" w:leader="dot" w:pos="8630"/>
            </w:tabs>
            <w:rPr>
              <w:rFonts w:asciiTheme="minorHAnsi" w:eastAsiaTheme="minorEastAsia" w:hAnsiTheme="minorHAnsi" w:cstheme="minorBidi"/>
              <w:noProof/>
              <w:sz w:val="22"/>
              <w:szCs w:val="22"/>
              <w:lang w:eastAsia="en-US"/>
            </w:rPr>
          </w:pPr>
          <w:hyperlink w:anchor="_Toc75273119" w:history="1">
            <w:r w:rsidRPr="00366D35">
              <w:rPr>
                <w:rStyle w:val="Hyperlink"/>
                <w:noProof/>
              </w:rPr>
              <w:t>B. Summary of Costs and Benefits</w:t>
            </w:r>
            <w:r>
              <w:rPr>
                <w:noProof/>
                <w:webHidden/>
              </w:rPr>
              <w:tab/>
            </w:r>
            <w:r>
              <w:rPr>
                <w:noProof/>
                <w:webHidden/>
              </w:rPr>
              <w:fldChar w:fldCharType="begin"/>
            </w:r>
            <w:r>
              <w:rPr>
                <w:noProof/>
                <w:webHidden/>
              </w:rPr>
              <w:instrText xml:space="preserve"> PAGEREF _Toc75273119 \h </w:instrText>
            </w:r>
            <w:r>
              <w:rPr>
                <w:noProof/>
                <w:webHidden/>
              </w:rPr>
              <w:fldChar w:fldCharType="separate"/>
            </w:r>
            <w:r w:rsidR="001633BA">
              <w:rPr>
                <w:noProof/>
                <w:webHidden/>
              </w:rPr>
              <w:t>4</w:t>
            </w:r>
            <w:r>
              <w:rPr>
                <w:noProof/>
                <w:webHidden/>
              </w:rPr>
              <w:fldChar w:fldCharType="end"/>
            </w:r>
          </w:hyperlink>
        </w:p>
        <w:p w:rsidR="009B229E" w14:paraId="2DB096D5" w14:textId="31AB2AD0">
          <w:pPr>
            <w:pStyle w:val="TOC2"/>
            <w:tabs>
              <w:tab w:val="right" w:leader="dot" w:pos="8630"/>
            </w:tabs>
            <w:rPr>
              <w:rFonts w:asciiTheme="minorHAnsi" w:eastAsiaTheme="minorEastAsia" w:hAnsiTheme="minorHAnsi" w:cstheme="minorBidi"/>
              <w:noProof/>
              <w:sz w:val="22"/>
              <w:szCs w:val="22"/>
              <w:lang w:eastAsia="en-US"/>
            </w:rPr>
          </w:pPr>
          <w:hyperlink w:anchor="_Toc75273120" w:history="1">
            <w:r w:rsidRPr="00366D35">
              <w:rPr>
                <w:rStyle w:val="Hyperlink"/>
                <w:noProof/>
              </w:rPr>
              <w:t>C. Comments on the Preliminary Economic Analysis of Impacts and Our Responses</w:t>
            </w:r>
            <w:r>
              <w:rPr>
                <w:noProof/>
                <w:webHidden/>
              </w:rPr>
              <w:tab/>
            </w:r>
            <w:r>
              <w:rPr>
                <w:noProof/>
                <w:webHidden/>
              </w:rPr>
              <w:fldChar w:fldCharType="begin"/>
            </w:r>
            <w:r>
              <w:rPr>
                <w:noProof/>
                <w:webHidden/>
              </w:rPr>
              <w:instrText xml:space="preserve"> PAGEREF _Toc75273120 \h </w:instrText>
            </w:r>
            <w:r>
              <w:rPr>
                <w:noProof/>
                <w:webHidden/>
              </w:rPr>
              <w:fldChar w:fldCharType="separate"/>
            </w:r>
            <w:r w:rsidR="001633BA">
              <w:rPr>
                <w:noProof/>
                <w:webHidden/>
              </w:rPr>
              <w:t>6</w:t>
            </w:r>
            <w:r>
              <w:rPr>
                <w:noProof/>
                <w:webHidden/>
              </w:rPr>
              <w:fldChar w:fldCharType="end"/>
            </w:r>
          </w:hyperlink>
        </w:p>
        <w:p w:rsidR="009B229E" w14:paraId="6A974397" w14:textId="3905DD55">
          <w:pPr>
            <w:pStyle w:val="TOC2"/>
            <w:tabs>
              <w:tab w:val="right" w:leader="dot" w:pos="8630"/>
            </w:tabs>
            <w:rPr>
              <w:rFonts w:asciiTheme="minorHAnsi" w:eastAsiaTheme="minorEastAsia" w:hAnsiTheme="minorHAnsi" w:cstheme="minorBidi"/>
              <w:noProof/>
              <w:sz w:val="22"/>
              <w:szCs w:val="22"/>
              <w:lang w:eastAsia="en-US"/>
            </w:rPr>
          </w:pPr>
          <w:hyperlink w:anchor="_Toc75273121" w:history="1">
            <w:r w:rsidRPr="00366D35">
              <w:rPr>
                <w:rStyle w:val="Hyperlink"/>
                <w:noProof/>
              </w:rPr>
              <w:t>D. Summary of Changes</w:t>
            </w:r>
            <w:r>
              <w:rPr>
                <w:noProof/>
                <w:webHidden/>
              </w:rPr>
              <w:tab/>
            </w:r>
            <w:r>
              <w:rPr>
                <w:noProof/>
                <w:webHidden/>
              </w:rPr>
              <w:fldChar w:fldCharType="begin"/>
            </w:r>
            <w:r>
              <w:rPr>
                <w:noProof/>
                <w:webHidden/>
              </w:rPr>
              <w:instrText xml:space="preserve"> PAGEREF _Toc75273121 \h </w:instrText>
            </w:r>
            <w:r>
              <w:rPr>
                <w:noProof/>
                <w:webHidden/>
              </w:rPr>
              <w:fldChar w:fldCharType="separate"/>
            </w:r>
            <w:r w:rsidR="001633BA">
              <w:rPr>
                <w:noProof/>
                <w:webHidden/>
              </w:rPr>
              <w:t>6</w:t>
            </w:r>
            <w:r>
              <w:rPr>
                <w:noProof/>
                <w:webHidden/>
              </w:rPr>
              <w:fldChar w:fldCharType="end"/>
            </w:r>
          </w:hyperlink>
        </w:p>
        <w:p w:rsidR="009B229E" w14:paraId="4808EC5E" w14:textId="3C748B41">
          <w:pPr>
            <w:pStyle w:val="TOC1"/>
            <w:tabs>
              <w:tab w:val="right" w:leader="dot" w:pos="8630"/>
            </w:tabs>
            <w:rPr>
              <w:rFonts w:asciiTheme="minorHAnsi" w:eastAsiaTheme="minorEastAsia" w:hAnsiTheme="minorHAnsi" w:cstheme="minorBidi"/>
              <w:noProof/>
              <w:sz w:val="22"/>
              <w:szCs w:val="22"/>
              <w:lang w:eastAsia="en-US"/>
            </w:rPr>
          </w:pPr>
          <w:hyperlink w:anchor="_Toc75273122" w:history="1">
            <w:r w:rsidRPr="00366D35">
              <w:rPr>
                <w:rStyle w:val="Hyperlink"/>
                <w:noProof/>
              </w:rPr>
              <w:t>II. Final Economic Analysis of Impacts</w:t>
            </w:r>
            <w:r>
              <w:rPr>
                <w:noProof/>
                <w:webHidden/>
              </w:rPr>
              <w:tab/>
            </w:r>
            <w:r>
              <w:rPr>
                <w:noProof/>
                <w:webHidden/>
              </w:rPr>
              <w:fldChar w:fldCharType="begin"/>
            </w:r>
            <w:r>
              <w:rPr>
                <w:noProof/>
                <w:webHidden/>
              </w:rPr>
              <w:instrText xml:space="preserve"> PAGEREF _Toc75273122 \h </w:instrText>
            </w:r>
            <w:r>
              <w:rPr>
                <w:noProof/>
                <w:webHidden/>
              </w:rPr>
              <w:fldChar w:fldCharType="separate"/>
            </w:r>
            <w:r w:rsidR="001633BA">
              <w:rPr>
                <w:noProof/>
                <w:webHidden/>
              </w:rPr>
              <w:t>7</w:t>
            </w:r>
            <w:r>
              <w:rPr>
                <w:noProof/>
                <w:webHidden/>
              </w:rPr>
              <w:fldChar w:fldCharType="end"/>
            </w:r>
          </w:hyperlink>
        </w:p>
        <w:p w:rsidR="009B229E" w14:paraId="1960BD4C" w14:textId="6DB18782">
          <w:pPr>
            <w:pStyle w:val="TOC2"/>
            <w:tabs>
              <w:tab w:val="right" w:leader="dot" w:pos="8630"/>
            </w:tabs>
            <w:rPr>
              <w:rFonts w:asciiTheme="minorHAnsi" w:eastAsiaTheme="minorEastAsia" w:hAnsiTheme="minorHAnsi" w:cstheme="minorBidi"/>
              <w:noProof/>
              <w:sz w:val="22"/>
              <w:szCs w:val="22"/>
              <w:lang w:eastAsia="en-US"/>
            </w:rPr>
          </w:pPr>
          <w:hyperlink w:anchor="_Toc75273123" w:history="1">
            <w:r w:rsidRPr="00366D35">
              <w:rPr>
                <w:rStyle w:val="Hyperlink"/>
                <w:noProof/>
              </w:rPr>
              <w:t>A. Background</w:t>
            </w:r>
            <w:r>
              <w:rPr>
                <w:noProof/>
                <w:webHidden/>
              </w:rPr>
              <w:tab/>
            </w:r>
            <w:r>
              <w:rPr>
                <w:noProof/>
                <w:webHidden/>
              </w:rPr>
              <w:fldChar w:fldCharType="begin"/>
            </w:r>
            <w:r>
              <w:rPr>
                <w:noProof/>
                <w:webHidden/>
              </w:rPr>
              <w:instrText xml:space="preserve"> PAGEREF _Toc75273123 \h </w:instrText>
            </w:r>
            <w:r>
              <w:rPr>
                <w:noProof/>
                <w:webHidden/>
              </w:rPr>
              <w:fldChar w:fldCharType="separate"/>
            </w:r>
            <w:r w:rsidR="001633BA">
              <w:rPr>
                <w:noProof/>
                <w:webHidden/>
              </w:rPr>
              <w:t>7</w:t>
            </w:r>
            <w:r>
              <w:rPr>
                <w:noProof/>
                <w:webHidden/>
              </w:rPr>
              <w:fldChar w:fldCharType="end"/>
            </w:r>
          </w:hyperlink>
        </w:p>
        <w:p w:rsidR="009B229E" w14:paraId="2F4ADCB6" w14:textId="2E95DE2A">
          <w:pPr>
            <w:pStyle w:val="TOC2"/>
            <w:tabs>
              <w:tab w:val="right" w:leader="dot" w:pos="8630"/>
            </w:tabs>
            <w:rPr>
              <w:rFonts w:asciiTheme="minorHAnsi" w:eastAsiaTheme="minorEastAsia" w:hAnsiTheme="minorHAnsi" w:cstheme="minorBidi"/>
              <w:noProof/>
              <w:sz w:val="22"/>
              <w:szCs w:val="22"/>
              <w:lang w:eastAsia="en-US"/>
            </w:rPr>
          </w:pPr>
          <w:hyperlink w:anchor="_Toc75273124" w:history="1">
            <w:r w:rsidRPr="00366D35">
              <w:rPr>
                <w:rStyle w:val="Hyperlink"/>
                <w:noProof/>
              </w:rPr>
              <w:t>B. Need for Federal Regulatory Action</w:t>
            </w:r>
            <w:r>
              <w:rPr>
                <w:noProof/>
                <w:webHidden/>
              </w:rPr>
              <w:tab/>
            </w:r>
            <w:r>
              <w:rPr>
                <w:noProof/>
                <w:webHidden/>
              </w:rPr>
              <w:fldChar w:fldCharType="begin"/>
            </w:r>
            <w:r>
              <w:rPr>
                <w:noProof/>
                <w:webHidden/>
              </w:rPr>
              <w:instrText xml:space="preserve"> PAGEREF _Toc75273124 \h </w:instrText>
            </w:r>
            <w:r>
              <w:rPr>
                <w:noProof/>
                <w:webHidden/>
              </w:rPr>
              <w:fldChar w:fldCharType="separate"/>
            </w:r>
            <w:r w:rsidR="001633BA">
              <w:rPr>
                <w:noProof/>
                <w:webHidden/>
              </w:rPr>
              <w:t>7</w:t>
            </w:r>
            <w:r>
              <w:rPr>
                <w:noProof/>
                <w:webHidden/>
              </w:rPr>
              <w:fldChar w:fldCharType="end"/>
            </w:r>
          </w:hyperlink>
        </w:p>
        <w:p w:rsidR="009B229E" w14:paraId="6601EC42" w14:textId="57519219">
          <w:pPr>
            <w:pStyle w:val="TOC2"/>
            <w:tabs>
              <w:tab w:val="right" w:leader="dot" w:pos="8630"/>
            </w:tabs>
            <w:rPr>
              <w:rFonts w:asciiTheme="minorHAnsi" w:eastAsiaTheme="minorEastAsia" w:hAnsiTheme="minorHAnsi" w:cstheme="minorBidi"/>
              <w:noProof/>
              <w:sz w:val="22"/>
              <w:szCs w:val="22"/>
              <w:lang w:eastAsia="en-US"/>
            </w:rPr>
          </w:pPr>
          <w:hyperlink w:anchor="_Toc75273125" w:history="1">
            <w:r w:rsidRPr="00366D35">
              <w:rPr>
                <w:rStyle w:val="Hyperlink"/>
                <w:noProof/>
              </w:rPr>
              <w:t>C. Purpose of the Rule</w:t>
            </w:r>
            <w:r>
              <w:rPr>
                <w:noProof/>
                <w:webHidden/>
              </w:rPr>
              <w:tab/>
            </w:r>
            <w:r>
              <w:rPr>
                <w:noProof/>
                <w:webHidden/>
              </w:rPr>
              <w:fldChar w:fldCharType="begin"/>
            </w:r>
            <w:r>
              <w:rPr>
                <w:noProof/>
                <w:webHidden/>
              </w:rPr>
              <w:instrText xml:space="preserve"> PAGEREF _Toc75273125 \h </w:instrText>
            </w:r>
            <w:r>
              <w:rPr>
                <w:noProof/>
                <w:webHidden/>
              </w:rPr>
              <w:fldChar w:fldCharType="separate"/>
            </w:r>
            <w:r w:rsidR="001633BA">
              <w:rPr>
                <w:noProof/>
                <w:webHidden/>
              </w:rPr>
              <w:t>7</w:t>
            </w:r>
            <w:r>
              <w:rPr>
                <w:noProof/>
                <w:webHidden/>
              </w:rPr>
              <w:fldChar w:fldCharType="end"/>
            </w:r>
          </w:hyperlink>
        </w:p>
        <w:p w:rsidR="009B229E" w14:paraId="72D19E61" w14:textId="6D1E172A">
          <w:pPr>
            <w:pStyle w:val="TOC2"/>
            <w:tabs>
              <w:tab w:val="right" w:leader="dot" w:pos="8630"/>
            </w:tabs>
            <w:rPr>
              <w:rFonts w:asciiTheme="minorHAnsi" w:eastAsiaTheme="minorEastAsia" w:hAnsiTheme="minorHAnsi" w:cstheme="minorBidi"/>
              <w:noProof/>
              <w:sz w:val="22"/>
              <w:szCs w:val="22"/>
              <w:lang w:eastAsia="en-US"/>
            </w:rPr>
          </w:pPr>
          <w:hyperlink w:anchor="_Toc75273126" w:history="1">
            <w:r w:rsidRPr="00366D35">
              <w:rPr>
                <w:rStyle w:val="Hyperlink"/>
                <w:noProof/>
              </w:rPr>
              <w:t>D. Baseline Conditions</w:t>
            </w:r>
            <w:r>
              <w:rPr>
                <w:noProof/>
                <w:webHidden/>
              </w:rPr>
              <w:tab/>
            </w:r>
            <w:r>
              <w:rPr>
                <w:noProof/>
                <w:webHidden/>
              </w:rPr>
              <w:fldChar w:fldCharType="begin"/>
            </w:r>
            <w:r>
              <w:rPr>
                <w:noProof/>
                <w:webHidden/>
              </w:rPr>
              <w:instrText xml:space="preserve"> PAGEREF _Toc75273126 \h </w:instrText>
            </w:r>
            <w:r>
              <w:rPr>
                <w:noProof/>
                <w:webHidden/>
              </w:rPr>
              <w:fldChar w:fldCharType="separate"/>
            </w:r>
            <w:r w:rsidR="001633BA">
              <w:rPr>
                <w:noProof/>
                <w:webHidden/>
              </w:rPr>
              <w:t>8</w:t>
            </w:r>
            <w:r>
              <w:rPr>
                <w:noProof/>
                <w:webHidden/>
              </w:rPr>
              <w:fldChar w:fldCharType="end"/>
            </w:r>
          </w:hyperlink>
        </w:p>
        <w:p w:rsidR="009B229E" w14:paraId="6EB5D97C" w14:textId="6958A6E6">
          <w:pPr>
            <w:pStyle w:val="TOC2"/>
            <w:tabs>
              <w:tab w:val="right" w:leader="dot" w:pos="8630"/>
            </w:tabs>
            <w:rPr>
              <w:rFonts w:asciiTheme="minorHAnsi" w:eastAsiaTheme="minorEastAsia" w:hAnsiTheme="minorHAnsi" w:cstheme="minorBidi"/>
              <w:noProof/>
              <w:sz w:val="22"/>
              <w:szCs w:val="22"/>
              <w:lang w:eastAsia="en-US"/>
            </w:rPr>
          </w:pPr>
          <w:hyperlink w:anchor="_Toc75273127" w:history="1">
            <w:r w:rsidRPr="00366D35">
              <w:rPr>
                <w:rStyle w:val="Hyperlink"/>
                <w:noProof/>
              </w:rPr>
              <w:t>E. Benefits of the Rule</w:t>
            </w:r>
            <w:r>
              <w:rPr>
                <w:noProof/>
                <w:webHidden/>
              </w:rPr>
              <w:tab/>
            </w:r>
            <w:r>
              <w:rPr>
                <w:noProof/>
                <w:webHidden/>
              </w:rPr>
              <w:fldChar w:fldCharType="begin"/>
            </w:r>
            <w:r>
              <w:rPr>
                <w:noProof/>
                <w:webHidden/>
              </w:rPr>
              <w:instrText xml:space="preserve"> PAGEREF _Toc75273127 \h </w:instrText>
            </w:r>
            <w:r>
              <w:rPr>
                <w:noProof/>
                <w:webHidden/>
              </w:rPr>
              <w:fldChar w:fldCharType="separate"/>
            </w:r>
            <w:r w:rsidR="001633BA">
              <w:rPr>
                <w:noProof/>
                <w:webHidden/>
              </w:rPr>
              <w:t>8</w:t>
            </w:r>
            <w:r>
              <w:rPr>
                <w:noProof/>
                <w:webHidden/>
              </w:rPr>
              <w:fldChar w:fldCharType="end"/>
            </w:r>
          </w:hyperlink>
        </w:p>
        <w:p w:rsidR="009B229E" w14:paraId="516559C4" w14:textId="3CD2B619">
          <w:pPr>
            <w:pStyle w:val="TOC2"/>
            <w:tabs>
              <w:tab w:val="right" w:leader="dot" w:pos="8630"/>
            </w:tabs>
            <w:rPr>
              <w:rFonts w:asciiTheme="minorHAnsi" w:eastAsiaTheme="minorEastAsia" w:hAnsiTheme="minorHAnsi" w:cstheme="minorBidi"/>
              <w:noProof/>
              <w:sz w:val="22"/>
              <w:szCs w:val="22"/>
              <w:lang w:eastAsia="en-US"/>
            </w:rPr>
          </w:pPr>
          <w:hyperlink w:anchor="_Toc75273128" w:history="1">
            <w:r w:rsidRPr="00366D35">
              <w:rPr>
                <w:rStyle w:val="Hyperlink"/>
                <w:noProof/>
              </w:rPr>
              <w:t>F. Costs of the Rule</w:t>
            </w:r>
            <w:r>
              <w:rPr>
                <w:noProof/>
                <w:webHidden/>
              </w:rPr>
              <w:tab/>
            </w:r>
            <w:r>
              <w:rPr>
                <w:noProof/>
                <w:webHidden/>
              </w:rPr>
              <w:fldChar w:fldCharType="begin"/>
            </w:r>
            <w:r>
              <w:rPr>
                <w:noProof/>
                <w:webHidden/>
              </w:rPr>
              <w:instrText xml:space="preserve"> PAGEREF _Toc75273128 \h </w:instrText>
            </w:r>
            <w:r>
              <w:rPr>
                <w:noProof/>
                <w:webHidden/>
              </w:rPr>
              <w:fldChar w:fldCharType="separate"/>
            </w:r>
            <w:r w:rsidR="001633BA">
              <w:rPr>
                <w:noProof/>
                <w:webHidden/>
              </w:rPr>
              <w:t>8</w:t>
            </w:r>
            <w:r>
              <w:rPr>
                <w:noProof/>
                <w:webHidden/>
              </w:rPr>
              <w:fldChar w:fldCharType="end"/>
            </w:r>
          </w:hyperlink>
        </w:p>
        <w:p w:rsidR="009B229E" w14:paraId="38318773" w14:textId="551264BB">
          <w:pPr>
            <w:pStyle w:val="TOC2"/>
            <w:tabs>
              <w:tab w:val="right" w:leader="dot" w:pos="8630"/>
            </w:tabs>
            <w:rPr>
              <w:rFonts w:asciiTheme="minorHAnsi" w:eastAsiaTheme="minorEastAsia" w:hAnsiTheme="minorHAnsi" w:cstheme="minorBidi"/>
              <w:noProof/>
              <w:sz w:val="22"/>
              <w:szCs w:val="22"/>
              <w:lang w:eastAsia="en-US"/>
            </w:rPr>
          </w:pPr>
          <w:hyperlink w:anchor="_Toc75273129" w:history="1">
            <w:r w:rsidRPr="00366D35">
              <w:rPr>
                <w:rStyle w:val="Hyperlink"/>
                <w:noProof/>
              </w:rPr>
              <w:t>G. Distributional Effects</w:t>
            </w:r>
            <w:r>
              <w:rPr>
                <w:noProof/>
                <w:webHidden/>
              </w:rPr>
              <w:tab/>
            </w:r>
            <w:r>
              <w:rPr>
                <w:noProof/>
                <w:webHidden/>
              </w:rPr>
              <w:fldChar w:fldCharType="begin"/>
            </w:r>
            <w:r>
              <w:rPr>
                <w:noProof/>
                <w:webHidden/>
              </w:rPr>
              <w:instrText xml:space="preserve"> PAGEREF _Toc75273129 \h </w:instrText>
            </w:r>
            <w:r>
              <w:rPr>
                <w:noProof/>
                <w:webHidden/>
              </w:rPr>
              <w:fldChar w:fldCharType="separate"/>
            </w:r>
            <w:r w:rsidR="001633BA">
              <w:rPr>
                <w:noProof/>
                <w:webHidden/>
              </w:rPr>
              <w:t>10</w:t>
            </w:r>
            <w:r>
              <w:rPr>
                <w:noProof/>
                <w:webHidden/>
              </w:rPr>
              <w:fldChar w:fldCharType="end"/>
            </w:r>
          </w:hyperlink>
        </w:p>
        <w:p w:rsidR="009B229E" w14:paraId="5F26190C" w14:textId="48EFAA8D">
          <w:pPr>
            <w:pStyle w:val="TOC2"/>
            <w:tabs>
              <w:tab w:val="right" w:leader="dot" w:pos="8630"/>
            </w:tabs>
            <w:rPr>
              <w:rFonts w:asciiTheme="minorHAnsi" w:eastAsiaTheme="minorEastAsia" w:hAnsiTheme="minorHAnsi" w:cstheme="minorBidi"/>
              <w:noProof/>
              <w:sz w:val="22"/>
              <w:szCs w:val="22"/>
              <w:lang w:eastAsia="en-US"/>
            </w:rPr>
          </w:pPr>
          <w:hyperlink w:anchor="_Toc75273130" w:history="1">
            <w:r w:rsidRPr="00366D35">
              <w:rPr>
                <w:rStyle w:val="Hyperlink"/>
                <w:noProof/>
              </w:rPr>
              <w:t>H. International Effects</w:t>
            </w:r>
            <w:r>
              <w:rPr>
                <w:noProof/>
                <w:webHidden/>
              </w:rPr>
              <w:tab/>
            </w:r>
            <w:r>
              <w:rPr>
                <w:noProof/>
                <w:webHidden/>
              </w:rPr>
              <w:fldChar w:fldCharType="begin"/>
            </w:r>
            <w:r>
              <w:rPr>
                <w:noProof/>
                <w:webHidden/>
              </w:rPr>
              <w:instrText xml:space="preserve"> PAGEREF _Toc75273130 \h </w:instrText>
            </w:r>
            <w:r>
              <w:rPr>
                <w:noProof/>
                <w:webHidden/>
              </w:rPr>
              <w:fldChar w:fldCharType="separate"/>
            </w:r>
            <w:r w:rsidR="001633BA">
              <w:rPr>
                <w:noProof/>
                <w:webHidden/>
              </w:rPr>
              <w:t>10</w:t>
            </w:r>
            <w:r>
              <w:rPr>
                <w:noProof/>
                <w:webHidden/>
              </w:rPr>
              <w:fldChar w:fldCharType="end"/>
            </w:r>
          </w:hyperlink>
        </w:p>
        <w:p w:rsidR="009B229E" w14:paraId="539BCC22" w14:textId="1627C76A">
          <w:pPr>
            <w:pStyle w:val="TOC1"/>
            <w:tabs>
              <w:tab w:val="right" w:leader="dot" w:pos="8630"/>
            </w:tabs>
            <w:rPr>
              <w:rFonts w:asciiTheme="minorHAnsi" w:eastAsiaTheme="minorEastAsia" w:hAnsiTheme="minorHAnsi" w:cstheme="minorBidi"/>
              <w:noProof/>
              <w:sz w:val="22"/>
              <w:szCs w:val="22"/>
              <w:lang w:eastAsia="en-US"/>
            </w:rPr>
          </w:pPr>
          <w:hyperlink w:anchor="_Toc75273131" w:history="1">
            <w:r w:rsidRPr="00366D35">
              <w:rPr>
                <w:rStyle w:val="Hyperlink"/>
                <w:noProof/>
              </w:rPr>
              <w:t>III. Final Small Entity Analysis</w:t>
            </w:r>
            <w:r>
              <w:rPr>
                <w:noProof/>
                <w:webHidden/>
              </w:rPr>
              <w:tab/>
            </w:r>
            <w:r>
              <w:rPr>
                <w:noProof/>
                <w:webHidden/>
              </w:rPr>
              <w:fldChar w:fldCharType="begin"/>
            </w:r>
            <w:r>
              <w:rPr>
                <w:noProof/>
                <w:webHidden/>
              </w:rPr>
              <w:instrText xml:space="preserve"> PAGEREF _Toc75273131 \h </w:instrText>
            </w:r>
            <w:r>
              <w:rPr>
                <w:noProof/>
                <w:webHidden/>
              </w:rPr>
              <w:fldChar w:fldCharType="separate"/>
            </w:r>
            <w:r w:rsidR="001633BA">
              <w:rPr>
                <w:noProof/>
                <w:webHidden/>
              </w:rPr>
              <w:t>11</w:t>
            </w:r>
            <w:r>
              <w:rPr>
                <w:noProof/>
                <w:webHidden/>
              </w:rPr>
              <w:fldChar w:fldCharType="end"/>
            </w:r>
          </w:hyperlink>
        </w:p>
        <w:p w:rsidR="009B229E" w14:paraId="2F3CDA83" w14:textId="52B51F02">
          <w:r>
            <w:rPr>
              <w:b/>
              <w:bCs/>
              <w:noProof/>
            </w:rPr>
            <w:fldChar w:fldCharType="end"/>
          </w:r>
        </w:p>
      </w:sdtContent>
    </w:sdt>
    <w:p w:rsidR="00333E1C" w14:paraId="641700FE" w14:textId="73C3E4ED"/>
    <w:p w:rsidR="00214BFC" w:rsidRPr="00EE701C" w:rsidP="00214BFC" w14:paraId="618E0204" w14:textId="77777777">
      <w:pPr>
        <w:rPr>
          <w:rFonts w:eastAsia="Times New Roman"/>
          <w:lang w:eastAsia="en-US"/>
        </w:rPr>
      </w:pPr>
    </w:p>
    <w:p w:rsidR="00315DCB" w:rsidP="00E8383A" w14:paraId="65DE9F09" w14:textId="77777777">
      <w:pPr>
        <w:pStyle w:val="Style1"/>
      </w:pPr>
      <w:bookmarkStart w:id="2" w:name="_Toc10474458"/>
    </w:p>
    <w:p w:rsidR="00315DCB" w14:paraId="10CF1684" w14:textId="77777777">
      <w:pPr>
        <w:rPr>
          <w:rFonts w:eastAsiaTheme="majorEastAsia" w:cstheme="majorBidi"/>
          <w:b/>
          <w:szCs w:val="32"/>
          <w:u w:val="single"/>
        </w:rPr>
      </w:pPr>
      <w:r>
        <w:br w:type="page"/>
      </w:r>
    </w:p>
    <w:p w:rsidR="00F024CC" w:rsidRPr="00EE701C" w:rsidP="00E8383A" w14:paraId="1FF039F5" w14:textId="2AF8407F">
      <w:pPr>
        <w:pStyle w:val="Style1"/>
      </w:pPr>
      <w:bookmarkStart w:id="3" w:name="_Toc75273089"/>
      <w:bookmarkStart w:id="4" w:name="_Toc75273117"/>
      <w:r w:rsidRPr="007447CB">
        <w:t>I. Introduction and Summary</w:t>
      </w:r>
      <w:bookmarkEnd w:id="2"/>
      <w:bookmarkEnd w:id="3"/>
      <w:bookmarkEnd w:id="4"/>
    </w:p>
    <w:p w:rsidR="005A633E" w:rsidRPr="009B3C6A" w:rsidP="009B3C6A" w14:paraId="5DEC320F" w14:textId="77777777">
      <w:pPr>
        <w:pStyle w:val="Style2"/>
      </w:pPr>
      <w:bookmarkStart w:id="5" w:name="_Toc10474459"/>
      <w:bookmarkStart w:id="6" w:name="_Toc75273090"/>
      <w:bookmarkStart w:id="7" w:name="_Toc75273118"/>
      <w:r w:rsidRPr="009B3C6A">
        <w:t>A. Introduction</w:t>
      </w:r>
      <w:bookmarkEnd w:id="5"/>
      <w:bookmarkEnd w:id="6"/>
      <w:bookmarkEnd w:id="7"/>
    </w:p>
    <w:p w:rsidR="00E65939" w:rsidP="00315DCB" w14:paraId="1749F14A" w14:textId="77777777">
      <w:r>
        <w:t>We have examined the impacts of the final rule under Executive Order 12866, Executive Order 13563, the Regulatory Flexibility Act (5 U.S.C. 601-612), and the Unfunded Mandates Reform Act of 1995 (Pub. L. 104-4).  Executive Orders 12866 and 13563 direct us to assess all costs and benefits of available regulatory alternatives and, when regulation is necessary, to select regulatory approaches that maximize net benefits (including potential economic, environmental, public health and safety, and other advantages; distributive impacts; and equity).  We believe that this final rule is not a significant regulatory action as defined by Executive Order 12866.</w:t>
      </w:r>
    </w:p>
    <w:p w:rsidR="00E65939" w:rsidP="00315DCB" w14:paraId="3A291D15" w14:textId="0D086CFE">
      <w:r w:rsidRPr="00EE701C">
        <w:t>The Regulatory Flexibility Act requires us to analyze regulatory options that would minimize any significant impact of a rule on small entities. Because</w:t>
      </w:r>
      <w:r w:rsidR="006351A4">
        <w:t xml:space="preserve"> the effects are low in cost and minimally dispersed</w:t>
      </w:r>
      <w:r w:rsidRPr="00EE701C">
        <w:t xml:space="preserve">, we certify that the </w:t>
      </w:r>
      <w:r w:rsidR="005A1352">
        <w:t xml:space="preserve">final </w:t>
      </w:r>
      <w:r w:rsidRPr="00EE701C">
        <w:t>rule will not have a significant economic impact on a substantial number of small entities.</w:t>
      </w:r>
    </w:p>
    <w:p w:rsidR="00801131" w:rsidP="00315DCB" w14:paraId="0CB0A34B" w14:textId="3C4A5E8E">
      <w:pPr>
        <w:contextualSpacing/>
      </w:pPr>
      <w:r w:rsidRPr="00EE701C">
        <w:t>The Unfunded Mandates Reform Act of 1995 (section 202(a)) requires us to prepare a written statement, which includes an assessment of anticipated costs and benefits, before proposing “any rule that includes any Federal mandate that may result in the expenditure by State, local, and tribal governments, in the aggregate, or by the private sector, of $100,000,000 or more (adjusted annually for inflation) in any one year.” The current threshold after adjustment for inflation is $</w:t>
      </w:r>
      <w:r w:rsidR="00667328">
        <w:t>15</w:t>
      </w:r>
      <w:r w:rsidR="005A1352">
        <w:t>8</w:t>
      </w:r>
      <w:r w:rsidRPr="00EE701C">
        <w:t xml:space="preserve"> million, using the most current (20</w:t>
      </w:r>
      <w:r w:rsidR="005A1352">
        <w:t>20</w:t>
      </w:r>
      <w:r w:rsidRPr="00EE701C">
        <w:t xml:space="preserve">) Implicit Price Deflator for the Gross Domestic Product. This </w:t>
      </w:r>
      <w:r w:rsidR="005A1352">
        <w:t>final</w:t>
      </w:r>
      <w:r w:rsidRPr="00EE701C">
        <w:t xml:space="preserve"> rule would not result in an expenditure in any year that meets or exceeds this amount.</w:t>
      </w:r>
    </w:p>
    <w:p w:rsidR="000C6E72" w:rsidRPr="009B3C6A" w:rsidP="009B3C6A" w14:paraId="7BBE3EAB" w14:textId="77777777">
      <w:pPr>
        <w:pStyle w:val="Style2"/>
      </w:pPr>
      <w:bookmarkStart w:id="8" w:name="_Toc10474460"/>
      <w:bookmarkStart w:id="9" w:name="_Toc75273091"/>
      <w:bookmarkStart w:id="10" w:name="_Toc75273119"/>
      <w:r w:rsidRPr="009B3C6A">
        <w:t>B. Summary of Costs and Benefits</w:t>
      </w:r>
      <w:bookmarkEnd w:id="8"/>
      <w:bookmarkEnd w:id="9"/>
      <w:bookmarkEnd w:id="10"/>
    </w:p>
    <w:p w:rsidR="00232189" w:rsidP="00315DCB" w14:paraId="4C7731B6" w14:textId="473DE6CB">
      <w:pPr>
        <w:autoSpaceDE w:val="0"/>
        <w:autoSpaceDN w:val="0"/>
        <w:adjustRightInd w:val="0"/>
      </w:pPr>
      <w:r w:rsidRPr="00315DCB">
        <w:t xml:space="preserve">This </w:t>
      </w:r>
      <w:r w:rsidRPr="00315DCB" w:rsidR="005A1352">
        <w:t>final</w:t>
      </w:r>
      <w:r w:rsidRPr="00315DCB">
        <w:t xml:space="preserve"> rule</w:t>
      </w:r>
      <w:r w:rsidRPr="00315DCB" w:rsidR="005A1352">
        <w:t xml:space="preserve"> </w:t>
      </w:r>
      <w:r w:rsidRPr="00315DCB" w:rsidR="00FE5269">
        <w:t xml:space="preserve">implements a statutory requirement in the Right to Try Act that </w:t>
      </w:r>
      <w:r w:rsidRPr="00315DCB">
        <w:t xml:space="preserve">sponsors and manufacturers who provide an eligible investigational drug under the Right to Try Act to eligible patients submit to </w:t>
      </w:r>
      <w:r w:rsidRPr="00315DCB" w:rsidR="00FF0B02">
        <w:t xml:space="preserve">the </w:t>
      </w:r>
      <w:r w:rsidRPr="00315DCB">
        <w:t>F</w:t>
      </w:r>
      <w:r w:rsidRPr="00315DCB" w:rsidR="00FF0B02">
        <w:t xml:space="preserve">ood and </w:t>
      </w:r>
      <w:r w:rsidRPr="00315DCB">
        <w:t>D</w:t>
      </w:r>
      <w:r w:rsidRPr="00315DCB" w:rsidR="00FF0B02">
        <w:t xml:space="preserve">rug </w:t>
      </w:r>
      <w:r w:rsidRPr="00315DCB">
        <w:t>A</w:t>
      </w:r>
      <w:r w:rsidRPr="00315DCB" w:rsidR="00FF0B02">
        <w:t>dministration (FDA)</w:t>
      </w:r>
      <w:r w:rsidRPr="00315DCB">
        <w:t xml:space="preserve"> an annual summary of such use. </w:t>
      </w:r>
      <w:r w:rsidRPr="00315DCB" w:rsidR="00FE5269">
        <w:t xml:space="preserve">The Right to Try Act </w:t>
      </w:r>
      <w:r w:rsidRPr="00315DCB">
        <w:t>requires FDA to specify by regulation the deadline</w:t>
      </w:r>
      <w:r w:rsidRPr="00315DCB" w:rsidR="00525283">
        <w:t xml:space="preserve"> </w:t>
      </w:r>
      <w:r w:rsidRPr="00315DCB" w:rsidR="00CF5CBB">
        <w:t>and</w:t>
      </w:r>
      <w:r w:rsidRPr="00315DCB" w:rsidR="00525283">
        <w:t xml:space="preserve"> requires that</w:t>
      </w:r>
      <w:r w:rsidRPr="00315DCB">
        <w:t xml:space="preserve"> submissions</w:t>
      </w:r>
      <w:r w:rsidRPr="00315DCB" w:rsidR="00525283">
        <w:t xml:space="preserve"> include certain information</w:t>
      </w:r>
      <w:r w:rsidRPr="00315DCB">
        <w:t>.</w:t>
      </w:r>
    </w:p>
    <w:p w:rsidR="001633BA" w:rsidRPr="00315DCB" w:rsidP="00315DCB" w14:paraId="2CCBD4A3" w14:textId="7B071F0D">
      <w:pPr>
        <w:autoSpaceDE w:val="0"/>
        <w:autoSpaceDN w:val="0"/>
        <w:adjustRightInd w:val="0"/>
      </w:pPr>
      <w:r w:rsidRPr="001633BA">
        <w:t>The benefits of this final rule consist of societal and public health outcomes that may accrue from the disclosure of the use of investigational drugs and any known serious adverse events provided in these annual summary reports. These reporting requirements instruct firms to collect all known serious adverse events and submit them once per year to the FDA. Without these reports, FDA would not be made aware in a systematic manner of the use of eligible drugs under the Right to Try Act and any known serious adverse events. With these reports, there may be increased awareness of investigational drugs, the diseases or conditions for which patients are seeking access, and any known serious adverse events associated with such use.</w:t>
      </w:r>
    </w:p>
    <w:p w:rsidR="001633BA" w:rsidRPr="001633BA" w:rsidP="001633BA" w14:paraId="01EEA103" w14:textId="77777777">
      <w:pPr>
        <w:pStyle w:val="Caption"/>
        <w:keepNext/>
        <w:rPr>
          <w:rFonts w:eastAsia="MS Mincho"/>
          <w:b w:val="0"/>
          <w:bCs w:val="0"/>
          <w:color w:val="auto"/>
          <w:szCs w:val="24"/>
          <w:lang w:eastAsia="ja-JP"/>
        </w:rPr>
      </w:pPr>
      <w:r w:rsidRPr="001633BA">
        <w:rPr>
          <w:rFonts w:eastAsia="MS Mincho"/>
          <w:b w:val="0"/>
          <w:bCs w:val="0"/>
          <w:color w:val="auto"/>
          <w:szCs w:val="24"/>
          <w:lang w:eastAsia="ja-JP"/>
        </w:rPr>
        <w:t xml:space="preserve">In addition, based on the information in these annual summaries, FDA intends to post an annual summary report in accordance with section 561B(d)(2) of the FD&amp;C Act. FDA’s posting of these reports may increase awareness about the availability of investigational drugs. In some cases, </w:t>
      </w:r>
      <w:r w:rsidRPr="001633BA">
        <w:rPr>
          <w:rFonts w:eastAsia="MS Mincho"/>
          <w:b w:val="0"/>
          <w:bCs w:val="0"/>
          <w:color w:val="auto"/>
          <w:szCs w:val="24"/>
          <w:lang w:eastAsia="ja-JP"/>
        </w:rPr>
        <w:t>access to such drugs may help treat future patients. There is no data that would allow us to predict the magnitude of generated benefits and thus we are unable to quantify the expected benefits of this rule.</w:t>
      </w:r>
    </w:p>
    <w:p w:rsidR="001633BA" w:rsidP="001633BA" w14:paraId="1B2D518C" w14:textId="77777777">
      <w:pPr>
        <w:pStyle w:val="Caption"/>
        <w:keepNext/>
        <w:rPr>
          <w:rFonts w:eastAsia="MS Mincho"/>
          <w:b w:val="0"/>
          <w:bCs w:val="0"/>
          <w:color w:val="auto"/>
          <w:szCs w:val="24"/>
          <w:lang w:eastAsia="ja-JP"/>
        </w:rPr>
      </w:pPr>
      <w:r w:rsidRPr="001633BA">
        <w:rPr>
          <w:rFonts w:eastAsia="MS Mincho"/>
          <w:b w:val="0"/>
          <w:bCs w:val="0"/>
          <w:color w:val="auto"/>
          <w:szCs w:val="24"/>
          <w:lang w:eastAsia="ja-JP"/>
        </w:rPr>
        <w:t xml:space="preserve">Costs are calculated as the time spent by firms to prepare and submit annual summary reports based on participation in Right to Try Act requests from eligible patients for investigational new treatments. The total estimated present value of this rule’s costs is $37,132 at a seven percent discount rate and $45,818 at a three percent discount rate (in 2020 dollars). The annualized cost of this rule over ten years is $ $5,287 at a seven percent discount rate and $5,371 at a three percent discount rate. Consistent with Executive Order 12866, Table 1 provides the costs and a description of benefits for this final rule over a ten-year period. </w:t>
      </w:r>
    </w:p>
    <w:p w:rsidR="00315DCB" w:rsidRPr="00315DCB" w:rsidP="001633BA" w14:paraId="3E642335" w14:textId="428C4B30">
      <w:pPr>
        <w:pStyle w:val="Caption"/>
        <w:keepNext/>
        <w:rPr>
          <w:szCs w:val="24"/>
        </w:rPr>
      </w:pPr>
      <w:r w:rsidRPr="00315DCB">
        <w:rPr>
          <w:szCs w:val="24"/>
        </w:rPr>
        <w:t xml:space="preserve">Table </w:t>
      </w:r>
      <w:r w:rsidRPr="00315DCB">
        <w:rPr>
          <w:szCs w:val="24"/>
        </w:rPr>
        <w:fldChar w:fldCharType="begin"/>
      </w:r>
      <w:r w:rsidRPr="00315DCB">
        <w:rPr>
          <w:szCs w:val="24"/>
        </w:rPr>
        <w:instrText xml:space="preserve"> SEQ Table \* ARABIC </w:instrText>
      </w:r>
      <w:r w:rsidRPr="00315DCB">
        <w:rPr>
          <w:szCs w:val="24"/>
        </w:rPr>
        <w:fldChar w:fldCharType="separate"/>
      </w:r>
      <w:r w:rsidR="009B3C6A">
        <w:rPr>
          <w:noProof/>
          <w:szCs w:val="24"/>
        </w:rPr>
        <w:t>1</w:t>
      </w:r>
      <w:r w:rsidRPr="00315DCB">
        <w:rPr>
          <w:szCs w:val="24"/>
        </w:rPr>
        <w:fldChar w:fldCharType="end"/>
      </w:r>
      <w:r w:rsidRPr="00315DCB">
        <w:rPr>
          <w:szCs w:val="24"/>
        </w:rPr>
        <w:t>. Summary of Benefits, Costs, and Distributional Effects of Final Rule</w:t>
      </w:r>
    </w:p>
    <w:tbl>
      <w:tblPr>
        <w:tblW w:w="937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4"/>
        <w:gridCol w:w="1380"/>
        <w:gridCol w:w="1006"/>
        <w:gridCol w:w="1006"/>
        <w:gridCol w:w="1009"/>
        <w:gridCol w:w="805"/>
        <w:gridCol w:w="939"/>
        <w:gridCol w:w="976"/>
        <w:gridCol w:w="936"/>
      </w:tblGrid>
      <w:tr w14:paraId="21AB6D18" w14:textId="77777777" w:rsidTr="005C1A27">
        <w:tblPrEx>
          <w:tblW w:w="937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65"/>
        </w:trPr>
        <w:tc>
          <w:tcPr>
            <w:tcW w:w="2694" w:type="dxa"/>
            <w:gridSpan w:val="2"/>
            <w:vMerge w:val="restart"/>
            <w:shd w:val="clear" w:color="auto" w:fill="auto"/>
            <w:vAlign w:val="center"/>
            <w:hideMark/>
          </w:tcPr>
          <w:p w:rsidR="00FC3000" w:rsidRPr="00FC3000" w:rsidP="009B3C6A" w14:paraId="656D5BAE" w14:textId="77777777">
            <w:pPr>
              <w:spacing w:after="0"/>
              <w:rPr>
                <w:rFonts w:eastAsia="Times New Roman"/>
                <w:color w:val="000000"/>
                <w:sz w:val="20"/>
                <w:szCs w:val="20"/>
                <w:lang w:eastAsia="en-US"/>
              </w:rPr>
            </w:pPr>
            <w:r w:rsidRPr="00FC3000">
              <w:rPr>
                <w:rFonts w:eastAsia="Times New Roman"/>
                <w:color w:val="000000"/>
                <w:sz w:val="20"/>
                <w:szCs w:val="20"/>
                <w:lang w:eastAsia="en-US"/>
              </w:rPr>
              <w:t>Category</w:t>
            </w:r>
          </w:p>
        </w:tc>
        <w:tc>
          <w:tcPr>
            <w:tcW w:w="1006" w:type="dxa"/>
            <w:vMerge w:val="restart"/>
            <w:shd w:val="clear" w:color="auto" w:fill="auto"/>
            <w:vAlign w:val="center"/>
            <w:hideMark/>
          </w:tcPr>
          <w:p w:rsidR="00FC3000" w:rsidRPr="00FC3000" w:rsidP="009B3C6A" w14:paraId="2F6304D1" w14:textId="77777777">
            <w:pPr>
              <w:spacing w:after="0"/>
              <w:rPr>
                <w:rFonts w:eastAsia="Times New Roman"/>
                <w:color w:val="000000"/>
                <w:sz w:val="20"/>
                <w:szCs w:val="20"/>
                <w:lang w:eastAsia="en-US"/>
              </w:rPr>
            </w:pPr>
            <w:r w:rsidRPr="00FC3000">
              <w:rPr>
                <w:rFonts w:eastAsia="Times New Roman"/>
                <w:color w:val="000000"/>
                <w:sz w:val="20"/>
                <w:szCs w:val="20"/>
                <w:lang w:eastAsia="en-US"/>
              </w:rPr>
              <w:t>Primary Estimate</w:t>
            </w:r>
          </w:p>
        </w:tc>
        <w:tc>
          <w:tcPr>
            <w:tcW w:w="1006" w:type="dxa"/>
            <w:vMerge w:val="restart"/>
            <w:shd w:val="clear" w:color="auto" w:fill="auto"/>
            <w:vAlign w:val="center"/>
            <w:hideMark/>
          </w:tcPr>
          <w:p w:rsidR="00FC3000" w:rsidRPr="00FC3000" w:rsidP="009B3C6A" w14:paraId="04BCA144" w14:textId="77777777">
            <w:pPr>
              <w:spacing w:after="0"/>
              <w:rPr>
                <w:rFonts w:eastAsia="Times New Roman"/>
                <w:color w:val="000000"/>
                <w:sz w:val="20"/>
                <w:szCs w:val="20"/>
                <w:lang w:eastAsia="en-US"/>
              </w:rPr>
            </w:pPr>
            <w:r w:rsidRPr="00FC3000">
              <w:rPr>
                <w:rFonts w:eastAsia="Times New Roman"/>
                <w:color w:val="000000"/>
                <w:sz w:val="20"/>
                <w:szCs w:val="20"/>
                <w:lang w:eastAsia="en-US"/>
              </w:rPr>
              <w:t>Low Estimate</w:t>
            </w:r>
          </w:p>
        </w:tc>
        <w:tc>
          <w:tcPr>
            <w:tcW w:w="1009" w:type="dxa"/>
            <w:vMerge w:val="restart"/>
            <w:shd w:val="clear" w:color="auto" w:fill="auto"/>
            <w:vAlign w:val="center"/>
            <w:hideMark/>
          </w:tcPr>
          <w:p w:rsidR="00FC3000" w:rsidRPr="00FC3000" w:rsidP="009B3C6A" w14:paraId="5383714A" w14:textId="77777777">
            <w:pPr>
              <w:spacing w:after="0"/>
              <w:rPr>
                <w:rFonts w:eastAsia="Times New Roman"/>
                <w:color w:val="000000"/>
                <w:sz w:val="20"/>
                <w:szCs w:val="20"/>
                <w:lang w:eastAsia="en-US"/>
              </w:rPr>
            </w:pPr>
            <w:r w:rsidRPr="00FC3000">
              <w:rPr>
                <w:rFonts w:eastAsia="Times New Roman"/>
                <w:color w:val="000000"/>
                <w:sz w:val="20"/>
                <w:szCs w:val="20"/>
                <w:lang w:eastAsia="en-US"/>
              </w:rPr>
              <w:t>High Estimate</w:t>
            </w:r>
          </w:p>
        </w:tc>
        <w:tc>
          <w:tcPr>
            <w:tcW w:w="2720" w:type="dxa"/>
            <w:gridSpan w:val="3"/>
            <w:shd w:val="clear" w:color="auto" w:fill="auto"/>
            <w:vAlign w:val="center"/>
            <w:hideMark/>
          </w:tcPr>
          <w:p w:rsidR="00FC3000" w:rsidRPr="00FC3000" w:rsidP="009B3C6A" w14:paraId="749DF793" w14:textId="77777777">
            <w:pPr>
              <w:spacing w:after="0"/>
              <w:rPr>
                <w:rFonts w:eastAsia="Times New Roman"/>
                <w:color w:val="000000"/>
                <w:sz w:val="20"/>
                <w:szCs w:val="20"/>
                <w:lang w:eastAsia="en-US"/>
              </w:rPr>
            </w:pPr>
            <w:r w:rsidRPr="00FC3000">
              <w:rPr>
                <w:rFonts w:eastAsia="Times New Roman"/>
                <w:color w:val="000000"/>
                <w:sz w:val="20"/>
                <w:szCs w:val="20"/>
                <w:lang w:eastAsia="en-US"/>
              </w:rPr>
              <w:t>Units</w:t>
            </w:r>
          </w:p>
        </w:tc>
        <w:tc>
          <w:tcPr>
            <w:tcW w:w="936" w:type="dxa"/>
            <w:vMerge w:val="restart"/>
            <w:shd w:val="clear" w:color="auto" w:fill="auto"/>
            <w:vAlign w:val="center"/>
            <w:hideMark/>
          </w:tcPr>
          <w:p w:rsidR="00FC3000" w:rsidRPr="00FC3000" w:rsidP="009B3C6A" w14:paraId="6B2FBE7B" w14:textId="77777777">
            <w:pPr>
              <w:spacing w:after="0"/>
              <w:rPr>
                <w:rFonts w:eastAsia="Times New Roman"/>
                <w:color w:val="000000"/>
                <w:sz w:val="20"/>
                <w:szCs w:val="20"/>
                <w:lang w:eastAsia="en-US"/>
              </w:rPr>
            </w:pPr>
            <w:r w:rsidRPr="00FC3000">
              <w:rPr>
                <w:rFonts w:eastAsia="Times New Roman"/>
                <w:color w:val="000000"/>
                <w:sz w:val="20"/>
                <w:szCs w:val="20"/>
                <w:lang w:eastAsia="en-US"/>
              </w:rPr>
              <w:t>Notes</w:t>
            </w:r>
          </w:p>
        </w:tc>
      </w:tr>
      <w:tr w14:paraId="2E5003DF" w14:textId="77777777" w:rsidTr="005C1A27">
        <w:tblPrEx>
          <w:tblW w:w="9371" w:type="dxa"/>
          <w:tblInd w:w="-10" w:type="dxa"/>
          <w:tblLook w:val="04A0"/>
        </w:tblPrEx>
        <w:trPr>
          <w:trHeight w:val="479"/>
        </w:trPr>
        <w:tc>
          <w:tcPr>
            <w:tcW w:w="2694" w:type="dxa"/>
            <w:gridSpan w:val="2"/>
            <w:vMerge/>
            <w:vAlign w:val="center"/>
            <w:hideMark/>
          </w:tcPr>
          <w:p w:rsidR="00FC3000" w:rsidRPr="00FC3000" w:rsidP="009B3C6A" w14:paraId="488507A9" w14:textId="77777777">
            <w:pPr>
              <w:spacing w:after="0"/>
              <w:rPr>
                <w:rFonts w:eastAsia="Times New Roman"/>
                <w:color w:val="000000"/>
                <w:sz w:val="20"/>
                <w:szCs w:val="20"/>
                <w:lang w:eastAsia="en-US"/>
              </w:rPr>
            </w:pPr>
          </w:p>
        </w:tc>
        <w:tc>
          <w:tcPr>
            <w:tcW w:w="1006" w:type="dxa"/>
            <w:vMerge/>
            <w:vAlign w:val="center"/>
            <w:hideMark/>
          </w:tcPr>
          <w:p w:rsidR="00FC3000" w:rsidRPr="00FC3000" w:rsidP="009B3C6A" w14:paraId="3283C559" w14:textId="77777777">
            <w:pPr>
              <w:spacing w:after="0"/>
              <w:rPr>
                <w:rFonts w:eastAsia="Times New Roman"/>
                <w:color w:val="000000"/>
                <w:sz w:val="20"/>
                <w:szCs w:val="20"/>
                <w:lang w:eastAsia="en-US"/>
              </w:rPr>
            </w:pPr>
          </w:p>
        </w:tc>
        <w:tc>
          <w:tcPr>
            <w:tcW w:w="1006" w:type="dxa"/>
            <w:vMerge/>
            <w:vAlign w:val="center"/>
            <w:hideMark/>
          </w:tcPr>
          <w:p w:rsidR="00FC3000" w:rsidRPr="00FC3000" w:rsidP="009B3C6A" w14:paraId="0436B0D7" w14:textId="77777777">
            <w:pPr>
              <w:spacing w:after="0"/>
              <w:rPr>
                <w:rFonts w:eastAsia="Times New Roman"/>
                <w:color w:val="000000"/>
                <w:sz w:val="20"/>
                <w:szCs w:val="20"/>
                <w:lang w:eastAsia="en-US"/>
              </w:rPr>
            </w:pPr>
          </w:p>
        </w:tc>
        <w:tc>
          <w:tcPr>
            <w:tcW w:w="1009" w:type="dxa"/>
            <w:vMerge/>
            <w:vAlign w:val="center"/>
            <w:hideMark/>
          </w:tcPr>
          <w:p w:rsidR="00FC3000" w:rsidRPr="00FC3000" w:rsidP="009B3C6A" w14:paraId="412AE2D9" w14:textId="77777777">
            <w:pPr>
              <w:spacing w:after="0"/>
              <w:rPr>
                <w:rFonts w:eastAsia="Times New Roman"/>
                <w:color w:val="000000"/>
                <w:sz w:val="20"/>
                <w:szCs w:val="20"/>
                <w:lang w:eastAsia="en-US"/>
              </w:rPr>
            </w:pPr>
          </w:p>
        </w:tc>
        <w:tc>
          <w:tcPr>
            <w:tcW w:w="805" w:type="dxa"/>
            <w:shd w:val="clear" w:color="auto" w:fill="auto"/>
            <w:vAlign w:val="center"/>
            <w:hideMark/>
          </w:tcPr>
          <w:p w:rsidR="00FC3000" w:rsidRPr="00FC3000" w:rsidP="009B3C6A" w14:paraId="254D8842" w14:textId="77777777">
            <w:pPr>
              <w:spacing w:after="0"/>
              <w:rPr>
                <w:rFonts w:eastAsia="Times New Roman"/>
                <w:color w:val="000000"/>
                <w:sz w:val="20"/>
                <w:szCs w:val="20"/>
                <w:lang w:eastAsia="en-US"/>
              </w:rPr>
            </w:pPr>
            <w:r w:rsidRPr="00FC3000">
              <w:rPr>
                <w:rFonts w:eastAsia="Times New Roman"/>
                <w:color w:val="000000"/>
                <w:sz w:val="20"/>
                <w:szCs w:val="20"/>
                <w:lang w:eastAsia="en-US"/>
              </w:rPr>
              <w:t>Year Dollars</w:t>
            </w:r>
          </w:p>
        </w:tc>
        <w:tc>
          <w:tcPr>
            <w:tcW w:w="939" w:type="dxa"/>
            <w:shd w:val="clear" w:color="auto" w:fill="auto"/>
            <w:vAlign w:val="center"/>
            <w:hideMark/>
          </w:tcPr>
          <w:p w:rsidR="00FC3000" w:rsidRPr="00FC3000" w:rsidP="009B3C6A" w14:paraId="2A711542" w14:textId="77777777">
            <w:pPr>
              <w:spacing w:after="0"/>
              <w:rPr>
                <w:rFonts w:eastAsia="Times New Roman"/>
                <w:color w:val="000000"/>
                <w:sz w:val="20"/>
                <w:szCs w:val="20"/>
                <w:lang w:eastAsia="en-US"/>
              </w:rPr>
            </w:pPr>
            <w:r w:rsidRPr="00FC3000">
              <w:rPr>
                <w:rFonts w:eastAsia="Times New Roman"/>
                <w:color w:val="000000"/>
                <w:sz w:val="20"/>
                <w:szCs w:val="20"/>
                <w:lang w:eastAsia="en-US"/>
              </w:rPr>
              <w:t>Discount Rate</w:t>
            </w:r>
          </w:p>
        </w:tc>
        <w:tc>
          <w:tcPr>
            <w:tcW w:w="976" w:type="dxa"/>
            <w:shd w:val="clear" w:color="auto" w:fill="auto"/>
            <w:vAlign w:val="center"/>
            <w:hideMark/>
          </w:tcPr>
          <w:p w:rsidR="00FC3000" w:rsidRPr="00FC3000" w:rsidP="009B3C6A" w14:paraId="4F49512E" w14:textId="77777777">
            <w:pPr>
              <w:spacing w:after="0"/>
              <w:rPr>
                <w:rFonts w:eastAsia="Times New Roman"/>
                <w:color w:val="000000"/>
                <w:sz w:val="20"/>
                <w:szCs w:val="20"/>
                <w:lang w:eastAsia="en-US"/>
              </w:rPr>
            </w:pPr>
            <w:r w:rsidRPr="00FC3000">
              <w:rPr>
                <w:rFonts w:eastAsia="Times New Roman"/>
                <w:color w:val="000000"/>
                <w:sz w:val="20"/>
                <w:szCs w:val="20"/>
                <w:lang w:eastAsia="en-US"/>
              </w:rPr>
              <w:t>Period Covered</w:t>
            </w:r>
          </w:p>
        </w:tc>
        <w:tc>
          <w:tcPr>
            <w:tcW w:w="936" w:type="dxa"/>
            <w:vMerge/>
            <w:vAlign w:val="center"/>
            <w:hideMark/>
          </w:tcPr>
          <w:p w:rsidR="00FC3000" w:rsidRPr="00FC3000" w:rsidP="009B3C6A" w14:paraId="4ABC2122" w14:textId="77777777">
            <w:pPr>
              <w:spacing w:after="0"/>
              <w:rPr>
                <w:rFonts w:eastAsia="Times New Roman"/>
                <w:color w:val="000000"/>
                <w:sz w:val="20"/>
                <w:szCs w:val="20"/>
                <w:lang w:eastAsia="en-US"/>
              </w:rPr>
            </w:pPr>
          </w:p>
        </w:tc>
      </w:tr>
      <w:tr w14:paraId="0AEBDEA2" w14:textId="77777777" w:rsidTr="005C1A27">
        <w:tblPrEx>
          <w:tblW w:w="9371" w:type="dxa"/>
          <w:tblInd w:w="-10" w:type="dxa"/>
          <w:tblLook w:val="04A0"/>
        </w:tblPrEx>
        <w:trPr>
          <w:trHeight w:val="255"/>
        </w:trPr>
        <w:tc>
          <w:tcPr>
            <w:tcW w:w="1314" w:type="dxa"/>
            <w:vMerge w:val="restart"/>
            <w:shd w:val="clear" w:color="auto" w:fill="auto"/>
            <w:vAlign w:val="center"/>
            <w:hideMark/>
          </w:tcPr>
          <w:p w:rsidR="00FC3000" w:rsidRPr="00FC3000" w:rsidP="009B3C6A" w14:paraId="4EB158C7" w14:textId="77777777">
            <w:pPr>
              <w:spacing w:after="0"/>
              <w:rPr>
                <w:rFonts w:eastAsia="Times New Roman"/>
                <w:color w:val="000000"/>
                <w:sz w:val="20"/>
                <w:szCs w:val="20"/>
                <w:lang w:eastAsia="en-US"/>
              </w:rPr>
            </w:pPr>
            <w:r w:rsidRPr="00FC3000">
              <w:rPr>
                <w:rFonts w:eastAsia="Times New Roman"/>
                <w:color w:val="000000"/>
                <w:sz w:val="20"/>
                <w:szCs w:val="20"/>
                <w:lang w:eastAsia="en-US"/>
              </w:rPr>
              <w:t>Benefits</w:t>
            </w:r>
          </w:p>
        </w:tc>
        <w:tc>
          <w:tcPr>
            <w:tcW w:w="1380" w:type="dxa"/>
            <w:vMerge w:val="restart"/>
            <w:shd w:val="clear" w:color="auto" w:fill="auto"/>
            <w:vAlign w:val="center"/>
            <w:hideMark/>
          </w:tcPr>
          <w:p w:rsidR="00FC3000" w:rsidRPr="00FC3000" w:rsidP="009B3C6A" w14:paraId="04A7B12C" w14:textId="77777777">
            <w:pPr>
              <w:spacing w:after="0"/>
              <w:rPr>
                <w:rFonts w:eastAsia="Times New Roman"/>
                <w:color w:val="000000"/>
                <w:sz w:val="20"/>
                <w:szCs w:val="20"/>
                <w:lang w:eastAsia="en-US"/>
              </w:rPr>
            </w:pPr>
            <w:r w:rsidRPr="00FC3000">
              <w:rPr>
                <w:rFonts w:eastAsia="Times New Roman"/>
                <w:color w:val="000000"/>
                <w:sz w:val="20"/>
                <w:szCs w:val="20"/>
                <w:lang w:eastAsia="en-US"/>
              </w:rPr>
              <w:t>Annualized Monetized $/year</w:t>
            </w:r>
          </w:p>
        </w:tc>
        <w:tc>
          <w:tcPr>
            <w:tcW w:w="1006" w:type="dxa"/>
            <w:shd w:val="clear" w:color="auto" w:fill="auto"/>
            <w:vAlign w:val="center"/>
            <w:hideMark/>
          </w:tcPr>
          <w:p w:rsidR="00FC3000" w:rsidRPr="00FC3000" w:rsidP="009B3C6A" w14:paraId="3044A786" w14:textId="77777777">
            <w:pPr>
              <w:spacing w:after="0"/>
              <w:rPr>
                <w:rFonts w:eastAsia="Times New Roman"/>
                <w:color w:val="000000"/>
                <w:sz w:val="20"/>
                <w:szCs w:val="20"/>
                <w:lang w:eastAsia="en-US"/>
              </w:rPr>
            </w:pPr>
            <w:r w:rsidRPr="00FC3000">
              <w:rPr>
                <w:rFonts w:eastAsia="Times New Roman"/>
                <w:color w:val="000000"/>
                <w:sz w:val="20"/>
                <w:szCs w:val="20"/>
                <w:lang w:eastAsia="en-US"/>
              </w:rPr>
              <w:t> </w:t>
            </w:r>
          </w:p>
        </w:tc>
        <w:tc>
          <w:tcPr>
            <w:tcW w:w="1006" w:type="dxa"/>
            <w:shd w:val="clear" w:color="auto" w:fill="auto"/>
            <w:vAlign w:val="center"/>
            <w:hideMark/>
          </w:tcPr>
          <w:p w:rsidR="00FC3000" w:rsidRPr="00FC3000" w:rsidP="009B3C6A" w14:paraId="54DB7E8B" w14:textId="77777777">
            <w:pPr>
              <w:spacing w:after="0"/>
              <w:rPr>
                <w:rFonts w:eastAsia="Times New Roman"/>
                <w:color w:val="000000"/>
                <w:sz w:val="20"/>
                <w:szCs w:val="20"/>
                <w:lang w:eastAsia="en-US"/>
              </w:rPr>
            </w:pPr>
            <w:r w:rsidRPr="00FC3000">
              <w:rPr>
                <w:rFonts w:eastAsia="Times New Roman"/>
                <w:color w:val="000000"/>
                <w:sz w:val="20"/>
                <w:szCs w:val="20"/>
                <w:lang w:eastAsia="en-US"/>
              </w:rPr>
              <w:t> </w:t>
            </w:r>
          </w:p>
        </w:tc>
        <w:tc>
          <w:tcPr>
            <w:tcW w:w="1009" w:type="dxa"/>
            <w:shd w:val="clear" w:color="auto" w:fill="auto"/>
            <w:vAlign w:val="center"/>
            <w:hideMark/>
          </w:tcPr>
          <w:p w:rsidR="00FC3000" w:rsidRPr="00FC3000" w:rsidP="009B3C6A" w14:paraId="0392838D" w14:textId="77777777">
            <w:pPr>
              <w:spacing w:after="0"/>
              <w:rPr>
                <w:rFonts w:eastAsia="Times New Roman"/>
                <w:color w:val="000000"/>
                <w:sz w:val="20"/>
                <w:szCs w:val="20"/>
                <w:lang w:eastAsia="en-US"/>
              </w:rPr>
            </w:pPr>
            <w:r w:rsidRPr="00FC3000">
              <w:rPr>
                <w:rFonts w:eastAsia="Times New Roman"/>
                <w:color w:val="000000"/>
                <w:sz w:val="20"/>
                <w:szCs w:val="20"/>
                <w:lang w:eastAsia="en-US"/>
              </w:rPr>
              <w:t> </w:t>
            </w:r>
          </w:p>
        </w:tc>
        <w:tc>
          <w:tcPr>
            <w:tcW w:w="805" w:type="dxa"/>
            <w:shd w:val="clear" w:color="auto" w:fill="auto"/>
            <w:vAlign w:val="center"/>
            <w:hideMark/>
          </w:tcPr>
          <w:p w:rsidR="00FC3000" w:rsidRPr="00FC3000" w:rsidP="009B3C6A" w14:paraId="26CD5EAA" w14:textId="1EA9B566">
            <w:pPr>
              <w:spacing w:after="0"/>
              <w:rPr>
                <w:rFonts w:eastAsia="Times New Roman"/>
                <w:color w:val="000000"/>
                <w:sz w:val="20"/>
                <w:szCs w:val="20"/>
                <w:lang w:eastAsia="en-US"/>
              </w:rPr>
            </w:pPr>
            <w:r w:rsidRPr="00FC3000">
              <w:rPr>
                <w:rFonts w:eastAsia="Times New Roman"/>
                <w:color w:val="000000"/>
                <w:sz w:val="20"/>
                <w:szCs w:val="20"/>
                <w:lang w:eastAsia="en-US"/>
              </w:rPr>
              <w:t>20</w:t>
            </w:r>
            <w:r w:rsidR="005A1352">
              <w:rPr>
                <w:rFonts w:eastAsia="Times New Roman"/>
                <w:color w:val="000000"/>
                <w:sz w:val="20"/>
                <w:szCs w:val="20"/>
                <w:lang w:eastAsia="en-US"/>
              </w:rPr>
              <w:t>20</w:t>
            </w:r>
          </w:p>
        </w:tc>
        <w:tc>
          <w:tcPr>
            <w:tcW w:w="939" w:type="dxa"/>
            <w:shd w:val="clear" w:color="auto" w:fill="auto"/>
            <w:vAlign w:val="center"/>
            <w:hideMark/>
          </w:tcPr>
          <w:p w:rsidR="00FC3000" w:rsidRPr="00FC3000" w:rsidP="009B3C6A" w14:paraId="2FB55A34" w14:textId="77777777">
            <w:pPr>
              <w:spacing w:after="0"/>
              <w:rPr>
                <w:rFonts w:eastAsia="Times New Roman"/>
                <w:color w:val="000000"/>
                <w:sz w:val="20"/>
                <w:szCs w:val="20"/>
                <w:lang w:eastAsia="en-US"/>
              </w:rPr>
            </w:pPr>
            <w:r w:rsidRPr="00FC3000">
              <w:rPr>
                <w:rFonts w:eastAsia="Times New Roman"/>
                <w:color w:val="000000"/>
                <w:sz w:val="20"/>
                <w:szCs w:val="20"/>
                <w:lang w:eastAsia="en-US"/>
              </w:rPr>
              <w:t>7%</w:t>
            </w:r>
          </w:p>
        </w:tc>
        <w:tc>
          <w:tcPr>
            <w:tcW w:w="976" w:type="dxa"/>
            <w:shd w:val="clear" w:color="auto" w:fill="auto"/>
            <w:vAlign w:val="center"/>
            <w:hideMark/>
          </w:tcPr>
          <w:p w:rsidR="00FC3000" w:rsidRPr="00FC3000" w:rsidP="009B3C6A" w14:paraId="5B524A71" w14:textId="77777777">
            <w:pPr>
              <w:spacing w:after="0"/>
              <w:rPr>
                <w:rFonts w:eastAsia="Times New Roman"/>
                <w:color w:val="000000"/>
                <w:sz w:val="20"/>
                <w:szCs w:val="20"/>
                <w:lang w:eastAsia="en-US"/>
              </w:rPr>
            </w:pPr>
            <w:r w:rsidRPr="00FC3000">
              <w:rPr>
                <w:rFonts w:eastAsia="Times New Roman"/>
                <w:color w:val="000000"/>
                <w:sz w:val="20"/>
                <w:szCs w:val="20"/>
                <w:lang w:eastAsia="en-US"/>
              </w:rPr>
              <w:t>10</w:t>
            </w:r>
          </w:p>
        </w:tc>
        <w:tc>
          <w:tcPr>
            <w:tcW w:w="936" w:type="dxa"/>
            <w:shd w:val="clear" w:color="auto" w:fill="auto"/>
            <w:vAlign w:val="center"/>
            <w:hideMark/>
          </w:tcPr>
          <w:p w:rsidR="00FC3000" w:rsidRPr="00FC3000" w:rsidP="009B3C6A" w14:paraId="7EFEAAD0" w14:textId="77777777">
            <w:pPr>
              <w:spacing w:after="0"/>
              <w:rPr>
                <w:rFonts w:eastAsia="Times New Roman"/>
                <w:color w:val="000000"/>
                <w:sz w:val="20"/>
                <w:szCs w:val="20"/>
                <w:lang w:eastAsia="en-US"/>
              </w:rPr>
            </w:pPr>
            <w:r w:rsidRPr="00FC3000">
              <w:rPr>
                <w:rFonts w:eastAsia="Times New Roman"/>
                <w:color w:val="000000"/>
                <w:sz w:val="20"/>
                <w:szCs w:val="20"/>
                <w:lang w:eastAsia="en-US"/>
              </w:rPr>
              <w:t> </w:t>
            </w:r>
          </w:p>
        </w:tc>
      </w:tr>
      <w:tr w14:paraId="2FE5B6BC" w14:textId="77777777" w:rsidTr="005C1A27">
        <w:tblPrEx>
          <w:tblW w:w="9371" w:type="dxa"/>
          <w:tblInd w:w="-10" w:type="dxa"/>
          <w:tblLook w:val="04A0"/>
        </w:tblPrEx>
        <w:trPr>
          <w:trHeight w:val="255"/>
        </w:trPr>
        <w:tc>
          <w:tcPr>
            <w:tcW w:w="1314" w:type="dxa"/>
            <w:vMerge/>
            <w:vAlign w:val="center"/>
            <w:hideMark/>
          </w:tcPr>
          <w:p w:rsidR="00FC3000" w:rsidRPr="00FC3000" w:rsidP="009B3C6A" w14:paraId="15C8A414" w14:textId="77777777">
            <w:pPr>
              <w:spacing w:after="0"/>
              <w:rPr>
                <w:rFonts w:eastAsia="Times New Roman"/>
                <w:color w:val="000000"/>
                <w:sz w:val="20"/>
                <w:szCs w:val="20"/>
                <w:lang w:eastAsia="en-US"/>
              </w:rPr>
            </w:pPr>
          </w:p>
        </w:tc>
        <w:tc>
          <w:tcPr>
            <w:tcW w:w="1380" w:type="dxa"/>
            <w:vMerge/>
            <w:vAlign w:val="center"/>
            <w:hideMark/>
          </w:tcPr>
          <w:p w:rsidR="00FC3000" w:rsidRPr="00FC3000" w:rsidP="009B3C6A" w14:paraId="4D4B41B8" w14:textId="77777777">
            <w:pPr>
              <w:spacing w:after="0"/>
              <w:rPr>
                <w:rFonts w:eastAsia="Times New Roman"/>
                <w:color w:val="000000"/>
                <w:sz w:val="20"/>
                <w:szCs w:val="20"/>
                <w:lang w:eastAsia="en-US"/>
              </w:rPr>
            </w:pPr>
          </w:p>
        </w:tc>
        <w:tc>
          <w:tcPr>
            <w:tcW w:w="1006" w:type="dxa"/>
            <w:shd w:val="clear" w:color="auto" w:fill="auto"/>
            <w:vAlign w:val="center"/>
            <w:hideMark/>
          </w:tcPr>
          <w:p w:rsidR="00FC3000" w:rsidRPr="00FC3000" w:rsidP="009B3C6A" w14:paraId="5B25215C" w14:textId="77777777">
            <w:pPr>
              <w:spacing w:after="0"/>
              <w:rPr>
                <w:rFonts w:eastAsia="Times New Roman"/>
                <w:color w:val="000000"/>
                <w:sz w:val="20"/>
                <w:szCs w:val="20"/>
                <w:lang w:eastAsia="en-US"/>
              </w:rPr>
            </w:pPr>
            <w:r w:rsidRPr="00FC3000">
              <w:rPr>
                <w:rFonts w:eastAsia="Times New Roman"/>
                <w:color w:val="000000"/>
                <w:sz w:val="20"/>
                <w:szCs w:val="20"/>
                <w:lang w:eastAsia="en-US"/>
              </w:rPr>
              <w:t> </w:t>
            </w:r>
          </w:p>
        </w:tc>
        <w:tc>
          <w:tcPr>
            <w:tcW w:w="1006" w:type="dxa"/>
            <w:shd w:val="clear" w:color="auto" w:fill="auto"/>
            <w:vAlign w:val="center"/>
            <w:hideMark/>
          </w:tcPr>
          <w:p w:rsidR="00FC3000" w:rsidRPr="00FC3000" w:rsidP="009B3C6A" w14:paraId="3A7DA761" w14:textId="77777777">
            <w:pPr>
              <w:spacing w:after="0"/>
              <w:rPr>
                <w:rFonts w:eastAsia="Times New Roman"/>
                <w:color w:val="000000"/>
                <w:sz w:val="20"/>
                <w:szCs w:val="20"/>
                <w:lang w:eastAsia="en-US"/>
              </w:rPr>
            </w:pPr>
            <w:r w:rsidRPr="00FC3000">
              <w:rPr>
                <w:rFonts w:eastAsia="Times New Roman"/>
                <w:color w:val="000000"/>
                <w:sz w:val="20"/>
                <w:szCs w:val="20"/>
                <w:lang w:eastAsia="en-US"/>
              </w:rPr>
              <w:t> </w:t>
            </w:r>
          </w:p>
        </w:tc>
        <w:tc>
          <w:tcPr>
            <w:tcW w:w="1009" w:type="dxa"/>
            <w:shd w:val="clear" w:color="auto" w:fill="auto"/>
            <w:vAlign w:val="center"/>
            <w:hideMark/>
          </w:tcPr>
          <w:p w:rsidR="00FC3000" w:rsidRPr="00FC3000" w:rsidP="009B3C6A" w14:paraId="018B0FBB" w14:textId="77777777">
            <w:pPr>
              <w:spacing w:after="0"/>
              <w:rPr>
                <w:rFonts w:eastAsia="Times New Roman"/>
                <w:color w:val="000000"/>
                <w:sz w:val="20"/>
                <w:szCs w:val="20"/>
                <w:lang w:eastAsia="en-US"/>
              </w:rPr>
            </w:pPr>
            <w:r w:rsidRPr="00FC3000">
              <w:rPr>
                <w:rFonts w:eastAsia="Times New Roman"/>
                <w:color w:val="000000"/>
                <w:sz w:val="20"/>
                <w:szCs w:val="20"/>
                <w:lang w:eastAsia="en-US"/>
              </w:rPr>
              <w:t> </w:t>
            </w:r>
          </w:p>
        </w:tc>
        <w:tc>
          <w:tcPr>
            <w:tcW w:w="805" w:type="dxa"/>
            <w:shd w:val="clear" w:color="auto" w:fill="auto"/>
            <w:vAlign w:val="center"/>
            <w:hideMark/>
          </w:tcPr>
          <w:p w:rsidR="00FC3000" w:rsidRPr="00FC3000" w:rsidP="009B3C6A" w14:paraId="4EE72417" w14:textId="4DCFF8BB">
            <w:pPr>
              <w:spacing w:after="0"/>
              <w:rPr>
                <w:rFonts w:eastAsia="Times New Roman"/>
                <w:color w:val="000000"/>
                <w:sz w:val="20"/>
                <w:szCs w:val="20"/>
                <w:lang w:eastAsia="en-US"/>
              </w:rPr>
            </w:pPr>
            <w:r w:rsidRPr="00FC3000">
              <w:rPr>
                <w:rFonts w:eastAsia="Times New Roman"/>
                <w:color w:val="000000"/>
                <w:sz w:val="20"/>
                <w:szCs w:val="20"/>
                <w:lang w:eastAsia="en-US"/>
              </w:rPr>
              <w:t>20</w:t>
            </w:r>
            <w:r w:rsidR="005A1352">
              <w:rPr>
                <w:rFonts w:eastAsia="Times New Roman"/>
                <w:color w:val="000000"/>
                <w:sz w:val="20"/>
                <w:szCs w:val="20"/>
                <w:lang w:eastAsia="en-US"/>
              </w:rPr>
              <w:t>20</w:t>
            </w:r>
          </w:p>
        </w:tc>
        <w:tc>
          <w:tcPr>
            <w:tcW w:w="939" w:type="dxa"/>
            <w:shd w:val="clear" w:color="auto" w:fill="auto"/>
            <w:vAlign w:val="center"/>
            <w:hideMark/>
          </w:tcPr>
          <w:p w:rsidR="00FC3000" w:rsidRPr="00FC3000" w:rsidP="009B3C6A" w14:paraId="1460782D" w14:textId="77777777">
            <w:pPr>
              <w:spacing w:after="0"/>
              <w:rPr>
                <w:rFonts w:eastAsia="Times New Roman"/>
                <w:color w:val="000000"/>
                <w:sz w:val="20"/>
                <w:szCs w:val="20"/>
                <w:lang w:eastAsia="en-US"/>
              </w:rPr>
            </w:pPr>
            <w:r w:rsidRPr="00FC3000">
              <w:rPr>
                <w:rFonts w:eastAsia="Times New Roman"/>
                <w:color w:val="000000"/>
                <w:sz w:val="20"/>
                <w:szCs w:val="20"/>
                <w:lang w:eastAsia="en-US"/>
              </w:rPr>
              <w:t>3%</w:t>
            </w:r>
          </w:p>
        </w:tc>
        <w:tc>
          <w:tcPr>
            <w:tcW w:w="976" w:type="dxa"/>
            <w:shd w:val="clear" w:color="auto" w:fill="auto"/>
            <w:vAlign w:val="center"/>
            <w:hideMark/>
          </w:tcPr>
          <w:p w:rsidR="00FC3000" w:rsidRPr="00FC3000" w:rsidP="009B3C6A" w14:paraId="53EF11EA" w14:textId="77777777">
            <w:pPr>
              <w:spacing w:after="0"/>
              <w:rPr>
                <w:rFonts w:eastAsia="Times New Roman"/>
                <w:color w:val="000000"/>
                <w:sz w:val="20"/>
                <w:szCs w:val="20"/>
                <w:lang w:eastAsia="en-US"/>
              </w:rPr>
            </w:pPr>
            <w:r w:rsidRPr="00FC3000">
              <w:rPr>
                <w:rFonts w:eastAsia="Times New Roman"/>
                <w:color w:val="000000"/>
                <w:sz w:val="20"/>
                <w:szCs w:val="20"/>
                <w:lang w:eastAsia="en-US"/>
              </w:rPr>
              <w:t>10</w:t>
            </w:r>
          </w:p>
        </w:tc>
        <w:tc>
          <w:tcPr>
            <w:tcW w:w="936" w:type="dxa"/>
            <w:shd w:val="clear" w:color="auto" w:fill="auto"/>
            <w:vAlign w:val="center"/>
            <w:hideMark/>
          </w:tcPr>
          <w:p w:rsidR="00FC3000" w:rsidRPr="00FC3000" w:rsidP="009B3C6A" w14:paraId="158F275C" w14:textId="77777777">
            <w:pPr>
              <w:spacing w:after="0"/>
              <w:rPr>
                <w:rFonts w:eastAsia="Times New Roman"/>
                <w:color w:val="000000"/>
                <w:sz w:val="20"/>
                <w:szCs w:val="20"/>
                <w:lang w:eastAsia="en-US"/>
              </w:rPr>
            </w:pPr>
            <w:r w:rsidRPr="00FC3000">
              <w:rPr>
                <w:rFonts w:eastAsia="Times New Roman"/>
                <w:color w:val="000000"/>
                <w:sz w:val="20"/>
                <w:szCs w:val="20"/>
                <w:lang w:eastAsia="en-US"/>
              </w:rPr>
              <w:t> </w:t>
            </w:r>
          </w:p>
        </w:tc>
      </w:tr>
      <w:tr w14:paraId="6C7E3142" w14:textId="77777777" w:rsidTr="005C1A27">
        <w:tblPrEx>
          <w:tblW w:w="9371" w:type="dxa"/>
          <w:tblInd w:w="-10" w:type="dxa"/>
          <w:tblLook w:val="04A0"/>
        </w:tblPrEx>
        <w:trPr>
          <w:trHeight w:val="255"/>
        </w:trPr>
        <w:tc>
          <w:tcPr>
            <w:tcW w:w="1314" w:type="dxa"/>
            <w:vMerge/>
            <w:vAlign w:val="center"/>
            <w:hideMark/>
          </w:tcPr>
          <w:p w:rsidR="00FC3000" w:rsidRPr="00FC3000" w:rsidP="009B3C6A" w14:paraId="1AA01A9F" w14:textId="77777777">
            <w:pPr>
              <w:spacing w:after="0"/>
              <w:rPr>
                <w:rFonts w:eastAsia="Times New Roman"/>
                <w:color w:val="000000"/>
                <w:sz w:val="20"/>
                <w:szCs w:val="20"/>
                <w:lang w:eastAsia="en-US"/>
              </w:rPr>
            </w:pPr>
          </w:p>
        </w:tc>
        <w:tc>
          <w:tcPr>
            <w:tcW w:w="1380" w:type="dxa"/>
            <w:vMerge w:val="restart"/>
            <w:shd w:val="clear" w:color="auto" w:fill="auto"/>
            <w:vAlign w:val="center"/>
            <w:hideMark/>
          </w:tcPr>
          <w:p w:rsidR="00FC3000" w:rsidRPr="00FC3000" w:rsidP="009B3C6A" w14:paraId="0B2A14D1" w14:textId="77777777">
            <w:pPr>
              <w:spacing w:after="0"/>
              <w:rPr>
                <w:rFonts w:eastAsia="Times New Roman"/>
                <w:color w:val="000000"/>
                <w:sz w:val="20"/>
                <w:szCs w:val="20"/>
                <w:lang w:eastAsia="en-US"/>
              </w:rPr>
            </w:pPr>
            <w:r w:rsidRPr="00FC3000">
              <w:rPr>
                <w:rFonts w:eastAsia="Times New Roman"/>
                <w:color w:val="000000"/>
                <w:sz w:val="20"/>
                <w:szCs w:val="20"/>
                <w:lang w:eastAsia="en-US"/>
              </w:rPr>
              <w:t>Annualized Quantified</w:t>
            </w:r>
          </w:p>
        </w:tc>
        <w:tc>
          <w:tcPr>
            <w:tcW w:w="1006" w:type="dxa"/>
            <w:shd w:val="clear" w:color="auto" w:fill="auto"/>
            <w:vAlign w:val="center"/>
            <w:hideMark/>
          </w:tcPr>
          <w:p w:rsidR="00FC3000" w:rsidRPr="00FC3000" w:rsidP="009B3C6A" w14:paraId="686D3B3D" w14:textId="77777777">
            <w:pPr>
              <w:spacing w:after="0"/>
              <w:rPr>
                <w:rFonts w:eastAsia="Times New Roman"/>
                <w:color w:val="000000"/>
                <w:sz w:val="20"/>
                <w:szCs w:val="20"/>
                <w:lang w:eastAsia="en-US"/>
              </w:rPr>
            </w:pPr>
            <w:r w:rsidRPr="00FC3000">
              <w:rPr>
                <w:rFonts w:eastAsia="Times New Roman"/>
                <w:color w:val="000000"/>
                <w:sz w:val="20"/>
                <w:szCs w:val="20"/>
                <w:lang w:eastAsia="en-US"/>
              </w:rPr>
              <w:t> </w:t>
            </w:r>
          </w:p>
        </w:tc>
        <w:tc>
          <w:tcPr>
            <w:tcW w:w="1006" w:type="dxa"/>
            <w:shd w:val="clear" w:color="auto" w:fill="auto"/>
            <w:vAlign w:val="center"/>
            <w:hideMark/>
          </w:tcPr>
          <w:p w:rsidR="00FC3000" w:rsidRPr="00FC3000" w:rsidP="009B3C6A" w14:paraId="41867E88" w14:textId="77777777">
            <w:pPr>
              <w:spacing w:after="0"/>
              <w:rPr>
                <w:rFonts w:eastAsia="Times New Roman"/>
                <w:color w:val="000000"/>
                <w:sz w:val="20"/>
                <w:szCs w:val="20"/>
                <w:lang w:eastAsia="en-US"/>
              </w:rPr>
            </w:pPr>
            <w:r w:rsidRPr="00FC3000">
              <w:rPr>
                <w:rFonts w:eastAsia="Times New Roman"/>
                <w:color w:val="000000"/>
                <w:sz w:val="20"/>
                <w:szCs w:val="20"/>
                <w:lang w:eastAsia="en-US"/>
              </w:rPr>
              <w:t> </w:t>
            </w:r>
          </w:p>
        </w:tc>
        <w:tc>
          <w:tcPr>
            <w:tcW w:w="1009" w:type="dxa"/>
            <w:shd w:val="clear" w:color="auto" w:fill="auto"/>
            <w:vAlign w:val="center"/>
            <w:hideMark/>
          </w:tcPr>
          <w:p w:rsidR="00FC3000" w:rsidRPr="00FC3000" w:rsidP="009B3C6A" w14:paraId="5FB10C68" w14:textId="77777777">
            <w:pPr>
              <w:spacing w:after="0"/>
              <w:rPr>
                <w:rFonts w:eastAsia="Times New Roman"/>
                <w:color w:val="000000"/>
                <w:sz w:val="20"/>
                <w:szCs w:val="20"/>
                <w:lang w:eastAsia="en-US"/>
              </w:rPr>
            </w:pPr>
            <w:r w:rsidRPr="00FC3000">
              <w:rPr>
                <w:rFonts w:eastAsia="Times New Roman"/>
                <w:color w:val="000000"/>
                <w:sz w:val="20"/>
                <w:szCs w:val="20"/>
                <w:lang w:eastAsia="en-US"/>
              </w:rPr>
              <w:t> </w:t>
            </w:r>
          </w:p>
        </w:tc>
        <w:tc>
          <w:tcPr>
            <w:tcW w:w="805" w:type="dxa"/>
            <w:shd w:val="clear" w:color="auto" w:fill="auto"/>
            <w:vAlign w:val="center"/>
            <w:hideMark/>
          </w:tcPr>
          <w:p w:rsidR="00FC3000" w:rsidRPr="00FC3000" w:rsidP="009B3C6A" w14:paraId="2635EC4A" w14:textId="77777777">
            <w:pPr>
              <w:spacing w:after="0"/>
              <w:rPr>
                <w:rFonts w:eastAsia="Times New Roman"/>
                <w:color w:val="000000"/>
                <w:sz w:val="20"/>
                <w:szCs w:val="20"/>
                <w:lang w:eastAsia="en-US"/>
              </w:rPr>
            </w:pPr>
            <w:r w:rsidRPr="00FC3000">
              <w:rPr>
                <w:rFonts w:eastAsia="Times New Roman"/>
                <w:color w:val="000000"/>
                <w:sz w:val="20"/>
                <w:szCs w:val="20"/>
                <w:lang w:eastAsia="en-US"/>
              </w:rPr>
              <w:t> </w:t>
            </w:r>
          </w:p>
        </w:tc>
        <w:tc>
          <w:tcPr>
            <w:tcW w:w="939" w:type="dxa"/>
            <w:shd w:val="clear" w:color="auto" w:fill="auto"/>
            <w:vAlign w:val="center"/>
            <w:hideMark/>
          </w:tcPr>
          <w:p w:rsidR="00FC3000" w:rsidRPr="00FC3000" w:rsidP="009B3C6A" w14:paraId="7DB6AC0B" w14:textId="77777777">
            <w:pPr>
              <w:spacing w:after="0"/>
              <w:rPr>
                <w:rFonts w:eastAsia="Times New Roman"/>
                <w:color w:val="000000"/>
                <w:sz w:val="20"/>
                <w:szCs w:val="20"/>
                <w:lang w:eastAsia="en-US"/>
              </w:rPr>
            </w:pPr>
            <w:r w:rsidRPr="00FC3000">
              <w:rPr>
                <w:rFonts w:eastAsia="Times New Roman"/>
                <w:color w:val="000000"/>
                <w:sz w:val="20"/>
                <w:szCs w:val="20"/>
                <w:lang w:eastAsia="en-US"/>
              </w:rPr>
              <w:t>7%</w:t>
            </w:r>
          </w:p>
        </w:tc>
        <w:tc>
          <w:tcPr>
            <w:tcW w:w="976" w:type="dxa"/>
            <w:shd w:val="clear" w:color="auto" w:fill="auto"/>
            <w:vAlign w:val="center"/>
            <w:hideMark/>
          </w:tcPr>
          <w:p w:rsidR="00FC3000" w:rsidRPr="00FC3000" w:rsidP="009B3C6A" w14:paraId="63F3280A" w14:textId="77777777">
            <w:pPr>
              <w:spacing w:after="0"/>
              <w:rPr>
                <w:rFonts w:eastAsia="Times New Roman"/>
                <w:color w:val="000000"/>
                <w:sz w:val="20"/>
                <w:szCs w:val="20"/>
                <w:lang w:eastAsia="en-US"/>
              </w:rPr>
            </w:pPr>
            <w:r w:rsidRPr="00FC3000">
              <w:rPr>
                <w:rFonts w:eastAsia="Times New Roman"/>
                <w:color w:val="000000"/>
                <w:sz w:val="20"/>
                <w:szCs w:val="20"/>
                <w:lang w:eastAsia="en-US"/>
              </w:rPr>
              <w:t> </w:t>
            </w:r>
          </w:p>
        </w:tc>
        <w:tc>
          <w:tcPr>
            <w:tcW w:w="936" w:type="dxa"/>
            <w:shd w:val="clear" w:color="auto" w:fill="auto"/>
            <w:vAlign w:val="center"/>
            <w:hideMark/>
          </w:tcPr>
          <w:p w:rsidR="00FC3000" w:rsidRPr="00FC3000" w:rsidP="009B3C6A" w14:paraId="02540631" w14:textId="77777777">
            <w:pPr>
              <w:spacing w:after="0"/>
              <w:rPr>
                <w:rFonts w:eastAsia="Times New Roman"/>
                <w:color w:val="000000"/>
                <w:sz w:val="20"/>
                <w:szCs w:val="20"/>
                <w:lang w:eastAsia="en-US"/>
              </w:rPr>
            </w:pPr>
            <w:r w:rsidRPr="00FC3000">
              <w:rPr>
                <w:rFonts w:eastAsia="Times New Roman"/>
                <w:color w:val="000000"/>
                <w:sz w:val="20"/>
                <w:szCs w:val="20"/>
                <w:lang w:eastAsia="en-US"/>
              </w:rPr>
              <w:t> </w:t>
            </w:r>
          </w:p>
        </w:tc>
      </w:tr>
      <w:tr w14:paraId="44E08E3C" w14:textId="77777777" w:rsidTr="005C1A27">
        <w:tblPrEx>
          <w:tblW w:w="9371" w:type="dxa"/>
          <w:tblInd w:w="-10" w:type="dxa"/>
          <w:tblLook w:val="04A0"/>
        </w:tblPrEx>
        <w:trPr>
          <w:trHeight w:val="255"/>
        </w:trPr>
        <w:tc>
          <w:tcPr>
            <w:tcW w:w="1314" w:type="dxa"/>
            <w:vMerge/>
            <w:vAlign w:val="center"/>
            <w:hideMark/>
          </w:tcPr>
          <w:p w:rsidR="00FC3000" w:rsidRPr="00FC3000" w:rsidP="009B3C6A" w14:paraId="4034984E" w14:textId="77777777">
            <w:pPr>
              <w:spacing w:after="0"/>
              <w:rPr>
                <w:rFonts w:eastAsia="Times New Roman"/>
                <w:color w:val="000000"/>
                <w:sz w:val="20"/>
                <w:szCs w:val="20"/>
                <w:lang w:eastAsia="en-US"/>
              </w:rPr>
            </w:pPr>
          </w:p>
        </w:tc>
        <w:tc>
          <w:tcPr>
            <w:tcW w:w="1380" w:type="dxa"/>
            <w:vMerge/>
            <w:vAlign w:val="center"/>
            <w:hideMark/>
          </w:tcPr>
          <w:p w:rsidR="00FC3000" w:rsidRPr="00FC3000" w:rsidP="009B3C6A" w14:paraId="3CC3C553" w14:textId="77777777">
            <w:pPr>
              <w:spacing w:after="0"/>
              <w:rPr>
                <w:rFonts w:eastAsia="Times New Roman"/>
                <w:color w:val="000000"/>
                <w:sz w:val="20"/>
                <w:szCs w:val="20"/>
                <w:lang w:eastAsia="en-US"/>
              </w:rPr>
            </w:pPr>
          </w:p>
        </w:tc>
        <w:tc>
          <w:tcPr>
            <w:tcW w:w="1006" w:type="dxa"/>
            <w:shd w:val="clear" w:color="auto" w:fill="auto"/>
            <w:vAlign w:val="center"/>
            <w:hideMark/>
          </w:tcPr>
          <w:p w:rsidR="00FC3000" w:rsidRPr="00FC3000" w:rsidP="009B3C6A" w14:paraId="3D75C497" w14:textId="77777777">
            <w:pPr>
              <w:spacing w:after="0"/>
              <w:rPr>
                <w:rFonts w:eastAsia="Times New Roman"/>
                <w:color w:val="000000"/>
                <w:sz w:val="20"/>
                <w:szCs w:val="20"/>
                <w:lang w:eastAsia="en-US"/>
              </w:rPr>
            </w:pPr>
            <w:r w:rsidRPr="00FC3000">
              <w:rPr>
                <w:rFonts w:eastAsia="Times New Roman"/>
                <w:color w:val="000000"/>
                <w:sz w:val="20"/>
                <w:szCs w:val="20"/>
                <w:lang w:eastAsia="en-US"/>
              </w:rPr>
              <w:t> </w:t>
            </w:r>
          </w:p>
        </w:tc>
        <w:tc>
          <w:tcPr>
            <w:tcW w:w="1006" w:type="dxa"/>
            <w:shd w:val="clear" w:color="auto" w:fill="auto"/>
            <w:vAlign w:val="center"/>
            <w:hideMark/>
          </w:tcPr>
          <w:p w:rsidR="00FC3000" w:rsidRPr="00FC3000" w:rsidP="009B3C6A" w14:paraId="6A039A9D" w14:textId="77777777">
            <w:pPr>
              <w:spacing w:after="0"/>
              <w:rPr>
                <w:rFonts w:eastAsia="Times New Roman"/>
                <w:color w:val="000000"/>
                <w:sz w:val="20"/>
                <w:szCs w:val="20"/>
                <w:lang w:eastAsia="en-US"/>
              </w:rPr>
            </w:pPr>
            <w:r w:rsidRPr="00FC3000">
              <w:rPr>
                <w:rFonts w:eastAsia="Times New Roman"/>
                <w:color w:val="000000"/>
                <w:sz w:val="20"/>
                <w:szCs w:val="20"/>
                <w:lang w:eastAsia="en-US"/>
              </w:rPr>
              <w:t> </w:t>
            </w:r>
          </w:p>
        </w:tc>
        <w:tc>
          <w:tcPr>
            <w:tcW w:w="1009" w:type="dxa"/>
            <w:shd w:val="clear" w:color="auto" w:fill="auto"/>
            <w:vAlign w:val="center"/>
            <w:hideMark/>
          </w:tcPr>
          <w:p w:rsidR="00FC3000" w:rsidRPr="00FC3000" w:rsidP="009B3C6A" w14:paraId="274F56FF" w14:textId="77777777">
            <w:pPr>
              <w:spacing w:after="0"/>
              <w:rPr>
                <w:rFonts w:eastAsia="Times New Roman"/>
                <w:color w:val="000000"/>
                <w:sz w:val="20"/>
                <w:szCs w:val="20"/>
                <w:lang w:eastAsia="en-US"/>
              </w:rPr>
            </w:pPr>
            <w:r w:rsidRPr="00FC3000">
              <w:rPr>
                <w:rFonts w:eastAsia="Times New Roman"/>
                <w:color w:val="000000"/>
                <w:sz w:val="20"/>
                <w:szCs w:val="20"/>
                <w:lang w:eastAsia="en-US"/>
              </w:rPr>
              <w:t> </w:t>
            </w:r>
          </w:p>
        </w:tc>
        <w:tc>
          <w:tcPr>
            <w:tcW w:w="805" w:type="dxa"/>
            <w:shd w:val="clear" w:color="auto" w:fill="auto"/>
            <w:vAlign w:val="center"/>
            <w:hideMark/>
          </w:tcPr>
          <w:p w:rsidR="00FC3000" w:rsidRPr="00FC3000" w:rsidP="009B3C6A" w14:paraId="29C945F0" w14:textId="77777777">
            <w:pPr>
              <w:spacing w:after="0"/>
              <w:rPr>
                <w:rFonts w:eastAsia="Times New Roman"/>
                <w:color w:val="000000"/>
                <w:sz w:val="20"/>
                <w:szCs w:val="20"/>
                <w:lang w:eastAsia="en-US"/>
              </w:rPr>
            </w:pPr>
            <w:r w:rsidRPr="00FC3000">
              <w:rPr>
                <w:rFonts w:eastAsia="Times New Roman"/>
                <w:color w:val="000000"/>
                <w:sz w:val="20"/>
                <w:szCs w:val="20"/>
                <w:lang w:eastAsia="en-US"/>
              </w:rPr>
              <w:t> </w:t>
            </w:r>
          </w:p>
        </w:tc>
        <w:tc>
          <w:tcPr>
            <w:tcW w:w="939" w:type="dxa"/>
            <w:shd w:val="clear" w:color="auto" w:fill="auto"/>
            <w:vAlign w:val="center"/>
            <w:hideMark/>
          </w:tcPr>
          <w:p w:rsidR="00FC3000" w:rsidRPr="00FC3000" w:rsidP="009B3C6A" w14:paraId="298CBEBD" w14:textId="77777777">
            <w:pPr>
              <w:spacing w:after="0"/>
              <w:rPr>
                <w:rFonts w:eastAsia="Times New Roman"/>
                <w:color w:val="000000"/>
                <w:sz w:val="20"/>
                <w:szCs w:val="20"/>
                <w:lang w:eastAsia="en-US"/>
              </w:rPr>
            </w:pPr>
            <w:r w:rsidRPr="00FC3000">
              <w:rPr>
                <w:rFonts w:eastAsia="Times New Roman"/>
                <w:color w:val="000000"/>
                <w:sz w:val="20"/>
                <w:szCs w:val="20"/>
                <w:lang w:eastAsia="en-US"/>
              </w:rPr>
              <w:t>3%</w:t>
            </w:r>
          </w:p>
        </w:tc>
        <w:tc>
          <w:tcPr>
            <w:tcW w:w="976" w:type="dxa"/>
            <w:shd w:val="clear" w:color="auto" w:fill="auto"/>
            <w:vAlign w:val="center"/>
            <w:hideMark/>
          </w:tcPr>
          <w:p w:rsidR="00FC3000" w:rsidRPr="00FC3000" w:rsidP="009B3C6A" w14:paraId="177E1521" w14:textId="77777777">
            <w:pPr>
              <w:spacing w:after="0"/>
              <w:rPr>
                <w:rFonts w:eastAsia="Times New Roman"/>
                <w:color w:val="000000"/>
                <w:sz w:val="20"/>
                <w:szCs w:val="20"/>
                <w:lang w:eastAsia="en-US"/>
              </w:rPr>
            </w:pPr>
            <w:r w:rsidRPr="00FC3000">
              <w:rPr>
                <w:rFonts w:eastAsia="Times New Roman"/>
                <w:color w:val="000000"/>
                <w:sz w:val="20"/>
                <w:szCs w:val="20"/>
                <w:lang w:eastAsia="en-US"/>
              </w:rPr>
              <w:t> </w:t>
            </w:r>
          </w:p>
        </w:tc>
        <w:tc>
          <w:tcPr>
            <w:tcW w:w="936" w:type="dxa"/>
            <w:shd w:val="clear" w:color="auto" w:fill="auto"/>
            <w:vAlign w:val="center"/>
            <w:hideMark/>
          </w:tcPr>
          <w:p w:rsidR="00FC3000" w:rsidRPr="00FC3000" w:rsidP="009B3C6A" w14:paraId="5AFD5CDE" w14:textId="77777777">
            <w:pPr>
              <w:spacing w:after="0"/>
              <w:rPr>
                <w:rFonts w:eastAsia="Times New Roman"/>
                <w:color w:val="000000"/>
                <w:sz w:val="20"/>
                <w:szCs w:val="20"/>
                <w:lang w:eastAsia="en-US"/>
              </w:rPr>
            </w:pPr>
            <w:r w:rsidRPr="00FC3000">
              <w:rPr>
                <w:rFonts w:eastAsia="Times New Roman"/>
                <w:color w:val="000000"/>
                <w:sz w:val="20"/>
                <w:szCs w:val="20"/>
                <w:lang w:eastAsia="en-US"/>
              </w:rPr>
              <w:t> </w:t>
            </w:r>
          </w:p>
        </w:tc>
      </w:tr>
      <w:tr w14:paraId="0DBF3114" w14:textId="77777777" w:rsidTr="005C1A27">
        <w:tblPrEx>
          <w:tblW w:w="9371" w:type="dxa"/>
          <w:tblInd w:w="-10" w:type="dxa"/>
          <w:tblLook w:val="04A0"/>
        </w:tblPrEx>
        <w:trPr>
          <w:trHeight w:val="332"/>
        </w:trPr>
        <w:tc>
          <w:tcPr>
            <w:tcW w:w="1314" w:type="dxa"/>
            <w:vMerge/>
            <w:vAlign w:val="center"/>
            <w:hideMark/>
          </w:tcPr>
          <w:p w:rsidR="00FC3000" w:rsidRPr="00FC3000" w:rsidP="009B3C6A" w14:paraId="75BD689D" w14:textId="77777777">
            <w:pPr>
              <w:spacing w:after="0"/>
              <w:rPr>
                <w:rFonts w:eastAsia="Times New Roman"/>
                <w:color w:val="000000"/>
                <w:sz w:val="20"/>
                <w:szCs w:val="20"/>
                <w:lang w:eastAsia="en-US"/>
              </w:rPr>
            </w:pPr>
          </w:p>
        </w:tc>
        <w:tc>
          <w:tcPr>
            <w:tcW w:w="1380" w:type="dxa"/>
            <w:shd w:val="clear" w:color="auto" w:fill="auto"/>
            <w:vAlign w:val="center"/>
            <w:hideMark/>
          </w:tcPr>
          <w:p w:rsidR="00FC3000" w:rsidRPr="00FC3000" w:rsidP="009B3C6A" w14:paraId="7E63408C" w14:textId="77777777">
            <w:pPr>
              <w:spacing w:after="0"/>
              <w:rPr>
                <w:rFonts w:eastAsia="Times New Roman"/>
                <w:color w:val="000000"/>
                <w:sz w:val="20"/>
                <w:szCs w:val="20"/>
                <w:lang w:eastAsia="en-US"/>
              </w:rPr>
            </w:pPr>
            <w:r w:rsidRPr="00FC3000">
              <w:rPr>
                <w:rFonts w:eastAsia="Times New Roman"/>
                <w:color w:val="000000"/>
                <w:sz w:val="20"/>
                <w:szCs w:val="20"/>
                <w:lang w:eastAsia="en-US"/>
              </w:rPr>
              <w:t>Qualitative</w:t>
            </w:r>
          </w:p>
        </w:tc>
        <w:tc>
          <w:tcPr>
            <w:tcW w:w="3021" w:type="dxa"/>
            <w:gridSpan w:val="3"/>
            <w:shd w:val="clear" w:color="auto" w:fill="auto"/>
            <w:vAlign w:val="center"/>
            <w:hideMark/>
          </w:tcPr>
          <w:p w:rsidR="00FC3000" w:rsidRPr="00FC3000" w:rsidP="009B3C6A" w14:paraId="40B04241" w14:textId="5F98B2E5">
            <w:pPr>
              <w:spacing w:after="0"/>
              <w:jc w:val="left"/>
              <w:rPr>
                <w:rFonts w:eastAsia="Times New Roman"/>
                <w:color w:val="000000"/>
                <w:sz w:val="20"/>
                <w:szCs w:val="20"/>
                <w:lang w:eastAsia="en-US"/>
              </w:rPr>
            </w:pPr>
            <w:r>
              <w:rPr>
                <w:rFonts w:eastAsia="Times New Roman"/>
                <w:color w:val="000000"/>
                <w:sz w:val="20"/>
                <w:szCs w:val="20"/>
                <w:lang w:eastAsia="en-US"/>
              </w:rPr>
              <w:t>Disclosure of serious adverse events and outcomes related to investigational new drug treatments.</w:t>
            </w:r>
            <w:r w:rsidRPr="00FC3000">
              <w:rPr>
                <w:rFonts w:eastAsia="Times New Roman"/>
                <w:color w:val="000000"/>
                <w:sz w:val="20"/>
                <w:szCs w:val="20"/>
                <w:lang w:eastAsia="en-US"/>
              </w:rPr>
              <w:t> </w:t>
            </w:r>
          </w:p>
        </w:tc>
        <w:tc>
          <w:tcPr>
            <w:tcW w:w="805" w:type="dxa"/>
            <w:shd w:val="clear" w:color="auto" w:fill="auto"/>
            <w:vAlign w:val="center"/>
            <w:hideMark/>
          </w:tcPr>
          <w:p w:rsidR="00FC3000" w:rsidRPr="00FC3000" w:rsidP="009B3C6A" w14:paraId="44EA9A25" w14:textId="77777777">
            <w:pPr>
              <w:spacing w:after="0"/>
              <w:rPr>
                <w:rFonts w:eastAsia="Times New Roman"/>
                <w:color w:val="000000"/>
                <w:sz w:val="20"/>
                <w:szCs w:val="20"/>
                <w:lang w:eastAsia="en-US"/>
              </w:rPr>
            </w:pPr>
            <w:r w:rsidRPr="00FC3000">
              <w:rPr>
                <w:rFonts w:eastAsia="Times New Roman"/>
                <w:color w:val="000000"/>
                <w:sz w:val="20"/>
                <w:szCs w:val="20"/>
                <w:lang w:eastAsia="en-US"/>
              </w:rPr>
              <w:t> </w:t>
            </w:r>
          </w:p>
        </w:tc>
        <w:tc>
          <w:tcPr>
            <w:tcW w:w="939" w:type="dxa"/>
            <w:shd w:val="clear" w:color="auto" w:fill="auto"/>
            <w:vAlign w:val="center"/>
            <w:hideMark/>
          </w:tcPr>
          <w:p w:rsidR="00FC3000" w:rsidRPr="00FC3000" w:rsidP="009B3C6A" w14:paraId="772851CF" w14:textId="77777777">
            <w:pPr>
              <w:spacing w:after="0"/>
              <w:rPr>
                <w:rFonts w:eastAsia="Times New Roman"/>
                <w:color w:val="000000"/>
                <w:sz w:val="20"/>
                <w:szCs w:val="20"/>
                <w:lang w:eastAsia="en-US"/>
              </w:rPr>
            </w:pPr>
            <w:r w:rsidRPr="00FC3000">
              <w:rPr>
                <w:rFonts w:eastAsia="Times New Roman"/>
                <w:color w:val="000000"/>
                <w:sz w:val="20"/>
                <w:szCs w:val="20"/>
                <w:lang w:eastAsia="en-US"/>
              </w:rPr>
              <w:t> </w:t>
            </w:r>
          </w:p>
        </w:tc>
        <w:tc>
          <w:tcPr>
            <w:tcW w:w="976" w:type="dxa"/>
            <w:shd w:val="clear" w:color="auto" w:fill="auto"/>
            <w:vAlign w:val="center"/>
            <w:hideMark/>
          </w:tcPr>
          <w:p w:rsidR="00FC3000" w:rsidRPr="00FC3000" w:rsidP="009B3C6A" w14:paraId="60D76044" w14:textId="77777777">
            <w:pPr>
              <w:spacing w:after="0"/>
              <w:rPr>
                <w:rFonts w:eastAsia="Times New Roman"/>
                <w:color w:val="000000"/>
                <w:sz w:val="20"/>
                <w:szCs w:val="20"/>
                <w:lang w:eastAsia="en-US"/>
              </w:rPr>
            </w:pPr>
            <w:r w:rsidRPr="00FC3000">
              <w:rPr>
                <w:rFonts w:eastAsia="Times New Roman"/>
                <w:color w:val="000000"/>
                <w:sz w:val="20"/>
                <w:szCs w:val="20"/>
                <w:lang w:eastAsia="en-US"/>
              </w:rPr>
              <w:t> </w:t>
            </w:r>
          </w:p>
        </w:tc>
        <w:tc>
          <w:tcPr>
            <w:tcW w:w="936" w:type="dxa"/>
            <w:shd w:val="clear" w:color="auto" w:fill="auto"/>
            <w:vAlign w:val="center"/>
            <w:hideMark/>
          </w:tcPr>
          <w:p w:rsidR="00FC3000" w:rsidRPr="00FC3000" w:rsidP="009B3C6A" w14:paraId="41950A76" w14:textId="46433083">
            <w:pPr>
              <w:spacing w:after="0"/>
              <w:rPr>
                <w:rFonts w:eastAsia="Times New Roman"/>
                <w:color w:val="000000"/>
                <w:sz w:val="20"/>
                <w:szCs w:val="20"/>
                <w:lang w:eastAsia="en-US"/>
              </w:rPr>
            </w:pPr>
          </w:p>
        </w:tc>
      </w:tr>
      <w:tr w14:paraId="4E398571" w14:textId="77777777" w:rsidTr="005C1A27">
        <w:tblPrEx>
          <w:tblW w:w="9371" w:type="dxa"/>
          <w:tblInd w:w="-10" w:type="dxa"/>
          <w:tblLook w:val="04A0"/>
        </w:tblPrEx>
        <w:trPr>
          <w:trHeight w:val="255"/>
        </w:trPr>
        <w:tc>
          <w:tcPr>
            <w:tcW w:w="1314" w:type="dxa"/>
            <w:vMerge w:val="restart"/>
            <w:shd w:val="clear" w:color="auto" w:fill="auto"/>
            <w:vAlign w:val="center"/>
            <w:hideMark/>
          </w:tcPr>
          <w:p w:rsidR="00FC3000" w:rsidRPr="00FC3000" w:rsidP="009B3C6A" w14:paraId="7ACA886E" w14:textId="77777777">
            <w:pPr>
              <w:spacing w:after="0"/>
              <w:rPr>
                <w:rFonts w:eastAsia="Times New Roman"/>
                <w:color w:val="000000"/>
                <w:sz w:val="20"/>
                <w:szCs w:val="20"/>
                <w:lang w:eastAsia="en-US"/>
              </w:rPr>
            </w:pPr>
            <w:r w:rsidRPr="00FC3000">
              <w:rPr>
                <w:rFonts w:eastAsia="Times New Roman"/>
                <w:color w:val="000000"/>
                <w:sz w:val="20"/>
                <w:szCs w:val="20"/>
                <w:lang w:eastAsia="en-US"/>
              </w:rPr>
              <w:t>Costs</w:t>
            </w:r>
          </w:p>
        </w:tc>
        <w:tc>
          <w:tcPr>
            <w:tcW w:w="1380" w:type="dxa"/>
            <w:vMerge w:val="restart"/>
            <w:shd w:val="clear" w:color="auto" w:fill="auto"/>
            <w:vAlign w:val="center"/>
            <w:hideMark/>
          </w:tcPr>
          <w:p w:rsidR="00FC3000" w:rsidRPr="00FC3000" w:rsidP="009B3C6A" w14:paraId="46E0DEB2" w14:textId="77777777">
            <w:pPr>
              <w:spacing w:after="0"/>
              <w:rPr>
                <w:rFonts w:eastAsia="Times New Roman"/>
                <w:color w:val="000000"/>
                <w:sz w:val="20"/>
                <w:szCs w:val="20"/>
                <w:lang w:eastAsia="en-US"/>
              </w:rPr>
            </w:pPr>
            <w:r w:rsidRPr="00FC3000">
              <w:rPr>
                <w:rFonts w:eastAsia="Times New Roman"/>
                <w:color w:val="000000"/>
                <w:sz w:val="20"/>
                <w:szCs w:val="20"/>
                <w:lang w:eastAsia="en-US"/>
              </w:rPr>
              <w:t>Annualized Monetized $/year</w:t>
            </w:r>
          </w:p>
        </w:tc>
        <w:tc>
          <w:tcPr>
            <w:tcW w:w="1006" w:type="dxa"/>
            <w:shd w:val="clear" w:color="auto" w:fill="auto"/>
            <w:vAlign w:val="center"/>
            <w:hideMark/>
          </w:tcPr>
          <w:p w:rsidR="00FC3000" w:rsidRPr="00E65939" w:rsidP="009B3C6A" w14:paraId="3BCC1A85" w14:textId="52E4C1E1">
            <w:pPr>
              <w:spacing w:after="0"/>
              <w:rPr>
                <w:rFonts w:eastAsia="Times New Roman"/>
                <w:color w:val="000000"/>
                <w:sz w:val="20"/>
                <w:szCs w:val="20"/>
                <w:lang w:eastAsia="en-US"/>
              </w:rPr>
            </w:pPr>
            <w:r w:rsidRPr="00E65939">
              <w:rPr>
                <w:rFonts w:eastAsia="Times New Roman"/>
                <w:color w:val="000000"/>
                <w:sz w:val="20"/>
                <w:szCs w:val="20"/>
                <w:lang w:eastAsia="en-US"/>
              </w:rPr>
              <w:t>$</w:t>
            </w:r>
            <w:r w:rsidRPr="00E65939" w:rsidR="00A913C5">
              <w:rPr>
                <w:rFonts w:eastAsia="Times New Roman"/>
                <w:color w:val="000000"/>
                <w:sz w:val="20"/>
                <w:szCs w:val="20"/>
                <w:lang w:eastAsia="en-US"/>
              </w:rPr>
              <w:t>5,</w:t>
            </w:r>
            <w:r w:rsidRPr="00E65939" w:rsidR="00E65939">
              <w:rPr>
                <w:rFonts w:eastAsia="Times New Roman"/>
                <w:color w:val="000000"/>
                <w:sz w:val="20"/>
                <w:szCs w:val="20"/>
                <w:lang w:eastAsia="en-US"/>
              </w:rPr>
              <w:t>287</w:t>
            </w:r>
          </w:p>
        </w:tc>
        <w:tc>
          <w:tcPr>
            <w:tcW w:w="1006" w:type="dxa"/>
            <w:shd w:val="clear" w:color="auto" w:fill="auto"/>
            <w:vAlign w:val="center"/>
            <w:hideMark/>
          </w:tcPr>
          <w:p w:rsidR="00FC3000" w:rsidRPr="00FC3000" w:rsidP="009B3C6A" w14:paraId="20224193" w14:textId="77777777">
            <w:pPr>
              <w:spacing w:after="0"/>
              <w:rPr>
                <w:rFonts w:eastAsia="Times New Roman"/>
                <w:color w:val="000000"/>
                <w:sz w:val="20"/>
                <w:szCs w:val="20"/>
                <w:lang w:eastAsia="en-US"/>
              </w:rPr>
            </w:pPr>
            <w:r w:rsidRPr="00FC3000">
              <w:rPr>
                <w:rFonts w:eastAsia="Times New Roman"/>
                <w:color w:val="000000"/>
                <w:sz w:val="20"/>
                <w:szCs w:val="20"/>
                <w:lang w:eastAsia="en-US"/>
              </w:rPr>
              <w:t> </w:t>
            </w:r>
          </w:p>
        </w:tc>
        <w:tc>
          <w:tcPr>
            <w:tcW w:w="1009" w:type="dxa"/>
            <w:shd w:val="clear" w:color="auto" w:fill="auto"/>
            <w:vAlign w:val="center"/>
            <w:hideMark/>
          </w:tcPr>
          <w:p w:rsidR="00FC3000" w:rsidRPr="00FC3000" w:rsidP="009B3C6A" w14:paraId="5D3A7566" w14:textId="77777777">
            <w:pPr>
              <w:spacing w:after="0"/>
              <w:rPr>
                <w:rFonts w:eastAsia="Times New Roman"/>
                <w:color w:val="000000"/>
                <w:sz w:val="20"/>
                <w:szCs w:val="20"/>
                <w:lang w:eastAsia="en-US"/>
              </w:rPr>
            </w:pPr>
            <w:r w:rsidRPr="00FC3000">
              <w:rPr>
                <w:rFonts w:eastAsia="Times New Roman"/>
                <w:color w:val="000000"/>
                <w:sz w:val="20"/>
                <w:szCs w:val="20"/>
                <w:lang w:eastAsia="en-US"/>
              </w:rPr>
              <w:t> </w:t>
            </w:r>
          </w:p>
        </w:tc>
        <w:tc>
          <w:tcPr>
            <w:tcW w:w="805" w:type="dxa"/>
            <w:shd w:val="clear" w:color="auto" w:fill="auto"/>
            <w:vAlign w:val="center"/>
            <w:hideMark/>
          </w:tcPr>
          <w:p w:rsidR="00FC3000" w:rsidRPr="00FC3000" w:rsidP="009B3C6A" w14:paraId="26B6B175" w14:textId="4C59A3AF">
            <w:pPr>
              <w:spacing w:after="0"/>
              <w:rPr>
                <w:rFonts w:eastAsia="Times New Roman"/>
                <w:color w:val="000000"/>
                <w:sz w:val="20"/>
                <w:szCs w:val="20"/>
                <w:lang w:eastAsia="en-US"/>
              </w:rPr>
            </w:pPr>
            <w:r w:rsidRPr="00FC3000">
              <w:rPr>
                <w:rFonts w:eastAsia="Times New Roman"/>
                <w:color w:val="000000"/>
                <w:sz w:val="20"/>
                <w:szCs w:val="20"/>
                <w:lang w:eastAsia="en-US"/>
              </w:rPr>
              <w:t>2</w:t>
            </w:r>
            <w:r w:rsidR="005A1352">
              <w:rPr>
                <w:rFonts w:eastAsia="Times New Roman"/>
                <w:color w:val="000000"/>
                <w:sz w:val="20"/>
                <w:szCs w:val="20"/>
                <w:lang w:eastAsia="en-US"/>
              </w:rPr>
              <w:t>020</w:t>
            </w:r>
          </w:p>
        </w:tc>
        <w:tc>
          <w:tcPr>
            <w:tcW w:w="939" w:type="dxa"/>
            <w:shd w:val="clear" w:color="auto" w:fill="auto"/>
            <w:vAlign w:val="center"/>
            <w:hideMark/>
          </w:tcPr>
          <w:p w:rsidR="00FC3000" w:rsidRPr="00FC3000" w:rsidP="009B3C6A" w14:paraId="49C2A274" w14:textId="77777777">
            <w:pPr>
              <w:spacing w:after="0"/>
              <w:rPr>
                <w:rFonts w:eastAsia="Times New Roman"/>
                <w:color w:val="000000"/>
                <w:sz w:val="20"/>
                <w:szCs w:val="20"/>
                <w:lang w:eastAsia="en-US"/>
              </w:rPr>
            </w:pPr>
            <w:r w:rsidRPr="00FC3000">
              <w:rPr>
                <w:rFonts w:eastAsia="Times New Roman"/>
                <w:color w:val="000000"/>
                <w:sz w:val="20"/>
                <w:szCs w:val="20"/>
                <w:lang w:eastAsia="en-US"/>
              </w:rPr>
              <w:t>7%</w:t>
            </w:r>
          </w:p>
        </w:tc>
        <w:tc>
          <w:tcPr>
            <w:tcW w:w="976" w:type="dxa"/>
            <w:shd w:val="clear" w:color="auto" w:fill="auto"/>
            <w:vAlign w:val="center"/>
            <w:hideMark/>
          </w:tcPr>
          <w:p w:rsidR="00FC3000" w:rsidRPr="00FC3000" w:rsidP="009B3C6A" w14:paraId="4ADF2AE2" w14:textId="77777777">
            <w:pPr>
              <w:spacing w:after="0"/>
              <w:rPr>
                <w:rFonts w:eastAsia="Times New Roman"/>
                <w:color w:val="000000"/>
                <w:sz w:val="20"/>
                <w:szCs w:val="20"/>
                <w:lang w:eastAsia="en-US"/>
              </w:rPr>
            </w:pPr>
            <w:r w:rsidRPr="00FC3000">
              <w:rPr>
                <w:rFonts w:eastAsia="Times New Roman"/>
                <w:color w:val="000000"/>
                <w:sz w:val="20"/>
                <w:szCs w:val="20"/>
                <w:lang w:eastAsia="en-US"/>
              </w:rPr>
              <w:t>10</w:t>
            </w:r>
          </w:p>
        </w:tc>
        <w:tc>
          <w:tcPr>
            <w:tcW w:w="936" w:type="dxa"/>
            <w:vMerge w:val="restart"/>
            <w:shd w:val="clear" w:color="auto" w:fill="auto"/>
            <w:vAlign w:val="center"/>
            <w:hideMark/>
          </w:tcPr>
          <w:p w:rsidR="00FC3000" w:rsidRPr="00FC3000" w:rsidP="009B3C6A" w14:paraId="6E7D0BC5" w14:textId="77777777">
            <w:pPr>
              <w:spacing w:after="0"/>
              <w:rPr>
                <w:rFonts w:eastAsia="Times New Roman"/>
                <w:color w:val="000000"/>
                <w:sz w:val="20"/>
                <w:szCs w:val="20"/>
                <w:lang w:eastAsia="en-US"/>
              </w:rPr>
            </w:pPr>
            <w:r w:rsidRPr="00FC3000">
              <w:rPr>
                <w:rFonts w:eastAsia="Times New Roman"/>
                <w:color w:val="000000"/>
                <w:sz w:val="20"/>
                <w:szCs w:val="20"/>
                <w:lang w:eastAsia="en-US"/>
              </w:rPr>
              <w:t> </w:t>
            </w:r>
          </w:p>
        </w:tc>
      </w:tr>
      <w:tr w14:paraId="00A96998" w14:textId="77777777" w:rsidTr="005C1A27">
        <w:tblPrEx>
          <w:tblW w:w="9371" w:type="dxa"/>
          <w:tblInd w:w="-10" w:type="dxa"/>
          <w:tblLook w:val="04A0"/>
        </w:tblPrEx>
        <w:trPr>
          <w:trHeight w:val="255"/>
        </w:trPr>
        <w:tc>
          <w:tcPr>
            <w:tcW w:w="1314" w:type="dxa"/>
            <w:vMerge/>
            <w:vAlign w:val="center"/>
            <w:hideMark/>
          </w:tcPr>
          <w:p w:rsidR="00FC3000" w:rsidRPr="00FC3000" w:rsidP="009B3C6A" w14:paraId="0FC12A14" w14:textId="77777777">
            <w:pPr>
              <w:spacing w:after="0"/>
              <w:rPr>
                <w:rFonts w:eastAsia="Times New Roman"/>
                <w:color w:val="000000"/>
                <w:sz w:val="20"/>
                <w:szCs w:val="20"/>
                <w:lang w:eastAsia="en-US"/>
              </w:rPr>
            </w:pPr>
          </w:p>
        </w:tc>
        <w:tc>
          <w:tcPr>
            <w:tcW w:w="1380" w:type="dxa"/>
            <w:vMerge/>
            <w:vAlign w:val="center"/>
            <w:hideMark/>
          </w:tcPr>
          <w:p w:rsidR="00FC3000" w:rsidRPr="00FC3000" w:rsidP="009B3C6A" w14:paraId="0077F592" w14:textId="77777777">
            <w:pPr>
              <w:spacing w:after="0"/>
              <w:rPr>
                <w:rFonts w:eastAsia="Times New Roman"/>
                <w:color w:val="000000"/>
                <w:sz w:val="20"/>
                <w:szCs w:val="20"/>
                <w:lang w:eastAsia="en-US"/>
              </w:rPr>
            </w:pPr>
          </w:p>
        </w:tc>
        <w:tc>
          <w:tcPr>
            <w:tcW w:w="1006" w:type="dxa"/>
            <w:shd w:val="clear" w:color="auto" w:fill="auto"/>
            <w:vAlign w:val="center"/>
            <w:hideMark/>
          </w:tcPr>
          <w:p w:rsidR="00FC3000" w:rsidRPr="00E65939" w:rsidP="009B3C6A" w14:paraId="15148D47" w14:textId="1E060FC6">
            <w:pPr>
              <w:spacing w:after="0"/>
              <w:rPr>
                <w:rFonts w:eastAsia="Times New Roman"/>
                <w:color w:val="000000"/>
                <w:sz w:val="20"/>
                <w:szCs w:val="20"/>
                <w:lang w:eastAsia="en-US"/>
              </w:rPr>
            </w:pPr>
            <w:r w:rsidRPr="00E65939">
              <w:rPr>
                <w:rFonts w:eastAsia="Times New Roman"/>
                <w:color w:val="000000"/>
                <w:sz w:val="20"/>
                <w:szCs w:val="20"/>
                <w:lang w:eastAsia="en-US"/>
              </w:rPr>
              <w:t>$</w:t>
            </w:r>
            <w:r w:rsidRPr="00E65939" w:rsidR="00A913C5">
              <w:rPr>
                <w:rFonts w:eastAsia="Times New Roman"/>
                <w:color w:val="000000"/>
                <w:sz w:val="20"/>
                <w:szCs w:val="20"/>
                <w:lang w:eastAsia="en-US"/>
              </w:rPr>
              <w:t>5</w:t>
            </w:r>
            <w:r w:rsidRPr="00E65939" w:rsidR="00E65939">
              <w:rPr>
                <w:rFonts w:eastAsia="Times New Roman"/>
                <w:color w:val="000000"/>
                <w:sz w:val="20"/>
                <w:szCs w:val="20"/>
                <w:lang w:eastAsia="en-US"/>
              </w:rPr>
              <w:t>,371</w:t>
            </w:r>
          </w:p>
        </w:tc>
        <w:tc>
          <w:tcPr>
            <w:tcW w:w="1006" w:type="dxa"/>
            <w:shd w:val="clear" w:color="auto" w:fill="auto"/>
            <w:vAlign w:val="center"/>
            <w:hideMark/>
          </w:tcPr>
          <w:p w:rsidR="00FC3000" w:rsidRPr="00FC3000" w:rsidP="009B3C6A" w14:paraId="507C88DA" w14:textId="77777777">
            <w:pPr>
              <w:spacing w:after="0"/>
              <w:rPr>
                <w:rFonts w:eastAsia="Times New Roman"/>
                <w:color w:val="000000"/>
                <w:sz w:val="20"/>
                <w:szCs w:val="20"/>
                <w:lang w:eastAsia="en-US"/>
              </w:rPr>
            </w:pPr>
            <w:r w:rsidRPr="00FC3000">
              <w:rPr>
                <w:rFonts w:eastAsia="Times New Roman"/>
                <w:color w:val="000000"/>
                <w:sz w:val="20"/>
                <w:szCs w:val="20"/>
                <w:lang w:eastAsia="en-US"/>
              </w:rPr>
              <w:t> </w:t>
            </w:r>
          </w:p>
        </w:tc>
        <w:tc>
          <w:tcPr>
            <w:tcW w:w="1009" w:type="dxa"/>
            <w:shd w:val="clear" w:color="auto" w:fill="auto"/>
            <w:vAlign w:val="center"/>
            <w:hideMark/>
          </w:tcPr>
          <w:p w:rsidR="00FC3000" w:rsidRPr="00FC3000" w:rsidP="009B3C6A" w14:paraId="549AF10B" w14:textId="77777777">
            <w:pPr>
              <w:spacing w:after="0"/>
              <w:rPr>
                <w:rFonts w:eastAsia="Times New Roman"/>
                <w:color w:val="000000"/>
                <w:sz w:val="20"/>
                <w:szCs w:val="20"/>
                <w:lang w:eastAsia="en-US"/>
              </w:rPr>
            </w:pPr>
            <w:r w:rsidRPr="00FC3000">
              <w:rPr>
                <w:rFonts w:eastAsia="Times New Roman"/>
                <w:color w:val="000000"/>
                <w:sz w:val="20"/>
                <w:szCs w:val="20"/>
                <w:lang w:eastAsia="en-US"/>
              </w:rPr>
              <w:t> </w:t>
            </w:r>
          </w:p>
        </w:tc>
        <w:tc>
          <w:tcPr>
            <w:tcW w:w="805" w:type="dxa"/>
            <w:shd w:val="clear" w:color="auto" w:fill="auto"/>
            <w:vAlign w:val="center"/>
            <w:hideMark/>
          </w:tcPr>
          <w:p w:rsidR="00FC3000" w:rsidRPr="00FC3000" w:rsidP="009B3C6A" w14:paraId="571E0D0F" w14:textId="04939B83">
            <w:pPr>
              <w:spacing w:after="0"/>
              <w:rPr>
                <w:rFonts w:eastAsia="Times New Roman"/>
                <w:color w:val="000000"/>
                <w:sz w:val="20"/>
                <w:szCs w:val="20"/>
                <w:lang w:eastAsia="en-US"/>
              </w:rPr>
            </w:pPr>
            <w:r w:rsidRPr="00FC3000">
              <w:rPr>
                <w:rFonts w:eastAsia="Times New Roman"/>
                <w:color w:val="000000"/>
                <w:sz w:val="20"/>
                <w:szCs w:val="20"/>
                <w:lang w:eastAsia="en-US"/>
              </w:rPr>
              <w:t>20</w:t>
            </w:r>
            <w:r w:rsidR="005A1352">
              <w:rPr>
                <w:rFonts w:eastAsia="Times New Roman"/>
                <w:color w:val="000000"/>
                <w:sz w:val="20"/>
                <w:szCs w:val="20"/>
                <w:lang w:eastAsia="en-US"/>
              </w:rPr>
              <w:t>20</w:t>
            </w:r>
          </w:p>
        </w:tc>
        <w:tc>
          <w:tcPr>
            <w:tcW w:w="939" w:type="dxa"/>
            <w:shd w:val="clear" w:color="auto" w:fill="auto"/>
            <w:vAlign w:val="center"/>
            <w:hideMark/>
          </w:tcPr>
          <w:p w:rsidR="00FC3000" w:rsidRPr="00FC3000" w:rsidP="009B3C6A" w14:paraId="36E7DF07" w14:textId="77777777">
            <w:pPr>
              <w:spacing w:after="0"/>
              <w:rPr>
                <w:rFonts w:eastAsia="Times New Roman"/>
                <w:color w:val="000000"/>
                <w:sz w:val="20"/>
                <w:szCs w:val="20"/>
                <w:lang w:eastAsia="en-US"/>
              </w:rPr>
            </w:pPr>
            <w:r w:rsidRPr="00FC3000">
              <w:rPr>
                <w:rFonts w:eastAsia="Times New Roman"/>
                <w:color w:val="000000"/>
                <w:sz w:val="20"/>
                <w:szCs w:val="20"/>
                <w:lang w:eastAsia="en-US"/>
              </w:rPr>
              <w:t>3%</w:t>
            </w:r>
          </w:p>
        </w:tc>
        <w:tc>
          <w:tcPr>
            <w:tcW w:w="976" w:type="dxa"/>
            <w:shd w:val="clear" w:color="auto" w:fill="auto"/>
            <w:vAlign w:val="center"/>
            <w:hideMark/>
          </w:tcPr>
          <w:p w:rsidR="00FC3000" w:rsidRPr="00FC3000" w:rsidP="009B3C6A" w14:paraId="7863DC91" w14:textId="77777777">
            <w:pPr>
              <w:spacing w:after="0"/>
              <w:rPr>
                <w:rFonts w:eastAsia="Times New Roman"/>
                <w:color w:val="000000"/>
                <w:sz w:val="20"/>
                <w:szCs w:val="20"/>
                <w:lang w:eastAsia="en-US"/>
              </w:rPr>
            </w:pPr>
            <w:r w:rsidRPr="00FC3000">
              <w:rPr>
                <w:rFonts w:eastAsia="Times New Roman"/>
                <w:color w:val="000000"/>
                <w:sz w:val="20"/>
                <w:szCs w:val="20"/>
                <w:lang w:eastAsia="en-US"/>
              </w:rPr>
              <w:t>10</w:t>
            </w:r>
          </w:p>
        </w:tc>
        <w:tc>
          <w:tcPr>
            <w:tcW w:w="936" w:type="dxa"/>
            <w:vMerge/>
            <w:vAlign w:val="center"/>
            <w:hideMark/>
          </w:tcPr>
          <w:p w:rsidR="00FC3000" w:rsidRPr="00FC3000" w:rsidP="009B3C6A" w14:paraId="2A119C64" w14:textId="77777777">
            <w:pPr>
              <w:spacing w:after="0"/>
              <w:rPr>
                <w:rFonts w:eastAsia="Times New Roman"/>
                <w:color w:val="000000"/>
                <w:sz w:val="20"/>
                <w:szCs w:val="20"/>
                <w:lang w:eastAsia="en-US"/>
              </w:rPr>
            </w:pPr>
          </w:p>
        </w:tc>
      </w:tr>
      <w:tr w14:paraId="47F4289D" w14:textId="77777777" w:rsidTr="005C1A27">
        <w:tblPrEx>
          <w:tblW w:w="9371" w:type="dxa"/>
          <w:tblInd w:w="-10" w:type="dxa"/>
          <w:tblLook w:val="04A0"/>
        </w:tblPrEx>
        <w:trPr>
          <w:trHeight w:val="255"/>
        </w:trPr>
        <w:tc>
          <w:tcPr>
            <w:tcW w:w="1314" w:type="dxa"/>
            <w:vMerge/>
            <w:vAlign w:val="center"/>
            <w:hideMark/>
          </w:tcPr>
          <w:p w:rsidR="00FC3000" w:rsidRPr="00FC3000" w:rsidP="009B3C6A" w14:paraId="7E44A7B5" w14:textId="77777777">
            <w:pPr>
              <w:spacing w:after="0"/>
              <w:rPr>
                <w:rFonts w:eastAsia="Times New Roman"/>
                <w:color w:val="000000"/>
                <w:sz w:val="20"/>
                <w:szCs w:val="20"/>
                <w:lang w:eastAsia="en-US"/>
              </w:rPr>
            </w:pPr>
          </w:p>
        </w:tc>
        <w:tc>
          <w:tcPr>
            <w:tcW w:w="1380" w:type="dxa"/>
            <w:vMerge w:val="restart"/>
            <w:shd w:val="clear" w:color="auto" w:fill="auto"/>
            <w:vAlign w:val="center"/>
            <w:hideMark/>
          </w:tcPr>
          <w:p w:rsidR="00FC3000" w:rsidRPr="00FC3000" w:rsidP="009B3C6A" w14:paraId="2AE2D380" w14:textId="77777777">
            <w:pPr>
              <w:spacing w:after="0"/>
              <w:rPr>
                <w:rFonts w:eastAsia="Times New Roman"/>
                <w:color w:val="000000"/>
                <w:sz w:val="20"/>
                <w:szCs w:val="20"/>
                <w:lang w:eastAsia="en-US"/>
              </w:rPr>
            </w:pPr>
            <w:r w:rsidRPr="00FC3000">
              <w:rPr>
                <w:rFonts w:eastAsia="Times New Roman"/>
                <w:color w:val="000000"/>
                <w:sz w:val="20"/>
                <w:szCs w:val="20"/>
                <w:lang w:eastAsia="en-US"/>
              </w:rPr>
              <w:t>Annualized Quantified</w:t>
            </w:r>
          </w:p>
        </w:tc>
        <w:tc>
          <w:tcPr>
            <w:tcW w:w="1006" w:type="dxa"/>
            <w:shd w:val="clear" w:color="auto" w:fill="auto"/>
            <w:vAlign w:val="center"/>
            <w:hideMark/>
          </w:tcPr>
          <w:p w:rsidR="00FC3000" w:rsidRPr="00FC3000" w:rsidP="009B3C6A" w14:paraId="5AD8A78C" w14:textId="77777777">
            <w:pPr>
              <w:spacing w:after="0"/>
              <w:rPr>
                <w:rFonts w:eastAsia="Times New Roman"/>
                <w:color w:val="000000"/>
                <w:sz w:val="20"/>
                <w:szCs w:val="20"/>
                <w:lang w:eastAsia="en-US"/>
              </w:rPr>
            </w:pPr>
            <w:r w:rsidRPr="00FC3000">
              <w:rPr>
                <w:rFonts w:eastAsia="Times New Roman"/>
                <w:color w:val="000000"/>
                <w:sz w:val="20"/>
                <w:szCs w:val="20"/>
                <w:lang w:eastAsia="en-US"/>
              </w:rPr>
              <w:t> </w:t>
            </w:r>
          </w:p>
        </w:tc>
        <w:tc>
          <w:tcPr>
            <w:tcW w:w="1006" w:type="dxa"/>
            <w:shd w:val="clear" w:color="auto" w:fill="auto"/>
            <w:vAlign w:val="center"/>
            <w:hideMark/>
          </w:tcPr>
          <w:p w:rsidR="00FC3000" w:rsidRPr="00FC3000" w:rsidP="009B3C6A" w14:paraId="44A07BBA" w14:textId="77777777">
            <w:pPr>
              <w:spacing w:after="0"/>
              <w:rPr>
                <w:rFonts w:eastAsia="Times New Roman"/>
                <w:color w:val="000000"/>
                <w:sz w:val="20"/>
                <w:szCs w:val="20"/>
                <w:lang w:eastAsia="en-US"/>
              </w:rPr>
            </w:pPr>
            <w:r w:rsidRPr="00FC3000">
              <w:rPr>
                <w:rFonts w:eastAsia="Times New Roman"/>
                <w:color w:val="000000"/>
                <w:sz w:val="20"/>
                <w:szCs w:val="20"/>
                <w:lang w:eastAsia="en-US"/>
              </w:rPr>
              <w:t> </w:t>
            </w:r>
          </w:p>
        </w:tc>
        <w:tc>
          <w:tcPr>
            <w:tcW w:w="1009" w:type="dxa"/>
            <w:shd w:val="clear" w:color="auto" w:fill="auto"/>
            <w:vAlign w:val="center"/>
            <w:hideMark/>
          </w:tcPr>
          <w:p w:rsidR="00FC3000" w:rsidRPr="00FC3000" w:rsidP="009B3C6A" w14:paraId="5BB76E8D" w14:textId="77777777">
            <w:pPr>
              <w:spacing w:after="0"/>
              <w:rPr>
                <w:rFonts w:eastAsia="Times New Roman"/>
                <w:color w:val="000000"/>
                <w:sz w:val="20"/>
                <w:szCs w:val="20"/>
                <w:lang w:eastAsia="en-US"/>
              </w:rPr>
            </w:pPr>
            <w:r w:rsidRPr="00FC3000">
              <w:rPr>
                <w:rFonts w:eastAsia="Times New Roman"/>
                <w:color w:val="000000"/>
                <w:sz w:val="20"/>
                <w:szCs w:val="20"/>
                <w:lang w:eastAsia="en-US"/>
              </w:rPr>
              <w:t> </w:t>
            </w:r>
          </w:p>
        </w:tc>
        <w:tc>
          <w:tcPr>
            <w:tcW w:w="805" w:type="dxa"/>
            <w:shd w:val="clear" w:color="auto" w:fill="auto"/>
            <w:vAlign w:val="center"/>
            <w:hideMark/>
          </w:tcPr>
          <w:p w:rsidR="00FC3000" w:rsidRPr="00FC3000" w:rsidP="009B3C6A" w14:paraId="27190B37" w14:textId="77777777">
            <w:pPr>
              <w:spacing w:after="0"/>
              <w:rPr>
                <w:rFonts w:eastAsia="Times New Roman"/>
                <w:color w:val="000000"/>
                <w:sz w:val="20"/>
                <w:szCs w:val="20"/>
                <w:lang w:eastAsia="en-US"/>
              </w:rPr>
            </w:pPr>
            <w:r w:rsidRPr="00FC3000">
              <w:rPr>
                <w:rFonts w:eastAsia="Times New Roman"/>
                <w:color w:val="000000"/>
                <w:sz w:val="20"/>
                <w:szCs w:val="20"/>
                <w:lang w:eastAsia="en-US"/>
              </w:rPr>
              <w:t> </w:t>
            </w:r>
          </w:p>
        </w:tc>
        <w:tc>
          <w:tcPr>
            <w:tcW w:w="939" w:type="dxa"/>
            <w:shd w:val="clear" w:color="auto" w:fill="auto"/>
            <w:vAlign w:val="center"/>
            <w:hideMark/>
          </w:tcPr>
          <w:p w:rsidR="00FC3000" w:rsidRPr="00FC3000" w:rsidP="009B3C6A" w14:paraId="06CFF75A" w14:textId="77777777">
            <w:pPr>
              <w:spacing w:after="0"/>
              <w:rPr>
                <w:rFonts w:eastAsia="Times New Roman"/>
                <w:color w:val="000000"/>
                <w:sz w:val="20"/>
                <w:szCs w:val="20"/>
                <w:lang w:eastAsia="en-US"/>
              </w:rPr>
            </w:pPr>
            <w:r w:rsidRPr="00FC3000">
              <w:rPr>
                <w:rFonts w:eastAsia="Times New Roman"/>
                <w:color w:val="000000"/>
                <w:sz w:val="20"/>
                <w:szCs w:val="20"/>
                <w:lang w:eastAsia="en-US"/>
              </w:rPr>
              <w:t>7%</w:t>
            </w:r>
          </w:p>
        </w:tc>
        <w:tc>
          <w:tcPr>
            <w:tcW w:w="976" w:type="dxa"/>
            <w:shd w:val="clear" w:color="auto" w:fill="auto"/>
            <w:vAlign w:val="center"/>
            <w:hideMark/>
          </w:tcPr>
          <w:p w:rsidR="00FC3000" w:rsidRPr="00FC3000" w:rsidP="009B3C6A" w14:paraId="7350FE46" w14:textId="77777777">
            <w:pPr>
              <w:spacing w:after="0"/>
              <w:rPr>
                <w:rFonts w:eastAsia="Times New Roman"/>
                <w:color w:val="000000"/>
                <w:sz w:val="20"/>
                <w:szCs w:val="20"/>
                <w:lang w:eastAsia="en-US"/>
              </w:rPr>
            </w:pPr>
            <w:r w:rsidRPr="00FC3000">
              <w:rPr>
                <w:rFonts w:eastAsia="Times New Roman"/>
                <w:color w:val="000000"/>
                <w:sz w:val="20"/>
                <w:szCs w:val="20"/>
                <w:lang w:eastAsia="en-US"/>
              </w:rPr>
              <w:t> </w:t>
            </w:r>
          </w:p>
        </w:tc>
        <w:tc>
          <w:tcPr>
            <w:tcW w:w="936" w:type="dxa"/>
            <w:shd w:val="clear" w:color="auto" w:fill="auto"/>
            <w:vAlign w:val="center"/>
            <w:hideMark/>
          </w:tcPr>
          <w:p w:rsidR="00FC3000" w:rsidRPr="00FC3000" w:rsidP="009B3C6A" w14:paraId="0537C7AF" w14:textId="77777777">
            <w:pPr>
              <w:spacing w:after="0"/>
              <w:rPr>
                <w:rFonts w:eastAsia="Times New Roman"/>
                <w:color w:val="000000"/>
                <w:sz w:val="20"/>
                <w:szCs w:val="20"/>
                <w:lang w:eastAsia="en-US"/>
              </w:rPr>
            </w:pPr>
            <w:r w:rsidRPr="00FC3000">
              <w:rPr>
                <w:rFonts w:eastAsia="Times New Roman"/>
                <w:color w:val="000000"/>
                <w:sz w:val="20"/>
                <w:szCs w:val="20"/>
                <w:lang w:eastAsia="en-US"/>
              </w:rPr>
              <w:t> </w:t>
            </w:r>
          </w:p>
        </w:tc>
      </w:tr>
      <w:tr w14:paraId="01FFE549" w14:textId="77777777" w:rsidTr="005C1A27">
        <w:tblPrEx>
          <w:tblW w:w="9371" w:type="dxa"/>
          <w:tblInd w:w="-10" w:type="dxa"/>
          <w:tblLook w:val="04A0"/>
        </w:tblPrEx>
        <w:trPr>
          <w:trHeight w:val="255"/>
        </w:trPr>
        <w:tc>
          <w:tcPr>
            <w:tcW w:w="1314" w:type="dxa"/>
            <w:vMerge/>
            <w:vAlign w:val="center"/>
            <w:hideMark/>
          </w:tcPr>
          <w:p w:rsidR="00FC3000" w:rsidRPr="00FC3000" w:rsidP="009B3C6A" w14:paraId="7CC6F708" w14:textId="77777777">
            <w:pPr>
              <w:spacing w:after="0"/>
              <w:rPr>
                <w:rFonts w:eastAsia="Times New Roman"/>
                <w:color w:val="000000"/>
                <w:sz w:val="20"/>
                <w:szCs w:val="20"/>
                <w:lang w:eastAsia="en-US"/>
              </w:rPr>
            </w:pPr>
          </w:p>
        </w:tc>
        <w:tc>
          <w:tcPr>
            <w:tcW w:w="1380" w:type="dxa"/>
            <w:vMerge/>
            <w:vAlign w:val="center"/>
            <w:hideMark/>
          </w:tcPr>
          <w:p w:rsidR="00FC3000" w:rsidRPr="00FC3000" w:rsidP="009B3C6A" w14:paraId="77FFF29A" w14:textId="77777777">
            <w:pPr>
              <w:spacing w:after="0"/>
              <w:rPr>
                <w:rFonts w:eastAsia="Times New Roman"/>
                <w:color w:val="000000"/>
                <w:sz w:val="20"/>
                <w:szCs w:val="20"/>
                <w:lang w:eastAsia="en-US"/>
              </w:rPr>
            </w:pPr>
          </w:p>
        </w:tc>
        <w:tc>
          <w:tcPr>
            <w:tcW w:w="1006" w:type="dxa"/>
            <w:shd w:val="clear" w:color="auto" w:fill="auto"/>
            <w:vAlign w:val="center"/>
            <w:hideMark/>
          </w:tcPr>
          <w:p w:rsidR="00FC3000" w:rsidRPr="00FC3000" w:rsidP="009B3C6A" w14:paraId="310AF229" w14:textId="77777777">
            <w:pPr>
              <w:spacing w:after="0"/>
              <w:rPr>
                <w:rFonts w:eastAsia="Times New Roman"/>
                <w:color w:val="000000"/>
                <w:sz w:val="20"/>
                <w:szCs w:val="20"/>
                <w:lang w:eastAsia="en-US"/>
              </w:rPr>
            </w:pPr>
            <w:r w:rsidRPr="00FC3000">
              <w:rPr>
                <w:rFonts w:eastAsia="Times New Roman"/>
                <w:color w:val="000000"/>
                <w:sz w:val="20"/>
                <w:szCs w:val="20"/>
                <w:lang w:eastAsia="en-US"/>
              </w:rPr>
              <w:t> </w:t>
            </w:r>
          </w:p>
        </w:tc>
        <w:tc>
          <w:tcPr>
            <w:tcW w:w="1006" w:type="dxa"/>
            <w:shd w:val="clear" w:color="auto" w:fill="auto"/>
            <w:vAlign w:val="center"/>
            <w:hideMark/>
          </w:tcPr>
          <w:p w:rsidR="00FC3000" w:rsidRPr="00FC3000" w:rsidP="009B3C6A" w14:paraId="0BF8DE3F" w14:textId="77777777">
            <w:pPr>
              <w:spacing w:after="0"/>
              <w:rPr>
                <w:rFonts w:eastAsia="Times New Roman"/>
                <w:color w:val="000000"/>
                <w:sz w:val="20"/>
                <w:szCs w:val="20"/>
                <w:lang w:eastAsia="en-US"/>
              </w:rPr>
            </w:pPr>
            <w:r w:rsidRPr="00FC3000">
              <w:rPr>
                <w:rFonts w:eastAsia="Times New Roman"/>
                <w:color w:val="000000"/>
                <w:sz w:val="20"/>
                <w:szCs w:val="20"/>
                <w:lang w:eastAsia="en-US"/>
              </w:rPr>
              <w:t> </w:t>
            </w:r>
          </w:p>
        </w:tc>
        <w:tc>
          <w:tcPr>
            <w:tcW w:w="1009" w:type="dxa"/>
            <w:shd w:val="clear" w:color="auto" w:fill="auto"/>
            <w:vAlign w:val="center"/>
            <w:hideMark/>
          </w:tcPr>
          <w:p w:rsidR="00FC3000" w:rsidRPr="00FC3000" w:rsidP="009B3C6A" w14:paraId="6572D813" w14:textId="77777777">
            <w:pPr>
              <w:spacing w:after="0"/>
              <w:rPr>
                <w:rFonts w:eastAsia="Times New Roman"/>
                <w:color w:val="000000"/>
                <w:sz w:val="20"/>
                <w:szCs w:val="20"/>
                <w:lang w:eastAsia="en-US"/>
              </w:rPr>
            </w:pPr>
            <w:r w:rsidRPr="00FC3000">
              <w:rPr>
                <w:rFonts w:eastAsia="Times New Roman"/>
                <w:color w:val="000000"/>
                <w:sz w:val="20"/>
                <w:szCs w:val="20"/>
                <w:lang w:eastAsia="en-US"/>
              </w:rPr>
              <w:t> </w:t>
            </w:r>
          </w:p>
        </w:tc>
        <w:tc>
          <w:tcPr>
            <w:tcW w:w="805" w:type="dxa"/>
            <w:shd w:val="clear" w:color="auto" w:fill="auto"/>
            <w:vAlign w:val="center"/>
            <w:hideMark/>
          </w:tcPr>
          <w:p w:rsidR="00FC3000" w:rsidRPr="00FC3000" w:rsidP="009B3C6A" w14:paraId="01D82BCB" w14:textId="77777777">
            <w:pPr>
              <w:spacing w:after="0"/>
              <w:rPr>
                <w:rFonts w:eastAsia="Times New Roman"/>
                <w:color w:val="000000"/>
                <w:sz w:val="20"/>
                <w:szCs w:val="20"/>
                <w:lang w:eastAsia="en-US"/>
              </w:rPr>
            </w:pPr>
            <w:r w:rsidRPr="00FC3000">
              <w:rPr>
                <w:rFonts w:eastAsia="Times New Roman"/>
                <w:color w:val="000000"/>
                <w:sz w:val="20"/>
                <w:szCs w:val="20"/>
                <w:lang w:eastAsia="en-US"/>
              </w:rPr>
              <w:t> </w:t>
            </w:r>
          </w:p>
        </w:tc>
        <w:tc>
          <w:tcPr>
            <w:tcW w:w="939" w:type="dxa"/>
            <w:shd w:val="clear" w:color="auto" w:fill="auto"/>
            <w:vAlign w:val="center"/>
            <w:hideMark/>
          </w:tcPr>
          <w:p w:rsidR="00FC3000" w:rsidRPr="00FC3000" w:rsidP="009B3C6A" w14:paraId="5D14CAE2" w14:textId="77777777">
            <w:pPr>
              <w:spacing w:after="0"/>
              <w:rPr>
                <w:rFonts w:eastAsia="Times New Roman"/>
                <w:color w:val="000000"/>
                <w:sz w:val="20"/>
                <w:szCs w:val="20"/>
                <w:lang w:eastAsia="en-US"/>
              </w:rPr>
            </w:pPr>
            <w:r w:rsidRPr="00FC3000">
              <w:rPr>
                <w:rFonts w:eastAsia="Times New Roman"/>
                <w:color w:val="000000"/>
                <w:sz w:val="20"/>
                <w:szCs w:val="20"/>
                <w:lang w:eastAsia="en-US"/>
              </w:rPr>
              <w:t>3%</w:t>
            </w:r>
          </w:p>
        </w:tc>
        <w:tc>
          <w:tcPr>
            <w:tcW w:w="976" w:type="dxa"/>
            <w:shd w:val="clear" w:color="auto" w:fill="auto"/>
            <w:vAlign w:val="center"/>
            <w:hideMark/>
          </w:tcPr>
          <w:p w:rsidR="00FC3000" w:rsidRPr="00FC3000" w:rsidP="009B3C6A" w14:paraId="01B82C87" w14:textId="77777777">
            <w:pPr>
              <w:spacing w:after="0"/>
              <w:rPr>
                <w:rFonts w:eastAsia="Times New Roman"/>
                <w:color w:val="000000"/>
                <w:sz w:val="20"/>
                <w:szCs w:val="20"/>
                <w:lang w:eastAsia="en-US"/>
              </w:rPr>
            </w:pPr>
            <w:r w:rsidRPr="00FC3000">
              <w:rPr>
                <w:rFonts w:eastAsia="Times New Roman"/>
                <w:color w:val="000000"/>
                <w:sz w:val="20"/>
                <w:szCs w:val="20"/>
                <w:lang w:eastAsia="en-US"/>
              </w:rPr>
              <w:t> </w:t>
            </w:r>
          </w:p>
        </w:tc>
        <w:tc>
          <w:tcPr>
            <w:tcW w:w="936" w:type="dxa"/>
            <w:shd w:val="clear" w:color="auto" w:fill="auto"/>
            <w:vAlign w:val="center"/>
            <w:hideMark/>
          </w:tcPr>
          <w:p w:rsidR="00FC3000" w:rsidRPr="00FC3000" w:rsidP="009B3C6A" w14:paraId="1190FB28" w14:textId="77777777">
            <w:pPr>
              <w:spacing w:after="0"/>
              <w:rPr>
                <w:rFonts w:eastAsia="Times New Roman"/>
                <w:color w:val="000000"/>
                <w:sz w:val="20"/>
                <w:szCs w:val="20"/>
                <w:lang w:eastAsia="en-US"/>
              </w:rPr>
            </w:pPr>
            <w:r w:rsidRPr="00FC3000">
              <w:rPr>
                <w:rFonts w:eastAsia="Times New Roman"/>
                <w:color w:val="000000"/>
                <w:sz w:val="20"/>
                <w:szCs w:val="20"/>
                <w:lang w:eastAsia="en-US"/>
              </w:rPr>
              <w:t> </w:t>
            </w:r>
          </w:p>
        </w:tc>
      </w:tr>
      <w:tr w14:paraId="5DCDB8B8" w14:textId="77777777" w:rsidTr="005C1A27">
        <w:tblPrEx>
          <w:tblW w:w="9371" w:type="dxa"/>
          <w:tblInd w:w="-10" w:type="dxa"/>
          <w:tblLook w:val="04A0"/>
        </w:tblPrEx>
        <w:trPr>
          <w:trHeight w:val="332"/>
        </w:trPr>
        <w:tc>
          <w:tcPr>
            <w:tcW w:w="1314" w:type="dxa"/>
            <w:vMerge/>
            <w:vAlign w:val="center"/>
            <w:hideMark/>
          </w:tcPr>
          <w:p w:rsidR="00FC3000" w:rsidRPr="00FC3000" w:rsidP="009B3C6A" w14:paraId="510BCB07" w14:textId="77777777">
            <w:pPr>
              <w:spacing w:after="0"/>
              <w:rPr>
                <w:rFonts w:eastAsia="Times New Roman"/>
                <w:color w:val="000000"/>
                <w:sz w:val="20"/>
                <w:szCs w:val="20"/>
                <w:lang w:eastAsia="en-US"/>
              </w:rPr>
            </w:pPr>
          </w:p>
        </w:tc>
        <w:tc>
          <w:tcPr>
            <w:tcW w:w="1380" w:type="dxa"/>
            <w:shd w:val="clear" w:color="auto" w:fill="auto"/>
            <w:vAlign w:val="center"/>
            <w:hideMark/>
          </w:tcPr>
          <w:p w:rsidR="00FC3000" w:rsidRPr="00FC3000" w:rsidP="009B3C6A" w14:paraId="4C78BD83" w14:textId="77777777">
            <w:pPr>
              <w:spacing w:after="0"/>
              <w:rPr>
                <w:rFonts w:eastAsia="Times New Roman"/>
                <w:color w:val="000000"/>
                <w:sz w:val="20"/>
                <w:szCs w:val="20"/>
                <w:lang w:eastAsia="en-US"/>
              </w:rPr>
            </w:pPr>
            <w:r w:rsidRPr="00FC3000">
              <w:rPr>
                <w:rFonts w:eastAsia="Times New Roman"/>
                <w:color w:val="000000"/>
                <w:sz w:val="20"/>
                <w:szCs w:val="20"/>
                <w:lang w:eastAsia="en-US"/>
              </w:rPr>
              <w:t>Qualitative</w:t>
            </w:r>
          </w:p>
        </w:tc>
        <w:tc>
          <w:tcPr>
            <w:tcW w:w="1006" w:type="dxa"/>
            <w:shd w:val="clear" w:color="auto" w:fill="auto"/>
            <w:vAlign w:val="center"/>
            <w:hideMark/>
          </w:tcPr>
          <w:p w:rsidR="00FC3000" w:rsidRPr="00FC3000" w:rsidP="009B3C6A" w14:paraId="4F0B1FA2" w14:textId="77777777">
            <w:pPr>
              <w:spacing w:after="0"/>
              <w:rPr>
                <w:rFonts w:eastAsia="Times New Roman"/>
                <w:color w:val="000000"/>
                <w:sz w:val="20"/>
                <w:szCs w:val="20"/>
                <w:lang w:eastAsia="en-US"/>
              </w:rPr>
            </w:pPr>
            <w:r w:rsidRPr="00FC3000">
              <w:rPr>
                <w:rFonts w:eastAsia="Times New Roman"/>
                <w:color w:val="000000"/>
                <w:sz w:val="20"/>
                <w:szCs w:val="20"/>
                <w:lang w:eastAsia="en-US"/>
              </w:rPr>
              <w:t> </w:t>
            </w:r>
          </w:p>
        </w:tc>
        <w:tc>
          <w:tcPr>
            <w:tcW w:w="1006" w:type="dxa"/>
            <w:shd w:val="clear" w:color="auto" w:fill="auto"/>
            <w:vAlign w:val="center"/>
            <w:hideMark/>
          </w:tcPr>
          <w:p w:rsidR="00FC3000" w:rsidRPr="00FC3000" w:rsidP="009B3C6A" w14:paraId="78C969E8" w14:textId="77777777">
            <w:pPr>
              <w:spacing w:after="0"/>
              <w:rPr>
                <w:rFonts w:eastAsia="Times New Roman"/>
                <w:color w:val="000000"/>
                <w:sz w:val="20"/>
                <w:szCs w:val="20"/>
                <w:lang w:eastAsia="en-US"/>
              </w:rPr>
            </w:pPr>
            <w:r w:rsidRPr="00FC3000">
              <w:rPr>
                <w:rFonts w:eastAsia="Times New Roman"/>
                <w:color w:val="000000"/>
                <w:sz w:val="20"/>
                <w:szCs w:val="20"/>
                <w:lang w:eastAsia="en-US"/>
              </w:rPr>
              <w:t> </w:t>
            </w:r>
          </w:p>
        </w:tc>
        <w:tc>
          <w:tcPr>
            <w:tcW w:w="1009" w:type="dxa"/>
            <w:shd w:val="clear" w:color="auto" w:fill="auto"/>
            <w:vAlign w:val="center"/>
            <w:hideMark/>
          </w:tcPr>
          <w:p w:rsidR="00FC3000" w:rsidRPr="00FC3000" w:rsidP="009B3C6A" w14:paraId="61F0E43D" w14:textId="77777777">
            <w:pPr>
              <w:spacing w:after="0"/>
              <w:rPr>
                <w:rFonts w:eastAsia="Times New Roman"/>
                <w:color w:val="000000"/>
                <w:sz w:val="20"/>
                <w:szCs w:val="20"/>
                <w:lang w:eastAsia="en-US"/>
              </w:rPr>
            </w:pPr>
            <w:r w:rsidRPr="00FC3000">
              <w:rPr>
                <w:rFonts w:eastAsia="Times New Roman"/>
                <w:color w:val="000000"/>
                <w:sz w:val="20"/>
                <w:szCs w:val="20"/>
                <w:lang w:eastAsia="en-US"/>
              </w:rPr>
              <w:t> </w:t>
            </w:r>
          </w:p>
        </w:tc>
        <w:tc>
          <w:tcPr>
            <w:tcW w:w="805" w:type="dxa"/>
            <w:shd w:val="clear" w:color="auto" w:fill="auto"/>
            <w:vAlign w:val="center"/>
            <w:hideMark/>
          </w:tcPr>
          <w:p w:rsidR="00FC3000" w:rsidRPr="00FC3000" w:rsidP="009B3C6A" w14:paraId="7170D4D8" w14:textId="77777777">
            <w:pPr>
              <w:spacing w:after="0"/>
              <w:rPr>
                <w:rFonts w:eastAsia="Times New Roman"/>
                <w:color w:val="000000"/>
                <w:sz w:val="20"/>
                <w:szCs w:val="20"/>
                <w:lang w:eastAsia="en-US"/>
              </w:rPr>
            </w:pPr>
            <w:r w:rsidRPr="00FC3000">
              <w:rPr>
                <w:rFonts w:eastAsia="Times New Roman"/>
                <w:color w:val="000000"/>
                <w:sz w:val="20"/>
                <w:szCs w:val="20"/>
                <w:lang w:eastAsia="en-US"/>
              </w:rPr>
              <w:t> </w:t>
            </w:r>
          </w:p>
        </w:tc>
        <w:tc>
          <w:tcPr>
            <w:tcW w:w="939" w:type="dxa"/>
            <w:shd w:val="clear" w:color="auto" w:fill="auto"/>
            <w:vAlign w:val="center"/>
            <w:hideMark/>
          </w:tcPr>
          <w:p w:rsidR="00FC3000" w:rsidRPr="00FC3000" w:rsidP="009B3C6A" w14:paraId="10A256C3" w14:textId="77777777">
            <w:pPr>
              <w:spacing w:after="0"/>
              <w:rPr>
                <w:rFonts w:eastAsia="Times New Roman"/>
                <w:color w:val="000000"/>
                <w:sz w:val="20"/>
                <w:szCs w:val="20"/>
                <w:lang w:eastAsia="en-US"/>
              </w:rPr>
            </w:pPr>
            <w:r w:rsidRPr="00FC3000">
              <w:rPr>
                <w:rFonts w:eastAsia="Times New Roman"/>
                <w:color w:val="000000"/>
                <w:sz w:val="20"/>
                <w:szCs w:val="20"/>
                <w:lang w:eastAsia="en-US"/>
              </w:rPr>
              <w:t> </w:t>
            </w:r>
          </w:p>
        </w:tc>
        <w:tc>
          <w:tcPr>
            <w:tcW w:w="976" w:type="dxa"/>
            <w:shd w:val="clear" w:color="auto" w:fill="auto"/>
            <w:vAlign w:val="center"/>
            <w:hideMark/>
          </w:tcPr>
          <w:p w:rsidR="00FC3000" w:rsidRPr="00FC3000" w:rsidP="009B3C6A" w14:paraId="3EE726B8" w14:textId="77777777">
            <w:pPr>
              <w:spacing w:after="0"/>
              <w:rPr>
                <w:rFonts w:eastAsia="Times New Roman"/>
                <w:color w:val="000000"/>
                <w:sz w:val="20"/>
                <w:szCs w:val="20"/>
                <w:lang w:eastAsia="en-US"/>
              </w:rPr>
            </w:pPr>
            <w:r w:rsidRPr="00FC3000">
              <w:rPr>
                <w:rFonts w:eastAsia="Times New Roman"/>
                <w:color w:val="000000"/>
                <w:sz w:val="20"/>
                <w:szCs w:val="20"/>
                <w:lang w:eastAsia="en-US"/>
              </w:rPr>
              <w:t> </w:t>
            </w:r>
          </w:p>
        </w:tc>
        <w:tc>
          <w:tcPr>
            <w:tcW w:w="936" w:type="dxa"/>
            <w:shd w:val="clear" w:color="auto" w:fill="auto"/>
            <w:vAlign w:val="center"/>
            <w:hideMark/>
          </w:tcPr>
          <w:p w:rsidR="00FC3000" w:rsidRPr="00FC3000" w:rsidP="009B3C6A" w14:paraId="44C53D4E" w14:textId="77777777">
            <w:pPr>
              <w:spacing w:after="0"/>
              <w:rPr>
                <w:rFonts w:eastAsia="Times New Roman"/>
                <w:color w:val="000000"/>
                <w:sz w:val="20"/>
                <w:szCs w:val="20"/>
                <w:lang w:eastAsia="en-US"/>
              </w:rPr>
            </w:pPr>
            <w:r w:rsidRPr="00FC3000">
              <w:rPr>
                <w:rFonts w:eastAsia="Times New Roman"/>
                <w:color w:val="000000"/>
                <w:sz w:val="20"/>
                <w:szCs w:val="20"/>
                <w:lang w:eastAsia="en-US"/>
              </w:rPr>
              <w:t> </w:t>
            </w:r>
          </w:p>
        </w:tc>
      </w:tr>
      <w:tr w14:paraId="56320D87" w14:textId="77777777" w:rsidTr="005C1A27">
        <w:tblPrEx>
          <w:tblW w:w="9371" w:type="dxa"/>
          <w:tblInd w:w="-10" w:type="dxa"/>
          <w:tblLook w:val="04A0"/>
        </w:tblPrEx>
        <w:trPr>
          <w:trHeight w:val="448"/>
        </w:trPr>
        <w:tc>
          <w:tcPr>
            <w:tcW w:w="1314" w:type="dxa"/>
            <w:vMerge w:val="restart"/>
            <w:shd w:val="clear" w:color="auto" w:fill="auto"/>
            <w:vAlign w:val="center"/>
            <w:hideMark/>
          </w:tcPr>
          <w:p w:rsidR="00FC3000" w:rsidRPr="00FC3000" w:rsidP="009B3C6A" w14:paraId="38344D73" w14:textId="77777777">
            <w:pPr>
              <w:spacing w:after="0"/>
              <w:rPr>
                <w:rFonts w:eastAsia="Times New Roman"/>
                <w:color w:val="000000"/>
                <w:sz w:val="20"/>
                <w:szCs w:val="20"/>
                <w:lang w:eastAsia="en-US"/>
              </w:rPr>
            </w:pPr>
            <w:r w:rsidRPr="00FC3000">
              <w:rPr>
                <w:rFonts w:eastAsia="Times New Roman"/>
                <w:color w:val="000000"/>
                <w:sz w:val="20"/>
                <w:szCs w:val="20"/>
                <w:lang w:eastAsia="en-US"/>
              </w:rPr>
              <w:t>Transfers</w:t>
            </w:r>
          </w:p>
        </w:tc>
        <w:tc>
          <w:tcPr>
            <w:tcW w:w="1380" w:type="dxa"/>
            <w:vMerge w:val="restart"/>
            <w:shd w:val="clear" w:color="auto" w:fill="auto"/>
            <w:vAlign w:val="center"/>
            <w:hideMark/>
          </w:tcPr>
          <w:p w:rsidR="00FC3000" w:rsidRPr="00FC3000" w:rsidP="009B3C6A" w14:paraId="498C101D" w14:textId="77777777">
            <w:pPr>
              <w:spacing w:after="0"/>
              <w:rPr>
                <w:rFonts w:eastAsia="Times New Roman"/>
                <w:color w:val="000000"/>
                <w:sz w:val="20"/>
                <w:szCs w:val="20"/>
                <w:lang w:eastAsia="en-US"/>
              </w:rPr>
            </w:pPr>
            <w:r w:rsidRPr="00FC3000">
              <w:rPr>
                <w:rFonts w:eastAsia="Times New Roman"/>
                <w:color w:val="000000"/>
                <w:sz w:val="20"/>
                <w:szCs w:val="20"/>
                <w:lang w:eastAsia="en-US"/>
              </w:rPr>
              <w:t>Federal Annualized Monetized $/year</w:t>
            </w:r>
          </w:p>
        </w:tc>
        <w:tc>
          <w:tcPr>
            <w:tcW w:w="1006" w:type="dxa"/>
            <w:shd w:val="clear" w:color="auto" w:fill="auto"/>
            <w:vAlign w:val="center"/>
            <w:hideMark/>
          </w:tcPr>
          <w:p w:rsidR="00FC3000" w:rsidRPr="00FC3000" w:rsidP="009B3C6A" w14:paraId="1D53127C" w14:textId="77777777">
            <w:pPr>
              <w:spacing w:after="0"/>
              <w:rPr>
                <w:rFonts w:eastAsia="Times New Roman"/>
                <w:color w:val="000000"/>
                <w:sz w:val="20"/>
                <w:szCs w:val="20"/>
                <w:lang w:eastAsia="en-US"/>
              </w:rPr>
            </w:pPr>
            <w:r w:rsidRPr="00FC3000">
              <w:rPr>
                <w:rFonts w:eastAsia="Times New Roman"/>
                <w:color w:val="000000"/>
                <w:sz w:val="20"/>
                <w:szCs w:val="20"/>
                <w:lang w:eastAsia="en-US"/>
              </w:rPr>
              <w:t> </w:t>
            </w:r>
          </w:p>
        </w:tc>
        <w:tc>
          <w:tcPr>
            <w:tcW w:w="1006" w:type="dxa"/>
            <w:shd w:val="clear" w:color="auto" w:fill="auto"/>
            <w:vAlign w:val="center"/>
            <w:hideMark/>
          </w:tcPr>
          <w:p w:rsidR="00FC3000" w:rsidRPr="00FC3000" w:rsidP="009B3C6A" w14:paraId="16F8F2BF" w14:textId="77777777">
            <w:pPr>
              <w:spacing w:after="0"/>
              <w:rPr>
                <w:rFonts w:eastAsia="Times New Roman"/>
                <w:color w:val="000000"/>
                <w:sz w:val="20"/>
                <w:szCs w:val="20"/>
                <w:lang w:eastAsia="en-US"/>
              </w:rPr>
            </w:pPr>
            <w:r w:rsidRPr="00FC3000">
              <w:rPr>
                <w:rFonts w:eastAsia="Times New Roman"/>
                <w:color w:val="000000"/>
                <w:sz w:val="20"/>
                <w:szCs w:val="20"/>
                <w:lang w:eastAsia="en-US"/>
              </w:rPr>
              <w:t> </w:t>
            </w:r>
          </w:p>
        </w:tc>
        <w:tc>
          <w:tcPr>
            <w:tcW w:w="1009" w:type="dxa"/>
            <w:shd w:val="clear" w:color="auto" w:fill="auto"/>
            <w:vAlign w:val="center"/>
            <w:hideMark/>
          </w:tcPr>
          <w:p w:rsidR="00FC3000" w:rsidRPr="00FC3000" w:rsidP="009B3C6A" w14:paraId="678538BD" w14:textId="77777777">
            <w:pPr>
              <w:spacing w:after="0"/>
              <w:rPr>
                <w:rFonts w:eastAsia="Times New Roman"/>
                <w:color w:val="000000"/>
                <w:sz w:val="20"/>
                <w:szCs w:val="20"/>
                <w:lang w:eastAsia="en-US"/>
              </w:rPr>
            </w:pPr>
            <w:r w:rsidRPr="00FC3000">
              <w:rPr>
                <w:rFonts w:eastAsia="Times New Roman"/>
                <w:color w:val="000000"/>
                <w:sz w:val="20"/>
                <w:szCs w:val="20"/>
                <w:lang w:eastAsia="en-US"/>
              </w:rPr>
              <w:t> </w:t>
            </w:r>
          </w:p>
        </w:tc>
        <w:tc>
          <w:tcPr>
            <w:tcW w:w="805" w:type="dxa"/>
            <w:shd w:val="clear" w:color="auto" w:fill="auto"/>
            <w:vAlign w:val="center"/>
            <w:hideMark/>
          </w:tcPr>
          <w:p w:rsidR="00FC3000" w:rsidRPr="00FC3000" w:rsidP="009B3C6A" w14:paraId="7CDEA311" w14:textId="77777777">
            <w:pPr>
              <w:spacing w:after="0"/>
              <w:rPr>
                <w:rFonts w:eastAsia="Times New Roman"/>
                <w:color w:val="000000"/>
                <w:sz w:val="20"/>
                <w:szCs w:val="20"/>
                <w:lang w:eastAsia="en-US"/>
              </w:rPr>
            </w:pPr>
            <w:r w:rsidRPr="00FC3000">
              <w:rPr>
                <w:rFonts w:eastAsia="Times New Roman"/>
                <w:color w:val="000000"/>
                <w:sz w:val="20"/>
                <w:szCs w:val="20"/>
                <w:lang w:eastAsia="en-US"/>
              </w:rPr>
              <w:t> </w:t>
            </w:r>
          </w:p>
        </w:tc>
        <w:tc>
          <w:tcPr>
            <w:tcW w:w="939" w:type="dxa"/>
            <w:shd w:val="clear" w:color="auto" w:fill="auto"/>
            <w:vAlign w:val="center"/>
            <w:hideMark/>
          </w:tcPr>
          <w:p w:rsidR="00FC3000" w:rsidRPr="00FC3000" w:rsidP="009B3C6A" w14:paraId="0422BF69" w14:textId="77777777">
            <w:pPr>
              <w:spacing w:after="0"/>
              <w:rPr>
                <w:rFonts w:eastAsia="Times New Roman"/>
                <w:color w:val="000000"/>
                <w:sz w:val="20"/>
                <w:szCs w:val="20"/>
                <w:lang w:eastAsia="en-US"/>
              </w:rPr>
            </w:pPr>
            <w:r w:rsidRPr="00FC3000">
              <w:rPr>
                <w:rFonts w:eastAsia="Times New Roman"/>
                <w:color w:val="000000"/>
                <w:sz w:val="20"/>
                <w:szCs w:val="20"/>
                <w:lang w:eastAsia="en-US"/>
              </w:rPr>
              <w:t>7%</w:t>
            </w:r>
          </w:p>
        </w:tc>
        <w:tc>
          <w:tcPr>
            <w:tcW w:w="976" w:type="dxa"/>
            <w:shd w:val="clear" w:color="auto" w:fill="auto"/>
            <w:vAlign w:val="center"/>
            <w:hideMark/>
          </w:tcPr>
          <w:p w:rsidR="00FC3000" w:rsidRPr="00FC3000" w:rsidP="009B3C6A" w14:paraId="4415D8EA" w14:textId="77777777">
            <w:pPr>
              <w:spacing w:after="0"/>
              <w:rPr>
                <w:rFonts w:eastAsia="Times New Roman"/>
                <w:color w:val="000000"/>
                <w:sz w:val="20"/>
                <w:szCs w:val="20"/>
                <w:lang w:eastAsia="en-US"/>
              </w:rPr>
            </w:pPr>
            <w:r w:rsidRPr="00FC3000">
              <w:rPr>
                <w:rFonts w:eastAsia="Times New Roman"/>
                <w:color w:val="000000"/>
                <w:sz w:val="20"/>
                <w:szCs w:val="20"/>
                <w:lang w:eastAsia="en-US"/>
              </w:rPr>
              <w:t> </w:t>
            </w:r>
          </w:p>
        </w:tc>
        <w:tc>
          <w:tcPr>
            <w:tcW w:w="936" w:type="dxa"/>
            <w:shd w:val="clear" w:color="auto" w:fill="auto"/>
            <w:vAlign w:val="center"/>
            <w:hideMark/>
          </w:tcPr>
          <w:p w:rsidR="00FC3000" w:rsidRPr="00FC3000" w:rsidP="009B3C6A" w14:paraId="152F6493" w14:textId="77777777">
            <w:pPr>
              <w:spacing w:after="0"/>
              <w:rPr>
                <w:rFonts w:eastAsia="Times New Roman"/>
                <w:color w:val="000000"/>
                <w:sz w:val="20"/>
                <w:szCs w:val="20"/>
                <w:lang w:eastAsia="en-US"/>
              </w:rPr>
            </w:pPr>
            <w:r w:rsidRPr="00FC3000">
              <w:rPr>
                <w:rFonts w:eastAsia="Times New Roman"/>
                <w:color w:val="000000"/>
                <w:sz w:val="20"/>
                <w:szCs w:val="20"/>
                <w:lang w:eastAsia="en-US"/>
              </w:rPr>
              <w:t> </w:t>
            </w:r>
          </w:p>
        </w:tc>
      </w:tr>
      <w:tr w14:paraId="2646B603" w14:textId="77777777" w:rsidTr="005C1A27">
        <w:tblPrEx>
          <w:tblW w:w="9371" w:type="dxa"/>
          <w:tblInd w:w="-10" w:type="dxa"/>
          <w:tblLook w:val="04A0"/>
        </w:tblPrEx>
        <w:trPr>
          <w:trHeight w:val="255"/>
        </w:trPr>
        <w:tc>
          <w:tcPr>
            <w:tcW w:w="1314" w:type="dxa"/>
            <w:vMerge/>
            <w:vAlign w:val="center"/>
            <w:hideMark/>
          </w:tcPr>
          <w:p w:rsidR="00FC3000" w:rsidRPr="00FC3000" w:rsidP="009B3C6A" w14:paraId="593DE1BD" w14:textId="77777777">
            <w:pPr>
              <w:spacing w:after="0"/>
              <w:rPr>
                <w:rFonts w:eastAsia="Times New Roman"/>
                <w:color w:val="000000"/>
                <w:sz w:val="20"/>
                <w:szCs w:val="20"/>
                <w:lang w:eastAsia="en-US"/>
              </w:rPr>
            </w:pPr>
          </w:p>
        </w:tc>
        <w:tc>
          <w:tcPr>
            <w:tcW w:w="1380" w:type="dxa"/>
            <w:vMerge/>
            <w:vAlign w:val="center"/>
            <w:hideMark/>
          </w:tcPr>
          <w:p w:rsidR="00FC3000" w:rsidRPr="00FC3000" w:rsidP="009B3C6A" w14:paraId="3609E681" w14:textId="77777777">
            <w:pPr>
              <w:spacing w:after="0"/>
              <w:rPr>
                <w:rFonts w:eastAsia="Times New Roman"/>
                <w:color w:val="000000"/>
                <w:sz w:val="20"/>
                <w:szCs w:val="20"/>
                <w:lang w:eastAsia="en-US"/>
              </w:rPr>
            </w:pPr>
          </w:p>
        </w:tc>
        <w:tc>
          <w:tcPr>
            <w:tcW w:w="1006" w:type="dxa"/>
            <w:shd w:val="clear" w:color="auto" w:fill="auto"/>
            <w:vAlign w:val="center"/>
            <w:hideMark/>
          </w:tcPr>
          <w:p w:rsidR="00FC3000" w:rsidRPr="00FC3000" w:rsidP="009B3C6A" w14:paraId="34DCAA59" w14:textId="77777777">
            <w:pPr>
              <w:spacing w:after="0"/>
              <w:rPr>
                <w:rFonts w:eastAsia="Times New Roman"/>
                <w:color w:val="000000"/>
                <w:sz w:val="20"/>
                <w:szCs w:val="20"/>
                <w:lang w:eastAsia="en-US"/>
              </w:rPr>
            </w:pPr>
            <w:r w:rsidRPr="00FC3000">
              <w:rPr>
                <w:rFonts w:eastAsia="Times New Roman"/>
                <w:color w:val="000000"/>
                <w:sz w:val="20"/>
                <w:szCs w:val="20"/>
                <w:lang w:eastAsia="en-US"/>
              </w:rPr>
              <w:t> </w:t>
            </w:r>
          </w:p>
        </w:tc>
        <w:tc>
          <w:tcPr>
            <w:tcW w:w="1006" w:type="dxa"/>
            <w:shd w:val="clear" w:color="auto" w:fill="auto"/>
            <w:vAlign w:val="center"/>
            <w:hideMark/>
          </w:tcPr>
          <w:p w:rsidR="00FC3000" w:rsidRPr="00FC3000" w:rsidP="009B3C6A" w14:paraId="107FD6C0" w14:textId="77777777">
            <w:pPr>
              <w:spacing w:after="0"/>
              <w:rPr>
                <w:rFonts w:eastAsia="Times New Roman"/>
                <w:color w:val="000000"/>
                <w:sz w:val="20"/>
                <w:szCs w:val="20"/>
                <w:lang w:eastAsia="en-US"/>
              </w:rPr>
            </w:pPr>
            <w:r w:rsidRPr="00FC3000">
              <w:rPr>
                <w:rFonts w:eastAsia="Times New Roman"/>
                <w:color w:val="000000"/>
                <w:sz w:val="20"/>
                <w:szCs w:val="20"/>
                <w:lang w:eastAsia="en-US"/>
              </w:rPr>
              <w:t> </w:t>
            </w:r>
          </w:p>
        </w:tc>
        <w:tc>
          <w:tcPr>
            <w:tcW w:w="1009" w:type="dxa"/>
            <w:shd w:val="clear" w:color="auto" w:fill="auto"/>
            <w:vAlign w:val="center"/>
            <w:hideMark/>
          </w:tcPr>
          <w:p w:rsidR="00FC3000" w:rsidRPr="00FC3000" w:rsidP="009B3C6A" w14:paraId="135E42FE" w14:textId="77777777">
            <w:pPr>
              <w:spacing w:after="0"/>
              <w:rPr>
                <w:rFonts w:eastAsia="Times New Roman"/>
                <w:color w:val="000000"/>
                <w:sz w:val="20"/>
                <w:szCs w:val="20"/>
                <w:lang w:eastAsia="en-US"/>
              </w:rPr>
            </w:pPr>
            <w:r w:rsidRPr="00FC3000">
              <w:rPr>
                <w:rFonts w:eastAsia="Times New Roman"/>
                <w:color w:val="000000"/>
                <w:sz w:val="20"/>
                <w:szCs w:val="20"/>
                <w:lang w:eastAsia="en-US"/>
              </w:rPr>
              <w:t> </w:t>
            </w:r>
          </w:p>
        </w:tc>
        <w:tc>
          <w:tcPr>
            <w:tcW w:w="805" w:type="dxa"/>
            <w:shd w:val="clear" w:color="auto" w:fill="auto"/>
            <w:vAlign w:val="center"/>
            <w:hideMark/>
          </w:tcPr>
          <w:p w:rsidR="00FC3000" w:rsidRPr="00FC3000" w:rsidP="009B3C6A" w14:paraId="223CC971" w14:textId="77777777">
            <w:pPr>
              <w:spacing w:after="0"/>
              <w:rPr>
                <w:rFonts w:eastAsia="Times New Roman"/>
                <w:color w:val="000000"/>
                <w:sz w:val="20"/>
                <w:szCs w:val="20"/>
                <w:lang w:eastAsia="en-US"/>
              </w:rPr>
            </w:pPr>
            <w:r w:rsidRPr="00FC3000">
              <w:rPr>
                <w:rFonts w:eastAsia="Times New Roman"/>
                <w:color w:val="000000"/>
                <w:sz w:val="20"/>
                <w:szCs w:val="20"/>
                <w:lang w:eastAsia="en-US"/>
              </w:rPr>
              <w:t> </w:t>
            </w:r>
          </w:p>
        </w:tc>
        <w:tc>
          <w:tcPr>
            <w:tcW w:w="939" w:type="dxa"/>
            <w:shd w:val="clear" w:color="auto" w:fill="auto"/>
            <w:vAlign w:val="center"/>
            <w:hideMark/>
          </w:tcPr>
          <w:p w:rsidR="00FC3000" w:rsidRPr="00FC3000" w:rsidP="009B3C6A" w14:paraId="1108AC40" w14:textId="77777777">
            <w:pPr>
              <w:spacing w:after="0"/>
              <w:rPr>
                <w:rFonts w:eastAsia="Times New Roman"/>
                <w:color w:val="000000"/>
                <w:sz w:val="20"/>
                <w:szCs w:val="20"/>
                <w:lang w:eastAsia="en-US"/>
              </w:rPr>
            </w:pPr>
            <w:r w:rsidRPr="00FC3000">
              <w:rPr>
                <w:rFonts w:eastAsia="Times New Roman"/>
                <w:color w:val="000000"/>
                <w:sz w:val="20"/>
                <w:szCs w:val="20"/>
                <w:lang w:eastAsia="en-US"/>
              </w:rPr>
              <w:t>3%</w:t>
            </w:r>
          </w:p>
        </w:tc>
        <w:tc>
          <w:tcPr>
            <w:tcW w:w="976" w:type="dxa"/>
            <w:shd w:val="clear" w:color="auto" w:fill="auto"/>
            <w:vAlign w:val="center"/>
            <w:hideMark/>
          </w:tcPr>
          <w:p w:rsidR="00FC3000" w:rsidRPr="00FC3000" w:rsidP="009B3C6A" w14:paraId="14C4CF92" w14:textId="77777777">
            <w:pPr>
              <w:spacing w:after="0"/>
              <w:rPr>
                <w:rFonts w:eastAsia="Times New Roman"/>
                <w:color w:val="000000"/>
                <w:sz w:val="20"/>
                <w:szCs w:val="20"/>
                <w:lang w:eastAsia="en-US"/>
              </w:rPr>
            </w:pPr>
            <w:r w:rsidRPr="00FC3000">
              <w:rPr>
                <w:rFonts w:eastAsia="Times New Roman"/>
                <w:color w:val="000000"/>
                <w:sz w:val="20"/>
                <w:szCs w:val="20"/>
                <w:lang w:eastAsia="en-US"/>
              </w:rPr>
              <w:t> </w:t>
            </w:r>
          </w:p>
        </w:tc>
        <w:tc>
          <w:tcPr>
            <w:tcW w:w="936" w:type="dxa"/>
            <w:shd w:val="clear" w:color="auto" w:fill="auto"/>
            <w:vAlign w:val="center"/>
            <w:hideMark/>
          </w:tcPr>
          <w:p w:rsidR="00FC3000" w:rsidRPr="00FC3000" w:rsidP="009B3C6A" w14:paraId="5D5BCFFB" w14:textId="77777777">
            <w:pPr>
              <w:spacing w:after="0"/>
              <w:rPr>
                <w:rFonts w:eastAsia="Times New Roman"/>
                <w:color w:val="000000"/>
                <w:sz w:val="20"/>
                <w:szCs w:val="20"/>
                <w:lang w:eastAsia="en-US"/>
              </w:rPr>
            </w:pPr>
            <w:r w:rsidRPr="00FC3000">
              <w:rPr>
                <w:rFonts w:eastAsia="Times New Roman"/>
                <w:color w:val="000000"/>
                <w:sz w:val="20"/>
                <w:szCs w:val="20"/>
                <w:lang w:eastAsia="en-US"/>
              </w:rPr>
              <w:t> </w:t>
            </w:r>
          </w:p>
        </w:tc>
      </w:tr>
      <w:tr w14:paraId="09AC01DF" w14:textId="77777777" w:rsidTr="005C1A27">
        <w:tblPrEx>
          <w:tblW w:w="9371" w:type="dxa"/>
          <w:tblInd w:w="-10" w:type="dxa"/>
          <w:tblLook w:val="04A0"/>
        </w:tblPrEx>
        <w:trPr>
          <w:trHeight w:val="255"/>
        </w:trPr>
        <w:tc>
          <w:tcPr>
            <w:tcW w:w="1314" w:type="dxa"/>
            <w:vMerge/>
            <w:vAlign w:val="center"/>
            <w:hideMark/>
          </w:tcPr>
          <w:p w:rsidR="00FC3000" w:rsidRPr="00FC3000" w:rsidP="009B3C6A" w14:paraId="01C1652A" w14:textId="77777777">
            <w:pPr>
              <w:spacing w:after="0"/>
              <w:rPr>
                <w:rFonts w:eastAsia="Times New Roman"/>
                <w:color w:val="000000"/>
                <w:sz w:val="20"/>
                <w:szCs w:val="20"/>
                <w:lang w:eastAsia="en-US"/>
              </w:rPr>
            </w:pPr>
          </w:p>
        </w:tc>
        <w:tc>
          <w:tcPr>
            <w:tcW w:w="1380" w:type="dxa"/>
            <w:shd w:val="clear" w:color="auto" w:fill="auto"/>
            <w:vAlign w:val="center"/>
            <w:hideMark/>
          </w:tcPr>
          <w:p w:rsidR="00FC3000" w:rsidRPr="00FC3000" w:rsidP="009B3C6A" w14:paraId="7352A817" w14:textId="77777777">
            <w:pPr>
              <w:spacing w:after="0"/>
              <w:rPr>
                <w:rFonts w:eastAsia="Times New Roman"/>
                <w:color w:val="000000"/>
                <w:sz w:val="20"/>
                <w:szCs w:val="20"/>
                <w:lang w:eastAsia="en-US"/>
              </w:rPr>
            </w:pPr>
            <w:r w:rsidRPr="00FC3000">
              <w:rPr>
                <w:rFonts w:eastAsia="Times New Roman"/>
                <w:color w:val="000000"/>
                <w:sz w:val="20"/>
                <w:szCs w:val="20"/>
                <w:lang w:eastAsia="en-US"/>
              </w:rPr>
              <w:t>From/ To</w:t>
            </w:r>
          </w:p>
        </w:tc>
        <w:tc>
          <w:tcPr>
            <w:tcW w:w="3021" w:type="dxa"/>
            <w:gridSpan w:val="3"/>
            <w:shd w:val="clear" w:color="auto" w:fill="auto"/>
            <w:vAlign w:val="center"/>
            <w:hideMark/>
          </w:tcPr>
          <w:p w:rsidR="00FC3000" w:rsidRPr="00FC3000" w:rsidP="009B3C6A" w14:paraId="45075E2A" w14:textId="77777777">
            <w:pPr>
              <w:spacing w:after="0"/>
              <w:rPr>
                <w:rFonts w:eastAsia="Times New Roman"/>
                <w:color w:val="000000"/>
                <w:sz w:val="20"/>
                <w:szCs w:val="20"/>
                <w:lang w:eastAsia="en-US"/>
              </w:rPr>
            </w:pPr>
            <w:r w:rsidRPr="00FC3000">
              <w:rPr>
                <w:rFonts w:eastAsia="Times New Roman"/>
                <w:color w:val="000000"/>
                <w:sz w:val="20"/>
                <w:szCs w:val="20"/>
                <w:lang w:eastAsia="en-US"/>
              </w:rPr>
              <w:t>From:</w:t>
            </w:r>
          </w:p>
        </w:tc>
        <w:tc>
          <w:tcPr>
            <w:tcW w:w="2720" w:type="dxa"/>
            <w:gridSpan w:val="3"/>
            <w:shd w:val="clear" w:color="auto" w:fill="auto"/>
            <w:vAlign w:val="center"/>
            <w:hideMark/>
          </w:tcPr>
          <w:p w:rsidR="00FC3000" w:rsidRPr="00FC3000" w:rsidP="009B3C6A" w14:paraId="46B439B7" w14:textId="77777777">
            <w:pPr>
              <w:spacing w:after="0"/>
              <w:rPr>
                <w:rFonts w:eastAsia="Times New Roman"/>
                <w:color w:val="000000"/>
                <w:sz w:val="20"/>
                <w:szCs w:val="20"/>
                <w:lang w:eastAsia="en-US"/>
              </w:rPr>
            </w:pPr>
            <w:r w:rsidRPr="00FC3000">
              <w:rPr>
                <w:rFonts w:eastAsia="Times New Roman"/>
                <w:color w:val="000000"/>
                <w:sz w:val="20"/>
                <w:szCs w:val="20"/>
                <w:lang w:eastAsia="en-US"/>
              </w:rPr>
              <w:t>To:</w:t>
            </w:r>
          </w:p>
        </w:tc>
        <w:tc>
          <w:tcPr>
            <w:tcW w:w="936" w:type="dxa"/>
            <w:shd w:val="clear" w:color="auto" w:fill="auto"/>
            <w:vAlign w:val="center"/>
            <w:hideMark/>
          </w:tcPr>
          <w:p w:rsidR="00FC3000" w:rsidRPr="00FC3000" w:rsidP="009B3C6A" w14:paraId="0B16EDC3" w14:textId="77777777">
            <w:pPr>
              <w:spacing w:after="0"/>
              <w:rPr>
                <w:rFonts w:eastAsia="Times New Roman"/>
                <w:color w:val="000000"/>
                <w:sz w:val="20"/>
                <w:szCs w:val="20"/>
                <w:lang w:eastAsia="en-US"/>
              </w:rPr>
            </w:pPr>
            <w:r w:rsidRPr="00FC3000">
              <w:rPr>
                <w:rFonts w:eastAsia="Times New Roman"/>
                <w:color w:val="000000"/>
                <w:sz w:val="20"/>
                <w:szCs w:val="20"/>
                <w:lang w:eastAsia="en-US"/>
              </w:rPr>
              <w:t> </w:t>
            </w:r>
          </w:p>
        </w:tc>
      </w:tr>
      <w:tr w14:paraId="1DDCEC9B" w14:textId="77777777" w:rsidTr="005C1A27">
        <w:tblPrEx>
          <w:tblW w:w="9371" w:type="dxa"/>
          <w:tblInd w:w="-10" w:type="dxa"/>
          <w:tblLook w:val="04A0"/>
        </w:tblPrEx>
        <w:trPr>
          <w:trHeight w:val="484"/>
        </w:trPr>
        <w:tc>
          <w:tcPr>
            <w:tcW w:w="1314" w:type="dxa"/>
            <w:vMerge/>
            <w:vAlign w:val="center"/>
            <w:hideMark/>
          </w:tcPr>
          <w:p w:rsidR="00FC3000" w:rsidRPr="00FC3000" w:rsidP="009B3C6A" w14:paraId="26D08C0C" w14:textId="77777777">
            <w:pPr>
              <w:spacing w:after="0"/>
              <w:rPr>
                <w:rFonts w:eastAsia="Times New Roman"/>
                <w:color w:val="000000"/>
                <w:sz w:val="20"/>
                <w:szCs w:val="20"/>
                <w:lang w:eastAsia="en-US"/>
              </w:rPr>
            </w:pPr>
          </w:p>
        </w:tc>
        <w:tc>
          <w:tcPr>
            <w:tcW w:w="1380" w:type="dxa"/>
            <w:vMerge w:val="restart"/>
            <w:shd w:val="clear" w:color="auto" w:fill="auto"/>
            <w:vAlign w:val="center"/>
            <w:hideMark/>
          </w:tcPr>
          <w:p w:rsidR="00FC3000" w:rsidRPr="00FC3000" w:rsidP="009B3C6A" w14:paraId="29997F81" w14:textId="77777777">
            <w:pPr>
              <w:spacing w:after="0"/>
              <w:rPr>
                <w:rFonts w:eastAsia="Times New Roman"/>
                <w:color w:val="000000"/>
                <w:sz w:val="20"/>
                <w:szCs w:val="20"/>
                <w:lang w:eastAsia="en-US"/>
              </w:rPr>
            </w:pPr>
            <w:r w:rsidRPr="00FC3000">
              <w:rPr>
                <w:rFonts w:eastAsia="Times New Roman"/>
                <w:color w:val="000000"/>
                <w:sz w:val="20"/>
                <w:szCs w:val="20"/>
                <w:lang w:eastAsia="en-US"/>
              </w:rPr>
              <w:t>Other Annualized Monetized $/year</w:t>
            </w:r>
          </w:p>
        </w:tc>
        <w:tc>
          <w:tcPr>
            <w:tcW w:w="1006" w:type="dxa"/>
            <w:shd w:val="clear" w:color="auto" w:fill="auto"/>
            <w:vAlign w:val="center"/>
            <w:hideMark/>
          </w:tcPr>
          <w:p w:rsidR="00FC3000" w:rsidRPr="00FC3000" w:rsidP="009B3C6A" w14:paraId="00BD34DC" w14:textId="77777777">
            <w:pPr>
              <w:spacing w:after="0"/>
              <w:rPr>
                <w:rFonts w:eastAsia="Times New Roman"/>
                <w:color w:val="000000"/>
                <w:sz w:val="20"/>
                <w:szCs w:val="20"/>
                <w:lang w:eastAsia="en-US"/>
              </w:rPr>
            </w:pPr>
            <w:r w:rsidRPr="00FC3000">
              <w:rPr>
                <w:rFonts w:eastAsia="Times New Roman"/>
                <w:color w:val="000000"/>
                <w:sz w:val="20"/>
                <w:szCs w:val="20"/>
                <w:lang w:eastAsia="en-US"/>
              </w:rPr>
              <w:t> </w:t>
            </w:r>
          </w:p>
        </w:tc>
        <w:tc>
          <w:tcPr>
            <w:tcW w:w="1006" w:type="dxa"/>
            <w:shd w:val="clear" w:color="auto" w:fill="auto"/>
            <w:vAlign w:val="center"/>
            <w:hideMark/>
          </w:tcPr>
          <w:p w:rsidR="00FC3000" w:rsidRPr="00FC3000" w:rsidP="009B3C6A" w14:paraId="75A189DA" w14:textId="77777777">
            <w:pPr>
              <w:spacing w:after="0"/>
              <w:rPr>
                <w:rFonts w:eastAsia="Times New Roman"/>
                <w:color w:val="000000"/>
                <w:sz w:val="20"/>
                <w:szCs w:val="20"/>
                <w:lang w:eastAsia="en-US"/>
              </w:rPr>
            </w:pPr>
            <w:r w:rsidRPr="00FC3000">
              <w:rPr>
                <w:rFonts w:eastAsia="Times New Roman"/>
                <w:color w:val="000000"/>
                <w:sz w:val="20"/>
                <w:szCs w:val="20"/>
                <w:lang w:eastAsia="en-US"/>
              </w:rPr>
              <w:t> </w:t>
            </w:r>
          </w:p>
        </w:tc>
        <w:tc>
          <w:tcPr>
            <w:tcW w:w="1009" w:type="dxa"/>
            <w:shd w:val="clear" w:color="auto" w:fill="auto"/>
            <w:vAlign w:val="center"/>
            <w:hideMark/>
          </w:tcPr>
          <w:p w:rsidR="00FC3000" w:rsidRPr="00FC3000" w:rsidP="009B3C6A" w14:paraId="5132574C" w14:textId="77777777">
            <w:pPr>
              <w:spacing w:after="0"/>
              <w:rPr>
                <w:rFonts w:eastAsia="Times New Roman"/>
                <w:color w:val="000000"/>
                <w:sz w:val="20"/>
                <w:szCs w:val="20"/>
                <w:lang w:eastAsia="en-US"/>
              </w:rPr>
            </w:pPr>
            <w:r w:rsidRPr="00FC3000">
              <w:rPr>
                <w:rFonts w:eastAsia="Times New Roman"/>
                <w:color w:val="000000"/>
                <w:sz w:val="20"/>
                <w:szCs w:val="20"/>
                <w:lang w:eastAsia="en-US"/>
              </w:rPr>
              <w:t> </w:t>
            </w:r>
          </w:p>
        </w:tc>
        <w:tc>
          <w:tcPr>
            <w:tcW w:w="805" w:type="dxa"/>
            <w:shd w:val="clear" w:color="auto" w:fill="auto"/>
            <w:vAlign w:val="center"/>
            <w:hideMark/>
          </w:tcPr>
          <w:p w:rsidR="00FC3000" w:rsidRPr="00FC3000" w:rsidP="009B3C6A" w14:paraId="134BE198" w14:textId="77777777">
            <w:pPr>
              <w:spacing w:after="0"/>
              <w:rPr>
                <w:rFonts w:eastAsia="Times New Roman"/>
                <w:color w:val="000000"/>
                <w:sz w:val="20"/>
                <w:szCs w:val="20"/>
                <w:lang w:eastAsia="en-US"/>
              </w:rPr>
            </w:pPr>
            <w:r w:rsidRPr="00FC3000">
              <w:rPr>
                <w:rFonts w:eastAsia="Times New Roman"/>
                <w:color w:val="000000"/>
                <w:sz w:val="20"/>
                <w:szCs w:val="20"/>
                <w:lang w:eastAsia="en-US"/>
              </w:rPr>
              <w:t> </w:t>
            </w:r>
          </w:p>
        </w:tc>
        <w:tc>
          <w:tcPr>
            <w:tcW w:w="939" w:type="dxa"/>
            <w:shd w:val="clear" w:color="auto" w:fill="auto"/>
            <w:vAlign w:val="center"/>
            <w:hideMark/>
          </w:tcPr>
          <w:p w:rsidR="00FC3000" w:rsidRPr="00FC3000" w:rsidP="009B3C6A" w14:paraId="611A35AB" w14:textId="77777777">
            <w:pPr>
              <w:spacing w:after="0"/>
              <w:rPr>
                <w:rFonts w:eastAsia="Times New Roman"/>
                <w:color w:val="000000"/>
                <w:sz w:val="20"/>
                <w:szCs w:val="20"/>
                <w:lang w:eastAsia="en-US"/>
              </w:rPr>
            </w:pPr>
            <w:r w:rsidRPr="00FC3000">
              <w:rPr>
                <w:rFonts w:eastAsia="Times New Roman"/>
                <w:color w:val="000000"/>
                <w:sz w:val="20"/>
                <w:szCs w:val="20"/>
                <w:lang w:eastAsia="en-US"/>
              </w:rPr>
              <w:t>7%</w:t>
            </w:r>
          </w:p>
        </w:tc>
        <w:tc>
          <w:tcPr>
            <w:tcW w:w="976" w:type="dxa"/>
            <w:shd w:val="clear" w:color="auto" w:fill="auto"/>
            <w:vAlign w:val="center"/>
            <w:hideMark/>
          </w:tcPr>
          <w:p w:rsidR="00FC3000" w:rsidRPr="00FC3000" w:rsidP="009B3C6A" w14:paraId="4589DCD4" w14:textId="77777777">
            <w:pPr>
              <w:spacing w:after="0"/>
              <w:rPr>
                <w:rFonts w:eastAsia="Times New Roman"/>
                <w:color w:val="000000"/>
                <w:sz w:val="20"/>
                <w:szCs w:val="20"/>
                <w:lang w:eastAsia="en-US"/>
              </w:rPr>
            </w:pPr>
            <w:r w:rsidRPr="00FC3000">
              <w:rPr>
                <w:rFonts w:eastAsia="Times New Roman"/>
                <w:color w:val="000000"/>
                <w:sz w:val="20"/>
                <w:szCs w:val="20"/>
                <w:lang w:eastAsia="en-US"/>
              </w:rPr>
              <w:t> </w:t>
            </w:r>
          </w:p>
        </w:tc>
        <w:tc>
          <w:tcPr>
            <w:tcW w:w="936" w:type="dxa"/>
            <w:shd w:val="clear" w:color="auto" w:fill="auto"/>
            <w:vAlign w:val="center"/>
            <w:hideMark/>
          </w:tcPr>
          <w:p w:rsidR="00FC3000" w:rsidRPr="00FC3000" w:rsidP="009B3C6A" w14:paraId="54E98695" w14:textId="77777777">
            <w:pPr>
              <w:spacing w:after="0"/>
              <w:rPr>
                <w:rFonts w:eastAsia="Times New Roman"/>
                <w:color w:val="000000"/>
                <w:sz w:val="20"/>
                <w:szCs w:val="20"/>
                <w:lang w:eastAsia="en-US"/>
              </w:rPr>
            </w:pPr>
            <w:r w:rsidRPr="00FC3000">
              <w:rPr>
                <w:rFonts w:eastAsia="Times New Roman"/>
                <w:color w:val="000000"/>
                <w:sz w:val="20"/>
                <w:szCs w:val="20"/>
                <w:lang w:eastAsia="en-US"/>
              </w:rPr>
              <w:t> </w:t>
            </w:r>
          </w:p>
        </w:tc>
      </w:tr>
      <w:tr w14:paraId="1C42EB6F" w14:textId="77777777" w:rsidTr="005C1A27">
        <w:tblPrEx>
          <w:tblW w:w="9371" w:type="dxa"/>
          <w:tblInd w:w="-10" w:type="dxa"/>
          <w:tblLook w:val="04A0"/>
        </w:tblPrEx>
        <w:trPr>
          <w:trHeight w:val="255"/>
        </w:trPr>
        <w:tc>
          <w:tcPr>
            <w:tcW w:w="1314" w:type="dxa"/>
            <w:vMerge/>
            <w:vAlign w:val="center"/>
            <w:hideMark/>
          </w:tcPr>
          <w:p w:rsidR="00FC3000" w:rsidRPr="00FC3000" w:rsidP="009B3C6A" w14:paraId="3F6DAE0E" w14:textId="77777777">
            <w:pPr>
              <w:spacing w:after="0"/>
              <w:rPr>
                <w:rFonts w:eastAsia="Times New Roman"/>
                <w:color w:val="000000"/>
                <w:sz w:val="20"/>
                <w:szCs w:val="20"/>
                <w:lang w:eastAsia="en-US"/>
              </w:rPr>
            </w:pPr>
          </w:p>
        </w:tc>
        <w:tc>
          <w:tcPr>
            <w:tcW w:w="1380" w:type="dxa"/>
            <w:vMerge/>
            <w:vAlign w:val="center"/>
            <w:hideMark/>
          </w:tcPr>
          <w:p w:rsidR="00FC3000" w:rsidRPr="00FC3000" w:rsidP="009B3C6A" w14:paraId="6DBB2E51" w14:textId="77777777">
            <w:pPr>
              <w:spacing w:after="0"/>
              <w:rPr>
                <w:rFonts w:eastAsia="Times New Roman"/>
                <w:color w:val="000000"/>
                <w:sz w:val="20"/>
                <w:szCs w:val="20"/>
                <w:lang w:eastAsia="en-US"/>
              </w:rPr>
            </w:pPr>
          </w:p>
        </w:tc>
        <w:tc>
          <w:tcPr>
            <w:tcW w:w="1006" w:type="dxa"/>
            <w:shd w:val="clear" w:color="auto" w:fill="auto"/>
            <w:vAlign w:val="center"/>
            <w:hideMark/>
          </w:tcPr>
          <w:p w:rsidR="00FC3000" w:rsidRPr="00FC3000" w:rsidP="009B3C6A" w14:paraId="40ECD475" w14:textId="77777777">
            <w:pPr>
              <w:spacing w:after="0"/>
              <w:rPr>
                <w:rFonts w:eastAsia="Times New Roman"/>
                <w:color w:val="000000"/>
                <w:sz w:val="20"/>
                <w:szCs w:val="20"/>
                <w:lang w:eastAsia="en-US"/>
              </w:rPr>
            </w:pPr>
            <w:r w:rsidRPr="00FC3000">
              <w:rPr>
                <w:rFonts w:eastAsia="Times New Roman"/>
                <w:color w:val="000000"/>
                <w:sz w:val="20"/>
                <w:szCs w:val="20"/>
                <w:lang w:eastAsia="en-US"/>
              </w:rPr>
              <w:t> </w:t>
            </w:r>
          </w:p>
        </w:tc>
        <w:tc>
          <w:tcPr>
            <w:tcW w:w="1006" w:type="dxa"/>
            <w:shd w:val="clear" w:color="auto" w:fill="auto"/>
            <w:vAlign w:val="center"/>
            <w:hideMark/>
          </w:tcPr>
          <w:p w:rsidR="00FC3000" w:rsidRPr="00FC3000" w:rsidP="009B3C6A" w14:paraId="589F703B" w14:textId="77777777">
            <w:pPr>
              <w:spacing w:after="0"/>
              <w:rPr>
                <w:rFonts w:eastAsia="Times New Roman"/>
                <w:color w:val="000000"/>
                <w:sz w:val="20"/>
                <w:szCs w:val="20"/>
                <w:lang w:eastAsia="en-US"/>
              </w:rPr>
            </w:pPr>
            <w:r w:rsidRPr="00FC3000">
              <w:rPr>
                <w:rFonts w:eastAsia="Times New Roman"/>
                <w:color w:val="000000"/>
                <w:sz w:val="20"/>
                <w:szCs w:val="20"/>
                <w:lang w:eastAsia="en-US"/>
              </w:rPr>
              <w:t> </w:t>
            </w:r>
          </w:p>
        </w:tc>
        <w:tc>
          <w:tcPr>
            <w:tcW w:w="1009" w:type="dxa"/>
            <w:shd w:val="clear" w:color="auto" w:fill="auto"/>
            <w:vAlign w:val="center"/>
            <w:hideMark/>
          </w:tcPr>
          <w:p w:rsidR="00FC3000" w:rsidRPr="00FC3000" w:rsidP="009B3C6A" w14:paraId="77A17E91" w14:textId="77777777">
            <w:pPr>
              <w:spacing w:after="0"/>
              <w:rPr>
                <w:rFonts w:eastAsia="Times New Roman"/>
                <w:color w:val="000000"/>
                <w:sz w:val="20"/>
                <w:szCs w:val="20"/>
                <w:lang w:eastAsia="en-US"/>
              </w:rPr>
            </w:pPr>
            <w:r w:rsidRPr="00FC3000">
              <w:rPr>
                <w:rFonts w:eastAsia="Times New Roman"/>
                <w:color w:val="000000"/>
                <w:sz w:val="20"/>
                <w:szCs w:val="20"/>
                <w:lang w:eastAsia="en-US"/>
              </w:rPr>
              <w:t> </w:t>
            </w:r>
          </w:p>
        </w:tc>
        <w:tc>
          <w:tcPr>
            <w:tcW w:w="805" w:type="dxa"/>
            <w:shd w:val="clear" w:color="auto" w:fill="auto"/>
            <w:vAlign w:val="center"/>
            <w:hideMark/>
          </w:tcPr>
          <w:p w:rsidR="00FC3000" w:rsidRPr="00FC3000" w:rsidP="009B3C6A" w14:paraId="0981798A" w14:textId="77777777">
            <w:pPr>
              <w:spacing w:after="0"/>
              <w:rPr>
                <w:rFonts w:eastAsia="Times New Roman"/>
                <w:color w:val="000000"/>
                <w:sz w:val="20"/>
                <w:szCs w:val="20"/>
                <w:lang w:eastAsia="en-US"/>
              </w:rPr>
            </w:pPr>
            <w:r w:rsidRPr="00FC3000">
              <w:rPr>
                <w:rFonts w:eastAsia="Times New Roman"/>
                <w:color w:val="000000"/>
                <w:sz w:val="20"/>
                <w:szCs w:val="20"/>
                <w:lang w:eastAsia="en-US"/>
              </w:rPr>
              <w:t> </w:t>
            </w:r>
          </w:p>
        </w:tc>
        <w:tc>
          <w:tcPr>
            <w:tcW w:w="939" w:type="dxa"/>
            <w:shd w:val="clear" w:color="auto" w:fill="auto"/>
            <w:vAlign w:val="center"/>
            <w:hideMark/>
          </w:tcPr>
          <w:p w:rsidR="00FC3000" w:rsidRPr="00FC3000" w:rsidP="009B3C6A" w14:paraId="47205629" w14:textId="77777777">
            <w:pPr>
              <w:spacing w:after="0"/>
              <w:rPr>
                <w:rFonts w:eastAsia="Times New Roman"/>
                <w:color w:val="000000"/>
                <w:sz w:val="20"/>
                <w:szCs w:val="20"/>
                <w:lang w:eastAsia="en-US"/>
              </w:rPr>
            </w:pPr>
            <w:r w:rsidRPr="00FC3000">
              <w:rPr>
                <w:rFonts w:eastAsia="Times New Roman"/>
                <w:color w:val="000000"/>
                <w:sz w:val="20"/>
                <w:szCs w:val="20"/>
                <w:lang w:eastAsia="en-US"/>
              </w:rPr>
              <w:t>3%</w:t>
            </w:r>
          </w:p>
        </w:tc>
        <w:tc>
          <w:tcPr>
            <w:tcW w:w="976" w:type="dxa"/>
            <w:shd w:val="clear" w:color="auto" w:fill="auto"/>
            <w:vAlign w:val="center"/>
            <w:hideMark/>
          </w:tcPr>
          <w:p w:rsidR="00FC3000" w:rsidRPr="00FC3000" w:rsidP="009B3C6A" w14:paraId="3E96311F" w14:textId="77777777">
            <w:pPr>
              <w:spacing w:after="0"/>
              <w:rPr>
                <w:rFonts w:eastAsia="Times New Roman"/>
                <w:color w:val="000000"/>
                <w:sz w:val="20"/>
                <w:szCs w:val="20"/>
                <w:lang w:eastAsia="en-US"/>
              </w:rPr>
            </w:pPr>
            <w:r w:rsidRPr="00FC3000">
              <w:rPr>
                <w:rFonts w:eastAsia="Times New Roman"/>
                <w:color w:val="000000"/>
                <w:sz w:val="20"/>
                <w:szCs w:val="20"/>
                <w:lang w:eastAsia="en-US"/>
              </w:rPr>
              <w:t> </w:t>
            </w:r>
          </w:p>
        </w:tc>
        <w:tc>
          <w:tcPr>
            <w:tcW w:w="936" w:type="dxa"/>
            <w:shd w:val="clear" w:color="auto" w:fill="auto"/>
            <w:vAlign w:val="center"/>
            <w:hideMark/>
          </w:tcPr>
          <w:p w:rsidR="00FC3000" w:rsidRPr="00FC3000" w:rsidP="009B3C6A" w14:paraId="22E73E04" w14:textId="77777777">
            <w:pPr>
              <w:spacing w:after="0"/>
              <w:rPr>
                <w:rFonts w:eastAsia="Times New Roman"/>
                <w:color w:val="000000"/>
                <w:sz w:val="20"/>
                <w:szCs w:val="20"/>
                <w:lang w:eastAsia="en-US"/>
              </w:rPr>
            </w:pPr>
            <w:r w:rsidRPr="00FC3000">
              <w:rPr>
                <w:rFonts w:eastAsia="Times New Roman"/>
                <w:color w:val="000000"/>
                <w:sz w:val="20"/>
                <w:szCs w:val="20"/>
                <w:lang w:eastAsia="en-US"/>
              </w:rPr>
              <w:t> </w:t>
            </w:r>
          </w:p>
        </w:tc>
      </w:tr>
      <w:tr w14:paraId="2EE273FF" w14:textId="77777777" w:rsidTr="005C1A27">
        <w:tblPrEx>
          <w:tblW w:w="9371" w:type="dxa"/>
          <w:tblInd w:w="-10" w:type="dxa"/>
          <w:tblLook w:val="04A0"/>
        </w:tblPrEx>
        <w:trPr>
          <w:trHeight w:val="255"/>
        </w:trPr>
        <w:tc>
          <w:tcPr>
            <w:tcW w:w="1314" w:type="dxa"/>
            <w:vMerge/>
            <w:vAlign w:val="center"/>
            <w:hideMark/>
          </w:tcPr>
          <w:p w:rsidR="00FC3000" w:rsidRPr="00FC3000" w:rsidP="009B3C6A" w14:paraId="4E4EBBD8" w14:textId="77777777">
            <w:pPr>
              <w:spacing w:after="0"/>
              <w:rPr>
                <w:rFonts w:eastAsia="Times New Roman"/>
                <w:color w:val="000000"/>
                <w:sz w:val="20"/>
                <w:szCs w:val="20"/>
                <w:lang w:eastAsia="en-US"/>
              </w:rPr>
            </w:pPr>
          </w:p>
        </w:tc>
        <w:tc>
          <w:tcPr>
            <w:tcW w:w="1380" w:type="dxa"/>
            <w:shd w:val="clear" w:color="auto" w:fill="auto"/>
            <w:vAlign w:val="center"/>
            <w:hideMark/>
          </w:tcPr>
          <w:p w:rsidR="00FC3000" w:rsidRPr="00FC3000" w:rsidP="009B3C6A" w14:paraId="3D8921FD" w14:textId="77777777">
            <w:pPr>
              <w:spacing w:after="0"/>
              <w:rPr>
                <w:rFonts w:eastAsia="Times New Roman"/>
                <w:color w:val="000000"/>
                <w:sz w:val="20"/>
                <w:szCs w:val="20"/>
                <w:lang w:eastAsia="en-US"/>
              </w:rPr>
            </w:pPr>
            <w:r w:rsidRPr="00FC3000">
              <w:rPr>
                <w:rFonts w:eastAsia="Times New Roman"/>
                <w:color w:val="000000"/>
                <w:sz w:val="20"/>
                <w:szCs w:val="20"/>
                <w:lang w:eastAsia="en-US"/>
              </w:rPr>
              <w:t>From/To</w:t>
            </w:r>
          </w:p>
        </w:tc>
        <w:tc>
          <w:tcPr>
            <w:tcW w:w="3021" w:type="dxa"/>
            <w:gridSpan w:val="3"/>
            <w:shd w:val="clear" w:color="auto" w:fill="auto"/>
            <w:vAlign w:val="center"/>
            <w:hideMark/>
          </w:tcPr>
          <w:p w:rsidR="00FC3000" w:rsidRPr="00FC3000" w:rsidP="009B3C6A" w14:paraId="50E9BC8D" w14:textId="77777777">
            <w:pPr>
              <w:spacing w:after="0"/>
              <w:rPr>
                <w:rFonts w:eastAsia="Times New Roman"/>
                <w:color w:val="000000"/>
                <w:sz w:val="20"/>
                <w:szCs w:val="20"/>
                <w:lang w:eastAsia="en-US"/>
              </w:rPr>
            </w:pPr>
            <w:r w:rsidRPr="00FC3000">
              <w:rPr>
                <w:rFonts w:eastAsia="Times New Roman"/>
                <w:color w:val="000000"/>
                <w:sz w:val="20"/>
                <w:szCs w:val="20"/>
                <w:lang w:eastAsia="en-US"/>
              </w:rPr>
              <w:t>From:</w:t>
            </w:r>
          </w:p>
        </w:tc>
        <w:tc>
          <w:tcPr>
            <w:tcW w:w="2720" w:type="dxa"/>
            <w:gridSpan w:val="3"/>
            <w:shd w:val="clear" w:color="auto" w:fill="auto"/>
            <w:vAlign w:val="center"/>
            <w:hideMark/>
          </w:tcPr>
          <w:p w:rsidR="00FC3000" w:rsidRPr="00FC3000" w:rsidP="009B3C6A" w14:paraId="31F35EAA" w14:textId="77777777">
            <w:pPr>
              <w:spacing w:after="0"/>
              <w:rPr>
                <w:rFonts w:eastAsia="Times New Roman"/>
                <w:color w:val="000000"/>
                <w:sz w:val="20"/>
                <w:szCs w:val="20"/>
                <w:lang w:eastAsia="en-US"/>
              </w:rPr>
            </w:pPr>
            <w:r w:rsidRPr="00FC3000">
              <w:rPr>
                <w:rFonts w:eastAsia="Times New Roman"/>
                <w:color w:val="000000"/>
                <w:sz w:val="20"/>
                <w:szCs w:val="20"/>
                <w:lang w:eastAsia="en-US"/>
              </w:rPr>
              <w:t>To:</w:t>
            </w:r>
          </w:p>
        </w:tc>
        <w:tc>
          <w:tcPr>
            <w:tcW w:w="936" w:type="dxa"/>
            <w:shd w:val="clear" w:color="auto" w:fill="auto"/>
            <w:vAlign w:val="center"/>
            <w:hideMark/>
          </w:tcPr>
          <w:p w:rsidR="00FC3000" w:rsidRPr="00FC3000" w:rsidP="009B3C6A" w14:paraId="608379BF" w14:textId="77777777">
            <w:pPr>
              <w:spacing w:after="0"/>
              <w:rPr>
                <w:rFonts w:eastAsia="Times New Roman"/>
                <w:color w:val="000000"/>
                <w:sz w:val="20"/>
                <w:szCs w:val="20"/>
                <w:lang w:eastAsia="en-US"/>
              </w:rPr>
            </w:pPr>
            <w:r w:rsidRPr="00FC3000">
              <w:rPr>
                <w:rFonts w:eastAsia="Times New Roman"/>
                <w:color w:val="000000"/>
                <w:sz w:val="20"/>
                <w:szCs w:val="20"/>
                <w:lang w:eastAsia="en-US"/>
              </w:rPr>
              <w:t> </w:t>
            </w:r>
          </w:p>
        </w:tc>
      </w:tr>
      <w:tr w14:paraId="3678D259" w14:textId="77777777" w:rsidTr="005C1A27">
        <w:tblPrEx>
          <w:tblW w:w="9371" w:type="dxa"/>
          <w:tblInd w:w="-10" w:type="dxa"/>
          <w:tblLook w:val="04A0"/>
        </w:tblPrEx>
        <w:trPr>
          <w:trHeight w:val="255"/>
        </w:trPr>
        <w:tc>
          <w:tcPr>
            <w:tcW w:w="1314" w:type="dxa"/>
            <w:vMerge w:val="restart"/>
            <w:shd w:val="clear" w:color="auto" w:fill="auto"/>
            <w:vAlign w:val="center"/>
            <w:hideMark/>
          </w:tcPr>
          <w:p w:rsidR="00FC3000" w:rsidRPr="00FC3000" w:rsidP="009B3C6A" w14:paraId="4088CEC9" w14:textId="77777777">
            <w:pPr>
              <w:spacing w:after="0"/>
              <w:rPr>
                <w:rFonts w:eastAsia="Times New Roman"/>
                <w:color w:val="000000"/>
                <w:sz w:val="20"/>
                <w:szCs w:val="20"/>
                <w:lang w:eastAsia="en-US"/>
              </w:rPr>
            </w:pPr>
            <w:r w:rsidRPr="00FC3000">
              <w:rPr>
                <w:rFonts w:eastAsia="Times New Roman"/>
                <w:color w:val="000000"/>
                <w:sz w:val="20"/>
                <w:szCs w:val="20"/>
                <w:lang w:eastAsia="en-US"/>
              </w:rPr>
              <w:t>Effects</w:t>
            </w:r>
          </w:p>
        </w:tc>
        <w:tc>
          <w:tcPr>
            <w:tcW w:w="8057" w:type="dxa"/>
            <w:gridSpan w:val="8"/>
            <w:shd w:val="clear" w:color="auto" w:fill="auto"/>
            <w:vAlign w:val="center"/>
            <w:hideMark/>
          </w:tcPr>
          <w:p w:rsidR="00FC3000" w:rsidRPr="00FC3000" w:rsidP="009B3C6A" w14:paraId="5B71C3FE" w14:textId="77777777">
            <w:pPr>
              <w:spacing w:after="0"/>
              <w:rPr>
                <w:rFonts w:eastAsia="Times New Roman"/>
                <w:color w:val="000000"/>
                <w:sz w:val="20"/>
                <w:szCs w:val="20"/>
                <w:lang w:eastAsia="en-US"/>
              </w:rPr>
            </w:pPr>
            <w:r w:rsidRPr="00FC3000">
              <w:rPr>
                <w:rFonts w:eastAsia="Times New Roman"/>
                <w:color w:val="000000"/>
                <w:sz w:val="20"/>
                <w:szCs w:val="20"/>
                <w:lang w:eastAsia="en-US"/>
              </w:rPr>
              <w:t xml:space="preserve">State, Local or Tribal Government: </w:t>
            </w:r>
          </w:p>
        </w:tc>
      </w:tr>
      <w:tr w14:paraId="3ADEB7CE" w14:textId="77777777" w:rsidTr="005C1A27">
        <w:tblPrEx>
          <w:tblW w:w="9371" w:type="dxa"/>
          <w:tblInd w:w="-10" w:type="dxa"/>
          <w:tblLook w:val="04A0"/>
        </w:tblPrEx>
        <w:trPr>
          <w:trHeight w:val="255"/>
        </w:trPr>
        <w:tc>
          <w:tcPr>
            <w:tcW w:w="1314" w:type="dxa"/>
            <w:vMerge/>
            <w:vAlign w:val="center"/>
            <w:hideMark/>
          </w:tcPr>
          <w:p w:rsidR="00FC3000" w:rsidRPr="00FC3000" w:rsidP="009B3C6A" w14:paraId="542A6976" w14:textId="77777777">
            <w:pPr>
              <w:spacing w:after="0"/>
              <w:rPr>
                <w:rFonts w:eastAsia="Times New Roman"/>
                <w:color w:val="000000"/>
                <w:sz w:val="20"/>
                <w:szCs w:val="20"/>
                <w:lang w:eastAsia="en-US"/>
              </w:rPr>
            </w:pPr>
          </w:p>
        </w:tc>
        <w:tc>
          <w:tcPr>
            <w:tcW w:w="8057" w:type="dxa"/>
            <w:gridSpan w:val="8"/>
            <w:shd w:val="clear" w:color="auto" w:fill="auto"/>
            <w:vAlign w:val="center"/>
            <w:hideMark/>
          </w:tcPr>
          <w:p w:rsidR="00FC3000" w:rsidRPr="00FC3000" w:rsidP="009B3C6A" w14:paraId="7A1CB87E" w14:textId="77777777">
            <w:pPr>
              <w:spacing w:after="0"/>
              <w:rPr>
                <w:rFonts w:eastAsia="Times New Roman"/>
                <w:color w:val="000000"/>
                <w:sz w:val="20"/>
                <w:szCs w:val="20"/>
                <w:lang w:eastAsia="en-US"/>
              </w:rPr>
            </w:pPr>
            <w:r w:rsidRPr="00FC3000">
              <w:rPr>
                <w:rFonts w:eastAsia="Times New Roman"/>
                <w:color w:val="000000"/>
                <w:sz w:val="20"/>
                <w:szCs w:val="20"/>
                <w:lang w:eastAsia="en-US"/>
              </w:rPr>
              <w:t xml:space="preserve">Small Business: </w:t>
            </w:r>
          </w:p>
        </w:tc>
      </w:tr>
      <w:tr w14:paraId="7BC7EB61" w14:textId="77777777" w:rsidTr="005C1A27">
        <w:tblPrEx>
          <w:tblW w:w="9371" w:type="dxa"/>
          <w:tblInd w:w="-10" w:type="dxa"/>
          <w:tblLook w:val="04A0"/>
        </w:tblPrEx>
        <w:trPr>
          <w:trHeight w:val="255"/>
        </w:trPr>
        <w:tc>
          <w:tcPr>
            <w:tcW w:w="1314" w:type="dxa"/>
            <w:vMerge/>
            <w:vAlign w:val="center"/>
            <w:hideMark/>
          </w:tcPr>
          <w:p w:rsidR="00FC3000" w:rsidRPr="00FC3000" w:rsidP="009B3C6A" w14:paraId="0D3E2165" w14:textId="77777777">
            <w:pPr>
              <w:spacing w:after="0"/>
              <w:rPr>
                <w:rFonts w:eastAsia="Times New Roman"/>
                <w:color w:val="000000"/>
                <w:sz w:val="20"/>
                <w:szCs w:val="20"/>
                <w:lang w:eastAsia="en-US"/>
              </w:rPr>
            </w:pPr>
          </w:p>
        </w:tc>
        <w:tc>
          <w:tcPr>
            <w:tcW w:w="8057" w:type="dxa"/>
            <w:gridSpan w:val="8"/>
            <w:shd w:val="clear" w:color="auto" w:fill="auto"/>
            <w:vAlign w:val="center"/>
            <w:hideMark/>
          </w:tcPr>
          <w:p w:rsidR="00FC3000" w:rsidRPr="00FC3000" w:rsidP="009B3C6A" w14:paraId="2393E514" w14:textId="77777777">
            <w:pPr>
              <w:spacing w:after="0"/>
              <w:rPr>
                <w:rFonts w:eastAsia="Times New Roman"/>
                <w:color w:val="000000"/>
                <w:sz w:val="20"/>
                <w:szCs w:val="20"/>
                <w:lang w:eastAsia="en-US"/>
              </w:rPr>
            </w:pPr>
            <w:r w:rsidRPr="00FC3000">
              <w:rPr>
                <w:rFonts w:eastAsia="Times New Roman"/>
                <w:color w:val="000000"/>
                <w:sz w:val="20"/>
                <w:szCs w:val="20"/>
                <w:lang w:eastAsia="en-US"/>
              </w:rPr>
              <w:t xml:space="preserve">Wages: </w:t>
            </w:r>
          </w:p>
        </w:tc>
      </w:tr>
      <w:tr w14:paraId="590312FE" w14:textId="77777777" w:rsidTr="005C1A27">
        <w:tblPrEx>
          <w:tblW w:w="9371" w:type="dxa"/>
          <w:tblInd w:w="-10" w:type="dxa"/>
          <w:tblLook w:val="04A0"/>
        </w:tblPrEx>
        <w:trPr>
          <w:trHeight w:val="265"/>
        </w:trPr>
        <w:tc>
          <w:tcPr>
            <w:tcW w:w="1314" w:type="dxa"/>
            <w:vMerge/>
            <w:vAlign w:val="center"/>
            <w:hideMark/>
          </w:tcPr>
          <w:p w:rsidR="00FC3000" w:rsidRPr="00FC3000" w:rsidP="009B3C6A" w14:paraId="3F9DF481" w14:textId="77777777">
            <w:pPr>
              <w:spacing w:after="0"/>
              <w:rPr>
                <w:rFonts w:eastAsia="Times New Roman"/>
                <w:color w:val="000000"/>
                <w:sz w:val="20"/>
                <w:szCs w:val="20"/>
                <w:lang w:eastAsia="en-US"/>
              </w:rPr>
            </w:pPr>
          </w:p>
        </w:tc>
        <w:tc>
          <w:tcPr>
            <w:tcW w:w="8057" w:type="dxa"/>
            <w:gridSpan w:val="8"/>
            <w:shd w:val="clear" w:color="auto" w:fill="auto"/>
            <w:vAlign w:val="center"/>
            <w:hideMark/>
          </w:tcPr>
          <w:p w:rsidR="00FC3000" w:rsidRPr="00FC3000" w:rsidP="009B3C6A" w14:paraId="29B9D3E7" w14:textId="77777777">
            <w:pPr>
              <w:spacing w:after="0"/>
              <w:rPr>
                <w:rFonts w:eastAsia="Times New Roman"/>
                <w:color w:val="000000"/>
                <w:sz w:val="20"/>
                <w:szCs w:val="20"/>
                <w:lang w:eastAsia="en-US"/>
              </w:rPr>
            </w:pPr>
            <w:r w:rsidRPr="00FC3000">
              <w:rPr>
                <w:rFonts w:eastAsia="Times New Roman"/>
                <w:color w:val="000000"/>
                <w:sz w:val="20"/>
                <w:szCs w:val="20"/>
                <w:lang w:eastAsia="en-US"/>
              </w:rPr>
              <w:t xml:space="preserve">Growth: </w:t>
            </w:r>
          </w:p>
        </w:tc>
      </w:tr>
    </w:tbl>
    <w:p w:rsidR="00333E1C" w:rsidP="00F96351" w14:paraId="65FC7E73" w14:textId="2B40C788">
      <w:pPr>
        <w:spacing w:line="480" w:lineRule="auto"/>
        <w:ind w:firstLine="720"/>
      </w:pPr>
    </w:p>
    <w:p w:rsidR="005A1352" w:rsidRPr="009B3C6A" w:rsidP="009B3C6A" w14:paraId="6F337E4D" w14:textId="02315FC4">
      <w:pPr>
        <w:pStyle w:val="Style2"/>
      </w:pPr>
      <w:bookmarkStart w:id="11" w:name="_Toc67317978"/>
      <w:bookmarkStart w:id="12" w:name="_Toc75273092"/>
      <w:bookmarkStart w:id="13" w:name="_Toc75273120"/>
      <w:r w:rsidRPr="009B3C6A">
        <w:t>C. Comments on the Preliminary Economic Analysis of Impacts and Our Responses</w:t>
      </w:r>
      <w:bookmarkEnd w:id="11"/>
      <w:bookmarkEnd w:id="12"/>
      <w:bookmarkEnd w:id="13"/>
    </w:p>
    <w:p w:rsidR="005A1352" w:rsidP="005A1352" w14:paraId="3B33935B" w14:textId="6977B4A5">
      <w:r>
        <w:t>FDA received less than 50 comments to the proposed rule from healthcare professionals, patient advocacy groups, regulated industry, scientific and academic experts, and private citizens. These comments and FDA’s responses are summarized in the preamble to the final rule; there were no comments relating to the proposed regulatory impact analysis.</w:t>
      </w:r>
    </w:p>
    <w:p w:rsidR="005A1352" w:rsidRPr="009B3C6A" w:rsidP="009B3C6A" w14:paraId="3E748A64" w14:textId="77777777">
      <w:pPr>
        <w:pStyle w:val="Style2"/>
      </w:pPr>
      <w:bookmarkStart w:id="14" w:name="_Toc67317979"/>
      <w:bookmarkStart w:id="15" w:name="_Toc75273093"/>
      <w:bookmarkStart w:id="16" w:name="_Toc75273121"/>
      <w:r w:rsidRPr="009B3C6A">
        <w:t>D. Summary of Changes</w:t>
      </w:r>
      <w:bookmarkEnd w:id="14"/>
      <w:bookmarkEnd w:id="15"/>
      <w:bookmarkEnd w:id="16"/>
    </w:p>
    <w:p w:rsidR="005A1352" w:rsidP="009B229E" w14:paraId="7B822A00" w14:textId="0F1494EC">
      <w:r>
        <w:t xml:space="preserve">Compared to the preliminary regulatory impact analysis, this analysis utilizes more recent wage data from 2020. </w:t>
      </w:r>
      <w:r w:rsidR="009B229E">
        <w:t xml:space="preserve">For clarity, </w:t>
      </w:r>
      <w:r>
        <w:t xml:space="preserve">a summary table of total costs has been added to </w:t>
      </w:r>
      <w:r w:rsidR="009B229E">
        <w:t xml:space="preserve">Section F. Costs of the Rule. </w:t>
      </w:r>
    </w:p>
    <w:p w:rsidR="005A1352" w:rsidRPr="005A1352" w:rsidP="005A1352" w14:paraId="136B7081" w14:textId="77777777"/>
    <w:p w:rsidR="009B229E" w14:paraId="14755762" w14:textId="77777777">
      <w:pPr>
        <w:rPr>
          <w:rFonts w:eastAsiaTheme="majorEastAsia" w:cstheme="majorBidi"/>
          <w:b/>
          <w:szCs w:val="32"/>
          <w:u w:val="single"/>
        </w:rPr>
      </w:pPr>
      <w:bookmarkStart w:id="17" w:name="_Toc10474461"/>
      <w:bookmarkStart w:id="18" w:name="_Toc75273094"/>
      <w:bookmarkStart w:id="19" w:name="_Toc75273122"/>
      <w:r>
        <w:br w:type="page"/>
      </w:r>
    </w:p>
    <w:p w:rsidR="00823403" w:rsidRPr="007447CB" w:rsidP="007447CB" w14:paraId="24F528BA" w14:textId="01E39FC7">
      <w:pPr>
        <w:pStyle w:val="Style1"/>
      </w:pPr>
      <w:r w:rsidRPr="007447CB">
        <w:t xml:space="preserve">II. </w:t>
      </w:r>
      <w:r w:rsidR="00BF3D30">
        <w:t>Final</w:t>
      </w:r>
      <w:r w:rsidRPr="007447CB">
        <w:t xml:space="preserve"> </w:t>
      </w:r>
      <w:r w:rsidR="007E1144">
        <w:t>Economic Analysis of Impacts</w:t>
      </w:r>
      <w:bookmarkEnd w:id="17"/>
      <w:bookmarkEnd w:id="18"/>
      <w:bookmarkEnd w:id="19"/>
    </w:p>
    <w:p w:rsidR="00571DF3" w:rsidRPr="009B3C6A" w:rsidP="009B3C6A" w14:paraId="6C2827EE" w14:textId="77777777">
      <w:pPr>
        <w:pStyle w:val="Style2"/>
      </w:pPr>
      <w:bookmarkStart w:id="20" w:name="_Toc10474462"/>
      <w:bookmarkStart w:id="21" w:name="_Toc75273095"/>
      <w:bookmarkStart w:id="22" w:name="_Toc75273123"/>
      <w:r w:rsidRPr="009B3C6A">
        <w:t>A. Background</w:t>
      </w:r>
      <w:bookmarkEnd w:id="20"/>
      <w:bookmarkEnd w:id="21"/>
      <w:bookmarkEnd w:id="22"/>
      <w:r w:rsidRPr="009B3C6A">
        <w:t xml:space="preserve"> </w:t>
      </w:r>
    </w:p>
    <w:p w:rsidR="008E5CFC" w:rsidP="009B3C6A" w14:paraId="5B90D6C9" w14:textId="32D345ED">
      <w:r>
        <w:t>The Right to Try Act was signed into law in May 201</w:t>
      </w:r>
      <w:r w:rsidR="00485ADD">
        <w:t>8</w:t>
      </w:r>
      <w:r>
        <w:t xml:space="preserve">, creating section 561B of the Federal Food, Drug, and Cosmetic (FD&amp;C) Act. </w:t>
      </w:r>
      <w:r w:rsidRPr="002D374F" w:rsidR="002D374F">
        <w:t xml:space="preserve">This new law amends the </w:t>
      </w:r>
      <w:r>
        <w:t xml:space="preserve">FD&amp;C Act </w:t>
      </w:r>
      <w:r w:rsidR="00F475DC">
        <w:rPr>
          <w:rFonts w:eastAsia="Times New Roman"/>
        </w:rPr>
        <w:t xml:space="preserve">to </w:t>
      </w:r>
      <w:r w:rsidRPr="00245989" w:rsidR="00F475DC">
        <w:rPr>
          <w:rFonts w:eastAsia="Times New Roman"/>
        </w:rPr>
        <w:t>establish a</w:t>
      </w:r>
      <w:r w:rsidR="00F475DC">
        <w:rPr>
          <w:rFonts w:eastAsia="Times New Roman"/>
        </w:rPr>
        <w:t>n option</w:t>
      </w:r>
      <w:r w:rsidRPr="00245989" w:rsidR="00F475DC">
        <w:rPr>
          <w:rFonts w:eastAsia="Times New Roman"/>
        </w:rPr>
        <w:t xml:space="preserve"> for patients who meet certain criteria to request </w:t>
      </w:r>
      <w:r w:rsidRPr="001533CE" w:rsidR="00F475DC">
        <w:rPr>
          <w:rFonts w:eastAsia="Times New Roman"/>
        </w:rPr>
        <w:t>access to certain unapproved medical products</w:t>
      </w:r>
      <w:r w:rsidR="00587231">
        <w:rPr>
          <w:rFonts w:eastAsia="Times New Roman"/>
        </w:rPr>
        <w:t>, and for sponsors and manufacturers who agree to provide certain unapproved medical products</w:t>
      </w:r>
      <w:r w:rsidRPr="001533CE" w:rsidR="00F475DC">
        <w:rPr>
          <w:rFonts w:eastAsia="Times New Roman"/>
        </w:rPr>
        <w:t xml:space="preserve"> other than through FDA’s expanded access program</w:t>
      </w:r>
      <w:r w:rsidR="00F475DC">
        <w:rPr>
          <w:rFonts w:eastAsia="Times New Roman"/>
        </w:rPr>
        <w:t>.</w:t>
      </w:r>
      <w:r w:rsidRPr="002D374F" w:rsidR="002D374F">
        <w:t xml:space="preserve"> </w:t>
      </w:r>
      <w:r w:rsidR="00F475DC">
        <w:t xml:space="preserve">The law </w:t>
      </w:r>
      <w:r w:rsidRPr="002D374F" w:rsidR="00F475DC">
        <w:t>establish</w:t>
      </w:r>
      <w:r w:rsidR="00F475DC">
        <w:t>es</w:t>
      </w:r>
      <w:r w:rsidRPr="002D374F" w:rsidR="00F475DC">
        <w:t xml:space="preserve"> a new pathway</w:t>
      </w:r>
      <w:r w:rsidRPr="00F475DC" w:rsidR="00F475DC">
        <w:rPr>
          <w:rFonts w:eastAsia="Times New Roman"/>
        </w:rPr>
        <w:t xml:space="preserve"> </w:t>
      </w:r>
      <w:r w:rsidR="00F475DC">
        <w:rPr>
          <w:rFonts w:eastAsia="Times New Roman"/>
        </w:rPr>
        <w:t>for</w:t>
      </w:r>
      <w:r w:rsidRPr="00245989" w:rsidR="00F475DC">
        <w:rPr>
          <w:rFonts w:eastAsia="Times New Roman"/>
        </w:rPr>
        <w:t xml:space="preserve"> </w:t>
      </w:r>
      <w:r w:rsidRPr="001533CE" w:rsidR="00F475DC">
        <w:rPr>
          <w:rFonts w:eastAsia="Times New Roman"/>
        </w:rPr>
        <w:t xml:space="preserve">patients to request, and manufacturers </w:t>
      </w:r>
      <w:r w:rsidR="00742067">
        <w:rPr>
          <w:rFonts w:eastAsia="Times New Roman"/>
        </w:rPr>
        <w:t xml:space="preserve">or sponsors </w:t>
      </w:r>
      <w:r w:rsidRPr="001533CE" w:rsidR="00F475DC">
        <w:rPr>
          <w:rFonts w:eastAsia="Times New Roman"/>
        </w:rPr>
        <w:t xml:space="preserve">to </w:t>
      </w:r>
      <w:r w:rsidR="00F475DC">
        <w:rPr>
          <w:rFonts w:eastAsia="Times New Roman"/>
        </w:rPr>
        <w:t xml:space="preserve">choose to </w:t>
      </w:r>
      <w:r w:rsidRPr="001533CE" w:rsidR="00F475DC">
        <w:rPr>
          <w:rFonts w:eastAsia="Times New Roman"/>
        </w:rPr>
        <w:t xml:space="preserve">provide, access to </w:t>
      </w:r>
      <w:r w:rsidRPr="006027EB" w:rsidR="00F475DC">
        <w:rPr>
          <w:rFonts w:eastAsia="Times New Roman"/>
        </w:rPr>
        <w:t>certain</w:t>
      </w:r>
      <w:r w:rsidRPr="002D374F" w:rsidR="00F475DC">
        <w:t xml:space="preserve"> </w:t>
      </w:r>
      <w:r w:rsidRPr="002D374F" w:rsidR="002D374F">
        <w:t>unapproved, investigational treatments for patients diagnosed with life-threatening diseases or conditions who have exhausted approved treatment options and who are unable to participate in a clinical trial</w:t>
      </w:r>
      <w:r w:rsidR="00ED3FA0">
        <w:t xml:space="preserve"> involving the investigational drug</w:t>
      </w:r>
      <w:r w:rsidRPr="002D374F" w:rsidR="002D374F">
        <w:t>.</w:t>
      </w:r>
      <w:r>
        <w:t xml:space="preserve"> </w:t>
      </w:r>
      <w:r w:rsidR="00947B3D">
        <w:t xml:space="preserve">The </w:t>
      </w:r>
      <w:r w:rsidR="007528C4">
        <w:t>Right to Try</w:t>
      </w:r>
      <w:r w:rsidR="00D10057">
        <w:t xml:space="preserve"> Act</w:t>
      </w:r>
      <w:r w:rsidR="006E4D0C">
        <w:t xml:space="preserve"> is designed to facilitate </w:t>
      </w:r>
      <w:r w:rsidR="00ED3FA0">
        <w:t xml:space="preserve">patients’ </w:t>
      </w:r>
      <w:r w:rsidR="006E4D0C">
        <w:t xml:space="preserve">access to certain investigational drugs </w:t>
      </w:r>
      <w:r w:rsidR="00ED3FA0">
        <w:t xml:space="preserve">from manufacturers and sponsors who may choose to provide such drugs </w:t>
      </w:r>
      <w:r w:rsidR="006E4D0C">
        <w:t xml:space="preserve">– </w:t>
      </w:r>
      <w:r w:rsidR="00ED3FA0">
        <w:t xml:space="preserve">a process in which </w:t>
      </w:r>
      <w:r w:rsidR="006E4D0C">
        <w:t>FDA is not involved.</w:t>
      </w:r>
    </w:p>
    <w:p w:rsidR="00425566" w:rsidP="009B3C6A" w14:paraId="5E8CCAA3" w14:textId="52C39026">
      <w:r>
        <w:t>M</w:t>
      </w:r>
      <w:r w:rsidR="00047E23">
        <w:t>anufacturers</w:t>
      </w:r>
      <w:r>
        <w:t xml:space="preserve"> or sponsors</w:t>
      </w:r>
      <w:r w:rsidR="00047E23">
        <w:t xml:space="preserve"> who provide their </w:t>
      </w:r>
      <w:r w:rsidR="00ED3FA0">
        <w:t xml:space="preserve">investigational </w:t>
      </w:r>
      <w:r w:rsidR="00047E23">
        <w:t xml:space="preserve">drug under the </w:t>
      </w:r>
      <w:r w:rsidR="007528C4">
        <w:t xml:space="preserve">Right to Try </w:t>
      </w:r>
      <w:r w:rsidR="004E46A4">
        <w:t xml:space="preserve">Act </w:t>
      </w:r>
      <w:r w:rsidR="00047E23">
        <w:t xml:space="preserve">are required to submit </w:t>
      </w:r>
      <w:r w:rsidR="00ED3FA0">
        <w:t xml:space="preserve">to FDA </w:t>
      </w:r>
      <w:r w:rsidR="00047E23">
        <w:t>an annual summary of drug</w:t>
      </w:r>
      <w:r w:rsidR="00ED3FA0">
        <w:t>s supplied to eligible patients</w:t>
      </w:r>
      <w:r w:rsidR="00047E23">
        <w:t>.</w:t>
      </w:r>
      <w:r w:rsidR="004E46A4">
        <w:t xml:space="preserve"> Specifically, this annual summary must include </w:t>
      </w:r>
      <w:r>
        <w:t xml:space="preserve">the name of the investigational drug, the number of doses supplied, the number of patients treated, the uses for which the drug was made available, and any known serious adverse events. FDA is required to specify the deadline for such reporting submissions. This </w:t>
      </w:r>
      <w:r w:rsidR="005C1A27">
        <w:t xml:space="preserve">final </w:t>
      </w:r>
      <w:r>
        <w:t>rule</w:t>
      </w:r>
      <w:r w:rsidR="005C1A27">
        <w:t xml:space="preserve"> </w:t>
      </w:r>
      <w:r>
        <w:t>will provide information on the necessary contents of the annual summary and the deadline for its submission.</w:t>
      </w:r>
    </w:p>
    <w:p w:rsidR="00571DF3" w:rsidRPr="009B3C6A" w:rsidP="009B3C6A" w14:paraId="5A46C573" w14:textId="3FA4A66F">
      <w:pPr>
        <w:pStyle w:val="Style2"/>
      </w:pPr>
      <w:bookmarkStart w:id="23" w:name="_Toc10474463"/>
      <w:bookmarkStart w:id="24" w:name="_Toc75273096"/>
      <w:bookmarkStart w:id="25" w:name="_Toc75273124"/>
      <w:r w:rsidRPr="009B3C6A">
        <w:t xml:space="preserve">B. </w:t>
      </w:r>
      <w:r w:rsidRPr="009B3C6A" w:rsidR="00F36CEC">
        <w:t>Need for</w:t>
      </w:r>
      <w:r w:rsidRPr="009B3C6A">
        <w:t xml:space="preserve"> Federal Regulatory Action</w:t>
      </w:r>
      <w:bookmarkEnd w:id="23"/>
      <w:bookmarkEnd w:id="24"/>
      <w:bookmarkEnd w:id="25"/>
    </w:p>
    <w:p w:rsidR="00BB7FB8" w:rsidP="009B3C6A" w14:paraId="6811BEBE" w14:textId="7E82990F">
      <w:r>
        <w:t xml:space="preserve">The </w:t>
      </w:r>
      <w:r w:rsidR="007528C4">
        <w:t>Right to Try</w:t>
      </w:r>
      <w:r>
        <w:t xml:space="preserve"> </w:t>
      </w:r>
      <w:r w:rsidR="00DB6C1D">
        <w:t xml:space="preserve">Act </w:t>
      </w:r>
      <w:r>
        <w:t xml:space="preserve">requires FDA to specify by regulation the deadline of submission of an annual summary of an eligible investigational drug </w:t>
      </w:r>
      <w:r w:rsidR="00ED3FA0">
        <w:t xml:space="preserve">supplied </w:t>
      </w:r>
      <w:r>
        <w:t>by manufacturers</w:t>
      </w:r>
      <w:r w:rsidR="00742067">
        <w:t xml:space="preserve"> or sponsors</w:t>
      </w:r>
      <w:r w:rsidR="00ED3FA0">
        <w:t xml:space="preserve"> to eligible patients</w:t>
      </w:r>
      <w:r>
        <w:t xml:space="preserve">. This rule </w:t>
      </w:r>
      <w:r w:rsidR="00ED3FA0">
        <w:t xml:space="preserve">would </w:t>
      </w:r>
      <w:r>
        <w:t xml:space="preserve">implement this provision of the </w:t>
      </w:r>
      <w:r w:rsidR="007528C4">
        <w:t>Right to Try</w:t>
      </w:r>
      <w:r w:rsidR="00B90653">
        <w:t xml:space="preserve"> Act</w:t>
      </w:r>
      <w:r>
        <w:t xml:space="preserve">. </w:t>
      </w:r>
      <w:bookmarkStart w:id="26" w:name="_Hlk9582143"/>
      <w:r>
        <w:t xml:space="preserve">This regulation </w:t>
      </w:r>
      <w:r w:rsidR="00D10057">
        <w:t>would allow</w:t>
      </w:r>
      <w:r w:rsidR="00BF3D30">
        <w:t xml:space="preserve"> </w:t>
      </w:r>
      <w:r>
        <w:t xml:space="preserve">FDA to </w:t>
      </w:r>
      <w:r w:rsidR="00ED3FA0">
        <w:t>receive information about</w:t>
      </w:r>
      <w:r>
        <w:t xml:space="preserve"> </w:t>
      </w:r>
      <w:r w:rsidR="007528C4">
        <w:t>Right to Try</w:t>
      </w:r>
      <w:r>
        <w:t xml:space="preserve"> </w:t>
      </w:r>
      <w:r w:rsidR="00B90653">
        <w:t xml:space="preserve">Act </w:t>
      </w:r>
      <w:r>
        <w:t>access and activity</w:t>
      </w:r>
      <w:r w:rsidR="006E4D60">
        <w:t xml:space="preserve">, including any known </w:t>
      </w:r>
      <w:r w:rsidR="001E6494">
        <w:t>serious adverse events</w:t>
      </w:r>
      <w:r w:rsidR="000879F1">
        <w:t>.</w:t>
      </w:r>
      <w:r w:rsidR="004B136B">
        <w:t xml:space="preserve"> </w:t>
      </w:r>
      <w:r w:rsidR="00184A35">
        <w:t xml:space="preserve">Requests for access under the </w:t>
      </w:r>
      <w:r w:rsidR="007528C4">
        <w:t>Right to Try</w:t>
      </w:r>
      <w:r w:rsidR="000D13B5">
        <w:t xml:space="preserve"> </w:t>
      </w:r>
      <w:r w:rsidR="00184A35">
        <w:t xml:space="preserve">Act </w:t>
      </w:r>
      <w:r w:rsidR="008534FE">
        <w:t>are</w:t>
      </w:r>
      <w:r w:rsidR="000D13B5">
        <w:t xml:space="preserve"> not </w:t>
      </w:r>
      <w:r w:rsidR="00431B85">
        <w:t xml:space="preserve">overseen by FDA. </w:t>
      </w:r>
      <w:r w:rsidR="008534FE">
        <w:t xml:space="preserve">This rule </w:t>
      </w:r>
      <w:r w:rsidR="00ED3FA0">
        <w:t>would</w:t>
      </w:r>
      <w:r w:rsidR="008534FE">
        <w:t xml:space="preserve"> provide a mechanism for FDA to receive information about</w:t>
      </w:r>
      <w:r w:rsidR="00947B3D">
        <w:t xml:space="preserve"> the use of drugs and</w:t>
      </w:r>
      <w:r w:rsidR="008534FE">
        <w:t xml:space="preserve"> adverse event data associated with </w:t>
      </w:r>
      <w:r w:rsidR="0078717A">
        <w:t xml:space="preserve">the </w:t>
      </w:r>
      <w:r w:rsidR="007528C4">
        <w:t>Right to Try</w:t>
      </w:r>
      <w:r w:rsidR="008534FE">
        <w:t xml:space="preserve"> </w:t>
      </w:r>
      <w:r w:rsidR="0078717A">
        <w:t xml:space="preserve">Act </w:t>
      </w:r>
      <w:r w:rsidR="008534FE">
        <w:t>in a systematic manner.</w:t>
      </w:r>
      <w:bookmarkEnd w:id="26"/>
    </w:p>
    <w:p w:rsidR="00C109A0" w:rsidRPr="009B3C6A" w:rsidP="009B3C6A" w14:paraId="0BCF636E" w14:textId="14F8AB7B">
      <w:pPr>
        <w:pStyle w:val="Style2"/>
      </w:pPr>
      <w:bookmarkStart w:id="27" w:name="_Toc10474464"/>
      <w:bookmarkStart w:id="28" w:name="_Toc75273097"/>
      <w:bookmarkStart w:id="29" w:name="_Toc75273125"/>
      <w:r w:rsidRPr="009B3C6A">
        <w:t>C. Purpose of the Rule</w:t>
      </w:r>
      <w:bookmarkEnd w:id="27"/>
      <w:bookmarkEnd w:id="28"/>
      <w:bookmarkEnd w:id="29"/>
      <w:r w:rsidRPr="009B3C6A">
        <w:t xml:space="preserve"> </w:t>
      </w:r>
    </w:p>
    <w:p w:rsidR="00C023D5" w:rsidP="009B3C6A" w14:paraId="2E2635B9" w14:textId="15BF519B">
      <w:r w:rsidRPr="00C023D5">
        <w:t xml:space="preserve">The purpose of this </w:t>
      </w:r>
      <w:r w:rsidR="005C1A27">
        <w:t xml:space="preserve">final </w:t>
      </w:r>
      <w:r w:rsidRPr="00C023D5">
        <w:t xml:space="preserve">rule is to implement section 561B(d)(1) of the FD&amp;C Act, as amended by the </w:t>
      </w:r>
      <w:r w:rsidR="007528C4">
        <w:t>Right to Try</w:t>
      </w:r>
      <w:r w:rsidRPr="00C023D5">
        <w:t xml:space="preserve"> Act, which requires sponsors and manufacturers who provide an eligible investigational drug under section 561B of the FD&amp;C Act to submit to FDA an annual summary of such use and requires FDA to specify by regulation the deadline of submission.</w:t>
      </w:r>
      <w:r w:rsidR="00902B2B">
        <w:t xml:space="preserve"> </w:t>
      </w:r>
      <w:r w:rsidRPr="00C023D5">
        <w:t xml:space="preserve">The rule </w:t>
      </w:r>
      <w:r w:rsidR="00F537C2">
        <w:t xml:space="preserve">would </w:t>
      </w:r>
      <w:r w:rsidRPr="00C023D5">
        <w:t xml:space="preserve">provide information on the necessary contents of the annual summary </w:t>
      </w:r>
      <w:r w:rsidR="004146B9">
        <w:t>along with</w:t>
      </w:r>
      <w:r w:rsidRPr="00C023D5">
        <w:t xml:space="preserve"> the deadline for its submission.</w:t>
      </w:r>
      <w:r w:rsidR="00DB6C46">
        <w:t xml:space="preserve"> </w:t>
      </w:r>
      <w:r w:rsidR="00F537C2">
        <w:t>Under t</w:t>
      </w:r>
      <w:r w:rsidR="00DB6C46">
        <w:t xml:space="preserve">his </w:t>
      </w:r>
      <w:r w:rsidR="005C1A27">
        <w:t>final</w:t>
      </w:r>
      <w:r w:rsidR="00DB6C46">
        <w:t xml:space="preserve"> rule</w:t>
      </w:r>
      <w:r w:rsidR="00F537C2">
        <w:t>,</w:t>
      </w:r>
      <w:r w:rsidR="00DB6C46">
        <w:t xml:space="preserve"> </w:t>
      </w:r>
      <w:r w:rsidR="00F537C2">
        <w:t>FDA would establish</w:t>
      </w:r>
      <w:r w:rsidR="00DB6C46">
        <w:t xml:space="preserve"> an email address or electronic portal for these submissions.</w:t>
      </w:r>
    </w:p>
    <w:p w:rsidR="005A633E" w:rsidRPr="009B3C6A" w:rsidP="009B3C6A" w14:paraId="0AE7CDFB" w14:textId="77777777">
      <w:pPr>
        <w:pStyle w:val="Style2"/>
      </w:pPr>
      <w:bookmarkStart w:id="30" w:name="_Toc10474465"/>
      <w:bookmarkStart w:id="31" w:name="_Toc75273098"/>
      <w:bookmarkStart w:id="32" w:name="_Toc75273126"/>
      <w:r w:rsidRPr="009B3C6A">
        <w:t>D. Baseline Conditions</w:t>
      </w:r>
      <w:bookmarkEnd w:id="30"/>
      <w:bookmarkEnd w:id="31"/>
      <w:bookmarkEnd w:id="32"/>
      <w:r w:rsidRPr="009B3C6A" w:rsidR="006D7B4C">
        <w:t xml:space="preserve"> </w:t>
      </w:r>
    </w:p>
    <w:p w:rsidR="00AA7ABA" w:rsidP="009B3C6A" w14:paraId="79D5CC81" w14:textId="4E69F258">
      <w:r>
        <w:t xml:space="preserve">This </w:t>
      </w:r>
      <w:r w:rsidR="00BF3D30">
        <w:t>final</w:t>
      </w:r>
      <w:r>
        <w:t xml:space="preserve"> rule is part of the implementation of the </w:t>
      </w:r>
      <w:r w:rsidR="007528C4">
        <w:t>Right to Try</w:t>
      </w:r>
      <w:r>
        <w:t xml:space="preserve"> Act</w:t>
      </w:r>
      <w:r w:rsidR="000B0EB7">
        <w:t>, and so the b</w:t>
      </w:r>
      <w:r>
        <w:t xml:space="preserve">aseline conditions refer </w:t>
      </w:r>
      <w:r w:rsidR="000B0EB7">
        <w:t xml:space="preserve">to current conditions where the </w:t>
      </w:r>
      <w:r>
        <w:t>legislation has been enacted</w:t>
      </w:r>
      <w:r w:rsidR="009F67A9">
        <w:t>, but the rule not yet promulgated</w:t>
      </w:r>
      <w:r>
        <w:t xml:space="preserve">; thus, patients </w:t>
      </w:r>
      <w:r w:rsidR="00530C81">
        <w:t xml:space="preserve">and physicians </w:t>
      </w:r>
      <w:r w:rsidR="009F67A9">
        <w:t>are currently able</w:t>
      </w:r>
      <w:r>
        <w:t xml:space="preserve"> to determine eligibility, and drug sponsors </w:t>
      </w:r>
      <w:r w:rsidR="009F67A9">
        <w:t>are currently able to</w:t>
      </w:r>
      <w:r>
        <w:t xml:space="preserve"> </w:t>
      </w:r>
      <w:r w:rsidR="00F537C2">
        <w:t xml:space="preserve">supply </w:t>
      </w:r>
      <w:r>
        <w:t>eligible investigational drug</w:t>
      </w:r>
      <w:r w:rsidR="00F537C2">
        <w:t>s</w:t>
      </w:r>
      <w:r>
        <w:t xml:space="preserve"> </w:t>
      </w:r>
      <w:r w:rsidR="00F537C2">
        <w:t xml:space="preserve">under the Right to Try Act </w:t>
      </w:r>
      <w:r>
        <w:t xml:space="preserve">if they are </w:t>
      </w:r>
      <w:r w:rsidR="009F67A9">
        <w:t xml:space="preserve">willing </w:t>
      </w:r>
      <w:r>
        <w:t xml:space="preserve">to </w:t>
      </w:r>
      <w:r w:rsidR="00F537C2">
        <w:t>do so</w:t>
      </w:r>
      <w:r>
        <w:t>.</w:t>
      </w:r>
    </w:p>
    <w:p w:rsidR="00BF3803" w:rsidP="009B3C6A" w14:paraId="1A136528" w14:textId="06320506">
      <w:r>
        <w:t xml:space="preserve">However, </w:t>
      </w:r>
      <w:r w:rsidR="009F67A9">
        <w:t xml:space="preserve">FDA has not yet specified by regulation </w:t>
      </w:r>
      <w:r>
        <w:t>t</w:t>
      </w:r>
      <w:r w:rsidR="00AA7ABA">
        <w:t xml:space="preserve">he </w:t>
      </w:r>
      <w:r w:rsidR="000B0EB7">
        <w:t>requirement</w:t>
      </w:r>
      <w:r w:rsidR="00AA7ABA">
        <w:t>s</w:t>
      </w:r>
      <w:r w:rsidR="000B0EB7">
        <w:t xml:space="preserve"> for </w:t>
      </w:r>
      <w:r w:rsidR="00B962CF">
        <w:t xml:space="preserve">the </w:t>
      </w:r>
      <w:r w:rsidR="009F67A9">
        <w:t xml:space="preserve">content </w:t>
      </w:r>
      <w:r w:rsidR="00B962CF">
        <w:t xml:space="preserve">and </w:t>
      </w:r>
      <w:r w:rsidR="009F67A9">
        <w:t xml:space="preserve">the deadline for </w:t>
      </w:r>
      <w:r w:rsidR="00B962CF">
        <w:t xml:space="preserve">submission of an </w:t>
      </w:r>
      <w:r w:rsidR="000B0EB7">
        <w:t xml:space="preserve">annual summary </w:t>
      </w:r>
      <w:r w:rsidR="00B962CF">
        <w:t>report</w:t>
      </w:r>
      <w:r w:rsidR="000B0EB7">
        <w:t>.</w:t>
      </w:r>
      <w:r w:rsidR="000F6F73">
        <w:t xml:space="preserve"> This regulation would affect any drug manufacturers</w:t>
      </w:r>
      <w:r w:rsidR="00742067">
        <w:t xml:space="preserve"> or sponsors</w:t>
      </w:r>
      <w:r w:rsidR="000F6F73">
        <w:t xml:space="preserve"> that </w:t>
      </w:r>
      <w:r w:rsidR="007A5C4B">
        <w:t xml:space="preserve">provide an eligible investigational drug to eligible patients under the </w:t>
      </w:r>
      <w:r w:rsidR="007528C4">
        <w:t>Right to Try</w:t>
      </w:r>
      <w:r w:rsidR="007A5C4B">
        <w:t xml:space="preserve"> Act.</w:t>
      </w:r>
      <w:r w:rsidR="00B962CF">
        <w:t xml:space="preserve"> We assume these drug sponsors, when providing such eligible investigational new drugs to eligible patients,</w:t>
      </w:r>
      <w:r w:rsidR="003D15BF">
        <w:t xml:space="preserve"> will have information on the number of doses that they supplied, the life-threatening disease </w:t>
      </w:r>
      <w:r w:rsidR="009558D3">
        <w:t xml:space="preserve">for which </w:t>
      </w:r>
      <w:r w:rsidR="003D15BF">
        <w:t xml:space="preserve">the investigational </w:t>
      </w:r>
      <w:r w:rsidR="009558D3">
        <w:t>drug was made available</w:t>
      </w:r>
      <w:r w:rsidR="003D15BF">
        <w:t xml:space="preserve"> under </w:t>
      </w:r>
      <w:r w:rsidR="00F537C2">
        <w:t xml:space="preserve">the </w:t>
      </w:r>
      <w:r w:rsidR="007528C4">
        <w:t>Right to Try</w:t>
      </w:r>
      <w:r w:rsidR="00852EFF">
        <w:t xml:space="preserve"> Act</w:t>
      </w:r>
      <w:r w:rsidR="0074216D">
        <w:t>,</w:t>
      </w:r>
      <w:r w:rsidR="003D15BF">
        <w:t xml:space="preserve"> and </w:t>
      </w:r>
      <w:r w:rsidR="00F537C2">
        <w:t xml:space="preserve">known </w:t>
      </w:r>
      <w:r w:rsidR="003D15BF">
        <w:t>serious adverse events</w:t>
      </w:r>
      <w:r w:rsidR="00B962CF">
        <w:t xml:space="preserve">. The incremental burden drug sponsors may encounter from this regulation is the preparation and submission of the annual summary report described in the </w:t>
      </w:r>
      <w:r w:rsidR="005C1A27">
        <w:t>final</w:t>
      </w:r>
      <w:r w:rsidR="00B962CF">
        <w:t xml:space="preserve"> rule</w:t>
      </w:r>
      <w:r w:rsidR="004D6F42">
        <w:t xml:space="preserve"> based on information that was likely already collected</w:t>
      </w:r>
      <w:r w:rsidR="00B962CF">
        <w:t>.</w:t>
      </w:r>
    </w:p>
    <w:p w:rsidR="0099650C" w:rsidRPr="009B3C6A" w:rsidP="009B3C6A" w14:paraId="7980E8D7" w14:textId="104612DB">
      <w:pPr>
        <w:pStyle w:val="Style2"/>
      </w:pPr>
      <w:bookmarkStart w:id="33" w:name="_Toc10474466"/>
      <w:bookmarkStart w:id="34" w:name="_Toc75273099"/>
      <w:bookmarkStart w:id="35" w:name="_Toc75273127"/>
      <w:r w:rsidRPr="009B3C6A">
        <w:t>E. Benefits of the Rule</w:t>
      </w:r>
      <w:bookmarkEnd w:id="33"/>
      <w:bookmarkEnd w:id="34"/>
      <w:bookmarkEnd w:id="35"/>
      <w:r w:rsidRPr="009B3C6A" w:rsidR="00CD2BE5">
        <w:t xml:space="preserve"> </w:t>
      </w:r>
    </w:p>
    <w:p w:rsidR="00385844" w:rsidP="009B3C6A" w14:paraId="6D8A3632" w14:textId="4C1421EB">
      <w:r w:rsidRPr="00AB6B7B">
        <w:t xml:space="preserve">The benefits of this </w:t>
      </w:r>
      <w:r w:rsidR="00BF3D30">
        <w:t xml:space="preserve">final </w:t>
      </w:r>
      <w:r w:rsidRPr="00AB6B7B">
        <w:t xml:space="preserve">rule consist of societal and public health outcomes that may accrue from the disclosure of the use of investigational drugs and any </w:t>
      </w:r>
      <w:r>
        <w:t>known</w:t>
      </w:r>
      <w:r w:rsidRPr="00AB6B7B">
        <w:t xml:space="preserve"> </w:t>
      </w:r>
      <w:r>
        <w:t xml:space="preserve">serious </w:t>
      </w:r>
      <w:r w:rsidRPr="00AB6B7B">
        <w:t xml:space="preserve">adverse events </w:t>
      </w:r>
      <w:r>
        <w:t>provided in</w:t>
      </w:r>
      <w:r w:rsidRPr="00AB6B7B">
        <w:t xml:space="preserve"> these annual summary reports. Without these reports, FDA would not be made aware </w:t>
      </w:r>
      <w:r>
        <w:t xml:space="preserve">in a systematic manner </w:t>
      </w:r>
      <w:r w:rsidRPr="00AB6B7B">
        <w:t xml:space="preserve">of the use of eligible drugs under the Right to Try Act and any </w:t>
      </w:r>
      <w:r>
        <w:t>known</w:t>
      </w:r>
      <w:r w:rsidRPr="00AB6B7B">
        <w:t xml:space="preserve"> serious adverse events. With these reports, there </w:t>
      </w:r>
      <w:r>
        <w:t>may</w:t>
      </w:r>
      <w:r w:rsidRPr="00AB6B7B">
        <w:t xml:space="preserve"> be increased awareness of investigational drugs, the diseases </w:t>
      </w:r>
      <w:r>
        <w:t>or conditions for which patients are seeking access</w:t>
      </w:r>
      <w:r w:rsidRPr="00AB6B7B">
        <w:t xml:space="preserve">, and any </w:t>
      </w:r>
      <w:r>
        <w:t xml:space="preserve">known serious </w:t>
      </w:r>
      <w:r w:rsidRPr="00AB6B7B">
        <w:t>adverse events</w:t>
      </w:r>
      <w:r>
        <w:t xml:space="preserve"> associated with such use</w:t>
      </w:r>
      <w:r w:rsidRPr="00AB6B7B">
        <w:t xml:space="preserve">. </w:t>
      </w:r>
    </w:p>
    <w:p w:rsidR="00385844" w:rsidP="009B3C6A" w14:paraId="6B6C1A47" w14:textId="28FCA0DC">
      <w:r w:rsidRPr="00AB6B7B">
        <w:t>These report</w:t>
      </w:r>
      <w:r>
        <w:t>ing</w:t>
      </w:r>
      <w:r w:rsidRPr="00AB6B7B">
        <w:t xml:space="preserve"> requirements instruct firms to collect all known serious adverse events and submit them once per year to the FDA. In addition, based on the information in these annual summaries, FDA intends to post </w:t>
      </w:r>
      <w:r w:rsidR="002577DE">
        <w:t xml:space="preserve">online </w:t>
      </w:r>
      <w:r w:rsidRPr="00AB6B7B">
        <w:t xml:space="preserve">an annual summary report in accordance with section 561B(d)(2) of the FD&amp;C Act. FDA’s posting </w:t>
      </w:r>
      <w:r>
        <w:t xml:space="preserve">of these reports may </w:t>
      </w:r>
      <w:r w:rsidRPr="00AB6B7B">
        <w:t>increase awareness about the availability of investigational drugs.</w:t>
      </w:r>
    </w:p>
    <w:p w:rsidR="005A633E" w:rsidRPr="009B3C6A" w:rsidP="009B3C6A" w14:paraId="617170A5" w14:textId="34E6CEFC">
      <w:pPr>
        <w:pStyle w:val="Style2"/>
      </w:pPr>
      <w:bookmarkStart w:id="36" w:name="_Toc10474467"/>
      <w:bookmarkStart w:id="37" w:name="_Toc75273100"/>
      <w:bookmarkStart w:id="38" w:name="_Toc75273128"/>
      <w:r w:rsidRPr="009B3C6A">
        <w:t>F. Costs of the Rule</w:t>
      </w:r>
      <w:bookmarkEnd w:id="36"/>
      <w:bookmarkEnd w:id="37"/>
      <w:bookmarkEnd w:id="38"/>
      <w:r w:rsidRPr="009B3C6A" w:rsidR="00CD2BE5">
        <w:t xml:space="preserve"> </w:t>
      </w:r>
    </w:p>
    <w:p w:rsidR="00C60414" w:rsidP="009B3C6A" w14:paraId="57FB638D" w14:textId="3BF294C2">
      <w:r>
        <w:t xml:space="preserve">This </w:t>
      </w:r>
      <w:r w:rsidR="005C1A27">
        <w:t xml:space="preserve">final </w:t>
      </w:r>
      <w:r>
        <w:t xml:space="preserve">rule </w:t>
      </w:r>
      <w:r w:rsidR="006B39ED">
        <w:t>implements a statutory requirement</w:t>
      </w:r>
      <w:r w:rsidR="005246DC">
        <w:t>:</w:t>
      </w:r>
      <w:r w:rsidR="006B39ED">
        <w:t xml:space="preserve"> the </w:t>
      </w:r>
      <w:r w:rsidR="003D17BB">
        <w:t xml:space="preserve">date of a </w:t>
      </w:r>
      <w:r w:rsidR="006B39ED">
        <w:t xml:space="preserve">submission of </w:t>
      </w:r>
      <w:r>
        <w:t xml:space="preserve">an annual summary report to be submitted by a drug </w:t>
      </w:r>
      <w:r w:rsidR="006B39ED">
        <w:t>manufacturer</w:t>
      </w:r>
      <w:r w:rsidR="00742067">
        <w:t xml:space="preserve"> or sponsor</w:t>
      </w:r>
      <w:r w:rsidR="006B39ED">
        <w:t xml:space="preserve"> </w:t>
      </w:r>
      <w:r>
        <w:t xml:space="preserve">providing an </w:t>
      </w:r>
      <w:r w:rsidR="00BA7A14">
        <w:t>eligible investigational new drug to an eligible patient</w:t>
      </w:r>
      <w:r w:rsidR="00A45244">
        <w:t xml:space="preserve"> and includes the contents of the summary report</w:t>
      </w:r>
      <w:r w:rsidR="00BA7A14">
        <w:t xml:space="preserve">. </w:t>
      </w:r>
      <w:r w:rsidR="008D4EED">
        <w:t xml:space="preserve">The incremental burden imposed by this rule will be in the form of costs associated with the </w:t>
      </w:r>
      <w:r w:rsidR="0020093C">
        <w:t xml:space="preserve">drug sponsors’ </w:t>
      </w:r>
      <w:r w:rsidR="008D4EED">
        <w:t>compilation and submission of these summary reports</w:t>
      </w:r>
      <w:r w:rsidR="00083F0C">
        <w:t>.</w:t>
      </w:r>
      <w:r w:rsidR="000D580E">
        <w:t xml:space="preserve"> </w:t>
      </w:r>
      <w:r w:rsidR="00627980">
        <w:t>Th</w:t>
      </w:r>
      <w:r w:rsidR="005C1A27">
        <w:t xml:space="preserve">is final rule </w:t>
      </w:r>
      <w:r w:rsidR="00627980">
        <w:t>is related only to the submission of the annual summar</w:t>
      </w:r>
      <w:r w:rsidR="00014903">
        <w:t>ies</w:t>
      </w:r>
      <w:r w:rsidR="00627980">
        <w:t xml:space="preserve"> </w:t>
      </w:r>
      <w:r w:rsidR="00B66C3E">
        <w:t xml:space="preserve">and </w:t>
      </w:r>
      <w:r w:rsidR="00627980">
        <w:t xml:space="preserve">not to the </w:t>
      </w:r>
      <w:r w:rsidR="007528C4">
        <w:t>Right to Try</w:t>
      </w:r>
      <w:r w:rsidR="00627980">
        <w:t xml:space="preserve"> </w:t>
      </w:r>
      <w:r w:rsidR="0020093C">
        <w:t xml:space="preserve">Act </w:t>
      </w:r>
      <w:r w:rsidR="00627980">
        <w:t>requests</w:t>
      </w:r>
      <w:r w:rsidR="00014903">
        <w:t xml:space="preserve"> made by patients</w:t>
      </w:r>
      <w:r w:rsidR="00A539CD">
        <w:t>. T</w:t>
      </w:r>
      <w:r w:rsidR="00B66C3E">
        <w:t xml:space="preserve">he </w:t>
      </w:r>
      <w:r w:rsidR="00627980">
        <w:t xml:space="preserve">provisions </w:t>
      </w:r>
      <w:r w:rsidR="00B66C3E">
        <w:t xml:space="preserve">are </w:t>
      </w:r>
      <w:r w:rsidR="00627980">
        <w:t xml:space="preserve">not </w:t>
      </w:r>
      <w:r w:rsidR="0029251B">
        <w:t xml:space="preserve">necessarily </w:t>
      </w:r>
      <w:r w:rsidR="00627980">
        <w:t xml:space="preserve">expected to lead to additional </w:t>
      </w:r>
      <w:r w:rsidR="007528C4">
        <w:t>Right to Try</w:t>
      </w:r>
      <w:r w:rsidR="00627980">
        <w:t xml:space="preserve"> </w:t>
      </w:r>
      <w:r w:rsidR="0020093C">
        <w:t xml:space="preserve">Act </w:t>
      </w:r>
      <w:r w:rsidR="00627980">
        <w:t>requests</w:t>
      </w:r>
      <w:r w:rsidR="00014903">
        <w:t xml:space="preserve"> from patients. T</w:t>
      </w:r>
      <w:r w:rsidR="00627980">
        <w:t>hus</w:t>
      </w:r>
      <w:r w:rsidR="00014903">
        <w:t xml:space="preserve">, we do not expect that the </w:t>
      </w:r>
      <w:r w:rsidR="005C1A27">
        <w:t xml:space="preserve">final </w:t>
      </w:r>
      <w:r w:rsidR="00014903">
        <w:t>rule would</w:t>
      </w:r>
      <w:r w:rsidR="00627980">
        <w:t xml:space="preserve"> lead to additional summar</w:t>
      </w:r>
      <w:r w:rsidR="00014903">
        <w:t>ies</w:t>
      </w:r>
      <w:r w:rsidR="00627980">
        <w:t xml:space="preserve"> and incremental cost burdens.</w:t>
      </w:r>
    </w:p>
    <w:p w:rsidR="00C60414" w:rsidP="009B3C6A" w14:paraId="6226EA7E" w14:textId="644198C9">
      <w:r>
        <w:t xml:space="preserve">The </w:t>
      </w:r>
      <w:r w:rsidR="007528C4">
        <w:t>Right to Try</w:t>
      </w:r>
      <w:r>
        <w:t xml:space="preserve"> Act specifies the content of these annual summary reports. The drug sponsor’s </w:t>
      </w:r>
      <w:r w:rsidR="006B39ED">
        <w:t xml:space="preserve">annual </w:t>
      </w:r>
      <w:r>
        <w:t xml:space="preserve">summary report </w:t>
      </w:r>
      <w:r w:rsidR="00014903">
        <w:t>would be required to</w:t>
      </w:r>
      <w:r>
        <w:t xml:space="preserve"> include (1) the name of the investigational drug and applicable IND (investigational new drug) number, (2) number of doses supplied, (3) number of patients treated, (4) uses or conditions for which the drug was made available, and (5) any known serious adverse events or outcomes.</w:t>
      </w:r>
      <w:r w:rsidR="00470A72">
        <w:t xml:space="preserve"> The rule includes an example of a tabular summary </w:t>
      </w:r>
      <w:r w:rsidR="005B39E8">
        <w:t xml:space="preserve">that could be used for these data fields and </w:t>
      </w:r>
      <w:r w:rsidR="00B23F5A">
        <w:t xml:space="preserve">report </w:t>
      </w:r>
      <w:r w:rsidR="005B39E8">
        <w:t>submission to FDA.</w:t>
      </w:r>
    </w:p>
    <w:p w:rsidR="00A812C4" w:rsidP="009B3C6A" w14:paraId="09FECE8D" w14:textId="60AD3370">
      <w:r>
        <w:t>The</w:t>
      </w:r>
      <w:r w:rsidR="006F578D">
        <w:t xml:space="preserve"> </w:t>
      </w:r>
      <w:r w:rsidR="001479CD">
        <w:t>purpose</w:t>
      </w:r>
      <w:r w:rsidR="00D25710">
        <w:t xml:space="preserve"> and attributes</w:t>
      </w:r>
      <w:r w:rsidR="00154806">
        <w:t xml:space="preserve">, along with the intended </w:t>
      </w:r>
      <w:r w:rsidR="006B39ED">
        <w:t>preparer</w:t>
      </w:r>
      <w:r w:rsidR="00154806">
        <w:t>,</w:t>
      </w:r>
      <w:r w:rsidR="00D25710">
        <w:t xml:space="preserve"> </w:t>
      </w:r>
      <w:r>
        <w:t>of this</w:t>
      </w:r>
      <w:r w:rsidR="00051320">
        <w:t xml:space="preserve"> annual summary</w:t>
      </w:r>
      <w:r>
        <w:t xml:space="preserve"> report </w:t>
      </w:r>
      <w:r w:rsidR="001C477D">
        <w:t xml:space="preserve">are </w:t>
      </w:r>
      <w:r w:rsidR="00D67EA6">
        <w:t>close</w:t>
      </w:r>
      <w:r w:rsidR="009D7307">
        <w:t xml:space="preserve"> to th</w:t>
      </w:r>
      <w:r w:rsidR="00530C81">
        <w:t xml:space="preserve">e information required </w:t>
      </w:r>
      <w:r w:rsidR="009D7307">
        <w:t xml:space="preserve">in </w:t>
      </w:r>
      <w:r w:rsidR="00707866">
        <w:t xml:space="preserve">Form </w:t>
      </w:r>
      <w:r w:rsidR="009D7307">
        <w:t xml:space="preserve">FDA </w:t>
      </w:r>
      <w:r w:rsidR="00B9468A">
        <w:t>2252</w:t>
      </w:r>
      <w:r w:rsidR="00051320">
        <w:t xml:space="preserve">. </w:t>
      </w:r>
      <w:r w:rsidR="00707866">
        <w:t xml:space="preserve">Form </w:t>
      </w:r>
      <w:r w:rsidR="00051320">
        <w:t>FDA 2252 is required to accompany all annual report submissions regarding new information that might affect the safety, effectiveness, or labeling of a drug or biologic</w:t>
      </w:r>
      <w:r w:rsidR="0040158F">
        <w:t>al product</w:t>
      </w:r>
      <w:r w:rsidR="00051320">
        <w:t xml:space="preserve"> for human use. The sponsor of the drug </w:t>
      </w:r>
      <w:r w:rsidR="00244CB1">
        <w:t xml:space="preserve">or </w:t>
      </w:r>
      <w:r w:rsidR="00051320">
        <w:t>biologic</w:t>
      </w:r>
      <w:r w:rsidR="0040158F">
        <w:t>al</w:t>
      </w:r>
      <w:r w:rsidR="00051320">
        <w:t xml:space="preserve"> </w:t>
      </w:r>
      <w:r w:rsidR="00244CB1">
        <w:t xml:space="preserve">product </w:t>
      </w:r>
      <w:r w:rsidR="00051320">
        <w:t xml:space="preserve">is </w:t>
      </w:r>
      <w:r w:rsidR="00154806">
        <w:t>responsible for collecting the relevant information and submitting this form to the FDA</w:t>
      </w:r>
      <w:r w:rsidR="009D7307">
        <w:t xml:space="preserve">. </w:t>
      </w:r>
      <w:r w:rsidR="009D7396">
        <w:t xml:space="preserve">The time required to complete this form has been previously estimated </w:t>
      </w:r>
      <w:r w:rsidR="009B6F85">
        <w:t xml:space="preserve">by the FDA </w:t>
      </w:r>
      <w:r w:rsidR="009D7396">
        <w:t>to average</w:t>
      </w:r>
      <w:r w:rsidR="00154806">
        <w:t xml:space="preserve"> five hours</w:t>
      </w:r>
      <w:r w:rsidR="009D7396">
        <w:t>; this includes time to review instructions, search and gather the existing data, and complete the information collection</w:t>
      </w:r>
      <w:r>
        <w:rPr>
          <w:rStyle w:val="FootnoteReference"/>
          <w:vertAlign w:val="superscript"/>
        </w:rPr>
        <w:footnoteReference w:id="3"/>
      </w:r>
      <w:r w:rsidR="009B6F85">
        <w:t>.</w:t>
      </w:r>
      <w:r w:rsidR="00F32782">
        <w:t xml:space="preserve"> Because the </w:t>
      </w:r>
      <w:r w:rsidR="005C1A27">
        <w:t>final</w:t>
      </w:r>
      <w:r w:rsidR="00F32782">
        <w:t xml:space="preserve"> rule’s tabular summary requires fewer </w:t>
      </w:r>
      <w:r w:rsidR="00942FEA">
        <w:t xml:space="preserve">required </w:t>
      </w:r>
      <w:r w:rsidR="00F32782">
        <w:t xml:space="preserve">data elements </w:t>
      </w:r>
      <w:r w:rsidR="00942FEA">
        <w:t>(such as Field 8: Reporting Period</w:t>
      </w:r>
      <w:r w:rsidR="00E60F7E">
        <w:t xml:space="preserve"> in Form </w:t>
      </w:r>
      <w:r w:rsidR="003A47ED">
        <w:t xml:space="preserve">FDA </w:t>
      </w:r>
      <w:r w:rsidR="00E60F7E">
        <w:t>2252</w:t>
      </w:r>
      <w:r w:rsidR="00942FEA">
        <w:t xml:space="preserve">) </w:t>
      </w:r>
      <w:r w:rsidR="00F32782">
        <w:t>and</w:t>
      </w:r>
      <w:r w:rsidR="00942FEA">
        <w:t xml:space="preserve"> less summary information overall</w:t>
      </w:r>
      <w:r w:rsidR="00F32782">
        <w:t>, we halve this time estimate to 2.5 hours.</w:t>
      </w:r>
      <w:r w:rsidR="00942FEA">
        <w:t xml:space="preserve"> </w:t>
      </w:r>
    </w:p>
    <w:p w:rsidR="00402ABE" w:rsidP="009B3C6A" w14:paraId="0F46A47C" w14:textId="41ACAD3E">
      <w:r>
        <w:t>We assume</w:t>
      </w:r>
      <w:r w:rsidR="00944682">
        <w:t xml:space="preserve"> a medical director or regulatory affairs director will be responsible for preparing and submitting this annual summary report.</w:t>
      </w:r>
      <w:r w:rsidR="00CE2637">
        <w:t xml:space="preserve"> The mean hourly wage (in 20</w:t>
      </w:r>
      <w:r w:rsidR="004510D9">
        <w:t>20</w:t>
      </w:r>
      <w:r w:rsidR="00CE2637">
        <w:t xml:space="preserve">) for Medical and Health Services Managers in the Pharmaceutical and Medicine Manufacturing industry was </w:t>
      </w:r>
      <w:r w:rsidRPr="00DD39B4" w:rsidR="00DD39B4">
        <w:t>$</w:t>
      </w:r>
      <w:r w:rsidR="00A52C42">
        <w:t>98.78</w:t>
      </w:r>
      <w:r w:rsidR="00DD39B4">
        <w:t>.</w:t>
      </w:r>
      <w:r>
        <w:rPr>
          <w:rStyle w:val="FootnoteReference"/>
        </w:rPr>
        <w:footnoteReference w:id="4"/>
      </w:r>
      <w:r w:rsidR="00DD39B4">
        <w:t xml:space="preserve"> </w:t>
      </w:r>
      <w:r w:rsidRPr="00134734" w:rsidR="00134734">
        <w:t xml:space="preserve">The </w:t>
      </w:r>
      <w:r w:rsidR="00134734">
        <w:t xml:space="preserve">total </w:t>
      </w:r>
      <w:r w:rsidRPr="00134734" w:rsidR="00134734">
        <w:t>cost of labor is the fully-loaded wage, which includes overhead and benefits</w:t>
      </w:r>
      <w:r w:rsidR="00A539CD">
        <w:t>. W</w:t>
      </w:r>
      <w:r w:rsidR="00134734">
        <w:t xml:space="preserve">e </w:t>
      </w:r>
      <w:r w:rsidRPr="00134734" w:rsidR="00134734">
        <w:t>assume that the cost of overhead and benefits equals 100% of the wage</w:t>
      </w:r>
      <w:r w:rsidR="00134734">
        <w:t>, resulting in a fully-loaded total hourly wage of $</w:t>
      </w:r>
      <w:r w:rsidR="00A52C42">
        <w:t>197.56</w:t>
      </w:r>
      <w:r w:rsidR="00134734">
        <w:t>.</w:t>
      </w:r>
      <w:r w:rsidR="00BA3406">
        <w:t xml:space="preserve"> We estimate a cost of $</w:t>
      </w:r>
      <w:r w:rsidR="00A52C42">
        <w:t>493.90</w:t>
      </w:r>
      <w:r w:rsidR="00BA3406">
        <w:t xml:space="preserve"> </w:t>
      </w:r>
      <w:r w:rsidR="00CA473E">
        <w:t>(=$</w:t>
      </w:r>
      <w:r w:rsidR="00A52C42">
        <w:t>197.56</w:t>
      </w:r>
      <w:r w:rsidR="00CA473E">
        <w:t xml:space="preserve"> * </w:t>
      </w:r>
      <w:r w:rsidR="00E100D5">
        <w:t>2</w:t>
      </w:r>
      <w:r w:rsidR="00CA473E">
        <w:t xml:space="preserve">.5 hours) </w:t>
      </w:r>
      <w:r w:rsidR="00BA3406">
        <w:t>to prepare and submit each report.</w:t>
      </w:r>
    </w:p>
    <w:p w:rsidR="00A80FBA" w:rsidP="009B3C6A" w14:paraId="60DE8F31" w14:textId="2BDBAACC">
      <w:r>
        <w:t>Between</w:t>
      </w:r>
      <w:r w:rsidR="00C7381D">
        <w:t xml:space="preserve"> passage of the </w:t>
      </w:r>
      <w:r w:rsidR="007528C4">
        <w:t>Right to Try</w:t>
      </w:r>
      <w:r w:rsidR="00C7381D">
        <w:t xml:space="preserve"> Act</w:t>
      </w:r>
      <w:r w:rsidR="009F490A">
        <w:t xml:space="preserve"> in May 2018 and January 2019</w:t>
      </w:r>
      <w:r w:rsidR="00C7381D">
        <w:t xml:space="preserve">, </w:t>
      </w:r>
      <w:r w:rsidR="009F490A">
        <w:t xml:space="preserve">there </w:t>
      </w:r>
      <w:r w:rsidR="006B39ED">
        <w:t>were</w:t>
      </w:r>
      <w:r w:rsidR="009F490A">
        <w:t xml:space="preserve"> two </w:t>
      </w:r>
      <w:r w:rsidR="006B39ED">
        <w:t xml:space="preserve">publicly reported </w:t>
      </w:r>
      <w:r w:rsidR="009F490A">
        <w:t xml:space="preserve">instances of patients who have received access to investigational treatments via the </w:t>
      </w:r>
      <w:r w:rsidR="007528C4">
        <w:t>Right to Try</w:t>
      </w:r>
      <w:r w:rsidR="008E5F3E">
        <w:t xml:space="preserve"> Act</w:t>
      </w:r>
      <w:r w:rsidR="009F490A">
        <w:t xml:space="preserve"> pathway, though it is possible that there are other cases that have not been made public</w:t>
      </w:r>
      <w:r w:rsidR="009B3C6A">
        <w:t>.</w:t>
      </w:r>
      <w:r>
        <w:rPr>
          <w:rStyle w:val="FootnoteReference"/>
          <w:vertAlign w:val="superscript"/>
        </w:rPr>
        <w:footnoteReference w:id="5"/>
      </w:r>
      <w:r w:rsidR="009F490A">
        <w:t xml:space="preserve"> </w:t>
      </w:r>
      <w:r w:rsidR="001D3F84">
        <w:t>The annual summary report must include data for the preceding calendar year</w:t>
      </w:r>
      <w:r w:rsidR="00FA1400">
        <w:t xml:space="preserve">. For </w:t>
      </w:r>
      <w:r w:rsidR="00616CED">
        <w:t>manufacturers or sponsors</w:t>
      </w:r>
      <w:r w:rsidR="00FA1400">
        <w:t xml:space="preserve"> that have supplied eligible investigational drugs between the period of enactment and the date the final rule becomes effective, </w:t>
      </w:r>
      <w:r w:rsidR="0003305C">
        <w:t xml:space="preserve">the first annual summary </w:t>
      </w:r>
      <w:r w:rsidR="00FA1400">
        <w:t xml:space="preserve">would be </w:t>
      </w:r>
      <w:r w:rsidR="0003305C">
        <w:t xml:space="preserve">submitted </w:t>
      </w:r>
      <w:r w:rsidR="00A52C42">
        <w:t>9</w:t>
      </w:r>
      <w:r w:rsidR="00FA1400">
        <w:t xml:space="preserve">0 days after the rule becomes effective and </w:t>
      </w:r>
      <w:r w:rsidR="0003305C">
        <w:t xml:space="preserve">would include all uses of eligible investigational drugs May 30, 2018 through </w:t>
      </w:r>
      <w:r w:rsidR="004C4DEC">
        <w:t>the effective date of the final rule</w:t>
      </w:r>
      <w:r w:rsidR="0003305C">
        <w:t xml:space="preserve">. </w:t>
      </w:r>
      <w:r w:rsidR="0012078D">
        <w:t xml:space="preserve">Based on the two instances </w:t>
      </w:r>
      <w:r w:rsidR="006B39ED">
        <w:t xml:space="preserve">publicly reported </w:t>
      </w:r>
      <w:r w:rsidR="0012078D">
        <w:t>of so far, w</w:t>
      </w:r>
      <w:r w:rsidR="0003305C">
        <w:t xml:space="preserve">e estimate </w:t>
      </w:r>
      <w:r w:rsidR="00940C4A">
        <w:t>(</w:t>
      </w:r>
      <w:r w:rsidR="006A4B50">
        <w:t>and potentially overestimate</w:t>
      </w:r>
      <w:r w:rsidR="003971B7">
        <w:t>)</w:t>
      </w:r>
      <w:r w:rsidR="00940C4A">
        <w:t xml:space="preserve"> that </w:t>
      </w:r>
      <w:r w:rsidR="0012078D">
        <w:t xml:space="preserve">there may be six </w:t>
      </w:r>
      <w:r w:rsidR="008A14EB">
        <w:t>summaries</w:t>
      </w:r>
      <w:r w:rsidR="001D3F84">
        <w:t xml:space="preserve"> </w:t>
      </w:r>
      <w:r w:rsidR="008A14EB">
        <w:t xml:space="preserve">submitted by drug sponsors </w:t>
      </w:r>
      <w:r w:rsidR="0012078D">
        <w:t>included in this initial group of reports.</w:t>
      </w:r>
    </w:p>
    <w:p w:rsidR="001848BA" w:rsidP="009B3C6A" w14:paraId="5BB56844" w14:textId="7A1A6225">
      <w:r>
        <w:t xml:space="preserve">With increasing awareness of the </w:t>
      </w:r>
      <w:r w:rsidR="007528C4">
        <w:t>Right to Try</w:t>
      </w:r>
      <w:r>
        <w:t xml:space="preserve"> Act pathway for access to investigational drugs</w:t>
      </w:r>
      <w:r w:rsidR="004C36E4">
        <w:t xml:space="preserve"> without being part of clinical trials</w:t>
      </w:r>
      <w:r>
        <w:t xml:space="preserve">, the number of individual patients seeking access to such treatments may rise. There is uncertainty concerning the extent </w:t>
      </w:r>
      <w:r w:rsidR="009264ED">
        <w:t xml:space="preserve">of this increase, however. There may be </w:t>
      </w:r>
      <w:r w:rsidR="00BA3406">
        <w:t xml:space="preserve">some increase </w:t>
      </w:r>
      <w:r w:rsidR="009A55F3">
        <w:t xml:space="preserve">in the years following passage of the </w:t>
      </w:r>
      <w:r w:rsidR="007528C4">
        <w:t>Right to Try</w:t>
      </w:r>
      <w:r w:rsidR="009A55F3">
        <w:t xml:space="preserve"> Act</w:t>
      </w:r>
      <w:r w:rsidR="00360BC1">
        <w:t>,</w:t>
      </w:r>
      <w:r w:rsidR="009A55F3">
        <w:t xml:space="preserve"> </w:t>
      </w:r>
      <w:r w:rsidR="00926F34">
        <w:t>which may</w:t>
      </w:r>
      <w:r w:rsidR="009A55F3">
        <w:t xml:space="preserve"> at some point level off or even decline. </w:t>
      </w:r>
      <w:r w:rsidR="009B3C6A">
        <w:fldChar w:fldCharType="begin"/>
      </w:r>
      <w:r w:rsidR="009B3C6A">
        <w:instrText xml:space="preserve"> REF _Ref75274165 \h </w:instrText>
      </w:r>
      <w:r w:rsidR="009B3C6A">
        <w:fldChar w:fldCharType="separate"/>
      </w:r>
      <w:r w:rsidR="009B3C6A">
        <w:t xml:space="preserve">Table </w:t>
      </w:r>
      <w:r w:rsidR="009B3C6A">
        <w:rPr>
          <w:noProof/>
        </w:rPr>
        <w:t>2</w:t>
      </w:r>
      <w:r w:rsidR="009B3C6A">
        <w:fldChar w:fldCharType="end"/>
      </w:r>
      <w:r w:rsidR="009B3C6A">
        <w:t xml:space="preserve"> </w:t>
      </w:r>
      <w:r w:rsidR="004255E2">
        <w:t xml:space="preserve">outlines our assumptions and estimates for the expected number of </w:t>
      </w:r>
      <w:r w:rsidR="007528C4">
        <w:t>Right to Try</w:t>
      </w:r>
      <w:r w:rsidR="004255E2">
        <w:t xml:space="preserve"> Act annual summary reports submitted.</w:t>
      </w:r>
      <w:r w:rsidR="00F3640E">
        <w:t xml:space="preserve"> The cost to prepare and submit each report</w:t>
      </w:r>
      <w:r w:rsidR="001B46A8">
        <w:t xml:space="preserve">, estimated </w:t>
      </w:r>
      <w:r w:rsidR="0079623E">
        <w:t xml:space="preserve">above </w:t>
      </w:r>
      <w:r w:rsidR="001B46A8">
        <w:t>at $</w:t>
      </w:r>
      <w:r w:rsidR="00A52C42">
        <w:t>493.90</w:t>
      </w:r>
      <w:r w:rsidR="001B46A8">
        <w:t xml:space="preserve">, </w:t>
      </w:r>
      <w:r w:rsidR="0079623E">
        <w:t xml:space="preserve">is </w:t>
      </w:r>
      <w:r w:rsidR="001B46A8">
        <w:t xml:space="preserve">multiplied by the estimated number of annual reports </w:t>
      </w:r>
      <w:r w:rsidR="00AB77F2">
        <w:t xml:space="preserve">we expect to receive over a ten-year period </w:t>
      </w:r>
      <w:r w:rsidR="0079623E">
        <w:t>(six in year one, eight in year two, twelve in each subsequent year) to obtain the overall estimated costs of preparing and submitting these annual summary reports.</w:t>
      </w:r>
      <w:r w:rsidR="00FE67AE">
        <w:t xml:space="preserve"> </w:t>
      </w:r>
    </w:p>
    <w:p w:rsidR="009B3C6A" w:rsidP="009B3C6A" w14:paraId="7C5DF843" w14:textId="594A58EA">
      <w:pPr>
        <w:pStyle w:val="Caption"/>
        <w:keepNext/>
      </w:pPr>
      <w:bookmarkStart w:id="39" w:name="_Ref75274165"/>
      <w:r>
        <w:t xml:space="preserve">Table </w:t>
      </w:r>
      <w:r w:rsidR="00415C3F">
        <w:fldChar w:fldCharType="begin"/>
      </w:r>
      <w:r w:rsidR="00415C3F">
        <w:instrText xml:space="preserve"> SEQ Table \* ARABIC </w:instrText>
      </w:r>
      <w:r w:rsidR="00415C3F">
        <w:fldChar w:fldCharType="separate"/>
      </w:r>
      <w:r>
        <w:rPr>
          <w:noProof/>
        </w:rPr>
        <w:t>2</w:t>
      </w:r>
      <w:r w:rsidR="00415C3F">
        <w:rPr>
          <w:noProof/>
        </w:rPr>
        <w:fldChar w:fldCharType="end"/>
      </w:r>
      <w:bookmarkEnd w:id="39"/>
      <w:r>
        <w:t xml:space="preserve">. </w:t>
      </w:r>
      <w:r w:rsidRPr="004368BF">
        <w:t>Estimated Number of Right to Try Act Annual Summary Reports</w:t>
      </w:r>
    </w:p>
    <w:tbl>
      <w:tblPr>
        <w:tblStyle w:val="TableGrid"/>
        <w:tblW w:w="5000" w:type="pct"/>
        <w:jc w:val="center"/>
        <w:tblLook w:val="04A0"/>
      </w:tblPr>
      <w:tblGrid>
        <w:gridCol w:w="2651"/>
        <w:gridCol w:w="2319"/>
        <w:gridCol w:w="2319"/>
        <w:gridCol w:w="2061"/>
      </w:tblGrid>
      <w:tr w14:paraId="489FA5DA" w14:textId="3234C506" w:rsidTr="005C1A27">
        <w:tblPrEx>
          <w:tblW w:w="5000" w:type="pct"/>
          <w:jc w:val="center"/>
          <w:tblLook w:val="04A0"/>
        </w:tblPrEx>
        <w:trPr>
          <w:jc w:val="center"/>
        </w:trPr>
        <w:tc>
          <w:tcPr>
            <w:tcW w:w="1418" w:type="pct"/>
            <w:vAlign w:val="bottom"/>
          </w:tcPr>
          <w:p w:rsidR="00354CC8" w:rsidRPr="009B3C6A" w:rsidP="009B3C6A" w14:paraId="66A5BF7C" w14:textId="77777777">
            <w:pPr>
              <w:spacing w:after="0"/>
              <w:jc w:val="center"/>
            </w:pPr>
            <w:r w:rsidRPr="009B3C6A">
              <w:t>Year After Passage of Right to Try Act</w:t>
            </w:r>
          </w:p>
        </w:tc>
        <w:tc>
          <w:tcPr>
            <w:tcW w:w="1240" w:type="pct"/>
            <w:vAlign w:val="bottom"/>
          </w:tcPr>
          <w:p w:rsidR="00354CC8" w:rsidRPr="009B3C6A" w:rsidP="009B3C6A" w14:paraId="7FAFD6E7" w14:textId="68BB3524">
            <w:pPr>
              <w:spacing w:after="0"/>
              <w:jc w:val="center"/>
            </w:pPr>
            <w:r w:rsidRPr="009B3C6A">
              <w:t>Expected Increase in Patient Requests and Annual Reports</w:t>
            </w:r>
            <w:r w:rsidR="009B3C6A">
              <w:t xml:space="preserve"> (%)</w:t>
            </w:r>
          </w:p>
        </w:tc>
        <w:tc>
          <w:tcPr>
            <w:tcW w:w="1240" w:type="pct"/>
            <w:vAlign w:val="bottom"/>
          </w:tcPr>
          <w:p w:rsidR="00354CC8" w:rsidRPr="009B3C6A" w:rsidP="009B3C6A" w14:paraId="17D45A7A" w14:textId="77777777">
            <w:pPr>
              <w:spacing w:after="0"/>
              <w:jc w:val="center"/>
            </w:pPr>
            <w:r w:rsidRPr="009B3C6A">
              <w:t>Expected Number of Annual Reports</w:t>
            </w:r>
          </w:p>
        </w:tc>
        <w:tc>
          <w:tcPr>
            <w:tcW w:w="1102" w:type="pct"/>
            <w:vAlign w:val="bottom"/>
          </w:tcPr>
          <w:p w:rsidR="00354CC8" w:rsidRPr="009B3C6A" w:rsidP="009B3C6A" w14:paraId="2D77396B" w14:textId="651C2FF3">
            <w:pPr>
              <w:spacing w:after="0"/>
              <w:jc w:val="center"/>
            </w:pPr>
            <w:r w:rsidRPr="009B3C6A">
              <w:t>Estimated Annual Costs</w:t>
            </w:r>
            <w:r w:rsidRPr="009B3C6A" w:rsidR="00E65939">
              <w:t xml:space="preserve"> (2020$)</w:t>
            </w:r>
          </w:p>
        </w:tc>
      </w:tr>
      <w:tr w14:paraId="2A851922" w14:textId="51E2873A" w:rsidTr="005C1A27">
        <w:tblPrEx>
          <w:tblW w:w="5000" w:type="pct"/>
          <w:jc w:val="center"/>
          <w:tblLook w:val="04A0"/>
        </w:tblPrEx>
        <w:trPr>
          <w:jc w:val="center"/>
        </w:trPr>
        <w:tc>
          <w:tcPr>
            <w:tcW w:w="1418" w:type="pct"/>
            <w:vAlign w:val="bottom"/>
          </w:tcPr>
          <w:p w:rsidR="00354CC8" w:rsidRPr="009B3C6A" w:rsidP="009B3C6A" w14:paraId="2FAA8A7E" w14:textId="77777777">
            <w:pPr>
              <w:spacing w:after="0"/>
              <w:jc w:val="center"/>
            </w:pPr>
            <w:r w:rsidRPr="009B3C6A">
              <w:t>1</w:t>
            </w:r>
          </w:p>
        </w:tc>
        <w:tc>
          <w:tcPr>
            <w:tcW w:w="1240" w:type="pct"/>
            <w:vAlign w:val="bottom"/>
          </w:tcPr>
          <w:p w:rsidR="00354CC8" w:rsidRPr="009B3C6A" w:rsidP="009B3C6A" w14:paraId="3C8FC5A3" w14:textId="77777777">
            <w:pPr>
              <w:spacing w:after="0"/>
              <w:jc w:val="center"/>
            </w:pPr>
            <w:r w:rsidRPr="009B3C6A">
              <w:t>30</w:t>
            </w:r>
          </w:p>
        </w:tc>
        <w:tc>
          <w:tcPr>
            <w:tcW w:w="1240" w:type="pct"/>
            <w:vAlign w:val="bottom"/>
          </w:tcPr>
          <w:p w:rsidR="00354CC8" w:rsidRPr="009B3C6A" w:rsidP="009B3C6A" w14:paraId="729DCB17" w14:textId="77777777">
            <w:pPr>
              <w:spacing w:after="0"/>
              <w:jc w:val="center"/>
            </w:pPr>
            <w:r w:rsidRPr="009B3C6A">
              <w:t>6</w:t>
            </w:r>
          </w:p>
        </w:tc>
        <w:tc>
          <w:tcPr>
            <w:tcW w:w="1102" w:type="pct"/>
            <w:vAlign w:val="bottom"/>
          </w:tcPr>
          <w:p w:rsidR="00354CC8" w:rsidRPr="009B3C6A" w:rsidP="009B3C6A" w14:paraId="7A6A8F3D" w14:textId="70F29B0A">
            <w:pPr>
              <w:spacing w:after="0"/>
              <w:jc w:val="center"/>
            </w:pPr>
            <w:r w:rsidRPr="009B3C6A">
              <w:rPr>
                <w:color w:val="000000"/>
              </w:rPr>
              <w:t>$2,963</w:t>
            </w:r>
          </w:p>
        </w:tc>
      </w:tr>
      <w:tr w14:paraId="61DC5B5A" w14:textId="650608D3" w:rsidTr="005C1A27">
        <w:tblPrEx>
          <w:tblW w:w="5000" w:type="pct"/>
          <w:jc w:val="center"/>
          <w:tblLook w:val="04A0"/>
        </w:tblPrEx>
        <w:trPr>
          <w:jc w:val="center"/>
        </w:trPr>
        <w:tc>
          <w:tcPr>
            <w:tcW w:w="1418" w:type="pct"/>
            <w:vAlign w:val="bottom"/>
          </w:tcPr>
          <w:p w:rsidR="00354CC8" w:rsidRPr="009B3C6A" w:rsidP="009B3C6A" w14:paraId="4F21F6DB" w14:textId="77777777">
            <w:pPr>
              <w:spacing w:after="0"/>
              <w:jc w:val="center"/>
            </w:pPr>
            <w:r w:rsidRPr="009B3C6A">
              <w:t>2</w:t>
            </w:r>
          </w:p>
        </w:tc>
        <w:tc>
          <w:tcPr>
            <w:tcW w:w="1240" w:type="pct"/>
            <w:vAlign w:val="bottom"/>
          </w:tcPr>
          <w:p w:rsidR="00354CC8" w:rsidRPr="009B3C6A" w:rsidP="009B3C6A" w14:paraId="650810AA" w14:textId="77777777">
            <w:pPr>
              <w:spacing w:after="0"/>
              <w:jc w:val="center"/>
            </w:pPr>
            <w:r w:rsidRPr="009B3C6A">
              <w:t>40</w:t>
            </w:r>
          </w:p>
        </w:tc>
        <w:tc>
          <w:tcPr>
            <w:tcW w:w="1240" w:type="pct"/>
            <w:vAlign w:val="bottom"/>
          </w:tcPr>
          <w:p w:rsidR="00354CC8" w:rsidRPr="009B3C6A" w:rsidP="009B3C6A" w14:paraId="01743330" w14:textId="77777777">
            <w:pPr>
              <w:spacing w:after="0"/>
              <w:jc w:val="center"/>
            </w:pPr>
            <w:r w:rsidRPr="009B3C6A">
              <w:t>8</w:t>
            </w:r>
          </w:p>
        </w:tc>
        <w:tc>
          <w:tcPr>
            <w:tcW w:w="1102" w:type="pct"/>
            <w:vAlign w:val="bottom"/>
          </w:tcPr>
          <w:p w:rsidR="00354CC8" w:rsidRPr="009B3C6A" w:rsidP="009B3C6A" w14:paraId="338D759F" w14:textId="2632BD3B">
            <w:pPr>
              <w:spacing w:after="0"/>
              <w:jc w:val="center"/>
            </w:pPr>
            <w:r w:rsidRPr="009B3C6A">
              <w:rPr>
                <w:color w:val="000000"/>
              </w:rPr>
              <w:t>$3,951</w:t>
            </w:r>
          </w:p>
        </w:tc>
      </w:tr>
      <w:tr w14:paraId="462EEB76" w14:textId="54E62EF9" w:rsidTr="005C1A27">
        <w:tblPrEx>
          <w:tblW w:w="5000" w:type="pct"/>
          <w:jc w:val="center"/>
          <w:tblLook w:val="04A0"/>
        </w:tblPrEx>
        <w:trPr>
          <w:jc w:val="center"/>
        </w:trPr>
        <w:tc>
          <w:tcPr>
            <w:tcW w:w="1418" w:type="pct"/>
            <w:vAlign w:val="bottom"/>
          </w:tcPr>
          <w:p w:rsidR="00354CC8" w:rsidRPr="009B3C6A" w:rsidP="009B3C6A" w14:paraId="5DA97E43" w14:textId="77777777">
            <w:pPr>
              <w:spacing w:after="0"/>
              <w:jc w:val="center"/>
            </w:pPr>
            <w:r w:rsidRPr="009B3C6A">
              <w:t>3</w:t>
            </w:r>
          </w:p>
        </w:tc>
        <w:tc>
          <w:tcPr>
            <w:tcW w:w="1240" w:type="pct"/>
            <w:vAlign w:val="bottom"/>
          </w:tcPr>
          <w:p w:rsidR="00354CC8" w:rsidRPr="009B3C6A" w:rsidP="009B3C6A" w14:paraId="4A5DAB3A" w14:textId="77777777">
            <w:pPr>
              <w:spacing w:after="0"/>
              <w:jc w:val="center"/>
            </w:pPr>
            <w:r w:rsidRPr="009B3C6A">
              <w:t>50</w:t>
            </w:r>
          </w:p>
        </w:tc>
        <w:tc>
          <w:tcPr>
            <w:tcW w:w="1240" w:type="pct"/>
            <w:vAlign w:val="bottom"/>
          </w:tcPr>
          <w:p w:rsidR="00354CC8" w:rsidRPr="009B3C6A" w:rsidP="009B3C6A" w14:paraId="067EB693" w14:textId="77777777">
            <w:pPr>
              <w:spacing w:after="0"/>
              <w:jc w:val="center"/>
            </w:pPr>
            <w:r w:rsidRPr="009B3C6A">
              <w:t>12</w:t>
            </w:r>
          </w:p>
        </w:tc>
        <w:tc>
          <w:tcPr>
            <w:tcW w:w="1102" w:type="pct"/>
            <w:vAlign w:val="bottom"/>
          </w:tcPr>
          <w:p w:rsidR="00354CC8" w:rsidRPr="009B3C6A" w:rsidP="009B3C6A" w14:paraId="1DA4FAF9" w14:textId="039237CF">
            <w:pPr>
              <w:spacing w:after="0"/>
              <w:jc w:val="center"/>
            </w:pPr>
            <w:r w:rsidRPr="009B3C6A">
              <w:rPr>
                <w:color w:val="000000"/>
              </w:rPr>
              <w:t>$5,927</w:t>
            </w:r>
          </w:p>
        </w:tc>
      </w:tr>
      <w:tr w14:paraId="564688E6" w14:textId="5D3CE73D" w:rsidTr="005C1A27">
        <w:tblPrEx>
          <w:tblW w:w="5000" w:type="pct"/>
          <w:jc w:val="center"/>
          <w:tblLook w:val="04A0"/>
        </w:tblPrEx>
        <w:trPr>
          <w:jc w:val="center"/>
        </w:trPr>
        <w:tc>
          <w:tcPr>
            <w:tcW w:w="1418" w:type="pct"/>
            <w:vAlign w:val="bottom"/>
          </w:tcPr>
          <w:p w:rsidR="00354CC8" w:rsidRPr="009B3C6A" w:rsidP="009B3C6A" w14:paraId="110BE157" w14:textId="77777777">
            <w:pPr>
              <w:spacing w:after="0"/>
              <w:jc w:val="center"/>
            </w:pPr>
            <w:r w:rsidRPr="009B3C6A">
              <w:t>4</w:t>
            </w:r>
          </w:p>
        </w:tc>
        <w:tc>
          <w:tcPr>
            <w:tcW w:w="1240" w:type="pct"/>
            <w:vAlign w:val="bottom"/>
          </w:tcPr>
          <w:p w:rsidR="00354CC8" w:rsidRPr="009B3C6A" w:rsidP="009B3C6A" w14:paraId="0FD0876C" w14:textId="77777777">
            <w:pPr>
              <w:spacing w:after="0"/>
              <w:jc w:val="center"/>
            </w:pPr>
            <w:r w:rsidRPr="009B3C6A">
              <w:t>0</w:t>
            </w:r>
          </w:p>
        </w:tc>
        <w:tc>
          <w:tcPr>
            <w:tcW w:w="1240" w:type="pct"/>
            <w:vAlign w:val="bottom"/>
          </w:tcPr>
          <w:p w:rsidR="00354CC8" w:rsidRPr="009B3C6A" w:rsidP="009B3C6A" w14:paraId="4DE7F248" w14:textId="77777777">
            <w:pPr>
              <w:spacing w:after="0"/>
              <w:jc w:val="center"/>
            </w:pPr>
            <w:r w:rsidRPr="009B3C6A">
              <w:t>12</w:t>
            </w:r>
          </w:p>
        </w:tc>
        <w:tc>
          <w:tcPr>
            <w:tcW w:w="1102" w:type="pct"/>
            <w:vAlign w:val="bottom"/>
          </w:tcPr>
          <w:p w:rsidR="00354CC8" w:rsidRPr="009B3C6A" w:rsidP="009B3C6A" w14:paraId="048005A0" w14:textId="1B73BC98">
            <w:pPr>
              <w:spacing w:after="0"/>
              <w:jc w:val="center"/>
            </w:pPr>
            <w:r w:rsidRPr="009B3C6A">
              <w:rPr>
                <w:color w:val="000000"/>
              </w:rPr>
              <w:t>$5,927</w:t>
            </w:r>
          </w:p>
        </w:tc>
      </w:tr>
      <w:tr w14:paraId="57B97FA9" w14:textId="3E648545" w:rsidTr="005C1A27">
        <w:tblPrEx>
          <w:tblW w:w="5000" w:type="pct"/>
          <w:jc w:val="center"/>
          <w:tblLook w:val="04A0"/>
        </w:tblPrEx>
        <w:trPr>
          <w:jc w:val="center"/>
        </w:trPr>
        <w:tc>
          <w:tcPr>
            <w:tcW w:w="1418" w:type="pct"/>
            <w:vAlign w:val="bottom"/>
          </w:tcPr>
          <w:p w:rsidR="00354CC8" w:rsidRPr="009B3C6A" w:rsidP="009B3C6A" w14:paraId="6AFECA1A" w14:textId="21F53516">
            <w:pPr>
              <w:spacing w:after="0"/>
              <w:jc w:val="center"/>
            </w:pPr>
            <w:r w:rsidRPr="009B3C6A">
              <w:t>5 - 10</w:t>
            </w:r>
          </w:p>
        </w:tc>
        <w:tc>
          <w:tcPr>
            <w:tcW w:w="1240" w:type="pct"/>
            <w:vAlign w:val="bottom"/>
          </w:tcPr>
          <w:p w:rsidR="00354CC8" w:rsidRPr="009B3C6A" w:rsidP="009B3C6A" w14:paraId="4B9C2C86" w14:textId="77777777">
            <w:pPr>
              <w:spacing w:after="0"/>
              <w:jc w:val="center"/>
            </w:pPr>
            <w:r w:rsidRPr="009B3C6A">
              <w:t>0</w:t>
            </w:r>
          </w:p>
        </w:tc>
        <w:tc>
          <w:tcPr>
            <w:tcW w:w="1240" w:type="pct"/>
            <w:vAlign w:val="bottom"/>
          </w:tcPr>
          <w:p w:rsidR="00354CC8" w:rsidRPr="009B3C6A" w:rsidP="009B3C6A" w14:paraId="4164EBDE" w14:textId="77777777">
            <w:pPr>
              <w:spacing w:after="0"/>
              <w:jc w:val="center"/>
            </w:pPr>
            <w:r w:rsidRPr="009B3C6A">
              <w:t>12</w:t>
            </w:r>
          </w:p>
        </w:tc>
        <w:tc>
          <w:tcPr>
            <w:tcW w:w="1102" w:type="pct"/>
            <w:vAlign w:val="bottom"/>
          </w:tcPr>
          <w:p w:rsidR="00354CC8" w:rsidRPr="009B3C6A" w:rsidP="009B3C6A" w14:paraId="3159801C" w14:textId="0E1B2DCB">
            <w:pPr>
              <w:spacing w:after="0"/>
              <w:jc w:val="center"/>
            </w:pPr>
            <w:r w:rsidRPr="009B3C6A">
              <w:rPr>
                <w:color w:val="000000"/>
              </w:rPr>
              <w:t>$5,927</w:t>
            </w:r>
          </w:p>
        </w:tc>
      </w:tr>
    </w:tbl>
    <w:p w:rsidR="00A52C42" w:rsidP="005C1A27" w14:paraId="4B771D8B" w14:textId="7BA1912E">
      <w:pPr>
        <w:spacing w:before="240"/>
      </w:pPr>
      <w:r w:rsidRPr="009B3C6A">
        <w:fldChar w:fldCharType="begin"/>
      </w:r>
      <w:r w:rsidRPr="009B3C6A">
        <w:instrText xml:space="preserve"> REF _Ref75274203 \h  \* MERGEFORMAT </w:instrText>
      </w:r>
      <w:r w:rsidRPr="009B3C6A">
        <w:fldChar w:fldCharType="separate"/>
      </w:r>
      <w:r w:rsidRPr="009B3C6A">
        <w:t xml:space="preserve">Table </w:t>
      </w:r>
      <w:r w:rsidRPr="009B3C6A">
        <w:rPr>
          <w:noProof/>
        </w:rPr>
        <w:t>3</w:t>
      </w:r>
      <w:r w:rsidRPr="009B3C6A">
        <w:fldChar w:fldCharType="end"/>
      </w:r>
      <w:r w:rsidRPr="009B3C6A">
        <w:t xml:space="preserve"> </w:t>
      </w:r>
      <w:r w:rsidRPr="009B3C6A">
        <w:fldChar w:fldCharType="begin"/>
      </w:r>
      <w:r w:rsidRPr="009B3C6A">
        <w:instrText xml:space="preserve"> REF _Ref75274213 \p \h  \* MERGEFORMAT </w:instrText>
      </w:r>
      <w:r w:rsidRPr="009B3C6A">
        <w:fldChar w:fldCharType="separate"/>
      </w:r>
      <w:r w:rsidRPr="009B3C6A">
        <w:t>below</w:t>
      </w:r>
      <w:r w:rsidRPr="009B3C6A">
        <w:fldChar w:fldCharType="end"/>
      </w:r>
      <w:r w:rsidRPr="009B3C6A">
        <w:t xml:space="preserve"> </w:t>
      </w:r>
      <w:r w:rsidRPr="009B3C6A" w:rsidR="00354CC8">
        <w:t>presents the total present value and annualized values</w:t>
      </w:r>
      <w:r w:rsidRPr="009B3C6A">
        <w:t xml:space="preserve"> over the ten-year period after the passage of the Right the Try Act</w:t>
      </w:r>
      <w:r w:rsidRPr="009B3C6A" w:rsidR="00354CC8">
        <w:t xml:space="preserve">. </w:t>
      </w:r>
      <w:r w:rsidRPr="009B3C6A">
        <w:t>The total estimated present value of this rule’s costs is $</w:t>
      </w:r>
      <w:r w:rsidRPr="009B3C6A" w:rsidR="00354CC8">
        <w:t>37,132</w:t>
      </w:r>
      <w:r w:rsidRPr="009B3C6A">
        <w:t xml:space="preserve"> at a seven percent discount rate and $</w:t>
      </w:r>
      <w:r w:rsidRPr="009B3C6A" w:rsidR="00354CC8">
        <w:t>45,818</w:t>
      </w:r>
      <w:r w:rsidRPr="009B3C6A">
        <w:t xml:space="preserve"> at a three percent discount rate (in 20</w:t>
      </w:r>
      <w:r w:rsidRPr="009B3C6A" w:rsidR="00354CC8">
        <w:t>20</w:t>
      </w:r>
      <w:r w:rsidRPr="009B3C6A">
        <w:t xml:space="preserve"> dollars). The annualized cost of this rule over ten years is $</w:t>
      </w:r>
      <w:r w:rsidRPr="009B3C6A" w:rsidR="00354CC8">
        <w:rPr>
          <w:color w:val="000000"/>
        </w:rPr>
        <w:t xml:space="preserve"> </w:t>
      </w:r>
      <w:r w:rsidRPr="009B3C6A" w:rsidR="00354CC8">
        <w:rPr>
          <w:rFonts w:eastAsia="Times New Roman"/>
          <w:color w:val="000000"/>
          <w:lang w:eastAsia="en-US"/>
        </w:rPr>
        <w:t xml:space="preserve">$5,287 </w:t>
      </w:r>
      <w:r w:rsidRPr="009B3C6A">
        <w:t>at a seven percent discount rate and $5,</w:t>
      </w:r>
      <w:r w:rsidRPr="009B3C6A" w:rsidR="00354CC8">
        <w:t>371</w:t>
      </w:r>
      <w:r w:rsidRPr="009B3C6A">
        <w:t xml:space="preserve"> at a three percent discount rate.</w:t>
      </w:r>
    </w:p>
    <w:p w:rsidR="009B3C6A" w:rsidP="009B3C6A" w14:paraId="4A80B8FF" w14:textId="07175CC6">
      <w:pPr>
        <w:pStyle w:val="Caption"/>
        <w:keepNext/>
      </w:pPr>
      <w:bookmarkStart w:id="40" w:name="_Ref75274203"/>
      <w:bookmarkStart w:id="41" w:name="_Ref75274213"/>
      <w:r>
        <w:t xml:space="preserve">Table </w:t>
      </w:r>
      <w:r w:rsidR="00415C3F">
        <w:fldChar w:fldCharType="begin"/>
      </w:r>
      <w:r w:rsidR="00415C3F">
        <w:instrText xml:space="preserve"> SEQ Table \* ARABIC </w:instrText>
      </w:r>
      <w:r w:rsidR="00415C3F">
        <w:fldChar w:fldCharType="separate"/>
      </w:r>
      <w:r>
        <w:rPr>
          <w:noProof/>
        </w:rPr>
        <w:t>3</w:t>
      </w:r>
      <w:r w:rsidR="00415C3F">
        <w:rPr>
          <w:noProof/>
        </w:rPr>
        <w:fldChar w:fldCharType="end"/>
      </w:r>
      <w:bookmarkEnd w:id="40"/>
      <w:r>
        <w:t xml:space="preserve">. </w:t>
      </w:r>
      <w:r w:rsidRPr="003C57C7">
        <w:t>Estimated Total Costs of the Final Rule (2020$)</w:t>
      </w:r>
      <w:bookmarkEnd w:id="41"/>
    </w:p>
    <w:tbl>
      <w:tblPr>
        <w:tblStyle w:val="TableGrid"/>
        <w:tblW w:w="0" w:type="auto"/>
        <w:tblLook w:val="04A0"/>
      </w:tblPr>
      <w:tblGrid>
        <w:gridCol w:w="2876"/>
        <w:gridCol w:w="2877"/>
        <w:gridCol w:w="2877"/>
      </w:tblGrid>
      <w:tr w14:paraId="77CF19F6" w14:textId="77777777" w:rsidTr="009B229E">
        <w:tblPrEx>
          <w:tblW w:w="0" w:type="auto"/>
          <w:tblLook w:val="04A0"/>
        </w:tblPrEx>
        <w:tc>
          <w:tcPr>
            <w:tcW w:w="2876" w:type="dxa"/>
            <w:vAlign w:val="bottom"/>
          </w:tcPr>
          <w:p w:rsidR="00354CC8" w:rsidRPr="00E65939" w:rsidP="009B3C6A" w14:paraId="0DCA7535" w14:textId="77777777">
            <w:pPr>
              <w:spacing w:after="0"/>
              <w:rPr>
                <w:b/>
                <w:bCs/>
              </w:rPr>
            </w:pPr>
          </w:p>
        </w:tc>
        <w:tc>
          <w:tcPr>
            <w:tcW w:w="2877" w:type="dxa"/>
            <w:vAlign w:val="bottom"/>
          </w:tcPr>
          <w:p w:rsidR="00354CC8" w:rsidRPr="00E65939" w:rsidP="009B3C6A" w14:paraId="2AFF22CF" w14:textId="15FA0BF2">
            <w:pPr>
              <w:spacing w:after="0"/>
              <w:jc w:val="center"/>
              <w:rPr>
                <w:b/>
                <w:bCs/>
              </w:rPr>
            </w:pPr>
            <w:r w:rsidRPr="00E65939">
              <w:rPr>
                <w:b/>
                <w:bCs/>
                <w:color w:val="000000"/>
              </w:rPr>
              <w:t>Present Value</w:t>
            </w:r>
          </w:p>
        </w:tc>
        <w:tc>
          <w:tcPr>
            <w:tcW w:w="2877" w:type="dxa"/>
            <w:vAlign w:val="bottom"/>
          </w:tcPr>
          <w:p w:rsidR="00354CC8" w:rsidRPr="00E65939" w:rsidP="009B3C6A" w14:paraId="18E72DA7" w14:textId="34A8F052">
            <w:pPr>
              <w:spacing w:after="0"/>
              <w:jc w:val="center"/>
              <w:rPr>
                <w:b/>
                <w:bCs/>
              </w:rPr>
            </w:pPr>
            <w:r w:rsidRPr="00E65939">
              <w:rPr>
                <w:b/>
                <w:bCs/>
                <w:color w:val="000000"/>
              </w:rPr>
              <w:t>Annualized Value</w:t>
            </w:r>
          </w:p>
        </w:tc>
      </w:tr>
      <w:tr w14:paraId="79A9CB5F" w14:textId="77777777" w:rsidTr="009B229E">
        <w:tblPrEx>
          <w:tblW w:w="0" w:type="auto"/>
          <w:tblLook w:val="04A0"/>
        </w:tblPrEx>
        <w:tc>
          <w:tcPr>
            <w:tcW w:w="2876" w:type="dxa"/>
            <w:vAlign w:val="bottom"/>
          </w:tcPr>
          <w:p w:rsidR="00354CC8" w:rsidRPr="00E65939" w:rsidP="009B3C6A" w14:paraId="5F23D858" w14:textId="5018567A">
            <w:pPr>
              <w:spacing w:after="0"/>
            </w:pPr>
            <w:r w:rsidRPr="00E65939">
              <w:rPr>
                <w:color w:val="000000"/>
              </w:rPr>
              <w:t>3% Discount Rate</w:t>
            </w:r>
          </w:p>
        </w:tc>
        <w:tc>
          <w:tcPr>
            <w:tcW w:w="2877" w:type="dxa"/>
            <w:vAlign w:val="bottom"/>
          </w:tcPr>
          <w:p w:rsidR="00354CC8" w:rsidRPr="00E65939" w:rsidP="009B3C6A" w14:paraId="7D2F8A0C" w14:textId="50BA543F">
            <w:pPr>
              <w:spacing w:after="0"/>
              <w:jc w:val="center"/>
            </w:pPr>
            <w:r w:rsidRPr="00E65939">
              <w:rPr>
                <w:color w:val="000000"/>
              </w:rPr>
              <w:t>$45,818</w:t>
            </w:r>
          </w:p>
        </w:tc>
        <w:tc>
          <w:tcPr>
            <w:tcW w:w="2877" w:type="dxa"/>
            <w:vAlign w:val="bottom"/>
          </w:tcPr>
          <w:p w:rsidR="00354CC8" w:rsidRPr="00E65939" w:rsidP="009B3C6A" w14:paraId="23CFE5A6" w14:textId="173ECB22">
            <w:pPr>
              <w:spacing w:after="0"/>
              <w:jc w:val="center"/>
            </w:pPr>
            <w:r w:rsidRPr="00E65939">
              <w:rPr>
                <w:color w:val="000000"/>
              </w:rPr>
              <w:t>$5,371</w:t>
            </w:r>
          </w:p>
        </w:tc>
      </w:tr>
      <w:tr w14:paraId="22F1613D" w14:textId="77777777" w:rsidTr="009B229E">
        <w:tblPrEx>
          <w:tblW w:w="0" w:type="auto"/>
          <w:tblLook w:val="04A0"/>
        </w:tblPrEx>
        <w:tc>
          <w:tcPr>
            <w:tcW w:w="2876" w:type="dxa"/>
            <w:vAlign w:val="bottom"/>
          </w:tcPr>
          <w:p w:rsidR="00354CC8" w:rsidRPr="00E65939" w:rsidP="009B3C6A" w14:paraId="01EBF2F4" w14:textId="5F038D73">
            <w:pPr>
              <w:spacing w:after="0"/>
            </w:pPr>
            <w:r w:rsidRPr="00E65939">
              <w:rPr>
                <w:color w:val="000000"/>
              </w:rPr>
              <w:t>7% Discount Rate</w:t>
            </w:r>
          </w:p>
        </w:tc>
        <w:tc>
          <w:tcPr>
            <w:tcW w:w="2877" w:type="dxa"/>
            <w:vAlign w:val="bottom"/>
          </w:tcPr>
          <w:p w:rsidR="00354CC8" w:rsidRPr="00E65939" w:rsidP="009B3C6A" w14:paraId="53D41C6F" w14:textId="2656542A">
            <w:pPr>
              <w:spacing w:after="0"/>
              <w:jc w:val="center"/>
            </w:pPr>
            <w:r w:rsidRPr="00E65939">
              <w:rPr>
                <w:color w:val="000000"/>
              </w:rPr>
              <w:t>$37,132</w:t>
            </w:r>
          </w:p>
        </w:tc>
        <w:tc>
          <w:tcPr>
            <w:tcW w:w="2877" w:type="dxa"/>
            <w:vAlign w:val="bottom"/>
          </w:tcPr>
          <w:p w:rsidR="00354CC8" w:rsidRPr="00E65939" w:rsidP="009B3C6A" w14:paraId="0B53A519" w14:textId="58E78B80">
            <w:pPr>
              <w:spacing w:after="0"/>
              <w:jc w:val="center"/>
            </w:pPr>
            <w:r w:rsidRPr="00E65939">
              <w:rPr>
                <w:color w:val="000000"/>
              </w:rPr>
              <w:t>$5,287</w:t>
            </w:r>
          </w:p>
        </w:tc>
      </w:tr>
    </w:tbl>
    <w:p w:rsidR="00354CC8" w:rsidRPr="00E65939" w:rsidP="009B3C6A" w14:paraId="25F24610" w14:textId="2C38CC93">
      <w:pPr>
        <w:rPr>
          <w:sz w:val="20"/>
          <w:szCs w:val="20"/>
        </w:rPr>
      </w:pPr>
      <w:r w:rsidRPr="00E65939">
        <w:rPr>
          <w:sz w:val="20"/>
          <w:szCs w:val="20"/>
        </w:rPr>
        <w:t xml:space="preserve">Note: Costs are estimated over a ten-year period. </w:t>
      </w:r>
    </w:p>
    <w:p w:rsidR="005A633E" w:rsidRPr="009B3C6A" w:rsidP="009B3C6A" w14:paraId="375A5BD9" w14:textId="77777777">
      <w:pPr>
        <w:pStyle w:val="Style2"/>
      </w:pPr>
      <w:bookmarkStart w:id="42" w:name="_Toc10474468"/>
      <w:bookmarkStart w:id="43" w:name="_Toc75273101"/>
      <w:bookmarkStart w:id="44" w:name="_Toc75273129"/>
      <w:r w:rsidRPr="009B3C6A">
        <w:t>G. Distributional Effects</w:t>
      </w:r>
      <w:bookmarkEnd w:id="42"/>
      <w:bookmarkEnd w:id="43"/>
      <w:bookmarkEnd w:id="44"/>
      <w:r w:rsidRPr="009B3C6A" w:rsidR="006D7B4C">
        <w:t xml:space="preserve"> </w:t>
      </w:r>
    </w:p>
    <w:p w:rsidR="005074D2" w:rsidP="005C1A27" w14:paraId="20826CED" w14:textId="4BB5485B">
      <w:pPr>
        <w:rPr>
          <w:rFonts w:eastAsia="Times New Roman"/>
          <w:lang w:eastAsia="en-US"/>
        </w:rPr>
      </w:pPr>
      <w:r w:rsidRPr="002D4FCA">
        <w:rPr>
          <w:rFonts w:eastAsia="Times New Roman"/>
          <w:lang w:eastAsia="en-US"/>
        </w:rPr>
        <w:t xml:space="preserve">We do not expect there to be any distributional effects of this rule. </w:t>
      </w:r>
      <w:r w:rsidR="00B05948">
        <w:rPr>
          <w:rFonts w:eastAsia="Times New Roman"/>
          <w:lang w:eastAsia="en-US"/>
        </w:rPr>
        <w:t xml:space="preserve">This </w:t>
      </w:r>
      <w:r w:rsidR="00A52C42">
        <w:rPr>
          <w:rFonts w:eastAsia="Times New Roman"/>
          <w:lang w:eastAsia="en-US"/>
        </w:rPr>
        <w:t>final</w:t>
      </w:r>
      <w:r w:rsidR="00B05948">
        <w:rPr>
          <w:rFonts w:eastAsia="Times New Roman"/>
          <w:lang w:eastAsia="en-US"/>
        </w:rPr>
        <w:t xml:space="preserve"> rule</w:t>
      </w:r>
      <w:r w:rsidR="00FD6661">
        <w:rPr>
          <w:rFonts w:eastAsia="Times New Roman"/>
          <w:lang w:eastAsia="en-US"/>
        </w:rPr>
        <w:t xml:space="preserve"> outlines the contents and deadline for an annual summary report submitted to FDA by drug </w:t>
      </w:r>
      <w:r>
        <w:rPr>
          <w:rFonts w:eastAsia="Times New Roman"/>
          <w:lang w:eastAsia="en-US"/>
        </w:rPr>
        <w:t>sponsors and</w:t>
      </w:r>
      <w:r w:rsidR="00FD6661">
        <w:rPr>
          <w:rFonts w:eastAsia="Times New Roman"/>
          <w:lang w:eastAsia="en-US"/>
        </w:rPr>
        <w:t xml:space="preserve"> is not expected to generate any disproportionate impact on any specific industry or population group.</w:t>
      </w:r>
    </w:p>
    <w:p w:rsidR="005A633E" w:rsidRPr="009B3C6A" w:rsidP="009B3C6A" w14:paraId="46998974" w14:textId="77777777">
      <w:pPr>
        <w:pStyle w:val="Style2"/>
      </w:pPr>
      <w:bookmarkStart w:id="45" w:name="_Toc10474469"/>
      <w:bookmarkStart w:id="46" w:name="_Toc75273102"/>
      <w:bookmarkStart w:id="47" w:name="_Toc75273130"/>
      <w:r w:rsidRPr="009B3C6A">
        <w:t>H. International Effects</w:t>
      </w:r>
      <w:bookmarkEnd w:id="45"/>
      <w:bookmarkEnd w:id="46"/>
      <w:bookmarkEnd w:id="47"/>
      <w:r w:rsidRPr="009B3C6A" w:rsidR="00D14D9B">
        <w:t xml:space="preserve"> </w:t>
      </w:r>
    </w:p>
    <w:p w:rsidR="009B3C6A" w:rsidP="005C1A27" w14:paraId="0FC566B5" w14:textId="2486E292">
      <w:pPr>
        <w:rPr>
          <w:rFonts w:eastAsiaTheme="majorEastAsia" w:cstheme="majorBidi"/>
          <w:b/>
          <w:szCs w:val="32"/>
          <w:u w:val="single"/>
        </w:rPr>
      </w:pPr>
      <w:r>
        <w:rPr>
          <w:rFonts w:eastAsia="Times New Roman"/>
          <w:lang w:eastAsia="en-US"/>
        </w:rPr>
        <w:tab/>
      </w:r>
      <w:r w:rsidRPr="00FD1661">
        <w:rPr>
          <w:rFonts w:eastAsia="Times New Roman"/>
          <w:lang w:eastAsia="en-US"/>
        </w:rPr>
        <w:t xml:space="preserve">We do not expect there to be any significant international effects of this rule. Both domestic and international </w:t>
      </w:r>
      <w:r w:rsidR="00E56BF2">
        <w:rPr>
          <w:rFonts w:eastAsia="Times New Roman"/>
          <w:lang w:eastAsia="en-US"/>
        </w:rPr>
        <w:t>drug sponsor</w:t>
      </w:r>
      <w:r w:rsidR="00DC75EB">
        <w:rPr>
          <w:rFonts w:eastAsia="Times New Roman"/>
          <w:lang w:eastAsia="en-US"/>
        </w:rPr>
        <w:t>s</w:t>
      </w:r>
      <w:r w:rsidR="00E56BF2">
        <w:rPr>
          <w:rFonts w:eastAsia="Times New Roman"/>
          <w:lang w:eastAsia="en-US"/>
        </w:rPr>
        <w:t xml:space="preserve"> would be subject to this annual summary reporting requirement</w:t>
      </w:r>
      <w:r w:rsidR="005C1A27">
        <w:rPr>
          <w:rFonts w:eastAsia="Times New Roman"/>
          <w:lang w:eastAsia="en-US"/>
        </w:rPr>
        <w:t>.</w:t>
      </w:r>
      <w:bookmarkStart w:id="48" w:name="_Toc10474470"/>
      <w:bookmarkStart w:id="49" w:name="_Toc75273103"/>
      <w:bookmarkStart w:id="50" w:name="_Toc75273131"/>
      <w:r>
        <w:br w:type="page"/>
      </w:r>
    </w:p>
    <w:p w:rsidR="00010F6D" w:rsidRPr="007447CB" w:rsidP="005C1A27" w14:paraId="14717676" w14:textId="0DB910C7">
      <w:pPr>
        <w:pStyle w:val="Style1"/>
      </w:pPr>
      <w:r w:rsidRPr="007447CB">
        <w:t xml:space="preserve">III. </w:t>
      </w:r>
      <w:r w:rsidR="004510D9">
        <w:t>Final</w:t>
      </w:r>
      <w:r w:rsidRPr="007447CB">
        <w:t xml:space="preserve"> Small Entity Analysis</w:t>
      </w:r>
      <w:bookmarkEnd w:id="48"/>
      <w:bookmarkEnd w:id="49"/>
      <w:bookmarkEnd w:id="50"/>
      <w:r w:rsidRPr="007447CB">
        <w:t xml:space="preserve"> </w:t>
      </w:r>
    </w:p>
    <w:p w:rsidR="006259CD" w:rsidP="009B3C6A" w14:paraId="51C105B4" w14:textId="1BC2A739">
      <w:pPr>
        <w:contextualSpacing/>
        <w:rPr>
          <w:bCs/>
        </w:rPr>
      </w:pPr>
      <w:r w:rsidRPr="00EE701C">
        <w:t xml:space="preserve">The Regulatory Flexibility Act requires Agencies to analyze regulatory options that would minimize any significant impact of a rule on small entities. </w:t>
      </w:r>
      <w:r w:rsidRPr="00EE701C" w:rsidR="00B5030B">
        <w:t>Because</w:t>
      </w:r>
      <w:r w:rsidR="00AB513F">
        <w:t xml:space="preserve"> the number of annual summary reports is anticipated to be relatively small (as a percentage of all investigational new drugs) and widely dispersed</w:t>
      </w:r>
      <w:r w:rsidRPr="00EE701C" w:rsidR="00B5030B">
        <w:t xml:space="preserve">, we certify that the </w:t>
      </w:r>
      <w:r w:rsidR="004510D9">
        <w:t>final</w:t>
      </w:r>
      <w:r w:rsidRPr="00EE701C" w:rsidR="00B5030B">
        <w:t xml:space="preserve"> rule will not have a significant economic impact on a substantial number of small entities. </w:t>
      </w:r>
      <w:r w:rsidRPr="00EE701C">
        <w:t xml:space="preserve">This analysis, as well as other sections in this document, serves as </w:t>
      </w:r>
      <w:r w:rsidRPr="00EE701C" w:rsidR="00B5030B">
        <w:t>the Initial R</w:t>
      </w:r>
      <w:r w:rsidRPr="00EE701C">
        <w:t xml:space="preserve">egulatory </w:t>
      </w:r>
      <w:r w:rsidRPr="00EE701C" w:rsidR="00B5030B">
        <w:t>F</w:t>
      </w:r>
      <w:r w:rsidRPr="00EE701C">
        <w:t xml:space="preserve">lexibility </w:t>
      </w:r>
      <w:r w:rsidRPr="00EE701C" w:rsidR="00B5030B">
        <w:t>A</w:t>
      </w:r>
      <w:r w:rsidRPr="00EE701C">
        <w:t>nalysis, as required under the Regulatory Flexibility Act</w:t>
      </w:r>
      <w:r w:rsidRPr="00EE701C" w:rsidR="00B5030B">
        <w:rPr>
          <w:bCs/>
        </w:rPr>
        <w:t>.</w:t>
      </w:r>
    </w:p>
    <w:p w:rsidR="009B3C6A" w:rsidP="009B3C6A" w14:paraId="193BD0D8" w14:textId="77777777">
      <w:pPr>
        <w:contextualSpacing/>
      </w:pPr>
    </w:p>
    <w:p w:rsidR="004510D9" w:rsidRPr="00626FE7" w:rsidP="009B3C6A" w14:paraId="48C81AE3" w14:textId="2301DB03">
      <w:pPr>
        <w:contextualSpacing/>
      </w:pPr>
      <w:r w:rsidRPr="008D46F2">
        <w:t>We re</w:t>
      </w:r>
      <w:r>
        <w:t>ceived no responses to our request for da</w:t>
      </w:r>
      <w:r w:rsidRPr="008D46F2">
        <w:t>ta on the number of small entities that would be affected by the rule</w:t>
      </w:r>
      <w:r>
        <w:t xml:space="preserve"> nor </w:t>
      </w:r>
      <w:r w:rsidRPr="008D46F2">
        <w:t>data on the economic impact of the rule on these small entities</w:t>
      </w:r>
      <w:r>
        <w:t xml:space="preserve">. </w:t>
      </w:r>
    </w:p>
    <w:p w:rsidR="009B3C6A" w:rsidP="009B3C6A" w14:paraId="530FB8EC" w14:textId="77777777">
      <w:pPr>
        <w:contextualSpacing/>
      </w:pPr>
    </w:p>
    <w:p w:rsidR="00B73617" w:rsidRPr="00626FE7" w:rsidP="009B3C6A" w14:paraId="7504BB4E" w14:textId="26C79E46">
      <w:pPr>
        <w:contextualSpacing/>
      </w:pPr>
      <w:r w:rsidRPr="00A56C2D">
        <w:t xml:space="preserve">The Small Business Administration defines an entity in the pharmaceutical industry as small if it has fewer than </w:t>
      </w:r>
      <w:r>
        <w:t>1,250</w:t>
      </w:r>
      <w:r w:rsidRPr="00A56C2D">
        <w:t xml:space="preserve"> employees.</w:t>
      </w:r>
      <w:r>
        <w:t xml:space="preserve"> </w:t>
      </w:r>
      <w:r w:rsidRPr="00A56C2D">
        <w:t>Based on this definition, about 90 percent of the drug entities are small.</w:t>
      </w:r>
      <w:r>
        <w:t xml:space="preserve"> </w:t>
      </w:r>
      <w:r w:rsidRPr="00A56C2D">
        <w:t xml:space="preserve">The impact on each entity will vary depending on its </w:t>
      </w:r>
      <w:r w:rsidR="003E0B3D">
        <w:t>information collection</w:t>
      </w:r>
      <w:r w:rsidRPr="00A56C2D">
        <w:t xml:space="preserve"> capabilities when the rule is implemented</w:t>
      </w:r>
      <w:r w:rsidR="003E0B3D">
        <w:t>, but all firms within this sector are familiar with the data and categories that comprise this annual summary report</w:t>
      </w:r>
      <w:r w:rsidRPr="00A56C2D">
        <w:t>.</w:t>
      </w:r>
      <w:r w:rsidR="008D46F2">
        <w:t xml:space="preserve"> </w:t>
      </w:r>
      <w:r w:rsidR="003E0B3D">
        <w:t xml:space="preserve">The submission and data collection requirements are generally straight-forward and appropriate to the investigational new drug process. </w:t>
      </w:r>
    </w:p>
    <w:p w:rsidR="00626FE7" w:rsidP="009B3C6A" w14:paraId="51929546" w14:textId="77777777">
      <w:pPr>
        <w:rPr>
          <w:rFonts w:eastAsiaTheme="majorEastAsia" w:cstheme="majorBidi"/>
          <w:b/>
          <w:szCs w:val="32"/>
          <w:u w:val="single"/>
        </w:rPr>
      </w:pPr>
    </w:p>
    <w:p w:rsidR="002243F8" w:rsidP="009B3C6A" w14:paraId="013A7E50" w14:textId="77777777"/>
    <w:p w:rsidR="002243F8" w:rsidRPr="005C687D" w:rsidP="009B3C6A" w14:paraId="3C0C6F92" w14:textId="77777777"/>
    <w:sectPr w:rsidSect="003C02CA">
      <w:footerReference w:type="defaul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26965588"/>
      <w:docPartObj>
        <w:docPartGallery w:val="Page Numbers (Bottom of Page)"/>
        <w:docPartUnique/>
      </w:docPartObj>
    </w:sdtPr>
    <w:sdtEndPr>
      <w:rPr>
        <w:noProof/>
      </w:rPr>
    </w:sdtEndPr>
    <w:sdtContent>
      <w:p w:rsidR="009B229E" w14:paraId="5024C4CA" w14:textId="0F7F6CE4">
        <w:pPr>
          <w:pStyle w:val="Footer"/>
          <w:jc w:val="right"/>
        </w:pPr>
        <w:r>
          <w:fldChar w:fldCharType="begin"/>
        </w:r>
        <w:r>
          <w:instrText xml:space="preserve"> PAGE   \* MERGEFORMAT </w:instrText>
        </w:r>
        <w:r>
          <w:fldChar w:fldCharType="separate"/>
        </w:r>
        <w:r>
          <w:rPr>
            <w:noProof/>
          </w:rPr>
          <w:t>12</w:t>
        </w:r>
        <w:r>
          <w:rPr>
            <w:noProof/>
          </w:rPr>
          <w:fldChar w:fldCharType="end"/>
        </w:r>
      </w:p>
    </w:sdtContent>
  </w:sdt>
  <w:p w:rsidR="009B229E" w14:paraId="2D9E658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15C3F" w:rsidP="00F558B9" w14:paraId="2DED7F1A" w14:textId="77777777">
      <w:r>
        <w:separator/>
      </w:r>
    </w:p>
  </w:footnote>
  <w:footnote w:type="continuationSeparator" w:id="1">
    <w:p w:rsidR="00415C3F" w:rsidP="00F558B9" w14:paraId="145E1536" w14:textId="77777777">
      <w:r>
        <w:continuationSeparator/>
      </w:r>
    </w:p>
  </w:footnote>
  <w:footnote w:type="continuationNotice" w:id="2">
    <w:p w:rsidR="00415C3F" w14:paraId="273399FA" w14:textId="77777777"/>
  </w:footnote>
  <w:footnote w:id="3">
    <w:p w:rsidR="009B229E" w:rsidRPr="00A71978" w:rsidP="003C02CA" w14:paraId="6942A1F2" w14:textId="251543CA">
      <w:pPr>
        <w:pStyle w:val="FootnoteText"/>
        <w:jc w:val="left"/>
        <w:rPr>
          <w:rFonts w:ascii="Times New Roman" w:hAnsi="Times New Roman"/>
        </w:rPr>
      </w:pPr>
      <w:r w:rsidRPr="00001F4E">
        <w:rPr>
          <w:rStyle w:val="FootnoteReference"/>
          <w:rFonts w:ascii="Times New Roman" w:hAnsi="Times New Roman"/>
          <w:vertAlign w:val="superscript"/>
        </w:rPr>
        <w:footnoteRef/>
      </w:r>
      <w:r w:rsidRPr="00A71978">
        <w:rPr>
          <w:rFonts w:ascii="Times New Roman" w:hAnsi="Times New Roman"/>
        </w:rPr>
        <w:t xml:space="preserve"> </w:t>
      </w:r>
      <w:r w:rsidRPr="00F32782">
        <w:rPr>
          <w:rFonts w:ascii="Times New Roman" w:hAnsi="Times New Roman"/>
        </w:rPr>
        <w:t xml:space="preserve">This estimate for </w:t>
      </w:r>
      <w:r>
        <w:rPr>
          <w:rFonts w:ascii="Times New Roman" w:hAnsi="Times New Roman"/>
        </w:rPr>
        <w:t xml:space="preserve">Form </w:t>
      </w:r>
      <w:r w:rsidRPr="00F32782">
        <w:rPr>
          <w:rFonts w:ascii="Times New Roman" w:hAnsi="Times New Roman"/>
        </w:rPr>
        <w:t>FDA 2252 has been reviewed and approved by the Office of Management and Budget</w:t>
      </w:r>
      <w:r>
        <w:rPr>
          <w:rFonts w:ascii="Times New Roman" w:hAnsi="Times New Roman"/>
        </w:rPr>
        <w:t>. It</w:t>
      </w:r>
      <w:r w:rsidRPr="00A71978">
        <w:rPr>
          <w:rFonts w:ascii="Times New Roman" w:hAnsi="Times New Roman"/>
        </w:rPr>
        <w:t xml:space="preserve"> was approved under OMB control number 0910–0</w:t>
      </w:r>
      <w:r>
        <w:rPr>
          <w:rFonts w:ascii="Times New Roman" w:hAnsi="Times New Roman"/>
        </w:rPr>
        <w:t>001</w:t>
      </w:r>
      <w:r w:rsidRPr="00A71978">
        <w:rPr>
          <w:rFonts w:ascii="Times New Roman" w:hAnsi="Times New Roman"/>
        </w:rPr>
        <w:t>. See</w:t>
      </w:r>
      <w:r>
        <w:rPr>
          <w:rFonts w:ascii="Times New Roman" w:hAnsi="Times New Roman"/>
        </w:rPr>
        <w:t>,</w:t>
      </w:r>
      <w:r w:rsidRPr="00A71978">
        <w:rPr>
          <w:rFonts w:ascii="Times New Roman" w:hAnsi="Times New Roman"/>
        </w:rPr>
        <w:t xml:space="preserve"> </w:t>
      </w:r>
      <w:r>
        <w:rPr>
          <w:rFonts w:ascii="Times New Roman" w:hAnsi="Times New Roman"/>
        </w:rPr>
        <w:t xml:space="preserve">Form </w:t>
      </w:r>
      <w:r w:rsidRPr="00A71978">
        <w:rPr>
          <w:rFonts w:ascii="Times New Roman" w:hAnsi="Times New Roman"/>
        </w:rPr>
        <w:t xml:space="preserve">FDA </w:t>
      </w:r>
      <w:r>
        <w:rPr>
          <w:rFonts w:ascii="Times New Roman" w:hAnsi="Times New Roman"/>
        </w:rPr>
        <w:t xml:space="preserve">2252 available at: </w:t>
      </w:r>
      <w:hyperlink r:id="rId1" w:history="1">
        <w:r w:rsidRPr="0031755D">
          <w:rPr>
            <w:rStyle w:val="Hyperlink"/>
            <w:rFonts w:ascii="Times New Roman" w:hAnsi="Times New Roman"/>
          </w:rPr>
          <w:t>https://www.fda.gov/media/73005/download</w:t>
        </w:r>
      </w:hyperlink>
      <w:r>
        <w:rPr>
          <w:rFonts w:ascii="Times New Roman" w:hAnsi="Times New Roman"/>
        </w:rPr>
        <w:t xml:space="preserve">; </w:t>
      </w:r>
      <w:hyperlink r:id="rId2" w:history="1">
        <w:r w:rsidRPr="00A731D9">
          <w:rPr>
            <w:rStyle w:val="Hyperlink"/>
            <w:rFonts w:ascii="Times New Roman" w:hAnsi="Times New Roman"/>
          </w:rPr>
          <w:t>https://www.reginfo.gov/public/do/PRAViewDocument?ref_nbr=201704-0910-006</w:t>
        </w:r>
      </w:hyperlink>
      <w:r w:rsidRPr="00A71978">
        <w:rPr>
          <w:rFonts w:ascii="Times New Roman" w:hAnsi="Times New Roman"/>
        </w:rPr>
        <w:t>.</w:t>
      </w:r>
    </w:p>
  </w:footnote>
  <w:footnote w:id="4">
    <w:p w:rsidR="009B229E" w:rsidRPr="00A52C42" w:rsidP="003C02CA" w14:paraId="187EFF3D" w14:textId="0B01CC7E">
      <w:pPr>
        <w:pStyle w:val="FootnoteText"/>
        <w:jc w:val="left"/>
        <w:rPr>
          <w:rFonts w:ascii="Times New Roman" w:hAnsi="Times New Roman"/>
        </w:rPr>
      </w:pPr>
      <w:r w:rsidRPr="00A52C42">
        <w:rPr>
          <w:rFonts w:ascii="Times New Roman" w:hAnsi="Times New Roman"/>
        </w:rPr>
        <w:footnoteRef/>
      </w:r>
      <w:r w:rsidRPr="00A52C42">
        <w:rPr>
          <w:rFonts w:ascii="Times New Roman" w:hAnsi="Times New Roman"/>
        </w:rPr>
        <w:t xml:space="preserve"> Source: May 2020 National Industry-Specific Occupational Employment and Wage Estimates, U.S. Bureau of Labor Statistics. Available at: </w:t>
      </w:r>
      <w:hyperlink r:id="rId3" w:history="1">
        <w:r w:rsidRPr="00A52C42">
          <w:rPr>
            <w:rStyle w:val="Hyperlink"/>
            <w:rFonts w:ascii="Times New Roman" w:hAnsi="Times New Roman"/>
          </w:rPr>
          <w:t>https://www.bls.gov/oes/current/naics4_325400.htm</w:t>
        </w:r>
      </w:hyperlink>
      <w:r w:rsidRPr="00A52C42">
        <w:rPr>
          <w:rStyle w:val="Hyperlink"/>
          <w:rFonts w:ascii="Times New Roman" w:hAnsi="Times New Roman"/>
        </w:rPr>
        <w:t xml:space="preserve"> </w:t>
      </w:r>
    </w:p>
  </w:footnote>
  <w:footnote w:id="5">
    <w:p w:rsidR="009B229E" w:rsidRPr="00A3086B" w:rsidP="003C02CA" w14:paraId="3C4B9E80" w14:textId="6FBBF46C">
      <w:pPr>
        <w:pStyle w:val="FootnoteText"/>
        <w:jc w:val="left"/>
        <w:rPr>
          <w:rFonts w:ascii="Times New Roman" w:hAnsi="Times New Roman"/>
        </w:rPr>
      </w:pPr>
      <w:r w:rsidRPr="0051004D">
        <w:rPr>
          <w:rStyle w:val="FootnoteReference"/>
          <w:rFonts w:ascii="Times New Roman" w:hAnsi="Times New Roman"/>
          <w:vertAlign w:val="superscript"/>
        </w:rPr>
        <w:footnoteRef/>
      </w:r>
      <w:r w:rsidRPr="00A3086B">
        <w:rPr>
          <w:rFonts w:ascii="Times New Roman" w:hAnsi="Times New Roman"/>
        </w:rPr>
        <w:t xml:space="preserve"> </w:t>
      </w:r>
      <w:r w:rsidR="009B3C6A">
        <w:rPr>
          <w:rFonts w:ascii="Times New Roman" w:hAnsi="Times New Roman"/>
        </w:rPr>
        <w:t xml:space="preserve">See </w:t>
      </w:r>
      <w:hyperlink r:id="rId4" w:anchor="Q21" w:history="1">
        <w:r w:rsidRPr="00EB7C16" w:rsidR="009B3C6A">
          <w:rPr>
            <w:rStyle w:val="Hyperlink"/>
            <w:rFonts w:ascii="Times New Roman" w:hAnsi="Times New Roman"/>
          </w:rPr>
          <w:t>https://med.nyu.edu/pophealth/divisions/medical-ethics/compassionate-use#Q21</w:t>
        </w:r>
      </w:hyperlink>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8BE29DE"/>
    <w:multiLevelType w:val="hybridMultilevel"/>
    <w:tmpl w:val="DA3E3E5A"/>
    <w:lvl w:ilvl="0">
      <w:start w:val="2"/>
      <w:numFmt w:val="bullet"/>
      <w:lvlText w:val="-"/>
      <w:lvlJc w:val="left"/>
      <w:pPr>
        <w:ind w:left="720" w:hanging="360"/>
      </w:pPr>
      <w:rPr>
        <w:rFonts w:ascii="Times New Roman" w:eastAsia="MS Mincho"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45F2560"/>
    <w:multiLevelType w:val="hybridMultilevel"/>
    <w:tmpl w:val="F9EA1500"/>
    <w:lvl w:ilvl="0">
      <w:start w:val="5"/>
      <w:numFmt w:val="bullet"/>
      <w:lvlText w:val="-"/>
      <w:lvlJc w:val="left"/>
      <w:pPr>
        <w:ind w:left="1080" w:hanging="360"/>
      </w:pPr>
      <w:rPr>
        <w:rFonts w:ascii="Times New Roman" w:eastAsia="MS Mincho"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5C892D4A"/>
    <w:multiLevelType w:val="hybridMultilevel"/>
    <w:tmpl w:val="FDFE90B2"/>
    <w:lvl w:ilvl="0">
      <w:start w:val="6"/>
      <w:numFmt w:val="bullet"/>
      <w:lvlText w:val="-"/>
      <w:lvlJc w:val="left"/>
      <w:pPr>
        <w:ind w:left="720" w:hanging="360"/>
      </w:pPr>
      <w:rPr>
        <w:rFonts w:ascii="Times New Roman" w:eastAsia="MS Mincho"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03E005E"/>
    <w:multiLevelType w:val="hybridMultilevel"/>
    <w:tmpl w:val="FA427E0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C5B"/>
    <w:rsid w:val="00000193"/>
    <w:rsid w:val="00000250"/>
    <w:rsid w:val="00000BF3"/>
    <w:rsid w:val="00001F4E"/>
    <w:rsid w:val="00002460"/>
    <w:rsid w:val="0000428B"/>
    <w:rsid w:val="00004EFE"/>
    <w:rsid w:val="00005189"/>
    <w:rsid w:val="00005D89"/>
    <w:rsid w:val="0000637E"/>
    <w:rsid w:val="00006837"/>
    <w:rsid w:val="00006B61"/>
    <w:rsid w:val="00007008"/>
    <w:rsid w:val="00007C0D"/>
    <w:rsid w:val="00007C28"/>
    <w:rsid w:val="000103EB"/>
    <w:rsid w:val="00010A52"/>
    <w:rsid w:val="00010B3F"/>
    <w:rsid w:val="00010F6D"/>
    <w:rsid w:val="00011104"/>
    <w:rsid w:val="00011381"/>
    <w:rsid w:val="000116CF"/>
    <w:rsid w:val="000118BE"/>
    <w:rsid w:val="00011B3B"/>
    <w:rsid w:val="00011E6E"/>
    <w:rsid w:val="00012197"/>
    <w:rsid w:val="00014903"/>
    <w:rsid w:val="00014D9A"/>
    <w:rsid w:val="000150E5"/>
    <w:rsid w:val="00015112"/>
    <w:rsid w:val="000160D9"/>
    <w:rsid w:val="000163B1"/>
    <w:rsid w:val="000163D7"/>
    <w:rsid w:val="0001668F"/>
    <w:rsid w:val="000203E7"/>
    <w:rsid w:val="000204BA"/>
    <w:rsid w:val="00020668"/>
    <w:rsid w:val="00020972"/>
    <w:rsid w:val="0002098F"/>
    <w:rsid w:val="00021312"/>
    <w:rsid w:val="0002172F"/>
    <w:rsid w:val="000218DE"/>
    <w:rsid w:val="00021F7C"/>
    <w:rsid w:val="00023138"/>
    <w:rsid w:val="0002395D"/>
    <w:rsid w:val="00023D9F"/>
    <w:rsid w:val="00025969"/>
    <w:rsid w:val="000262E4"/>
    <w:rsid w:val="000275E3"/>
    <w:rsid w:val="00027BD1"/>
    <w:rsid w:val="00030002"/>
    <w:rsid w:val="000300BB"/>
    <w:rsid w:val="00031428"/>
    <w:rsid w:val="00031813"/>
    <w:rsid w:val="0003305C"/>
    <w:rsid w:val="0003420F"/>
    <w:rsid w:val="00035AF6"/>
    <w:rsid w:val="000406AD"/>
    <w:rsid w:val="00041FDC"/>
    <w:rsid w:val="000422BC"/>
    <w:rsid w:val="0004408A"/>
    <w:rsid w:val="000446BC"/>
    <w:rsid w:val="00045A4D"/>
    <w:rsid w:val="00046D7F"/>
    <w:rsid w:val="00046FF7"/>
    <w:rsid w:val="000473DE"/>
    <w:rsid w:val="00047A58"/>
    <w:rsid w:val="00047C0C"/>
    <w:rsid w:val="00047E23"/>
    <w:rsid w:val="00050494"/>
    <w:rsid w:val="00050AC1"/>
    <w:rsid w:val="00051320"/>
    <w:rsid w:val="000513B3"/>
    <w:rsid w:val="00051A22"/>
    <w:rsid w:val="0005213B"/>
    <w:rsid w:val="00053B8E"/>
    <w:rsid w:val="000556E1"/>
    <w:rsid w:val="00055D4C"/>
    <w:rsid w:val="0005629F"/>
    <w:rsid w:val="00061D88"/>
    <w:rsid w:val="000622C9"/>
    <w:rsid w:val="00064CA4"/>
    <w:rsid w:val="000677EA"/>
    <w:rsid w:val="0006797B"/>
    <w:rsid w:val="000700CB"/>
    <w:rsid w:val="00072F68"/>
    <w:rsid w:val="0007307B"/>
    <w:rsid w:val="000739C8"/>
    <w:rsid w:val="00073A7A"/>
    <w:rsid w:val="00073B32"/>
    <w:rsid w:val="00073B4C"/>
    <w:rsid w:val="000745D4"/>
    <w:rsid w:val="000749F9"/>
    <w:rsid w:val="000752F6"/>
    <w:rsid w:val="00076009"/>
    <w:rsid w:val="00076C68"/>
    <w:rsid w:val="00076D9C"/>
    <w:rsid w:val="00077CC7"/>
    <w:rsid w:val="00080484"/>
    <w:rsid w:val="00081253"/>
    <w:rsid w:val="00081EEF"/>
    <w:rsid w:val="00083F0C"/>
    <w:rsid w:val="00083FD3"/>
    <w:rsid w:val="00085ABE"/>
    <w:rsid w:val="00085F14"/>
    <w:rsid w:val="00086285"/>
    <w:rsid w:val="00086E65"/>
    <w:rsid w:val="000878A3"/>
    <w:rsid w:val="000879F1"/>
    <w:rsid w:val="00087A36"/>
    <w:rsid w:val="00087AE6"/>
    <w:rsid w:val="00090B50"/>
    <w:rsid w:val="00091608"/>
    <w:rsid w:val="00091D74"/>
    <w:rsid w:val="00092817"/>
    <w:rsid w:val="00093E8E"/>
    <w:rsid w:val="00094740"/>
    <w:rsid w:val="00095402"/>
    <w:rsid w:val="000958A7"/>
    <w:rsid w:val="00095CFA"/>
    <w:rsid w:val="0009601D"/>
    <w:rsid w:val="000960C6"/>
    <w:rsid w:val="000962DA"/>
    <w:rsid w:val="0009650D"/>
    <w:rsid w:val="00096A92"/>
    <w:rsid w:val="00097414"/>
    <w:rsid w:val="00097693"/>
    <w:rsid w:val="0009779F"/>
    <w:rsid w:val="000A07A9"/>
    <w:rsid w:val="000A0BA0"/>
    <w:rsid w:val="000A19C7"/>
    <w:rsid w:val="000A1F2C"/>
    <w:rsid w:val="000A263A"/>
    <w:rsid w:val="000A3601"/>
    <w:rsid w:val="000A4A8C"/>
    <w:rsid w:val="000A668F"/>
    <w:rsid w:val="000B0326"/>
    <w:rsid w:val="000B0EB7"/>
    <w:rsid w:val="000B3472"/>
    <w:rsid w:val="000B5129"/>
    <w:rsid w:val="000B68A1"/>
    <w:rsid w:val="000B6B32"/>
    <w:rsid w:val="000B6EDC"/>
    <w:rsid w:val="000B7022"/>
    <w:rsid w:val="000B73B6"/>
    <w:rsid w:val="000B7442"/>
    <w:rsid w:val="000B7EED"/>
    <w:rsid w:val="000B7FDB"/>
    <w:rsid w:val="000C073E"/>
    <w:rsid w:val="000C14F4"/>
    <w:rsid w:val="000C17A4"/>
    <w:rsid w:val="000C2359"/>
    <w:rsid w:val="000C2F5F"/>
    <w:rsid w:val="000C3012"/>
    <w:rsid w:val="000C4C95"/>
    <w:rsid w:val="000C4F00"/>
    <w:rsid w:val="000C5383"/>
    <w:rsid w:val="000C62CA"/>
    <w:rsid w:val="000C6B8E"/>
    <w:rsid w:val="000C6E72"/>
    <w:rsid w:val="000C7718"/>
    <w:rsid w:val="000D0292"/>
    <w:rsid w:val="000D06FE"/>
    <w:rsid w:val="000D13B5"/>
    <w:rsid w:val="000D15C2"/>
    <w:rsid w:val="000D169C"/>
    <w:rsid w:val="000D17AA"/>
    <w:rsid w:val="000D18E1"/>
    <w:rsid w:val="000D1E35"/>
    <w:rsid w:val="000D3578"/>
    <w:rsid w:val="000D3CAC"/>
    <w:rsid w:val="000D3DF3"/>
    <w:rsid w:val="000D436A"/>
    <w:rsid w:val="000D4900"/>
    <w:rsid w:val="000D4B09"/>
    <w:rsid w:val="000D4C7C"/>
    <w:rsid w:val="000D4C9E"/>
    <w:rsid w:val="000D4CEB"/>
    <w:rsid w:val="000D580E"/>
    <w:rsid w:val="000D5E75"/>
    <w:rsid w:val="000D6D56"/>
    <w:rsid w:val="000E0207"/>
    <w:rsid w:val="000E09F7"/>
    <w:rsid w:val="000E1D31"/>
    <w:rsid w:val="000E3A60"/>
    <w:rsid w:val="000E41B6"/>
    <w:rsid w:val="000E491C"/>
    <w:rsid w:val="000E5071"/>
    <w:rsid w:val="000E5A7A"/>
    <w:rsid w:val="000E64AB"/>
    <w:rsid w:val="000E6D2C"/>
    <w:rsid w:val="000E7651"/>
    <w:rsid w:val="000E78D9"/>
    <w:rsid w:val="000E7AE8"/>
    <w:rsid w:val="000F03FE"/>
    <w:rsid w:val="000F043E"/>
    <w:rsid w:val="000F2444"/>
    <w:rsid w:val="000F297D"/>
    <w:rsid w:val="000F340E"/>
    <w:rsid w:val="000F385E"/>
    <w:rsid w:val="000F4108"/>
    <w:rsid w:val="000F46C0"/>
    <w:rsid w:val="000F4AF1"/>
    <w:rsid w:val="000F4CD5"/>
    <w:rsid w:val="000F5A25"/>
    <w:rsid w:val="000F6F73"/>
    <w:rsid w:val="000F7019"/>
    <w:rsid w:val="000F7238"/>
    <w:rsid w:val="000F7E3E"/>
    <w:rsid w:val="001014DB"/>
    <w:rsid w:val="001030F5"/>
    <w:rsid w:val="00104C30"/>
    <w:rsid w:val="00104C49"/>
    <w:rsid w:val="00104E17"/>
    <w:rsid w:val="00105750"/>
    <w:rsid w:val="0010594F"/>
    <w:rsid w:val="00107629"/>
    <w:rsid w:val="00107630"/>
    <w:rsid w:val="001105C9"/>
    <w:rsid w:val="001108DB"/>
    <w:rsid w:val="00110916"/>
    <w:rsid w:val="00112520"/>
    <w:rsid w:val="00113F9E"/>
    <w:rsid w:val="00114871"/>
    <w:rsid w:val="00115815"/>
    <w:rsid w:val="00115965"/>
    <w:rsid w:val="00115F5A"/>
    <w:rsid w:val="0011669F"/>
    <w:rsid w:val="001177D2"/>
    <w:rsid w:val="00120380"/>
    <w:rsid w:val="0012078D"/>
    <w:rsid w:val="00120D5A"/>
    <w:rsid w:val="001211EA"/>
    <w:rsid w:val="00121662"/>
    <w:rsid w:val="00121764"/>
    <w:rsid w:val="00123168"/>
    <w:rsid w:val="00123544"/>
    <w:rsid w:val="00123B82"/>
    <w:rsid w:val="0012415B"/>
    <w:rsid w:val="00124F85"/>
    <w:rsid w:val="00125D1E"/>
    <w:rsid w:val="00126CA0"/>
    <w:rsid w:val="00127D90"/>
    <w:rsid w:val="00130325"/>
    <w:rsid w:val="00132B42"/>
    <w:rsid w:val="00134734"/>
    <w:rsid w:val="00134AB8"/>
    <w:rsid w:val="00135295"/>
    <w:rsid w:val="00136753"/>
    <w:rsid w:val="0014109A"/>
    <w:rsid w:val="00141A3C"/>
    <w:rsid w:val="00141BEC"/>
    <w:rsid w:val="00142316"/>
    <w:rsid w:val="00143E9D"/>
    <w:rsid w:val="00144C13"/>
    <w:rsid w:val="0014638F"/>
    <w:rsid w:val="00146884"/>
    <w:rsid w:val="00146E26"/>
    <w:rsid w:val="001479CD"/>
    <w:rsid w:val="001502B4"/>
    <w:rsid w:val="00151962"/>
    <w:rsid w:val="001533CE"/>
    <w:rsid w:val="00153967"/>
    <w:rsid w:val="00154806"/>
    <w:rsid w:val="00155859"/>
    <w:rsid w:val="00155C61"/>
    <w:rsid w:val="001564AB"/>
    <w:rsid w:val="00156586"/>
    <w:rsid w:val="0016035A"/>
    <w:rsid w:val="00161611"/>
    <w:rsid w:val="00161A30"/>
    <w:rsid w:val="001633BA"/>
    <w:rsid w:val="0016353A"/>
    <w:rsid w:val="001636A5"/>
    <w:rsid w:val="0016463E"/>
    <w:rsid w:val="001650C5"/>
    <w:rsid w:val="0016717E"/>
    <w:rsid w:val="00167530"/>
    <w:rsid w:val="00167971"/>
    <w:rsid w:val="00167A10"/>
    <w:rsid w:val="00170FC5"/>
    <w:rsid w:val="00171D10"/>
    <w:rsid w:val="00174F1A"/>
    <w:rsid w:val="00175EAB"/>
    <w:rsid w:val="001763AA"/>
    <w:rsid w:val="001769B6"/>
    <w:rsid w:val="00176F32"/>
    <w:rsid w:val="00177789"/>
    <w:rsid w:val="0017799F"/>
    <w:rsid w:val="0018063A"/>
    <w:rsid w:val="00180B50"/>
    <w:rsid w:val="00181A54"/>
    <w:rsid w:val="001825D9"/>
    <w:rsid w:val="00184559"/>
    <w:rsid w:val="001848BA"/>
    <w:rsid w:val="00184A35"/>
    <w:rsid w:val="00185694"/>
    <w:rsid w:val="001859F9"/>
    <w:rsid w:val="00185AAF"/>
    <w:rsid w:val="00186BC9"/>
    <w:rsid w:val="001875F9"/>
    <w:rsid w:val="00190728"/>
    <w:rsid w:val="00190B96"/>
    <w:rsid w:val="00190CF3"/>
    <w:rsid w:val="00191007"/>
    <w:rsid w:val="00192394"/>
    <w:rsid w:val="00192C47"/>
    <w:rsid w:val="00192C7D"/>
    <w:rsid w:val="00193985"/>
    <w:rsid w:val="0019449A"/>
    <w:rsid w:val="00194AA7"/>
    <w:rsid w:val="00194E94"/>
    <w:rsid w:val="001979BB"/>
    <w:rsid w:val="00197A09"/>
    <w:rsid w:val="00197E78"/>
    <w:rsid w:val="001A3399"/>
    <w:rsid w:val="001A3E36"/>
    <w:rsid w:val="001A4582"/>
    <w:rsid w:val="001A4A6C"/>
    <w:rsid w:val="001A6495"/>
    <w:rsid w:val="001A69B6"/>
    <w:rsid w:val="001A6A0D"/>
    <w:rsid w:val="001A6A9C"/>
    <w:rsid w:val="001B004F"/>
    <w:rsid w:val="001B02F7"/>
    <w:rsid w:val="001B08B3"/>
    <w:rsid w:val="001B0E1D"/>
    <w:rsid w:val="001B13D0"/>
    <w:rsid w:val="001B1D02"/>
    <w:rsid w:val="001B1E5D"/>
    <w:rsid w:val="001B2642"/>
    <w:rsid w:val="001B26FA"/>
    <w:rsid w:val="001B2C7F"/>
    <w:rsid w:val="001B2F78"/>
    <w:rsid w:val="001B337F"/>
    <w:rsid w:val="001B46A8"/>
    <w:rsid w:val="001B764D"/>
    <w:rsid w:val="001B7DB8"/>
    <w:rsid w:val="001C10FC"/>
    <w:rsid w:val="001C120F"/>
    <w:rsid w:val="001C32FF"/>
    <w:rsid w:val="001C4563"/>
    <w:rsid w:val="001C477D"/>
    <w:rsid w:val="001C60C4"/>
    <w:rsid w:val="001C7D6B"/>
    <w:rsid w:val="001D0FCA"/>
    <w:rsid w:val="001D1F60"/>
    <w:rsid w:val="001D30B7"/>
    <w:rsid w:val="001D3982"/>
    <w:rsid w:val="001D3AC2"/>
    <w:rsid w:val="001D3F84"/>
    <w:rsid w:val="001D4FBC"/>
    <w:rsid w:val="001D5F82"/>
    <w:rsid w:val="001D67F5"/>
    <w:rsid w:val="001D7220"/>
    <w:rsid w:val="001D7BAC"/>
    <w:rsid w:val="001D7D5E"/>
    <w:rsid w:val="001E039D"/>
    <w:rsid w:val="001E0CF6"/>
    <w:rsid w:val="001E1376"/>
    <w:rsid w:val="001E13D7"/>
    <w:rsid w:val="001E25C0"/>
    <w:rsid w:val="001E3904"/>
    <w:rsid w:val="001E3F34"/>
    <w:rsid w:val="001E5A53"/>
    <w:rsid w:val="001E5C73"/>
    <w:rsid w:val="001E642B"/>
    <w:rsid w:val="001E6494"/>
    <w:rsid w:val="001E70E8"/>
    <w:rsid w:val="001F0329"/>
    <w:rsid w:val="001F0C4C"/>
    <w:rsid w:val="001F2E10"/>
    <w:rsid w:val="001F3483"/>
    <w:rsid w:val="001F4328"/>
    <w:rsid w:val="001F45A0"/>
    <w:rsid w:val="001F4A4A"/>
    <w:rsid w:val="001F501F"/>
    <w:rsid w:val="001F5099"/>
    <w:rsid w:val="001F6598"/>
    <w:rsid w:val="001F6E99"/>
    <w:rsid w:val="001F763F"/>
    <w:rsid w:val="00200059"/>
    <w:rsid w:val="00200711"/>
    <w:rsid w:val="0020093C"/>
    <w:rsid w:val="00200B90"/>
    <w:rsid w:val="00200D3B"/>
    <w:rsid w:val="00201FC9"/>
    <w:rsid w:val="002021CC"/>
    <w:rsid w:val="00202499"/>
    <w:rsid w:val="00202A4F"/>
    <w:rsid w:val="00202CB3"/>
    <w:rsid w:val="0020388C"/>
    <w:rsid w:val="002038DA"/>
    <w:rsid w:val="002039AE"/>
    <w:rsid w:val="002039C4"/>
    <w:rsid w:val="00204FFB"/>
    <w:rsid w:val="00205ABB"/>
    <w:rsid w:val="0020660C"/>
    <w:rsid w:val="00210092"/>
    <w:rsid w:val="0021050E"/>
    <w:rsid w:val="00210BA4"/>
    <w:rsid w:val="00211ECC"/>
    <w:rsid w:val="00212FE1"/>
    <w:rsid w:val="00213220"/>
    <w:rsid w:val="002142D0"/>
    <w:rsid w:val="00214BFC"/>
    <w:rsid w:val="0021614F"/>
    <w:rsid w:val="0021681E"/>
    <w:rsid w:val="00216F71"/>
    <w:rsid w:val="00217AF9"/>
    <w:rsid w:val="00217BB2"/>
    <w:rsid w:val="00220298"/>
    <w:rsid w:val="00221287"/>
    <w:rsid w:val="00222D83"/>
    <w:rsid w:val="00222FC3"/>
    <w:rsid w:val="0022305D"/>
    <w:rsid w:val="0022365A"/>
    <w:rsid w:val="00223CAD"/>
    <w:rsid w:val="00223D1C"/>
    <w:rsid w:val="002243F8"/>
    <w:rsid w:val="002247FC"/>
    <w:rsid w:val="00226D66"/>
    <w:rsid w:val="0022740E"/>
    <w:rsid w:val="00227A7C"/>
    <w:rsid w:val="002304B9"/>
    <w:rsid w:val="00230573"/>
    <w:rsid w:val="002305E5"/>
    <w:rsid w:val="00231532"/>
    <w:rsid w:val="00231AA0"/>
    <w:rsid w:val="00231E0E"/>
    <w:rsid w:val="00232189"/>
    <w:rsid w:val="0023242D"/>
    <w:rsid w:val="00232812"/>
    <w:rsid w:val="002335A5"/>
    <w:rsid w:val="00234728"/>
    <w:rsid w:val="00235702"/>
    <w:rsid w:val="00235CB7"/>
    <w:rsid w:val="002366F6"/>
    <w:rsid w:val="00237157"/>
    <w:rsid w:val="002375CD"/>
    <w:rsid w:val="00237DB5"/>
    <w:rsid w:val="00240165"/>
    <w:rsid w:val="00241278"/>
    <w:rsid w:val="0024130A"/>
    <w:rsid w:val="0024159C"/>
    <w:rsid w:val="002416B0"/>
    <w:rsid w:val="0024175B"/>
    <w:rsid w:val="00241D37"/>
    <w:rsid w:val="00241E23"/>
    <w:rsid w:val="00242817"/>
    <w:rsid w:val="002431C6"/>
    <w:rsid w:val="00244CB1"/>
    <w:rsid w:val="00245224"/>
    <w:rsid w:val="00245989"/>
    <w:rsid w:val="00245A75"/>
    <w:rsid w:val="002467D0"/>
    <w:rsid w:val="00246E4A"/>
    <w:rsid w:val="00247736"/>
    <w:rsid w:val="00247DB9"/>
    <w:rsid w:val="00250A51"/>
    <w:rsid w:val="00252E9E"/>
    <w:rsid w:val="00252F89"/>
    <w:rsid w:val="00254E88"/>
    <w:rsid w:val="00254FA2"/>
    <w:rsid w:val="00255F89"/>
    <w:rsid w:val="002560DF"/>
    <w:rsid w:val="00256B65"/>
    <w:rsid w:val="00256D6B"/>
    <w:rsid w:val="002577DE"/>
    <w:rsid w:val="00260935"/>
    <w:rsid w:val="002638F2"/>
    <w:rsid w:val="00263DD0"/>
    <w:rsid w:val="0026422A"/>
    <w:rsid w:val="00264615"/>
    <w:rsid w:val="0026538C"/>
    <w:rsid w:val="00266D98"/>
    <w:rsid w:val="00270379"/>
    <w:rsid w:val="00270D56"/>
    <w:rsid w:val="002710D3"/>
    <w:rsid w:val="0027121B"/>
    <w:rsid w:val="00275E1E"/>
    <w:rsid w:val="0028088A"/>
    <w:rsid w:val="0028094A"/>
    <w:rsid w:val="0028144E"/>
    <w:rsid w:val="002821FC"/>
    <w:rsid w:val="00282311"/>
    <w:rsid w:val="00283495"/>
    <w:rsid w:val="00283AFD"/>
    <w:rsid w:val="002847C3"/>
    <w:rsid w:val="00285207"/>
    <w:rsid w:val="0028792A"/>
    <w:rsid w:val="00287BBC"/>
    <w:rsid w:val="00287EFA"/>
    <w:rsid w:val="00290DE8"/>
    <w:rsid w:val="0029101A"/>
    <w:rsid w:val="00291541"/>
    <w:rsid w:val="002915A9"/>
    <w:rsid w:val="00291C44"/>
    <w:rsid w:val="0029228B"/>
    <w:rsid w:val="00292302"/>
    <w:rsid w:val="0029251B"/>
    <w:rsid w:val="00292E4A"/>
    <w:rsid w:val="0029467A"/>
    <w:rsid w:val="00295BBF"/>
    <w:rsid w:val="002971B6"/>
    <w:rsid w:val="002972F6"/>
    <w:rsid w:val="00297703"/>
    <w:rsid w:val="00297C0D"/>
    <w:rsid w:val="00297C6F"/>
    <w:rsid w:val="002A03BF"/>
    <w:rsid w:val="002A0EE8"/>
    <w:rsid w:val="002A3B89"/>
    <w:rsid w:val="002A4A13"/>
    <w:rsid w:val="002A4FEF"/>
    <w:rsid w:val="002A718E"/>
    <w:rsid w:val="002A7A25"/>
    <w:rsid w:val="002A7A53"/>
    <w:rsid w:val="002A7BBF"/>
    <w:rsid w:val="002B0833"/>
    <w:rsid w:val="002B1B82"/>
    <w:rsid w:val="002B38D9"/>
    <w:rsid w:val="002B429A"/>
    <w:rsid w:val="002B4485"/>
    <w:rsid w:val="002B4921"/>
    <w:rsid w:val="002B709F"/>
    <w:rsid w:val="002C017F"/>
    <w:rsid w:val="002C08AC"/>
    <w:rsid w:val="002C136E"/>
    <w:rsid w:val="002C2809"/>
    <w:rsid w:val="002C3295"/>
    <w:rsid w:val="002C3A61"/>
    <w:rsid w:val="002C4776"/>
    <w:rsid w:val="002C4FC3"/>
    <w:rsid w:val="002C5913"/>
    <w:rsid w:val="002C773F"/>
    <w:rsid w:val="002D09EA"/>
    <w:rsid w:val="002D1E7E"/>
    <w:rsid w:val="002D246A"/>
    <w:rsid w:val="002D322C"/>
    <w:rsid w:val="002D374F"/>
    <w:rsid w:val="002D39CF"/>
    <w:rsid w:val="002D4215"/>
    <w:rsid w:val="002D4FCA"/>
    <w:rsid w:val="002D527D"/>
    <w:rsid w:val="002D62DC"/>
    <w:rsid w:val="002D6426"/>
    <w:rsid w:val="002E06FE"/>
    <w:rsid w:val="002E0B0E"/>
    <w:rsid w:val="002E33D5"/>
    <w:rsid w:val="002E43EA"/>
    <w:rsid w:val="002E4602"/>
    <w:rsid w:val="002E547B"/>
    <w:rsid w:val="002E59DC"/>
    <w:rsid w:val="002E5AA1"/>
    <w:rsid w:val="002E5E6D"/>
    <w:rsid w:val="002E60DA"/>
    <w:rsid w:val="002E764A"/>
    <w:rsid w:val="002E76DE"/>
    <w:rsid w:val="002E788C"/>
    <w:rsid w:val="002E79B6"/>
    <w:rsid w:val="002F1FF0"/>
    <w:rsid w:val="002F3B95"/>
    <w:rsid w:val="002F410A"/>
    <w:rsid w:val="002F460D"/>
    <w:rsid w:val="002F4687"/>
    <w:rsid w:val="002F4F56"/>
    <w:rsid w:val="002F52CB"/>
    <w:rsid w:val="002F5FFB"/>
    <w:rsid w:val="002F6986"/>
    <w:rsid w:val="002F6C6E"/>
    <w:rsid w:val="002F726A"/>
    <w:rsid w:val="002F73C5"/>
    <w:rsid w:val="002F7FF7"/>
    <w:rsid w:val="00300FEA"/>
    <w:rsid w:val="0030114D"/>
    <w:rsid w:val="00301274"/>
    <w:rsid w:val="003016E9"/>
    <w:rsid w:val="00301B24"/>
    <w:rsid w:val="00302A8B"/>
    <w:rsid w:val="00303795"/>
    <w:rsid w:val="00303806"/>
    <w:rsid w:val="003048F6"/>
    <w:rsid w:val="00304E23"/>
    <w:rsid w:val="0030647E"/>
    <w:rsid w:val="00306712"/>
    <w:rsid w:val="003068E3"/>
    <w:rsid w:val="003074D1"/>
    <w:rsid w:val="003075D0"/>
    <w:rsid w:val="003108D8"/>
    <w:rsid w:val="00312861"/>
    <w:rsid w:val="0031392D"/>
    <w:rsid w:val="003144B8"/>
    <w:rsid w:val="003147A2"/>
    <w:rsid w:val="003159E6"/>
    <w:rsid w:val="00315BFD"/>
    <w:rsid w:val="00315DCB"/>
    <w:rsid w:val="0031755D"/>
    <w:rsid w:val="003178A5"/>
    <w:rsid w:val="00320B88"/>
    <w:rsid w:val="00320CC2"/>
    <w:rsid w:val="003217AF"/>
    <w:rsid w:val="00321BE4"/>
    <w:rsid w:val="00322526"/>
    <w:rsid w:val="0032361E"/>
    <w:rsid w:val="003242F7"/>
    <w:rsid w:val="00325596"/>
    <w:rsid w:val="00325944"/>
    <w:rsid w:val="003265A8"/>
    <w:rsid w:val="00330176"/>
    <w:rsid w:val="00330CE7"/>
    <w:rsid w:val="00331DD1"/>
    <w:rsid w:val="00331FEE"/>
    <w:rsid w:val="00332825"/>
    <w:rsid w:val="00332E0E"/>
    <w:rsid w:val="0033361A"/>
    <w:rsid w:val="00333E1C"/>
    <w:rsid w:val="003354C0"/>
    <w:rsid w:val="003356CC"/>
    <w:rsid w:val="00341D70"/>
    <w:rsid w:val="003427F1"/>
    <w:rsid w:val="00342927"/>
    <w:rsid w:val="00343238"/>
    <w:rsid w:val="00343750"/>
    <w:rsid w:val="00343D60"/>
    <w:rsid w:val="003448E1"/>
    <w:rsid w:val="00346442"/>
    <w:rsid w:val="003472C2"/>
    <w:rsid w:val="0034794D"/>
    <w:rsid w:val="00350FD9"/>
    <w:rsid w:val="0035132B"/>
    <w:rsid w:val="00351C5D"/>
    <w:rsid w:val="00351DE0"/>
    <w:rsid w:val="00352005"/>
    <w:rsid w:val="00353D63"/>
    <w:rsid w:val="003541B6"/>
    <w:rsid w:val="00354CC8"/>
    <w:rsid w:val="00356673"/>
    <w:rsid w:val="00356CA9"/>
    <w:rsid w:val="00357E7C"/>
    <w:rsid w:val="00360944"/>
    <w:rsid w:val="00360BC1"/>
    <w:rsid w:val="00361C93"/>
    <w:rsid w:val="0036303F"/>
    <w:rsid w:val="00363728"/>
    <w:rsid w:val="00363D8B"/>
    <w:rsid w:val="00364718"/>
    <w:rsid w:val="0036568F"/>
    <w:rsid w:val="00365CB8"/>
    <w:rsid w:val="003661BF"/>
    <w:rsid w:val="003662DB"/>
    <w:rsid w:val="00366D09"/>
    <w:rsid w:val="00366D35"/>
    <w:rsid w:val="00367DB9"/>
    <w:rsid w:val="0037028F"/>
    <w:rsid w:val="003710F0"/>
    <w:rsid w:val="003718C9"/>
    <w:rsid w:val="00371AF1"/>
    <w:rsid w:val="00372C4F"/>
    <w:rsid w:val="003730CE"/>
    <w:rsid w:val="00373954"/>
    <w:rsid w:val="003745AD"/>
    <w:rsid w:val="003745E7"/>
    <w:rsid w:val="00376AF6"/>
    <w:rsid w:val="00376FDB"/>
    <w:rsid w:val="0037733F"/>
    <w:rsid w:val="00380256"/>
    <w:rsid w:val="0038143C"/>
    <w:rsid w:val="003824E1"/>
    <w:rsid w:val="00382A38"/>
    <w:rsid w:val="00384AC1"/>
    <w:rsid w:val="00385844"/>
    <w:rsid w:val="00386BFE"/>
    <w:rsid w:val="0038792D"/>
    <w:rsid w:val="003903B0"/>
    <w:rsid w:val="00391236"/>
    <w:rsid w:val="003935DA"/>
    <w:rsid w:val="00393C8B"/>
    <w:rsid w:val="00393E0C"/>
    <w:rsid w:val="00394AA5"/>
    <w:rsid w:val="00395109"/>
    <w:rsid w:val="00395520"/>
    <w:rsid w:val="003956B7"/>
    <w:rsid w:val="00395BED"/>
    <w:rsid w:val="003971B7"/>
    <w:rsid w:val="00397A18"/>
    <w:rsid w:val="003A0673"/>
    <w:rsid w:val="003A14BD"/>
    <w:rsid w:val="003A43F6"/>
    <w:rsid w:val="003A44EE"/>
    <w:rsid w:val="003A47ED"/>
    <w:rsid w:val="003A4ACA"/>
    <w:rsid w:val="003A5141"/>
    <w:rsid w:val="003A58B3"/>
    <w:rsid w:val="003A5A6A"/>
    <w:rsid w:val="003A70C2"/>
    <w:rsid w:val="003A754E"/>
    <w:rsid w:val="003B1353"/>
    <w:rsid w:val="003B13F4"/>
    <w:rsid w:val="003B1B02"/>
    <w:rsid w:val="003B2347"/>
    <w:rsid w:val="003B2E8E"/>
    <w:rsid w:val="003B32AD"/>
    <w:rsid w:val="003B3456"/>
    <w:rsid w:val="003B36BB"/>
    <w:rsid w:val="003B3F5B"/>
    <w:rsid w:val="003B468F"/>
    <w:rsid w:val="003B473F"/>
    <w:rsid w:val="003B4863"/>
    <w:rsid w:val="003B49A5"/>
    <w:rsid w:val="003B5952"/>
    <w:rsid w:val="003B629E"/>
    <w:rsid w:val="003B69FC"/>
    <w:rsid w:val="003B6EA5"/>
    <w:rsid w:val="003B716F"/>
    <w:rsid w:val="003C02C1"/>
    <w:rsid w:val="003C02CA"/>
    <w:rsid w:val="003C1774"/>
    <w:rsid w:val="003C2634"/>
    <w:rsid w:val="003C3E93"/>
    <w:rsid w:val="003C4687"/>
    <w:rsid w:val="003C57C7"/>
    <w:rsid w:val="003C5D11"/>
    <w:rsid w:val="003C6660"/>
    <w:rsid w:val="003C66D3"/>
    <w:rsid w:val="003C7454"/>
    <w:rsid w:val="003C75E5"/>
    <w:rsid w:val="003D15BF"/>
    <w:rsid w:val="003D17BB"/>
    <w:rsid w:val="003D1A18"/>
    <w:rsid w:val="003D23D5"/>
    <w:rsid w:val="003D2FE9"/>
    <w:rsid w:val="003D46AF"/>
    <w:rsid w:val="003D51E1"/>
    <w:rsid w:val="003D6087"/>
    <w:rsid w:val="003D64C4"/>
    <w:rsid w:val="003D6A84"/>
    <w:rsid w:val="003D6CCC"/>
    <w:rsid w:val="003D78B7"/>
    <w:rsid w:val="003D7A90"/>
    <w:rsid w:val="003E03B0"/>
    <w:rsid w:val="003E0B3D"/>
    <w:rsid w:val="003E20FF"/>
    <w:rsid w:val="003E210B"/>
    <w:rsid w:val="003E23B7"/>
    <w:rsid w:val="003E2824"/>
    <w:rsid w:val="003E30BD"/>
    <w:rsid w:val="003E39E2"/>
    <w:rsid w:val="003E5313"/>
    <w:rsid w:val="003E6647"/>
    <w:rsid w:val="003E6824"/>
    <w:rsid w:val="003E73E5"/>
    <w:rsid w:val="003F2060"/>
    <w:rsid w:val="003F21FD"/>
    <w:rsid w:val="003F278A"/>
    <w:rsid w:val="003F2CBA"/>
    <w:rsid w:val="003F36F5"/>
    <w:rsid w:val="003F3E73"/>
    <w:rsid w:val="003F47FF"/>
    <w:rsid w:val="003F48D2"/>
    <w:rsid w:val="003F64E8"/>
    <w:rsid w:val="003F6CC6"/>
    <w:rsid w:val="003F7D86"/>
    <w:rsid w:val="0040078F"/>
    <w:rsid w:val="004009D0"/>
    <w:rsid w:val="0040158F"/>
    <w:rsid w:val="004016D3"/>
    <w:rsid w:val="00401DBD"/>
    <w:rsid w:val="00401E54"/>
    <w:rsid w:val="0040210D"/>
    <w:rsid w:val="00402ABE"/>
    <w:rsid w:val="00402AC1"/>
    <w:rsid w:val="004034DB"/>
    <w:rsid w:val="00403C02"/>
    <w:rsid w:val="00403D2A"/>
    <w:rsid w:val="00404BFD"/>
    <w:rsid w:val="00406453"/>
    <w:rsid w:val="00406D75"/>
    <w:rsid w:val="00406EC5"/>
    <w:rsid w:val="004072B1"/>
    <w:rsid w:val="00410147"/>
    <w:rsid w:val="004101B8"/>
    <w:rsid w:val="00410734"/>
    <w:rsid w:val="0041094F"/>
    <w:rsid w:val="004113D0"/>
    <w:rsid w:val="00412803"/>
    <w:rsid w:val="00412F57"/>
    <w:rsid w:val="004146B9"/>
    <w:rsid w:val="00414737"/>
    <w:rsid w:val="00415C3F"/>
    <w:rsid w:val="00415DA0"/>
    <w:rsid w:val="004203FF"/>
    <w:rsid w:val="00421410"/>
    <w:rsid w:val="00421AE3"/>
    <w:rsid w:val="004221D9"/>
    <w:rsid w:val="0042247F"/>
    <w:rsid w:val="00422FE2"/>
    <w:rsid w:val="00423302"/>
    <w:rsid w:val="004235FD"/>
    <w:rsid w:val="00423D48"/>
    <w:rsid w:val="00423DB4"/>
    <w:rsid w:val="004243C3"/>
    <w:rsid w:val="004249AF"/>
    <w:rsid w:val="00425566"/>
    <w:rsid w:val="004255E2"/>
    <w:rsid w:val="004261FC"/>
    <w:rsid w:val="0042649A"/>
    <w:rsid w:val="004275D1"/>
    <w:rsid w:val="00430AFC"/>
    <w:rsid w:val="0043191F"/>
    <w:rsid w:val="00431B85"/>
    <w:rsid w:val="004320F0"/>
    <w:rsid w:val="00432B4F"/>
    <w:rsid w:val="00433858"/>
    <w:rsid w:val="00434C1F"/>
    <w:rsid w:val="00435521"/>
    <w:rsid w:val="00436226"/>
    <w:rsid w:val="004363F6"/>
    <w:rsid w:val="004368BF"/>
    <w:rsid w:val="00436959"/>
    <w:rsid w:val="00436A78"/>
    <w:rsid w:val="00437056"/>
    <w:rsid w:val="00437964"/>
    <w:rsid w:val="004405D1"/>
    <w:rsid w:val="00441375"/>
    <w:rsid w:val="004414E7"/>
    <w:rsid w:val="00441751"/>
    <w:rsid w:val="00441E1F"/>
    <w:rsid w:val="00442447"/>
    <w:rsid w:val="00442A81"/>
    <w:rsid w:val="00442E79"/>
    <w:rsid w:val="00442FC2"/>
    <w:rsid w:val="0044371C"/>
    <w:rsid w:val="004451A7"/>
    <w:rsid w:val="00445206"/>
    <w:rsid w:val="00445328"/>
    <w:rsid w:val="0044536D"/>
    <w:rsid w:val="0044566D"/>
    <w:rsid w:val="00447085"/>
    <w:rsid w:val="004478F1"/>
    <w:rsid w:val="004502F0"/>
    <w:rsid w:val="00450782"/>
    <w:rsid w:val="004510D9"/>
    <w:rsid w:val="0045125A"/>
    <w:rsid w:val="0045162B"/>
    <w:rsid w:val="0045192A"/>
    <w:rsid w:val="004522D1"/>
    <w:rsid w:val="00452847"/>
    <w:rsid w:val="00453931"/>
    <w:rsid w:val="00454594"/>
    <w:rsid w:val="00454D28"/>
    <w:rsid w:val="0045504C"/>
    <w:rsid w:val="00455059"/>
    <w:rsid w:val="004557B6"/>
    <w:rsid w:val="00456631"/>
    <w:rsid w:val="0045734F"/>
    <w:rsid w:val="0045763F"/>
    <w:rsid w:val="0045797B"/>
    <w:rsid w:val="00457997"/>
    <w:rsid w:val="00460595"/>
    <w:rsid w:val="0046096E"/>
    <w:rsid w:val="00460FF2"/>
    <w:rsid w:val="00461513"/>
    <w:rsid w:val="00461ED5"/>
    <w:rsid w:val="004626C4"/>
    <w:rsid w:val="004637D4"/>
    <w:rsid w:val="00463A57"/>
    <w:rsid w:val="004646C7"/>
    <w:rsid w:val="00466664"/>
    <w:rsid w:val="00467DC4"/>
    <w:rsid w:val="00470A72"/>
    <w:rsid w:val="0047115A"/>
    <w:rsid w:val="0047205A"/>
    <w:rsid w:val="004722FA"/>
    <w:rsid w:val="00472CDA"/>
    <w:rsid w:val="00473E64"/>
    <w:rsid w:val="004742C2"/>
    <w:rsid w:val="00474301"/>
    <w:rsid w:val="00474B21"/>
    <w:rsid w:val="00474E9F"/>
    <w:rsid w:val="00475C50"/>
    <w:rsid w:val="00480C81"/>
    <w:rsid w:val="00481117"/>
    <w:rsid w:val="004812BC"/>
    <w:rsid w:val="00481825"/>
    <w:rsid w:val="00481828"/>
    <w:rsid w:val="00483402"/>
    <w:rsid w:val="00483663"/>
    <w:rsid w:val="004839CB"/>
    <w:rsid w:val="0048443D"/>
    <w:rsid w:val="004858AE"/>
    <w:rsid w:val="00485ADD"/>
    <w:rsid w:val="00486E6C"/>
    <w:rsid w:val="00486FF6"/>
    <w:rsid w:val="00490BAB"/>
    <w:rsid w:val="00491416"/>
    <w:rsid w:val="00491506"/>
    <w:rsid w:val="00491FFB"/>
    <w:rsid w:val="004921E8"/>
    <w:rsid w:val="0049325D"/>
    <w:rsid w:val="004935D0"/>
    <w:rsid w:val="0049415A"/>
    <w:rsid w:val="00495868"/>
    <w:rsid w:val="00495AF1"/>
    <w:rsid w:val="00496D13"/>
    <w:rsid w:val="00497583"/>
    <w:rsid w:val="00497E73"/>
    <w:rsid w:val="004A0401"/>
    <w:rsid w:val="004A1AF0"/>
    <w:rsid w:val="004A31F9"/>
    <w:rsid w:val="004A3808"/>
    <w:rsid w:val="004A3BCD"/>
    <w:rsid w:val="004A3EF3"/>
    <w:rsid w:val="004A4D91"/>
    <w:rsid w:val="004A56E2"/>
    <w:rsid w:val="004A616B"/>
    <w:rsid w:val="004A76A9"/>
    <w:rsid w:val="004A777B"/>
    <w:rsid w:val="004A7858"/>
    <w:rsid w:val="004A7CCB"/>
    <w:rsid w:val="004B11D1"/>
    <w:rsid w:val="004B136B"/>
    <w:rsid w:val="004B2147"/>
    <w:rsid w:val="004B2B45"/>
    <w:rsid w:val="004B3378"/>
    <w:rsid w:val="004B3F5E"/>
    <w:rsid w:val="004B53E2"/>
    <w:rsid w:val="004B5C05"/>
    <w:rsid w:val="004B5D4E"/>
    <w:rsid w:val="004C07F0"/>
    <w:rsid w:val="004C13C1"/>
    <w:rsid w:val="004C13F2"/>
    <w:rsid w:val="004C18A8"/>
    <w:rsid w:val="004C1D99"/>
    <w:rsid w:val="004C26DC"/>
    <w:rsid w:val="004C3041"/>
    <w:rsid w:val="004C345F"/>
    <w:rsid w:val="004C36E4"/>
    <w:rsid w:val="004C4293"/>
    <w:rsid w:val="004C4DEC"/>
    <w:rsid w:val="004C5B63"/>
    <w:rsid w:val="004C62FC"/>
    <w:rsid w:val="004C692B"/>
    <w:rsid w:val="004C716B"/>
    <w:rsid w:val="004C7313"/>
    <w:rsid w:val="004C78C7"/>
    <w:rsid w:val="004D0731"/>
    <w:rsid w:val="004D0D57"/>
    <w:rsid w:val="004D0EEB"/>
    <w:rsid w:val="004D2974"/>
    <w:rsid w:val="004D3766"/>
    <w:rsid w:val="004D43A5"/>
    <w:rsid w:val="004D5329"/>
    <w:rsid w:val="004D5513"/>
    <w:rsid w:val="004D58AA"/>
    <w:rsid w:val="004D6F42"/>
    <w:rsid w:val="004D7F68"/>
    <w:rsid w:val="004E0207"/>
    <w:rsid w:val="004E0F4D"/>
    <w:rsid w:val="004E2134"/>
    <w:rsid w:val="004E2709"/>
    <w:rsid w:val="004E3661"/>
    <w:rsid w:val="004E36F4"/>
    <w:rsid w:val="004E3B2F"/>
    <w:rsid w:val="004E436A"/>
    <w:rsid w:val="004E46A4"/>
    <w:rsid w:val="004E5251"/>
    <w:rsid w:val="004E566A"/>
    <w:rsid w:val="004E63BC"/>
    <w:rsid w:val="004E74D1"/>
    <w:rsid w:val="004E7A43"/>
    <w:rsid w:val="004F0CAF"/>
    <w:rsid w:val="004F0EC4"/>
    <w:rsid w:val="004F1003"/>
    <w:rsid w:val="004F19D2"/>
    <w:rsid w:val="004F2E78"/>
    <w:rsid w:val="004F2EB4"/>
    <w:rsid w:val="004F3278"/>
    <w:rsid w:val="004F345F"/>
    <w:rsid w:val="004F451A"/>
    <w:rsid w:val="004F47D5"/>
    <w:rsid w:val="004F4B70"/>
    <w:rsid w:val="004F5307"/>
    <w:rsid w:val="004F5427"/>
    <w:rsid w:val="004F5E9A"/>
    <w:rsid w:val="004F6589"/>
    <w:rsid w:val="004F6595"/>
    <w:rsid w:val="004F77C0"/>
    <w:rsid w:val="004F7C3C"/>
    <w:rsid w:val="004F7D5C"/>
    <w:rsid w:val="00502091"/>
    <w:rsid w:val="00502676"/>
    <w:rsid w:val="005034FD"/>
    <w:rsid w:val="00503AA1"/>
    <w:rsid w:val="00505D42"/>
    <w:rsid w:val="00505EBB"/>
    <w:rsid w:val="0050687C"/>
    <w:rsid w:val="005074D2"/>
    <w:rsid w:val="0051004D"/>
    <w:rsid w:val="005100A1"/>
    <w:rsid w:val="00510274"/>
    <w:rsid w:val="005109AE"/>
    <w:rsid w:val="00511F4F"/>
    <w:rsid w:val="0051247E"/>
    <w:rsid w:val="00512AF7"/>
    <w:rsid w:val="0051342C"/>
    <w:rsid w:val="0051613D"/>
    <w:rsid w:val="0051625F"/>
    <w:rsid w:val="00516307"/>
    <w:rsid w:val="00517D16"/>
    <w:rsid w:val="005208F7"/>
    <w:rsid w:val="00521946"/>
    <w:rsid w:val="00522222"/>
    <w:rsid w:val="005227A9"/>
    <w:rsid w:val="005228B1"/>
    <w:rsid w:val="00522E6B"/>
    <w:rsid w:val="00523C20"/>
    <w:rsid w:val="00524113"/>
    <w:rsid w:val="005246DC"/>
    <w:rsid w:val="00524746"/>
    <w:rsid w:val="00525283"/>
    <w:rsid w:val="005252E5"/>
    <w:rsid w:val="00526783"/>
    <w:rsid w:val="00527B45"/>
    <w:rsid w:val="00527FB2"/>
    <w:rsid w:val="005308C0"/>
    <w:rsid w:val="00530C81"/>
    <w:rsid w:val="0053133D"/>
    <w:rsid w:val="0053210B"/>
    <w:rsid w:val="0053232C"/>
    <w:rsid w:val="00532C56"/>
    <w:rsid w:val="005343AF"/>
    <w:rsid w:val="00534C0E"/>
    <w:rsid w:val="005404C0"/>
    <w:rsid w:val="005427F2"/>
    <w:rsid w:val="00542B79"/>
    <w:rsid w:val="00542D28"/>
    <w:rsid w:val="00543040"/>
    <w:rsid w:val="0054409F"/>
    <w:rsid w:val="005441A4"/>
    <w:rsid w:val="005451B0"/>
    <w:rsid w:val="00545DB3"/>
    <w:rsid w:val="0054655C"/>
    <w:rsid w:val="00546BD0"/>
    <w:rsid w:val="005471F7"/>
    <w:rsid w:val="005505FD"/>
    <w:rsid w:val="00551C3D"/>
    <w:rsid w:val="0055265B"/>
    <w:rsid w:val="00552754"/>
    <w:rsid w:val="005537EB"/>
    <w:rsid w:val="00556041"/>
    <w:rsid w:val="0055629F"/>
    <w:rsid w:val="005565B3"/>
    <w:rsid w:val="00556779"/>
    <w:rsid w:val="00556800"/>
    <w:rsid w:val="00556EC2"/>
    <w:rsid w:val="00557D5A"/>
    <w:rsid w:val="0056027F"/>
    <w:rsid w:val="00560842"/>
    <w:rsid w:val="005618D6"/>
    <w:rsid w:val="00564384"/>
    <w:rsid w:val="005649A6"/>
    <w:rsid w:val="0056635F"/>
    <w:rsid w:val="005669F8"/>
    <w:rsid w:val="00567EE8"/>
    <w:rsid w:val="00570796"/>
    <w:rsid w:val="005707C3"/>
    <w:rsid w:val="00570EB4"/>
    <w:rsid w:val="00571D5A"/>
    <w:rsid w:val="00571DF3"/>
    <w:rsid w:val="0057231E"/>
    <w:rsid w:val="005728DD"/>
    <w:rsid w:val="0057384F"/>
    <w:rsid w:val="0057451B"/>
    <w:rsid w:val="005750A8"/>
    <w:rsid w:val="00575711"/>
    <w:rsid w:val="00575A35"/>
    <w:rsid w:val="00576E0B"/>
    <w:rsid w:val="005777CE"/>
    <w:rsid w:val="005800DE"/>
    <w:rsid w:val="005819D3"/>
    <w:rsid w:val="00581E7E"/>
    <w:rsid w:val="00582491"/>
    <w:rsid w:val="00583CF8"/>
    <w:rsid w:val="00584899"/>
    <w:rsid w:val="00584FEC"/>
    <w:rsid w:val="00587231"/>
    <w:rsid w:val="00587CD4"/>
    <w:rsid w:val="00587FA4"/>
    <w:rsid w:val="00590EE3"/>
    <w:rsid w:val="00592B8C"/>
    <w:rsid w:val="00593119"/>
    <w:rsid w:val="00593876"/>
    <w:rsid w:val="005941CD"/>
    <w:rsid w:val="00594EB0"/>
    <w:rsid w:val="00595912"/>
    <w:rsid w:val="00595E08"/>
    <w:rsid w:val="005975E4"/>
    <w:rsid w:val="005A0C46"/>
    <w:rsid w:val="005A1352"/>
    <w:rsid w:val="005A1DA5"/>
    <w:rsid w:val="005A1E4C"/>
    <w:rsid w:val="005A2507"/>
    <w:rsid w:val="005A2B2B"/>
    <w:rsid w:val="005A2DC9"/>
    <w:rsid w:val="005A2F5B"/>
    <w:rsid w:val="005A32E0"/>
    <w:rsid w:val="005A37C0"/>
    <w:rsid w:val="005A4AEC"/>
    <w:rsid w:val="005A5514"/>
    <w:rsid w:val="005A633E"/>
    <w:rsid w:val="005A7F96"/>
    <w:rsid w:val="005B0891"/>
    <w:rsid w:val="005B100B"/>
    <w:rsid w:val="005B1107"/>
    <w:rsid w:val="005B163D"/>
    <w:rsid w:val="005B17CA"/>
    <w:rsid w:val="005B2117"/>
    <w:rsid w:val="005B2848"/>
    <w:rsid w:val="005B287E"/>
    <w:rsid w:val="005B28E5"/>
    <w:rsid w:val="005B39E8"/>
    <w:rsid w:val="005B420E"/>
    <w:rsid w:val="005B4801"/>
    <w:rsid w:val="005B4D98"/>
    <w:rsid w:val="005B4FFA"/>
    <w:rsid w:val="005B6527"/>
    <w:rsid w:val="005B7330"/>
    <w:rsid w:val="005C0099"/>
    <w:rsid w:val="005C03D6"/>
    <w:rsid w:val="005C13D9"/>
    <w:rsid w:val="005C1A27"/>
    <w:rsid w:val="005C1C33"/>
    <w:rsid w:val="005C1CF1"/>
    <w:rsid w:val="005C2D22"/>
    <w:rsid w:val="005C3ABD"/>
    <w:rsid w:val="005C3D52"/>
    <w:rsid w:val="005C43C6"/>
    <w:rsid w:val="005C4F2A"/>
    <w:rsid w:val="005C5BC1"/>
    <w:rsid w:val="005C6554"/>
    <w:rsid w:val="005C67CC"/>
    <w:rsid w:val="005C687D"/>
    <w:rsid w:val="005C7489"/>
    <w:rsid w:val="005C770C"/>
    <w:rsid w:val="005D0E20"/>
    <w:rsid w:val="005D1378"/>
    <w:rsid w:val="005D156F"/>
    <w:rsid w:val="005D1802"/>
    <w:rsid w:val="005D29A1"/>
    <w:rsid w:val="005D3F2E"/>
    <w:rsid w:val="005D412B"/>
    <w:rsid w:val="005D4247"/>
    <w:rsid w:val="005D4B0C"/>
    <w:rsid w:val="005D5202"/>
    <w:rsid w:val="005D7731"/>
    <w:rsid w:val="005D7F80"/>
    <w:rsid w:val="005E0028"/>
    <w:rsid w:val="005E1245"/>
    <w:rsid w:val="005E30A2"/>
    <w:rsid w:val="005E33A9"/>
    <w:rsid w:val="005E37CA"/>
    <w:rsid w:val="005E41B4"/>
    <w:rsid w:val="005E4E89"/>
    <w:rsid w:val="005E4F34"/>
    <w:rsid w:val="005E520F"/>
    <w:rsid w:val="005E54DC"/>
    <w:rsid w:val="005E5500"/>
    <w:rsid w:val="005E756D"/>
    <w:rsid w:val="005F302E"/>
    <w:rsid w:val="005F3860"/>
    <w:rsid w:val="005F4B91"/>
    <w:rsid w:val="005F5443"/>
    <w:rsid w:val="005F5D3D"/>
    <w:rsid w:val="005F6780"/>
    <w:rsid w:val="005F6D97"/>
    <w:rsid w:val="005F7068"/>
    <w:rsid w:val="005F7FC9"/>
    <w:rsid w:val="006004F7"/>
    <w:rsid w:val="00600540"/>
    <w:rsid w:val="00600CA4"/>
    <w:rsid w:val="0060166C"/>
    <w:rsid w:val="0060199A"/>
    <w:rsid w:val="006027EB"/>
    <w:rsid w:val="00602F6B"/>
    <w:rsid w:val="0060325B"/>
    <w:rsid w:val="00603F59"/>
    <w:rsid w:val="00605196"/>
    <w:rsid w:val="00605505"/>
    <w:rsid w:val="00607280"/>
    <w:rsid w:val="00607CC1"/>
    <w:rsid w:val="006105C2"/>
    <w:rsid w:val="00611650"/>
    <w:rsid w:val="0061246A"/>
    <w:rsid w:val="00613C3A"/>
    <w:rsid w:val="0061488C"/>
    <w:rsid w:val="00615057"/>
    <w:rsid w:val="006157FD"/>
    <w:rsid w:val="0061653F"/>
    <w:rsid w:val="00616CED"/>
    <w:rsid w:val="00617BA9"/>
    <w:rsid w:val="00617D09"/>
    <w:rsid w:val="00620A7D"/>
    <w:rsid w:val="006210D6"/>
    <w:rsid w:val="006217A8"/>
    <w:rsid w:val="0062411E"/>
    <w:rsid w:val="00624CC7"/>
    <w:rsid w:val="006250FC"/>
    <w:rsid w:val="00625388"/>
    <w:rsid w:val="006259CD"/>
    <w:rsid w:val="006264BA"/>
    <w:rsid w:val="00626FE7"/>
    <w:rsid w:val="006274A4"/>
    <w:rsid w:val="00627980"/>
    <w:rsid w:val="00630312"/>
    <w:rsid w:val="00631713"/>
    <w:rsid w:val="00631BA9"/>
    <w:rsid w:val="00632126"/>
    <w:rsid w:val="006332FF"/>
    <w:rsid w:val="00633B52"/>
    <w:rsid w:val="006345DF"/>
    <w:rsid w:val="0063466D"/>
    <w:rsid w:val="006351A4"/>
    <w:rsid w:val="006352AB"/>
    <w:rsid w:val="0063574C"/>
    <w:rsid w:val="0063647E"/>
    <w:rsid w:val="0063696D"/>
    <w:rsid w:val="00636F4F"/>
    <w:rsid w:val="00637B1A"/>
    <w:rsid w:val="00640A46"/>
    <w:rsid w:val="00642072"/>
    <w:rsid w:val="00642CCE"/>
    <w:rsid w:val="00644504"/>
    <w:rsid w:val="006451AC"/>
    <w:rsid w:val="00646186"/>
    <w:rsid w:val="00646412"/>
    <w:rsid w:val="0064789A"/>
    <w:rsid w:val="00647FEB"/>
    <w:rsid w:val="006503E4"/>
    <w:rsid w:val="00651137"/>
    <w:rsid w:val="00651863"/>
    <w:rsid w:val="006519C9"/>
    <w:rsid w:val="00652CF4"/>
    <w:rsid w:val="006538F8"/>
    <w:rsid w:val="00653E38"/>
    <w:rsid w:val="00653F6D"/>
    <w:rsid w:val="00655025"/>
    <w:rsid w:val="00655A24"/>
    <w:rsid w:val="00656AD4"/>
    <w:rsid w:val="00660FB7"/>
    <w:rsid w:val="006610E6"/>
    <w:rsid w:val="00661601"/>
    <w:rsid w:val="00661B5B"/>
    <w:rsid w:val="00661BF3"/>
    <w:rsid w:val="00661D90"/>
    <w:rsid w:val="006623F1"/>
    <w:rsid w:val="006624CE"/>
    <w:rsid w:val="00662980"/>
    <w:rsid w:val="00662EE8"/>
    <w:rsid w:val="006634D7"/>
    <w:rsid w:val="00663C9C"/>
    <w:rsid w:val="00664BCC"/>
    <w:rsid w:val="00667328"/>
    <w:rsid w:val="00670362"/>
    <w:rsid w:val="00672427"/>
    <w:rsid w:val="0067287B"/>
    <w:rsid w:val="00673AF5"/>
    <w:rsid w:val="00673D3A"/>
    <w:rsid w:val="00675BD6"/>
    <w:rsid w:val="0067733C"/>
    <w:rsid w:val="00681184"/>
    <w:rsid w:val="00682293"/>
    <w:rsid w:val="00683727"/>
    <w:rsid w:val="006839F1"/>
    <w:rsid w:val="00684392"/>
    <w:rsid w:val="00684793"/>
    <w:rsid w:val="00684C6A"/>
    <w:rsid w:val="006852F4"/>
    <w:rsid w:val="0068641A"/>
    <w:rsid w:val="00686442"/>
    <w:rsid w:val="0068763D"/>
    <w:rsid w:val="006912D4"/>
    <w:rsid w:val="00691B2F"/>
    <w:rsid w:val="006929C4"/>
    <w:rsid w:val="00694032"/>
    <w:rsid w:val="00695854"/>
    <w:rsid w:val="00695DBF"/>
    <w:rsid w:val="00695F0D"/>
    <w:rsid w:val="00696D2F"/>
    <w:rsid w:val="0069720F"/>
    <w:rsid w:val="0069768C"/>
    <w:rsid w:val="00697901"/>
    <w:rsid w:val="00697C49"/>
    <w:rsid w:val="00697CB7"/>
    <w:rsid w:val="006A0078"/>
    <w:rsid w:val="006A0FCC"/>
    <w:rsid w:val="006A18A7"/>
    <w:rsid w:val="006A3D77"/>
    <w:rsid w:val="006A3DCB"/>
    <w:rsid w:val="006A4A63"/>
    <w:rsid w:val="006A4B50"/>
    <w:rsid w:val="006A5D6F"/>
    <w:rsid w:val="006A6391"/>
    <w:rsid w:val="006A6F6C"/>
    <w:rsid w:val="006A77C3"/>
    <w:rsid w:val="006A7A61"/>
    <w:rsid w:val="006A7E39"/>
    <w:rsid w:val="006B00F3"/>
    <w:rsid w:val="006B0160"/>
    <w:rsid w:val="006B0B8F"/>
    <w:rsid w:val="006B1CBF"/>
    <w:rsid w:val="006B1D25"/>
    <w:rsid w:val="006B1F5C"/>
    <w:rsid w:val="006B2965"/>
    <w:rsid w:val="006B2B42"/>
    <w:rsid w:val="006B39ED"/>
    <w:rsid w:val="006B513B"/>
    <w:rsid w:val="006B5BFD"/>
    <w:rsid w:val="006B5D4D"/>
    <w:rsid w:val="006B5EA2"/>
    <w:rsid w:val="006B6528"/>
    <w:rsid w:val="006B6CAD"/>
    <w:rsid w:val="006B6D27"/>
    <w:rsid w:val="006B71A4"/>
    <w:rsid w:val="006C0685"/>
    <w:rsid w:val="006C265E"/>
    <w:rsid w:val="006C2A0C"/>
    <w:rsid w:val="006C4E71"/>
    <w:rsid w:val="006C577A"/>
    <w:rsid w:val="006C5969"/>
    <w:rsid w:val="006C5B80"/>
    <w:rsid w:val="006C75A5"/>
    <w:rsid w:val="006C765C"/>
    <w:rsid w:val="006D045B"/>
    <w:rsid w:val="006D095B"/>
    <w:rsid w:val="006D16E4"/>
    <w:rsid w:val="006D2038"/>
    <w:rsid w:val="006D35BE"/>
    <w:rsid w:val="006D3F13"/>
    <w:rsid w:val="006D665F"/>
    <w:rsid w:val="006D71F7"/>
    <w:rsid w:val="006D7650"/>
    <w:rsid w:val="006D7A74"/>
    <w:rsid w:val="006D7B4C"/>
    <w:rsid w:val="006E02F7"/>
    <w:rsid w:val="006E06A8"/>
    <w:rsid w:val="006E2A8B"/>
    <w:rsid w:val="006E2ED3"/>
    <w:rsid w:val="006E43C3"/>
    <w:rsid w:val="006E4B87"/>
    <w:rsid w:val="006E4D0C"/>
    <w:rsid w:val="006E4D60"/>
    <w:rsid w:val="006E4DD8"/>
    <w:rsid w:val="006E5AB6"/>
    <w:rsid w:val="006E5CD2"/>
    <w:rsid w:val="006E5D7A"/>
    <w:rsid w:val="006E5FEA"/>
    <w:rsid w:val="006E625B"/>
    <w:rsid w:val="006E721F"/>
    <w:rsid w:val="006E7C6E"/>
    <w:rsid w:val="006E7DF9"/>
    <w:rsid w:val="006F0B47"/>
    <w:rsid w:val="006F1A7E"/>
    <w:rsid w:val="006F239B"/>
    <w:rsid w:val="006F479B"/>
    <w:rsid w:val="006F55D3"/>
    <w:rsid w:val="006F578D"/>
    <w:rsid w:val="006F5A12"/>
    <w:rsid w:val="006F5AA8"/>
    <w:rsid w:val="006F78D7"/>
    <w:rsid w:val="007003B1"/>
    <w:rsid w:val="00700F8E"/>
    <w:rsid w:val="00701F05"/>
    <w:rsid w:val="0070270E"/>
    <w:rsid w:val="00702A98"/>
    <w:rsid w:val="007035CB"/>
    <w:rsid w:val="0070389D"/>
    <w:rsid w:val="00703962"/>
    <w:rsid w:val="00706001"/>
    <w:rsid w:val="0070660D"/>
    <w:rsid w:val="0070677D"/>
    <w:rsid w:val="00707866"/>
    <w:rsid w:val="00707977"/>
    <w:rsid w:val="00707AAB"/>
    <w:rsid w:val="007106C0"/>
    <w:rsid w:val="007139D7"/>
    <w:rsid w:val="00714066"/>
    <w:rsid w:val="0071468A"/>
    <w:rsid w:val="007147F0"/>
    <w:rsid w:val="00714F61"/>
    <w:rsid w:val="00716119"/>
    <w:rsid w:val="007173A7"/>
    <w:rsid w:val="00717759"/>
    <w:rsid w:val="00717A58"/>
    <w:rsid w:val="007201FA"/>
    <w:rsid w:val="007205C3"/>
    <w:rsid w:val="007219C1"/>
    <w:rsid w:val="007237F0"/>
    <w:rsid w:val="0072393B"/>
    <w:rsid w:val="00724EB0"/>
    <w:rsid w:val="007257B2"/>
    <w:rsid w:val="00725D9B"/>
    <w:rsid w:val="00725E05"/>
    <w:rsid w:val="00726E91"/>
    <w:rsid w:val="00727882"/>
    <w:rsid w:val="00730632"/>
    <w:rsid w:val="007330AD"/>
    <w:rsid w:val="007331AE"/>
    <w:rsid w:val="007335C6"/>
    <w:rsid w:val="00733A78"/>
    <w:rsid w:val="00734B28"/>
    <w:rsid w:val="0073524A"/>
    <w:rsid w:val="0073774D"/>
    <w:rsid w:val="007379FB"/>
    <w:rsid w:val="00737D37"/>
    <w:rsid w:val="00740473"/>
    <w:rsid w:val="00742067"/>
    <w:rsid w:val="0074216D"/>
    <w:rsid w:val="0074238B"/>
    <w:rsid w:val="00742A38"/>
    <w:rsid w:val="007447CB"/>
    <w:rsid w:val="00744A65"/>
    <w:rsid w:val="00745CA8"/>
    <w:rsid w:val="00746114"/>
    <w:rsid w:val="007470A9"/>
    <w:rsid w:val="0074715B"/>
    <w:rsid w:val="00750D65"/>
    <w:rsid w:val="00751734"/>
    <w:rsid w:val="007518F0"/>
    <w:rsid w:val="007528C4"/>
    <w:rsid w:val="0075313E"/>
    <w:rsid w:val="00753D94"/>
    <w:rsid w:val="007546F0"/>
    <w:rsid w:val="007558B2"/>
    <w:rsid w:val="007561DD"/>
    <w:rsid w:val="00756745"/>
    <w:rsid w:val="00756FEB"/>
    <w:rsid w:val="00757026"/>
    <w:rsid w:val="00757193"/>
    <w:rsid w:val="00757F24"/>
    <w:rsid w:val="00760270"/>
    <w:rsid w:val="007609F7"/>
    <w:rsid w:val="00760D27"/>
    <w:rsid w:val="007614EC"/>
    <w:rsid w:val="007623C5"/>
    <w:rsid w:val="00762869"/>
    <w:rsid w:val="007638AD"/>
    <w:rsid w:val="00765A4E"/>
    <w:rsid w:val="00766C84"/>
    <w:rsid w:val="007705ED"/>
    <w:rsid w:val="007715A9"/>
    <w:rsid w:val="00772229"/>
    <w:rsid w:val="00772AD4"/>
    <w:rsid w:val="00774340"/>
    <w:rsid w:val="0077653B"/>
    <w:rsid w:val="00776602"/>
    <w:rsid w:val="0077661B"/>
    <w:rsid w:val="00776B54"/>
    <w:rsid w:val="00776F12"/>
    <w:rsid w:val="0077776F"/>
    <w:rsid w:val="00777ED9"/>
    <w:rsid w:val="007816F2"/>
    <w:rsid w:val="00782A84"/>
    <w:rsid w:val="00782EE4"/>
    <w:rsid w:val="00783A4F"/>
    <w:rsid w:val="00784679"/>
    <w:rsid w:val="00784834"/>
    <w:rsid w:val="00784DFF"/>
    <w:rsid w:val="00785013"/>
    <w:rsid w:val="00785DEA"/>
    <w:rsid w:val="00785E16"/>
    <w:rsid w:val="007862B0"/>
    <w:rsid w:val="00786816"/>
    <w:rsid w:val="0078717A"/>
    <w:rsid w:val="007876AB"/>
    <w:rsid w:val="007902BB"/>
    <w:rsid w:val="00790717"/>
    <w:rsid w:val="007932C8"/>
    <w:rsid w:val="0079493B"/>
    <w:rsid w:val="00794A5A"/>
    <w:rsid w:val="00795609"/>
    <w:rsid w:val="0079623E"/>
    <w:rsid w:val="00796431"/>
    <w:rsid w:val="00796F72"/>
    <w:rsid w:val="0079791E"/>
    <w:rsid w:val="00797E16"/>
    <w:rsid w:val="007A0A60"/>
    <w:rsid w:val="007A19D7"/>
    <w:rsid w:val="007A1ED2"/>
    <w:rsid w:val="007A25C7"/>
    <w:rsid w:val="007A3BE3"/>
    <w:rsid w:val="007A5758"/>
    <w:rsid w:val="007A5C4B"/>
    <w:rsid w:val="007A5ECB"/>
    <w:rsid w:val="007A783E"/>
    <w:rsid w:val="007B5136"/>
    <w:rsid w:val="007B74C9"/>
    <w:rsid w:val="007B7E7A"/>
    <w:rsid w:val="007C01FA"/>
    <w:rsid w:val="007C0ECD"/>
    <w:rsid w:val="007C194D"/>
    <w:rsid w:val="007C1F49"/>
    <w:rsid w:val="007C20F8"/>
    <w:rsid w:val="007C2572"/>
    <w:rsid w:val="007C2A1C"/>
    <w:rsid w:val="007C31F0"/>
    <w:rsid w:val="007C3982"/>
    <w:rsid w:val="007C3B18"/>
    <w:rsid w:val="007C46A3"/>
    <w:rsid w:val="007C630A"/>
    <w:rsid w:val="007C69BF"/>
    <w:rsid w:val="007C6BDD"/>
    <w:rsid w:val="007D02B3"/>
    <w:rsid w:val="007D0B5C"/>
    <w:rsid w:val="007D13A0"/>
    <w:rsid w:val="007D221F"/>
    <w:rsid w:val="007D266A"/>
    <w:rsid w:val="007D2DD1"/>
    <w:rsid w:val="007D3450"/>
    <w:rsid w:val="007D367A"/>
    <w:rsid w:val="007D377A"/>
    <w:rsid w:val="007D5F05"/>
    <w:rsid w:val="007D6B2B"/>
    <w:rsid w:val="007D79B0"/>
    <w:rsid w:val="007E014A"/>
    <w:rsid w:val="007E0480"/>
    <w:rsid w:val="007E0C88"/>
    <w:rsid w:val="007E1144"/>
    <w:rsid w:val="007E1DB9"/>
    <w:rsid w:val="007E1E6B"/>
    <w:rsid w:val="007E2F98"/>
    <w:rsid w:val="007E33B0"/>
    <w:rsid w:val="007E403C"/>
    <w:rsid w:val="007E5A3D"/>
    <w:rsid w:val="007E5EF8"/>
    <w:rsid w:val="007E62C3"/>
    <w:rsid w:val="007E6CCC"/>
    <w:rsid w:val="007E7388"/>
    <w:rsid w:val="007E74F3"/>
    <w:rsid w:val="007E7CCE"/>
    <w:rsid w:val="007F0B3E"/>
    <w:rsid w:val="007F0FCA"/>
    <w:rsid w:val="007F106B"/>
    <w:rsid w:val="007F18DA"/>
    <w:rsid w:val="007F2679"/>
    <w:rsid w:val="007F2A5C"/>
    <w:rsid w:val="007F3D4D"/>
    <w:rsid w:val="007F4373"/>
    <w:rsid w:val="007F46F0"/>
    <w:rsid w:val="007F7290"/>
    <w:rsid w:val="007F74CE"/>
    <w:rsid w:val="007F7B1F"/>
    <w:rsid w:val="00801131"/>
    <w:rsid w:val="00802158"/>
    <w:rsid w:val="00802BE7"/>
    <w:rsid w:val="00802C8F"/>
    <w:rsid w:val="008033D7"/>
    <w:rsid w:val="00803C6B"/>
    <w:rsid w:val="0080512A"/>
    <w:rsid w:val="00805956"/>
    <w:rsid w:val="0080607A"/>
    <w:rsid w:val="008065E5"/>
    <w:rsid w:val="00812F35"/>
    <w:rsid w:val="008137F0"/>
    <w:rsid w:val="00813CA1"/>
    <w:rsid w:val="00813D0E"/>
    <w:rsid w:val="00814027"/>
    <w:rsid w:val="00814EEB"/>
    <w:rsid w:val="00815D49"/>
    <w:rsid w:val="008161B8"/>
    <w:rsid w:val="008164CB"/>
    <w:rsid w:val="008177E0"/>
    <w:rsid w:val="00817AEC"/>
    <w:rsid w:val="00820E2D"/>
    <w:rsid w:val="008219C6"/>
    <w:rsid w:val="00822545"/>
    <w:rsid w:val="0082283C"/>
    <w:rsid w:val="00823403"/>
    <w:rsid w:val="008238AA"/>
    <w:rsid w:val="00823DE5"/>
    <w:rsid w:val="0082494A"/>
    <w:rsid w:val="00824E02"/>
    <w:rsid w:val="008256BD"/>
    <w:rsid w:val="00825C9D"/>
    <w:rsid w:val="008269A2"/>
    <w:rsid w:val="00826A32"/>
    <w:rsid w:val="00826AC4"/>
    <w:rsid w:val="00827027"/>
    <w:rsid w:val="0082705D"/>
    <w:rsid w:val="008275D3"/>
    <w:rsid w:val="008306EE"/>
    <w:rsid w:val="00830A3D"/>
    <w:rsid w:val="0083228F"/>
    <w:rsid w:val="00832C68"/>
    <w:rsid w:val="00833945"/>
    <w:rsid w:val="008339AE"/>
    <w:rsid w:val="00833EBE"/>
    <w:rsid w:val="00834998"/>
    <w:rsid w:val="00834CFE"/>
    <w:rsid w:val="0083557D"/>
    <w:rsid w:val="00835A8E"/>
    <w:rsid w:val="00836523"/>
    <w:rsid w:val="0083707F"/>
    <w:rsid w:val="008410C8"/>
    <w:rsid w:val="00841F6B"/>
    <w:rsid w:val="00843DD8"/>
    <w:rsid w:val="008450FF"/>
    <w:rsid w:val="008455D9"/>
    <w:rsid w:val="008461F3"/>
    <w:rsid w:val="008475FE"/>
    <w:rsid w:val="00847AA2"/>
    <w:rsid w:val="008506D7"/>
    <w:rsid w:val="00850976"/>
    <w:rsid w:val="00850E3A"/>
    <w:rsid w:val="008511D8"/>
    <w:rsid w:val="00852C61"/>
    <w:rsid w:val="00852EFF"/>
    <w:rsid w:val="0085311D"/>
    <w:rsid w:val="008534FE"/>
    <w:rsid w:val="008538AC"/>
    <w:rsid w:val="0085455E"/>
    <w:rsid w:val="0085582D"/>
    <w:rsid w:val="00855A3F"/>
    <w:rsid w:val="00855D56"/>
    <w:rsid w:val="00856DFA"/>
    <w:rsid w:val="00856FAD"/>
    <w:rsid w:val="008618D0"/>
    <w:rsid w:val="008620B7"/>
    <w:rsid w:val="00862880"/>
    <w:rsid w:val="00866378"/>
    <w:rsid w:val="008673F5"/>
    <w:rsid w:val="008720B1"/>
    <w:rsid w:val="00873E7E"/>
    <w:rsid w:val="00874DCD"/>
    <w:rsid w:val="0087537B"/>
    <w:rsid w:val="00875415"/>
    <w:rsid w:val="0087733D"/>
    <w:rsid w:val="00877E3B"/>
    <w:rsid w:val="0088081F"/>
    <w:rsid w:val="008810C9"/>
    <w:rsid w:val="00882676"/>
    <w:rsid w:val="008833BA"/>
    <w:rsid w:val="00884977"/>
    <w:rsid w:val="00885D8C"/>
    <w:rsid w:val="0088671D"/>
    <w:rsid w:val="00887D65"/>
    <w:rsid w:val="00892734"/>
    <w:rsid w:val="008939DB"/>
    <w:rsid w:val="008953E5"/>
    <w:rsid w:val="008966DA"/>
    <w:rsid w:val="008969D8"/>
    <w:rsid w:val="00896F47"/>
    <w:rsid w:val="00897E88"/>
    <w:rsid w:val="008A033C"/>
    <w:rsid w:val="008A12CB"/>
    <w:rsid w:val="008A14EB"/>
    <w:rsid w:val="008A18BC"/>
    <w:rsid w:val="008A2ED1"/>
    <w:rsid w:val="008A35D6"/>
    <w:rsid w:val="008A3C77"/>
    <w:rsid w:val="008A4BC7"/>
    <w:rsid w:val="008A5066"/>
    <w:rsid w:val="008A55CA"/>
    <w:rsid w:val="008A5A9B"/>
    <w:rsid w:val="008A5D59"/>
    <w:rsid w:val="008A5ED7"/>
    <w:rsid w:val="008A5EE3"/>
    <w:rsid w:val="008A7E41"/>
    <w:rsid w:val="008B0077"/>
    <w:rsid w:val="008B040F"/>
    <w:rsid w:val="008B08D0"/>
    <w:rsid w:val="008B0BDC"/>
    <w:rsid w:val="008B11E9"/>
    <w:rsid w:val="008B2CAC"/>
    <w:rsid w:val="008B3050"/>
    <w:rsid w:val="008B4DDD"/>
    <w:rsid w:val="008B561B"/>
    <w:rsid w:val="008B5B38"/>
    <w:rsid w:val="008B5F59"/>
    <w:rsid w:val="008B66F9"/>
    <w:rsid w:val="008B6B06"/>
    <w:rsid w:val="008B6B8B"/>
    <w:rsid w:val="008C0301"/>
    <w:rsid w:val="008C1395"/>
    <w:rsid w:val="008C256C"/>
    <w:rsid w:val="008C2B44"/>
    <w:rsid w:val="008C3BF3"/>
    <w:rsid w:val="008C4E90"/>
    <w:rsid w:val="008C59B8"/>
    <w:rsid w:val="008C5C97"/>
    <w:rsid w:val="008C6FC0"/>
    <w:rsid w:val="008D02F3"/>
    <w:rsid w:val="008D1725"/>
    <w:rsid w:val="008D2FD0"/>
    <w:rsid w:val="008D43F2"/>
    <w:rsid w:val="008D46F2"/>
    <w:rsid w:val="008D491D"/>
    <w:rsid w:val="008D4EED"/>
    <w:rsid w:val="008D5699"/>
    <w:rsid w:val="008D6A37"/>
    <w:rsid w:val="008D7428"/>
    <w:rsid w:val="008E0B2D"/>
    <w:rsid w:val="008E20CB"/>
    <w:rsid w:val="008E2B61"/>
    <w:rsid w:val="008E3BA5"/>
    <w:rsid w:val="008E494A"/>
    <w:rsid w:val="008E4DCB"/>
    <w:rsid w:val="008E56A9"/>
    <w:rsid w:val="008E56DA"/>
    <w:rsid w:val="008E5CFC"/>
    <w:rsid w:val="008E5DE2"/>
    <w:rsid w:val="008E5F3E"/>
    <w:rsid w:val="008E6063"/>
    <w:rsid w:val="008E65DD"/>
    <w:rsid w:val="008E6BAC"/>
    <w:rsid w:val="008E7710"/>
    <w:rsid w:val="008F0D78"/>
    <w:rsid w:val="008F14BD"/>
    <w:rsid w:val="008F2011"/>
    <w:rsid w:val="008F248A"/>
    <w:rsid w:val="008F2675"/>
    <w:rsid w:val="008F29E8"/>
    <w:rsid w:val="008F35CC"/>
    <w:rsid w:val="008F37C0"/>
    <w:rsid w:val="008F3A7E"/>
    <w:rsid w:val="008F5062"/>
    <w:rsid w:val="008F527B"/>
    <w:rsid w:val="008F5C98"/>
    <w:rsid w:val="008F5D12"/>
    <w:rsid w:val="008F7838"/>
    <w:rsid w:val="00900542"/>
    <w:rsid w:val="0090114D"/>
    <w:rsid w:val="00901250"/>
    <w:rsid w:val="009013F1"/>
    <w:rsid w:val="00901C4E"/>
    <w:rsid w:val="00901FB5"/>
    <w:rsid w:val="00902108"/>
    <w:rsid w:val="0090285C"/>
    <w:rsid w:val="00902B2B"/>
    <w:rsid w:val="00902E0C"/>
    <w:rsid w:val="00903561"/>
    <w:rsid w:val="0090379F"/>
    <w:rsid w:val="00905525"/>
    <w:rsid w:val="00905C18"/>
    <w:rsid w:val="00905DEA"/>
    <w:rsid w:val="00905F89"/>
    <w:rsid w:val="00913679"/>
    <w:rsid w:val="0091401A"/>
    <w:rsid w:val="00914F4A"/>
    <w:rsid w:val="00916166"/>
    <w:rsid w:val="009164DD"/>
    <w:rsid w:val="009165D5"/>
    <w:rsid w:val="00917BB0"/>
    <w:rsid w:val="00920471"/>
    <w:rsid w:val="00920F88"/>
    <w:rsid w:val="0092104B"/>
    <w:rsid w:val="009215C7"/>
    <w:rsid w:val="009216A0"/>
    <w:rsid w:val="00922702"/>
    <w:rsid w:val="009230F9"/>
    <w:rsid w:val="00923615"/>
    <w:rsid w:val="00923987"/>
    <w:rsid w:val="009247B7"/>
    <w:rsid w:val="00925548"/>
    <w:rsid w:val="009264ED"/>
    <w:rsid w:val="00926A9A"/>
    <w:rsid w:val="00926F34"/>
    <w:rsid w:val="009302A5"/>
    <w:rsid w:val="00930CB3"/>
    <w:rsid w:val="00930DBB"/>
    <w:rsid w:val="009311EE"/>
    <w:rsid w:val="009317AB"/>
    <w:rsid w:val="00932A2D"/>
    <w:rsid w:val="00932C6A"/>
    <w:rsid w:val="009332FF"/>
    <w:rsid w:val="00933EA8"/>
    <w:rsid w:val="00935B72"/>
    <w:rsid w:val="00935CD8"/>
    <w:rsid w:val="009376F7"/>
    <w:rsid w:val="009408B8"/>
    <w:rsid w:val="00940A84"/>
    <w:rsid w:val="00940C4A"/>
    <w:rsid w:val="009411DC"/>
    <w:rsid w:val="009412DA"/>
    <w:rsid w:val="009417E7"/>
    <w:rsid w:val="00942FEA"/>
    <w:rsid w:val="009441C0"/>
    <w:rsid w:val="0094430B"/>
    <w:rsid w:val="00944682"/>
    <w:rsid w:val="0094675C"/>
    <w:rsid w:val="009469BA"/>
    <w:rsid w:val="00946A56"/>
    <w:rsid w:val="00947B3D"/>
    <w:rsid w:val="00947EDB"/>
    <w:rsid w:val="009509D5"/>
    <w:rsid w:val="00951497"/>
    <w:rsid w:val="00952270"/>
    <w:rsid w:val="00952664"/>
    <w:rsid w:val="00952B4B"/>
    <w:rsid w:val="00952CCE"/>
    <w:rsid w:val="00953430"/>
    <w:rsid w:val="00954957"/>
    <w:rsid w:val="00954FC9"/>
    <w:rsid w:val="00955718"/>
    <w:rsid w:val="009558D3"/>
    <w:rsid w:val="00955963"/>
    <w:rsid w:val="009568FE"/>
    <w:rsid w:val="00956E39"/>
    <w:rsid w:val="0095706E"/>
    <w:rsid w:val="0095715B"/>
    <w:rsid w:val="00957321"/>
    <w:rsid w:val="009575EB"/>
    <w:rsid w:val="00957DAB"/>
    <w:rsid w:val="009607CF"/>
    <w:rsid w:val="00961D5B"/>
    <w:rsid w:val="0096314D"/>
    <w:rsid w:val="00963272"/>
    <w:rsid w:val="009632A5"/>
    <w:rsid w:val="009637F8"/>
    <w:rsid w:val="00963E0B"/>
    <w:rsid w:val="00965F78"/>
    <w:rsid w:val="009666BC"/>
    <w:rsid w:val="00966CA6"/>
    <w:rsid w:val="009700AD"/>
    <w:rsid w:val="00970108"/>
    <w:rsid w:val="00970E3A"/>
    <w:rsid w:val="009718F1"/>
    <w:rsid w:val="00972583"/>
    <w:rsid w:val="009727F8"/>
    <w:rsid w:val="00972C43"/>
    <w:rsid w:val="00974368"/>
    <w:rsid w:val="00974F1B"/>
    <w:rsid w:val="0097508B"/>
    <w:rsid w:val="0097511C"/>
    <w:rsid w:val="00975C7C"/>
    <w:rsid w:val="00976458"/>
    <w:rsid w:val="00976AEA"/>
    <w:rsid w:val="00976B21"/>
    <w:rsid w:val="00976F98"/>
    <w:rsid w:val="00976FA5"/>
    <w:rsid w:val="0098039B"/>
    <w:rsid w:val="009805BD"/>
    <w:rsid w:val="00980A9C"/>
    <w:rsid w:val="00981203"/>
    <w:rsid w:val="00981859"/>
    <w:rsid w:val="00982E0F"/>
    <w:rsid w:val="00983A79"/>
    <w:rsid w:val="009843E5"/>
    <w:rsid w:val="00984597"/>
    <w:rsid w:val="0098520E"/>
    <w:rsid w:val="00985E53"/>
    <w:rsid w:val="00986696"/>
    <w:rsid w:val="00987A1E"/>
    <w:rsid w:val="009909C0"/>
    <w:rsid w:val="00990CD8"/>
    <w:rsid w:val="0099102C"/>
    <w:rsid w:val="00994255"/>
    <w:rsid w:val="00995DE8"/>
    <w:rsid w:val="0099650C"/>
    <w:rsid w:val="00997048"/>
    <w:rsid w:val="0099793D"/>
    <w:rsid w:val="009A12D7"/>
    <w:rsid w:val="009A1763"/>
    <w:rsid w:val="009A1D0C"/>
    <w:rsid w:val="009A2881"/>
    <w:rsid w:val="009A293E"/>
    <w:rsid w:val="009A2A59"/>
    <w:rsid w:val="009A2FB5"/>
    <w:rsid w:val="009A3FCD"/>
    <w:rsid w:val="009A55F3"/>
    <w:rsid w:val="009A6AC1"/>
    <w:rsid w:val="009A717E"/>
    <w:rsid w:val="009B1116"/>
    <w:rsid w:val="009B13BB"/>
    <w:rsid w:val="009B229E"/>
    <w:rsid w:val="009B253F"/>
    <w:rsid w:val="009B3446"/>
    <w:rsid w:val="009B36B1"/>
    <w:rsid w:val="009B3802"/>
    <w:rsid w:val="009B3C6A"/>
    <w:rsid w:val="009B3DCE"/>
    <w:rsid w:val="009B46B1"/>
    <w:rsid w:val="009B4BC2"/>
    <w:rsid w:val="009B4DB8"/>
    <w:rsid w:val="009B58BE"/>
    <w:rsid w:val="009B6F85"/>
    <w:rsid w:val="009B73ED"/>
    <w:rsid w:val="009C0987"/>
    <w:rsid w:val="009C0C46"/>
    <w:rsid w:val="009C1FC4"/>
    <w:rsid w:val="009C2757"/>
    <w:rsid w:val="009C299F"/>
    <w:rsid w:val="009C2FCF"/>
    <w:rsid w:val="009C33D5"/>
    <w:rsid w:val="009C43B0"/>
    <w:rsid w:val="009C4764"/>
    <w:rsid w:val="009C5381"/>
    <w:rsid w:val="009C5DBF"/>
    <w:rsid w:val="009C67AF"/>
    <w:rsid w:val="009C6A5A"/>
    <w:rsid w:val="009C6B37"/>
    <w:rsid w:val="009D1321"/>
    <w:rsid w:val="009D1A2F"/>
    <w:rsid w:val="009D1E19"/>
    <w:rsid w:val="009D20AF"/>
    <w:rsid w:val="009D342F"/>
    <w:rsid w:val="009D3483"/>
    <w:rsid w:val="009D4652"/>
    <w:rsid w:val="009D4EF2"/>
    <w:rsid w:val="009D6566"/>
    <w:rsid w:val="009D6C7C"/>
    <w:rsid w:val="009D7307"/>
    <w:rsid w:val="009D7396"/>
    <w:rsid w:val="009E0EFC"/>
    <w:rsid w:val="009E3B6B"/>
    <w:rsid w:val="009E4F67"/>
    <w:rsid w:val="009E656C"/>
    <w:rsid w:val="009E6BF6"/>
    <w:rsid w:val="009E6F8A"/>
    <w:rsid w:val="009E7749"/>
    <w:rsid w:val="009E7A7C"/>
    <w:rsid w:val="009F06EE"/>
    <w:rsid w:val="009F0ED1"/>
    <w:rsid w:val="009F0F6D"/>
    <w:rsid w:val="009F1692"/>
    <w:rsid w:val="009F1DEA"/>
    <w:rsid w:val="009F206D"/>
    <w:rsid w:val="009F2CC3"/>
    <w:rsid w:val="009F3139"/>
    <w:rsid w:val="009F38FE"/>
    <w:rsid w:val="009F3938"/>
    <w:rsid w:val="009F490A"/>
    <w:rsid w:val="009F4B80"/>
    <w:rsid w:val="009F4F7E"/>
    <w:rsid w:val="009F60D5"/>
    <w:rsid w:val="009F67A9"/>
    <w:rsid w:val="009F67F2"/>
    <w:rsid w:val="009F6E67"/>
    <w:rsid w:val="009F74AD"/>
    <w:rsid w:val="009F76A3"/>
    <w:rsid w:val="00A00448"/>
    <w:rsid w:val="00A00BE8"/>
    <w:rsid w:val="00A02EFE"/>
    <w:rsid w:val="00A0534D"/>
    <w:rsid w:val="00A06034"/>
    <w:rsid w:val="00A06561"/>
    <w:rsid w:val="00A06AC8"/>
    <w:rsid w:val="00A07194"/>
    <w:rsid w:val="00A071A9"/>
    <w:rsid w:val="00A07A68"/>
    <w:rsid w:val="00A07C44"/>
    <w:rsid w:val="00A105BC"/>
    <w:rsid w:val="00A11086"/>
    <w:rsid w:val="00A112BB"/>
    <w:rsid w:val="00A116E5"/>
    <w:rsid w:val="00A11996"/>
    <w:rsid w:val="00A122A9"/>
    <w:rsid w:val="00A12969"/>
    <w:rsid w:val="00A12C54"/>
    <w:rsid w:val="00A13C0F"/>
    <w:rsid w:val="00A14300"/>
    <w:rsid w:val="00A14749"/>
    <w:rsid w:val="00A149E5"/>
    <w:rsid w:val="00A1509C"/>
    <w:rsid w:val="00A1536B"/>
    <w:rsid w:val="00A157EA"/>
    <w:rsid w:val="00A1620B"/>
    <w:rsid w:val="00A16A8E"/>
    <w:rsid w:val="00A17400"/>
    <w:rsid w:val="00A17F3D"/>
    <w:rsid w:val="00A21591"/>
    <w:rsid w:val="00A22E96"/>
    <w:rsid w:val="00A238EC"/>
    <w:rsid w:val="00A23B68"/>
    <w:rsid w:val="00A241A2"/>
    <w:rsid w:val="00A24E37"/>
    <w:rsid w:val="00A26432"/>
    <w:rsid w:val="00A2744F"/>
    <w:rsid w:val="00A3017C"/>
    <w:rsid w:val="00A304C3"/>
    <w:rsid w:val="00A3086B"/>
    <w:rsid w:val="00A329EB"/>
    <w:rsid w:val="00A34229"/>
    <w:rsid w:val="00A34A38"/>
    <w:rsid w:val="00A34BD5"/>
    <w:rsid w:val="00A35C6F"/>
    <w:rsid w:val="00A36182"/>
    <w:rsid w:val="00A423F7"/>
    <w:rsid w:val="00A424C6"/>
    <w:rsid w:val="00A427D4"/>
    <w:rsid w:val="00A43FBF"/>
    <w:rsid w:val="00A44C9F"/>
    <w:rsid w:val="00A44E47"/>
    <w:rsid w:val="00A45244"/>
    <w:rsid w:val="00A455C5"/>
    <w:rsid w:val="00A4561D"/>
    <w:rsid w:val="00A457A9"/>
    <w:rsid w:val="00A465B2"/>
    <w:rsid w:val="00A46F93"/>
    <w:rsid w:val="00A47836"/>
    <w:rsid w:val="00A479DE"/>
    <w:rsid w:val="00A47DE6"/>
    <w:rsid w:val="00A51F35"/>
    <w:rsid w:val="00A5276C"/>
    <w:rsid w:val="00A52C42"/>
    <w:rsid w:val="00A52DEC"/>
    <w:rsid w:val="00A5335D"/>
    <w:rsid w:val="00A5384F"/>
    <w:rsid w:val="00A539CD"/>
    <w:rsid w:val="00A54F84"/>
    <w:rsid w:val="00A55008"/>
    <w:rsid w:val="00A5541D"/>
    <w:rsid w:val="00A55635"/>
    <w:rsid w:val="00A56C2D"/>
    <w:rsid w:val="00A56CA7"/>
    <w:rsid w:val="00A57705"/>
    <w:rsid w:val="00A57874"/>
    <w:rsid w:val="00A579B3"/>
    <w:rsid w:val="00A57AF1"/>
    <w:rsid w:val="00A57B08"/>
    <w:rsid w:val="00A57DDF"/>
    <w:rsid w:val="00A6036E"/>
    <w:rsid w:val="00A61090"/>
    <w:rsid w:val="00A63185"/>
    <w:rsid w:val="00A63218"/>
    <w:rsid w:val="00A63BC3"/>
    <w:rsid w:val="00A651E4"/>
    <w:rsid w:val="00A6656D"/>
    <w:rsid w:val="00A67116"/>
    <w:rsid w:val="00A67244"/>
    <w:rsid w:val="00A710E8"/>
    <w:rsid w:val="00A71978"/>
    <w:rsid w:val="00A71DC1"/>
    <w:rsid w:val="00A72165"/>
    <w:rsid w:val="00A72775"/>
    <w:rsid w:val="00A7294D"/>
    <w:rsid w:val="00A730ED"/>
    <w:rsid w:val="00A731D9"/>
    <w:rsid w:val="00A73952"/>
    <w:rsid w:val="00A807C8"/>
    <w:rsid w:val="00A80FBA"/>
    <w:rsid w:val="00A812C4"/>
    <w:rsid w:val="00A817C8"/>
    <w:rsid w:val="00A81AAE"/>
    <w:rsid w:val="00A81F9F"/>
    <w:rsid w:val="00A82D96"/>
    <w:rsid w:val="00A831A4"/>
    <w:rsid w:val="00A834DE"/>
    <w:rsid w:val="00A8358E"/>
    <w:rsid w:val="00A835DA"/>
    <w:rsid w:val="00A83948"/>
    <w:rsid w:val="00A840B6"/>
    <w:rsid w:val="00A8466E"/>
    <w:rsid w:val="00A85685"/>
    <w:rsid w:val="00A85984"/>
    <w:rsid w:val="00A8619A"/>
    <w:rsid w:val="00A86488"/>
    <w:rsid w:val="00A8665F"/>
    <w:rsid w:val="00A879D1"/>
    <w:rsid w:val="00A903EF"/>
    <w:rsid w:val="00A913C5"/>
    <w:rsid w:val="00A92143"/>
    <w:rsid w:val="00A936A9"/>
    <w:rsid w:val="00A9397D"/>
    <w:rsid w:val="00A93E99"/>
    <w:rsid w:val="00A953B8"/>
    <w:rsid w:val="00A95CA5"/>
    <w:rsid w:val="00A95F90"/>
    <w:rsid w:val="00A96AB4"/>
    <w:rsid w:val="00A976C7"/>
    <w:rsid w:val="00A97B2D"/>
    <w:rsid w:val="00A97C4A"/>
    <w:rsid w:val="00AA0CD2"/>
    <w:rsid w:val="00AA2DF9"/>
    <w:rsid w:val="00AA3E1B"/>
    <w:rsid w:val="00AA421D"/>
    <w:rsid w:val="00AA60E6"/>
    <w:rsid w:val="00AA6622"/>
    <w:rsid w:val="00AA671F"/>
    <w:rsid w:val="00AA7ABA"/>
    <w:rsid w:val="00AB043A"/>
    <w:rsid w:val="00AB137F"/>
    <w:rsid w:val="00AB177B"/>
    <w:rsid w:val="00AB3602"/>
    <w:rsid w:val="00AB3FCE"/>
    <w:rsid w:val="00AB4003"/>
    <w:rsid w:val="00AB4015"/>
    <w:rsid w:val="00AB49B3"/>
    <w:rsid w:val="00AB5036"/>
    <w:rsid w:val="00AB513F"/>
    <w:rsid w:val="00AB5A01"/>
    <w:rsid w:val="00AB5A9F"/>
    <w:rsid w:val="00AB6221"/>
    <w:rsid w:val="00AB66A0"/>
    <w:rsid w:val="00AB66E1"/>
    <w:rsid w:val="00AB6B7B"/>
    <w:rsid w:val="00AB6CB9"/>
    <w:rsid w:val="00AB71AC"/>
    <w:rsid w:val="00AB77F2"/>
    <w:rsid w:val="00AC00DF"/>
    <w:rsid w:val="00AC04F5"/>
    <w:rsid w:val="00AC1856"/>
    <w:rsid w:val="00AC19DD"/>
    <w:rsid w:val="00AC1B28"/>
    <w:rsid w:val="00AC2202"/>
    <w:rsid w:val="00AC3549"/>
    <w:rsid w:val="00AC35A8"/>
    <w:rsid w:val="00AC37AA"/>
    <w:rsid w:val="00AC3C63"/>
    <w:rsid w:val="00AC44ED"/>
    <w:rsid w:val="00AC4A9A"/>
    <w:rsid w:val="00AC5E20"/>
    <w:rsid w:val="00AC6498"/>
    <w:rsid w:val="00AC7638"/>
    <w:rsid w:val="00AC768F"/>
    <w:rsid w:val="00AD0369"/>
    <w:rsid w:val="00AD06FD"/>
    <w:rsid w:val="00AD14A5"/>
    <w:rsid w:val="00AD1AAA"/>
    <w:rsid w:val="00AD1ED7"/>
    <w:rsid w:val="00AD1FFD"/>
    <w:rsid w:val="00AD20FD"/>
    <w:rsid w:val="00AD4C44"/>
    <w:rsid w:val="00AD509F"/>
    <w:rsid w:val="00AD51D5"/>
    <w:rsid w:val="00AD666A"/>
    <w:rsid w:val="00AD69DB"/>
    <w:rsid w:val="00AD6D95"/>
    <w:rsid w:val="00AE0F07"/>
    <w:rsid w:val="00AE147E"/>
    <w:rsid w:val="00AE1FCE"/>
    <w:rsid w:val="00AE2B8B"/>
    <w:rsid w:val="00AE2EF7"/>
    <w:rsid w:val="00AE31CE"/>
    <w:rsid w:val="00AE3D2D"/>
    <w:rsid w:val="00AE4122"/>
    <w:rsid w:val="00AE424F"/>
    <w:rsid w:val="00AE471D"/>
    <w:rsid w:val="00AE477F"/>
    <w:rsid w:val="00AE5518"/>
    <w:rsid w:val="00AE5B77"/>
    <w:rsid w:val="00AE6047"/>
    <w:rsid w:val="00AE62EA"/>
    <w:rsid w:val="00AE6355"/>
    <w:rsid w:val="00AE65D5"/>
    <w:rsid w:val="00AE6C03"/>
    <w:rsid w:val="00AE72F8"/>
    <w:rsid w:val="00AE7387"/>
    <w:rsid w:val="00AE7E7D"/>
    <w:rsid w:val="00AF061D"/>
    <w:rsid w:val="00AF1086"/>
    <w:rsid w:val="00AF13A0"/>
    <w:rsid w:val="00AF20BE"/>
    <w:rsid w:val="00AF2515"/>
    <w:rsid w:val="00AF3310"/>
    <w:rsid w:val="00AF3398"/>
    <w:rsid w:val="00AF451A"/>
    <w:rsid w:val="00AF5418"/>
    <w:rsid w:val="00AF68D2"/>
    <w:rsid w:val="00AF6F49"/>
    <w:rsid w:val="00AF7934"/>
    <w:rsid w:val="00B00E96"/>
    <w:rsid w:val="00B014FB"/>
    <w:rsid w:val="00B0243D"/>
    <w:rsid w:val="00B028B3"/>
    <w:rsid w:val="00B02F74"/>
    <w:rsid w:val="00B0437C"/>
    <w:rsid w:val="00B045D0"/>
    <w:rsid w:val="00B052F4"/>
    <w:rsid w:val="00B05395"/>
    <w:rsid w:val="00B05948"/>
    <w:rsid w:val="00B062AD"/>
    <w:rsid w:val="00B063A8"/>
    <w:rsid w:val="00B07EBF"/>
    <w:rsid w:val="00B10E60"/>
    <w:rsid w:val="00B10E62"/>
    <w:rsid w:val="00B11EA6"/>
    <w:rsid w:val="00B11FBB"/>
    <w:rsid w:val="00B1323C"/>
    <w:rsid w:val="00B15054"/>
    <w:rsid w:val="00B15F7A"/>
    <w:rsid w:val="00B17CB4"/>
    <w:rsid w:val="00B201A8"/>
    <w:rsid w:val="00B20CE7"/>
    <w:rsid w:val="00B20DD1"/>
    <w:rsid w:val="00B2215B"/>
    <w:rsid w:val="00B221AF"/>
    <w:rsid w:val="00B22434"/>
    <w:rsid w:val="00B22847"/>
    <w:rsid w:val="00B22D51"/>
    <w:rsid w:val="00B23C3B"/>
    <w:rsid w:val="00B23F5A"/>
    <w:rsid w:val="00B243E5"/>
    <w:rsid w:val="00B24859"/>
    <w:rsid w:val="00B2492A"/>
    <w:rsid w:val="00B259BA"/>
    <w:rsid w:val="00B26A1C"/>
    <w:rsid w:val="00B2799F"/>
    <w:rsid w:val="00B27E45"/>
    <w:rsid w:val="00B32F84"/>
    <w:rsid w:val="00B33AF7"/>
    <w:rsid w:val="00B34599"/>
    <w:rsid w:val="00B355AC"/>
    <w:rsid w:val="00B35FEA"/>
    <w:rsid w:val="00B36972"/>
    <w:rsid w:val="00B405B6"/>
    <w:rsid w:val="00B409CD"/>
    <w:rsid w:val="00B4130A"/>
    <w:rsid w:val="00B41D79"/>
    <w:rsid w:val="00B46ECF"/>
    <w:rsid w:val="00B50044"/>
    <w:rsid w:val="00B5030B"/>
    <w:rsid w:val="00B503A2"/>
    <w:rsid w:val="00B5090A"/>
    <w:rsid w:val="00B51646"/>
    <w:rsid w:val="00B52B3E"/>
    <w:rsid w:val="00B54359"/>
    <w:rsid w:val="00B54549"/>
    <w:rsid w:val="00B54A00"/>
    <w:rsid w:val="00B55832"/>
    <w:rsid w:val="00B55AEF"/>
    <w:rsid w:val="00B56FE7"/>
    <w:rsid w:val="00B6017B"/>
    <w:rsid w:val="00B61168"/>
    <w:rsid w:val="00B6118E"/>
    <w:rsid w:val="00B611D8"/>
    <w:rsid w:val="00B612B7"/>
    <w:rsid w:val="00B6271C"/>
    <w:rsid w:val="00B6296B"/>
    <w:rsid w:val="00B6297F"/>
    <w:rsid w:val="00B62A4A"/>
    <w:rsid w:val="00B63890"/>
    <w:rsid w:val="00B64ACD"/>
    <w:rsid w:val="00B650EB"/>
    <w:rsid w:val="00B6548C"/>
    <w:rsid w:val="00B66161"/>
    <w:rsid w:val="00B6624F"/>
    <w:rsid w:val="00B66C3E"/>
    <w:rsid w:val="00B671C2"/>
    <w:rsid w:val="00B71040"/>
    <w:rsid w:val="00B71248"/>
    <w:rsid w:val="00B7185F"/>
    <w:rsid w:val="00B719D6"/>
    <w:rsid w:val="00B72FC4"/>
    <w:rsid w:val="00B73617"/>
    <w:rsid w:val="00B73A17"/>
    <w:rsid w:val="00B74858"/>
    <w:rsid w:val="00B757CA"/>
    <w:rsid w:val="00B7582B"/>
    <w:rsid w:val="00B75C0B"/>
    <w:rsid w:val="00B763AB"/>
    <w:rsid w:val="00B77633"/>
    <w:rsid w:val="00B776FC"/>
    <w:rsid w:val="00B77E38"/>
    <w:rsid w:val="00B77E73"/>
    <w:rsid w:val="00B809C9"/>
    <w:rsid w:val="00B81582"/>
    <w:rsid w:val="00B81686"/>
    <w:rsid w:val="00B818FC"/>
    <w:rsid w:val="00B820A4"/>
    <w:rsid w:val="00B826D6"/>
    <w:rsid w:val="00B837FD"/>
    <w:rsid w:val="00B847D9"/>
    <w:rsid w:val="00B850BD"/>
    <w:rsid w:val="00B853AC"/>
    <w:rsid w:val="00B855BB"/>
    <w:rsid w:val="00B858B5"/>
    <w:rsid w:val="00B85B5B"/>
    <w:rsid w:val="00B866F7"/>
    <w:rsid w:val="00B87A17"/>
    <w:rsid w:val="00B903E3"/>
    <w:rsid w:val="00B903F2"/>
    <w:rsid w:val="00B90653"/>
    <w:rsid w:val="00B926E8"/>
    <w:rsid w:val="00B940BB"/>
    <w:rsid w:val="00B9420F"/>
    <w:rsid w:val="00B9468A"/>
    <w:rsid w:val="00B95D56"/>
    <w:rsid w:val="00B962CF"/>
    <w:rsid w:val="00B96A72"/>
    <w:rsid w:val="00B96BAA"/>
    <w:rsid w:val="00B973B0"/>
    <w:rsid w:val="00BA1567"/>
    <w:rsid w:val="00BA1C74"/>
    <w:rsid w:val="00BA26C6"/>
    <w:rsid w:val="00BA2F6A"/>
    <w:rsid w:val="00BA3406"/>
    <w:rsid w:val="00BA3545"/>
    <w:rsid w:val="00BA4480"/>
    <w:rsid w:val="00BA451D"/>
    <w:rsid w:val="00BA45B1"/>
    <w:rsid w:val="00BA53BF"/>
    <w:rsid w:val="00BA6CD0"/>
    <w:rsid w:val="00BA72B4"/>
    <w:rsid w:val="00BA7A14"/>
    <w:rsid w:val="00BA7EE1"/>
    <w:rsid w:val="00BB02C6"/>
    <w:rsid w:val="00BB101D"/>
    <w:rsid w:val="00BB33CE"/>
    <w:rsid w:val="00BB4E18"/>
    <w:rsid w:val="00BB53F6"/>
    <w:rsid w:val="00BB6902"/>
    <w:rsid w:val="00BB75F5"/>
    <w:rsid w:val="00BB7FB8"/>
    <w:rsid w:val="00BC0680"/>
    <w:rsid w:val="00BC2220"/>
    <w:rsid w:val="00BC28D8"/>
    <w:rsid w:val="00BC46B3"/>
    <w:rsid w:val="00BC5D73"/>
    <w:rsid w:val="00BC7C4F"/>
    <w:rsid w:val="00BD01CA"/>
    <w:rsid w:val="00BD19F9"/>
    <w:rsid w:val="00BD4583"/>
    <w:rsid w:val="00BD4E2A"/>
    <w:rsid w:val="00BD5505"/>
    <w:rsid w:val="00BD720A"/>
    <w:rsid w:val="00BD7666"/>
    <w:rsid w:val="00BD7757"/>
    <w:rsid w:val="00BD77C0"/>
    <w:rsid w:val="00BD7D36"/>
    <w:rsid w:val="00BE01F1"/>
    <w:rsid w:val="00BE12C5"/>
    <w:rsid w:val="00BE2132"/>
    <w:rsid w:val="00BE2F3D"/>
    <w:rsid w:val="00BE33DC"/>
    <w:rsid w:val="00BE3491"/>
    <w:rsid w:val="00BE4516"/>
    <w:rsid w:val="00BE5816"/>
    <w:rsid w:val="00BF0A7F"/>
    <w:rsid w:val="00BF0EE3"/>
    <w:rsid w:val="00BF1794"/>
    <w:rsid w:val="00BF1E23"/>
    <w:rsid w:val="00BF2744"/>
    <w:rsid w:val="00BF3803"/>
    <w:rsid w:val="00BF3D30"/>
    <w:rsid w:val="00BF43C4"/>
    <w:rsid w:val="00BF51E6"/>
    <w:rsid w:val="00BF5EC2"/>
    <w:rsid w:val="00BF6650"/>
    <w:rsid w:val="00BF6ED7"/>
    <w:rsid w:val="00BF751F"/>
    <w:rsid w:val="00BF7683"/>
    <w:rsid w:val="00C01890"/>
    <w:rsid w:val="00C023D5"/>
    <w:rsid w:val="00C02400"/>
    <w:rsid w:val="00C02BFC"/>
    <w:rsid w:val="00C043FF"/>
    <w:rsid w:val="00C047E0"/>
    <w:rsid w:val="00C051B6"/>
    <w:rsid w:val="00C05566"/>
    <w:rsid w:val="00C05705"/>
    <w:rsid w:val="00C05B1C"/>
    <w:rsid w:val="00C06431"/>
    <w:rsid w:val="00C06C0A"/>
    <w:rsid w:val="00C07FB9"/>
    <w:rsid w:val="00C10643"/>
    <w:rsid w:val="00C107C1"/>
    <w:rsid w:val="00C109A0"/>
    <w:rsid w:val="00C11426"/>
    <w:rsid w:val="00C1142E"/>
    <w:rsid w:val="00C11574"/>
    <w:rsid w:val="00C12BC5"/>
    <w:rsid w:val="00C14251"/>
    <w:rsid w:val="00C14DE3"/>
    <w:rsid w:val="00C1534C"/>
    <w:rsid w:val="00C16DDE"/>
    <w:rsid w:val="00C17269"/>
    <w:rsid w:val="00C174C4"/>
    <w:rsid w:val="00C1759A"/>
    <w:rsid w:val="00C175C7"/>
    <w:rsid w:val="00C218CC"/>
    <w:rsid w:val="00C22284"/>
    <w:rsid w:val="00C233DD"/>
    <w:rsid w:val="00C25F08"/>
    <w:rsid w:val="00C26A3F"/>
    <w:rsid w:val="00C26ABC"/>
    <w:rsid w:val="00C27624"/>
    <w:rsid w:val="00C2770E"/>
    <w:rsid w:val="00C307E6"/>
    <w:rsid w:val="00C32655"/>
    <w:rsid w:val="00C32F7F"/>
    <w:rsid w:val="00C3302C"/>
    <w:rsid w:val="00C3386D"/>
    <w:rsid w:val="00C33AE8"/>
    <w:rsid w:val="00C34219"/>
    <w:rsid w:val="00C36527"/>
    <w:rsid w:val="00C3688C"/>
    <w:rsid w:val="00C36AE1"/>
    <w:rsid w:val="00C411F7"/>
    <w:rsid w:val="00C41E7D"/>
    <w:rsid w:val="00C41F8B"/>
    <w:rsid w:val="00C4253D"/>
    <w:rsid w:val="00C43131"/>
    <w:rsid w:val="00C43A7F"/>
    <w:rsid w:val="00C43F1E"/>
    <w:rsid w:val="00C43FC2"/>
    <w:rsid w:val="00C44C4C"/>
    <w:rsid w:val="00C4608D"/>
    <w:rsid w:val="00C47020"/>
    <w:rsid w:val="00C47253"/>
    <w:rsid w:val="00C477BA"/>
    <w:rsid w:val="00C50769"/>
    <w:rsid w:val="00C51256"/>
    <w:rsid w:val="00C51956"/>
    <w:rsid w:val="00C51FE1"/>
    <w:rsid w:val="00C5244F"/>
    <w:rsid w:val="00C52647"/>
    <w:rsid w:val="00C52A54"/>
    <w:rsid w:val="00C52B8F"/>
    <w:rsid w:val="00C5376D"/>
    <w:rsid w:val="00C539A2"/>
    <w:rsid w:val="00C55564"/>
    <w:rsid w:val="00C555BD"/>
    <w:rsid w:val="00C55DC5"/>
    <w:rsid w:val="00C6025A"/>
    <w:rsid w:val="00C60414"/>
    <w:rsid w:val="00C6041C"/>
    <w:rsid w:val="00C6121E"/>
    <w:rsid w:val="00C61723"/>
    <w:rsid w:val="00C61E5C"/>
    <w:rsid w:val="00C62173"/>
    <w:rsid w:val="00C6292A"/>
    <w:rsid w:val="00C62BBC"/>
    <w:rsid w:val="00C6301D"/>
    <w:rsid w:val="00C63686"/>
    <w:rsid w:val="00C63C24"/>
    <w:rsid w:val="00C64CC6"/>
    <w:rsid w:val="00C65A36"/>
    <w:rsid w:val="00C65D90"/>
    <w:rsid w:val="00C66114"/>
    <w:rsid w:val="00C661B0"/>
    <w:rsid w:val="00C6666D"/>
    <w:rsid w:val="00C6722D"/>
    <w:rsid w:val="00C70BD1"/>
    <w:rsid w:val="00C71364"/>
    <w:rsid w:val="00C7184F"/>
    <w:rsid w:val="00C71B67"/>
    <w:rsid w:val="00C72BDC"/>
    <w:rsid w:val="00C73239"/>
    <w:rsid w:val="00C7381D"/>
    <w:rsid w:val="00C73D2B"/>
    <w:rsid w:val="00C742E1"/>
    <w:rsid w:val="00C75F60"/>
    <w:rsid w:val="00C766E4"/>
    <w:rsid w:val="00C776D6"/>
    <w:rsid w:val="00C80A53"/>
    <w:rsid w:val="00C80AD1"/>
    <w:rsid w:val="00C818A4"/>
    <w:rsid w:val="00C81FD2"/>
    <w:rsid w:val="00C82CA8"/>
    <w:rsid w:val="00C83AF8"/>
    <w:rsid w:val="00C83DE6"/>
    <w:rsid w:val="00C84C42"/>
    <w:rsid w:val="00C85CE1"/>
    <w:rsid w:val="00C860D7"/>
    <w:rsid w:val="00C871DE"/>
    <w:rsid w:val="00C87B5A"/>
    <w:rsid w:val="00C90ABB"/>
    <w:rsid w:val="00C92E50"/>
    <w:rsid w:val="00C9313D"/>
    <w:rsid w:val="00C93401"/>
    <w:rsid w:val="00C943BF"/>
    <w:rsid w:val="00C94544"/>
    <w:rsid w:val="00C9454B"/>
    <w:rsid w:val="00C951D5"/>
    <w:rsid w:val="00C96307"/>
    <w:rsid w:val="00C97434"/>
    <w:rsid w:val="00CA0205"/>
    <w:rsid w:val="00CA076C"/>
    <w:rsid w:val="00CA0F76"/>
    <w:rsid w:val="00CA14A3"/>
    <w:rsid w:val="00CA4720"/>
    <w:rsid w:val="00CA473E"/>
    <w:rsid w:val="00CA4AA4"/>
    <w:rsid w:val="00CA4F63"/>
    <w:rsid w:val="00CA6F0B"/>
    <w:rsid w:val="00CB0557"/>
    <w:rsid w:val="00CB1DE3"/>
    <w:rsid w:val="00CB24C3"/>
    <w:rsid w:val="00CB2CC9"/>
    <w:rsid w:val="00CB2D53"/>
    <w:rsid w:val="00CB33AE"/>
    <w:rsid w:val="00CB3C22"/>
    <w:rsid w:val="00CB3DD1"/>
    <w:rsid w:val="00CB4294"/>
    <w:rsid w:val="00CB469E"/>
    <w:rsid w:val="00CB4987"/>
    <w:rsid w:val="00CB4E16"/>
    <w:rsid w:val="00CB5105"/>
    <w:rsid w:val="00CB5F9B"/>
    <w:rsid w:val="00CB6948"/>
    <w:rsid w:val="00CC02E3"/>
    <w:rsid w:val="00CC243B"/>
    <w:rsid w:val="00CC2699"/>
    <w:rsid w:val="00CC2B12"/>
    <w:rsid w:val="00CC3555"/>
    <w:rsid w:val="00CC45B4"/>
    <w:rsid w:val="00CC527D"/>
    <w:rsid w:val="00CC5C69"/>
    <w:rsid w:val="00CD085D"/>
    <w:rsid w:val="00CD2BE5"/>
    <w:rsid w:val="00CD2FE8"/>
    <w:rsid w:val="00CD35E5"/>
    <w:rsid w:val="00CD40D9"/>
    <w:rsid w:val="00CD412B"/>
    <w:rsid w:val="00CD5103"/>
    <w:rsid w:val="00CD6235"/>
    <w:rsid w:val="00CD6E91"/>
    <w:rsid w:val="00CD796A"/>
    <w:rsid w:val="00CE08BD"/>
    <w:rsid w:val="00CE0DDE"/>
    <w:rsid w:val="00CE115D"/>
    <w:rsid w:val="00CE2637"/>
    <w:rsid w:val="00CE3328"/>
    <w:rsid w:val="00CE34A3"/>
    <w:rsid w:val="00CE3D5C"/>
    <w:rsid w:val="00CE448F"/>
    <w:rsid w:val="00CE46B7"/>
    <w:rsid w:val="00CE4ADF"/>
    <w:rsid w:val="00CE4D41"/>
    <w:rsid w:val="00CE51BE"/>
    <w:rsid w:val="00CE5C7E"/>
    <w:rsid w:val="00CE5D56"/>
    <w:rsid w:val="00CE7BB9"/>
    <w:rsid w:val="00CE7D56"/>
    <w:rsid w:val="00CF12D1"/>
    <w:rsid w:val="00CF3946"/>
    <w:rsid w:val="00CF3EAE"/>
    <w:rsid w:val="00CF4023"/>
    <w:rsid w:val="00CF53C7"/>
    <w:rsid w:val="00CF59FF"/>
    <w:rsid w:val="00CF5B81"/>
    <w:rsid w:val="00CF5CBB"/>
    <w:rsid w:val="00CF62A1"/>
    <w:rsid w:val="00CF6D34"/>
    <w:rsid w:val="00CF781D"/>
    <w:rsid w:val="00D0046B"/>
    <w:rsid w:val="00D00481"/>
    <w:rsid w:val="00D005F0"/>
    <w:rsid w:val="00D014EC"/>
    <w:rsid w:val="00D03383"/>
    <w:rsid w:val="00D038C3"/>
    <w:rsid w:val="00D067B9"/>
    <w:rsid w:val="00D10057"/>
    <w:rsid w:val="00D103A3"/>
    <w:rsid w:val="00D110CF"/>
    <w:rsid w:val="00D11C72"/>
    <w:rsid w:val="00D12A9C"/>
    <w:rsid w:val="00D13F30"/>
    <w:rsid w:val="00D149F9"/>
    <w:rsid w:val="00D14D9B"/>
    <w:rsid w:val="00D16786"/>
    <w:rsid w:val="00D16861"/>
    <w:rsid w:val="00D173CF"/>
    <w:rsid w:val="00D17992"/>
    <w:rsid w:val="00D17D62"/>
    <w:rsid w:val="00D20611"/>
    <w:rsid w:val="00D207ED"/>
    <w:rsid w:val="00D21D84"/>
    <w:rsid w:val="00D22289"/>
    <w:rsid w:val="00D2238F"/>
    <w:rsid w:val="00D22B8D"/>
    <w:rsid w:val="00D23D43"/>
    <w:rsid w:val="00D23E98"/>
    <w:rsid w:val="00D240A1"/>
    <w:rsid w:val="00D25034"/>
    <w:rsid w:val="00D25423"/>
    <w:rsid w:val="00D25710"/>
    <w:rsid w:val="00D25A9D"/>
    <w:rsid w:val="00D2689C"/>
    <w:rsid w:val="00D26E3D"/>
    <w:rsid w:val="00D27362"/>
    <w:rsid w:val="00D30CA5"/>
    <w:rsid w:val="00D30E99"/>
    <w:rsid w:val="00D31D94"/>
    <w:rsid w:val="00D31E10"/>
    <w:rsid w:val="00D322FB"/>
    <w:rsid w:val="00D323C3"/>
    <w:rsid w:val="00D326C0"/>
    <w:rsid w:val="00D33B68"/>
    <w:rsid w:val="00D33DD3"/>
    <w:rsid w:val="00D3456D"/>
    <w:rsid w:val="00D34E4C"/>
    <w:rsid w:val="00D3680A"/>
    <w:rsid w:val="00D40E22"/>
    <w:rsid w:val="00D419A1"/>
    <w:rsid w:val="00D41E51"/>
    <w:rsid w:val="00D4240B"/>
    <w:rsid w:val="00D43310"/>
    <w:rsid w:val="00D4367B"/>
    <w:rsid w:val="00D44CA8"/>
    <w:rsid w:val="00D4517B"/>
    <w:rsid w:val="00D452AB"/>
    <w:rsid w:val="00D463AA"/>
    <w:rsid w:val="00D46772"/>
    <w:rsid w:val="00D469B5"/>
    <w:rsid w:val="00D50677"/>
    <w:rsid w:val="00D506CE"/>
    <w:rsid w:val="00D50A40"/>
    <w:rsid w:val="00D51E21"/>
    <w:rsid w:val="00D52801"/>
    <w:rsid w:val="00D53870"/>
    <w:rsid w:val="00D542D2"/>
    <w:rsid w:val="00D5445D"/>
    <w:rsid w:val="00D54688"/>
    <w:rsid w:val="00D5470C"/>
    <w:rsid w:val="00D5483A"/>
    <w:rsid w:val="00D566C1"/>
    <w:rsid w:val="00D56A4B"/>
    <w:rsid w:val="00D57208"/>
    <w:rsid w:val="00D57B06"/>
    <w:rsid w:val="00D60005"/>
    <w:rsid w:val="00D60CC4"/>
    <w:rsid w:val="00D62D81"/>
    <w:rsid w:val="00D632D0"/>
    <w:rsid w:val="00D63CDC"/>
    <w:rsid w:val="00D65AC3"/>
    <w:rsid w:val="00D67EA6"/>
    <w:rsid w:val="00D702A0"/>
    <w:rsid w:val="00D71022"/>
    <w:rsid w:val="00D71FA7"/>
    <w:rsid w:val="00D72BBC"/>
    <w:rsid w:val="00D72F76"/>
    <w:rsid w:val="00D73F7A"/>
    <w:rsid w:val="00D75B45"/>
    <w:rsid w:val="00D75EA6"/>
    <w:rsid w:val="00D75FFE"/>
    <w:rsid w:val="00D77125"/>
    <w:rsid w:val="00D81207"/>
    <w:rsid w:val="00D81862"/>
    <w:rsid w:val="00D81917"/>
    <w:rsid w:val="00D82DBC"/>
    <w:rsid w:val="00D837E8"/>
    <w:rsid w:val="00D85287"/>
    <w:rsid w:val="00D8546B"/>
    <w:rsid w:val="00D85B83"/>
    <w:rsid w:val="00D86257"/>
    <w:rsid w:val="00D86D81"/>
    <w:rsid w:val="00D86FDE"/>
    <w:rsid w:val="00D87DB2"/>
    <w:rsid w:val="00D90CB9"/>
    <w:rsid w:val="00D91453"/>
    <w:rsid w:val="00D93BD8"/>
    <w:rsid w:val="00D94751"/>
    <w:rsid w:val="00D95025"/>
    <w:rsid w:val="00D96E91"/>
    <w:rsid w:val="00D97275"/>
    <w:rsid w:val="00DA0AB1"/>
    <w:rsid w:val="00DA161A"/>
    <w:rsid w:val="00DA2CA0"/>
    <w:rsid w:val="00DA411B"/>
    <w:rsid w:val="00DA48AD"/>
    <w:rsid w:val="00DA4A08"/>
    <w:rsid w:val="00DA4F08"/>
    <w:rsid w:val="00DA4F18"/>
    <w:rsid w:val="00DA56B5"/>
    <w:rsid w:val="00DA5D0E"/>
    <w:rsid w:val="00DB0509"/>
    <w:rsid w:val="00DB2AE5"/>
    <w:rsid w:val="00DB3148"/>
    <w:rsid w:val="00DB38A0"/>
    <w:rsid w:val="00DB3F51"/>
    <w:rsid w:val="00DB4919"/>
    <w:rsid w:val="00DB4CCE"/>
    <w:rsid w:val="00DB51B4"/>
    <w:rsid w:val="00DB5AC5"/>
    <w:rsid w:val="00DB5B53"/>
    <w:rsid w:val="00DB5EE3"/>
    <w:rsid w:val="00DB6C1D"/>
    <w:rsid w:val="00DB6C46"/>
    <w:rsid w:val="00DB7A8B"/>
    <w:rsid w:val="00DB7F3C"/>
    <w:rsid w:val="00DC03A3"/>
    <w:rsid w:val="00DC1106"/>
    <w:rsid w:val="00DC2138"/>
    <w:rsid w:val="00DC2E13"/>
    <w:rsid w:val="00DC308F"/>
    <w:rsid w:val="00DC3406"/>
    <w:rsid w:val="00DC3911"/>
    <w:rsid w:val="00DC42EE"/>
    <w:rsid w:val="00DC51BD"/>
    <w:rsid w:val="00DC54B3"/>
    <w:rsid w:val="00DC65D7"/>
    <w:rsid w:val="00DC6978"/>
    <w:rsid w:val="00DC69E7"/>
    <w:rsid w:val="00DC6AE2"/>
    <w:rsid w:val="00DC6EDF"/>
    <w:rsid w:val="00DC7188"/>
    <w:rsid w:val="00DC7490"/>
    <w:rsid w:val="00DC75EB"/>
    <w:rsid w:val="00DC7A8D"/>
    <w:rsid w:val="00DC7AB2"/>
    <w:rsid w:val="00DC7ADC"/>
    <w:rsid w:val="00DD0597"/>
    <w:rsid w:val="00DD09BF"/>
    <w:rsid w:val="00DD1C4F"/>
    <w:rsid w:val="00DD267C"/>
    <w:rsid w:val="00DD2C18"/>
    <w:rsid w:val="00DD39B4"/>
    <w:rsid w:val="00DD4214"/>
    <w:rsid w:val="00DD42A9"/>
    <w:rsid w:val="00DD4B4B"/>
    <w:rsid w:val="00DD5502"/>
    <w:rsid w:val="00DD659D"/>
    <w:rsid w:val="00DD6691"/>
    <w:rsid w:val="00DD724C"/>
    <w:rsid w:val="00DE29BC"/>
    <w:rsid w:val="00DE3858"/>
    <w:rsid w:val="00DE5192"/>
    <w:rsid w:val="00DE5833"/>
    <w:rsid w:val="00DE65C9"/>
    <w:rsid w:val="00DE69A1"/>
    <w:rsid w:val="00DF01F4"/>
    <w:rsid w:val="00DF0C1A"/>
    <w:rsid w:val="00DF1843"/>
    <w:rsid w:val="00DF1983"/>
    <w:rsid w:val="00DF217C"/>
    <w:rsid w:val="00DF29E3"/>
    <w:rsid w:val="00DF3255"/>
    <w:rsid w:val="00DF38B8"/>
    <w:rsid w:val="00DF3C6C"/>
    <w:rsid w:val="00DF3F0C"/>
    <w:rsid w:val="00DF4D51"/>
    <w:rsid w:val="00DF6C2F"/>
    <w:rsid w:val="00DF6FBD"/>
    <w:rsid w:val="00DF7012"/>
    <w:rsid w:val="00DF71E5"/>
    <w:rsid w:val="00DF72AF"/>
    <w:rsid w:val="00DF74DD"/>
    <w:rsid w:val="00DF7C65"/>
    <w:rsid w:val="00E0144C"/>
    <w:rsid w:val="00E015DC"/>
    <w:rsid w:val="00E01E2A"/>
    <w:rsid w:val="00E01EC7"/>
    <w:rsid w:val="00E02486"/>
    <w:rsid w:val="00E03215"/>
    <w:rsid w:val="00E032A0"/>
    <w:rsid w:val="00E03924"/>
    <w:rsid w:val="00E03CEA"/>
    <w:rsid w:val="00E04B0D"/>
    <w:rsid w:val="00E05375"/>
    <w:rsid w:val="00E060A8"/>
    <w:rsid w:val="00E063C1"/>
    <w:rsid w:val="00E06D90"/>
    <w:rsid w:val="00E06FE8"/>
    <w:rsid w:val="00E100D5"/>
    <w:rsid w:val="00E102CE"/>
    <w:rsid w:val="00E106D4"/>
    <w:rsid w:val="00E115E4"/>
    <w:rsid w:val="00E11E30"/>
    <w:rsid w:val="00E120D7"/>
    <w:rsid w:val="00E133A7"/>
    <w:rsid w:val="00E139BC"/>
    <w:rsid w:val="00E15051"/>
    <w:rsid w:val="00E1673F"/>
    <w:rsid w:val="00E16FF9"/>
    <w:rsid w:val="00E174CB"/>
    <w:rsid w:val="00E17787"/>
    <w:rsid w:val="00E20D93"/>
    <w:rsid w:val="00E2183C"/>
    <w:rsid w:val="00E23D2E"/>
    <w:rsid w:val="00E23E10"/>
    <w:rsid w:val="00E24BDA"/>
    <w:rsid w:val="00E24F68"/>
    <w:rsid w:val="00E25C8C"/>
    <w:rsid w:val="00E273C6"/>
    <w:rsid w:val="00E27479"/>
    <w:rsid w:val="00E27519"/>
    <w:rsid w:val="00E27559"/>
    <w:rsid w:val="00E30D96"/>
    <w:rsid w:val="00E313E6"/>
    <w:rsid w:val="00E31CB4"/>
    <w:rsid w:val="00E32B1B"/>
    <w:rsid w:val="00E33D2D"/>
    <w:rsid w:val="00E344D0"/>
    <w:rsid w:val="00E346B3"/>
    <w:rsid w:val="00E353E5"/>
    <w:rsid w:val="00E3623A"/>
    <w:rsid w:val="00E368A0"/>
    <w:rsid w:val="00E410E6"/>
    <w:rsid w:val="00E415F8"/>
    <w:rsid w:val="00E41D42"/>
    <w:rsid w:val="00E425BA"/>
    <w:rsid w:val="00E4309E"/>
    <w:rsid w:val="00E440DD"/>
    <w:rsid w:val="00E44583"/>
    <w:rsid w:val="00E44FED"/>
    <w:rsid w:val="00E45289"/>
    <w:rsid w:val="00E468DE"/>
    <w:rsid w:val="00E46B0C"/>
    <w:rsid w:val="00E47BB6"/>
    <w:rsid w:val="00E47F3F"/>
    <w:rsid w:val="00E519A2"/>
    <w:rsid w:val="00E51CDF"/>
    <w:rsid w:val="00E52219"/>
    <w:rsid w:val="00E531CD"/>
    <w:rsid w:val="00E53863"/>
    <w:rsid w:val="00E54112"/>
    <w:rsid w:val="00E56A54"/>
    <w:rsid w:val="00E56BF2"/>
    <w:rsid w:val="00E57214"/>
    <w:rsid w:val="00E57647"/>
    <w:rsid w:val="00E57D79"/>
    <w:rsid w:val="00E60F7E"/>
    <w:rsid w:val="00E61C5B"/>
    <w:rsid w:val="00E620B0"/>
    <w:rsid w:val="00E627B2"/>
    <w:rsid w:val="00E634C9"/>
    <w:rsid w:val="00E63549"/>
    <w:rsid w:val="00E63603"/>
    <w:rsid w:val="00E645C9"/>
    <w:rsid w:val="00E64A56"/>
    <w:rsid w:val="00E65939"/>
    <w:rsid w:val="00E65990"/>
    <w:rsid w:val="00E65B73"/>
    <w:rsid w:val="00E664C6"/>
    <w:rsid w:val="00E66B2D"/>
    <w:rsid w:val="00E67382"/>
    <w:rsid w:val="00E706BF"/>
    <w:rsid w:val="00E711F5"/>
    <w:rsid w:val="00E72583"/>
    <w:rsid w:val="00E72BBF"/>
    <w:rsid w:val="00E72D9C"/>
    <w:rsid w:val="00E72F30"/>
    <w:rsid w:val="00E73274"/>
    <w:rsid w:val="00E733EC"/>
    <w:rsid w:val="00E7516C"/>
    <w:rsid w:val="00E76FD3"/>
    <w:rsid w:val="00E77F4B"/>
    <w:rsid w:val="00E81086"/>
    <w:rsid w:val="00E810F8"/>
    <w:rsid w:val="00E81143"/>
    <w:rsid w:val="00E818F4"/>
    <w:rsid w:val="00E81CEA"/>
    <w:rsid w:val="00E822A5"/>
    <w:rsid w:val="00E826DB"/>
    <w:rsid w:val="00E82E87"/>
    <w:rsid w:val="00E8383A"/>
    <w:rsid w:val="00E8467C"/>
    <w:rsid w:val="00E8507B"/>
    <w:rsid w:val="00E8631D"/>
    <w:rsid w:val="00E867B4"/>
    <w:rsid w:val="00E86C25"/>
    <w:rsid w:val="00E86EE9"/>
    <w:rsid w:val="00E87614"/>
    <w:rsid w:val="00E92942"/>
    <w:rsid w:val="00E92FF1"/>
    <w:rsid w:val="00E93286"/>
    <w:rsid w:val="00E9380E"/>
    <w:rsid w:val="00E93AF9"/>
    <w:rsid w:val="00E949C1"/>
    <w:rsid w:val="00E949E8"/>
    <w:rsid w:val="00E95116"/>
    <w:rsid w:val="00E953A4"/>
    <w:rsid w:val="00E96597"/>
    <w:rsid w:val="00E96D25"/>
    <w:rsid w:val="00E96EB7"/>
    <w:rsid w:val="00EA0AA4"/>
    <w:rsid w:val="00EA284B"/>
    <w:rsid w:val="00EA293B"/>
    <w:rsid w:val="00EA5CEA"/>
    <w:rsid w:val="00EA661A"/>
    <w:rsid w:val="00EA6D4A"/>
    <w:rsid w:val="00EA772F"/>
    <w:rsid w:val="00EA7BB9"/>
    <w:rsid w:val="00EA7F74"/>
    <w:rsid w:val="00EB00C5"/>
    <w:rsid w:val="00EB03B0"/>
    <w:rsid w:val="00EB05EA"/>
    <w:rsid w:val="00EB0C3E"/>
    <w:rsid w:val="00EB128B"/>
    <w:rsid w:val="00EB131C"/>
    <w:rsid w:val="00EB245A"/>
    <w:rsid w:val="00EB2822"/>
    <w:rsid w:val="00EB3316"/>
    <w:rsid w:val="00EB4559"/>
    <w:rsid w:val="00EB48D8"/>
    <w:rsid w:val="00EB54F0"/>
    <w:rsid w:val="00EB76F6"/>
    <w:rsid w:val="00EB7C16"/>
    <w:rsid w:val="00EC054C"/>
    <w:rsid w:val="00EC08E5"/>
    <w:rsid w:val="00EC1AE6"/>
    <w:rsid w:val="00EC224A"/>
    <w:rsid w:val="00EC26B6"/>
    <w:rsid w:val="00EC390D"/>
    <w:rsid w:val="00EC39B7"/>
    <w:rsid w:val="00EC4481"/>
    <w:rsid w:val="00EC475E"/>
    <w:rsid w:val="00EC4900"/>
    <w:rsid w:val="00EC526F"/>
    <w:rsid w:val="00EC5E00"/>
    <w:rsid w:val="00EC622A"/>
    <w:rsid w:val="00EC6FC2"/>
    <w:rsid w:val="00ED08FE"/>
    <w:rsid w:val="00ED1254"/>
    <w:rsid w:val="00ED15AC"/>
    <w:rsid w:val="00ED1826"/>
    <w:rsid w:val="00ED1E08"/>
    <w:rsid w:val="00ED3053"/>
    <w:rsid w:val="00ED323D"/>
    <w:rsid w:val="00ED388E"/>
    <w:rsid w:val="00ED3FA0"/>
    <w:rsid w:val="00ED40A5"/>
    <w:rsid w:val="00ED4590"/>
    <w:rsid w:val="00ED47D5"/>
    <w:rsid w:val="00ED61A2"/>
    <w:rsid w:val="00ED7694"/>
    <w:rsid w:val="00EE0D3E"/>
    <w:rsid w:val="00EE0EED"/>
    <w:rsid w:val="00EE13A7"/>
    <w:rsid w:val="00EE13F7"/>
    <w:rsid w:val="00EE3FAD"/>
    <w:rsid w:val="00EE4F05"/>
    <w:rsid w:val="00EE532B"/>
    <w:rsid w:val="00EE56F0"/>
    <w:rsid w:val="00EE5E80"/>
    <w:rsid w:val="00EE5EEE"/>
    <w:rsid w:val="00EE6071"/>
    <w:rsid w:val="00EE701C"/>
    <w:rsid w:val="00EF00D6"/>
    <w:rsid w:val="00EF0CFC"/>
    <w:rsid w:val="00EF30A9"/>
    <w:rsid w:val="00EF42FA"/>
    <w:rsid w:val="00EF49CE"/>
    <w:rsid w:val="00EF5C7D"/>
    <w:rsid w:val="00EF6528"/>
    <w:rsid w:val="00F00040"/>
    <w:rsid w:val="00F003CE"/>
    <w:rsid w:val="00F01061"/>
    <w:rsid w:val="00F01387"/>
    <w:rsid w:val="00F01F84"/>
    <w:rsid w:val="00F024CC"/>
    <w:rsid w:val="00F03EEA"/>
    <w:rsid w:val="00F04D67"/>
    <w:rsid w:val="00F050A1"/>
    <w:rsid w:val="00F05924"/>
    <w:rsid w:val="00F06751"/>
    <w:rsid w:val="00F06979"/>
    <w:rsid w:val="00F06C9A"/>
    <w:rsid w:val="00F06FB2"/>
    <w:rsid w:val="00F074F7"/>
    <w:rsid w:val="00F07A0B"/>
    <w:rsid w:val="00F07F87"/>
    <w:rsid w:val="00F10EEB"/>
    <w:rsid w:val="00F11BD6"/>
    <w:rsid w:val="00F12259"/>
    <w:rsid w:val="00F14856"/>
    <w:rsid w:val="00F15C3C"/>
    <w:rsid w:val="00F1634E"/>
    <w:rsid w:val="00F16647"/>
    <w:rsid w:val="00F17291"/>
    <w:rsid w:val="00F20238"/>
    <w:rsid w:val="00F21476"/>
    <w:rsid w:val="00F222C3"/>
    <w:rsid w:val="00F22588"/>
    <w:rsid w:val="00F230A6"/>
    <w:rsid w:val="00F24012"/>
    <w:rsid w:val="00F246CD"/>
    <w:rsid w:val="00F24923"/>
    <w:rsid w:val="00F24C75"/>
    <w:rsid w:val="00F25286"/>
    <w:rsid w:val="00F2675A"/>
    <w:rsid w:val="00F268B7"/>
    <w:rsid w:val="00F308B9"/>
    <w:rsid w:val="00F309CC"/>
    <w:rsid w:val="00F30A3C"/>
    <w:rsid w:val="00F30C65"/>
    <w:rsid w:val="00F30E0E"/>
    <w:rsid w:val="00F31A3C"/>
    <w:rsid w:val="00F3215E"/>
    <w:rsid w:val="00F32782"/>
    <w:rsid w:val="00F32ABB"/>
    <w:rsid w:val="00F33F5E"/>
    <w:rsid w:val="00F34367"/>
    <w:rsid w:val="00F346AB"/>
    <w:rsid w:val="00F347E8"/>
    <w:rsid w:val="00F3597D"/>
    <w:rsid w:val="00F3640E"/>
    <w:rsid w:val="00F366EA"/>
    <w:rsid w:val="00F36CEC"/>
    <w:rsid w:val="00F36D53"/>
    <w:rsid w:val="00F37485"/>
    <w:rsid w:val="00F377D2"/>
    <w:rsid w:val="00F40A53"/>
    <w:rsid w:val="00F41620"/>
    <w:rsid w:val="00F42EEC"/>
    <w:rsid w:val="00F4303D"/>
    <w:rsid w:val="00F4364F"/>
    <w:rsid w:val="00F43D8D"/>
    <w:rsid w:val="00F44A02"/>
    <w:rsid w:val="00F45036"/>
    <w:rsid w:val="00F460B3"/>
    <w:rsid w:val="00F4629A"/>
    <w:rsid w:val="00F46FD2"/>
    <w:rsid w:val="00F475DC"/>
    <w:rsid w:val="00F47E23"/>
    <w:rsid w:val="00F506F2"/>
    <w:rsid w:val="00F50A05"/>
    <w:rsid w:val="00F51989"/>
    <w:rsid w:val="00F51D9B"/>
    <w:rsid w:val="00F5235C"/>
    <w:rsid w:val="00F5283F"/>
    <w:rsid w:val="00F533F3"/>
    <w:rsid w:val="00F537C2"/>
    <w:rsid w:val="00F54291"/>
    <w:rsid w:val="00F54C30"/>
    <w:rsid w:val="00F55318"/>
    <w:rsid w:val="00F558B9"/>
    <w:rsid w:val="00F56F06"/>
    <w:rsid w:val="00F56FD9"/>
    <w:rsid w:val="00F57EFD"/>
    <w:rsid w:val="00F60FD4"/>
    <w:rsid w:val="00F626D1"/>
    <w:rsid w:val="00F632C7"/>
    <w:rsid w:val="00F6383B"/>
    <w:rsid w:val="00F645E2"/>
    <w:rsid w:val="00F64F82"/>
    <w:rsid w:val="00F65D5A"/>
    <w:rsid w:val="00F661B7"/>
    <w:rsid w:val="00F66674"/>
    <w:rsid w:val="00F67EE7"/>
    <w:rsid w:val="00F70865"/>
    <w:rsid w:val="00F71F69"/>
    <w:rsid w:val="00F72FB6"/>
    <w:rsid w:val="00F73BA7"/>
    <w:rsid w:val="00F744A8"/>
    <w:rsid w:val="00F74FB0"/>
    <w:rsid w:val="00F751DB"/>
    <w:rsid w:val="00F771B3"/>
    <w:rsid w:val="00F77808"/>
    <w:rsid w:val="00F77BC6"/>
    <w:rsid w:val="00F802B8"/>
    <w:rsid w:val="00F804FA"/>
    <w:rsid w:val="00F805F5"/>
    <w:rsid w:val="00F80D36"/>
    <w:rsid w:val="00F81177"/>
    <w:rsid w:val="00F81C91"/>
    <w:rsid w:val="00F82048"/>
    <w:rsid w:val="00F82D41"/>
    <w:rsid w:val="00F83105"/>
    <w:rsid w:val="00F83CB5"/>
    <w:rsid w:val="00F83E78"/>
    <w:rsid w:val="00F847AA"/>
    <w:rsid w:val="00F85989"/>
    <w:rsid w:val="00F867EA"/>
    <w:rsid w:val="00F907FF"/>
    <w:rsid w:val="00F90935"/>
    <w:rsid w:val="00F90EC4"/>
    <w:rsid w:val="00F92393"/>
    <w:rsid w:val="00F932A2"/>
    <w:rsid w:val="00F934A4"/>
    <w:rsid w:val="00F93B9F"/>
    <w:rsid w:val="00F94BC0"/>
    <w:rsid w:val="00F94BDB"/>
    <w:rsid w:val="00F94CD2"/>
    <w:rsid w:val="00F95AC4"/>
    <w:rsid w:val="00F96351"/>
    <w:rsid w:val="00F976EE"/>
    <w:rsid w:val="00FA02E7"/>
    <w:rsid w:val="00FA068B"/>
    <w:rsid w:val="00FA07CD"/>
    <w:rsid w:val="00FA110A"/>
    <w:rsid w:val="00FA1400"/>
    <w:rsid w:val="00FA221D"/>
    <w:rsid w:val="00FA2540"/>
    <w:rsid w:val="00FA2894"/>
    <w:rsid w:val="00FA4EA0"/>
    <w:rsid w:val="00FA58D9"/>
    <w:rsid w:val="00FA59C4"/>
    <w:rsid w:val="00FA6377"/>
    <w:rsid w:val="00FA7731"/>
    <w:rsid w:val="00FB1311"/>
    <w:rsid w:val="00FB13B2"/>
    <w:rsid w:val="00FB14DE"/>
    <w:rsid w:val="00FB1BD8"/>
    <w:rsid w:val="00FB1D49"/>
    <w:rsid w:val="00FB2A06"/>
    <w:rsid w:val="00FB2CFF"/>
    <w:rsid w:val="00FB332A"/>
    <w:rsid w:val="00FB4751"/>
    <w:rsid w:val="00FB48F5"/>
    <w:rsid w:val="00FB49C9"/>
    <w:rsid w:val="00FB55A1"/>
    <w:rsid w:val="00FB68E8"/>
    <w:rsid w:val="00FB734A"/>
    <w:rsid w:val="00FC0773"/>
    <w:rsid w:val="00FC190E"/>
    <w:rsid w:val="00FC1ED6"/>
    <w:rsid w:val="00FC3000"/>
    <w:rsid w:val="00FC315A"/>
    <w:rsid w:val="00FC3323"/>
    <w:rsid w:val="00FC44B3"/>
    <w:rsid w:val="00FC590F"/>
    <w:rsid w:val="00FC6005"/>
    <w:rsid w:val="00FC7ABF"/>
    <w:rsid w:val="00FD0CC1"/>
    <w:rsid w:val="00FD1661"/>
    <w:rsid w:val="00FD1D92"/>
    <w:rsid w:val="00FD2C18"/>
    <w:rsid w:val="00FD2D19"/>
    <w:rsid w:val="00FD3887"/>
    <w:rsid w:val="00FD4056"/>
    <w:rsid w:val="00FD413B"/>
    <w:rsid w:val="00FD6661"/>
    <w:rsid w:val="00FD6C52"/>
    <w:rsid w:val="00FE207E"/>
    <w:rsid w:val="00FE2367"/>
    <w:rsid w:val="00FE36B9"/>
    <w:rsid w:val="00FE3798"/>
    <w:rsid w:val="00FE3CA5"/>
    <w:rsid w:val="00FE4074"/>
    <w:rsid w:val="00FE48D8"/>
    <w:rsid w:val="00FE4982"/>
    <w:rsid w:val="00FE5269"/>
    <w:rsid w:val="00FE5EB1"/>
    <w:rsid w:val="00FE67AE"/>
    <w:rsid w:val="00FF0B02"/>
    <w:rsid w:val="00FF0F28"/>
    <w:rsid w:val="00FF1389"/>
    <w:rsid w:val="00FF13BC"/>
    <w:rsid w:val="00FF1C52"/>
    <w:rsid w:val="00FF2661"/>
    <w:rsid w:val="00FF281F"/>
    <w:rsid w:val="00FF4664"/>
    <w:rsid w:val="00FF5D4E"/>
    <w:rsid w:val="00FF63AD"/>
    <w:rsid w:val="00FF7A0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288B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B3C6A"/>
    <w:pPr>
      <w:spacing w:after="240"/>
      <w:jc w:val="both"/>
    </w:pPr>
    <w:rPr>
      <w:sz w:val="24"/>
      <w:szCs w:val="24"/>
      <w:lang w:eastAsia="ja-JP"/>
    </w:rPr>
  </w:style>
  <w:style w:type="paragraph" w:styleId="Heading1">
    <w:name w:val="heading 1"/>
    <w:basedOn w:val="Normal"/>
    <w:next w:val="Normal"/>
    <w:link w:val="Heading1Char"/>
    <w:qFormat/>
    <w:rsid w:val="008177E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8177E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61C5B"/>
    <w:pPr>
      <w:autoSpaceDE w:val="0"/>
      <w:autoSpaceDN w:val="0"/>
      <w:adjustRightInd w:val="0"/>
    </w:pPr>
    <w:rPr>
      <w:color w:val="000000"/>
      <w:sz w:val="24"/>
      <w:szCs w:val="24"/>
      <w:lang w:eastAsia="ja-JP"/>
    </w:rPr>
  </w:style>
  <w:style w:type="paragraph" w:styleId="Title">
    <w:name w:val="Title"/>
    <w:basedOn w:val="Default"/>
    <w:next w:val="Default"/>
    <w:qFormat/>
    <w:rsid w:val="00E61C5B"/>
    <w:rPr>
      <w:color w:val="auto"/>
    </w:rPr>
  </w:style>
  <w:style w:type="paragraph" w:customStyle="1" w:styleId="TOCI">
    <w:name w:val="TOCI"/>
    <w:basedOn w:val="Default"/>
    <w:next w:val="Default"/>
    <w:rsid w:val="00E61C5B"/>
    <w:rPr>
      <w:color w:val="auto"/>
    </w:rPr>
  </w:style>
  <w:style w:type="character" w:styleId="CommentReference">
    <w:name w:val="annotation reference"/>
    <w:rsid w:val="00214BFC"/>
    <w:rPr>
      <w:sz w:val="16"/>
      <w:szCs w:val="16"/>
    </w:rPr>
  </w:style>
  <w:style w:type="paragraph" w:styleId="CommentText">
    <w:name w:val="annotation text"/>
    <w:basedOn w:val="Normal"/>
    <w:link w:val="CommentTextChar"/>
    <w:uiPriority w:val="99"/>
    <w:rsid w:val="00214BFC"/>
    <w:rPr>
      <w:sz w:val="20"/>
      <w:szCs w:val="20"/>
    </w:rPr>
  </w:style>
  <w:style w:type="character" w:customStyle="1" w:styleId="CommentTextChar">
    <w:name w:val="Comment Text Char"/>
    <w:link w:val="CommentText"/>
    <w:uiPriority w:val="99"/>
    <w:rsid w:val="00214BFC"/>
    <w:rPr>
      <w:lang w:eastAsia="ja-JP"/>
    </w:rPr>
  </w:style>
  <w:style w:type="paragraph" w:styleId="CommentSubject">
    <w:name w:val="annotation subject"/>
    <w:basedOn w:val="CommentText"/>
    <w:next w:val="CommentText"/>
    <w:link w:val="CommentSubjectChar"/>
    <w:rsid w:val="00214BFC"/>
    <w:rPr>
      <w:b/>
      <w:bCs/>
    </w:rPr>
  </w:style>
  <w:style w:type="character" w:customStyle="1" w:styleId="CommentSubjectChar">
    <w:name w:val="Comment Subject Char"/>
    <w:link w:val="CommentSubject"/>
    <w:rsid w:val="00214BFC"/>
    <w:rPr>
      <w:b/>
      <w:bCs/>
      <w:lang w:eastAsia="ja-JP"/>
    </w:rPr>
  </w:style>
  <w:style w:type="paragraph" w:styleId="BalloonText">
    <w:name w:val="Balloon Text"/>
    <w:basedOn w:val="Normal"/>
    <w:link w:val="BalloonTextChar"/>
    <w:rsid w:val="00214BFC"/>
    <w:rPr>
      <w:rFonts w:ascii="Tahoma" w:hAnsi="Tahoma" w:cs="Tahoma"/>
      <w:sz w:val="16"/>
      <w:szCs w:val="16"/>
    </w:rPr>
  </w:style>
  <w:style w:type="character" w:customStyle="1" w:styleId="BalloonTextChar">
    <w:name w:val="Balloon Text Char"/>
    <w:link w:val="BalloonText"/>
    <w:rsid w:val="00214BFC"/>
    <w:rPr>
      <w:rFonts w:ascii="Tahoma" w:hAnsi="Tahoma" w:cs="Tahoma"/>
      <w:sz w:val="16"/>
      <w:szCs w:val="16"/>
      <w:lang w:eastAsia="ja-JP"/>
    </w:rPr>
  </w:style>
  <w:style w:type="character" w:styleId="Hyperlink">
    <w:name w:val="Hyperlink"/>
    <w:uiPriority w:val="99"/>
    <w:rsid w:val="005B0891"/>
    <w:rPr>
      <w:color w:val="0000FF"/>
      <w:u w:val="single"/>
    </w:rPr>
  </w:style>
  <w:style w:type="paragraph" w:styleId="Header">
    <w:name w:val="header"/>
    <w:basedOn w:val="Normal"/>
    <w:link w:val="HeaderChar"/>
    <w:rsid w:val="00F558B9"/>
    <w:pPr>
      <w:tabs>
        <w:tab w:val="center" w:pos="4680"/>
        <w:tab w:val="right" w:pos="9360"/>
      </w:tabs>
    </w:pPr>
  </w:style>
  <w:style w:type="character" w:customStyle="1" w:styleId="HeaderChar">
    <w:name w:val="Header Char"/>
    <w:link w:val="Header"/>
    <w:rsid w:val="00F558B9"/>
    <w:rPr>
      <w:sz w:val="24"/>
      <w:szCs w:val="24"/>
      <w:lang w:eastAsia="ja-JP"/>
    </w:rPr>
  </w:style>
  <w:style w:type="paragraph" w:styleId="Footer">
    <w:name w:val="footer"/>
    <w:basedOn w:val="Normal"/>
    <w:link w:val="FooterChar"/>
    <w:uiPriority w:val="99"/>
    <w:rsid w:val="00F558B9"/>
    <w:pPr>
      <w:tabs>
        <w:tab w:val="center" w:pos="4680"/>
        <w:tab w:val="right" w:pos="9360"/>
      </w:tabs>
    </w:pPr>
  </w:style>
  <w:style w:type="character" w:customStyle="1" w:styleId="FooterChar">
    <w:name w:val="Footer Char"/>
    <w:link w:val="Footer"/>
    <w:uiPriority w:val="99"/>
    <w:rsid w:val="00F558B9"/>
    <w:rPr>
      <w:sz w:val="24"/>
      <w:szCs w:val="24"/>
      <w:lang w:eastAsia="ja-JP"/>
    </w:rPr>
  </w:style>
  <w:style w:type="paragraph" w:styleId="NoSpacing">
    <w:name w:val="No Spacing"/>
    <w:uiPriority w:val="1"/>
    <w:qFormat/>
    <w:rsid w:val="00DC2138"/>
    <w:rPr>
      <w:rFonts w:ascii="Calibri" w:eastAsia="Calibri" w:hAnsi="Calibri"/>
      <w:sz w:val="22"/>
      <w:szCs w:val="22"/>
    </w:rPr>
  </w:style>
  <w:style w:type="character" w:styleId="FootnoteReference">
    <w:name w:val="footnote reference"/>
    <w:rsid w:val="00457997"/>
  </w:style>
  <w:style w:type="paragraph" w:styleId="FootnoteText">
    <w:name w:val="footnote text"/>
    <w:basedOn w:val="Normal"/>
    <w:link w:val="FootnoteTextChar"/>
    <w:rsid w:val="00457997"/>
    <w:pPr>
      <w:widowControl w:val="0"/>
    </w:pPr>
    <w:rPr>
      <w:rFonts w:ascii="Courier" w:eastAsia="Times New Roman" w:hAnsi="Courier"/>
      <w:snapToGrid w:val="0"/>
      <w:sz w:val="20"/>
      <w:szCs w:val="20"/>
      <w:lang w:eastAsia="en-US"/>
    </w:rPr>
  </w:style>
  <w:style w:type="character" w:customStyle="1" w:styleId="FootnoteTextChar">
    <w:name w:val="Footnote Text Char"/>
    <w:link w:val="FootnoteText"/>
    <w:rsid w:val="00457997"/>
    <w:rPr>
      <w:rFonts w:ascii="Courier" w:eastAsia="Times New Roman" w:hAnsi="Courier"/>
      <w:snapToGrid w:val="0"/>
    </w:rPr>
  </w:style>
  <w:style w:type="character" w:styleId="FollowedHyperlink">
    <w:name w:val="FollowedHyperlink"/>
    <w:rsid w:val="00884977"/>
    <w:rPr>
      <w:color w:val="800080"/>
      <w:u w:val="single"/>
    </w:rPr>
  </w:style>
  <w:style w:type="paragraph" w:styleId="Caption">
    <w:name w:val="caption"/>
    <w:basedOn w:val="Normal"/>
    <w:next w:val="Normal"/>
    <w:unhideWhenUsed/>
    <w:qFormat/>
    <w:rsid w:val="009B3C6A"/>
    <w:pPr>
      <w:spacing w:before="240" w:after="0"/>
    </w:pPr>
    <w:rPr>
      <w:rFonts w:eastAsia="Times New Roman"/>
      <w:b/>
      <w:bCs/>
      <w:color w:val="000000"/>
      <w:szCs w:val="20"/>
      <w:lang w:eastAsia="en-US"/>
    </w:rPr>
  </w:style>
  <w:style w:type="paragraph" w:styleId="ListParagraph">
    <w:name w:val="List Paragraph"/>
    <w:basedOn w:val="Normal"/>
    <w:uiPriority w:val="34"/>
    <w:qFormat/>
    <w:rsid w:val="00571DF3"/>
    <w:pPr>
      <w:ind w:left="720"/>
      <w:contextualSpacing/>
    </w:pPr>
  </w:style>
  <w:style w:type="paragraph" w:customStyle="1" w:styleId="Style1">
    <w:name w:val="Style1"/>
    <w:basedOn w:val="Heading1"/>
    <w:link w:val="Style1Char"/>
    <w:qFormat/>
    <w:rsid w:val="007447CB"/>
    <w:pPr>
      <w:spacing w:before="120" w:after="120" w:line="480" w:lineRule="auto"/>
      <w:jc w:val="center"/>
    </w:pPr>
    <w:rPr>
      <w:rFonts w:ascii="Times New Roman" w:hAnsi="Times New Roman"/>
      <w:b/>
      <w:color w:val="auto"/>
      <w:sz w:val="24"/>
      <w:u w:val="single"/>
    </w:rPr>
  </w:style>
  <w:style w:type="paragraph" w:customStyle="1" w:styleId="Style2">
    <w:name w:val="Style2"/>
    <w:basedOn w:val="Heading2"/>
    <w:next w:val="Normal"/>
    <w:link w:val="Style2Char"/>
    <w:qFormat/>
    <w:rsid w:val="009B3C6A"/>
    <w:pPr>
      <w:spacing w:before="240"/>
      <w:jc w:val="center"/>
    </w:pPr>
    <w:rPr>
      <w:rFonts w:ascii="Times New Roman" w:hAnsi="Times New Roman"/>
      <w:color w:val="auto"/>
      <w:sz w:val="24"/>
      <w:u w:val="single"/>
    </w:rPr>
  </w:style>
  <w:style w:type="character" w:customStyle="1" w:styleId="Heading1Char">
    <w:name w:val="Heading 1 Char"/>
    <w:basedOn w:val="DefaultParagraphFont"/>
    <w:link w:val="Heading1"/>
    <w:rsid w:val="008177E0"/>
    <w:rPr>
      <w:rFonts w:asciiTheme="majorHAnsi" w:eastAsiaTheme="majorEastAsia" w:hAnsiTheme="majorHAnsi" w:cstheme="majorBidi"/>
      <w:color w:val="365F91" w:themeColor="accent1" w:themeShade="BF"/>
      <w:sz w:val="32"/>
      <w:szCs w:val="32"/>
      <w:lang w:eastAsia="ja-JP"/>
    </w:rPr>
  </w:style>
  <w:style w:type="character" w:customStyle="1" w:styleId="Style1Char">
    <w:name w:val="Style1 Char"/>
    <w:basedOn w:val="Heading1Char"/>
    <w:link w:val="Style1"/>
    <w:rsid w:val="007447CB"/>
    <w:rPr>
      <w:rFonts w:asciiTheme="majorHAnsi" w:eastAsiaTheme="majorEastAsia" w:hAnsiTheme="majorHAnsi" w:cstheme="majorBidi"/>
      <w:b/>
      <w:color w:val="365F91" w:themeColor="accent1" w:themeShade="BF"/>
      <w:sz w:val="24"/>
      <w:szCs w:val="32"/>
      <w:u w:val="single"/>
      <w:lang w:eastAsia="ja-JP"/>
    </w:rPr>
  </w:style>
  <w:style w:type="paragraph" w:styleId="TOCHeading">
    <w:name w:val="TOC Heading"/>
    <w:basedOn w:val="Heading1"/>
    <w:next w:val="Normal"/>
    <w:uiPriority w:val="39"/>
    <w:unhideWhenUsed/>
    <w:qFormat/>
    <w:rsid w:val="00333E1C"/>
    <w:pPr>
      <w:spacing w:line="259" w:lineRule="auto"/>
      <w:outlineLvl w:val="9"/>
    </w:pPr>
    <w:rPr>
      <w:lang w:eastAsia="en-US"/>
    </w:rPr>
  </w:style>
  <w:style w:type="character" w:customStyle="1" w:styleId="Heading2Char">
    <w:name w:val="Heading 2 Char"/>
    <w:basedOn w:val="DefaultParagraphFont"/>
    <w:link w:val="Heading2"/>
    <w:semiHidden/>
    <w:rsid w:val="008177E0"/>
    <w:rPr>
      <w:rFonts w:asciiTheme="majorHAnsi" w:eastAsiaTheme="majorEastAsia" w:hAnsiTheme="majorHAnsi" w:cstheme="majorBidi"/>
      <w:color w:val="365F91" w:themeColor="accent1" w:themeShade="BF"/>
      <w:sz w:val="26"/>
      <w:szCs w:val="26"/>
      <w:lang w:eastAsia="ja-JP"/>
    </w:rPr>
  </w:style>
  <w:style w:type="character" w:customStyle="1" w:styleId="Style2Char">
    <w:name w:val="Style2 Char"/>
    <w:basedOn w:val="Heading2Char"/>
    <w:link w:val="Style2"/>
    <w:rsid w:val="009B3C6A"/>
    <w:rPr>
      <w:rFonts w:asciiTheme="majorHAnsi" w:eastAsiaTheme="majorEastAsia" w:hAnsiTheme="majorHAnsi" w:cstheme="majorBidi"/>
      <w:color w:val="365F91" w:themeColor="accent1" w:themeShade="BF"/>
      <w:sz w:val="24"/>
      <w:szCs w:val="26"/>
      <w:u w:val="single"/>
      <w:lang w:eastAsia="ja-JP"/>
    </w:rPr>
  </w:style>
  <w:style w:type="paragraph" w:styleId="TOC1">
    <w:name w:val="toc 1"/>
    <w:basedOn w:val="Normal"/>
    <w:next w:val="Normal"/>
    <w:autoRedefine/>
    <w:uiPriority w:val="39"/>
    <w:unhideWhenUsed/>
    <w:rsid w:val="00333E1C"/>
    <w:pPr>
      <w:spacing w:after="100"/>
    </w:pPr>
  </w:style>
  <w:style w:type="paragraph" w:styleId="TOC2">
    <w:name w:val="toc 2"/>
    <w:basedOn w:val="Normal"/>
    <w:next w:val="Normal"/>
    <w:autoRedefine/>
    <w:uiPriority w:val="39"/>
    <w:unhideWhenUsed/>
    <w:rsid w:val="00333E1C"/>
    <w:pPr>
      <w:spacing w:after="100"/>
      <w:ind w:left="240"/>
    </w:pPr>
  </w:style>
  <w:style w:type="paragraph" w:customStyle="1" w:styleId="Style3">
    <w:name w:val="Style3"/>
    <w:basedOn w:val="Normal"/>
    <w:next w:val="Normal"/>
    <w:link w:val="Style3Char"/>
    <w:qFormat/>
    <w:rsid w:val="007447CB"/>
    <w:pPr>
      <w:spacing w:before="120" w:after="120" w:line="480" w:lineRule="auto"/>
      <w:jc w:val="center"/>
    </w:pPr>
    <w:rPr>
      <w:b/>
      <w:color w:val="000000" w:themeColor="text1"/>
      <w:u w:val="single"/>
    </w:rPr>
  </w:style>
  <w:style w:type="paragraph" w:customStyle="1" w:styleId="Style4">
    <w:name w:val="Style4"/>
    <w:basedOn w:val="Heading2"/>
    <w:next w:val="Normal"/>
    <w:link w:val="Style4Char"/>
    <w:qFormat/>
    <w:rsid w:val="007447CB"/>
    <w:pPr>
      <w:spacing w:before="120" w:after="120" w:line="480" w:lineRule="auto"/>
      <w:jc w:val="center"/>
    </w:pPr>
    <w:rPr>
      <w:rFonts w:ascii="Times New Roman" w:hAnsi="Times New Roman"/>
      <w:b/>
      <w:color w:val="auto"/>
      <w:sz w:val="24"/>
      <w:u w:val="single"/>
    </w:rPr>
  </w:style>
  <w:style w:type="character" w:customStyle="1" w:styleId="Style3Char">
    <w:name w:val="Style3 Char"/>
    <w:basedOn w:val="DefaultParagraphFont"/>
    <w:link w:val="Style3"/>
    <w:rsid w:val="007447CB"/>
    <w:rPr>
      <w:b/>
      <w:color w:val="000000" w:themeColor="text1"/>
      <w:sz w:val="24"/>
      <w:szCs w:val="24"/>
      <w:u w:val="single"/>
      <w:lang w:eastAsia="ja-JP"/>
    </w:rPr>
  </w:style>
  <w:style w:type="paragraph" w:styleId="TOC3">
    <w:name w:val="toc 3"/>
    <w:basedOn w:val="Normal"/>
    <w:next w:val="Normal"/>
    <w:autoRedefine/>
    <w:semiHidden/>
    <w:unhideWhenUsed/>
    <w:rsid w:val="00A72165"/>
    <w:pPr>
      <w:spacing w:after="100"/>
      <w:ind w:left="480"/>
    </w:pPr>
  </w:style>
  <w:style w:type="character" w:customStyle="1" w:styleId="Style4Char">
    <w:name w:val="Style4 Char"/>
    <w:basedOn w:val="Heading2Char"/>
    <w:link w:val="Style4"/>
    <w:rsid w:val="007447CB"/>
    <w:rPr>
      <w:rFonts w:asciiTheme="majorHAnsi" w:eastAsiaTheme="majorEastAsia" w:hAnsiTheme="majorHAnsi" w:cstheme="majorBidi"/>
      <w:b/>
      <w:color w:val="365F91" w:themeColor="accent1" w:themeShade="BF"/>
      <w:sz w:val="24"/>
      <w:szCs w:val="26"/>
      <w:u w:val="single"/>
      <w:lang w:eastAsia="ja-JP"/>
    </w:rPr>
  </w:style>
  <w:style w:type="character" w:customStyle="1" w:styleId="UnresolvedMention1">
    <w:name w:val="Unresolved Mention1"/>
    <w:basedOn w:val="DefaultParagraphFont"/>
    <w:uiPriority w:val="99"/>
    <w:semiHidden/>
    <w:unhideWhenUsed/>
    <w:rsid w:val="00DB6C46"/>
    <w:rPr>
      <w:color w:val="605E5C"/>
      <w:shd w:val="clear" w:color="auto" w:fill="E1DFDD"/>
    </w:rPr>
  </w:style>
  <w:style w:type="table" w:styleId="TableGrid">
    <w:name w:val="Table Grid"/>
    <w:basedOn w:val="TableNormal"/>
    <w:uiPriority w:val="39"/>
    <w:rsid w:val="00694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6F8A"/>
    <w:rPr>
      <w:sz w:val="24"/>
      <w:szCs w:val="24"/>
      <w:lang w:eastAsia="ja-JP"/>
    </w:rPr>
  </w:style>
  <w:style w:type="table" w:customStyle="1" w:styleId="TableGrid1">
    <w:name w:val="Table Grid1"/>
    <w:basedOn w:val="TableNormal"/>
    <w:next w:val="TableGrid"/>
    <w:rsid w:val="00D14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52C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fda.gov/media/73005/download" TargetMode="External" /><Relationship Id="rId2" Type="http://schemas.openxmlformats.org/officeDocument/2006/relationships/hyperlink" Target="https://www.reginfo.gov/public/do/PRAViewDocument?ref_nbr=201704-0910-006" TargetMode="External" /><Relationship Id="rId3" Type="http://schemas.openxmlformats.org/officeDocument/2006/relationships/hyperlink" Target="https://www.bls.gov/oes/current/naics4_325400.htm" TargetMode="External" /><Relationship Id="rId4" Type="http://schemas.openxmlformats.org/officeDocument/2006/relationships/hyperlink" Target="https://med.nyu.edu/pophealth/divisions/medical-ethics/compassionate-us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70045-7811-4D6F-BA44-0B2D543C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3261</Words>
  <Characters>18594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2022-09-13T11:50:00Z</dcterms:created>
  <dcterms:modified xsi:type="dcterms:W3CDTF">2022-09-13T11:50:00Z</dcterms:modified>
</cp:coreProperties>
</file>