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23DF" w:rsidP="00A20F3D" w14:paraId="38A27071" w14:textId="77777777">
      <w:pPr>
        <w:jc w:val="center"/>
        <w:rPr>
          <w:sz w:val="24"/>
          <w:szCs w:val="24"/>
        </w:rPr>
      </w:pPr>
    </w:p>
    <w:p w:rsidR="00BA7957" w:rsidP="00A20F3D" w14:paraId="7C0766C2" w14:textId="04C29A34">
      <w:pPr>
        <w:jc w:val="center"/>
        <w:rPr>
          <w:b/>
          <w:bCs/>
          <w:sz w:val="24"/>
          <w:szCs w:val="24"/>
        </w:rPr>
      </w:pPr>
      <w:r w:rsidRPr="00B82446">
        <w:rPr>
          <w:b/>
          <w:bCs/>
          <w:sz w:val="24"/>
          <w:szCs w:val="24"/>
        </w:rPr>
        <w:t xml:space="preserve">ANNUAL SUMMARY REPORTING REQUIREMENTS </w:t>
      </w:r>
    </w:p>
    <w:p w:rsidR="004012A8" w:rsidRPr="00B82446" w:rsidP="00A20F3D" w14:paraId="4C981966" w14:textId="60496DD5">
      <w:pPr>
        <w:jc w:val="center"/>
        <w:rPr>
          <w:b/>
          <w:bCs/>
          <w:sz w:val="24"/>
          <w:szCs w:val="24"/>
        </w:rPr>
      </w:pPr>
      <w:r w:rsidRPr="00B82446">
        <w:rPr>
          <w:b/>
          <w:bCs/>
          <w:sz w:val="24"/>
          <w:szCs w:val="24"/>
        </w:rPr>
        <w:t>UNDER THE RIGHT TO TRY ACT:</w:t>
      </w:r>
      <w:r w:rsidRPr="00B82446" w:rsidR="00B82446">
        <w:rPr>
          <w:b/>
          <w:bCs/>
          <w:sz w:val="24"/>
          <w:szCs w:val="24"/>
        </w:rPr>
        <w:t xml:space="preserve">  </w:t>
      </w:r>
      <w:r w:rsidRPr="00B82446">
        <w:rPr>
          <w:b/>
          <w:bCs/>
          <w:sz w:val="24"/>
          <w:szCs w:val="24"/>
        </w:rPr>
        <w:t>21 CFR PART 300, SUBPART D</w:t>
      </w:r>
    </w:p>
    <w:p w:rsidR="001814ED" w:rsidRPr="00A20F3D" w:rsidP="00A20F3D" w14:paraId="4A5F1869" w14:textId="77777777">
      <w:pPr>
        <w:jc w:val="center"/>
        <w:rPr>
          <w:sz w:val="24"/>
          <w:szCs w:val="24"/>
        </w:rPr>
      </w:pPr>
    </w:p>
    <w:p w:rsidR="001814ED" w:rsidP="00A20F3D" w14:paraId="3D384296" w14:textId="1D1BB2F3">
      <w:pPr>
        <w:jc w:val="center"/>
        <w:rPr>
          <w:sz w:val="24"/>
          <w:szCs w:val="24"/>
        </w:rPr>
      </w:pPr>
      <w:r w:rsidRPr="00A20F3D">
        <w:rPr>
          <w:sz w:val="24"/>
          <w:szCs w:val="24"/>
          <w:u w:val="single"/>
        </w:rPr>
        <w:t>OMB Control No. 0910-</w:t>
      </w:r>
      <w:r w:rsidRPr="00A20F3D" w:rsidR="00AE2566">
        <w:rPr>
          <w:sz w:val="24"/>
          <w:szCs w:val="24"/>
          <w:u w:val="single"/>
        </w:rPr>
        <w:t>0893</w:t>
      </w:r>
      <w:r w:rsidR="00EB2D37">
        <w:rPr>
          <w:sz w:val="24"/>
          <w:szCs w:val="24"/>
        </w:rPr>
        <w:t xml:space="preserve"> </w:t>
      </w:r>
      <w:r w:rsidR="0031567A">
        <w:rPr>
          <w:sz w:val="24"/>
          <w:szCs w:val="24"/>
        </w:rPr>
        <w:t>–</w:t>
      </w:r>
      <w:r w:rsidR="00EB2D37">
        <w:rPr>
          <w:sz w:val="24"/>
          <w:szCs w:val="24"/>
        </w:rPr>
        <w:t xml:space="preserve"> NEW</w:t>
      </w:r>
    </w:p>
    <w:p w:rsidR="0031567A" w:rsidRPr="00EB2D37" w:rsidP="00A20F3D" w14:paraId="20A8D51A" w14:textId="713BCE7C">
      <w:pPr>
        <w:jc w:val="center"/>
        <w:rPr>
          <w:sz w:val="24"/>
          <w:szCs w:val="24"/>
        </w:rPr>
      </w:pPr>
      <w:r>
        <w:rPr>
          <w:sz w:val="24"/>
          <w:szCs w:val="24"/>
        </w:rPr>
        <w:t>RIN</w:t>
      </w:r>
      <w:r w:rsidR="00FE4A3C">
        <w:rPr>
          <w:sz w:val="24"/>
          <w:szCs w:val="24"/>
        </w:rPr>
        <w:t xml:space="preserve">:  </w:t>
      </w:r>
      <w:r>
        <w:rPr>
          <w:sz w:val="24"/>
          <w:szCs w:val="24"/>
        </w:rPr>
        <w:t>0910</w:t>
      </w:r>
      <w:r w:rsidR="00FE4A3C">
        <w:rPr>
          <w:sz w:val="24"/>
          <w:szCs w:val="24"/>
        </w:rPr>
        <w:t>-AI36</w:t>
      </w:r>
    </w:p>
    <w:p w:rsidR="001814ED" w:rsidRPr="00A20F3D" w:rsidP="00231078" w14:paraId="325F45DE" w14:textId="77777777">
      <w:pPr>
        <w:rPr>
          <w:sz w:val="24"/>
          <w:szCs w:val="24"/>
        </w:rPr>
      </w:pPr>
    </w:p>
    <w:p w:rsidR="001814ED" w:rsidRPr="00A20F3D" w:rsidP="00231078" w14:paraId="2CD410F8" w14:textId="77777777">
      <w:pPr>
        <w:rPr>
          <w:sz w:val="24"/>
          <w:szCs w:val="24"/>
        </w:rPr>
      </w:pPr>
      <w:r w:rsidRPr="00A20F3D">
        <w:rPr>
          <w:sz w:val="24"/>
          <w:szCs w:val="24"/>
        </w:rPr>
        <w:t xml:space="preserve">SUPPORTING STATEMENT </w:t>
      </w:r>
      <w:r w:rsidRPr="00B82446">
        <w:rPr>
          <w:b/>
          <w:bCs/>
          <w:sz w:val="24"/>
          <w:szCs w:val="24"/>
        </w:rPr>
        <w:t>Part A – Justification:</w:t>
      </w:r>
    </w:p>
    <w:p w:rsidR="001814ED" w:rsidRPr="00A20F3D" w:rsidP="00231078" w14:paraId="18C86466" w14:textId="77777777">
      <w:pPr>
        <w:rPr>
          <w:sz w:val="24"/>
          <w:szCs w:val="24"/>
        </w:rPr>
      </w:pPr>
    </w:p>
    <w:p w:rsidR="001814ED" w:rsidRPr="00A20F3D" w:rsidP="00231078" w14:paraId="5AC05D44" w14:textId="54F7F8A7">
      <w:pPr>
        <w:rPr>
          <w:sz w:val="24"/>
          <w:szCs w:val="24"/>
        </w:rPr>
      </w:pPr>
      <w:r>
        <w:rPr>
          <w:sz w:val="24"/>
          <w:szCs w:val="24"/>
        </w:rPr>
        <w:t xml:space="preserve">1.  </w:t>
      </w:r>
      <w:r w:rsidRPr="00B82446" w:rsidR="00585143">
        <w:rPr>
          <w:sz w:val="24"/>
          <w:szCs w:val="24"/>
          <w:u w:val="single"/>
        </w:rPr>
        <w:t>Circumstances Making the Collection of Information Necessary</w:t>
      </w:r>
    </w:p>
    <w:p w:rsidR="001814ED" w:rsidRPr="00A20F3D" w:rsidP="00231078" w14:paraId="20C6ED18" w14:textId="77777777">
      <w:pPr>
        <w:rPr>
          <w:sz w:val="24"/>
          <w:szCs w:val="24"/>
        </w:rPr>
      </w:pPr>
    </w:p>
    <w:p w:rsidR="001814ED" w:rsidRPr="00A20F3D" w:rsidP="00231078" w14:paraId="138BCA76" w14:textId="569DBE8D">
      <w:pPr>
        <w:rPr>
          <w:sz w:val="24"/>
          <w:szCs w:val="24"/>
        </w:rPr>
      </w:pPr>
      <w:r w:rsidRPr="00A20F3D">
        <w:rPr>
          <w:sz w:val="24"/>
          <w:szCs w:val="24"/>
        </w:rPr>
        <w:t>This information collection</w:t>
      </w:r>
      <w:r w:rsidR="004726DB">
        <w:rPr>
          <w:sz w:val="24"/>
          <w:szCs w:val="24"/>
        </w:rPr>
        <w:t xml:space="preserve"> supports Food and Drug Administration (FDA) </w:t>
      </w:r>
      <w:r w:rsidR="00CD05F0">
        <w:rPr>
          <w:sz w:val="24"/>
          <w:szCs w:val="24"/>
        </w:rPr>
        <w:t xml:space="preserve">rulemaking pertaining </w:t>
      </w:r>
      <w:r w:rsidR="008836FB">
        <w:rPr>
          <w:sz w:val="24"/>
          <w:szCs w:val="24"/>
        </w:rPr>
        <w:t xml:space="preserve">to </w:t>
      </w:r>
      <w:r w:rsidR="00DF42A1">
        <w:rPr>
          <w:sz w:val="24"/>
          <w:szCs w:val="24"/>
        </w:rPr>
        <w:t>the</w:t>
      </w:r>
      <w:r w:rsidR="00B66E57">
        <w:rPr>
          <w:sz w:val="24"/>
          <w:szCs w:val="24"/>
        </w:rPr>
        <w:t xml:space="preserve"> submission </w:t>
      </w:r>
      <w:r w:rsidR="00DF42A1">
        <w:rPr>
          <w:sz w:val="24"/>
          <w:szCs w:val="24"/>
        </w:rPr>
        <w:t xml:space="preserve">to FDA </w:t>
      </w:r>
      <w:r w:rsidR="00817AF8">
        <w:rPr>
          <w:sz w:val="24"/>
          <w:szCs w:val="24"/>
        </w:rPr>
        <w:t xml:space="preserve">of </w:t>
      </w:r>
      <w:r w:rsidRPr="00A20F3D" w:rsidR="00AE2566">
        <w:rPr>
          <w:sz w:val="24"/>
          <w:szCs w:val="24"/>
        </w:rPr>
        <w:t>an annual summary of investigational drugs supplied under the Trickett Wendler, Frank Mongiello, Jordan McLinn, and Matthew Bellina Right to Try Act of 2017 (Right to Try Act)</w:t>
      </w:r>
      <w:r w:rsidR="000E65C2">
        <w:rPr>
          <w:sz w:val="24"/>
          <w:szCs w:val="24"/>
        </w:rPr>
        <w:t>.</w:t>
      </w:r>
      <w:r w:rsidR="00DF42A1">
        <w:rPr>
          <w:sz w:val="24"/>
          <w:szCs w:val="24"/>
        </w:rPr>
        <w:t xml:space="preserve">  The </w:t>
      </w:r>
      <w:r w:rsidR="008836FB">
        <w:rPr>
          <w:sz w:val="24"/>
          <w:szCs w:val="24"/>
        </w:rPr>
        <w:t xml:space="preserve">rulemaking </w:t>
      </w:r>
      <w:r w:rsidR="00D84907">
        <w:rPr>
          <w:sz w:val="24"/>
          <w:szCs w:val="24"/>
        </w:rPr>
        <w:t xml:space="preserve">amends </w:t>
      </w:r>
      <w:r w:rsidR="008836FB">
        <w:rPr>
          <w:sz w:val="24"/>
          <w:szCs w:val="24"/>
        </w:rPr>
        <w:t>regulations in 21 CFR part 300</w:t>
      </w:r>
      <w:r w:rsidR="00807B52">
        <w:rPr>
          <w:sz w:val="24"/>
          <w:szCs w:val="24"/>
        </w:rPr>
        <w:t xml:space="preserve"> to add </w:t>
      </w:r>
      <w:r w:rsidR="008836FB">
        <w:rPr>
          <w:sz w:val="24"/>
          <w:szCs w:val="24"/>
        </w:rPr>
        <w:t>subpart D</w:t>
      </w:r>
      <w:r w:rsidR="00A32D80">
        <w:rPr>
          <w:sz w:val="24"/>
          <w:szCs w:val="24"/>
        </w:rPr>
        <w:t xml:space="preserve"> (21 CFR 300, subpart D)</w:t>
      </w:r>
      <w:r w:rsidR="00FC634F">
        <w:rPr>
          <w:sz w:val="24"/>
          <w:szCs w:val="24"/>
        </w:rPr>
        <w:t xml:space="preserve">, which sets </w:t>
      </w:r>
      <w:r w:rsidR="002810AA">
        <w:rPr>
          <w:sz w:val="24"/>
          <w:szCs w:val="24"/>
        </w:rPr>
        <w:t xml:space="preserve">forth </w:t>
      </w:r>
      <w:r w:rsidR="00DF42A1">
        <w:rPr>
          <w:sz w:val="24"/>
          <w:szCs w:val="24"/>
        </w:rPr>
        <w:t xml:space="preserve">requirements </w:t>
      </w:r>
      <w:r w:rsidR="000A717B">
        <w:rPr>
          <w:sz w:val="24"/>
          <w:szCs w:val="24"/>
        </w:rPr>
        <w:t xml:space="preserve">that include </w:t>
      </w:r>
      <w:r w:rsidR="00E45779">
        <w:rPr>
          <w:sz w:val="24"/>
          <w:szCs w:val="24"/>
        </w:rPr>
        <w:t xml:space="preserve">a </w:t>
      </w:r>
      <w:r w:rsidR="00B61D9B">
        <w:rPr>
          <w:sz w:val="24"/>
          <w:szCs w:val="24"/>
        </w:rPr>
        <w:t>submission schedule</w:t>
      </w:r>
      <w:r w:rsidR="00E45779">
        <w:rPr>
          <w:sz w:val="24"/>
          <w:szCs w:val="24"/>
        </w:rPr>
        <w:t xml:space="preserve"> for reporting</w:t>
      </w:r>
      <w:r w:rsidR="000A717B">
        <w:rPr>
          <w:sz w:val="24"/>
          <w:szCs w:val="24"/>
        </w:rPr>
        <w:t xml:space="preserve"> </w:t>
      </w:r>
      <w:r w:rsidR="00FC634F">
        <w:rPr>
          <w:sz w:val="24"/>
          <w:szCs w:val="24"/>
        </w:rPr>
        <w:t xml:space="preserve">information to FDA, </w:t>
      </w:r>
      <w:r w:rsidR="00BB05FF">
        <w:rPr>
          <w:sz w:val="24"/>
          <w:szCs w:val="24"/>
        </w:rPr>
        <w:t xml:space="preserve">as well as prescribes </w:t>
      </w:r>
      <w:r w:rsidR="00B43F07">
        <w:rPr>
          <w:sz w:val="24"/>
          <w:szCs w:val="24"/>
        </w:rPr>
        <w:t xml:space="preserve">specific </w:t>
      </w:r>
      <w:r w:rsidR="00DF42A1">
        <w:rPr>
          <w:sz w:val="24"/>
          <w:szCs w:val="24"/>
        </w:rPr>
        <w:t xml:space="preserve">content </w:t>
      </w:r>
      <w:r w:rsidR="00B61D9B">
        <w:rPr>
          <w:sz w:val="24"/>
          <w:szCs w:val="24"/>
        </w:rPr>
        <w:t>elements</w:t>
      </w:r>
      <w:r w:rsidR="00BB05FF">
        <w:rPr>
          <w:sz w:val="24"/>
          <w:szCs w:val="24"/>
        </w:rPr>
        <w:t xml:space="preserve"> that must be included in the report</w:t>
      </w:r>
      <w:r w:rsidR="00B43F07">
        <w:rPr>
          <w:sz w:val="24"/>
          <w:szCs w:val="24"/>
        </w:rPr>
        <w:t xml:space="preserve">.  </w:t>
      </w:r>
      <w:r w:rsidR="00410CA8">
        <w:rPr>
          <w:sz w:val="24"/>
          <w:szCs w:val="24"/>
        </w:rPr>
        <w:t>Authority for the requirements</w:t>
      </w:r>
      <w:r w:rsidR="004B7243">
        <w:rPr>
          <w:sz w:val="24"/>
          <w:szCs w:val="24"/>
        </w:rPr>
        <w:t xml:space="preserve"> </w:t>
      </w:r>
      <w:r w:rsidR="00BB05FF">
        <w:rPr>
          <w:sz w:val="24"/>
          <w:szCs w:val="24"/>
        </w:rPr>
        <w:t xml:space="preserve">are </w:t>
      </w:r>
      <w:r w:rsidR="004B7243">
        <w:rPr>
          <w:sz w:val="24"/>
          <w:szCs w:val="24"/>
        </w:rPr>
        <w:t xml:space="preserve">found in </w:t>
      </w:r>
      <w:r w:rsidRPr="00A20F3D">
        <w:rPr>
          <w:sz w:val="24"/>
          <w:szCs w:val="24"/>
        </w:rPr>
        <w:t>section 561B (21 U.S.C. 360bbb-0)</w:t>
      </w:r>
      <w:r w:rsidR="004B7243">
        <w:rPr>
          <w:sz w:val="24"/>
          <w:szCs w:val="24"/>
        </w:rPr>
        <w:t xml:space="preserve">, </w:t>
      </w:r>
      <w:r w:rsidR="00BB05FF">
        <w:rPr>
          <w:sz w:val="24"/>
          <w:szCs w:val="24"/>
        </w:rPr>
        <w:t>of the Federal Food, Drug, and Cosmetic Act</w:t>
      </w:r>
      <w:r w:rsidR="008C1E7D">
        <w:rPr>
          <w:sz w:val="24"/>
          <w:szCs w:val="24"/>
        </w:rPr>
        <w:t xml:space="preserve">.  </w:t>
      </w:r>
      <w:r w:rsidR="00D80CC6">
        <w:rPr>
          <w:sz w:val="24"/>
          <w:szCs w:val="24"/>
        </w:rPr>
        <w:t>Specifically,</w:t>
      </w:r>
      <w:r w:rsidR="007F6C69">
        <w:rPr>
          <w:sz w:val="24"/>
          <w:szCs w:val="24"/>
        </w:rPr>
        <w:t xml:space="preserve"> </w:t>
      </w:r>
      <w:r w:rsidRPr="00A20F3D">
        <w:rPr>
          <w:sz w:val="24"/>
          <w:szCs w:val="24"/>
        </w:rPr>
        <w:t xml:space="preserve">patients may request and sponsors or manufacturers may elect to provide access to certain unapproved, investigational drugs and biological products for patients diagnosed with life-threatening diseases or conditions who have exhausted approved treatment options and who are unable to participate in a clinical trial involving the investigational drug. </w:t>
      </w:r>
      <w:r w:rsidRPr="00A20F3D" w:rsidR="00A37C7C">
        <w:rPr>
          <w:sz w:val="24"/>
          <w:szCs w:val="24"/>
        </w:rPr>
        <w:t xml:space="preserve"> </w:t>
      </w:r>
      <w:r w:rsidRPr="00A20F3D">
        <w:rPr>
          <w:sz w:val="24"/>
          <w:szCs w:val="24"/>
        </w:rPr>
        <w:t>This includes an investigational drug or biological product:</w:t>
      </w:r>
    </w:p>
    <w:p w:rsidR="001814ED" w:rsidRPr="00A20F3D" w:rsidP="00231078" w14:paraId="74E2D101" w14:textId="77777777">
      <w:pPr>
        <w:rPr>
          <w:sz w:val="24"/>
          <w:szCs w:val="24"/>
        </w:rPr>
      </w:pPr>
    </w:p>
    <w:p w:rsidR="005921A1" w:rsidRPr="005921A1" w:rsidP="005921A1" w14:paraId="1B81C522" w14:textId="77777777">
      <w:pPr>
        <w:pStyle w:val="ListParagraph"/>
        <w:numPr>
          <w:ilvl w:val="0"/>
          <w:numId w:val="2"/>
        </w:numPr>
        <w:rPr>
          <w:sz w:val="24"/>
          <w:szCs w:val="24"/>
          <w:u w:val="none"/>
        </w:rPr>
      </w:pPr>
      <w:r w:rsidRPr="005921A1">
        <w:rPr>
          <w:sz w:val="24"/>
          <w:szCs w:val="24"/>
          <w:u w:val="none"/>
        </w:rPr>
        <w:t>for which a Phase 1 clinical trial has been completed (section 561B(a)(2)(A));</w:t>
      </w:r>
    </w:p>
    <w:p w:rsidR="001814ED" w:rsidRPr="005921A1" w:rsidP="005921A1" w14:paraId="08F99591" w14:textId="28C7FEAC">
      <w:pPr>
        <w:pStyle w:val="ListParagraph"/>
        <w:numPr>
          <w:ilvl w:val="0"/>
          <w:numId w:val="2"/>
        </w:numPr>
        <w:rPr>
          <w:sz w:val="24"/>
          <w:szCs w:val="24"/>
          <w:u w:val="none"/>
        </w:rPr>
      </w:pPr>
      <w:r w:rsidRPr="005921A1">
        <w:rPr>
          <w:sz w:val="24"/>
          <w:szCs w:val="24"/>
          <w:u w:val="none"/>
        </w:rPr>
        <w:t>that has not been approved or licensed for any use by FDA (section 561B(a)(2)(B));</w:t>
      </w:r>
    </w:p>
    <w:p w:rsidR="001814ED" w:rsidRPr="005921A1" w:rsidP="0003787B" w14:paraId="69EBA374" w14:textId="7E9D04EB">
      <w:pPr>
        <w:pStyle w:val="ListParagraph"/>
        <w:numPr>
          <w:ilvl w:val="0"/>
          <w:numId w:val="2"/>
        </w:numPr>
        <w:rPr>
          <w:sz w:val="24"/>
          <w:szCs w:val="24"/>
          <w:u w:val="none"/>
        </w:rPr>
      </w:pPr>
      <w:r w:rsidRPr="005921A1">
        <w:rPr>
          <w:sz w:val="24"/>
          <w:szCs w:val="24"/>
          <w:u w:val="none"/>
        </w:rPr>
        <w:t>for which an application has been filed with FDA or is under investigation in a clinical trial that is intended to form the primary basis of a claim of effectiveness in support of FDA approval or licensure and is the subject of an active investigational new drug application submitted to FDA (section 561B(a)(2)(C));</w:t>
      </w:r>
      <w:r w:rsidR="00BD5B93">
        <w:rPr>
          <w:sz w:val="24"/>
          <w:szCs w:val="24"/>
          <w:u w:val="none"/>
        </w:rPr>
        <w:t xml:space="preserve"> and</w:t>
      </w:r>
    </w:p>
    <w:p w:rsidR="00231223" w:rsidRPr="0019343D" w:rsidP="0019343D" w14:paraId="18C2457E" w14:textId="750CD674">
      <w:pPr>
        <w:pStyle w:val="ListParagraph"/>
        <w:numPr>
          <w:ilvl w:val="0"/>
          <w:numId w:val="2"/>
        </w:numPr>
        <w:rPr>
          <w:sz w:val="24"/>
          <w:szCs w:val="24"/>
          <w:u w:val="none"/>
        </w:rPr>
      </w:pPr>
      <w:r w:rsidRPr="005921A1">
        <w:rPr>
          <w:sz w:val="24"/>
          <w:szCs w:val="24"/>
          <w:u w:val="none"/>
        </w:rPr>
        <w:t>whose active development or production is ongoing, and that has not been discontinued by the manufacturer or placed on clinical hold by FDA (section 561B(a)(2)D))</w:t>
      </w:r>
      <w:r w:rsidRPr="00BD5B93">
        <w:rPr>
          <w:sz w:val="24"/>
          <w:szCs w:val="24"/>
          <w:u w:val="none"/>
        </w:rPr>
        <w:t>.</w:t>
      </w:r>
    </w:p>
    <w:p w:rsidR="001814ED" w:rsidRPr="00A20F3D" w:rsidP="00231078" w14:paraId="361AD5DE" w14:textId="77777777">
      <w:pPr>
        <w:rPr>
          <w:sz w:val="24"/>
          <w:szCs w:val="24"/>
        </w:rPr>
      </w:pPr>
    </w:p>
    <w:p w:rsidR="001814ED" w:rsidRPr="00A20F3D" w:rsidP="00231078" w14:paraId="3E8B6650" w14:textId="6B11CE6F">
      <w:pPr>
        <w:rPr>
          <w:sz w:val="24"/>
          <w:szCs w:val="24"/>
        </w:rPr>
      </w:pPr>
      <w:r w:rsidRPr="00A20F3D">
        <w:rPr>
          <w:sz w:val="24"/>
          <w:szCs w:val="24"/>
        </w:rPr>
        <w:t xml:space="preserve">We therefore request OMB approval for the </w:t>
      </w:r>
      <w:r w:rsidR="0019343D">
        <w:rPr>
          <w:sz w:val="24"/>
          <w:szCs w:val="24"/>
        </w:rPr>
        <w:t xml:space="preserve">information collection provisions established under </w:t>
      </w:r>
      <w:r w:rsidRPr="00A20F3D" w:rsidR="00A37C7C">
        <w:rPr>
          <w:sz w:val="24"/>
          <w:szCs w:val="24"/>
        </w:rPr>
        <w:t>section 561</w:t>
      </w:r>
      <w:r w:rsidRPr="00A20F3D" w:rsidR="004012A8">
        <w:rPr>
          <w:sz w:val="24"/>
          <w:szCs w:val="24"/>
        </w:rPr>
        <w:t>B</w:t>
      </w:r>
      <w:r w:rsidRPr="00A20F3D" w:rsidR="00A37C7C">
        <w:rPr>
          <w:sz w:val="24"/>
          <w:szCs w:val="24"/>
        </w:rPr>
        <w:t xml:space="preserve"> of the FD&amp;C Act and implement</w:t>
      </w:r>
      <w:r w:rsidR="001E7E93">
        <w:rPr>
          <w:sz w:val="24"/>
          <w:szCs w:val="24"/>
        </w:rPr>
        <w:t>ed</w:t>
      </w:r>
      <w:r w:rsidRPr="00A20F3D" w:rsidR="00A37C7C">
        <w:rPr>
          <w:sz w:val="24"/>
          <w:szCs w:val="24"/>
        </w:rPr>
        <w:t xml:space="preserve"> </w:t>
      </w:r>
      <w:r w:rsidR="0019343D">
        <w:rPr>
          <w:sz w:val="24"/>
          <w:szCs w:val="24"/>
        </w:rPr>
        <w:t xml:space="preserve">in 21 CFR </w:t>
      </w:r>
      <w:r w:rsidRPr="00A20F3D" w:rsidR="00A37C7C">
        <w:rPr>
          <w:sz w:val="24"/>
          <w:szCs w:val="24"/>
        </w:rPr>
        <w:t>part 300, subpart D</w:t>
      </w:r>
      <w:r w:rsidRPr="00A20F3D">
        <w:rPr>
          <w:sz w:val="24"/>
          <w:szCs w:val="24"/>
        </w:rPr>
        <w:t>.</w:t>
      </w:r>
    </w:p>
    <w:p w:rsidR="001814ED" w:rsidRPr="00A20F3D" w:rsidP="00231078" w14:paraId="04E0DB8A" w14:textId="77777777">
      <w:pPr>
        <w:rPr>
          <w:sz w:val="24"/>
          <w:szCs w:val="24"/>
        </w:rPr>
      </w:pPr>
    </w:p>
    <w:p w:rsidR="001814ED" w:rsidRPr="00A20F3D" w:rsidP="00231078" w14:paraId="4152F3C1" w14:textId="0446BBD9">
      <w:pPr>
        <w:rPr>
          <w:sz w:val="24"/>
          <w:szCs w:val="24"/>
        </w:rPr>
      </w:pPr>
      <w:r>
        <w:rPr>
          <w:sz w:val="24"/>
          <w:szCs w:val="24"/>
        </w:rPr>
        <w:t xml:space="preserve">2.  </w:t>
      </w:r>
      <w:r w:rsidRPr="00566204" w:rsidR="00585143">
        <w:rPr>
          <w:sz w:val="24"/>
          <w:szCs w:val="24"/>
          <w:u w:val="single"/>
        </w:rPr>
        <w:t>Purpose and Use of the Information Collection</w:t>
      </w:r>
    </w:p>
    <w:p w:rsidR="001814ED" w:rsidRPr="00A20F3D" w:rsidP="00231078" w14:paraId="265E1CEA" w14:textId="77777777">
      <w:pPr>
        <w:rPr>
          <w:sz w:val="24"/>
          <w:szCs w:val="24"/>
        </w:rPr>
      </w:pPr>
    </w:p>
    <w:p w:rsidR="001814ED" w:rsidRPr="00A20F3D" w:rsidP="00231078" w14:paraId="038802C5" w14:textId="2E6BA2BB">
      <w:pPr>
        <w:rPr>
          <w:sz w:val="24"/>
          <w:szCs w:val="24"/>
        </w:rPr>
      </w:pPr>
      <w:r>
        <w:rPr>
          <w:sz w:val="24"/>
          <w:szCs w:val="24"/>
        </w:rPr>
        <w:t xml:space="preserve">The information collection is intended to help support an </w:t>
      </w:r>
      <w:r w:rsidRPr="00DF7228">
        <w:rPr>
          <w:sz w:val="24"/>
          <w:szCs w:val="24"/>
        </w:rPr>
        <w:t>establish</w:t>
      </w:r>
      <w:r>
        <w:rPr>
          <w:sz w:val="24"/>
          <w:szCs w:val="24"/>
        </w:rPr>
        <w:t>ed</w:t>
      </w:r>
      <w:r w:rsidRPr="00DF7228">
        <w:rPr>
          <w:sz w:val="24"/>
          <w:szCs w:val="24"/>
        </w:rPr>
        <w:t xml:space="preserve"> alternative option for patients who meet certain criteria to request access to certain unapproved drug products and for sponsors and manufacturers who agree to provide those certain unapproved drug products, other than through FDA’s expanded access program</w:t>
      </w:r>
      <w:r w:rsidR="002667FB">
        <w:rPr>
          <w:sz w:val="24"/>
          <w:szCs w:val="24"/>
        </w:rPr>
        <w:t>.  (Information collection associated with FDA’s Expanded Patient Access Program is approved under OMB Control No. 0910-0814.)</w:t>
      </w:r>
    </w:p>
    <w:p w:rsidR="00A37C7C" w:rsidRPr="00A20F3D" w:rsidP="00231078" w14:paraId="11E71941" w14:textId="77777777">
      <w:pPr>
        <w:rPr>
          <w:sz w:val="24"/>
          <w:szCs w:val="24"/>
        </w:rPr>
      </w:pPr>
    </w:p>
    <w:p w:rsidR="001814ED" w:rsidRPr="00A20F3D" w:rsidP="00231078" w14:paraId="46A63F7F" w14:textId="7F20D037">
      <w:pPr>
        <w:rPr>
          <w:sz w:val="24"/>
          <w:szCs w:val="24"/>
        </w:rPr>
      </w:pPr>
      <w:r w:rsidRPr="00A20F3D">
        <w:rPr>
          <w:sz w:val="24"/>
          <w:szCs w:val="24"/>
        </w:rPr>
        <w:t xml:space="preserve"> </w:t>
      </w:r>
      <w:r w:rsidR="00706641">
        <w:rPr>
          <w:sz w:val="24"/>
          <w:szCs w:val="24"/>
        </w:rPr>
        <w:t xml:space="preserve">3.  </w:t>
      </w:r>
      <w:r w:rsidRPr="009F1E31" w:rsidR="00585143">
        <w:rPr>
          <w:sz w:val="24"/>
          <w:szCs w:val="24"/>
          <w:u w:val="single"/>
        </w:rPr>
        <w:t>Use of Improved Information Technology and Burden Reduction</w:t>
      </w:r>
    </w:p>
    <w:p w:rsidR="001814ED" w:rsidRPr="00A20F3D" w:rsidP="00231078" w14:paraId="72DECDF7" w14:textId="77777777">
      <w:pPr>
        <w:rPr>
          <w:sz w:val="24"/>
          <w:szCs w:val="24"/>
        </w:rPr>
      </w:pPr>
    </w:p>
    <w:p w:rsidR="004012A8" w:rsidRPr="00A20F3D" w:rsidP="00231078" w14:paraId="4C9F9ECD" w14:textId="0CBAA1CB">
      <w:pPr>
        <w:rPr>
          <w:sz w:val="24"/>
          <w:szCs w:val="24"/>
        </w:rPr>
      </w:pPr>
      <w:r w:rsidRPr="00A20F3D">
        <w:rPr>
          <w:sz w:val="24"/>
          <w:szCs w:val="24"/>
        </w:rPr>
        <w:t xml:space="preserve">Because associated regulations require the electronic submission of information, we expect </w:t>
      </w:r>
      <w:r w:rsidRPr="00A20F3D" w:rsidR="00A37C7C">
        <w:rPr>
          <w:sz w:val="24"/>
          <w:szCs w:val="24"/>
        </w:rPr>
        <w:t xml:space="preserve">that </w:t>
      </w:r>
      <w:r w:rsidRPr="00A20F3D">
        <w:rPr>
          <w:sz w:val="24"/>
          <w:szCs w:val="24"/>
        </w:rPr>
        <w:t xml:space="preserve">100% of respondents will </w:t>
      </w:r>
      <w:r w:rsidRPr="00A20F3D" w:rsidR="00A37C7C">
        <w:rPr>
          <w:sz w:val="24"/>
          <w:szCs w:val="24"/>
        </w:rPr>
        <w:t>use</w:t>
      </w:r>
      <w:r w:rsidRPr="00A20F3D">
        <w:rPr>
          <w:sz w:val="24"/>
          <w:szCs w:val="24"/>
        </w:rPr>
        <w:t xml:space="preserve"> electronic means to satisfy the reporting requirements.</w:t>
      </w:r>
      <w:r w:rsidRPr="00A20F3D" w:rsidR="006D3289">
        <w:rPr>
          <w:sz w:val="24"/>
          <w:szCs w:val="24"/>
        </w:rPr>
        <w:t xml:space="preserve">  </w:t>
      </w:r>
      <w:r w:rsidR="00B606FC">
        <w:rPr>
          <w:sz w:val="24"/>
          <w:szCs w:val="24"/>
        </w:rPr>
        <w:t xml:space="preserve">The information </w:t>
      </w:r>
      <w:r w:rsidR="0025138C">
        <w:rPr>
          <w:sz w:val="24"/>
          <w:szCs w:val="24"/>
        </w:rPr>
        <w:t>is submitted to an FDA-designated point of contact, consistent with 21 CFR 300.200.</w:t>
      </w:r>
      <w:r w:rsidR="00AC2D8A">
        <w:rPr>
          <w:sz w:val="24"/>
          <w:szCs w:val="24"/>
        </w:rPr>
        <w:t xml:space="preserve">  We are currently in the process of developing an electronic form to submit the information and will submit request for OMB review and approval accordingly.</w:t>
      </w:r>
    </w:p>
    <w:p w:rsidR="00425D1E" w:rsidRPr="00A20F3D" w:rsidP="00231078" w14:paraId="2B4DC570" w14:textId="77777777">
      <w:pPr>
        <w:rPr>
          <w:sz w:val="24"/>
          <w:szCs w:val="24"/>
        </w:rPr>
      </w:pPr>
    </w:p>
    <w:p w:rsidR="001814ED" w:rsidRPr="00A20F3D" w:rsidP="00231078" w14:paraId="3C43BC8F" w14:textId="229DC5B9">
      <w:pPr>
        <w:rPr>
          <w:sz w:val="24"/>
          <w:szCs w:val="24"/>
        </w:rPr>
      </w:pPr>
      <w:r>
        <w:rPr>
          <w:sz w:val="24"/>
          <w:szCs w:val="24"/>
        </w:rPr>
        <w:t xml:space="preserve">4.  </w:t>
      </w:r>
      <w:r w:rsidRPr="009F1E31" w:rsidR="00585143">
        <w:rPr>
          <w:sz w:val="24"/>
          <w:szCs w:val="24"/>
          <w:u w:val="single"/>
        </w:rPr>
        <w:t>Efforts to Identify Duplication and Use of Similar Information</w:t>
      </w:r>
    </w:p>
    <w:p w:rsidR="001814ED" w:rsidRPr="00A20F3D" w:rsidP="00231078" w14:paraId="0DA57CDD" w14:textId="77777777">
      <w:pPr>
        <w:rPr>
          <w:sz w:val="24"/>
          <w:szCs w:val="24"/>
        </w:rPr>
      </w:pPr>
    </w:p>
    <w:p w:rsidR="001814ED" w:rsidRPr="00A20F3D" w:rsidP="00231078" w14:paraId="20B3E5A1" w14:textId="20B918DE">
      <w:pPr>
        <w:rPr>
          <w:sz w:val="24"/>
          <w:szCs w:val="24"/>
        </w:rPr>
      </w:pPr>
      <w:r w:rsidRPr="00A20F3D">
        <w:rPr>
          <w:sz w:val="24"/>
          <w:szCs w:val="24"/>
        </w:rPr>
        <w:t>We are unaware of duplicative information collection.</w:t>
      </w:r>
    </w:p>
    <w:p w:rsidR="001814ED" w:rsidRPr="00A20F3D" w:rsidP="00231078" w14:paraId="307D25EF" w14:textId="77777777">
      <w:pPr>
        <w:rPr>
          <w:sz w:val="24"/>
          <w:szCs w:val="24"/>
        </w:rPr>
      </w:pPr>
    </w:p>
    <w:p w:rsidR="001814ED" w:rsidRPr="00A20F3D" w:rsidP="00231078" w14:paraId="4C251080" w14:textId="17972543">
      <w:pPr>
        <w:rPr>
          <w:sz w:val="24"/>
          <w:szCs w:val="24"/>
        </w:rPr>
      </w:pPr>
      <w:r>
        <w:rPr>
          <w:sz w:val="24"/>
          <w:szCs w:val="24"/>
        </w:rPr>
        <w:t xml:space="preserve">5.  </w:t>
      </w:r>
      <w:r w:rsidRPr="009F1E31" w:rsidR="00585143">
        <w:rPr>
          <w:sz w:val="24"/>
          <w:szCs w:val="24"/>
          <w:u w:val="single"/>
        </w:rPr>
        <w:t>Impact on Small Businesses or Other Small Entities</w:t>
      </w:r>
    </w:p>
    <w:p w:rsidR="001814ED" w:rsidRPr="00A20F3D" w:rsidP="00231078" w14:paraId="44F6CDB3" w14:textId="77777777">
      <w:pPr>
        <w:rPr>
          <w:sz w:val="24"/>
          <w:szCs w:val="24"/>
        </w:rPr>
      </w:pPr>
    </w:p>
    <w:p w:rsidR="001814ED" w:rsidRPr="00A20F3D" w:rsidP="00231078" w14:paraId="4B3E25A4" w14:textId="347B6499">
      <w:pPr>
        <w:rPr>
          <w:sz w:val="24"/>
          <w:szCs w:val="24"/>
        </w:rPr>
      </w:pPr>
      <w:r>
        <w:rPr>
          <w:sz w:val="24"/>
          <w:szCs w:val="24"/>
        </w:rPr>
        <w:t xml:space="preserve">We do not believe the information collection imposes undue </w:t>
      </w:r>
      <w:r w:rsidRPr="00A20F3D" w:rsidR="000B71A2">
        <w:rPr>
          <w:sz w:val="24"/>
          <w:szCs w:val="24"/>
        </w:rPr>
        <w:t xml:space="preserve">impact on </w:t>
      </w:r>
      <w:r w:rsidRPr="00A20F3D" w:rsidR="00585143">
        <w:rPr>
          <w:sz w:val="24"/>
          <w:szCs w:val="24"/>
        </w:rPr>
        <w:t>small businesses.</w:t>
      </w:r>
      <w:r>
        <w:rPr>
          <w:sz w:val="24"/>
          <w:szCs w:val="24"/>
        </w:rPr>
        <w:t xml:space="preserve">  We provide a detailed analysis of impacts </w:t>
      </w:r>
      <w:r w:rsidR="00AB3157">
        <w:rPr>
          <w:sz w:val="24"/>
          <w:szCs w:val="24"/>
        </w:rPr>
        <w:t>in our rulemaking.</w:t>
      </w:r>
    </w:p>
    <w:p w:rsidR="001814ED" w:rsidRPr="00A20F3D" w:rsidP="00231078" w14:paraId="2A36E7B6" w14:textId="77777777">
      <w:pPr>
        <w:rPr>
          <w:sz w:val="24"/>
          <w:szCs w:val="24"/>
        </w:rPr>
      </w:pPr>
    </w:p>
    <w:p w:rsidR="001814ED" w:rsidRPr="00A20F3D" w:rsidP="00231078" w14:paraId="1763F082" w14:textId="2E35EBF7">
      <w:pPr>
        <w:rPr>
          <w:sz w:val="24"/>
          <w:szCs w:val="24"/>
        </w:rPr>
      </w:pPr>
      <w:r>
        <w:rPr>
          <w:sz w:val="24"/>
          <w:szCs w:val="24"/>
        </w:rPr>
        <w:t xml:space="preserve">6.  </w:t>
      </w:r>
      <w:r w:rsidRPr="00AB3157" w:rsidR="00585143">
        <w:rPr>
          <w:sz w:val="24"/>
          <w:szCs w:val="24"/>
          <w:u w:val="single"/>
        </w:rPr>
        <w:t>Consequences of Collecting the Information Less Frequently</w:t>
      </w:r>
    </w:p>
    <w:p w:rsidR="001814ED" w:rsidRPr="00A20F3D" w:rsidP="00231078" w14:paraId="700E7853" w14:textId="77777777">
      <w:pPr>
        <w:rPr>
          <w:sz w:val="24"/>
          <w:szCs w:val="24"/>
        </w:rPr>
      </w:pPr>
    </w:p>
    <w:p w:rsidR="001814ED" w:rsidRPr="00A20F3D" w:rsidP="00231078" w14:paraId="762B04D4" w14:textId="62E50870">
      <w:pPr>
        <w:rPr>
          <w:sz w:val="24"/>
          <w:szCs w:val="24"/>
        </w:rPr>
      </w:pPr>
      <w:r w:rsidRPr="00A20F3D">
        <w:rPr>
          <w:sz w:val="24"/>
          <w:szCs w:val="24"/>
        </w:rPr>
        <w:t xml:space="preserve">The information collection schedule is consistent with current statutory and </w:t>
      </w:r>
      <w:r w:rsidRPr="00A20F3D" w:rsidR="000B71A2">
        <w:rPr>
          <w:sz w:val="24"/>
          <w:szCs w:val="24"/>
        </w:rPr>
        <w:t>final</w:t>
      </w:r>
      <w:r w:rsidRPr="00A20F3D">
        <w:rPr>
          <w:sz w:val="24"/>
          <w:szCs w:val="24"/>
        </w:rPr>
        <w:t xml:space="preserve"> regulatory requirements.</w:t>
      </w:r>
    </w:p>
    <w:p w:rsidR="001814ED" w:rsidRPr="00A20F3D" w:rsidP="00231078" w14:paraId="6B6542CE" w14:textId="77777777">
      <w:pPr>
        <w:rPr>
          <w:sz w:val="24"/>
          <w:szCs w:val="24"/>
        </w:rPr>
      </w:pPr>
    </w:p>
    <w:p w:rsidR="001814ED" w:rsidRPr="00A20F3D" w:rsidP="00231078" w14:paraId="26C0DA8A" w14:textId="6A73BBF9">
      <w:pPr>
        <w:rPr>
          <w:sz w:val="24"/>
          <w:szCs w:val="24"/>
        </w:rPr>
      </w:pPr>
      <w:r>
        <w:rPr>
          <w:sz w:val="24"/>
          <w:szCs w:val="24"/>
        </w:rPr>
        <w:t xml:space="preserve">7.  </w:t>
      </w:r>
      <w:r w:rsidRPr="009664F7" w:rsidR="00585143">
        <w:rPr>
          <w:sz w:val="24"/>
          <w:szCs w:val="24"/>
          <w:u w:val="single"/>
        </w:rPr>
        <w:t>Special Circumstances Relating to the Guidelines of 5 CFR 1320.5</w:t>
      </w:r>
    </w:p>
    <w:p w:rsidR="001814ED" w:rsidRPr="00A20F3D" w:rsidP="00231078" w14:paraId="4F8CA3CB" w14:textId="77777777">
      <w:pPr>
        <w:rPr>
          <w:sz w:val="24"/>
          <w:szCs w:val="24"/>
        </w:rPr>
      </w:pPr>
    </w:p>
    <w:p w:rsidR="001814ED" w:rsidRPr="00A20F3D" w:rsidP="00231078" w14:paraId="61747D68" w14:textId="1055C716">
      <w:pPr>
        <w:rPr>
          <w:sz w:val="24"/>
          <w:szCs w:val="24"/>
        </w:rPr>
      </w:pPr>
      <w:r w:rsidRPr="00A20F3D">
        <w:rPr>
          <w:sz w:val="24"/>
          <w:szCs w:val="24"/>
        </w:rPr>
        <w:t>N</w:t>
      </w:r>
      <w:r w:rsidRPr="00A20F3D" w:rsidR="00585143">
        <w:rPr>
          <w:sz w:val="24"/>
          <w:szCs w:val="24"/>
        </w:rPr>
        <w:t xml:space="preserve">o special circumstances </w:t>
      </w:r>
      <w:r w:rsidRPr="00A20F3D">
        <w:rPr>
          <w:sz w:val="24"/>
          <w:szCs w:val="24"/>
        </w:rPr>
        <w:t>are associated with</w:t>
      </w:r>
      <w:r w:rsidRPr="00A20F3D" w:rsidR="00585143">
        <w:rPr>
          <w:sz w:val="24"/>
          <w:szCs w:val="24"/>
        </w:rPr>
        <w:t xml:space="preserve"> this collection of information.</w:t>
      </w:r>
    </w:p>
    <w:p w:rsidR="001814ED" w:rsidRPr="00A20F3D" w:rsidP="00231078" w14:paraId="4CFBF6BE" w14:textId="77777777">
      <w:pPr>
        <w:rPr>
          <w:sz w:val="24"/>
          <w:szCs w:val="24"/>
        </w:rPr>
      </w:pPr>
    </w:p>
    <w:p w:rsidR="001814ED" w:rsidRPr="00A20F3D" w:rsidP="00231078" w14:paraId="7935A971" w14:textId="186EC2EB">
      <w:pPr>
        <w:rPr>
          <w:sz w:val="24"/>
          <w:szCs w:val="24"/>
        </w:rPr>
      </w:pPr>
      <w:r>
        <w:rPr>
          <w:sz w:val="24"/>
          <w:szCs w:val="24"/>
        </w:rPr>
        <w:t xml:space="preserve">8.  </w:t>
      </w:r>
      <w:r w:rsidRPr="009664F7" w:rsidR="00585143">
        <w:rPr>
          <w:sz w:val="24"/>
          <w:szCs w:val="24"/>
          <w:u w:val="single"/>
        </w:rPr>
        <w:t>Comments in Response to the Federal Register Notice and Efforts to Consult Outside the Agency</w:t>
      </w:r>
    </w:p>
    <w:p w:rsidR="001814ED" w:rsidRPr="00A20F3D" w:rsidP="00231078" w14:paraId="1AB24CC3" w14:textId="77777777">
      <w:pPr>
        <w:rPr>
          <w:sz w:val="24"/>
          <w:szCs w:val="24"/>
        </w:rPr>
      </w:pPr>
    </w:p>
    <w:p w:rsidR="00585143" w:rsidRPr="00A20F3D" w:rsidP="00231078" w14:paraId="7A5409F8" w14:textId="397F108C">
      <w:pPr>
        <w:rPr>
          <w:sz w:val="24"/>
          <w:szCs w:val="24"/>
        </w:rPr>
      </w:pPr>
      <w:r w:rsidRPr="00A20F3D">
        <w:rPr>
          <w:sz w:val="24"/>
          <w:szCs w:val="24"/>
        </w:rPr>
        <w:t xml:space="preserve">As required by section 3506(c)(2)(B) of the Paperwork Reduction Act of 1995 (PRA), we published a proposed rule in the </w:t>
      </w:r>
      <w:r w:rsidRPr="009664F7">
        <w:rPr>
          <w:sz w:val="24"/>
          <w:szCs w:val="24"/>
          <w:u w:val="single"/>
        </w:rPr>
        <w:t>Federal Register</w:t>
      </w:r>
      <w:r w:rsidRPr="00A20F3D">
        <w:rPr>
          <w:sz w:val="24"/>
          <w:szCs w:val="24"/>
        </w:rPr>
        <w:t xml:space="preserve"> of July 24, 2020 (85 FR 44803) inviting public comment</w:t>
      </w:r>
      <w:r w:rsidR="009664F7">
        <w:rPr>
          <w:sz w:val="24"/>
          <w:szCs w:val="24"/>
        </w:rPr>
        <w:t>, including</w:t>
      </w:r>
      <w:r w:rsidR="00834512">
        <w:rPr>
          <w:sz w:val="24"/>
          <w:szCs w:val="24"/>
        </w:rPr>
        <w:t xml:space="preserve"> comment</w:t>
      </w:r>
      <w:r w:rsidRPr="00A20F3D">
        <w:rPr>
          <w:sz w:val="24"/>
          <w:szCs w:val="24"/>
        </w:rPr>
        <w:t xml:space="preserve"> on the proposed collection of information.</w:t>
      </w:r>
      <w:r w:rsidR="00834512">
        <w:rPr>
          <w:sz w:val="24"/>
          <w:szCs w:val="24"/>
        </w:rPr>
        <w:t xml:space="preserve">  The comments and FDA’s response are discussed in the preamble of the final rule.</w:t>
      </w:r>
    </w:p>
    <w:p w:rsidR="00585143" w:rsidRPr="00A20F3D" w:rsidP="00231078" w14:paraId="0E5451F0" w14:textId="53D81185">
      <w:pPr>
        <w:rPr>
          <w:sz w:val="24"/>
          <w:szCs w:val="24"/>
        </w:rPr>
      </w:pPr>
    </w:p>
    <w:p w:rsidR="001814ED" w:rsidRPr="00A20F3D" w:rsidP="00231078" w14:paraId="4F85BE7C" w14:textId="41D0360C">
      <w:pPr>
        <w:rPr>
          <w:sz w:val="24"/>
          <w:szCs w:val="24"/>
        </w:rPr>
      </w:pPr>
      <w:r>
        <w:rPr>
          <w:sz w:val="24"/>
          <w:szCs w:val="24"/>
        </w:rPr>
        <w:t xml:space="preserve">9.  </w:t>
      </w:r>
      <w:r w:rsidRPr="00834512" w:rsidR="00585143">
        <w:rPr>
          <w:sz w:val="24"/>
          <w:szCs w:val="24"/>
          <w:u w:val="single"/>
        </w:rPr>
        <w:t>Explanation of Any Payment or Gift to Respondents</w:t>
      </w:r>
    </w:p>
    <w:p w:rsidR="001814ED" w:rsidRPr="00A20F3D" w:rsidP="00231078" w14:paraId="58E96E12" w14:textId="77777777">
      <w:pPr>
        <w:rPr>
          <w:sz w:val="24"/>
          <w:szCs w:val="24"/>
        </w:rPr>
      </w:pPr>
    </w:p>
    <w:p w:rsidR="001814ED" w:rsidRPr="00A20F3D" w:rsidP="00231078" w14:paraId="0E307CE9" w14:textId="12EB6C0B">
      <w:pPr>
        <w:rPr>
          <w:sz w:val="24"/>
          <w:szCs w:val="24"/>
        </w:rPr>
      </w:pPr>
      <w:r w:rsidRPr="00A20F3D">
        <w:rPr>
          <w:sz w:val="24"/>
          <w:szCs w:val="24"/>
        </w:rPr>
        <w:t>Respondents will not receive any payments or gifts as a result of this</w:t>
      </w:r>
      <w:r w:rsidRPr="00A20F3D" w:rsidR="00585143">
        <w:rPr>
          <w:sz w:val="24"/>
          <w:szCs w:val="24"/>
        </w:rPr>
        <w:t xml:space="preserve"> information collection.</w:t>
      </w:r>
    </w:p>
    <w:p w:rsidR="001814ED" w:rsidRPr="00A20F3D" w:rsidP="00231078" w14:paraId="7534BE59" w14:textId="77777777">
      <w:pPr>
        <w:rPr>
          <w:sz w:val="24"/>
          <w:szCs w:val="24"/>
        </w:rPr>
      </w:pPr>
    </w:p>
    <w:p w:rsidR="001814ED" w:rsidRPr="00A20F3D" w:rsidP="00231078" w14:paraId="03775605" w14:textId="0FE10EDA">
      <w:pPr>
        <w:rPr>
          <w:sz w:val="24"/>
          <w:szCs w:val="24"/>
        </w:rPr>
      </w:pPr>
      <w:r>
        <w:rPr>
          <w:sz w:val="24"/>
          <w:szCs w:val="24"/>
        </w:rPr>
        <w:t xml:space="preserve">10.  </w:t>
      </w:r>
      <w:r w:rsidRPr="001723DF" w:rsidR="00585143">
        <w:rPr>
          <w:sz w:val="24"/>
          <w:szCs w:val="24"/>
          <w:u w:val="single"/>
        </w:rPr>
        <w:t>Assurance of Confidentiality Provided to Respondents</w:t>
      </w:r>
    </w:p>
    <w:p w:rsidR="001814ED" w:rsidRPr="00A20F3D" w:rsidP="00231078" w14:paraId="142BB0B2" w14:textId="77777777">
      <w:pPr>
        <w:rPr>
          <w:sz w:val="24"/>
          <w:szCs w:val="24"/>
        </w:rPr>
      </w:pPr>
    </w:p>
    <w:p w:rsidR="0029764D" w:rsidRPr="00A20F3D" w:rsidP="00231078" w14:paraId="78ACDAD6" w14:textId="2F993C17">
      <w:pPr>
        <w:rPr>
          <w:sz w:val="24"/>
          <w:szCs w:val="24"/>
        </w:rPr>
      </w:pPr>
      <w:r w:rsidRPr="00A20F3D">
        <w:rPr>
          <w:sz w:val="24"/>
          <w:szCs w:val="24"/>
        </w:rPr>
        <w:t>In preparing this</w:t>
      </w:r>
      <w:r w:rsidR="009019F9">
        <w:rPr>
          <w:sz w:val="24"/>
          <w:szCs w:val="24"/>
        </w:rPr>
        <w:t xml:space="preserve"> s</w:t>
      </w:r>
      <w:r w:rsidRPr="00A20F3D">
        <w:rPr>
          <w:sz w:val="24"/>
          <w:szCs w:val="24"/>
        </w:rPr>
        <w:t xml:space="preserve">upporting </w:t>
      </w:r>
      <w:r w:rsidR="009019F9">
        <w:rPr>
          <w:sz w:val="24"/>
          <w:szCs w:val="24"/>
        </w:rPr>
        <w:t>s</w:t>
      </w:r>
      <w:r w:rsidRPr="00A20F3D">
        <w:rPr>
          <w:sz w:val="24"/>
          <w:szCs w:val="24"/>
        </w:rPr>
        <w:t>tatement, we consulted our Privacy Office to ensure appropriate identification and handling of information collected.</w:t>
      </w:r>
      <w:r w:rsidR="009019F9">
        <w:rPr>
          <w:sz w:val="24"/>
          <w:szCs w:val="24"/>
        </w:rPr>
        <w:t xml:space="preserve">  Although the </w:t>
      </w:r>
      <w:r w:rsidRPr="00A20F3D">
        <w:rPr>
          <w:sz w:val="24"/>
          <w:szCs w:val="24"/>
        </w:rPr>
        <w:t>ICR collects personally identifiable information (PII)</w:t>
      </w:r>
      <w:r w:rsidR="009019F9">
        <w:rPr>
          <w:sz w:val="24"/>
          <w:szCs w:val="24"/>
        </w:rPr>
        <w:t xml:space="preserve">, it </w:t>
      </w:r>
      <w:r w:rsidRPr="00A20F3D">
        <w:rPr>
          <w:sz w:val="24"/>
          <w:szCs w:val="24"/>
        </w:rPr>
        <w:t>is collected in the context of the subject individuals’ professional capacity and the FDA-related work perform</w:t>
      </w:r>
      <w:r w:rsidR="009019F9">
        <w:rPr>
          <w:sz w:val="24"/>
          <w:szCs w:val="24"/>
        </w:rPr>
        <w:t>ed</w:t>
      </w:r>
      <w:r w:rsidRPr="00A20F3D">
        <w:rPr>
          <w:sz w:val="24"/>
          <w:szCs w:val="24"/>
        </w:rPr>
        <w:t xml:space="preserve"> for their employer (e.g., point of contact at a regulated entity).</w:t>
      </w:r>
      <w:r w:rsidR="00280265">
        <w:rPr>
          <w:sz w:val="24"/>
          <w:szCs w:val="24"/>
        </w:rPr>
        <w:t xml:space="preserve">  While FDA is currently developing an electronic form to assist respondents </w:t>
      </w:r>
      <w:r w:rsidR="00280265">
        <w:rPr>
          <w:sz w:val="24"/>
          <w:szCs w:val="24"/>
        </w:rPr>
        <w:t>with the submission of information,</w:t>
      </w:r>
      <w:r w:rsidR="00015B11">
        <w:rPr>
          <w:sz w:val="24"/>
          <w:szCs w:val="24"/>
        </w:rPr>
        <w:t xml:space="preserve"> we do not expect reports before March 31, 2023.</w:t>
      </w:r>
    </w:p>
    <w:p w:rsidR="0029764D" w:rsidRPr="00A20F3D" w:rsidP="00231078" w14:paraId="07394F7B" w14:textId="3CAAD0AA">
      <w:pPr>
        <w:rPr>
          <w:sz w:val="24"/>
          <w:szCs w:val="24"/>
        </w:rPr>
      </w:pPr>
    </w:p>
    <w:p w:rsidR="0029764D" w:rsidRPr="00A20F3D" w:rsidP="00231078" w14:paraId="156B5DA1" w14:textId="77777777">
      <w:pPr>
        <w:rPr>
          <w:sz w:val="24"/>
          <w:szCs w:val="24"/>
        </w:rPr>
      </w:pPr>
      <w:r w:rsidRPr="00A20F3D">
        <w:rPr>
          <w:sz w:val="24"/>
          <w:szCs w:val="24"/>
        </w:rPr>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F83564" w:rsidRPr="00A20F3D" w:rsidP="00231078" w14:paraId="03123FCB" w14:textId="06055F54">
      <w:pPr>
        <w:rPr>
          <w:sz w:val="24"/>
          <w:szCs w:val="24"/>
        </w:rPr>
      </w:pPr>
      <w:r w:rsidRPr="00A20F3D">
        <w:rPr>
          <w:sz w:val="24"/>
          <w:szCs w:val="24"/>
        </w:rPr>
        <w:t xml:space="preserve"> </w:t>
      </w:r>
    </w:p>
    <w:p w:rsidR="001814ED" w:rsidRPr="00A20F3D" w:rsidP="00231078" w14:paraId="67F8C884" w14:textId="07064C28">
      <w:pPr>
        <w:rPr>
          <w:sz w:val="24"/>
          <w:szCs w:val="24"/>
        </w:rPr>
      </w:pPr>
      <w:r>
        <w:rPr>
          <w:sz w:val="24"/>
          <w:szCs w:val="24"/>
        </w:rPr>
        <w:t xml:space="preserve">11, </w:t>
      </w:r>
      <w:r w:rsidRPr="00015B11">
        <w:rPr>
          <w:sz w:val="24"/>
          <w:szCs w:val="24"/>
          <w:u w:val="single"/>
        </w:rPr>
        <w:t xml:space="preserve"> </w:t>
      </w:r>
      <w:r w:rsidRPr="00015B11" w:rsidR="00585143">
        <w:rPr>
          <w:sz w:val="24"/>
          <w:szCs w:val="24"/>
          <w:u w:val="single"/>
        </w:rPr>
        <w:t>Justification for Sensitive Questions</w:t>
      </w:r>
    </w:p>
    <w:p w:rsidR="001814ED" w:rsidRPr="00A20F3D" w:rsidP="00231078" w14:paraId="4E315ED9" w14:textId="77777777">
      <w:pPr>
        <w:rPr>
          <w:sz w:val="24"/>
          <w:szCs w:val="24"/>
        </w:rPr>
      </w:pPr>
    </w:p>
    <w:p w:rsidR="001814ED" w:rsidRPr="00A20F3D" w:rsidP="00231078" w14:paraId="57107E14" w14:textId="6C9C9EB0">
      <w:pPr>
        <w:rPr>
          <w:sz w:val="24"/>
          <w:szCs w:val="24"/>
        </w:rPr>
      </w:pPr>
      <w:r w:rsidRPr="00A20F3D">
        <w:rPr>
          <w:sz w:val="24"/>
          <w:szCs w:val="24"/>
        </w:rPr>
        <w:t>N</w:t>
      </w:r>
      <w:r w:rsidRPr="00A20F3D" w:rsidR="00585143">
        <w:rPr>
          <w:sz w:val="24"/>
          <w:szCs w:val="24"/>
        </w:rPr>
        <w:t xml:space="preserve">o questions of a sensitive nature </w:t>
      </w:r>
      <w:r w:rsidRPr="00A20F3D">
        <w:rPr>
          <w:sz w:val="24"/>
          <w:szCs w:val="24"/>
        </w:rPr>
        <w:t xml:space="preserve">are </w:t>
      </w:r>
      <w:r w:rsidRPr="00A20F3D" w:rsidR="00585143">
        <w:rPr>
          <w:sz w:val="24"/>
          <w:szCs w:val="24"/>
        </w:rPr>
        <w:t>associated with the information collection.</w:t>
      </w:r>
    </w:p>
    <w:p w:rsidR="001814ED" w:rsidRPr="00A20F3D" w:rsidP="00231078" w14:paraId="2EC1978A" w14:textId="77777777">
      <w:pPr>
        <w:rPr>
          <w:sz w:val="24"/>
          <w:szCs w:val="24"/>
        </w:rPr>
      </w:pPr>
    </w:p>
    <w:p w:rsidR="001814ED" w:rsidRPr="00A20F3D" w:rsidP="00231078" w14:paraId="53DF4D8B" w14:textId="3E8CD0BB">
      <w:pPr>
        <w:rPr>
          <w:sz w:val="24"/>
          <w:szCs w:val="24"/>
        </w:rPr>
      </w:pPr>
      <w:r>
        <w:rPr>
          <w:sz w:val="24"/>
          <w:szCs w:val="24"/>
        </w:rPr>
        <w:t>12</w:t>
      </w:r>
      <w:r w:rsidR="007F6BA9">
        <w:rPr>
          <w:sz w:val="24"/>
          <w:szCs w:val="24"/>
        </w:rPr>
        <w:t xml:space="preserve">.  </w:t>
      </w:r>
      <w:r w:rsidRPr="007F6BA9" w:rsidR="00585143">
        <w:rPr>
          <w:sz w:val="24"/>
          <w:szCs w:val="24"/>
          <w:u w:val="single"/>
        </w:rPr>
        <w:t>Estimates of Annualized Burden Hours and Costs</w:t>
      </w:r>
    </w:p>
    <w:p w:rsidR="001814ED" w:rsidRPr="00A20F3D" w:rsidP="00231078" w14:paraId="38AEA11E" w14:textId="77777777">
      <w:pPr>
        <w:rPr>
          <w:sz w:val="24"/>
          <w:szCs w:val="24"/>
        </w:rPr>
      </w:pPr>
    </w:p>
    <w:p w:rsidR="001814ED" w:rsidRPr="003A26A6" w:rsidP="00231078" w14:paraId="1E67CAA7" w14:textId="6F8042D4">
      <w:pPr>
        <w:rPr>
          <w:i/>
          <w:iCs/>
          <w:sz w:val="24"/>
          <w:szCs w:val="24"/>
        </w:rPr>
      </w:pPr>
      <w:r>
        <w:rPr>
          <w:sz w:val="24"/>
          <w:szCs w:val="24"/>
        </w:rPr>
        <w:tab/>
      </w:r>
      <w:r w:rsidRPr="003A26A6" w:rsidR="00585143">
        <w:rPr>
          <w:i/>
          <w:iCs/>
          <w:sz w:val="24"/>
          <w:szCs w:val="24"/>
        </w:rPr>
        <w:t>12a. Annualized Hour Burden Estimate</w:t>
      </w:r>
    </w:p>
    <w:p w:rsidR="001814ED" w:rsidRPr="00A20F3D" w:rsidP="00231078" w14:paraId="0ED6187A" w14:textId="77777777">
      <w:pPr>
        <w:rPr>
          <w:sz w:val="24"/>
          <w:szCs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620"/>
        <w:gridCol w:w="1170"/>
        <w:gridCol w:w="1710"/>
        <w:gridCol w:w="810"/>
      </w:tblGrid>
      <w:tr w14:paraId="56A522FE" w14:textId="77777777" w:rsidTr="00A14A42">
        <w:tblPrEx>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jc w:val="center"/>
        </w:trPr>
        <w:tc>
          <w:tcPr>
            <w:tcW w:w="9540" w:type="dxa"/>
            <w:gridSpan w:val="6"/>
            <w:tcBorders>
              <w:top w:val="nil"/>
              <w:left w:val="nil"/>
              <w:bottom w:val="single" w:sz="4" w:space="0" w:color="auto"/>
              <w:right w:val="nil"/>
            </w:tcBorders>
            <w:hideMark/>
          </w:tcPr>
          <w:p w:rsidR="000B71A2" w:rsidRPr="00A20F3D" w:rsidP="008A4674" w14:paraId="57C25E36" w14:textId="5943AD5D">
            <w:pPr>
              <w:jc w:val="center"/>
              <w:rPr>
                <w:sz w:val="24"/>
                <w:szCs w:val="24"/>
              </w:rPr>
            </w:pPr>
            <w:r w:rsidRPr="00A20F3D">
              <w:rPr>
                <w:sz w:val="24"/>
                <w:szCs w:val="24"/>
              </w:rPr>
              <w:t>Table 1.--Estimated Annual Reporting Burden</w:t>
            </w:r>
          </w:p>
        </w:tc>
      </w:tr>
      <w:tr w14:paraId="06A63B2A" w14:textId="77777777" w:rsidTr="00A14A42">
        <w:tblPrEx>
          <w:tblW w:w="9540" w:type="dxa"/>
          <w:jc w:val="center"/>
          <w:tblLayout w:type="fixed"/>
          <w:tblLook w:val="01E0"/>
        </w:tblPrEx>
        <w:trPr>
          <w:cantSplit/>
          <w:trHeight w:val="656"/>
          <w:jc w:val="center"/>
        </w:trPr>
        <w:tc>
          <w:tcPr>
            <w:tcW w:w="2880" w:type="dxa"/>
            <w:tcBorders>
              <w:top w:val="single" w:sz="4" w:space="0" w:color="auto"/>
              <w:left w:val="single" w:sz="4" w:space="0" w:color="auto"/>
              <w:bottom w:val="single" w:sz="4" w:space="0" w:color="auto"/>
              <w:right w:val="single" w:sz="4" w:space="0" w:color="auto"/>
            </w:tcBorders>
            <w:hideMark/>
          </w:tcPr>
          <w:p w:rsidR="000B71A2" w:rsidRPr="00015B11" w:rsidP="00231078" w14:paraId="183C6143" w14:textId="4ECDE83F">
            <w:r w:rsidRPr="00015B11">
              <w:t xml:space="preserve">21 CFR </w:t>
            </w:r>
            <w:r w:rsidR="00F64847">
              <w:t>300.200</w:t>
            </w:r>
          </w:p>
        </w:tc>
        <w:tc>
          <w:tcPr>
            <w:tcW w:w="1350" w:type="dxa"/>
            <w:tcBorders>
              <w:top w:val="single" w:sz="4" w:space="0" w:color="auto"/>
              <w:left w:val="single" w:sz="4" w:space="0" w:color="auto"/>
              <w:bottom w:val="single" w:sz="4" w:space="0" w:color="auto"/>
              <w:right w:val="single" w:sz="4" w:space="0" w:color="auto"/>
            </w:tcBorders>
            <w:hideMark/>
          </w:tcPr>
          <w:p w:rsidR="000B71A2" w:rsidRPr="00015B11" w:rsidP="00231078" w14:paraId="5F6C0BE6" w14:textId="77777777">
            <w:r w:rsidRPr="00015B11">
              <w:t>No. of Respondents</w:t>
            </w:r>
          </w:p>
        </w:tc>
        <w:tc>
          <w:tcPr>
            <w:tcW w:w="1620" w:type="dxa"/>
            <w:tcBorders>
              <w:top w:val="single" w:sz="4" w:space="0" w:color="auto"/>
              <w:left w:val="single" w:sz="4" w:space="0" w:color="auto"/>
              <w:bottom w:val="single" w:sz="4" w:space="0" w:color="auto"/>
              <w:right w:val="single" w:sz="4" w:space="0" w:color="auto"/>
            </w:tcBorders>
            <w:hideMark/>
          </w:tcPr>
          <w:p w:rsidR="000B71A2" w:rsidRPr="00015B11" w:rsidP="00231078" w14:paraId="4F11581C" w14:textId="77777777">
            <w:r w:rsidRPr="00015B11">
              <w:t>No. of Responses per Respondent</w:t>
            </w:r>
          </w:p>
        </w:tc>
        <w:tc>
          <w:tcPr>
            <w:tcW w:w="1170" w:type="dxa"/>
            <w:tcBorders>
              <w:top w:val="single" w:sz="4" w:space="0" w:color="auto"/>
              <w:left w:val="single" w:sz="4" w:space="0" w:color="auto"/>
              <w:bottom w:val="single" w:sz="4" w:space="0" w:color="auto"/>
              <w:right w:val="single" w:sz="4" w:space="0" w:color="auto"/>
            </w:tcBorders>
            <w:hideMark/>
          </w:tcPr>
          <w:p w:rsidR="000B71A2" w:rsidRPr="00015B11" w:rsidP="00231078" w14:paraId="676E170A" w14:textId="77777777">
            <w:r w:rsidRPr="00015B11">
              <w:t>Total Annual Responses</w:t>
            </w:r>
          </w:p>
        </w:tc>
        <w:tc>
          <w:tcPr>
            <w:tcW w:w="1710" w:type="dxa"/>
            <w:tcBorders>
              <w:top w:val="single" w:sz="4" w:space="0" w:color="auto"/>
              <w:left w:val="single" w:sz="4" w:space="0" w:color="auto"/>
              <w:bottom w:val="single" w:sz="4" w:space="0" w:color="auto"/>
              <w:right w:val="single" w:sz="4" w:space="0" w:color="auto"/>
            </w:tcBorders>
            <w:hideMark/>
          </w:tcPr>
          <w:p w:rsidR="000B71A2" w:rsidRPr="00015B11" w:rsidP="00231078" w14:paraId="0576D7EB" w14:textId="77777777">
            <w:r w:rsidRPr="00015B11">
              <w:t>Average Burden per Response (in hours)</w:t>
            </w:r>
          </w:p>
        </w:tc>
        <w:tc>
          <w:tcPr>
            <w:tcW w:w="810" w:type="dxa"/>
            <w:tcBorders>
              <w:top w:val="single" w:sz="4" w:space="0" w:color="auto"/>
              <w:left w:val="single" w:sz="4" w:space="0" w:color="auto"/>
              <w:bottom w:val="single" w:sz="4" w:space="0" w:color="auto"/>
              <w:right w:val="single" w:sz="4" w:space="0" w:color="auto"/>
            </w:tcBorders>
            <w:hideMark/>
          </w:tcPr>
          <w:p w:rsidR="000B71A2" w:rsidRPr="00015B11" w:rsidP="00231078" w14:paraId="3B45FA75" w14:textId="77777777">
            <w:r w:rsidRPr="00015B11">
              <w:t>Total Hours</w:t>
            </w:r>
          </w:p>
        </w:tc>
      </w:tr>
      <w:tr w14:paraId="5C599F72" w14:textId="77777777" w:rsidTr="00A14A42">
        <w:tblPrEx>
          <w:tblW w:w="9540" w:type="dxa"/>
          <w:jc w:val="center"/>
          <w:tblLayout w:type="fixed"/>
          <w:tblLook w:val="01E0"/>
        </w:tblPrEx>
        <w:trPr>
          <w:cantSplit/>
          <w:trHeight w:val="224"/>
          <w:jc w:val="center"/>
        </w:trPr>
        <w:tc>
          <w:tcPr>
            <w:tcW w:w="2880" w:type="dxa"/>
            <w:tcBorders>
              <w:top w:val="single" w:sz="4" w:space="0" w:color="auto"/>
              <w:left w:val="single" w:sz="4" w:space="0" w:color="auto"/>
              <w:bottom w:val="single" w:sz="4" w:space="0" w:color="auto"/>
              <w:right w:val="single" w:sz="4" w:space="0" w:color="auto"/>
            </w:tcBorders>
          </w:tcPr>
          <w:p w:rsidR="00F64847" w:rsidRPr="00015B11" w:rsidP="00F64847" w14:paraId="323879E0" w14:textId="1D5505D2">
            <w:r>
              <w:t xml:space="preserve">Preparation and submission of </w:t>
            </w:r>
            <w:r w:rsidRPr="00015B11" w:rsidR="000B71A2">
              <w:t>annual summar</w:t>
            </w:r>
            <w:r>
              <w:t>y</w:t>
            </w:r>
            <w:r w:rsidR="00911C05">
              <w:t xml:space="preserve"> report</w:t>
            </w:r>
          </w:p>
          <w:p w:rsidR="000B71A2" w:rsidRPr="00015B11" w:rsidP="00231078" w14:paraId="3BA84205" w14:textId="13116F37"/>
        </w:tc>
        <w:tc>
          <w:tcPr>
            <w:tcW w:w="1350" w:type="dxa"/>
            <w:tcBorders>
              <w:top w:val="single" w:sz="4" w:space="0" w:color="auto"/>
              <w:left w:val="single" w:sz="4" w:space="0" w:color="auto"/>
              <w:bottom w:val="single" w:sz="4" w:space="0" w:color="auto"/>
              <w:right w:val="single" w:sz="4" w:space="0" w:color="auto"/>
            </w:tcBorders>
          </w:tcPr>
          <w:p w:rsidR="000B71A2" w:rsidRPr="00015B11" w:rsidP="00231078" w14:paraId="40F983C5" w14:textId="77777777">
            <w:r w:rsidRPr="00015B11">
              <w:t>6</w:t>
            </w:r>
          </w:p>
        </w:tc>
        <w:tc>
          <w:tcPr>
            <w:tcW w:w="1620" w:type="dxa"/>
            <w:tcBorders>
              <w:top w:val="single" w:sz="4" w:space="0" w:color="auto"/>
              <w:left w:val="single" w:sz="4" w:space="0" w:color="auto"/>
              <w:bottom w:val="single" w:sz="4" w:space="0" w:color="auto"/>
              <w:right w:val="single" w:sz="4" w:space="0" w:color="auto"/>
            </w:tcBorders>
          </w:tcPr>
          <w:p w:rsidR="000B71A2" w:rsidRPr="00015B11" w:rsidP="00231078" w14:paraId="3F41011F" w14:textId="77777777">
            <w:r w:rsidRPr="00015B11">
              <w:t>1</w:t>
            </w:r>
          </w:p>
        </w:tc>
        <w:tc>
          <w:tcPr>
            <w:tcW w:w="1170" w:type="dxa"/>
            <w:tcBorders>
              <w:top w:val="single" w:sz="4" w:space="0" w:color="auto"/>
              <w:left w:val="single" w:sz="4" w:space="0" w:color="auto"/>
              <w:bottom w:val="single" w:sz="4" w:space="0" w:color="auto"/>
              <w:right w:val="single" w:sz="4" w:space="0" w:color="auto"/>
            </w:tcBorders>
          </w:tcPr>
          <w:p w:rsidR="000B71A2" w:rsidRPr="00015B11" w:rsidP="00231078" w14:paraId="3BD4D2F6" w14:textId="77777777">
            <w:r w:rsidRPr="00015B11">
              <w:t>6</w:t>
            </w:r>
          </w:p>
        </w:tc>
        <w:tc>
          <w:tcPr>
            <w:tcW w:w="1710" w:type="dxa"/>
            <w:tcBorders>
              <w:top w:val="single" w:sz="4" w:space="0" w:color="auto"/>
              <w:left w:val="single" w:sz="4" w:space="0" w:color="auto"/>
              <w:bottom w:val="single" w:sz="4" w:space="0" w:color="auto"/>
              <w:right w:val="single" w:sz="4" w:space="0" w:color="auto"/>
            </w:tcBorders>
          </w:tcPr>
          <w:p w:rsidR="000B71A2" w:rsidRPr="00015B11" w:rsidP="00231078" w14:paraId="6EADF2E4" w14:textId="77777777">
            <w:r w:rsidRPr="00015B11">
              <w:t>2.5</w:t>
            </w:r>
          </w:p>
        </w:tc>
        <w:tc>
          <w:tcPr>
            <w:tcW w:w="810" w:type="dxa"/>
            <w:tcBorders>
              <w:top w:val="single" w:sz="4" w:space="0" w:color="auto"/>
              <w:left w:val="single" w:sz="4" w:space="0" w:color="auto"/>
              <w:bottom w:val="single" w:sz="4" w:space="0" w:color="auto"/>
              <w:right w:val="single" w:sz="4" w:space="0" w:color="auto"/>
            </w:tcBorders>
          </w:tcPr>
          <w:p w:rsidR="000B71A2" w:rsidRPr="00015B11" w:rsidP="00231078" w14:paraId="224C18A1" w14:textId="77777777">
            <w:r w:rsidRPr="00015B11">
              <w:t>15</w:t>
            </w:r>
          </w:p>
        </w:tc>
      </w:tr>
    </w:tbl>
    <w:p w:rsidR="003A26A6" w:rsidP="00231078" w14:paraId="3B4C0C4A" w14:textId="77777777">
      <w:pPr>
        <w:rPr>
          <w:sz w:val="24"/>
          <w:szCs w:val="24"/>
        </w:rPr>
      </w:pPr>
    </w:p>
    <w:p w:rsidR="000B71A2" w:rsidRPr="00A20F3D" w:rsidP="00231078" w14:paraId="6A7D9028" w14:textId="041FD2CB">
      <w:pPr>
        <w:rPr>
          <w:sz w:val="24"/>
          <w:szCs w:val="24"/>
        </w:rPr>
      </w:pPr>
      <w:r w:rsidRPr="00A20F3D">
        <w:rPr>
          <w:sz w:val="24"/>
          <w:szCs w:val="24"/>
        </w:rPr>
        <w:t>Consist</w:t>
      </w:r>
      <w:r w:rsidR="00A14A42">
        <w:rPr>
          <w:sz w:val="24"/>
          <w:szCs w:val="24"/>
        </w:rPr>
        <w:t>e</w:t>
      </w:r>
      <w:r w:rsidRPr="00A20F3D">
        <w:rPr>
          <w:sz w:val="24"/>
          <w:szCs w:val="24"/>
        </w:rPr>
        <w:t xml:space="preserve">nt with estimates found in </w:t>
      </w:r>
      <w:r w:rsidRPr="00A20F3D" w:rsidR="00583A83">
        <w:rPr>
          <w:sz w:val="24"/>
          <w:szCs w:val="24"/>
        </w:rPr>
        <w:t xml:space="preserve">section II.F of </w:t>
      </w:r>
      <w:r w:rsidRPr="00A20F3D">
        <w:rPr>
          <w:sz w:val="24"/>
          <w:szCs w:val="24"/>
        </w:rPr>
        <w:t>our Final Regulatory Impact Analysis (FRIA), we estimate</w:t>
      </w:r>
      <w:r w:rsidRPr="00A20F3D" w:rsidR="00585143">
        <w:rPr>
          <w:sz w:val="24"/>
          <w:szCs w:val="24"/>
        </w:rPr>
        <w:t xml:space="preserve"> that</w:t>
      </w:r>
      <w:r w:rsidRPr="00A20F3D">
        <w:rPr>
          <w:sz w:val="24"/>
          <w:szCs w:val="24"/>
        </w:rPr>
        <w:t xml:space="preserve"> 6 sponsors and manufacturers will prepare and submit 6 annual summaries and assume </w:t>
      </w:r>
      <w:r w:rsidRPr="00A20F3D" w:rsidR="00585143">
        <w:rPr>
          <w:sz w:val="24"/>
          <w:szCs w:val="24"/>
        </w:rPr>
        <w:t xml:space="preserve">that </w:t>
      </w:r>
      <w:r w:rsidRPr="00A20F3D">
        <w:rPr>
          <w:sz w:val="24"/>
          <w:szCs w:val="24"/>
        </w:rPr>
        <w:t xml:space="preserve">it takes 2.5 hours to prepare and submit each, </w:t>
      </w:r>
      <w:r w:rsidRPr="00A20F3D" w:rsidR="00585143">
        <w:rPr>
          <w:sz w:val="24"/>
          <w:szCs w:val="24"/>
        </w:rPr>
        <w:t xml:space="preserve">which results in a total of </w:t>
      </w:r>
      <w:r w:rsidRPr="00A20F3D">
        <w:rPr>
          <w:sz w:val="24"/>
          <w:szCs w:val="24"/>
        </w:rPr>
        <w:t>15 hours annually.</w:t>
      </w:r>
    </w:p>
    <w:p w:rsidR="001814ED" w:rsidRPr="00A20F3D" w:rsidP="00231078" w14:paraId="2FAF14E4" w14:textId="77777777">
      <w:pPr>
        <w:rPr>
          <w:sz w:val="24"/>
          <w:szCs w:val="24"/>
        </w:rPr>
      </w:pPr>
    </w:p>
    <w:p w:rsidR="001814ED" w:rsidRPr="003903DC" w:rsidP="00231078" w14:paraId="6AC14930" w14:textId="4BF3BEFC">
      <w:pPr>
        <w:rPr>
          <w:i/>
          <w:iCs/>
          <w:sz w:val="24"/>
          <w:szCs w:val="24"/>
        </w:rPr>
      </w:pPr>
      <w:r>
        <w:rPr>
          <w:sz w:val="24"/>
          <w:szCs w:val="24"/>
        </w:rPr>
        <w:tab/>
      </w:r>
      <w:r w:rsidRPr="003903DC" w:rsidR="00585143">
        <w:rPr>
          <w:i/>
          <w:iCs/>
          <w:sz w:val="24"/>
          <w:szCs w:val="24"/>
        </w:rPr>
        <w:t>12b. Annualized Cost Burden Estimate</w:t>
      </w:r>
    </w:p>
    <w:p w:rsidR="001814ED" w:rsidRPr="00A20F3D" w:rsidP="00231078" w14:paraId="1421B8E4" w14:textId="77777777">
      <w:pPr>
        <w:rPr>
          <w:sz w:val="24"/>
          <w:szCs w:val="24"/>
        </w:rPr>
      </w:pPr>
    </w:p>
    <w:p w:rsidR="001814ED" w:rsidRPr="00A20F3D" w:rsidP="00231078" w14:paraId="6CBEBF5E" w14:textId="6FEFB2C6">
      <w:pPr>
        <w:rPr>
          <w:sz w:val="24"/>
          <w:szCs w:val="24"/>
        </w:rPr>
      </w:pPr>
      <w:r w:rsidRPr="00A20F3D">
        <w:rPr>
          <w:sz w:val="24"/>
          <w:szCs w:val="24"/>
        </w:rPr>
        <w:t xml:space="preserve">As discussed in Section VI. of our </w:t>
      </w:r>
      <w:r w:rsidRPr="00A20F3D" w:rsidR="00F70C82">
        <w:rPr>
          <w:sz w:val="24"/>
          <w:szCs w:val="24"/>
        </w:rPr>
        <w:t>FRIA</w:t>
      </w:r>
      <w:r w:rsidRPr="00A20F3D">
        <w:rPr>
          <w:sz w:val="24"/>
          <w:szCs w:val="24"/>
        </w:rPr>
        <w:t xml:space="preserve">, we estimate costs as the time sponsors and manufacturers </w:t>
      </w:r>
      <w:r w:rsidRPr="00A20F3D" w:rsidR="006D3289">
        <w:rPr>
          <w:sz w:val="24"/>
          <w:szCs w:val="24"/>
        </w:rPr>
        <w:t xml:space="preserve">expend </w:t>
      </w:r>
      <w:r w:rsidRPr="00A20F3D">
        <w:rPr>
          <w:sz w:val="24"/>
          <w:szCs w:val="24"/>
        </w:rPr>
        <w:t>prepar</w:t>
      </w:r>
      <w:r w:rsidRPr="00A20F3D" w:rsidR="006D3289">
        <w:rPr>
          <w:sz w:val="24"/>
          <w:szCs w:val="24"/>
        </w:rPr>
        <w:t xml:space="preserve">ing </w:t>
      </w:r>
      <w:r w:rsidRPr="00A20F3D">
        <w:rPr>
          <w:sz w:val="24"/>
          <w:szCs w:val="24"/>
        </w:rPr>
        <w:t>and submit</w:t>
      </w:r>
      <w:r w:rsidRPr="00A20F3D" w:rsidR="006D3289">
        <w:rPr>
          <w:sz w:val="24"/>
          <w:szCs w:val="24"/>
        </w:rPr>
        <w:t xml:space="preserve">ting to FDA </w:t>
      </w:r>
      <w:r w:rsidRPr="00A20F3D">
        <w:rPr>
          <w:sz w:val="24"/>
          <w:szCs w:val="24"/>
        </w:rPr>
        <w:t>annual summaries based on eligible patients’ requests for investigational new treatments.</w:t>
      </w:r>
      <w:r w:rsidR="003903DC">
        <w:rPr>
          <w:sz w:val="24"/>
          <w:szCs w:val="24"/>
        </w:rPr>
        <w:t xml:space="preserve">  </w:t>
      </w:r>
      <w:r w:rsidRPr="00A20F3D">
        <w:rPr>
          <w:sz w:val="24"/>
          <w:szCs w:val="24"/>
        </w:rPr>
        <w:t>Assuming a fully-loaded industry wage rate of approximately $</w:t>
      </w:r>
      <w:r w:rsidRPr="00A20F3D" w:rsidR="008F7F55">
        <w:rPr>
          <w:sz w:val="24"/>
          <w:szCs w:val="24"/>
        </w:rPr>
        <w:t xml:space="preserve">197.56 </w:t>
      </w:r>
      <w:r w:rsidRPr="00A20F3D">
        <w:rPr>
          <w:sz w:val="24"/>
          <w:szCs w:val="24"/>
        </w:rPr>
        <w:t xml:space="preserve"> per hour, we estimate these costs as approximately $</w:t>
      </w:r>
      <w:r w:rsidRPr="00A20F3D" w:rsidR="008F7F55">
        <w:rPr>
          <w:sz w:val="24"/>
          <w:szCs w:val="24"/>
        </w:rPr>
        <w:t>2,963.40</w:t>
      </w:r>
      <w:r w:rsidRPr="00A20F3D" w:rsidR="004012A8">
        <w:rPr>
          <w:sz w:val="24"/>
          <w:szCs w:val="24"/>
        </w:rPr>
        <w:t>.</w:t>
      </w:r>
    </w:p>
    <w:p w:rsidR="00585143" w:rsidRPr="00A20F3D" w:rsidP="00231078" w14:paraId="7A25468C" w14:textId="4665C422">
      <w:pPr>
        <w:rPr>
          <w:sz w:val="24"/>
          <w:szCs w:val="24"/>
        </w:rPr>
      </w:pPr>
    </w:p>
    <w:p w:rsidR="001814ED" w:rsidRPr="00A20F3D" w:rsidP="003903DC" w14:paraId="6CC0705B" w14:textId="611EEADF">
      <w:pPr>
        <w:jc w:val="center"/>
        <w:rPr>
          <w:sz w:val="24"/>
          <w:szCs w:val="24"/>
        </w:rPr>
      </w:pPr>
      <w:r w:rsidRPr="00A20F3D">
        <w:rPr>
          <w:sz w:val="24"/>
          <w:szCs w:val="24"/>
        </w:rPr>
        <w:t>Table 2. – Estimated Annual Cost Burden</w:t>
      </w:r>
    </w:p>
    <w:tbl>
      <w:tblPr>
        <w:tblW w:w="968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90"/>
        <w:gridCol w:w="1350"/>
        <w:gridCol w:w="1440"/>
        <w:gridCol w:w="1404"/>
      </w:tblGrid>
      <w:tr w14:paraId="53D9EFF0" w14:textId="77777777" w:rsidTr="005B52FA">
        <w:tblPrEx>
          <w:tblW w:w="968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5490" w:type="dxa"/>
          </w:tcPr>
          <w:p w:rsidR="001814ED" w:rsidRPr="003903DC" w:rsidP="00231078" w14:paraId="2DA352F6" w14:textId="00CA4B95">
            <w:r w:rsidRPr="003903DC">
              <w:t xml:space="preserve">Type of </w:t>
            </w:r>
            <w:r w:rsidR="007F6BA9">
              <w:t>Labor Category</w:t>
            </w:r>
          </w:p>
        </w:tc>
        <w:tc>
          <w:tcPr>
            <w:tcW w:w="1350" w:type="dxa"/>
          </w:tcPr>
          <w:p w:rsidR="001814ED" w:rsidRPr="003903DC" w:rsidP="00231078" w14:paraId="6DB2839A" w14:textId="77777777">
            <w:r w:rsidRPr="003903DC">
              <w:t>Total Burden Hours</w:t>
            </w:r>
          </w:p>
        </w:tc>
        <w:tc>
          <w:tcPr>
            <w:tcW w:w="1440" w:type="dxa"/>
          </w:tcPr>
          <w:p w:rsidR="001814ED" w:rsidRPr="003903DC" w:rsidP="00231078" w14:paraId="746F9BC9" w14:textId="77777777">
            <w:r w:rsidRPr="003903DC">
              <w:t>Hourly Wage Rate</w:t>
            </w:r>
          </w:p>
        </w:tc>
        <w:tc>
          <w:tcPr>
            <w:tcW w:w="1404" w:type="dxa"/>
          </w:tcPr>
          <w:p w:rsidR="001814ED" w:rsidRPr="003903DC" w:rsidP="00231078" w14:paraId="78B85D23" w14:textId="08047AFD">
            <w:r w:rsidRPr="003903DC">
              <w:t>Total Costs</w:t>
            </w:r>
          </w:p>
        </w:tc>
      </w:tr>
      <w:tr w14:paraId="58B27014" w14:textId="77777777" w:rsidTr="005B52FA">
        <w:tblPrEx>
          <w:tblW w:w="9684" w:type="dxa"/>
          <w:tblInd w:w="-95" w:type="dxa"/>
          <w:tblLayout w:type="fixed"/>
          <w:tblCellMar>
            <w:left w:w="0" w:type="dxa"/>
            <w:right w:w="0" w:type="dxa"/>
          </w:tblCellMar>
          <w:tblLook w:val="01E0"/>
        </w:tblPrEx>
        <w:trPr>
          <w:trHeight w:val="620"/>
        </w:trPr>
        <w:tc>
          <w:tcPr>
            <w:tcW w:w="5490" w:type="dxa"/>
          </w:tcPr>
          <w:p w:rsidR="006D3289" w:rsidRPr="003903DC" w:rsidP="00231078" w14:paraId="5A42B544" w14:textId="23F769C5">
            <w:r w:rsidRPr="003903DC">
              <w:t xml:space="preserve">Medical and </w:t>
            </w:r>
            <w:r w:rsidRPr="003903DC">
              <w:t>h</w:t>
            </w:r>
            <w:r w:rsidRPr="003903DC">
              <w:t xml:space="preserve">ealth </w:t>
            </w:r>
            <w:r w:rsidRPr="003903DC">
              <w:t>s</w:t>
            </w:r>
            <w:r w:rsidRPr="003903DC">
              <w:t xml:space="preserve">ervices </w:t>
            </w:r>
            <w:r w:rsidRPr="003903DC">
              <w:t>m</w:t>
            </w:r>
            <w:r w:rsidRPr="003903DC">
              <w:t xml:space="preserve">anagers in the </w:t>
            </w:r>
            <w:r w:rsidRPr="003903DC">
              <w:t>p</w:t>
            </w:r>
            <w:r w:rsidRPr="003903DC">
              <w:t xml:space="preserve">harmaceutical and </w:t>
            </w:r>
            <w:r w:rsidRPr="003903DC">
              <w:t>m</w:t>
            </w:r>
            <w:r w:rsidRPr="003903DC">
              <w:t xml:space="preserve">edicine </w:t>
            </w:r>
            <w:r w:rsidRPr="003903DC">
              <w:t>m</w:t>
            </w:r>
            <w:r w:rsidRPr="003903DC">
              <w:t xml:space="preserve">anufacturing </w:t>
            </w:r>
            <w:r w:rsidR="005B52FA">
              <w:t>labor costs</w:t>
            </w:r>
          </w:p>
          <w:p w:rsidR="001814ED" w:rsidRPr="003903DC" w:rsidP="00231078" w14:paraId="4B30C63E" w14:textId="39318A33"/>
        </w:tc>
        <w:tc>
          <w:tcPr>
            <w:tcW w:w="1350" w:type="dxa"/>
          </w:tcPr>
          <w:p w:rsidR="001814ED" w:rsidRPr="003903DC" w:rsidP="00231078" w14:paraId="29322459" w14:textId="77777777">
            <w:r w:rsidRPr="003903DC">
              <w:t>15</w:t>
            </w:r>
          </w:p>
        </w:tc>
        <w:tc>
          <w:tcPr>
            <w:tcW w:w="1440" w:type="dxa"/>
          </w:tcPr>
          <w:p w:rsidR="001814ED" w:rsidRPr="003903DC" w:rsidP="00231078" w14:paraId="03A92C6C" w14:textId="4E258DF1">
            <w:r w:rsidRPr="003903DC">
              <w:t>$</w:t>
            </w:r>
            <w:r w:rsidRPr="003903DC" w:rsidR="008F7F55">
              <w:t>197.56</w:t>
            </w:r>
          </w:p>
        </w:tc>
        <w:tc>
          <w:tcPr>
            <w:tcW w:w="1404" w:type="dxa"/>
          </w:tcPr>
          <w:p w:rsidR="001814ED" w:rsidRPr="003903DC" w:rsidP="00231078" w14:paraId="0C19E6A8" w14:textId="11C33749">
            <w:r w:rsidRPr="003903DC">
              <w:t>$</w:t>
            </w:r>
            <w:r w:rsidRPr="003903DC" w:rsidR="008F7F55">
              <w:t>2,963.40</w:t>
            </w:r>
          </w:p>
        </w:tc>
      </w:tr>
    </w:tbl>
    <w:p w:rsidR="001814ED" w:rsidRPr="00A20F3D" w:rsidP="00231078" w14:paraId="3E47FAA6" w14:textId="77777777">
      <w:pPr>
        <w:rPr>
          <w:sz w:val="24"/>
          <w:szCs w:val="24"/>
        </w:rPr>
      </w:pPr>
    </w:p>
    <w:p w:rsidR="001814ED" w:rsidRPr="00A20F3D" w:rsidP="00231078" w14:paraId="6A678865" w14:textId="29B14AC7">
      <w:pPr>
        <w:rPr>
          <w:sz w:val="24"/>
          <w:szCs w:val="24"/>
        </w:rPr>
      </w:pPr>
      <w:r>
        <w:rPr>
          <w:sz w:val="24"/>
          <w:szCs w:val="24"/>
        </w:rPr>
        <w:br w:type="page"/>
      </w:r>
      <w:r w:rsidRPr="00A20F3D" w:rsidR="00425D1E">
        <w:rPr>
          <w:sz w:val="24"/>
          <w:szCs w:val="24"/>
        </w:rPr>
        <w:t xml:space="preserve">13. </w:t>
      </w:r>
      <w:r w:rsidRPr="007F6BA9" w:rsidR="00585143">
        <w:rPr>
          <w:sz w:val="24"/>
          <w:szCs w:val="24"/>
          <w:u w:val="single"/>
        </w:rPr>
        <w:t>Estimates of Other Total Annual Costs to Respondents and/or Recordkeepers/Capital Costs</w:t>
      </w:r>
    </w:p>
    <w:p w:rsidR="001814ED" w:rsidRPr="00A20F3D" w:rsidP="00231078" w14:paraId="20E87F95" w14:textId="77777777">
      <w:pPr>
        <w:rPr>
          <w:sz w:val="24"/>
          <w:szCs w:val="24"/>
        </w:rPr>
      </w:pPr>
    </w:p>
    <w:p w:rsidR="001814ED" w:rsidRPr="00A20F3D" w:rsidP="00231078" w14:paraId="12733865" w14:textId="2D67796B">
      <w:pPr>
        <w:rPr>
          <w:sz w:val="24"/>
          <w:szCs w:val="24"/>
        </w:rPr>
      </w:pPr>
      <w:r w:rsidRPr="00A20F3D">
        <w:rPr>
          <w:sz w:val="24"/>
          <w:szCs w:val="24"/>
        </w:rPr>
        <w:t>N</w:t>
      </w:r>
      <w:r w:rsidRPr="00A20F3D" w:rsidR="00585143">
        <w:rPr>
          <w:sz w:val="24"/>
          <w:szCs w:val="24"/>
        </w:rPr>
        <w:t xml:space="preserve">o capital, start-up, or operating or maintenance costs </w:t>
      </w:r>
      <w:r w:rsidRPr="00A20F3D">
        <w:rPr>
          <w:sz w:val="24"/>
          <w:szCs w:val="24"/>
        </w:rPr>
        <w:t xml:space="preserve">are </w:t>
      </w:r>
      <w:r w:rsidRPr="00A20F3D" w:rsidR="00585143">
        <w:rPr>
          <w:sz w:val="24"/>
          <w:szCs w:val="24"/>
        </w:rPr>
        <w:t>associated with this information collection.</w:t>
      </w:r>
    </w:p>
    <w:p w:rsidR="006D3289" w:rsidRPr="00A20F3D" w:rsidP="00231078" w14:paraId="15C23101" w14:textId="77777777">
      <w:pPr>
        <w:rPr>
          <w:sz w:val="24"/>
          <w:szCs w:val="24"/>
        </w:rPr>
      </w:pPr>
    </w:p>
    <w:p w:rsidR="001814ED" w:rsidRPr="007A13E1" w:rsidP="00231078" w14:paraId="6C50CDEF" w14:textId="528573C9">
      <w:pPr>
        <w:rPr>
          <w:sz w:val="24"/>
          <w:szCs w:val="24"/>
          <w:u w:val="single"/>
        </w:rPr>
      </w:pPr>
      <w:r w:rsidRPr="00A20F3D">
        <w:rPr>
          <w:sz w:val="24"/>
          <w:szCs w:val="24"/>
        </w:rPr>
        <w:t>14.</w:t>
      </w:r>
      <w:r w:rsidR="00341BB0">
        <w:rPr>
          <w:sz w:val="24"/>
          <w:szCs w:val="24"/>
        </w:rPr>
        <w:t xml:space="preserve">  </w:t>
      </w:r>
      <w:r w:rsidRPr="00BE693F" w:rsidR="00BE693F">
        <w:rPr>
          <w:sz w:val="24"/>
          <w:szCs w:val="24"/>
          <w:u w:val="single"/>
        </w:rPr>
        <w:t>Annualized Cost to the Federal Government</w:t>
      </w:r>
      <w:r w:rsidR="00341BB0">
        <w:rPr>
          <w:sz w:val="24"/>
          <w:szCs w:val="24"/>
        </w:rPr>
        <w:t xml:space="preserve"> </w:t>
      </w:r>
    </w:p>
    <w:p w:rsidR="0092320B" w:rsidP="00231078" w14:paraId="3637EE2E" w14:textId="77777777">
      <w:pPr>
        <w:rPr>
          <w:sz w:val="24"/>
          <w:szCs w:val="24"/>
        </w:rPr>
      </w:pPr>
    </w:p>
    <w:p w:rsidR="008F7F55" w:rsidRPr="00A20F3D" w:rsidP="00231078" w14:paraId="3D95FDAE" w14:textId="7A774F41">
      <w:pPr>
        <w:rPr>
          <w:sz w:val="24"/>
          <w:szCs w:val="24"/>
        </w:rPr>
      </w:pPr>
      <w:r>
        <w:rPr>
          <w:sz w:val="24"/>
          <w:szCs w:val="24"/>
        </w:rPr>
        <w:t xml:space="preserve">Estimating </w:t>
      </w:r>
      <w:r w:rsidR="00BE693F">
        <w:rPr>
          <w:sz w:val="24"/>
          <w:szCs w:val="24"/>
        </w:rPr>
        <w:t xml:space="preserve">the </w:t>
      </w:r>
      <w:r w:rsidRPr="00A20F3D">
        <w:rPr>
          <w:sz w:val="24"/>
          <w:szCs w:val="24"/>
        </w:rPr>
        <w:t xml:space="preserve">allocation of 1 full-time employee (FTE) </w:t>
      </w:r>
      <w:r w:rsidR="00E8574B">
        <w:rPr>
          <w:sz w:val="24"/>
          <w:szCs w:val="24"/>
        </w:rPr>
        <w:t xml:space="preserve">to </w:t>
      </w:r>
      <w:r w:rsidRPr="00A20F3D">
        <w:rPr>
          <w:sz w:val="24"/>
          <w:szCs w:val="24"/>
        </w:rPr>
        <w:t xml:space="preserve">review annual summaries </w:t>
      </w:r>
      <w:r w:rsidR="00E8574B">
        <w:rPr>
          <w:sz w:val="24"/>
          <w:szCs w:val="24"/>
        </w:rPr>
        <w:t xml:space="preserve">submitted </w:t>
      </w:r>
      <w:r w:rsidRPr="00A20F3D">
        <w:rPr>
          <w:sz w:val="24"/>
          <w:szCs w:val="24"/>
        </w:rPr>
        <w:t xml:space="preserve">to FDA </w:t>
      </w:r>
      <w:r w:rsidR="00DF676C">
        <w:rPr>
          <w:sz w:val="24"/>
          <w:szCs w:val="24"/>
        </w:rPr>
        <w:t xml:space="preserve">and to </w:t>
      </w:r>
      <w:r w:rsidR="00E8574B">
        <w:rPr>
          <w:sz w:val="24"/>
          <w:szCs w:val="24"/>
        </w:rPr>
        <w:t>coordinate the</w:t>
      </w:r>
      <w:r w:rsidR="00DF676C">
        <w:rPr>
          <w:sz w:val="24"/>
          <w:szCs w:val="24"/>
        </w:rPr>
        <w:t>ir</w:t>
      </w:r>
      <w:r w:rsidR="00E8574B">
        <w:rPr>
          <w:sz w:val="24"/>
          <w:szCs w:val="24"/>
        </w:rPr>
        <w:t xml:space="preserve"> </w:t>
      </w:r>
      <w:r w:rsidRPr="00A20F3D">
        <w:rPr>
          <w:sz w:val="24"/>
          <w:szCs w:val="24"/>
        </w:rPr>
        <w:t>posting on our website</w:t>
      </w:r>
      <w:r w:rsidR="00DF676C">
        <w:rPr>
          <w:sz w:val="24"/>
          <w:szCs w:val="24"/>
        </w:rPr>
        <w:t xml:space="preserve">, we </w:t>
      </w:r>
      <w:r w:rsidRPr="00A20F3D">
        <w:rPr>
          <w:sz w:val="24"/>
          <w:szCs w:val="24"/>
        </w:rPr>
        <w:t>calculate an annual</w:t>
      </w:r>
      <w:r>
        <w:rPr>
          <w:sz w:val="24"/>
          <w:szCs w:val="24"/>
        </w:rPr>
        <w:t>ized</w:t>
      </w:r>
      <w:r w:rsidRPr="00A20F3D">
        <w:rPr>
          <w:sz w:val="24"/>
          <w:szCs w:val="24"/>
        </w:rPr>
        <w:t xml:space="preserve"> cost of $3,450</w:t>
      </w:r>
      <w:r>
        <w:rPr>
          <w:sz w:val="24"/>
          <w:szCs w:val="24"/>
        </w:rPr>
        <w:t xml:space="preserve">.  This assumes a wage rate for an </w:t>
      </w:r>
      <w:r w:rsidRPr="00A20F3D">
        <w:rPr>
          <w:sz w:val="24"/>
          <w:szCs w:val="24"/>
        </w:rPr>
        <w:t>FTE</w:t>
      </w:r>
      <w:r w:rsidR="00BF4B11">
        <w:rPr>
          <w:sz w:val="24"/>
          <w:szCs w:val="24"/>
        </w:rPr>
        <w:t xml:space="preserve"> whose salary is commensurate with a </w:t>
      </w:r>
      <w:r w:rsidRPr="00A20F3D">
        <w:rPr>
          <w:sz w:val="24"/>
          <w:szCs w:val="24"/>
        </w:rPr>
        <w:t xml:space="preserve">GS-15 ($172,500) </w:t>
      </w:r>
      <w:r w:rsidR="00BF4B11">
        <w:rPr>
          <w:sz w:val="24"/>
          <w:szCs w:val="24"/>
        </w:rPr>
        <w:t xml:space="preserve">employee in the </w:t>
      </w:r>
      <w:r w:rsidRPr="00A20F3D">
        <w:rPr>
          <w:sz w:val="24"/>
          <w:szCs w:val="24"/>
        </w:rPr>
        <w:t>Washington DC-Metropolitan area</w:t>
      </w:r>
      <w:r w:rsidRPr="00A20F3D" w:rsidR="00F70C82">
        <w:rPr>
          <w:sz w:val="24"/>
          <w:szCs w:val="24"/>
        </w:rPr>
        <w:t>,</w:t>
      </w:r>
      <w:r w:rsidRPr="00A20F3D">
        <w:rPr>
          <w:sz w:val="24"/>
          <w:szCs w:val="24"/>
        </w:rPr>
        <w:t xml:space="preserve"> </w:t>
      </w:r>
      <w:r w:rsidR="00DB34D7">
        <w:rPr>
          <w:sz w:val="24"/>
          <w:szCs w:val="24"/>
        </w:rPr>
        <w:t xml:space="preserve">using wage and salary data from </w:t>
      </w:r>
      <w:hyperlink r:id="rId5" w:history="1">
        <w:r w:rsidRPr="00040962" w:rsidR="00DB34D7">
          <w:rPr>
            <w:rStyle w:val="Hyperlink"/>
            <w:sz w:val="24"/>
            <w:szCs w:val="24"/>
          </w:rPr>
          <w:t>www.opm.gov</w:t>
        </w:r>
      </w:hyperlink>
      <w:r w:rsidR="00A26C99">
        <w:rPr>
          <w:sz w:val="24"/>
          <w:szCs w:val="24"/>
        </w:rPr>
        <w:t xml:space="preserve">.  This also assumes the expenditure of </w:t>
      </w:r>
      <w:r w:rsidRPr="00A20F3D">
        <w:rPr>
          <w:sz w:val="24"/>
          <w:szCs w:val="24"/>
        </w:rPr>
        <w:t xml:space="preserve">40 hours </w:t>
      </w:r>
      <w:r w:rsidR="00A26C99">
        <w:rPr>
          <w:sz w:val="24"/>
          <w:szCs w:val="24"/>
        </w:rPr>
        <w:t xml:space="preserve">of labor costs </w:t>
      </w:r>
      <w:r w:rsidRPr="00A20F3D">
        <w:rPr>
          <w:sz w:val="24"/>
          <w:szCs w:val="24"/>
        </w:rPr>
        <w:t xml:space="preserve">per year.  </w:t>
      </w:r>
    </w:p>
    <w:p w:rsidR="001814ED" w:rsidRPr="00A20F3D" w:rsidP="00231078" w14:paraId="29241DC0" w14:textId="77777777">
      <w:pPr>
        <w:rPr>
          <w:sz w:val="24"/>
          <w:szCs w:val="24"/>
        </w:rPr>
      </w:pPr>
    </w:p>
    <w:p w:rsidR="001814ED" w:rsidRPr="00A20F3D" w:rsidP="00231078" w14:paraId="699614BB" w14:textId="297216E0">
      <w:pPr>
        <w:rPr>
          <w:sz w:val="24"/>
          <w:szCs w:val="24"/>
        </w:rPr>
      </w:pPr>
      <w:r w:rsidRPr="00A20F3D">
        <w:rPr>
          <w:sz w:val="24"/>
          <w:szCs w:val="24"/>
        </w:rPr>
        <w:t xml:space="preserve">15. </w:t>
      </w:r>
      <w:r w:rsidRPr="00040962" w:rsidR="00585143">
        <w:rPr>
          <w:sz w:val="24"/>
          <w:szCs w:val="24"/>
          <w:u w:val="single"/>
        </w:rPr>
        <w:t>Explanation for Program Changes or Adjustments</w:t>
      </w:r>
    </w:p>
    <w:p w:rsidR="001814ED" w:rsidRPr="00A20F3D" w:rsidP="00231078" w14:paraId="3DA63CCD" w14:textId="77777777">
      <w:pPr>
        <w:rPr>
          <w:sz w:val="24"/>
          <w:szCs w:val="24"/>
        </w:rPr>
      </w:pPr>
    </w:p>
    <w:p w:rsidR="001814ED" w:rsidRPr="00A20F3D" w:rsidP="00231078" w14:paraId="2D774968" w14:textId="77777777">
      <w:pPr>
        <w:rPr>
          <w:sz w:val="24"/>
          <w:szCs w:val="24"/>
        </w:rPr>
      </w:pPr>
      <w:r w:rsidRPr="00A20F3D">
        <w:rPr>
          <w:sz w:val="24"/>
          <w:szCs w:val="24"/>
        </w:rPr>
        <w:t>This is a new information collection.</w:t>
      </w:r>
    </w:p>
    <w:p w:rsidR="001814ED" w:rsidRPr="00A20F3D" w:rsidP="00231078" w14:paraId="5447F8D1" w14:textId="77777777">
      <w:pPr>
        <w:rPr>
          <w:sz w:val="24"/>
          <w:szCs w:val="24"/>
        </w:rPr>
      </w:pPr>
    </w:p>
    <w:p w:rsidR="001814ED" w:rsidRPr="00A20F3D" w:rsidP="00231078" w14:paraId="68214230" w14:textId="3488B56B">
      <w:pPr>
        <w:rPr>
          <w:sz w:val="24"/>
          <w:szCs w:val="24"/>
        </w:rPr>
      </w:pPr>
      <w:r w:rsidRPr="00A20F3D">
        <w:rPr>
          <w:sz w:val="24"/>
          <w:szCs w:val="24"/>
        </w:rPr>
        <w:t xml:space="preserve">16. </w:t>
      </w:r>
      <w:r w:rsidRPr="0023334A" w:rsidR="00585143">
        <w:rPr>
          <w:sz w:val="24"/>
          <w:szCs w:val="24"/>
          <w:u w:val="single"/>
        </w:rPr>
        <w:t>Plans for Tabulation and Publication and Project Time Schedule</w:t>
      </w:r>
    </w:p>
    <w:p w:rsidR="001814ED" w:rsidRPr="00A20F3D" w:rsidP="00231078" w14:paraId="5EF52A97" w14:textId="77777777">
      <w:pPr>
        <w:rPr>
          <w:sz w:val="24"/>
          <w:szCs w:val="24"/>
        </w:rPr>
      </w:pPr>
    </w:p>
    <w:p w:rsidR="001814ED" w:rsidRPr="00A20F3D" w:rsidP="00231078" w14:paraId="7E6FC60F" w14:textId="4BC1A5FA">
      <w:pPr>
        <w:rPr>
          <w:sz w:val="24"/>
          <w:szCs w:val="24"/>
        </w:rPr>
      </w:pPr>
      <w:r>
        <w:rPr>
          <w:sz w:val="24"/>
          <w:szCs w:val="24"/>
        </w:rPr>
        <w:t>Consistent with</w:t>
      </w:r>
      <w:r w:rsidR="00587DC3">
        <w:rPr>
          <w:sz w:val="24"/>
          <w:szCs w:val="24"/>
        </w:rPr>
        <w:t xml:space="preserve"> the regulation,</w:t>
      </w:r>
      <w:r>
        <w:rPr>
          <w:sz w:val="24"/>
          <w:szCs w:val="24"/>
        </w:rPr>
        <w:t xml:space="preserve"> annual summaries </w:t>
      </w:r>
      <w:r w:rsidR="00587DC3">
        <w:rPr>
          <w:sz w:val="24"/>
          <w:szCs w:val="24"/>
        </w:rPr>
        <w:t xml:space="preserve">will be </w:t>
      </w:r>
      <w:r>
        <w:rPr>
          <w:sz w:val="24"/>
          <w:szCs w:val="24"/>
        </w:rPr>
        <w:t xml:space="preserve">posted to FDA’s website at </w:t>
      </w:r>
      <w:hyperlink r:id="rId6" w:history="1">
        <w:r w:rsidRPr="00040962">
          <w:rPr>
            <w:rStyle w:val="Hyperlink"/>
            <w:sz w:val="24"/>
            <w:szCs w:val="24"/>
          </w:rPr>
          <w:t>www.fda.gov</w:t>
        </w:r>
      </w:hyperlink>
      <w:r>
        <w:rPr>
          <w:sz w:val="24"/>
          <w:szCs w:val="24"/>
        </w:rPr>
        <w:t>.</w:t>
      </w:r>
    </w:p>
    <w:p w:rsidR="001814ED" w:rsidRPr="00A20F3D" w:rsidP="00231078" w14:paraId="210E1A2C" w14:textId="77777777">
      <w:pPr>
        <w:rPr>
          <w:sz w:val="24"/>
          <w:szCs w:val="24"/>
        </w:rPr>
      </w:pPr>
    </w:p>
    <w:p w:rsidR="001814ED" w:rsidRPr="00A20F3D" w:rsidP="00231078" w14:paraId="350ED30A" w14:textId="62CB4FD9">
      <w:pPr>
        <w:rPr>
          <w:sz w:val="24"/>
          <w:szCs w:val="24"/>
        </w:rPr>
      </w:pPr>
      <w:r w:rsidRPr="00A20F3D">
        <w:rPr>
          <w:sz w:val="24"/>
          <w:szCs w:val="24"/>
        </w:rPr>
        <w:t xml:space="preserve">17. </w:t>
      </w:r>
      <w:r w:rsidRPr="0023334A" w:rsidR="00585143">
        <w:rPr>
          <w:sz w:val="24"/>
          <w:szCs w:val="24"/>
          <w:u w:val="single"/>
        </w:rPr>
        <w:t>Reason(s) Display of OMB Expiration Date is Inappropriate</w:t>
      </w:r>
    </w:p>
    <w:p w:rsidR="001814ED" w:rsidRPr="00A20F3D" w:rsidP="00231078" w14:paraId="14C3044C" w14:textId="77777777">
      <w:pPr>
        <w:rPr>
          <w:sz w:val="24"/>
          <w:szCs w:val="24"/>
        </w:rPr>
      </w:pPr>
    </w:p>
    <w:p w:rsidR="001814ED" w:rsidRPr="00A20F3D" w:rsidP="00231078" w14:paraId="18888D09" w14:textId="77777777">
      <w:pPr>
        <w:rPr>
          <w:sz w:val="24"/>
          <w:szCs w:val="24"/>
        </w:rPr>
      </w:pPr>
      <w:r w:rsidRPr="00A20F3D">
        <w:rPr>
          <w:sz w:val="24"/>
          <w:szCs w:val="24"/>
        </w:rPr>
        <w:t>FDA will display the OMB expiration date as required by 5 CFR 1320.5.</w:t>
      </w:r>
    </w:p>
    <w:p w:rsidR="001814ED" w:rsidRPr="00A20F3D" w:rsidP="00231078" w14:paraId="4997594D" w14:textId="77777777">
      <w:pPr>
        <w:rPr>
          <w:sz w:val="24"/>
          <w:szCs w:val="24"/>
        </w:rPr>
      </w:pPr>
    </w:p>
    <w:p w:rsidR="001814ED" w:rsidRPr="00A20F3D" w:rsidP="00231078" w14:paraId="4E49C04E" w14:textId="43E281A5">
      <w:pPr>
        <w:rPr>
          <w:sz w:val="24"/>
          <w:szCs w:val="24"/>
        </w:rPr>
      </w:pPr>
      <w:r w:rsidRPr="00A20F3D">
        <w:rPr>
          <w:sz w:val="24"/>
          <w:szCs w:val="24"/>
        </w:rPr>
        <w:t>18</w:t>
      </w:r>
      <w:r w:rsidR="007F6BA9">
        <w:rPr>
          <w:sz w:val="24"/>
          <w:szCs w:val="24"/>
        </w:rPr>
        <w:t xml:space="preserve">.  </w:t>
      </w:r>
      <w:r w:rsidRPr="0023334A" w:rsidR="00585143">
        <w:rPr>
          <w:sz w:val="24"/>
          <w:szCs w:val="24"/>
          <w:u w:val="single"/>
        </w:rPr>
        <w:t>Exceptions to Certification for Paperwork Reduction Act Submissions</w:t>
      </w:r>
    </w:p>
    <w:p w:rsidR="001814ED" w:rsidRPr="00A20F3D" w:rsidP="00231078" w14:paraId="7E63484C" w14:textId="77777777">
      <w:pPr>
        <w:rPr>
          <w:sz w:val="24"/>
          <w:szCs w:val="24"/>
        </w:rPr>
      </w:pPr>
    </w:p>
    <w:p w:rsidR="001814ED" w:rsidRPr="00A20F3D" w:rsidP="00231078" w14:paraId="41D99541" w14:textId="6079BE5E">
      <w:pPr>
        <w:rPr>
          <w:sz w:val="24"/>
          <w:szCs w:val="24"/>
        </w:rPr>
      </w:pPr>
      <w:r w:rsidRPr="00A20F3D">
        <w:rPr>
          <w:sz w:val="24"/>
          <w:szCs w:val="24"/>
        </w:rPr>
        <w:t>N</w:t>
      </w:r>
      <w:r w:rsidRPr="00A20F3D" w:rsidR="00585143">
        <w:rPr>
          <w:sz w:val="24"/>
          <w:szCs w:val="24"/>
        </w:rPr>
        <w:t>o exceptions to the certification</w:t>
      </w:r>
      <w:r w:rsidRPr="00A20F3D">
        <w:rPr>
          <w:sz w:val="24"/>
          <w:szCs w:val="24"/>
        </w:rPr>
        <w:t xml:space="preserve"> are associated with this information collection</w:t>
      </w:r>
      <w:r w:rsidRPr="00A20F3D" w:rsidR="00585143">
        <w:rPr>
          <w:sz w:val="24"/>
          <w:szCs w:val="24"/>
        </w:rPr>
        <w:t>.</w:t>
      </w:r>
    </w:p>
    <w:sectPr w:rsidSect="00263A7E">
      <w:headerReference w:type="default" r:id="rId7"/>
      <w:footerReference w:type="default" r:id="rId8"/>
      <w:headerReference w:type="first" r:id="rId9"/>
      <w:pgSz w:w="12240" w:h="15840"/>
      <w:pgMar w:top="1440" w:right="1440" w:bottom="1440" w:left="1440" w:header="576"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4ED" w14:paraId="03733758" w14:textId="63587D7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3764280</wp:posOffset>
              </wp:positionH>
              <wp:positionV relativeFrom="page">
                <wp:posOffset>9420860</wp:posOffset>
              </wp:positionV>
              <wp:extent cx="1524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14ED" w14:textId="77777777">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pt;height:15.3pt;margin-top:741.8pt;margin-left:29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814ED" w14:paraId="0CBF28FC"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543C" w:rsidP="00DB0DD9" w14:paraId="348FD7A4" w14:textId="5999293D">
    <w:pPr>
      <w:pStyle w:val="Header"/>
      <w:ind w:left="-360"/>
    </w:pPr>
    <w:r>
      <w:rPr>
        <w:noProof/>
      </w:rPr>
      <w:drawing>
        <wp:inline distT="0" distB="0" distL="0" distR="0">
          <wp:extent cx="2765109" cy="5720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9436" cy="572986"/>
                  </a:xfrm>
                  <a:prstGeom prst="rect">
                    <a:avLst/>
                  </a:prstGeom>
                </pic:spPr>
              </pic:pic>
            </a:graphicData>
          </a:graphic>
        </wp:inline>
      </w:drawing>
    </w:r>
  </w:p>
  <w:p w:rsidR="0046419A" w:rsidP="00DB0DD9" w14:paraId="63CFF248" w14:textId="3B8EAE4A">
    <w:pPr>
      <w:pStyle w:val="Header"/>
      <w:ind w:left="-360"/>
    </w:pPr>
  </w:p>
  <w:p w:rsidR="0046419A" w:rsidP="00DB0DD9" w14:paraId="6BC12991" w14:textId="77777777">
    <w:pPr>
      <w:pStyle w:val="Header"/>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543C" w:rsidP="00DC4274" w14:paraId="0440BF43" w14:textId="2A745A3E">
    <w:pPr>
      <w:pStyle w:val="Header"/>
      <w:ind w:left="-360"/>
    </w:pPr>
    <w:r>
      <w:rPr>
        <w:noProof/>
      </w:rPr>
      <w:drawing>
        <wp:inline distT="0" distB="0" distL="0" distR="0">
          <wp:extent cx="276225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DC4274" w:rsidP="00DC4274" w14:paraId="4CB6CDF8" w14:textId="1C088DF2">
    <w:pPr>
      <w:pStyle w:val="Header"/>
      <w:ind w:left="-360"/>
    </w:pPr>
  </w:p>
  <w:p w:rsidR="00DC4274" w:rsidP="00DC4274" w14:paraId="0F3A3124" w14:textId="77777777">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A24910"/>
    <w:multiLevelType w:val="hybridMultilevel"/>
    <w:tmpl w:val="483C8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215FCC"/>
    <w:multiLevelType w:val="hybridMultilevel"/>
    <w:tmpl w:val="C2E0A158"/>
    <w:lvl w:ilvl="0">
      <w:start w:val="1"/>
      <w:numFmt w:val="decimal"/>
      <w:lvlText w:val="%1."/>
      <w:lvlJc w:val="left"/>
      <w:pPr>
        <w:ind w:left="836" w:hanging="360"/>
      </w:pPr>
      <w:rPr>
        <w:rFonts w:ascii="Times New Roman" w:eastAsia="Times New Roman" w:hAnsi="Times New Roman" w:cs="Times New Roman" w:hint="default"/>
        <w:spacing w:val="-2"/>
        <w:w w:val="99"/>
        <w:sz w:val="24"/>
        <w:szCs w:val="24"/>
      </w:rPr>
    </w:lvl>
    <w:lvl w:ilvl="1">
      <w:start w:val="0"/>
      <w:numFmt w:val="bullet"/>
      <w:lvlText w:val=""/>
      <w:lvlJc w:val="left"/>
      <w:pPr>
        <w:ind w:left="1556" w:hanging="360"/>
      </w:pPr>
      <w:rPr>
        <w:rFonts w:ascii="Symbol" w:eastAsia="Symbol" w:hAnsi="Symbol" w:cs="Symbol" w:hint="default"/>
        <w:w w:val="100"/>
        <w:sz w:val="24"/>
        <w:szCs w:val="24"/>
      </w:rPr>
    </w:lvl>
    <w:lvl w:ilvl="2">
      <w:start w:val="0"/>
      <w:numFmt w:val="bullet"/>
      <w:lvlText w:val="•"/>
      <w:lvlJc w:val="left"/>
      <w:pPr>
        <w:ind w:left="2466" w:hanging="360"/>
      </w:pPr>
      <w:rPr>
        <w:rFonts w:hint="default"/>
      </w:rPr>
    </w:lvl>
    <w:lvl w:ilvl="3">
      <w:start w:val="0"/>
      <w:numFmt w:val="bullet"/>
      <w:lvlText w:val="•"/>
      <w:lvlJc w:val="left"/>
      <w:pPr>
        <w:ind w:left="3373" w:hanging="360"/>
      </w:pPr>
      <w:rPr>
        <w:rFonts w:hint="default"/>
      </w:rPr>
    </w:lvl>
    <w:lvl w:ilvl="4">
      <w:start w:val="0"/>
      <w:numFmt w:val="bullet"/>
      <w:lvlText w:val="•"/>
      <w:lvlJc w:val="left"/>
      <w:pPr>
        <w:ind w:left="4280" w:hanging="360"/>
      </w:pPr>
      <w:rPr>
        <w:rFonts w:hint="default"/>
      </w:rPr>
    </w:lvl>
    <w:lvl w:ilvl="5">
      <w:start w:val="0"/>
      <w:numFmt w:val="bullet"/>
      <w:lvlText w:val="•"/>
      <w:lvlJc w:val="left"/>
      <w:pPr>
        <w:ind w:left="5186" w:hanging="360"/>
      </w:pPr>
      <w:rPr>
        <w:rFonts w:hint="default"/>
      </w:rPr>
    </w:lvl>
    <w:lvl w:ilvl="6">
      <w:start w:val="0"/>
      <w:numFmt w:val="bullet"/>
      <w:lvlText w:val="•"/>
      <w:lvlJc w:val="left"/>
      <w:pPr>
        <w:ind w:left="6093" w:hanging="360"/>
      </w:pPr>
      <w:rPr>
        <w:rFonts w:hint="default"/>
      </w:rPr>
    </w:lvl>
    <w:lvl w:ilvl="7">
      <w:start w:val="0"/>
      <w:numFmt w:val="bullet"/>
      <w:lvlText w:val="•"/>
      <w:lvlJc w:val="left"/>
      <w:pPr>
        <w:ind w:left="7000" w:hanging="360"/>
      </w:pPr>
      <w:rPr>
        <w:rFonts w:hint="default"/>
      </w:rPr>
    </w:lvl>
    <w:lvl w:ilvl="8">
      <w:start w:val="0"/>
      <w:numFmt w:val="bullet"/>
      <w:lvlText w:val="•"/>
      <w:lvlJc w:val="left"/>
      <w:pPr>
        <w:ind w:left="790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ED"/>
    <w:rsid w:val="00015B11"/>
    <w:rsid w:val="00034DF1"/>
    <w:rsid w:val="0003787B"/>
    <w:rsid w:val="00037C66"/>
    <w:rsid w:val="00040962"/>
    <w:rsid w:val="000A717B"/>
    <w:rsid w:val="000B462C"/>
    <w:rsid w:val="000B71A2"/>
    <w:rsid w:val="000E65C2"/>
    <w:rsid w:val="00122CFD"/>
    <w:rsid w:val="00145B52"/>
    <w:rsid w:val="00162B03"/>
    <w:rsid w:val="001723DF"/>
    <w:rsid w:val="001814ED"/>
    <w:rsid w:val="0019343D"/>
    <w:rsid w:val="001C02FA"/>
    <w:rsid w:val="001D3303"/>
    <w:rsid w:val="001E7E93"/>
    <w:rsid w:val="00231078"/>
    <w:rsid w:val="00231223"/>
    <w:rsid w:val="0023334A"/>
    <w:rsid w:val="002345F8"/>
    <w:rsid w:val="002401D0"/>
    <w:rsid w:val="0025138C"/>
    <w:rsid w:val="00260021"/>
    <w:rsid w:val="00263A7E"/>
    <w:rsid w:val="002667FB"/>
    <w:rsid w:val="00280265"/>
    <w:rsid w:val="002810AA"/>
    <w:rsid w:val="0029764D"/>
    <w:rsid w:val="002A7080"/>
    <w:rsid w:val="002D1242"/>
    <w:rsid w:val="002D709B"/>
    <w:rsid w:val="0031567A"/>
    <w:rsid w:val="003255AD"/>
    <w:rsid w:val="00326766"/>
    <w:rsid w:val="00341BB0"/>
    <w:rsid w:val="003903DC"/>
    <w:rsid w:val="003A26A6"/>
    <w:rsid w:val="003D0E5E"/>
    <w:rsid w:val="004012A8"/>
    <w:rsid w:val="00410CA8"/>
    <w:rsid w:val="004140C6"/>
    <w:rsid w:val="00425D1E"/>
    <w:rsid w:val="0046419A"/>
    <w:rsid w:val="00464620"/>
    <w:rsid w:val="004721B4"/>
    <w:rsid w:val="004726DB"/>
    <w:rsid w:val="00474A5B"/>
    <w:rsid w:val="004B6581"/>
    <w:rsid w:val="004B7243"/>
    <w:rsid w:val="004F1735"/>
    <w:rsid w:val="00566204"/>
    <w:rsid w:val="00583A83"/>
    <w:rsid w:val="00585143"/>
    <w:rsid w:val="00587DC3"/>
    <w:rsid w:val="005921A1"/>
    <w:rsid w:val="00597E87"/>
    <w:rsid w:val="005B52FA"/>
    <w:rsid w:val="005B787D"/>
    <w:rsid w:val="00600137"/>
    <w:rsid w:val="00621EDF"/>
    <w:rsid w:val="006701A6"/>
    <w:rsid w:val="006B0497"/>
    <w:rsid w:val="006D3289"/>
    <w:rsid w:val="006D682D"/>
    <w:rsid w:val="00706641"/>
    <w:rsid w:val="00734C19"/>
    <w:rsid w:val="007A13E1"/>
    <w:rsid w:val="007F6BA9"/>
    <w:rsid w:val="007F6C69"/>
    <w:rsid w:val="00807B52"/>
    <w:rsid w:val="00817AF8"/>
    <w:rsid w:val="00834512"/>
    <w:rsid w:val="008836FB"/>
    <w:rsid w:val="00891907"/>
    <w:rsid w:val="00891A0E"/>
    <w:rsid w:val="008A4674"/>
    <w:rsid w:val="008C1E7D"/>
    <w:rsid w:val="008D397C"/>
    <w:rsid w:val="008D436F"/>
    <w:rsid w:val="008D796B"/>
    <w:rsid w:val="008F7F55"/>
    <w:rsid w:val="009019F9"/>
    <w:rsid w:val="00911C05"/>
    <w:rsid w:val="0092320B"/>
    <w:rsid w:val="00956D2A"/>
    <w:rsid w:val="0096090D"/>
    <w:rsid w:val="009664F7"/>
    <w:rsid w:val="00987104"/>
    <w:rsid w:val="009F1E31"/>
    <w:rsid w:val="00A14A42"/>
    <w:rsid w:val="00A20F3D"/>
    <w:rsid w:val="00A26C99"/>
    <w:rsid w:val="00A32D80"/>
    <w:rsid w:val="00A37C7C"/>
    <w:rsid w:val="00A80BE4"/>
    <w:rsid w:val="00A87B51"/>
    <w:rsid w:val="00AB3157"/>
    <w:rsid w:val="00AC2D8A"/>
    <w:rsid w:val="00AE22C2"/>
    <w:rsid w:val="00AE2566"/>
    <w:rsid w:val="00AE2AE0"/>
    <w:rsid w:val="00B43F07"/>
    <w:rsid w:val="00B606FC"/>
    <w:rsid w:val="00B61D9B"/>
    <w:rsid w:val="00B66E57"/>
    <w:rsid w:val="00B82446"/>
    <w:rsid w:val="00BA7957"/>
    <w:rsid w:val="00BB05FF"/>
    <w:rsid w:val="00BD5B93"/>
    <w:rsid w:val="00BE693F"/>
    <w:rsid w:val="00BF4B11"/>
    <w:rsid w:val="00C24D3D"/>
    <w:rsid w:val="00C43E62"/>
    <w:rsid w:val="00CD05F0"/>
    <w:rsid w:val="00CF36F8"/>
    <w:rsid w:val="00D10E63"/>
    <w:rsid w:val="00D80CC6"/>
    <w:rsid w:val="00D84907"/>
    <w:rsid w:val="00DA209E"/>
    <w:rsid w:val="00DB0DD9"/>
    <w:rsid w:val="00DB34D7"/>
    <w:rsid w:val="00DC4274"/>
    <w:rsid w:val="00DC6C4C"/>
    <w:rsid w:val="00DF42A1"/>
    <w:rsid w:val="00DF570C"/>
    <w:rsid w:val="00DF676C"/>
    <w:rsid w:val="00DF7228"/>
    <w:rsid w:val="00E3200E"/>
    <w:rsid w:val="00E37835"/>
    <w:rsid w:val="00E45779"/>
    <w:rsid w:val="00E61F2A"/>
    <w:rsid w:val="00E8574B"/>
    <w:rsid w:val="00EB2D37"/>
    <w:rsid w:val="00F37540"/>
    <w:rsid w:val="00F40904"/>
    <w:rsid w:val="00F6143A"/>
    <w:rsid w:val="00F64847"/>
    <w:rsid w:val="00F70C82"/>
    <w:rsid w:val="00F83564"/>
    <w:rsid w:val="00F87A57"/>
    <w:rsid w:val="00FA4215"/>
    <w:rsid w:val="00FB3EE1"/>
    <w:rsid w:val="00FC634F"/>
    <w:rsid w:val="00FE4A3C"/>
    <w:rsid w:val="00FE5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8D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rPr>
      <w:u w:val="single" w:color="000000"/>
    </w:r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B71A2"/>
    <w:rPr>
      <w:color w:val="0000FF" w:themeColor="hyperlink"/>
      <w:u w:val="single"/>
    </w:rPr>
  </w:style>
  <w:style w:type="character" w:styleId="UnresolvedMention">
    <w:name w:val="Unresolved Mention"/>
    <w:basedOn w:val="DefaultParagraphFont"/>
    <w:uiPriority w:val="99"/>
    <w:semiHidden/>
    <w:unhideWhenUsed/>
    <w:rsid w:val="000B71A2"/>
    <w:rPr>
      <w:color w:val="605E5C"/>
      <w:shd w:val="clear" w:color="auto" w:fill="E1DFDD"/>
    </w:rPr>
  </w:style>
  <w:style w:type="paragraph" w:styleId="CommentText">
    <w:name w:val="annotation text"/>
    <w:basedOn w:val="Normal"/>
    <w:link w:val="CommentTextChar"/>
    <w:uiPriority w:val="99"/>
    <w:rsid w:val="000B71A2"/>
    <w:pPr>
      <w:widowControl/>
      <w:autoSpaceDE/>
      <w:autoSpaceDN/>
    </w:pPr>
    <w:rPr>
      <w:sz w:val="20"/>
      <w:szCs w:val="20"/>
    </w:rPr>
  </w:style>
  <w:style w:type="character" w:customStyle="1" w:styleId="CommentTextChar">
    <w:name w:val="Comment Text Char"/>
    <w:basedOn w:val="DefaultParagraphFont"/>
    <w:link w:val="CommentText"/>
    <w:uiPriority w:val="99"/>
    <w:rsid w:val="000B71A2"/>
    <w:rPr>
      <w:rFonts w:ascii="Times New Roman" w:eastAsia="Times New Roman" w:hAnsi="Times New Roman" w:cs="Times New Roman"/>
      <w:sz w:val="20"/>
      <w:szCs w:val="20"/>
    </w:rPr>
  </w:style>
  <w:style w:type="paragraph" w:customStyle="1" w:styleId="StyleCentered">
    <w:name w:val="Style Centered"/>
    <w:basedOn w:val="Normal"/>
    <w:rsid w:val="000B71A2"/>
    <w:pPr>
      <w:widowControl/>
      <w:autoSpaceDE/>
      <w:autoSpaceDN/>
      <w:jc w:val="center"/>
    </w:pPr>
    <w:rPr>
      <w:sz w:val="24"/>
      <w:szCs w:val="20"/>
    </w:rPr>
  </w:style>
  <w:style w:type="character" w:styleId="FollowedHyperlink">
    <w:name w:val="FollowedHyperlink"/>
    <w:basedOn w:val="DefaultParagraphFont"/>
    <w:uiPriority w:val="99"/>
    <w:semiHidden/>
    <w:unhideWhenUsed/>
    <w:rsid w:val="006D3289"/>
    <w:rPr>
      <w:color w:val="800080" w:themeColor="followedHyperlink"/>
      <w:u w:val="single"/>
    </w:rPr>
  </w:style>
  <w:style w:type="character" w:styleId="CommentReference">
    <w:name w:val="annotation reference"/>
    <w:basedOn w:val="DefaultParagraphFont"/>
    <w:uiPriority w:val="99"/>
    <w:semiHidden/>
    <w:unhideWhenUsed/>
    <w:rsid w:val="004012A8"/>
    <w:rPr>
      <w:sz w:val="16"/>
      <w:szCs w:val="16"/>
    </w:rPr>
  </w:style>
  <w:style w:type="paragraph" w:styleId="CommentSubject">
    <w:name w:val="annotation subject"/>
    <w:basedOn w:val="CommentText"/>
    <w:next w:val="CommentText"/>
    <w:link w:val="CommentSubjectChar"/>
    <w:uiPriority w:val="99"/>
    <w:semiHidden/>
    <w:unhideWhenUsed/>
    <w:rsid w:val="004012A8"/>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4012A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E543C"/>
    <w:pPr>
      <w:tabs>
        <w:tab w:val="center" w:pos="4680"/>
        <w:tab w:val="right" w:pos="9360"/>
      </w:tabs>
    </w:pPr>
  </w:style>
  <w:style w:type="character" w:customStyle="1" w:styleId="HeaderChar">
    <w:name w:val="Header Char"/>
    <w:basedOn w:val="DefaultParagraphFont"/>
    <w:link w:val="Header"/>
    <w:uiPriority w:val="99"/>
    <w:rsid w:val="00FE543C"/>
    <w:rPr>
      <w:rFonts w:ascii="Times New Roman" w:eastAsia="Times New Roman" w:hAnsi="Times New Roman" w:cs="Times New Roman"/>
    </w:rPr>
  </w:style>
  <w:style w:type="paragraph" w:styleId="Footer">
    <w:name w:val="footer"/>
    <w:basedOn w:val="Normal"/>
    <w:link w:val="FooterChar"/>
    <w:uiPriority w:val="99"/>
    <w:unhideWhenUsed/>
    <w:rsid w:val="00FE543C"/>
    <w:pPr>
      <w:tabs>
        <w:tab w:val="center" w:pos="4680"/>
        <w:tab w:val="right" w:pos="9360"/>
      </w:tabs>
    </w:pPr>
  </w:style>
  <w:style w:type="character" w:customStyle="1" w:styleId="FooterChar">
    <w:name w:val="Footer Char"/>
    <w:basedOn w:val="DefaultParagraphFont"/>
    <w:link w:val="Footer"/>
    <w:uiPriority w:val="99"/>
    <w:rsid w:val="00FE54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www.opm.gov" TargetMode="External" /><Relationship Id="rId6" Type="http://schemas.openxmlformats.org/officeDocument/2006/relationships/hyperlink" Target="www.fd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850DE-46D2-474F-BDB7-1F1C5906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2022-09-13T18:23:00Z</dcterms:created>
  <dcterms:modified xsi:type="dcterms:W3CDTF">2022-09-13T18:23:00Z</dcterms:modified>
</cp:coreProperties>
</file>