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D825DB" w:rsidRPr="008222BD" w:rsidP="00F00DAE"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FA7432" w:rsidRPr="008222BD" w:rsidP="00FA7432" w14:paraId="7250C5F4" w14:textId="77777777">
      <w:pPr>
        <w:pStyle w:val="Heading2"/>
        <w:shd w:val="clear" w:color="auto" w:fill="FFFFFF" w:themeFill="background1"/>
        <w:tabs>
          <w:tab w:val="left" w:pos="900"/>
        </w:tabs>
        <w:ind w:right="-180"/>
        <w:jc w:val="left"/>
        <w:rPr>
          <w:b w:val="0"/>
        </w:rPr>
      </w:pPr>
    </w:p>
    <w:p w:rsidR="00E50293" w:rsidRPr="008222BD" w:rsidP="008222BD" w14:paraId="7250C5F5" w14:textId="77777777">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p>
    <w:p w:rsidR="00D825DB" w14:paraId="7250C5F7" w14:textId="764A955E">
      <w:r w:rsidRPr="0039496C">
        <w:t>Black Students in Higher Education: Facilitators and Barriers to Completion</w:t>
      </w:r>
    </w:p>
    <w:p w:rsidR="0039496C" w:rsidRPr="008222BD" w14:paraId="1535647A" w14:textId="77777777"/>
    <w:p w:rsidR="001B0AAA" w:rsidRPr="00410F81" w14:paraId="7250C5F8" w14:textId="77777777">
      <w:r w:rsidRPr="008222BD">
        <w:t xml:space="preserve">2. </w:t>
      </w:r>
      <w:r w:rsidRPr="00410F81" w:rsidR="00F15956">
        <w:rPr>
          <w:b/>
        </w:rPr>
        <w:t>PURPOSE</w:t>
      </w:r>
      <w:r w:rsidRPr="008222BD" w:rsidR="00F15956">
        <w:t>:</w:t>
      </w:r>
      <w:r w:rsidRPr="008222BD" w:rsidR="00C14CC4">
        <w:t xml:space="preserve"> </w:t>
      </w:r>
    </w:p>
    <w:p w:rsidR="001B0AAA" w:rsidRPr="00713D29" w14:paraId="7250C5F9" w14:textId="77777777"/>
    <w:p w:rsidR="00C8488C" w:rsidRPr="00352D5F" w:rsidP="008C06B4" w14:paraId="7250C5FA" w14:textId="4AC943C3">
      <w:r w:rsidRPr="004E6031">
        <w:t xml:space="preserve">The purpose of the Consumer Financial Protection Bureau’s (CFPB’s) </w:t>
      </w:r>
      <w:r w:rsidRPr="004E022D" w:rsidR="004E022D">
        <w:t>Black Students in Higher Education: Facilitators and Barriers to Completion</w:t>
      </w:r>
      <w:r w:rsidR="004E022D">
        <w:t xml:space="preserve"> </w:t>
      </w:r>
      <w:r w:rsidRPr="004E6031">
        <w:t xml:space="preserve">study is to research and document barriers </w:t>
      </w:r>
      <w:r w:rsidRPr="009F2086" w:rsidR="009F2086">
        <w:t xml:space="preserve">and facilitators </w:t>
      </w:r>
      <w:r w:rsidRPr="004E6031">
        <w:t xml:space="preserve">to college completion and learn more about issues of racial disparities in college completion rates, the economic consequences of lower college completion rates, and ways </w:t>
      </w:r>
      <w:r w:rsidR="00FC7E24">
        <w:t xml:space="preserve">the </w:t>
      </w:r>
      <w:r w:rsidRPr="004E6031">
        <w:t>CFPB can help improve these outcomes.</w:t>
      </w:r>
      <w:r>
        <w:t xml:space="preserve"> </w:t>
      </w:r>
      <w:r w:rsidRPr="00352D5F" w:rsidR="0012628F">
        <w:t xml:space="preserve">These </w:t>
      </w:r>
      <w:r>
        <w:t xml:space="preserve">focus groups and </w:t>
      </w:r>
      <w:r w:rsidRPr="00352D5F" w:rsidR="0012628F">
        <w:t xml:space="preserve">interviews will explore </w:t>
      </w:r>
      <w:r w:rsidRPr="00DD37AA" w:rsidR="00E25C6B">
        <w:t>supports Black students receive in college</w:t>
      </w:r>
      <w:r w:rsidR="00B85FF0">
        <w:t>;</w:t>
      </w:r>
      <w:r w:rsidRPr="00DD37AA" w:rsidR="00E25C6B">
        <w:t xml:space="preserve"> </w:t>
      </w:r>
      <w:r w:rsidRPr="00DD37AA" w:rsidR="00472B19">
        <w:t>personal, institutional, and societal factors that make college difficult</w:t>
      </w:r>
      <w:r w:rsidR="00B85FF0">
        <w:t>;</w:t>
      </w:r>
      <w:r w:rsidRPr="00DD37AA" w:rsidR="00472B19">
        <w:t xml:space="preserve"> </w:t>
      </w:r>
      <w:r w:rsidRPr="00DD37AA" w:rsidR="00A943D3">
        <w:t xml:space="preserve">and </w:t>
      </w:r>
      <w:r w:rsidRPr="00DD37AA" w:rsidR="00526FCC">
        <w:t xml:space="preserve">the </w:t>
      </w:r>
      <w:r w:rsidRPr="00DD37AA" w:rsidR="005B64CD">
        <w:t>challenges of not completing a degree</w:t>
      </w:r>
      <w:r w:rsidRPr="00DD37AA" w:rsidR="009646D7">
        <w:t>.</w:t>
      </w:r>
      <w:r w:rsidR="00DD37AA">
        <w:t xml:space="preserve"> </w:t>
      </w:r>
      <w:r w:rsidR="00CB7E33">
        <w:t>Interviews</w:t>
      </w:r>
      <w:r w:rsidR="00DD37AA">
        <w:t xml:space="preserve"> will also address </w:t>
      </w:r>
      <w:r w:rsidR="00526C5E">
        <w:t>university</w:t>
      </w:r>
      <w:r w:rsidR="00CB7E33">
        <w:t>-</w:t>
      </w:r>
      <w:r w:rsidR="00526C5E">
        <w:t xml:space="preserve">led </w:t>
      </w:r>
      <w:r w:rsidR="00242262">
        <w:t xml:space="preserve">initiatives or strategies </w:t>
      </w:r>
      <w:r w:rsidR="00526C5E">
        <w:t xml:space="preserve">that support Black student </w:t>
      </w:r>
      <w:r w:rsidR="0073064D">
        <w:t>persistence and completion.</w:t>
      </w:r>
      <w:r w:rsidRPr="00352D5F" w:rsidR="009646D7">
        <w:t xml:space="preserve"> The information that is collected will be used </w:t>
      </w:r>
      <w:r w:rsidR="008C06B4">
        <w:t>for two purposes: (1) to inform and support policymakers, institutions of higher education (IHEs), and K–12 professionals by developing and sharing information, research, promising practices, and effective strategies to help identify and remove barriers to college completion; and (2) to identify new opportunities for CFPB to support efforts to increase the national focus on encouraging students who enroll in higher education to complete their college degree.</w:t>
      </w:r>
      <w:r w:rsidRPr="00352D5F" w:rsidR="0012628F">
        <w:t xml:space="preserve"> </w:t>
      </w:r>
    </w:p>
    <w:p w:rsidR="0012628F" w:rsidRPr="00713D29" w14:paraId="35710EAA" w14:textId="77777777"/>
    <w:p w:rsidR="00434E33" w:rsidRPr="00713D29" w:rsidP="00434E33" w14:paraId="7250C5FB" w14:textId="77777777">
      <w:pPr>
        <w:pStyle w:val="Header"/>
        <w:tabs>
          <w:tab w:val="clear" w:pos="4320"/>
          <w:tab w:val="clear" w:pos="8640"/>
        </w:tabs>
        <w:rPr>
          <w:i/>
          <w:snapToGrid/>
        </w:rPr>
      </w:pPr>
      <w:r w:rsidRPr="00713D29">
        <w:rPr>
          <w:snapToGrid/>
        </w:rPr>
        <w:t xml:space="preserve">3. </w:t>
      </w:r>
      <w:r w:rsidRPr="00AB78E0">
        <w:rPr>
          <w:b/>
        </w:rPr>
        <w:t>DESCRIPTION OF RESPONDENTS</w:t>
      </w:r>
      <w:r w:rsidRPr="00713D29">
        <w:t xml:space="preserve">: </w:t>
      </w:r>
    </w:p>
    <w:p w:rsidR="00F15956" w:rsidRPr="00713D29" w14:paraId="7250C5FC" w14:textId="77777777"/>
    <w:p w:rsidR="00393C45" w:rsidRPr="00352D5F" w:rsidP="00393C45" w14:paraId="74E8DDCB" w14:textId="181FCE84">
      <w:r w:rsidRPr="006F0C84">
        <w:t xml:space="preserve">This data collection effort will consist of </w:t>
      </w:r>
      <w:r w:rsidR="00F0101D">
        <w:t>up to</w:t>
      </w:r>
      <w:r w:rsidR="00737B89">
        <w:t xml:space="preserve"> </w:t>
      </w:r>
      <w:r w:rsidR="00F00B2D">
        <w:t>310</w:t>
      </w:r>
      <w:r w:rsidRPr="006F0C84" w:rsidR="00F00B2D">
        <w:t xml:space="preserve"> </w:t>
      </w:r>
      <w:r w:rsidRPr="006F0C84">
        <w:t xml:space="preserve">participants for </w:t>
      </w:r>
      <w:r w:rsidRPr="006F0C84" w:rsidR="00322EBF">
        <w:t xml:space="preserve">in-person and </w:t>
      </w:r>
      <w:r w:rsidRPr="006F0C84" w:rsidR="00761AC0">
        <w:t xml:space="preserve">virtual </w:t>
      </w:r>
      <w:r w:rsidRPr="006F0C84">
        <w:t>interviews</w:t>
      </w:r>
      <w:r w:rsidRPr="006F0C84" w:rsidR="00716ADD">
        <w:t xml:space="preserve"> or focus groups</w:t>
      </w:r>
      <w:r w:rsidRPr="006F0C84">
        <w:t xml:space="preserve">. The CFPB, through a contractor, will conduct </w:t>
      </w:r>
      <w:r w:rsidRPr="006F0C84" w:rsidR="00CE4977">
        <w:t xml:space="preserve">in-person or </w:t>
      </w:r>
      <w:r w:rsidRPr="006F0C84" w:rsidR="00CB55E0">
        <w:t>virtual</w:t>
      </w:r>
      <w:r w:rsidRPr="006F0C84">
        <w:t xml:space="preserve"> </w:t>
      </w:r>
      <w:r w:rsidRPr="006F0C84" w:rsidR="004855CD">
        <w:t>focus groups/</w:t>
      </w:r>
      <w:r w:rsidRPr="006F0C84">
        <w:t xml:space="preserve">interviews with </w:t>
      </w:r>
      <w:r w:rsidRPr="00801EFC" w:rsidR="004855CD">
        <w:t xml:space="preserve">Black former college students </w:t>
      </w:r>
      <w:r w:rsidR="00801EFC">
        <w:t xml:space="preserve">who completed </w:t>
      </w:r>
      <w:r w:rsidR="0000045A">
        <w:t xml:space="preserve">a degree (focus groups with 120 participants), Black former college students </w:t>
      </w:r>
      <w:r w:rsidRPr="0000045A" w:rsidR="004855CD">
        <w:t xml:space="preserve">who did not complete a degree </w:t>
      </w:r>
      <w:r w:rsidR="00F00B2D">
        <w:t xml:space="preserve">but attended college </w:t>
      </w:r>
      <w:r w:rsidRPr="0000045A" w:rsidR="004855CD">
        <w:t>(</w:t>
      </w:r>
      <w:r w:rsidRPr="0000045A" w:rsidR="00A257DE">
        <w:t>focus groups with</w:t>
      </w:r>
      <w:r w:rsidRPr="0000045A" w:rsidR="00E67BC7">
        <w:t xml:space="preserve"> </w:t>
      </w:r>
      <w:r w:rsidRPr="0000045A" w:rsidR="0000045A">
        <w:t xml:space="preserve">120 </w:t>
      </w:r>
      <w:r w:rsidRPr="0000045A" w:rsidR="00E67BC7">
        <w:t>participants</w:t>
      </w:r>
      <w:r w:rsidRPr="0000045A" w:rsidR="00A6651A">
        <w:t>)</w:t>
      </w:r>
      <w:r w:rsidR="00F00B2D">
        <w:t xml:space="preserve"> Black former students who enrolled in college but never attended (focus groups with 16 participants)</w:t>
      </w:r>
      <w:r w:rsidRPr="0000045A" w:rsidR="00A6651A">
        <w:t xml:space="preserve">, </w:t>
      </w:r>
      <w:r w:rsidRPr="00A27231" w:rsidR="00A6651A">
        <w:t xml:space="preserve">postsecondary institution professionals </w:t>
      </w:r>
      <w:r w:rsidRPr="00A27231" w:rsidR="000D32BF">
        <w:t xml:space="preserve">knowledgeable about </w:t>
      </w:r>
      <w:r w:rsidRPr="00A27231" w:rsidR="00A27231">
        <w:t xml:space="preserve">facilitators and </w:t>
      </w:r>
      <w:r w:rsidRPr="00A27231" w:rsidR="000D32BF">
        <w:t>barrier</w:t>
      </w:r>
      <w:r w:rsidRPr="00A27231" w:rsidR="007941B3">
        <w:t>s</w:t>
      </w:r>
      <w:r w:rsidRPr="00A27231" w:rsidR="000D32BF">
        <w:t xml:space="preserve"> to completion for Black students (focus</w:t>
      </w:r>
      <w:r w:rsidRPr="00A27231" w:rsidR="00E67BC7">
        <w:t xml:space="preserve"> groups with 30 participants),</w:t>
      </w:r>
      <w:r w:rsidRPr="00A27231" w:rsidR="000D32BF">
        <w:t xml:space="preserve"> </w:t>
      </w:r>
      <w:r w:rsidR="003001DA">
        <w:t xml:space="preserve">and </w:t>
      </w:r>
      <w:r w:rsidRPr="003001DA" w:rsidR="003C2839">
        <w:t xml:space="preserve">postsecondary institution leaders </w:t>
      </w:r>
      <w:r w:rsidRPr="003001DA" w:rsidR="00835E94">
        <w:t xml:space="preserve">who are knowledgeable about </w:t>
      </w:r>
      <w:r w:rsidRPr="003001DA" w:rsidR="00431751">
        <w:t xml:space="preserve">strategies/initiatives that </w:t>
      </w:r>
      <w:r w:rsidRPr="003001DA" w:rsidR="00FF280C">
        <w:t>support Black student persistence and completion</w:t>
      </w:r>
      <w:r w:rsidRPr="003001DA" w:rsidR="00431751">
        <w:t xml:space="preserve"> </w:t>
      </w:r>
      <w:r w:rsidRPr="003001DA" w:rsidR="00D9479A">
        <w:t xml:space="preserve"> (interviews/focus groups with </w:t>
      </w:r>
      <w:r w:rsidR="00737B89">
        <w:t xml:space="preserve">up to </w:t>
      </w:r>
      <w:r w:rsidRPr="003001DA" w:rsidR="00D9479A">
        <w:t>24 participants)</w:t>
      </w:r>
      <w:r w:rsidRPr="003340F0">
        <w:t>.</w:t>
      </w:r>
      <w:r w:rsidRPr="006F0C84">
        <w:t xml:space="preserve"> </w:t>
      </w:r>
      <w:r w:rsidR="003156B1">
        <w:t>Focus groups with B</w:t>
      </w:r>
      <w:r w:rsidR="00D22507">
        <w:t xml:space="preserve">lack former student completers and </w:t>
      </w:r>
      <w:r w:rsidR="00D22507">
        <w:t>noncompleters</w:t>
      </w:r>
      <w:r w:rsidR="00D22507">
        <w:t xml:space="preserve"> will be grouped by institution type</w:t>
      </w:r>
      <w:r w:rsidR="003156B1">
        <w:t xml:space="preserve"> (2</w:t>
      </w:r>
      <w:r w:rsidR="00751B5F">
        <w:t xml:space="preserve">–year, 4–year </w:t>
      </w:r>
      <w:r w:rsidR="00BE48F7">
        <w:t>predominantly white institutions</w:t>
      </w:r>
      <w:r w:rsidR="00751B5F">
        <w:t>, and 4</w:t>
      </w:r>
      <w:r w:rsidR="00BE48F7">
        <w:t>-</w:t>
      </w:r>
      <w:r w:rsidR="00751B5F">
        <w:t>year H</w:t>
      </w:r>
      <w:r w:rsidR="00BE48F7">
        <w:t>istorically Black Colleges and Universitie</w:t>
      </w:r>
      <w:r w:rsidR="00751B5F">
        <w:t>s)</w:t>
      </w:r>
      <w:r w:rsidR="00D22507">
        <w:t xml:space="preserve">. </w:t>
      </w:r>
    </w:p>
    <w:p w:rsidR="001A09E0" w14:paraId="2A291D51" w14:textId="77777777">
      <w:pPr>
        <w:rPr>
          <w:b/>
        </w:rPr>
      </w:pPr>
    </w:p>
    <w:p w:rsidR="007353C3" w:rsidRPr="008222BD" w:rsidP="007353C3" w14:paraId="7250C5FE"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007353C3" w:rsidRPr="008222BD" w:rsidP="007353C3" w14:paraId="7250C5FF" w14:textId="77777777">
      <w:pPr>
        <w:pStyle w:val="ListParagraph"/>
        <w:ind w:left="460" w:right="721"/>
      </w:pPr>
    </w:p>
    <w:p w:rsidR="007353C3" w:rsidRPr="00713D29" w:rsidP="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7250C601" w14:textId="77777777">
      <w:pPr>
        <w:pStyle w:val="ListParagraph"/>
        <w:ind w:left="1135" w:right="721"/>
      </w:pPr>
    </w:p>
    <w:p w:rsidR="007353C3" w:rsidRPr="00713D29" w:rsidP="007353C3" w14:paraId="7250C602" w14:textId="168EABCB">
      <w:pPr>
        <w:pStyle w:val="ListParagraph"/>
        <w:ind w:left="460" w:right="721"/>
      </w:pPr>
      <w:r w:rsidRPr="00410F81">
        <w:tab/>
      </w:r>
      <w:r w:rsidRPr="00410F81">
        <w:tab/>
      </w:r>
      <w:r w:rsidRPr="00713D29">
        <w:t>[</w:t>
      </w:r>
      <w:r w:rsidR="00094937">
        <w:t xml:space="preserve">  </w:t>
      </w:r>
      <w:r w:rsidRPr="00713D29">
        <w:t>] Web-based or other forms of Social Media</w:t>
      </w:r>
      <w:r w:rsidRPr="00713D29">
        <w:tab/>
        <w:t xml:space="preserve">[ </w:t>
      </w:r>
      <w:r w:rsidR="00094937">
        <w:t>X</w:t>
      </w:r>
      <w:r w:rsidRPr="00713D29">
        <w:t xml:space="preserve"> ] Telephone    </w:t>
      </w:r>
    </w:p>
    <w:p w:rsidR="007353C3" w:rsidRPr="00713D29" w:rsidP="007353C3" w14:paraId="7250C603" w14:textId="71986739">
      <w:pPr>
        <w:pStyle w:val="ListParagraph"/>
        <w:ind w:left="1180" w:right="721" w:firstLine="260"/>
      </w:pPr>
      <w:r w:rsidRPr="00713D29">
        <w:t>[</w:t>
      </w:r>
      <w:r w:rsidR="005E0C8D">
        <w:t xml:space="preserve">  </w:t>
      </w:r>
      <w:r w:rsidRPr="00713D29">
        <w:t xml:space="preserve">] In-person </w:t>
      </w:r>
      <w:r w:rsidRPr="00713D29">
        <w:tab/>
      </w:r>
      <w:r w:rsidRPr="00713D29">
        <w:tab/>
      </w:r>
      <w:r w:rsidRPr="00713D29">
        <w:tab/>
      </w:r>
      <w:r w:rsidRPr="00713D29">
        <w:tab/>
      </w:r>
      <w:r w:rsidRPr="00713D29">
        <w:tab/>
      </w:r>
      <w:r w:rsidR="005E0C8D">
        <w:t xml:space="preserve">              </w:t>
      </w:r>
      <w:r w:rsidRPr="00713D29">
        <w:t>[  ] Mail</w:t>
      </w:r>
    </w:p>
    <w:p w:rsidR="007353C3" w:rsidRPr="00713D29" w:rsidP="008222BD" w14:paraId="7250C604" w14:textId="452F085F">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007B0ADE">
        <w:t>X</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007B0ADE">
        <w:t xml:space="preserve"> </w:t>
      </w:r>
      <w:r w:rsidR="00393C45">
        <w:t>X</w:t>
      </w:r>
      <w:r w:rsidRPr="00713D29">
        <w:t xml:space="preserve"> ] Other</w:t>
      </w:r>
      <w:r w:rsidRPr="00713D29" w:rsidR="00635087">
        <w:t xml:space="preserve"> (please e</w:t>
      </w:r>
      <w:r w:rsidRPr="00713D29">
        <w:t>xplain</w:t>
      </w:r>
      <w:r w:rsidRPr="00713D29" w:rsidR="00635087">
        <w:t>)</w:t>
      </w:r>
      <w:r w:rsidRPr="00713D29">
        <w:t xml:space="preserve"> __</w:t>
      </w:r>
      <w:r w:rsidR="00393C45">
        <w:t>One-on-one interviews</w:t>
      </w:r>
      <w:r w:rsidRPr="00713D29" w:rsidR="00635087">
        <w:t>________</w:t>
      </w:r>
    </w:p>
    <w:p w:rsidR="007353C3" w:rsidRPr="00713D29" w:rsidP="007353C3" w14:paraId="7250C605" w14:textId="77777777">
      <w:pPr>
        <w:tabs>
          <w:tab w:val="left" w:pos="5140"/>
        </w:tabs>
        <w:ind w:left="100" w:right="-20"/>
      </w:pPr>
      <w:r w:rsidRPr="00713D29">
        <w:tab/>
      </w:r>
    </w:p>
    <w:p w:rsidR="007353C3" w:rsidRPr="00713D29" w:rsidP="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7250C607" w14:textId="77777777">
      <w:pPr>
        <w:pStyle w:val="ListParagraph"/>
        <w:ind w:left="1135" w:right="721"/>
      </w:pPr>
    </w:p>
    <w:p w:rsidR="007353C3" w:rsidRPr="00713D29" w:rsidP="007353C3" w14:paraId="7250C608" w14:textId="198B4492">
      <w:pPr>
        <w:pStyle w:val="ListParagraph"/>
        <w:ind w:left="460" w:right="721"/>
      </w:pPr>
      <w:r w:rsidRPr="00713D29">
        <w:tab/>
      </w:r>
      <w:r w:rsidRPr="00713D29">
        <w:tab/>
        <w:t xml:space="preserve">[ </w:t>
      </w:r>
      <w:r w:rsidR="00393C45">
        <w:t>X</w:t>
      </w:r>
      <w:r w:rsidRPr="00713D29">
        <w:t xml:space="preserve"> ] Yes </w:t>
      </w:r>
      <w:r w:rsidRPr="00713D29" w:rsidR="00635087">
        <w:t xml:space="preserve"> </w:t>
      </w:r>
      <w:r w:rsidRPr="00713D29">
        <w:t xml:space="preserve">[  ] No </w:t>
      </w:r>
      <w:r w:rsidRPr="00713D29" w:rsidR="00635087">
        <w:t xml:space="preserve"> </w:t>
      </w:r>
      <w:r w:rsidRPr="00713D29">
        <w:t>[  ] Not Applicable</w:t>
      </w:r>
    </w:p>
    <w:p w:rsidR="007353C3" w:rsidRPr="00713D29" w:rsidP="007353C3" w14:paraId="7250C609" w14:textId="77777777">
      <w:pPr>
        <w:ind w:right="721"/>
      </w:pPr>
    </w:p>
    <w:p w:rsidR="007353C3" w:rsidRPr="008222BD" w:rsidP="00C570E3" w14:paraId="7250C60A" w14:textId="77777777">
      <w:pPr>
        <w:pStyle w:val="ListParagraph"/>
        <w:widowControl w:val="0"/>
        <w:numPr>
          <w:ilvl w:val="0"/>
          <w:numId w:val="25"/>
        </w:numPr>
        <w:spacing w:before="72"/>
        <w:ind w:left="270"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007353C3" w:rsidRPr="008222BD" w:rsidP="007353C3" w14:paraId="7250C60B" w14:textId="77777777">
      <w:pPr>
        <w:pStyle w:val="ListParagraph"/>
        <w:spacing w:before="72"/>
        <w:ind w:left="460" w:right="-20"/>
        <w:rPr>
          <w:bCs/>
          <w:spacing w:val="-3"/>
        </w:rPr>
      </w:pPr>
    </w:p>
    <w:p w:rsidR="007353C3" w:rsidRPr="00C570E3" w:rsidP="00C570E3" w14:paraId="7250C60C" w14:textId="77777777">
      <w:pPr>
        <w:spacing w:before="72"/>
        <w:ind w:right="-20"/>
        <w:rPr>
          <w:bCs/>
          <w:spacing w:val="-3"/>
        </w:rPr>
      </w:pPr>
      <w:r w:rsidRPr="00C570E3">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5B10A35C">
      <w:pPr>
        <w:pStyle w:val="ListParagraph"/>
        <w:spacing w:before="72"/>
        <w:ind w:left="460" w:right="-20"/>
        <w:rPr>
          <w:bCs/>
          <w:spacing w:val="-3"/>
        </w:rPr>
      </w:pPr>
      <w:r w:rsidRPr="00713D29">
        <w:rPr>
          <w:bCs/>
          <w:spacing w:val="-3"/>
        </w:rPr>
        <w:t xml:space="preserve">[ </w:t>
      </w:r>
      <w:r w:rsidR="00160CC1">
        <w:rPr>
          <w:bCs/>
          <w:spacing w:val="-3"/>
        </w:rPr>
        <w:t xml:space="preserve"> </w:t>
      </w:r>
      <w:r w:rsidRPr="00713D29">
        <w:rPr>
          <w:bCs/>
          <w:spacing w:val="-3"/>
        </w:rPr>
        <w:t xml:space="preserve">] Yes </w:t>
      </w:r>
      <w:r w:rsidRPr="00713D29" w:rsidR="00635087">
        <w:rPr>
          <w:bCs/>
          <w:spacing w:val="-3"/>
        </w:rPr>
        <w:t xml:space="preserve"> </w:t>
      </w:r>
      <w:r w:rsidRPr="00713D29">
        <w:rPr>
          <w:bCs/>
          <w:spacing w:val="-3"/>
        </w:rPr>
        <w:t xml:space="preserve">[ </w:t>
      </w:r>
      <w:r w:rsidR="00491180">
        <w:rPr>
          <w:bCs/>
          <w:spacing w:val="-3"/>
        </w:rPr>
        <w:t>X</w:t>
      </w:r>
      <w:r w:rsidRPr="00713D29">
        <w:rPr>
          <w:bCs/>
          <w:spacing w:val="-3"/>
        </w:rPr>
        <w:t xml:space="preserve"> ] No  [  ] </w:t>
      </w:r>
      <w:r w:rsidRPr="00713D29">
        <w:t>Not Applicable</w:t>
      </w:r>
    </w:p>
    <w:p w:rsidR="007353C3" w:rsidRPr="008222BD" w:rsidP="007353C3" w14:paraId="7250C611" w14:textId="77777777">
      <w:pPr>
        <w:pStyle w:val="ListParagraph"/>
        <w:spacing w:before="72"/>
        <w:ind w:left="460" w:right="-20"/>
        <w:rPr>
          <w:bCs/>
          <w:spacing w:val="-3"/>
        </w:rPr>
      </w:pPr>
    </w:p>
    <w:p w:rsidR="007353C3" w:rsidRPr="008222BD" w:rsidP="007353C3" w14:paraId="7250C612" w14:textId="77777777">
      <w:pPr>
        <w:pStyle w:val="ListParagraph"/>
        <w:spacing w:before="72"/>
        <w:ind w:left="460" w:right="-20"/>
        <w:rPr>
          <w:bCs/>
          <w:spacing w:val="-3"/>
        </w:rPr>
      </w:pPr>
      <w:r w:rsidRPr="008222BD">
        <w:rPr>
          <w:bCs/>
          <w:spacing w:val="-3"/>
        </w:rPr>
        <w:t>b. If yes, please provide a description below.  If no, please provide a description of how you plan to identify your potential group of respondents and how you will select them</w:t>
      </w:r>
      <w:r w:rsidRPr="008222BD" w:rsidR="000702CE">
        <w:rPr>
          <w:bCs/>
          <w:spacing w:val="-3"/>
        </w:rPr>
        <w:t>.</w:t>
      </w:r>
    </w:p>
    <w:p w:rsidR="009933C2" w:rsidP="00393C45" w14:paraId="1BFE7800" w14:textId="77777777">
      <w:pPr>
        <w:pStyle w:val="ListParagraph"/>
        <w:spacing w:before="72"/>
        <w:ind w:left="460" w:right="-20"/>
        <w:rPr>
          <w:b/>
          <w:spacing w:val="-3"/>
        </w:rPr>
      </w:pPr>
    </w:p>
    <w:p w:rsidR="00393C45" w:rsidRPr="000F5D83" w:rsidP="00393C45" w14:paraId="616A1D14" w14:textId="7D91D873">
      <w:pPr>
        <w:pStyle w:val="ListParagraph"/>
        <w:spacing w:before="72"/>
        <w:ind w:left="460" w:right="-20"/>
        <w:rPr>
          <w:bCs/>
          <w:spacing w:val="-3"/>
          <w:highlight w:val="yellow"/>
        </w:rPr>
      </w:pPr>
      <w:r w:rsidRPr="000F5D83">
        <w:rPr>
          <w:bCs/>
          <w:spacing w:val="-3"/>
        </w:rPr>
        <w:t>CFPB</w:t>
      </w:r>
      <w:r w:rsidRPr="000F5D83" w:rsidR="00290BEB">
        <w:rPr>
          <w:bCs/>
          <w:spacing w:val="-3"/>
        </w:rPr>
        <w:t>’s contractor</w:t>
      </w:r>
      <w:r w:rsidRPr="000F5D83">
        <w:rPr>
          <w:bCs/>
          <w:spacing w:val="-3"/>
        </w:rPr>
        <w:t xml:space="preserve"> </w:t>
      </w:r>
      <w:r w:rsidRPr="000F5D83" w:rsidR="009D7E65">
        <w:rPr>
          <w:bCs/>
          <w:spacing w:val="-3"/>
        </w:rPr>
        <w:t xml:space="preserve">will use a </w:t>
      </w:r>
      <w:r w:rsidRPr="000F5D83" w:rsidR="00A72C20">
        <w:rPr>
          <w:bCs/>
          <w:spacing w:val="-3"/>
        </w:rPr>
        <w:t>two-prong</w:t>
      </w:r>
      <w:r w:rsidRPr="000F5D83" w:rsidR="009D7E65">
        <w:rPr>
          <w:bCs/>
          <w:spacing w:val="-3"/>
        </w:rPr>
        <w:t xml:space="preserve"> approach to identify and select the potential groups of respondents</w:t>
      </w:r>
      <w:r w:rsidRPr="000F5D83" w:rsidR="0002602C">
        <w:rPr>
          <w:bCs/>
          <w:spacing w:val="-3"/>
        </w:rPr>
        <w:t xml:space="preserve">. </w:t>
      </w:r>
      <w:r w:rsidRPr="000F5D83" w:rsidR="00606736">
        <w:rPr>
          <w:bCs/>
          <w:spacing w:val="-3"/>
        </w:rPr>
        <w:t xml:space="preserve">For former postsecondary students, the contractor will use </w:t>
      </w:r>
      <w:r w:rsidRPr="000F5D83" w:rsidR="00E8296D">
        <w:rPr>
          <w:bCs/>
          <w:spacing w:val="-3"/>
        </w:rPr>
        <w:t xml:space="preserve">existing relationships with national and local </w:t>
      </w:r>
      <w:r w:rsidRPr="000F5D83" w:rsidR="00606736">
        <w:rPr>
          <w:bCs/>
          <w:spacing w:val="-3"/>
        </w:rPr>
        <w:t>recruitment firm</w:t>
      </w:r>
      <w:r w:rsidRPr="000F5D83" w:rsidR="00E8296D">
        <w:rPr>
          <w:bCs/>
          <w:spacing w:val="-3"/>
        </w:rPr>
        <w:t>s</w:t>
      </w:r>
      <w:r w:rsidRPr="000F5D83" w:rsidR="0072776E">
        <w:rPr>
          <w:bCs/>
          <w:spacing w:val="-3"/>
        </w:rPr>
        <w:t xml:space="preserve"> who</w:t>
      </w:r>
      <w:r w:rsidRPr="000F5D83" w:rsidR="00862CFF">
        <w:rPr>
          <w:bCs/>
          <w:spacing w:val="-3"/>
        </w:rPr>
        <w:t xml:space="preserve"> have large </w:t>
      </w:r>
      <w:r w:rsidRPr="000F5D83" w:rsidR="00A72C20">
        <w:rPr>
          <w:bCs/>
          <w:spacing w:val="-3"/>
        </w:rPr>
        <w:t>databases of respondents who have already agreed to be research subjects, as well as trained teams skilled at recruiting diverse and representative sets of participants for research projects</w:t>
      </w:r>
      <w:r w:rsidRPr="000F5D83" w:rsidR="00606736">
        <w:rPr>
          <w:bCs/>
          <w:spacing w:val="-3"/>
        </w:rPr>
        <w:t xml:space="preserve">. </w:t>
      </w:r>
    </w:p>
    <w:p w:rsidR="00393C45" w:rsidRPr="000F5D83" w:rsidP="00393C45" w14:paraId="3EEA8266" w14:textId="77777777">
      <w:pPr>
        <w:pStyle w:val="ListParagraph"/>
        <w:spacing w:before="72"/>
        <w:ind w:left="460" w:right="-20"/>
        <w:rPr>
          <w:bCs/>
          <w:spacing w:val="-3"/>
          <w:highlight w:val="yellow"/>
        </w:rPr>
      </w:pPr>
    </w:p>
    <w:p w:rsidR="007353C3" w:rsidRPr="009933C2" w:rsidP="009933C2" w14:paraId="7250C613" w14:textId="08B06A00">
      <w:pPr>
        <w:pStyle w:val="ListParagraph"/>
        <w:spacing w:before="72"/>
        <w:ind w:left="460" w:right="-20"/>
        <w:rPr>
          <w:b/>
          <w:spacing w:val="-3"/>
        </w:rPr>
      </w:pPr>
      <w:r w:rsidRPr="000F5D83">
        <w:rPr>
          <w:bCs/>
          <w:spacing w:val="-3"/>
        </w:rPr>
        <w:t xml:space="preserve">For the </w:t>
      </w:r>
      <w:r w:rsidRPr="000F5D83" w:rsidR="00A3485F">
        <w:rPr>
          <w:bCs/>
          <w:spacing w:val="-3"/>
        </w:rPr>
        <w:t xml:space="preserve">postsecondary </w:t>
      </w:r>
      <w:r w:rsidRPr="000F5D83" w:rsidR="00BC78DB">
        <w:rPr>
          <w:bCs/>
          <w:spacing w:val="-3"/>
        </w:rPr>
        <w:t xml:space="preserve">institution professionals </w:t>
      </w:r>
      <w:r w:rsidRPr="000F5D83" w:rsidR="00564C96">
        <w:rPr>
          <w:bCs/>
          <w:spacing w:val="-3"/>
        </w:rPr>
        <w:t xml:space="preserve">as well as the </w:t>
      </w:r>
      <w:r w:rsidRPr="000F5D83" w:rsidR="00A3485F">
        <w:rPr>
          <w:bCs/>
          <w:spacing w:val="-3"/>
        </w:rPr>
        <w:t xml:space="preserve">institution </w:t>
      </w:r>
      <w:r w:rsidRPr="000F5D83" w:rsidR="00683CA0">
        <w:rPr>
          <w:bCs/>
          <w:spacing w:val="-3"/>
        </w:rPr>
        <w:t xml:space="preserve">leaders who can speak to their institution’s </w:t>
      </w:r>
      <w:r w:rsidRPr="000F5D83" w:rsidR="00DD4981">
        <w:rPr>
          <w:bCs/>
          <w:spacing w:val="-3"/>
        </w:rPr>
        <w:t>initiatives</w:t>
      </w:r>
      <w:r w:rsidRPr="000F5D83" w:rsidR="00683CA0">
        <w:rPr>
          <w:bCs/>
          <w:spacing w:val="-3"/>
        </w:rPr>
        <w:t>/strategies to support Black student completion</w:t>
      </w:r>
      <w:r w:rsidRPr="000F5D83" w:rsidR="00AC373E">
        <w:rPr>
          <w:bCs/>
          <w:spacing w:val="-3"/>
        </w:rPr>
        <w:t xml:space="preserve">, </w:t>
      </w:r>
      <w:r w:rsidRPr="000F5D83" w:rsidR="00796096">
        <w:rPr>
          <w:bCs/>
          <w:spacing w:val="-3"/>
        </w:rPr>
        <w:t>the contractor will oversee recruitment</w:t>
      </w:r>
      <w:r w:rsidRPr="000F5D83" w:rsidR="00375914">
        <w:rPr>
          <w:bCs/>
          <w:spacing w:val="-3"/>
        </w:rPr>
        <w:t>.</w:t>
      </w:r>
      <w:r w:rsidRPr="000F5D83" w:rsidR="00833355">
        <w:rPr>
          <w:bCs/>
        </w:rPr>
        <w:t xml:space="preserve"> </w:t>
      </w:r>
      <w:r w:rsidRPr="000F5D83" w:rsidR="00833355">
        <w:rPr>
          <w:bCs/>
          <w:spacing w:val="-3"/>
        </w:rPr>
        <w:t>Specifically, the contract</w:t>
      </w:r>
      <w:r w:rsidRPr="000F5D83" w:rsidR="005F7514">
        <w:rPr>
          <w:bCs/>
          <w:spacing w:val="-3"/>
        </w:rPr>
        <w:t xml:space="preserve">or </w:t>
      </w:r>
      <w:r w:rsidRPr="000F5D83" w:rsidR="00833355">
        <w:rPr>
          <w:bCs/>
          <w:spacing w:val="-3"/>
        </w:rPr>
        <w:t xml:space="preserve">will reach out by email and telephone to </w:t>
      </w:r>
      <w:r w:rsidRPr="000F5D83" w:rsidR="001520E0">
        <w:rPr>
          <w:bCs/>
          <w:spacing w:val="-3"/>
        </w:rPr>
        <w:t xml:space="preserve">identified postsecondary institutions </w:t>
      </w:r>
      <w:r w:rsidRPr="000F5D83" w:rsidR="00833355">
        <w:rPr>
          <w:bCs/>
          <w:spacing w:val="-3"/>
        </w:rPr>
        <w:t xml:space="preserve">to ask preliminary questions and invite them to participate in a </w:t>
      </w:r>
      <w:r w:rsidRPr="000F5D83" w:rsidR="00AF1E6C">
        <w:rPr>
          <w:bCs/>
          <w:spacing w:val="-3"/>
        </w:rPr>
        <w:t>group interview/</w:t>
      </w:r>
      <w:r w:rsidRPr="000F5D83" w:rsidR="00833355">
        <w:rPr>
          <w:bCs/>
          <w:spacing w:val="-3"/>
        </w:rPr>
        <w:t xml:space="preserve">focus group discussion. </w:t>
      </w:r>
    </w:p>
    <w:p w:rsidR="00393C45" w:rsidRPr="008222BD" w:rsidP="00707842" w14:paraId="66623A79" w14:textId="77777777">
      <w:pPr>
        <w:pStyle w:val="ListParagraph"/>
        <w:spacing w:before="72"/>
        <w:ind w:left="180" w:right="-20"/>
        <w:rPr>
          <w:bCs/>
          <w:spacing w:val="-3"/>
        </w:rPr>
      </w:pPr>
    </w:p>
    <w:p w:rsidR="008C4E6C" w:rsidRPr="00410F81" w:rsidP="00707842" w14:paraId="7250C614" w14:textId="77777777">
      <w:pPr>
        <w:pStyle w:val="ListParagraph"/>
        <w:numPr>
          <w:ilvl w:val="0"/>
          <w:numId w:val="25"/>
        </w:numPr>
        <w:ind w:left="270"/>
        <w:rPr>
          <w:caps/>
        </w:rPr>
      </w:pPr>
      <w:r w:rsidRPr="00AB78E0">
        <w:rPr>
          <w:b/>
          <w:caps/>
        </w:rPr>
        <w:t>Information Collection Procedures</w:t>
      </w:r>
      <w:r w:rsidR="00815E90">
        <w:rPr>
          <w:caps/>
        </w:rPr>
        <w:t>:</w:t>
      </w:r>
    </w:p>
    <w:p w:rsidR="005C0F3F" w:rsidP="003A57EA" w14:paraId="6EC620E6" w14:textId="77777777">
      <w:pPr>
        <w:ind w:left="360"/>
      </w:pPr>
    </w:p>
    <w:p w:rsidR="008C4E6C" w:rsidP="00707842" w14:paraId="7250C615" w14:textId="136397E0">
      <w:r w:rsidRPr="00713D29">
        <w:t>Please summarize the procedures that will be used to collect data from respondents.</w:t>
      </w:r>
    </w:p>
    <w:p w:rsidR="005C0F3F" w:rsidP="005C0F3F" w14:paraId="4FFE01CF" w14:textId="77777777">
      <w:pPr>
        <w:ind w:firstLine="360"/>
        <w:rPr>
          <w:b/>
          <w:bCs/>
        </w:rPr>
      </w:pPr>
    </w:p>
    <w:p w:rsidR="00393C45" w:rsidRPr="000D6864" w:rsidP="00707842" w14:paraId="5C6EE7F1" w14:textId="220772F6">
      <w:pPr>
        <w:rPr>
          <w:highlight w:val="yellow"/>
        </w:rPr>
      </w:pPr>
      <w:r w:rsidRPr="000D6864">
        <w:t xml:space="preserve">For recruitment screening, the contractor will work with established research facilities to contact respondents </w:t>
      </w:r>
      <w:r w:rsidRPr="000D6864" w:rsidR="002F7C07">
        <w:t>or reach out independently via email or telephone</w:t>
      </w:r>
      <w:r w:rsidRPr="000D6864">
        <w:t xml:space="preserve">. </w:t>
      </w:r>
      <w:r w:rsidRPr="000D6864" w:rsidR="003E5075">
        <w:t>In either approach, p</w:t>
      </w:r>
      <w:r w:rsidRPr="000D6864">
        <w:t>otential respondents will be asked a set of screening questions to ensure they meet the criteria for participating in the interviews</w:t>
      </w:r>
      <w:r w:rsidRPr="000D6864" w:rsidR="00EA1691">
        <w:t>/focus groups</w:t>
      </w:r>
      <w:r w:rsidRPr="000D6864">
        <w:t xml:space="preserve">. In the case of the </w:t>
      </w:r>
      <w:r w:rsidRPr="000D6864" w:rsidR="00714593">
        <w:t xml:space="preserve">interviews with </w:t>
      </w:r>
      <w:r w:rsidRPr="000D6864" w:rsidR="00BF51AE">
        <w:t xml:space="preserve">postsecondary staff and </w:t>
      </w:r>
      <w:r w:rsidRPr="000D6864" w:rsidR="000666B0">
        <w:t>institution leaders</w:t>
      </w:r>
      <w:r w:rsidRPr="000D6864" w:rsidR="00BF51AE">
        <w:t>,</w:t>
      </w:r>
      <w:r w:rsidRPr="000D6864" w:rsidR="000666B0">
        <w:t xml:space="preserve"> </w:t>
      </w:r>
      <w:r w:rsidRPr="000D6864">
        <w:t xml:space="preserve">the contractor will collect contact information (name, telephone, e-mail, and mailing address) so that the respondent can receive scheduling information and reminders. </w:t>
      </w:r>
    </w:p>
    <w:p w:rsidR="00393C45" w:rsidRPr="000D6864" w:rsidP="00393C45" w14:paraId="25C4F786" w14:textId="77777777">
      <w:pPr>
        <w:pStyle w:val="ListParagraph"/>
        <w:rPr>
          <w:highlight w:val="yellow"/>
        </w:rPr>
      </w:pPr>
    </w:p>
    <w:p w:rsidR="00393C45" w:rsidRPr="00707842" w:rsidP="00707842" w14:paraId="40ECEDE3" w14:textId="15F64515">
      <w:pPr>
        <w:rPr>
          <w:b/>
          <w:bCs/>
        </w:rPr>
      </w:pPr>
      <w:r w:rsidRPr="000D6864">
        <w:t>In the interviews</w:t>
      </w:r>
      <w:r w:rsidRPr="000D6864" w:rsidR="00EA1691">
        <w:t>/focus groups</w:t>
      </w:r>
      <w:r w:rsidRPr="000D6864">
        <w:t xml:space="preserve"> themselves, the contractor will ask questions in</w:t>
      </w:r>
      <w:r w:rsidRPr="000D6864" w:rsidR="0055340D">
        <w:t>cluded in</w:t>
      </w:r>
      <w:r w:rsidRPr="000D6864">
        <w:t xml:space="preserve"> the interview guides. </w:t>
      </w:r>
      <w:r w:rsidRPr="000D6864" w:rsidR="00556530">
        <w:t>All interviews/focus groups will be conducted virtually</w:t>
      </w:r>
      <w:r w:rsidRPr="000D6864" w:rsidR="00A73B4F">
        <w:t xml:space="preserve"> using an online </w:t>
      </w:r>
      <w:r w:rsidRPr="000D6864" w:rsidR="00A73B4F">
        <w:t xml:space="preserve">meeting platform. </w:t>
      </w:r>
      <w:r w:rsidRPr="000D6864">
        <w:t xml:space="preserve">The contractor will take notes and will also record audio and video for purposes of checking and validating the notes. </w:t>
      </w:r>
      <w:r w:rsidRPr="000D6864" w:rsidR="009722F0">
        <w:t>Interviews/focus groups with participants will be</w:t>
      </w:r>
      <w:r w:rsidRPr="000D6864" w:rsidR="001D54F0">
        <w:t xml:space="preserve"> 60</w:t>
      </w:r>
      <w:r w:rsidRPr="000D6864" w:rsidR="00556530">
        <w:t xml:space="preserve">–90 </w:t>
      </w:r>
      <w:r w:rsidRPr="000D6864" w:rsidR="001D54F0">
        <w:t xml:space="preserve">minutes in duration. </w:t>
      </w:r>
    </w:p>
    <w:p w:rsidR="008C4E6C" w:rsidRPr="008222BD" w:rsidP="008C4E6C" w14:paraId="7250C616" w14:textId="77777777">
      <w:pPr>
        <w:pStyle w:val="ListParagraph"/>
      </w:pPr>
    </w:p>
    <w:p w:rsidR="007353C3" w:rsidRPr="00410F81" w:rsidP="00707842" w14:paraId="7250C617" w14:textId="77777777">
      <w:pPr>
        <w:pStyle w:val="ListParagraph"/>
        <w:widowControl w:val="0"/>
        <w:numPr>
          <w:ilvl w:val="0"/>
          <w:numId w:val="25"/>
        </w:numPr>
        <w:spacing w:before="72"/>
        <w:ind w:left="270"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007353C3" w:rsidRPr="008222BD" w:rsidP="007353C3" w14:paraId="7250C618" w14:textId="77777777">
      <w:pPr>
        <w:spacing w:before="12" w:line="260" w:lineRule="exact"/>
      </w:pPr>
    </w:p>
    <w:p w:rsidR="007353C3" w:rsidP="007353C3" w14:paraId="7250C619" w14:textId="477B4A2D">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A933A9">
        <w:t>X</w:t>
      </w:r>
      <w:r w:rsidRPr="00713D29">
        <w:t>]</w:t>
      </w:r>
      <w:r w:rsidRPr="00713D29">
        <w:rPr>
          <w:spacing w:val="1"/>
        </w:rPr>
        <w:t xml:space="preserve"> </w:t>
      </w:r>
      <w:r w:rsidRPr="00713D29">
        <w:t>Y</w:t>
      </w:r>
      <w:r w:rsidRPr="00713D29">
        <w:rPr>
          <w:spacing w:val="-1"/>
        </w:rPr>
        <w:t>e</w:t>
      </w:r>
      <w:r w:rsidRPr="00713D29">
        <w:t>s  [</w:t>
      </w:r>
      <w:r w:rsidRPr="00713D29">
        <w:t>]</w:t>
      </w:r>
      <w:r w:rsidRPr="00713D29">
        <w:rPr>
          <w:spacing w:val="1"/>
        </w:rPr>
        <w:t xml:space="preserve"> </w:t>
      </w:r>
      <w:r w:rsidRPr="00713D29">
        <w:t>No</w:t>
      </w:r>
    </w:p>
    <w:p w:rsidR="00E717C9" w:rsidP="00E717C9" w14:paraId="1677FF4C" w14:textId="2841D2D0">
      <w:pPr>
        <w:widowControl w:val="0"/>
        <w:ind w:right="-20"/>
      </w:pPr>
    </w:p>
    <w:p w:rsidR="00815E90" w:rsidP="00D6490E"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7250C61C" w14:textId="77777777">
      <w:pPr>
        <w:pStyle w:val="ListParagraph"/>
        <w:rPr>
          <w:spacing w:val="3"/>
        </w:rPr>
      </w:pPr>
    </w:p>
    <w:p w:rsidR="003C4E67" w:rsidRPr="008222BD" w:rsidP="008222BD" w14:paraId="7250C61D" w14:textId="34B4FCBA">
      <w:pPr>
        <w:widowControl w:val="0"/>
        <w:ind w:right="-20" w:firstLine="720"/>
      </w:pPr>
      <w:r w:rsidRPr="00713D29">
        <w:t>[</w:t>
      </w:r>
      <w:r w:rsidRPr="00713D29" w:rsidR="000702CE">
        <w:t xml:space="preserve"> </w:t>
      </w:r>
      <w:r w:rsidR="00906D58">
        <w:t>X</w:t>
      </w:r>
      <w:r w:rsidRPr="00815E90">
        <w:rPr>
          <w:spacing w:val="59"/>
        </w:rPr>
        <w:t xml:space="preserve"> </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 Not Applicable</w:t>
      </w:r>
    </w:p>
    <w:p w:rsidR="007353C3" w:rsidRPr="008222BD" w:rsidP="007353C3" w14:paraId="7250C61E" w14:textId="77777777">
      <w:pPr>
        <w:spacing w:before="16" w:line="260" w:lineRule="exact"/>
      </w:pPr>
    </w:p>
    <w:p w:rsidR="007353C3" w:rsidRPr="008222BD" w:rsidP="007353C3" w14:paraId="7250C61F"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7250C620" w14:textId="6C261D76">
      <w:pPr>
        <w:ind w:left="220" w:right="-20" w:firstLine="500"/>
      </w:pPr>
      <w:r w:rsidRPr="00410F81">
        <w:t>[</w:t>
      </w:r>
      <w:r w:rsidRPr="00713D29" w:rsidR="000702CE">
        <w:t xml:space="preserve"> </w:t>
      </w:r>
      <w:r w:rsidR="003A5FDF">
        <w:t>X</w:t>
      </w:r>
      <w:r w:rsidRPr="00713D29">
        <w:rPr>
          <w:spacing w:val="59"/>
        </w:rPr>
        <w:t xml:space="preserve"> </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t>No</w:t>
      </w:r>
      <w:r w:rsidRPr="00713D29" w:rsidR="000702CE">
        <w:t xml:space="preserve"> </w:t>
      </w:r>
      <w:r w:rsidRPr="00713D29">
        <w:t xml:space="preserve"> [  ] Not Applicable</w:t>
      </w:r>
    </w:p>
    <w:p w:rsidR="008635FB" w:rsidP="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t>Federal Register citation</w:t>
      </w:r>
    </w:p>
    <w:p w:rsidR="0016164C" w:rsidP="00DE78FD" w14:paraId="353335BA" w14:textId="77777777">
      <w:pPr>
        <w:ind w:left="220" w:right="-20" w:firstLine="500"/>
      </w:pPr>
      <w:r>
        <w:t xml:space="preserve">Title: </w:t>
      </w:r>
      <w:r w:rsidRPr="00453EBF" w:rsidR="0080619B">
        <w:t>CFPB.021 – CFPB Consumer Education and Engagement Records</w:t>
      </w:r>
      <w:r w:rsidR="0080619B">
        <w:t xml:space="preserve"> </w:t>
      </w:r>
    </w:p>
    <w:p w:rsidR="00671686" w:rsidRPr="00713D29" w:rsidP="00453EBF" w14:paraId="7250C623" w14:textId="2721E8C6">
      <w:pPr>
        <w:ind w:left="720" w:right="-20" w:firstLine="100"/>
      </w:pPr>
      <w:r>
        <w:t xml:space="preserve">        </w:t>
      </w:r>
      <w:r w:rsidR="0016164C">
        <w:t xml:space="preserve">85 FR </w:t>
      </w:r>
      <w:r w:rsidRPr="00215655" w:rsidR="0016164C">
        <w:t>3662</w:t>
      </w:r>
      <w:r w:rsidR="0016164C">
        <w:t xml:space="preserve"> </w:t>
      </w:r>
      <w:r w:rsidR="008635FB">
        <w:t>___________________________________________________</w:t>
      </w:r>
      <w:r w:rsidRPr="00713D29">
        <w:t>____________.</w:t>
      </w:r>
    </w:p>
    <w:p w:rsidR="00D6490E" w:rsidRPr="00713D29" w:rsidP="007353C3" w14:paraId="7250C624" w14:textId="77777777">
      <w:pPr>
        <w:ind w:left="220" w:right="-20" w:firstLine="500"/>
      </w:pPr>
    </w:p>
    <w:p w:rsidR="006D2392" w:rsidP="006D2392" w14:paraId="267E4C4F" w14:textId="2505C85A">
      <w:pPr>
        <w:spacing w:before="1" w:line="280" w:lineRule="exact"/>
        <w:ind w:left="100" w:firstLine="720"/>
      </w:pPr>
      <w:r w:rsidRPr="008222BD">
        <w:t xml:space="preserve">If applicable, what is the link </w:t>
      </w:r>
      <w:r w:rsidR="00815E90">
        <w:t xml:space="preserve">to </w:t>
      </w:r>
      <w:r w:rsidRPr="008222BD">
        <w:t xml:space="preserve">the Privacy Impact </w:t>
      </w:r>
      <w:r w:rsidR="00FD710F">
        <w:t>Assessment</w:t>
      </w:r>
      <w:r w:rsidRPr="008222BD">
        <w:t>?</w:t>
      </w:r>
    </w:p>
    <w:p w:rsidR="007353C3" w:rsidP="006D2392" w14:paraId="7250C626" w14:textId="5A982B31">
      <w:pPr>
        <w:spacing w:before="1" w:line="280" w:lineRule="exact"/>
        <w:ind w:left="100" w:firstLine="720"/>
      </w:pPr>
      <w:hyperlink r:id="rId8" w:history="1">
        <w:r w:rsidRPr="00C91CE1" w:rsidR="00637E3B">
          <w:rPr>
            <w:rStyle w:val="Hyperlink"/>
          </w:rPr>
          <w:t>https://files.consumerfinance.gov/f/201409_cfpb_consumer-education_pia.pdf</w:t>
        </w:r>
      </w:hyperlink>
    </w:p>
    <w:p w:rsidR="00637E3B" w:rsidRPr="008222BD" w:rsidP="00453EBF" w14:paraId="6A2A64A1" w14:textId="77777777">
      <w:pPr>
        <w:spacing w:before="1" w:line="280" w:lineRule="exact"/>
        <w:ind w:left="100" w:firstLine="720"/>
      </w:pPr>
    </w:p>
    <w:p w:rsidR="007353C3" w:rsidRPr="00410F81" w:rsidP="00DE78FD" w14:paraId="7250C627" w14:textId="77777777">
      <w:pPr>
        <w:pStyle w:val="ListParagraph"/>
        <w:widowControl w:val="0"/>
        <w:numPr>
          <w:ilvl w:val="0"/>
          <w:numId w:val="25"/>
        </w:numPr>
        <w:ind w:left="270" w:right="-20"/>
        <w:rPr>
          <w:caps/>
        </w:rPr>
      </w:pPr>
      <w:r w:rsidRPr="00410F81">
        <w:rPr>
          <w:b/>
          <w:bCs/>
          <w:caps/>
          <w:spacing w:val="-2"/>
        </w:rPr>
        <w:t>INCENTIVES</w:t>
      </w:r>
      <w:r w:rsidRPr="008222BD">
        <w:rPr>
          <w:bCs/>
          <w:caps/>
        </w:rPr>
        <w:t>:</w:t>
      </w:r>
    </w:p>
    <w:p w:rsidR="007353C3" w:rsidRPr="008222BD" w:rsidP="007353C3" w14:paraId="7250C628" w14:textId="77777777">
      <w:pPr>
        <w:spacing w:before="11" w:line="260" w:lineRule="exact"/>
      </w:pPr>
    </w:p>
    <w:p w:rsidR="007353C3" w:rsidRPr="00713D29" w:rsidP="007353C3" w14:paraId="7250C629" w14:textId="47E0CFCD">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E717C9">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7353C3" w:rsidRPr="00713D29" w:rsidP="007353C3" w14:paraId="7250C62B" w14:textId="1C4D7589">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t>$_</w:t>
      </w:r>
      <w:r w:rsidRPr="00084918" w:rsidR="00E717C9">
        <w:t>1</w:t>
      </w:r>
      <w:r w:rsidRPr="00084918" w:rsidR="00834684">
        <w:t>25</w:t>
      </w:r>
      <w:r w:rsidRPr="00410F81">
        <w:t>__________.</w:t>
      </w:r>
    </w:p>
    <w:p w:rsidR="007353C3" w:rsidP="007353C3" w14:paraId="7250C62C" w14:textId="754E98AE">
      <w:pPr>
        <w:pStyle w:val="ListParagraph"/>
      </w:pPr>
    </w:p>
    <w:p w:rsidR="0056158E" w:rsidRPr="000652CF" w:rsidP="00D2421F" w14:paraId="552DCE76" w14:textId="34AF3E26">
      <w:pPr>
        <w:pStyle w:val="ListParagraph"/>
        <w:ind w:left="810" w:right="596"/>
        <w:rPr>
          <w:sz w:val="20"/>
          <w:szCs w:val="20"/>
        </w:rPr>
      </w:pPr>
      <w:r w:rsidRPr="000652CF">
        <w:t>Participants</w:t>
      </w:r>
      <w:r w:rsidRPr="000652CF">
        <w:t xml:space="preserve"> will each receive a stipend of $1</w:t>
      </w:r>
      <w:r w:rsidRPr="000652CF" w:rsidR="00834684">
        <w:t>25</w:t>
      </w:r>
      <w:r w:rsidRPr="000652CF">
        <w:t xml:space="preserve"> for sharing their thoughts and experiences</w:t>
      </w:r>
      <w:r w:rsidRPr="000652CF" w:rsidR="00E92DD1">
        <w:t>.</w:t>
      </w:r>
      <w:r w:rsidRPr="000652CF">
        <w:t xml:space="preserve"> This amount is reasonable given 1) the time commitment of </w:t>
      </w:r>
      <w:r w:rsidRPr="000652CF">
        <w:t>6</w:t>
      </w:r>
      <w:r w:rsidRPr="000652CF" w:rsidR="00E670EB">
        <w:t>0</w:t>
      </w:r>
      <w:r w:rsidRPr="000652CF">
        <w:rPr>
          <w:highlight w:val="yellow"/>
        </w:rPr>
        <w:t xml:space="preserve"> </w:t>
      </w:r>
      <w:r w:rsidRPr="000652CF">
        <w:t xml:space="preserve">minutes for each participant (as well as additional time </w:t>
      </w:r>
      <w:r w:rsidRPr="000652CF" w:rsidR="008545EC">
        <w:t>familiarizing themselves with the platform through which the interviews will be conducted</w:t>
      </w:r>
      <w:r w:rsidRPr="000652CF" w:rsidR="006E3EDD">
        <w:t xml:space="preserve"> for virtual</w:t>
      </w:r>
      <w:r w:rsidRPr="000652CF" w:rsidR="00F55D88">
        <w:t xml:space="preserve"> sessions</w:t>
      </w:r>
      <w:r w:rsidRPr="000652CF">
        <w:t xml:space="preserve">); and 2) the </w:t>
      </w:r>
      <w:r w:rsidRPr="000652CF" w:rsidR="00680203">
        <w:t>complex</w:t>
      </w:r>
      <w:r w:rsidRPr="000652CF">
        <w:t xml:space="preserve"> nature of the topics to be discussed. Specifically, the protocols ask </w:t>
      </w:r>
      <w:r w:rsidRPr="000652CF" w:rsidR="00F46ACA">
        <w:t xml:space="preserve">about </w:t>
      </w:r>
      <w:r w:rsidRPr="000652CF" w:rsidR="00685CD0">
        <w:t xml:space="preserve">the </w:t>
      </w:r>
      <w:r w:rsidRPr="000652CF" w:rsidR="00A4783C">
        <w:t xml:space="preserve">facilitators and </w:t>
      </w:r>
      <w:r w:rsidRPr="000652CF" w:rsidR="00685CD0">
        <w:t>barriers</w:t>
      </w:r>
      <w:r w:rsidRPr="000652CF" w:rsidR="00676163">
        <w:t xml:space="preserve"> </w:t>
      </w:r>
      <w:r w:rsidRPr="000652CF">
        <w:t xml:space="preserve">to </w:t>
      </w:r>
      <w:r w:rsidRPr="000652CF" w:rsidR="00685CD0">
        <w:t xml:space="preserve">college completion </w:t>
      </w:r>
      <w:r w:rsidRPr="000652CF" w:rsidR="00A83B49">
        <w:t>for Black students</w:t>
      </w:r>
      <w:r w:rsidRPr="000652CF" w:rsidR="00F46ACA">
        <w:t xml:space="preserve">. </w:t>
      </w:r>
      <w:r w:rsidRPr="000652CF" w:rsidR="00B61230">
        <w:t xml:space="preserve">Participants are asked </w:t>
      </w:r>
      <w:r w:rsidRPr="000652CF">
        <w:t>describe</w:t>
      </w:r>
      <w:r w:rsidRPr="000652CF">
        <w:t xml:space="preserve"> their experiences in detail,</w:t>
      </w:r>
      <w:r w:rsidRPr="000652CF" w:rsidR="00E670EB">
        <w:t xml:space="preserve"> including </w:t>
      </w:r>
      <w:r w:rsidRPr="000652CF">
        <w:t xml:space="preserve">the </w:t>
      </w:r>
      <w:r w:rsidRPr="000652CF" w:rsidR="00A83B49">
        <w:t>issues</w:t>
      </w:r>
      <w:r w:rsidRPr="000652CF">
        <w:t xml:space="preserve"> of </w:t>
      </w:r>
      <w:r w:rsidRPr="000652CF" w:rsidR="00A83B49">
        <w:t xml:space="preserve">noncompletion </w:t>
      </w:r>
      <w:r w:rsidRPr="000652CF" w:rsidR="00A157BE">
        <w:t>faced by Black students</w:t>
      </w:r>
      <w:r w:rsidRPr="000652CF" w:rsidR="00A83B49">
        <w:t>.</w:t>
      </w:r>
      <w:r w:rsidRPr="000652CF">
        <w:t xml:space="preserve"> These topics may be emotionally challenging for </w:t>
      </w:r>
      <w:r w:rsidRPr="000652CF" w:rsidR="00B020AF">
        <w:t>participants,</w:t>
      </w:r>
      <w:r w:rsidRPr="000652CF">
        <w:t xml:space="preserve"> and we want to recognize the value their </w:t>
      </w:r>
      <w:r w:rsidRPr="000652CF" w:rsidR="00C93BF8">
        <w:t>contributions to this research</w:t>
      </w:r>
      <w:r w:rsidRPr="000652CF">
        <w:t xml:space="preserve"> by providing ample incentive. </w:t>
      </w:r>
      <w:r w:rsidRPr="000652CF" w:rsidR="00C84330">
        <w:t xml:space="preserve">This is added to the already challenging criteria of finding </w:t>
      </w:r>
      <w:r w:rsidRPr="000652CF" w:rsidR="00A157BE">
        <w:t>individuals</w:t>
      </w:r>
      <w:r w:rsidRPr="000652CF" w:rsidR="00C84330">
        <w:t xml:space="preserve"> who are willing to participate during the pandemic.</w:t>
      </w:r>
    </w:p>
    <w:p w:rsidR="0056158E" w:rsidRPr="000652CF" w:rsidP="0056158E" w14:paraId="5956594F" w14:textId="77777777">
      <w:pPr>
        <w:ind w:right="596"/>
        <w:rPr>
          <w:highlight w:val="yellow"/>
        </w:rPr>
      </w:pPr>
    </w:p>
    <w:p w:rsidR="00E717C9" w:rsidRPr="00EB5A98" w:rsidP="00440559" w14:paraId="4A5F1DAC" w14:textId="25FD26F6">
      <w:pPr>
        <w:pStyle w:val="ListParagraph"/>
        <w:ind w:left="820" w:right="596"/>
        <w:rPr>
          <w:b/>
          <w:bCs/>
        </w:rPr>
      </w:pPr>
      <w:r w:rsidRPr="000652CF">
        <w:t xml:space="preserve">The recruitment criteria are </w:t>
      </w:r>
      <w:r w:rsidRPr="000652CF" w:rsidR="00C93BF8">
        <w:t xml:space="preserve">also </w:t>
      </w:r>
      <w:r w:rsidRPr="000652CF">
        <w:t>quite challenging</w:t>
      </w:r>
      <w:r w:rsidRPr="000652CF" w:rsidR="005C0A38">
        <w:t xml:space="preserve">. One of the goals of this data collection is to ensure the inclusion of perspectives from a diverse set of </w:t>
      </w:r>
      <w:r w:rsidRPr="000652CF" w:rsidR="002145BB">
        <w:t>geographic areas</w:t>
      </w:r>
      <w:r w:rsidRPr="000652CF" w:rsidR="00D85936">
        <w:t xml:space="preserve">, including </w:t>
      </w:r>
      <w:r w:rsidRPr="000652CF" w:rsidR="006C734F">
        <w:t xml:space="preserve">(1) </w:t>
      </w:r>
      <w:r w:rsidRPr="000652CF" w:rsidR="00D85936">
        <w:t>urban, rural,</w:t>
      </w:r>
      <w:r w:rsidRPr="000652CF" w:rsidR="005C0A38">
        <w:t xml:space="preserve"> and </w:t>
      </w:r>
      <w:r w:rsidRPr="000652CF" w:rsidR="00D85936">
        <w:t xml:space="preserve">suburban locales, </w:t>
      </w:r>
      <w:r w:rsidRPr="000652CF" w:rsidR="006C734F">
        <w:t xml:space="preserve">(2) </w:t>
      </w:r>
      <w:r w:rsidRPr="000652CF" w:rsidR="00D85936">
        <w:t>states</w:t>
      </w:r>
      <w:r w:rsidRPr="000652CF" w:rsidR="006C734F">
        <w:t xml:space="preserve"> that offer free community college grants or tuition waivers as well as those who do not,</w:t>
      </w:r>
      <w:r w:rsidRPr="000652CF" w:rsidR="005C0A38">
        <w:t xml:space="preserve"> and </w:t>
      </w:r>
      <w:r w:rsidRPr="000652CF" w:rsidR="00DF044E">
        <w:t>(3)</w:t>
      </w:r>
      <w:r w:rsidRPr="000652CF" w:rsidR="00936BFB">
        <w:t xml:space="preserve"> </w:t>
      </w:r>
      <w:r w:rsidRPr="000652CF" w:rsidR="00786B9E">
        <w:t xml:space="preserve">states within </w:t>
      </w:r>
      <w:r w:rsidRPr="000652CF" w:rsidR="005C0A38">
        <w:t xml:space="preserve">the </w:t>
      </w:r>
      <w:r w:rsidRPr="000652CF" w:rsidR="00936BFB">
        <w:t>six accred</w:t>
      </w:r>
      <w:r w:rsidRPr="000652CF" w:rsidR="00464795">
        <w:t>itation</w:t>
      </w:r>
      <w:r w:rsidRPr="000652CF" w:rsidR="00936BFB">
        <w:t xml:space="preserve"> regions.</w:t>
      </w:r>
      <w:r w:rsidRPr="000652CF" w:rsidR="005C0A38">
        <w:t xml:space="preserve"> </w:t>
      </w:r>
      <w:r w:rsidRPr="000652CF" w:rsidR="00440559">
        <w:t xml:space="preserve">Given the specificity of the criteria </w:t>
      </w:r>
      <w:r w:rsidRPr="000652CF">
        <w:t xml:space="preserve">and the logistical constraints of scheduling, we and our contractor believe </w:t>
      </w:r>
      <w:r w:rsidRPr="000652CF">
        <w:t xml:space="preserve">that offering an incentive will be necessary </w:t>
      </w:r>
      <w:r w:rsidRPr="000652CF">
        <w:t>in order to</w:t>
      </w:r>
      <w:r w:rsidRPr="000652CF">
        <w:t xml:space="preserve"> ensure successful recruitment. Our contractor has conducted some initial market research for this effort and has concluded that an incentive of $</w:t>
      </w:r>
      <w:r w:rsidRPr="000652CF" w:rsidR="00666427">
        <w:t>1</w:t>
      </w:r>
      <w:r w:rsidRPr="000652CF" w:rsidR="00F25038">
        <w:t>25</w:t>
      </w:r>
      <w:r w:rsidRPr="000652CF">
        <w:t xml:space="preserve"> is the minimum incentive that would be necessary to ensure successful recruitment.</w:t>
      </w:r>
    </w:p>
    <w:p w:rsidR="00E717C9" w:rsidRPr="00713D29" w:rsidP="007353C3" w14:paraId="634432D6" w14:textId="77777777">
      <w:pPr>
        <w:pStyle w:val="ListParagraph"/>
      </w:pPr>
    </w:p>
    <w:p w:rsidR="00F8707B" w:rsidRPr="00410F81" w:rsidP="008C4E6C" w14:paraId="7250C62D" w14:textId="77777777">
      <w:pPr>
        <w:pStyle w:val="ListParagraph"/>
        <w:numPr>
          <w:ilvl w:val="0"/>
          <w:numId w:val="25"/>
        </w:numPr>
      </w:pPr>
      <w:r w:rsidRPr="00410F81">
        <w:rPr>
          <w:b/>
          <w:caps/>
        </w:rPr>
        <w:t>Assurances of Confidentiality</w:t>
      </w:r>
      <w:r w:rsidRPr="008222BD">
        <w:t>:</w:t>
      </w:r>
    </w:p>
    <w:p w:rsidR="008C4E6C" w:rsidRPr="00713D29" w:rsidP="008C4E6C" w14:paraId="7250C62E" w14:textId="77777777"/>
    <w:p w:rsidR="00F8707B" w:rsidRPr="00713D29" w:rsidP="008C4E6C" w14:paraId="7250C62F" w14:textId="68BBAFB9">
      <w:pPr>
        <w:pStyle w:val="ListParagraph"/>
        <w:numPr>
          <w:ilvl w:val="0"/>
          <w:numId w:val="28"/>
        </w:numPr>
      </w:pPr>
      <w:r w:rsidRPr="00713D29">
        <w:t>Will a pledge of confidentiality be made to respondents? [  ] Yes  [</w:t>
      </w:r>
      <w:r w:rsidR="00666427">
        <w:t>X</w:t>
      </w:r>
      <w:r w:rsidRPr="00713D29">
        <w:t>] No</w:t>
      </w:r>
    </w:p>
    <w:p w:rsidR="00F8707B" w:rsidRPr="00713D29" w:rsidP="00F8707B" w14:paraId="7250C630" w14:textId="77777777">
      <w:pPr>
        <w:pStyle w:val="ListParagraph"/>
        <w:ind w:left="360"/>
      </w:pPr>
    </w:p>
    <w:p w:rsidR="00F8707B" w:rsidRPr="00713D29" w:rsidP="008C4E6C"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F8707B" w:rsidRPr="00713D29" w:rsidP="00F8707B" w14:paraId="7250C632" w14:textId="77777777"/>
    <w:p w:rsidR="00F8707B" w:rsidP="008C4E6C" w14:paraId="7250C633" w14:textId="37081D6B">
      <w:pPr>
        <w:pStyle w:val="ListParagraph"/>
        <w:numPr>
          <w:ilvl w:val="0"/>
          <w:numId w:val="25"/>
        </w:numPr>
      </w:pPr>
      <w:r w:rsidRPr="00AB78E0">
        <w:rPr>
          <w:b/>
        </w:rPr>
        <w:t>JUSTIFICATION OF SENSITIVE QUESTIONS (if applicable)</w:t>
      </w:r>
      <w:r w:rsidRPr="008222BD">
        <w:t>:</w:t>
      </w:r>
      <w:r w:rsidR="00B201ED">
        <w:t xml:space="preserve"> </w:t>
      </w:r>
    </w:p>
    <w:p w:rsidR="005706FB" w:rsidP="005706FB" w14:paraId="6426C7FB" w14:textId="77777777"/>
    <w:p w:rsidR="005706FB" w:rsidRPr="000652CF" w:rsidP="005706FB" w14:paraId="0DEBEB84" w14:textId="1FCBB392">
      <w:pPr>
        <w:ind w:left="360"/>
      </w:pPr>
      <w:r w:rsidRPr="000652CF">
        <w:t xml:space="preserve">The goal of this study is to learn </w:t>
      </w:r>
      <w:r w:rsidRPr="000652CF" w:rsidR="008666C1">
        <w:t xml:space="preserve">research and document </w:t>
      </w:r>
      <w:r w:rsidRPr="000652CF" w:rsidR="00423C72">
        <w:t>facilitators</w:t>
      </w:r>
      <w:r w:rsidRPr="000652CF" w:rsidR="00084918">
        <w:t xml:space="preserve"> and</w:t>
      </w:r>
      <w:r w:rsidRPr="000652CF" w:rsidR="00423C72">
        <w:t xml:space="preserve"> </w:t>
      </w:r>
      <w:r w:rsidRPr="000652CF" w:rsidR="008666C1">
        <w:t xml:space="preserve">barriers to college completion and learn </w:t>
      </w:r>
      <w:r w:rsidRPr="000652CF">
        <w:t xml:space="preserve">more about </w:t>
      </w:r>
      <w:r w:rsidRPr="000652CF" w:rsidR="008666C1">
        <w:t xml:space="preserve">issues of racial disparities in college completion rates, </w:t>
      </w:r>
      <w:r w:rsidRPr="000652CF">
        <w:t xml:space="preserve">the </w:t>
      </w:r>
      <w:r w:rsidRPr="000652CF" w:rsidR="008666C1">
        <w:t>economic consequences</w:t>
      </w:r>
      <w:r w:rsidRPr="000652CF" w:rsidR="009B0F92">
        <w:t xml:space="preserve"> of </w:t>
      </w:r>
      <w:r w:rsidRPr="000652CF" w:rsidR="008666C1">
        <w:t>lower college completion rates, and ways CFPB can help improve these outcomes</w:t>
      </w:r>
      <w:r w:rsidRPr="000652CF" w:rsidR="009B0F92">
        <w:t xml:space="preserve">. </w:t>
      </w:r>
      <w:r w:rsidRPr="000652CF" w:rsidR="00B87680">
        <w:t xml:space="preserve">Given these objectives, it will be necessary to ask some questions about </w:t>
      </w:r>
      <w:r w:rsidRPr="000652CF" w:rsidR="004C4BB4">
        <w:t>participants’</w:t>
      </w:r>
      <w:r w:rsidRPr="000652CF" w:rsidR="00B87680">
        <w:t xml:space="preserve"> experience with </w:t>
      </w:r>
      <w:r w:rsidRPr="000652CF" w:rsidR="006A5812">
        <w:t>personal and societal factors</w:t>
      </w:r>
      <w:r w:rsidRPr="000652CF" w:rsidR="00B87680">
        <w:t xml:space="preserve"> </w:t>
      </w:r>
      <w:r w:rsidRPr="000652CF" w:rsidR="00117950">
        <w:t xml:space="preserve">that </w:t>
      </w:r>
      <w:r w:rsidRPr="000652CF" w:rsidR="006A5812">
        <w:t>make college di</w:t>
      </w:r>
      <w:r w:rsidRPr="000652CF" w:rsidR="00D439BA">
        <w:t xml:space="preserve">fficult which </w:t>
      </w:r>
      <w:r w:rsidRPr="000652CF" w:rsidR="00117950">
        <w:t xml:space="preserve">could touch on sensitive issues. </w:t>
      </w:r>
      <w:r w:rsidRPr="000652CF" w:rsidR="00FE2F83">
        <w:t>The contractor that will be conducting the interviews has ex</w:t>
      </w:r>
      <w:r w:rsidRPr="000652CF" w:rsidR="0054364E">
        <w:t xml:space="preserve">tensive experience </w:t>
      </w:r>
      <w:r w:rsidRPr="000652CF" w:rsidR="00B32B4A">
        <w:t>conducting research on sensitive topics</w:t>
      </w:r>
      <w:r w:rsidRPr="000652CF" w:rsidR="006F6D66">
        <w:t xml:space="preserve">. Participants will be informed before the interviews that all questions are </w:t>
      </w:r>
      <w:r w:rsidRPr="000652CF" w:rsidR="00B020AF">
        <w:t>voluntary,</w:t>
      </w:r>
      <w:r w:rsidRPr="000652CF" w:rsidR="006F6D66">
        <w:t xml:space="preserve"> and they can end the interview at any time, and</w:t>
      </w:r>
      <w:r w:rsidRPr="000652CF" w:rsidR="00C4003F">
        <w:t xml:space="preserve"> </w:t>
      </w:r>
      <w:r w:rsidRPr="000652CF" w:rsidR="006F6D66">
        <w:t>interviews will be terminated if participants express any kind of distress.</w:t>
      </w:r>
    </w:p>
    <w:p w:rsidR="00F8707B" w:rsidRPr="008222BD" w:rsidP="00F8707B" w14:paraId="7250C634" w14:textId="77777777"/>
    <w:p w:rsidR="005E714A" w:rsidRPr="008222BD" w:rsidP="008C4E6C" w14:paraId="7250C635" w14:textId="77777777">
      <w:pPr>
        <w:pStyle w:val="ListParagraph"/>
        <w:numPr>
          <w:ilvl w:val="0"/>
          <w:numId w:val="25"/>
        </w:numPr>
      </w:pPr>
      <w:r w:rsidRPr="00AB78E0">
        <w:rPr>
          <w:b/>
        </w:rPr>
        <w:t>BURDEN HOUR</w:t>
      </w:r>
      <w:r w:rsidRPr="00AB78E0" w:rsidR="00441434">
        <w:rPr>
          <w:b/>
        </w:rPr>
        <w:t>S</w:t>
      </w:r>
      <w:r w:rsidRPr="008222BD" w:rsidR="008C4E6C">
        <w:t>:</w:t>
      </w:r>
    </w:p>
    <w:p w:rsidR="006832D9" w:rsidRPr="008222BD" w:rsidP="00F3170F" w14:paraId="7250C636" w14:textId="77777777">
      <w:pPr>
        <w:keepNext/>
        <w:keepLines/>
      </w:pPr>
    </w:p>
    <w:tbl>
      <w:tblPr>
        <w:tblStyle w:val="TableGrid"/>
        <w:tblW w:w="10368" w:type="dxa"/>
        <w:tblLayout w:type="fixed"/>
        <w:tblLook w:val="01E0"/>
      </w:tblPr>
      <w:tblGrid>
        <w:gridCol w:w="2808"/>
        <w:gridCol w:w="1890"/>
        <w:gridCol w:w="1350"/>
        <w:gridCol w:w="1350"/>
        <w:gridCol w:w="1440"/>
        <w:gridCol w:w="1530"/>
      </w:tblGrid>
      <w:tr w14:paraId="7250C63F" w14:textId="77777777" w:rsidTr="00FF336D">
        <w:tblPrEx>
          <w:tblW w:w="10368" w:type="dxa"/>
          <w:tblLayout w:type="fixed"/>
          <w:tblLook w:val="01E0"/>
        </w:tblPrEx>
        <w:trPr>
          <w:trHeight w:val="274"/>
        </w:trPr>
        <w:tc>
          <w:tcPr>
            <w:tcW w:w="2808" w:type="dxa"/>
            <w:shd w:val="clear" w:color="auto" w:fill="D9D9D9" w:themeFill="background1" w:themeFillShade="D9"/>
          </w:tcPr>
          <w:p w:rsidR="004564BF" w:rsidRPr="00A31025" w:rsidP="00C8488C" w14:paraId="7250C637" w14:textId="77777777">
            <w:pPr>
              <w:rPr>
                <w:b/>
                <w:sz w:val="20"/>
                <w:szCs w:val="20"/>
              </w:rPr>
            </w:pPr>
            <w:r w:rsidRPr="00A31025">
              <w:rPr>
                <w:b/>
                <w:sz w:val="20"/>
                <w:szCs w:val="20"/>
              </w:rPr>
              <w:t>Collection of Information</w:t>
            </w:r>
          </w:p>
        </w:tc>
        <w:tc>
          <w:tcPr>
            <w:tcW w:w="1890" w:type="dxa"/>
            <w:shd w:val="clear" w:color="auto" w:fill="D9D9D9" w:themeFill="background1" w:themeFillShade="D9"/>
          </w:tcPr>
          <w:p w:rsidR="004564BF" w:rsidRPr="00A31025" w:rsidP="00AC7F7A" w14:paraId="7250C638" w14:textId="77777777">
            <w:pPr>
              <w:jc w:val="center"/>
              <w:rPr>
                <w:b/>
                <w:sz w:val="20"/>
                <w:szCs w:val="20"/>
              </w:rPr>
            </w:pPr>
            <w:r w:rsidRPr="00A31025">
              <w:rPr>
                <w:b/>
                <w:sz w:val="20"/>
                <w:szCs w:val="20"/>
              </w:rPr>
              <w:t>Number of Respondents</w:t>
            </w:r>
          </w:p>
        </w:tc>
        <w:tc>
          <w:tcPr>
            <w:tcW w:w="1350" w:type="dxa"/>
            <w:shd w:val="clear" w:color="auto" w:fill="D9D9D9" w:themeFill="background1" w:themeFillShade="D9"/>
          </w:tcPr>
          <w:p w:rsidR="004564BF" w:rsidRPr="00A31025" w:rsidP="00AC7F7A" w14:paraId="7250C639" w14:textId="77777777">
            <w:pPr>
              <w:jc w:val="center"/>
              <w:rPr>
                <w:b/>
                <w:sz w:val="20"/>
                <w:szCs w:val="20"/>
              </w:rPr>
            </w:pPr>
            <w:r w:rsidRPr="00A31025">
              <w:rPr>
                <w:b/>
                <w:sz w:val="20"/>
                <w:szCs w:val="20"/>
              </w:rPr>
              <w:t>Frequency</w:t>
            </w:r>
          </w:p>
        </w:tc>
        <w:tc>
          <w:tcPr>
            <w:tcW w:w="1350" w:type="dxa"/>
            <w:shd w:val="clear" w:color="auto" w:fill="D9D9D9" w:themeFill="background1" w:themeFillShade="D9"/>
          </w:tcPr>
          <w:p w:rsidR="004564BF" w:rsidRPr="00A31025" w:rsidP="00AC7F7A" w14:paraId="7250C63A" w14:textId="77777777">
            <w:pPr>
              <w:jc w:val="center"/>
              <w:rPr>
                <w:b/>
                <w:sz w:val="20"/>
                <w:szCs w:val="20"/>
              </w:rPr>
            </w:pPr>
            <w:r w:rsidRPr="00A31025">
              <w:rPr>
                <w:b/>
                <w:sz w:val="20"/>
                <w:szCs w:val="20"/>
              </w:rPr>
              <w:t>Number of Responses</w:t>
            </w:r>
          </w:p>
        </w:tc>
        <w:tc>
          <w:tcPr>
            <w:tcW w:w="1440" w:type="dxa"/>
            <w:shd w:val="clear" w:color="auto" w:fill="D9D9D9" w:themeFill="background1" w:themeFillShade="D9"/>
          </w:tcPr>
          <w:p w:rsidR="004564BF" w:rsidRPr="00A31025" w:rsidP="00AC7F7A" w14:paraId="7250C63B" w14:textId="77777777">
            <w:pPr>
              <w:jc w:val="center"/>
              <w:rPr>
                <w:b/>
                <w:sz w:val="20"/>
                <w:szCs w:val="20"/>
              </w:rPr>
            </w:pPr>
            <w:r w:rsidRPr="00A31025">
              <w:rPr>
                <w:b/>
                <w:sz w:val="20"/>
                <w:szCs w:val="20"/>
              </w:rPr>
              <w:t>Response Time</w:t>
            </w:r>
          </w:p>
          <w:p w:rsidR="004564BF" w:rsidRPr="00A31025" w:rsidP="00AC7F7A" w14:paraId="7250C63C" w14:textId="77777777">
            <w:pPr>
              <w:jc w:val="center"/>
              <w:rPr>
                <w:b/>
                <w:sz w:val="20"/>
                <w:szCs w:val="20"/>
              </w:rPr>
            </w:pPr>
            <w:r w:rsidRPr="00A31025">
              <w:rPr>
                <w:b/>
                <w:sz w:val="20"/>
                <w:szCs w:val="20"/>
              </w:rPr>
              <w:t>(hours)</w:t>
            </w:r>
          </w:p>
        </w:tc>
        <w:tc>
          <w:tcPr>
            <w:tcW w:w="1530" w:type="dxa"/>
            <w:shd w:val="clear" w:color="auto" w:fill="D9D9D9" w:themeFill="background1" w:themeFillShade="D9"/>
          </w:tcPr>
          <w:p w:rsidR="004564BF" w:rsidRPr="00A31025" w:rsidP="00AC7F7A" w14:paraId="7250C63D" w14:textId="002C6355">
            <w:pPr>
              <w:jc w:val="center"/>
              <w:rPr>
                <w:b/>
                <w:sz w:val="20"/>
                <w:szCs w:val="20"/>
              </w:rPr>
            </w:pPr>
            <w:r w:rsidRPr="00A31025">
              <w:rPr>
                <w:b/>
                <w:sz w:val="20"/>
                <w:szCs w:val="20"/>
              </w:rPr>
              <w:t>Burden</w:t>
            </w:r>
          </w:p>
          <w:p w:rsidR="004564BF" w:rsidRPr="00A31025" w:rsidP="00AC7F7A" w14:paraId="7250C63E" w14:textId="77777777">
            <w:pPr>
              <w:jc w:val="center"/>
              <w:rPr>
                <w:b/>
                <w:sz w:val="20"/>
                <w:szCs w:val="20"/>
              </w:rPr>
            </w:pPr>
            <w:r w:rsidRPr="00A31025">
              <w:rPr>
                <w:b/>
                <w:sz w:val="20"/>
                <w:szCs w:val="20"/>
              </w:rPr>
              <w:t>(hours)</w:t>
            </w:r>
          </w:p>
        </w:tc>
      </w:tr>
      <w:tr w14:paraId="7250C646" w14:textId="77777777" w:rsidTr="00FF336D">
        <w:tblPrEx>
          <w:tblW w:w="10368" w:type="dxa"/>
          <w:tblLayout w:type="fixed"/>
          <w:tblLook w:val="01E0"/>
        </w:tblPrEx>
        <w:trPr>
          <w:trHeight w:val="274"/>
        </w:trPr>
        <w:tc>
          <w:tcPr>
            <w:tcW w:w="2808" w:type="dxa"/>
          </w:tcPr>
          <w:p w:rsidR="004564BF" w:rsidRPr="00A31025" w:rsidP="00843796" w14:paraId="7250C640" w14:textId="7C2ACC1E">
            <w:pPr>
              <w:rPr>
                <w:sz w:val="20"/>
                <w:szCs w:val="20"/>
              </w:rPr>
            </w:pPr>
            <w:r w:rsidRPr="00A31025">
              <w:rPr>
                <w:sz w:val="20"/>
                <w:szCs w:val="20"/>
              </w:rPr>
              <w:t>Recruitment screening</w:t>
            </w:r>
          </w:p>
        </w:tc>
        <w:tc>
          <w:tcPr>
            <w:tcW w:w="1890" w:type="dxa"/>
          </w:tcPr>
          <w:p w:rsidR="004564BF" w:rsidRPr="00A31025" w:rsidP="00843796" w14:paraId="7250C641" w14:textId="7C4F2824">
            <w:pPr>
              <w:rPr>
                <w:sz w:val="20"/>
                <w:szCs w:val="20"/>
              </w:rPr>
            </w:pPr>
            <w:r w:rsidRPr="00A31025">
              <w:rPr>
                <w:sz w:val="20"/>
                <w:szCs w:val="20"/>
              </w:rPr>
              <w:t>1</w:t>
            </w:r>
            <w:r w:rsidRPr="00A31025" w:rsidR="00A31025">
              <w:rPr>
                <w:sz w:val="20"/>
                <w:szCs w:val="20"/>
              </w:rPr>
              <w:t>,</w:t>
            </w:r>
            <w:r w:rsidRPr="00A31025">
              <w:rPr>
                <w:sz w:val="20"/>
                <w:szCs w:val="20"/>
              </w:rPr>
              <w:t>0</w:t>
            </w:r>
            <w:r w:rsidRPr="00A31025" w:rsidR="00BC6FBA">
              <w:rPr>
                <w:sz w:val="20"/>
                <w:szCs w:val="20"/>
              </w:rPr>
              <w:t>00</w:t>
            </w:r>
          </w:p>
        </w:tc>
        <w:tc>
          <w:tcPr>
            <w:tcW w:w="1350" w:type="dxa"/>
          </w:tcPr>
          <w:p w:rsidR="004564BF" w:rsidRPr="00A31025" w:rsidP="00843796" w14:paraId="7250C642" w14:textId="2509E0F5">
            <w:pPr>
              <w:rPr>
                <w:sz w:val="20"/>
                <w:szCs w:val="20"/>
              </w:rPr>
            </w:pPr>
            <w:r w:rsidRPr="00A31025">
              <w:rPr>
                <w:sz w:val="20"/>
                <w:szCs w:val="20"/>
              </w:rPr>
              <w:t>1</w:t>
            </w:r>
          </w:p>
        </w:tc>
        <w:tc>
          <w:tcPr>
            <w:tcW w:w="1350" w:type="dxa"/>
          </w:tcPr>
          <w:p w:rsidR="004564BF" w:rsidRPr="00A31025" w:rsidP="00843796" w14:paraId="7250C643" w14:textId="03C3F5D4">
            <w:pPr>
              <w:rPr>
                <w:sz w:val="20"/>
                <w:szCs w:val="20"/>
              </w:rPr>
            </w:pPr>
            <w:r w:rsidRPr="00A31025">
              <w:rPr>
                <w:sz w:val="20"/>
                <w:szCs w:val="20"/>
              </w:rPr>
              <w:t>1</w:t>
            </w:r>
            <w:r w:rsidRPr="00A31025" w:rsidR="00A31025">
              <w:rPr>
                <w:sz w:val="20"/>
                <w:szCs w:val="20"/>
              </w:rPr>
              <w:t>,</w:t>
            </w:r>
            <w:r w:rsidRPr="00A31025">
              <w:rPr>
                <w:sz w:val="20"/>
                <w:szCs w:val="20"/>
              </w:rPr>
              <w:t>0</w:t>
            </w:r>
            <w:r w:rsidRPr="00A31025" w:rsidR="008E50A5">
              <w:rPr>
                <w:sz w:val="20"/>
                <w:szCs w:val="20"/>
              </w:rPr>
              <w:t>00</w:t>
            </w:r>
          </w:p>
        </w:tc>
        <w:tc>
          <w:tcPr>
            <w:tcW w:w="1440" w:type="dxa"/>
          </w:tcPr>
          <w:p w:rsidR="004564BF" w:rsidRPr="00A31025" w:rsidP="00843796" w14:paraId="7250C644" w14:textId="73EDEEDB">
            <w:pPr>
              <w:rPr>
                <w:sz w:val="20"/>
                <w:szCs w:val="20"/>
              </w:rPr>
            </w:pPr>
            <w:r w:rsidRPr="00A31025">
              <w:rPr>
                <w:sz w:val="20"/>
                <w:szCs w:val="20"/>
              </w:rPr>
              <w:t xml:space="preserve">0.1 </w:t>
            </w:r>
          </w:p>
        </w:tc>
        <w:tc>
          <w:tcPr>
            <w:tcW w:w="1530" w:type="dxa"/>
          </w:tcPr>
          <w:p w:rsidR="004564BF" w:rsidRPr="00A31025" w:rsidP="00843796" w14:paraId="7250C645" w14:textId="62EEFDEA">
            <w:pPr>
              <w:rPr>
                <w:sz w:val="20"/>
                <w:szCs w:val="20"/>
              </w:rPr>
            </w:pPr>
            <w:r w:rsidRPr="00A31025">
              <w:rPr>
                <w:sz w:val="20"/>
                <w:szCs w:val="20"/>
              </w:rPr>
              <w:t>10</w:t>
            </w:r>
            <w:r w:rsidRPr="00A31025" w:rsidR="00666427">
              <w:rPr>
                <w:sz w:val="20"/>
                <w:szCs w:val="20"/>
              </w:rPr>
              <w:t>0</w:t>
            </w:r>
          </w:p>
        </w:tc>
      </w:tr>
      <w:tr w14:paraId="364D2A59" w14:textId="77777777" w:rsidTr="00FF336D">
        <w:tblPrEx>
          <w:tblW w:w="10368" w:type="dxa"/>
          <w:tblLayout w:type="fixed"/>
          <w:tblLook w:val="01E0"/>
        </w:tblPrEx>
        <w:trPr>
          <w:trHeight w:val="274"/>
        </w:trPr>
        <w:tc>
          <w:tcPr>
            <w:tcW w:w="2808" w:type="dxa"/>
          </w:tcPr>
          <w:p w:rsidR="008C4D6B" w:rsidRPr="00A31025" w:rsidP="00843796" w14:paraId="11CB479C" w14:textId="67294FE6">
            <w:pPr>
              <w:rPr>
                <w:sz w:val="20"/>
                <w:szCs w:val="20"/>
              </w:rPr>
            </w:pPr>
            <w:r w:rsidRPr="00A31025">
              <w:rPr>
                <w:sz w:val="20"/>
                <w:szCs w:val="20"/>
              </w:rPr>
              <w:t xml:space="preserve">Black former college student participant </w:t>
            </w:r>
            <w:r w:rsidRPr="00A31025" w:rsidR="00FC7E24">
              <w:rPr>
                <w:sz w:val="20"/>
                <w:szCs w:val="20"/>
              </w:rPr>
              <w:t>questionnaire</w:t>
            </w:r>
          </w:p>
        </w:tc>
        <w:tc>
          <w:tcPr>
            <w:tcW w:w="1890" w:type="dxa"/>
          </w:tcPr>
          <w:p w:rsidR="008C4D6B" w:rsidRPr="00A31025" w:rsidP="00843796" w14:paraId="3E86E238" w14:textId="36EB072B">
            <w:pPr>
              <w:rPr>
                <w:sz w:val="20"/>
                <w:szCs w:val="20"/>
              </w:rPr>
            </w:pPr>
            <w:r w:rsidRPr="00A31025">
              <w:rPr>
                <w:sz w:val="20"/>
                <w:szCs w:val="20"/>
              </w:rPr>
              <w:t>256</w:t>
            </w:r>
          </w:p>
        </w:tc>
        <w:tc>
          <w:tcPr>
            <w:tcW w:w="1350" w:type="dxa"/>
          </w:tcPr>
          <w:p w:rsidR="008C4D6B" w:rsidRPr="00A31025" w:rsidP="00843796" w14:paraId="57A1612C" w14:textId="0707D4F9">
            <w:pPr>
              <w:rPr>
                <w:sz w:val="20"/>
                <w:szCs w:val="20"/>
              </w:rPr>
            </w:pPr>
            <w:r w:rsidRPr="00A31025">
              <w:rPr>
                <w:sz w:val="20"/>
                <w:szCs w:val="20"/>
              </w:rPr>
              <w:t>1</w:t>
            </w:r>
          </w:p>
        </w:tc>
        <w:tc>
          <w:tcPr>
            <w:tcW w:w="1350" w:type="dxa"/>
          </w:tcPr>
          <w:p w:rsidR="008C4D6B" w:rsidRPr="00A31025" w:rsidP="00843796" w14:paraId="6519C53A" w14:textId="717EC393">
            <w:pPr>
              <w:rPr>
                <w:sz w:val="20"/>
                <w:szCs w:val="20"/>
              </w:rPr>
            </w:pPr>
            <w:r w:rsidRPr="00A31025">
              <w:rPr>
                <w:sz w:val="20"/>
                <w:szCs w:val="20"/>
              </w:rPr>
              <w:t>256</w:t>
            </w:r>
          </w:p>
        </w:tc>
        <w:tc>
          <w:tcPr>
            <w:tcW w:w="1440" w:type="dxa"/>
          </w:tcPr>
          <w:p w:rsidR="008C4D6B" w:rsidRPr="00A31025" w:rsidP="00843796" w14:paraId="28B01FA8" w14:textId="3DE3BAC6">
            <w:pPr>
              <w:rPr>
                <w:sz w:val="20"/>
                <w:szCs w:val="20"/>
              </w:rPr>
            </w:pPr>
            <w:r w:rsidRPr="00A31025">
              <w:rPr>
                <w:sz w:val="20"/>
                <w:szCs w:val="20"/>
              </w:rPr>
              <w:t>0.08</w:t>
            </w:r>
          </w:p>
        </w:tc>
        <w:tc>
          <w:tcPr>
            <w:tcW w:w="1530" w:type="dxa"/>
          </w:tcPr>
          <w:p w:rsidR="008C4D6B" w:rsidRPr="00A31025" w:rsidP="00843796" w14:paraId="07BB44DB" w14:textId="2721DF22">
            <w:pPr>
              <w:rPr>
                <w:sz w:val="20"/>
                <w:szCs w:val="20"/>
              </w:rPr>
            </w:pPr>
            <w:r w:rsidRPr="00A31025">
              <w:rPr>
                <w:sz w:val="20"/>
                <w:szCs w:val="20"/>
              </w:rPr>
              <w:t>20.48</w:t>
            </w:r>
          </w:p>
        </w:tc>
      </w:tr>
      <w:tr w14:paraId="55D932FE" w14:textId="77777777" w:rsidTr="00FF336D">
        <w:tblPrEx>
          <w:tblW w:w="10368" w:type="dxa"/>
          <w:tblLayout w:type="fixed"/>
          <w:tblLook w:val="01E0"/>
        </w:tblPrEx>
        <w:trPr>
          <w:trHeight w:val="274"/>
        </w:trPr>
        <w:tc>
          <w:tcPr>
            <w:tcW w:w="2808" w:type="dxa"/>
          </w:tcPr>
          <w:p w:rsidR="00F00B2D" w:rsidRPr="00A31025" w:rsidP="00F00B2D" w14:paraId="732B9676" w14:textId="6C19BFAD">
            <w:pPr>
              <w:rPr>
                <w:sz w:val="20"/>
                <w:szCs w:val="20"/>
              </w:rPr>
            </w:pPr>
            <w:r w:rsidRPr="00A31025">
              <w:rPr>
                <w:sz w:val="20"/>
                <w:szCs w:val="20"/>
              </w:rPr>
              <w:t>Focus groups with Black former college students who completed</w:t>
            </w:r>
          </w:p>
        </w:tc>
        <w:tc>
          <w:tcPr>
            <w:tcW w:w="1890" w:type="dxa"/>
          </w:tcPr>
          <w:p w:rsidR="00F00B2D" w:rsidRPr="00A31025" w:rsidP="00F00B2D" w14:paraId="6A381C49" w14:textId="32DB4E07">
            <w:pPr>
              <w:rPr>
                <w:sz w:val="20"/>
                <w:szCs w:val="20"/>
              </w:rPr>
            </w:pPr>
            <w:r w:rsidRPr="00A31025">
              <w:rPr>
                <w:sz w:val="20"/>
                <w:szCs w:val="20"/>
              </w:rPr>
              <w:t xml:space="preserve">120 </w:t>
            </w:r>
          </w:p>
        </w:tc>
        <w:tc>
          <w:tcPr>
            <w:tcW w:w="1350" w:type="dxa"/>
          </w:tcPr>
          <w:p w:rsidR="00F00B2D" w:rsidRPr="00A31025" w:rsidP="00F00B2D" w14:paraId="05A1FA42" w14:textId="52821040">
            <w:pPr>
              <w:rPr>
                <w:sz w:val="20"/>
                <w:szCs w:val="20"/>
              </w:rPr>
            </w:pPr>
            <w:r w:rsidRPr="00A31025">
              <w:rPr>
                <w:sz w:val="20"/>
                <w:szCs w:val="20"/>
              </w:rPr>
              <w:t>1</w:t>
            </w:r>
          </w:p>
        </w:tc>
        <w:tc>
          <w:tcPr>
            <w:tcW w:w="1350" w:type="dxa"/>
          </w:tcPr>
          <w:p w:rsidR="00F00B2D" w:rsidRPr="00A31025" w:rsidP="00F00B2D" w14:paraId="320A725F" w14:textId="0765D509">
            <w:pPr>
              <w:rPr>
                <w:sz w:val="20"/>
                <w:szCs w:val="20"/>
              </w:rPr>
            </w:pPr>
            <w:r w:rsidRPr="00A31025">
              <w:rPr>
                <w:sz w:val="20"/>
                <w:szCs w:val="20"/>
              </w:rPr>
              <w:t>120</w:t>
            </w:r>
          </w:p>
        </w:tc>
        <w:tc>
          <w:tcPr>
            <w:tcW w:w="1440" w:type="dxa"/>
          </w:tcPr>
          <w:p w:rsidR="00F00B2D" w:rsidRPr="00A31025" w:rsidP="00F00B2D" w14:paraId="55D2696C" w14:textId="68AA7E61">
            <w:pPr>
              <w:rPr>
                <w:sz w:val="20"/>
                <w:szCs w:val="20"/>
              </w:rPr>
            </w:pPr>
            <w:r w:rsidRPr="00A31025">
              <w:rPr>
                <w:sz w:val="20"/>
                <w:szCs w:val="20"/>
              </w:rPr>
              <w:t xml:space="preserve">1 </w:t>
            </w:r>
          </w:p>
        </w:tc>
        <w:tc>
          <w:tcPr>
            <w:tcW w:w="1530" w:type="dxa"/>
          </w:tcPr>
          <w:p w:rsidR="00F00B2D" w:rsidRPr="00A31025" w:rsidP="00F00B2D" w14:paraId="042335F2" w14:textId="6FBF2D58">
            <w:pPr>
              <w:rPr>
                <w:sz w:val="20"/>
                <w:szCs w:val="20"/>
              </w:rPr>
            </w:pPr>
            <w:r w:rsidRPr="00A31025">
              <w:rPr>
                <w:sz w:val="20"/>
                <w:szCs w:val="20"/>
              </w:rPr>
              <w:t>120</w:t>
            </w:r>
          </w:p>
        </w:tc>
      </w:tr>
      <w:tr w14:paraId="7BFBA99A" w14:textId="77777777" w:rsidTr="00FF336D">
        <w:tblPrEx>
          <w:tblW w:w="10368" w:type="dxa"/>
          <w:tblLayout w:type="fixed"/>
          <w:tblLook w:val="01E0"/>
        </w:tblPrEx>
        <w:trPr>
          <w:trHeight w:val="274"/>
        </w:trPr>
        <w:tc>
          <w:tcPr>
            <w:tcW w:w="2808" w:type="dxa"/>
          </w:tcPr>
          <w:p w:rsidR="00FF376D" w:rsidRPr="00A31025" w:rsidP="00165202" w14:paraId="12BDA9B0" w14:textId="0A752EDB">
            <w:pPr>
              <w:rPr>
                <w:sz w:val="20"/>
                <w:szCs w:val="20"/>
              </w:rPr>
            </w:pPr>
            <w:r w:rsidRPr="00A31025">
              <w:rPr>
                <w:sz w:val="20"/>
                <w:szCs w:val="20"/>
              </w:rPr>
              <w:t>F</w:t>
            </w:r>
            <w:r w:rsidRPr="00A31025" w:rsidR="00EA3C90">
              <w:rPr>
                <w:sz w:val="20"/>
                <w:szCs w:val="20"/>
              </w:rPr>
              <w:t xml:space="preserve">ocus groups with Black former college students who </w:t>
            </w:r>
            <w:r w:rsidRPr="00A31025" w:rsidR="00F00B2D">
              <w:rPr>
                <w:sz w:val="20"/>
                <w:szCs w:val="20"/>
              </w:rPr>
              <w:t xml:space="preserve">attended but </w:t>
            </w:r>
            <w:r w:rsidRPr="00A31025" w:rsidR="00EA3C90">
              <w:rPr>
                <w:sz w:val="20"/>
                <w:szCs w:val="20"/>
              </w:rPr>
              <w:t>did not complete</w:t>
            </w:r>
          </w:p>
        </w:tc>
        <w:tc>
          <w:tcPr>
            <w:tcW w:w="1890" w:type="dxa"/>
          </w:tcPr>
          <w:p w:rsidR="00FF376D" w:rsidRPr="00A31025" w:rsidP="00165202" w14:paraId="112384DB" w14:textId="5EC48043">
            <w:pPr>
              <w:rPr>
                <w:sz w:val="20"/>
                <w:szCs w:val="20"/>
              </w:rPr>
            </w:pPr>
            <w:r w:rsidRPr="00A31025">
              <w:rPr>
                <w:sz w:val="20"/>
                <w:szCs w:val="20"/>
              </w:rPr>
              <w:t>120</w:t>
            </w:r>
          </w:p>
        </w:tc>
        <w:tc>
          <w:tcPr>
            <w:tcW w:w="1350" w:type="dxa"/>
          </w:tcPr>
          <w:p w:rsidR="00FF376D" w:rsidRPr="00A31025" w:rsidP="00165202" w14:paraId="1AAC76B7" w14:textId="62B63F24">
            <w:pPr>
              <w:rPr>
                <w:sz w:val="20"/>
                <w:szCs w:val="20"/>
              </w:rPr>
            </w:pPr>
            <w:r w:rsidRPr="00A31025">
              <w:rPr>
                <w:sz w:val="20"/>
                <w:szCs w:val="20"/>
              </w:rPr>
              <w:t>1</w:t>
            </w:r>
          </w:p>
        </w:tc>
        <w:tc>
          <w:tcPr>
            <w:tcW w:w="1350" w:type="dxa"/>
          </w:tcPr>
          <w:p w:rsidR="00FF376D" w:rsidRPr="00A31025" w:rsidP="00165202" w14:paraId="655303F3" w14:textId="577AC363">
            <w:pPr>
              <w:rPr>
                <w:sz w:val="20"/>
                <w:szCs w:val="20"/>
              </w:rPr>
            </w:pPr>
            <w:r w:rsidRPr="00A31025">
              <w:rPr>
                <w:sz w:val="20"/>
                <w:szCs w:val="20"/>
              </w:rPr>
              <w:t>120</w:t>
            </w:r>
          </w:p>
        </w:tc>
        <w:tc>
          <w:tcPr>
            <w:tcW w:w="1440" w:type="dxa"/>
          </w:tcPr>
          <w:p w:rsidR="00FF376D" w:rsidRPr="00A31025" w:rsidP="00165202" w14:paraId="3CCB6755" w14:textId="612516F0">
            <w:pPr>
              <w:rPr>
                <w:sz w:val="20"/>
                <w:szCs w:val="20"/>
              </w:rPr>
            </w:pPr>
            <w:r w:rsidRPr="00A31025">
              <w:rPr>
                <w:sz w:val="20"/>
                <w:szCs w:val="20"/>
              </w:rPr>
              <w:t xml:space="preserve">1 </w:t>
            </w:r>
          </w:p>
        </w:tc>
        <w:tc>
          <w:tcPr>
            <w:tcW w:w="1530" w:type="dxa"/>
          </w:tcPr>
          <w:p w:rsidR="00FF376D" w:rsidRPr="00A31025" w:rsidP="00165202" w14:paraId="6247EA7D" w14:textId="46C7D5D6">
            <w:pPr>
              <w:rPr>
                <w:sz w:val="20"/>
                <w:szCs w:val="20"/>
              </w:rPr>
            </w:pPr>
            <w:r w:rsidRPr="00A31025">
              <w:rPr>
                <w:sz w:val="20"/>
                <w:szCs w:val="20"/>
              </w:rPr>
              <w:t>1</w:t>
            </w:r>
            <w:r w:rsidRPr="00A31025" w:rsidR="009E3B57">
              <w:rPr>
                <w:sz w:val="20"/>
                <w:szCs w:val="20"/>
              </w:rPr>
              <w:t>20</w:t>
            </w:r>
          </w:p>
        </w:tc>
      </w:tr>
      <w:tr w14:paraId="7A1CC60B" w14:textId="77777777" w:rsidTr="00FF336D">
        <w:tblPrEx>
          <w:tblW w:w="10368" w:type="dxa"/>
          <w:tblLayout w:type="fixed"/>
          <w:tblLook w:val="01E0"/>
        </w:tblPrEx>
        <w:trPr>
          <w:trHeight w:val="274"/>
        </w:trPr>
        <w:tc>
          <w:tcPr>
            <w:tcW w:w="2808" w:type="dxa"/>
          </w:tcPr>
          <w:p w:rsidR="00E23DAF" w:rsidRPr="00A31025" w:rsidP="00E23DAF" w14:paraId="1154DFAE" w14:textId="4123B1D4">
            <w:pPr>
              <w:rPr>
                <w:sz w:val="20"/>
                <w:szCs w:val="20"/>
              </w:rPr>
            </w:pPr>
            <w:r w:rsidRPr="00A31025">
              <w:rPr>
                <w:sz w:val="20"/>
                <w:szCs w:val="20"/>
              </w:rPr>
              <w:t xml:space="preserve">Focus groups with Black former students who </w:t>
            </w:r>
            <w:r w:rsidRPr="00A31025" w:rsidR="00F00B2D">
              <w:rPr>
                <w:sz w:val="20"/>
                <w:szCs w:val="20"/>
              </w:rPr>
              <w:t>enrolled but never attended</w:t>
            </w:r>
          </w:p>
        </w:tc>
        <w:tc>
          <w:tcPr>
            <w:tcW w:w="1890" w:type="dxa"/>
          </w:tcPr>
          <w:p w:rsidR="00E23DAF" w:rsidRPr="00A31025" w:rsidP="00E23DAF" w14:paraId="0015CF16" w14:textId="1169EC3C">
            <w:pPr>
              <w:rPr>
                <w:sz w:val="20"/>
                <w:szCs w:val="20"/>
              </w:rPr>
            </w:pPr>
            <w:r w:rsidRPr="00A31025">
              <w:rPr>
                <w:sz w:val="20"/>
                <w:szCs w:val="20"/>
              </w:rPr>
              <w:t xml:space="preserve">16 </w:t>
            </w:r>
          </w:p>
        </w:tc>
        <w:tc>
          <w:tcPr>
            <w:tcW w:w="1350" w:type="dxa"/>
          </w:tcPr>
          <w:p w:rsidR="00E23DAF" w:rsidRPr="00A31025" w:rsidP="00E23DAF" w14:paraId="5FB62D4C" w14:textId="04A12465">
            <w:pPr>
              <w:rPr>
                <w:sz w:val="20"/>
                <w:szCs w:val="20"/>
              </w:rPr>
            </w:pPr>
            <w:r w:rsidRPr="00A31025">
              <w:rPr>
                <w:sz w:val="20"/>
                <w:szCs w:val="20"/>
              </w:rPr>
              <w:t>1</w:t>
            </w:r>
          </w:p>
        </w:tc>
        <w:tc>
          <w:tcPr>
            <w:tcW w:w="1350" w:type="dxa"/>
          </w:tcPr>
          <w:p w:rsidR="00E23DAF" w:rsidRPr="00A31025" w:rsidP="00E23DAF" w14:paraId="6AF4A030" w14:textId="27986196">
            <w:pPr>
              <w:rPr>
                <w:sz w:val="20"/>
                <w:szCs w:val="20"/>
              </w:rPr>
            </w:pPr>
            <w:r w:rsidRPr="00A31025">
              <w:rPr>
                <w:sz w:val="20"/>
                <w:szCs w:val="20"/>
              </w:rPr>
              <w:t>16</w:t>
            </w:r>
          </w:p>
        </w:tc>
        <w:tc>
          <w:tcPr>
            <w:tcW w:w="1440" w:type="dxa"/>
          </w:tcPr>
          <w:p w:rsidR="00E23DAF" w:rsidRPr="00A31025" w:rsidP="00E23DAF" w14:paraId="45B24846" w14:textId="49A4A5A2">
            <w:pPr>
              <w:rPr>
                <w:sz w:val="20"/>
                <w:szCs w:val="20"/>
              </w:rPr>
            </w:pPr>
            <w:r w:rsidRPr="00A31025">
              <w:rPr>
                <w:sz w:val="20"/>
                <w:szCs w:val="20"/>
              </w:rPr>
              <w:t xml:space="preserve">1 </w:t>
            </w:r>
          </w:p>
        </w:tc>
        <w:tc>
          <w:tcPr>
            <w:tcW w:w="1530" w:type="dxa"/>
          </w:tcPr>
          <w:p w:rsidR="00E23DAF" w:rsidRPr="00A31025" w:rsidP="00E23DAF" w14:paraId="638B8290" w14:textId="27807FE5">
            <w:pPr>
              <w:rPr>
                <w:sz w:val="20"/>
                <w:szCs w:val="20"/>
              </w:rPr>
            </w:pPr>
            <w:r w:rsidRPr="00A31025">
              <w:rPr>
                <w:sz w:val="20"/>
                <w:szCs w:val="20"/>
              </w:rPr>
              <w:t>16</w:t>
            </w:r>
          </w:p>
        </w:tc>
      </w:tr>
      <w:tr w14:paraId="7250C64D" w14:textId="77777777" w:rsidTr="00FF336D">
        <w:tblPrEx>
          <w:tblW w:w="10368" w:type="dxa"/>
          <w:tblLayout w:type="fixed"/>
          <w:tblLook w:val="01E0"/>
        </w:tblPrEx>
        <w:trPr>
          <w:trHeight w:val="274"/>
        </w:trPr>
        <w:tc>
          <w:tcPr>
            <w:tcW w:w="2808" w:type="dxa"/>
          </w:tcPr>
          <w:p w:rsidR="004564BF" w:rsidRPr="00A31025" w:rsidP="00843796" w14:paraId="7250C647" w14:textId="3DC00ED8">
            <w:pPr>
              <w:rPr>
                <w:sz w:val="20"/>
                <w:szCs w:val="20"/>
              </w:rPr>
            </w:pPr>
            <w:r w:rsidRPr="00A31025">
              <w:rPr>
                <w:sz w:val="20"/>
                <w:szCs w:val="20"/>
              </w:rPr>
              <w:t>Focus groups with postsecondary institution professionals</w:t>
            </w:r>
          </w:p>
        </w:tc>
        <w:tc>
          <w:tcPr>
            <w:tcW w:w="1890" w:type="dxa"/>
          </w:tcPr>
          <w:p w:rsidR="004564BF" w:rsidRPr="00A31025" w:rsidP="00843796" w14:paraId="7250C648" w14:textId="55387109">
            <w:pPr>
              <w:rPr>
                <w:sz w:val="20"/>
                <w:szCs w:val="20"/>
              </w:rPr>
            </w:pPr>
            <w:r w:rsidRPr="00A31025">
              <w:rPr>
                <w:sz w:val="20"/>
                <w:szCs w:val="20"/>
              </w:rPr>
              <w:t xml:space="preserve">30 </w:t>
            </w:r>
          </w:p>
        </w:tc>
        <w:tc>
          <w:tcPr>
            <w:tcW w:w="1350" w:type="dxa"/>
          </w:tcPr>
          <w:p w:rsidR="004564BF" w:rsidRPr="00A31025" w:rsidP="00843796" w14:paraId="7250C649" w14:textId="34FDE1C7">
            <w:pPr>
              <w:rPr>
                <w:sz w:val="20"/>
                <w:szCs w:val="20"/>
              </w:rPr>
            </w:pPr>
            <w:r w:rsidRPr="00A31025">
              <w:rPr>
                <w:sz w:val="20"/>
                <w:szCs w:val="20"/>
              </w:rPr>
              <w:t>1</w:t>
            </w:r>
          </w:p>
        </w:tc>
        <w:tc>
          <w:tcPr>
            <w:tcW w:w="1350" w:type="dxa"/>
          </w:tcPr>
          <w:p w:rsidR="004564BF" w:rsidRPr="00A31025" w:rsidP="00843796" w14:paraId="7250C64A" w14:textId="54DEAD72">
            <w:pPr>
              <w:rPr>
                <w:sz w:val="20"/>
                <w:szCs w:val="20"/>
              </w:rPr>
            </w:pPr>
            <w:r w:rsidRPr="00A31025">
              <w:rPr>
                <w:sz w:val="20"/>
                <w:szCs w:val="20"/>
              </w:rPr>
              <w:t>30</w:t>
            </w:r>
          </w:p>
        </w:tc>
        <w:tc>
          <w:tcPr>
            <w:tcW w:w="1440" w:type="dxa"/>
          </w:tcPr>
          <w:p w:rsidR="004564BF" w:rsidRPr="00A31025" w:rsidP="00843796" w14:paraId="7250C64B" w14:textId="36AD1F3C">
            <w:pPr>
              <w:rPr>
                <w:sz w:val="20"/>
                <w:szCs w:val="20"/>
              </w:rPr>
            </w:pPr>
            <w:r w:rsidRPr="00A31025">
              <w:rPr>
                <w:sz w:val="20"/>
                <w:szCs w:val="20"/>
              </w:rPr>
              <w:t xml:space="preserve">1 </w:t>
            </w:r>
          </w:p>
        </w:tc>
        <w:tc>
          <w:tcPr>
            <w:tcW w:w="1530" w:type="dxa"/>
          </w:tcPr>
          <w:p w:rsidR="004564BF" w:rsidRPr="00A31025" w:rsidP="00843796" w14:paraId="7250C64C" w14:textId="65CDAC17">
            <w:pPr>
              <w:rPr>
                <w:sz w:val="20"/>
                <w:szCs w:val="20"/>
              </w:rPr>
            </w:pPr>
            <w:r w:rsidRPr="00A31025">
              <w:rPr>
                <w:sz w:val="20"/>
                <w:szCs w:val="20"/>
              </w:rPr>
              <w:t>30</w:t>
            </w:r>
          </w:p>
        </w:tc>
      </w:tr>
      <w:tr w14:paraId="68FAEBFA" w14:textId="77777777" w:rsidTr="00FF336D">
        <w:tblPrEx>
          <w:tblW w:w="10368" w:type="dxa"/>
          <w:tblLayout w:type="fixed"/>
          <w:tblLook w:val="01E0"/>
        </w:tblPrEx>
        <w:trPr>
          <w:trHeight w:val="274"/>
        </w:trPr>
        <w:tc>
          <w:tcPr>
            <w:tcW w:w="2808" w:type="dxa"/>
          </w:tcPr>
          <w:p w:rsidR="00E23DAF" w:rsidRPr="00A31025" w:rsidP="00E23DAF" w14:paraId="7C76F4BA" w14:textId="332EDF5A">
            <w:pPr>
              <w:rPr>
                <w:sz w:val="20"/>
                <w:szCs w:val="20"/>
              </w:rPr>
            </w:pPr>
            <w:r w:rsidRPr="00A31025">
              <w:rPr>
                <w:sz w:val="20"/>
                <w:szCs w:val="20"/>
              </w:rPr>
              <w:t>F</w:t>
            </w:r>
            <w:r w:rsidRPr="00A31025">
              <w:rPr>
                <w:sz w:val="20"/>
                <w:szCs w:val="20"/>
              </w:rPr>
              <w:t xml:space="preserve">ocus groups with </w:t>
            </w:r>
            <w:r w:rsidRPr="00A31025">
              <w:rPr>
                <w:sz w:val="20"/>
                <w:szCs w:val="20"/>
              </w:rPr>
              <w:t>postsecondary institution</w:t>
            </w:r>
            <w:r w:rsidRPr="00A31025">
              <w:rPr>
                <w:sz w:val="20"/>
                <w:szCs w:val="20"/>
              </w:rPr>
              <w:t xml:space="preserve"> leaders</w:t>
            </w:r>
            <w:r w:rsidRPr="00A31025">
              <w:rPr>
                <w:sz w:val="20"/>
                <w:szCs w:val="20"/>
              </w:rPr>
              <w:t>/administrators</w:t>
            </w:r>
            <w:r w:rsidRPr="00A31025">
              <w:rPr>
                <w:sz w:val="20"/>
                <w:szCs w:val="20"/>
              </w:rPr>
              <w:t xml:space="preserve"> </w:t>
            </w:r>
          </w:p>
        </w:tc>
        <w:tc>
          <w:tcPr>
            <w:tcW w:w="1890" w:type="dxa"/>
          </w:tcPr>
          <w:p w:rsidR="00E23DAF" w:rsidRPr="00A31025" w:rsidP="00E23DAF" w14:paraId="7A977948" w14:textId="641945DE">
            <w:pPr>
              <w:rPr>
                <w:sz w:val="20"/>
                <w:szCs w:val="20"/>
              </w:rPr>
            </w:pPr>
            <w:r w:rsidRPr="00A31025">
              <w:rPr>
                <w:sz w:val="20"/>
                <w:szCs w:val="20"/>
              </w:rPr>
              <w:t>2</w:t>
            </w:r>
            <w:r w:rsidRPr="00A31025">
              <w:rPr>
                <w:sz w:val="20"/>
                <w:szCs w:val="20"/>
              </w:rPr>
              <w:t xml:space="preserve">4 </w:t>
            </w:r>
          </w:p>
        </w:tc>
        <w:tc>
          <w:tcPr>
            <w:tcW w:w="1350" w:type="dxa"/>
          </w:tcPr>
          <w:p w:rsidR="00E23DAF" w:rsidRPr="00A31025" w:rsidP="00E23DAF" w14:paraId="2014A6C9" w14:textId="0ACB53C8">
            <w:pPr>
              <w:rPr>
                <w:sz w:val="20"/>
                <w:szCs w:val="20"/>
              </w:rPr>
            </w:pPr>
            <w:r w:rsidRPr="00A31025">
              <w:rPr>
                <w:sz w:val="20"/>
                <w:szCs w:val="20"/>
              </w:rPr>
              <w:t>1</w:t>
            </w:r>
          </w:p>
        </w:tc>
        <w:tc>
          <w:tcPr>
            <w:tcW w:w="1350" w:type="dxa"/>
          </w:tcPr>
          <w:p w:rsidR="00E23DAF" w:rsidRPr="00A31025" w:rsidP="00E23DAF" w14:paraId="534F2896" w14:textId="389A3FD3">
            <w:pPr>
              <w:rPr>
                <w:sz w:val="20"/>
                <w:szCs w:val="20"/>
              </w:rPr>
            </w:pPr>
            <w:r w:rsidRPr="00A31025">
              <w:rPr>
                <w:sz w:val="20"/>
                <w:szCs w:val="20"/>
              </w:rPr>
              <w:t xml:space="preserve">24 </w:t>
            </w:r>
          </w:p>
        </w:tc>
        <w:tc>
          <w:tcPr>
            <w:tcW w:w="1440" w:type="dxa"/>
          </w:tcPr>
          <w:p w:rsidR="00E23DAF" w:rsidRPr="00A31025" w:rsidP="00E23DAF" w14:paraId="1ED4EBD8" w14:textId="0CD61CFC">
            <w:pPr>
              <w:rPr>
                <w:sz w:val="20"/>
                <w:szCs w:val="20"/>
              </w:rPr>
            </w:pPr>
            <w:r w:rsidRPr="00A31025">
              <w:rPr>
                <w:sz w:val="20"/>
                <w:szCs w:val="20"/>
              </w:rPr>
              <w:t>1</w:t>
            </w:r>
            <w:r w:rsidRPr="00A31025" w:rsidR="00644E30">
              <w:rPr>
                <w:sz w:val="20"/>
                <w:szCs w:val="20"/>
              </w:rPr>
              <w:t>.25</w:t>
            </w:r>
          </w:p>
        </w:tc>
        <w:tc>
          <w:tcPr>
            <w:tcW w:w="1530" w:type="dxa"/>
          </w:tcPr>
          <w:p w:rsidR="00E23DAF" w:rsidRPr="00A31025" w:rsidP="00E23DAF" w14:paraId="69687FC7" w14:textId="0C8C83C2">
            <w:pPr>
              <w:rPr>
                <w:sz w:val="20"/>
                <w:szCs w:val="20"/>
              </w:rPr>
            </w:pPr>
            <w:r w:rsidRPr="00A31025">
              <w:rPr>
                <w:sz w:val="20"/>
                <w:szCs w:val="20"/>
              </w:rPr>
              <w:t>30</w:t>
            </w:r>
          </w:p>
        </w:tc>
      </w:tr>
      <w:tr w14:paraId="7250C654" w14:textId="77777777" w:rsidTr="00A31025">
        <w:tblPrEx>
          <w:tblW w:w="10368" w:type="dxa"/>
          <w:tblLayout w:type="fixed"/>
          <w:tblLook w:val="01E0"/>
        </w:tblPrEx>
        <w:trPr>
          <w:trHeight w:val="289"/>
        </w:trPr>
        <w:tc>
          <w:tcPr>
            <w:tcW w:w="2808" w:type="dxa"/>
          </w:tcPr>
          <w:p w:rsidR="004564BF" w:rsidRPr="00A31025" w:rsidP="003C2F54" w14:paraId="7250C64E" w14:textId="278F4DEA">
            <w:pPr>
              <w:jc w:val="right"/>
              <w:rPr>
                <w:b/>
                <w:sz w:val="20"/>
                <w:szCs w:val="20"/>
              </w:rPr>
            </w:pPr>
            <w:r w:rsidRPr="00A31025">
              <w:rPr>
                <w:b/>
                <w:sz w:val="20"/>
                <w:szCs w:val="20"/>
              </w:rPr>
              <w:t>Totals</w:t>
            </w:r>
            <w:r w:rsidRPr="00A31025" w:rsidR="00584072">
              <w:rPr>
                <w:b/>
                <w:sz w:val="20"/>
                <w:szCs w:val="20"/>
              </w:rPr>
              <w:t>:</w:t>
            </w:r>
          </w:p>
        </w:tc>
        <w:tc>
          <w:tcPr>
            <w:tcW w:w="1890" w:type="dxa"/>
          </w:tcPr>
          <w:p w:rsidR="004564BF" w:rsidRPr="00A31025" w:rsidP="003C2F54" w14:paraId="7250C64F" w14:textId="0FBA662A">
            <w:pPr>
              <w:jc w:val="right"/>
              <w:rPr>
                <w:b/>
                <w:sz w:val="20"/>
                <w:szCs w:val="20"/>
              </w:rPr>
            </w:pPr>
            <w:r w:rsidRPr="00A31025">
              <w:rPr>
                <w:b/>
                <w:sz w:val="20"/>
                <w:szCs w:val="20"/>
              </w:rPr>
              <w:t>1</w:t>
            </w:r>
            <w:r w:rsidRPr="00A31025" w:rsidR="00A31025">
              <w:rPr>
                <w:b/>
                <w:sz w:val="20"/>
                <w:szCs w:val="20"/>
              </w:rPr>
              <w:t>,</w:t>
            </w:r>
            <w:r w:rsidRPr="00A31025">
              <w:rPr>
                <w:b/>
                <w:sz w:val="20"/>
                <w:szCs w:val="20"/>
              </w:rPr>
              <w:t>5</w:t>
            </w:r>
            <w:r w:rsidRPr="00A31025" w:rsidR="00AC764F">
              <w:rPr>
                <w:b/>
                <w:sz w:val="20"/>
                <w:szCs w:val="20"/>
              </w:rPr>
              <w:t>66</w:t>
            </w:r>
          </w:p>
        </w:tc>
        <w:tc>
          <w:tcPr>
            <w:tcW w:w="1350" w:type="dxa"/>
            <w:shd w:val="clear" w:color="auto" w:fill="D9D9D9" w:themeFill="background1" w:themeFillShade="D9"/>
          </w:tcPr>
          <w:p w:rsidR="004564BF" w:rsidRPr="00A31025" w:rsidP="00A31025" w14:paraId="7250C650" w14:textId="1B5453CC">
            <w:pPr>
              <w:jc w:val="center"/>
              <w:rPr>
                <w:b/>
                <w:sz w:val="20"/>
                <w:szCs w:val="20"/>
              </w:rPr>
            </w:pPr>
          </w:p>
        </w:tc>
        <w:tc>
          <w:tcPr>
            <w:tcW w:w="1350" w:type="dxa"/>
          </w:tcPr>
          <w:p w:rsidR="004564BF" w:rsidRPr="00A31025" w:rsidP="003C2F54" w14:paraId="7250C651" w14:textId="77777777">
            <w:pPr>
              <w:jc w:val="right"/>
              <w:rPr>
                <w:b/>
                <w:sz w:val="20"/>
                <w:szCs w:val="20"/>
              </w:rPr>
            </w:pPr>
          </w:p>
        </w:tc>
        <w:tc>
          <w:tcPr>
            <w:tcW w:w="1440" w:type="dxa"/>
            <w:shd w:val="clear" w:color="auto" w:fill="D9D9D9" w:themeFill="background1" w:themeFillShade="D9"/>
          </w:tcPr>
          <w:p w:rsidR="004564BF" w:rsidRPr="00A31025" w:rsidP="003C2F54" w14:paraId="7250C652" w14:textId="0D1F82FE">
            <w:pPr>
              <w:jc w:val="right"/>
              <w:rPr>
                <w:b/>
                <w:sz w:val="20"/>
                <w:szCs w:val="20"/>
              </w:rPr>
            </w:pPr>
          </w:p>
        </w:tc>
        <w:tc>
          <w:tcPr>
            <w:tcW w:w="1530" w:type="dxa"/>
          </w:tcPr>
          <w:p w:rsidR="004564BF" w:rsidRPr="00A31025" w:rsidP="003C2F54" w14:paraId="7250C653" w14:textId="62FBC167">
            <w:pPr>
              <w:jc w:val="right"/>
              <w:rPr>
                <w:b/>
                <w:sz w:val="20"/>
                <w:szCs w:val="20"/>
              </w:rPr>
            </w:pPr>
            <w:r w:rsidRPr="00A31025">
              <w:rPr>
                <w:b/>
                <w:sz w:val="20"/>
                <w:szCs w:val="20"/>
              </w:rPr>
              <w:t>4</w:t>
            </w:r>
            <w:r w:rsidRPr="00A31025" w:rsidR="00F00B2D">
              <w:rPr>
                <w:b/>
                <w:sz w:val="20"/>
                <w:szCs w:val="20"/>
              </w:rPr>
              <w:t>36</w:t>
            </w:r>
            <w:r w:rsidRPr="00A31025">
              <w:rPr>
                <w:b/>
                <w:sz w:val="20"/>
                <w:szCs w:val="20"/>
              </w:rPr>
              <w:t>.</w:t>
            </w:r>
            <w:r w:rsidRPr="00A31025" w:rsidR="00F00B2D">
              <w:rPr>
                <w:b/>
                <w:sz w:val="20"/>
                <w:szCs w:val="20"/>
              </w:rPr>
              <w:t>48</w:t>
            </w:r>
          </w:p>
        </w:tc>
      </w:tr>
    </w:tbl>
    <w:p w:rsidR="00F3170F" w:rsidRPr="00713D29" w:rsidP="00F3170F" w14:paraId="7250C655" w14:textId="77777777"/>
    <w:p w:rsidR="00441434" w:rsidRPr="00713D29" w:rsidP="00F3170F" w14:paraId="7250C656" w14:textId="77777777"/>
    <w:p w:rsidR="005E714A" w:rsidRPr="008222BD" w14:paraId="7250C657" w14:textId="040F26ED">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eral government is</w:t>
      </w:r>
      <w:r w:rsidR="00A87BD2">
        <w:t xml:space="preserve"> $600,000</w:t>
      </w:r>
    </w:p>
    <w:p w:rsidR="0069403B" w:rsidRPr="008222BD" w:rsidP="00F06866" w14:paraId="7250C658" w14:textId="77777777">
      <w:pPr>
        <w:rPr>
          <w:bCs/>
          <w:u w:val="single"/>
        </w:rPr>
      </w:pPr>
      <w:r w:rsidRPr="008222BD">
        <w:rPr>
          <w:bCs/>
          <w:u w:val="single"/>
        </w:rPr>
        <w:br w:type="page"/>
      </w:r>
    </w:p>
    <w:p w:rsidR="00A403BB" w:rsidRPr="00410F81" w:rsidP="00A403BB" w14:paraId="7250C659" w14:textId="77777777"/>
    <w:p w:rsidR="007508E3" w:rsidRPr="008222BD" w:rsidP="007508E3" w14:paraId="7250C65A" w14:textId="77777777">
      <w:r w:rsidRPr="00713D29">
        <w:t xml:space="preserve">13. </w:t>
      </w:r>
      <w:r w:rsidRPr="00AB78E0">
        <w:rPr>
          <w:b/>
        </w:rPr>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A95606" w14:paraId="7250C661" w14:textId="77777777">
      <w:pPr>
        <w:pStyle w:val="ListParagraph"/>
        <w:spacing w:before="29"/>
        <w:ind w:left="460" w:right="-20"/>
      </w:pPr>
      <w:r w:rsidRPr="00713D29">
        <w:t xml:space="preserve">(a) It is necessary for the proper performance of agency functions; </w:t>
      </w:r>
    </w:p>
    <w:p w:rsidR="00A95606" w:rsidRPr="00713D29" w:rsidP="00A95606" w14:paraId="7250C662" w14:textId="77777777">
      <w:pPr>
        <w:pStyle w:val="ListParagraph"/>
        <w:spacing w:before="29"/>
        <w:ind w:left="460" w:right="-20"/>
      </w:pPr>
      <w:r w:rsidRPr="00713D29">
        <w:t xml:space="preserve">(b) It avoids unnecessary duplication; </w:t>
      </w:r>
    </w:p>
    <w:p w:rsidR="00A95606" w:rsidRPr="00713D29" w:rsidP="00A95606" w14:paraId="7250C663" w14:textId="77777777">
      <w:pPr>
        <w:pStyle w:val="ListParagraph"/>
        <w:spacing w:before="29"/>
        <w:ind w:left="460" w:right="-20"/>
      </w:pPr>
      <w:r w:rsidRPr="00713D29">
        <w:t>(c) It uses plain, coherent, and unambiguous terminology that is understandable to respondents;</w:t>
      </w:r>
    </w:p>
    <w:p w:rsidR="00A95606" w:rsidRPr="00713D29" w:rsidP="00A95606" w14:paraId="7250C664" w14:textId="77777777">
      <w:pPr>
        <w:pStyle w:val="ListParagraph"/>
        <w:spacing w:before="29"/>
        <w:ind w:left="460" w:right="-20"/>
      </w:pPr>
      <w:r w:rsidRPr="00713D29">
        <w:t>(d) Its implementation will be consistent and compatible with current reporting and recordkeeping practices;</w:t>
      </w:r>
    </w:p>
    <w:p w:rsidR="00A95606" w:rsidRPr="00713D29" w:rsidP="00A95606" w14:paraId="7250C665" w14:textId="77777777">
      <w:pPr>
        <w:pStyle w:val="ListParagraph"/>
        <w:spacing w:before="29"/>
        <w:ind w:left="460" w:right="-20"/>
      </w:pPr>
      <w:r w:rsidRPr="00713D29">
        <w:t>(e) It indicates the retention period for recordkeeping requirements;</w:t>
      </w:r>
    </w:p>
    <w:p w:rsidR="00A95606" w:rsidRPr="00713D29" w:rsidP="00A95606" w14:paraId="7250C666" w14:textId="77777777">
      <w:pPr>
        <w:pStyle w:val="ListParagraph"/>
        <w:spacing w:before="29"/>
        <w:ind w:left="460" w:right="-2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(i) Why the information is being collected;</w:t>
      </w:r>
    </w:p>
    <w:p w:rsidR="00A95606" w:rsidRPr="00713D29" w:rsidP="00A95606" w14:paraId="7250C668" w14:textId="77777777">
      <w:pPr>
        <w:pStyle w:val="ListParagraph"/>
        <w:spacing w:before="29"/>
        <w:ind w:left="460" w:right="-20" w:firstLine="260"/>
      </w:pPr>
      <w:r w:rsidRPr="00713D29">
        <w:t>(ii) Use of information;</w:t>
      </w:r>
    </w:p>
    <w:p w:rsidR="00A95606" w:rsidRPr="00713D29" w:rsidP="00A95606" w14:paraId="7250C669" w14:textId="77777777">
      <w:pPr>
        <w:pStyle w:val="ListParagraph"/>
        <w:spacing w:before="29"/>
        <w:ind w:left="460" w:right="-20" w:firstLine="260"/>
      </w:pPr>
      <w:r w:rsidRPr="00713D29">
        <w:t>(iii) Burden estimate;</w:t>
      </w:r>
    </w:p>
    <w:p w:rsidR="00A95606" w:rsidRPr="00713D29" w:rsidP="00A95606" w14:paraId="7250C66A" w14:textId="77777777">
      <w:pPr>
        <w:pStyle w:val="ListParagraph"/>
        <w:spacing w:before="29"/>
        <w:ind w:left="460" w:right="-20" w:firstLine="260"/>
      </w:pPr>
      <w:r w:rsidRPr="00713D29">
        <w:t>(iv) Nature of response (voluntary);</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(vi) Need to display currently valid OMB control number;</w:t>
      </w:r>
    </w:p>
    <w:p w:rsidR="00A95606" w:rsidRPr="00713D29" w:rsidP="00A95606" w14:paraId="7250C66D" w14:textId="77777777">
      <w:pPr>
        <w:spacing w:before="29"/>
        <w:ind w:left="460" w:right="-20"/>
      </w:pPr>
      <w:r w:rsidRPr="00713D29">
        <w:t>(g) It was developed by an office that has planned and allocated resources for the efficient and effective management and use of the information to be collected;</w:t>
      </w:r>
    </w:p>
    <w:p w:rsidR="00A95606" w:rsidRPr="00713D29" w:rsidP="00A95606" w14:paraId="7250C66E" w14:textId="77777777">
      <w:pPr>
        <w:pStyle w:val="ListParagraph"/>
        <w:spacing w:before="29"/>
        <w:ind w:left="460" w:right="-20"/>
      </w:pPr>
      <w:r w:rsidRPr="00713D29">
        <w:t>(h) It uses effective and efficient statistical survey methodology; and</w:t>
      </w:r>
    </w:p>
    <w:p w:rsidR="00A95606" w:rsidRPr="00713D29" w:rsidP="00A95606" w14:paraId="7250C66F" w14:textId="77777777">
      <w:pPr>
        <w:pStyle w:val="ListParagraph"/>
        <w:spacing w:before="29"/>
        <w:ind w:left="460" w:right="-20"/>
      </w:pPr>
      <w:r w:rsidRPr="00713D29">
        <w:t>(i)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77777777">
      <w:pPr>
        <w:pStyle w:val="ListParagraph"/>
        <w:numPr>
          <w:ilvl w:val="0"/>
          <w:numId w:val="26"/>
        </w:numPr>
      </w:pPr>
      <w:r w:rsidRPr="00713D29">
        <w:t>The collection is low-burden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BC5" w:rsidP="00017641" w14:paraId="6D31CB2D" w14:textId="4C8DF097">
    <w:pPr>
      <w:pStyle w:val="Footer"/>
      <w:jc w:val="right"/>
    </w:pPr>
    <w:r w:rsidRPr="00017641">
      <w:t xml:space="preserve">Revised </w:t>
    </w:r>
    <w:r>
      <w:t>October</w:t>
    </w:r>
    <w:r w:rsidRPr="00017641">
      <w:t xml:space="preserve"> 2019</w:t>
    </w:r>
  </w:p>
  <w:p w:rsidR="008F50D4" w14:paraId="7250C681" w14:textId="32727CFD">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1">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2">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8"/>
  </w:num>
  <w:num w:numId="4">
    <w:abstractNumId w:val="30"/>
  </w:num>
  <w:num w:numId="5">
    <w:abstractNumId w:val="6"/>
  </w:num>
  <w:num w:numId="6">
    <w:abstractNumId w:val="1"/>
  </w:num>
  <w:num w:numId="7">
    <w:abstractNumId w:val="15"/>
  </w:num>
  <w:num w:numId="8">
    <w:abstractNumId w:val="24"/>
  </w:num>
  <w:num w:numId="9">
    <w:abstractNumId w:val="16"/>
  </w:num>
  <w:num w:numId="10">
    <w:abstractNumId w:val="2"/>
  </w:num>
  <w:num w:numId="11">
    <w:abstractNumId w:val="9"/>
  </w:num>
  <w:num w:numId="12">
    <w:abstractNumId w:val="11"/>
  </w:num>
  <w:num w:numId="13">
    <w:abstractNumId w:val="0"/>
  </w:num>
  <w:num w:numId="14">
    <w:abstractNumId w:val="27"/>
  </w:num>
  <w:num w:numId="15">
    <w:abstractNumId w:val="23"/>
  </w:num>
  <w:num w:numId="16">
    <w:abstractNumId w:val="19"/>
  </w:num>
  <w:num w:numId="17">
    <w:abstractNumId w:val="7"/>
  </w:num>
  <w:num w:numId="18">
    <w:abstractNumId w:val="8"/>
  </w:num>
  <w:num w:numId="19">
    <w:abstractNumId w:val="31"/>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6"/>
  </w:num>
  <w:num w:numId="29">
    <w:abstractNumId w:val="22"/>
  </w:num>
  <w:num w:numId="30">
    <w:abstractNumId w:val="21"/>
  </w:num>
  <w:num w:numId="31">
    <w:abstractNumId w:val="25"/>
  </w:num>
  <w:num w:numId="32">
    <w:abstractNumId w:val="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45A"/>
    <w:rsid w:val="00013E02"/>
    <w:rsid w:val="00017641"/>
    <w:rsid w:val="00023A57"/>
    <w:rsid w:val="0002602C"/>
    <w:rsid w:val="0004020A"/>
    <w:rsid w:val="00046EBF"/>
    <w:rsid w:val="00047A64"/>
    <w:rsid w:val="00061BDF"/>
    <w:rsid w:val="000652CF"/>
    <w:rsid w:val="000666B0"/>
    <w:rsid w:val="00067329"/>
    <w:rsid w:val="0006753A"/>
    <w:rsid w:val="000702CE"/>
    <w:rsid w:val="00075A04"/>
    <w:rsid w:val="00084918"/>
    <w:rsid w:val="00094937"/>
    <w:rsid w:val="000A1C35"/>
    <w:rsid w:val="000A501A"/>
    <w:rsid w:val="000B2838"/>
    <w:rsid w:val="000B41ED"/>
    <w:rsid w:val="000B430C"/>
    <w:rsid w:val="000C1BC7"/>
    <w:rsid w:val="000C3C86"/>
    <w:rsid w:val="000C72EB"/>
    <w:rsid w:val="000D32BF"/>
    <w:rsid w:val="000D44CA"/>
    <w:rsid w:val="000D6864"/>
    <w:rsid w:val="000E0F32"/>
    <w:rsid w:val="000E200B"/>
    <w:rsid w:val="000F226C"/>
    <w:rsid w:val="000F4998"/>
    <w:rsid w:val="000F5D83"/>
    <w:rsid w:val="000F68BE"/>
    <w:rsid w:val="000F6B4A"/>
    <w:rsid w:val="00103A4E"/>
    <w:rsid w:val="00117502"/>
    <w:rsid w:val="00117950"/>
    <w:rsid w:val="0012628F"/>
    <w:rsid w:val="00141CF1"/>
    <w:rsid w:val="00151836"/>
    <w:rsid w:val="001520E0"/>
    <w:rsid w:val="00160612"/>
    <w:rsid w:val="00160CC1"/>
    <w:rsid w:val="0016164C"/>
    <w:rsid w:val="00165202"/>
    <w:rsid w:val="00174800"/>
    <w:rsid w:val="001927A4"/>
    <w:rsid w:val="00194AC6"/>
    <w:rsid w:val="001A09E0"/>
    <w:rsid w:val="001A23B0"/>
    <w:rsid w:val="001A25CC"/>
    <w:rsid w:val="001A4BC5"/>
    <w:rsid w:val="001A7CEE"/>
    <w:rsid w:val="001B0AAA"/>
    <w:rsid w:val="001C39F7"/>
    <w:rsid w:val="001D0B48"/>
    <w:rsid w:val="001D54F0"/>
    <w:rsid w:val="001E1FA7"/>
    <w:rsid w:val="001E6155"/>
    <w:rsid w:val="001E6FB3"/>
    <w:rsid w:val="001E713F"/>
    <w:rsid w:val="0020537A"/>
    <w:rsid w:val="00207859"/>
    <w:rsid w:val="002145BB"/>
    <w:rsid w:val="00214BA1"/>
    <w:rsid w:val="00215655"/>
    <w:rsid w:val="00215694"/>
    <w:rsid w:val="00221809"/>
    <w:rsid w:val="00227449"/>
    <w:rsid w:val="00237B48"/>
    <w:rsid w:val="002414BF"/>
    <w:rsid w:val="00242262"/>
    <w:rsid w:val="0024521E"/>
    <w:rsid w:val="00252DFE"/>
    <w:rsid w:val="00263C3D"/>
    <w:rsid w:val="0026468E"/>
    <w:rsid w:val="00264971"/>
    <w:rsid w:val="0026597C"/>
    <w:rsid w:val="00274D0B"/>
    <w:rsid w:val="002826B7"/>
    <w:rsid w:val="00287D56"/>
    <w:rsid w:val="00290BEB"/>
    <w:rsid w:val="00295ED1"/>
    <w:rsid w:val="002B161D"/>
    <w:rsid w:val="002B1DA5"/>
    <w:rsid w:val="002B3C95"/>
    <w:rsid w:val="002B5F0D"/>
    <w:rsid w:val="002C1F14"/>
    <w:rsid w:val="002D0B92"/>
    <w:rsid w:val="002D1505"/>
    <w:rsid w:val="002D3F71"/>
    <w:rsid w:val="002E235A"/>
    <w:rsid w:val="002E57A7"/>
    <w:rsid w:val="002E6E08"/>
    <w:rsid w:val="002F7C07"/>
    <w:rsid w:val="003001DA"/>
    <w:rsid w:val="0030289C"/>
    <w:rsid w:val="00303428"/>
    <w:rsid w:val="00306F1B"/>
    <w:rsid w:val="00307BDA"/>
    <w:rsid w:val="003156B1"/>
    <w:rsid w:val="00322EBF"/>
    <w:rsid w:val="0033302C"/>
    <w:rsid w:val="003340F0"/>
    <w:rsid w:val="00352D5F"/>
    <w:rsid w:val="0035306F"/>
    <w:rsid w:val="003551F0"/>
    <w:rsid w:val="00355C0B"/>
    <w:rsid w:val="00360D8D"/>
    <w:rsid w:val="003636BC"/>
    <w:rsid w:val="00372617"/>
    <w:rsid w:val="00375914"/>
    <w:rsid w:val="00385CB6"/>
    <w:rsid w:val="0039356C"/>
    <w:rsid w:val="00393C45"/>
    <w:rsid w:val="0039496C"/>
    <w:rsid w:val="003A57EA"/>
    <w:rsid w:val="003A58AE"/>
    <w:rsid w:val="003A5FDF"/>
    <w:rsid w:val="003C2839"/>
    <w:rsid w:val="003C2F54"/>
    <w:rsid w:val="003C4E67"/>
    <w:rsid w:val="003D0F09"/>
    <w:rsid w:val="003D5BBE"/>
    <w:rsid w:val="003E0A8F"/>
    <w:rsid w:val="003E1A9C"/>
    <w:rsid w:val="003E3C61"/>
    <w:rsid w:val="003E5075"/>
    <w:rsid w:val="003F1C5B"/>
    <w:rsid w:val="003F26CE"/>
    <w:rsid w:val="00406137"/>
    <w:rsid w:val="004076D5"/>
    <w:rsid w:val="00410F81"/>
    <w:rsid w:val="00412A16"/>
    <w:rsid w:val="00415CD2"/>
    <w:rsid w:val="00423C72"/>
    <w:rsid w:val="00431751"/>
    <w:rsid w:val="00433199"/>
    <w:rsid w:val="00434E33"/>
    <w:rsid w:val="00436E39"/>
    <w:rsid w:val="00440559"/>
    <w:rsid w:val="00441434"/>
    <w:rsid w:val="0045264C"/>
    <w:rsid w:val="00453EBF"/>
    <w:rsid w:val="004564BF"/>
    <w:rsid w:val="00464795"/>
    <w:rsid w:val="00472B19"/>
    <w:rsid w:val="00473035"/>
    <w:rsid w:val="004842F7"/>
    <w:rsid w:val="004855CD"/>
    <w:rsid w:val="004876EC"/>
    <w:rsid w:val="00491180"/>
    <w:rsid w:val="004952D6"/>
    <w:rsid w:val="00495846"/>
    <w:rsid w:val="004B00EF"/>
    <w:rsid w:val="004B1346"/>
    <w:rsid w:val="004C4BB4"/>
    <w:rsid w:val="004D3999"/>
    <w:rsid w:val="004D475D"/>
    <w:rsid w:val="004D6E14"/>
    <w:rsid w:val="004D7658"/>
    <w:rsid w:val="004E022D"/>
    <w:rsid w:val="004E3A2B"/>
    <w:rsid w:val="004E5F5C"/>
    <w:rsid w:val="004E6031"/>
    <w:rsid w:val="004E649A"/>
    <w:rsid w:val="005009B0"/>
    <w:rsid w:val="005037EB"/>
    <w:rsid w:val="00505892"/>
    <w:rsid w:val="0051095F"/>
    <w:rsid w:val="00514298"/>
    <w:rsid w:val="00514B27"/>
    <w:rsid w:val="0052250B"/>
    <w:rsid w:val="00526C5E"/>
    <w:rsid w:val="00526FCC"/>
    <w:rsid w:val="0054364E"/>
    <w:rsid w:val="00544243"/>
    <w:rsid w:val="0055340D"/>
    <w:rsid w:val="0055414B"/>
    <w:rsid w:val="00556530"/>
    <w:rsid w:val="0056158E"/>
    <w:rsid w:val="00564495"/>
    <w:rsid w:val="00564C96"/>
    <w:rsid w:val="005654E0"/>
    <w:rsid w:val="005706FB"/>
    <w:rsid w:val="00570B25"/>
    <w:rsid w:val="0057384F"/>
    <w:rsid w:val="00575D3B"/>
    <w:rsid w:val="00584072"/>
    <w:rsid w:val="005844E7"/>
    <w:rsid w:val="00593477"/>
    <w:rsid w:val="00597817"/>
    <w:rsid w:val="005A0019"/>
    <w:rsid w:val="005A1006"/>
    <w:rsid w:val="005A16F2"/>
    <w:rsid w:val="005A44DA"/>
    <w:rsid w:val="005A6889"/>
    <w:rsid w:val="005B64CD"/>
    <w:rsid w:val="005C0A38"/>
    <w:rsid w:val="005C0F3F"/>
    <w:rsid w:val="005C11B5"/>
    <w:rsid w:val="005D02DA"/>
    <w:rsid w:val="005D2A7B"/>
    <w:rsid w:val="005D3736"/>
    <w:rsid w:val="005D4B78"/>
    <w:rsid w:val="005E0544"/>
    <w:rsid w:val="005E0C8D"/>
    <w:rsid w:val="005E714A"/>
    <w:rsid w:val="005F7514"/>
    <w:rsid w:val="00605B14"/>
    <w:rsid w:val="00606736"/>
    <w:rsid w:val="00613237"/>
    <w:rsid w:val="006140A0"/>
    <w:rsid w:val="00631060"/>
    <w:rsid w:val="00632758"/>
    <w:rsid w:val="00635087"/>
    <w:rsid w:val="00636621"/>
    <w:rsid w:val="00637E3B"/>
    <w:rsid w:val="00642B49"/>
    <w:rsid w:val="00644E30"/>
    <w:rsid w:val="0064542C"/>
    <w:rsid w:val="00655B57"/>
    <w:rsid w:val="00666427"/>
    <w:rsid w:val="006676EF"/>
    <w:rsid w:val="00671686"/>
    <w:rsid w:val="00673436"/>
    <w:rsid w:val="00676163"/>
    <w:rsid w:val="00680203"/>
    <w:rsid w:val="006832D9"/>
    <w:rsid w:val="00683672"/>
    <w:rsid w:val="00683CA0"/>
    <w:rsid w:val="00685CD0"/>
    <w:rsid w:val="0068703B"/>
    <w:rsid w:val="0069403B"/>
    <w:rsid w:val="006A0B4C"/>
    <w:rsid w:val="006A48D0"/>
    <w:rsid w:val="006A5812"/>
    <w:rsid w:val="006B3384"/>
    <w:rsid w:val="006C57AF"/>
    <w:rsid w:val="006C734F"/>
    <w:rsid w:val="006D2392"/>
    <w:rsid w:val="006D65A7"/>
    <w:rsid w:val="006E3EDD"/>
    <w:rsid w:val="006E43AD"/>
    <w:rsid w:val="006E7D99"/>
    <w:rsid w:val="006F0C84"/>
    <w:rsid w:val="006F2FE1"/>
    <w:rsid w:val="006F3DDE"/>
    <w:rsid w:val="006F6D66"/>
    <w:rsid w:val="00704678"/>
    <w:rsid w:val="00707842"/>
    <w:rsid w:val="00710B3B"/>
    <w:rsid w:val="00713D29"/>
    <w:rsid w:val="00714593"/>
    <w:rsid w:val="00716ADD"/>
    <w:rsid w:val="00720032"/>
    <w:rsid w:val="007213A5"/>
    <w:rsid w:val="007243BD"/>
    <w:rsid w:val="0072776E"/>
    <w:rsid w:val="0073064D"/>
    <w:rsid w:val="00733B80"/>
    <w:rsid w:val="007353C3"/>
    <w:rsid w:val="00737B89"/>
    <w:rsid w:val="00741B59"/>
    <w:rsid w:val="007425E7"/>
    <w:rsid w:val="007508E3"/>
    <w:rsid w:val="00751B5F"/>
    <w:rsid w:val="007568D7"/>
    <w:rsid w:val="00761AC0"/>
    <w:rsid w:val="007763D5"/>
    <w:rsid w:val="00784C01"/>
    <w:rsid w:val="00786B9E"/>
    <w:rsid w:val="007941B3"/>
    <w:rsid w:val="007943B9"/>
    <w:rsid w:val="00794C72"/>
    <w:rsid w:val="00796096"/>
    <w:rsid w:val="007A0098"/>
    <w:rsid w:val="007A0BCB"/>
    <w:rsid w:val="007A5F66"/>
    <w:rsid w:val="007B0ADE"/>
    <w:rsid w:val="007B0AFF"/>
    <w:rsid w:val="007B7C0F"/>
    <w:rsid w:val="007C4501"/>
    <w:rsid w:val="007D62A5"/>
    <w:rsid w:val="007F7850"/>
    <w:rsid w:val="0080001A"/>
    <w:rsid w:val="00801EFC"/>
    <w:rsid w:val="00802607"/>
    <w:rsid w:val="0080359F"/>
    <w:rsid w:val="0080619B"/>
    <w:rsid w:val="00806C5B"/>
    <w:rsid w:val="008101A5"/>
    <w:rsid w:val="00812F77"/>
    <w:rsid w:val="00815E90"/>
    <w:rsid w:val="008160A4"/>
    <w:rsid w:val="008222BD"/>
    <w:rsid w:val="00822664"/>
    <w:rsid w:val="00831874"/>
    <w:rsid w:val="00832097"/>
    <w:rsid w:val="00833355"/>
    <w:rsid w:val="00834684"/>
    <w:rsid w:val="00835E94"/>
    <w:rsid w:val="00843796"/>
    <w:rsid w:val="008545EC"/>
    <w:rsid w:val="00862CFF"/>
    <w:rsid w:val="008635FB"/>
    <w:rsid w:val="008666C1"/>
    <w:rsid w:val="00867B41"/>
    <w:rsid w:val="0087026B"/>
    <w:rsid w:val="008775CA"/>
    <w:rsid w:val="008949DD"/>
    <w:rsid w:val="00894FDB"/>
    <w:rsid w:val="00895229"/>
    <w:rsid w:val="00896E30"/>
    <w:rsid w:val="008A484A"/>
    <w:rsid w:val="008A620D"/>
    <w:rsid w:val="008A71CB"/>
    <w:rsid w:val="008C06B4"/>
    <w:rsid w:val="008C087C"/>
    <w:rsid w:val="008C4D6B"/>
    <w:rsid w:val="008C4E6C"/>
    <w:rsid w:val="008D6E99"/>
    <w:rsid w:val="008E2734"/>
    <w:rsid w:val="008E50A5"/>
    <w:rsid w:val="008F0203"/>
    <w:rsid w:val="008F2B11"/>
    <w:rsid w:val="008F50D4"/>
    <w:rsid w:val="00906D58"/>
    <w:rsid w:val="009128BA"/>
    <w:rsid w:val="009239AA"/>
    <w:rsid w:val="00935ADA"/>
    <w:rsid w:val="00936BFB"/>
    <w:rsid w:val="00941DA9"/>
    <w:rsid w:val="00943340"/>
    <w:rsid w:val="00946B6C"/>
    <w:rsid w:val="00955A71"/>
    <w:rsid w:val="009607A9"/>
    <w:rsid w:val="0096108F"/>
    <w:rsid w:val="00964297"/>
    <w:rsid w:val="009646D7"/>
    <w:rsid w:val="009647AC"/>
    <w:rsid w:val="009722F0"/>
    <w:rsid w:val="00973BF7"/>
    <w:rsid w:val="00981F28"/>
    <w:rsid w:val="009825FB"/>
    <w:rsid w:val="009933C2"/>
    <w:rsid w:val="00996A29"/>
    <w:rsid w:val="009A7011"/>
    <w:rsid w:val="009A784D"/>
    <w:rsid w:val="009B015B"/>
    <w:rsid w:val="009B0F92"/>
    <w:rsid w:val="009C13B9"/>
    <w:rsid w:val="009C33B0"/>
    <w:rsid w:val="009C36EF"/>
    <w:rsid w:val="009C6EA8"/>
    <w:rsid w:val="009C7132"/>
    <w:rsid w:val="009D01A2"/>
    <w:rsid w:val="009D4F98"/>
    <w:rsid w:val="009D7E65"/>
    <w:rsid w:val="009E3B57"/>
    <w:rsid w:val="009F2086"/>
    <w:rsid w:val="009F2B79"/>
    <w:rsid w:val="009F5923"/>
    <w:rsid w:val="00A00432"/>
    <w:rsid w:val="00A157BE"/>
    <w:rsid w:val="00A257DE"/>
    <w:rsid w:val="00A27231"/>
    <w:rsid w:val="00A31025"/>
    <w:rsid w:val="00A31C99"/>
    <w:rsid w:val="00A335C5"/>
    <w:rsid w:val="00A3485F"/>
    <w:rsid w:val="00A403BB"/>
    <w:rsid w:val="00A40D7A"/>
    <w:rsid w:val="00A46A0F"/>
    <w:rsid w:val="00A4783C"/>
    <w:rsid w:val="00A57273"/>
    <w:rsid w:val="00A61A1C"/>
    <w:rsid w:val="00A62E07"/>
    <w:rsid w:val="00A63520"/>
    <w:rsid w:val="00A6651A"/>
    <w:rsid w:val="00A674DF"/>
    <w:rsid w:val="00A71E4F"/>
    <w:rsid w:val="00A72C20"/>
    <w:rsid w:val="00A73B4F"/>
    <w:rsid w:val="00A83AA6"/>
    <w:rsid w:val="00A83B49"/>
    <w:rsid w:val="00A87BD2"/>
    <w:rsid w:val="00A90CE0"/>
    <w:rsid w:val="00A933A9"/>
    <w:rsid w:val="00A93F90"/>
    <w:rsid w:val="00A943D3"/>
    <w:rsid w:val="00A94E2D"/>
    <w:rsid w:val="00A95606"/>
    <w:rsid w:val="00A96ADA"/>
    <w:rsid w:val="00AB3AC7"/>
    <w:rsid w:val="00AB5FC3"/>
    <w:rsid w:val="00AB78E0"/>
    <w:rsid w:val="00AC150D"/>
    <w:rsid w:val="00AC373E"/>
    <w:rsid w:val="00AC764F"/>
    <w:rsid w:val="00AC7F7A"/>
    <w:rsid w:val="00AD70A5"/>
    <w:rsid w:val="00AE1809"/>
    <w:rsid w:val="00AE652E"/>
    <w:rsid w:val="00AE7EC7"/>
    <w:rsid w:val="00AF1E6C"/>
    <w:rsid w:val="00AF7344"/>
    <w:rsid w:val="00B018BA"/>
    <w:rsid w:val="00B020AF"/>
    <w:rsid w:val="00B040A0"/>
    <w:rsid w:val="00B12FEA"/>
    <w:rsid w:val="00B13C38"/>
    <w:rsid w:val="00B16C57"/>
    <w:rsid w:val="00B201ED"/>
    <w:rsid w:val="00B20DFA"/>
    <w:rsid w:val="00B32B4A"/>
    <w:rsid w:val="00B356CB"/>
    <w:rsid w:val="00B5647E"/>
    <w:rsid w:val="00B60742"/>
    <w:rsid w:val="00B61230"/>
    <w:rsid w:val="00B673A4"/>
    <w:rsid w:val="00B80D76"/>
    <w:rsid w:val="00B85FF0"/>
    <w:rsid w:val="00B87680"/>
    <w:rsid w:val="00B949E8"/>
    <w:rsid w:val="00BA2105"/>
    <w:rsid w:val="00BA7E06"/>
    <w:rsid w:val="00BB43B5"/>
    <w:rsid w:val="00BB6219"/>
    <w:rsid w:val="00BC6FBA"/>
    <w:rsid w:val="00BC78DB"/>
    <w:rsid w:val="00BD290F"/>
    <w:rsid w:val="00BE11E2"/>
    <w:rsid w:val="00BE48F7"/>
    <w:rsid w:val="00BE4AEE"/>
    <w:rsid w:val="00BF4319"/>
    <w:rsid w:val="00BF51AE"/>
    <w:rsid w:val="00C113C7"/>
    <w:rsid w:val="00C14CC4"/>
    <w:rsid w:val="00C20C4E"/>
    <w:rsid w:val="00C33C52"/>
    <w:rsid w:val="00C4003F"/>
    <w:rsid w:val="00C40D8B"/>
    <w:rsid w:val="00C42835"/>
    <w:rsid w:val="00C570E3"/>
    <w:rsid w:val="00C642F5"/>
    <w:rsid w:val="00C67C3B"/>
    <w:rsid w:val="00C761E7"/>
    <w:rsid w:val="00C8407A"/>
    <w:rsid w:val="00C84330"/>
    <w:rsid w:val="00C8488C"/>
    <w:rsid w:val="00C86E91"/>
    <w:rsid w:val="00C91CE1"/>
    <w:rsid w:val="00C91FFC"/>
    <w:rsid w:val="00C9373E"/>
    <w:rsid w:val="00C93BF8"/>
    <w:rsid w:val="00C93CDF"/>
    <w:rsid w:val="00CA2650"/>
    <w:rsid w:val="00CB0FEE"/>
    <w:rsid w:val="00CB1078"/>
    <w:rsid w:val="00CB3003"/>
    <w:rsid w:val="00CB4283"/>
    <w:rsid w:val="00CB55E0"/>
    <w:rsid w:val="00CB5640"/>
    <w:rsid w:val="00CB7E33"/>
    <w:rsid w:val="00CC10F4"/>
    <w:rsid w:val="00CC6FAF"/>
    <w:rsid w:val="00CE2851"/>
    <w:rsid w:val="00CE4977"/>
    <w:rsid w:val="00D22507"/>
    <w:rsid w:val="00D2421F"/>
    <w:rsid w:val="00D24698"/>
    <w:rsid w:val="00D404ED"/>
    <w:rsid w:val="00D439BA"/>
    <w:rsid w:val="00D5251A"/>
    <w:rsid w:val="00D5626E"/>
    <w:rsid w:val="00D5666F"/>
    <w:rsid w:val="00D57C7F"/>
    <w:rsid w:val="00D60BB0"/>
    <w:rsid w:val="00D6148C"/>
    <w:rsid w:val="00D6383F"/>
    <w:rsid w:val="00D6490E"/>
    <w:rsid w:val="00D763EB"/>
    <w:rsid w:val="00D825DB"/>
    <w:rsid w:val="00D85936"/>
    <w:rsid w:val="00D913A3"/>
    <w:rsid w:val="00D9479A"/>
    <w:rsid w:val="00DA3621"/>
    <w:rsid w:val="00DB095F"/>
    <w:rsid w:val="00DB3606"/>
    <w:rsid w:val="00DB59D0"/>
    <w:rsid w:val="00DC2681"/>
    <w:rsid w:val="00DC33D3"/>
    <w:rsid w:val="00DD0E84"/>
    <w:rsid w:val="00DD2BF0"/>
    <w:rsid w:val="00DD37AA"/>
    <w:rsid w:val="00DD4981"/>
    <w:rsid w:val="00DE22D1"/>
    <w:rsid w:val="00DE371E"/>
    <w:rsid w:val="00DE5D38"/>
    <w:rsid w:val="00DE78FD"/>
    <w:rsid w:val="00DF044E"/>
    <w:rsid w:val="00E02FF8"/>
    <w:rsid w:val="00E06008"/>
    <w:rsid w:val="00E076F1"/>
    <w:rsid w:val="00E167DF"/>
    <w:rsid w:val="00E2249E"/>
    <w:rsid w:val="00E23DAF"/>
    <w:rsid w:val="00E25C6B"/>
    <w:rsid w:val="00E26329"/>
    <w:rsid w:val="00E404BE"/>
    <w:rsid w:val="00E40B50"/>
    <w:rsid w:val="00E450EC"/>
    <w:rsid w:val="00E50293"/>
    <w:rsid w:val="00E5521D"/>
    <w:rsid w:val="00E612F5"/>
    <w:rsid w:val="00E6541D"/>
    <w:rsid w:val="00E65FFC"/>
    <w:rsid w:val="00E670EB"/>
    <w:rsid w:val="00E67BC7"/>
    <w:rsid w:val="00E717C9"/>
    <w:rsid w:val="00E74804"/>
    <w:rsid w:val="00E74D87"/>
    <w:rsid w:val="00E80951"/>
    <w:rsid w:val="00E8177F"/>
    <w:rsid w:val="00E8296D"/>
    <w:rsid w:val="00E86CC6"/>
    <w:rsid w:val="00E92DD1"/>
    <w:rsid w:val="00E97593"/>
    <w:rsid w:val="00EA1691"/>
    <w:rsid w:val="00EA3C90"/>
    <w:rsid w:val="00EB03B1"/>
    <w:rsid w:val="00EB56B3"/>
    <w:rsid w:val="00EB5A98"/>
    <w:rsid w:val="00EC15A0"/>
    <w:rsid w:val="00EC5959"/>
    <w:rsid w:val="00ED42D0"/>
    <w:rsid w:val="00ED6492"/>
    <w:rsid w:val="00EE6D09"/>
    <w:rsid w:val="00EF2095"/>
    <w:rsid w:val="00EF4495"/>
    <w:rsid w:val="00F00B2D"/>
    <w:rsid w:val="00F00DAE"/>
    <w:rsid w:val="00F0101D"/>
    <w:rsid w:val="00F0258C"/>
    <w:rsid w:val="00F06866"/>
    <w:rsid w:val="00F069AF"/>
    <w:rsid w:val="00F15956"/>
    <w:rsid w:val="00F24CFC"/>
    <w:rsid w:val="00F25038"/>
    <w:rsid w:val="00F2797A"/>
    <w:rsid w:val="00F3170F"/>
    <w:rsid w:val="00F334A6"/>
    <w:rsid w:val="00F37A4C"/>
    <w:rsid w:val="00F444EF"/>
    <w:rsid w:val="00F44DAF"/>
    <w:rsid w:val="00F46ACA"/>
    <w:rsid w:val="00F54D86"/>
    <w:rsid w:val="00F55D88"/>
    <w:rsid w:val="00F85219"/>
    <w:rsid w:val="00F8707B"/>
    <w:rsid w:val="00F914CB"/>
    <w:rsid w:val="00F93EC5"/>
    <w:rsid w:val="00F976B0"/>
    <w:rsid w:val="00FA2121"/>
    <w:rsid w:val="00FA3B7B"/>
    <w:rsid w:val="00FA6DE7"/>
    <w:rsid w:val="00FA7432"/>
    <w:rsid w:val="00FC0A8E"/>
    <w:rsid w:val="00FC16D1"/>
    <w:rsid w:val="00FC7E24"/>
    <w:rsid w:val="00FD710F"/>
    <w:rsid w:val="00FE2F83"/>
    <w:rsid w:val="00FE2FA6"/>
    <w:rsid w:val="00FE3DF2"/>
    <w:rsid w:val="00FE5E1C"/>
    <w:rsid w:val="00FF280C"/>
    <w:rsid w:val="00FF336D"/>
    <w:rsid w:val="00FF376D"/>
    <w:rsid w:val="00FF77E4"/>
  </w:rsids>
  <w:docVars>
    <w:docVar w:name="__Grammarly_42___1" w:val="H4sIAAAAAAAEAKtWcslP9kxRslIyNDayMDe1NDQyNDU1tzA1MDZV0lEKTi0uzszPAykwqQUAUyqSl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C5ED"/>
  <w15:docId w15:val="{338406CF-EBA6-4206-8007-F1668CB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aliases w:val="Bullet List,FooterText"/>
    <w:basedOn w:val="Normal"/>
    <w:link w:val="ListParagraphChar"/>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character" w:customStyle="1" w:styleId="ListParagraphChar">
    <w:name w:val="List Paragraph Char"/>
    <w:aliases w:val="Bullet List Char,FooterText Char"/>
    <w:basedOn w:val="DefaultParagraphFont"/>
    <w:link w:val="ListParagraph"/>
    <w:uiPriority w:val="34"/>
    <w:locked/>
    <w:rsid w:val="0056158E"/>
    <w:rPr>
      <w:sz w:val="24"/>
      <w:szCs w:val="24"/>
    </w:rPr>
  </w:style>
  <w:style w:type="paragraph" w:styleId="Revision">
    <w:name w:val="Revision"/>
    <w:hidden/>
    <w:uiPriority w:val="99"/>
    <w:semiHidden/>
    <w:rsid w:val="00412A16"/>
    <w:rPr>
      <w:sz w:val="24"/>
      <w:szCs w:val="24"/>
    </w:rPr>
  </w:style>
  <w:style w:type="character" w:customStyle="1" w:styleId="normaltextrun">
    <w:name w:val="normaltextrun"/>
    <w:basedOn w:val="DefaultParagraphFont"/>
    <w:rsid w:val="0080619B"/>
  </w:style>
  <w:style w:type="character" w:styleId="UnresolvedMention">
    <w:name w:val="Unresolved Mention"/>
    <w:basedOn w:val="DefaultParagraphFont"/>
    <w:uiPriority w:val="99"/>
    <w:semiHidden/>
    <w:unhideWhenUsed/>
    <w:rsid w:val="00637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iles.consumerfinance.gov/f/201409_cfpb_consumer-education_pia.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OPSOCDOPRA-2116056712-2136665</_dlc_DocId>
    <_dlc_DocIdUrl xmlns="8097749c-35e3-4292-9c41-d352b303d2cf">
      <Url>https://bcfp365.sharepoint.com/sites/ops-ocdo-pra/_layouts/15/DocIdRedir.aspx?ID=OPSOCDOPRA-2116056712-2136665</Url>
      <Description>OPSOCDOPRA-2116056712-2136665</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2.xml><?xml version="1.0" encoding="utf-8"?>
<ds:datastoreItem xmlns:ds="http://schemas.openxmlformats.org/officeDocument/2006/customXml" ds:itemID="{024FB8A7-6598-46C6-93C7-7583DA21EEC5}">
  <ds:schemaRefs/>
</ds:datastoreItem>
</file>

<file path=customXml/itemProps3.xml><?xml version="1.0" encoding="utf-8"?>
<ds:datastoreItem xmlns:ds="http://schemas.openxmlformats.org/officeDocument/2006/customXml" ds:itemID="{83C5AECA-043E-45E8-98F8-DDABBDB1584C}">
  <ds:schemaRefs/>
</ds:datastoreItem>
</file>

<file path=customXml/itemProps4.xml><?xml version="1.0" encoding="utf-8"?>
<ds:datastoreItem xmlns:ds="http://schemas.openxmlformats.org/officeDocument/2006/customXml" ds:itemID="{80472381-D386-4394-A7FA-0D71F4513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May, Anthony (CFPB)</cp:lastModifiedBy>
  <cp:revision>2</cp:revision>
  <cp:lastPrinted>2010-10-05T01:59:00Z</cp:lastPrinted>
  <dcterms:created xsi:type="dcterms:W3CDTF">2022-04-28T13:01:00Z</dcterms:created>
  <dcterms:modified xsi:type="dcterms:W3CDTF">2022-04-28T13:01:00Z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Order">
    <vt:r8>7421000</vt:r8>
  </property>
  <property fmtid="{D5CDD505-2E9C-101B-9397-08002B2CF9AE}" pid="6" name="TaxKeyword">
    <vt:lpwstr/>
  </property>
  <property fmtid="{D5CDD505-2E9C-101B-9397-08002B2CF9AE}" pid="7" name="Toolkit_Type">
    <vt:lpwstr>Generic ICR</vt:lpwstr>
  </property>
  <property fmtid="{D5CDD505-2E9C-101B-9397-08002B2CF9AE}" pid="8" name="_dlc_DocIdItemGuid">
    <vt:lpwstr>4eecdce4-841f-4d70-9bed-8b8521ecd394</vt:lpwstr>
  </property>
  <property fmtid="{D5CDD505-2E9C-101B-9397-08002B2CF9AE}" pid="9" name="_docset_NoMedatataSyncRequired">
    <vt:lpwstr>False</vt:lpwstr>
  </property>
  <property fmtid="{D5CDD505-2E9C-101B-9397-08002B2CF9AE}" pid="10" name="_NewReviewCycle">
    <vt:lpwstr/>
  </property>
</Properties>
</file>