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6655" w:rsidP="00876655" w:rsidRDefault="00876655" w14:paraId="65D2A2CF" w14:textId="77777777">
      <w:pPr>
        <w:pStyle w:val="NoSpacing"/>
        <w:jc w:val="center"/>
        <w:rPr>
          <w:sz w:val="28"/>
          <w:szCs w:val="28"/>
        </w:rPr>
      </w:pPr>
      <w:r w:rsidRPr="00AB5031">
        <w:rPr>
          <w:sz w:val="28"/>
          <w:szCs w:val="28"/>
        </w:rPr>
        <w:t>Supporting Statement for Paperwork Reduction Act Submissions</w:t>
      </w:r>
    </w:p>
    <w:p w:rsidRPr="00AB5031" w:rsidR="00876655" w:rsidP="00876655" w:rsidRDefault="00876655" w14:paraId="5CBCDB21" w14:textId="77777777">
      <w:pPr>
        <w:pStyle w:val="NoSpacing"/>
        <w:jc w:val="center"/>
        <w:rPr>
          <w:sz w:val="24"/>
          <w:szCs w:val="24"/>
        </w:rPr>
      </w:pPr>
    </w:p>
    <w:p w:rsidRPr="00876655" w:rsidR="00876655" w:rsidP="00876655" w:rsidRDefault="00876655" w14:paraId="542F6B76" w14:textId="77777777">
      <w:pPr>
        <w:pStyle w:val="Heading2"/>
        <w:jc w:val="center"/>
        <w:rPr>
          <w:b w:val="0"/>
          <w:color w:val="auto"/>
          <w:sz w:val="24"/>
          <w:szCs w:val="24"/>
        </w:rPr>
      </w:pPr>
      <w:r w:rsidRPr="00876655">
        <w:rPr>
          <w:b w:val="0"/>
          <w:bCs/>
          <w:color w:val="auto"/>
          <w:sz w:val="24"/>
          <w:szCs w:val="24"/>
        </w:rPr>
        <w:t>Builder’s Certification of Plans, Specifications, &amp; Site</w:t>
      </w:r>
    </w:p>
    <w:p w:rsidRPr="00876655" w:rsidR="00876655" w:rsidP="00876655" w:rsidRDefault="00876655" w14:paraId="3A3A6BFA" w14:textId="77777777">
      <w:pPr>
        <w:pStyle w:val="Heading2"/>
        <w:jc w:val="center"/>
        <w:rPr>
          <w:b w:val="0"/>
          <w:bCs/>
          <w:color w:val="auto"/>
          <w:sz w:val="24"/>
          <w:szCs w:val="24"/>
        </w:rPr>
      </w:pPr>
      <w:r w:rsidRPr="00876655">
        <w:rPr>
          <w:bCs/>
          <w:color w:val="auto"/>
          <w:sz w:val="24"/>
          <w:szCs w:val="24"/>
        </w:rPr>
        <w:t>OMB Control Number 2502-0496</w:t>
      </w:r>
    </w:p>
    <w:p w:rsidRPr="00876655" w:rsidR="00876655" w:rsidP="00876655" w:rsidRDefault="00876655" w14:paraId="6E4D350D" w14:textId="77777777">
      <w:pPr>
        <w:pStyle w:val="Heading2"/>
        <w:jc w:val="center"/>
        <w:rPr>
          <w:bCs/>
          <w:color w:val="auto"/>
        </w:rPr>
      </w:pPr>
      <w:r w:rsidRPr="00876655">
        <w:rPr>
          <w:b w:val="0"/>
          <w:bCs/>
          <w:color w:val="auto"/>
          <w:sz w:val="24"/>
          <w:szCs w:val="24"/>
        </w:rPr>
        <w:t>(Form HUD-92541)</w:t>
      </w:r>
    </w:p>
    <w:p w:rsidRPr="00AB5031" w:rsidR="00876655" w:rsidP="00876655" w:rsidRDefault="00876655" w14:paraId="22F92EC2" w14:textId="77777777">
      <w:pPr>
        <w:pStyle w:val="NoSpacing"/>
        <w:rPr>
          <w:sz w:val="24"/>
        </w:rPr>
      </w:pPr>
    </w:p>
    <w:p w:rsidRPr="00AB5031" w:rsidR="00876655" w:rsidP="00876655" w:rsidRDefault="00876655" w14:paraId="4C8385D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s="Times New Roman"/>
          <w:sz w:val="24"/>
        </w:rPr>
      </w:pPr>
      <w:r w:rsidRPr="004010EB">
        <w:rPr>
          <w:rFonts w:ascii="Times New Roman" w:hAnsi="Times New Roman" w:cs="Times New Roman"/>
          <w:b/>
          <w:color w:val="000000" w:themeColor="text1"/>
          <w:sz w:val="24"/>
        </w:rPr>
        <w:t>A</w:t>
      </w:r>
      <w:r w:rsidRPr="00AB5031">
        <w:rPr>
          <w:rFonts w:ascii="Times New Roman" w:hAnsi="Times New Roman" w:cs="Times New Roman"/>
          <w:b/>
          <w:sz w:val="24"/>
        </w:rPr>
        <w:t xml:space="preserve">. </w:t>
      </w:r>
      <w:r w:rsidRPr="00AB5031">
        <w:rPr>
          <w:rFonts w:ascii="Times New Roman" w:hAnsi="Times New Roman" w:cs="Times New Roman"/>
          <w:b/>
          <w:sz w:val="24"/>
        </w:rPr>
        <w:tab/>
        <w:t>Justification</w:t>
      </w:r>
    </w:p>
    <w:p w:rsidRPr="00AB5031" w:rsidR="00876655" w:rsidP="00876655" w:rsidRDefault="00876655" w14:paraId="6CB2803D" w14:textId="77777777">
      <w:pPr>
        <w:rPr>
          <w:rFonts w:ascii="Times New Roman" w:hAnsi="Times New Roman" w:cs="Times New Roman"/>
          <w:b/>
          <w:bCs/>
          <w:sz w:val="24"/>
          <w:szCs w:val="24"/>
        </w:rPr>
      </w:pPr>
      <w:r>
        <w:rPr>
          <w:rFonts w:ascii="Times New Roman" w:hAnsi="Times New Roman" w:cs="Times New Roman"/>
          <w:b/>
          <w:bCs/>
          <w:sz w:val="24"/>
          <w:szCs w:val="24"/>
        </w:rPr>
        <w:t xml:space="preserve"> </w:t>
      </w:r>
      <w:r w:rsidRPr="00AB5031">
        <w:rPr>
          <w:rFonts w:ascii="Times New Roman" w:hAnsi="Times New Roman" w:cs="Times New Roman"/>
          <w:b/>
          <w:bCs/>
          <w:sz w:val="24"/>
          <w:szCs w:val="24"/>
        </w:rPr>
        <w:t xml:space="preserve">1. </w:t>
      </w:r>
      <w:r w:rsidRPr="00343EE3">
        <w:rPr>
          <w:rFonts w:ascii="Times New Roman" w:hAnsi="Times New Roman" w:cs="Times New Roman"/>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876655" w:rsidR="00876655" w:rsidP="00876655" w:rsidRDefault="00876655" w14:paraId="16EE9D06" w14:textId="77777777">
      <w:pPr>
        <w:ind w:left="360"/>
        <w:rPr>
          <w:rFonts w:ascii="Times New Roman" w:hAnsi="Times New Roman" w:cs="Times New Roman"/>
          <w:sz w:val="24"/>
          <w:szCs w:val="24"/>
        </w:rPr>
      </w:pPr>
      <w:r w:rsidRPr="00876655">
        <w:rPr>
          <w:rFonts w:ascii="Times New Roman" w:hAnsi="Times New Roman" w:cs="Times New Roman"/>
          <w:sz w:val="24"/>
          <w:szCs w:val="24"/>
        </w:rPr>
        <w:t xml:space="preserve">This request for OMB review seeks to renew a previously approved collection of Form HUD-92541, Builder’s Certification of Plans, &amp; Site (OMB Control Number 2502-0496). The information collected on this form is necessary to ensure newly built homes financed with FHA mortgage insurance do not contain adverse site conditions or foreseeable hazards that pose a health or safety risk to the occupant or cause the Property to be ineligible for FHA insurance. </w:t>
      </w:r>
      <w:hyperlink w:history="1" r:id="rId4">
        <w:r w:rsidRPr="00876655">
          <w:rPr>
            <w:rFonts w:ascii="Times New Roman" w:hAnsi="Times New Roman" w:cs="Times New Roman"/>
            <w:sz w:val="24"/>
            <w:szCs w:val="24"/>
          </w:rPr>
          <w:t>Executive Order 11988</w:t>
        </w:r>
      </w:hyperlink>
      <w:r w:rsidRPr="00876655">
        <w:rPr>
          <w:rFonts w:ascii="Times New Roman" w:hAnsi="Times New Roman" w:cs="Times New Roman"/>
          <w:sz w:val="24"/>
          <w:szCs w:val="24"/>
        </w:rPr>
        <w:t xml:space="preserve"> (Flood Plain Management) and HUD environmental regulations at </w:t>
      </w:r>
      <w:hyperlink w:history="1" r:id="rId5">
        <w:r w:rsidRPr="00876655">
          <w:rPr>
            <w:rStyle w:val="Hyperlink"/>
            <w:rFonts w:ascii="Times New Roman" w:hAnsi="Times New Roman" w:cs="Times New Roman"/>
            <w:color w:val="auto"/>
            <w:sz w:val="24"/>
            <w:szCs w:val="24"/>
          </w:rPr>
          <w:t>24 CFR 51</w:t>
        </w:r>
      </w:hyperlink>
      <w:r w:rsidRPr="00876655">
        <w:rPr>
          <w:rFonts w:ascii="Times New Roman" w:hAnsi="Times New Roman" w:cs="Times New Roman"/>
          <w:sz w:val="24"/>
          <w:szCs w:val="24"/>
        </w:rPr>
        <w:t xml:space="preserve"> and </w:t>
      </w:r>
      <w:hyperlink w:history="1" r:id="rId6">
        <w:r w:rsidRPr="00876655">
          <w:rPr>
            <w:rStyle w:val="Hyperlink"/>
            <w:rFonts w:ascii="Times New Roman" w:hAnsi="Times New Roman" w:cs="Times New Roman"/>
            <w:color w:val="auto"/>
            <w:sz w:val="24"/>
            <w:szCs w:val="24"/>
          </w:rPr>
          <w:t>24 CFR 55</w:t>
        </w:r>
      </w:hyperlink>
      <w:r w:rsidRPr="00876655">
        <w:rPr>
          <w:rFonts w:ascii="Times New Roman" w:hAnsi="Times New Roman" w:cs="Times New Roman"/>
          <w:sz w:val="24"/>
          <w:szCs w:val="24"/>
        </w:rPr>
        <w:t xml:space="preserve"> require builders of newly constructed properties to ensure the property is not affected by flood hazards, or other adverse conditions including: (1) noise; (2) runway clear zones; (3) explosive/flammable materials storage hazards; (4) toxic waste hazards; and (5) other foreseeable hazards that may affect the site (i.e., high ground water level, surface drainage, sinkholes, excessive slopes, expansive/collapsible/erosional soils and inadequate fill materials). </w:t>
      </w:r>
    </w:p>
    <w:p w:rsidRPr="003C1634" w:rsidR="00876655" w:rsidP="00876655" w:rsidRDefault="00876655" w14:paraId="5B0AA234" w14:textId="77777777">
      <w:pPr>
        <w:rPr>
          <w:rFonts w:ascii="Times New Roman" w:hAnsi="Times New Roman" w:cs="Times New Roman"/>
          <w:b/>
          <w:bCs/>
          <w:sz w:val="24"/>
          <w:szCs w:val="24"/>
        </w:rPr>
      </w:pPr>
      <w:r>
        <w:rPr>
          <w:rFonts w:ascii="Times New Roman" w:hAnsi="Times New Roman" w:cs="Times New Roman"/>
          <w:b/>
          <w:bCs/>
          <w:sz w:val="24"/>
          <w:szCs w:val="24"/>
        </w:rPr>
        <w:t xml:space="preserve"> </w:t>
      </w:r>
      <w:r w:rsidRPr="003C1634">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p>
    <w:p w:rsidRPr="00876655" w:rsidR="00876655" w:rsidP="00876655" w:rsidRDefault="00876655" w14:paraId="41FD997B" w14:textId="77777777">
      <w:pPr>
        <w:ind w:left="360"/>
        <w:rPr>
          <w:rFonts w:ascii="Times New Roman" w:hAnsi="Times New Roman" w:cs="Times New Roman"/>
          <w:sz w:val="24"/>
          <w:szCs w:val="24"/>
        </w:rPr>
      </w:pPr>
      <w:r w:rsidRPr="00876655">
        <w:rPr>
          <w:rFonts w:ascii="Times New Roman" w:hAnsi="Times New Roman" w:cs="Times New Roman"/>
          <w:sz w:val="24"/>
          <w:szCs w:val="24"/>
        </w:rPr>
        <w:t xml:space="preserve">The form requires the builder to certify that the house has or will be built according HUD Minimum Property Standards in </w:t>
      </w:r>
      <w:hyperlink w:history="1" r:id="rId7">
        <w:r w:rsidRPr="00876655">
          <w:rPr>
            <w:rStyle w:val="Hyperlink"/>
            <w:rFonts w:ascii="Times New Roman" w:hAnsi="Times New Roman" w:cs="Times New Roman"/>
            <w:color w:val="auto"/>
            <w:sz w:val="24"/>
            <w:szCs w:val="24"/>
          </w:rPr>
          <w:t>24 CFR 200.926d</w:t>
        </w:r>
      </w:hyperlink>
      <w:r w:rsidRPr="00876655">
        <w:rPr>
          <w:rFonts w:ascii="Times New Roman" w:hAnsi="Times New Roman" w:cs="Times New Roman"/>
          <w:sz w:val="24"/>
          <w:szCs w:val="24"/>
        </w:rPr>
        <w:t xml:space="preserve"> and the applicable Local/State adopted IRC Building Codes, specific building codes applicable to the site location, or HUD requirements.  </w:t>
      </w:r>
    </w:p>
    <w:p w:rsidRPr="00876655" w:rsidR="00876655" w:rsidP="00876655" w:rsidRDefault="00876655" w14:paraId="38F5CF70" w14:textId="77777777">
      <w:pPr>
        <w:ind w:left="360"/>
        <w:rPr>
          <w:rFonts w:ascii="Times New Roman" w:hAnsi="Times New Roman" w:cs="Times New Roman"/>
          <w:sz w:val="24"/>
          <w:szCs w:val="24"/>
        </w:rPr>
      </w:pPr>
      <w:r w:rsidRPr="00876655">
        <w:rPr>
          <w:rFonts w:ascii="Times New Roman" w:hAnsi="Times New Roman" w:cs="Times New Roman"/>
          <w:sz w:val="24"/>
          <w:szCs w:val="24"/>
        </w:rPr>
        <w:t xml:space="preserve">The builder or its agent completes the site analysis and submits the information to the lender using a pdf fillable form.  The site analysis includes stating the property's proximity to locations that might affect the value or marketability of the property.  The builder must also indicate that the dwelling was constructed according to certain building codes and indicate which building code the builder adhered to in Sections 2 – 8 of the form.  </w:t>
      </w:r>
    </w:p>
    <w:p w:rsidRPr="00876655" w:rsidR="00876655" w:rsidP="00876655" w:rsidRDefault="00876655" w14:paraId="4923C7AA" w14:textId="77777777">
      <w:pPr>
        <w:ind w:left="360"/>
        <w:rPr>
          <w:rFonts w:ascii="Times New Roman" w:hAnsi="Times New Roman" w:cs="Times New Roman"/>
          <w:sz w:val="24"/>
          <w:szCs w:val="24"/>
        </w:rPr>
      </w:pPr>
      <w:r w:rsidRPr="00876655">
        <w:rPr>
          <w:rFonts w:ascii="Times New Roman" w:hAnsi="Times New Roman" w:cs="Times New Roman"/>
          <w:sz w:val="24"/>
          <w:szCs w:val="24"/>
        </w:rPr>
        <w:t xml:space="preserve">The information must be collected on each case submitted for mortgage insurance that involves new construction, proposed construction, or existing construction less than one year, so HUD is ensured no site or location factors will adversely affect the dwelling or the homeowner.  The completed form must be shared with the appraiser to provide adequate </w:t>
      </w:r>
      <w:r w:rsidRPr="00876655">
        <w:rPr>
          <w:rFonts w:ascii="Times New Roman" w:hAnsi="Times New Roman" w:cs="Times New Roman"/>
          <w:sz w:val="24"/>
          <w:szCs w:val="24"/>
        </w:rPr>
        <w:lastRenderedPageBreak/>
        <w:t xml:space="preserve">information regarding potential site hazards and allow the appraiser to perform a proper analysis of the property site.  For condominiums, the form will be used to determine the project's eligibility and show any issues noted by the builder or developer and their proposed mitigation plans.  HUD may review the information on the builder certification on a sampling of cases to ensure the lender has appropriately considered the site and location factors during the underwriting of the loan.  Borrower and their attorneys who have complaints against builders for not properly mitigating the problems of a site can also use the form.  </w:t>
      </w:r>
    </w:p>
    <w:p w:rsidRPr="00876655" w:rsidR="00876655" w:rsidP="00876655" w:rsidRDefault="00876655" w14:paraId="7CAFA5A3" w14:textId="77777777">
      <w:pPr>
        <w:rPr>
          <w:rFonts w:ascii="Times New Roman" w:hAnsi="Times New Roman" w:cs="Times New Roman"/>
          <w:b/>
          <w:bCs/>
          <w:sz w:val="24"/>
          <w:szCs w:val="24"/>
        </w:rPr>
      </w:pPr>
      <w:r w:rsidRPr="00876655">
        <w:rPr>
          <w:rFonts w:ascii="Times New Roman" w:hAnsi="Times New Roman" w:cs="Times New Roman"/>
          <w:b/>
          <w:bCs/>
          <w:sz w:val="24"/>
          <w:szCs w:val="24"/>
        </w:rPr>
        <w:t xml:space="preserve"> 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876655" w:rsidR="00876655" w:rsidP="00876655" w:rsidRDefault="00876655" w14:paraId="79725918" w14:textId="77777777">
      <w:pPr>
        <w:ind w:left="360"/>
        <w:rPr>
          <w:rFonts w:ascii="Times New Roman" w:hAnsi="Times New Roman" w:cs="Times New Roman"/>
          <w:sz w:val="24"/>
          <w:szCs w:val="24"/>
        </w:rPr>
      </w:pPr>
      <w:r w:rsidRPr="00876655">
        <w:rPr>
          <w:rFonts w:ascii="Times New Roman" w:hAnsi="Times New Roman" w:cs="Times New Roman"/>
          <w:sz w:val="24"/>
          <w:szCs w:val="24"/>
        </w:rPr>
        <w:t xml:space="preserve">The collection of the requested information is 95% automated using the fillable form.  Builders submit the fillable pdf form to an approved FHA Direct Endorsement (DE) lender.  Under FHA-Single Family’s current insurance endorsement policy, a (DE) lender may apply for FHA insurance based upon its internal underwriting of the loan.  During the closing process, most lenders log on to a Web-based application, FHA Connection (FHAC), to establish and update a case, log the appraisal, and complete the Insurance Application.  The data entered are subsequently transferred to the Computerized Homes Underwriting Management System (CHUMS), the system of record for the endorsement process. </w:t>
      </w:r>
    </w:p>
    <w:p w:rsidRPr="00876655" w:rsidR="00876655" w:rsidP="00876655" w:rsidRDefault="00876655" w14:paraId="32D0E9BA" w14:textId="77777777">
      <w:pPr>
        <w:ind w:left="360"/>
        <w:rPr>
          <w:rFonts w:ascii="Times New Roman" w:hAnsi="Times New Roman" w:cs="Times New Roman"/>
          <w:sz w:val="24"/>
          <w:szCs w:val="24"/>
        </w:rPr>
      </w:pPr>
      <w:r w:rsidRPr="00876655">
        <w:rPr>
          <w:rFonts w:ascii="Times New Roman" w:hAnsi="Times New Roman" w:cs="Times New Roman"/>
          <w:sz w:val="24"/>
          <w:szCs w:val="24"/>
        </w:rPr>
        <w:t xml:space="preserve">FHA-approved lenders who were previously required to submit paper case binders to FHA's Homeownership Centers can now use FHA Catalyst, a web-based platform that supports digital delivery of documents, to submit case binders electronically to FHA. </w:t>
      </w:r>
    </w:p>
    <w:p w:rsidRPr="00876655" w:rsidR="00876655" w:rsidP="00876655" w:rsidRDefault="00876655" w14:paraId="13A34FBA" w14:textId="77777777">
      <w:pPr>
        <w:ind w:left="360"/>
        <w:rPr>
          <w:rFonts w:ascii="Times New Roman" w:hAnsi="Times New Roman" w:cs="Times New Roman"/>
          <w:sz w:val="24"/>
          <w:szCs w:val="24"/>
        </w:rPr>
      </w:pPr>
      <w:r w:rsidRPr="00876655">
        <w:rPr>
          <w:rFonts w:ascii="Times New Roman" w:hAnsi="Times New Roman" w:cs="Times New Roman"/>
          <w:sz w:val="24"/>
          <w:szCs w:val="24"/>
        </w:rPr>
        <w:t>Direct Endorsement Mortgage Lenders who elect to participate in Business-to-Government (B2G) electronically submit the data to HUD using the Electronic Case Binder.  Large lenders with Loan Origination Systems (LOS) transmit data from their LOS or use third-party software to send data to CHUMS via a B2G connection.  CHUMS is subsequently updated with the same data elements that other lenders enter into FHAC.</w:t>
      </w:r>
    </w:p>
    <w:p w:rsidRPr="00876655" w:rsidR="00876655" w:rsidP="00876655" w:rsidRDefault="00876655" w14:paraId="7B364D29" w14:textId="77777777">
      <w:pPr>
        <w:ind w:left="360"/>
        <w:rPr>
          <w:rFonts w:ascii="Times New Roman" w:hAnsi="Times New Roman" w:cs="Times New Roman"/>
          <w:sz w:val="24"/>
          <w:szCs w:val="24"/>
        </w:rPr>
      </w:pPr>
      <w:r w:rsidRPr="00876655">
        <w:rPr>
          <w:rFonts w:ascii="Times New Roman" w:hAnsi="Times New Roman" w:cs="Times New Roman"/>
          <w:sz w:val="24"/>
          <w:szCs w:val="24"/>
        </w:rPr>
        <w:t xml:space="preserve">After the builders and lenders review the collected information, the form is electronically preserved in the lender’s loan file after Lender Endorsement or provided for HUD Endorsement.  </w:t>
      </w:r>
    </w:p>
    <w:p w:rsidRPr="00876655" w:rsidR="00876655" w:rsidP="00876655" w:rsidRDefault="00876655" w14:paraId="6D3B1FBE" w14:textId="77777777">
      <w:pPr>
        <w:rPr>
          <w:rFonts w:ascii="Times New Roman" w:hAnsi="Times New Roman" w:cs="Times New Roman"/>
          <w:b/>
          <w:bCs/>
          <w:sz w:val="24"/>
          <w:szCs w:val="24"/>
        </w:rPr>
      </w:pPr>
      <w:r w:rsidRPr="00876655">
        <w:rPr>
          <w:rFonts w:ascii="Times New Roman" w:hAnsi="Times New Roman" w:cs="Times New Roman"/>
          <w:b/>
          <w:bCs/>
          <w:sz w:val="24"/>
          <w:szCs w:val="24"/>
        </w:rPr>
        <w:t xml:space="preserve"> 4. Describe efforts to identify duplication. Show specifically why any similar information already available cannot be used or modified for use for the purposes described in Item 2 above. </w:t>
      </w:r>
    </w:p>
    <w:p w:rsidRPr="00876655" w:rsidR="00876655" w:rsidP="00876655" w:rsidRDefault="00876655" w14:paraId="103DB3FD" w14:textId="77777777">
      <w:pPr>
        <w:ind w:left="360"/>
        <w:rPr>
          <w:rFonts w:ascii="Times New Roman" w:hAnsi="Times New Roman" w:cs="Times New Roman"/>
          <w:sz w:val="24"/>
          <w:szCs w:val="24"/>
        </w:rPr>
      </w:pPr>
      <w:r w:rsidRPr="00876655">
        <w:rPr>
          <w:rFonts w:ascii="Times New Roman" w:hAnsi="Times New Roman" w:cs="Times New Roman"/>
          <w:sz w:val="24"/>
          <w:szCs w:val="24"/>
        </w:rPr>
        <w:t>There is no duplication of information.  The information is not collected elsewhere by HUD for the specific property involved.</w:t>
      </w:r>
    </w:p>
    <w:p w:rsidRPr="00876655" w:rsidR="00876655" w:rsidP="00876655" w:rsidRDefault="00876655" w14:paraId="2A2E9D0B" w14:textId="77777777">
      <w:pPr>
        <w:rPr>
          <w:rFonts w:ascii="Times New Roman" w:hAnsi="Times New Roman" w:cs="Times New Roman"/>
          <w:b/>
          <w:bCs/>
          <w:sz w:val="24"/>
          <w:szCs w:val="24"/>
        </w:rPr>
      </w:pPr>
      <w:r w:rsidRPr="00876655">
        <w:rPr>
          <w:rFonts w:ascii="Times New Roman" w:hAnsi="Times New Roman" w:cs="Times New Roman"/>
          <w:b/>
          <w:bCs/>
          <w:sz w:val="24"/>
          <w:szCs w:val="24"/>
        </w:rPr>
        <w:lastRenderedPageBreak/>
        <w:t xml:space="preserve"> 5. If the collection of information impacts small businesses or other small entities (Item 5 of OMB Form 83-I), describe any methods used to minimize burden. </w:t>
      </w:r>
    </w:p>
    <w:p w:rsidRPr="00876655" w:rsidR="00876655" w:rsidP="00876655" w:rsidRDefault="00876655" w14:paraId="594B884F" w14:textId="77777777">
      <w:pPr>
        <w:ind w:left="360"/>
        <w:rPr>
          <w:rFonts w:ascii="Times New Roman" w:hAnsi="Times New Roman" w:cs="Times New Roman"/>
          <w:sz w:val="24"/>
          <w:szCs w:val="24"/>
        </w:rPr>
      </w:pPr>
      <w:r w:rsidRPr="00876655">
        <w:rPr>
          <w:rFonts w:ascii="Times New Roman" w:hAnsi="Times New Roman" w:cs="Times New Roman"/>
          <w:sz w:val="24"/>
          <w:szCs w:val="24"/>
        </w:rPr>
        <w:t>The information may have some impact on small businesses or other small entities.  The certification is required of all builders seeking FHA mortgage insurance for newly constructed homes.  According to the 2017, National Association of Homebuilders statistics, there are approximately 607,000 non-employer firms in residential building construction, more than 39,000 in land subdivision, and close to 1.76 million in specialty trade contracting. Most of these companies were self-employed mom-and-pop firms with annual receipts averaging under $83,000 for specialty trade contractors. Self-employed independent contractors in land subdivision average around $96,000 in annual business receipts.  Although some small businesses may be impacted by this collection, and due to the very limited amount of time involved in the information collection, the impact on a small business is deemed to be minimal.  For HUD, the information is critical to ensure builders follow all federal, state, and local building codes and regulations.  The burden hours are not being reduced because the methods used to provide HUD with the required information have not changed since the last collection period without any additional burden to small businesses.</w:t>
      </w:r>
    </w:p>
    <w:p w:rsidRPr="00876655" w:rsidR="00876655" w:rsidP="00876655" w:rsidRDefault="00876655" w14:paraId="41B92C52" w14:textId="77777777">
      <w:pPr>
        <w:rPr>
          <w:rFonts w:ascii="Times New Roman" w:hAnsi="Times New Roman" w:cs="Times New Roman"/>
          <w:b/>
          <w:bCs/>
          <w:sz w:val="24"/>
          <w:szCs w:val="24"/>
        </w:rPr>
      </w:pPr>
      <w:r w:rsidRPr="00876655">
        <w:rPr>
          <w:rFonts w:ascii="Times New Roman" w:hAnsi="Times New Roman" w:cs="Times New Roman"/>
          <w:b/>
          <w:bCs/>
          <w:sz w:val="24"/>
          <w:szCs w:val="24"/>
        </w:rPr>
        <w:t xml:space="preserve"> 6. Describe the consequence to Federal program or policy activities if the collection is not conducted or is conducted less frequently, as well as any technical or legal obstacles to reducing burden. </w:t>
      </w:r>
    </w:p>
    <w:p w:rsidRPr="00876655" w:rsidR="00876655" w:rsidP="00876655" w:rsidRDefault="00876655" w14:paraId="77E615A9" w14:textId="77777777">
      <w:pPr>
        <w:ind w:left="360"/>
        <w:rPr>
          <w:rFonts w:ascii="Times New Roman" w:hAnsi="Times New Roman" w:cs="Times New Roman"/>
          <w:sz w:val="24"/>
          <w:szCs w:val="24"/>
        </w:rPr>
      </w:pPr>
      <w:r w:rsidRPr="00876655">
        <w:rPr>
          <w:rFonts w:ascii="Times New Roman" w:hAnsi="Times New Roman" w:cs="Times New Roman"/>
          <w:sz w:val="24"/>
          <w:szCs w:val="24"/>
        </w:rPr>
        <w:t xml:space="preserve">If this form was not used and the collection of information not conducted, it could pose a health and safety risk to FHA borrowers, increase the risk of borrower’s default, and adversely impacting HUD’s Mutual Mortgage Insurance Fund (MMIF). </w:t>
      </w:r>
    </w:p>
    <w:p w:rsidRPr="00876655" w:rsidR="00876655" w:rsidP="00876655" w:rsidRDefault="00876655" w14:paraId="50D9E65C" w14:textId="77777777">
      <w:pPr>
        <w:rPr>
          <w:rFonts w:ascii="Times New Roman" w:hAnsi="Times New Roman" w:eastAsia="Calibri" w:cs="Times New Roman"/>
          <w:b/>
          <w:bCs/>
          <w:sz w:val="24"/>
          <w:szCs w:val="24"/>
        </w:rPr>
      </w:pPr>
      <w:r w:rsidRPr="00876655">
        <w:rPr>
          <w:rFonts w:ascii="Times New Roman" w:hAnsi="Times New Roman" w:cs="Times New Roman"/>
          <w:b/>
          <w:bCs/>
          <w:sz w:val="24"/>
          <w:szCs w:val="24"/>
        </w:rPr>
        <w:t xml:space="preserve"> 7. </w:t>
      </w:r>
      <w:r w:rsidRPr="00876655">
        <w:rPr>
          <w:rFonts w:ascii="Times New Roman" w:hAnsi="Times New Roman" w:eastAsia="Calibri" w:cs="Times New Roman"/>
          <w:b/>
          <w:bCs/>
          <w:sz w:val="24"/>
          <w:szCs w:val="24"/>
        </w:rPr>
        <w:t xml:space="preserve">Explain any special circumstances that would cause an information collection to be conducted in a manner: </w:t>
      </w:r>
    </w:p>
    <w:p w:rsidRPr="00876655" w:rsidR="00876655" w:rsidP="00876655" w:rsidRDefault="00876655" w14:paraId="52673BE6" w14:textId="77777777">
      <w:pPr>
        <w:rPr>
          <w:rFonts w:ascii="Times New Roman" w:hAnsi="Times New Roman" w:eastAsia="Calibri" w:cs="Times New Roman"/>
          <w:b/>
          <w:bCs/>
          <w:sz w:val="24"/>
          <w:szCs w:val="24"/>
        </w:rPr>
      </w:pPr>
      <w:r w:rsidRPr="00876655">
        <w:rPr>
          <w:rFonts w:ascii="Times New Roman" w:hAnsi="Times New Roman" w:eastAsia="Calibri" w:cs="Times New Roman"/>
          <w:b/>
          <w:bCs/>
          <w:sz w:val="24"/>
          <w:szCs w:val="24"/>
        </w:rPr>
        <w:t xml:space="preserve">* requiring respondents to report information to the agency more often than quarterly; </w:t>
      </w:r>
    </w:p>
    <w:p w:rsidRPr="00876655" w:rsidR="00876655" w:rsidP="00876655" w:rsidRDefault="00876655" w14:paraId="5D71D6A5" w14:textId="77777777">
      <w:pPr>
        <w:ind w:left="360"/>
        <w:rPr>
          <w:rFonts w:ascii="Times New Roman" w:hAnsi="Times New Roman" w:cs="Times New Roman"/>
          <w:sz w:val="24"/>
          <w:szCs w:val="24"/>
        </w:rPr>
      </w:pPr>
      <w:r w:rsidRPr="00876655">
        <w:rPr>
          <w:rFonts w:ascii="Times New Roman" w:hAnsi="Times New Roman" w:cs="Times New Roman"/>
          <w:sz w:val="24"/>
          <w:szCs w:val="24"/>
        </w:rPr>
        <w:t xml:space="preserve">No special circumstances are noted that would cause this information collection to be conducted in an unusual manner that would require respondents to report information to the agency more often than quarterly. </w:t>
      </w:r>
    </w:p>
    <w:p w:rsidRPr="00876655" w:rsidR="00876655" w:rsidP="00876655" w:rsidRDefault="00876655" w14:paraId="73446DF3" w14:textId="77777777">
      <w:pPr>
        <w:rPr>
          <w:rFonts w:ascii="Times New Roman" w:hAnsi="Times New Roman" w:eastAsia="Calibri" w:cs="Times New Roman"/>
          <w:b/>
          <w:bCs/>
          <w:sz w:val="24"/>
          <w:szCs w:val="24"/>
        </w:rPr>
      </w:pPr>
      <w:r w:rsidRPr="00876655">
        <w:rPr>
          <w:rFonts w:ascii="Times New Roman" w:hAnsi="Times New Roman" w:eastAsia="Calibri" w:cs="Times New Roman"/>
          <w:b/>
          <w:bCs/>
          <w:sz w:val="24"/>
          <w:szCs w:val="24"/>
        </w:rPr>
        <w:t xml:space="preserve">* requiring respondents to prepare a written response to a collection of information in fewer than 30 days after receipt of it; </w:t>
      </w:r>
    </w:p>
    <w:p w:rsidRPr="00876655" w:rsidR="00876655" w:rsidP="00876655" w:rsidRDefault="00876655" w14:paraId="233B06B4" w14:textId="77777777">
      <w:pPr>
        <w:ind w:left="360"/>
        <w:rPr>
          <w:rFonts w:ascii="Times New Roman" w:hAnsi="Times New Roman" w:cs="Times New Roman"/>
          <w:sz w:val="24"/>
          <w:szCs w:val="24"/>
        </w:rPr>
      </w:pPr>
      <w:r w:rsidRPr="00876655">
        <w:rPr>
          <w:rFonts w:ascii="Times New Roman" w:hAnsi="Times New Roman" w:cs="Times New Roman"/>
          <w:sz w:val="24"/>
          <w:szCs w:val="24"/>
        </w:rPr>
        <w:t xml:space="preserve">No special circumstances are noted that would cause this information collection to be conducted in an unusual manner that would require respondents to prepare and submit a written response in less than 30 days after receipt of the information obtained on the forms.  </w:t>
      </w:r>
    </w:p>
    <w:p w:rsidRPr="00876655" w:rsidR="00876655" w:rsidP="00876655" w:rsidRDefault="00876655" w14:paraId="2A7CF1F2" w14:textId="77777777">
      <w:pPr>
        <w:rPr>
          <w:rFonts w:ascii="Times New Roman" w:hAnsi="Times New Roman" w:eastAsia="Calibri" w:cs="Times New Roman"/>
          <w:b/>
          <w:bCs/>
          <w:sz w:val="24"/>
          <w:szCs w:val="24"/>
        </w:rPr>
      </w:pPr>
      <w:r w:rsidRPr="00876655">
        <w:rPr>
          <w:rFonts w:ascii="Times New Roman" w:hAnsi="Times New Roman" w:eastAsia="Calibri" w:cs="Times New Roman"/>
          <w:b/>
          <w:bCs/>
          <w:sz w:val="24"/>
          <w:szCs w:val="24"/>
        </w:rPr>
        <w:t xml:space="preserve">* requiring respondents to submit more than an original and two copies of any document; </w:t>
      </w:r>
    </w:p>
    <w:p w:rsidRPr="00876655" w:rsidR="00876655" w:rsidP="00876655" w:rsidRDefault="00876655" w14:paraId="165AA07E" w14:textId="77777777">
      <w:pPr>
        <w:ind w:left="360"/>
        <w:rPr>
          <w:rFonts w:ascii="Times New Roman" w:hAnsi="Times New Roman" w:cs="Times New Roman"/>
          <w:sz w:val="24"/>
          <w:szCs w:val="24"/>
        </w:rPr>
      </w:pPr>
      <w:r w:rsidRPr="00876655">
        <w:rPr>
          <w:rFonts w:ascii="Times New Roman" w:hAnsi="Times New Roman" w:cs="Times New Roman"/>
          <w:sz w:val="24"/>
          <w:szCs w:val="24"/>
        </w:rPr>
        <w:t>No special circumstances are noted that would require respondents to submit more than an original and two copies of any document.</w:t>
      </w:r>
    </w:p>
    <w:p w:rsidRPr="00876655" w:rsidR="00876655" w:rsidP="00876655" w:rsidRDefault="00876655" w14:paraId="2DCBB181" w14:textId="77777777">
      <w:pPr>
        <w:rPr>
          <w:rFonts w:ascii="Times New Roman" w:hAnsi="Times New Roman" w:eastAsia="Calibri" w:cs="Times New Roman"/>
          <w:b/>
          <w:bCs/>
          <w:sz w:val="24"/>
          <w:szCs w:val="24"/>
        </w:rPr>
      </w:pPr>
      <w:r w:rsidRPr="00876655">
        <w:rPr>
          <w:rFonts w:ascii="Times New Roman" w:hAnsi="Times New Roman" w:eastAsia="Calibri" w:cs="Times New Roman"/>
          <w:b/>
          <w:bCs/>
          <w:sz w:val="24"/>
          <w:szCs w:val="24"/>
        </w:rPr>
        <w:lastRenderedPageBreak/>
        <w:t xml:space="preserve">* requiring respondents to retain records, other than health, medical, government contract, grant-in-aid, or tax records, for more than three years; </w:t>
      </w:r>
    </w:p>
    <w:p w:rsidRPr="00876655" w:rsidR="00876655" w:rsidP="00876655" w:rsidRDefault="00876655" w14:paraId="7A657063" w14:textId="77777777">
      <w:pPr>
        <w:ind w:left="360"/>
        <w:rPr>
          <w:rFonts w:ascii="Times New Roman" w:hAnsi="Times New Roman" w:cs="Times New Roman"/>
          <w:sz w:val="24"/>
          <w:szCs w:val="24"/>
        </w:rPr>
      </w:pPr>
      <w:r w:rsidRPr="00876655">
        <w:rPr>
          <w:rFonts w:ascii="Times New Roman" w:hAnsi="Times New Roman" w:cs="Times New Roman"/>
          <w:sz w:val="24"/>
          <w:szCs w:val="24"/>
        </w:rPr>
        <w:t xml:space="preserve">The builder provides the information to the lender, and the lender retains the form in the case binder. No special circumstances arise from this collection that would cause the respondents to retain records for more than three years. The lender must maintain the case file for the duration of the insured mortgage loan, which could, in some cases, be more than 30 years. </w:t>
      </w:r>
    </w:p>
    <w:p w:rsidRPr="00876655" w:rsidR="00876655" w:rsidP="00876655" w:rsidRDefault="00876655" w14:paraId="20956D98" w14:textId="77777777">
      <w:pPr>
        <w:rPr>
          <w:rFonts w:ascii="Times New Roman" w:hAnsi="Times New Roman" w:eastAsia="Calibri" w:cs="Times New Roman"/>
          <w:b/>
          <w:bCs/>
          <w:sz w:val="24"/>
          <w:szCs w:val="24"/>
        </w:rPr>
      </w:pPr>
      <w:r w:rsidRPr="00876655">
        <w:rPr>
          <w:rFonts w:ascii="Times New Roman" w:hAnsi="Times New Roman" w:eastAsia="Calibri" w:cs="Times New Roman"/>
          <w:b/>
          <w:bCs/>
          <w:sz w:val="24"/>
          <w:szCs w:val="24"/>
        </w:rPr>
        <w:t xml:space="preserve">* in connection with a statistical survey, that is not designed to produce valid and reliable results that can be generalized to the universe of study; </w:t>
      </w:r>
    </w:p>
    <w:p w:rsidRPr="00876655" w:rsidR="00876655" w:rsidP="00876655" w:rsidRDefault="00876655" w14:paraId="1F9A1BCA" w14:textId="77777777">
      <w:pPr>
        <w:ind w:left="360"/>
        <w:rPr>
          <w:rFonts w:ascii="Times New Roman" w:hAnsi="Times New Roman" w:cs="Times New Roman"/>
          <w:sz w:val="24"/>
          <w:szCs w:val="24"/>
        </w:rPr>
      </w:pPr>
      <w:r w:rsidRPr="00876655">
        <w:rPr>
          <w:rFonts w:ascii="Times New Roman" w:hAnsi="Times New Roman" w:cs="Times New Roman"/>
          <w:sz w:val="24"/>
          <w:szCs w:val="24"/>
        </w:rPr>
        <w:t>No special circumstances are noted in connection with a statistical survey that is not designed to produce valid and reliable results that can be generalized to the universe of study.</w:t>
      </w:r>
    </w:p>
    <w:p w:rsidRPr="00876655" w:rsidR="00876655" w:rsidP="00876655" w:rsidRDefault="00876655" w14:paraId="7628D75E" w14:textId="77777777">
      <w:pPr>
        <w:rPr>
          <w:rFonts w:ascii="Times New Roman" w:hAnsi="Times New Roman" w:eastAsia="Calibri" w:cs="Times New Roman"/>
          <w:b/>
          <w:bCs/>
          <w:sz w:val="24"/>
          <w:szCs w:val="24"/>
        </w:rPr>
      </w:pPr>
      <w:r w:rsidRPr="00876655">
        <w:rPr>
          <w:rFonts w:ascii="Times New Roman" w:hAnsi="Times New Roman" w:eastAsia="Calibri" w:cs="Times New Roman"/>
          <w:b/>
          <w:bCs/>
          <w:sz w:val="24"/>
          <w:szCs w:val="24"/>
        </w:rPr>
        <w:t xml:space="preserve">* requiring the use of a statistical data classification that has not been reviewed and approved by OMB; </w:t>
      </w:r>
    </w:p>
    <w:p w:rsidRPr="00876655" w:rsidR="00876655" w:rsidP="00876655" w:rsidRDefault="00876655" w14:paraId="17DB19D3" w14:textId="77777777">
      <w:pPr>
        <w:ind w:left="360"/>
        <w:rPr>
          <w:rFonts w:ascii="Times New Roman" w:hAnsi="Times New Roman" w:cs="Times New Roman"/>
          <w:sz w:val="24"/>
          <w:szCs w:val="24"/>
        </w:rPr>
      </w:pPr>
      <w:r w:rsidRPr="00876655">
        <w:rPr>
          <w:rFonts w:ascii="Times New Roman" w:hAnsi="Times New Roman" w:cs="Times New Roman"/>
          <w:sz w:val="24"/>
          <w:szCs w:val="24"/>
        </w:rPr>
        <w:t>No special circumstances are noted requiring the use of a statistical data classification that has not been reviewed and approved by OMB.</w:t>
      </w:r>
    </w:p>
    <w:p w:rsidRPr="00876655" w:rsidR="00876655" w:rsidP="00876655" w:rsidRDefault="00876655" w14:paraId="4B7A840D" w14:textId="77777777">
      <w:pPr>
        <w:rPr>
          <w:rFonts w:ascii="Times New Roman" w:hAnsi="Times New Roman" w:eastAsia="Calibri" w:cs="Times New Roman"/>
          <w:b/>
          <w:bCs/>
          <w:sz w:val="24"/>
          <w:szCs w:val="24"/>
        </w:rPr>
      </w:pPr>
      <w:r w:rsidRPr="00876655">
        <w:rPr>
          <w:rFonts w:ascii="Times New Roman" w:hAnsi="Times New Roman" w:eastAsia="Calibri" w:cs="Times New Roman"/>
          <w:b/>
          <w:bCs/>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876655" w:rsidR="00876655" w:rsidP="00876655" w:rsidRDefault="00876655" w14:paraId="3628BCBE" w14:textId="77777777">
      <w:pPr>
        <w:ind w:left="360"/>
        <w:rPr>
          <w:rFonts w:ascii="Times New Roman" w:hAnsi="Times New Roman" w:cs="Times New Roman"/>
          <w:sz w:val="24"/>
          <w:szCs w:val="24"/>
        </w:rPr>
      </w:pPr>
      <w:r w:rsidRPr="00876655">
        <w:rPr>
          <w:rFonts w:ascii="Times New Roman" w:hAnsi="Times New Roman" w:cs="Times New Roman"/>
          <w:sz w:val="24"/>
          <w:szCs w:val="24"/>
        </w:rPr>
        <w:t>No special circumstances are noted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Pr="00876655" w:rsidR="00876655" w:rsidP="00876655" w:rsidRDefault="00876655" w14:paraId="53DD8C94" w14:textId="77777777">
      <w:pPr>
        <w:rPr>
          <w:rFonts w:ascii="Times New Roman" w:hAnsi="Times New Roman" w:eastAsia="Calibri" w:cs="Times New Roman"/>
          <w:b/>
          <w:bCs/>
          <w:sz w:val="24"/>
          <w:szCs w:val="24"/>
        </w:rPr>
      </w:pPr>
      <w:r w:rsidRPr="00876655">
        <w:rPr>
          <w:rFonts w:ascii="Times New Roman" w:hAnsi="Times New Roman" w:eastAsia="Calibri" w:cs="Times New Roman"/>
          <w:b/>
          <w:bCs/>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Pr="00876655" w:rsidR="00876655" w:rsidP="00876655" w:rsidRDefault="00876655" w14:paraId="7566F582" w14:textId="77777777">
      <w:pPr>
        <w:ind w:left="360"/>
        <w:rPr>
          <w:rFonts w:ascii="Times New Roman" w:hAnsi="Times New Roman" w:cs="Times New Roman"/>
          <w:sz w:val="24"/>
          <w:szCs w:val="24"/>
        </w:rPr>
      </w:pPr>
      <w:r w:rsidRPr="00876655">
        <w:rPr>
          <w:rFonts w:ascii="Times New Roman" w:hAnsi="Times New Roman" w:cs="Times New Roman"/>
          <w:sz w:val="24"/>
          <w:szCs w:val="24"/>
        </w:rPr>
        <w:t>No special circumstances are noted that would require respondents to submit proprietary trade secrets, or other confidential information.</w:t>
      </w:r>
    </w:p>
    <w:p w:rsidRPr="00876655" w:rsidR="00876655" w:rsidP="00876655" w:rsidRDefault="00876655" w14:paraId="09E58413" w14:textId="77777777">
      <w:pPr>
        <w:rPr>
          <w:rFonts w:ascii="Times New Roman" w:hAnsi="Times New Roman" w:cs="Times New Roman"/>
          <w:b/>
          <w:bCs/>
          <w:sz w:val="24"/>
          <w:szCs w:val="24"/>
        </w:rPr>
      </w:pPr>
      <w:r w:rsidRPr="00876655">
        <w:rPr>
          <w:rFonts w:ascii="Times New Roman" w:hAnsi="Times New Roman" w:cs="Times New Roman"/>
          <w:b/>
          <w:bCs/>
          <w:sz w:val="24"/>
          <w:szCs w:val="24"/>
        </w:rPr>
        <w:t xml:space="preserve"> 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w:t>
      </w:r>
      <w:r w:rsidRPr="00876655">
        <w:rPr>
          <w:rFonts w:ascii="Times New Roman" w:hAnsi="Times New Roman" w:cs="Times New Roman"/>
          <w:b/>
          <w:bCs/>
          <w:sz w:val="24"/>
          <w:szCs w:val="24"/>
        </w:rPr>
        <w:lastRenderedPageBreak/>
        <w:t xml:space="preserve">every 3 years - even if the collection of information activity is the same as in prior periods. There may be circumstances that may preclude consultation in a specific situation. These circumstances should be explained. </w:t>
      </w:r>
    </w:p>
    <w:p w:rsidRPr="00876655" w:rsidR="00876655" w:rsidP="00876655" w:rsidRDefault="00876655" w14:paraId="45088C84" w14:textId="3D5AC9E6">
      <w:pPr>
        <w:ind w:left="360"/>
        <w:rPr>
          <w:rFonts w:ascii="Times New Roman" w:hAnsi="Times New Roman" w:cs="Times New Roman"/>
          <w:sz w:val="24"/>
          <w:szCs w:val="24"/>
        </w:rPr>
      </w:pPr>
      <w:r w:rsidRPr="00876655">
        <w:rPr>
          <w:rFonts w:ascii="Times New Roman" w:hAnsi="Times New Roman" w:cs="Times New Roman"/>
          <w:sz w:val="24"/>
          <w:szCs w:val="24"/>
        </w:rPr>
        <w:t xml:space="preserve">In accordance with </w:t>
      </w:r>
      <w:hyperlink w:history="1" r:id="rId8">
        <w:r w:rsidRPr="00876655">
          <w:t>5 CFR 1320.8(d)</w:t>
        </w:r>
      </w:hyperlink>
      <w:r w:rsidRPr="00876655">
        <w:rPr>
          <w:rFonts w:ascii="Times New Roman" w:hAnsi="Times New Roman" w:cs="Times New Roman"/>
          <w:sz w:val="24"/>
          <w:szCs w:val="24"/>
        </w:rPr>
        <w:t xml:space="preserve">, the agency’s notice soliciting public comments was announced in the Federal Register </w:t>
      </w:r>
      <w:r w:rsidR="006F050C">
        <w:rPr>
          <w:rFonts w:ascii="Times New Roman" w:hAnsi="Times New Roman" w:cs="Times New Roman"/>
          <w:sz w:val="24"/>
          <w:szCs w:val="24"/>
        </w:rPr>
        <w:t xml:space="preserve">March 11, </w:t>
      </w:r>
      <w:r w:rsidR="00563246">
        <w:rPr>
          <w:rFonts w:ascii="Times New Roman" w:hAnsi="Times New Roman" w:cs="Times New Roman"/>
          <w:sz w:val="24"/>
          <w:szCs w:val="24"/>
        </w:rPr>
        <w:t>2022</w:t>
      </w:r>
      <w:r w:rsidRPr="00876655">
        <w:rPr>
          <w:rFonts w:ascii="Times New Roman" w:hAnsi="Times New Roman" w:cs="Times New Roman"/>
          <w:sz w:val="24"/>
          <w:szCs w:val="24"/>
        </w:rPr>
        <w:t xml:space="preserve">, </w:t>
      </w:r>
      <w:r w:rsidR="00563246">
        <w:rPr>
          <w:rFonts w:ascii="Times New Roman" w:hAnsi="Times New Roman" w:cs="Times New Roman"/>
          <w:sz w:val="24"/>
          <w:szCs w:val="24"/>
        </w:rPr>
        <w:t xml:space="preserve"> at 87 page 14027.  </w:t>
      </w:r>
      <w:r w:rsidR="00401451">
        <w:rPr>
          <w:rFonts w:ascii="Times New Roman" w:hAnsi="Times New Roman" w:cs="Times New Roman"/>
          <w:sz w:val="24"/>
          <w:szCs w:val="24"/>
        </w:rPr>
        <w:t>No comments were received.</w:t>
      </w:r>
      <w:r w:rsidRPr="00876655">
        <w:rPr>
          <w:rFonts w:ascii="Times New Roman" w:hAnsi="Times New Roman" w:cs="Times New Roman"/>
          <w:sz w:val="24"/>
          <w:szCs w:val="24"/>
        </w:rPr>
        <w:t xml:space="preserve"> </w:t>
      </w:r>
    </w:p>
    <w:p w:rsidRPr="00876655" w:rsidR="00876655" w:rsidP="00876655" w:rsidRDefault="00876655" w14:paraId="740385F5" w14:textId="77777777">
      <w:pPr>
        <w:rPr>
          <w:rFonts w:ascii="Times New Roman" w:hAnsi="Times New Roman" w:cs="Times New Roman"/>
          <w:sz w:val="24"/>
          <w:szCs w:val="24"/>
        </w:rPr>
      </w:pPr>
      <w:r w:rsidRPr="00876655">
        <w:rPr>
          <w:rFonts w:ascii="Times New Roman" w:hAnsi="Times New Roman" w:cs="Times New Roman"/>
          <w:b/>
          <w:bCs/>
          <w:sz w:val="24"/>
          <w:szCs w:val="24"/>
        </w:rPr>
        <w:t xml:space="preserve"> 9. Explain any decision to provide any payment or gift to respondents, other than renumeration of contractors or grantees</w:t>
      </w:r>
      <w:r w:rsidRPr="00876655">
        <w:rPr>
          <w:rFonts w:ascii="Times New Roman" w:hAnsi="Times New Roman" w:cs="Times New Roman"/>
          <w:sz w:val="24"/>
          <w:szCs w:val="24"/>
        </w:rPr>
        <w:t xml:space="preserve">. </w:t>
      </w:r>
    </w:p>
    <w:p w:rsidRPr="00876655" w:rsidR="00876655" w:rsidP="00876655" w:rsidRDefault="00876655" w14:paraId="4636F852" w14:textId="77777777">
      <w:pPr>
        <w:ind w:left="360"/>
        <w:rPr>
          <w:rFonts w:ascii="Times New Roman" w:hAnsi="Times New Roman" w:cs="Times New Roman"/>
          <w:sz w:val="24"/>
          <w:szCs w:val="24"/>
        </w:rPr>
      </w:pPr>
      <w:r w:rsidRPr="00876655">
        <w:rPr>
          <w:rFonts w:ascii="Times New Roman" w:hAnsi="Times New Roman" w:cs="Times New Roman"/>
          <w:sz w:val="24"/>
          <w:szCs w:val="24"/>
        </w:rPr>
        <w:t xml:space="preserve">No gifts or other types of payments are made to respondents. </w:t>
      </w:r>
    </w:p>
    <w:p w:rsidRPr="00876655" w:rsidR="00876655" w:rsidP="00876655" w:rsidRDefault="00876655" w14:paraId="45E1466B" w14:textId="77777777">
      <w:pPr>
        <w:rPr>
          <w:rFonts w:ascii="Times New Roman" w:hAnsi="Times New Roman" w:cs="Times New Roman"/>
          <w:b/>
          <w:bCs/>
          <w:sz w:val="24"/>
          <w:szCs w:val="24"/>
        </w:rPr>
      </w:pPr>
      <w:r w:rsidRPr="00876655">
        <w:rPr>
          <w:rFonts w:ascii="Times New Roman" w:hAnsi="Times New Roman" w:cs="Times New Roman"/>
          <w:b/>
          <w:bCs/>
          <w:sz w:val="24"/>
          <w:szCs w:val="24"/>
        </w:rPr>
        <w:t xml:space="preserve">10. Describe any assurance of confidentiality provided to respondents and the basis for the assurance in statute, regulation, or agency policy. </w:t>
      </w:r>
    </w:p>
    <w:p w:rsidRPr="00876655" w:rsidR="00876655" w:rsidP="00876655" w:rsidRDefault="00876655" w14:paraId="6E574E89" w14:textId="77777777">
      <w:pPr>
        <w:ind w:left="360"/>
        <w:rPr>
          <w:rFonts w:ascii="Times New Roman" w:hAnsi="Times New Roman" w:cs="Times New Roman"/>
          <w:sz w:val="24"/>
          <w:szCs w:val="24"/>
        </w:rPr>
      </w:pPr>
      <w:r w:rsidRPr="00876655">
        <w:rPr>
          <w:rFonts w:ascii="Times New Roman" w:hAnsi="Times New Roman" w:cs="Times New Roman"/>
          <w:sz w:val="24"/>
          <w:szCs w:val="24"/>
        </w:rPr>
        <w:t xml:space="preserve">The information collection takes into consideration the need to assure data confidentiality. </w:t>
      </w:r>
    </w:p>
    <w:p w:rsidRPr="00876655" w:rsidR="00876655" w:rsidP="00876655" w:rsidRDefault="00876655" w14:paraId="266CCB8B" w14:textId="77777777">
      <w:pPr>
        <w:rPr>
          <w:rFonts w:ascii="Times New Roman" w:hAnsi="Times New Roman" w:cs="Times New Roman"/>
          <w:b/>
          <w:bCs/>
          <w:sz w:val="24"/>
          <w:szCs w:val="24"/>
        </w:rPr>
      </w:pPr>
      <w:r w:rsidRPr="00876655">
        <w:rPr>
          <w:rFonts w:ascii="Times New Roman" w:hAnsi="Times New Roman" w:cs="Times New Roman"/>
          <w:b/>
          <w:bCs/>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876655" w:rsidR="00876655" w:rsidP="00876655" w:rsidRDefault="00876655" w14:paraId="36C94B05" w14:textId="77777777">
      <w:pPr>
        <w:ind w:left="360"/>
        <w:rPr>
          <w:rFonts w:ascii="Times New Roman" w:hAnsi="Times New Roman" w:cs="Times New Roman"/>
          <w:sz w:val="24"/>
          <w:szCs w:val="24"/>
        </w:rPr>
      </w:pPr>
      <w:r w:rsidRPr="00876655">
        <w:rPr>
          <w:rFonts w:ascii="Times New Roman" w:hAnsi="Times New Roman" w:cs="Times New Roman"/>
          <w:sz w:val="24"/>
          <w:szCs w:val="24"/>
        </w:rPr>
        <w:t>This information collection does not contain any questions of a sensitive nature or other matters that are commonly deemed private.</w:t>
      </w:r>
    </w:p>
    <w:p w:rsidRPr="00876655" w:rsidR="00876655" w:rsidP="00876655" w:rsidRDefault="00876655" w14:paraId="634FC925" w14:textId="77777777">
      <w:pPr>
        <w:rPr>
          <w:rFonts w:ascii="Times New Roman" w:hAnsi="Times New Roman" w:cs="Times New Roman"/>
          <w:b/>
          <w:bCs/>
          <w:sz w:val="24"/>
          <w:szCs w:val="24"/>
        </w:rPr>
      </w:pPr>
      <w:r w:rsidRPr="00876655">
        <w:rPr>
          <w:rFonts w:ascii="Times New Roman" w:hAnsi="Times New Roman" w:cs="Times New Roman"/>
          <w:b/>
          <w:bCs/>
          <w:sz w:val="24"/>
          <w:szCs w:val="24"/>
        </w:rPr>
        <w:t xml:space="preserve">12. Provide estimates of the hour burden of the collection of information. The statement should: </w:t>
      </w:r>
    </w:p>
    <w:p w:rsidRPr="00876655" w:rsidR="00876655" w:rsidP="00876655" w:rsidRDefault="00876655" w14:paraId="06E4717A" w14:textId="77777777">
      <w:pPr>
        <w:rPr>
          <w:rFonts w:ascii="Times New Roman" w:hAnsi="Times New Roman" w:cs="Times New Roman"/>
          <w:b/>
          <w:bCs/>
          <w:sz w:val="24"/>
          <w:szCs w:val="24"/>
        </w:rPr>
      </w:pPr>
      <w:r w:rsidRPr="00876655">
        <w:rPr>
          <w:rFonts w:ascii="Times New Roman" w:hAnsi="Times New Roman" w:cs="Times New Roman"/>
          <w:b/>
          <w:bCs/>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876655" w:rsidR="00876655" w:rsidP="00876655" w:rsidRDefault="00876655" w14:paraId="04E2116B" w14:textId="77777777">
      <w:pPr>
        <w:ind w:left="360"/>
        <w:rPr>
          <w:rFonts w:ascii="Times New Roman" w:hAnsi="Times New Roman" w:cs="Times New Roman"/>
          <w:sz w:val="24"/>
          <w:szCs w:val="24"/>
        </w:rPr>
      </w:pPr>
      <w:r w:rsidRPr="00876655">
        <w:rPr>
          <w:rFonts w:ascii="Times New Roman" w:hAnsi="Times New Roman" w:cs="Times New Roman"/>
          <w:sz w:val="24"/>
          <w:szCs w:val="24"/>
        </w:rPr>
        <w:t xml:space="preserve">According to the </w:t>
      </w:r>
      <w:hyperlink w:history="1" r:id="rId9">
        <w:r w:rsidRPr="00876655">
          <w:rPr>
            <w:rStyle w:val="Hyperlink"/>
            <w:rFonts w:ascii="Times New Roman" w:hAnsi="Times New Roman" w:cs="Times New Roman"/>
            <w:color w:val="auto"/>
            <w:sz w:val="24"/>
            <w:szCs w:val="24"/>
          </w:rPr>
          <w:t>U.S. Census</w:t>
        </w:r>
      </w:hyperlink>
      <w:r w:rsidRPr="00876655">
        <w:rPr>
          <w:rFonts w:ascii="Times New Roman" w:hAnsi="Times New Roman" w:cs="Times New Roman"/>
          <w:sz w:val="24"/>
          <w:szCs w:val="24"/>
        </w:rPr>
        <w:t xml:space="preserve">, there were 822,000 new home sales in the United States for 2020. FHA Financing accounted for 18.592%, or 152,826 (Rounded to 152,830) new homes. FHA Data indicated 100,868 endorsements of mortgages secured by new construction properties (proposed construction, under construction and existing construction less than one year), between September 1, 2020, and September 1, 2021.  Considering FHA market share and the number of endorsements, the frequency of response is estimated at 0.66. The builder takes about 6 minutes to complete the Builder’s Certification (form HUD-92541) based on </w:t>
      </w:r>
      <w:r w:rsidRPr="00876655">
        <w:rPr>
          <w:rFonts w:ascii="Times New Roman" w:hAnsi="Times New Roman" w:cs="Times New Roman"/>
          <w:sz w:val="24"/>
          <w:szCs w:val="24"/>
        </w:rPr>
        <w:lastRenderedPageBreak/>
        <w:t>information and data the builder gets from its engineers before the property being developed.   Thus, the estimated builder’s annual burden was estimated at 10,087 hours (152,830 respondents X 0.66 frequency = 100,868 responses X 6 minutes (0.10) = 10,087 annual hours).</w:t>
      </w:r>
    </w:p>
    <w:p w:rsidRPr="00876655" w:rsidR="00876655" w:rsidP="00876655" w:rsidRDefault="00876655" w14:paraId="6FC2DCE8" w14:textId="77777777">
      <w:pPr>
        <w:ind w:left="360"/>
        <w:rPr>
          <w:rFonts w:ascii="Times New Roman" w:hAnsi="Times New Roman" w:cs="Times New Roman"/>
          <w:sz w:val="24"/>
          <w:szCs w:val="24"/>
        </w:rPr>
      </w:pPr>
      <w:r w:rsidRPr="00876655">
        <w:rPr>
          <w:rFonts w:ascii="Times New Roman" w:hAnsi="Times New Roman" w:cs="Times New Roman"/>
          <w:sz w:val="24"/>
          <w:szCs w:val="24"/>
        </w:rPr>
        <w:t>The estimated lender burden was calculated from FHA data which indicated 100,868 endorsements of mortgages secured by  new construction properties, between September 1, 2020, and September 1, 2021. In addition, FHA Data for the same period indicated the involvement of 13,250 lender submissions of the form for an estimated 0.13 frequency of response. The lender should be able to review the builder’s entries in about 3 minutes. Thus, the estimated lender’s annual burden was estimated at 5,043 annual hours (13,250 respondents X 0.13 frequency = 100,868 responses X 3 minutes (0.05) = 5,043 annual hours).</w:t>
      </w:r>
    </w:p>
    <w:p w:rsidRPr="00876655" w:rsidR="00876655" w:rsidP="00876655" w:rsidRDefault="00876655" w14:paraId="21A1A279" w14:textId="77777777">
      <w:pPr>
        <w:ind w:left="360"/>
        <w:rPr>
          <w:rFonts w:ascii="Times New Roman" w:hAnsi="Times New Roman" w:cs="Times New Roman"/>
          <w:sz w:val="24"/>
          <w:szCs w:val="24"/>
        </w:rPr>
      </w:pPr>
      <w:r w:rsidRPr="00876655">
        <w:rPr>
          <w:rFonts w:ascii="Times New Roman" w:hAnsi="Times New Roman" w:cs="Times New Roman"/>
          <w:sz w:val="24"/>
          <w:szCs w:val="24"/>
        </w:rPr>
        <w:t xml:space="preserve">In summary, there are approximately, 166,080 (152,830 builders + 13,250 lenders) respondents for an annual burden of 15,130 hours (10,087 builder’s hours + 5,043 lender’s hours). The frequency of response varies between the builder and the lenders with an allocation of 0.66, and 7.61 respectably. </w:t>
      </w:r>
    </w:p>
    <w:p w:rsidRPr="00876655" w:rsidR="00876655" w:rsidP="00876655" w:rsidRDefault="00876655" w14:paraId="50E2CEE7" w14:textId="77777777">
      <w:pPr>
        <w:rPr>
          <w:rFonts w:ascii="Times New Roman" w:hAnsi="Times New Roman" w:cs="Times New Roman"/>
          <w:b/>
          <w:bCs/>
          <w:sz w:val="24"/>
          <w:szCs w:val="24"/>
        </w:rPr>
      </w:pPr>
      <w:r w:rsidRPr="00876655">
        <w:rPr>
          <w:rFonts w:ascii="Times New Roman" w:hAnsi="Times New Roman" w:cs="Times New Roman"/>
          <w:b/>
          <w:bCs/>
          <w:sz w:val="24"/>
          <w:szCs w:val="24"/>
        </w:rPr>
        <w:t xml:space="preserve">* If this request for approval covers more than one form, provide separate hour burden estimates for each form and aggregate the hour burdens in Item 13 of OMB Form 83-I. </w:t>
      </w:r>
    </w:p>
    <w:p w:rsidRPr="00876655" w:rsidR="00876655" w:rsidP="00876655" w:rsidRDefault="00876655" w14:paraId="282850AE" w14:textId="77777777">
      <w:pPr>
        <w:ind w:left="360"/>
        <w:rPr>
          <w:rFonts w:ascii="Times New Roman" w:hAnsi="Times New Roman" w:cs="Times New Roman"/>
          <w:sz w:val="24"/>
          <w:szCs w:val="24"/>
        </w:rPr>
      </w:pPr>
      <w:r w:rsidRPr="00876655">
        <w:rPr>
          <w:rFonts w:ascii="Times New Roman" w:hAnsi="Times New Roman" w:cs="Times New Roman"/>
          <w:sz w:val="24"/>
          <w:szCs w:val="24"/>
        </w:rPr>
        <w:t xml:space="preserve">This collection covers no other forms. </w:t>
      </w:r>
    </w:p>
    <w:p w:rsidRPr="00876655" w:rsidR="00876655" w:rsidP="00876655" w:rsidRDefault="00876655" w14:paraId="2DABF81B" w14:textId="77777777">
      <w:pPr>
        <w:rPr>
          <w:rFonts w:ascii="Times New Roman" w:hAnsi="Times New Roman" w:cs="Times New Roman"/>
          <w:b/>
          <w:bCs/>
          <w:sz w:val="24"/>
          <w:szCs w:val="24"/>
        </w:rPr>
      </w:pPr>
      <w:r w:rsidRPr="00876655">
        <w:rPr>
          <w:rFonts w:ascii="Times New Roman" w:hAnsi="Times New Roman" w:cs="Times New Roman"/>
          <w:b/>
          <w:bCs/>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Pr="00876655" w:rsidR="00876655" w:rsidP="00876655" w:rsidRDefault="00876655" w14:paraId="3959F5EE" w14:textId="77777777">
      <w:pPr>
        <w:ind w:left="360"/>
        <w:rPr>
          <w:rFonts w:ascii="Times New Roman" w:hAnsi="Times New Roman" w:cs="Times New Roman"/>
          <w:sz w:val="24"/>
          <w:szCs w:val="24"/>
        </w:rPr>
      </w:pPr>
      <w:r w:rsidRPr="00876655">
        <w:rPr>
          <w:rFonts w:ascii="Times New Roman" w:hAnsi="Times New Roman" w:cs="Times New Roman"/>
          <w:sz w:val="24"/>
          <w:szCs w:val="24"/>
        </w:rPr>
        <w:t>On the builder’s side, HUD-92541 form is typically completed by technicians under the supervision of a civil engineer or the engineering staff. According to the U.S. Bureau of Labor Statistics, Civil Engineering Technologists and Technicians (</w:t>
      </w:r>
      <w:hyperlink w:history="1" r:id="rId10">
        <w:r w:rsidRPr="00876655">
          <w:rPr>
            <w:rStyle w:val="Hyperlink"/>
            <w:rFonts w:ascii="Times New Roman" w:hAnsi="Times New Roman" w:cs="Times New Roman"/>
            <w:color w:val="auto"/>
            <w:sz w:val="24"/>
            <w:szCs w:val="24"/>
          </w:rPr>
          <w:t>17-3022</w:t>
        </w:r>
      </w:hyperlink>
      <w:r w:rsidRPr="00876655">
        <w:rPr>
          <w:rFonts w:ascii="Times New Roman" w:hAnsi="Times New Roman" w:cs="Times New Roman"/>
          <w:sz w:val="24"/>
          <w:szCs w:val="24"/>
        </w:rPr>
        <w:t xml:space="preserve">) make a National mean hourly wage of $27.21. Based on the 10,087 annual hours used, the builder’s cost is estimated at $274,467. </w:t>
      </w:r>
    </w:p>
    <w:p w:rsidRPr="00876655" w:rsidR="00876655" w:rsidP="00876655" w:rsidRDefault="00876655" w14:paraId="4B3C884C" w14:textId="77777777">
      <w:pPr>
        <w:ind w:left="360"/>
        <w:rPr>
          <w:rFonts w:ascii="Times New Roman" w:hAnsi="Times New Roman" w:cs="Times New Roman"/>
          <w:sz w:val="24"/>
          <w:szCs w:val="24"/>
        </w:rPr>
      </w:pPr>
      <w:r w:rsidRPr="00876655">
        <w:rPr>
          <w:rFonts w:ascii="Times New Roman" w:hAnsi="Times New Roman" w:cs="Times New Roman"/>
          <w:sz w:val="24"/>
          <w:szCs w:val="24"/>
        </w:rPr>
        <w:t xml:space="preserve">On the lender side, HUD-92541 is typically reviewed by the loan processor.  According to </w:t>
      </w:r>
      <w:hyperlink w:history="1" w:anchor=":~:text=What%20Is%20a%20Loan%20Processor%3F%20Loan%20processors%20are,for%20this%20career%20is%20done%20on%20the%20job." r:id="rId11">
        <w:r w:rsidRPr="00876655">
          <w:rPr>
            <w:rStyle w:val="Hyperlink"/>
            <w:rFonts w:ascii="Times New Roman" w:hAnsi="Times New Roman" w:cs="Times New Roman"/>
            <w:color w:val="auto"/>
            <w:sz w:val="24"/>
            <w:szCs w:val="24"/>
          </w:rPr>
          <w:t>Learn.Org</w:t>
        </w:r>
      </w:hyperlink>
      <w:r w:rsidRPr="00876655">
        <w:rPr>
          <w:rFonts w:ascii="Times New Roman" w:hAnsi="Times New Roman" w:cs="Times New Roman"/>
          <w:sz w:val="24"/>
          <w:szCs w:val="24"/>
        </w:rPr>
        <w:t>, a web-based organization dedicated to providing academic and career goals resources, a loan processor is a specialized financial clerk, sometimes known as a loan interviewer.  The U.S. Bureau of Labor Statistics shows the national mean hourly wage for loan interviewers (</w:t>
      </w:r>
      <w:hyperlink w:history="1" r:id="rId12">
        <w:r w:rsidRPr="00876655">
          <w:rPr>
            <w:rStyle w:val="Hyperlink"/>
            <w:rFonts w:ascii="Times New Roman" w:hAnsi="Times New Roman" w:cs="Times New Roman"/>
            <w:color w:val="auto"/>
            <w:sz w:val="24"/>
            <w:szCs w:val="24"/>
          </w:rPr>
          <w:t>43-4131</w:t>
        </w:r>
      </w:hyperlink>
      <w:r w:rsidRPr="00876655">
        <w:rPr>
          <w:rFonts w:ascii="Times New Roman" w:hAnsi="Times New Roman" w:cs="Times New Roman"/>
          <w:sz w:val="24"/>
          <w:szCs w:val="24"/>
        </w:rPr>
        <w:t>) at $20.57. Based on the 5,043 annual hours used, the lender’s cost is estimated at $103,734.</w:t>
      </w:r>
    </w:p>
    <w:p w:rsidRPr="00876655" w:rsidR="00876655" w:rsidP="00876655" w:rsidRDefault="00876655" w14:paraId="6C45A778" w14:textId="77777777">
      <w:pPr>
        <w:ind w:left="360"/>
        <w:rPr>
          <w:rFonts w:ascii="Times New Roman" w:hAnsi="Times New Roman" w:cs="Times New Roman"/>
          <w:sz w:val="24"/>
          <w:szCs w:val="24"/>
        </w:rPr>
      </w:pPr>
    </w:p>
    <w:p w:rsidRPr="00876655" w:rsidR="00876655" w:rsidP="00876655" w:rsidRDefault="00876655" w14:paraId="47369AF5" w14:textId="77777777">
      <w:pPr>
        <w:ind w:left="360"/>
        <w:rPr>
          <w:rFonts w:ascii="Times New Roman" w:hAnsi="Times New Roman" w:cs="Times New Roman"/>
          <w:sz w:val="24"/>
          <w:szCs w:val="24"/>
        </w:rPr>
      </w:pPr>
    </w:p>
    <w:p w:rsidRPr="00876655" w:rsidR="00876655" w:rsidP="00876655" w:rsidRDefault="00876655" w14:paraId="14E3864B" w14:textId="77777777">
      <w:pPr>
        <w:ind w:left="360"/>
        <w:rPr>
          <w:rFonts w:ascii="Times New Roman" w:hAnsi="Times New Roman" w:cs="Times New Roman"/>
          <w:sz w:val="24"/>
          <w:szCs w:val="24"/>
        </w:rPr>
      </w:pPr>
    </w:p>
    <w:p w:rsidRPr="00876655" w:rsidR="00876655" w:rsidP="00876655" w:rsidRDefault="00876655" w14:paraId="77A3A430" w14:textId="77777777">
      <w:pPr>
        <w:ind w:left="360"/>
        <w:rPr>
          <w:rFonts w:ascii="Times New Roman" w:hAnsi="Times New Roman" w:cs="Times New Roman"/>
          <w:sz w:val="24"/>
          <w:szCs w:val="24"/>
        </w:rPr>
      </w:pPr>
    </w:p>
    <w:p w:rsidRPr="00876655" w:rsidR="00876655" w:rsidP="00876655" w:rsidRDefault="00876655" w14:paraId="5BDEC770" w14:textId="77777777">
      <w:pPr>
        <w:ind w:left="360"/>
        <w:rPr>
          <w:rFonts w:ascii="Times New Roman" w:hAnsi="Times New Roman" w:cs="Times New Roman"/>
          <w:sz w:val="24"/>
          <w:szCs w:val="24"/>
        </w:rPr>
      </w:pPr>
      <w:r w:rsidRPr="00876655">
        <w:rPr>
          <w:rFonts w:ascii="Times New Roman" w:hAnsi="Times New Roman" w:cs="Times New Roman"/>
          <w:sz w:val="24"/>
          <w:szCs w:val="24"/>
        </w:rPr>
        <w:t>Estimated public burden.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266"/>
        <w:gridCol w:w="1453"/>
        <w:gridCol w:w="1207"/>
        <w:gridCol w:w="1265"/>
        <w:gridCol w:w="1158"/>
        <w:gridCol w:w="1080"/>
        <w:gridCol w:w="828"/>
        <w:gridCol w:w="1093"/>
      </w:tblGrid>
      <w:tr w:rsidRPr="00876655" w:rsidR="00876655" w:rsidTr="00AB248A" w14:paraId="5049613D" w14:textId="77777777">
        <w:tc>
          <w:tcPr>
            <w:tcW w:w="680" w:type="pct"/>
            <w:vAlign w:val="center"/>
          </w:tcPr>
          <w:p w:rsidRPr="00876655" w:rsidR="00876655" w:rsidP="00AB248A" w:rsidRDefault="00876655" w14:paraId="0C95F339" w14:textId="77777777">
            <w:pPr>
              <w:jc w:val="center"/>
              <w:rPr>
                <w:rFonts w:ascii="Arial" w:hAnsi="Arial" w:cs="Arial"/>
                <w:sz w:val="20"/>
                <w:szCs w:val="20"/>
              </w:rPr>
            </w:pPr>
            <w:r w:rsidRPr="00876655">
              <w:rPr>
                <w:rFonts w:ascii="Arial" w:hAnsi="Arial" w:cs="Arial"/>
                <w:sz w:val="20"/>
                <w:szCs w:val="20"/>
              </w:rPr>
              <w:t>Information Collection</w:t>
            </w:r>
          </w:p>
        </w:tc>
        <w:tc>
          <w:tcPr>
            <w:tcW w:w="780" w:type="pct"/>
          </w:tcPr>
          <w:p w:rsidRPr="00876655" w:rsidR="00876655" w:rsidP="00AB248A" w:rsidRDefault="00876655" w14:paraId="6FA09BE2" w14:textId="77777777">
            <w:pPr>
              <w:jc w:val="center"/>
              <w:rPr>
                <w:rFonts w:ascii="Arial" w:hAnsi="Arial" w:cs="Arial"/>
                <w:sz w:val="20"/>
                <w:szCs w:val="20"/>
              </w:rPr>
            </w:pPr>
            <w:r w:rsidRPr="00876655">
              <w:rPr>
                <w:rFonts w:ascii="Arial" w:hAnsi="Arial" w:cs="Arial"/>
                <w:sz w:val="20"/>
                <w:szCs w:val="20"/>
              </w:rPr>
              <w:t>Number of Respondents</w:t>
            </w:r>
          </w:p>
        </w:tc>
        <w:tc>
          <w:tcPr>
            <w:tcW w:w="648" w:type="pct"/>
          </w:tcPr>
          <w:p w:rsidRPr="00876655" w:rsidR="00876655" w:rsidP="00AB248A" w:rsidRDefault="00876655" w14:paraId="7F89268F" w14:textId="77777777">
            <w:pPr>
              <w:jc w:val="center"/>
              <w:rPr>
                <w:rFonts w:ascii="Arial" w:hAnsi="Arial" w:cs="Arial"/>
                <w:sz w:val="20"/>
                <w:szCs w:val="20"/>
              </w:rPr>
            </w:pPr>
            <w:r w:rsidRPr="00876655">
              <w:rPr>
                <w:rFonts w:ascii="Arial" w:hAnsi="Arial" w:cs="Arial"/>
                <w:sz w:val="20"/>
                <w:szCs w:val="20"/>
              </w:rPr>
              <w:t>Frequency of Response</w:t>
            </w:r>
          </w:p>
        </w:tc>
        <w:tc>
          <w:tcPr>
            <w:tcW w:w="679" w:type="pct"/>
          </w:tcPr>
          <w:p w:rsidRPr="00876655" w:rsidR="00876655" w:rsidP="00AB248A" w:rsidRDefault="00876655" w14:paraId="4B9926B9" w14:textId="77777777">
            <w:pPr>
              <w:jc w:val="center"/>
              <w:rPr>
                <w:rFonts w:ascii="Arial" w:hAnsi="Arial" w:cs="Arial"/>
                <w:sz w:val="20"/>
                <w:szCs w:val="20"/>
              </w:rPr>
            </w:pPr>
            <w:r w:rsidRPr="00876655">
              <w:rPr>
                <w:rFonts w:ascii="Arial" w:hAnsi="Arial" w:cs="Arial"/>
                <w:sz w:val="20"/>
                <w:szCs w:val="20"/>
              </w:rPr>
              <w:t>Responses Per Annum</w:t>
            </w:r>
          </w:p>
        </w:tc>
        <w:tc>
          <w:tcPr>
            <w:tcW w:w="622" w:type="pct"/>
          </w:tcPr>
          <w:p w:rsidRPr="00876655" w:rsidR="00876655" w:rsidP="00AB248A" w:rsidRDefault="00876655" w14:paraId="4D6F5AE7" w14:textId="77777777">
            <w:pPr>
              <w:jc w:val="center"/>
              <w:rPr>
                <w:rFonts w:ascii="Arial" w:hAnsi="Arial" w:cs="Arial"/>
                <w:sz w:val="20"/>
                <w:szCs w:val="20"/>
              </w:rPr>
            </w:pPr>
            <w:r w:rsidRPr="00876655">
              <w:rPr>
                <w:rFonts w:ascii="Arial" w:hAnsi="Arial" w:cs="Arial"/>
                <w:sz w:val="20"/>
                <w:szCs w:val="20"/>
              </w:rPr>
              <w:t>Burden Hour Per Response</w:t>
            </w:r>
          </w:p>
        </w:tc>
        <w:tc>
          <w:tcPr>
            <w:tcW w:w="564" w:type="pct"/>
          </w:tcPr>
          <w:p w:rsidRPr="00876655" w:rsidR="00876655" w:rsidP="00AB248A" w:rsidRDefault="00876655" w14:paraId="43FF25A3" w14:textId="77777777">
            <w:pPr>
              <w:jc w:val="center"/>
              <w:rPr>
                <w:rFonts w:ascii="Arial" w:hAnsi="Arial" w:cs="Arial"/>
                <w:sz w:val="20"/>
                <w:szCs w:val="20"/>
              </w:rPr>
            </w:pPr>
            <w:r w:rsidRPr="00876655">
              <w:rPr>
                <w:rFonts w:ascii="Arial" w:hAnsi="Arial" w:cs="Arial"/>
                <w:sz w:val="20"/>
                <w:szCs w:val="20"/>
              </w:rPr>
              <w:t>Annual Burden Hours</w:t>
            </w:r>
          </w:p>
        </w:tc>
        <w:tc>
          <w:tcPr>
            <w:tcW w:w="440" w:type="pct"/>
          </w:tcPr>
          <w:p w:rsidRPr="00876655" w:rsidR="00876655" w:rsidP="00AB248A" w:rsidRDefault="00876655" w14:paraId="2E53B043" w14:textId="77777777">
            <w:pPr>
              <w:jc w:val="center"/>
              <w:rPr>
                <w:rFonts w:ascii="Arial" w:hAnsi="Arial" w:cs="Arial"/>
                <w:sz w:val="20"/>
                <w:szCs w:val="20"/>
              </w:rPr>
            </w:pPr>
            <w:r w:rsidRPr="00876655">
              <w:rPr>
                <w:rFonts w:ascii="Arial" w:hAnsi="Arial" w:cs="Arial"/>
                <w:sz w:val="20"/>
                <w:szCs w:val="20"/>
              </w:rPr>
              <w:t>Hourly Cost</w:t>
            </w:r>
          </w:p>
        </w:tc>
        <w:tc>
          <w:tcPr>
            <w:tcW w:w="585" w:type="pct"/>
          </w:tcPr>
          <w:p w:rsidRPr="00876655" w:rsidR="00876655" w:rsidP="00AB248A" w:rsidRDefault="00876655" w14:paraId="5B9DD035" w14:textId="77777777">
            <w:pPr>
              <w:jc w:val="center"/>
              <w:rPr>
                <w:rFonts w:ascii="Arial" w:hAnsi="Arial" w:cs="Arial"/>
                <w:sz w:val="20"/>
                <w:szCs w:val="20"/>
              </w:rPr>
            </w:pPr>
            <w:r w:rsidRPr="00876655">
              <w:rPr>
                <w:rFonts w:ascii="Arial" w:hAnsi="Arial" w:cs="Arial"/>
                <w:sz w:val="20"/>
                <w:szCs w:val="20"/>
              </w:rPr>
              <w:t>Annual Cost</w:t>
            </w:r>
          </w:p>
        </w:tc>
      </w:tr>
      <w:tr w:rsidRPr="00876655" w:rsidR="00876655" w:rsidTr="00AB248A" w14:paraId="4923B5C0" w14:textId="77777777">
        <w:trPr>
          <w:cantSplit/>
        </w:trPr>
        <w:tc>
          <w:tcPr>
            <w:tcW w:w="5000" w:type="pct"/>
            <w:gridSpan w:val="8"/>
          </w:tcPr>
          <w:p w:rsidRPr="00876655" w:rsidR="00876655" w:rsidP="00AB248A" w:rsidRDefault="00876655" w14:paraId="2A242ECA" w14:textId="77777777">
            <w:pPr>
              <w:pStyle w:val="Heading4"/>
              <w:rPr>
                <w:rFonts w:ascii="Arial" w:hAnsi="Arial" w:cs="Arial"/>
                <w:color w:val="auto"/>
                <w:sz w:val="20"/>
                <w:szCs w:val="20"/>
              </w:rPr>
            </w:pPr>
            <w:r w:rsidRPr="00876655">
              <w:rPr>
                <w:rFonts w:ascii="Arial" w:hAnsi="Arial" w:cs="Arial"/>
                <w:color w:val="auto"/>
                <w:sz w:val="20"/>
                <w:szCs w:val="20"/>
              </w:rPr>
              <w:t>HUD-92541</w:t>
            </w:r>
          </w:p>
        </w:tc>
      </w:tr>
      <w:tr w:rsidRPr="00876655" w:rsidR="00876655" w:rsidTr="00AB248A" w14:paraId="4D903EC9" w14:textId="77777777">
        <w:tc>
          <w:tcPr>
            <w:tcW w:w="680" w:type="pct"/>
          </w:tcPr>
          <w:p w:rsidRPr="00876655" w:rsidR="00876655" w:rsidP="00AB248A" w:rsidRDefault="00876655" w14:paraId="7A0073B1" w14:textId="77777777">
            <w:pPr>
              <w:rPr>
                <w:rFonts w:ascii="Arial" w:hAnsi="Arial" w:cs="Arial"/>
                <w:sz w:val="20"/>
                <w:szCs w:val="20"/>
              </w:rPr>
            </w:pPr>
            <w:r w:rsidRPr="00876655">
              <w:rPr>
                <w:rFonts w:ascii="Arial" w:hAnsi="Arial" w:cs="Arial"/>
                <w:sz w:val="20"/>
                <w:szCs w:val="20"/>
              </w:rPr>
              <w:t>Builder’s submission</w:t>
            </w:r>
          </w:p>
        </w:tc>
        <w:tc>
          <w:tcPr>
            <w:tcW w:w="780" w:type="pct"/>
            <w:vAlign w:val="center"/>
          </w:tcPr>
          <w:p w:rsidRPr="00876655" w:rsidR="00876655" w:rsidP="00AB248A" w:rsidRDefault="00876655" w14:paraId="7E63518C" w14:textId="77777777">
            <w:pPr>
              <w:jc w:val="center"/>
              <w:rPr>
                <w:rFonts w:ascii="Arial" w:hAnsi="Arial" w:cs="Arial"/>
                <w:sz w:val="20"/>
                <w:szCs w:val="20"/>
              </w:rPr>
            </w:pPr>
            <w:r w:rsidRPr="00876655">
              <w:rPr>
                <w:rFonts w:ascii="Arial" w:hAnsi="Arial" w:cs="Arial"/>
                <w:sz w:val="20"/>
                <w:szCs w:val="20"/>
              </w:rPr>
              <w:t>152,830</w:t>
            </w:r>
          </w:p>
        </w:tc>
        <w:tc>
          <w:tcPr>
            <w:tcW w:w="648" w:type="pct"/>
            <w:vAlign w:val="center"/>
          </w:tcPr>
          <w:p w:rsidRPr="00876655" w:rsidR="00876655" w:rsidP="00AB248A" w:rsidRDefault="00876655" w14:paraId="433C58A0" w14:textId="77777777">
            <w:pPr>
              <w:jc w:val="center"/>
              <w:rPr>
                <w:rFonts w:ascii="Arial" w:hAnsi="Arial" w:cs="Arial"/>
                <w:sz w:val="20"/>
                <w:szCs w:val="20"/>
              </w:rPr>
            </w:pPr>
            <w:r w:rsidRPr="00876655">
              <w:rPr>
                <w:rFonts w:ascii="Arial" w:hAnsi="Arial" w:cs="Arial"/>
                <w:sz w:val="20"/>
                <w:szCs w:val="20"/>
              </w:rPr>
              <w:t>0.66</w:t>
            </w:r>
          </w:p>
        </w:tc>
        <w:tc>
          <w:tcPr>
            <w:tcW w:w="679" w:type="pct"/>
            <w:vAlign w:val="center"/>
          </w:tcPr>
          <w:p w:rsidRPr="00876655" w:rsidR="00876655" w:rsidP="00AB248A" w:rsidRDefault="00876655" w14:paraId="7D20DA32" w14:textId="77777777">
            <w:pPr>
              <w:jc w:val="center"/>
              <w:rPr>
                <w:rFonts w:ascii="Arial" w:hAnsi="Arial" w:cs="Arial"/>
                <w:sz w:val="20"/>
                <w:szCs w:val="20"/>
              </w:rPr>
            </w:pPr>
            <w:r w:rsidRPr="00876655">
              <w:rPr>
                <w:rFonts w:ascii="Arial" w:hAnsi="Arial" w:cs="Arial"/>
                <w:sz w:val="20"/>
                <w:szCs w:val="20"/>
              </w:rPr>
              <w:t>100,868</w:t>
            </w:r>
          </w:p>
        </w:tc>
        <w:tc>
          <w:tcPr>
            <w:tcW w:w="622" w:type="pct"/>
            <w:vAlign w:val="center"/>
          </w:tcPr>
          <w:p w:rsidRPr="00876655" w:rsidR="00876655" w:rsidP="00AB248A" w:rsidRDefault="00876655" w14:paraId="705FBBD4" w14:textId="77777777">
            <w:pPr>
              <w:jc w:val="center"/>
              <w:rPr>
                <w:rFonts w:ascii="Arial" w:hAnsi="Arial" w:cs="Arial"/>
                <w:sz w:val="20"/>
                <w:szCs w:val="20"/>
              </w:rPr>
            </w:pPr>
            <w:r w:rsidRPr="00876655">
              <w:rPr>
                <w:rFonts w:ascii="Arial" w:hAnsi="Arial" w:cs="Arial"/>
                <w:sz w:val="20"/>
                <w:szCs w:val="20"/>
              </w:rPr>
              <w:t>.10</w:t>
            </w:r>
          </w:p>
        </w:tc>
        <w:tc>
          <w:tcPr>
            <w:tcW w:w="564" w:type="pct"/>
            <w:vAlign w:val="center"/>
          </w:tcPr>
          <w:p w:rsidRPr="00876655" w:rsidR="00876655" w:rsidP="00AB248A" w:rsidRDefault="00876655" w14:paraId="23B5A409" w14:textId="77777777">
            <w:pPr>
              <w:ind w:right="252"/>
              <w:jc w:val="right"/>
              <w:rPr>
                <w:rFonts w:ascii="Arial" w:hAnsi="Arial" w:cs="Arial"/>
                <w:sz w:val="20"/>
                <w:szCs w:val="20"/>
              </w:rPr>
            </w:pPr>
            <w:r w:rsidRPr="00876655">
              <w:rPr>
                <w:rFonts w:ascii="Arial" w:hAnsi="Arial" w:cs="Arial"/>
                <w:sz w:val="20"/>
                <w:szCs w:val="20"/>
              </w:rPr>
              <w:t>10,087</w:t>
            </w:r>
          </w:p>
        </w:tc>
        <w:tc>
          <w:tcPr>
            <w:tcW w:w="440" w:type="pct"/>
            <w:vAlign w:val="center"/>
          </w:tcPr>
          <w:p w:rsidRPr="00876655" w:rsidR="00876655" w:rsidP="00AB248A" w:rsidRDefault="00876655" w14:paraId="0A62B607" w14:textId="77777777">
            <w:pPr>
              <w:jc w:val="center"/>
              <w:rPr>
                <w:rFonts w:ascii="Arial" w:hAnsi="Arial" w:cs="Arial"/>
                <w:sz w:val="20"/>
                <w:szCs w:val="20"/>
              </w:rPr>
            </w:pPr>
            <w:r w:rsidRPr="00876655">
              <w:rPr>
                <w:rFonts w:ascii="Arial" w:hAnsi="Arial" w:cs="Arial"/>
                <w:sz w:val="20"/>
                <w:szCs w:val="20"/>
              </w:rPr>
              <w:t>$27.21</w:t>
            </w:r>
          </w:p>
        </w:tc>
        <w:tc>
          <w:tcPr>
            <w:tcW w:w="585" w:type="pct"/>
            <w:vAlign w:val="center"/>
          </w:tcPr>
          <w:p w:rsidRPr="00876655" w:rsidR="00876655" w:rsidP="00AB248A" w:rsidRDefault="00876655" w14:paraId="07EDEC55" w14:textId="77777777">
            <w:pPr>
              <w:jc w:val="right"/>
              <w:rPr>
                <w:rFonts w:ascii="Arial" w:hAnsi="Arial" w:cs="Arial"/>
                <w:sz w:val="20"/>
                <w:szCs w:val="20"/>
              </w:rPr>
            </w:pPr>
            <w:r w:rsidRPr="00876655">
              <w:rPr>
                <w:rFonts w:ascii="Arial" w:hAnsi="Arial" w:cs="Arial"/>
                <w:sz w:val="20"/>
                <w:szCs w:val="20"/>
              </w:rPr>
              <w:t>$274,467</w:t>
            </w:r>
          </w:p>
        </w:tc>
      </w:tr>
      <w:tr w:rsidRPr="00876655" w:rsidR="00876655" w:rsidTr="00AB248A" w14:paraId="7F1BC857" w14:textId="77777777">
        <w:tc>
          <w:tcPr>
            <w:tcW w:w="680" w:type="pct"/>
          </w:tcPr>
          <w:p w:rsidRPr="00876655" w:rsidR="00876655" w:rsidP="00AB248A" w:rsidRDefault="00876655" w14:paraId="31C590EB" w14:textId="77777777">
            <w:pPr>
              <w:rPr>
                <w:rFonts w:ascii="Arial" w:hAnsi="Arial" w:cs="Arial"/>
                <w:sz w:val="20"/>
                <w:szCs w:val="20"/>
              </w:rPr>
            </w:pPr>
            <w:r w:rsidRPr="00876655">
              <w:rPr>
                <w:rFonts w:ascii="Arial" w:hAnsi="Arial" w:cs="Arial"/>
                <w:sz w:val="20"/>
                <w:szCs w:val="20"/>
              </w:rPr>
              <w:t>Lender’s review</w:t>
            </w:r>
          </w:p>
        </w:tc>
        <w:tc>
          <w:tcPr>
            <w:tcW w:w="780" w:type="pct"/>
            <w:vAlign w:val="center"/>
          </w:tcPr>
          <w:p w:rsidRPr="00876655" w:rsidR="00876655" w:rsidP="00AB248A" w:rsidRDefault="00876655" w14:paraId="0355506E" w14:textId="77777777">
            <w:pPr>
              <w:jc w:val="center"/>
              <w:rPr>
                <w:rFonts w:ascii="Arial" w:hAnsi="Arial" w:cs="Arial"/>
                <w:sz w:val="20"/>
                <w:szCs w:val="20"/>
              </w:rPr>
            </w:pPr>
            <w:r w:rsidRPr="00876655">
              <w:rPr>
                <w:rFonts w:ascii="Arial" w:hAnsi="Arial" w:cs="Arial"/>
                <w:sz w:val="20"/>
                <w:szCs w:val="20"/>
              </w:rPr>
              <w:t>13,250</w:t>
            </w:r>
          </w:p>
        </w:tc>
        <w:tc>
          <w:tcPr>
            <w:tcW w:w="648" w:type="pct"/>
            <w:vAlign w:val="center"/>
          </w:tcPr>
          <w:p w:rsidRPr="00876655" w:rsidR="00876655" w:rsidP="00AB248A" w:rsidRDefault="00876655" w14:paraId="7AFB4341" w14:textId="77777777">
            <w:pPr>
              <w:jc w:val="center"/>
              <w:rPr>
                <w:rFonts w:ascii="Arial" w:hAnsi="Arial" w:cs="Arial"/>
                <w:sz w:val="20"/>
                <w:szCs w:val="20"/>
              </w:rPr>
            </w:pPr>
            <w:r w:rsidRPr="00876655">
              <w:rPr>
                <w:rFonts w:ascii="Arial" w:hAnsi="Arial" w:cs="Arial"/>
                <w:sz w:val="20"/>
                <w:szCs w:val="20"/>
              </w:rPr>
              <w:t>7.61 (rounded)</w:t>
            </w:r>
          </w:p>
        </w:tc>
        <w:tc>
          <w:tcPr>
            <w:tcW w:w="679" w:type="pct"/>
            <w:vAlign w:val="center"/>
          </w:tcPr>
          <w:p w:rsidRPr="00876655" w:rsidR="00876655" w:rsidP="00AB248A" w:rsidRDefault="00876655" w14:paraId="145016C5" w14:textId="77777777">
            <w:pPr>
              <w:jc w:val="center"/>
              <w:rPr>
                <w:rFonts w:ascii="Arial" w:hAnsi="Arial" w:cs="Arial"/>
                <w:sz w:val="20"/>
                <w:szCs w:val="20"/>
              </w:rPr>
            </w:pPr>
            <w:r w:rsidRPr="00876655">
              <w:rPr>
                <w:rFonts w:ascii="Arial" w:hAnsi="Arial" w:cs="Arial"/>
                <w:sz w:val="20"/>
                <w:szCs w:val="20"/>
              </w:rPr>
              <w:t>100,868</w:t>
            </w:r>
          </w:p>
        </w:tc>
        <w:tc>
          <w:tcPr>
            <w:tcW w:w="622" w:type="pct"/>
            <w:vAlign w:val="center"/>
          </w:tcPr>
          <w:p w:rsidRPr="00876655" w:rsidR="00876655" w:rsidP="00AB248A" w:rsidRDefault="00876655" w14:paraId="5F863B3D" w14:textId="77777777">
            <w:pPr>
              <w:jc w:val="center"/>
              <w:rPr>
                <w:rFonts w:ascii="Arial" w:hAnsi="Arial" w:cs="Arial"/>
                <w:sz w:val="20"/>
                <w:szCs w:val="20"/>
              </w:rPr>
            </w:pPr>
            <w:r w:rsidRPr="00876655">
              <w:rPr>
                <w:rFonts w:ascii="Arial" w:hAnsi="Arial" w:cs="Arial"/>
                <w:sz w:val="20"/>
                <w:szCs w:val="20"/>
              </w:rPr>
              <w:t>.05</w:t>
            </w:r>
          </w:p>
        </w:tc>
        <w:tc>
          <w:tcPr>
            <w:tcW w:w="564" w:type="pct"/>
            <w:vAlign w:val="center"/>
          </w:tcPr>
          <w:p w:rsidRPr="00876655" w:rsidR="00876655" w:rsidP="00AB248A" w:rsidRDefault="00876655" w14:paraId="3B9B6B6D" w14:textId="77777777">
            <w:pPr>
              <w:ind w:right="252"/>
              <w:jc w:val="right"/>
              <w:rPr>
                <w:rFonts w:ascii="Arial" w:hAnsi="Arial" w:cs="Arial"/>
                <w:sz w:val="20"/>
                <w:szCs w:val="20"/>
              </w:rPr>
            </w:pPr>
            <w:r w:rsidRPr="00876655">
              <w:rPr>
                <w:rFonts w:ascii="Arial" w:hAnsi="Arial" w:cs="Arial"/>
                <w:sz w:val="20"/>
                <w:szCs w:val="20"/>
              </w:rPr>
              <w:t>5,043</w:t>
            </w:r>
          </w:p>
        </w:tc>
        <w:tc>
          <w:tcPr>
            <w:tcW w:w="440" w:type="pct"/>
            <w:vAlign w:val="center"/>
          </w:tcPr>
          <w:p w:rsidRPr="00876655" w:rsidR="00876655" w:rsidP="00AB248A" w:rsidRDefault="00876655" w14:paraId="54750D63" w14:textId="77777777">
            <w:pPr>
              <w:jc w:val="center"/>
              <w:rPr>
                <w:rFonts w:ascii="Arial" w:hAnsi="Arial" w:cs="Arial"/>
                <w:sz w:val="20"/>
                <w:szCs w:val="20"/>
              </w:rPr>
            </w:pPr>
            <w:r w:rsidRPr="00876655">
              <w:rPr>
                <w:rFonts w:ascii="Arial" w:hAnsi="Arial" w:cs="Arial"/>
                <w:sz w:val="20"/>
                <w:szCs w:val="20"/>
              </w:rPr>
              <w:t>$20.57</w:t>
            </w:r>
          </w:p>
        </w:tc>
        <w:tc>
          <w:tcPr>
            <w:tcW w:w="585" w:type="pct"/>
            <w:vAlign w:val="center"/>
          </w:tcPr>
          <w:p w:rsidRPr="00876655" w:rsidR="00876655" w:rsidP="00AB248A" w:rsidRDefault="00876655" w14:paraId="298F722C" w14:textId="77777777">
            <w:pPr>
              <w:jc w:val="right"/>
              <w:rPr>
                <w:rFonts w:ascii="Arial" w:hAnsi="Arial" w:cs="Arial"/>
                <w:sz w:val="20"/>
                <w:szCs w:val="20"/>
              </w:rPr>
            </w:pPr>
            <w:r w:rsidRPr="00876655">
              <w:rPr>
                <w:rFonts w:ascii="Arial" w:hAnsi="Arial" w:cs="Arial"/>
                <w:sz w:val="20"/>
                <w:szCs w:val="20"/>
              </w:rPr>
              <w:t>$103,734</w:t>
            </w:r>
          </w:p>
        </w:tc>
      </w:tr>
      <w:tr w:rsidRPr="00876655" w:rsidR="00876655" w:rsidTr="00AB248A" w14:paraId="2DB90AD6" w14:textId="77777777">
        <w:tc>
          <w:tcPr>
            <w:tcW w:w="680" w:type="pct"/>
          </w:tcPr>
          <w:p w:rsidRPr="00876655" w:rsidR="00876655" w:rsidP="00AB248A" w:rsidRDefault="00876655" w14:paraId="67E1A0F2" w14:textId="77777777">
            <w:pPr>
              <w:pStyle w:val="Heading3"/>
              <w:rPr>
                <w:rFonts w:ascii="Arial" w:hAnsi="Arial" w:cs="Arial"/>
                <w:color w:val="auto"/>
                <w:sz w:val="20"/>
                <w:szCs w:val="20"/>
              </w:rPr>
            </w:pPr>
            <w:r w:rsidRPr="00876655">
              <w:rPr>
                <w:rFonts w:ascii="Arial" w:hAnsi="Arial" w:cs="Arial"/>
                <w:color w:val="auto"/>
                <w:sz w:val="20"/>
                <w:szCs w:val="20"/>
              </w:rPr>
              <w:t xml:space="preserve">   Totals</w:t>
            </w:r>
          </w:p>
        </w:tc>
        <w:tc>
          <w:tcPr>
            <w:tcW w:w="780" w:type="pct"/>
            <w:vAlign w:val="center"/>
          </w:tcPr>
          <w:p w:rsidRPr="00876655" w:rsidR="00876655" w:rsidP="00AB248A" w:rsidRDefault="00876655" w14:paraId="55E8611E" w14:textId="77777777">
            <w:pPr>
              <w:jc w:val="center"/>
              <w:rPr>
                <w:rFonts w:ascii="Arial" w:hAnsi="Arial" w:cs="Arial"/>
                <w:b/>
                <w:bCs/>
                <w:sz w:val="20"/>
                <w:szCs w:val="20"/>
              </w:rPr>
            </w:pPr>
            <w:r w:rsidRPr="00876655">
              <w:rPr>
                <w:rFonts w:ascii="Arial" w:hAnsi="Arial" w:cs="Arial"/>
                <w:b/>
                <w:bCs/>
                <w:sz w:val="20"/>
                <w:szCs w:val="20"/>
              </w:rPr>
              <w:t>166,080</w:t>
            </w:r>
          </w:p>
        </w:tc>
        <w:tc>
          <w:tcPr>
            <w:tcW w:w="648" w:type="pct"/>
            <w:vAlign w:val="center"/>
          </w:tcPr>
          <w:p w:rsidRPr="00876655" w:rsidR="00876655" w:rsidP="00AB248A" w:rsidRDefault="00876655" w14:paraId="4EE2A9BE" w14:textId="77777777">
            <w:pPr>
              <w:jc w:val="center"/>
              <w:rPr>
                <w:rFonts w:ascii="Arial" w:hAnsi="Arial" w:cs="Arial"/>
                <w:b/>
                <w:bCs/>
                <w:sz w:val="20"/>
                <w:szCs w:val="20"/>
              </w:rPr>
            </w:pPr>
          </w:p>
        </w:tc>
        <w:tc>
          <w:tcPr>
            <w:tcW w:w="679" w:type="pct"/>
            <w:vAlign w:val="center"/>
          </w:tcPr>
          <w:p w:rsidRPr="00876655" w:rsidR="00876655" w:rsidP="00AB248A" w:rsidRDefault="00876655" w14:paraId="6896C2CD" w14:textId="77777777">
            <w:pPr>
              <w:jc w:val="center"/>
              <w:rPr>
                <w:rFonts w:ascii="Arial" w:hAnsi="Arial" w:cs="Arial"/>
                <w:b/>
                <w:bCs/>
                <w:sz w:val="20"/>
                <w:szCs w:val="20"/>
              </w:rPr>
            </w:pPr>
            <w:r w:rsidRPr="00876655">
              <w:rPr>
                <w:rFonts w:ascii="Arial" w:hAnsi="Arial" w:cs="Arial"/>
                <w:b/>
                <w:bCs/>
                <w:sz w:val="20"/>
                <w:szCs w:val="20"/>
              </w:rPr>
              <w:t>201,736</w:t>
            </w:r>
          </w:p>
        </w:tc>
        <w:tc>
          <w:tcPr>
            <w:tcW w:w="622" w:type="pct"/>
            <w:vAlign w:val="center"/>
          </w:tcPr>
          <w:p w:rsidRPr="00876655" w:rsidR="00876655" w:rsidP="00AB248A" w:rsidRDefault="00876655" w14:paraId="7ABC1812" w14:textId="77777777">
            <w:pPr>
              <w:jc w:val="center"/>
              <w:rPr>
                <w:rFonts w:ascii="Arial" w:hAnsi="Arial" w:cs="Arial"/>
                <w:b/>
                <w:bCs/>
                <w:sz w:val="20"/>
                <w:szCs w:val="20"/>
              </w:rPr>
            </w:pPr>
          </w:p>
        </w:tc>
        <w:tc>
          <w:tcPr>
            <w:tcW w:w="564" w:type="pct"/>
            <w:vAlign w:val="center"/>
          </w:tcPr>
          <w:p w:rsidRPr="00876655" w:rsidR="00876655" w:rsidP="00AB248A" w:rsidRDefault="00876655" w14:paraId="1CF4766F" w14:textId="77777777">
            <w:pPr>
              <w:ind w:right="252"/>
              <w:jc w:val="right"/>
              <w:rPr>
                <w:rFonts w:ascii="Arial" w:hAnsi="Arial" w:cs="Arial"/>
                <w:b/>
                <w:bCs/>
                <w:sz w:val="20"/>
                <w:szCs w:val="20"/>
              </w:rPr>
            </w:pPr>
            <w:r w:rsidRPr="00876655">
              <w:rPr>
                <w:rFonts w:ascii="Arial" w:hAnsi="Arial" w:cs="Arial"/>
                <w:b/>
                <w:bCs/>
                <w:sz w:val="20"/>
                <w:szCs w:val="20"/>
              </w:rPr>
              <w:t>15,130</w:t>
            </w:r>
          </w:p>
        </w:tc>
        <w:tc>
          <w:tcPr>
            <w:tcW w:w="440" w:type="pct"/>
            <w:vAlign w:val="center"/>
          </w:tcPr>
          <w:p w:rsidRPr="00876655" w:rsidR="00876655" w:rsidP="00AB248A" w:rsidRDefault="00876655" w14:paraId="69703898" w14:textId="77777777">
            <w:pPr>
              <w:jc w:val="center"/>
              <w:rPr>
                <w:rFonts w:ascii="Arial" w:hAnsi="Arial" w:cs="Arial"/>
                <w:b/>
                <w:bCs/>
                <w:sz w:val="20"/>
                <w:szCs w:val="20"/>
              </w:rPr>
            </w:pPr>
          </w:p>
        </w:tc>
        <w:tc>
          <w:tcPr>
            <w:tcW w:w="585" w:type="pct"/>
            <w:vAlign w:val="center"/>
          </w:tcPr>
          <w:p w:rsidRPr="00876655" w:rsidR="00876655" w:rsidP="00AB248A" w:rsidRDefault="00876655" w14:paraId="113808DF" w14:textId="77777777">
            <w:pPr>
              <w:jc w:val="right"/>
              <w:rPr>
                <w:rFonts w:ascii="Arial" w:hAnsi="Arial" w:cs="Arial"/>
                <w:b/>
                <w:bCs/>
                <w:sz w:val="20"/>
                <w:szCs w:val="20"/>
              </w:rPr>
            </w:pPr>
            <w:r w:rsidRPr="00876655">
              <w:rPr>
                <w:rFonts w:ascii="Arial" w:hAnsi="Arial" w:cs="Arial"/>
                <w:b/>
                <w:bCs/>
                <w:sz w:val="20"/>
                <w:szCs w:val="20"/>
              </w:rPr>
              <w:t>$378,201</w:t>
            </w:r>
          </w:p>
        </w:tc>
      </w:tr>
    </w:tbl>
    <w:p w:rsidRPr="00876655" w:rsidR="00876655" w:rsidP="00876655" w:rsidRDefault="00876655" w14:paraId="2EE17395" w14:textId="77777777">
      <w:pPr>
        <w:rPr>
          <w:rFonts w:ascii="Times New Roman" w:hAnsi="Times New Roman" w:cs="Times New Roman"/>
          <w:b/>
          <w:bCs/>
          <w:sz w:val="24"/>
          <w:szCs w:val="24"/>
        </w:rPr>
      </w:pPr>
    </w:p>
    <w:p w:rsidRPr="00876655" w:rsidR="00876655" w:rsidP="00876655" w:rsidRDefault="00876655" w14:paraId="1A1BEBAE" w14:textId="77777777">
      <w:pPr>
        <w:rPr>
          <w:rFonts w:ascii="Times New Roman" w:hAnsi="Times New Roman" w:cs="Times New Roman"/>
          <w:b/>
          <w:bCs/>
          <w:sz w:val="24"/>
          <w:szCs w:val="24"/>
        </w:rPr>
      </w:pPr>
      <w:r w:rsidRPr="00876655">
        <w:rPr>
          <w:rFonts w:ascii="Times New Roman" w:hAnsi="Times New Roman" w:cs="Times New Roman"/>
          <w:b/>
          <w:bCs/>
          <w:sz w:val="24"/>
          <w:szCs w:val="24"/>
        </w:rPr>
        <w:t xml:space="preserve">13. Provide an estimate for the total annual cost burden to respondents or recordkeepers resulting from the collection of information. (Do not include the cost of any hour burden shown in Items 12 and 14). </w:t>
      </w:r>
    </w:p>
    <w:p w:rsidRPr="00876655" w:rsidR="00876655" w:rsidP="00876655" w:rsidRDefault="00876655" w14:paraId="3C2D2FCD" w14:textId="77777777">
      <w:pPr>
        <w:ind w:left="360"/>
        <w:rPr>
          <w:rFonts w:ascii="Times New Roman" w:hAnsi="Times New Roman" w:cs="Times New Roman"/>
          <w:sz w:val="24"/>
          <w:szCs w:val="24"/>
        </w:rPr>
      </w:pPr>
      <w:r w:rsidRPr="00876655">
        <w:rPr>
          <w:rFonts w:ascii="Times New Roman" w:hAnsi="Times New Roman" w:cs="Times New Roman"/>
          <w:sz w:val="24"/>
          <w:szCs w:val="24"/>
        </w:rPr>
        <w:t xml:space="preserve">No additional costs are incurred by respondents or recordkeepers resulting from the collection of information.  Any efforts to retain documents would occur as part of customary and usual business practices and would post no additional cost burden for respondents or recordkeepers.  </w:t>
      </w:r>
    </w:p>
    <w:p w:rsidRPr="00876655" w:rsidR="00876655" w:rsidP="00876655" w:rsidRDefault="00876655" w14:paraId="2C8FB127" w14:textId="77777777">
      <w:pPr>
        <w:rPr>
          <w:rFonts w:ascii="Times New Roman" w:hAnsi="Times New Roman" w:cs="Times New Roman"/>
          <w:sz w:val="24"/>
          <w:szCs w:val="24"/>
        </w:rPr>
      </w:pPr>
      <w:r w:rsidRPr="00876655">
        <w:rPr>
          <w:rFonts w:ascii="Times New Roman" w:hAnsi="Times New Roman" w:cs="Times New Roman"/>
          <w:b/>
          <w:bCs/>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876655" w:rsidR="00876655" w:rsidP="00876655" w:rsidRDefault="00876655" w14:paraId="1F8BEB4E" w14:textId="77777777">
      <w:pPr>
        <w:ind w:left="360"/>
        <w:rPr>
          <w:rFonts w:ascii="Times New Roman" w:hAnsi="Times New Roman" w:cs="Times New Roman"/>
          <w:sz w:val="24"/>
          <w:szCs w:val="24"/>
        </w:rPr>
      </w:pPr>
      <w:r w:rsidRPr="00876655">
        <w:rPr>
          <w:rFonts w:ascii="Times New Roman" w:hAnsi="Times New Roman" w:cs="Times New Roman"/>
          <w:sz w:val="24"/>
          <w:szCs w:val="24"/>
        </w:rPr>
        <w:t>No costs are incurred for (a) a total capital and start-up cost component (annualized over its expected useful life) and (b) a total operation and maintenance and purchase of services component.</w:t>
      </w:r>
    </w:p>
    <w:p w:rsidRPr="00876655" w:rsidR="00876655" w:rsidP="00876655" w:rsidRDefault="00876655" w14:paraId="55CEC369" w14:textId="77777777">
      <w:pPr>
        <w:rPr>
          <w:rFonts w:ascii="Times New Roman" w:hAnsi="Times New Roman" w:eastAsia="Calibri" w:cs="Times New Roman"/>
          <w:b/>
          <w:bCs/>
          <w:sz w:val="24"/>
          <w:szCs w:val="24"/>
        </w:rPr>
      </w:pPr>
      <w:r w:rsidRPr="00876655">
        <w:rPr>
          <w:rFonts w:ascii="Times New Roman" w:hAnsi="Times New Roman" w:cs="Times New Roman"/>
          <w:b/>
          <w:bCs/>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w:t>
      </w:r>
      <w:r w:rsidRPr="00876655">
        <w:rPr>
          <w:rFonts w:ascii="Times New Roman" w:hAnsi="Times New Roman" w:eastAsia="Calibri" w:cs="Times New Roman"/>
          <w:b/>
          <w:bCs/>
          <w:sz w:val="24"/>
          <w:szCs w:val="24"/>
        </w:rPr>
        <w:t xml:space="preserve">existing economic </w:t>
      </w:r>
      <w:r w:rsidRPr="00876655">
        <w:rPr>
          <w:rFonts w:ascii="Times New Roman" w:hAnsi="Times New Roman" w:eastAsia="Calibri" w:cs="Times New Roman"/>
          <w:b/>
          <w:bCs/>
          <w:sz w:val="24"/>
          <w:szCs w:val="24"/>
        </w:rPr>
        <w:lastRenderedPageBreak/>
        <w:t xml:space="preserve">or regulatory impact analysis associated with the rulemaking containing the information collection, as appropriate. </w:t>
      </w:r>
    </w:p>
    <w:p w:rsidRPr="00876655" w:rsidR="00876655" w:rsidP="00876655" w:rsidRDefault="00876655" w14:paraId="782B7632" w14:textId="77777777">
      <w:pPr>
        <w:ind w:left="360"/>
        <w:rPr>
          <w:rFonts w:ascii="Times New Roman" w:hAnsi="Times New Roman" w:cs="Times New Roman"/>
          <w:sz w:val="24"/>
          <w:szCs w:val="24"/>
        </w:rPr>
      </w:pPr>
      <w:r w:rsidRPr="00876655">
        <w:rPr>
          <w:rFonts w:ascii="Times New Roman" w:hAnsi="Times New Roman" w:cs="Times New Roman"/>
          <w:sz w:val="24"/>
          <w:szCs w:val="24"/>
        </w:rPr>
        <w:t>No costs are incurred for purchasing or contracting out information collections services; therefore, no cost estimates are expected.</w:t>
      </w:r>
    </w:p>
    <w:p w:rsidRPr="00876655" w:rsidR="00876655" w:rsidP="00876655" w:rsidRDefault="00876655" w14:paraId="36626150" w14:textId="77777777">
      <w:pPr>
        <w:rPr>
          <w:rFonts w:ascii="Times New Roman" w:hAnsi="Times New Roman" w:eastAsia="Calibri" w:cs="Times New Roman"/>
          <w:sz w:val="24"/>
          <w:szCs w:val="24"/>
        </w:rPr>
      </w:pPr>
      <w:r w:rsidRPr="00876655">
        <w:rPr>
          <w:rFonts w:ascii="Times New Roman" w:hAnsi="Times New Roman" w:eastAsia="Calibri" w:cs="Times New Roman"/>
          <w:b/>
          <w:bCs/>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Pr="00876655" w:rsidR="00876655" w:rsidP="00876655" w:rsidRDefault="00876655" w14:paraId="773C0B5B" w14:textId="77777777">
      <w:pPr>
        <w:ind w:left="360"/>
        <w:rPr>
          <w:rFonts w:ascii="Times New Roman" w:hAnsi="Times New Roman" w:cs="Times New Roman"/>
          <w:sz w:val="24"/>
          <w:szCs w:val="24"/>
        </w:rPr>
      </w:pPr>
      <w:r w:rsidRPr="00876655">
        <w:rPr>
          <w:rFonts w:ascii="Times New Roman" w:hAnsi="Times New Roman" w:cs="Times New Roman"/>
          <w:sz w:val="24"/>
          <w:szCs w:val="24"/>
        </w:rPr>
        <w:t>No costs are incurred for purchases of equipment or services or portions thereof; therefore, no estimates are needed.</w:t>
      </w:r>
    </w:p>
    <w:p w:rsidRPr="00876655" w:rsidR="00876655" w:rsidP="00876655" w:rsidRDefault="00876655" w14:paraId="558CA555" w14:textId="77777777">
      <w:pPr>
        <w:rPr>
          <w:rFonts w:ascii="Times New Roman" w:hAnsi="Times New Roman" w:cs="Times New Roman"/>
          <w:b/>
          <w:bCs/>
          <w:sz w:val="24"/>
          <w:szCs w:val="24"/>
        </w:rPr>
      </w:pPr>
      <w:r w:rsidRPr="00876655">
        <w:rPr>
          <w:rFonts w:ascii="Times New Roman" w:hAnsi="Times New Roman" w:cs="Times New Roman"/>
          <w:b/>
          <w:bCs/>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Pr="00876655" w:rsidR="00876655" w:rsidP="00876655" w:rsidRDefault="00876655" w14:paraId="0FAF90B6" w14:textId="77777777">
      <w:pPr>
        <w:ind w:left="360"/>
        <w:rPr>
          <w:rFonts w:ascii="Times New Roman" w:hAnsi="Times New Roman" w:cs="Times New Roman"/>
          <w:sz w:val="24"/>
          <w:szCs w:val="24"/>
        </w:rPr>
      </w:pPr>
      <w:r w:rsidRPr="00876655">
        <w:rPr>
          <w:rFonts w:ascii="Times New Roman" w:hAnsi="Times New Roman" w:cs="Times New Roman"/>
          <w:sz w:val="24"/>
          <w:szCs w:val="24"/>
        </w:rPr>
        <w:t xml:space="preserve">HUD only reviews HUD-92541 in a random sampling of cases (approximately 2.5% of the cases received). The hourly cost of reviewing the form is based on the OPM 2020 pay scale of a </w:t>
      </w:r>
      <w:hyperlink w:history="1" r:id="rId13">
        <w:r w:rsidRPr="00876655">
          <w:rPr>
            <w:rStyle w:val="Hyperlink"/>
            <w:color w:val="auto"/>
          </w:rPr>
          <w:t>GS-12/Step 5</w:t>
        </w:r>
      </w:hyperlink>
      <w:r w:rsidRPr="00876655">
        <w:rPr>
          <w:rFonts w:ascii="Times New Roman" w:hAnsi="Times New Roman" w:cs="Times New Roman"/>
          <w:sz w:val="24"/>
          <w:szCs w:val="24"/>
        </w:rPr>
        <w:t xml:space="preserve"> HUD staff reviewer.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364"/>
        <w:gridCol w:w="1444"/>
        <w:gridCol w:w="1230"/>
        <w:gridCol w:w="1232"/>
        <w:gridCol w:w="1137"/>
        <w:gridCol w:w="926"/>
        <w:gridCol w:w="899"/>
        <w:gridCol w:w="1118"/>
      </w:tblGrid>
      <w:tr w:rsidRPr="00876655" w:rsidR="00876655" w:rsidTr="00AB248A" w14:paraId="7558B291" w14:textId="77777777">
        <w:tc>
          <w:tcPr>
            <w:tcW w:w="729" w:type="pct"/>
            <w:vAlign w:val="center"/>
          </w:tcPr>
          <w:p w:rsidRPr="00876655" w:rsidR="00876655" w:rsidP="00AB248A" w:rsidRDefault="00876655" w14:paraId="5D4F5FFF" w14:textId="77777777">
            <w:pPr>
              <w:rPr>
                <w:rFonts w:ascii="Arial" w:hAnsi="Arial" w:cs="Arial"/>
                <w:sz w:val="20"/>
                <w:szCs w:val="20"/>
              </w:rPr>
            </w:pPr>
            <w:r w:rsidRPr="00876655">
              <w:rPr>
                <w:rFonts w:ascii="Arial" w:hAnsi="Arial" w:cs="Arial"/>
                <w:sz w:val="20"/>
                <w:szCs w:val="20"/>
              </w:rPr>
              <w:t>Information Collection</w:t>
            </w:r>
          </w:p>
        </w:tc>
        <w:tc>
          <w:tcPr>
            <w:tcW w:w="772" w:type="pct"/>
          </w:tcPr>
          <w:p w:rsidRPr="00876655" w:rsidR="00876655" w:rsidP="00AB248A" w:rsidRDefault="00876655" w14:paraId="49229739" w14:textId="77777777">
            <w:pPr>
              <w:rPr>
                <w:rFonts w:ascii="Arial" w:hAnsi="Arial" w:cs="Arial"/>
                <w:sz w:val="20"/>
                <w:szCs w:val="20"/>
              </w:rPr>
            </w:pPr>
            <w:r w:rsidRPr="00876655">
              <w:rPr>
                <w:rFonts w:ascii="Arial" w:hAnsi="Arial" w:cs="Arial"/>
                <w:sz w:val="20"/>
                <w:szCs w:val="20"/>
              </w:rPr>
              <w:t>Number of Respondents</w:t>
            </w:r>
          </w:p>
        </w:tc>
        <w:tc>
          <w:tcPr>
            <w:tcW w:w="658" w:type="pct"/>
          </w:tcPr>
          <w:p w:rsidRPr="00876655" w:rsidR="00876655" w:rsidP="00AB248A" w:rsidRDefault="00876655" w14:paraId="4F103A86" w14:textId="77777777">
            <w:pPr>
              <w:rPr>
                <w:rFonts w:ascii="Arial" w:hAnsi="Arial" w:cs="Arial"/>
                <w:sz w:val="20"/>
                <w:szCs w:val="20"/>
              </w:rPr>
            </w:pPr>
            <w:r w:rsidRPr="00876655">
              <w:rPr>
                <w:rFonts w:ascii="Arial" w:hAnsi="Arial" w:cs="Arial"/>
                <w:sz w:val="20"/>
                <w:szCs w:val="20"/>
              </w:rPr>
              <w:t>Frequency of Response</w:t>
            </w:r>
          </w:p>
        </w:tc>
        <w:tc>
          <w:tcPr>
            <w:tcW w:w="659" w:type="pct"/>
          </w:tcPr>
          <w:p w:rsidRPr="00876655" w:rsidR="00876655" w:rsidP="00AB248A" w:rsidRDefault="00876655" w14:paraId="3CA21832" w14:textId="77777777">
            <w:pPr>
              <w:rPr>
                <w:rFonts w:ascii="Arial" w:hAnsi="Arial" w:cs="Arial"/>
                <w:sz w:val="20"/>
                <w:szCs w:val="20"/>
              </w:rPr>
            </w:pPr>
            <w:r w:rsidRPr="00876655">
              <w:rPr>
                <w:rFonts w:ascii="Arial" w:hAnsi="Arial" w:cs="Arial"/>
                <w:sz w:val="20"/>
                <w:szCs w:val="20"/>
              </w:rPr>
              <w:t>Responses Per Annum</w:t>
            </w:r>
          </w:p>
        </w:tc>
        <w:tc>
          <w:tcPr>
            <w:tcW w:w="608" w:type="pct"/>
          </w:tcPr>
          <w:p w:rsidRPr="00876655" w:rsidR="00876655" w:rsidP="00AB248A" w:rsidRDefault="00876655" w14:paraId="3187171F" w14:textId="77777777">
            <w:pPr>
              <w:rPr>
                <w:rFonts w:ascii="Arial" w:hAnsi="Arial" w:cs="Arial"/>
                <w:sz w:val="20"/>
                <w:szCs w:val="20"/>
              </w:rPr>
            </w:pPr>
            <w:r w:rsidRPr="00876655">
              <w:rPr>
                <w:rFonts w:ascii="Arial" w:hAnsi="Arial" w:cs="Arial"/>
                <w:sz w:val="20"/>
                <w:szCs w:val="20"/>
              </w:rPr>
              <w:t>Burden Hour Per Response</w:t>
            </w:r>
          </w:p>
        </w:tc>
        <w:tc>
          <w:tcPr>
            <w:tcW w:w="495" w:type="pct"/>
          </w:tcPr>
          <w:p w:rsidRPr="00876655" w:rsidR="00876655" w:rsidP="00AB248A" w:rsidRDefault="00876655" w14:paraId="268EDBC0" w14:textId="77777777">
            <w:pPr>
              <w:rPr>
                <w:rFonts w:ascii="Arial" w:hAnsi="Arial" w:cs="Arial"/>
                <w:sz w:val="20"/>
                <w:szCs w:val="20"/>
              </w:rPr>
            </w:pPr>
            <w:r w:rsidRPr="00876655">
              <w:rPr>
                <w:rFonts w:ascii="Arial" w:hAnsi="Arial" w:cs="Arial"/>
                <w:sz w:val="20"/>
                <w:szCs w:val="20"/>
              </w:rPr>
              <w:t>Annual Burden Hours</w:t>
            </w:r>
          </w:p>
        </w:tc>
        <w:tc>
          <w:tcPr>
            <w:tcW w:w="481" w:type="pct"/>
          </w:tcPr>
          <w:p w:rsidRPr="00876655" w:rsidR="00876655" w:rsidP="00AB248A" w:rsidRDefault="00876655" w14:paraId="51912645" w14:textId="77777777">
            <w:pPr>
              <w:rPr>
                <w:rFonts w:ascii="Arial" w:hAnsi="Arial" w:cs="Arial"/>
                <w:sz w:val="20"/>
                <w:szCs w:val="20"/>
              </w:rPr>
            </w:pPr>
            <w:r w:rsidRPr="00876655">
              <w:rPr>
                <w:rFonts w:ascii="Arial" w:hAnsi="Arial" w:cs="Arial"/>
                <w:sz w:val="20"/>
                <w:szCs w:val="20"/>
              </w:rPr>
              <w:t>Hourly Cost</w:t>
            </w:r>
          </w:p>
        </w:tc>
        <w:tc>
          <w:tcPr>
            <w:tcW w:w="598" w:type="pct"/>
          </w:tcPr>
          <w:p w:rsidRPr="00876655" w:rsidR="00876655" w:rsidP="00AB248A" w:rsidRDefault="00876655" w14:paraId="487616E2" w14:textId="77777777">
            <w:pPr>
              <w:rPr>
                <w:rFonts w:ascii="Arial" w:hAnsi="Arial" w:cs="Arial"/>
                <w:sz w:val="20"/>
                <w:szCs w:val="20"/>
              </w:rPr>
            </w:pPr>
            <w:r w:rsidRPr="00876655">
              <w:rPr>
                <w:rFonts w:ascii="Arial" w:hAnsi="Arial" w:cs="Arial"/>
                <w:sz w:val="20"/>
                <w:szCs w:val="20"/>
              </w:rPr>
              <w:t>Annual Cost</w:t>
            </w:r>
          </w:p>
        </w:tc>
      </w:tr>
      <w:tr w:rsidRPr="00876655" w:rsidR="00876655" w:rsidTr="00AB248A" w14:paraId="083CB718" w14:textId="77777777">
        <w:trPr>
          <w:cantSplit/>
        </w:trPr>
        <w:tc>
          <w:tcPr>
            <w:tcW w:w="5000" w:type="pct"/>
            <w:gridSpan w:val="8"/>
          </w:tcPr>
          <w:p w:rsidRPr="00876655" w:rsidR="00876655" w:rsidP="00AB248A" w:rsidRDefault="00876655" w14:paraId="66C7560A" w14:textId="77777777">
            <w:pPr>
              <w:rPr>
                <w:rFonts w:ascii="Arial" w:hAnsi="Arial" w:cs="Arial"/>
                <w:b/>
                <w:bCs/>
                <w:sz w:val="20"/>
                <w:szCs w:val="20"/>
              </w:rPr>
            </w:pPr>
            <w:r w:rsidRPr="00876655">
              <w:rPr>
                <w:rFonts w:ascii="Arial" w:hAnsi="Arial" w:cs="Arial"/>
                <w:b/>
                <w:bCs/>
                <w:sz w:val="20"/>
                <w:szCs w:val="20"/>
              </w:rPr>
              <w:t>HUD-92541</w:t>
            </w:r>
          </w:p>
        </w:tc>
      </w:tr>
      <w:tr w:rsidRPr="00876655" w:rsidR="00876655" w:rsidTr="00AB248A" w14:paraId="5B5CABAD" w14:textId="77777777">
        <w:tc>
          <w:tcPr>
            <w:tcW w:w="729" w:type="pct"/>
          </w:tcPr>
          <w:p w:rsidRPr="00876655" w:rsidR="00876655" w:rsidP="00AB248A" w:rsidRDefault="00876655" w14:paraId="1C48D80E" w14:textId="77777777">
            <w:pPr>
              <w:rPr>
                <w:rFonts w:ascii="Arial" w:hAnsi="Arial" w:cs="Arial"/>
                <w:sz w:val="20"/>
                <w:szCs w:val="20"/>
              </w:rPr>
            </w:pPr>
            <w:r w:rsidRPr="00876655">
              <w:rPr>
                <w:rFonts w:ascii="Arial" w:hAnsi="Arial" w:cs="Arial"/>
                <w:sz w:val="20"/>
                <w:szCs w:val="20"/>
              </w:rPr>
              <w:t>HUD review</w:t>
            </w:r>
          </w:p>
        </w:tc>
        <w:tc>
          <w:tcPr>
            <w:tcW w:w="772" w:type="pct"/>
            <w:vAlign w:val="center"/>
          </w:tcPr>
          <w:p w:rsidRPr="00876655" w:rsidR="00876655" w:rsidP="00AB248A" w:rsidRDefault="00876655" w14:paraId="31955DBD" w14:textId="77777777">
            <w:pPr>
              <w:rPr>
                <w:rFonts w:ascii="Arial" w:hAnsi="Arial" w:cs="Arial"/>
                <w:sz w:val="20"/>
                <w:szCs w:val="20"/>
              </w:rPr>
            </w:pPr>
            <w:r w:rsidRPr="00876655">
              <w:rPr>
                <w:rFonts w:ascii="Arial" w:hAnsi="Arial" w:cs="Arial"/>
                <w:sz w:val="20"/>
                <w:szCs w:val="20"/>
              </w:rPr>
              <w:t>100,868</w:t>
            </w:r>
          </w:p>
        </w:tc>
        <w:tc>
          <w:tcPr>
            <w:tcW w:w="658" w:type="pct"/>
            <w:vAlign w:val="center"/>
          </w:tcPr>
          <w:p w:rsidRPr="00876655" w:rsidR="00876655" w:rsidP="00AB248A" w:rsidRDefault="00876655" w14:paraId="4A39EE88" w14:textId="77777777">
            <w:pPr>
              <w:rPr>
                <w:rFonts w:ascii="Arial" w:hAnsi="Arial" w:cs="Arial"/>
                <w:sz w:val="20"/>
                <w:szCs w:val="20"/>
              </w:rPr>
            </w:pPr>
            <w:r w:rsidRPr="00876655">
              <w:rPr>
                <w:rFonts w:ascii="Arial" w:hAnsi="Arial" w:cs="Arial"/>
                <w:sz w:val="20"/>
                <w:szCs w:val="20"/>
              </w:rPr>
              <w:t>0.025</w:t>
            </w:r>
          </w:p>
        </w:tc>
        <w:tc>
          <w:tcPr>
            <w:tcW w:w="659" w:type="pct"/>
            <w:vAlign w:val="center"/>
          </w:tcPr>
          <w:p w:rsidRPr="00876655" w:rsidR="00876655" w:rsidP="00AB248A" w:rsidRDefault="00876655" w14:paraId="2B80AD33" w14:textId="77777777">
            <w:pPr>
              <w:rPr>
                <w:rFonts w:ascii="Arial" w:hAnsi="Arial" w:cs="Arial"/>
                <w:sz w:val="20"/>
                <w:szCs w:val="20"/>
              </w:rPr>
            </w:pPr>
            <w:r w:rsidRPr="00876655">
              <w:rPr>
                <w:rFonts w:ascii="Arial" w:hAnsi="Arial" w:cs="Arial"/>
                <w:sz w:val="20"/>
                <w:szCs w:val="20"/>
              </w:rPr>
              <w:t>2,522</w:t>
            </w:r>
          </w:p>
        </w:tc>
        <w:tc>
          <w:tcPr>
            <w:tcW w:w="608" w:type="pct"/>
            <w:vAlign w:val="center"/>
          </w:tcPr>
          <w:p w:rsidRPr="00876655" w:rsidR="00876655" w:rsidP="00AB248A" w:rsidRDefault="00876655" w14:paraId="0281568C" w14:textId="77777777">
            <w:pPr>
              <w:rPr>
                <w:rFonts w:ascii="Arial" w:hAnsi="Arial" w:cs="Arial"/>
                <w:sz w:val="20"/>
                <w:szCs w:val="20"/>
              </w:rPr>
            </w:pPr>
            <w:r w:rsidRPr="00876655">
              <w:rPr>
                <w:rFonts w:ascii="Arial" w:hAnsi="Arial" w:cs="Arial"/>
                <w:sz w:val="20"/>
                <w:szCs w:val="20"/>
              </w:rPr>
              <w:t>.10</w:t>
            </w:r>
          </w:p>
        </w:tc>
        <w:tc>
          <w:tcPr>
            <w:tcW w:w="495" w:type="pct"/>
            <w:vAlign w:val="center"/>
          </w:tcPr>
          <w:p w:rsidRPr="00876655" w:rsidR="00876655" w:rsidP="00AB248A" w:rsidRDefault="00876655" w14:paraId="36E1E43E" w14:textId="77777777">
            <w:pPr>
              <w:rPr>
                <w:rFonts w:ascii="Arial" w:hAnsi="Arial" w:cs="Arial"/>
                <w:sz w:val="20"/>
                <w:szCs w:val="20"/>
              </w:rPr>
            </w:pPr>
            <w:r w:rsidRPr="00876655">
              <w:rPr>
                <w:rFonts w:ascii="Arial" w:hAnsi="Arial" w:cs="Arial"/>
                <w:sz w:val="20"/>
                <w:szCs w:val="20"/>
              </w:rPr>
              <w:t>252</w:t>
            </w:r>
          </w:p>
        </w:tc>
        <w:tc>
          <w:tcPr>
            <w:tcW w:w="481" w:type="pct"/>
            <w:vAlign w:val="center"/>
          </w:tcPr>
          <w:p w:rsidRPr="00876655" w:rsidR="00876655" w:rsidP="00AB248A" w:rsidRDefault="00876655" w14:paraId="12FDFEE3" w14:textId="77777777">
            <w:pPr>
              <w:rPr>
                <w:rFonts w:ascii="Arial" w:hAnsi="Arial" w:cs="Arial"/>
                <w:sz w:val="20"/>
                <w:szCs w:val="20"/>
              </w:rPr>
            </w:pPr>
            <w:r w:rsidRPr="00876655">
              <w:rPr>
                <w:rFonts w:ascii="Arial" w:hAnsi="Arial" w:cs="Arial"/>
                <w:sz w:val="20"/>
                <w:szCs w:val="20"/>
              </w:rPr>
              <w:t>$41.66</w:t>
            </w:r>
          </w:p>
        </w:tc>
        <w:tc>
          <w:tcPr>
            <w:tcW w:w="598" w:type="pct"/>
            <w:vAlign w:val="center"/>
          </w:tcPr>
          <w:p w:rsidRPr="00876655" w:rsidR="00876655" w:rsidP="00AB248A" w:rsidRDefault="00876655" w14:paraId="35280536" w14:textId="77777777">
            <w:pPr>
              <w:rPr>
                <w:rFonts w:ascii="Arial" w:hAnsi="Arial" w:cs="Arial"/>
                <w:sz w:val="20"/>
                <w:szCs w:val="20"/>
              </w:rPr>
            </w:pPr>
            <w:r w:rsidRPr="00876655">
              <w:rPr>
                <w:rFonts w:ascii="Arial" w:hAnsi="Arial" w:cs="Arial"/>
                <w:sz w:val="20"/>
                <w:szCs w:val="20"/>
              </w:rPr>
              <w:t>$10,498</w:t>
            </w:r>
          </w:p>
        </w:tc>
      </w:tr>
      <w:tr w:rsidRPr="00876655" w:rsidR="00876655" w:rsidTr="00AB248A" w14:paraId="6BD09A6E" w14:textId="77777777">
        <w:tc>
          <w:tcPr>
            <w:tcW w:w="729" w:type="pct"/>
          </w:tcPr>
          <w:p w:rsidRPr="00876655" w:rsidR="00876655" w:rsidP="00AB248A" w:rsidRDefault="00876655" w14:paraId="0D32FB7F" w14:textId="77777777">
            <w:pPr>
              <w:rPr>
                <w:rFonts w:ascii="Arial" w:hAnsi="Arial" w:cs="Arial"/>
                <w:b/>
                <w:bCs/>
                <w:sz w:val="20"/>
                <w:szCs w:val="20"/>
              </w:rPr>
            </w:pPr>
            <w:r w:rsidRPr="00876655">
              <w:rPr>
                <w:rFonts w:ascii="Arial" w:hAnsi="Arial" w:cs="Arial"/>
                <w:b/>
                <w:bCs/>
                <w:sz w:val="20"/>
                <w:szCs w:val="20"/>
              </w:rPr>
              <w:t>Totals</w:t>
            </w:r>
          </w:p>
        </w:tc>
        <w:tc>
          <w:tcPr>
            <w:tcW w:w="772" w:type="pct"/>
            <w:vAlign w:val="center"/>
          </w:tcPr>
          <w:p w:rsidRPr="00876655" w:rsidR="00876655" w:rsidP="00AB248A" w:rsidRDefault="00876655" w14:paraId="77E6DCF9" w14:textId="77777777">
            <w:pPr>
              <w:rPr>
                <w:rFonts w:ascii="Arial" w:hAnsi="Arial" w:cs="Arial"/>
                <w:bCs/>
                <w:sz w:val="20"/>
                <w:szCs w:val="20"/>
              </w:rPr>
            </w:pPr>
            <w:r w:rsidRPr="00876655">
              <w:rPr>
                <w:rFonts w:ascii="Arial" w:hAnsi="Arial" w:cs="Arial"/>
                <w:sz w:val="20"/>
                <w:szCs w:val="20"/>
              </w:rPr>
              <w:t>100,868</w:t>
            </w:r>
          </w:p>
        </w:tc>
        <w:tc>
          <w:tcPr>
            <w:tcW w:w="658" w:type="pct"/>
            <w:vAlign w:val="center"/>
          </w:tcPr>
          <w:p w:rsidRPr="00876655" w:rsidR="00876655" w:rsidP="00AB248A" w:rsidRDefault="00876655" w14:paraId="6EB8323E" w14:textId="77777777">
            <w:pPr>
              <w:rPr>
                <w:rFonts w:ascii="Arial" w:hAnsi="Arial" w:cs="Arial"/>
                <w:b/>
                <w:bCs/>
                <w:sz w:val="20"/>
                <w:szCs w:val="20"/>
              </w:rPr>
            </w:pPr>
          </w:p>
        </w:tc>
        <w:tc>
          <w:tcPr>
            <w:tcW w:w="659" w:type="pct"/>
            <w:vAlign w:val="center"/>
          </w:tcPr>
          <w:p w:rsidRPr="00876655" w:rsidR="00876655" w:rsidP="00AB248A" w:rsidRDefault="00876655" w14:paraId="2B6C630B" w14:textId="77777777">
            <w:pPr>
              <w:rPr>
                <w:rFonts w:ascii="Arial" w:hAnsi="Arial" w:cs="Arial"/>
                <w:b/>
                <w:bCs/>
                <w:sz w:val="20"/>
                <w:szCs w:val="20"/>
              </w:rPr>
            </w:pPr>
            <w:r w:rsidRPr="00876655">
              <w:rPr>
                <w:rFonts w:ascii="Arial" w:hAnsi="Arial" w:cs="Arial"/>
                <w:b/>
                <w:bCs/>
                <w:sz w:val="20"/>
                <w:szCs w:val="20"/>
              </w:rPr>
              <w:t>2,522</w:t>
            </w:r>
          </w:p>
        </w:tc>
        <w:tc>
          <w:tcPr>
            <w:tcW w:w="608" w:type="pct"/>
            <w:vAlign w:val="center"/>
          </w:tcPr>
          <w:p w:rsidRPr="00876655" w:rsidR="00876655" w:rsidP="00AB248A" w:rsidRDefault="00876655" w14:paraId="782073D6" w14:textId="77777777">
            <w:pPr>
              <w:rPr>
                <w:rFonts w:ascii="Arial" w:hAnsi="Arial" w:cs="Arial"/>
                <w:b/>
                <w:bCs/>
                <w:sz w:val="20"/>
                <w:szCs w:val="20"/>
              </w:rPr>
            </w:pPr>
          </w:p>
        </w:tc>
        <w:tc>
          <w:tcPr>
            <w:tcW w:w="495" w:type="pct"/>
            <w:vAlign w:val="center"/>
          </w:tcPr>
          <w:p w:rsidRPr="00876655" w:rsidR="00876655" w:rsidP="00AB248A" w:rsidRDefault="00876655" w14:paraId="1008C697" w14:textId="77777777">
            <w:pPr>
              <w:rPr>
                <w:rFonts w:ascii="Arial" w:hAnsi="Arial" w:cs="Arial"/>
                <w:b/>
                <w:bCs/>
                <w:sz w:val="20"/>
                <w:szCs w:val="20"/>
              </w:rPr>
            </w:pPr>
            <w:r w:rsidRPr="00876655">
              <w:rPr>
                <w:rFonts w:ascii="Arial" w:hAnsi="Arial" w:cs="Arial"/>
                <w:b/>
                <w:bCs/>
                <w:sz w:val="20"/>
                <w:szCs w:val="20"/>
              </w:rPr>
              <w:t>252</w:t>
            </w:r>
          </w:p>
        </w:tc>
        <w:tc>
          <w:tcPr>
            <w:tcW w:w="481" w:type="pct"/>
            <w:vAlign w:val="center"/>
          </w:tcPr>
          <w:p w:rsidRPr="00876655" w:rsidR="00876655" w:rsidP="00AB248A" w:rsidRDefault="00876655" w14:paraId="3BB74D6C" w14:textId="77777777">
            <w:pPr>
              <w:rPr>
                <w:rFonts w:ascii="Arial" w:hAnsi="Arial" w:cs="Arial"/>
                <w:b/>
                <w:bCs/>
                <w:sz w:val="20"/>
                <w:szCs w:val="20"/>
              </w:rPr>
            </w:pPr>
          </w:p>
        </w:tc>
        <w:tc>
          <w:tcPr>
            <w:tcW w:w="598" w:type="pct"/>
            <w:vAlign w:val="center"/>
          </w:tcPr>
          <w:p w:rsidRPr="00876655" w:rsidR="00876655" w:rsidP="00AB248A" w:rsidRDefault="00876655" w14:paraId="0221F56A" w14:textId="77777777">
            <w:pPr>
              <w:rPr>
                <w:rFonts w:ascii="Arial" w:hAnsi="Arial" w:cs="Arial"/>
                <w:b/>
                <w:bCs/>
                <w:sz w:val="20"/>
                <w:szCs w:val="20"/>
              </w:rPr>
            </w:pPr>
            <w:r w:rsidRPr="00876655">
              <w:rPr>
                <w:rFonts w:ascii="Arial" w:hAnsi="Arial" w:cs="Arial"/>
                <w:b/>
                <w:bCs/>
                <w:sz w:val="20"/>
                <w:szCs w:val="20"/>
              </w:rPr>
              <w:t>$10,498</w:t>
            </w:r>
          </w:p>
        </w:tc>
      </w:tr>
    </w:tbl>
    <w:p w:rsidRPr="00876655" w:rsidR="00876655" w:rsidP="00876655" w:rsidRDefault="00876655" w14:paraId="3CC14D46" w14:textId="77777777">
      <w:pPr>
        <w:ind w:left="360"/>
        <w:rPr>
          <w:rFonts w:ascii="Times New Roman" w:hAnsi="Times New Roman" w:cs="Times New Roman"/>
          <w:sz w:val="24"/>
          <w:szCs w:val="24"/>
        </w:rPr>
      </w:pPr>
    </w:p>
    <w:p w:rsidRPr="00876655" w:rsidR="00876655" w:rsidP="00876655" w:rsidRDefault="00876655" w14:paraId="5EBE42C8" w14:textId="77777777">
      <w:pPr>
        <w:rPr>
          <w:rFonts w:ascii="Times New Roman" w:hAnsi="Times New Roman" w:cs="Times New Roman"/>
          <w:b/>
          <w:bCs/>
          <w:sz w:val="24"/>
          <w:szCs w:val="24"/>
        </w:rPr>
      </w:pPr>
      <w:r w:rsidRPr="00876655">
        <w:rPr>
          <w:rFonts w:ascii="Times New Roman" w:hAnsi="Times New Roman" w:cs="Times New Roman"/>
          <w:b/>
          <w:bCs/>
          <w:sz w:val="24"/>
          <w:szCs w:val="24"/>
        </w:rPr>
        <w:t xml:space="preserve">15. Explain the reasons for any program changes or adjustments reported in Items 13 or 14 of the OMB Form 83-I. </w:t>
      </w:r>
    </w:p>
    <w:p w:rsidRPr="00876655" w:rsidR="00876655" w:rsidP="00876655" w:rsidRDefault="00876655" w14:paraId="4414D004" w14:textId="77777777">
      <w:pPr>
        <w:ind w:left="360"/>
        <w:rPr>
          <w:rFonts w:ascii="Times New Roman" w:hAnsi="Times New Roman" w:cs="Times New Roman"/>
          <w:sz w:val="24"/>
          <w:szCs w:val="24"/>
        </w:rPr>
      </w:pPr>
      <w:r w:rsidRPr="00876655">
        <w:rPr>
          <w:rFonts w:ascii="Times New Roman" w:hAnsi="Times New Roman" w:cs="Times New Roman"/>
          <w:sz w:val="24"/>
          <w:szCs w:val="24"/>
        </w:rPr>
        <w:t xml:space="preserve">This renewal is an extension of a currently approved package which does not reflect any program changes. The public burden was adjusted upwards due to the growing number of new homes in the U.S. and FHA’s increasing market share. According to U.S. Census data, new homes were reported as 617,000 in 2018, 683,000 in 2019, and 822,000 in 2020.  FHA market share was reported as 11.99 % in 2018, 17.42% in 2019, and 18.59% in 2020. </w:t>
      </w:r>
    </w:p>
    <w:p w:rsidRPr="00876655" w:rsidR="00876655" w:rsidP="00876655" w:rsidRDefault="00876655" w14:paraId="6D7D0FBA" w14:textId="77777777">
      <w:pPr>
        <w:rPr>
          <w:rFonts w:ascii="Times New Roman" w:hAnsi="Times New Roman" w:cs="Times New Roman"/>
          <w:b/>
          <w:bCs/>
          <w:sz w:val="24"/>
          <w:szCs w:val="24"/>
        </w:rPr>
      </w:pPr>
      <w:r w:rsidRPr="00876655">
        <w:rPr>
          <w:rFonts w:ascii="Times New Roman" w:hAnsi="Times New Roman" w:cs="Times New Roman"/>
          <w:b/>
          <w:bCs/>
          <w:sz w:val="24"/>
          <w:szCs w:val="24"/>
        </w:rPr>
        <w:t xml:space="preserve">16. For collections of information whose results will be published, outline plans for tabulation and publication. Address any complex analytical techniques that will be used. </w:t>
      </w:r>
      <w:r w:rsidRPr="00876655">
        <w:rPr>
          <w:rFonts w:ascii="Times New Roman" w:hAnsi="Times New Roman" w:cs="Times New Roman"/>
          <w:b/>
          <w:bCs/>
          <w:sz w:val="24"/>
          <w:szCs w:val="24"/>
        </w:rPr>
        <w:lastRenderedPageBreak/>
        <w:t xml:space="preserve">Provide the time schedule for the entire project, including beginning and ending dates of the collection of information, completion of report, publication dates, and other actions. </w:t>
      </w:r>
    </w:p>
    <w:p w:rsidRPr="00876655" w:rsidR="00876655" w:rsidP="00876655" w:rsidRDefault="00876655" w14:paraId="71D15072" w14:textId="77777777">
      <w:pPr>
        <w:ind w:left="360"/>
        <w:rPr>
          <w:rFonts w:ascii="Times New Roman" w:hAnsi="Times New Roman" w:cs="Times New Roman"/>
          <w:sz w:val="24"/>
          <w:szCs w:val="24"/>
        </w:rPr>
      </w:pPr>
      <w:r w:rsidRPr="00876655">
        <w:rPr>
          <w:rFonts w:ascii="Times New Roman" w:hAnsi="Times New Roman" w:cs="Times New Roman"/>
          <w:sz w:val="24"/>
          <w:szCs w:val="24"/>
        </w:rPr>
        <w:t>The results from this collection will not be published.</w:t>
      </w:r>
    </w:p>
    <w:p w:rsidRPr="00876655" w:rsidR="00876655" w:rsidP="00876655" w:rsidRDefault="00876655" w14:paraId="06082B9D" w14:textId="77777777">
      <w:pPr>
        <w:rPr>
          <w:rFonts w:ascii="Times New Roman" w:hAnsi="Times New Roman" w:cs="Times New Roman"/>
          <w:b/>
          <w:bCs/>
          <w:sz w:val="24"/>
          <w:szCs w:val="24"/>
        </w:rPr>
      </w:pPr>
      <w:r w:rsidRPr="00876655">
        <w:rPr>
          <w:rFonts w:ascii="Times New Roman" w:hAnsi="Times New Roman" w:cs="Times New Roman"/>
          <w:b/>
          <w:bCs/>
          <w:sz w:val="24"/>
          <w:szCs w:val="24"/>
        </w:rPr>
        <w:t xml:space="preserve">17. If seeking approval to not display the expiration date for OMB approval of the information collection, explain the reasons that display would be inappropriate. </w:t>
      </w:r>
    </w:p>
    <w:p w:rsidRPr="00876655" w:rsidR="00876655" w:rsidP="00876655" w:rsidRDefault="00876655" w14:paraId="027DE5CE" w14:textId="77777777">
      <w:pPr>
        <w:ind w:left="360"/>
        <w:rPr>
          <w:rFonts w:ascii="Times New Roman" w:hAnsi="Times New Roman" w:cs="Times New Roman"/>
          <w:sz w:val="24"/>
          <w:szCs w:val="24"/>
        </w:rPr>
      </w:pPr>
      <w:r w:rsidRPr="00876655">
        <w:rPr>
          <w:rFonts w:ascii="Times New Roman" w:hAnsi="Times New Roman" w:cs="Times New Roman"/>
          <w:sz w:val="24"/>
          <w:szCs w:val="24"/>
        </w:rPr>
        <w:t xml:space="preserve">HUD is not seeking approval to remove the expiration date of the information collection approval. </w:t>
      </w:r>
    </w:p>
    <w:p w:rsidRPr="00876655" w:rsidR="00876655" w:rsidP="00876655" w:rsidRDefault="00876655" w14:paraId="32E5B30E" w14:textId="77777777">
      <w:pPr>
        <w:rPr>
          <w:rFonts w:ascii="Times New Roman" w:hAnsi="Times New Roman" w:cs="Times New Roman"/>
          <w:b/>
          <w:bCs/>
          <w:sz w:val="24"/>
          <w:szCs w:val="24"/>
        </w:rPr>
      </w:pPr>
      <w:r w:rsidRPr="00876655">
        <w:rPr>
          <w:rFonts w:ascii="Times New Roman" w:hAnsi="Times New Roman" w:cs="Times New Roman"/>
          <w:b/>
          <w:bCs/>
          <w:sz w:val="24"/>
          <w:szCs w:val="24"/>
        </w:rPr>
        <w:t xml:space="preserve">18. Explain each exception to the certification statement identified in Item 19, "Certification for Paperwork Reduction Act Submissions," of OMB Form 83-I. </w:t>
      </w:r>
    </w:p>
    <w:p w:rsidRPr="00876655" w:rsidR="00876655" w:rsidP="00876655" w:rsidRDefault="00876655" w14:paraId="3112E1CD" w14:textId="77777777">
      <w:pPr>
        <w:ind w:left="360"/>
        <w:rPr>
          <w:rFonts w:ascii="Times New Roman" w:hAnsi="Times New Roman" w:cs="Times New Roman"/>
          <w:sz w:val="24"/>
          <w:szCs w:val="24"/>
        </w:rPr>
      </w:pPr>
      <w:r w:rsidRPr="00876655">
        <w:rPr>
          <w:rFonts w:ascii="Times New Roman" w:hAnsi="Times New Roman" w:cs="Times New Roman"/>
          <w:sz w:val="24"/>
          <w:szCs w:val="24"/>
        </w:rPr>
        <w:t xml:space="preserve">HUD is not requesting a certification statement exception. </w:t>
      </w:r>
    </w:p>
    <w:p w:rsidRPr="00876655" w:rsidR="00876655" w:rsidP="00876655" w:rsidRDefault="00876655" w14:paraId="3C6D4B6A" w14:textId="77777777">
      <w:pPr>
        <w:rPr>
          <w:rFonts w:ascii="Times New Roman" w:hAnsi="Times New Roman" w:cs="Times New Roman"/>
          <w:sz w:val="24"/>
          <w:szCs w:val="24"/>
        </w:rPr>
      </w:pPr>
    </w:p>
    <w:p w:rsidRPr="00876655" w:rsidR="00876655" w:rsidP="00876655" w:rsidRDefault="00876655" w14:paraId="47F30876" w14:textId="77777777">
      <w:pPr>
        <w:rPr>
          <w:rFonts w:ascii="Times New Roman" w:hAnsi="Times New Roman" w:cs="Times New Roman"/>
          <w:sz w:val="24"/>
          <w:szCs w:val="24"/>
        </w:rPr>
      </w:pPr>
      <w:r w:rsidRPr="00876655">
        <w:rPr>
          <w:rFonts w:ascii="Times New Roman" w:hAnsi="Times New Roman" w:cs="Times New Roman"/>
          <w:b/>
          <w:bCs/>
          <w:sz w:val="24"/>
          <w:szCs w:val="24"/>
        </w:rPr>
        <w:t xml:space="preserve">B. Collections of Information Employing Statistical Methods </w:t>
      </w:r>
    </w:p>
    <w:p w:rsidRPr="00876655" w:rsidR="00876655" w:rsidP="00876655" w:rsidRDefault="00876655" w14:paraId="5198605F" w14:textId="77777777">
      <w:pPr>
        <w:ind w:left="360"/>
        <w:rPr>
          <w:rFonts w:ascii="Times New Roman" w:hAnsi="Times New Roman" w:cs="Times New Roman"/>
          <w:sz w:val="24"/>
          <w:szCs w:val="24"/>
        </w:rPr>
      </w:pPr>
      <w:r w:rsidRPr="00876655">
        <w:rPr>
          <w:rFonts w:ascii="Times New Roman" w:hAnsi="Times New Roman" w:cs="Times New Roman"/>
          <w:sz w:val="24"/>
          <w:szCs w:val="24"/>
        </w:rPr>
        <w:t>Not applicable.  The collection of information does not employ statistical methods.</w:t>
      </w:r>
    </w:p>
    <w:p w:rsidRPr="00876655" w:rsidR="00500D4A" w:rsidRDefault="00500D4A" w14:paraId="68BC411E" w14:textId="77777777"/>
    <w:sectPr w:rsidRPr="00876655" w:rsidR="00500D4A" w:rsidSect="00075224">
      <w:pgSz w:w="12240" w:h="15840"/>
      <w:pgMar w:top="630" w:right="1440" w:bottom="144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655"/>
    <w:rsid w:val="00401451"/>
    <w:rsid w:val="00500D4A"/>
    <w:rsid w:val="00563246"/>
    <w:rsid w:val="006F050C"/>
    <w:rsid w:val="0072346B"/>
    <w:rsid w:val="00876655"/>
    <w:rsid w:val="00C61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8AC2C"/>
  <w15:chartTrackingRefBased/>
  <w15:docId w15:val="{E3B8496A-0DD8-4AE5-9640-1B1E8B884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655"/>
    <w:pPr>
      <w:spacing w:after="200" w:line="276" w:lineRule="auto"/>
    </w:pPr>
  </w:style>
  <w:style w:type="paragraph" w:styleId="Heading2">
    <w:name w:val="heading 2"/>
    <w:basedOn w:val="Normal"/>
    <w:next w:val="Normal"/>
    <w:link w:val="Heading2Char"/>
    <w:qFormat/>
    <w:rsid w:val="00876655"/>
    <w:pPr>
      <w:keepNext/>
      <w:tabs>
        <w:tab w:val="left" w:pos="240"/>
      </w:tabs>
      <w:overflowPunct w:val="0"/>
      <w:autoSpaceDE w:val="0"/>
      <w:autoSpaceDN w:val="0"/>
      <w:adjustRightInd w:val="0"/>
      <w:spacing w:after="40" w:line="240" w:lineRule="auto"/>
      <w:ind w:left="120" w:right="-120"/>
      <w:textAlignment w:val="baseline"/>
      <w:outlineLvl w:val="1"/>
    </w:pPr>
    <w:rPr>
      <w:rFonts w:ascii="Helvetica" w:eastAsia="Times New Roman" w:hAnsi="Helvetica" w:cs="Times New Roman"/>
      <w:b/>
      <w:color w:val="FF0000"/>
      <w:sz w:val="18"/>
      <w:szCs w:val="20"/>
    </w:rPr>
  </w:style>
  <w:style w:type="paragraph" w:styleId="Heading3">
    <w:name w:val="heading 3"/>
    <w:basedOn w:val="Normal"/>
    <w:next w:val="Normal"/>
    <w:link w:val="Heading3Char"/>
    <w:uiPriority w:val="9"/>
    <w:semiHidden/>
    <w:unhideWhenUsed/>
    <w:qFormat/>
    <w:rsid w:val="008766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7665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76655"/>
    <w:rPr>
      <w:rFonts w:ascii="Helvetica" w:eastAsia="Times New Roman" w:hAnsi="Helvetica" w:cs="Times New Roman"/>
      <w:b/>
      <w:color w:val="FF0000"/>
      <w:sz w:val="18"/>
      <w:szCs w:val="20"/>
    </w:rPr>
  </w:style>
  <w:style w:type="character" w:customStyle="1" w:styleId="Heading3Char">
    <w:name w:val="Heading 3 Char"/>
    <w:basedOn w:val="DefaultParagraphFont"/>
    <w:link w:val="Heading3"/>
    <w:uiPriority w:val="9"/>
    <w:semiHidden/>
    <w:rsid w:val="0087665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76655"/>
    <w:rPr>
      <w:rFonts w:asciiTheme="majorHAnsi" w:eastAsiaTheme="majorEastAsia" w:hAnsiTheme="majorHAnsi" w:cstheme="majorBidi"/>
      <w:i/>
      <w:iCs/>
      <w:color w:val="2F5496" w:themeColor="accent1" w:themeShade="BF"/>
    </w:rPr>
  </w:style>
  <w:style w:type="paragraph" w:styleId="NoSpacing">
    <w:name w:val="No Spacing"/>
    <w:uiPriority w:val="1"/>
    <w:qFormat/>
    <w:rsid w:val="00876655"/>
    <w:pPr>
      <w:spacing w:after="0" w:line="240" w:lineRule="auto"/>
    </w:pPr>
  </w:style>
  <w:style w:type="character" w:styleId="Hyperlink">
    <w:name w:val="Hyperlink"/>
    <w:basedOn w:val="DefaultParagraphFont"/>
    <w:uiPriority w:val="99"/>
    <w:unhideWhenUsed/>
    <w:rsid w:val="008766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5/chapter-III/subchapter-B/part-1320" TargetMode="External"/><Relationship Id="rId13" Type="http://schemas.openxmlformats.org/officeDocument/2006/relationships/hyperlink" Target="https://www.opm.gov/policy-data-oversight/pay-leave/salaries-wages/salary-tables/pdf/2020/RUS_h.pdf" TargetMode="External"/><Relationship Id="rId3" Type="http://schemas.openxmlformats.org/officeDocument/2006/relationships/webSettings" Target="webSettings.xml"/><Relationship Id="rId7" Type="http://schemas.openxmlformats.org/officeDocument/2006/relationships/hyperlink" Target="https://www.ecfr.gov/current/title-24/subtitle-B/chapter-II/subchapter-A/part-200" TargetMode="External"/><Relationship Id="rId12" Type="http://schemas.openxmlformats.org/officeDocument/2006/relationships/hyperlink" Target="https://www.bls.gov/oes/current/oes434131.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cfr.gov/current/title-24/subtitle-A/part-55" TargetMode="External"/><Relationship Id="rId11" Type="http://schemas.openxmlformats.org/officeDocument/2006/relationships/hyperlink" Target="https://learn.org/articles/Loan_Processor_Career_Profile_Occupational_Outlook_and_Education_Prerequisites.html" TargetMode="External"/><Relationship Id="rId5" Type="http://schemas.openxmlformats.org/officeDocument/2006/relationships/hyperlink" Target="https://www.ecfr.gov/current/title-24/subtitle-A/part-51" TargetMode="External"/><Relationship Id="rId15" Type="http://schemas.openxmlformats.org/officeDocument/2006/relationships/theme" Target="theme/theme1.xml"/><Relationship Id="rId10" Type="http://schemas.openxmlformats.org/officeDocument/2006/relationships/hyperlink" Target="https://www.bls.gov/oes/current/oes173022.htm" TargetMode="External"/><Relationship Id="rId4" Type="http://schemas.openxmlformats.org/officeDocument/2006/relationships/hyperlink" Target="https://www.archives.gov/federal-register/codification/executive-order/11988.html" TargetMode="External"/><Relationship Id="rId9" Type="http://schemas.openxmlformats.org/officeDocument/2006/relationships/hyperlink" Target="https://www.census.gov/construction/nrs/pdf/quarterly_sale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3519</Words>
  <Characters>20060</Characters>
  <Application>Microsoft Office Word</Application>
  <DocSecurity>0</DocSecurity>
  <Lines>167</Lines>
  <Paragraphs>47</Paragraphs>
  <ScaleCrop>false</ScaleCrop>
  <Company/>
  <LinksUpToDate>false</LinksUpToDate>
  <CharactersWithSpaces>23532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Pollard, Colette</dc:creator>
  <cp:keywords/>
  <dc:description/>
  <cp:lastModifiedBy>Pollard, Colette</cp:lastModifiedBy>
  <cp:revision>4</cp:revision>
  <dcterms:created xsi:type="dcterms:W3CDTF">2022-07-27T18:11:00Z</dcterms:created>
  <dcterms:modified xsi:type="dcterms:W3CDTF">2022-07-27T18:15:00Z</dcterms:modified>
</cp:coreProperties>
</file>