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04C0" w:rsidR="007F04C0" w:rsidP="007F04C0" w:rsidRDefault="007F04C0" w14:paraId="03616C92" w14:textId="77777777">
      <w:pPr>
        <w:pStyle w:val="ListParagraph"/>
        <w:suppressAutoHyphens/>
        <w:ind w:left="0"/>
        <w:contextualSpacing w:val="0"/>
        <w:rPr>
          <w:rFonts w:cs="Calibri"/>
          <w:szCs w:val="24"/>
        </w:rPr>
      </w:pPr>
      <w:r w:rsidRPr="007F04C0">
        <w:rPr>
          <w:rFonts w:cs="Calibri"/>
          <w:szCs w:val="24"/>
        </w:rPr>
        <w:t xml:space="preserve">On October 4, 2021, the Department convened a negotiated rulemaking committee, the Affordability and Student Loans Committee, to consider proposed regulations for the Federal Student Aid programs authorized under title IV of the Higher Education Act of 1965, as amended, (HEA).  The Secretary proposes regulations to clarify the process for consideration of changes in ownership and control, to promote compliance with the HEA and related regulations and reduce risk for students and taxpayers.  </w:t>
      </w:r>
    </w:p>
    <w:p w:rsidRPr="007F04C0" w:rsidR="007F04C0" w:rsidP="007F04C0" w:rsidRDefault="007F04C0" w14:paraId="4B8EC3DA" w14:textId="77777777">
      <w:pPr>
        <w:pStyle w:val="ListParagraph"/>
        <w:suppressAutoHyphens/>
        <w:ind w:left="0"/>
        <w:contextualSpacing w:val="0"/>
        <w:rPr>
          <w:rFonts w:cs="Calibri"/>
          <w:iCs/>
          <w:szCs w:val="24"/>
        </w:rPr>
      </w:pPr>
      <w:r w:rsidRPr="007F04C0">
        <w:rPr>
          <w:rFonts w:cs="Calibri"/>
          <w:szCs w:val="24"/>
        </w:rPr>
        <w:t>To address the risks that some changes in ownership of postsecondary institutions present to students and taxpayers,</w:t>
      </w:r>
      <w:r w:rsidRPr="007F04C0">
        <w:rPr>
          <w:rFonts w:eastAsia="Times New Roman" w:cs="Calibri"/>
          <w:szCs w:val="24"/>
        </w:rPr>
        <w:t xml:space="preserve"> the Department proposes under the authority of section 498(i) of the HEA to amend regulations covering changes in ownership.  </w:t>
      </w:r>
      <w:r w:rsidRPr="007F04C0">
        <w:rPr>
          <w:rFonts w:cs="Calibri"/>
          <w:iCs/>
          <w:szCs w:val="24"/>
        </w:rPr>
        <w:t xml:space="preserve">These proposed regulations are a result of negotiated rulemaking in 2021 and would add new requirements to the current regulations. </w:t>
      </w:r>
    </w:p>
    <w:p w:rsidRPr="007F04C0" w:rsidR="007F04C0" w:rsidP="007F04C0" w:rsidRDefault="007F04C0" w14:paraId="3EFC5F7B" w14:textId="77777777">
      <w:pPr>
        <w:rPr>
          <w:rFonts w:cs="Calibri"/>
          <w:szCs w:val="24"/>
        </w:rPr>
      </w:pPr>
      <w:r w:rsidRPr="007F04C0">
        <w:rPr>
          <w:rFonts w:cs="Calibri"/>
          <w:szCs w:val="24"/>
        </w:rPr>
        <w:t xml:space="preserve">Specifically, the proposed regulations would add new §600.20(g)(4), which would require institutions to notify enrolled and prospective students at least 90 days prior to the proposed change in ownership </w:t>
      </w:r>
      <w:r w:rsidRPr="007F04C0">
        <w:rPr>
          <w:rFonts w:cs="Calibri"/>
          <w:iCs/>
          <w:szCs w:val="24"/>
        </w:rPr>
        <w:t xml:space="preserve">to provide them with adequate notice and information about the operations of their institution. </w:t>
      </w:r>
    </w:p>
    <w:p w:rsidRPr="00202E10" w:rsidR="00623604" w:rsidP="00623604" w:rsidRDefault="00623604" w14:paraId="72E7D0FD" w14:textId="77777777">
      <w:pPr>
        <w:pStyle w:val="NoSpacing"/>
        <w:rPr>
          <w:rFonts w:cs="Calibri"/>
          <w:sz w:val="24"/>
          <w:szCs w:val="24"/>
        </w:rPr>
      </w:pPr>
    </w:p>
    <w:p w:rsidRPr="007F04C0" w:rsidR="007F04C0" w:rsidP="007F04C0" w:rsidRDefault="007F04C0" w14:paraId="42497BE9" w14:textId="77777777">
      <w:pPr>
        <w:rPr>
          <w:rFonts w:cs="Calibri"/>
          <w:color w:val="000000"/>
          <w:szCs w:val="24"/>
        </w:rPr>
      </w:pPr>
      <w:r w:rsidRPr="007F04C0">
        <w:rPr>
          <w:rFonts w:cs="Calibri"/>
          <w:color w:val="000000"/>
          <w:szCs w:val="24"/>
        </w:rPr>
        <w:t xml:space="preserve">We believe that this would result in burden for the institution.  Based on a </w:t>
      </w:r>
      <w:hyperlink w:history="1" r:id="rId6">
        <w:r w:rsidRPr="007F04C0">
          <w:rPr>
            <w:rStyle w:val="Hyperlink"/>
            <w:rFonts w:cs="Calibri"/>
            <w:szCs w:val="24"/>
          </w:rPr>
          <w:t>GAO report</w:t>
        </w:r>
      </w:hyperlink>
      <w:r w:rsidRPr="007F04C0">
        <w:rPr>
          <w:rFonts w:cs="Calibri"/>
          <w:color w:val="000000"/>
          <w:szCs w:val="24"/>
        </w:rPr>
        <w:t xml:space="preserve">, using the 59 institutional changes of ownership over a period of 9 years, we anticipate that an estimate of 7 institutions annually would require 4 hours to develop and post the required notice on the institution’s intra- and internet sites for a total of 28 hours (7 X 4 hours = 28 hours). </w:t>
      </w:r>
    </w:p>
    <w:p w:rsidRPr="00202E10" w:rsidR="00623604" w:rsidP="00623604" w:rsidRDefault="00623604" w14:paraId="1823792E" w14:textId="77777777">
      <w:pPr>
        <w:pStyle w:val="NoSpacing"/>
        <w:rPr>
          <w:rFonts w:cs="Calibri"/>
          <w:sz w:val="24"/>
          <w:szCs w:val="24"/>
        </w:rPr>
      </w:pPr>
    </w:p>
    <w:p w:rsidRPr="00202E10" w:rsidR="00623604" w:rsidP="00623604" w:rsidRDefault="00623604" w14:paraId="23ECA3E4" w14:textId="77777777">
      <w:pPr>
        <w:pStyle w:val="NoSpacing"/>
        <w:rPr>
          <w:rFonts w:cs="Calibri"/>
          <w:sz w:val="24"/>
          <w:szCs w:val="24"/>
        </w:rPr>
      </w:pPr>
    </w:p>
    <w:p w:rsidRPr="00202E10" w:rsidR="00623604" w:rsidP="00623604" w:rsidRDefault="00623604" w14:paraId="485834EC" w14:textId="77777777">
      <w:pPr>
        <w:pStyle w:val="NoSpacing"/>
        <w:rPr>
          <w:rFonts w:cs="Calibri"/>
          <w:sz w:val="24"/>
          <w:szCs w:val="24"/>
        </w:rPr>
      </w:pPr>
      <w:r w:rsidRPr="00202E10">
        <w:rPr>
          <w:rFonts w:cs="Calibri"/>
          <w:sz w:val="24"/>
          <w:szCs w:val="24"/>
        </w:rPr>
        <w:t>TOTALS</w:t>
      </w:r>
    </w:p>
    <w:p w:rsidRPr="00202E10" w:rsidR="007F04C0" w:rsidP="00623604" w:rsidRDefault="00623604" w14:paraId="7AF32C6E" w14:textId="77777777">
      <w:pPr>
        <w:pStyle w:val="NoSpacing"/>
        <w:rPr>
          <w:rFonts w:cs="Calibri"/>
          <w:sz w:val="24"/>
          <w:szCs w:val="24"/>
        </w:rPr>
      </w:pPr>
      <w:r w:rsidRPr="00202E10">
        <w:rPr>
          <w:rFonts w:cs="Calibri"/>
          <w:sz w:val="24"/>
          <w:szCs w:val="24"/>
        </w:rPr>
        <w:tab/>
        <w:t>Respondents</w:t>
      </w:r>
      <w:proofErr w:type="gramStart"/>
      <w:r w:rsidRPr="00202E10" w:rsidR="007F04C0">
        <w:rPr>
          <w:rFonts w:cs="Calibri"/>
          <w:sz w:val="24"/>
          <w:szCs w:val="24"/>
        </w:rPr>
        <w:tab/>
        <w:t xml:space="preserve">  7</w:t>
      </w:r>
      <w:proofErr w:type="gramEnd"/>
    </w:p>
    <w:p w:rsidRPr="00202E10" w:rsidR="00623604" w:rsidP="00623604" w:rsidRDefault="007F04C0" w14:paraId="5DFC6AF9" w14:textId="77777777">
      <w:pPr>
        <w:pStyle w:val="NoSpacing"/>
        <w:rPr>
          <w:rFonts w:cs="Calibri"/>
          <w:sz w:val="24"/>
          <w:szCs w:val="24"/>
        </w:rPr>
      </w:pPr>
      <w:r w:rsidRPr="00202E10">
        <w:rPr>
          <w:rFonts w:cs="Calibri"/>
          <w:sz w:val="24"/>
          <w:szCs w:val="24"/>
        </w:rPr>
        <w:tab/>
      </w:r>
      <w:r w:rsidRPr="007F04C0">
        <w:rPr>
          <w:rFonts w:cs="Calibri"/>
          <w:sz w:val="24"/>
          <w:szCs w:val="24"/>
        </w:rPr>
        <w:t>Responses</w:t>
      </w:r>
      <w:proofErr w:type="gramStart"/>
      <w:r w:rsidRPr="00202E10" w:rsidR="00623604">
        <w:rPr>
          <w:rFonts w:cs="Calibri"/>
          <w:sz w:val="24"/>
          <w:szCs w:val="24"/>
        </w:rPr>
        <w:tab/>
      </w:r>
      <w:r w:rsidRPr="00202E10">
        <w:rPr>
          <w:rFonts w:cs="Calibri"/>
          <w:sz w:val="24"/>
          <w:szCs w:val="24"/>
        </w:rPr>
        <w:t xml:space="preserve">  7</w:t>
      </w:r>
      <w:proofErr w:type="gramEnd"/>
    </w:p>
    <w:p w:rsidRPr="00202E10" w:rsidR="00623604" w:rsidP="00623604" w:rsidRDefault="00623604" w14:paraId="37A0CBC4" w14:textId="77777777">
      <w:pPr>
        <w:pStyle w:val="NoSpacing"/>
        <w:rPr>
          <w:rFonts w:cs="Calibri"/>
          <w:sz w:val="24"/>
          <w:szCs w:val="24"/>
        </w:rPr>
      </w:pPr>
      <w:r w:rsidRPr="00202E10">
        <w:rPr>
          <w:rFonts w:cs="Calibri"/>
          <w:sz w:val="24"/>
          <w:szCs w:val="24"/>
        </w:rPr>
        <w:tab/>
        <w:t>Burden Hours</w:t>
      </w:r>
      <w:r w:rsidRPr="00202E10">
        <w:rPr>
          <w:rFonts w:cs="Calibri"/>
          <w:sz w:val="24"/>
          <w:szCs w:val="24"/>
        </w:rPr>
        <w:tab/>
      </w:r>
      <w:r w:rsidRPr="00202E10" w:rsidR="007F04C0">
        <w:rPr>
          <w:rFonts w:cs="Calibri"/>
          <w:sz w:val="24"/>
          <w:szCs w:val="24"/>
        </w:rPr>
        <w:t>28</w:t>
      </w:r>
    </w:p>
    <w:p w:rsidRPr="00202E10" w:rsidR="00623604" w:rsidP="00623604" w:rsidRDefault="00623604" w14:paraId="2EB5FAF7" w14:textId="77777777">
      <w:pPr>
        <w:spacing w:after="0" w:line="240" w:lineRule="auto"/>
        <w:rPr>
          <w:rFonts w:cs="Calibri"/>
          <w:sz w:val="24"/>
          <w:szCs w:val="24"/>
        </w:rPr>
      </w:pPr>
    </w:p>
    <w:p w:rsidRPr="00202E10" w:rsidR="00B36517" w:rsidP="00623604" w:rsidRDefault="00B36517" w14:paraId="1669AAA1" w14:textId="77777777">
      <w:pPr>
        <w:rPr>
          <w:rFonts w:cs="Calibri"/>
          <w:sz w:val="24"/>
          <w:szCs w:val="24"/>
        </w:rPr>
      </w:pPr>
    </w:p>
    <w:sectPr w:rsidRPr="00202E10" w:rsidR="00B365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E13B" w14:textId="77777777" w:rsidR="00202E10" w:rsidRDefault="00202E10" w:rsidP="00C50755">
      <w:pPr>
        <w:spacing w:after="0" w:line="240" w:lineRule="auto"/>
      </w:pPr>
      <w:r>
        <w:separator/>
      </w:r>
    </w:p>
  </w:endnote>
  <w:endnote w:type="continuationSeparator" w:id="0">
    <w:p w14:paraId="255FE4D4" w14:textId="77777777" w:rsidR="00202E10" w:rsidRDefault="00202E10"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8E3E" w14:textId="77777777" w:rsidR="00202E10" w:rsidRDefault="00202E10" w:rsidP="00C50755">
      <w:pPr>
        <w:spacing w:after="0" w:line="240" w:lineRule="auto"/>
      </w:pPr>
      <w:r>
        <w:separator/>
      </w:r>
    </w:p>
  </w:footnote>
  <w:footnote w:type="continuationSeparator" w:id="0">
    <w:p w14:paraId="0B110C26" w14:textId="77777777" w:rsidR="00202E10" w:rsidRDefault="00202E10"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C7BE"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7F04C0">
      <w:rPr>
        <w:rFonts w:ascii="Times New Roman" w:hAnsi="Times New Roman"/>
        <w:sz w:val="20"/>
        <w:szCs w:val="20"/>
      </w:rPr>
      <w:t>New</w:t>
    </w:r>
    <w:r w:rsidR="00C50755" w:rsidRPr="00623604">
      <w:rPr>
        <w:rFonts w:ascii="Times New Roman" w:hAnsi="Times New Roman"/>
        <w:sz w:val="20"/>
        <w:szCs w:val="20"/>
      </w:rPr>
      <w:t xml:space="preserve"> – Affected </w:t>
    </w:r>
    <w:r w:rsidR="007F04C0">
      <w:rPr>
        <w:rFonts w:ascii="Times New Roman" w:hAnsi="Times New Roman"/>
        <w:sz w:val="20"/>
        <w:szCs w:val="20"/>
      </w:rPr>
      <w:t>Entity</w:t>
    </w:r>
    <w:r w:rsidR="00C50755" w:rsidRPr="00623604">
      <w:rPr>
        <w:rFonts w:ascii="Times New Roman" w:hAnsi="Times New Roman"/>
        <w:sz w:val="20"/>
        <w:szCs w:val="20"/>
      </w:rPr>
      <w:t xml:space="preserve">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CC2AA3" w:rsidRPr="00623604">
      <w:rPr>
        <w:rFonts w:ascii="Times New Roman" w:hAnsi="Times New Roman"/>
        <w:sz w:val="20"/>
        <w:szCs w:val="20"/>
      </w:rPr>
      <w:t>For-Profit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7F04C0">
      <w:rPr>
        <w:rFonts w:ascii="Times New Roman" w:hAnsi="Times New Roman"/>
        <w:sz w:val="20"/>
        <w:szCs w:val="20"/>
      </w:rPr>
      <w:tab/>
      <w:t>7/26/2022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43B77"/>
    <w:rsid w:val="00151CC7"/>
    <w:rsid w:val="00177EFF"/>
    <w:rsid w:val="001970AD"/>
    <w:rsid w:val="00202E10"/>
    <w:rsid w:val="00482525"/>
    <w:rsid w:val="00557675"/>
    <w:rsid w:val="00623604"/>
    <w:rsid w:val="006C2F85"/>
    <w:rsid w:val="007A1500"/>
    <w:rsid w:val="007F04C0"/>
    <w:rsid w:val="00926062"/>
    <w:rsid w:val="00992CC3"/>
    <w:rsid w:val="00B16783"/>
    <w:rsid w:val="00B36517"/>
    <w:rsid w:val="00B67445"/>
    <w:rsid w:val="00B81F78"/>
    <w:rsid w:val="00C22F7B"/>
    <w:rsid w:val="00C50755"/>
    <w:rsid w:val="00C65831"/>
    <w:rsid w:val="00CC2AA3"/>
    <w:rsid w:val="00DB3DD2"/>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33DA21"/>
  <w15:chartTrackingRefBased/>
  <w15:docId w15:val="{F87612BE-66B4-4601-AABB-948EDACF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BodyText">
    <w:name w:val="Body Text"/>
    <w:basedOn w:val="Normal"/>
    <w:link w:val="BodyTextChar"/>
    <w:uiPriority w:val="99"/>
    <w:semiHidden/>
    <w:unhideWhenUsed/>
    <w:rsid w:val="007F04C0"/>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7F04C0"/>
    <w:rPr>
      <w:rFonts w:ascii="Courier" w:eastAsia="Times New Roman" w:hAnsi="Courier"/>
      <w:sz w:val="24"/>
    </w:rPr>
  </w:style>
  <w:style w:type="character" w:styleId="Hyperlink">
    <w:name w:val="Hyperlink"/>
    <w:uiPriority w:val="99"/>
    <w:rsid w:val="007F0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o.gov/products/gao-21-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1668</CharactersWithSpaces>
  <SharedDoc>false</SharedDoc>
  <HLinks>
    <vt:vector size="6" baseType="variant">
      <vt:variant>
        <vt:i4>7274541</vt:i4>
      </vt:variant>
      <vt:variant>
        <vt:i4>0</vt:i4>
      </vt:variant>
      <vt:variant>
        <vt:i4>0</vt:i4>
      </vt:variant>
      <vt:variant>
        <vt:i4>5</vt:i4>
      </vt:variant>
      <vt:variant>
        <vt:lpwstr>https://www.gao.gov/products/gao-21-89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2022-07-27T18:01:00Z</dcterms:created>
  <dcterms:modified xsi:type="dcterms:W3CDTF">2022-07-27T18:01:00Z</dcterms:modified>
</cp:coreProperties>
</file>