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3321" w:rsidP="00E75E40" w:rsidRDefault="00FB3321" w14:paraId="60A6A5D5" w14:textId="77777777">
      <w:pPr>
        <w:pStyle w:val="NoSpacing"/>
        <w:jc w:val="center"/>
        <w:rPr>
          <w:b/>
          <w:sz w:val="32"/>
          <w:szCs w:val="32"/>
        </w:rPr>
      </w:pPr>
    </w:p>
    <w:p w:rsidR="00FB3321" w:rsidP="00E75E40" w:rsidRDefault="00FB3321" w14:paraId="283631E0" w14:textId="77777777">
      <w:pPr>
        <w:pStyle w:val="NoSpacing"/>
        <w:jc w:val="center"/>
        <w:rPr>
          <w:b/>
          <w:sz w:val="32"/>
          <w:szCs w:val="32"/>
        </w:rPr>
      </w:pPr>
    </w:p>
    <w:p w:rsidR="00FB3321" w:rsidP="00E75E40" w:rsidRDefault="00FB3321" w14:paraId="0070FFF8" w14:textId="77777777">
      <w:pPr>
        <w:pStyle w:val="NoSpacing"/>
        <w:jc w:val="center"/>
        <w:rPr>
          <w:b/>
          <w:sz w:val="32"/>
          <w:szCs w:val="32"/>
        </w:rPr>
      </w:pPr>
    </w:p>
    <w:p w:rsidR="00FB3321" w:rsidP="00E75E40" w:rsidRDefault="00FB3321" w14:paraId="6A17668E" w14:textId="77777777">
      <w:pPr>
        <w:pStyle w:val="NoSpacing"/>
        <w:jc w:val="center"/>
        <w:rPr>
          <w:b/>
          <w:sz w:val="32"/>
          <w:szCs w:val="32"/>
        </w:rPr>
      </w:pPr>
    </w:p>
    <w:p w:rsidR="00FB3321" w:rsidP="00E75E40" w:rsidRDefault="00FB3321" w14:paraId="352E7DB3" w14:textId="77777777">
      <w:pPr>
        <w:pStyle w:val="NoSpacing"/>
        <w:jc w:val="center"/>
        <w:rPr>
          <w:b/>
          <w:sz w:val="32"/>
          <w:szCs w:val="32"/>
        </w:rPr>
      </w:pPr>
    </w:p>
    <w:p w:rsidR="00FB3321" w:rsidP="00E75E40" w:rsidRDefault="00FB3321" w14:paraId="30A41172" w14:textId="77777777">
      <w:pPr>
        <w:pStyle w:val="NoSpacing"/>
        <w:jc w:val="center"/>
        <w:rPr>
          <w:b/>
          <w:sz w:val="32"/>
          <w:szCs w:val="32"/>
        </w:rPr>
      </w:pPr>
    </w:p>
    <w:p w:rsidR="00FB3321" w:rsidP="00E75E40" w:rsidRDefault="00FB3321" w14:paraId="6502CFFA" w14:textId="77777777">
      <w:pPr>
        <w:pStyle w:val="NoSpacing"/>
        <w:jc w:val="center"/>
        <w:rPr>
          <w:b/>
          <w:sz w:val="32"/>
          <w:szCs w:val="32"/>
        </w:rPr>
      </w:pPr>
    </w:p>
    <w:p w:rsidR="00FB3321" w:rsidP="00E75E40" w:rsidRDefault="00FB3321" w14:paraId="4857706D" w14:textId="77777777">
      <w:pPr>
        <w:pStyle w:val="NoSpacing"/>
        <w:jc w:val="center"/>
        <w:rPr>
          <w:b/>
          <w:sz w:val="32"/>
          <w:szCs w:val="32"/>
        </w:rPr>
      </w:pPr>
    </w:p>
    <w:p w:rsidR="00FB3321" w:rsidP="00E75E40" w:rsidRDefault="00FB3321" w14:paraId="35E00827" w14:textId="77777777">
      <w:pPr>
        <w:pStyle w:val="NoSpacing"/>
        <w:jc w:val="center"/>
        <w:rPr>
          <w:b/>
          <w:sz w:val="32"/>
          <w:szCs w:val="32"/>
        </w:rPr>
      </w:pPr>
    </w:p>
    <w:p w:rsidR="00FB3321" w:rsidP="00E75E40" w:rsidRDefault="00FB3321" w14:paraId="5E747A0A" w14:textId="77777777">
      <w:pPr>
        <w:pStyle w:val="NoSpacing"/>
        <w:jc w:val="center"/>
        <w:rPr>
          <w:b/>
          <w:sz w:val="32"/>
          <w:szCs w:val="32"/>
        </w:rPr>
      </w:pPr>
    </w:p>
    <w:p w:rsidR="00FB3321" w:rsidP="00E75E40" w:rsidRDefault="00FB3321" w14:paraId="4163EC59" w14:textId="77777777">
      <w:pPr>
        <w:pStyle w:val="NoSpacing"/>
        <w:jc w:val="center"/>
        <w:rPr>
          <w:b/>
          <w:sz w:val="32"/>
          <w:szCs w:val="32"/>
        </w:rPr>
      </w:pPr>
    </w:p>
    <w:p w:rsidRPr="00FB3321" w:rsidR="00FB3321" w:rsidP="00E75E40" w:rsidRDefault="00FB3321" w14:paraId="0880D8FC" w14:textId="77777777">
      <w:pPr>
        <w:pStyle w:val="NoSpacing"/>
        <w:jc w:val="center"/>
        <w:rPr>
          <w:b/>
          <w:sz w:val="44"/>
          <w:szCs w:val="44"/>
        </w:rPr>
      </w:pPr>
    </w:p>
    <w:p w:rsidRPr="00FB3321" w:rsidR="00E75E40" w:rsidP="00E75E40" w:rsidRDefault="00E75E40" w14:paraId="5267F3BD" w14:textId="316EF384">
      <w:pPr>
        <w:pStyle w:val="NoSpacing"/>
        <w:jc w:val="center"/>
        <w:rPr>
          <w:b/>
          <w:sz w:val="44"/>
          <w:szCs w:val="44"/>
        </w:rPr>
      </w:pPr>
      <w:r w:rsidRPr="00FB3321">
        <w:rPr>
          <w:b/>
          <w:sz w:val="44"/>
          <w:szCs w:val="44"/>
        </w:rPr>
        <w:t xml:space="preserve">Coronavirus Capital Projects Fund </w:t>
      </w:r>
    </w:p>
    <w:p w:rsidRPr="00FB3321" w:rsidR="00E75E40" w:rsidP="00E75E40" w:rsidRDefault="00E75E40" w14:paraId="78FE6C01" w14:textId="77777777">
      <w:pPr>
        <w:pStyle w:val="NoSpacing"/>
        <w:jc w:val="center"/>
        <w:rPr>
          <w:b/>
          <w:sz w:val="44"/>
          <w:szCs w:val="44"/>
        </w:rPr>
      </w:pPr>
      <w:r w:rsidRPr="00FB3321">
        <w:rPr>
          <w:b/>
          <w:sz w:val="44"/>
          <w:szCs w:val="44"/>
        </w:rPr>
        <w:t>Compliance and Reporting Guidance</w:t>
      </w:r>
    </w:p>
    <w:p w:rsidRPr="00FB3321" w:rsidR="00E75E40" w:rsidP="00E75E40" w:rsidRDefault="00E75E40" w14:paraId="5382541B" w14:textId="6617E890">
      <w:pPr>
        <w:pStyle w:val="NoSpacing"/>
        <w:jc w:val="center"/>
        <w:rPr>
          <w:b/>
          <w:sz w:val="44"/>
          <w:szCs w:val="44"/>
        </w:rPr>
      </w:pPr>
      <w:r w:rsidRPr="00FB3321">
        <w:rPr>
          <w:b/>
          <w:sz w:val="44"/>
          <w:szCs w:val="44"/>
        </w:rPr>
        <w:t>For States, Territories, and Freely Associated States</w:t>
      </w:r>
    </w:p>
    <w:p w:rsidR="00E75E40" w:rsidP="00E75E40" w:rsidRDefault="00E75E40" w14:paraId="3E41CD14" w14:textId="7D656043">
      <w:pPr>
        <w:pStyle w:val="NoSpacing"/>
        <w:jc w:val="center"/>
        <w:rPr>
          <w:b/>
          <w:sz w:val="32"/>
          <w:szCs w:val="32"/>
        </w:rPr>
      </w:pPr>
    </w:p>
    <w:p w:rsidRPr="00FB3321" w:rsidR="00E75E40" w:rsidP="00E75E40" w:rsidRDefault="00E75E40" w14:paraId="352AEF0A" w14:textId="72C20E5D">
      <w:pPr>
        <w:pStyle w:val="NoSpacing"/>
        <w:jc w:val="center"/>
        <w:rPr>
          <w:bCs/>
          <w:i/>
          <w:iCs/>
          <w:sz w:val="32"/>
          <w:szCs w:val="32"/>
        </w:rPr>
      </w:pPr>
      <w:r w:rsidRPr="00FB3321">
        <w:rPr>
          <w:bCs/>
          <w:i/>
          <w:iCs/>
          <w:sz w:val="32"/>
          <w:szCs w:val="32"/>
        </w:rPr>
        <w:t xml:space="preserve">Draft </w:t>
      </w:r>
    </w:p>
    <w:p w:rsidRPr="00FB3321" w:rsidR="00E75E40" w:rsidP="00E75E40" w:rsidRDefault="00BC240F" w14:paraId="79F173AE" w14:textId="19AE04CB">
      <w:pPr>
        <w:pStyle w:val="NoSpacing"/>
        <w:jc w:val="center"/>
        <w:rPr>
          <w:bCs/>
          <w:i/>
          <w:iCs/>
          <w:sz w:val="32"/>
          <w:szCs w:val="32"/>
        </w:rPr>
      </w:pPr>
      <w:r>
        <w:rPr>
          <w:bCs/>
          <w:i/>
          <w:iCs/>
          <w:sz w:val="32"/>
          <w:szCs w:val="32"/>
        </w:rPr>
        <w:t>July</w:t>
      </w:r>
      <w:r w:rsidRPr="00FB3321">
        <w:rPr>
          <w:bCs/>
          <w:i/>
          <w:iCs/>
          <w:sz w:val="32"/>
          <w:szCs w:val="32"/>
        </w:rPr>
        <w:t xml:space="preserve"> </w:t>
      </w:r>
      <w:r w:rsidRPr="00FB3321" w:rsidR="00E75E40">
        <w:rPr>
          <w:bCs/>
          <w:i/>
          <w:iCs/>
          <w:sz w:val="32"/>
          <w:szCs w:val="32"/>
        </w:rPr>
        <w:t>2022</w:t>
      </w:r>
    </w:p>
    <w:p w:rsidRPr="00FB3321" w:rsidR="00E75E40" w:rsidRDefault="00E75E40" w14:paraId="43EE35A0" w14:textId="77777777">
      <w:pPr>
        <w:rPr>
          <w:bCs/>
          <w:i/>
          <w:iCs/>
          <w:sz w:val="36"/>
          <w:szCs w:val="36"/>
        </w:rPr>
      </w:pPr>
      <w:r w:rsidRPr="00FB3321">
        <w:rPr>
          <w:bCs/>
          <w:i/>
          <w:iCs/>
          <w:sz w:val="36"/>
          <w:szCs w:val="36"/>
        </w:rPr>
        <w:br w:type="page"/>
      </w:r>
    </w:p>
    <w:p w:rsidR="00DB2325" w:rsidP="00666FD1" w:rsidRDefault="00DB2325" w14:paraId="22F84720" w14:textId="77777777">
      <w:pPr>
        <w:pStyle w:val="NoSpacing"/>
        <w:rPr>
          <w:b/>
          <w:bCs/>
          <w:sz w:val="36"/>
          <w:szCs w:val="36"/>
        </w:rPr>
        <w:sectPr w:rsidR="00DB2325" w:rsidSect="00F47C7C">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p w:rsidR="005654EF" w:rsidP="007A473F" w:rsidRDefault="005F46B3" w14:paraId="18917530" w14:textId="420FDA42">
      <w:pPr>
        <w:pStyle w:val="NoSpacing"/>
        <w:jc w:val="center"/>
        <w:sectPr w:rsidR="005654EF" w:rsidSect="00B36E30">
          <w:type w:val="continuous"/>
          <w:pgSz w:w="11906" w:h="16838"/>
          <w:pgMar w:top="1440" w:right="1440" w:bottom="1440" w:left="1440" w:header="708" w:footer="708" w:gutter="0"/>
          <w:pgNumType w:start="0"/>
          <w:cols w:space="708"/>
          <w:titlePg/>
          <w:docGrid w:linePitch="360"/>
        </w:sectPr>
      </w:pPr>
      <w:r w:rsidRPr="005F46B3">
        <w:rPr>
          <w:rFonts w:ascii="Times New Roman" w:hAnsi="Times New Roman" w:eastAsia="MS Mincho" w:cs="Times New Roman"/>
          <w:noProof/>
          <w:sz w:val="24"/>
          <w:szCs w:val="24"/>
        </w:rPr>
        <w:lastRenderedPageBreak/>
        <mc:AlternateContent>
          <mc:Choice Requires="wps">
            <w:drawing>
              <wp:anchor distT="0" distB="0" distL="114300" distR="114300" simplePos="0" relativeHeight="251658240" behindDoc="0" locked="0" layoutInCell="1" allowOverlap="1" wp14:editId="7DC62DD9" wp14:anchorId="5930C029">
                <wp:simplePos x="0" y="0"/>
                <wp:positionH relativeFrom="column">
                  <wp:posOffset>4124325</wp:posOffset>
                </wp:positionH>
                <wp:positionV relativeFrom="paragraph">
                  <wp:posOffset>8848725</wp:posOffset>
                </wp:positionV>
                <wp:extent cx="2393315" cy="779780"/>
                <wp:effectExtent l="0" t="0" r="0" b="1270"/>
                <wp:wrapNone/>
                <wp:docPr id="4" name="Text Box 4"/>
                <wp:cNvGraphicFramePr/>
                <a:graphic xmlns:a="http://schemas.openxmlformats.org/drawingml/2006/main">
                  <a:graphicData uri="http://schemas.microsoft.com/office/word/2010/wordprocessingShape">
                    <wps:wsp>
                      <wps:cNvSpPr txBox="1"/>
                      <wps:spPr>
                        <a:xfrm>
                          <a:off x="0" y="0"/>
                          <a:ext cx="2393315" cy="779780"/>
                        </a:xfrm>
                        <a:prstGeom prst="rect">
                          <a:avLst/>
                        </a:prstGeom>
                        <a:noFill/>
                        <a:ln w="6350">
                          <a:noFill/>
                        </a:ln>
                      </wps:spPr>
                      <wps:txbx>
                        <w:txbxContent>
                          <w:p w:rsidR="00BE15FF" w:rsidP="005F46B3" w:rsidRDefault="00BE15FF" w14:paraId="17446763" w14:textId="77777777">
                            <w:pPr>
                              <w:spacing w:line="360" w:lineRule="auto"/>
                              <w:jc w:val="right"/>
                              <w:rPr>
                                <w:rFonts w:ascii="Times New Roman" w:hAnsi="Times New Roman"/>
                                <w:b/>
                                <w:i/>
                                <w:color w:val="FFFFFF"/>
                                <w:sz w:val="30"/>
                                <w:szCs w:val="30"/>
                              </w:rPr>
                            </w:pPr>
                          </w:p>
                          <w:p w:rsidR="00BE15FF" w:rsidP="005F46B3" w:rsidRDefault="00BE15FF" w14:paraId="2BA3FD27" w14:textId="77777777">
                            <w:pPr>
                              <w:spacing w:line="360" w:lineRule="auto"/>
                              <w:jc w:val="right"/>
                              <w:rPr>
                                <w:rFonts w:ascii="Times New Roman" w:hAnsi="Times New Roman"/>
                                <w:b/>
                                <w:i/>
                                <w:color w:val="FFFFFF"/>
                                <w:sz w:val="30"/>
                                <w:szCs w:val="30"/>
                              </w:rPr>
                            </w:pPr>
                          </w:p>
                          <w:p w:rsidR="00BE15FF" w:rsidP="005F46B3" w:rsidRDefault="00BE15FF" w14:paraId="4ABB27DA" w14:textId="77777777">
                            <w:pPr>
                              <w:spacing w:line="360" w:lineRule="auto"/>
                              <w:jc w:val="right"/>
                              <w:rPr>
                                <w:rFonts w:ascii="Times New Roman" w:hAnsi="Times New Roman"/>
                                <w:b/>
                                <w:i/>
                                <w:color w:val="FFFFFF"/>
                                <w:sz w:val="30"/>
                                <w:szCs w:val="30"/>
                              </w:rPr>
                            </w:pPr>
                          </w:p>
                          <w:p w:rsidRPr="005F46B3" w:rsidR="00BE15FF" w:rsidP="005F46B3" w:rsidRDefault="00BE15FF" w14:paraId="30DF594D" w14:textId="4D337924">
                            <w:pPr>
                              <w:spacing w:line="360" w:lineRule="auto"/>
                              <w:jc w:val="right"/>
                              <w:rPr>
                                <w:rFonts w:ascii="Times New Roman" w:hAnsi="Times New Roman"/>
                                <w:b/>
                                <w:i/>
                                <w:color w:val="FFFFFF"/>
                                <w:sz w:val="30"/>
                                <w:szCs w:val="30"/>
                              </w:rPr>
                            </w:pPr>
                            <w:r>
                              <w:rPr>
                                <w:rFonts w:ascii="Times New Roman" w:hAnsi="Times New Roman"/>
                                <w:b/>
                                <w:i/>
                                <w:color w:val="FFFFFF"/>
                                <w:sz w:val="30"/>
                                <w:szCs w:val="30"/>
                              </w:rPr>
                              <w:t xml:space="preserve"> XX, 2</w:t>
                            </w:r>
                            <w:r w:rsidRPr="005F46B3">
                              <w:rPr>
                                <w:rFonts w:ascii="Times New Roman" w:hAnsi="Times New Roman"/>
                                <w:b/>
                                <w:i/>
                                <w:color w:val="FFFFFF"/>
                                <w:sz w:val="30"/>
                                <w:szCs w:val="30"/>
                              </w:rPr>
                              <w:t>022</w:t>
                            </w:r>
                          </w:p>
                          <w:p w:rsidRPr="005F46B3" w:rsidR="00BE15FF" w:rsidP="005F46B3" w:rsidRDefault="00BE15FF" w14:paraId="0371B60B" w14:textId="174238AF">
                            <w:pPr>
                              <w:spacing w:line="360" w:lineRule="auto"/>
                              <w:jc w:val="right"/>
                              <w:rPr>
                                <w:rFonts w:ascii="Times New Roman" w:hAnsi="Times New Roman"/>
                                <w:b/>
                                <w:i/>
                                <w:color w:val="FFFFFF"/>
                                <w:sz w:val="30"/>
                                <w:szCs w:val="30"/>
                              </w:rPr>
                            </w:pPr>
                            <w:r w:rsidRPr="005F46B3">
                              <w:rPr>
                                <w:rFonts w:ascii="Times New Roman" w:hAnsi="Times New Roman"/>
                                <w:b/>
                                <w:i/>
                                <w:color w:val="FFFFFF"/>
                                <w:sz w:val="30"/>
                                <w:szCs w:val="30"/>
                              </w:rPr>
                              <w:t>Version: 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930C029">
                <v:stroke joinstyle="miter"/>
                <v:path gradientshapeok="t" o:connecttype="rect"/>
              </v:shapetype>
              <v:shape id="Text Box 4" style="position:absolute;left:0;text-align:left;margin-left:324.75pt;margin-top:696.75pt;width:188.45pt;height:6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">
                <v:textbox>
                  <w:txbxContent>
                    <w:p w:rsidR="00BE15FF" w:rsidP="005F46B3" w:rsidRDefault="00BE15FF" w14:paraId="17446763" w14:textId="77777777">
                      <w:pPr>
                        <w:spacing w:line="360" w:lineRule="auto"/>
                        <w:jc w:val="right"/>
                        <w:rPr>
                          <w:rFonts w:ascii="Times New Roman" w:hAnsi="Times New Roman"/>
                          <w:b/>
                          <w:i/>
                          <w:color w:val="FFFFFF"/>
                          <w:sz w:val="30"/>
                          <w:szCs w:val="30"/>
                        </w:rPr>
                      </w:pPr>
                    </w:p>
                    <w:p w:rsidR="00BE15FF" w:rsidP="005F46B3" w:rsidRDefault="00BE15FF" w14:paraId="2BA3FD27" w14:textId="77777777">
                      <w:pPr>
                        <w:spacing w:line="360" w:lineRule="auto"/>
                        <w:jc w:val="right"/>
                        <w:rPr>
                          <w:rFonts w:ascii="Times New Roman" w:hAnsi="Times New Roman"/>
                          <w:b/>
                          <w:i/>
                          <w:color w:val="FFFFFF"/>
                          <w:sz w:val="30"/>
                          <w:szCs w:val="30"/>
                        </w:rPr>
                      </w:pPr>
                    </w:p>
                    <w:p w:rsidR="00BE15FF" w:rsidP="005F46B3" w:rsidRDefault="00BE15FF" w14:paraId="4ABB27DA" w14:textId="77777777">
                      <w:pPr>
                        <w:spacing w:line="360" w:lineRule="auto"/>
                        <w:jc w:val="right"/>
                        <w:rPr>
                          <w:rFonts w:ascii="Times New Roman" w:hAnsi="Times New Roman"/>
                          <w:b/>
                          <w:i/>
                          <w:color w:val="FFFFFF"/>
                          <w:sz w:val="30"/>
                          <w:szCs w:val="30"/>
                        </w:rPr>
                      </w:pPr>
                    </w:p>
                    <w:p w:rsidRPr="005F46B3" w:rsidR="00BE15FF" w:rsidP="005F46B3" w:rsidRDefault="00BE15FF" w14:paraId="30DF594D" w14:textId="4D337924">
                      <w:pPr>
                        <w:spacing w:line="360" w:lineRule="auto"/>
                        <w:jc w:val="right"/>
                        <w:rPr>
                          <w:rFonts w:ascii="Times New Roman" w:hAnsi="Times New Roman"/>
                          <w:b/>
                          <w:i/>
                          <w:color w:val="FFFFFF"/>
                          <w:sz w:val="30"/>
                          <w:szCs w:val="30"/>
                        </w:rPr>
                      </w:pPr>
                      <w:r>
                        <w:rPr>
                          <w:rFonts w:ascii="Times New Roman" w:hAnsi="Times New Roman"/>
                          <w:b/>
                          <w:i/>
                          <w:color w:val="FFFFFF"/>
                          <w:sz w:val="30"/>
                          <w:szCs w:val="30"/>
                        </w:rPr>
                        <w:t xml:space="preserve"> XX, 2</w:t>
                      </w:r>
                      <w:r w:rsidRPr="005F46B3">
                        <w:rPr>
                          <w:rFonts w:ascii="Times New Roman" w:hAnsi="Times New Roman"/>
                          <w:b/>
                          <w:i/>
                          <w:color w:val="FFFFFF"/>
                          <w:sz w:val="30"/>
                          <w:szCs w:val="30"/>
                        </w:rPr>
                        <w:t>022</w:t>
                      </w:r>
                    </w:p>
                    <w:p w:rsidRPr="005F46B3" w:rsidR="00BE15FF" w:rsidP="005F46B3" w:rsidRDefault="00BE15FF" w14:paraId="0371B60B" w14:textId="174238AF">
                      <w:pPr>
                        <w:spacing w:line="360" w:lineRule="auto"/>
                        <w:jc w:val="right"/>
                        <w:rPr>
                          <w:rFonts w:ascii="Times New Roman" w:hAnsi="Times New Roman"/>
                          <w:b/>
                          <w:i/>
                          <w:color w:val="FFFFFF"/>
                          <w:sz w:val="30"/>
                          <w:szCs w:val="30"/>
                        </w:rPr>
                      </w:pPr>
                      <w:r w:rsidRPr="005F46B3">
                        <w:rPr>
                          <w:rFonts w:ascii="Times New Roman" w:hAnsi="Times New Roman"/>
                          <w:b/>
                          <w:i/>
                          <w:color w:val="FFFFFF"/>
                          <w:sz w:val="30"/>
                          <w:szCs w:val="30"/>
                        </w:rPr>
                        <w:t>Version: 1</w:t>
                      </w:r>
                    </w:p>
                  </w:txbxContent>
                </v:textbox>
              </v:shape>
            </w:pict>
          </mc:Fallback>
        </mc:AlternateContent>
      </w:r>
    </w:p>
    <w:sdt>
      <w:sdtPr>
        <w:rPr>
          <w:rFonts w:asciiTheme="minorHAnsi" w:hAnsiTheme="minorHAnsi" w:eastAsiaTheme="minorHAnsi" w:cstheme="minorBidi"/>
          <w:color w:val="auto"/>
          <w:sz w:val="22"/>
          <w:szCs w:val="22"/>
        </w:rPr>
        <w:id w:val="-2056542131"/>
        <w:docPartObj>
          <w:docPartGallery w:val="Table of Contents"/>
          <w:docPartUnique/>
        </w:docPartObj>
      </w:sdtPr>
      <w:sdtEndPr>
        <w:rPr>
          <w:b/>
          <w:bCs/>
          <w:noProof/>
        </w:rPr>
      </w:sdtEndPr>
      <w:sdtContent>
        <w:p w:rsidRPr="00B36E30" w:rsidR="00F71BE3" w:rsidRDefault="00F71BE3" w14:paraId="208E0592" w14:textId="7557C1E1">
          <w:pPr>
            <w:pStyle w:val="TOCHeading"/>
            <w:rPr>
              <w:color w:val="002060"/>
            </w:rPr>
          </w:pPr>
          <w:r w:rsidRPr="00B36E30">
            <w:rPr>
              <w:color w:val="002060"/>
            </w:rPr>
            <w:t>Table of Contents</w:t>
          </w:r>
        </w:p>
        <w:p w:rsidR="00E75E40" w:rsidRDefault="00F71BE3" w14:paraId="3E61631D" w14:textId="1A38A6F2">
          <w:pPr>
            <w:pStyle w:val="TOC1"/>
            <w:rPr>
              <w:rFonts w:cstheme="minorBidi"/>
              <w:noProof/>
            </w:rPr>
          </w:pPr>
          <w:r>
            <w:fldChar w:fldCharType="begin"/>
          </w:r>
          <w:r>
            <w:instrText xml:space="preserve"> TOC \o "1-3" \h \z \u </w:instrText>
          </w:r>
          <w:r>
            <w:fldChar w:fldCharType="separate"/>
          </w:r>
          <w:hyperlink w:history="1" w:anchor="_Toc102719952">
            <w:r w:rsidRPr="00694148" w:rsidR="00E75E40">
              <w:rPr>
                <w:rStyle w:val="Hyperlink"/>
                <w:noProof/>
              </w:rPr>
              <w:t>Part 1: Introduction</w:t>
            </w:r>
            <w:r w:rsidR="00E75E40">
              <w:rPr>
                <w:noProof/>
                <w:webHidden/>
              </w:rPr>
              <w:tab/>
            </w:r>
            <w:r w:rsidR="00E75E40">
              <w:rPr>
                <w:noProof/>
                <w:webHidden/>
              </w:rPr>
              <w:fldChar w:fldCharType="begin"/>
            </w:r>
            <w:r w:rsidR="00E75E40">
              <w:rPr>
                <w:noProof/>
                <w:webHidden/>
              </w:rPr>
              <w:instrText xml:space="preserve"> PAGEREF _Toc102719952 \h </w:instrText>
            </w:r>
            <w:r w:rsidR="00E75E40">
              <w:rPr>
                <w:noProof/>
                <w:webHidden/>
              </w:rPr>
            </w:r>
            <w:r w:rsidR="00E75E40">
              <w:rPr>
                <w:noProof/>
                <w:webHidden/>
              </w:rPr>
              <w:fldChar w:fldCharType="separate"/>
            </w:r>
            <w:r w:rsidR="00E75E40">
              <w:rPr>
                <w:noProof/>
                <w:webHidden/>
              </w:rPr>
              <w:t>1</w:t>
            </w:r>
            <w:r w:rsidR="00E75E40">
              <w:rPr>
                <w:noProof/>
                <w:webHidden/>
              </w:rPr>
              <w:fldChar w:fldCharType="end"/>
            </w:r>
          </w:hyperlink>
        </w:p>
        <w:p w:rsidR="00E75E40" w:rsidRDefault="009628D2" w14:paraId="39242A33" w14:textId="40E6C921">
          <w:pPr>
            <w:pStyle w:val="TOC1"/>
            <w:rPr>
              <w:rFonts w:cstheme="minorBidi"/>
              <w:noProof/>
            </w:rPr>
          </w:pPr>
          <w:hyperlink w:history="1" w:anchor="_Toc102719953">
            <w:r w:rsidRPr="00694148" w:rsidR="00E75E40">
              <w:rPr>
                <w:rStyle w:val="Hyperlink"/>
                <w:noProof/>
              </w:rPr>
              <w:t>Part 2: Reporting Requirements</w:t>
            </w:r>
            <w:r w:rsidR="00E75E40">
              <w:rPr>
                <w:noProof/>
                <w:webHidden/>
              </w:rPr>
              <w:tab/>
            </w:r>
            <w:r w:rsidR="00E75E40">
              <w:rPr>
                <w:noProof/>
                <w:webHidden/>
              </w:rPr>
              <w:fldChar w:fldCharType="begin"/>
            </w:r>
            <w:r w:rsidR="00E75E40">
              <w:rPr>
                <w:noProof/>
                <w:webHidden/>
              </w:rPr>
              <w:instrText xml:space="preserve"> PAGEREF _Toc102719953 \h </w:instrText>
            </w:r>
            <w:r w:rsidR="00E75E40">
              <w:rPr>
                <w:noProof/>
                <w:webHidden/>
              </w:rPr>
            </w:r>
            <w:r w:rsidR="00E75E40">
              <w:rPr>
                <w:noProof/>
                <w:webHidden/>
              </w:rPr>
              <w:fldChar w:fldCharType="separate"/>
            </w:r>
            <w:r w:rsidR="00E75E40">
              <w:rPr>
                <w:noProof/>
                <w:webHidden/>
              </w:rPr>
              <w:t>2</w:t>
            </w:r>
            <w:r w:rsidR="00E75E40">
              <w:rPr>
                <w:noProof/>
                <w:webHidden/>
              </w:rPr>
              <w:fldChar w:fldCharType="end"/>
            </w:r>
          </w:hyperlink>
        </w:p>
        <w:p w:rsidR="00E75E40" w:rsidRDefault="009628D2" w14:paraId="3B73B820" w14:textId="0940EF59">
          <w:pPr>
            <w:pStyle w:val="TOC3"/>
            <w:rPr>
              <w:rFonts w:eastAsiaTheme="minorEastAsia"/>
              <w:noProof/>
            </w:rPr>
          </w:pPr>
          <w:hyperlink w:history="1" w:anchor="_Toc102719954">
            <w:r w:rsidRPr="00694148" w:rsidR="00E75E40">
              <w:rPr>
                <w:rStyle w:val="Hyperlink"/>
                <w:noProof/>
              </w:rPr>
              <w:t>A.</w:t>
            </w:r>
            <w:r w:rsidR="00E75E40">
              <w:rPr>
                <w:rFonts w:eastAsiaTheme="minorEastAsia"/>
                <w:noProof/>
              </w:rPr>
              <w:tab/>
            </w:r>
            <w:r w:rsidRPr="00694148" w:rsidR="00E75E40">
              <w:rPr>
                <w:rStyle w:val="Hyperlink"/>
                <w:noProof/>
              </w:rPr>
              <w:t>Project and Expenditure Report</w:t>
            </w:r>
            <w:r w:rsidR="00E75E40">
              <w:rPr>
                <w:noProof/>
                <w:webHidden/>
              </w:rPr>
              <w:tab/>
            </w:r>
            <w:r w:rsidR="00E75E40">
              <w:rPr>
                <w:noProof/>
                <w:webHidden/>
              </w:rPr>
              <w:fldChar w:fldCharType="begin"/>
            </w:r>
            <w:r w:rsidR="00E75E40">
              <w:rPr>
                <w:noProof/>
                <w:webHidden/>
              </w:rPr>
              <w:instrText xml:space="preserve"> PAGEREF _Toc102719954 \h </w:instrText>
            </w:r>
            <w:r w:rsidR="00E75E40">
              <w:rPr>
                <w:noProof/>
                <w:webHidden/>
              </w:rPr>
            </w:r>
            <w:r w:rsidR="00E75E40">
              <w:rPr>
                <w:noProof/>
                <w:webHidden/>
              </w:rPr>
              <w:fldChar w:fldCharType="separate"/>
            </w:r>
            <w:r w:rsidR="00E75E40">
              <w:rPr>
                <w:noProof/>
                <w:webHidden/>
              </w:rPr>
              <w:t>3</w:t>
            </w:r>
            <w:r w:rsidR="00E75E40">
              <w:rPr>
                <w:noProof/>
                <w:webHidden/>
              </w:rPr>
              <w:fldChar w:fldCharType="end"/>
            </w:r>
          </w:hyperlink>
        </w:p>
        <w:p w:rsidR="00E75E40" w:rsidRDefault="009628D2" w14:paraId="616B760B" w14:textId="5BB9A8E9">
          <w:pPr>
            <w:pStyle w:val="TOC3"/>
            <w:rPr>
              <w:rFonts w:eastAsiaTheme="minorEastAsia"/>
              <w:noProof/>
            </w:rPr>
          </w:pPr>
          <w:hyperlink w:history="1" w:anchor="_Toc102719955">
            <w:r w:rsidRPr="00694148" w:rsidR="00E75E40">
              <w:rPr>
                <w:rStyle w:val="Hyperlink"/>
                <w:noProof/>
              </w:rPr>
              <w:t>B.</w:t>
            </w:r>
            <w:r w:rsidR="00E75E40">
              <w:rPr>
                <w:rFonts w:eastAsiaTheme="minorEastAsia"/>
                <w:noProof/>
              </w:rPr>
              <w:tab/>
            </w:r>
            <w:r w:rsidRPr="00694148" w:rsidR="00E75E40">
              <w:rPr>
                <w:rStyle w:val="Hyperlink"/>
                <w:noProof/>
              </w:rPr>
              <w:t>Performance Report</w:t>
            </w:r>
            <w:r w:rsidR="00E75E40">
              <w:rPr>
                <w:noProof/>
                <w:webHidden/>
              </w:rPr>
              <w:tab/>
            </w:r>
            <w:r w:rsidR="00E75E40">
              <w:rPr>
                <w:noProof/>
                <w:webHidden/>
              </w:rPr>
              <w:fldChar w:fldCharType="begin"/>
            </w:r>
            <w:r w:rsidR="00E75E40">
              <w:rPr>
                <w:noProof/>
                <w:webHidden/>
              </w:rPr>
              <w:instrText xml:space="preserve"> PAGEREF _Toc102719955 \h </w:instrText>
            </w:r>
            <w:r w:rsidR="00E75E40">
              <w:rPr>
                <w:noProof/>
                <w:webHidden/>
              </w:rPr>
            </w:r>
            <w:r w:rsidR="00E75E40">
              <w:rPr>
                <w:noProof/>
                <w:webHidden/>
              </w:rPr>
              <w:fldChar w:fldCharType="separate"/>
            </w:r>
            <w:r w:rsidR="00E75E40">
              <w:rPr>
                <w:noProof/>
                <w:webHidden/>
              </w:rPr>
              <w:t>9</w:t>
            </w:r>
            <w:r w:rsidR="00E75E40">
              <w:rPr>
                <w:noProof/>
                <w:webHidden/>
              </w:rPr>
              <w:fldChar w:fldCharType="end"/>
            </w:r>
          </w:hyperlink>
        </w:p>
        <w:p w:rsidR="00E75E40" w:rsidRDefault="009628D2" w14:paraId="729C7CB4" w14:textId="640B0F70">
          <w:pPr>
            <w:pStyle w:val="TOC1"/>
            <w:rPr>
              <w:rFonts w:cstheme="minorBidi"/>
              <w:noProof/>
            </w:rPr>
          </w:pPr>
          <w:hyperlink w:history="1" w:anchor="_Toc102719956">
            <w:r w:rsidRPr="00694148" w:rsidR="00E75E40">
              <w:rPr>
                <w:rStyle w:val="Hyperlink"/>
                <w:noProof/>
              </w:rPr>
              <w:t>Part 3: General Guidance</w:t>
            </w:r>
            <w:r w:rsidR="00E75E40">
              <w:rPr>
                <w:noProof/>
                <w:webHidden/>
              </w:rPr>
              <w:tab/>
            </w:r>
            <w:r w:rsidR="00E75E40">
              <w:rPr>
                <w:noProof/>
                <w:webHidden/>
              </w:rPr>
              <w:fldChar w:fldCharType="begin"/>
            </w:r>
            <w:r w:rsidR="00E75E40">
              <w:rPr>
                <w:noProof/>
                <w:webHidden/>
              </w:rPr>
              <w:instrText xml:space="preserve"> PAGEREF _Toc102719956 \h </w:instrText>
            </w:r>
            <w:r w:rsidR="00E75E40">
              <w:rPr>
                <w:noProof/>
                <w:webHidden/>
              </w:rPr>
            </w:r>
            <w:r w:rsidR="00E75E40">
              <w:rPr>
                <w:noProof/>
                <w:webHidden/>
              </w:rPr>
              <w:fldChar w:fldCharType="separate"/>
            </w:r>
            <w:r w:rsidR="00E75E40">
              <w:rPr>
                <w:noProof/>
                <w:webHidden/>
              </w:rPr>
              <w:t>12</w:t>
            </w:r>
            <w:r w:rsidR="00E75E40">
              <w:rPr>
                <w:noProof/>
                <w:webHidden/>
              </w:rPr>
              <w:fldChar w:fldCharType="end"/>
            </w:r>
          </w:hyperlink>
        </w:p>
        <w:p w:rsidR="00E75E40" w:rsidRDefault="009628D2" w14:paraId="7868F721" w14:textId="760E9063">
          <w:pPr>
            <w:pStyle w:val="TOC3"/>
            <w:rPr>
              <w:rFonts w:eastAsiaTheme="minorEastAsia"/>
              <w:noProof/>
            </w:rPr>
          </w:pPr>
          <w:hyperlink w:history="1" w:anchor="_Toc102719957">
            <w:r w:rsidRPr="00694148" w:rsidR="00E75E40">
              <w:rPr>
                <w:rStyle w:val="Hyperlink"/>
                <w:noProof/>
              </w:rPr>
              <w:t>A.</w:t>
            </w:r>
            <w:r w:rsidR="00E75E40">
              <w:rPr>
                <w:rFonts w:eastAsiaTheme="minorEastAsia"/>
                <w:noProof/>
              </w:rPr>
              <w:tab/>
            </w:r>
            <w:r w:rsidRPr="00694148" w:rsidR="00E75E40">
              <w:rPr>
                <w:rStyle w:val="Hyperlink"/>
                <w:noProof/>
              </w:rPr>
              <w:t>Compliance Requirements</w:t>
            </w:r>
            <w:r w:rsidR="00E75E40">
              <w:rPr>
                <w:noProof/>
                <w:webHidden/>
              </w:rPr>
              <w:tab/>
            </w:r>
            <w:r w:rsidR="00E75E40">
              <w:rPr>
                <w:noProof/>
                <w:webHidden/>
              </w:rPr>
              <w:fldChar w:fldCharType="begin"/>
            </w:r>
            <w:r w:rsidR="00E75E40">
              <w:rPr>
                <w:noProof/>
                <w:webHidden/>
              </w:rPr>
              <w:instrText xml:space="preserve"> PAGEREF _Toc102719957 \h </w:instrText>
            </w:r>
            <w:r w:rsidR="00E75E40">
              <w:rPr>
                <w:noProof/>
                <w:webHidden/>
              </w:rPr>
            </w:r>
            <w:r w:rsidR="00E75E40">
              <w:rPr>
                <w:noProof/>
                <w:webHidden/>
              </w:rPr>
              <w:fldChar w:fldCharType="separate"/>
            </w:r>
            <w:r w:rsidR="00E75E40">
              <w:rPr>
                <w:noProof/>
                <w:webHidden/>
              </w:rPr>
              <w:t>12</w:t>
            </w:r>
            <w:r w:rsidR="00E75E40">
              <w:rPr>
                <w:noProof/>
                <w:webHidden/>
              </w:rPr>
              <w:fldChar w:fldCharType="end"/>
            </w:r>
          </w:hyperlink>
        </w:p>
        <w:p w:rsidR="00E75E40" w:rsidRDefault="009628D2" w14:paraId="6DDDA2FF" w14:textId="79F791A4">
          <w:pPr>
            <w:pStyle w:val="TOC3"/>
            <w:rPr>
              <w:rFonts w:eastAsiaTheme="minorEastAsia"/>
              <w:noProof/>
            </w:rPr>
          </w:pPr>
          <w:hyperlink w:history="1" w:anchor="_Toc102719958">
            <w:r w:rsidRPr="00694148" w:rsidR="00E75E40">
              <w:rPr>
                <w:rStyle w:val="Hyperlink"/>
                <w:noProof/>
              </w:rPr>
              <w:t>B.</w:t>
            </w:r>
            <w:r w:rsidR="00E75E40">
              <w:rPr>
                <w:rFonts w:eastAsiaTheme="minorEastAsia"/>
                <w:noProof/>
              </w:rPr>
              <w:tab/>
            </w:r>
            <w:r w:rsidRPr="00694148" w:rsidR="00E75E40">
              <w:rPr>
                <w:rStyle w:val="Hyperlink"/>
                <w:noProof/>
              </w:rPr>
              <w:t>Uniform Administrative Requirements</w:t>
            </w:r>
            <w:r w:rsidR="00E75E40">
              <w:rPr>
                <w:noProof/>
                <w:webHidden/>
              </w:rPr>
              <w:tab/>
            </w:r>
            <w:r w:rsidR="00E75E40">
              <w:rPr>
                <w:noProof/>
                <w:webHidden/>
              </w:rPr>
              <w:fldChar w:fldCharType="begin"/>
            </w:r>
            <w:r w:rsidR="00E75E40">
              <w:rPr>
                <w:noProof/>
                <w:webHidden/>
              </w:rPr>
              <w:instrText xml:space="preserve"> PAGEREF _Toc102719958 \h </w:instrText>
            </w:r>
            <w:r w:rsidR="00E75E40">
              <w:rPr>
                <w:noProof/>
                <w:webHidden/>
              </w:rPr>
            </w:r>
            <w:r w:rsidR="00E75E40">
              <w:rPr>
                <w:noProof/>
                <w:webHidden/>
              </w:rPr>
              <w:fldChar w:fldCharType="separate"/>
            </w:r>
            <w:r w:rsidR="00E75E40">
              <w:rPr>
                <w:noProof/>
                <w:webHidden/>
              </w:rPr>
              <w:t>12</w:t>
            </w:r>
            <w:r w:rsidR="00E75E40">
              <w:rPr>
                <w:noProof/>
                <w:webHidden/>
              </w:rPr>
              <w:fldChar w:fldCharType="end"/>
            </w:r>
          </w:hyperlink>
        </w:p>
        <w:p w:rsidR="00E75E40" w:rsidRDefault="009628D2" w14:paraId="6AC31422" w14:textId="32B9A3B3">
          <w:pPr>
            <w:pStyle w:val="TOC1"/>
            <w:rPr>
              <w:rFonts w:cstheme="minorBidi"/>
              <w:noProof/>
            </w:rPr>
          </w:pPr>
          <w:hyperlink w:history="1" w:anchor="_Toc102719959">
            <w:r w:rsidRPr="00694148" w:rsidR="00E75E40">
              <w:rPr>
                <w:rStyle w:val="Hyperlink"/>
                <w:noProof/>
              </w:rPr>
              <w:t>Appendix 1: Definitions</w:t>
            </w:r>
            <w:r w:rsidR="00E75E40">
              <w:rPr>
                <w:noProof/>
                <w:webHidden/>
              </w:rPr>
              <w:tab/>
            </w:r>
            <w:r w:rsidR="00E75E40">
              <w:rPr>
                <w:noProof/>
                <w:webHidden/>
              </w:rPr>
              <w:fldChar w:fldCharType="begin"/>
            </w:r>
            <w:r w:rsidR="00E75E40">
              <w:rPr>
                <w:noProof/>
                <w:webHidden/>
              </w:rPr>
              <w:instrText xml:space="preserve"> PAGEREF _Toc102719959 \h </w:instrText>
            </w:r>
            <w:r w:rsidR="00E75E40">
              <w:rPr>
                <w:noProof/>
                <w:webHidden/>
              </w:rPr>
            </w:r>
            <w:r w:rsidR="00E75E40">
              <w:rPr>
                <w:noProof/>
                <w:webHidden/>
              </w:rPr>
              <w:fldChar w:fldCharType="separate"/>
            </w:r>
            <w:r w:rsidR="00E75E40">
              <w:rPr>
                <w:noProof/>
                <w:webHidden/>
              </w:rPr>
              <w:t>15</w:t>
            </w:r>
            <w:r w:rsidR="00E75E40">
              <w:rPr>
                <w:noProof/>
                <w:webHidden/>
              </w:rPr>
              <w:fldChar w:fldCharType="end"/>
            </w:r>
          </w:hyperlink>
        </w:p>
        <w:p w:rsidR="00F71BE3" w:rsidRDefault="00F71BE3" w14:paraId="03787434" w14:textId="5A8C108E">
          <w:r>
            <w:rPr>
              <w:b/>
              <w:bCs/>
              <w:noProof/>
            </w:rPr>
            <w:fldChar w:fldCharType="end"/>
          </w:r>
        </w:p>
      </w:sdtContent>
    </w:sdt>
    <w:p w:rsidR="00F30A9A" w:rsidP="00F30A9A" w:rsidRDefault="00F30A9A" w14:paraId="7CB4373D" w14:textId="77777777">
      <w:pPr>
        <w:pStyle w:val="Heading1"/>
      </w:pPr>
    </w:p>
    <w:p w:rsidR="000172CD" w:rsidP="003C5176" w:rsidRDefault="000172CD" w14:paraId="18230B7E" w14:textId="77777777">
      <w:pPr>
        <w:pStyle w:val="NoSpacing"/>
        <w:jc w:val="center"/>
        <w:rPr>
          <w:color w:val="004E7D" w:themeColor="accent6" w:themeShade="BF"/>
          <w:sz w:val="36"/>
          <w:szCs w:val="36"/>
        </w:rPr>
      </w:pPr>
    </w:p>
    <w:p w:rsidR="000172CD" w:rsidP="003C5176" w:rsidRDefault="000F034D" w14:paraId="2FDF8F70" w14:textId="57916ABF">
      <w:pPr>
        <w:pStyle w:val="NoSpacing"/>
        <w:jc w:val="center"/>
        <w:rPr>
          <w:color w:val="004E7D" w:themeColor="accent6" w:themeShade="BF"/>
          <w:sz w:val="36"/>
          <w:szCs w:val="36"/>
        </w:rPr>
      </w:pPr>
      <w:r>
        <w:rPr>
          <w:color w:val="004E7D" w:themeColor="accent6" w:themeShade="BF"/>
          <w:sz w:val="36"/>
          <w:szCs w:val="36"/>
        </w:rPr>
        <w:t xml:space="preserve"> </w:t>
      </w:r>
    </w:p>
    <w:p w:rsidR="000172CD" w:rsidP="003C5176" w:rsidRDefault="000172CD" w14:paraId="2C258F15" w14:textId="77777777">
      <w:pPr>
        <w:pStyle w:val="NoSpacing"/>
        <w:jc w:val="center"/>
        <w:rPr>
          <w:color w:val="004E7D" w:themeColor="accent6" w:themeShade="BF"/>
          <w:sz w:val="36"/>
          <w:szCs w:val="36"/>
        </w:rPr>
      </w:pPr>
    </w:p>
    <w:p w:rsidR="000172CD" w:rsidP="003C5176" w:rsidRDefault="000172CD" w14:paraId="6323CAEC" w14:textId="77777777">
      <w:pPr>
        <w:pStyle w:val="NoSpacing"/>
        <w:jc w:val="center"/>
        <w:rPr>
          <w:color w:val="004E7D" w:themeColor="accent6" w:themeShade="BF"/>
          <w:sz w:val="36"/>
          <w:szCs w:val="36"/>
        </w:rPr>
      </w:pPr>
    </w:p>
    <w:p w:rsidR="000172CD" w:rsidP="003C5176" w:rsidRDefault="000172CD" w14:paraId="1EDE1920" w14:textId="77777777">
      <w:pPr>
        <w:pStyle w:val="NoSpacing"/>
        <w:jc w:val="center"/>
        <w:rPr>
          <w:color w:val="004E7D" w:themeColor="accent6" w:themeShade="BF"/>
          <w:sz w:val="36"/>
          <w:szCs w:val="36"/>
        </w:rPr>
      </w:pPr>
    </w:p>
    <w:p w:rsidR="000172CD" w:rsidP="003C5176" w:rsidRDefault="000172CD" w14:paraId="687AD451" w14:textId="77777777">
      <w:pPr>
        <w:pStyle w:val="NoSpacing"/>
        <w:jc w:val="center"/>
        <w:rPr>
          <w:color w:val="004E7D" w:themeColor="accent6" w:themeShade="BF"/>
          <w:sz w:val="36"/>
          <w:szCs w:val="36"/>
        </w:rPr>
      </w:pPr>
    </w:p>
    <w:p w:rsidR="000172CD" w:rsidP="003C5176" w:rsidRDefault="000172CD" w14:paraId="100E6CF1" w14:textId="77777777">
      <w:pPr>
        <w:pStyle w:val="NoSpacing"/>
        <w:jc w:val="center"/>
        <w:rPr>
          <w:color w:val="004E7D" w:themeColor="accent6" w:themeShade="BF"/>
          <w:sz w:val="36"/>
          <w:szCs w:val="36"/>
        </w:rPr>
      </w:pPr>
    </w:p>
    <w:p w:rsidR="000172CD" w:rsidP="003C5176" w:rsidRDefault="000172CD" w14:paraId="10689103" w14:textId="77777777">
      <w:pPr>
        <w:pStyle w:val="NoSpacing"/>
        <w:jc w:val="center"/>
        <w:rPr>
          <w:color w:val="004E7D" w:themeColor="accent6" w:themeShade="BF"/>
          <w:sz w:val="36"/>
          <w:szCs w:val="36"/>
        </w:rPr>
      </w:pPr>
    </w:p>
    <w:p w:rsidR="000172CD" w:rsidP="003C5176" w:rsidRDefault="000172CD" w14:paraId="25BCFE79" w14:textId="77777777">
      <w:pPr>
        <w:pStyle w:val="NoSpacing"/>
        <w:jc w:val="center"/>
        <w:rPr>
          <w:color w:val="004E7D" w:themeColor="accent6" w:themeShade="BF"/>
          <w:sz w:val="36"/>
          <w:szCs w:val="36"/>
        </w:rPr>
      </w:pPr>
    </w:p>
    <w:p w:rsidR="000172CD" w:rsidP="003C5176" w:rsidRDefault="000172CD" w14:paraId="3525B3FF" w14:textId="77777777">
      <w:pPr>
        <w:pStyle w:val="NoSpacing"/>
        <w:jc w:val="center"/>
        <w:rPr>
          <w:color w:val="004E7D" w:themeColor="accent6" w:themeShade="BF"/>
          <w:sz w:val="36"/>
          <w:szCs w:val="36"/>
        </w:rPr>
      </w:pPr>
    </w:p>
    <w:p w:rsidR="000172CD" w:rsidP="003C5176" w:rsidRDefault="000172CD" w14:paraId="2B14D44A" w14:textId="77777777">
      <w:pPr>
        <w:pStyle w:val="NoSpacing"/>
        <w:jc w:val="center"/>
        <w:rPr>
          <w:color w:val="004E7D" w:themeColor="accent6" w:themeShade="BF"/>
          <w:sz w:val="36"/>
          <w:szCs w:val="36"/>
        </w:rPr>
      </w:pPr>
    </w:p>
    <w:p w:rsidR="000172CD" w:rsidP="003C5176" w:rsidRDefault="000172CD" w14:paraId="604246EA" w14:textId="77777777">
      <w:pPr>
        <w:pStyle w:val="NoSpacing"/>
        <w:jc w:val="center"/>
        <w:rPr>
          <w:color w:val="004E7D" w:themeColor="accent6" w:themeShade="BF"/>
          <w:sz w:val="36"/>
          <w:szCs w:val="36"/>
        </w:rPr>
      </w:pPr>
    </w:p>
    <w:p w:rsidR="000172CD" w:rsidP="003C5176" w:rsidRDefault="000172CD" w14:paraId="578C0606" w14:textId="77777777">
      <w:pPr>
        <w:pStyle w:val="NoSpacing"/>
        <w:jc w:val="center"/>
        <w:rPr>
          <w:color w:val="004E7D" w:themeColor="accent6" w:themeShade="BF"/>
          <w:sz w:val="36"/>
          <w:szCs w:val="36"/>
        </w:rPr>
      </w:pPr>
    </w:p>
    <w:p w:rsidR="000172CD" w:rsidP="003C5176" w:rsidRDefault="000172CD" w14:paraId="13048F4F" w14:textId="77777777">
      <w:pPr>
        <w:pStyle w:val="NoSpacing"/>
        <w:jc w:val="center"/>
        <w:rPr>
          <w:color w:val="004E7D" w:themeColor="accent6" w:themeShade="BF"/>
          <w:sz w:val="36"/>
          <w:szCs w:val="36"/>
        </w:rPr>
      </w:pPr>
    </w:p>
    <w:p w:rsidR="000172CD" w:rsidP="003C5176" w:rsidRDefault="000172CD" w14:paraId="140E5F9E" w14:textId="4B30C35F">
      <w:pPr>
        <w:pStyle w:val="NoSpacing"/>
        <w:jc w:val="center"/>
        <w:rPr>
          <w:color w:val="004E7D" w:themeColor="accent6" w:themeShade="BF"/>
          <w:sz w:val="36"/>
          <w:szCs w:val="36"/>
        </w:rPr>
      </w:pPr>
    </w:p>
    <w:p w:rsidR="00302861" w:rsidP="003C5176" w:rsidRDefault="00302861" w14:paraId="28C3FC3A" w14:textId="77777777">
      <w:pPr>
        <w:pStyle w:val="NoSpacing"/>
        <w:jc w:val="center"/>
        <w:rPr>
          <w:color w:val="004E7D" w:themeColor="accent6" w:themeShade="BF"/>
          <w:sz w:val="36"/>
          <w:szCs w:val="36"/>
        </w:rPr>
      </w:pPr>
    </w:p>
    <w:p w:rsidR="000172CD" w:rsidP="003C5176" w:rsidRDefault="000172CD" w14:paraId="1CBFDB24" w14:textId="77777777">
      <w:pPr>
        <w:pStyle w:val="NoSpacing"/>
        <w:jc w:val="center"/>
        <w:rPr>
          <w:color w:val="004E7D" w:themeColor="accent6" w:themeShade="BF"/>
          <w:sz w:val="36"/>
          <w:szCs w:val="36"/>
        </w:rPr>
      </w:pPr>
    </w:p>
    <w:p w:rsidR="000172CD" w:rsidP="003C5176" w:rsidRDefault="000172CD" w14:paraId="3E658F70" w14:textId="77777777">
      <w:pPr>
        <w:pStyle w:val="NoSpacing"/>
        <w:jc w:val="center"/>
        <w:rPr>
          <w:color w:val="004E7D" w:themeColor="accent6" w:themeShade="BF"/>
          <w:sz w:val="36"/>
          <w:szCs w:val="36"/>
        </w:rPr>
      </w:pPr>
    </w:p>
    <w:p w:rsidR="000172CD" w:rsidP="003C5176" w:rsidRDefault="000172CD" w14:paraId="027DE206" w14:textId="77777777">
      <w:pPr>
        <w:pStyle w:val="NoSpacing"/>
        <w:jc w:val="center"/>
        <w:rPr>
          <w:color w:val="004E7D" w:themeColor="accent6" w:themeShade="BF"/>
          <w:sz w:val="36"/>
          <w:szCs w:val="36"/>
        </w:rPr>
      </w:pPr>
    </w:p>
    <w:p w:rsidR="000172CD" w:rsidP="003C5176" w:rsidRDefault="000172CD" w14:paraId="75A56F67" w14:textId="77777777">
      <w:pPr>
        <w:pStyle w:val="NoSpacing"/>
        <w:jc w:val="center"/>
        <w:rPr>
          <w:color w:val="004E7D" w:themeColor="accent6" w:themeShade="BF"/>
          <w:sz w:val="36"/>
          <w:szCs w:val="36"/>
        </w:rPr>
      </w:pPr>
    </w:p>
    <w:p w:rsidR="000172CD" w:rsidP="003C5176" w:rsidRDefault="000172CD" w14:paraId="7DBEF70B" w14:textId="77777777">
      <w:pPr>
        <w:pStyle w:val="NoSpacing"/>
        <w:jc w:val="center"/>
        <w:rPr>
          <w:color w:val="004E7D" w:themeColor="accent6" w:themeShade="BF"/>
          <w:sz w:val="36"/>
          <w:szCs w:val="36"/>
        </w:rPr>
      </w:pPr>
    </w:p>
    <w:p w:rsidR="000172CD" w:rsidP="003C5176" w:rsidRDefault="000172CD" w14:paraId="1ABAA5B2" w14:textId="77777777">
      <w:pPr>
        <w:pStyle w:val="NoSpacing"/>
        <w:jc w:val="center"/>
        <w:rPr>
          <w:color w:val="004E7D" w:themeColor="accent6" w:themeShade="BF"/>
          <w:sz w:val="36"/>
          <w:szCs w:val="36"/>
        </w:rPr>
      </w:pPr>
    </w:p>
    <w:p w:rsidR="000172CD" w:rsidP="00B36E30" w:rsidRDefault="000172CD" w14:paraId="29EC0D8D" w14:textId="77777777">
      <w:pPr>
        <w:pStyle w:val="NoSpacing"/>
        <w:rPr>
          <w:color w:val="004E7D" w:themeColor="accent6" w:themeShade="BF"/>
          <w:sz w:val="36"/>
          <w:szCs w:val="36"/>
        </w:rPr>
      </w:pPr>
    </w:p>
    <w:p w:rsidRPr="00B36E30" w:rsidR="00E86315" w:rsidP="003C5176" w:rsidRDefault="00397A23" w14:paraId="45C31F82" w14:textId="2ACA31FA">
      <w:pPr>
        <w:pStyle w:val="NoSpacing"/>
        <w:jc w:val="center"/>
        <w:rPr>
          <w:b/>
          <w:color w:val="004E7D" w:themeColor="accent6" w:themeShade="BF"/>
          <w:sz w:val="36"/>
          <w:szCs w:val="36"/>
        </w:rPr>
      </w:pPr>
      <w:r w:rsidRPr="00C5402D">
        <w:rPr>
          <w:b/>
          <w:color w:val="004E7D" w:themeColor="accent6" w:themeShade="BF"/>
          <w:sz w:val="36"/>
          <w:szCs w:val="36"/>
        </w:rPr>
        <w:t xml:space="preserve">Coronavirus </w:t>
      </w:r>
      <w:r w:rsidRPr="00C5402D" w:rsidR="008B6953">
        <w:rPr>
          <w:b/>
          <w:color w:val="004E7D" w:themeColor="accent6" w:themeShade="BF"/>
          <w:sz w:val="36"/>
          <w:szCs w:val="36"/>
        </w:rPr>
        <w:t>Capital Projec</w:t>
      </w:r>
      <w:r w:rsidRPr="00C5402D" w:rsidR="00891BA6">
        <w:rPr>
          <w:b/>
          <w:color w:val="004E7D" w:themeColor="accent6" w:themeShade="BF"/>
          <w:sz w:val="36"/>
          <w:szCs w:val="36"/>
        </w:rPr>
        <w:t>t</w:t>
      </w:r>
      <w:r w:rsidRPr="00C5402D" w:rsidR="00EB62DF">
        <w:rPr>
          <w:b/>
          <w:color w:val="004E7D" w:themeColor="accent6" w:themeShade="BF"/>
          <w:sz w:val="36"/>
          <w:szCs w:val="36"/>
        </w:rPr>
        <w:t>s</w:t>
      </w:r>
      <w:r w:rsidRPr="00C5402D" w:rsidR="00E86315">
        <w:rPr>
          <w:b/>
          <w:color w:val="004E7D" w:themeColor="accent6" w:themeShade="BF"/>
          <w:sz w:val="36"/>
          <w:szCs w:val="36"/>
        </w:rPr>
        <w:t xml:space="preserve"> Fund</w:t>
      </w:r>
      <w:r w:rsidRPr="00C5402D" w:rsidR="00D91452">
        <w:rPr>
          <w:b/>
          <w:color w:val="004E7D" w:themeColor="accent6" w:themeShade="BF"/>
          <w:sz w:val="36"/>
          <w:szCs w:val="36"/>
        </w:rPr>
        <w:t xml:space="preserve"> </w:t>
      </w:r>
    </w:p>
    <w:p w:rsidRPr="00B36E30" w:rsidR="00E86315" w:rsidP="003C5176" w:rsidRDefault="00E57C28" w14:paraId="699C9CDC" w14:textId="11ABC4D8">
      <w:pPr>
        <w:pStyle w:val="NoSpacing"/>
        <w:jc w:val="center"/>
        <w:rPr>
          <w:b/>
          <w:color w:val="004E7D" w:themeColor="accent6" w:themeShade="BF"/>
          <w:sz w:val="36"/>
          <w:szCs w:val="36"/>
        </w:rPr>
      </w:pPr>
      <w:r w:rsidRPr="00C5402D">
        <w:rPr>
          <w:b/>
          <w:color w:val="004E7D" w:themeColor="accent6" w:themeShade="BF"/>
          <w:sz w:val="36"/>
          <w:szCs w:val="36"/>
        </w:rPr>
        <w:t xml:space="preserve">Compliance and </w:t>
      </w:r>
      <w:r w:rsidRPr="00C5402D" w:rsidR="00E86315">
        <w:rPr>
          <w:b/>
          <w:color w:val="004E7D" w:themeColor="accent6" w:themeShade="BF"/>
          <w:sz w:val="36"/>
          <w:szCs w:val="36"/>
        </w:rPr>
        <w:t>Re</w:t>
      </w:r>
      <w:r w:rsidRPr="00CF79BC" w:rsidR="00682DB5">
        <w:rPr>
          <w:b/>
          <w:color w:val="004E7D" w:themeColor="accent6" w:themeShade="BF"/>
          <w:sz w:val="36"/>
          <w:szCs w:val="36"/>
        </w:rPr>
        <w:t>porting Guidance</w:t>
      </w:r>
    </w:p>
    <w:p w:rsidRPr="00B36E30" w:rsidR="00C91669" w:rsidP="003C5176" w:rsidRDefault="00C91669" w14:paraId="0CFBF4D1" w14:textId="698A0393">
      <w:pPr>
        <w:pStyle w:val="NoSpacing"/>
        <w:jc w:val="center"/>
        <w:rPr>
          <w:b/>
          <w:color w:val="004E7D" w:themeColor="accent6" w:themeShade="BF"/>
          <w:sz w:val="36"/>
          <w:szCs w:val="36"/>
        </w:rPr>
      </w:pPr>
      <w:r w:rsidRPr="00C5402D">
        <w:rPr>
          <w:b/>
          <w:color w:val="004E7D" w:themeColor="accent6" w:themeShade="BF"/>
          <w:sz w:val="36"/>
          <w:szCs w:val="36"/>
        </w:rPr>
        <w:t xml:space="preserve">For States, Territories, and Freely </w:t>
      </w:r>
      <w:r w:rsidRPr="00C5402D" w:rsidR="008536AA">
        <w:rPr>
          <w:b/>
          <w:color w:val="004E7D" w:themeColor="accent6" w:themeShade="BF"/>
          <w:sz w:val="36"/>
          <w:szCs w:val="36"/>
        </w:rPr>
        <w:t>Associated</w:t>
      </w:r>
      <w:r w:rsidRPr="00CF79BC">
        <w:rPr>
          <w:b/>
          <w:color w:val="004E7D" w:themeColor="accent6" w:themeShade="BF"/>
          <w:sz w:val="36"/>
          <w:szCs w:val="36"/>
        </w:rPr>
        <w:t xml:space="preserve"> States</w:t>
      </w:r>
    </w:p>
    <w:p w:rsidR="00E86315" w:rsidP="00E86315" w:rsidRDefault="00E86315" w14:paraId="383A8D92" w14:textId="77777777">
      <w:pPr>
        <w:pStyle w:val="NoSpacing"/>
        <w:jc w:val="both"/>
        <w:rPr>
          <w:b/>
          <w:bCs/>
        </w:rPr>
      </w:pPr>
    </w:p>
    <w:p w:rsidRPr="00B36E30" w:rsidR="00FA2DCC" w:rsidP="00B36E30" w:rsidRDefault="00F30A9A" w14:paraId="1DD33096" w14:textId="6F2F8D7C">
      <w:pPr>
        <w:pStyle w:val="Heading1"/>
        <w:rPr>
          <w:color w:val="002060"/>
        </w:rPr>
      </w:pPr>
      <w:bookmarkStart w:name="_Toc102719952" w:id="0"/>
      <w:r w:rsidRPr="00B36E30">
        <w:rPr>
          <w:color w:val="002060"/>
        </w:rPr>
        <w:t>Part 1:</w:t>
      </w:r>
      <w:r w:rsidRPr="00B36E30" w:rsidR="003573F9">
        <w:rPr>
          <w:color w:val="002060"/>
        </w:rPr>
        <w:t xml:space="preserve"> </w:t>
      </w:r>
      <w:r w:rsidRPr="00B36E30" w:rsidR="00FA2DCC">
        <w:rPr>
          <w:color w:val="002060"/>
        </w:rPr>
        <w:t>Introduction</w:t>
      </w:r>
      <w:bookmarkEnd w:id="0"/>
      <w:r w:rsidRPr="00B36E30" w:rsidR="00FA2DCC">
        <w:rPr>
          <w:color w:val="002060"/>
        </w:rPr>
        <w:t xml:space="preserve"> </w:t>
      </w:r>
    </w:p>
    <w:p w:rsidR="009B45F2" w:rsidP="00E86315" w:rsidRDefault="009B45F2" w14:paraId="347DB0AC" w14:textId="77777777">
      <w:pPr>
        <w:pStyle w:val="NoSpacing"/>
        <w:jc w:val="both"/>
      </w:pPr>
    </w:p>
    <w:p w:rsidR="00E86315" w:rsidP="00B36E30" w:rsidRDefault="00787F63" w14:paraId="322088E9" w14:textId="112EC54F">
      <w:pPr>
        <w:pStyle w:val="NoSpacing"/>
        <w:rPr>
          <w:noProof/>
        </w:rPr>
      </w:pPr>
      <w:r w:rsidRPr="00643082">
        <w:t xml:space="preserve">On March 11, 2021, the American Rescue Plan Act was signed into law, </w:t>
      </w:r>
      <w:r w:rsidR="00E16626">
        <w:t xml:space="preserve">establishing </w:t>
      </w:r>
      <w:r w:rsidRPr="00643082">
        <w:t xml:space="preserve">the Coronavirus </w:t>
      </w:r>
      <w:r w:rsidR="001F170D">
        <w:t>Capital Projects Fund</w:t>
      </w:r>
      <w:r w:rsidR="001D7A2D">
        <w:t xml:space="preserve"> </w:t>
      </w:r>
      <w:r w:rsidR="00824035">
        <w:t>(</w:t>
      </w:r>
      <w:r w:rsidR="008D697F">
        <w:t xml:space="preserve">Capital Projects Fund or </w:t>
      </w:r>
      <w:r w:rsidR="00824035">
        <w:t>CPF)</w:t>
      </w:r>
      <w:r w:rsidR="001D7A2D">
        <w:t xml:space="preserve"> </w:t>
      </w:r>
      <w:r w:rsidR="00A74C62">
        <w:t>Program</w:t>
      </w:r>
      <w:r w:rsidR="008B70D5">
        <w:t>.  CPF</w:t>
      </w:r>
      <w:r w:rsidR="0083536D">
        <w:t xml:space="preserve"> </w:t>
      </w:r>
      <w:r w:rsidR="00F20E49">
        <w:t xml:space="preserve">is </w:t>
      </w:r>
      <w:r w:rsidR="00DD32E5">
        <w:t>administered by</w:t>
      </w:r>
      <w:r w:rsidR="00F00149">
        <w:t xml:space="preserve"> the U.S. Department of the Treasury (Treasury)</w:t>
      </w:r>
      <w:r w:rsidR="008B70D5">
        <w:t xml:space="preserve"> and</w:t>
      </w:r>
      <w:r w:rsidRPr="00643082">
        <w:t xml:space="preserve"> </w:t>
      </w:r>
      <w:r w:rsidR="0011458D">
        <w:t>provide</w:t>
      </w:r>
      <w:r w:rsidR="00AB23AA">
        <w:t>s</w:t>
      </w:r>
      <w:r w:rsidR="0011458D">
        <w:t xml:space="preserve"> </w:t>
      </w:r>
      <w:r w:rsidR="00C81BC7">
        <w:rPr>
          <w:noProof/>
        </w:rPr>
        <w:t xml:space="preserve">grants </w:t>
      </w:r>
      <w:r w:rsidRPr="00016C2F" w:rsidR="0011458D">
        <w:rPr>
          <w:noProof/>
        </w:rPr>
        <w:t>to States</w:t>
      </w:r>
      <w:r w:rsidR="003573F9">
        <w:rPr>
          <w:noProof/>
        </w:rPr>
        <w:t>,</w:t>
      </w:r>
      <w:r w:rsidRPr="00016C2F" w:rsidR="0011458D">
        <w:rPr>
          <w:noProof/>
        </w:rPr>
        <w:t xml:space="preserve"> territories, </w:t>
      </w:r>
      <w:r w:rsidR="0011458D">
        <w:rPr>
          <w:noProof/>
        </w:rPr>
        <w:t xml:space="preserve">freely associated states, </w:t>
      </w:r>
      <w:r w:rsidRPr="00016C2F" w:rsidR="0011458D">
        <w:rPr>
          <w:noProof/>
        </w:rPr>
        <w:t>and Tribal governments</w:t>
      </w:r>
      <w:r w:rsidR="00B56842">
        <w:rPr>
          <w:noProof/>
        </w:rPr>
        <w:t xml:space="preserve"> </w:t>
      </w:r>
      <w:r w:rsidRPr="00016C2F" w:rsidR="0011458D">
        <w:rPr>
          <w:noProof/>
        </w:rPr>
        <w:t xml:space="preserve">to carry out critical </w:t>
      </w:r>
      <w:r w:rsidR="00F72C80">
        <w:rPr>
          <w:noProof/>
        </w:rPr>
        <w:t>C</w:t>
      </w:r>
      <w:r w:rsidRPr="00016C2F" w:rsidR="0011458D">
        <w:rPr>
          <w:noProof/>
        </w:rPr>
        <w:t>apital</w:t>
      </w:r>
      <w:r w:rsidR="00CA05C4">
        <w:rPr>
          <w:noProof/>
        </w:rPr>
        <w:t xml:space="preserve"> Projects</w:t>
      </w:r>
      <w:r w:rsidRPr="00016C2F" w:rsidR="0011458D">
        <w:rPr>
          <w:noProof/>
        </w:rPr>
        <w:t xml:space="preserve"> directly enabling </w:t>
      </w:r>
      <w:r w:rsidR="0011458D">
        <w:rPr>
          <w:noProof/>
        </w:rPr>
        <w:t>w</w:t>
      </w:r>
      <w:r w:rsidRPr="00016C2F" w:rsidR="0011458D">
        <w:rPr>
          <w:noProof/>
        </w:rPr>
        <w:t xml:space="preserve">ork, education, and health </w:t>
      </w:r>
      <w:r w:rsidR="0011458D">
        <w:rPr>
          <w:noProof/>
        </w:rPr>
        <w:t>mon</w:t>
      </w:r>
      <w:r w:rsidRPr="00016C2F" w:rsidR="0011458D">
        <w:rPr>
          <w:noProof/>
        </w:rPr>
        <w:t>itoring, incl</w:t>
      </w:r>
      <w:r w:rsidR="0011458D">
        <w:rPr>
          <w:noProof/>
        </w:rPr>
        <w:t>u</w:t>
      </w:r>
      <w:r w:rsidRPr="00016C2F" w:rsidR="0011458D">
        <w:rPr>
          <w:noProof/>
        </w:rPr>
        <w:t>ding remote options, in response to the public health emergency with respect to the Coronavirus Disease</w:t>
      </w:r>
      <w:r w:rsidRPr="00524234" w:rsidR="0011458D">
        <w:rPr>
          <w:noProof/>
        </w:rPr>
        <w:t xml:space="preserve"> (COVID-19).</w:t>
      </w:r>
      <w:r w:rsidR="00F00149">
        <w:rPr>
          <w:noProof/>
        </w:rPr>
        <w:t xml:space="preserve">  </w:t>
      </w:r>
    </w:p>
    <w:p w:rsidR="00FA2DCC" w:rsidP="00B36E30" w:rsidRDefault="00FA2DCC" w14:paraId="0353BC75" w14:textId="29A4725D">
      <w:pPr>
        <w:pStyle w:val="NoSpacing"/>
        <w:rPr>
          <w:noProof/>
        </w:rPr>
      </w:pPr>
    </w:p>
    <w:p w:rsidR="00FA2DCC" w:rsidP="00B36E30" w:rsidRDefault="00074BA7" w14:paraId="6969BE4F" w14:textId="44024B9D">
      <w:pPr>
        <w:spacing w:after="0" w:line="240" w:lineRule="auto"/>
      </w:pPr>
      <w:r w:rsidRPr="00643082">
        <w:t xml:space="preserve">This guidance provides </w:t>
      </w:r>
      <w:r w:rsidRPr="000B384D" w:rsidR="00AE725D">
        <w:t xml:space="preserve">additional detail and clarification </w:t>
      </w:r>
      <w:r w:rsidR="00CE4759">
        <w:t xml:space="preserve">about reporting and compliance responsibilities for </w:t>
      </w:r>
      <w:r w:rsidR="003573F9">
        <w:t xml:space="preserve">States, </w:t>
      </w:r>
      <w:r w:rsidR="00EC6992">
        <w:t>territories,</w:t>
      </w:r>
      <w:r w:rsidR="003573F9">
        <w:t xml:space="preserve"> and freely associated </w:t>
      </w:r>
      <w:r w:rsidR="001374E7">
        <w:t>states</w:t>
      </w:r>
      <w:r w:rsidR="003573F9">
        <w:t xml:space="preserve"> </w:t>
      </w:r>
      <w:r w:rsidRPr="000B384D" w:rsidR="00AE725D">
        <w:t xml:space="preserve">under the </w:t>
      </w:r>
      <w:r w:rsidR="00C403DF">
        <w:t xml:space="preserve">CPF </w:t>
      </w:r>
      <w:r w:rsidR="00A74C62">
        <w:t>Program</w:t>
      </w:r>
      <w:r w:rsidRPr="0ABA2A8C" w:rsidR="00FA2DCC">
        <w:t>,</w:t>
      </w:r>
      <w:r w:rsidRPr="000B384D" w:rsidR="00AE725D">
        <w:t xml:space="preserve"> and </w:t>
      </w:r>
      <w:r w:rsidRPr="00643082" w:rsidR="00FD483C">
        <w:t>should be read in concert with</w:t>
      </w:r>
      <w:r w:rsidR="00FD1516">
        <w:t xml:space="preserve"> the </w:t>
      </w:r>
      <w:r w:rsidR="00FA2DCC">
        <w:t xml:space="preserve">following documents: </w:t>
      </w:r>
    </w:p>
    <w:p w:rsidR="00D132C5" w:rsidP="00B36E30" w:rsidRDefault="00D132C5" w14:paraId="1DCF6A31" w14:textId="6D6C37D4">
      <w:pPr>
        <w:pStyle w:val="ListParagraph"/>
        <w:numPr>
          <w:ilvl w:val="0"/>
          <w:numId w:val="63"/>
        </w:numPr>
        <w:spacing w:after="0" w:line="240" w:lineRule="auto"/>
      </w:pPr>
      <w:r>
        <w:t>Capital Project</w:t>
      </w:r>
      <w:r w:rsidR="005A3DF5">
        <w:t>s</w:t>
      </w:r>
      <w:r>
        <w:t xml:space="preserve"> Fund Statute</w:t>
      </w:r>
      <w:r w:rsidR="00B976F9">
        <w:t>;</w:t>
      </w:r>
    </w:p>
    <w:p w:rsidR="00FA2DCC" w:rsidP="00B36E30" w:rsidRDefault="009628D2" w14:paraId="69733BF0" w14:textId="68EB169D">
      <w:pPr>
        <w:pStyle w:val="ListParagraph"/>
        <w:numPr>
          <w:ilvl w:val="0"/>
          <w:numId w:val="63"/>
        </w:numPr>
        <w:spacing w:after="0" w:line="240" w:lineRule="auto"/>
      </w:pPr>
      <w:hyperlink w:history="1" r:id="rId16">
        <w:r w:rsidRPr="00375AFD" w:rsidR="00E41E7C">
          <w:rPr>
            <w:rStyle w:val="Hyperlink"/>
          </w:rPr>
          <w:t>C</w:t>
        </w:r>
        <w:r w:rsidRPr="00375AFD" w:rsidR="00A42152">
          <w:rPr>
            <w:rStyle w:val="Hyperlink"/>
          </w:rPr>
          <w:t xml:space="preserve">apital </w:t>
        </w:r>
        <w:r w:rsidRPr="00375AFD" w:rsidR="00E41E7C">
          <w:rPr>
            <w:rStyle w:val="Hyperlink"/>
          </w:rPr>
          <w:t>P</w:t>
        </w:r>
        <w:r w:rsidRPr="00375AFD" w:rsidR="00A42152">
          <w:rPr>
            <w:rStyle w:val="Hyperlink"/>
          </w:rPr>
          <w:t xml:space="preserve">rojects </w:t>
        </w:r>
        <w:r w:rsidRPr="00375AFD" w:rsidR="00E41E7C">
          <w:rPr>
            <w:rStyle w:val="Hyperlink"/>
          </w:rPr>
          <w:t>F</w:t>
        </w:r>
        <w:r w:rsidRPr="00375AFD" w:rsidR="00A42152">
          <w:rPr>
            <w:rStyle w:val="Hyperlink"/>
          </w:rPr>
          <w:t>und</w:t>
        </w:r>
        <w:r w:rsidRPr="00375AFD" w:rsidR="000E745D">
          <w:rPr>
            <w:rStyle w:val="Hyperlink"/>
          </w:rPr>
          <w:t xml:space="preserve"> Guidance</w:t>
        </w:r>
        <w:r w:rsidRPr="00375AFD" w:rsidR="00E17E00">
          <w:rPr>
            <w:rStyle w:val="Hyperlink"/>
          </w:rPr>
          <w:t xml:space="preserve"> for States, Territories, and Freely Associated States</w:t>
        </w:r>
      </w:hyperlink>
      <w:r w:rsidR="004612D8">
        <w:rPr>
          <w:rStyle w:val="Hyperlink"/>
        </w:rPr>
        <w:t xml:space="preserve"> (Capital Projects Fund Guidance)</w:t>
      </w:r>
      <w:r w:rsidR="00FA2DCC">
        <w:t>;</w:t>
      </w:r>
    </w:p>
    <w:p w:rsidR="00FA2DCC" w:rsidP="00B36E30" w:rsidRDefault="008C5E46" w14:paraId="1E5F3824" w14:textId="52460E89">
      <w:pPr>
        <w:pStyle w:val="ListParagraph"/>
        <w:numPr>
          <w:ilvl w:val="0"/>
          <w:numId w:val="63"/>
        </w:numPr>
        <w:spacing w:after="0" w:line="240" w:lineRule="auto"/>
      </w:pPr>
      <w:r>
        <w:t>Grant Agreement</w:t>
      </w:r>
      <w:r w:rsidR="00FA2DCC">
        <w:t>;</w:t>
      </w:r>
    </w:p>
    <w:p w:rsidR="00FA2DCC" w:rsidP="00B36E30" w:rsidRDefault="009628D2" w14:paraId="7E07278C" w14:textId="64A8853E">
      <w:pPr>
        <w:pStyle w:val="ListParagraph"/>
        <w:numPr>
          <w:ilvl w:val="0"/>
          <w:numId w:val="63"/>
        </w:numPr>
        <w:spacing w:after="0" w:line="240" w:lineRule="auto"/>
      </w:pPr>
      <w:hyperlink w:history="1" r:id="rId17">
        <w:r w:rsidRPr="00AD5CBD" w:rsidR="00C81BC7">
          <w:rPr>
            <w:rStyle w:val="Hyperlink"/>
          </w:rPr>
          <w:t>Frequently Asked Questions (FAQs</w:t>
        </w:r>
      </w:hyperlink>
      <w:r w:rsidRPr="00AD5CBD" w:rsidR="00C81BC7">
        <w:rPr>
          <w:rStyle w:val="Hyperlink"/>
        </w:rPr>
        <w:t>)</w:t>
      </w:r>
      <w:r w:rsidR="00FA2DCC">
        <w:t>;</w:t>
      </w:r>
    </w:p>
    <w:p w:rsidR="003573F9" w:rsidP="00B36E30" w:rsidRDefault="009628D2" w14:paraId="7754C3FF" w14:textId="6BF06D9A">
      <w:pPr>
        <w:pStyle w:val="ListParagraph"/>
        <w:numPr>
          <w:ilvl w:val="0"/>
          <w:numId w:val="63"/>
        </w:numPr>
        <w:spacing w:after="0" w:line="240" w:lineRule="auto"/>
      </w:pPr>
      <w:hyperlink w:history="1" r:id="rId18">
        <w:r w:rsidRPr="007315FD" w:rsidR="003573F9">
          <w:rPr>
            <w:color w:val="638C1C" w:themeColor="hyperlink"/>
            <w:u w:val="single"/>
          </w:rPr>
          <w:t>Assistance Listing</w:t>
        </w:r>
      </w:hyperlink>
      <w:r w:rsidRPr="00DB37D1" w:rsidR="003573F9">
        <w:t xml:space="preserve"> in SAM.gov under </w:t>
      </w:r>
      <w:r w:rsidR="00F20E49">
        <w:t>A</w:t>
      </w:r>
      <w:r w:rsidRPr="00DB37D1" w:rsidR="00F20E49">
        <w:t xml:space="preserve">ssistance </w:t>
      </w:r>
      <w:r w:rsidR="00F20E49">
        <w:t>L</w:t>
      </w:r>
      <w:r w:rsidRPr="00DB37D1" w:rsidR="00F20E49">
        <w:t xml:space="preserve">isting </w:t>
      </w:r>
      <w:r w:rsidRPr="00DB37D1" w:rsidR="003573F9">
        <w:t>number (formerly known as CFDA number), 21.02</w:t>
      </w:r>
      <w:r w:rsidR="003573F9">
        <w:t>9; and</w:t>
      </w:r>
    </w:p>
    <w:p w:rsidR="00FA2DCC" w:rsidP="00B36E30" w:rsidRDefault="00FA2DCC" w14:paraId="77370BB4" w14:textId="29142CD3">
      <w:pPr>
        <w:pStyle w:val="ListParagraph"/>
        <w:numPr>
          <w:ilvl w:val="0"/>
          <w:numId w:val="63"/>
        </w:numPr>
        <w:spacing w:after="0" w:line="240" w:lineRule="auto"/>
      </w:pPr>
      <w:r>
        <w:t>O</w:t>
      </w:r>
      <w:r w:rsidRPr="00643082" w:rsidR="00FD483C">
        <w:t>ther regulatory and statutory requirements</w:t>
      </w:r>
      <w:r w:rsidR="00643082">
        <w:t xml:space="preserve">, including regulatory </w:t>
      </w:r>
      <w:r w:rsidR="00FD1516">
        <w:t>requirements</w:t>
      </w:r>
      <w:r w:rsidRPr="00643082" w:rsidR="00FD1516">
        <w:t xml:space="preserve"> </w:t>
      </w:r>
      <w:r w:rsidRPr="00643082" w:rsidR="00FD483C">
        <w:t>under</w:t>
      </w:r>
      <w:r w:rsidR="00C96513">
        <w:t xml:space="preserve"> the</w:t>
      </w:r>
      <w:r w:rsidR="00B5230C">
        <w:t xml:space="preserve"> </w:t>
      </w:r>
      <w:hyperlink w:history="1" r:id="rId19">
        <w:r w:rsidR="00C96513">
          <w:rPr>
            <w:rStyle w:val="Hyperlink"/>
          </w:rPr>
          <w:t>Uniform Guidance (2 CF</w:t>
        </w:r>
        <w:r w:rsidR="003167E5">
          <w:rPr>
            <w:rStyle w:val="Hyperlink"/>
          </w:rPr>
          <w:t>R</w:t>
        </w:r>
        <w:r w:rsidR="00C96513">
          <w:rPr>
            <w:rStyle w:val="Hyperlink"/>
          </w:rPr>
          <w:t xml:space="preserve"> Part 200)</w:t>
        </w:r>
      </w:hyperlink>
      <w:r w:rsidR="00B5230C">
        <w:t>.</w:t>
      </w:r>
      <w:r w:rsidR="00CB12B7">
        <w:t xml:space="preserve"> </w:t>
      </w:r>
      <w:r w:rsidRPr="00643082" w:rsidR="00074BA7">
        <w:t xml:space="preserve"> </w:t>
      </w:r>
    </w:p>
    <w:p w:rsidR="00FA2DCC" w:rsidP="00B36E30" w:rsidRDefault="00FA2DCC" w14:paraId="4A838173" w14:textId="77777777">
      <w:pPr>
        <w:spacing w:after="0" w:line="240" w:lineRule="auto"/>
      </w:pPr>
    </w:p>
    <w:p w:rsidR="00F2458A" w:rsidP="00B36E30" w:rsidRDefault="0083536D" w14:paraId="16D31842" w14:textId="42ACDB27">
      <w:pPr>
        <w:widowControl w:val="0"/>
        <w:spacing w:after="0" w:line="240" w:lineRule="auto"/>
      </w:pPr>
      <w:r>
        <w:t xml:space="preserve">This guidance is not applicable to </w:t>
      </w:r>
      <w:r w:rsidRPr="00F2458A" w:rsidR="00F2458A">
        <w:t xml:space="preserve">Tribal </w:t>
      </w:r>
      <w:r>
        <w:t>g</w:t>
      </w:r>
      <w:r w:rsidRPr="00F2458A" w:rsidR="00F2458A">
        <w:t>overnments</w:t>
      </w:r>
      <w:r w:rsidR="00CD606D">
        <w:t xml:space="preserve">.  </w:t>
      </w:r>
      <w:r>
        <w:t xml:space="preserve">Tribal </w:t>
      </w:r>
      <w:r w:rsidR="00F20E49">
        <w:t>R</w:t>
      </w:r>
      <w:r>
        <w:t>ecipients</w:t>
      </w:r>
      <w:r w:rsidRPr="00F2458A" w:rsidR="00F2458A">
        <w:t xml:space="preserve"> </w:t>
      </w:r>
      <w:r w:rsidR="00F2458A">
        <w:t xml:space="preserve">should </w:t>
      </w:r>
      <w:r w:rsidR="00CD606D">
        <w:t xml:space="preserve">instead </w:t>
      </w:r>
      <w:r w:rsidRPr="00F2458A" w:rsidR="00F2458A">
        <w:t xml:space="preserve">refer to </w:t>
      </w:r>
      <w:r w:rsidR="00367F49">
        <w:t>the</w:t>
      </w:r>
      <w:r w:rsidRPr="00F2458A" w:rsidR="00F2458A">
        <w:t xml:space="preserve"> </w:t>
      </w:r>
      <w:r w:rsidR="00F2458A">
        <w:t xml:space="preserve">Tribal Government Reporting Guidance that will </w:t>
      </w:r>
      <w:r w:rsidR="00F20E49">
        <w:t xml:space="preserve">published on the </w:t>
      </w:r>
      <w:hyperlink w:history="1" r:id="rId20">
        <w:r w:rsidR="00CD606D">
          <w:rPr>
            <w:rStyle w:val="Hyperlink"/>
          </w:rPr>
          <w:t>CPF website</w:t>
        </w:r>
      </w:hyperlink>
      <w:r w:rsidR="008B70D5">
        <w:t xml:space="preserve">. </w:t>
      </w:r>
    </w:p>
    <w:p w:rsidR="00FA2DCC" w:rsidP="00B36E30" w:rsidRDefault="00FA2DCC" w14:paraId="39885B0D" w14:textId="77777777">
      <w:pPr>
        <w:widowControl w:val="0"/>
        <w:spacing w:after="0" w:line="240" w:lineRule="auto"/>
        <w:rPr>
          <w:rFonts w:cs="Calibri"/>
        </w:rPr>
      </w:pPr>
    </w:p>
    <w:p w:rsidR="00EE5519" w:rsidP="003C53A4" w:rsidRDefault="00EE5519" w14:paraId="741197E8" w14:textId="2A18CC09">
      <w:pPr>
        <w:widowControl w:val="0"/>
        <w:spacing w:after="0" w:line="240" w:lineRule="auto"/>
        <w:rPr>
          <w:rFonts w:cs="Calibri"/>
        </w:rPr>
      </w:pPr>
      <w:r>
        <w:rPr>
          <w:rFonts w:cs="Calibri"/>
        </w:rPr>
        <w:t xml:space="preserve">Recipients are responsible for reporting on approved Program Plans and the associated Projects.  A “Program” means one or more Capital Projects with common characteristics (e.g., a group of Multi-Purpose Community Facility Projects that directly enable work, education, and health monitoring). </w:t>
      </w:r>
    </w:p>
    <w:p w:rsidR="00EE5519" w:rsidP="003C53A4" w:rsidRDefault="00EE5519" w14:paraId="5A662396" w14:textId="77777777">
      <w:pPr>
        <w:widowControl w:val="0"/>
        <w:spacing w:after="0" w:line="240" w:lineRule="auto"/>
        <w:rPr>
          <w:rFonts w:cs="Calibri"/>
        </w:rPr>
      </w:pPr>
    </w:p>
    <w:p w:rsidR="00FA2DCC" w:rsidP="003C53A4" w:rsidRDefault="00FA2DCC" w14:paraId="3F19CE4D" w14:textId="319D724C">
      <w:pPr>
        <w:widowControl w:val="0"/>
        <w:spacing w:after="0" w:line="240" w:lineRule="auto"/>
        <w:rPr>
          <w:rFonts w:cs="Calibri"/>
        </w:rPr>
      </w:pPr>
      <w:r w:rsidRPr="00E17EC8">
        <w:rPr>
          <w:rFonts w:cs="Calibri"/>
        </w:rPr>
        <w:t>Recipients are responsible for monitoring and overseeing</w:t>
      </w:r>
      <w:r>
        <w:rPr>
          <w:rFonts w:cs="Calibri"/>
        </w:rPr>
        <w:t xml:space="preserve"> </w:t>
      </w:r>
      <w:r w:rsidRPr="00E17EC8">
        <w:rPr>
          <w:rFonts w:cs="Calibri"/>
        </w:rPr>
        <w:t>Subrecipients’ use of funds and other activities related to the award to ensure that Subrecipient</w:t>
      </w:r>
      <w:r w:rsidR="00A71126">
        <w:rPr>
          <w:rFonts w:cs="Calibri"/>
        </w:rPr>
        <w:t>s</w:t>
      </w:r>
      <w:r w:rsidRPr="00E17EC8">
        <w:rPr>
          <w:rFonts w:cs="Calibri"/>
        </w:rPr>
        <w:t xml:space="preserve"> compl</w:t>
      </w:r>
      <w:r w:rsidR="00A71126">
        <w:rPr>
          <w:rFonts w:cs="Calibri"/>
        </w:rPr>
        <w:t>y</w:t>
      </w:r>
      <w:r>
        <w:rPr>
          <w:rFonts w:cs="Calibri"/>
        </w:rPr>
        <w:t xml:space="preserve"> </w:t>
      </w:r>
      <w:r w:rsidRPr="00E17EC8">
        <w:rPr>
          <w:rFonts w:cs="Calibri"/>
        </w:rPr>
        <w:t xml:space="preserve">with the </w:t>
      </w:r>
      <w:r w:rsidR="008C1A5F">
        <w:rPr>
          <w:rFonts w:cs="Calibri"/>
        </w:rPr>
        <w:t xml:space="preserve">applicable </w:t>
      </w:r>
      <w:r w:rsidRPr="00E17EC8">
        <w:rPr>
          <w:rFonts w:cs="Calibri"/>
        </w:rPr>
        <w:t>statutory and regulatory requirements</w:t>
      </w:r>
      <w:r w:rsidR="00A71126">
        <w:rPr>
          <w:rFonts w:cs="Calibri"/>
        </w:rPr>
        <w:t>,</w:t>
      </w:r>
      <w:r w:rsidRPr="00E17EC8">
        <w:rPr>
          <w:rFonts w:cs="Calibri"/>
        </w:rPr>
        <w:t xml:space="preserve"> and the terms and conditions of the award</w:t>
      </w:r>
      <w:r w:rsidR="00E8068F">
        <w:rPr>
          <w:rFonts w:cs="Calibri"/>
        </w:rPr>
        <w:t xml:space="preserve"> pursuant to 2 CFR 200.332</w:t>
      </w:r>
      <w:r w:rsidRPr="00E17EC8">
        <w:rPr>
          <w:rFonts w:cs="Calibri"/>
        </w:rPr>
        <w:t xml:space="preserve">. </w:t>
      </w:r>
    </w:p>
    <w:p w:rsidR="00FA2DCC" w:rsidP="003C53A4" w:rsidRDefault="00FA2DCC" w14:paraId="71F03E41" w14:textId="28912BEA">
      <w:pPr>
        <w:widowControl w:val="0"/>
        <w:spacing w:after="0" w:line="240" w:lineRule="auto"/>
        <w:rPr>
          <w:rFonts w:cs="Calibri"/>
        </w:rPr>
      </w:pPr>
    </w:p>
    <w:p w:rsidRPr="00B36E30" w:rsidR="003C53A4" w:rsidP="00B36E30" w:rsidRDefault="003C53A4" w14:paraId="35B3959A" w14:textId="0036A9C7">
      <w:pPr>
        <w:widowControl w:val="0"/>
        <w:spacing w:after="0" w:line="240" w:lineRule="auto"/>
        <w:rPr>
          <w:rFonts w:cs="Calibri"/>
        </w:rPr>
      </w:pPr>
      <w:r w:rsidRPr="00B36E30">
        <w:rPr>
          <w:rFonts w:cs="Calibri"/>
        </w:rPr>
        <w:t xml:space="preserve">In addition to </w:t>
      </w:r>
      <w:r>
        <w:rPr>
          <w:rFonts w:cs="Calibri"/>
        </w:rPr>
        <w:t xml:space="preserve">reporting to </w:t>
      </w:r>
      <w:r w:rsidRPr="00B36E30">
        <w:rPr>
          <w:rFonts w:cs="Calibri"/>
        </w:rPr>
        <w:t>Treasury</w:t>
      </w:r>
      <w:r>
        <w:rPr>
          <w:rFonts w:cs="Calibri"/>
        </w:rPr>
        <w:t xml:space="preserve">, </w:t>
      </w:r>
      <w:r w:rsidRPr="00B36E30">
        <w:rPr>
          <w:rFonts w:cs="Calibri"/>
        </w:rPr>
        <w:t>C</w:t>
      </w:r>
      <w:r>
        <w:rPr>
          <w:rFonts w:cs="Calibri"/>
        </w:rPr>
        <w:t>PF</w:t>
      </w:r>
      <w:r w:rsidR="00E12FC5">
        <w:rPr>
          <w:rFonts w:cs="Calibri"/>
        </w:rPr>
        <w:t xml:space="preserve"> R</w:t>
      </w:r>
      <w:r w:rsidRPr="00B36E30">
        <w:rPr>
          <w:rFonts w:cs="Calibri"/>
        </w:rPr>
        <w:t xml:space="preserve">ecipients </w:t>
      </w:r>
      <w:r w:rsidR="008C1A5F">
        <w:rPr>
          <w:rFonts w:cs="Calibri"/>
        </w:rPr>
        <w:t>are</w:t>
      </w:r>
      <w:r w:rsidRPr="00B36E30">
        <w:rPr>
          <w:rFonts w:cs="Calibri"/>
        </w:rPr>
        <w:t xml:space="preserve"> responsible for </w:t>
      </w:r>
      <w:r w:rsidR="00CD2B05">
        <w:rPr>
          <w:rFonts w:cs="Calibri"/>
        </w:rPr>
        <w:t>reporting on subawards in</w:t>
      </w:r>
      <w:r w:rsidR="00274575">
        <w:rPr>
          <w:rFonts w:cs="Calibri"/>
        </w:rPr>
        <w:t xml:space="preserve"> the </w:t>
      </w:r>
      <w:hyperlink w:history="1" r:id="rId21">
        <w:r w:rsidRPr="00F2458A">
          <w:rPr>
            <w:rStyle w:val="Hyperlink"/>
            <w:rFonts w:cs="Calibri"/>
          </w:rPr>
          <w:t>Federal Subaward Reporting System</w:t>
        </w:r>
      </w:hyperlink>
      <w:r w:rsidRPr="00B36E30">
        <w:rPr>
          <w:rFonts w:cs="Calibri"/>
        </w:rPr>
        <w:t xml:space="preserve"> (FSRS) </w:t>
      </w:r>
      <w:r w:rsidR="00CD2B05">
        <w:rPr>
          <w:rFonts w:cs="Calibri"/>
        </w:rPr>
        <w:t xml:space="preserve">and reporting executive compensation information in SAM.gov pursuant to 2 CFR Part 170, Appendix A, Award Term, which is incorporated by reference in the </w:t>
      </w:r>
      <w:r w:rsidR="00367F49">
        <w:rPr>
          <w:rFonts w:cs="Calibri"/>
        </w:rPr>
        <w:t>G</w:t>
      </w:r>
      <w:r w:rsidR="00CD2B05">
        <w:rPr>
          <w:rFonts w:cs="Calibri"/>
        </w:rPr>
        <w:t xml:space="preserve">rant </w:t>
      </w:r>
      <w:r w:rsidR="00367F49">
        <w:rPr>
          <w:rFonts w:cs="Calibri"/>
        </w:rPr>
        <w:t>Agreement</w:t>
      </w:r>
      <w:r w:rsidR="00CD2B05">
        <w:rPr>
          <w:rFonts w:cs="Calibri"/>
        </w:rPr>
        <w:t xml:space="preserve">. </w:t>
      </w:r>
      <w:r w:rsidR="00E16626">
        <w:rPr>
          <w:rFonts w:cs="Calibri"/>
        </w:rPr>
        <w:t xml:space="preserve"> </w:t>
      </w:r>
      <w:r w:rsidR="00CD2B05">
        <w:rPr>
          <w:rFonts w:cs="Calibri"/>
        </w:rPr>
        <w:t xml:space="preserve">Recipients must maintain an active </w:t>
      </w:r>
      <w:r w:rsidRPr="00B36E30">
        <w:rPr>
          <w:rFonts w:cs="Calibri"/>
        </w:rPr>
        <w:t>SAM.gov registration</w:t>
      </w:r>
      <w:r w:rsidR="00254527">
        <w:rPr>
          <w:rFonts w:cs="Calibri"/>
        </w:rPr>
        <w:t xml:space="preserve"> for the duration of their CPF award</w:t>
      </w:r>
      <w:r w:rsidR="00CD2B05">
        <w:rPr>
          <w:rFonts w:cs="Calibri"/>
        </w:rPr>
        <w:t xml:space="preserve"> pursuant to 2 CFR 25.200</w:t>
      </w:r>
      <w:r w:rsidR="00254527">
        <w:rPr>
          <w:rFonts w:cs="Calibri"/>
        </w:rPr>
        <w:t>(b)(2)</w:t>
      </w:r>
      <w:r w:rsidRPr="00B36E30">
        <w:rPr>
          <w:rFonts w:cs="Calibri"/>
        </w:rPr>
        <w:t>.</w:t>
      </w:r>
    </w:p>
    <w:p w:rsidR="00FA2DCC" w:rsidP="00B36E30" w:rsidRDefault="00FA2DCC" w14:paraId="2DF0E47F" w14:textId="77777777">
      <w:pPr>
        <w:spacing w:after="0" w:line="240" w:lineRule="auto"/>
      </w:pPr>
    </w:p>
    <w:p w:rsidR="00FA2DCC" w:rsidP="00B36E30" w:rsidRDefault="00FA2DCC" w14:paraId="1DA75490" w14:textId="3763DDC6">
      <w:pPr>
        <w:spacing w:after="0" w:line="240" w:lineRule="auto"/>
      </w:pPr>
    </w:p>
    <w:p w:rsidR="00E0754F" w:rsidP="00B36E30" w:rsidRDefault="00E0754F" w14:paraId="239704C2" w14:textId="739E3E72">
      <w:pPr>
        <w:pStyle w:val="NoSpacing"/>
      </w:pPr>
    </w:p>
    <w:p w:rsidR="008B70D5" w:rsidRDefault="008B70D5" w14:paraId="74B64B7C" w14:textId="38D82D65">
      <w:pPr>
        <w:rPr>
          <w:color w:val="004E7D"/>
          <w:sz w:val="28"/>
          <w:szCs w:val="28"/>
        </w:rPr>
      </w:pPr>
      <w:r>
        <w:rPr>
          <w:color w:val="004E7D"/>
          <w:sz w:val="28"/>
          <w:szCs w:val="28"/>
        </w:rPr>
        <w:br w:type="page"/>
      </w:r>
    </w:p>
    <w:p w:rsidRPr="00B36E30" w:rsidR="004D0B7F" w:rsidP="00B36E30" w:rsidRDefault="00F30A9A" w14:paraId="72B3D2F5" w14:textId="05768B61">
      <w:pPr>
        <w:pStyle w:val="Heading1"/>
        <w:rPr>
          <w:color w:val="002060"/>
        </w:rPr>
      </w:pPr>
      <w:bookmarkStart w:name="_Toc102719953" w:id="1"/>
      <w:r w:rsidRPr="00B36E30">
        <w:rPr>
          <w:color w:val="002060"/>
        </w:rPr>
        <w:lastRenderedPageBreak/>
        <w:t xml:space="preserve">Part 2: </w:t>
      </w:r>
      <w:r w:rsidRPr="00B36E30" w:rsidR="003573F9">
        <w:rPr>
          <w:color w:val="002060"/>
        </w:rPr>
        <w:t xml:space="preserve">Reporting </w:t>
      </w:r>
      <w:r w:rsidRPr="00B36E30" w:rsidR="00EE747D">
        <w:rPr>
          <w:color w:val="002060"/>
        </w:rPr>
        <w:t>Requirements</w:t>
      </w:r>
      <w:bookmarkEnd w:id="1"/>
      <w:r w:rsidRPr="00B36E30" w:rsidR="00EE747D">
        <w:rPr>
          <w:color w:val="002060"/>
        </w:rPr>
        <w:t xml:space="preserve"> </w:t>
      </w:r>
    </w:p>
    <w:p w:rsidR="00FC70DE" w:rsidP="006F0CF2" w:rsidRDefault="00EE747D" w14:paraId="22E3062C" w14:textId="26A7E8F1">
      <w:pPr>
        <w:pStyle w:val="NoSpacing"/>
        <w:spacing w:before="120" w:after="120"/>
        <w:jc w:val="both"/>
      </w:pPr>
      <w:bookmarkStart w:name="_Hlk74392754" w:id="2"/>
      <w:bookmarkEnd w:id="2"/>
      <w:r>
        <w:t>There are two types of reporting requirements</w:t>
      </w:r>
      <w:r w:rsidR="00A21C81">
        <w:t xml:space="preserve"> for the CPF </w:t>
      </w:r>
      <w:r w:rsidR="00A74C62">
        <w:t>Program</w:t>
      </w:r>
      <w:r>
        <w:t xml:space="preserve">.  </w:t>
      </w:r>
    </w:p>
    <w:p w:rsidR="00FC70DE" w:rsidP="006F0CF2" w:rsidRDefault="00FC70DE" w14:paraId="4CAA9F18" w14:textId="47DCB9D5">
      <w:pPr>
        <w:pStyle w:val="NoSpacing"/>
        <w:numPr>
          <w:ilvl w:val="0"/>
          <w:numId w:val="3"/>
        </w:numPr>
        <w:spacing w:after="120"/>
      </w:pPr>
      <w:r w:rsidRPr="00474D4F">
        <w:rPr>
          <w:b/>
          <w:bCs/>
        </w:rPr>
        <w:t>Project and Expenditure Repor</w:t>
      </w:r>
      <w:r w:rsidRPr="008B7FF7">
        <w:rPr>
          <w:b/>
          <w:bCs/>
        </w:rPr>
        <w:t>t</w:t>
      </w:r>
      <w:r w:rsidR="008B7FF7">
        <w:t xml:space="preserve"> </w:t>
      </w:r>
      <w:r w:rsidRPr="008B7FF7" w:rsidR="008B7FF7">
        <w:rPr>
          <w:b/>
          <w:bCs/>
        </w:rPr>
        <w:t>(P&amp;E)</w:t>
      </w:r>
      <w:r w:rsidRPr="00317684">
        <w:t>:</w:t>
      </w:r>
      <w:r w:rsidRPr="733DB328">
        <w:t xml:space="preserve"> </w:t>
      </w:r>
      <w:r w:rsidR="00986A2E">
        <w:t>A q</w:t>
      </w:r>
      <w:r w:rsidR="009C7D43">
        <w:t>uarterly r</w:t>
      </w:r>
      <w:r w:rsidRPr="00317684">
        <w:t xml:space="preserve">eport </w:t>
      </w:r>
      <w:r w:rsidR="00A23702">
        <w:t xml:space="preserve">to provide information </w:t>
      </w:r>
      <w:r w:rsidRPr="00317684">
        <w:t xml:space="preserve">on </w:t>
      </w:r>
      <w:r w:rsidR="00BB06FB">
        <w:t>Project</w:t>
      </w:r>
      <w:r w:rsidRPr="00317684">
        <w:t>s funded,</w:t>
      </w:r>
      <w:r w:rsidR="003144EE">
        <w:t xml:space="preserve"> obligations, </w:t>
      </w:r>
      <w:r w:rsidRPr="00317684">
        <w:t xml:space="preserve">expenditures, project status, </w:t>
      </w:r>
      <w:r w:rsidR="00735892">
        <w:t>outputs</w:t>
      </w:r>
      <w:r w:rsidR="001B0A92">
        <w:t xml:space="preserve">, </w:t>
      </w:r>
      <w:r w:rsidR="00F20E49">
        <w:t xml:space="preserve">performance indicators, </w:t>
      </w:r>
      <w:r w:rsidRPr="00317684">
        <w:t xml:space="preserve">and other information. </w:t>
      </w:r>
      <w:r w:rsidR="00390836">
        <w:t xml:space="preserve"> </w:t>
      </w:r>
      <w:r w:rsidR="00390836">
        <w:rPr>
          <w:b/>
          <w:bCs/>
          <w:color w:val="002060"/>
        </w:rPr>
        <w:t xml:space="preserve">See Section A, page </w:t>
      </w:r>
      <w:r w:rsidR="00A563CC">
        <w:rPr>
          <w:b/>
          <w:bCs/>
          <w:color w:val="002060"/>
        </w:rPr>
        <w:t>3</w:t>
      </w:r>
      <w:r w:rsidR="00390836">
        <w:rPr>
          <w:b/>
          <w:bCs/>
          <w:color w:val="002060"/>
        </w:rPr>
        <w:t xml:space="preserve">. </w:t>
      </w:r>
    </w:p>
    <w:p w:rsidRPr="006F0CF2" w:rsidR="00EE747D" w:rsidP="006F0CF2" w:rsidRDefault="00FC70DE" w14:paraId="281716C1" w14:textId="7AA36054">
      <w:pPr>
        <w:pStyle w:val="NoSpacing"/>
        <w:numPr>
          <w:ilvl w:val="0"/>
          <w:numId w:val="3"/>
        </w:numPr>
        <w:spacing w:after="240"/>
        <w:rPr>
          <w:rFonts w:eastAsiaTheme="minorEastAsia"/>
        </w:rPr>
      </w:pPr>
      <w:r>
        <w:rPr>
          <w:b/>
          <w:bCs/>
        </w:rPr>
        <w:t>P</w:t>
      </w:r>
      <w:r w:rsidRPr="5BF39851">
        <w:rPr>
          <w:b/>
          <w:bCs/>
        </w:rPr>
        <w:t xml:space="preserve">erformance </w:t>
      </w:r>
      <w:r>
        <w:rPr>
          <w:b/>
          <w:bCs/>
        </w:rPr>
        <w:t>R</w:t>
      </w:r>
      <w:r w:rsidRPr="5BF39851">
        <w:rPr>
          <w:b/>
          <w:bCs/>
        </w:rPr>
        <w:t>eport</w:t>
      </w:r>
      <w:r w:rsidRPr="00CA481E">
        <w:t>:</w:t>
      </w:r>
      <w:r>
        <w:t xml:space="preserve"> </w:t>
      </w:r>
      <w:r w:rsidR="009C7D43">
        <w:t>A</w:t>
      </w:r>
      <w:r w:rsidR="00986A2E">
        <w:t>n a</w:t>
      </w:r>
      <w:r w:rsidR="009C7D43">
        <w:t>nnual r</w:t>
      </w:r>
      <w:r>
        <w:t xml:space="preserve">eport to </w:t>
      </w:r>
      <w:r w:rsidR="003144EE">
        <w:t xml:space="preserve">provide information on </w:t>
      </w:r>
      <w:r>
        <w:t>C</w:t>
      </w:r>
      <w:r w:rsidR="00302FD9">
        <w:t>PF</w:t>
      </w:r>
      <w:r>
        <w:t>-</w:t>
      </w:r>
      <w:r w:rsidR="00735892">
        <w:t xml:space="preserve">funded </w:t>
      </w:r>
      <w:r w:rsidR="00A74C62">
        <w:t>Program</w:t>
      </w:r>
      <w:r>
        <w:t xml:space="preserve">s and </w:t>
      </w:r>
      <w:r w:rsidR="00473B15">
        <w:t xml:space="preserve">to </w:t>
      </w:r>
      <w:r>
        <w:t xml:space="preserve">describe </w:t>
      </w:r>
      <w:r w:rsidR="00735892">
        <w:t xml:space="preserve">the outputs and outcomes of </w:t>
      </w:r>
      <w:r w:rsidR="00A74C62">
        <w:t>Program</w:t>
      </w:r>
      <w:r w:rsidR="00735892">
        <w:t>s.</w:t>
      </w:r>
      <w:r w:rsidR="004C1E8D">
        <w:t xml:space="preserve"> </w:t>
      </w:r>
      <w:r w:rsidR="008770B1">
        <w:t xml:space="preserve"> </w:t>
      </w:r>
      <w:r w:rsidR="00390836">
        <w:rPr>
          <w:b/>
          <w:bCs/>
          <w:color w:val="002060"/>
        </w:rPr>
        <w:t xml:space="preserve">See Section B, page </w:t>
      </w:r>
      <w:r w:rsidR="00A563CC">
        <w:rPr>
          <w:b/>
          <w:bCs/>
          <w:color w:val="002060"/>
        </w:rPr>
        <w:t>9</w:t>
      </w:r>
      <w:r w:rsidR="00735892">
        <w:rPr>
          <w:b/>
          <w:bCs/>
          <w:color w:val="002060"/>
        </w:rPr>
        <w:t>.</w:t>
      </w:r>
    </w:p>
    <w:p w:rsidRPr="006F0CF2" w:rsidR="00854A2A" w:rsidP="006F0CF2" w:rsidRDefault="00854A2A" w14:paraId="3045AD99" w14:textId="29A8C316">
      <w:pPr>
        <w:pStyle w:val="NoSpacing"/>
        <w:spacing w:after="240"/>
      </w:pPr>
      <w:r>
        <w:t xml:space="preserve">Reporting will be due according to the schedule below, which may be modified by Treasury with prior notice to Recipients.  The first quarterly </w:t>
      </w:r>
      <w:r w:rsidR="00E17030">
        <w:t>P</w:t>
      </w:r>
      <w:r>
        <w:t xml:space="preserve">roject and </w:t>
      </w:r>
      <w:r w:rsidR="00E17030">
        <w:t>E</w:t>
      </w:r>
      <w:r>
        <w:t xml:space="preserve">xpenditure </w:t>
      </w:r>
      <w:r w:rsidR="00E17030">
        <w:t>R</w:t>
      </w:r>
      <w:r>
        <w:t xml:space="preserve">eport is due on </w:t>
      </w:r>
      <w:r w:rsidR="00122455">
        <w:t>October</w:t>
      </w:r>
      <w:r w:rsidDel="00BB18FC" w:rsidR="00122455">
        <w:t xml:space="preserve"> </w:t>
      </w:r>
      <w:r w:rsidR="00800708">
        <w:t xml:space="preserve">31, </w:t>
      </w:r>
      <w:proofErr w:type="gramStart"/>
      <w:r w:rsidR="00800708">
        <w:t>2022</w:t>
      </w:r>
      <w:proofErr w:type="gramEnd"/>
      <w:r w:rsidR="00800708">
        <w:t xml:space="preserve"> and</w:t>
      </w:r>
      <w:r>
        <w:t xml:space="preserve"> must cover all </w:t>
      </w:r>
      <w:r w:rsidR="005D78F7">
        <w:t xml:space="preserve">use of CPF award funds from the date of award disbursement </w:t>
      </w:r>
      <w:r>
        <w:t xml:space="preserve">until </w:t>
      </w:r>
      <w:r w:rsidR="00122455">
        <w:t>September</w:t>
      </w:r>
      <w:r w:rsidDel="00BB18FC" w:rsidR="00122455">
        <w:t xml:space="preserve"> </w:t>
      </w:r>
      <w:r>
        <w:t xml:space="preserve">30, 2022, including </w:t>
      </w:r>
      <w:r w:rsidR="00367F49">
        <w:t xml:space="preserve">use of funds for </w:t>
      </w:r>
      <w:r>
        <w:t xml:space="preserve">approved Pre-Award Costs (described </w:t>
      </w:r>
      <w:r w:rsidRPr="00405C3F">
        <w:rPr>
          <w:i/>
          <w:iCs/>
        </w:rPr>
        <w:t>at</w:t>
      </w:r>
      <w:r w:rsidRPr="00A563CC">
        <w:t xml:space="preserve"> </w:t>
      </w:r>
      <w:r w:rsidRPr="00405C3F">
        <w:t xml:space="preserve">Sec. </w:t>
      </w:r>
      <w:r w:rsidRPr="00405C3F" w:rsidR="00A563CC">
        <w:t>3.b.5</w:t>
      </w:r>
      <w:r w:rsidR="00A563CC">
        <w:t>)</w:t>
      </w:r>
      <w:r>
        <w:t xml:space="preserve">.  </w:t>
      </w:r>
    </w:p>
    <w:p w:rsidRPr="00B825C8" w:rsidR="006F0CF2" w:rsidP="006F0CF2" w:rsidRDefault="00992271" w14:paraId="1C16F806" w14:textId="4EC36E86">
      <w:pPr>
        <w:pStyle w:val="NoSpacing"/>
        <w:spacing w:after="120"/>
        <w:rPr>
          <w:rFonts w:eastAsiaTheme="minorEastAsia"/>
        </w:rPr>
      </w:pPr>
      <w:r>
        <w:t xml:space="preserve">All reporting must be submitted through Treasury’s </w:t>
      </w:r>
      <w:r w:rsidR="00F20E49">
        <w:t>Reporting P</w:t>
      </w:r>
      <w:r>
        <w:t xml:space="preserve">ortal.  </w:t>
      </w:r>
      <w:r w:rsidRPr="00AA3FC8" w:rsidR="00EE747D">
        <w:rPr>
          <w:b/>
          <w:bCs/>
        </w:rPr>
        <w:t>Table 1</w:t>
      </w:r>
      <w:r w:rsidR="00EE747D">
        <w:t xml:space="preserve"> shows the reporting requirements</w:t>
      </w:r>
      <w:r w:rsidR="008B58E9">
        <w:t xml:space="preserve"> for States, territories</w:t>
      </w:r>
      <w:r w:rsidR="00346FCB">
        <w:t>,</w:t>
      </w:r>
      <w:r w:rsidR="008B58E9">
        <w:t xml:space="preserve"> and freely associated states</w:t>
      </w:r>
      <w:r w:rsidR="00914B8A">
        <w:t>.</w:t>
      </w:r>
    </w:p>
    <w:p w:rsidRPr="00405C3F" w:rsidR="008B7FF7" w:rsidP="006F0CF2" w:rsidRDefault="008B7FF7" w14:paraId="5A1A85FF" w14:textId="6C40FE66">
      <w:pPr>
        <w:pStyle w:val="Caption"/>
        <w:keepNext/>
        <w:keepLines/>
        <w:spacing w:after="120"/>
        <w:jc w:val="center"/>
        <w:rPr>
          <w:b/>
          <w:i w:val="0"/>
          <w:color w:val="auto"/>
          <w:sz w:val="22"/>
          <w:szCs w:val="22"/>
        </w:rPr>
      </w:pPr>
      <w:r w:rsidRPr="00405C3F">
        <w:rPr>
          <w:b/>
          <w:bCs/>
          <w:i w:val="0"/>
          <w:iCs w:val="0"/>
          <w:color w:val="auto"/>
          <w:sz w:val="22"/>
          <w:szCs w:val="22"/>
        </w:rPr>
        <w:t>Table 1: Report Timelines</w:t>
      </w:r>
    </w:p>
    <w:tbl>
      <w:tblPr>
        <w:tblW w:w="8720" w:type="dxa"/>
        <w:tblLayout w:type="fixed"/>
        <w:tblCellMar>
          <w:left w:w="0" w:type="dxa"/>
          <w:right w:w="0" w:type="dxa"/>
        </w:tblCellMar>
        <w:tblLook w:val="04A0" w:firstRow="1" w:lastRow="0" w:firstColumn="1" w:lastColumn="0" w:noHBand="0" w:noVBand="1"/>
      </w:tblPr>
      <w:tblGrid>
        <w:gridCol w:w="890"/>
        <w:gridCol w:w="1530"/>
        <w:gridCol w:w="4337"/>
        <w:gridCol w:w="1963"/>
      </w:tblGrid>
      <w:tr w:rsidR="00664A0D" w:rsidTr="00852D6F" w14:paraId="5697F035" w14:textId="77777777">
        <w:tc>
          <w:tcPr>
            <w:tcW w:w="890" w:type="dxa"/>
            <w:tcBorders>
              <w:top w:val="single" w:color="auto" w:sz="8" w:space="0"/>
              <w:left w:val="single" w:color="auto" w:sz="8" w:space="0"/>
              <w:bottom w:val="single" w:color="auto" w:sz="8" w:space="0"/>
              <w:right w:val="single" w:color="auto" w:sz="8" w:space="0"/>
            </w:tcBorders>
            <w:shd w:val="clear" w:color="auto" w:fill="003453" w:themeFill="accent6" w:themeFillShade="80"/>
          </w:tcPr>
          <w:p w:rsidRPr="00440EF3" w:rsidR="00664A0D" w:rsidP="00664A0D" w:rsidRDefault="00664A0D" w14:paraId="46937149" w14:textId="77777777">
            <w:pPr>
              <w:pStyle w:val="NoSpacing"/>
              <w:keepNext/>
              <w:keepLines/>
              <w:jc w:val="center"/>
              <w:rPr>
                <w:b/>
                <w:bCs/>
                <w:color w:val="FFFFFF" w:themeColor="background1"/>
                <w:lang w:val="en-IN"/>
              </w:rPr>
            </w:pPr>
            <w:r w:rsidRPr="00440EF3">
              <w:rPr>
                <w:b/>
                <w:bCs/>
                <w:color w:val="FFFFFF" w:themeColor="background1"/>
                <w:lang w:val="en-IN"/>
              </w:rPr>
              <w:t>Report</w:t>
            </w:r>
          </w:p>
        </w:tc>
        <w:tc>
          <w:tcPr>
            <w:tcW w:w="1530" w:type="dxa"/>
            <w:tcBorders>
              <w:top w:val="single" w:color="auto" w:sz="8" w:space="0"/>
              <w:left w:val="single" w:color="auto" w:sz="8" w:space="0"/>
              <w:bottom w:val="single" w:color="auto" w:sz="8" w:space="0"/>
              <w:right w:val="single" w:color="auto" w:sz="8" w:space="0"/>
            </w:tcBorders>
            <w:shd w:val="clear" w:color="auto" w:fill="003453" w:themeFill="accent6" w:themeFillShade="80"/>
            <w:tcMar>
              <w:top w:w="0" w:type="dxa"/>
              <w:left w:w="108" w:type="dxa"/>
              <w:bottom w:w="0" w:type="dxa"/>
              <w:right w:w="108" w:type="dxa"/>
            </w:tcMar>
            <w:hideMark/>
          </w:tcPr>
          <w:p w:rsidRPr="00440EF3" w:rsidR="00664A0D" w:rsidP="009A35B8" w:rsidRDefault="00664A0D" w14:paraId="0E926E99" w14:textId="77777777">
            <w:pPr>
              <w:pStyle w:val="NoSpacing"/>
              <w:keepNext/>
              <w:keepLines/>
              <w:jc w:val="center"/>
              <w:rPr>
                <w:b/>
                <w:bCs/>
                <w:color w:val="FFFFFF" w:themeColor="background1"/>
                <w:lang w:val="en-IN"/>
              </w:rPr>
            </w:pPr>
            <w:r>
              <w:rPr>
                <w:b/>
                <w:bCs/>
                <w:color w:val="FFFFFF" w:themeColor="background1"/>
                <w:lang w:val="en-IN"/>
              </w:rPr>
              <w:t>Report Type</w:t>
            </w:r>
          </w:p>
        </w:tc>
        <w:tc>
          <w:tcPr>
            <w:tcW w:w="4337" w:type="dxa"/>
            <w:tcBorders>
              <w:top w:val="single" w:color="auto" w:sz="8" w:space="0"/>
              <w:left w:val="nil"/>
              <w:bottom w:val="single" w:color="auto" w:sz="8" w:space="0"/>
              <w:right w:val="single" w:color="auto" w:sz="8" w:space="0"/>
            </w:tcBorders>
            <w:shd w:val="clear" w:color="auto" w:fill="003453" w:themeFill="accent6" w:themeFillShade="80"/>
            <w:tcMar>
              <w:top w:w="0" w:type="dxa"/>
              <w:left w:w="108" w:type="dxa"/>
              <w:bottom w:w="0" w:type="dxa"/>
              <w:right w:w="108" w:type="dxa"/>
            </w:tcMar>
            <w:hideMark/>
          </w:tcPr>
          <w:p w:rsidRPr="00440EF3" w:rsidR="00664A0D" w:rsidP="009A35B8" w:rsidRDefault="00664A0D" w14:paraId="22A98DC5" w14:textId="77777777">
            <w:pPr>
              <w:pStyle w:val="NoSpacing"/>
              <w:keepNext/>
              <w:keepLines/>
              <w:jc w:val="center"/>
              <w:rPr>
                <w:b/>
                <w:bCs/>
                <w:color w:val="FFFFFF" w:themeColor="background1"/>
                <w:lang w:val="en-IN"/>
              </w:rPr>
            </w:pPr>
            <w:r w:rsidRPr="00440EF3">
              <w:rPr>
                <w:b/>
                <w:bCs/>
                <w:color w:val="FFFFFF" w:themeColor="background1"/>
                <w:lang w:val="en-IN"/>
              </w:rPr>
              <w:t>Period Covered</w:t>
            </w:r>
          </w:p>
        </w:tc>
        <w:tc>
          <w:tcPr>
            <w:tcW w:w="1963" w:type="dxa"/>
            <w:tcBorders>
              <w:top w:val="single" w:color="auto" w:sz="8" w:space="0"/>
              <w:left w:val="nil"/>
              <w:bottom w:val="single" w:color="auto" w:sz="8" w:space="0"/>
              <w:right w:val="single" w:color="auto" w:sz="8" w:space="0"/>
            </w:tcBorders>
            <w:shd w:val="clear" w:color="auto" w:fill="003453" w:themeFill="accent6" w:themeFillShade="80"/>
            <w:tcMar>
              <w:top w:w="0" w:type="dxa"/>
              <w:left w:w="108" w:type="dxa"/>
              <w:bottom w:w="0" w:type="dxa"/>
              <w:right w:w="108" w:type="dxa"/>
            </w:tcMar>
            <w:hideMark/>
          </w:tcPr>
          <w:p w:rsidRPr="00440EF3" w:rsidR="00664A0D" w:rsidP="009A35B8" w:rsidRDefault="00664A0D" w14:paraId="5DB07C28" w14:textId="77777777">
            <w:pPr>
              <w:pStyle w:val="NoSpacing"/>
              <w:keepNext/>
              <w:keepLines/>
              <w:jc w:val="center"/>
              <w:rPr>
                <w:b/>
                <w:bCs/>
                <w:color w:val="FFFFFF" w:themeColor="background1"/>
                <w:lang w:val="en-IN"/>
              </w:rPr>
            </w:pPr>
            <w:r w:rsidRPr="00440EF3">
              <w:rPr>
                <w:b/>
                <w:bCs/>
                <w:color w:val="FFFFFF" w:themeColor="background1"/>
                <w:lang w:val="en-IN"/>
              </w:rPr>
              <w:t>Due Date</w:t>
            </w:r>
          </w:p>
        </w:tc>
      </w:tr>
      <w:tr w:rsidR="00664A0D" w:rsidTr="00CD606D" w14:paraId="5A5F1DED" w14:textId="77777777">
        <w:tc>
          <w:tcPr>
            <w:tcW w:w="890" w:type="dxa"/>
            <w:tcBorders>
              <w:top w:val="nil"/>
              <w:left w:val="single" w:color="auto" w:sz="8" w:space="0"/>
              <w:bottom w:val="single" w:color="auto" w:sz="8" w:space="0"/>
              <w:right w:val="single" w:color="auto" w:sz="8" w:space="0"/>
            </w:tcBorders>
          </w:tcPr>
          <w:p w:rsidRPr="000E22EB" w:rsidR="00664A0D" w:rsidP="00664A0D" w:rsidRDefault="00664A0D" w14:paraId="1DE70DC1" w14:textId="23BB0EBB">
            <w:pPr>
              <w:pStyle w:val="NoSpacing"/>
              <w:keepNext/>
              <w:keepLines/>
              <w:jc w:val="center"/>
              <w:rPr>
                <w:lang w:val="en-IN"/>
              </w:rPr>
            </w:pPr>
            <w:r>
              <w:rPr>
                <w:lang w:val="en-IN"/>
              </w:rPr>
              <w:t>1</w:t>
            </w:r>
            <w:r w:rsidRPr="00B825C8">
              <w:rPr>
                <w:rStyle w:val="FootnoteReference"/>
                <w:lang w:val="en-IN"/>
              </w:rPr>
              <w:footnoteReference w:customMarkFollows="1" w:id="2"/>
              <w:t>†</w:t>
            </w:r>
          </w:p>
        </w:tc>
        <w:tc>
          <w:tcPr>
            <w:tcW w:w="15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21798" w:rsidR="00664A0D" w:rsidP="009A35B8" w:rsidRDefault="00664A0D" w14:paraId="68F5697E" w14:textId="05E6467D">
            <w:pPr>
              <w:pStyle w:val="NoSpacing"/>
              <w:keepNext/>
              <w:keepLines/>
              <w:jc w:val="center"/>
              <w:rPr>
                <w:lang w:val="en-IN"/>
              </w:rPr>
            </w:pPr>
            <w:r>
              <w:rPr>
                <w:lang w:val="en-IN"/>
              </w:rPr>
              <w:t>P&amp;E Q0,1,2</w:t>
            </w:r>
            <w:r w:rsidR="00291268">
              <w:rPr>
                <w:lang w:val="en-IN"/>
              </w:rPr>
              <w:t>,3</w:t>
            </w:r>
          </w:p>
        </w:tc>
        <w:tc>
          <w:tcPr>
            <w:tcW w:w="4337" w:type="dxa"/>
            <w:tcBorders>
              <w:top w:val="nil"/>
              <w:left w:val="nil"/>
              <w:bottom w:val="single" w:color="auto" w:sz="8" w:space="0"/>
              <w:right w:val="single" w:color="auto" w:sz="8" w:space="0"/>
            </w:tcBorders>
            <w:tcMar>
              <w:top w:w="0" w:type="dxa"/>
              <w:left w:w="108" w:type="dxa"/>
              <w:bottom w:w="0" w:type="dxa"/>
              <w:right w:w="108" w:type="dxa"/>
            </w:tcMar>
            <w:hideMark/>
          </w:tcPr>
          <w:p w:rsidRPr="00E21798" w:rsidR="00664A0D" w:rsidP="009A35B8" w:rsidRDefault="00664A0D" w14:paraId="29DCE58F" w14:textId="671A5C7E">
            <w:pPr>
              <w:pStyle w:val="NoSpacing"/>
              <w:keepNext/>
              <w:keepLines/>
              <w:jc w:val="center"/>
              <w:rPr>
                <w:lang w:val="en-IN"/>
              </w:rPr>
            </w:pPr>
            <w:r>
              <w:rPr>
                <w:lang w:val="en-IN"/>
              </w:rPr>
              <w:t xml:space="preserve">All Costs Incurred Until </w:t>
            </w:r>
            <w:r w:rsidR="00291268">
              <w:rPr>
                <w:lang w:val="en-IN"/>
              </w:rPr>
              <w:t>September</w:t>
            </w:r>
            <w:r w:rsidDel="00595833" w:rsidR="00291268">
              <w:rPr>
                <w:lang w:val="en-IN"/>
              </w:rPr>
              <w:t xml:space="preserve"> </w:t>
            </w:r>
            <w:r>
              <w:rPr>
                <w:lang w:val="en-IN"/>
              </w:rPr>
              <w:t>30, 2022 (Including Pre-Award Costs)</w:t>
            </w:r>
          </w:p>
        </w:tc>
        <w:tc>
          <w:tcPr>
            <w:tcW w:w="1963" w:type="dxa"/>
            <w:tcBorders>
              <w:top w:val="nil"/>
              <w:left w:val="nil"/>
              <w:bottom w:val="single" w:color="auto" w:sz="8" w:space="0"/>
              <w:right w:val="single" w:color="auto" w:sz="8" w:space="0"/>
            </w:tcBorders>
            <w:tcMar>
              <w:top w:w="0" w:type="dxa"/>
              <w:left w:w="108" w:type="dxa"/>
              <w:bottom w:w="0" w:type="dxa"/>
              <w:right w:w="108" w:type="dxa"/>
            </w:tcMar>
            <w:hideMark/>
          </w:tcPr>
          <w:p w:rsidRPr="00CA1498" w:rsidR="00664A0D" w:rsidP="009A35B8" w:rsidRDefault="00291268" w14:paraId="1A5F702D" w14:textId="795B3193">
            <w:pPr>
              <w:pStyle w:val="NoSpacing"/>
              <w:keepNext/>
              <w:keepLines/>
              <w:jc w:val="center"/>
              <w:rPr>
                <w:lang w:val="en-IN"/>
              </w:rPr>
            </w:pPr>
            <w:r w:rsidDel="00595833">
              <w:rPr>
                <w:lang w:val="en-IN"/>
              </w:rPr>
              <w:t>October 31, 2022</w:t>
            </w:r>
            <w:r w:rsidRPr="00B825C8" w:rsidR="00664A0D">
              <w:rPr>
                <w:vertAlign w:val="superscript"/>
                <w:lang w:val="en-IN"/>
              </w:rPr>
              <w:t>†</w:t>
            </w:r>
          </w:p>
        </w:tc>
      </w:tr>
      <w:tr w:rsidR="00664A0D" w:rsidTr="00CD606D" w14:paraId="5C5D3CBD" w14:textId="77777777">
        <w:tc>
          <w:tcPr>
            <w:tcW w:w="890" w:type="dxa"/>
            <w:tcBorders>
              <w:top w:val="single" w:color="auto" w:sz="8" w:space="0"/>
              <w:left w:val="single" w:color="auto" w:sz="8" w:space="0"/>
              <w:bottom w:val="single" w:color="auto" w:sz="8" w:space="0"/>
              <w:right w:val="single" w:color="auto" w:sz="8" w:space="0"/>
            </w:tcBorders>
          </w:tcPr>
          <w:p w:rsidRPr="000E22EB" w:rsidR="00664A0D" w:rsidP="00664A0D" w:rsidRDefault="00291268" w14:paraId="147EF0B7" w14:textId="3A89D282">
            <w:pPr>
              <w:pStyle w:val="NoSpacing"/>
              <w:keepNext/>
              <w:keepLines/>
              <w:jc w:val="center"/>
              <w:rPr>
                <w:lang w:val="en-IN"/>
              </w:rPr>
            </w:pPr>
            <w:r>
              <w:rPr>
                <w:lang w:val="en-IN"/>
              </w:rPr>
              <w:t>2</w:t>
            </w:r>
          </w:p>
        </w:tc>
        <w:tc>
          <w:tcPr>
            <w:tcW w:w="15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E21798" w:rsidR="00664A0D" w:rsidP="009A35B8" w:rsidRDefault="00664A0D" w14:paraId="4F52A37C" w14:textId="77777777">
            <w:pPr>
              <w:pStyle w:val="NoSpacing"/>
              <w:keepNext/>
              <w:keepLines/>
              <w:jc w:val="center"/>
              <w:rPr>
                <w:lang w:val="en-IN"/>
              </w:rPr>
            </w:pPr>
            <w:r>
              <w:rPr>
                <w:lang w:val="en-IN"/>
              </w:rPr>
              <w:t>P&amp;E Q4</w:t>
            </w:r>
          </w:p>
        </w:tc>
        <w:tc>
          <w:tcPr>
            <w:tcW w:w="433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21798" w:rsidR="00664A0D" w:rsidP="009A35B8" w:rsidRDefault="00664A0D" w14:paraId="30569B2C" w14:textId="66BBE32D">
            <w:pPr>
              <w:pStyle w:val="NoSpacing"/>
              <w:keepNext/>
              <w:keepLines/>
              <w:jc w:val="center"/>
              <w:rPr>
                <w:lang w:val="en-IN"/>
              </w:rPr>
            </w:pPr>
            <w:r>
              <w:rPr>
                <w:lang w:val="en-IN"/>
              </w:rPr>
              <w:t>October 1, 2022 – December 31, 2022</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A1498" w:rsidR="00664A0D" w:rsidP="009A35B8" w:rsidRDefault="00664A0D" w14:paraId="058BB9A2" w14:textId="77777777">
            <w:pPr>
              <w:pStyle w:val="NoSpacing"/>
              <w:keepNext/>
              <w:keepLines/>
              <w:jc w:val="center"/>
              <w:rPr>
                <w:lang w:val="en-IN"/>
              </w:rPr>
            </w:pPr>
            <w:r>
              <w:rPr>
                <w:lang w:val="en-IN"/>
              </w:rPr>
              <w:t>January 31, 2023</w:t>
            </w:r>
          </w:p>
        </w:tc>
      </w:tr>
      <w:tr w:rsidR="00664A0D" w:rsidTr="00CD606D" w14:paraId="7D874318" w14:textId="77777777">
        <w:tc>
          <w:tcPr>
            <w:tcW w:w="890" w:type="dxa"/>
            <w:tcBorders>
              <w:top w:val="single" w:color="auto" w:sz="8" w:space="0"/>
              <w:left w:val="single" w:color="auto" w:sz="8" w:space="0"/>
              <w:bottom w:val="single" w:color="auto" w:sz="8" w:space="0"/>
              <w:right w:val="single" w:color="auto" w:sz="8" w:space="0"/>
            </w:tcBorders>
            <w:shd w:val="clear" w:color="auto" w:fill="D9D9D9" w:themeFill="background2" w:themeFillShade="D9"/>
          </w:tcPr>
          <w:p w:rsidR="00664A0D" w:rsidP="00664A0D" w:rsidRDefault="00664A0D" w14:paraId="7FF00409" w14:textId="77777777">
            <w:pPr>
              <w:pStyle w:val="NoSpacing"/>
              <w:keepNext/>
              <w:keepLines/>
              <w:jc w:val="center"/>
              <w:rPr>
                <w:lang w:val="en-IN"/>
              </w:rPr>
            </w:pPr>
            <w:r>
              <w:rPr>
                <w:lang w:val="en-IN"/>
              </w:rPr>
              <w:t>P1</w:t>
            </w:r>
          </w:p>
        </w:tc>
        <w:tc>
          <w:tcPr>
            <w:tcW w:w="1530" w:type="dxa"/>
            <w:tcBorders>
              <w:top w:val="single" w:color="auto" w:sz="8" w:space="0"/>
              <w:left w:val="single" w:color="auto" w:sz="8" w:space="0"/>
              <w:bottom w:val="single" w:color="auto" w:sz="8" w:space="0"/>
              <w:right w:val="single" w:color="auto" w:sz="8" w:space="0"/>
            </w:tcBorders>
            <w:shd w:val="clear" w:color="auto" w:fill="D9D9D9" w:themeFill="background2" w:themeFillShade="D9"/>
            <w:tcMar>
              <w:top w:w="0" w:type="dxa"/>
              <w:left w:w="108" w:type="dxa"/>
              <w:bottom w:w="0" w:type="dxa"/>
              <w:right w:w="108" w:type="dxa"/>
            </w:tcMar>
          </w:tcPr>
          <w:p w:rsidR="00664A0D" w:rsidP="009A35B8" w:rsidRDefault="00664A0D" w14:paraId="3190DC8A" w14:textId="77777777">
            <w:pPr>
              <w:pStyle w:val="NoSpacing"/>
              <w:keepNext/>
              <w:keepLines/>
              <w:jc w:val="center"/>
              <w:rPr>
                <w:lang w:val="en-IN"/>
              </w:rPr>
            </w:pPr>
            <w:r>
              <w:rPr>
                <w:lang w:val="en-IN"/>
              </w:rPr>
              <w:t>Performance</w:t>
            </w:r>
          </w:p>
        </w:tc>
        <w:tc>
          <w:tcPr>
            <w:tcW w:w="4337" w:type="dxa"/>
            <w:tcBorders>
              <w:top w:val="single" w:color="auto" w:sz="8" w:space="0"/>
              <w:left w:val="nil"/>
              <w:bottom w:val="single" w:color="auto" w:sz="8" w:space="0"/>
              <w:right w:val="single" w:color="auto" w:sz="8" w:space="0"/>
            </w:tcBorders>
            <w:shd w:val="clear" w:color="auto" w:fill="D9D9D9" w:themeFill="background2" w:themeFillShade="D9"/>
            <w:tcMar>
              <w:top w:w="0" w:type="dxa"/>
              <w:left w:w="108" w:type="dxa"/>
              <w:bottom w:w="0" w:type="dxa"/>
              <w:right w:w="108" w:type="dxa"/>
            </w:tcMar>
          </w:tcPr>
          <w:p w:rsidR="00664A0D" w:rsidP="009A35B8" w:rsidRDefault="00664A0D" w14:paraId="1D695554" w14:textId="2352441F">
            <w:pPr>
              <w:pStyle w:val="NoSpacing"/>
              <w:keepNext/>
              <w:keepLines/>
              <w:jc w:val="center"/>
              <w:rPr>
                <w:lang w:val="en-IN"/>
              </w:rPr>
            </w:pPr>
            <w:r>
              <w:rPr>
                <w:lang w:val="en-IN"/>
              </w:rPr>
              <w:t>All Performance Until December 31, 2022</w:t>
            </w:r>
          </w:p>
        </w:tc>
        <w:tc>
          <w:tcPr>
            <w:tcW w:w="1963" w:type="dxa"/>
            <w:tcBorders>
              <w:top w:val="single" w:color="auto" w:sz="8" w:space="0"/>
              <w:left w:val="nil"/>
              <w:bottom w:val="single" w:color="auto" w:sz="8" w:space="0"/>
              <w:right w:val="single" w:color="auto" w:sz="8" w:space="0"/>
            </w:tcBorders>
            <w:shd w:val="clear" w:color="auto" w:fill="D9D9D9" w:themeFill="background2" w:themeFillShade="D9"/>
            <w:tcMar>
              <w:top w:w="0" w:type="dxa"/>
              <w:left w:w="108" w:type="dxa"/>
              <w:bottom w:w="0" w:type="dxa"/>
              <w:right w:w="108" w:type="dxa"/>
            </w:tcMar>
          </w:tcPr>
          <w:p w:rsidR="00664A0D" w:rsidP="009A35B8" w:rsidRDefault="00664A0D" w14:paraId="6CFB3E05" w14:textId="77777777">
            <w:pPr>
              <w:pStyle w:val="NoSpacing"/>
              <w:keepNext/>
              <w:keepLines/>
              <w:jc w:val="center"/>
              <w:rPr>
                <w:lang w:val="en-IN"/>
              </w:rPr>
            </w:pPr>
            <w:r>
              <w:rPr>
                <w:lang w:val="en-IN"/>
              </w:rPr>
              <w:t>January 31, 2023</w:t>
            </w:r>
          </w:p>
        </w:tc>
      </w:tr>
      <w:tr w:rsidR="00664A0D" w:rsidTr="00CD606D" w14:paraId="79FD8013" w14:textId="77777777">
        <w:tc>
          <w:tcPr>
            <w:tcW w:w="890" w:type="dxa"/>
            <w:tcBorders>
              <w:top w:val="single" w:color="auto" w:sz="8" w:space="0"/>
              <w:left w:val="single" w:color="auto" w:sz="8" w:space="0"/>
              <w:bottom w:val="single" w:color="auto" w:sz="8" w:space="0"/>
              <w:right w:val="single" w:color="auto" w:sz="8" w:space="0"/>
            </w:tcBorders>
          </w:tcPr>
          <w:p w:rsidRPr="000E22EB" w:rsidR="00664A0D" w:rsidP="00664A0D" w:rsidRDefault="00291268" w14:paraId="4925E488" w14:textId="545D93AD">
            <w:pPr>
              <w:pStyle w:val="NoSpacing"/>
              <w:keepNext/>
              <w:keepLines/>
              <w:jc w:val="center"/>
              <w:rPr>
                <w:lang w:val="en-IN"/>
              </w:rPr>
            </w:pPr>
            <w:r>
              <w:rPr>
                <w:lang w:val="en-IN"/>
              </w:rPr>
              <w:t>3</w:t>
            </w:r>
          </w:p>
        </w:tc>
        <w:tc>
          <w:tcPr>
            <w:tcW w:w="15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6A0729A9" w14:textId="77777777">
            <w:pPr>
              <w:pStyle w:val="NoSpacing"/>
              <w:keepNext/>
              <w:keepLines/>
              <w:jc w:val="center"/>
              <w:rPr>
                <w:lang w:val="en-IN"/>
              </w:rPr>
            </w:pPr>
            <w:r>
              <w:rPr>
                <w:lang w:val="en-IN"/>
              </w:rPr>
              <w:t>P&amp;E Q1</w:t>
            </w:r>
          </w:p>
        </w:tc>
        <w:tc>
          <w:tcPr>
            <w:tcW w:w="433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2FD61648" w14:textId="142C5CC5">
            <w:pPr>
              <w:pStyle w:val="NoSpacing"/>
              <w:keepNext/>
              <w:keepLines/>
              <w:jc w:val="center"/>
              <w:rPr>
                <w:lang w:val="en-IN"/>
              </w:rPr>
            </w:pPr>
            <w:r>
              <w:rPr>
                <w:lang w:val="en-IN"/>
              </w:rPr>
              <w:t>January 1, 2023 – March 31, 2023</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CA1498" w:rsidR="00664A0D" w:rsidP="009A35B8" w:rsidRDefault="00664A0D" w14:paraId="4321927C" w14:textId="77777777">
            <w:pPr>
              <w:pStyle w:val="NoSpacing"/>
              <w:keepNext/>
              <w:keepLines/>
              <w:jc w:val="center"/>
              <w:rPr>
                <w:lang w:val="en-IN"/>
              </w:rPr>
            </w:pPr>
            <w:r>
              <w:rPr>
                <w:lang w:val="en-IN"/>
              </w:rPr>
              <w:t>April 30, 2023</w:t>
            </w:r>
          </w:p>
        </w:tc>
      </w:tr>
      <w:tr w:rsidR="00664A0D" w:rsidTr="00CD606D" w14:paraId="6EC503FA" w14:textId="77777777">
        <w:tc>
          <w:tcPr>
            <w:tcW w:w="890" w:type="dxa"/>
            <w:tcBorders>
              <w:top w:val="single" w:color="auto" w:sz="8" w:space="0"/>
              <w:left w:val="single" w:color="auto" w:sz="8" w:space="0"/>
              <w:bottom w:val="single" w:color="auto" w:sz="8" w:space="0"/>
              <w:right w:val="single" w:color="auto" w:sz="8" w:space="0"/>
            </w:tcBorders>
          </w:tcPr>
          <w:p w:rsidRPr="000E22EB" w:rsidR="00664A0D" w:rsidP="00664A0D" w:rsidRDefault="00291268" w14:paraId="0D2761BA" w14:textId="24F73482">
            <w:pPr>
              <w:pStyle w:val="NoSpacing"/>
              <w:keepNext/>
              <w:keepLines/>
              <w:jc w:val="center"/>
              <w:rPr>
                <w:lang w:val="en-IN"/>
              </w:rPr>
            </w:pPr>
            <w:r>
              <w:rPr>
                <w:lang w:val="en-IN"/>
              </w:rPr>
              <w:t>4</w:t>
            </w:r>
          </w:p>
        </w:tc>
        <w:tc>
          <w:tcPr>
            <w:tcW w:w="15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424EC33E" w14:textId="77777777">
            <w:pPr>
              <w:pStyle w:val="NoSpacing"/>
              <w:keepNext/>
              <w:keepLines/>
              <w:jc w:val="center"/>
              <w:rPr>
                <w:lang w:val="en-IN"/>
              </w:rPr>
            </w:pPr>
            <w:r>
              <w:rPr>
                <w:lang w:val="en-IN"/>
              </w:rPr>
              <w:t>P&amp;E Q2</w:t>
            </w:r>
          </w:p>
        </w:tc>
        <w:tc>
          <w:tcPr>
            <w:tcW w:w="433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62A4EC3A" w14:textId="77C0F27E">
            <w:pPr>
              <w:pStyle w:val="NoSpacing"/>
              <w:keepNext/>
              <w:keepLines/>
              <w:jc w:val="center"/>
              <w:rPr>
                <w:lang w:val="en-IN"/>
              </w:rPr>
            </w:pPr>
            <w:r>
              <w:rPr>
                <w:lang w:val="en-IN"/>
              </w:rPr>
              <w:t>April 1, 2023 – June 30, 2023</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CA1498" w:rsidR="00664A0D" w:rsidP="009A35B8" w:rsidRDefault="00664A0D" w14:paraId="6C074A94" w14:textId="77777777">
            <w:pPr>
              <w:pStyle w:val="NoSpacing"/>
              <w:keepNext/>
              <w:keepLines/>
              <w:jc w:val="center"/>
              <w:rPr>
                <w:lang w:val="en-IN"/>
              </w:rPr>
            </w:pPr>
            <w:r>
              <w:rPr>
                <w:lang w:val="en-IN"/>
              </w:rPr>
              <w:t>July 31, 2023</w:t>
            </w:r>
          </w:p>
        </w:tc>
      </w:tr>
      <w:tr w:rsidR="00664A0D" w:rsidTr="00CD606D" w14:paraId="67F21906" w14:textId="77777777">
        <w:tc>
          <w:tcPr>
            <w:tcW w:w="890" w:type="dxa"/>
            <w:tcBorders>
              <w:top w:val="single" w:color="auto" w:sz="8" w:space="0"/>
              <w:left w:val="single" w:color="auto" w:sz="8" w:space="0"/>
              <w:bottom w:val="single" w:color="auto" w:sz="8" w:space="0"/>
              <w:right w:val="single" w:color="auto" w:sz="8" w:space="0"/>
            </w:tcBorders>
            <w:shd w:val="clear" w:color="auto" w:fill="D9D9D9" w:themeFill="background2" w:themeFillShade="D9"/>
          </w:tcPr>
          <w:p w:rsidR="00664A0D" w:rsidP="00664A0D" w:rsidRDefault="00664A0D" w14:paraId="17368389" w14:textId="77777777">
            <w:pPr>
              <w:pStyle w:val="NoSpacing"/>
              <w:keepNext/>
              <w:keepLines/>
              <w:jc w:val="center"/>
              <w:rPr>
                <w:lang w:val="en-IN"/>
              </w:rPr>
            </w:pPr>
            <w:r>
              <w:rPr>
                <w:lang w:val="en-IN"/>
              </w:rPr>
              <w:t>P2</w:t>
            </w:r>
          </w:p>
        </w:tc>
        <w:tc>
          <w:tcPr>
            <w:tcW w:w="1530" w:type="dxa"/>
            <w:tcBorders>
              <w:top w:val="single" w:color="auto" w:sz="8" w:space="0"/>
              <w:left w:val="single" w:color="auto" w:sz="8" w:space="0"/>
              <w:bottom w:val="single" w:color="auto" w:sz="8" w:space="0"/>
              <w:right w:val="single" w:color="auto" w:sz="8" w:space="0"/>
            </w:tcBorders>
            <w:shd w:val="clear" w:color="auto" w:fill="D9D9D9" w:themeFill="background2" w:themeFillShade="D9"/>
            <w:tcMar>
              <w:top w:w="0" w:type="dxa"/>
              <w:left w:w="108" w:type="dxa"/>
              <w:bottom w:w="0" w:type="dxa"/>
              <w:right w:w="108" w:type="dxa"/>
            </w:tcMar>
          </w:tcPr>
          <w:p w:rsidR="00664A0D" w:rsidP="009A35B8" w:rsidRDefault="00664A0D" w14:paraId="1C7F74C4" w14:textId="77777777">
            <w:pPr>
              <w:pStyle w:val="NoSpacing"/>
              <w:keepNext/>
              <w:keepLines/>
              <w:jc w:val="center"/>
              <w:rPr>
                <w:lang w:val="en-IN"/>
              </w:rPr>
            </w:pPr>
            <w:r>
              <w:rPr>
                <w:lang w:val="en-IN"/>
              </w:rPr>
              <w:t>Performance</w:t>
            </w:r>
          </w:p>
        </w:tc>
        <w:tc>
          <w:tcPr>
            <w:tcW w:w="4337" w:type="dxa"/>
            <w:tcBorders>
              <w:top w:val="single" w:color="auto" w:sz="8" w:space="0"/>
              <w:left w:val="nil"/>
              <w:bottom w:val="single" w:color="auto" w:sz="8" w:space="0"/>
              <w:right w:val="single" w:color="auto" w:sz="8" w:space="0"/>
            </w:tcBorders>
            <w:shd w:val="clear" w:color="auto" w:fill="D9D9D9" w:themeFill="background2" w:themeFillShade="D9"/>
            <w:tcMar>
              <w:top w:w="0" w:type="dxa"/>
              <w:left w:w="108" w:type="dxa"/>
              <w:bottom w:w="0" w:type="dxa"/>
              <w:right w:w="108" w:type="dxa"/>
            </w:tcMar>
          </w:tcPr>
          <w:p w:rsidR="00664A0D" w:rsidP="009A35B8" w:rsidRDefault="00664A0D" w14:paraId="60AF3F38" w14:textId="18113F35">
            <w:pPr>
              <w:pStyle w:val="NoSpacing"/>
              <w:keepNext/>
              <w:keepLines/>
              <w:jc w:val="center"/>
              <w:rPr>
                <w:lang w:val="en-IN"/>
              </w:rPr>
            </w:pPr>
            <w:r>
              <w:rPr>
                <w:lang w:val="en-IN"/>
              </w:rPr>
              <w:t>January 1, 2023</w:t>
            </w:r>
            <w:r w:rsidR="004010C6">
              <w:rPr>
                <w:lang w:val="en-IN"/>
              </w:rPr>
              <w:t xml:space="preserve"> – </w:t>
            </w:r>
            <w:r>
              <w:rPr>
                <w:lang w:val="en-IN"/>
              </w:rPr>
              <w:t>June 30, 2023</w:t>
            </w:r>
          </w:p>
        </w:tc>
        <w:tc>
          <w:tcPr>
            <w:tcW w:w="1963" w:type="dxa"/>
            <w:tcBorders>
              <w:top w:val="single" w:color="auto" w:sz="8" w:space="0"/>
              <w:left w:val="nil"/>
              <w:bottom w:val="single" w:color="auto" w:sz="8" w:space="0"/>
              <w:right w:val="single" w:color="auto" w:sz="8" w:space="0"/>
            </w:tcBorders>
            <w:shd w:val="clear" w:color="auto" w:fill="D9D9D9" w:themeFill="background2" w:themeFillShade="D9"/>
            <w:tcMar>
              <w:top w:w="0" w:type="dxa"/>
              <w:left w:w="108" w:type="dxa"/>
              <w:bottom w:w="0" w:type="dxa"/>
              <w:right w:w="108" w:type="dxa"/>
            </w:tcMar>
          </w:tcPr>
          <w:p w:rsidR="00664A0D" w:rsidP="009A35B8" w:rsidRDefault="00664A0D" w14:paraId="3E193424" w14:textId="77777777">
            <w:pPr>
              <w:pStyle w:val="NoSpacing"/>
              <w:keepNext/>
              <w:keepLines/>
              <w:jc w:val="center"/>
              <w:rPr>
                <w:lang w:val="en-IN"/>
              </w:rPr>
            </w:pPr>
            <w:r>
              <w:rPr>
                <w:lang w:val="en-IN"/>
              </w:rPr>
              <w:t>July 31, 2023</w:t>
            </w:r>
          </w:p>
        </w:tc>
      </w:tr>
      <w:tr w:rsidR="00664A0D" w:rsidTr="00CD606D" w14:paraId="003B4CD0" w14:textId="77777777">
        <w:tc>
          <w:tcPr>
            <w:tcW w:w="890" w:type="dxa"/>
            <w:tcBorders>
              <w:top w:val="single" w:color="auto" w:sz="8" w:space="0"/>
              <w:left w:val="single" w:color="auto" w:sz="8" w:space="0"/>
              <w:bottom w:val="single" w:color="auto" w:sz="8" w:space="0"/>
              <w:right w:val="single" w:color="auto" w:sz="8" w:space="0"/>
            </w:tcBorders>
          </w:tcPr>
          <w:p w:rsidRPr="000E22EB" w:rsidR="00664A0D" w:rsidP="00664A0D" w:rsidRDefault="00291268" w14:paraId="4DB6F41D" w14:textId="3AA61ED7">
            <w:pPr>
              <w:pStyle w:val="NoSpacing"/>
              <w:keepNext/>
              <w:keepLines/>
              <w:jc w:val="center"/>
              <w:rPr>
                <w:lang w:val="en-IN"/>
              </w:rPr>
            </w:pPr>
            <w:r>
              <w:rPr>
                <w:lang w:val="en-IN"/>
              </w:rPr>
              <w:t>5</w:t>
            </w:r>
          </w:p>
        </w:tc>
        <w:tc>
          <w:tcPr>
            <w:tcW w:w="15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2187276D" w14:textId="77777777">
            <w:pPr>
              <w:pStyle w:val="NoSpacing"/>
              <w:keepNext/>
              <w:keepLines/>
              <w:jc w:val="center"/>
              <w:rPr>
                <w:lang w:val="en-IN"/>
              </w:rPr>
            </w:pPr>
            <w:r>
              <w:rPr>
                <w:lang w:val="en-IN"/>
              </w:rPr>
              <w:t>P&amp;E Q3</w:t>
            </w:r>
          </w:p>
        </w:tc>
        <w:tc>
          <w:tcPr>
            <w:tcW w:w="433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590050D8" w14:textId="7EA7E29C">
            <w:pPr>
              <w:pStyle w:val="NoSpacing"/>
              <w:keepNext/>
              <w:keepLines/>
              <w:jc w:val="center"/>
              <w:rPr>
                <w:lang w:val="en-IN"/>
              </w:rPr>
            </w:pPr>
            <w:r>
              <w:rPr>
                <w:lang w:val="en-IN"/>
              </w:rPr>
              <w:t>July 1, 2023 – September 30, 2023</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7C2A5CE9" w14:textId="77777777">
            <w:pPr>
              <w:pStyle w:val="NoSpacing"/>
              <w:keepNext/>
              <w:keepLines/>
              <w:jc w:val="center"/>
              <w:rPr>
                <w:lang w:val="en-IN"/>
              </w:rPr>
            </w:pPr>
            <w:r>
              <w:rPr>
                <w:lang w:val="en-IN"/>
              </w:rPr>
              <w:t>October 31, 2023</w:t>
            </w:r>
          </w:p>
        </w:tc>
      </w:tr>
      <w:tr w:rsidR="00664A0D" w:rsidTr="00CD606D" w14:paraId="47B1A894" w14:textId="77777777">
        <w:tc>
          <w:tcPr>
            <w:tcW w:w="890" w:type="dxa"/>
            <w:tcBorders>
              <w:top w:val="single" w:color="auto" w:sz="8" w:space="0"/>
              <w:left w:val="single" w:color="auto" w:sz="8" w:space="0"/>
              <w:bottom w:val="single" w:color="auto" w:sz="8" w:space="0"/>
              <w:right w:val="single" w:color="auto" w:sz="8" w:space="0"/>
            </w:tcBorders>
          </w:tcPr>
          <w:p w:rsidRPr="000E22EB" w:rsidR="00664A0D" w:rsidP="00664A0D" w:rsidRDefault="00291268" w14:paraId="7DFE65E8" w14:textId="11FA001D">
            <w:pPr>
              <w:pStyle w:val="NoSpacing"/>
              <w:keepNext/>
              <w:keepLines/>
              <w:jc w:val="center"/>
              <w:rPr>
                <w:lang w:val="en-IN"/>
              </w:rPr>
            </w:pPr>
            <w:r>
              <w:rPr>
                <w:lang w:val="en-IN"/>
              </w:rPr>
              <w:t>6</w:t>
            </w:r>
          </w:p>
        </w:tc>
        <w:tc>
          <w:tcPr>
            <w:tcW w:w="15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285EF2F2" w14:textId="77777777">
            <w:pPr>
              <w:pStyle w:val="NoSpacing"/>
              <w:keepNext/>
              <w:keepLines/>
              <w:jc w:val="center"/>
              <w:rPr>
                <w:lang w:val="en-IN"/>
              </w:rPr>
            </w:pPr>
            <w:r>
              <w:rPr>
                <w:lang w:val="en-IN"/>
              </w:rPr>
              <w:t>P&amp;E Q4</w:t>
            </w:r>
          </w:p>
        </w:tc>
        <w:tc>
          <w:tcPr>
            <w:tcW w:w="433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5D9B00C9" w14:textId="39353D7B">
            <w:pPr>
              <w:pStyle w:val="NoSpacing"/>
              <w:keepNext/>
              <w:keepLines/>
              <w:jc w:val="center"/>
              <w:rPr>
                <w:lang w:val="en-IN"/>
              </w:rPr>
            </w:pPr>
            <w:r>
              <w:rPr>
                <w:lang w:val="en-IN"/>
              </w:rPr>
              <w:t>October 1, 2023 – December 31, 2023</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1E79F4D1" w14:textId="77777777">
            <w:pPr>
              <w:pStyle w:val="NoSpacing"/>
              <w:keepNext/>
              <w:keepLines/>
              <w:jc w:val="center"/>
              <w:rPr>
                <w:lang w:val="en-IN"/>
              </w:rPr>
            </w:pPr>
            <w:r>
              <w:rPr>
                <w:lang w:val="en-IN"/>
              </w:rPr>
              <w:t>January 31, 2024</w:t>
            </w:r>
          </w:p>
        </w:tc>
      </w:tr>
      <w:tr w:rsidR="00664A0D" w:rsidTr="00CD606D" w14:paraId="40B56B7F" w14:textId="77777777">
        <w:tc>
          <w:tcPr>
            <w:tcW w:w="890" w:type="dxa"/>
            <w:tcBorders>
              <w:top w:val="single" w:color="auto" w:sz="8" w:space="0"/>
              <w:left w:val="single" w:color="auto" w:sz="8" w:space="0"/>
              <w:bottom w:val="single" w:color="auto" w:sz="8" w:space="0"/>
              <w:right w:val="single" w:color="auto" w:sz="8" w:space="0"/>
            </w:tcBorders>
          </w:tcPr>
          <w:p w:rsidRPr="000E22EB" w:rsidR="00664A0D" w:rsidP="00664A0D" w:rsidRDefault="00291268" w14:paraId="059D0784" w14:textId="3EE3227D">
            <w:pPr>
              <w:pStyle w:val="NoSpacing"/>
              <w:keepNext/>
              <w:keepLines/>
              <w:jc w:val="center"/>
              <w:rPr>
                <w:lang w:val="en-IN"/>
              </w:rPr>
            </w:pPr>
            <w:r>
              <w:rPr>
                <w:lang w:val="en-IN"/>
              </w:rPr>
              <w:t>7</w:t>
            </w:r>
          </w:p>
        </w:tc>
        <w:tc>
          <w:tcPr>
            <w:tcW w:w="15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589B9061" w14:textId="77777777">
            <w:pPr>
              <w:pStyle w:val="NoSpacing"/>
              <w:keepNext/>
              <w:keepLines/>
              <w:jc w:val="center"/>
              <w:rPr>
                <w:lang w:val="en-IN"/>
              </w:rPr>
            </w:pPr>
            <w:r>
              <w:rPr>
                <w:lang w:val="en-IN"/>
              </w:rPr>
              <w:t>P&amp;E Q1</w:t>
            </w:r>
          </w:p>
        </w:tc>
        <w:tc>
          <w:tcPr>
            <w:tcW w:w="433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62FECBCD" w14:textId="15E12C71">
            <w:pPr>
              <w:pStyle w:val="NoSpacing"/>
              <w:keepNext/>
              <w:keepLines/>
              <w:jc w:val="center"/>
              <w:rPr>
                <w:lang w:val="en-IN"/>
              </w:rPr>
            </w:pPr>
            <w:r>
              <w:rPr>
                <w:lang w:val="en-IN"/>
              </w:rPr>
              <w:t>January 1, 2024 – March 31, 2024</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63DD6D42" w14:textId="77777777">
            <w:pPr>
              <w:pStyle w:val="NoSpacing"/>
              <w:keepNext/>
              <w:keepLines/>
              <w:jc w:val="center"/>
              <w:rPr>
                <w:lang w:val="en-IN"/>
              </w:rPr>
            </w:pPr>
            <w:r>
              <w:rPr>
                <w:lang w:val="en-IN"/>
              </w:rPr>
              <w:t>April 30, 2024</w:t>
            </w:r>
          </w:p>
        </w:tc>
      </w:tr>
      <w:tr w:rsidR="00664A0D" w:rsidTr="00CD606D" w14:paraId="2D067D4A" w14:textId="77777777">
        <w:tc>
          <w:tcPr>
            <w:tcW w:w="890" w:type="dxa"/>
            <w:tcBorders>
              <w:top w:val="single" w:color="auto" w:sz="8" w:space="0"/>
              <w:left w:val="single" w:color="auto" w:sz="8" w:space="0"/>
              <w:bottom w:val="single" w:color="auto" w:sz="8" w:space="0"/>
              <w:right w:val="single" w:color="auto" w:sz="8" w:space="0"/>
            </w:tcBorders>
          </w:tcPr>
          <w:p w:rsidRPr="000E22EB" w:rsidR="00664A0D" w:rsidP="00664A0D" w:rsidRDefault="00291268" w14:paraId="0AE9BDE8" w14:textId="2AAEF9F7">
            <w:pPr>
              <w:pStyle w:val="NoSpacing"/>
              <w:keepNext/>
              <w:keepLines/>
              <w:jc w:val="center"/>
              <w:rPr>
                <w:lang w:val="en-IN"/>
              </w:rPr>
            </w:pPr>
            <w:r>
              <w:rPr>
                <w:lang w:val="en-IN"/>
              </w:rPr>
              <w:t>8</w:t>
            </w:r>
          </w:p>
        </w:tc>
        <w:tc>
          <w:tcPr>
            <w:tcW w:w="15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2E14ADA6" w14:textId="77777777">
            <w:pPr>
              <w:pStyle w:val="NoSpacing"/>
              <w:keepNext/>
              <w:keepLines/>
              <w:jc w:val="center"/>
              <w:rPr>
                <w:lang w:val="en-IN"/>
              </w:rPr>
            </w:pPr>
            <w:r>
              <w:rPr>
                <w:lang w:val="en-IN"/>
              </w:rPr>
              <w:t>P&amp;E Q2</w:t>
            </w:r>
          </w:p>
        </w:tc>
        <w:tc>
          <w:tcPr>
            <w:tcW w:w="433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6A56782B" w14:textId="3D7C1B25">
            <w:pPr>
              <w:pStyle w:val="NoSpacing"/>
              <w:keepNext/>
              <w:keepLines/>
              <w:jc w:val="center"/>
              <w:rPr>
                <w:lang w:val="en-IN"/>
              </w:rPr>
            </w:pPr>
            <w:r>
              <w:rPr>
                <w:lang w:val="en-IN"/>
              </w:rPr>
              <w:t>April 1, 2024 – June 30, 2024</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124CF2AC" w14:textId="77777777">
            <w:pPr>
              <w:pStyle w:val="NoSpacing"/>
              <w:keepNext/>
              <w:keepLines/>
              <w:jc w:val="center"/>
              <w:rPr>
                <w:lang w:val="en-IN"/>
              </w:rPr>
            </w:pPr>
            <w:r>
              <w:rPr>
                <w:lang w:val="en-IN"/>
              </w:rPr>
              <w:t>July 31, 2024</w:t>
            </w:r>
          </w:p>
        </w:tc>
      </w:tr>
      <w:tr w:rsidR="00664A0D" w:rsidTr="00CD606D" w14:paraId="3E306F6C" w14:textId="77777777">
        <w:tc>
          <w:tcPr>
            <w:tcW w:w="890" w:type="dxa"/>
            <w:tcBorders>
              <w:top w:val="single" w:color="auto" w:sz="8" w:space="0"/>
              <w:left w:val="single" w:color="auto" w:sz="8" w:space="0"/>
              <w:bottom w:val="single" w:color="auto" w:sz="8" w:space="0"/>
              <w:right w:val="single" w:color="auto" w:sz="8" w:space="0"/>
            </w:tcBorders>
            <w:shd w:val="clear" w:color="auto" w:fill="D9D9D9" w:themeFill="background2" w:themeFillShade="D9"/>
          </w:tcPr>
          <w:p w:rsidR="00664A0D" w:rsidP="00664A0D" w:rsidRDefault="00664A0D" w14:paraId="6D013A53" w14:textId="77777777">
            <w:pPr>
              <w:pStyle w:val="NoSpacing"/>
              <w:keepNext/>
              <w:keepLines/>
              <w:jc w:val="center"/>
              <w:rPr>
                <w:lang w:val="en-IN"/>
              </w:rPr>
            </w:pPr>
            <w:r>
              <w:rPr>
                <w:lang w:val="en-IN"/>
              </w:rPr>
              <w:t>P3</w:t>
            </w:r>
          </w:p>
        </w:tc>
        <w:tc>
          <w:tcPr>
            <w:tcW w:w="1530" w:type="dxa"/>
            <w:tcBorders>
              <w:top w:val="single" w:color="auto" w:sz="8" w:space="0"/>
              <w:left w:val="single" w:color="auto" w:sz="8" w:space="0"/>
              <w:bottom w:val="single" w:color="auto" w:sz="8" w:space="0"/>
              <w:right w:val="single" w:color="auto" w:sz="8" w:space="0"/>
            </w:tcBorders>
            <w:shd w:val="clear" w:color="auto" w:fill="D9D9D9" w:themeFill="background2" w:themeFillShade="D9"/>
            <w:tcMar>
              <w:top w:w="0" w:type="dxa"/>
              <w:left w:w="108" w:type="dxa"/>
              <w:bottom w:w="0" w:type="dxa"/>
              <w:right w:w="108" w:type="dxa"/>
            </w:tcMar>
          </w:tcPr>
          <w:p w:rsidR="00664A0D" w:rsidP="009A35B8" w:rsidRDefault="00664A0D" w14:paraId="7BE94403" w14:textId="77777777">
            <w:pPr>
              <w:pStyle w:val="NoSpacing"/>
              <w:keepNext/>
              <w:keepLines/>
              <w:jc w:val="center"/>
              <w:rPr>
                <w:lang w:val="en-IN"/>
              </w:rPr>
            </w:pPr>
            <w:r>
              <w:rPr>
                <w:lang w:val="en-IN"/>
              </w:rPr>
              <w:t>Performance</w:t>
            </w:r>
          </w:p>
        </w:tc>
        <w:tc>
          <w:tcPr>
            <w:tcW w:w="4337" w:type="dxa"/>
            <w:tcBorders>
              <w:top w:val="single" w:color="auto" w:sz="8" w:space="0"/>
              <w:left w:val="nil"/>
              <w:bottom w:val="single" w:color="auto" w:sz="8" w:space="0"/>
              <w:right w:val="single" w:color="auto" w:sz="8" w:space="0"/>
            </w:tcBorders>
            <w:shd w:val="clear" w:color="auto" w:fill="D9D9D9" w:themeFill="background2" w:themeFillShade="D9"/>
            <w:tcMar>
              <w:top w:w="0" w:type="dxa"/>
              <w:left w:w="108" w:type="dxa"/>
              <w:bottom w:w="0" w:type="dxa"/>
              <w:right w:w="108" w:type="dxa"/>
            </w:tcMar>
          </w:tcPr>
          <w:p w:rsidR="00664A0D" w:rsidP="009A35B8" w:rsidRDefault="00664A0D" w14:paraId="3EE31F20" w14:textId="77777777">
            <w:pPr>
              <w:pStyle w:val="NoSpacing"/>
              <w:keepNext/>
              <w:keepLines/>
              <w:jc w:val="center"/>
              <w:rPr>
                <w:lang w:val="en-IN"/>
              </w:rPr>
            </w:pPr>
            <w:r>
              <w:rPr>
                <w:lang w:val="en-IN"/>
              </w:rPr>
              <w:t>July 1, 2023 - June 30, 2024</w:t>
            </w:r>
          </w:p>
        </w:tc>
        <w:tc>
          <w:tcPr>
            <w:tcW w:w="1963" w:type="dxa"/>
            <w:tcBorders>
              <w:top w:val="single" w:color="auto" w:sz="8" w:space="0"/>
              <w:left w:val="nil"/>
              <w:bottom w:val="single" w:color="auto" w:sz="8" w:space="0"/>
              <w:right w:val="single" w:color="auto" w:sz="8" w:space="0"/>
            </w:tcBorders>
            <w:shd w:val="clear" w:color="auto" w:fill="D9D9D9" w:themeFill="background2" w:themeFillShade="D9"/>
            <w:tcMar>
              <w:top w:w="0" w:type="dxa"/>
              <w:left w:w="108" w:type="dxa"/>
              <w:bottom w:w="0" w:type="dxa"/>
              <w:right w:w="108" w:type="dxa"/>
            </w:tcMar>
          </w:tcPr>
          <w:p w:rsidR="00664A0D" w:rsidP="009A35B8" w:rsidRDefault="00664A0D" w14:paraId="2A2DE82A" w14:textId="77777777">
            <w:pPr>
              <w:pStyle w:val="NoSpacing"/>
              <w:keepNext/>
              <w:keepLines/>
              <w:jc w:val="center"/>
              <w:rPr>
                <w:lang w:val="en-IN"/>
              </w:rPr>
            </w:pPr>
            <w:r>
              <w:rPr>
                <w:lang w:val="en-IN"/>
              </w:rPr>
              <w:t>July 31, 2024</w:t>
            </w:r>
          </w:p>
        </w:tc>
      </w:tr>
      <w:tr w:rsidR="00664A0D" w:rsidTr="00CD606D" w14:paraId="18B2447A" w14:textId="77777777">
        <w:tc>
          <w:tcPr>
            <w:tcW w:w="890" w:type="dxa"/>
            <w:tcBorders>
              <w:top w:val="single" w:color="auto" w:sz="8" w:space="0"/>
              <w:left w:val="single" w:color="auto" w:sz="8" w:space="0"/>
              <w:bottom w:val="single" w:color="auto" w:sz="8" w:space="0"/>
              <w:right w:val="single" w:color="auto" w:sz="8" w:space="0"/>
            </w:tcBorders>
          </w:tcPr>
          <w:p w:rsidRPr="000E22EB" w:rsidR="00664A0D" w:rsidP="00664A0D" w:rsidRDefault="00291268" w14:paraId="632F45BE" w14:textId="15B8496E">
            <w:pPr>
              <w:pStyle w:val="NoSpacing"/>
              <w:keepNext/>
              <w:keepLines/>
              <w:jc w:val="center"/>
              <w:rPr>
                <w:lang w:val="en-IN"/>
              </w:rPr>
            </w:pPr>
            <w:r>
              <w:rPr>
                <w:lang w:val="en-IN"/>
              </w:rPr>
              <w:t>9</w:t>
            </w:r>
          </w:p>
        </w:tc>
        <w:tc>
          <w:tcPr>
            <w:tcW w:w="15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60339B5F" w14:textId="77777777">
            <w:pPr>
              <w:pStyle w:val="NoSpacing"/>
              <w:keepNext/>
              <w:keepLines/>
              <w:jc w:val="center"/>
              <w:rPr>
                <w:lang w:val="en-IN"/>
              </w:rPr>
            </w:pPr>
            <w:r>
              <w:rPr>
                <w:lang w:val="en-IN"/>
              </w:rPr>
              <w:t>P&amp;E Q3</w:t>
            </w:r>
          </w:p>
        </w:tc>
        <w:tc>
          <w:tcPr>
            <w:tcW w:w="433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36DC838C" w14:textId="6E6DB0AD">
            <w:pPr>
              <w:pStyle w:val="NoSpacing"/>
              <w:keepNext/>
              <w:keepLines/>
              <w:jc w:val="center"/>
              <w:rPr>
                <w:lang w:val="en-IN"/>
              </w:rPr>
            </w:pPr>
            <w:r>
              <w:rPr>
                <w:lang w:val="en-IN"/>
              </w:rPr>
              <w:t>July 1, 2024 – September 30, 2024</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44AF6B40" w14:textId="77777777">
            <w:pPr>
              <w:pStyle w:val="NoSpacing"/>
              <w:keepNext/>
              <w:keepLines/>
              <w:jc w:val="center"/>
              <w:rPr>
                <w:lang w:val="en-IN"/>
              </w:rPr>
            </w:pPr>
            <w:r>
              <w:rPr>
                <w:lang w:val="en-IN"/>
              </w:rPr>
              <w:t>October 31, 2024</w:t>
            </w:r>
          </w:p>
        </w:tc>
      </w:tr>
      <w:tr w:rsidR="00664A0D" w:rsidTr="00CD606D" w14:paraId="60B2328D" w14:textId="77777777">
        <w:tc>
          <w:tcPr>
            <w:tcW w:w="890" w:type="dxa"/>
            <w:tcBorders>
              <w:top w:val="single" w:color="auto" w:sz="8" w:space="0"/>
              <w:left w:val="single" w:color="auto" w:sz="8" w:space="0"/>
              <w:bottom w:val="single" w:color="auto" w:sz="8" w:space="0"/>
              <w:right w:val="single" w:color="auto" w:sz="8" w:space="0"/>
            </w:tcBorders>
          </w:tcPr>
          <w:p w:rsidRPr="000E22EB" w:rsidR="00664A0D" w:rsidP="00664A0D" w:rsidRDefault="00291268" w14:paraId="09F9C814" w14:textId="59E5CC7D">
            <w:pPr>
              <w:pStyle w:val="NoSpacing"/>
              <w:keepNext/>
              <w:keepLines/>
              <w:jc w:val="center"/>
              <w:rPr>
                <w:lang w:val="en-IN"/>
              </w:rPr>
            </w:pPr>
            <w:r>
              <w:rPr>
                <w:lang w:val="en-IN"/>
              </w:rPr>
              <w:t>10</w:t>
            </w:r>
          </w:p>
        </w:tc>
        <w:tc>
          <w:tcPr>
            <w:tcW w:w="15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37FB349F" w14:textId="77777777">
            <w:pPr>
              <w:pStyle w:val="NoSpacing"/>
              <w:keepNext/>
              <w:keepLines/>
              <w:jc w:val="center"/>
              <w:rPr>
                <w:lang w:val="en-IN"/>
              </w:rPr>
            </w:pPr>
            <w:r>
              <w:rPr>
                <w:lang w:val="en-IN"/>
              </w:rPr>
              <w:t>P&amp;E Q4</w:t>
            </w:r>
          </w:p>
        </w:tc>
        <w:tc>
          <w:tcPr>
            <w:tcW w:w="433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3B1E8C48" w14:textId="011FCA06">
            <w:pPr>
              <w:pStyle w:val="NoSpacing"/>
              <w:keepNext/>
              <w:keepLines/>
              <w:jc w:val="center"/>
              <w:rPr>
                <w:lang w:val="en-IN"/>
              </w:rPr>
            </w:pPr>
            <w:r>
              <w:rPr>
                <w:lang w:val="en-IN"/>
              </w:rPr>
              <w:t>October 1, 2024 – December 31, 2024</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1DF87BCD" w14:textId="77777777">
            <w:pPr>
              <w:pStyle w:val="NoSpacing"/>
              <w:keepNext/>
              <w:keepLines/>
              <w:jc w:val="center"/>
              <w:rPr>
                <w:lang w:val="en-IN"/>
              </w:rPr>
            </w:pPr>
            <w:r>
              <w:rPr>
                <w:lang w:val="en-IN"/>
              </w:rPr>
              <w:t>January 31, 2025</w:t>
            </w:r>
          </w:p>
        </w:tc>
      </w:tr>
      <w:tr w:rsidR="00664A0D" w:rsidTr="00CD606D" w14:paraId="69E48AA1" w14:textId="77777777">
        <w:tc>
          <w:tcPr>
            <w:tcW w:w="890" w:type="dxa"/>
            <w:tcBorders>
              <w:top w:val="single" w:color="auto" w:sz="8" w:space="0"/>
              <w:left w:val="single" w:color="auto" w:sz="8" w:space="0"/>
              <w:bottom w:val="single" w:color="auto" w:sz="8" w:space="0"/>
              <w:right w:val="single" w:color="auto" w:sz="8" w:space="0"/>
            </w:tcBorders>
          </w:tcPr>
          <w:p w:rsidRPr="000E22EB" w:rsidR="00664A0D" w:rsidP="00664A0D" w:rsidRDefault="00291268" w14:paraId="2F4A2536" w14:textId="5FE2B4D8">
            <w:pPr>
              <w:pStyle w:val="NoSpacing"/>
              <w:keepNext/>
              <w:keepLines/>
              <w:jc w:val="center"/>
              <w:rPr>
                <w:lang w:val="en-IN"/>
              </w:rPr>
            </w:pPr>
            <w:r>
              <w:rPr>
                <w:lang w:val="en-IN"/>
              </w:rPr>
              <w:t>11</w:t>
            </w:r>
          </w:p>
        </w:tc>
        <w:tc>
          <w:tcPr>
            <w:tcW w:w="15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07E54A39" w14:textId="77777777">
            <w:pPr>
              <w:pStyle w:val="NoSpacing"/>
              <w:keepNext/>
              <w:keepLines/>
              <w:jc w:val="center"/>
              <w:rPr>
                <w:lang w:val="en-IN"/>
              </w:rPr>
            </w:pPr>
            <w:r>
              <w:rPr>
                <w:lang w:val="en-IN"/>
              </w:rPr>
              <w:t>P&amp;E Q1</w:t>
            </w:r>
          </w:p>
        </w:tc>
        <w:tc>
          <w:tcPr>
            <w:tcW w:w="433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025D1552" w14:textId="78B9E6E0">
            <w:pPr>
              <w:pStyle w:val="NoSpacing"/>
              <w:keepNext/>
              <w:keepLines/>
              <w:jc w:val="center"/>
              <w:rPr>
                <w:lang w:val="en-IN"/>
              </w:rPr>
            </w:pPr>
            <w:r>
              <w:rPr>
                <w:lang w:val="en-IN"/>
              </w:rPr>
              <w:t>January 1, 2025 – March 31, 2025</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4807AF80" w14:textId="77777777">
            <w:pPr>
              <w:pStyle w:val="NoSpacing"/>
              <w:keepNext/>
              <w:keepLines/>
              <w:jc w:val="center"/>
              <w:rPr>
                <w:lang w:val="en-IN"/>
              </w:rPr>
            </w:pPr>
            <w:r>
              <w:rPr>
                <w:lang w:val="en-IN"/>
              </w:rPr>
              <w:t>April 30, 2025</w:t>
            </w:r>
          </w:p>
        </w:tc>
      </w:tr>
      <w:tr w:rsidR="00664A0D" w:rsidTr="00CD606D" w14:paraId="686B0DDA" w14:textId="77777777">
        <w:tc>
          <w:tcPr>
            <w:tcW w:w="890" w:type="dxa"/>
            <w:tcBorders>
              <w:top w:val="single" w:color="auto" w:sz="8" w:space="0"/>
              <w:left w:val="single" w:color="auto" w:sz="8" w:space="0"/>
              <w:bottom w:val="single" w:color="auto" w:sz="8" w:space="0"/>
              <w:right w:val="single" w:color="auto" w:sz="8" w:space="0"/>
            </w:tcBorders>
          </w:tcPr>
          <w:p w:rsidRPr="000E22EB" w:rsidR="00664A0D" w:rsidP="00664A0D" w:rsidRDefault="00291268" w14:paraId="7FA73E1E" w14:textId="1740AFB8">
            <w:pPr>
              <w:pStyle w:val="NoSpacing"/>
              <w:keepNext/>
              <w:keepLines/>
              <w:jc w:val="center"/>
              <w:rPr>
                <w:lang w:val="en-IN"/>
              </w:rPr>
            </w:pPr>
            <w:r>
              <w:rPr>
                <w:lang w:val="en-IN"/>
              </w:rPr>
              <w:t>12</w:t>
            </w:r>
          </w:p>
        </w:tc>
        <w:tc>
          <w:tcPr>
            <w:tcW w:w="15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7CAC5B96" w14:textId="77777777">
            <w:pPr>
              <w:pStyle w:val="NoSpacing"/>
              <w:keepNext/>
              <w:keepLines/>
              <w:jc w:val="center"/>
              <w:rPr>
                <w:lang w:val="en-IN"/>
              </w:rPr>
            </w:pPr>
            <w:r>
              <w:rPr>
                <w:lang w:val="en-IN"/>
              </w:rPr>
              <w:t>P&amp;E Q2</w:t>
            </w:r>
          </w:p>
        </w:tc>
        <w:tc>
          <w:tcPr>
            <w:tcW w:w="433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7B42948E" w14:textId="06F586EA">
            <w:pPr>
              <w:pStyle w:val="NoSpacing"/>
              <w:keepNext/>
              <w:keepLines/>
              <w:jc w:val="center"/>
              <w:rPr>
                <w:lang w:val="en-IN"/>
              </w:rPr>
            </w:pPr>
            <w:r>
              <w:rPr>
                <w:lang w:val="en-IN"/>
              </w:rPr>
              <w:t>April 1, 2025 – June 30, 2025</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444A1095" w14:textId="77777777">
            <w:pPr>
              <w:pStyle w:val="NoSpacing"/>
              <w:keepNext/>
              <w:keepLines/>
              <w:jc w:val="center"/>
              <w:rPr>
                <w:lang w:val="en-IN"/>
              </w:rPr>
            </w:pPr>
            <w:r>
              <w:rPr>
                <w:lang w:val="en-IN"/>
              </w:rPr>
              <w:t>July 31, 2025</w:t>
            </w:r>
          </w:p>
        </w:tc>
      </w:tr>
      <w:tr w:rsidR="00664A0D" w:rsidTr="00CD606D" w14:paraId="3D39304E" w14:textId="77777777">
        <w:tc>
          <w:tcPr>
            <w:tcW w:w="890" w:type="dxa"/>
            <w:tcBorders>
              <w:top w:val="single" w:color="auto" w:sz="8" w:space="0"/>
              <w:left w:val="single" w:color="auto" w:sz="8" w:space="0"/>
              <w:bottom w:val="single" w:color="auto" w:sz="8" w:space="0"/>
              <w:right w:val="single" w:color="auto" w:sz="8" w:space="0"/>
            </w:tcBorders>
            <w:shd w:val="clear" w:color="auto" w:fill="D9D9D9" w:themeFill="background2" w:themeFillShade="D9"/>
          </w:tcPr>
          <w:p w:rsidR="00664A0D" w:rsidP="00664A0D" w:rsidRDefault="00664A0D" w14:paraId="6DFF4959" w14:textId="77777777">
            <w:pPr>
              <w:pStyle w:val="NoSpacing"/>
              <w:keepNext/>
              <w:keepLines/>
              <w:jc w:val="center"/>
              <w:rPr>
                <w:lang w:val="en-IN"/>
              </w:rPr>
            </w:pPr>
            <w:r>
              <w:rPr>
                <w:lang w:val="en-IN"/>
              </w:rPr>
              <w:t>P4</w:t>
            </w:r>
          </w:p>
        </w:tc>
        <w:tc>
          <w:tcPr>
            <w:tcW w:w="1530" w:type="dxa"/>
            <w:tcBorders>
              <w:top w:val="single" w:color="auto" w:sz="8" w:space="0"/>
              <w:left w:val="single" w:color="auto" w:sz="8" w:space="0"/>
              <w:bottom w:val="single" w:color="auto" w:sz="8" w:space="0"/>
              <w:right w:val="single" w:color="auto" w:sz="8" w:space="0"/>
            </w:tcBorders>
            <w:shd w:val="clear" w:color="auto" w:fill="D9D9D9" w:themeFill="background2" w:themeFillShade="D9"/>
            <w:tcMar>
              <w:top w:w="0" w:type="dxa"/>
              <w:left w:w="108" w:type="dxa"/>
              <w:bottom w:w="0" w:type="dxa"/>
              <w:right w:w="108" w:type="dxa"/>
            </w:tcMar>
          </w:tcPr>
          <w:p w:rsidR="00664A0D" w:rsidP="009A35B8" w:rsidRDefault="00664A0D" w14:paraId="25485C82" w14:textId="77777777">
            <w:pPr>
              <w:pStyle w:val="NoSpacing"/>
              <w:keepNext/>
              <w:keepLines/>
              <w:jc w:val="center"/>
              <w:rPr>
                <w:lang w:val="en-IN"/>
              </w:rPr>
            </w:pPr>
            <w:r>
              <w:rPr>
                <w:lang w:val="en-IN"/>
              </w:rPr>
              <w:t>Performance</w:t>
            </w:r>
          </w:p>
        </w:tc>
        <w:tc>
          <w:tcPr>
            <w:tcW w:w="4337" w:type="dxa"/>
            <w:tcBorders>
              <w:top w:val="single" w:color="auto" w:sz="8" w:space="0"/>
              <w:left w:val="nil"/>
              <w:bottom w:val="single" w:color="auto" w:sz="8" w:space="0"/>
              <w:right w:val="single" w:color="auto" w:sz="8" w:space="0"/>
            </w:tcBorders>
            <w:shd w:val="clear" w:color="auto" w:fill="D9D9D9" w:themeFill="background2" w:themeFillShade="D9"/>
            <w:tcMar>
              <w:top w:w="0" w:type="dxa"/>
              <w:left w:w="108" w:type="dxa"/>
              <w:bottom w:w="0" w:type="dxa"/>
              <w:right w:w="108" w:type="dxa"/>
            </w:tcMar>
          </w:tcPr>
          <w:p w:rsidR="00664A0D" w:rsidP="009A35B8" w:rsidRDefault="00664A0D" w14:paraId="6411A856" w14:textId="77777777">
            <w:pPr>
              <w:pStyle w:val="NoSpacing"/>
              <w:keepNext/>
              <w:keepLines/>
              <w:jc w:val="center"/>
              <w:rPr>
                <w:lang w:val="en-IN"/>
              </w:rPr>
            </w:pPr>
            <w:r>
              <w:rPr>
                <w:lang w:val="en-IN"/>
              </w:rPr>
              <w:t>July 1, 2024 - June 30, 2025</w:t>
            </w:r>
          </w:p>
        </w:tc>
        <w:tc>
          <w:tcPr>
            <w:tcW w:w="1963" w:type="dxa"/>
            <w:tcBorders>
              <w:top w:val="single" w:color="auto" w:sz="8" w:space="0"/>
              <w:left w:val="nil"/>
              <w:bottom w:val="single" w:color="auto" w:sz="8" w:space="0"/>
              <w:right w:val="single" w:color="auto" w:sz="8" w:space="0"/>
            </w:tcBorders>
            <w:shd w:val="clear" w:color="auto" w:fill="D9D9D9" w:themeFill="background2" w:themeFillShade="D9"/>
            <w:tcMar>
              <w:top w:w="0" w:type="dxa"/>
              <w:left w:w="108" w:type="dxa"/>
              <w:bottom w:w="0" w:type="dxa"/>
              <w:right w:w="108" w:type="dxa"/>
            </w:tcMar>
          </w:tcPr>
          <w:p w:rsidR="00664A0D" w:rsidP="009A35B8" w:rsidRDefault="00664A0D" w14:paraId="1473E587" w14:textId="77777777">
            <w:pPr>
              <w:pStyle w:val="NoSpacing"/>
              <w:keepNext/>
              <w:keepLines/>
              <w:jc w:val="center"/>
              <w:rPr>
                <w:lang w:val="en-IN"/>
              </w:rPr>
            </w:pPr>
            <w:r>
              <w:rPr>
                <w:lang w:val="en-IN"/>
              </w:rPr>
              <w:t>July 31, 2025</w:t>
            </w:r>
          </w:p>
        </w:tc>
      </w:tr>
      <w:tr w:rsidR="00664A0D" w:rsidTr="00CD606D" w14:paraId="1E444ED6" w14:textId="77777777">
        <w:tc>
          <w:tcPr>
            <w:tcW w:w="890" w:type="dxa"/>
            <w:tcBorders>
              <w:top w:val="single" w:color="auto" w:sz="8" w:space="0"/>
              <w:left w:val="single" w:color="auto" w:sz="8" w:space="0"/>
              <w:bottom w:val="single" w:color="auto" w:sz="8" w:space="0"/>
              <w:right w:val="single" w:color="auto" w:sz="8" w:space="0"/>
            </w:tcBorders>
          </w:tcPr>
          <w:p w:rsidRPr="000E22EB" w:rsidR="00664A0D" w:rsidP="00664A0D" w:rsidRDefault="00291268" w14:paraId="55FEE605" w14:textId="27A1D2E1">
            <w:pPr>
              <w:pStyle w:val="NoSpacing"/>
              <w:keepNext/>
              <w:keepLines/>
              <w:jc w:val="center"/>
              <w:rPr>
                <w:lang w:val="en-IN"/>
              </w:rPr>
            </w:pPr>
            <w:r>
              <w:rPr>
                <w:lang w:val="en-IN"/>
              </w:rPr>
              <w:t>13</w:t>
            </w:r>
          </w:p>
        </w:tc>
        <w:tc>
          <w:tcPr>
            <w:tcW w:w="15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424FEE9E" w14:textId="77777777">
            <w:pPr>
              <w:pStyle w:val="NoSpacing"/>
              <w:keepNext/>
              <w:keepLines/>
              <w:jc w:val="center"/>
              <w:rPr>
                <w:lang w:val="en-IN"/>
              </w:rPr>
            </w:pPr>
            <w:r>
              <w:rPr>
                <w:lang w:val="en-IN"/>
              </w:rPr>
              <w:t>P&amp;E Q3</w:t>
            </w:r>
          </w:p>
        </w:tc>
        <w:tc>
          <w:tcPr>
            <w:tcW w:w="433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0F81FFF0" w14:textId="46403C7D">
            <w:pPr>
              <w:pStyle w:val="NoSpacing"/>
              <w:keepNext/>
              <w:keepLines/>
              <w:jc w:val="center"/>
              <w:rPr>
                <w:lang w:val="en-IN"/>
              </w:rPr>
            </w:pPr>
            <w:r>
              <w:rPr>
                <w:lang w:val="en-IN"/>
              </w:rPr>
              <w:t>July 1, 2025 – September 30, 2025</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09445A2E" w14:textId="77777777">
            <w:pPr>
              <w:pStyle w:val="NoSpacing"/>
              <w:keepNext/>
              <w:keepLines/>
              <w:jc w:val="center"/>
              <w:rPr>
                <w:lang w:val="en-IN"/>
              </w:rPr>
            </w:pPr>
            <w:r>
              <w:rPr>
                <w:lang w:val="en-IN"/>
              </w:rPr>
              <w:t>October 31, 2025</w:t>
            </w:r>
          </w:p>
        </w:tc>
      </w:tr>
      <w:tr w:rsidR="00664A0D" w:rsidTr="00CD606D" w14:paraId="3A2E48CF" w14:textId="77777777">
        <w:tc>
          <w:tcPr>
            <w:tcW w:w="890" w:type="dxa"/>
            <w:tcBorders>
              <w:top w:val="single" w:color="auto" w:sz="8" w:space="0"/>
              <w:left w:val="single" w:color="auto" w:sz="8" w:space="0"/>
              <w:bottom w:val="single" w:color="auto" w:sz="8" w:space="0"/>
              <w:right w:val="single" w:color="auto" w:sz="8" w:space="0"/>
            </w:tcBorders>
          </w:tcPr>
          <w:p w:rsidRPr="000E22EB" w:rsidR="00664A0D" w:rsidP="00664A0D" w:rsidRDefault="00291268" w14:paraId="3D911D17" w14:textId="0623BB96">
            <w:pPr>
              <w:pStyle w:val="NoSpacing"/>
              <w:keepNext/>
              <w:keepLines/>
              <w:jc w:val="center"/>
              <w:rPr>
                <w:lang w:val="en-IN"/>
              </w:rPr>
            </w:pPr>
            <w:r>
              <w:rPr>
                <w:lang w:val="en-IN"/>
              </w:rPr>
              <w:t>14</w:t>
            </w:r>
          </w:p>
        </w:tc>
        <w:tc>
          <w:tcPr>
            <w:tcW w:w="15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79839B1B" w14:textId="77777777">
            <w:pPr>
              <w:pStyle w:val="NoSpacing"/>
              <w:keepNext/>
              <w:keepLines/>
              <w:jc w:val="center"/>
              <w:rPr>
                <w:lang w:val="en-IN"/>
              </w:rPr>
            </w:pPr>
            <w:r>
              <w:rPr>
                <w:lang w:val="en-IN"/>
              </w:rPr>
              <w:t>P&amp;E Q4</w:t>
            </w:r>
          </w:p>
        </w:tc>
        <w:tc>
          <w:tcPr>
            <w:tcW w:w="433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48E258C4" w14:textId="7D0CD591">
            <w:pPr>
              <w:pStyle w:val="NoSpacing"/>
              <w:keepNext/>
              <w:keepLines/>
              <w:jc w:val="center"/>
              <w:rPr>
                <w:lang w:val="en-IN"/>
              </w:rPr>
            </w:pPr>
            <w:r>
              <w:rPr>
                <w:lang w:val="en-IN"/>
              </w:rPr>
              <w:t>October 1, 2025 – December 31, 2025</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2E742EA5" w14:textId="77777777">
            <w:pPr>
              <w:pStyle w:val="NoSpacing"/>
              <w:keepNext/>
              <w:keepLines/>
              <w:jc w:val="center"/>
              <w:rPr>
                <w:lang w:val="en-IN"/>
              </w:rPr>
            </w:pPr>
            <w:r>
              <w:rPr>
                <w:lang w:val="en-IN"/>
              </w:rPr>
              <w:t>January 31, 2026</w:t>
            </w:r>
          </w:p>
        </w:tc>
      </w:tr>
      <w:tr w:rsidR="00664A0D" w:rsidTr="00CD606D" w14:paraId="6B24FAC4" w14:textId="77777777">
        <w:tc>
          <w:tcPr>
            <w:tcW w:w="890" w:type="dxa"/>
            <w:tcBorders>
              <w:top w:val="single" w:color="auto" w:sz="8" w:space="0"/>
              <w:left w:val="single" w:color="auto" w:sz="8" w:space="0"/>
              <w:bottom w:val="single" w:color="auto" w:sz="8" w:space="0"/>
              <w:right w:val="single" w:color="auto" w:sz="8" w:space="0"/>
            </w:tcBorders>
          </w:tcPr>
          <w:p w:rsidRPr="000E22EB" w:rsidR="00664A0D" w:rsidP="00664A0D" w:rsidRDefault="00291268" w14:paraId="1CABF103" w14:textId="23E025A9">
            <w:pPr>
              <w:pStyle w:val="NoSpacing"/>
              <w:keepNext/>
              <w:keepLines/>
              <w:jc w:val="center"/>
              <w:rPr>
                <w:lang w:val="en-IN"/>
              </w:rPr>
            </w:pPr>
            <w:r>
              <w:rPr>
                <w:lang w:val="en-IN"/>
              </w:rPr>
              <w:t>15</w:t>
            </w:r>
          </w:p>
        </w:tc>
        <w:tc>
          <w:tcPr>
            <w:tcW w:w="15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27B0D9DF" w14:textId="77777777">
            <w:pPr>
              <w:pStyle w:val="NoSpacing"/>
              <w:keepNext/>
              <w:keepLines/>
              <w:jc w:val="center"/>
              <w:rPr>
                <w:lang w:val="en-IN"/>
              </w:rPr>
            </w:pPr>
            <w:r>
              <w:rPr>
                <w:lang w:val="en-IN"/>
              </w:rPr>
              <w:t>P&amp;E Q1</w:t>
            </w:r>
          </w:p>
        </w:tc>
        <w:tc>
          <w:tcPr>
            <w:tcW w:w="433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46A3132F" w14:textId="05B76E63">
            <w:pPr>
              <w:pStyle w:val="NoSpacing"/>
              <w:keepNext/>
              <w:keepLines/>
              <w:jc w:val="center"/>
              <w:rPr>
                <w:lang w:val="en-IN"/>
              </w:rPr>
            </w:pPr>
            <w:r>
              <w:rPr>
                <w:lang w:val="en-IN"/>
              </w:rPr>
              <w:t>January 1, 2026 – March 31, 2026</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84038E" w:rsidR="00664A0D" w:rsidP="009A35B8" w:rsidRDefault="00664A0D" w14:paraId="7923BD60" w14:textId="77777777">
            <w:pPr>
              <w:pStyle w:val="NoSpacing"/>
              <w:keepNext/>
              <w:keepLines/>
              <w:jc w:val="center"/>
              <w:rPr>
                <w:lang w:val="en-IN"/>
              </w:rPr>
            </w:pPr>
            <w:r>
              <w:rPr>
                <w:lang w:val="en-IN"/>
              </w:rPr>
              <w:t>April 30, 2026</w:t>
            </w:r>
          </w:p>
        </w:tc>
      </w:tr>
      <w:tr w:rsidR="00664A0D" w:rsidTr="00CD606D" w14:paraId="698CE9E3" w14:textId="77777777">
        <w:tc>
          <w:tcPr>
            <w:tcW w:w="890" w:type="dxa"/>
            <w:tcBorders>
              <w:top w:val="single" w:color="auto" w:sz="8" w:space="0"/>
              <w:left w:val="single" w:color="auto" w:sz="8" w:space="0"/>
              <w:bottom w:val="single" w:color="auto" w:sz="8" w:space="0"/>
              <w:right w:val="single" w:color="auto" w:sz="8" w:space="0"/>
            </w:tcBorders>
          </w:tcPr>
          <w:p w:rsidRPr="000E22EB" w:rsidR="00664A0D" w:rsidP="00664A0D" w:rsidRDefault="00291268" w14:paraId="04B52AD1" w14:textId="691198C3">
            <w:pPr>
              <w:pStyle w:val="NoSpacing"/>
              <w:keepNext/>
              <w:keepLines/>
              <w:jc w:val="center"/>
              <w:rPr>
                <w:lang w:val="en-IN"/>
              </w:rPr>
            </w:pPr>
            <w:r>
              <w:rPr>
                <w:lang w:val="en-IN"/>
              </w:rPr>
              <w:t>16</w:t>
            </w:r>
          </w:p>
        </w:tc>
        <w:tc>
          <w:tcPr>
            <w:tcW w:w="15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49F89906" w14:textId="77777777">
            <w:pPr>
              <w:pStyle w:val="NoSpacing"/>
              <w:keepNext/>
              <w:keepLines/>
              <w:jc w:val="center"/>
              <w:rPr>
                <w:lang w:val="en-IN"/>
              </w:rPr>
            </w:pPr>
            <w:r>
              <w:rPr>
                <w:lang w:val="en-IN"/>
              </w:rPr>
              <w:t>P&amp;E Q2</w:t>
            </w:r>
          </w:p>
        </w:tc>
        <w:tc>
          <w:tcPr>
            <w:tcW w:w="433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61134AAD" w14:textId="053A0907">
            <w:pPr>
              <w:pStyle w:val="NoSpacing"/>
              <w:keepNext/>
              <w:keepLines/>
              <w:jc w:val="center"/>
              <w:rPr>
                <w:lang w:val="en-IN"/>
              </w:rPr>
            </w:pPr>
            <w:r>
              <w:rPr>
                <w:lang w:val="en-IN"/>
              </w:rPr>
              <w:t>April 1, 2026 – June 30, 2026</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84038E" w:rsidR="00664A0D" w:rsidP="009A35B8" w:rsidRDefault="00664A0D" w14:paraId="3C24C456" w14:textId="77777777">
            <w:pPr>
              <w:pStyle w:val="NoSpacing"/>
              <w:keepNext/>
              <w:keepLines/>
              <w:jc w:val="center"/>
              <w:rPr>
                <w:lang w:val="en-IN"/>
              </w:rPr>
            </w:pPr>
            <w:r>
              <w:rPr>
                <w:lang w:val="en-IN"/>
              </w:rPr>
              <w:t>July 31, 2026</w:t>
            </w:r>
          </w:p>
        </w:tc>
      </w:tr>
      <w:tr w:rsidR="00664A0D" w:rsidTr="00CD606D" w14:paraId="529B7457" w14:textId="77777777">
        <w:tc>
          <w:tcPr>
            <w:tcW w:w="890" w:type="dxa"/>
            <w:tcBorders>
              <w:top w:val="single" w:color="auto" w:sz="8" w:space="0"/>
              <w:left w:val="single" w:color="auto" w:sz="8" w:space="0"/>
              <w:bottom w:val="single" w:color="auto" w:sz="8" w:space="0"/>
              <w:right w:val="single" w:color="auto" w:sz="8" w:space="0"/>
            </w:tcBorders>
            <w:shd w:val="clear" w:color="auto" w:fill="D9D9D9" w:themeFill="background2" w:themeFillShade="D9"/>
          </w:tcPr>
          <w:p w:rsidR="00664A0D" w:rsidP="00664A0D" w:rsidRDefault="00664A0D" w14:paraId="5DF590B7" w14:textId="77777777">
            <w:pPr>
              <w:pStyle w:val="NoSpacing"/>
              <w:keepNext/>
              <w:keepLines/>
              <w:jc w:val="center"/>
              <w:rPr>
                <w:lang w:val="en-IN"/>
              </w:rPr>
            </w:pPr>
            <w:r>
              <w:rPr>
                <w:lang w:val="en-IN"/>
              </w:rPr>
              <w:t>P5</w:t>
            </w:r>
          </w:p>
        </w:tc>
        <w:tc>
          <w:tcPr>
            <w:tcW w:w="1530" w:type="dxa"/>
            <w:tcBorders>
              <w:top w:val="single" w:color="auto" w:sz="8" w:space="0"/>
              <w:left w:val="single" w:color="auto" w:sz="8" w:space="0"/>
              <w:bottom w:val="single" w:color="auto" w:sz="8" w:space="0"/>
              <w:right w:val="single" w:color="auto" w:sz="8" w:space="0"/>
            </w:tcBorders>
            <w:shd w:val="clear" w:color="auto" w:fill="D9D9D9" w:themeFill="background2" w:themeFillShade="D9"/>
            <w:tcMar>
              <w:top w:w="0" w:type="dxa"/>
              <w:left w:w="108" w:type="dxa"/>
              <w:bottom w:w="0" w:type="dxa"/>
              <w:right w:w="108" w:type="dxa"/>
            </w:tcMar>
          </w:tcPr>
          <w:p w:rsidR="00664A0D" w:rsidP="009A35B8" w:rsidRDefault="00664A0D" w14:paraId="75F7458B" w14:textId="77777777">
            <w:pPr>
              <w:pStyle w:val="NoSpacing"/>
              <w:keepNext/>
              <w:keepLines/>
              <w:jc w:val="center"/>
              <w:rPr>
                <w:lang w:val="en-IN"/>
              </w:rPr>
            </w:pPr>
            <w:r>
              <w:rPr>
                <w:lang w:val="en-IN"/>
              </w:rPr>
              <w:t>Performance</w:t>
            </w:r>
          </w:p>
        </w:tc>
        <w:tc>
          <w:tcPr>
            <w:tcW w:w="4337" w:type="dxa"/>
            <w:tcBorders>
              <w:top w:val="single" w:color="auto" w:sz="8" w:space="0"/>
              <w:left w:val="nil"/>
              <w:bottom w:val="single" w:color="auto" w:sz="8" w:space="0"/>
              <w:right w:val="single" w:color="auto" w:sz="8" w:space="0"/>
            </w:tcBorders>
            <w:shd w:val="clear" w:color="auto" w:fill="D9D9D9" w:themeFill="background2" w:themeFillShade="D9"/>
            <w:tcMar>
              <w:top w:w="0" w:type="dxa"/>
              <w:left w:w="108" w:type="dxa"/>
              <w:bottom w:w="0" w:type="dxa"/>
              <w:right w:w="108" w:type="dxa"/>
            </w:tcMar>
          </w:tcPr>
          <w:p w:rsidR="00664A0D" w:rsidP="009A35B8" w:rsidRDefault="00664A0D" w14:paraId="2A33D06C" w14:textId="77777777">
            <w:pPr>
              <w:pStyle w:val="NoSpacing"/>
              <w:keepNext/>
              <w:keepLines/>
              <w:jc w:val="center"/>
              <w:rPr>
                <w:lang w:val="en-IN"/>
              </w:rPr>
            </w:pPr>
            <w:r>
              <w:rPr>
                <w:lang w:val="en-IN"/>
              </w:rPr>
              <w:t>July 1, 2025 - June 30, 2026</w:t>
            </w:r>
          </w:p>
        </w:tc>
        <w:tc>
          <w:tcPr>
            <w:tcW w:w="1963" w:type="dxa"/>
            <w:tcBorders>
              <w:top w:val="single" w:color="auto" w:sz="8" w:space="0"/>
              <w:left w:val="nil"/>
              <w:bottom w:val="single" w:color="auto" w:sz="8" w:space="0"/>
              <w:right w:val="single" w:color="auto" w:sz="8" w:space="0"/>
            </w:tcBorders>
            <w:shd w:val="clear" w:color="auto" w:fill="D9D9D9" w:themeFill="background2" w:themeFillShade="D9"/>
            <w:tcMar>
              <w:top w:w="0" w:type="dxa"/>
              <w:left w:w="108" w:type="dxa"/>
              <w:bottom w:w="0" w:type="dxa"/>
              <w:right w:w="108" w:type="dxa"/>
            </w:tcMar>
          </w:tcPr>
          <w:p w:rsidR="00664A0D" w:rsidP="009A35B8" w:rsidRDefault="00664A0D" w14:paraId="20CF7A81" w14:textId="77777777">
            <w:pPr>
              <w:pStyle w:val="NoSpacing"/>
              <w:keepNext/>
              <w:keepLines/>
              <w:jc w:val="center"/>
              <w:rPr>
                <w:lang w:val="en-IN"/>
              </w:rPr>
            </w:pPr>
            <w:r>
              <w:rPr>
                <w:lang w:val="en-IN"/>
              </w:rPr>
              <w:t>July 31, 2026</w:t>
            </w:r>
          </w:p>
        </w:tc>
      </w:tr>
      <w:tr w:rsidR="00664A0D" w:rsidTr="00CD606D" w14:paraId="7CFF6A3A" w14:textId="77777777">
        <w:tc>
          <w:tcPr>
            <w:tcW w:w="890" w:type="dxa"/>
            <w:tcBorders>
              <w:top w:val="single" w:color="auto" w:sz="8" w:space="0"/>
              <w:left w:val="single" w:color="auto" w:sz="8" w:space="0"/>
              <w:bottom w:val="single" w:color="auto" w:sz="8" w:space="0"/>
              <w:right w:val="single" w:color="auto" w:sz="8" w:space="0"/>
            </w:tcBorders>
          </w:tcPr>
          <w:p w:rsidRPr="000E22EB" w:rsidR="00664A0D" w:rsidP="00664A0D" w:rsidRDefault="00291268" w14:paraId="30CB0067" w14:textId="631E5EE8">
            <w:pPr>
              <w:pStyle w:val="NoSpacing"/>
              <w:keepNext/>
              <w:keepLines/>
              <w:jc w:val="center"/>
              <w:rPr>
                <w:lang w:val="en-IN"/>
              </w:rPr>
            </w:pPr>
            <w:r>
              <w:rPr>
                <w:lang w:val="en-IN"/>
              </w:rPr>
              <w:t>17</w:t>
            </w:r>
          </w:p>
        </w:tc>
        <w:tc>
          <w:tcPr>
            <w:tcW w:w="15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53EFADA9" w14:textId="77777777">
            <w:pPr>
              <w:pStyle w:val="NoSpacing"/>
              <w:keepNext/>
              <w:keepLines/>
              <w:jc w:val="center"/>
              <w:rPr>
                <w:lang w:val="en-IN"/>
              </w:rPr>
            </w:pPr>
            <w:r>
              <w:rPr>
                <w:lang w:val="en-IN"/>
              </w:rPr>
              <w:t>P&amp;E Q3</w:t>
            </w:r>
          </w:p>
        </w:tc>
        <w:tc>
          <w:tcPr>
            <w:tcW w:w="433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2CE5FDD8" w14:textId="2604287F">
            <w:pPr>
              <w:pStyle w:val="NoSpacing"/>
              <w:keepNext/>
              <w:keepLines/>
              <w:jc w:val="center"/>
              <w:rPr>
                <w:lang w:val="en-IN"/>
              </w:rPr>
            </w:pPr>
            <w:r>
              <w:rPr>
                <w:lang w:val="en-IN"/>
              </w:rPr>
              <w:t>July 1, 2026 – September 30, 2026</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84038E" w:rsidR="00664A0D" w:rsidP="009A35B8" w:rsidRDefault="00664A0D" w14:paraId="0E480BF5" w14:textId="77777777">
            <w:pPr>
              <w:pStyle w:val="NoSpacing"/>
              <w:keepNext/>
              <w:keepLines/>
              <w:jc w:val="center"/>
              <w:rPr>
                <w:lang w:val="en-IN"/>
              </w:rPr>
            </w:pPr>
            <w:r>
              <w:rPr>
                <w:lang w:val="en-IN"/>
              </w:rPr>
              <w:t>October 31, 2026</w:t>
            </w:r>
          </w:p>
        </w:tc>
      </w:tr>
      <w:tr w:rsidR="00664A0D" w:rsidTr="00CD606D" w14:paraId="77C180E4" w14:textId="77777777">
        <w:tc>
          <w:tcPr>
            <w:tcW w:w="890" w:type="dxa"/>
            <w:tcBorders>
              <w:top w:val="single" w:color="auto" w:sz="8" w:space="0"/>
              <w:left w:val="single" w:color="auto" w:sz="8" w:space="0"/>
              <w:bottom w:val="single" w:color="auto" w:sz="8" w:space="0"/>
              <w:right w:val="single" w:color="auto" w:sz="8" w:space="0"/>
            </w:tcBorders>
          </w:tcPr>
          <w:p w:rsidRPr="000E22EB" w:rsidR="00664A0D" w:rsidP="00664A0D" w:rsidRDefault="00291268" w14:paraId="6D9B240F" w14:textId="1F2BE3F8">
            <w:pPr>
              <w:pStyle w:val="NoSpacing"/>
              <w:keepNext/>
              <w:keepLines/>
              <w:jc w:val="center"/>
              <w:rPr>
                <w:lang w:val="en-IN"/>
              </w:rPr>
            </w:pPr>
            <w:r>
              <w:rPr>
                <w:lang w:val="en-IN"/>
              </w:rPr>
              <w:t>18</w:t>
            </w:r>
          </w:p>
        </w:tc>
        <w:tc>
          <w:tcPr>
            <w:tcW w:w="15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26EE851B" w14:textId="77777777">
            <w:pPr>
              <w:pStyle w:val="NoSpacing"/>
              <w:keepNext/>
              <w:keepLines/>
              <w:jc w:val="center"/>
              <w:rPr>
                <w:lang w:val="en-IN"/>
              </w:rPr>
            </w:pPr>
            <w:r>
              <w:rPr>
                <w:lang w:val="en-IN"/>
              </w:rPr>
              <w:t>P&amp;E Q4</w:t>
            </w:r>
          </w:p>
        </w:tc>
        <w:tc>
          <w:tcPr>
            <w:tcW w:w="433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21798" w:rsidR="00664A0D" w:rsidP="009A35B8" w:rsidRDefault="00664A0D" w14:paraId="277532C1" w14:textId="70803574">
            <w:pPr>
              <w:pStyle w:val="NoSpacing"/>
              <w:keepNext/>
              <w:keepLines/>
              <w:jc w:val="center"/>
              <w:rPr>
                <w:lang w:val="en-IN"/>
              </w:rPr>
            </w:pPr>
            <w:r>
              <w:rPr>
                <w:lang w:val="en-IN"/>
              </w:rPr>
              <w:t>October 1, 2026 – December 31, 2026</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84038E" w:rsidR="00664A0D" w:rsidP="009A35B8" w:rsidRDefault="00664A0D" w14:paraId="5628D6B3" w14:textId="77777777">
            <w:pPr>
              <w:pStyle w:val="NoSpacing"/>
              <w:keepNext/>
              <w:keepLines/>
              <w:jc w:val="center"/>
              <w:rPr>
                <w:lang w:val="en-IN"/>
              </w:rPr>
            </w:pPr>
            <w:r>
              <w:rPr>
                <w:lang w:val="en-IN"/>
              </w:rPr>
              <w:t>March 31, 2027</w:t>
            </w:r>
          </w:p>
        </w:tc>
      </w:tr>
      <w:tr w:rsidR="00664A0D" w:rsidTr="00CD606D" w14:paraId="4BB58556" w14:textId="77777777">
        <w:tc>
          <w:tcPr>
            <w:tcW w:w="890" w:type="dxa"/>
            <w:tcBorders>
              <w:top w:val="single" w:color="auto" w:sz="8" w:space="0"/>
              <w:left w:val="single" w:color="auto" w:sz="8" w:space="0"/>
              <w:bottom w:val="single" w:color="auto" w:sz="8" w:space="0"/>
              <w:right w:val="single" w:color="auto" w:sz="8" w:space="0"/>
            </w:tcBorders>
            <w:shd w:val="clear" w:color="auto" w:fill="D9D9D9" w:themeFill="background2" w:themeFillShade="D9"/>
          </w:tcPr>
          <w:p w:rsidR="00664A0D" w:rsidP="00664A0D" w:rsidRDefault="00664A0D" w14:paraId="557AB24C" w14:textId="77777777">
            <w:pPr>
              <w:pStyle w:val="NoSpacing"/>
              <w:keepNext/>
              <w:keepLines/>
              <w:jc w:val="center"/>
              <w:rPr>
                <w:lang w:val="en-IN"/>
              </w:rPr>
            </w:pPr>
            <w:r>
              <w:rPr>
                <w:lang w:val="en-IN"/>
              </w:rPr>
              <w:t>P6</w:t>
            </w:r>
          </w:p>
        </w:tc>
        <w:tc>
          <w:tcPr>
            <w:tcW w:w="1530" w:type="dxa"/>
            <w:tcBorders>
              <w:top w:val="single" w:color="auto" w:sz="8" w:space="0"/>
              <w:left w:val="single" w:color="auto" w:sz="8" w:space="0"/>
              <w:bottom w:val="single" w:color="auto" w:sz="8" w:space="0"/>
              <w:right w:val="single" w:color="auto" w:sz="8" w:space="0"/>
            </w:tcBorders>
            <w:shd w:val="clear" w:color="auto" w:fill="D9D9D9" w:themeFill="background2" w:themeFillShade="D9"/>
            <w:tcMar>
              <w:top w:w="0" w:type="dxa"/>
              <w:left w:w="108" w:type="dxa"/>
              <w:bottom w:w="0" w:type="dxa"/>
              <w:right w:w="108" w:type="dxa"/>
            </w:tcMar>
          </w:tcPr>
          <w:p w:rsidR="00664A0D" w:rsidP="009A35B8" w:rsidRDefault="00664A0D" w14:paraId="0F0FDD8D" w14:textId="77777777">
            <w:pPr>
              <w:pStyle w:val="NoSpacing"/>
              <w:keepNext/>
              <w:keepLines/>
              <w:jc w:val="center"/>
              <w:rPr>
                <w:lang w:val="en-IN"/>
              </w:rPr>
            </w:pPr>
            <w:r>
              <w:rPr>
                <w:lang w:val="en-IN"/>
              </w:rPr>
              <w:t>Performance</w:t>
            </w:r>
          </w:p>
        </w:tc>
        <w:tc>
          <w:tcPr>
            <w:tcW w:w="4337" w:type="dxa"/>
            <w:tcBorders>
              <w:top w:val="single" w:color="auto" w:sz="8" w:space="0"/>
              <w:left w:val="nil"/>
              <w:bottom w:val="single" w:color="auto" w:sz="8" w:space="0"/>
              <w:right w:val="single" w:color="auto" w:sz="8" w:space="0"/>
            </w:tcBorders>
            <w:shd w:val="clear" w:color="auto" w:fill="D9D9D9" w:themeFill="background2" w:themeFillShade="D9"/>
            <w:tcMar>
              <w:top w:w="0" w:type="dxa"/>
              <w:left w:w="108" w:type="dxa"/>
              <w:bottom w:w="0" w:type="dxa"/>
              <w:right w:w="108" w:type="dxa"/>
            </w:tcMar>
          </w:tcPr>
          <w:p w:rsidR="00664A0D" w:rsidP="009A35B8" w:rsidRDefault="00664A0D" w14:paraId="6EB3366C" w14:textId="77777777">
            <w:pPr>
              <w:pStyle w:val="NoSpacing"/>
              <w:keepNext/>
              <w:keepLines/>
              <w:jc w:val="center"/>
              <w:rPr>
                <w:lang w:val="en-IN"/>
              </w:rPr>
            </w:pPr>
            <w:r>
              <w:rPr>
                <w:lang w:val="en-IN"/>
              </w:rPr>
              <w:t>July 1, 2026 - December 31, 2026</w:t>
            </w:r>
          </w:p>
        </w:tc>
        <w:tc>
          <w:tcPr>
            <w:tcW w:w="1963" w:type="dxa"/>
            <w:tcBorders>
              <w:top w:val="single" w:color="auto" w:sz="8" w:space="0"/>
              <w:left w:val="nil"/>
              <w:bottom w:val="single" w:color="auto" w:sz="8" w:space="0"/>
              <w:right w:val="single" w:color="auto" w:sz="8" w:space="0"/>
            </w:tcBorders>
            <w:shd w:val="clear" w:color="auto" w:fill="D9D9D9" w:themeFill="background2" w:themeFillShade="D9"/>
            <w:tcMar>
              <w:top w:w="0" w:type="dxa"/>
              <w:left w:w="108" w:type="dxa"/>
              <w:bottom w:w="0" w:type="dxa"/>
              <w:right w:w="108" w:type="dxa"/>
            </w:tcMar>
          </w:tcPr>
          <w:p w:rsidR="00664A0D" w:rsidP="009A35B8" w:rsidRDefault="00664A0D" w14:paraId="6C3BC305" w14:textId="2F2F86F0">
            <w:pPr>
              <w:pStyle w:val="NoSpacing"/>
              <w:keepNext/>
              <w:keepLines/>
              <w:jc w:val="center"/>
              <w:rPr>
                <w:lang w:val="en-IN"/>
              </w:rPr>
            </w:pPr>
            <w:r>
              <w:rPr>
                <w:lang w:val="en-IN"/>
              </w:rPr>
              <w:t>March 31, 2027</w:t>
            </w:r>
          </w:p>
        </w:tc>
      </w:tr>
    </w:tbl>
    <w:p w:rsidR="001374E7" w:rsidP="006F0CF2" w:rsidRDefault="00E16626" w14:paraId="47EB7AC7" w14:textId="122BE67A">
      <w:pPr>
        <w:pStyle w:val="NoSpacing"/>
        <w:spacing w:before="120"/>
      </w:pPr>
      <w:r>
        <w:t xml:space="preserve">The remainder of this document describes </w:t>
      </w:r>
      <w:r w:rsidR="00F21380">
        <w:t xml:space="preserve">these </w:t>
      </w:r>
      <w:r>
        <w:t xml:space="preserve">reporting requirements.  </w:t>
      </w:r>
      <w:r w:rsidR="00E54D03">
        <w:t>A u</w:t>
      </w:r>
      <w:r>
        <w:t>ser guide describing how and where to submit require</w:t>
      </w:r>
      <w:r w:rsidR="00F21380">
        <w:t>d</w:t>
      </w:r>
      <w:r>
        <w:t xml:space="preserve"> reports, among other information, will be posted </w:t>
      </w:r>
      <w:r w:rsidR="00F20E49">
        <w:t>on the</w:t>
      </w:r>
      <w:r w:rsidR="00CA2F70">
        <w:t xml:space="preserve"> </w:t>
      </w:r>
      <w:hyperlink w:history="1" r:id="rId22">
        <w:r w:rsidR="00CD606D">
          <w:rPr>
            <w:rStyle w:val="Hyperlink"/>
          </w:rPr>
          <w:t>CPF website</w:t>
        </w:r>
      </w:hyperlink>
      <w:r w:rsidR="00CA2F70">
        <w:t xml:space="preserve"> </w:t>
      </w:r>
      <w:r w:rsidR="00B44A0C">
        <w:t xml:space="preserve">prior to the opening of the reporting portal, </w:t>
      </w:r>
      <w:r w:rsidR="00CA2F70">
        <w:t xml:space="preserve">and updated on a regular basis.  </w:t>
      </w:r>
    </w:p>
    <w:p w:rsidRPr="00D15C9F" w:rsidR="00FC70DE" w:rsidP="000F6B00" w:rsidRDefault="00FC70DE" w14:paraId="4A3942F2" w14:textId="75E53273">
      <w:pPr>
        <w:pStyle w:val="Subtitle"/>
        <w:numPr>
          <w:ilvl w:val="0"/>
          <w:numId w:val="71"/>
        </w:numPr>
      </w:pPr>
      <w:bookmarkStart w:name="_Toc102719954" w:id="3"/>
      <w:r w:rsidRPr="00D15C9F">
        <w:lastRenderedPageBreak/>
        <w:t>Project and Expenditure Report</w:t>
      </w:r>
      <w:bookmarkEnd w:id="3"/>
      <w:r w:rsidRPr="00D15C9F">
        <w:t xml:space="preserve"> </w:t>
      </w:r>
    </w:p>
    <w:p w:rsidR="008B7FF7" w:rsidP="008B7FF7" w:rsidRDefault="00FC70DE" w14:paraId="5F143704" w14:textId="15B5E7FB">
      <w:pPr>
        <w:pStyle w:val="NoSpacing"/>
      </w:pPr>
      <w:bookmarkStart w:name="_Hlk94180067" w:id="4"/>
      <w:r>
        <w:t xml:space="preserve">States, </w:t>
      </w:r>
      <w:r w:rsidR="00184FB1">
        <w:t>territories,</w:t>
      </w:r>
      <w:r>
        <w:t xml:space="preserve"> and freely associated states</w:t>
      </w:r>
      <w:bookmarkEnd w:id="4"/>
      <w:r>
        <w:t xml:space="preserve"> are required to submit </w:t>
      </w:r>
      <w:r w:rsidRPr="001056A8">
        <w:t xml:space="preserve">Project and Expenditure Reports </w:t>
      </w:r>
      <w:r>
        <w:t>on a quarterly basis</w:t>
      </w:r>
      <w:r w:rsidR="00F05C28">
        <w:t xml:space="preserve"> according to the due dates noted in </w:t>
      </w:r>
      <w:r w:rsidRPr="003B12E4" w:rsidR="00F05C28">
        <w:rPr>
          <w:b/>
          <w:bCs/>
        </w:rPr>
        <w:t xml:space="preserve">Table </w:t>
      </w:r>
      <w:r w:rsidR="00F05C28">
        <w:rPr>
          <w:b/>
          <w:bCs/>
        </w:rPr>
        <w:t>1</w:t>
      </w:r>
      <w:r w:rsidR="003B12E4">
        <w:t>.</w:t>
      </w:r>
      <w:r w:rsidR="00D77CF1">
        <w:t xml:space="preserve">  A Project and Expenditure Report must be completed for each Project</w:t>
      </w:r>
      <w:r w:rsidR="004E7A3F">
        <w:t xml:space="preserve"> included in an approved Program Plan</w:t>
      </w:r>
      <w:r w:rsidR="00D77CF1">
        <w:t xml:space="preserve">, beginning after a </w:t>
      </w:r>
      <w:r w:rsidR="004C1E8D">
        <w:t>P</w:t>
      </w:r>
      <w:r w:rsidR="00D77CF1">
        <w:t xml:space="preserve">roject has been selected and a subaward has been </w:t>
      </w:r>
      <w:r w:rsidR="00E30E64">
        <w:t>executed</w:t>
      </w:r>
      <w:r w:rsidR="00B4557B">
        <w:t xml:space="preserve"> (if</w:t>
      </w:r>
      <w:r w:rsidR="008B70D5">
        <w:t xml:space="preserve"> </w:t>
      </w:r>
      <w:r w:rsidR="00D77CF1">
        <w:t>applicable</w:t>
      </w:r>
      <w:r w:rsidR="00B4557B">
        <w:t>)</w:t>
      </w:r>
      <w:r w:rsidR="00D77CF1">
        <w:t xml:space="preserve">.  Project and Expenditure Reports will </w:t>
      </w:r>
      <w:r w:rsidR="000C0685">
        <w:t xml:space="preserve">be due </w:t>
      </w:r>
      <w:r w:rsidR="008C15EB">
        <w:t xml:space="preserve">each quarter </w:t>
      </w:r>
      <w:r w:rsidR="00F426CA">
        <w:t xml:space="preserve">thereafter </w:t>
      </w:r>
      <w:r w:rsidR="00007CCC">
        <w:t xml:space="preserve">for </w:t>
      </w:r>
      <w:r w:rsidR="00D77CF1">
        <w:t xml:space="preserve">the remainder of the </w:t>
      </w:r>
      <w:r w:rsidR="008C15EB">
        <w:t>p</w:t>
      </w:r>
      <w:r w:rsidR="00D77CF1">
        <w:t xml:space="preserve">eriod of </w:t>
      </w:r>
      <w:r w:rsidR="008C15EB">
        <w:t>p</w:t>
      </w:r>
      <w:r w:rsidR="00D77CF1">
        <w:t>erformance</w:t>
      </w:r>
      <w:r w:rsidR="00920062">
        <w:t xml:space="preserve"> to continue to collect performance data</w:t>
      </w:r>
      <w:r w:rsidR="00D77CF1">
        <w:t xml:space="preserve">.  </w:t>
      </w:r>
      <w:r w:rsidR="002B2B21">
        <w:t>Additionally, t</w:t>
      </w:r>
      <w:r w:rsidRPr="0006575C">
        <w:t>o provide public transparency</w:t>
      </w:r>
      <w:r w:rsidR="00930CC2">
        <w:t xml:space="preserve">, Treasury will seek information from Recipients regarding their plans and practices related to promoting on-time and on-budget delivery related to CPF </w:t>
      </w:r>
      <w:r w:rsidR="00F20E49">
        <w:t>P</w:t>
      </w:r>
      <w:r w:rsidR="00930CC2">
        <w:t xml:space="preserve">rojects. </w:t>
      </w:r>
    </w:p>
    <w:p w:rsidR="008B7FF7" w:rsidP="008B7FF7" w:rsidRDefault="008B7FF7" w14:paraId="0C622794" w14:textId="77777777">
      <w:pPr>
        <w:pStyle w:val="NoSpacing"/>
      </w:pPr>
    </w:p>
    <w:p w:rsidR="0071679C" w:rsidP="008B7FF7" w:rsidRDefault="009E6FA6" w14:paraId="5BA35963" w14:textId="35252D9A">
      <w:pPr>
        <w:pStyle w:val="NoSpacing"/>
      </w:pPr>
      <w:r>
        <w:t xml:space="preserve">Following the initial report, all </w:t>
      </w:r>
      <w:r w:rsidR="008B7FF7">
        <w:t>Project and Expenditure</w:t>
      </w:r>
      <w:r w:rsidR="003D79AC">
        <w:t xml:space="preserve"> </w:t>
      </w:r>
      <w:r w:rsidR="00636910">
        <w:t xml:space="preserve">Reports will </w:t>
      </w:r>
      <w:r w:rsidR="00FC70DE">
        <w:t xml:space="preserve">cover one </w:t>
      </w:r>
      <w:r>
        <w:t>three-month period</w:t>
      </w:r>
      <w:r w:rsidR="00FC70DE">
        <w:t xml:space="preserve"> and must be submitted to Treasury within</w:t>
      </w:r>
      <w:r w:rsidR="000B288F">
        <w:t xml:space="preserve"> </w:t>
      </w:r>
      <w:r w:rsidR="00FC70DE">
        <w:t xml:space="preserve">30 </w:t>
      </w:r>
      <w:r w:rsidR="00007CCC">
        <w:t xml:space="preserve">calendar </w:t>
      </w:r>
      <w:r w:rsidR="00FC70DE">
        <w:t xml:space="preserve">days after the end of each </w:t>
      </w:r>
      <w:r w:rsidR="003B12E4">
        <w:t>period</w:t>
      </w:r>
      <w:r w:rsidR="00007CCC">
        <w:t>, except for the final report, which is due 120 calendar days after the end of the period of performance.</w:t>
      </w:r>
      <w:r w:rsidR="00007CCC">
        <w:rPr>
          <w:rStyle w:val="FootnoteReference"/>
        </w:rPr>
        <w:footnoteReference w:id="3"/>
      </w:r>
      <w:r w:rsidR="00007CCC">
        <w:t xml:space="preserve">  </w:t>
      </w:r>
      <w:r w:rsidR="00F20E49">
        <w:t xml:space="preserve">Treasury may provide additional closeout instructions </w:t>
      </w:r>
      <w:r w:rsidR="00684A43">
        <w:t xml:space="preserve">prior to </w:t>
      </w:r>
      <w:r w:rsidR="00F20E49">
        <w:t xml:space="preserve">the end of the </w:t>
      </w:r>
      <w:r w:rsidR="00684A43">
        <w:t>period of performance</w:t>
      </w:r>
      <w:r w:rsidR="00F20E49">
        <w:t xml:space="preserve">. </w:t>
      </w:r>
      <w:r w:rsidR="00636910">
        <w:t xml:space="preserve"> </w:t>
      </w:r>
    </w:p>
    <w:p w:rsidR="00F20E49" w:rsidP="008B7FF7" w:rsidRDefault="00F20E49" w14:paraId="485D5634" w14:textId="3FC0E62D">
      <w:pPr>
        <w:pStyle w:val="NoSpacing"/>
      </w:pPr>
    </w:p>
    <w:p w:rsidR="00F20E49" w:rsidP="008B7FF7" w:rsidRDefault="00F21380" w14:paraId="664B2BA8" w14:textId="4FA217B1">
      <w:pPr>
        <w:pStyle w:val="NoSpacing"/>
      </w:pPr>
      <w:r>
        <w:t xml:space="preserve">The user guide to be published by </w:t>
      </w:r>
      <w:r w:rsidR="00F20E49">
        <w:t xml:space="preserve">Treasury will </w:t>
      </w:r>
      <w:r w:rsidR="00E54D03">
        <w:t xml:space="preserve">include </w:t>
      </w:r>
      <w:r w:rsidR="00F20E49">
        <w:t xml:space="preserve">definitions for data elements, </w:t>
      </w:r>
      <w:r w:rsidR="00E54D03">
        <w:t xml:space="preserve">information about how frequently each data element should be submitted, </w:t>
      </w:r>
      <w:r w:rsidR="00F20E49">
        <w:t xml:space="preserve">processes to be followed when collecting data, </w:t>
      </w:r>
      <w:r w:rsidR="00943CA1">
        <w:t xml:space="preserve">templates for data submission, </w:t>
      </w:r>
      <w:r w:rsidR="00367F49">
        <w:t>and further instructions as to how</w:t>
      </w:r>
      <w:r w:rsidRPr="00D778F3" w:rsidR="00367F49">
        <w:t xml:space="preserve"> to submit required</w:t>
      </w:r>
      <w:r w:rsidRPr="00AF009C" w:rsidR="00367F49">
        <w:t xml:space="preserve"> data and</w:t>
      </w:r>
      <w:r w:rsidRPr="00D778F3" w:rsidR="00367F49">
        <w:t xml:space="preserve"> reports</w:t>
      </w:r>
      <w:r w:rsidR="00F20E49">
        <w:t xml:space="preserve">.  </w:t>
      </w:r>
    </w:p>
    <w:p w:rsidR="00B91D38" w:rsidP="000F6B00" w:rsidRDefault="00B91D38" w14:paraId="5651814C" w14:textId="77777777">
      <w:pPr>
        <w:pStyle w:val="NoSpacing"/>
      </w:pPr>
    </w:p>
    <w:p w:rsidR="00DF412F" w:rsidP="000F6B00" w:rsidRDefault="00DF412F" w14:paraId="0BF8C641" w14:textId="2907BAF6">
      <w:pPr>
        <w:pStyle w:val="NoSpacing"/>
      </w:pPr>
      <w:r>
        <w:t xml:space="preserve">The following information </w:t>
      </w:r>
      <w:r w:rsidR="00F13DF4">
        <w:t>must be submitted with respect to</w:t>
      </w:r>
      <w:r w:rsidR="000125C2">
        <w:t xml:space="preserve"> the use of CPF funds during the period covered</w:t>
      </w:r>
      <w:r w:rsidR="008B70D5">
        <w:t xml:space="preserve"> </w:t>
      </w:r>
      <w:r w:rsidR="00F35E3E">
        <w:t>in Project and Expenditure Reports:</w:t>
      </w:r>
    </w:p>
    <w:p w:rsidR="00F35E3E" w:rsidP="000F6B00" w:rsidRDefault="00F35E3E" w14:paraId="7870E674" w14:textId="77777777">
      <w:pPr>
        <w:pStyle w:val="NoSpacing"/>
      </w:pPr>
    </w:p>
    <w:p w:rsidRPr="005F156D" w:rsidR="001222CE" w:rsidP="001222CE" w:rsidRDefault="00F35E3E" w14:paraId="7EA77AA2" w14:textId="42794A3E">
      <w:pPr>
        <w:pStyle w:val="NoSpacing"/>
        <w:numPr>
          <w:ilvl w:val="0"/>
          <w:numId w:val="11"/>
        </w:numPr>
        <w:rPr>
          <w:b/>
          <w:bCs/>
        </w:rPr>
      </w:pPr>
      <w:r w:rsidRPr="005F156D">
        <w:rPr>
          <w:b/>
          <w:bCs/>
        </w:rPr>
        <w:t>Administrative Expenses</w:t>
      </w:r>
    </w:p>
    <w:p w:rsidRPr="009D43D9" w:rsidR="00A72554" w:rsidP="00800708" w:rsidRDefault="00A72554" w14:paraId="122D0C81" w14:textId="77777777">
      <w:pPr>
        <w:pStyle w:val="NoSpacing"/>
        <w:numPr>
          <w:ilvl w:val="1"/>
          <w:numId w:val="11"/>
        </w:numPr>
      </w:pPr>
      <w:r w:rsidRPr="009D43D9">
        <w:t>Current period obligation</w:t>
      </w:r>
    </w:p>
    <w:p w:rsidRPr="009D43D9" w:rsidR="00A72554" w:rsidP="00800708" w:rsidRDefault="00A72554" w14:paraId="65457E43" w14:textId="77777777">
      <w:pPr>
        <w:pStyle w:val="NoSpacing"/>
        <w:numPr>
          <w:ilvl w:val="1"/>
          <w:numId w:val="11"/>
        </w:numPr>
      </w:pPr>
      <w:r w:rsidRPr="009D43D9">
        <w:t>Cumulative obligation</w:t>
      </w:r>
    </w:p>
    <w:p w:rsidRPr="009D43D9" w:rsidR="00A72554" w:rsidP="00800708" w:rsidRDefault="00A72554" w14:paraId="3609C288" w14:textId="77777777">
      <w:pPr>
        <w:pStyle w:val="NoSpacing"/>
        <w:numPr>
          <w:ilvl w:val="1"/>
          <w:numId w:val="11"/>
        </w:numPr>
      </w:pPr>
      <w:r w:rsidRPr="009D43D9">
        <w:t>Current period expenditure</w:t>
      </w:r>
    </w:p>
    <w:p w:rsidR="00D94C4F" w:rsidP="00B14B49" w:rsidRDefault="00A72554" w14:paraId="57DA3217" w14:textId="78A0F949">
      <w:pPr>
        <w:pStyle w:val="NoSpacing"/>
        <w:numPr>
          <w:ilvl w:val="1"/>
          <w:numId w:val="11"/>
        </w:numPr>
      </w:pPr>
      <w:r w:rsidRPr="009D43D9">
        <w:t>Cumulative expenditure</w:t>
      </w:r>
      <w:r w:rsidR="00D94C4F">
        <w:br/>
      </w:r>
    </w:p>
    <w:p w:rsidR="00D94C4F" w:rsidP="00B14B49" w:rsidRDefault="00AD0E7A" w14:paraId="2AAE9045" w14:textId="1411DC4F">
      <w:pPr>
        <w:pStyle w:val="NoSpacing"/>
        <w:ind w:left="360"/>
      </w:pPr>
      <w:r>
        <w:t xml:space="preserve">Pursuant to the </w:t>
      </w:r>
      <w:r w:rsidR="00F0087D">
        <w:t>Grant Agreement</w:t>
      </w:r>
      <w:r>
        <w:t xml:space="preserve">, </w:t>
      </w:r>
      <w:r w:rsidR="00BB06FB">
        <w:t>Recipient</w:t>
      </w:r>
      <w:r>
        <w:t>s are permitted to charge both direct and indirect costs to their CPF award as a</w:t>
      </w:r>
      <w:r w:rsidRPr="00926AB6">
        <w:t>dminist</w:t>
      </w:r>
      <w:r w:rsidRPr="0071331A">
        <w:t>rative</w:t>
      </w:r>
      <w:r>
        <w:t xml:space="preserve"> costs.  </w:t>
      </w:r>
      <w:r w:rsidRPr="00880E95">
        <w:t xml:space="preserve">If a </w:t>
      </w:r>
      <w:r w:rsidR="00BB06FB">
        <w:t>Recipient</w:t>
      </w:r>
      <w:r w:rsidRPr="00880E95">
        <w:t xml:space="preserve"> has a current Negotiated Indirect Costs Rate Agreement (</w:t>
      </w:r>
      <w:r>
        <w:t>“</w:t>
      </w:r>
      <w:r w:rsidRPr="00880E95">
        <w:t>NICRA</w:t>
      </w:r>
      <w:r>
        <w:t>”</w:t>
      </w:r>
      <w:r w:rsidRPr="00880E95">
        <w:t>)</w:t>
      </w:r>
      <w:r>
        <w:t>,</w:t>
      </w:r>
      <w:r w:rsidRPr="00880E95">
        <w:t xml:space="preserve"> then the </w:t>
      </w:r>
      <w:r w:rsidR="00BB06FB">
        <w:t>Recipient</w:t>
      </w:r>
      <w:r>
        <w:t xml:space="preserve"> may use its current NICRA to charge indirect costs to its CPF award.  However, if the </w:t>
      </w:r>
      <w:r w:rsidR="00BB06FB">
        <w:t>Recipient</w:t>
      </w:r>
      <w:r>
        <w:t xml:space="preserve"> does not have a current NICRA, the </w:t>
      </w:r>
      <w:r w:rsidR="00BB06FB">
        <w:t>Recipient</w:t>
      </w:r>
      <w:r>
        <w:t xml:space="preserve"> may elect to use </w:t>
      </w:r>
      <w:r w:rsidDel="0088053E">
        <w:t xml:space="preserve">the </w:t>
      </w:r>
      <w:r>
        <w:t>de minimis rate of 10 percent of the modified total direct costs to charge indirect costs to its CPF award pursuant to 2 CFR 200.414(f).</w:t>
      </w:r>
      <w:r w:rsidR="004C1E8D">
        <w:t xml:space="preserve"> </w:t>
      </w:r>
      <w:r>
        <w:t xml:space="preserve"> </w:t>
      </w:r>
      <w:r w:rsidR="00D94C4F">
        <w:t xml:space="preserve">Note that Administrative Expenses do not need to be broken down at the Project level, and instead should be reported in the aggregate.  </w:t>
      </w:r>
      <w:r w:rsidR="003C113A">
        <w:t xml:space="preserve">Recipients should refer to the </w:t>
      </w:r>
      <w:r w:rsidR="00D94C4F">
        <w:t>Capital Projects Fund Guidance for more information about requirements for the use of Administrative Funds.</w:t>
      </w:r>
      <w:r>
        <w:t xml:space="preserve"> </w:t>
      </w:r>
    </w:p>
    <w:p w:rsidR="004E6105" w:rsidP="008B7FF7" w:rsidRDefault="004E6105" w14:paraId="0C3D7AC0" w14:textId="54E79C9B">
      <w:pPr>
        <w:pStyle w:val="NoSpacing"/>
        <w:ind w:left="540"/>
      </w:pPr>
    </w:p>
    <w:p w:rsidRPr="005F156D" w:rsidR="004E6105" w:rsidP="004E6105" w:rsidRDefault="002E1DD3" w14:paraId="546FC2EC" w14:textId="57329CF2">
      <w:pPr>
        <w:pStyle w:val="NoSpacing"/>
        <w:numPr>
          <w:ilvl w:val="0"/>
          <w:numId w:val="11"/>
        </w:numPr>
        <w:rPr>
          <w:b/>
          <w:bCs/>
        </w:rPr>
      </w:pPr>
      <w:r w:rsidRPr="005F156D">
        <w:rPr>
          <w:b/>
          <w:bCs/>
        </w:rPr>
        <w:t xml:space="preserve">Program </w:t>
      </w:r>
      <w:r w:rsidRPr="005F156D" w:rsidR="004E6105">
        <w:rPr>
          <w:b/>
          <w:bCs/>
        </w:rPr>
        <w:t>Budget Updates</w:t>
      </w:r>
    </w:p>
    <w:p w:rsidRPr="002E1DD3" w:rsidR="004E6105" w:rsidP="004E6105" w:rsidRDefault="004E6105" w14:paraId="0736FDB1" w14:textId="18389445">
      <w:pPr>
        <w:pStyle w:val="ListParagraph"/>
        <w:spacing w:after="0" w:line="240" w:lineRule="auto"/>
        <w:ind w:left="360"/>
        <w:rPr>
          <w:rFonts w:ascii="Arial" w:hAnsi="Arial"/>
        </w:rPr>
      </w:pPr>
      <w:r w:rsidRPr="004E6105">
        <w:rPr>
          <w:rFonts w:ascii="Arial" w:hAnsi="Arial"/>
        </w:rPr>
        <w:t xml:space="preserve">Recipients must </w:t>
      </w:r>
      <w:r w:rsidR="00F23222">
        <w:rPr>
          <w:rFonts w:ascii="Arial" w:hAnsi="Arial"/>
        </w:rPr>
        <w:t xml:space="preserve">revise and submit each </w:t>
      </w:r>
      <w:r w:rsidRPr="004E6105">
        <w:rPr>
          <w:rFonts w:ascii="Arial" w:hAnsi="Arial"/>
        </w:rPr>
        <w:t xml:space="preserve">Program </w:t>
      </w:r>
      <w:r>
        <w:rPr>
          <w:rFonts w:ascii="Arial" w:hAnsi="Arial"/>
        </w:rPr>
        <w:t xml:space="preserve">Plan </w:t>
      </w:r>
      <w:r w:rsidRPr="004E6105">
        <w:rPr>
          <w:rFonts w:ascii="Arial" w:hAnsi="Arial"/>
        </w:rPr>
        <w:t>budget</w:t>
      </w:r>
      <w:r w:rsidR="00F23222">
        <w:rPr>
          <w:rFonts w:ascii="Arial" w:hAnsi="Arial"/>
        </w:rPr>
        <w:t xml:space="preserve"> no less frequently than once every six months</w:t>
      </w:r>
      <w:r w:rsidR="00BB38CB">
        <w:rPr>
          <w:rFonts w:ascii="Arial" w:hAnsi="Arial"/>
        </w:rPr>
        <w:t>.</w:t>
      </w:r>
      <w:r w:rsidR="00C73652">
        <w:rPr>
          <w:rStyle w:val="FootnoteReference"/>
          <w:rFonts w:ascii="Arial" w:hAnsi="Arial"/>
        </w:rPr>
        <w:footnoteReference w:id="4"/>
      </w:r>
      <w:r w:rsidR="00C73652">
        <w:rPr>
          <w:rFonts w:ascii="Arial" w:hAnsi="Arial"/>
        </w:rPr>
        <w:t xml:space="preserve">  </w:t>
      </w:r>
      <w:r w:rsidRPr="004E6105">
        <w:rPr>
          <w:rFonts w:ascii="Arial" w:hAnsi="Arial"/>
        </w:rPr>
        <w:t xml:space="preserve">Each Program budget should be </w:t>
      </w:r>
      <w:r w:rsidR="00367F49">
        <w:rPr>
          <w:rFonts w:ascii="Arial" w:hAnsi="Arial"/>
        </w:rPr>
        <w:t xml:space="preserve">provided in the form of </w:t>
      </w:r>
      <w:r w:rsidRPr="004E6105">
        <w:rPr>
          <w:rFonts w:ascii="Arial" w:hAnsi="Arial"/>
        </w:rPr>
        <w:t>a table with a project costs section and a program administrative costs section</w:t>
      </w:r>
      <w:r w:rsidR="00E54D03">
        <w:rPr>
          <w:rFonts w:ascii="Arial" w:hAnsi="Arial"/>
        </w:rPr>
        <w:t>,</w:t>
      </w:r>
      <w:r w:rsidRPr="004E6105">
        <w:rPr>
          <w:rFonts w:ascii="Arial" w:hAnsi="Arial"/>
        </w:rPr>
        <w:t xml:space="preserve"> and columns for each year in the period of performance.  Past years should be updated to show </w:t>
      </w:r>
      <w:r w:rsidRPr="00B825C8">
        <w:rPr>
          <w:rFonts w:ascii="Arial" w:hAnsi="Arial"/>
        </w:rPr>
        <w:t xml:space="preserve">actual </w:t>
      </w:r>
      <w:r w:rsidRPr="00612EBC">
        <w:rPr>
          <w:rFonts w:ascii="Arial" w:hAnsi="Arial"/>
        </w:rPr>
        <w:t>obligations</w:t>
      </w:r>
      <w:r w:rsidRPr="00612EBC" w:rsidR="002E1DD3">
        <w:rPr>
          <w:rFonts w:ascii="Arial" w:hAnsi="Arial"/>
        </w:rPr>
        <w:t xml:space="preserve"> and expenditures</w:t>
      </w:r>
      <w:r w:rsidRPr="00B825C8">
        <w:rPr>
          <w:rFonts w:ascii="Arial" w:hAnsi="Arial"/>
        </w:rPr>
        <w:t>.</w:t>
      </w:r>
      <w:r w:rsidRPr="00E134E6">
        <w:rPr>
          <w:rFonts w:ascii="Arial" w:hAnsi="Arial"/>
          <w:b/>
        </w:rPr>
        <w:t xml:space="preserve"> </w:t>
      </w:r>
      <w:r w:rsidRPr="002E1DD3">
        <w:rPr>
          <w:rFonts w:ascii="Arial" w:hAnsi="Arial"/>
        </w:rPr>
        <w:t xml:space="preserve"> Remaining years should be updated to reflect accurate budget projections.  Table rows should align with the Program budgets previously established in the Recipient’s Program Plans, with rows added and removed as needed.  Recipients are required to explain any major changes</w:t>
      </w:r>
      <w:r w:rsidR="00943CA1">
        <w:rPr>
          <w:rFonts w:ascii="Arial" w:hAnsi="Arial"/>
        </w:rPr>
        <w:t xml:space="preserve"> compared to the prior submitted budget</w:t>
      </w:r>
      <w:r w:rsidRPr="002E1DD3">
        <w:rPr>
          <w:rFonts w:ascii="Arial" w:hAnsi="Arial"/>
        </w:rPr>
        <w:t xml:space="preserve">, including deviations from budget, program scope, or objective.  Program budget </w:t>
      </w:r>
      <w:r w:rsidRPr="002E1DD3">
        <w:rPr>
          <w:rFonts w:ascii="Arial" w:hAnsi="Arial"/>
        </w:rPr>
        <w:lastRenderedPageBreak/>
        <w:t xml:space="preserve">instructions can be found in the use type Program Plan Questionnaires on the CPF website.   </w:t>
      </w:r>
    </w:p>
    <w:p w:rsidR="009D256A" w:rsidP="009D256A" w:rsidRDefault="009D256A" w14:paraId="3119A987" w14:textId="77777777">
      <w:pPr>
        <w:pStyle w:val="NoSpacing"/>
        <w:ind w:left="360"/>
        <w:rPr>
          <w:rFonts w:ascii="Arial" w:hAnsi="Arial"/>
        </w:rPr>
      </w:pPr>
    </w:p>
    <w:p w:rsidRPr="00A600E2" w:rsidR="00A600E2" w:rsidP="0066551A" w:rsidRDefault="00A600E2" w14:paraId="0BAB97A2" w14:textId="77777777">
      <w:pPr>
        <w:pStyle w:val="NoSpacing"/>
        <w:ind w:left="360"/>
        <w:rPr>
          <w:rFonts w:ascii="Arial" w:hAnsi="Arial"/>
        </w:rPr>
      </w:pPr>
    </w:p>
    <w:p w:rsidR="00A600E2" w:rsidP="0066551A" w:rsidRDefault="00A600E2" w14:paraId="66B060A7" w14:textId="77777777">
      <w:pPr>
        <w:pStyle w:val="NoSpacing"/>
        <w:ind w:left="360"/>
        <w:rPr>
          <w:rFonts w:ascii="Arial" w:hAnsi="Arial"/>
        </w:rPr>
      </w:pPr>
    </w:p>
    <w:p w:rsidR="0096543D" w:rsidP="000F6B00" w:rsidRDefault="0096543D" w14:paraId="73646C2D" w14:textId="3ECA2F31">
      <w:pPr>
        <w:pStyle w:val="NoSpacing"/>
      </w:pPr>
    </w:p>
    <w:p w:rsidR="002916D0" w:rsidP="000F6B00" w:rsidRDefault="002916D0" w14:paraId="6D813DD2" w14:textId="77777777">
      <w:pPr>
        <w:pStyle w:val="NoSpacing"/>
      </w:pPr>
    </w:p>
    <w:p w:rsidR="00FC70DE" w:rsidP="000F6B00" w:rsidRDefault="00FC70DE" w14:paraId="4FC6B3DB" w14:textId="40901AE4">
      <w:pPr>
        <w:pStyle w:val="NoSpacing"/>
      </w:pPr>
      <w:r>
        <w:t>The following information will be required</w:t>
      </w:r>
      <w:r w:rsidR="00BD5CC8">
        <w:t xml:space="preserve"> </w:t>
      </w:r>
      <w:r w:rsidR="00E07B2F">
        <w:t xml:space="preserve">in Project and Expenditure Reports </w:t>
      </w:r>
      <w:r w:rsidR="00BD5CC8">
        <w:t>for each Project</w:t>
      </w:r>
      <w:r>
        <w:t>:</w:t>
      </w:r>
    </w:p>
    <w:p w:rsidR="00A41BE4" w:rsidP="00A41BE4" w:rsidRDefault="00A41BE4" w14:paraId="18A3BABA" w14:textId="77777777">
      <w:pPr>
        <w:pStyle w:val="NoSpacing"/>
        <w:tabs>
          <w:tab w:val="left" w:pos="360"/>
        </w:tabs>
        <w:rPr>
          <w:u w:val="single"/>
        </w:rPr>
      </w:pPr>
      <w:bookmarkStart w:name="_Hlk95148494" w:id="5"/>
    </w:p>
    <w:p w:rsidR="00800708" w:rsidP="00A41BE4" w:rsidRDefault="00FC70DE" w14:paraId="575F889C" w14:textId="4F584FB7">
      <w:pPr>
        <w:pStyle w:val="NoSpacing"/>
        <w:numPr>
          <w:ilvl w:val="0"/>
          <w:numId w:val="109"/>
        </w:numPr>
        <w:tabs>
          <w:tab w:val="left" w:pos="360"/>
        </w:tabs>
      </w:pPr>
      <w:r w:rsidRPr="005F156D">
        <w:rPr>
          <w:b/>
          <w:bCs/>
        </w:rPr>
        <w:t>Project</w:t>
      </w:r>
      <w:r w:rsidRPr="005F156D" w:rsidR="00995C44">
        <w:rPr>
          <w:b/>
          <w:bCs/>
        </w:rPr>
        <w:t xml:space="preserve"> Information</w:t>
      </w:r>
      <w:r w:rsidRPr="005F156D" w:rsidR="00971945">
        <w:t>:</w:t>
      </w:r>
      <w:r w:rsidRPr="0072240C" w:rsidR="00971945">
        <w:t xml:space="preserve"> </w:t>
      </w:r>
      <w:r w:rsidR="000125C2">
        <w:t>For each Project, the Recipient will provide</w:t>
      </w:r>
      <w:r w:rsidR="00B91D38">
        <w:t>:</w:t>
      </w:r>
      <w:r w:rsidR="00FD220E">
        <w:t xml:space="preserve"> </w:t>
      </w:r>
    </w:p>
    <w:p w:rsidR="00800708" w:rsidP="00800708" w:rsidRDefault="00BB06FB" w14:paraId="750F76EA" w14:textId="77777777">
      <w:pPr>
        <w:pStyle w:val="NoSpacing"/>
        <w:numPr>
          <w:ilvl w:val="0"/>
          <w:numId w:val="118"/>
        </w:numPr>
        <w:tabs>
          <w:tab w:val="left" w:pos="360"/>
        </w:tabs>
      </w:pPr>
      <w:r>
        <w:t>Project</w:t>
      </w:r>
      <w:r w:rsidR="00FD220E">
        <w:t xml:space="preserve"> name</w:t>
      </w:r>
    </w:p>
    <w:p w:rsidR="00800708" w:rsidP="00800708" w:rsidRDefault="00800708" w14:paraId="017338A0" w14:textId="77777777">
      <w:pPr>
        <w:pStyle w:val="NoSpacing"/>
        <w:numPr>
          <w:ilvl w:val="0"/>
          <w:numId w:val="118"/>
        </w:numPr>
        <w:tabs>
          <w:tab w:val="left" w:pos="360"/>
        </w:tabs>
      </w:pPr>
      <w:r>
        <w:t>I</w:t>
      </w:r>
      <w:r w:rsidR="00FD220E">
        <w:t>dentification number (created by the Recipient)</w:t>
      </w:r>
    </w:p>
    <w:p w:rsidR="00800708" w:rsidP="00800708" w:rsidRDefault="00800708" w14:paraId="647B6C80" w14:textId="77777777">
      <w:pPr>
        <w:pStyle w:val="NoSpacing"/>
        <w:numPr>
          <w:ilvl w:val="0"/>
          <w:numId w:val="118"/>
        </w:numPr>
        <w:tabs>
          <w:tab w:val="left" w:pos="360"/>
        </w:tabs>
      </w:pPr>
      <w:r>
        <w:t>C</w:t>
      </w:r>
      <w:r w:rsidR="008F5FC2">
        <w:t xml:space="preserve">orresponding </w:t>
      </w:r>
      <w:r w:rsidR="001222CE">
        <w:t>a</w:t>
      </w:r>
      <w:r w:rsidR="008F5FC2">
        <w:t>pproved Program Plan number</w:t>
      </w:r>
      <w:r w:rsidR="000F6B00">
        <w:t xml:space="preserve"> (designated by Treasury)</w:t>
      </w:r>
    </w:p>
    <w:p w:rsidR="00800708" w:rsidP="00800708" w:rsidRDefault="00800708" w14:paraId="45F148FC" w14:textId="77777777">
      <w:pPr>
        <w:pStyle w:val="NoSpacing"/>
        <w:numPr>
          <w:ilvl w:val="0"/>
          <w:numId w:val="118"/>
        </w:numPr>
        <w:tabs>
          <w:tab w:val="left" w:pos="360"/>
        </w:tabs>
      </w:pPr>
      <w:r>
        <w:t>P</w:t>
      </w:r>
      <w:r w:rsidR="00FD220E">
        <w:t>roject use code</w:t>
      </w:r>
    </w:p>
    <w:p w:rsidR="00800708" w:rsidP="00800708" w:rsidRDefault="00800708" w14:paraId="6A7B563B" w14:textId="5899747B">
      <w:pPr>
        <w:pStyle w:val="NoSpacing"/>
        <w:numPr>
          <w:ilvl w:val="0"/>
          <w:numId w:val="118"/>
        </w:numPr>
        <w:tabs>
          <w:tab w:val="left" w:pos="360"/>
        </w:tabs>
      </w:pPr>
      <w:r>
        <w:rPr>
          <w:rFonts w:ascii="Arial" w:hAnsi="Arial" w:cs="Arial"/>
        </w:rPr>
        <w:t>A</w:t>
      </w:r>
      <w:r w:rsidRPr="00800708" w:rsidR="00FD220E">
        <w:rPr>
          <w:rFonts w:ascii="Arial" w:hAnsi="Arial" w:cs="Arial"/>
        </w:rPr>
        <w:t xml:space="preserve"> b</w:t>
      </w:r>
      <w:r w:rsidRPr="009D43D9" w:rsidR="00971945">
        <w:t xml:space="preserve">rief description </w:t>
      </w:r>
      <w:r w:rsidR="00D77CF1">
        <w:t>with</w:t>
      </w:r>
      <w:r w:rsidRPr="009D43D9" w:rsidR="00D77CF1">
        <w:t xml:space="preserve"> </w:t>
      </w:r>
      <w:r w:rsidRPr="009D43D9" w:rsidR="00971945">
        <w:t>sufficient detail to provide understanding of the</w:t>
      </w:r>
      <w:r w:rsidR="00073890">
        <w:t xml:space="preserve"> objective(s) and</w:t>
      </w:r>
      <w:r w:rsidRPr="009D43D9" w:rsidR="00971945">
        <w:t xml:space="preserve"> major activities that will occur </w:t>
      </w:r>
      <w:r w:rsidR="00FD220E">
        <w:t>throughout the Project</w:t>
      </w:r>
    </w:p>
    <w:p w:rsidR="00800708" w:rsidP="00800708" w:rsidRDefault="00800708" w14:paraId="7F9E0F3F" w14:textId="77777777">
      <w:pPr>
        <w:pStyle w:val="NoSpacing"/>
        <w:numPr>
          <w:ilvl w:val="0"/>
          <w:numId w:val="118"/>
        </w:numPr>
        <w:tabs>
          <w:tab w:val="left" w:pos="360"/>
        </w:tabs>
      </w:pPr>
      <w:r>
        <w:t>T</w:t>
      </w:r>
      <w:r w:rsidR="00FD220E">
        <w:t>ype of owner for the capital asset (such as private, public private partnership, government, co-operative, etc.).</w:t>
      </w:r>
      <w:r w:rsidR="005B5AE5">
        <w:t xml:space="preserve"> </w:t>
      </w:r>
      <w:r w:rsidR="0096543D">
        <w:t xml:space="preserve"> </w:t>
      </w:r>
    </w:p>
    <w:p w:rsidR="00800708" w:rsidP="00800708" w:rsidRDefault="00800708" w14:paraId="52CA6435" w14:textId="43E76A76">
      <w:pPr>
        <w:pStyle w:val="NoSpacing"/>
        <w:numPr>
          <w:ilvl w:val="0"/>
          <w:numId w:val="118"/>
        </w:numPr>
        <w:tabs>
          <w:tab w:val="left" w:pos="360"/>
        </w:tabs>
      </w:pPr>
      <w:r>
        <w:t>For each subrecipient, as applicable:</w:t>
      </w:r>
    </w:p>
    <w:p w:rsidR="00800708" w:rsidP="00800708" w:rsidRDefault="00800708" w14:paraId="4901C4B8" w14:textId="0AD52E5E">
      <w:pPr>
        <w:pStyle w:val="NoSpacing"/>
        <w:numPr>
          <w:ilvl w:val="1"/>
          <w:numId w:val="118"/>
        </w:numPr>
        <w:tabs>
          <w:tab w:val="left" w:pos="360"/>
        </w:tabs>
      </w:pPr>
      <w:r>
        <w:t>N</w:t>
      </w:r>
      <w:r w:rsidR="008A2E70">
        <w:t>ame</w:t>
      </w:r>
    </w:p>
    <w:p w:rsidR="00D25CE2" w:rsidP="00800708" w:rsidRDefault="00D25CE2" w14:paraId="2F6086D2" w14:textId="2E61FDC0">
      <w:pPr>
        <w:pStyle w:val="NoSpacing"/>
        <w:numPr>
          <w:ilvl w:val="1"/>
          <w:numId w:val="118"/>
        </w:numPr>
        <w:tabs>
          <w:tab w:val="left" w:pos="360"/>
        </w:tabs>
      </w:pPr>
      <w:r>
        <w:t>Contact information</w:t>
      </w:r>
    </w:p>
    <w:p w:rsidR="00800708" w:rsidP="00800708" w:rsidRDefault="00FD220E" w14:paraId="0E68E430" w14:textId="77777777">
      <w:pPr>
        <w:pStyle w:val="NoSpacing"/>
        <w:numPr>
          <w:ilvl w:val="1"/>
          <w:numId w:val="118"/>
        </w:numPr>
        <w:tabs>
          <w:tab w:val="left" w:pos="360"/>
        </w:tabs>
      </w:pPr>
      <w:r>
        <w:t>Tax ID number (TIN)</w:t>
      </w:r>
    </w:p>
    <w:p w:rsidR="00800708" w:rsidP="00800708" w:rsidRDefault="00D77CF1" w14:paraId="5F720C71" w14:textId="77777777">
      <w:pPr>
        <w:pStyle w:val="NoSpacing"/>
        <w:numPr>
          <w:ilvl w:val="1"/>
          <w:numId w:val="118"/>
        </w:numPr>
        <w:tabs>
          <w:tab w:val="left" w:pos="360"/>
        </w:tabs>
      </w:pPr>
      <w:r>
        <w:t>Unique Entity Identifier</w:t>
      </w:r>
    </w:p>
    <w:p w:rsidR="00800708" w:rsidP="00800708" w:rsidRDefault="00800708" w14:paraId="27526B1F" w14:textId="77777777">
      <w:pPr>
        <w:pStyle w:val="NoSpacing"/>
        <w:numPr>
          <w:ilvl w:val="1"/>
          <w:numId w:val="118"/>
        </w:numPr>
        <w:tabs>
          <w:tab w:val="left" w:pos="360"/>
        </w:tabs>
      </w:pPr>
      <w:r>
        <w:t>D</w:t>
      </w:r>
      <w:r w:rsidR="000125C2">
        <w:t xml:space="preserve">ate of award </w:t>
      </w:r>
    </w:p>
    <w:p w:rsidR="00800708" w:rsidP="00800708" w:rsidRDefault="00800708" w14:paraId="145A0DA9" w14:textId="74C7D5F2">
      <w:pPr>
        <w:pStyle w:val="NoSpacing"/>
        <w:numPr>
          <w:ilvl w:val="1"/>
          <w:numId w:val="118"/>
        </w:numPr>
        <w:tabs>
          <w:tab w:val="left" w:pos="360"/>
        </w:tabs>
      </w:pPr>
      <w:r>
        <w:t>T</w:t>
      </w:r>
      <w:r w:rsidR="00FD220E">
        <w:t>otal award amount</w:t>
      </w:r>
    </w:p>
    <w:p w:rsidR="00800708" w:rsidP="00800708" w:rsidRDefault="00800708" w14:paraId="49E6B7CD" w14:textId="5802106D">
      <w:pPr>
        <w:pStyle w:val="NoSpacing"/>
        <w:numPr>
          <w:ilvl w:val="0"/>
          <w:numId w:val="118"/>
        </w:numPr>
      </w:pPr>
      <w:r>
        <w:t>Start date for construction (Planned/Actual)</w:t>
      </w:r>
      <w:r w:rsidRPr="00800708">
        <w:t xml:space="preserve"> </w:t>
      </w:r>
      <w:r>
        <w:t>(if applicable)</w:t>
      </w:r>
    </w:p>
    <w:p w:rsidR="00800708" w:rsidP="00800708" w:rsidRDefault="00800708" w14:paraId="5D254F0F" w14:textId="1F8ABA12">
      <w:pPr>
        <w:pStyle w:val="NoSpacing"/>
        <w:numPr>
          <w:ilvl w:val="0"/>
          <w:numId w:val="118"/>
        </w:numPr>
      </w:pPr>
      <w:r>
        <w:t>D</w:t>
      </w:r>
      <w:r w:rsidR="00FD220E">
        <w:t>ate</w:t>
      </w:r>
      <w:r>
        <w:t xml:space="preserve"> </w:t>
      </w:r>
      <w:r w:rsidR="00FD220E">
        <w:t xml:space="preserve">for completion of construction </w:t>
      </w:r>
      <w:r>
        <w:t xml:space="preserve">(Planned/Actual) </w:t>
      </w:r>
      <w:r w:rsidR="00FD220E">
        <w:t xml:space="preserve">(if applicable) </w:t>
      </w:r>
    </w:p>
    <w:p w:rsidR="00800708" w:rsidP="00800708" w:rsidRDefault="00D941D3" w14:paraId="0333F0B8" w14:textId="4F2D706C">
      <w:pPr>
        <w:pStyle w:val="NoSpacing"/>
        <w:numPr>
          <w:ilvl w:val="0"/>
          <w:numId w:val="118"/>
        </w:numPr>
      </w:pPr>
      <w:r>
        <w:t>D</w:t>
      </w:r>
      <w:r w:rsidR="00800708">
        <w:t xml:space="preserve">ate of the initiation of operations (Planned/Actual) </w:t>
      </w:r>
    </w:p>
    <w:p w:rsidR="00FD220E" w:rsidP="00FD220E" w:rsidRDefault="00FD220E" w14:paraId="1441D567" w14:textId="03413A2E">
      <w:pPr>
        <w:pStyle w:val="NoSpacing"/>
        <w:ind w:left="360"/>
      </w:pPr>
    </w:p>
    <w:p w:rsidRPr="002916D0" w:rsidR="00800708" w:rsidP="00800708" w:rsidRDefault="00800708" w14:paraId="2B9568E2" w14:textId="7138A2EE">
      <w:pPr>
        <w:pStyle w:val="NoSpacing"/>
        <w:tabs>
          <w:tab w:val="left" w:pos="360"/>
        </w:tabs>
        <w:ind w:left="360"/>
        <w:rPr>
          <w:i/>
          <w:iCs/>
        </w:rPr>
      </w:pPr>
      <w:r w:rsidRPr="002916D0">
        <w:rPr>
          <w:i/>
          <w:iCs/>
        </w:rPr>
        <w:t xml:space="preserve">Throughout the Project, the Recipient will be accountable for </w:t>
      </w:r>
      <w:r w:rsidRPr="002916D0" w:rsidR="00D20506">
        <w:rPr>
          <w:i/>
          <w:iCs/>
        </w:rPr>
        <w:t xml:space="preserve">the accuracy of </w:t>
      </w:r>
      <w:r w:rsidRPr="002916D0">
        <w:rPr>
          <w:i/>
          <w:iCs/>
        </w:rPr>
        <w:t xml:space="preserve">this information and </w:t>
      </w:r>
      <w:r w:rsidRPr="002916D0" w:rsidR="0098069C">
        <w:rPr>
          <w:i/>
          <w:iCs/>
        </w:rPr>
        <w:t>for reflecting any changes</w:t>
      </w:r>
      <w:r w:rsidRPr="002916D0" w:rsidR="00040280">
        <w:rPr>
          <w:i/>
          <w:iCs/>
        </w:rPr>
        <w:t xml:space="preserve">, as is applicable, </w:t>
      </w:r>
      <w:r w:rsidRPr="002916D0" w:rsidR="007A14E4">
        <w:rPr>
          <w:i/>
          <w:iCs/>
        </w:rPr>
        <w:t>in each Project and Expenditure Report</w:t>
      </w:r>
      <w:r w:rsidRPr="002916D0" w:rsidR="00185195">
        <w:rPr>
          <w:i/>
          <w:iCs/>
        </w:rPr>
        <w:t xml:space="preserve"> submission</w:t>
      </w:r>
      <w:r w:rsidRPr="002916D0" w:rsidR="007A14E4">
        <w:rPr>
          <w:i/>
          <w:iCs/>
        </w:rPr>
        <w:t>.</w:t>
      </w:r>
      <w:r w:rsidRPr="002916D0" w:rsidDel="0098069C">
        <w:rPr>
          <w:i/>
          <w:iCs/>
        </w:rPr>
        <w:t xml:space="preserve"> </w:t>
      </w:r>
    </w:p>
    <w:p w:rsidR="00800708" w:rsidP="00FD220E" w:rsidRDefault="00800708" w14:paraId="7861B0DA" w14:textId="77777777">
      <w:pPr>
        <w:pStyle w:val="NoSpacing"/>
        <w:ind w:left="360"/>
      </w:pPr>
    </w:p>
    <w:p w:rsidRPr="00FD220E" w:rsidR="002B5518" w:rsidP="0072240C" w:rsidRDefault="00FD220E" w14:paraId="2B1E0A78" w14:textId="00529936">
      <w:pPr>
        <w:pStyle w:val="NoSpacing"/>
        <w:ind w:left="360"/>
        <w:rPr>
          <w:rFonts w:ascii="Arial" w:hAnsi="Arial" w:cs="Arial"/>
        </w:rPr>
      </w:pPr>
      <w:r>
        <w:t xml:space="preserve">If applicable, </w:t>
      </w:r>
      <w:r w:rsidR="00B91D38">
        <w:t xml:space="preserve">the </w:t>
      </w:r>
      <w:r>
        <w:t xml:space="preserve">Recipient will also be required to answer </w:t>
      </w:r>
      <w:r w:rsidR="00EF4FD9">
        <w:t xml:space="preserve">the following </w:t>
      </w:r>
      <w:r>
        <w:t>questions regarding additional sources of funding being used for the Project:</w:t>
      </w:r>
    </w:p>
    <w:p w:rsidRPr="000F6B00" w:rsidR="003946B6" w:rsidP="00B91D38" w:rsidRDefault="003946B6" w14:paraId="6707E2F3" w14:textId="58DD6564">
      <w:pPr>
        <w:pStyle w:val="NoSpacing"/>
        <w:numPr>
          <w:ilvl w:val="0"/>
          <w:numId w:val="4"/>
        </w:numPr>
        <w:ind w:left="900"/>
        <w:rPr>
          <w:rFonts w:ascii="Arial" w:hAnsi="Arial" w:cs="Arial"/>
        </w:rPr>
      </w:pPr>
      <w:r w:rsidRPr="00AA3FC8">
        <w:rPr>
          <w:color w:val="000000"/>
          <w:kern w:val="24"/>
        </w:rPr>
        <w:t xml:space="preserve">Is CPF funding used </w:t>
      </w:r>
      <w:r w:rsidRPr="00EA3AEB" w:rsidR="00472FEC">
        <w:rPr>
          <w:color w:val="000000"/>
          <w:kern w:val="24"/>
        </w:rPr>
        <w:t xml:space="preserve">in </w:t>
      </w:r>
      <w:r w:rsidRPr="00D2656A" w:rsidR="00472FEC">
        <w:rPr>
          <w:color w:val="000000"/>
          <w:kern w:val="24"/>
        </w:rPr>
        <w:t>conjunction with other federal funding</w:t>
      </w:r>
      <w:r w:rsidR="001222CE">
        <w:rPr>
          <w:color w:val="000000"/>
          <w:kern w:val="24"/>
        </w:rPr>
        <w:t xml:space="preserve"> for the Project</w:t>
      </w:r>
      <w:r w:rsidRPr="00D2656A" w:rsidR="00472FEC">
        <w:rPr>
          <w:color w:val="000000"/>
          <w:kern w:val="24"/>
        </w:rPr>
        <w:t>? (Y/N)</w:t>
      </w:r>
    </w:p>
    <w:p w:rsidRPr="000F6B00" w:rsidR="003946B6" w:rsidP="00B91D38" w:rsidRDefault="003946B6" w14:paraId="0222146E" w14:textId="51D6DE69">
      <w:pPr>
        <w:pStyle w:val="NoSpacing"/>
        <w:numPr>
          <w:ilvl w:val="0"/>
          <w:numId w:val="4"/>
        </w:numPr>
        <w:ind w:left="900"/>
        <w:rPr>
          <w:rFonts w:ascii="Arial" w:hAnsi="Arial" w:cs="Arial"/>
        </w:rPr>
      </w:pPr>
      <w:r w:rsidRPr="00AA3FC8">
        <w:rPr>
          <w:color w:val="000000"/>
          <w:kern w:val="24"/>
        </w:rPr>
        <w:t xml:space="preserve">If </w:t>
      </w:r>
      <w:r w:rsidR="00FD220E">
        <w:rPr>
          <w:color w:val="000000"/>
          <w:kern w:val="24"/>
        </w:rPr>
        <w:t>“Y”:</w:t>
      </w:r>
    </w:p>
    <w:p w:rsidRPr="000F6B00" w:rsidR="003946B6" w:rsidP="00B91D38" w:rsidRDefault="00040280" w14:paraId="546305BF" w14:textId="3BA0B7DA">
      <w:pPr>
        <w:pStyle w:val="NoSpacing"/>
        <w:numPr>
          <w:ilvl w:val="2"/>
          <w:numId w:val="4"/>
        </w:numPr>
        <w:ind w:left="1260"/>
        <w:rPr>
          <w:rFonts w:ascii="Arial" w:hAnsi="Arial" w:cs="Arial"/>
        </w:rPr>
      </w:pPr>
      <w:r>
        <w:rPr>
          <w:color w:val="000000"/>
          <w:kern w:val="24"/>
        </w:rPr>
        <w:t xml:space="preserve">Provide the </w:t>
      </w:r>
      <w:r w:rsidR="007F5F9C">
        <w:rPr>
          <w:color w:val="000000"/>
          <w:kern w:val="24"/>
        </w:rPr>
        <w:t xml:space="preserve">Program Name and </w:t>
      </w:r>
      <w:r w:rsidR="003946B6">
        <w:rPr>
          <w:color w:val="000000"/>
          <w:kern w:val="24"/>
        </w:rPr>
        <w:t xml:space="preserve">Assistance Listing </w:t>
      </w:r>
      <w:r w:rsidR="00F871C2">
        <w:rPr>
          <w:color w:val="000000"/>
          <w:kern w:val="24"/>
        </w:rPr>
        <w:t>number</w:t>
      </w:r>
      <w:r w:rsidR="003946B6">
        <w:rPr>
          <w:color w:val="000000"/>
          <w:kern w:val="24"/>
        </w:rPr>
        <w:t xml:space="preserve"> of the </w:t>
      </w:r>
      <w:r w:rsidR="001222CE">
        <w:rPr>
          <w:color w:val="000000"/>
          <w:kern w:val="24"/>
        </w:rPr>
        <w:t xml:space="preserve">other </w:t>
      </w:r>
      <w:r w:rsidR="003946B6">
        <w:rPr>
          <w:color w:val="000000"/>
          <w:kern w:val="24"/>
        </w:rPr>
        <w:t>program</w:t>
      </w:r>
      <w:r w:rsidR="001222CE">
        <w:rPr>
          <w:color w:val="000000"/>
          <w:kern w:val="24"/>
        </w:rPr>
        <w:t xml:space="preserve">(s) providing </w:t>
      </w:r>
      <w:r w:rsidR="00F871C2">
        <w:rPr>
          <w:color w:val="000000"/>
          <w:kern w:val="24"/>
        </w:rPr>
        <w:t xml:space="preserve">federal </w:t>
      </w:r>
      <w:r w:rsidR="001222CE">
        <w:rPr>
          <w:color w:val="000000"/>
          <w:kern w:val="24"/>
        </w:rPr>
        <w:t>fundin</w:t>
      </w:r>
      <w:r>
        <w:rPr>
          <w:color w:val="000000"/>
          <w:kern w:val="24"/>
        </w:rPr>
        <w:t>g</w:t>
      </w:r>
      <w:r w:rsidR="003946B6">
        <w:rPr>
          <w:color w:val="000000"/>
          <w:kern w:val="24"/>
        </w:rPr>
        <w:t xml:space="preserve"> </w:t>
      </w:r>
    </w:p>
    <w:p w:rsidR="00A41BE4" w:rsidP="00A41BE4" w:rsidRDefault="00040280" w14:paraId="42118D5E" w14:textId="559E7255">
      <w:pPr>
        <w:pStyle w:val="NoSpacing"/>
        <w:numPr>
          <w:ilvl w:val="2"/>
          <w:numId w:val="4"/>
        </w:numPr>
        <w:ind w:left="1260"/>
        <w:rPr>
          <w:rFonts w:ascii="Arial" w:hAnsi="Arial" w:cs="Arial"/>
        </w:rPr>
      </w:pPr>
      <w:r>
        <w:rPr>
          <w:rFonts w:ascii="Arial" w:hAnsi="Arial" w:cs="Arial"/>
        </w:rPr>
        <w:t xml:space="preserve">Provide </w:t>
      </w:r>
      <w:r w:rsidR="00BD5CC8">
        <w:rPr>
          <w:rFonts w:ascii="Arial" w:hAnsi="Arial" w:cs="Arial"/>
        </w:rPr>
        <w:t xml:space="preserve">the amount of the </w:t>
      </w:r>
      <w:r w:rsidR="009046A6">
        <w:rPr>
          <w:rFonts w:ascii="Arial" w:hAnsi="Arial" w:cs="Arial"/>
        </w:rPr>
        <w:t xml:space="preserve">other </w:t>
      </w:r>
      <w:r w:rsidR="00BD5CC8">
        <w:rPr>
          <w:rFonts w:ascii="Arial" w:hAnsi="Arial" w:cs="Arial"/>
        </w:rPr>
        <w:t xml:space="preserve">federal funding </w:t>
      </w:r>
      <w:r w:rsidR="00E42EA9">
        <w:rPr>
          <w:rFonts w:ascii="Arial" w:hAnsi="Arial" w:cs="Arial"/>
        </w:rPr>
        <w:t xml:space="preserve">obligated </w:t>
      </w:r>
      <w:r w:rsidR="00BD5CC8">
        <w:rPr>
          <w:rFonts w:ascii="Arial" w:hAnsi="Arial" w:cs="Arial"/>
        </w:rPr>
        <w:t>(by Assistance Listing</w:t>
      </w:r>
      <w:r w:rsidR="005B482B">
        <w:rPr>
          <w:rFonts w:ascii="Arial" w:hAnsi="Arial" w:cs="Arial"/>
        </w:rPr>
        <w:t>)</w:t>
      </w:r>
    </w:p>
    <w:p w:rsidRPr="00211B31" w:rsidR="004C1E8D" w:rsidP="004C1E8D" w:rsidRDefault="004C1E8D" w14:paraId="207B3A16" w14:textId="0BDC6591">
      <w:pPr>
        <w:pStyle w:val="NoSpacing"/>
        <w:numPr>
          <w:ilvl w:val="2"/>
          <w:numId w:val="4"/>
        </w:numPr>
        <w:ind w:left="1260"/>
        <w:rPr>
          <w:rFonts w:ascii="Arial" w:hAnsi="Arial" w:cs="Arial"/>
        </w:rPr>
      </w:pPr>
      <w:r>
        <w:rPr>
          <w:rFonts w:ascii="Arial" w:hAnsi="Arial" w:cs="Arial"/>
        </w:rPr>
        <w:t>Is the other federal funding subject to the requirements of the Davis-Bacon Act?</w:t>
      </w:r>
      <w:r w:rsidR="00040280">
        <w:rPr>
          <w:rFonts w:ascii="Arial" w:hAnsi="Arial" w:cs="Arial"/>
        </w:rPr>
        <w:t xml:space="preserve"> </w:t>
      </w:r>
      <w:r w:rsidRPr="00211B31" w:rsidR="00040280">
        <w:rPr>
          <w:rFonts w:ascii="Arial" w:hAnsi="Arial" w:cs="Arial"/>
        </w:rPr>
        <w:t>(Y/N)</w:t>
      </w:r>
    </w:p>
    <w:p w:rsidRPr="00211B31" w:rsidR="00FC70DE" w:rsidP="00FD220E" w:rsidRDefault="00FC70DE" w14:paraId="28603FD2" w14:textId="77777777">
      <w:pPr>
        <w:pStyle w:val="NoSpacing"/>
        <w:rPr>
          <w:u w:val="single"/>
        </w:rPr>
      </w:pPr>
    </w:p>
    <w:p w:rsidRPr="00211B31" w:rsidR="00FC70DE" w:rsidP="00A41BE4" w:rsidRDefault="00F74F88" w14:paraId="0F7D1FED" w14:textId="561BE076">
      <w:pPr>
        <w:pStyle w:val="NoSpacing"/>
        <w:numPr>
          <w:ilvl w:val="0"/>
          <w:numId w:val="109"/>
        </w:numPr>
      </w:pPr>
      <w:r w:rsidRPr="00211B31">
        <w:rPr>
          <w:b/>
          <w:bCs/>
        </w:rPr>
        <w:t xml:space="preserve">Obligations and </w:t>
      </w:r>
      <w:r w:rsidRPr="00211B31" w:rsidR="00FC70DE">
        <w:rPr>
          <w:b/>
          <w:bCs/>
        </w:rPr>
        <w:t>Expenditures</w:t>
      </w:r>
      <w:r w:rsidRPr="00211B31" w:rsidR="00971945">
        <w:t xml:space="preserve">: </w:t>
      </w:r>
      <w:r w:rsidRPr="00211B31" w:rsidR="00E12DC9">
        <w:t xml:space="preserve">For each </w:t>
      </w:r>
      <w:r w:rsidRPr="00211B31" w:rsidR="00BB06FB">
        <w:t>Project</w:t>
      </w:r>
      <w:r w:rsidRPr="00211B31" w:rsidR="00E12DC9">
        <w:t xml:space="preserve">, </w:t>
      </w:r>
      <w:r w:rsidRPr="00211B31" w:rsidR="00971945">
        <w:t xml:space="preserve">the Recipient </w:t>
      </w:r>
      <w:r w:rsidRPr="00211B31" w:rsidR="00B91D38">
        <w:t>wi</w:t>
      </w:r>
      <w:r w:rsidRPr="00211B31" w:rsidR="00971945">
        <w:t>ll report:</w:t>
      </w:r>
    </w:p>
    <w:p w:rsidRPr="00211B31" w:rsidR="00FC70DE" w:rsidP="0072240C" w:rsidRDefault="00FC70DE" w14:paraId="4E3E8942" w14:textId="5EC036B2">
      <w:pPr>
        <w:pStyle w:val="NoSpacing"/>
        <w:numPr>
          <w:ilvl w:val="0"/>
          <w:numId w:val="4"/>
        </w:numPr>
        <w:ind w:left="900"/>
      </w:pPr>
      <w:r w:rsidRPr="00211B31">
        <w:t>Current period obligation</w:t>
      </w:r>
    </w:p>
    <w:p w:rsidRPr="00211B31" w:rsidR="00FC70DE" w:rsidP="0072240C" w:rsidRDefault="00FC70DE" w14:paraId="502491BA" w14:textId="77777777">
      <w:pPr>
        <w:pStyle w:val="NoSpacing"/>
        <w:numPr>
          <w:ilvl w:val="0"/>
          <w:numId w:val="4"/>
        </w:numPr>
        <w:ind w:left="900"/>
      </w:pPr>
      <w:r w:rsidRPr="00211B31">
        <w:t>Cumulative obligation</w:t>
      </w:r>
    </w:p>
    <w:p w:rsidRPr="00211B31" w:rsidR="00FC70DE" w:rsidP="0072240C" w:rsidRDefault="00FC70DE" w14:paraId="25F763DD" w14:textId="0F3B0B9C">
      <w:pPr>
        <w:pStyle w:val="NoSpacing"/>
        <w:numPr>
          <w:ilvl w:val="0"/>
          <w:numId w:val="4"/>
        </w:numPr>
        <w:ind w:left="900"/>
      </w:pPr>
      <w:r w:rsidRPr="00211B31">
        <w:t>Current period expenditure</w:t>
      </w:r>
    </w:p>
    <w:p w:rsidRPr="00211B31" w:rsidR="00EF5B4A" w:rsidP="001222CE" w:rsidRDefault="00FC70DE" w14:paraId="1EBEE037" w14:textId="71700902">
      <w:pPr>
        <w:pStyle w:val="NoSpacing"/>
        <w:numPr>
          <w:ilvl w:val="0"/>
          <w:numId w:val="4"/>
        </w:numPr>
        <w:ind w:left="900"/>
      </w:pPr>
      <w:r w:rsidRPr="00211B31">
        <w:t>Cumulative expenditure</w:t>
      </w:r>
    </w:p>
    <w:p w:rsidR="0098067F" w:rsidP="0072240C" w:rsidRDefault="00F060E0" w14:paraId="22D97585" w14:textId="27FACFF2">
      <w:pPr>
        <w:pStyle w:val="NoSpacing"/>
        <w:numPr>
          <w:ilvl w:val="0"/>
          <w:numId w:val="4"/>
        </w:numPr>
        <w:ind w:left="900"/>
      </w:pPr>
      <w:r w:rsidRPr="00211B31">
        <w:t>A b</w:t>
      </w:r>
      <w:r w:rsidRPr="00211B31" w:rsidR="0098067F">
        <w:t xml:space="preserve">rief description of </w:t>
      </w:r>
      <w:r w:rsidRPr="00211B31" w:rsidR="00211B31">
        <w:t>the major activities on which funds were expended during the reporting period</w:t>
      </w:r>
      <w:r w:rsidRPr="00211B31" w:rsidR="0098067F">
        <w:t>, including costs</w:t>
      </w:r>
      <w:r w:rsidRPr="00211B31" w:rsidR="00971945">
        <w:t xml:space="preserve"> related to community engagement and any other </w:t>
      </w:r>
      <w:r w:rsidRPr="00211B31" w:rsidR="00C73652">
        <w:t>Ancillary Costs</w:t>
      </w:r>
    </w:p>
    <w:p w:rsidRPr="00211B31" w:rsidR="0087069C" w:rsidP="003758B9" w:rsidRDefault="0087069C" w14:paraId="053C9724" w14:textId="77777777">
      <w:pPr>
        <w:pStyle w:val="NoSpacing"/>
        <w:ind w:left="900"/>
      </w:pPr>
    </w:p>
    <w:p w:rsidRPr="00211B31" w:rsidR="004D7EAF" w:rsidP="004D7EAF" w:rsidRDefault="004D7EAF" w14:paraId="3EEED8AF" w14:textId="5C083853">
      <w:pPr>
        <w:pStyle w:val="NoSpacing"/>
        <w:ind w:left="360"/>
        <w:rPr>
          <w:rFonts w:ascii="Arial" w:hAnsi="Arial"/>
        </w:rPr>
      </w:pPr>
      <w:r w:rsidRPr="00211B31">
        <w:rPr>
          <w:rFonts w:ascii="Arial" w:hAnsi="Arial"/>
        </w:rPr>
        <w:lastRenderedPageBreak/>
        <w:t xml:space="preserve">Treasury needs certain project-level budget information to assess overall adherence to project cost and schedule and to evaluate performance outcomes.  In addition to Program Plan information, Recipients must report the following budget information for </w:t>
      </w:r>
      <w:r w:rsidRPr="00211B31">
        <w:rPr>
          <w:rFonts w:ascii="Arial" w:hAnsi="Arial"/>
          <w:i/>
          <w:iCs/>
        </w:rPr>
        <w:t xml:space="preserve">each </w:t>
      </w:r>
      <w:r w:rsidR="0087069C">
        <w:rPr>
          <w:rFonts w:ascii="Arial" w:hAnsi="Arial"/>
          <w:i/>
          <w:iCs/>
        </w:rPr>
        <w:t>P</w:t>
      </w:r>
      <w:r w:rsidRPr="00211B31">
        <w:rPr>
          <w:rFonts w:ascii="Arial" w:hAnsi="Arial"/>
          <w:i/>
          <w:iCs/>
        </w:rPr>
        <w:t>roject</w:t>
      </w:r>
      <w:r w:rsidRPr="00211B31">
        <w:rPr>
          <w:rFonts w:ascii="Arial" w:hAnsi="Arial"/>
        </w:rPr>
        <w:t xml:space="preserve">: </w:t>
      </w:r>
    </w:p>
    <w:p w:rsidR="0087069C" w:rsidP="0087069C" w:rsidRDefault="004D7EAF" w14:paraId="43B662EE" w14:textId="4265B7F2">
      <w:pPr>
        <w:pStyle w:val="NoSpacing"/>
        <w:numPr>
          <w:ilvl w:val="0"/>
          <w:numId w:val="4"/>
        </w:numPr>
        <w:tabs>
          <w:tab w:val="left" w:pos="360"/>
        </w:tabs>
        <w:ind w:left="900"/>
      </w:pPr>
      <w:r w:rsidRPr="00211B31">
        <w:t>Total amount of CPF funding budgeted for the project</w:t>
      </w:r>
    </w:p>
    <w:p w:rsidRPr="00211B31" w:rsidR="004D7EAF" w:rsidP="003758B9" w:rsidRDefault="033BC129" w14:paraId="2BBE7794" w14:textId="5E51402E">
      <w:pPr>
        <w:pStyle w:val="NoSpacing"/>
        <w:numPr>
          <w:ilvl w:val="0"/>
          <w:numId w:val="4"/>
        </w:numPr>
        <w:tabs>
          <w:tab w:val="left" w:pos="360"/>
        </w:tabs>
        <w:ind w:left="900"/>
      </w:pPr>
      <w:r>
        <w:t xml:space="preserve">Total amount budgeted for the project from </w:t>
      </w:r>
      <w:r w:rsidRPr="3D02C05D">
        <w:rPr>
          <w:i/>
          <w:iCs/>
        </w:rPr>
        <w:t xml:space="preserve">all </w:t>
      </w:r>
      <w:r>
        <w:t>funding sources, including but not limited to non-CPF federal funding sources</w:t>
      </w:r>
      <w:r w:rsidR="008E606A">
        <w:t xml:space="preserve"> </w:t>
      </w:r>
      <w:r>
        <w:t xml:space="preserve">and private funding sources    </w:t>
      </w:r>
    </w:p>
    <w:p w:rsidRPr="00211B31" w:rsidR="004D7EAF" w:rsidP="003758B9" w:rsidRDefault="004D7EAF" w14:paraId="416AF2BB" w14:textId="77777777">
      <w:pPr>
        <w:pStyle w:val="NoSpacing"/>
        <w:ind w:left="900"/>
      </w:pPr>
    </w:p>
    <w:p w:rsidRPr="00211B31" w:rsidR="0023566D" w:rsidP="0096543D" w:rsidRDefault="0023566D" w14:paraId="152FFE43" w14:textId="77777777">
      <w:pPr>
        <w:pStyle w:val="NoSpacing"/>
      </w:pPr>
    </w:p>
    <w:p w:rsidRPr="00211B31" w:rsidR="00FC70DE" w:rsidP="00A41BE4" w:rsidRDefault="00FC70DE" w14:paraId="5963FD64" w14:textId="0C1F9853">
      <w:pPr>
        <w:pStyle w:val="NoSpacing"/>
        <w:numPr>
          <w:ilvl w:val="0"/>
          <w:numId w:val="109"/>
        </w:numPr>
      </w:pPr>
      <w:r w:rsidRPr="00211B31">
        <w:rPr>
          <w:b/>
          <w:bCs/>
        </w:rPr>
        <w:t>Project Status</w:t>
      </w:r>
      <w:r w:rsidRPr="00211B31" w:rsidR="00971945">
        <w:t xml:space="preserve">: </w:t>
      </w:r>
      <w:r w:rsidRPr="00211B31" w:rsidR="00B91D38">
        <w:t>T</w:t>
      </w:r>
      <w:r w:rsidRPr="00211B31" w:rsidR="00971945">
        <w:t xml:space="preserve">he </w:t>
      </w:r>
      <w:r w:rsidRPr="00211B31" w:rsidR="003C2181">
        <w:t>Recipient</w:t>
      </w:r>
      <w:r w:rsidRPr="00211B31">
        <w:t xml:space="preserve"> will be asked to report on project status each reporting period, in four categories:</w:t>
      </w:r>
    </w:p>
    <w:p w:rsidRPr="009D43D9" w:rsidR="00FC70DE" w:rsidP="00B91D38" w:rsidRDefault="00FC70DE" w14:paraId="6BFCD33F" w14:textId="77777777">
      <w:pPr>
        <w:pStyle w:val="NoSpacing"/>
        <w:numPr>
          <w:ilvl w:val="0"/>
          <w:numId w:val="6"/>
        </w:numPr>
        <w:ind w:left="900"/>
      </w:pPr>
      <w:r w:rsidRPr="009D43D9">
        <w:t>Not Started</w:t>
      </w:r>
    </w:p>
    <w:p w:rsidRPr="009D43D9" w:rsidR="00FC70DE" w:rsidP="00B91D38" w:rsidRDefault="00FC70DE" w14:paraId="5D4103A2" w14:textId="2EB5DA26">
      <w:pPr>
        <w:pStyle w:val="NoSpacing"/>
        <w:numPr>
          <w:ilvl w:val="0"/>
          <w:numId w:val="6"/>
        </w:numPr>
        <w:ind w:left="900"/>
      </w:pPr>
      <w:r w:rsidRPr="009D43D9">
        <w:t>Completed less than 5</w:t>
      </w:r>
      <w:r w:rsidRPr="009D43D9" w:rsidR="34660DC8">
        <w:t>0 percent</w:t>
      </w:r>
    </w:p>
    <w:p w:rsidRPr="009D43D9" w:rsidR="00FC70DE" w:rsidP="00B91D38" w:rsidRDefault="00FC70DE" w14:paraId="22353F7C" w14:textId="117EA1A0">
      <w:pPr>
        <w:pStyle w:val="NoSpacing"/>
        <w:numPr>
          <w:ilvl w:val="0"/>
          <w:numId w:val="6"/>
        </w:numPr>
        <w:ind w:left="900"/>
      </w:pPr>
      <w:r w:rsidRPr="009D43D9">
        <w:t>Completed 5</w:t>
      </w:r>
      <w:r w:rsidRPr="009D43D9" w:rsidR="34660DC8">
        <w:t>0 percent</w:t>
      </w:r>
      <w:r w:rsidRPr="009D43D9">
        <w:t xml:space="preserve"> or more</w:t>
      </w:r>
    </w:p>
    <w:p w:rsidRPr="009D43D9" w:rsidR="00FC70DE" w:rsidP="00B91D38" w:rsidRDefault="00FC70DE" w14:paraId="6FD14585" w14:textId="2AD42725">
      <w:pPr>
        <w:pStyle w:val="NoSpacing"/>
        <w:numPr>
          <w:ilvl w:val="0"/>
          <w:numId w:val="6"/>
        </w:numPr>
        <w:ind w:left="900"/>
      </w:pPr>
      <w:r w:rsidRPr="009D43D9">
        <w:t>Completed</w:t>
      </w:r>
    </w:p>
    <w:p w:rsidRPr="00454AFB" w:rsidR="004C1E8D" w:rsidP="00454AFB" w:rsidRDefault="004C1E8D" w14:paraId="1168591D" w14:textId="77777777">
      <w:pPr>
        <w:spacing w:after="0" w:line="240" w:lineRule="auto"/>
      </w:pPr>
    </w:p>
    <w:p w:rsidR="00CB0AAB" w:rsidP="00A41BE4" w:rsidRDefault="00616A42" w14:paraId="02689DF3" w14:textId="067EF466">
      <w:pPr>
        <w:numPr>
          <w:ilvl w:val="0"/>
          <w:numId w:val="109"/>
        </w:numPr>
        <w:spacing w:after="0" w:line="240" w:lineRule="auto"/>
      </w:pPr>
      <w:bookmarkStart w:name="_Hlk97818464" w:id="6"/>
      <w:r w:rsidRPr="005F156D">
        <w:rPr>
          <w:b/>
          <w:bCs/>
        </w:rPr>
        <w:t>Special Statutory</w:t>
      </w:r>
      <w:r w:rsidRPr="005F156D" w:rsidR="00CB0AAB">
        <w:rPr>
          <w:b/>
          <w:bCs/>
        </w:rPr>
        <w:t xml:space="preserve"> Matching Funds Requirements</w:t>
      </w:r>
      <w:r w:rsidR="00CB0AAB">
        <w:t xml:space="preserve">:  CPF funds may be used as a State’s non-federal share (also known as “matching funds”) for certain other federal programs as specifically permitted under statute.  Recipients using CPF funds as non-federal share funds for other federal programs will be asked to report on the following: </w:t>
      </w:r>
    </w:p>
    <w:p w:rsidR="00CB0AAB" w:rsidP="002916D0" w:rsidRDefault="00CB0AAB" w14:paraId="696FD649" w14:textId="77975C67">
      <w:pPr>
        <w:pStyle w:val="ListParagraph"/>
        <w:numPr>
          <w:ilvl w:val="0"/>
          <w:numId w:val="113"/>
        </w:numPr>
        <w:spacing w:after="0" w:line="240" w:lineRule="auto"/>
        <w:ind w:left="900"/>
      </w:pPr>
      <w:r>
        <w:t xml:space="preserve">Provide the </w:t>
      </w:r>
      <w:r w:rsidR="00EC50D0">
        <w:t xml:space="preserve">Program Name and Assistance Listing </w:t>
      </w:r>
      <w:r>
        <w:t xml:space="preserve">of the other federal program that is being matched, as well as the statutory citation permitting CPF funds to be used as non-federal matching funds  </w:t>
      </w:r>
    </w:p>
    <w:p w:rsidR="00CB0AAB" w:rsidP="002916D0" w:rsidRDefault="00CB0AAB" w14:paraId="240AB655" w14:textId="22194B81">
      <w:pPr>
        <w:pStyle w:val="ListParagraph"/>
        <w:numPr>
          <w:ilvl w:val="0"/>
          <w:numId w:val="113"/>
        </w:numPr>
        <w:spacing w:after="0" w:line="240" w:lineRule="auto"/>
        <w:ind w:left="900"/>
      </w:pPr>
      <w:r>
        <w:t xml:space="preserve">Provide the total amount of CPF funds being used as matching funds </w:t>
      </w:r>
    </w:p>
    <w:p w:rsidR="00CB0AAB" w:rsidP="002916D0" w:rsidRDefault="00CB0AAB" w14:paraId="60EFCB78" w14:textId="11BBE30E">
      <w:pPr>
        <w:pStyle w:val="ListParagraph"/>
        <w:numPr>
          <w:ilvl w:val="0"/>
          <w:numId w:val="113"/>
        </w:numPr>
        <w:spacing w:after="0" w:line="240" w:lineRule="auto"/>
        <w:ind w:left="900"/>
      </w:pPr>
      <w:r>
        <w:t>Provide a brief description of the project, including the total anticipated costs for the project from all funding sources</w:t>
      </w:r>
    </w:p>
    <w:bookmarkEnd w:id="6"/>
    <w:p w:rsidRPr="00EC50D0" w:rsidR="00616A42" w:rsidP="00EC50D0" w:rsidRDefault="00CB0AAB" w14:paraId="27D0F51A" w14:textId="028015F9">
      <w:pPr>
        <w:spacing w:after="0" w:line="240" w:lineRule="auto"/>
        <w:ind w:left="360"/>
      </w:pPr>
      <w:r>
        <w:t xml:space="preserve"> </w:t>
      </w:r>
    </w:p>
    <w:p w:rsidR="00A04B07" w:rsidP="00A04B07" w:rsidRDefault="4108AE71" w14:paraId="5FB0B0B1" w14:textId="4092D73F">
      <w:pPr>
        <w:pStyle w:val="ListParagraph"/>
        <w:numPr>
          <w:ilvl w:val="0"/>
          <w:numId w:val="109"/>
        </w:numPr>
        <w:spacing w:after="0" w:line="240" w:lineRule="auto"/>
      </w:pPr>
      <w:r w:rsidRPr="005F156D">
        <w:rPr>
          <w:b/>
          <w:bCs/>
        </w:rPr>
        <w:t>Labor</w:t>
      </w:r>
      <w:r w:rsidR="0072240C">
        <w:t>:</w:t>
      </w:r>
      <w:r w:rsidRPr="00D11516">
        <w:t xml:space="preserve"> </w:t>
      </w:r>
      <w:r w:rsidR="00B91D38">
        <w:t xml:space="preserve">For </w:t>
      </w:r>
      <w:r w:rsidR="00BD5CC8">
        <w:t>P</w:t>
      </w:r>
      <w:r w:rsidRPr="00D11516" w:rsidR="0074749F">
        <w:t xml:space="preserve">rojects </w:t>
      </w:r>
      <w:r w:rsidR="00BD5CC8">
        <w:t>receiving $</w:t>
      </w:r>
      <w:r w:rsidR="00C43B96">
        <w:t xml:space="preserve"> 5</w:t>
      </w:r>
      <w:r w:rsidRPr="00D11516" w:rsidR="00233465">
        <w:t xml:space="preserve"> </w:t>
      </w:r>
      <w:r w:rsidRPr="00D11516" w:rsidR="0074749F">
        <w:t xml:space="preserve">million </w:t>
      </w:r>
      <w:r w:rsidR="00BD5CC8">
        <w:t>or more in CPF funding</w:t>
      </w:r>
      <w:r w:rsidR="00F91F46">
        <w:t xml:space="preserve"> (based on expected total cost)</w:t>
      </w:r>
      <w:r w:rsidR="00A04B07">
        <w:t>:</w:t>
      </w:r>
    </w:p>
    <w:p w:rsidRPr="00D11516" w:rsidR="00B27A61" w:rsidP="002916D0" w:rsidRDefault="00F271DD" w14:paraId="391DE403" w14:textId="411B5010">
      <w:pPr>
        <w:pStyle w:val="ListParagraph"/>
        <w:numPr>
          <w:ilvl w:val="1"/>
          <w:numId w:val="109"/>
        </w:numPr>
        <w:spacing w:after="0" w:line="240" w:lineRule="auto"/>
        <w:ind w:left="900"/>
      </w:pPr>
      <w:r>
        <w:t>A r</w:t>
      </w:r>
      <w:r w:rsidR="00F91F46">
        <w:t>ecipient</w:t>
      </w:r>
      <w:r w:rsidRPr="00D11516" w:rsidR="0074749F">
        <w:t xml:space="preserve"> may </w:t>
      </w:r>
      <w:r w:rsidR="00F91F46">
        <w:t xml:space="preserve">provide a certification that, for the relevant </w:t>
      </w:r>
      <w:r w:rsidR="00BB06FB">
        <w:t>Project</w:t>
      </w:r>
      <w:r w:rsidR="00F91F46">
        <w:t xml:space="preserve">, all laborers and mechanics employed by contractors and subcontractors in the performance of such </w:t>
      </w:r>
      <w:r w:rsidR="00BB06FB">
        <w:t>Project</w:t>
      </w:r>
      <w:r w:rsidR="00F91F46">
        <w:t xml:space="preserve"> are paid wages at rates not less than those prevailing, as determined by the U.S. Secretary of Labor in accordance with subchapter IV of chapter 31 of title 40, United States Code (commonly known as the “Davis-Bacon Act”), for the corresponding classes of laborers and mechanics employed on projects of a character similar to the contract work in the civil subdivision of the State (or the District of Columbia) in which the work is to be performed, or by the appropriate State entity pursuant to a corollary State prevailing-wage-in-construction law (commonly known as “baby Davis-Bacon Acts”). If such certification is not provided, a </w:t>
      </w:r>
      <w:r w:rsidR="00BB06FB">
        <w:t>Recipient</w:t>
      </w:r>
      <w:r w:rsidRPr="00D11516" w:rsidR="0074749F">
        <w:t xml:space="preserve"> </w:t>
      </w:r>
      <w:r w:rsidR="00F91F46">
        <w:t xml:space="preserve">must provide a project employment and local impact report detailing: </w:t>
      </w:r>
    </w:p>
    <w:p w:rsidRPr="00D11516" w:rsidR="0074749F" w:rsidP="0096543D" w:rsidRDefault="0074749F" w14:paraId="230BB336" w14:textId="6E1808BD">
      <w:pPr>
        <w:numPr>
          <w:ilvl w:val="2"/>
          <w:numId w:val="111"/>
        </w:numPr>
        <w:spacing w:after="0" w:line="240" w:lineRule="auto"/>
        <w:ind w:left="1620" w:hanging="270"/>
      </w:pPr>
      <w:r w:rsidRPr="00D11516">
        <w:t xml:space="preserve">The number of contractors and sub-contractors working on the </w:t>
      </w:r>
      <w:proofErr w:type="gramStart"/>
      <w:r w:rsidR="00BB06FB">
        <w:t>Project</w:t>
      </w:r>
      <w:r w:rsidRPr="00D11516">
        <w:t>;</w:t>
      </w:r>
      <w:proofErr w:type="gramEnd"/>
    </w:p>
    <w:p w:rsidR="0074749F" w:rsidP="0096543D" w:rsidRDefault="0074749F" w14:paraId="12E6F0F7" w14:textId="5D13201F">
      <w:pPr>
        <w:numPr>
          <w:ilvl w:val="2"/>
          <w:numId w:val="111"/>
        </w:numPr>
        <w:spacing w:after="0" w:line="240" w:lineRule="auto"/>
        <w:ind w:left="1620" w:hanging="270"/>
      </w:pPr>
      <w:r w:rsidRPr="00D11516">
        <w:t xml:space="preserve">The number of </w:t>
      </w:r>
      <w:r w:rsidR="0087069C">
        <w:t>employees</w:t>
      </w:r>
      <w:r w:rsidRPr="00D11516" w:rsidR="0087069C">
        <w:t xml:space="preserve"> </w:t>
      </w:r>
      <w:r w:rsidRPr="00D11516">
        <w:t xml:space="preserve">on the </w:t>
      </w:r>
      <w:r w:rsidR="00BB06FB">
        <w:t>Project</w:t>
      </w:r>
      <w:r w:rsidRPr="00D11516">
        <w:t xml:space="preserve"> hired directly and hired through a third party;</w:t>
      </w:r>
    </w:p>
    <w:p w:rsidR="0074749F" w:rsidP="0096543D" w:rsidRDefault="0074749F" w14:paraId="40B6FF1C" w14:textId="0DF8EA2B">
      <w:pPr>
        <w:numPr>
          <w:ilvl w:val="2"/>
          <w:numId w:val="111"/>
        </w:numPr>
        <w:spacing w:after="0" w:line="240" w:lineRule="auto"/>
        <w:ind w:left="1620" w:hanging="270"/>
      </w:pPr>
      <w:r w:rsidRPr="00D11516">
        <w:t xml:space="preserve">The wages and benefits of workers on the </w:t>
      </w:r>
      <w:r w:rsidR="00BB06FB">
        <w:t>Project</w:t>
      </w:r>
      <w:r w:rsidRPr="00D11516">
        <w:t xml:space="preserve"> by classification; and</w:t>
      </w:r>
      <w:r w:rsidR="00FB2F2E">
        <w:t xml:space="preserve"> </w:t>
      </w:r>
    </w:p>
    <w:p w:rsidR="0074749F" w:rsidP="0096543D" w:rsidRDefault="0074749F" w14:paraId="4765A4AC" w14:textId="7BAD15DF">
      <w:pPr>
        <w:numPr>
          <w:ilvl w:val="2"/>
          <w:numId w:val="111"/>
        </w:numPr>
        <w:spacing w:after="0" w:line="240" w:lineRule="auto"/>
        <w:ind w:left="1620" w:hanging="270"/>
      </w:pPr>
      <w:r w:rsidRPr="00D11516">
        <w:t>Whether those wages are at rates less than those prevailing.</w:t>
      </w:r>
      <w:r w:rsidRPr="00D11516">
        <w:rPr>
          <w:vertAlign w:val="superscript"/>
        </w:rPr>
        <w:footnoteReference w:id="5"/>
      </w:r>
      <w:r w:rsidRPr="00D11516">
        <w:t xml:space="preserve"> </w:t>
      </w:r>
    </w:p>
    <w:p w:rsidRPr="00D11516" w:rsidR="00EC50D0" w:rsidP="00F271DD" w:rsidRDefault="00EC50D0" w14:paraId="181B6057" w14:textId="77777777">
      <w:pPr>
        <w:spacing w:after="0" w:line="240" w:lineRule="auto"/>
        <w:ind w:left="1620"/>
      </w:pPr>
    </w:p>
    <w:p w:rsidR="005A5D4A" w:rsidP="003B47CC" w:rsidRDefault="0074749F" w14:paraId="745FC533" w14:textId="03380B6F">
      <w:pPr>
        <w:spacing w:after="0" w:line="240" w:lineRule="auto"/>
        <w:ind w:left="900"/>
      </w:pPr>
      <w:r>
        <w:t>Recipient</w:t>
      </w:r>
      <w:r w:rsidRPr="00D11516">
        <w:t xml:space="preserve">s must maintain sufficient records to substantiate this information upon request.  </w:t>
      </w:r>
    </w:p>
    <w:p w:rsidRPr="00D11516" w:rsidR="0074749F" w:rsidP="00A04B07" w:rsidRDefault="0074749F" w14:paraId="216B299C" w14:textId="1AF99898">
      <w:pPr>
        <w:spacing w:after="0" w:line="240" w:lineRule="auto"/>
        <w:ind w:left="900"/>
      </w:pPr>
      <w:r w:rsidRPr="00D11516">
        <w:t xml:space="preserve"> </w:t>
      </w:r>
    </w:p>
    <w:p w:rsidR="00F91F46" w:rsidP="002916D0" w:rsidRDefault="00F271DD" w14:paraId="38A12404" w14:textId="479E4372">
      <w:pPr>
        <w:numPr>
          <w:ilvl w:val="0"/>
          <w:numId w:val="116"/>
        </w:numPr>
        <w:spacing w:after="0" w:line="240" w:lineRule="auto"/>
        <w:ind w:left="900"/>
      </w:pPr>
      <w:r>
        <w:t>A r</w:t>
      </w:r>
      <w:r w:rsidR="00BB06FB">
        <w:t>ecipient</w:t>
      </w:r>
      <w:r w:rsidR="00F91F46">
        <w:t xml:space="preserve"> may provide a certification that a </w:t>
      </w:r>
      <w:r w:rsidR="00BB06FB">
        <w:t>Project</w:t>
      </w:r>
      <w:r w:rsidR="00F91F46">
        <w:t xml:space="preserve"> includes a project labor agreement, meaning a pre-hire collective bargaining agreement consistent with </w:t>
      </w:r>
      <w:r w:rsidR="00F91F46">
        <w:lastRenderedPageBreak/>
        <w:t>section 8(f) of the National Labor Relations Act (29 U.S.C. 158(f)).</w:t>
      </w:r>
      <w:r w:rsidR="0096543D">
        <w:t xml:space="preserve"> </w:t>
      </w:r>
      <w:r w:rsidR="00F91F46">
        <w:t xml:space="preserve"> If the </w:t>
      </w:r>
      <w:r w:rsidR="00BB06FB">
        <w:t>Recipient</w:t>
      </w:r>
      <w:r w:rsidR="00F91F46">
        <w:t xml:space="preserve"> does not provide such certification, the </w:t>
      </w:r>
      <w:r w:rsidR="00BB06FB">
        <w:t>Recipient</w:t>
      </w:r>
      <w:r w:rsidR="00F91F46">
        <w:t xml:space="preserve"> must provide a project workforce continuity plan, detailing:</w:t>
      </w:r>
    </w:p>
    <w:p w:rsidR="00E75E40" w:rsidP="00E75E40" w:rsidRDefault="00F91F46" w14:paraId="3058D738" w14:textId="2E9AE068">
      <w:pPr>
        <w:pStyle w:val="ListParagraph"/>
        <w:numPr>
          <w:ilvl w:val="2"/>
          <w:numId w:val="111"/>
        </w:numPr>
        <w:ind w:left="1620" w:hanging="270"/>
      </w:pPr>
      <w:r>
        <w:t xml:space="preserve">How the </w:t>
      </w:r>
      <w:r w:rsidR="00BB06FB">
        <w:t>Recipient</w:t>
      </w:r>
      <w:r>
        <w:t xml:space="preserve"> will ensure the </w:t>
      </w:r>
      <w:r w:rsidR="00BB06FB">
        <w:t>Project</w:t>
      </w:r>
      <w:r>
        <w:t xml:space="preserve"> has ready access to a sufficient supply of appropriately skilled and unskilled labor to ensure high-quality construction throughout the life of the </w:t>
      </w:r>
      <w:r w:rsidR="00BB06FB">
        <w:t>Project</w:t>
      </w:r>
      <w:r>
        <w:t>, including a description of any required professional certifications and/or in-house training</w:t>
      </w:r>
      <w:r w:rsidR="006E61A9">
        <w:t>,</w:t>
      </w:r>
      <w:r w:rsidRPr="006E61A9" w:rsidR="006E61A9">
        <w:t xml:space="preserve"> </w:t>
      </w:r>
      <w:r w:rsidDel="00C43B96" w:rsidR="006E61A9">
        <w:t>r</w:t>
      </w:r>
      <w:r w:rsidRPr="006E61A9" w:rsidDel="00C43B96" w:rsidR="006E61A9">
        <w:t xml:space="preserve">egistered </w:t>
      </w:r>
      <w:r w:rsidDel="00C43B96" w:rsidR="006E61A9">
        <w:t>a</w:t>
      </w:r>
      <w:r w:rsidRPr="006E61A9" w:rsidDel="00C43B96" w:rsidR="006E61A9">
        <w:t xml:space="preserve">pprenticeships or </w:t>
      </w:r>
      <w:r w:rsidDel="00C43B96" w:rsidR="006E61A9">
        <w:t>l</w:t>
      </w:r>
      <w:r w:rsidRPr="006E61A9" w:rsidDel="00C43B96" w:rsidR="006E61A9">
        <w:t>abor</w:t>
      </w:r>
      <w:r w:rsidDel="00C43B96" w:rsidR="006E61A9">
        <w:t>-m</w:t>
      </w:r>
      <w:r w:rsidRPr="006E61A9" w:rsidDel="00C43B96" w:rsidR="006E61A9">
        <w:t xml:space="preserve">anagement </w:t>
      </w:r>
      <w:r w:rsidDel="00C43B96" w:rsidR="006E61A9">
        <w:t>p</w:t>
      </w:r>
      <w:r w:rsidRPr="006E61A9" w:rsidDel="00C43B96" w:rsidR="006E61A9">
        <w:t>artnership</w:t>
      </w:r>
      <w:r w:rsidDel="00C43B96" w:rsidR="006E61A9">
        <w:t xml:space="preserve"> training program</w:t>
      </w:r>
      <w:r w:rsidRPr="006E61A9" w:rsidDel="00C43B96" w:rsidR="006E61A9">
        <w:t>s</w:t>
      </w:r>
      <w:r w:rsidDel="00C43B96" w:rsidR="006E61A9">
        <w:t>,</w:t>
      </w:r>
      <w:r w:rsidRPr="006E61A9" w:rsidDel="00C43B96" w:rsidR="006E61A9">
        <w:t xml:space="preserve"> and partners</w:t>
      </w:r>
      <w:r w:rsidDel="00C43B96" w:rsidR="006E61A9">
        <w:t>hips</w:t>
      </w:r>
      <w:r w:rsidRPr="006E61A9" w:rsidDel="00C43B96" w:rsidR="006E61A9">
        <w:t xml:space="preserve"> like unions, community colleges, or community-based groups</w:t>
      </w:r>
      <w:r w:rsidR="00E75E40">
        <w:t>;</w:t>
      </w:r>
    </w:p>
    <w:p w:rsidR="00E75E40" w:rsidP="00E75E40" w:rsidRDefault="00F91F46" w14:paraId="7C233003" w14:textId="77777777">
      <w:pPr>
        <w:pStyle w:val="ListParagraph"/>
        <w:numPr>
          <w:ilvl w:val="2"/>
          <w:numId w:val="111"/>
        </w:numPr>
        <w:ind w:left="1620" w:hanging="270"/>
      </w:pPr>
      <w:r>
        <w:t xml:space="preserve">How the </w:t>
      </w:r>
      <w:r w:rsidR="00BB06FB">
        <w:t>Recipient</w:t>
      </w:r>
      <w:r>
        <w:t xml:space="preserve"> will minimize risks of labor disputes and disruptions that would jeopardize timeliness and cost-effectiveness of the </w:t>
      </w:r>
      <w:r w:rsidR="00BB06FB">
        <w:t>Project</w:t>
      </w:r>
      <w:r>
        <w:t xml:space="preserve">; </w:t>
      </w:r>
    </w:p>
    <w:p w:rsidR="00E75E40" w:rsidP="00E75E40" w:rsidRDefault="00F91F46" w14:paraId="06639237" w14:textId="77777777">
      <w:pPr>
        <w:pStyle w:val="ListParagraph"/>
        <w:numPr>
          <w:ilvl w:val="2"/>
          <w:numId w:val="111"/>
        </w:numPr>
        <w:ind w:left="1620" w:hanging="270"/>
      </w:pPr>
      <w:r>
        <w:t xml:space="preserve">How the </w:t>
      </w:r>
      <w:r w:rsidR="00BB06FB">
        <w:t>Recipient</w:t>
      </w:r>
      <w:r>
        <w:t xml:space="preserve"> will provide a safe and healthy workplace that avoids delays and costs associated with workplace illnesses, injuries, and fatalities, including descriptions of safety training, certification, and/or licensure requirements for all relevant workers (e.g., OSHA 10, OSHA 30</w:t>
      </w:r>
      <w:r w:rsidR="00E75E40">
        <w:t>);</w:t>
      </w:r>
    </w:p>
    <w:p w:rsidR="00E75E40" w:rsidP="00E75E40" w:rsidRDefault="00F91F46" w14:paraId="5CB004AE" w14:textId="77777777">
      <w:pPr>
        <w:pStyle w:val="ListParagraph"/>
        <w:numPr>
          <w:ilvl w:val="2"/>
          <w:numId w:val="111"/>
        </w:numPr>
        <w:spacing w:after="0"/>
        <w:ind w:left="1620" w:hanging="270"/>
      </w:pPr>
      <w:r>
        <w:t xml:space="preserve">Whether workers on the </w:t>
      </w:r>
      <w:r w:rsidR="00BB06FB">
        <w:t>Project</w:t>
      </w:r>
      <w:r>
        <w:t xml:space="preserve"> will receive wages and benefits that will secure an appropriately skilled workforce in the context of the local or regional labor market; and </w:t>
      </w:r>
    </w:p>
    <w:p w:rsidR="00233465" w:rsidP="00E75E40" w:rsidRDefault="00F91F46" w14:paraId="0378D322" w14:textId="1C72017E">
      <w:pPr>
        <w:pStyle w:val="ListParagraph"/>
        <w:numPr>
          <w:ilvl w:val="2"/>
          <w:numId w:val="111"/>
        </w:numPr>
        <w:spacing w:after="0"/>
        <w:ind w:left="1620" w:hanging="270"/>
      </w:pPr>
      <w:r>
        <w:t xml:space="preserve">Whether the </w:t>
      </w:r>
      <w:r w:rsidR="00BB06FB">
        <w:t>Project</w:t>
      </w:r>
      <w:r>
        <w:t xml:space="preserve"> has completed a project labor agreement. </w:t>
      </w:r>
    </w:p>
    <w:p w:rsidR="00F91F46" w:rsidP="00E75E40" w:rsidRDefault="00F91F46" w14:paraId="125629AF" w14:textId="01A63A55">
      <w:pPr>
        <w:numPr>
          <w:ilvl w:val="0"/>
          <w:numId w:val="116"/>
        </w:numPr>
        <w:spacing w:after="0" w:line="240" w:lineRule="auto"/>
        <w:ind w:left="900"/>
      </w:pPr>
      <w:r>
        <w:t xml:space="preserve">Whether the </w:t>
      </w:r>
      <w:r w:rsidR="00BB06FB">
        <w:t>Project</w:t>
      </w:r>
      <w:r>
        <w:t xml:space="preserve"> prioritizes local hires. </w:t>
      </w:r>
    </w:p>
    <w:p w:rsidR="00C2661D" w:rsidP="00E75E40" w:rsidRDefault="00F91F46" w14:paraId="4E627601" w14:textId="664AB7AB">
      <w:pPr>
        <w:numPr>
          <w:ilvl w:val="0"/>
          <w:numId w:val="116"/>
        </w:numPr>
        <w:spacing w:after="0" w:line="240" w:lineRule="auto"/>
        <w:ind w:left="900"/>
      </w:pPr>
      <w:r>
        <w:t xml:space="preserve">Whether the </w:t>
      </w:r>
      <w:r w:rsidR="00BB06FB">
        <w:t>Project</w:t>
      </w:r>
      <w:r>
        <w:t xml:space="preserve"> has a Community Benefit Agreement</w:t>
      </w:r>
      <w:r w:rsidR="0006185E">
        <w:t>. Recipient must provide</w:t>
      </w:r>
      <w:r>
        <w:t xml:space="preserve"> a description of any such agreement. </w:t>
      </w:r>
      <w:bookmarkEnd w:id="5"/>
    </w:p>
    <w:p w:rsidR="00F91F46" w:rsidP="004C1E8D" w:rsidRDefault="00F91F46" w14:paraId="010C5A23" w14:textId="77777777">
      <w:pPr>
        <w:spacing w:after="0" w:line="240" w:lineRule="auto"/>
        <w:ind w:left="1080"/>
      </w:pPr>
    </w:p>
    <w:p w:rsidR="00B91CAE" w:rsidP="000125C2" w:rsidRDefault="00FC70DE" w14:paraId="0BF01A84" w14:textId="3D6E8BCD">
      <w:pPr>
        <w:pStyle w:val="ListParagraph"/>
        <w:numPr>
          <w:ilvl w:val="0"/>
          <w:numId w:val="109"/>
        </w:numPr>
      </w:pPr>
      <w:r w:rsidRPr="005F156D">
        <w:rPr>
          <w:b/>
          <w:bCs/>
        </w:rPr>
        <w:t xml:space="preserve">Required </w:t>
      </w:r>
      <w:r w:rsidRPr="005F156D" w:rsidR="000125C2">
        <w:rPr>
          <w:b/>
          <w:bCs/>
        </w:rPr>
        <w:t xml:space="preserve">Performance Indicators and Project </w:t>
      </w:r>
      <w:r w:rsidRPr="005F156D">
        <w:rPr>
          <w:b/>
          <w:bCs/>
        </w:rPr>
        <w:t>Data</w:t>
      </w:r>
      <w:r w:rsidRPr="0072240C" w:rsidR="0072240C">
        <w:t>:</w:t>
      </w:r>
      <w:r w:rsidR="0072240C">
        <w:t xml:space="preserve"> </w:t>
      </w:r>
      <w:r w:rsidR="00E73891">
        <w:t xml:space="preserve">Recipients will be required to provide </w:t>
      </w:r>
      <w:r w:rsidR="0085271F">
        <w:t xml:space="preserve">project-level information </w:t>
      </w:r>
      <w:r w:rsidR="00DF14CE">
        <w:t xml:space="preserve">according to the </w:t>
      </w:r>
      <w:r w:rsidR="00B91D38">
        <w:t>project use code</w:t>
      </w:r>
      <w:r w:rsidR="00E73891">
        <w:t xml:space="preserve"> </w:t>
      </w:r>
      <w:r w:rsidR="00DF14CE">
        <w:t>of the corresponding approved Program Plan</w:t>
      </w:r>
      <w:r w:rsidR="00421D86">
        <w:t xml:space="preserve">. </w:t>
      </w:r>
      <w:r w:rsidR="00A04B07">
        <w:t xml:space="preserve"> </w:t>
      </w:r>
      <w:r w:rsidR="000125C2">
        <w:br/>
      </w:r>
      <w:r w:rsidR="000125C2">
        <w:br/>
      </w:r>
      <w:r w:rsidR="009E2C6A">
        <w:t xml:space="preserve">The following programmatic data is required for each </w:t>
      </w:r>
      <w:r w:rsidR="00040280">
        <w:t xml:space="preserve">corresponding </w:t>
      </w:r>
      <w:r w:rsidR="009E2C6A">
        <w:t>project use code</w:t>
      </w:r>
      <w:r w:rsidR="00DD021D">
        <w:t xml:space="preserve">. </w:t>
      </w:r>
      <w:r w:rsidR="00955F54">
        <w:t xml:space="preserve"> </w:t>
      </w:r>
      <w:r w:rsidR="00DD021D">
        <w:t xml:space="preserve">Note that not all data elements will be required in each quarterly Project and Expenditure Report and that </w:t>
      </w:r>
      <w:r w:rsidR="000C4175">
        <w:t xml:space="preserve">the </w:t>
      </w:r>
      <w:r w:rsidR="00DD021D">
        <w:t xml:space="preserve">frequency </w:t>
      </w:r>
      <w:r w:rsidR="000C4175">
        <w:t xml:space="preserve">of submission </w:t>
      </w:r>
      <w:r w:rsidR="00DD021D">
        <w:t>will vary depending on the data element, the project status, and other components</w:t>
      </w:r>
      <w:r w:rsidR="000C4175">
        <w:t>,</w:t>
      </w:r>
      <w:r w:rsidR="00DD021D">
        <w:t xml:space="preserve"> to be described in greater detail in the user guide</w:t>
      </w:r>
      <w:r w:rsidR="000125C2">
        <w:t>.</w:t>
      </w:r>
    </w:p>
    <w:p w:rsidRPr="00994D27" w:rsidR="001C71D7" w:rsidP="00E75E40" w:rsidRDefault="0072240C" w14:paraId="42D9C60B" w14:textId="2FECBF60">
      <w:pPr>
        <w:spacing w:after="0" w:line="240" w:lineRule="auto"/>
        <w:ind w:left="360"/>
      </w:pPr>
      <w:r w:rsidRPr="005F156D">
        <w:rPr>
          <w:b/>
          <w:bCs/>
          <w:u w:val="single"/>
        </w:rPr>
        <w:t xml:space="preserve">Project Use Code </w:t>
      </w:r>
      <w:r w:rsidRPr="005F156D" w:rsidR="0098067F">
        <w:rPr>
          <w:b/>
          <w:bCs/>
          <w:u w:val="single"/>
        </w:rPr>
        <w:t xml:space="preserve">1A </w:t>
      </w:r>
      <w:r w:rsidRPr="005F156D">
        <w:rPr>
          <w:b/>
          <w:bCs/>
          <w:u w:val="single"/>
        </w:rPr>
        <w:t xml:space="preserve">– </w:t>
      </w:r>
      <w:r w:rsidRPr="005F156D" w:rsidR="001E747C">
        <w:rPr>
          <w:b/>
          <w:bCs/>
          <w:u w:val="single"/>
        </w:rPr>
        <w:t>Broadband Infrastructure Projects</w:t>
      </w:r>
      <w:r w:rsidRPr="005F156D" w:rsidR="001E747C">
        <w:rPr>
          <w:rFonts w:cstheme="minorHAnsi"/>
          <w:b/>
          <w:bCs/>
          <w:i/>
          <w:iCs/>
        </w:rPr>
        <w:br/>
      </w:r>
      <w:r>
        <w:t>The Recipient must provide Project-level data for the following measures</w:t>
      </w:r>
      <w:r w:rsidRPr="0072240C" w:rsidR="001E747C">
        <w:t>:</w:t>
      </w:r>
    </w:p>
    <w:p w:rsidR="001E747C" w:rsidP="0072240C" w:rsidRDefault="0072240C" w14:paraId="58F0614F" w14:textId="1F83FAA4">
      <w:pPr>
        <w:pStyle w:val="ListParagraph"/>
        <w:numPr>
          <w:ilvl w:val="0"/>
          <w:numId w:val="99"/>
        </w:numPr>
        <w:spacing w:after="0" w:line="240" w:lineRule="auto"/>
        <w:ind w:left="900"/>
      </w:pPr>
      <w:r>
        <w:t>Project t</w:t>
      </w:r>
      <w:r w:rsidR="001E747C">
        <w:t xml:space="preserve">echnology </w:t>
      </w:r>
      <w:r>
        <w:t>t</w:t>
      </w:r>
      <w:r w:rsidR="001E747C">
        <w:t>ype</w:t>
      </w:r>
      <w:r w:rsidR="00B86328">
        <w:t>(s)</w:t>
      </w:r>
      <w:r w:rsidR="001E747C">
        <w:t xml:space="preserve"> (Planned/Actual)</w:t>
      </w:r>
    </w:p>
    <w:p w:rsidR="001E747C" w:rsidP="0072240C" w:rsidRDefault="001E747C" w14:paraId="18D20106" w14:textId="19FB01C3">
      <w:pPr>
        <w:pStyle w:val="ListParagraph"/>
        <w:numPr>
          <w:ilvl w:val="1"/>
          <w:numId w:val="99"/>
        </w:numPr>
        <w:spacing w:after="0" w:line="240" w:lineRule="auto"/>
      </w:pPr>
      <w:r w:rsidRPr="00801DEC">
        <w:t>Fiber</w:t>
      </w:r>
    </w:p>
    <w:p w:rsidR="001E747C" w:rsidP="0072240C" w:rsidRDefault="001E747C" w14:paraId="4B7DF72E" w14:textId="045185D5">
      <w:pPr>
        <w:pStyle w:val="ListParagraph"/>
        <w:numPr>
          <w:ilvl w:val="1"/>
          <w:numId w:val="99"/>
        </w:numPr>
        <w:spacing w:after="0" w:line="240" w:lineRule="auto"/>
      </w:pPr>
      <w:r>
        <w:t xml:space="preserve">Coaxial </w:t>
      </w:r>
      <w:r w:rsidRPr="00801DEC">
        <w:t>Cable</w:t>
      </w:r>
    </w:p>
    <w:p w:rsidRPr="00A2373D" w:rsidR="001E747C" w:rsidP="0072240C" w:rsidRDefault="009D4E09" w14:paraId="3A807BCC" w14:textId="5CC9CE56">
      <w:pPr>
        <w:pStyle w:val="ListParagraph"/>
        <w:numPr>
          <w:ilvl w:val="1"/>
          <w:numId w:val="99"/>
        </w:numPr>
        <w:spacing w:after="0" w:line="240" w:lineRule="auto"/>
      </w:pPr>
      <w:r>
        <w:t>Terre</w:t>
      </w:r>
      <w:r w:rsidR="00E10F91">
        <w:t xml:space="preserve">strial </w:t>
      </w:r>
      <w:r w:rsidRPr="00801DEC" w:rsidR="001E747C">
        <w:t>Fixed Wireless</w:t>
      </w:r>
    </w:p>
    <w:p w:rsidR="001E747C" w:rsidP="0072240C" w:rsidRDefault="001E747C" w14:paraId="6E1A2403" w14:textId="1BD8E494">
      <w:pPr>
        <w:pStyle w:val="ListParagraph"/>
        <w:numPr>
          <w:ilvl w:val="1"/>
          <w:numId w:val="99"/>
        </w:numPr>
        <w:spacing w:after="0" w:line="240" w:lineRule="auto"/>
      </w:pPr>
      <w:r w:rsidRPr="00801DEC">
        <w:t>Other</w:t>
      </w:r>
      <w:r w:rsidR="00E10F91">
        <w:t xml:space="preserve"> (specify)</w:t>
      </w:r>
    </w:p>
    <w:p w:rsidR="001E747C" w:rsidP="0072240C" w:rsidRDefault="001E747C" w14:paraId="7BE47E4C" w14:textId="53673A9B">
      <w:pPr>
        <w:pStyle w:val="ListParagraph"/>
        <w:numPr>
          <w:ilvl w:val="0"/>
          <w:numId w:val="99"/>
        </w:numPr>
        <w:spacing w:after="0" w:line="240" w:lineRule="auto"/>
        <w:ind w:left="900"/>
      </w:pPr>
      <w:r w:rsidRPr="00801DEC">
        <w:t xml:space="preserve">Total </w:t>
      </w:r>
      <w:r w:rsidR="0072240C">
        <w:t>m</w:t>
      </w:r>
      <w:r w:rsidRPr="00801DEC">
        <w:t xml:space="preserve">iles of </w:t>
      </w:r>
      <w:r w:rsidR="0072240C">
        <w:t>f</w:t>
      </w:r>
      <w:r w:rsidRPr="00801DEC">
        <w:t xml:space="preserve">iber </w:t>
      </w:r>
      <w:r w:rsidR="0072240C">
        <w:t>d</w:t>
      </w:r>
      <w:r w:rsidRPr="00801DEC">
        <w:t>eployed (Planned/Actual)</w:t>
      </w:r>
    </w:p>
    <w:p w:rsidRPr="00C5101E" w:rsidR="001E747C" w:rsidP="0072240C" w:rsidRDefault="0072240C" w14:paraId="07CE2984" w14:textId="542530D9">
      <w:pPr>
        <w:pStyle w:val="ListParagraph"/>
        <w:numPr>
          <w:ilvl w:val="0"/>
          <w:numId w:val="99"/>
        </w:numPr>
        <w:spacing w:after="0" w:line="240" w:lineRule="auto"/>
        <w:ind w:left="900"/>
      </w:pPr>
      <w:r>
        <w:t>Total number of l</w:t>
      </w:r>
      <w:r w:rsidRPr="00801DEC" w:rsidR="001E747C">
        <w:t xml:space="preserve">ocations </w:t>
      </w:r>
      <w:r>
        <w:t>s</w:t>
      </w:r>
      <w:r w:rsidRPr="00801DEC" w:rsidR="001E747C">
        <w:t>erved (Planned/Actual)</w:t>
      </w:r>
    </w:p>
    <w:p w:rsidRPr="00C5101E" w:rsidR="001E747C" w:rsidP="0072240C" w:rsidRDefault="001E747C" w14:paraId="34AB297F" w14:textId="2E925CF3">
      <w:pPr>
        <w:pStyle w:val="ListParagraph"/>
        <w:numPr>
          <w:ilvl w:val="1"/>
          <w:numId w:val="99"/>
        </w:numPr>
        <w:spacing w:after="0" w:line="240" w:lineRule="auto"/>
      </w:pPr>
      <w:r>
        <w:t xml:space="preserve">Total </w:t>
      </w:r>
      <w:r w:rsidR="00B86328">
        <w:t>n</w:t>
      </w:r>
      <w:r>
        <w:t xml:space="preserve">umber of </w:t>
      </w:r>
      <w:r w:rsidR="00B86328">
        <w:t>l</w:t>
      </w:r>
      <w:r>
        <w:t xml:space="preserve">ocations </w:t>
      </w:r>
      <w:r w:rsidR="00B86328">
        <w:t>s</w:t>
      </w:r>
      <w:r>
        <w:t>erved</w:t>
      </w:r>
      <w:r w:rsidR="00B86328">
        <w:t xml:space="preserve">, </w:t>
      </w:r>
      <w:r>
        <w:t>broken out by speeds</w:t>
      </w:r>
      <w:r w:rsidR="00B86328">
        <w:t>:</w:t>
      </w:r>
    </w:p>
    <w:p w:rsidRPr="000E0615" w:rsidR="001E747C" w:rsidP="0072240C" w:rsidRDefault="001E747C" w14:paraId="2563B5BF" w14:textId="77777777">
      <w:pPr>
        <w:pStyle w:val="ListParagraph"/>
        <w:numPr>
          <w:ilvl w:val="2"/>
          <w:numId w:val="99"/>
        </w:numPr>
        <w:spacing w:after="0" w:line="240" w:lineRule="auto"/>
      </w:pPr>
      <w:r w:rsidRPr="00801DEC">
        <w:t>Pre-CPF Investment:</w:t>
      </w:r>
    </w:p>
    <w:p w:rsidR="001E747C" w:rsidP="0072240C" w:rsidRDefault="001E747C" w14:paraId="7D40143C" w14:textId="61F6B714">
      <w:pPr>
        <w:pStyle w:val="ListParagraph"/>
        <w:numPr>
          <w:ilvl w:val="3"/>
          <w:numId w:val="99"/>
        </w:numPr>
      </w:pPr>
      <w:r w:rsidRPr="00801DEC">
        <w:t xml:space="preserve">Number receiving </w:t>
      </w:r>
      <w:r w:rsidR="008B397B">
        <w:t>less than</w:t>
      </w:r>
      <w:r w:rsidR="00EA789D">
        <w:t xml:space="preserve"> </w:t>
      </w:r>
      <w:r w:rsidRPr="00801DEC">
        <w:t xml:space="preserve">25/3 Mbps </w:t>
      </w:r>
    </w:p>
    <w:p w:rsidR="001E747C" w:rsidP="0072240C" w:rsidRDefault="001E747C" w14:paraId="1E553650" w14:textId="63ED5510">
      <w:pPr>
        <w:pStyle w:val="ListParagraph"/>
        <w:numPr>
          <w:ilvl w:val="3"/>
          <w:numId w:val="99"/>
        </w:numPr>
        <w:spacing w:after="0" w:line="240" w:lineRule="auto"/>
      </w:pPr>
      <w:r w:rsidRPr="00801DEC">
        <w:t xml:space="preserve">Number receiving 25/3 Mbps </w:t>
      </w:r>
      <w:r w:rsidR="008B397B">
        <w:t>or greater but</w:t>
      </w:r>
      <w:r w:rsidRPr="00801DEC" w:rsidR="008B397B">
        <w:t xml:space="preserve"> </w:t>
      </w:r>
      <w:r w:rsidR="008B397B">
        <w:t xml:space="preserve">less than </w:t>
      </w:r>
      <w:r w:rsidRPr="00801DEC">
        <w:t>100/20 Mbps</w:t>
      </w:r>
    </w:p>
    <w:p w:rsidR="001E747C" w:rsidP="00E75E40" w:rsidRDefault="001E747C" w14:paraId="2399B7CE" w14:textId="70971C06">
      <w:pPr>
        <w:pStyle w:val="ListParagraph"/>
        <w:numPr>
          <w:ilvl w:val="2"/>
          <w:numId w:val="99"/>
        </w:numPr>
        <w:spacing w:after="0" w:line="240" w:lineRule="auto"/>
      </w:pPr>
      <w:r w:rsidRPr="00801DEC">
        <w:t>Post-CPF Investment (Planned/Actual):</w:t>
      </w:r>
    </w:p>
    <w:p w:rsidRPr="004C22D1" w:rsidR="001E747C" w:rsidP="0072240C" w:rsidRDefault="001E747C" w14:paraId="5B2D0FDC" w14:textId="77777777">
      <w:pPr>
        <w:pStyle w:val="ListParagraph"/>
        <w:numPr>
          <w:ilvl w:val="3"/>
          <w:numId w:val="99"/>
        </w:numPr>
        <w:spacing w:after="0" w:line="240" w:lineRule="auto"/>
      </w:pPr>
      <w:r w:rsidRPr="00801DEC">
        <w:t xml:space="preserve">Number receiving minimum 100/100 Mbps </w:t>
      </w:r>
    </w:p>
    <w:p w:rsidR="001E747C" w:rsidP="0072240C" w:rsidRDefault="001E747C" w14:paraId="6AC64356" w14:textId="77777777">
      <w:pPr>
        <w:pStyle w:val="ListParagraph"/>
        <w:numPr>
          <w:ilvl w:val="3"/>
          <w:numId w:val="99"/>
        </w:numPr>
      </w:pPr>
      <w:r w:rsidRPr="00801DEC">
        <w:t>Number receiving minimum 100/20 Mbps and scalable to 100/100 Mbps</w:t>
      </w:r>
    </w:p>
    <w:p w:rsidRPr="009940D3" w:rsidR="001E747C" w:rsidP="0072240C" w:rsidRDefault="001E747C" w14:paraId="531220F8" w14:textId="40B8433A">
      <w:pPr>
        <w:pStyle w:val="ListParagraph"/>
        <w:numPr>
          <w:ilvl w:val="1"/>
          <w:numId w:val="99"/>
        </w:numPr>
        <w:spacing w:after="0" w:line="240" w:lineRule="auto"/>
      </w:pPr>
      <w:r>
        <w:t xml:space="preserve">Total </w:t>
      </w:r>
      <w:r w:rsidR="00B86328">
        <w:t>n</w:t>
      </w:r>
      <w:r>
        <w:t xml:space="preserve">umber of </w:t>
      </w:r>
      <w:r w:rsidR="0068430E">
        <w:t xml:space="preserve">funded </w:t>
      </w:r>
      <w:r w:rsidR="00B86328">
        <w:t>l</w:t>
      </w:r>
      <w:r>
        <w:t xml:space="preserve">ocations </w:t>
      </w:r>
      <w:r w:rsidR="00B86328">
        <w:t>s</w:t>
      </w:r>
      <w:r>
        <w:t>erved</w:t>
      </w:r>
      <w:r w:rsidR="00B86328">
        <w:t>,</w:t>
      </w:r>
      <w:r>
        <w:t xml:space="preserve"> broken out by type (Planned/Actual):</w:t>
      </w:r>
    </w:p>
    <w:p w:rsidR="001E747C" w:rsidP="0072240C" w:rsidRDefault="001E747C" w14:paraId="7987A521" w14:textId="332FA3EF">
      <w:pPr>
        <w:pStyle w:val="ListParagraph"/>
        <w:numPr>
          <w:ilvl w:val="2"/>
          <w:numId w:val="99"/>
        </w:numPr>
        <w:spacing w:after="0" w:line="240" w:lineRule="auto"/>
      </w:pPr>
      <w:r>
        <w:lastRenderedPageBreak/>
        <w:t>Residential</w:t>
      </w:r>
    </w:p>
    <w:p w:rsidR="008958BB" w:rsidP="0072240C" w:rsidRDefault="008958BB" w14:paraId="45B0E243" w14:textId="4D382B59">
      <w:pPr>
        <w:pStyle w:val="ListParagraph"/>
        <w:numPr>
          <w:ilvl w:val="3"/>
          <w:numId w:val="99"/>
        </w:numPr>
        <w:spacing w:after="0" w:line="240" w:lineRule="auto"/>
      </w:pPr>
      <w:r>
        <w:t>Total Housing Units</w:t>
      </w:r>
    </w:p>
    <w:p w:rsidR="001E747C" w:rsidP="0072240C" w:rsidRDefault="001E747C" w14:paraId="63D6D76D" w14:textId="77777777">
      <w:pPr>
        <w:pStyle w:val="ListParagraph"/>
        <w:numPr>
          <w:ilvl w:val="2"/>
          <w:numId w:val="99"/>
        </w:numPr>
        <w:spacing w:after="0" w:line="240" w:lineRule="auto"/>
      </w:pPr>
      <w:r w:rsidRPr="00801DEC">
        <w:t>Business</w:t>
      </w:r>
    </w:p>
    <w:p w:rsidRPr="00801DEC" w:rsidR="001E747C" w:rsidP="0072240C" w:rsidRDefault="001E747C" w14:paraId="441354ED" w14:textId="77777777">
      <w:pPr>
        <w:pStyle w:val="ListParagraph"/>
        <w:numPr>
          <w:ilvl w:val="2"/>
          <w:numId w:val="99"/>
        </w:numPr>
        <w:rPr>
          <w:lang w:val="en-IN"/>
        </w:rPr>
      </w:pPr>
      <w:r w:rsidRPr="00801DEC">
        <w:t>Community anchor institution</w:t>
      </w:r>
    </w:p>
    <w:p w:rsidR="001E747C" w:rsidP="0072240C" w:rsidRDefault="001E747C" w14:paraId="34ADEA41" w14:textId="4D3716F0">
      <w:pPr>
        <w:pStyle w:val="ListParagraph"/>
        <w:numPr>
          <w:ilvl w:val="0"/>
          <w:numId w:val="99"/>
        </w:numPr>
        <w:tabs>
          <w:tab w:val="left" w:pos="900"/>
          <w:tab w:val="left" w:pos="990"/>
        </w:tabs>
        <w:ind w:left="900"/>
      </w:pPr>
      <w:r w:rsidRPr="00801DEC">
        <w:t>Speed tiers offered and corresponding non-promotional prices, including associated fees, for each speed tier of broadband service</w:t>
      </w:r>
      <w:r w:rsidR="0072240C">
        <w:t>.</w:t>
      </w:r>
    </w:p>
    <w:p w:rsidR="001E747C" w:rsidP="0072240C" w:rsidRDefault="001E747C" w14:paraId="24C10C2D" w14:textId="4F020CE6">
      <w:pPr>
        <w:pStyle w:val="ListParagraph"/>
        <w:numPr>
          <w:ilvl w:val="0"/>
          <w:numId w:val="99"/>
        </w:numPr>
        <w:tabs>
          <w:tab w:val="left" w:pos="900"/>
          <w:tab w:val="left" w:pos="990"/>
        </w:tabs>
        <w:spacing w:after="0" w:line="240" w:lineRule="auto"/>
        <w:ind w:left="900"/>
      </w:pPr>
      <w:r w:rsidRPr="00801DEC">
        <w:t xml:space="preserve">Confirmation that </w:t>
      </w:r>
      <w:r w:rsidR="00B86328">
        <w:t xml:space="preserve">the </w:t>
      </w:r>
      <w:r w:rsidRPr="00801DEC">
        <w:t>provider is participating in</w:t>
      </w:r>
      <w:r w:rsidR="00B86328">
        <w:t xml:space="preserve"> the FCC’s Affordable Connectivity Program</w:t>
      </w:r>
      <w:r w:rsidRPr="00801DEC">
        <w:t xml:space="preserve"> </w:t>
      </w:r>
      <w:r w:rsidR="00B86328">
        <w:t>(</w:t>
      </w:r>
      <w:r w:rsidRPr="00801DEC">
        <w:t>ACP</w:t>
      </w:r>
      <w:r w:rsidR="00B86328">
        <w:t>)</w:t>
      </w:r>
      <w:r w:rsidRPr="00801DEC">
        <w:t xml:space="preserve"> (Actual)</w:t>
      </w:r>
      <w:r w:rsidR="008A6D0A">
        <w:t xml:space="preserve"> </w:t>
      </w:r>
      <w:r w:rsidR="00E55D66">
        <w:t xml:space="preserve">[Applies only </w:t>
      </w:r>
      <w:r w:rsidR="008A6D0A">
        <w:t xml:space="preserve">for </w:t>
      </w:r>
      <w:r w:rsidR="00E55D66">
        <w:t>S</w:t>
      </w:r>
      <w:r w:rsidR="008A6D0A">
        <w:t>tates and territories</w:t>
      </w:r>
      <w:r w:rsidR="00E55D66">
        <w:t>]</w:t>
      </w:r>
    </w:p>
    <w:p w:rsidRPr="00827B39" w:rsidR="001E747C" w:rsidP="0072240C" w:rsidRDefault="001E747C" w14:paraId="2DEEB598" w14:textId="77777777">
      <w:pPr>
        <w:pStyle w:val="ListParagraph"/>
        <w:spacing w:after="0" w:line="240" w:lineRule="auto"/>
        <w:ind w:left="1080"/>
        <w:rPr>
          <w:rFonts w:cstheme="minorHAnsi"/>
        </w:rPr>
      </w:pPr>
    </w:p>
    <w:p w:rsidRPr="0072240C" w:rsidR="001E747C" w:rsidP="0072240C" w:rsidRDefault="0072240C" w14:paraId="39B962CF" w14:textId="350BB22C">
      <w:pPr>
        <w:spacing w:after="0" w:line="240" w:lineRule="auto"/>
        <w:ind w:left="360"/>
      </w:pPr>
      <w:r>
        <w:t xml:space="preserve">For each </w:t>
      </w:r>
      <w:r w:rsidRPr="0072240C" w:rsidR="001E747C">
        <w:t xml:space="preserve">location served by a </w:t>
      </w:r>
      <w:r w:rsidR="00BB06FB">
        <w:t>Project</w:t>
      </w:r>
      <w:r w:rsidRPr="0072240C" w:rsidR="001E747C">
        <w:t xml:space="preserve">, </w:t>
      </w:r>
      <w:r w:rsidR="000238E2">
        <w:t xml:space="preserve">the Recipient </w:t>
      </w:r>
      <w:r w:rsidR="00F51BF0">
        <w:t>must</w:t>
      </w:r>
      <w:r w:rsidR="000238E2">
        <w:t xml:space="preserve"> </w:t>
      </w:r>
      <w:r w:rsidR="00F51BF0">
        <w:t xml:space="preserve">collect </w:t>
      </w:r>
      <w:r w:rsidR="005B43C4">
        <w:t xml:space="preserve">from the subrecipient </w:t>
      </w:r>
      <w:r w:rsidR="000238E2">
        <w:t xml:space="preserve">and </w:t>
      </w:r>
      <w:r w:rsidR="00F51BF0">
        <w:t xml:space="preserve">submit </w:t>
      </w:r>
      <w:r w:rsidR="000238E2">
        <w:t>the following information to Treasury using a</w:t>
      </w:r>
      <w:r w:rsidRPr="0072240C" w:rsidR="001E747C">
        <w:t xml:space="preserve"> predetermined file format </w:t>
      </w:r>
      <w:r w:rsidR="000238E2">
        <w:t xml:space="preserve">that will be </w:t>
      </w:r>
      <w:r>
        <w:t xml:space="preserve">provided </w:t>
      </w:r>
      <w:r w:rsidRPr="0072240C" w:rsidR="001E747C">
        <w:t>by Treasury</w:t>
      </w:r>
      <w:r w:rsidR="00651F90">
        <w:t xml:space="preserve"> on the CPF website</w:t>
      </w:r>
      <w:r w:rsidRPr="0072240C" w:rsidR="001E747C">
        <w:t>:</w:t>
      </w:r>
    </w:p>
    <w:p w:rsidR="001E747C" w:rsidP="0072240C" w:rsidRDefault="001E747C" w14:paraId="181069D5" w14:textId="6CE9564E">
      <w:pPr>
        <w:pStyle w:val="ListParagraph"/>
        <w:numPr>
          <w:ilvl w:val="0"/>
          <w:numId w:val="99"/>
        </w:numPr>
        <w:ind w:left="900"/>
      </w:pPr>
      <w:r>
        <w:t xml:space="preserve">Latitude/longitude at the structure where service will be </w:t>
      </w:r>
      <w:r w:rsidR="009B4356">
        <w:t xml:space="preserve">installed </w:t>
      </w:r>
    </w:p>
    <w:p w:rsidR="00B026D9" w:rsidP="0072240C" w:rsidRDefault="00B026D9" w14:paraId="65B57C5B" w14:textId="62AE2192">
      <w:pPr>
        <w:pStyle w:val="ListParagraph"/>
        <w:numPr>
          <w:ilvl w:val="0"/>
          <w:numId w:val="99"/>
        </w:numPr>
        <w:ind w:left="900"/>
      </w:pPr>
      <w:r>
        <w:t>Technology used to offer service at the location</w:t>
      </w:r>
      <w:r w:rsidR="000B46E8">
        <w:t xml:space="preserve"> </w:t>
      </w:r>
    </w:p>
    <w:p w:rsidR="00446827" w:rsidP="0072240C" w:rsidRDefault="00446827" w14:paraId="4D4AC930" w14:textId="3E59FDF7">
      <w:pPr>
        <w:pStyle w:val="ListParagraph"/>
        <w:numPr>
          <w:ilvl w:val="0"/>
          <w:numId w:val="99"/>
        </w:numPr>
        <w:ind w:left="900"/>
      </w:pPr>
      <w:r>
        <w:t>Location Type</w:t>
      </w:r>
    </w:p>
    <w:p w:rsidR="00446827" w:rsidP="00446827" w:rsidRDefault="00446827" w14:paraId="1D70B63D" w14:textId="680739F3">
      <w:pPr>
        <w:pStyle w:val="ListParagraph"/>
        <w:numPr>
          <w:ilvl w:val="1"/>
          <w:numId w:val="99"/>
        </w:numPr>
      </w:pPr>
      <w:r>
        <w:t>Residential</w:t>
      </w:r>
    </w:p>
    <w:p w:rsidR="00446827" w:rsidP="00131835" w:rsidRDefault="00446827" w14:paraId="78470B8C" w14:textId="5EEB4EB7">
      <w:pPr>
        <w:pStyle w:val="ListParagraph"/>
        <w:numPr>
          <w:ilvl w:val="2"/>
          <w:numId w:val="99"/>
        </w:numPr>
      </w:pPr>
      <w:r>
        <w:t>If Residential, Number of Housing Units</w:t>
      </w:r>
    </w:p>
    <w:p w:rsidR="00446827" w:rsidP="00446827" w:rsidRDefault="00446827" w14:paraId="2864D84E" w14:textId="41C3233D">
      <w:pPr>
        <w:pStyle w:val="ListParagraph"/>
        <w:numPr>
          <w:ilvl w:val="1"/>
          <w:numId w:val="99"/>
        </w:numPr>
      </w:pPr>
      <w:r>
        <w:t>Business</w:t>
      </w:r>
    </w:p>
    <w:p w:rsidR="00446827" w:rsidP="00131835" w:rsidRDefault="00446827" w14:paraId="762BA197" w14:textId="4DABFDEB">
      <w:pPr>
        <w:pStyle w:val="ListParagraph"/>
        <w:numPr>
          <w:ilvl w:val="1"/>
          <w:numId w:val="99"/>
        </w:numPr>
      </w:pPr>
      <w:r>
        <w:t>Community anchor institution</w:t>
      </w:r>
    </w:p>
    <w:p w:rsidR="001E747C" w:rsidP="0072240C" w:rsidRDefault="001E747C" w14:paraId="48B8C08F" w14:textId="4DF4A1CC">
      <w:pPr>
        <w:pStyle w:val="ListParagraph"/>
        <w:numPr>
          <w:ilvl w:val="0"/>
          <w:numId w:val="99"/>
        </w:numPr>
        <w:ind w:left="900"/>
        <w:jc w:val="both"/>
      </w:pPr>
      <w:r w:rsidRPr="00801DEC">
        <w:t xml:space="preserve">Speed </w:t>
      </w:r>
      <w:r w:rsidR="009730AF">
        <w:t xml:space="preserve">tier </w:t>
      </w:r>
      <w:r w:rsidRPr="00801DEC">
        <w:t xml:space="preserve">at </w:t>
      </w:r>
      <w:r w:rsidR="00F51BF0">
        <w:t>the l</w:t>
      </w:r>
      <w:r w:rsidRPr="00801DEC">
        <w:t xml:space="preserve">ocation </w:t>
      </w:r>
      <w:r w:rsidR="00F51BF0">
        <w:t>p</w:t>
      </w:r>
      <w:r w:rsidRPr="00801DEC">
        <w:t xml:space="preserve">re-CPF </w:t>
      </w:r>
      <w:r w:rsidR="00F51BF0">
        <w:t>i</w:t>
      </w:r>
      <w:r w:rsidRPr="00801DEC">
        <w:t>nvestment</w:t>
      </w:r>
    </w:p>
    <w:p w:rsidR="001E747C" w:rsidP="0072240C" w:rsidRDefault="00EA789D" w14:paraId="72BFFFEB" w14:textId="22E53A94">
      <w:pPr>
        <w:pStyle w:val="ListParagraph"/>
        <w:numPr>
          <w:ilvl w:val="1"/>
          <w:numId w:val="99"/>
        </w:numPr>
        <w:jc w:val="both"/>
      </w:pPr>
      <w:r>
        <w:t xml:space="preserve">Below </w:t>
      </w:r>
      <w:r w:rsidRPr="00801DEC" w:rsidR="001E747C">
        <w:t xml:space="preserve">25/3 Mbps </w:t>
      </w:r>
    </w:p>
    <w:p w:rsidR="001E747C" w:rsidP="0072240C" w:rsidRDefault="001E747C" w14:paraId="4AC9CFA2" w14:textId="0F9A992B">
      <w:pPr>
        <w:pStyle w:val="ListParagraph"/>
        <w:numPr>
          <w:ilvl w:val="1"/>
          <w:numId w:val="99"/>
        </w:numPr>
        <w:jc w:val="both"/>
      </w:pPr>
      <w:r w:rsidRPr="00801DEC">
        <w:t xml:space="preserve">25/3 Mbps </w:t>
      </w:r>
      <w:r w:rsidR="008B397B">
        <w:t>or greater but less than</w:t>
      </w:r>
      <w:r w:rsidRPr="00801DEC" w:rsidR="008B397B">
        <w:t xml:space="preserve"> </w:t>
      </w:r>
      <w:r w:rsidRPr="00801DEC">
        <w:t>100/20 Mbps</w:t>
      </w:r>
    </w:p>
    <w:p w:rsidRPr="00F56B1A" w:rsidR="001E747C" w:rsidP="0072240C" w:rsidRDefault="001E747C" w14:paraId="3B2F5E08" w14:textId="4CB15E41">
      <w:pPr>
        <w:pStyle w:val="ListParagraph"/>
        <w:numPr>
          <w:ilvl w:val="0"/>
          <w:numId w:val="99"/>
        </w:numPr>
        <w:ind w:left="900"/>
        <w:jc w:val="both"/>
      </w:pPr>
      <w:r w:rsidRPr="00801DEC">
        <w:t>Speed</w:t>
      </w:r>
      <w:r w:rsidR="004063FE">
        <w:t xml:space="preserve"> and latency</w:t>
      </w:r>
      <w:r w:rsidRPr="00801DEC">
        <w:t xml:space="preserve"> at </w:t>
      </w:r>
      <w:r w:rsidR="00F51BF0">
        <w:t>the l</w:t>
      </w:r>
      <w:r w:rsidRPr="00801DEC">
        <w:t xml:space="preserve">ocation </w:t>
      </w:r>
      <w:r w:rsidR="00F51BF0">
        <w:t>p</w:t>
      </w:r>
      <w:r w:rsidRPr="00801DEC">
        <w:t xml:space="preserve">ost-CPF </w:t>
      </w:r>
      <w:r w:rsidR="00F51BF0">
        <w:t>i</w:t>
      </w:r>
      <w:r w:rsidRPr="00801DEC">
        <w:t xml:space="preserve">nvestment </w:t>
      </w:r>
    </w:p>
    <w:p w:rsidR="00D53FBF" w:rsidP="0072240C" w:rsidRDefault="00A14036" w14:paraId="703BD42D" w14:textId="4B79CCE3">
      <w:pPr>
        <w:pStyle w:val="ListParagraph"/>
        <w:numPr>
          <w:ilvl w:val="1"/>
          <w:numId w:val="99"/>
        </w:numPr>
        <w:jc w:val="both"/>
      </w:pPr>
      <w:r>
        <w:t>Maximum download speed</w:t>
      </w:r>
      <w:r w:rsidR="00162774">
        <w:t xml:space="preserve"> </w:t>
      </w:r>
      <w:r w:rsidRPr="00162774" w:rsidR="00162774">
        <w:t xml:space="preserve">offered </w:t>
      </w:r>
    </w:p>
    <w:p w:rsidR="006035CB" w:rsidP="0072240C" w:rsidRDefault="006035CB" w14:paraId="4145C9F6" w14:textId="6FA29125">
      <w:pPr>
        <w:pStyle w:val="ListParagraph"/>
        <w:numPr>
          <w:ilvl w:val="1"/>
          <w:numId w:val="99"/>
        </w:numPr>
        <w:jc w:val="both"/>
      </w:pPr>
      <w:r>
        <w:t>Maximum download speed delivered</w:t>
      </w:r>
    </w:p>
    <w:p w:rsidR="001E747C" w:rsidP="0072240C" w:rsidRDefault="00A14036" w14:paraId="0582620B" w14:textId="5498BAAE">
      <w:pPr>
        <w:pStyle w:val="ListParagraph"/>
        <w:numPr>
          <w:ilvl w:val="1"/>
          <w:numId w:val="99"/>
        </w:numPr>
        <w:jc w:val="both"/>
      </w:pPr>
      <w:r>
        <w:t>Maximum upload speed</w:t>
      </w:r>
      <w:r w:rsidR="00162774">
        <w:t xml:space="preserve"> offered</w:t>
      </w:r>
      <w:r w:rsidR="00C655DC">
        <w:t>.</w:t>
      </w:r>
    </w:p>
    <w:p w:rsidR="006035CB" w:rsidP="0072240C" w:rsidRDefault="006035CB" w14:paraId="2E764184" w14:textId="75C7EA6E">
      <w:pPr>
        <w:pStyle w:val="ListParagraph"/>
        <w:numPr>
          <w:ilvl w:val="1"/>
          <w:numId w:val="99"/>
        </w:numPr>
        <w:jc w:val="both"/>
      </w:pPr>
      <w:r>
        <w:t>Maximum upload speed delivered</w:t>
      </w:r>
    </w:p>
    <w:p w:rsidRPr="00194E88" w:rsidR="00A35C85" w:rsidP="0072240C" w:rsidRDefault="00A35C85" w14:paraId="2C36E854" w14:textId="757D44D8">
      <w:pPr>
        <w:pStyle w:val="ListParagraph"/>
        <w:numPr>
          <w:ilvl w:val="1"/>
          <w:numId w:val="99"/>
        </w:numPr>
        <w:jc w:val="both"/>
      </w:pPr>
      <w:r>
        <w:t>Latency</w:t>
      </w:r>
      <w:r w:rsidR="00DA4A02">
        <w:t xml:space="preserve"> </w:t>
      </w:r>
    </w:p>
    <w:p w:rsidRPr="0072240C" w:rsidR="009E2C6A" w:rsidP="001E747C" w:rsidRDefault="009E2C6A" w14:paraId="394D2B9F" w14:textId="77777777">
      <w:pPr>
        <w:spacing w:after="0" w:line="240" w:lineRule="auto"/>
        <w:jc w:val="both"/>
        <w:rPr>
          <w:rFonts w:cstheme="minorHAnsi"/>
          <w:b/>
          <w:bCs/>
        </w:rPr>
      </w:pPr>
    </w:p>
    <w:p w:rsidRPr="0072240C" w:rsidR="001E747C" w:rsidP="0072240C" w:rsidRDefault="0072240C" w14:paraId="3F089ED7" w14:textId="596F0670">
      <w:pPr>
        <w:spacing w:after="0"/>
        <w:ind w:left="360"/>
        <w:rPr>
          <w:b/>
          <w:bCs/>
          <w:u w:val="single"/>
        </w:rPr>
      </w:pPr>
      <w:bookmarkStart w:name="_Hlk98162987" w:id="7"/>
      <w:r w:rsidRPr="0072240C">
        <w:rPr>
          <w:b/>
          <w:bCs/>
          <w:u w:val="single"/>
        </w:rPr>
        <w:t xml:space="preserve">Project Use Code </w:t>
      </w:r>
      <w:r w:rsidRPr="0072240C" w:rsidR="0098067F">
        <w:rPr>
          <w:b/>
          <w:bCs/>
          <w:u w:val="single"/>
        </w:rPr>
        <w:t>1B</w:t>
      </w:r>
      <w:r w:rsidRPr="0072240C">
        <w:rPr>
          <w:b/>
          <w:bCs/>
          <w:u w:val="single"/>
        </w:rPr>
        <w:t xml:space="preserve"> – </w:t>
      </w:r>
      <w:r w:rsidRPr="0072240C" w:rsidR="001E747C">
        <w:rPr>
          <w:b/>
          <w:bCs/>
          <w:u w:val="single"/>
        </w:rPr>
        <w:t>Digital Connectivity Technology Projects</w:t>
      </w:r>
    </w:p>
    <w:bookmarkEnd w:id="7"/>
    <w:p w:rsidRPr="00437F2D" w:rsidR="00F33E51" w:rsidP="0072240C" w:rsidRDefault="00F33E51" w14:paraId="7A44A0F8" w14:textId="534A3DB6">
      <w:pPr>
        <w:pStyle w:val="ListParagraph"/>
        <w:numPr>
          <w:ilvl w:val="0"/>
          <w:numId w:val="100"/>
        </w:numPr>
        <w:ind w:left="900"/>
      </w:pPr>
      <w:r w:rsidRPr="00437F2D">
        <w:t>Address(es) from which devices will be distributed or</w:t>
      </w:r>
      <w:r w:rsidR="00437F2D">
        <w:t xml:space="preserve"> installed</w:t>
      </w:r>
      <w:r w:rsidRPr="00437F2D">
        <w:t xml:space="preserve"> (in the case of public wi-fi equipment)</w:t>
      </w:r>
      <w:r w:rsidR="00A600E2">
        <w:t>, or other location information as appropriate</w:t>
      </w:r>
    </w:p>
    <w:p w:rsidRPr="00801DEC" w:rsidR="001E747C" w:rsidP="0072240C" w:rsidRDefault="001E747C" w14:paraId="48C283C8" w14:textId="7F47A2FC">
      <w:pPr>
        <w:pStyle w:val="ListParagraph"/>
        <w:numPr>
          <w:ilvl w:val="0"/>
          <w:numId w:val="100"/>
        </w:numPr>
        <w:ind w:left="900"/>
        <w:rPr>
          <w:u w:val="single"/>
        </w:rPr>
      </w:pPr>
      <w:r w:rsidRPr="00801DEC">
        <w:t xml:space="preserve">Device </w:t>
      </w:r>
      <w:r w:rsidR="00B91CAE">
        <w:t>t</w:t>
      </w:r>
      <w:r w:rsidRPr="00801DEC">
        <w:t>ype (Select all that apply)</w:t>
      </w:r>
    </w:p>
    <w:p w:rsidRPr="00801DEC" w:rsidR="001E747C" w:rsidP="0072240C" w:rsidRDefault="001E747C" w14:paraId="69467C26" w14:textId="77777777">
      <w:pPr>
        <w:pStyle w:val="ListParagraph"/>
        <w:numPr>
          <w:ilvl w:val="1"/>
          <w:numId w:val="100"/>
        </w:numPr>
        <w:rPr>
          <w:u w:val="single"/>
        </w:rPr>
      </w:pPr>
      <w:r w:rsidRPr="00801DEC">
        <w:t>Laptops</w:t>
      </w:r>
    </w:p>
    <w:p w:rsidRPr="00801DEC" w:rsidR="001E747C" w:rsidP="0072240C" w:rsidRDefault="001E747C" w14:paraId="5015BE9B" w14:textId="77777777">
      <w:pPr>
        <w:pStyle w:val="ListParagraph"/>
        <w:numPr>
          <w:ilvl w:val="1"/>
          <w:numId w:val="100"/>
        </w:numPr>
        <w:rPr>
          <w:u w:val="single"/>
        </w:rPr>
      </w:pPr>
      <w:r w:rsidRPr="00801DEC">
        <w:t>Tablets</w:t>
      </w:r>
    </w:p>
    <w:p w:rsidRPr="00801DEC" w:rsidR="001E747C" w:rsidP="0072240C" w:rsidRDefault="001E747C" w14:paraId="6D3E235D" w14:textId="4F34751A">
      <w:pPr>
        <w:pStyle w:val="ListParagraph"/>
        <w:numPr>
          <w:ilvl w:val="1"/>
          <w:numId w:val="100"/>
        </w:numPr>
        <w:rPr>
          <w:u w:val="single"/>
        </w:rPr>
      </w:pPr>
      <w:r w:rsidRPr="00801DEC">
        <w:t>Desktop Computers</w:t>
      </w:r>
    </w:p>
    <w:p w:rsidRPr="00801DEC" w:rsidR="001E747C" w:rsidP="0072240C" w:rsidRDefault="001E747C" w14:paraId="03DF8593" w14:textId="77777777">
      <w:pPr>
        <w:pStyle w:val="ListParagraph"/>
        <w:numPr>
          <w:ilvl w:val="1"/>
          <w:numId w:val="100"/>
        </w:numPr>
        <w:rPr>
          <w:u w:val="single"/>
        </w:rPr>
      </w:pPr>
      <w:r w:rsidRPr="00801DEC">
        <w:t>Public Wi-Fi Equipment</w:t>
      </w:r>
    </w:p>
    <w:p w:rsidRPr="00801DEC" w:rsidR="001E747C" w:rsidP="0072240C" w:rsidRDefault="001E747C" w14:paraId="31140356" w14:textId="0284557A">
      <w:pPr>
        <w:pStyle w:val="ListParagraph"/>
        <w:numPr>
          <w:ilvl w:val="1"/>
          <w:numId w:val="100"/>
        </w:numPr>
        <w:rPr>
          <w:u w:val="single"/>
        </w:rPr>
      </w:pPr>
      <w:r>
        <w:t>Other</w:t>
      </w:r>
    </w:p>
    <w:p w:rsidRPr="00801DEC" w:rsidR="001E747C" w:rsidP="0072240C" w:rsidRDefault="001E747C" w14:paraId="67D0D727" w14:textId="60B1D096">
      <w:pPr>
        <w:pStyle w:val="ListParagraph"/>
        <w:numPr>
          <w:ilvl w:val="0"/>
          <w:numId w:val="100"/>
        </w:numPr>
        <w:ind w:left="900"/>
        <w:rPr>
          <w:u w:val="single"/>
        </w:rPr>
      </w:pPr>
      <w:r w:rsidRPr="00801DEC">
        <w:t xml:space="preserve">For each selected </w:t>
      </w:r>
      <w:r w:rsidR="00B91CAE">
        <w:t>d</w:t>
      </w:r>
      <w:r w:rsidRPr="00801DEC">
        <w:t xml:space="preserve">evice </w:t>
      </w:r>
      <w:r w:rsidR="00B91CAE">
        <w:t>t</w:t>
      </w:r>
      <w:r w:rsidRPr="00801DEC">
        <w:t>ype</w:t>
      </w:r>
      <w:r w:rsidR="00C8271D">
        <w:t>, provide:</w:t>
      </w:r>
      <w:r w:rsidRPr="00801DEC">
        <w:t xml:space="preserve"> (Planned/Actual)</w:t>
      </w:r>
    </w:p>
    <w:p w:rsidRPr="00801DEC" w:rsidR="001E747C" w:rsidP="0072240C" w:rsidRDefault="00C8271D" w14:paraId="51DAD5FF" w14:textId="05290A29">
      <w:pPr>
        <w:pStyle w:val="ListParagraph"/>
        <w:numPr>
          <w:ilvl w:val="1"/>
          <w:numId w:val="100"/>
        </w:numPr>
        <w:rPr>
          <w:u w:val="single"/>
        </w:rPr>
      </w:pPr>
      <w:r>
        <w:t>Total n</w:t>
      </w:r>
      <w:r w:rsidRPr="00801DEC" w:rsidR="001E747C">
        <w:t>umber of devices purchased</w:t>
      </w:r>
    </w:p>
    <w:p w:rsidRPr="00801DEC" w:rsidR="001E747C" w:rsidP="0072240C" w:rsidRDefault="00C8271D" w14:paraId="535087E1" w14:textId="693F8796">
      <w:pPr>
        <w:pStyle w:val="ListParagraph"/>
        <w:numPr>
          <w:ilvl w:val="1"/>
          <w:numId w:val="100"/>
        </w:numPr>
        <w:rPr>
          <w:u w:val="single"/>
        </w:rPr>
      </w:pPr>
      <w:r>
        <w:t>Total e</w:t>
      </w:r>
      <w:r w:rsidRPr="00801DEC" w:rsidR="001E747C">
        <w:t>xpenditure</w:t>
      </w:r>
    </w:p>
    <w:p w:rsidR="001E747C" w:rsidP="0072240C" w:rsidRDefault="001E747C" w14:paraId="5379A053" w14:textId="7D4823BD">
      <w:pPr>
        <w:pStyle w:val="ListParagraph"/>
        <w:numPr>
          <w:ilvl w:val="0"/>
          <w:numId w:val="100"/>
        </w:numPr>
        <w:ind w:left="900"/>
      </w:pPr>
      <w:bookmarkStart w:name="_Hlk98163003" w:id="8"/>
      <w:r w:rsidRPr="00801DEC">
        <w:t>Total number of individuals using devices</w:t>
      </w:r>
      <w:r w:rsidR="00F651E6">
        <w:t xml:space="preserve"> </w:t>
      </w:r>
      <w:r w:rsidRPr="00801DEC">
        <w:t>(Planned/Actual)</w:t>
      </w:r>
    </w:p>
    <w:bookmarkEnd w:id="8"/>
    <w:p w:rsidR="001E747C" w:rsidP="00B91CAE" w:rsidRDefault="004C1E8D" w14:paraId="1CC494B5" w14:textId="5E1876E0">
      <w:pPr>
        <w:pStyle w:val="ListParagraph"/>
        <w:numPr>
          <w:ilvl w:val="0"/>
          <w:numId w:val="101"/>
        </w:numPr>
        <w:ind w:left="900"/>
      </w:pPr>
      <w:r>
        <w:t>A brief narrative explaining the n</w:t>
      </w:r>
      <w:r w:rsidRPr="00801DEC" w:rsidR="001E747C">
        <w:t xml:space="preserve">umber </w:t>
      </w:r>
      <w:r>
        <w:t xml:space="preserve">and types </w:t>
      </w:r>
      <w:r w:rsidRPr="00801DEC" w:rsidR="001E747C">
        <w:t>of digital literacy trainings and other support services provided to enable use of the devices</w:t>
      </w:r>
      <w:r>
        <w:t>, including the number of individuals who attend or make use of the trainings and support services</w:t>
      </w:r>
      <w:r w:rsidRPr="00801DEC" w:rsidR="001E747C">
        <w:t xml:space="preserve"> (Proposed/Actual)</w:t>
      </w:r>
    </w:p>
    <w:p w:rsidR="001E747C" w:rsidP="00B91CAE" w:rsidRDefault="001E747C" w14:paraId="77D4525B" w14:textId="0CEE89BB">
      <w:pPr>
        <w:pStyle w:val="ListParagraph"/>
        <w:numPr>
          <w:ilvl w:val="0"/>
          <w:numId w:val="101"/>
        </w:numPr>
        <w:ind w:left="900"/>
      </w:pPr>
      <w:r w:rsidRPr="00801DEC">
        <w:t xml:space="preserve">Are </w:t>
      </w:r>
      <w:r w:rsidR="00BB06FB">
        <w:t>Subrecipient</w:t>
      </w:r>
      <w:r w:rsidRPr="00801DEC">
        <w:t xml:space="preserve">s </w:t>
      </w:r>
      <w:r w:rsidR="00B91CAE">
        <w:t>measuring the Project’s effectiveness and impact through data collection, such as surveys</w:t>
      </w:r>
      <w:r w:rsidRPr="00801DEC">
        <w:t>? (Y/N)</w:t>
      </w:r>
    </w:p>
    <w:p w:rsidR="00B91CAE" w:rsidP="00B91CAE" w:rsidRDefault="00B91CAE" w14:paraId="3F423FCC" w14:textId="77777777">
      <w:pPr>
        <w:pStyle w:val="ListParagraph"/>
        <w:ind w:left="900"/>
      </w:pPr>
    </w:p>
    <w:p w:rsidRPr="00B91CAE" w:rsidR="001E747C" w:rsidP="00B91CAE" w:rsidRDefault="00B91CAE" w14:paraId="3ED938BD" w14:textId="7805D55F">
      <w:pPr>
        <w:spacing w:after="0"/>
        <w:ind w:firstLine="360"/>
        <w:rPr>
          <w:b/>
          <w:bCs/>
          <w:u w:val="single"/>
        </w:rPr>
      </w:pPr>
      <w:bookmarkStart w:name="_Hlk98163011" w:id="9"/>
      <w:r w:rsidRPr="00B91CAE">
        <w:rPr>
          <w:b/>
          <w:bCs/>
          <w:u w:val="single"/>
        </w:rPr>
        <w:t xml:space="preserve">Project Use Code </w:t>
      </w:r>
      <w:r w:rsidRPr="00B91CAE" w:rsidR="0098067F">
        <w:rPr>
          <w:b/>
          <w:bCs/>
          <w:u w:val="single"/>
        </w:rPr>
        <w:t>1C</w:t>
      </w:r>
      <w:r w:rsidRPr="00B91CAE">
        <w:rPr>
          <w:b/>
          <w:bCs/>
          <w:u w:val="single"/>
        </w:rPr>
        <w:t xml:space="preserve"> – </w:t>
      </w:r>
      <w:r w:rsidRPr="00B91CAE" w:rsidR="001E747C">
        <w:rPr>
          <w:b/>
          <w:bCs/>
          <w:u w:val="single"/>
        </w:rPr>
        <w:t>Multi-Purpose Community Facility Projects</w:t>
      </w:r>
    </w:p>
    <w:bookmarkEnd w:id="9"/>
    <w:p w:rsidR="001E747C" w:rsidP="00B91CAE" w:rsidRDefault="006A0663" w14:paraId="2E6278D0" w14:textId="4773382B">
      <w:pPr>
        <w:pStyle w:val="ListParagraph"/>
        <w:numPr>
          <w:ilvl w:val="0"/>
          <w:numId w:val="102"/>
        </w:numPr>
        <w:ind w:left="900"/>
      </w:pPr>
      <w:r>
        <w:lastRenderedPageBreak/>
        <w:t>Physical a</w:t>
      </w:r>
      <w:r w:rsidR="001E747C">
        <w:t>ddress</w:t>
      </w:r>
      <w:r w:rsidRPr="00801DEC" w:rsidR="001E747C">
        <w:t xml:space="preserve"> </w:t>
      </w:r>
      <w:r w:rsidR="00264655">
        <w:t xml:space="preserve">of </w:t>
      </w:r>
      <w:r w:rsidR="0008085B">
        <w:t>each</w:t>
      </w:r>
      <w:r w:rsidR="00264655">
        <w:t xml:space="preserve"> Multi-Purpose Community Facility</w:t>
      </w:r>
      <w:r w:rsidR="00437F2D">
        <w:t xml:space="preserve"> funded by the Project</w:t>
      </w:r>
      <w:r w:rsidR="00264655">
        <w:t xml:space="preserve"> </w:t>
      </w:r>
      <w:r w:rsidRPr="00801DEC" w:rsidR="001E747C">
        <w:t>(Planned/Actual)</w:t>
      </w:r>
    </w:p>
    <w:p w:rsidR="001E747C" w:rsidP="00B91CAE" w:rsidRDefault="00971945" w14:paraId="12C1885A" w14:textId="2EFF8A12">
      <w:pPr>
        <w:pStyle w:val="ListParagraph"/>
        <w:numPr>
          <w:ilvl w:val="0"/>
          <w:numId w:val="102"/>
        </w:numPr>
        <w:ind w:left="900"/>
      </w:pPr>
      <w:r>
        <w:t xml:space="preserve">Investment </w:t>
      </w:r>
      <w:r w:rsidR="0008085B">
        <w:t>t</w:t>
      </w:r>
      <w:r>
        <w:t>ype</w:t>
      </w:r>
    </w:p>
    <w:p w:rsidR="001E747C" w:rsidP="00B91CAE" w:rsidRDefault="001E747C" w14:paraId="25988E6F" w14:textId="7A5BF9DA">
      <w:pPr>
        <w:pStyle w:val="ListParagraph"/>
        <w:numPr>
          <w:ilvl w:val="2"/>
          <w:numId w:val="103"/>
        </w:numPr>
        <w:ind w:left="1440"/>
      </w:pPr>
      <w:r w:rsidRPr="00801DEC">
        <w:t xml:space="preserve">New </w:t>
      </w:r>
      <w:r w:rsidR="0008085B">
        <w:t>c</w:t>
      </w:r>
      <w:r w:rsidRPr="00801DEC">
        <w:t>onstruction</w:t>
      </w:r>
      <w:r w:rsidR="00A600E2">
        <w:t>, to include acquisition of property for development</w:t>
      </w:r>
    </w:p>
    <w:p w:rsidR="001E747C" w:rsidP="00B91CAE" w:rsidRDefault="001E747C" w14:paraId="689CF277" w14:textId="4F8B4D35">
      <w:pPr>
        <w:pStyle w:val="ListParagraph"/>
        <w:numPr>
          <w:ilvl w:val="2"/>
          <w:numId w:val="103"/>
        </w:numPr>
        <w:ind w:left="1440"/>
      </w:pPr>
      <w:r w:rsidRPr="00801DEC">
        <w:t>Renovation/</w:t>
      </w:r>
      <w:r w:rsidR="0008085B">
        <w:t>e</w:t>
      </w:r>
      <w:r w:rsidRPr="00801DEC">
        <w:t xml:space="preserve">xpansion of </w:t>
      </w:r>
      <w:r w:rsidR="0008085B">
        <w:t>e</w:t>
      </w:r>
      <w:r w:rsidRPr="00801DEC">
        <w:t xml:space="preserve">xisting </w:t>
      </w:r>
      <w:r w:rsidR="0008085B">
        <w:t>s</w:t>
      </w:r>
      <w:r w:rsidRPr="00801DEC">
        <w:t>tructure</w:t>
      </w:r>
      <w:r w:rsidR="00A600E2">
        <w:t>, to include acquisition of existing structures for renovation/expansion</w:t>
      </w:r>
    </w:p>
    <w:p w:rsidRPr="006255AF" w:rsidR="001E747C" w:rsidP="00B91CAE" w:rsidRDefault="001E747C" w14:paraId="680EBDA2" w14:textId="61DBFDAD">
      <w:pPr>
        <w:pStyle w:val="ListParagraph"/>
        <w:numPr>
          <w:ilvl w:val="0"/>
          <w:numId w:val="102"/>
        </w:numPr>
        <w:ind w:left="900"/>
      </w:pPr>
      <w:r w:rsidRPr="00801DEC">
        <w:t xml:space="preserve">Type and number of features </w:t>
      </w:r>
      <w:r w:rsidR="00971945">
        <w:t>in t</w:t>
      </w:r>
      <w:r w:rsidRPr="00801DEC">
        <w:t xml:space="preserve">he </w:t>
      </w:r>
      <w:r w:rsidR="0008085B">
        <w:t>Multi-Purpose Community Facility</w:t>
      </w:r>
      <w:r w:rsidR="00971945">
        <w:t xml:space="preserve"> </w:t>
      </w:r>
      <w:r w:rsidRPr="00801DEC">
        <w:t>(Planned/Actual):</w:t>
      </w:r>
    </w:p>
    <w:p w:rsidR="001E747C" w:rsidP="00B91CAE" w:rsidRDefault="001E747C" w14:paraId="188DDA1A" w14:textId="77777777">
      <w:pPr>
        <w:pStyle w:val="ListParagraph"/>
        <w:numPr>
          <w:ilvl w:val="1"/>
          <w:numId w:val="102"/>
        </w:numPr>
      </w:pPr>
      <w:r w:rsidRPr="00801DEC">
        <w:t>Classroom</w:t>
      </w:r>
    </w:p>
    <w:p w:rsidR="001E747C" w:rsidP="00B91CAE" w:rsidRDefault="001E747C" w14:paraId="14F4E0A7" w14:textId="6182F7C2">
      <w:pPr>
        <w:pStyle w:val="ListParagraph"/>
        <w:numPr>
          <w:ilvl w:val="1"/>
          <w:numId w:val="102"/>
        </w:numPr>
      </w:pPr>
      <w:r w:rsidRPr="00801DEC">
        <w:t xml:space="preserve">Computer </w:t>
      </w:r>
      <w:r w:rsidR="00437F2D">
        <w:t>L</w:t>
      </w:r>
      <w:r w:rsidRPr="00801DEC">
        <w:t>ab</w:t>
      </w:r>
    </w:p>
    <w:p w:rsidR="001E747C" w:rsidP="00B91CAE" w:rsidRDefault="001E747C" w14:paraId="115B2BE8" w14:textId="79153C7C">
      <w:pPr>
        <w:pStyle w:val="ListParagraph"/>
        <w:numPr>
          <w:ilvl w:val="1"/>
          <w:numId w:val="102"/>
        </w:numPr>
      </w:pPr>
      <w:r w:rsidRPr="00801DEC">
        <w:t xml:space="preserve">Multi-purpose </w:t>
      </w:r>
      <w:r w:rsidR="00437F2D">
        <w:t>S</w:t>
      </w:r>
      <w:r w:rsidRPr="00801DEC">
        <w:t>pace</w:t>
      </w:r>
    </w:p>
    <w:p w:rsidR="001E747C" w:rsidP="00B91CAE" w:rsidRDefault="001E747C" w14:paraId="71B01076" w14:textId="7836FD49">
      <w:pPr>
        <w:pStyle w:val="ListParagraph"/>
        <w:numPr>
          <w:ilvl w:val="1"/>
          <w:numId w:val="102"/>
        </w:numPr>
      </w:pPr>
      <w:r w:rsidRPr="00801DEC">
        <w:t xml:space="preserve">Telemedicine </w:t>
      </w:r>
      <w:r w:rsidR="00437F2D">
        <w:t>R</w:t>
      </w:r>
      <w:r w:rsidRPr="00801DEC">
        <w:t>oom</w:t>
      </w:r>
    </w:p>
    <w:p w:rsidRPr="006255AF" w:rsidR="001E747C" w:rsidP="00B91CAE" w:rsidRDefault="001E747C" w14:paraId="0A746D04" w14:textId="6BCA67F0">
      <w:pPr>
        <w:pStyle w:val="ListParagraph"/>
        <w:numPr>
          <w:ilvl w:val="1"/>
          <w:numId w:val="102"/>
        </w:numPr>
      </w:pPr>
      <w:r w:rsidRPr="00801DEC">
        <w:t>Other</w:t>
      </w:r>
      <w:r w:rsidR="00971945">
        <w:t xml:space="preserve"> (with explanation)</w:t>
      </w:r>
    </w:p>
    <w:p w:rsidR="001E747C" w:rsidP="00B91CAE" w:rsidRDefault="001E747C" w14:paraId="2F86E688" w14:textId="245C22BA">
      <w:pPr>
        <w:pStyle w:val="ListParagraph"/>
        <w:numPr>
          <w:ilvl w:val="0"/>
          <w:numId w:val="102"/>
        </w:numPr>
        <w:ind w:left="900"/>
      </w:pPr>
      <w:r w:rsidRPr="00801DEC">
        <w:t xml:space="preserve">Total square footage </w:t>
      </w:r>
      <w:r>
        <w:t>funded by CPF dollars</w:t>
      </w:r>
      <w:r w:rsidRPr="00801DEC">
        <w:t xml:space="preserve"> (Planned/Actual)</w:t>
      </w:r>
    </w:p>
    <w:p w:rsidR="00054736" w:rsidP="00054736" w:rsidRDefault="00054736" w14:paraId="7AA5ED0A" w14:textId="36267C03">
      <w:pPr>
        <w:pStyle w:val="ListParagraph"/>
        <w:numPr>
          <w:ilvl w:val="0"/>
          <w:numId w:val="102"/>
        </w:numPr>
        <w:ind w:left="900"/>
      </w:pPr>
      <w:bookmarkStart w:name="_Hlk98163023" w:id="10"/>
      <w:r w:rsidRPr="00801DEC">
        <w:t xml:space="preserve">Total number of individuals </w:t>
      </w:r>
      <w:r w:rsidR="000125C2">
        <w:t>using</w:t>
      </w:r>
      <w:r w:rsidRPr="00801DEC" w:rsidR="000125C2">
        <w:t xml:space="preserve"> </w:t>
      </w:r>
      <w:r w:rsidRPr="00801DEC">
        <w:t>the capital asset (Actual)</w:t>
      </w:r>
    </w:p>
    <w:bookmarkEnd w:id="10"/>
    <w:p w:rsidR="00362479" w:rsidP="002916D0" w:rsidRDefault="00054736" w14:paraId="26585302" w14:textId="64978406">
      <w:pPr>
        <w:pStyle w:val="ListParagraph"/>
        <w:numPr>
          <w:ilvl w:val="0"/>
          <w:numId w:val="102"/>
        </w:numPr>
        <w:ind w:left="900"/>
      </w:pPr>
      <w:r>
        <w:t>Does</w:t>
      </w:r>
      <w:r w:rsidR="00B91CAE">
        <w:t xml:space="preserve"> the Multi-Purpose Community Facility have proximate access to public transportation? (Y/N)</w:t>
      </w:r>
      <w:r w:rsidRPr="00392848" w:rsidR="00B91CAE">
        <w:t xml:space="preserve"> </w:t>
      </w:r>
      <w:r w:rsidR="000B290D">
        <w:t xml:space="preserve"> </w:t>
      </w:r>
    </w:p>
    <w:p w:rsidR="00873B18" w:rsidP="001374E7" w:rsidRDefault="002916D0" w14:paraId="274CF346" w14:textId="2EB8AF6B">
      <w:pPr>
        <w:ind w:left="360"/>
        <w:rPr>
          <w:rFonts w:ascii="Arial" w:hAnsi="Arial" w:eastAsia="Arial" w:cs="Arial"/>
        </w:rPr>
      </w:pPr>
      <w:r>
        <w:rPr>
          <w:b/>
          <w:bCs/>
          <w:u w:val="single"/>
        </w:rPr>
        <w:br/>
      </w:r>
      <w:r w:rsidRPr="00B91CAE" w:rsidR="00B91CAE">
        <w:rPr>
          <w:b/>
          <w:bCs/>
          <w:u w:val="single"/>
        </w:rPr>
        <w:t xml:space="preserve">Project Use Code 2 – </w:t>
      </w:r>
      <w:r w:rsidRPr="00B91CAE" w:rsidR="00D70072">
        <w:rPr>
          <w:b/>
          <w:bCs/>
          <w:u w:val="single"/>
        </w:rPr>
        <w:t>Case-by-</w:t>
      </w:r>
      <w:r w:rsidRPr="00B91CAE" w:rsidR="002E2E2C">
        <w:rPr>
          <w:b/>
          <w:bCs/>
          <w:u w:val="single"/>
        </w:rPr>
        <w:t>C</w:t>
      </w:r>
      <w:r w:rsidRPr="00B91CAE" w:rsidR="00D70072">
        <w:rPr>
          <w:b/>
          <w:bCs/>
          <w:u w:val="single"/>
        </w:rPr>
        <w:t>ase</w:t>
      </w:r>
      <w:r w:rsidRPr="00B91CAE" w:rsidR="0023570F">
        <w:rPr>
          <w:b/>
          <w:bCs/>
          <w:u w:val="single"/>
        </w:rPr>
        <w:t xml:space="preserve"> Review</w:t>
      </w:r>
      <w:r w:rsidR="00B91CAE">
        <w:rPr>
          <w:b/>
          <w:bCs/>
          <w:u w:val="single"/>
        </w:rPr>
        <w:t>s</w:t>
      </w:r>
      <w:r w:rsidRPr="00B91CAE" w:rsidR="00D70072">
        <w:rPr>
          <w:b/>
          <w:bCs/>
          <w:u w:val="single"/>
        </w:rPr>
        <w:t xml:space="preserve"> </w:t>
      </w:r>
      <w:r w:rsidR="00B91CAE">
        <w:rPr>
          <w:b/>
          <w:bCs/>
          <w:u w:val="single"/>
        </w:rPr>
        <w:br/>
      </w:r>
      <w:r w:rsidR="000125C2">
        <w:t xml:space="preserve">For Program Plans submitted for Case-by-Case Review, </w:t>
      </w:r>
      <w:r w:rsidRPr="00421D86" w:rsidR="009473A0">
        <w:t xml:space="preserve">Treasury will work with </w:t>
      </w:r>
      <w:r w:rsidR="000125C2">
        <w:t>the R</w:t>
      </w:r>
      <w:r w:rsidRPr="00421D86" w:rsidR="000125C2">
        <w:t>ecipient</w:t>
      </w:r>
      <w:r w:rsidR="000125C2">
        <w:t xml:space="preserve"> </w:t>
      </w:r>
      <w:r w:rsidRPr="00421D86" w:rsidR="009473A0">
        <w:t>to develop metrics and performance measures</w:t>
      </w:r>
      <w:r w:rsidR="0098067F">
        <w:t xml:space="preserve"> for the Program Plan and </w:t>
      </w:r>
      <w:r w:rsidR="000125C2">
        <w:t xml:space="preserve">associated </w:t>
      </w:r>
      <w:r w:rsidR="0098067F">
        <w:t>Projects</w:t>
      </w:r>
      <w:r w:rsidRPr="00421D86" w:rsidR="009473A0">
        <w:t xml:space="preserve">. </w:t>
      </w:r>
      <w:r w:rsidR="0096543D">
        <w:t xml:space="preserve"> </w:t>
      </w:r>
      <w:r w:rsidR="007573E3">
        <w:t>As one component of</w:t>
      </w:r>
      <w:r w:rsidR="0098067F">
        <w:t xml:space="preserve"> their submission, </w:t>
      </w:r>
      <w:r w:rsidRPr="00421D86" w:rsidR="009473A0">
        <w:t xml:space="preserve">Recipients will be asked to </w:t>
      </w:r>
      <w:r w:rsidR="007573E3">
        <w:t>provide proposed</w:t>
      </w:r>
      <w:r w:rsidRPr="00421D86" w:rsidR="009473A0">
        <w:t xml:space="preserve"> metrics and performance measure</w:t>
      </w:r>
      <w:r w:rsidR="00437F2D">
        <w:t>s</w:t>
      </w:r>
      <w:r w:rsidRPr="00421D86" w:rsidR="009473A0">
        <w:t xml:space="preserve"> for review by Treasury</w:t>
      </w:r>
      <w:r w:rsidRPr="0ABA2A8C" w:rsidR="00202CC0">
        <w:t xml:space="preserve">.  </w:t>
      </w:r>
      <w:r w:rsidRPr="00421D86" w:rsidR="009473A0">
        <w:rPr>
          <w:rFonts w:ascii="Arial" w:hAnsi="Arial" w:eastAsia="Arial" w:cs="Arial"/>
        </w:rPr>
        <w:t xml:space="preserve">Performance indicators </w:t>
      </w:r>
      <w:r w:rsidR="000125C2">
        <w:rPr>
          <w:rFonts w:ascii="Arial" w:hAnsi="Arial" w:eastAsia="Arial" w:cs="Arial"/>
        </w:rPr>
        <w:t xml:space="preserve">proposed </w:t>
      </w:r>
      <w:r w:rsidRPr="00421D86" w:rsidR="009473A0">
        <w:rPr>
          <w:rFonts w:ascii="Arial" w:hAnsi="Arial" w:eastAsia="Arial" w:cs="Arial"/>
        </w:rPr>
        <w:t xml:space="preserve">should include both output and outcome measures. </w:t>
      </w:r>
      <w:r w:rsidR="0098067F">
        <w:rPr>
          <w:rFonts w:ascii="Arial" w:hAnsi="Arial" w:eastAsia="Arial" w:cs="Arial"/>
        </w:rPr>
        <w:t xml:space="preserve"> </w:t>
      </w:r>
      <w:r w:rsidR="00437F2D">
        <w:rPr>
          <w:rFonts w:ascii="Arial" w:hAnsi="Arial" w:eastAsia="Arial" w:cs="Arial"/>
        </w:rPr>
        <w:t xml:space="preserve"> </w:t>
      </w:r>
      <w:r w:rsidRPr="00421D86" w:rsidR="009473A0">
        <w:rPr>
          <w:rFonts w:ascii="Arial" w:hAnsi="Arial" w:eastAsia="Arial" w:cs="Arial"/>
        </w:rPr>
        <w:t>Recipients are encouraged to use logic models</w:t>
      </w:r>
      <w:r w:rsidR="009473A0">
        <w:rPr>
          <w:rStyle w:val="FootnoteReference"/>
          <w:rFonts w:ascii="Arial" w:hAnsi="Arial" w:eastAsia="Arial" w:cs="Arial"/>
        </w:rPr>
        <w:footnoteReference w:id="6"/>
      </w:r>
      <w:r w:rsidRPr="00421D86" w:rsidR="009473A0">
        <w:rPr>
          <w:rFonts w:ascii="Arial" w:hAnsi="Arial" w:eastAsia="Arial" w:cs="Arial"/>
        </w:rPr>
        <w:t xml:space="preserve"> to identify their output and outcome measures. </w:t>
      </w:r>
      <w:r w:rsidR="0096543D">
        <w:rPr>
          <w:rFonts w:ascii="Arial" w:hAnsi="Arial" w:eastAsia="Arial" w:cs="Arial"/>
        </w:rPr>
        <w:t xml:space="preserve"> </w:t>
      </w:r>
      <w:r w:rsidR="00B91CAE">
        <w:rPr>
          <w:rFonts w:ascii="Arial" w:hAnsi="Arial" w:eastAsia="Arial" w:cs="Arial"/>
        </w:rPr>
        <w:t>All proposed metrics and measures are subject to final review and approval by Treasury.</w:t>
      </w:r>
    </w:p>
    <w:p w:rsidR="001374E7" w:rsidRDefault="001374E7" w14:paraId="4E84B320" w14:textId="374A5311">
      <w:pPr>
        <w:rPr>
          <w:b/>
          <w:bCs/>
          <w:u w:val="single"/>
        </w:rPr>
      </w:pPr>
      <w:r>
        <w:rPr>
          <w:b/>
          <w:bCs/>
          <w:u w:val="single"/>
        </w:rPr>
        <w:br w:type="page"/>
      </w:r>
    </w:p>
    <w:p w:rsidR="00FC70DE" w:rsidP="00C6727B" w:rsidRDefault="00FC70DE" w14:paraId="39DAC67C" w14:textId="49E8EA3D">
      <w:pPr>
        <w:pStyle w:val="Subtitle"/>
        <w:numPr>
          <w:ilvl w:val="0"/>
          <w:numId w:val="71"/>
        </w:numPr>
      </w:pPr>
      <w:bookmarkStart w:name="_Toc102719955" w:id="11"/>
      <w:r w:rsidRPr="00143959">
        <w:lastRenderedPageBreak/>
        <w:t>Performance Report</w:t>
      </w:r>
      <w:bookmarkEnd w:id="11"/>
      <w:r w:rsidRPr="00143959" w:rsidR="001F5E29">
        <w:tab/>
      </w:r>
    </w:p>
    <w:p w:rsidR="00FC70DE" w:rsidP="00C6727B" w:rsidRDefault="00FC70DE" w14:paraId="18FD52D9" w14:textId="4587E6E2">
      <w:pPr>
        <w:pStyle w:val="NoSpacing"/>
      </w:pPr>
      <w:r>
        <w:t xml:space="preserve">All </w:t>
      </w:r>
      <w:r w:rsidR="003C2181">
        <w:t>Recipient</w:t>
      </w:r>
      <w:r>
        <w:t xml:space="preserve">s </w:t>
      </w:r>
      <w:r w:rsidR="006A0663">
        <w:t>must</w:t>
      </w:r>
      <w:r>
        <w:t xml:space="preserve"> submit </w:t>
      </w:r>
      <w:r w:rsidRPr="00E617B1">
        <w:t>Performance Reports</w:t>
      </w:r>
      <w:r>
        <w:t xml:space="preserve"> </w:t>
      </w:r>
      <w:r w:rsidR="006A0663">
        <w:t>that</w:t>
      </w:r>
      <w:r w:rsidRPr="00E617B1">
        <w:t xml:space="preserve"> demonstra</w:t>
      </w:r>
      <w:r>
        <w:t>te</w:t>
      </w:r>
      <w:r w:rsidRPr="00E617B1">
        <w:t xml:space="preserve"> the </w:t>
      </w:r>
      <w:r w:rsidR="0066551A">
        <w:t>performance</w:t>
      </w:r>
      <w:r w:rsidRPr="00E617B1" w:rsidR="0066551A">
        <w:t xml:space="preserve"> </w:t>
      </w:r>
      <w:r w:rsidRPr="00E617B1">
        <w:t>of C</w:t>
      </w:r>
      <w:r w:rsidR="00583439">
        <w:t>PF</w:t>
      </w:r>
      <w:r w:rsidRPr="00E617B1">
        <w:t>-</w:t>
      </w:r>
      <w:r w:rsidR="00AF7C27">
        <w:t>funded</w:t>
      </w:r>
      <w:r w:rsidRPr="00E617B1" w:rsidR="00AF7C27">
        <w:t xml:space="preserve"> </w:t>
      </w:r>
      <w:r w:rsidR="00A74C62">
        <w:t>Program</w:t>
      </w:r>
      <w:r w:rsidRPr="00E617B1">
        <w:t>s</w:t>
      </w:r>
      <w:r w:rsidRPr="00E617B1" w:rsidR="00526669">
        <w:t xml:space="preserve">.  </w:t>
      </w:r>
      <w:r w:rsidR="00F71BEF">
        <w:t xml:space="preserve">While the Project and Expenditure Report focuses on project-level information </w:t>
      </w:r>
      <w:r w:rsidR="00254B36">
        <w:t>associated with approved</w:t>
      </w:r>
      <w:r w:rsidR="00F71BEF">
        <w:t xml:space="preserve"> CPF </w:t>
      </w:r>
      <w:r w:rsidR="00A74C62">
        <w:t>Program</w:t>
      </w:r>
      <w:r w:rsidR="00F71BEF">
        <w:t xml:space="preserve">s, the Performance Report will provide information related to program outputs and outcomes </w:t>
      </w:r>
      <w:r w:rsidRPr="00E617B1">
        <w:t>against the stated objectives</w:t>
      </w:r>
      <w:r w:rsidRPr="00E617B1" w:rsidDel="00E03162">
        <w:t xml:space="preserve"> </w:t>
      </w:r>
      <w:r w:rsidR="008E3082">
        <w:t xml:space="preserve">in the </w:t>
      </w:r>
      <w:r w:rsidR="00F71BEF">
        <w:t xml:space="preserve">approved </w:t>
      </w:r>
      <w:r w:rsidR="008B63EB">
        <w:t>Program</w:t>
      </w:r>
      <w:r w:rsidRPr="00E617B1">
        <w:t xml:space="preserve"> Plan</w:t>
      </w:r>
      <w:r w:rsidR="00F71BEF">
        <w:t>(s)</w:t>
      </w:r>
      <w:r w:rsidRPr="00E617B1">
        <w:t xml:space="preserve">. </w:t>
      </w:r>
      <w:r w:rsidR="00CF06AC">
        <w:t xml:space="preserve"> </w:t>
      </w:r>
      <w:r w:rsidR="004B7964">
        <w:t xml:space="preserve">Recipients </w:t>
      </w:r>
      <w:r w:rsidR="006A0663">
        <w:t>must</w:t>
      </w:r>
      <w:r w:rsidR="004B7964">
        <w:t xml:space="preserve"> submit </w:t>
      </w:r>
      <w:r w:rsidR="000125C2">
        <w:t xml:space="preserve">a </w:t>
      </w:r>
      <w:r w:rsidR="004B7964">
        <w:t xml:space="preserve">Performance Report </w:t>
      </w:r>
      <w:r w:rsidR="000125C2">
        <w:t>for</w:t>
      </w:r>
      <w:r w:rsidR="006A0663">
        <w:t xml:space="preserve"> each </w:t>
      </w:r>
      <w:r w:rsidR="004B7964">
        <w:t>approved Program Plan</w:t>
      </w:r>
      <w:r w:rsidR="00E55D66">
        <w:t xml:space="preserve"> according to the schedule outlined in </w:t>
      </w:r>
      <w:r w:rsidRPr="00E55D66" w:rsidR="00E55D66">
        <w:rPr>
          <w:b/>
          <w:bCs/>
        </w:rPr>
        <w:t>Table 1</w:t>
      </w:r>
      <w:r w:rsidR="004B7964">
        <w:t>.</w:t>
      </w:r>
    </w:p>
    <w:p w:rsidR="00EA0535" w:rsidP="00C6727B" w:rsidRDefault="00EA0535" w14:paraId="5BAF44B1" w14:textId="134706D5">
      <w:pPr>
        <w:pStyle w:val="NoSpacing"/>
      </w:pPr>
    </w:p>
    <w:p w:rsidR="00EA0535" w:rsidP="00C6727B" w:rsidRDefault="00EA0535" w14:paraId="19BD6E8E" w14:textId="0F1509C9">
      <w:pPr>
        <w:pStyle w:val="NoSpacing"/>
      </w:pPr>
      <w:r>
        <w:t xml:space="preserve">Performance Reports are due 30 </w:t>
      </w:r>
      <w:r w:rsidR="00007CCC">
        <w:t xml:space="preserve">calendar </w:t>
      </w:r>
      <w:r>
        <w:t xml:space="preserve">days after the end date of the reporting period, except for the final report, which is due 120 </w:t>
      </w:r>
      <w:r w:rsidR="00007CCC">
        <w:t xml:space="preserve">calendar </w:t>
      </w:r>
      <w:r>
        <w:t>days after the end of the period of performance.</w:t>
      </w:r>
      <w:r>
        <w:rPr>
          <w:rStyle w:val="FootnoteReference"/>
        </w:rPr>
        <w:footnoteReference w:id="7"/>
      </w:r>
    </w:p>
    <w:p w:rsidR="00275733" w:rsidP="008F07E0" w:rsidRDefault="00275733" w14:paraId="694C8A65" w14:textId="77777777">
      <w:pPr>
        <w:pStyle w:val="NoSpacing"/>
      </w:pPr>
    </w:p>
    <w:p w:rsidR="0099246A" w:rsidRDefault="009863EC" w14:paraId="7CD3102F" w14:textId="160B273D">
      <w:pPr>
        <w:pStyle w:val="NoSpacing"/>
      </w:pPr>
      <w:r>
        <w:t>Recipients must post e</w:t>
      </w:r>
      <w:r w:rsidR="00FC70DE">
        <w:t xml:space="preserve">ach Performance Report </w:t>
      </w:r>
      <w:r w:rsidR="008A4631">
        <w:t xml:space="preserve">on </w:t>
      </w:r>
      <w:r w:rsidR="00FC70DE">
        <w:t>the</w:t>
      </w:r>
      <w:r>
        <w:t>ir</w:t>
      </w:r>
      <w:r w:rsidR="00FC70DE">
        <w:t xml:space="preserve"> public-facing website </w:t>
      </w:r>
      <w:r w:rsidR="008E3082">
        <w:t xml:space="preserve">before </w:t>
      </w:r>
      <w:r w:rsidR="00FC70DE">
        <w:t>submit</w:t>
      </w:r>
      <w:r>
        <w:t>ting</w:t>
      </w:r>
      <w:r w:rsidR="00FC70DE">
        <w:t xml:space="preserve"> the report to Treasury</w:t>
      </w:r>
      <w:r w:rsidR="00A600E2">
        <w:t>, and the report must continue to be available on the Recipient’s website for a period of not less than five years</w:t>
      </w:r>
      <w:r w:rsidRPr="5A7857B1" w:rsidR="00FC70DE">
        <w:t xml:space="preserve">.  </w:t>
      </w:r>
      <w:r w:rsidR="004C40C4">
        <w:t xml:space="preserve">This reporting requirement includes uploading a link to the publicly available </w:t>
      </w:r>
      <w:r w:rsidR="00217310">
        <w:t xml:space="preserve">Performance Report </w:t>
      </w:r>
      <w:r w:rsidR="004C40C4">
        <w:t xml:space="preserve">document along with </w:t>
      </w:r>
      <w:r w:rsidR="000125C2">
        <w:t xml:space="preserve">submitting the report using </w:t>
      </w:r>
      <w:r w:rsidR="004C40C4">
        <w:t xml:space="preserve">the Treasury </w:t>
      </w:r>
      <w:r w:rsidR="000125C2">
        <w:t>Reporting Portal</w:t>
      </w:r>
      <w:r w:rsidR="004C40C4">
        <w:t xml:space="preserve">. </w:t>
      </w:r>
    </w:p>
    <w:p w:rsidR="0099246A" w:rsidRDefault="0099246A" w14:paraId="2F835057" w14:textId="77777777">
      <w:pPr>
        <w:pStyle w:val="NoSpacing"/>
      </w:pPr>
    </w:p>
    <w:p w:rsidR="000125C2" w:rsidP="00C6727B" w:rsidRDefault="0099246A" w14:paraId="0B3F2582" w14:textId="7A27A852">
      <w:pPr>
        <w:pStyle w:val="NoSpacing"/>
      </w:pPr>
      <w:r>
        <w:t xml:space="preserve">Treasury will provide a recommended </w:t>
      </w:r>
      <w:r w:rsidR="005B482B">
        <w:t>template</w:t>
      </w:r>
      <w:r w:rsidR="003C3D02">
        <w:t xml:space="preserve"> for Performance Reports</w:t>
      </w:r>
      <w:r w:rsidR="000125C2">
        <w:t xml:space="preserve"> in </w:t>
      </w:r>
      <w:r w:rsidR="00685760">
        <w:t xml:space="preserve">a </w:t>
      </w:r>
      <w:r w:rsidR="000125C2">
        <w:t>forthcoming user guide</w:t>
      </w:r>
      <w:r w:rsidR="0022532A">
        <w:t>, but</w:t>
      </w:r>
      <w:r>
        <w:t xml:space="preserve"> </w:t>
      </w:r>
      <w:r w:rsidR="003C3D02">
        <w:t>R</w:t>
      </w:r>
      <w:r>
        <w:t xml:space="preserve">ecipients may modify this template </w:t>
      </w:r>
      <w:proofErr w:type="gramStart"/>
      <w:r>
        <w:t>as long as</w:t>
      </w:r>
      <w:proofErr w:type="gramEnd"/>
      <w:r>
        <w:t xml:space="preserve"> the submission meets the requirements outlined in this section.</w:t>
      </w:r>
      <w:r w:rsidR="00CF06AC">
        <w:t xml:space="preserve"> </w:t>
      </w:r>
      <w:r>
        <w:t xml:space="preserve"> </w:t>
      </w:r>
    </w:p>
    <w:p w:rsidR="000125C2" w:rsidP="00C6727B" w:rsidRDefault="000125C2" w14:paraId="48752660" w14:textId="07A93A11">
      <w:pPr>
        <w:pStyle w:val="NoSpacing"/>
      </w:pPr>
    </w:p>
    <w:p w:rsidR="00437F2D" w:rsidP="00C6727B" w:rsidRDefault="00437F2D" w14:paraId="02255075" w14:textId="025B87F8">
      <w:pPr>
        <w:pStyle w:val="NoSpacing"/>
      </w:pPr>
      <w:r>
        <w:t>More information about how to submit Performance Reports will be shared in the user guide.</w:t>
      </w:r>
    </w:p>
    <w:p w:rsidR="00437F2D" w:rsidP="00C6727B" w:rsidRDefault="00437F2D" w14:paraId="1BAFBFDD" w14:textId="77777777">
      <w:pPr>
        <w:pStyle w:val="NoSpacing"/>
      </w:pPr>
    </w:p>
    <w:p w:rsidR="00FC70DE" w:rsidP="00C6727B" w:rsidRDefault="00FC70DE" w14:paraId="3BA4C9DA" w14:textId="2A40D6D2">
      <w:pPr>
        <w:pStyle w:val="NoSpacing"/>
      </w:pPr>
      <w:r>
        <w:t xml:space="preserve">The Performance Report </w:t>
      </w:r>
      <w:r w:rsidR="008E3082">
        <w:t xml:space="preserve">should </w:t>
      </w:r>
      <w:r>
        <w:t>include, at a minimum, the following information</w:t>
      </w:r>
      <w:r w:rsidR="009473A0">
        <w:t xml:space="preserve"> </w:t>
      </w:r>
      <w:r w:rsidRPr="00C6727B" w:rsidR="009473A0">
        <w:t>for each Program Plan</w:t>
      </w:r>
      <w:r w:rsidR="000125C2">
        <w:t xml:space="preserve"> that has been</w:t>
      </w:r>
      <w:r w:rsidRPr="00C6727B" w:rsidR="009473A0">
        <w:t xml:space="preserve"> </w:t>
      </w:r>
      <w:r w:rsidRPr="00C6727B" w:rsidR="00F71BEF">
        <w:t>a</w:t>
      </w:r>
      <w:r w:rsidRPr="00C6727B" w:rsidR="009473A0">
        <w:t>pproved by Treasury</w:t>
      </w:r>
      <w:r>
        <w:t xml:space="preserve">: </w:t>
      </w:r>
    </w:p>
    <w:p w:rsidR="00FC70DE" w:rsidP="008F07E0" w:rsidRDefault="00FC70DE" w14:paraId="3BE08264" w14:textId="77777777">
      <w:pPr>
        <w:spacing w:after="0" w:line="240" w:lineRule="auto"/>
        <w:rPr>
          <w:b/>
          <w:bCs/>
        </w:rPr>
      </w:pPr>
    </w:p>
    <w:p w:rsidR="003C0DF4" w:rsidP="008F07E0" w:rsidRDefault="003C0DF4" w14:paraId="45B8C3A6" w14:textId="6358D63B">
      <w:pPr>
        <w:pStyle w:val="ListParagraph"/>
        <w:numPr>
          <w:ilvl w:val="0"/>
          <w:numId w:val="14"/>
        </w:numPr>
        <w:spacing w:after="0" w:line="240" w:lineRule="auto"/>
        <w:rPr>
          <w:b/>
          <w:bCs/>
        </w:rPr>
      </w:pPr>
      <w:r>
        <w:rPr>
          <w:b/>
          <w:bCs/>
        </w:rPr>
        <w:t>Program</w:t>
      </w:r>
      <w:r w:rsidR="00A627FC">
        <w:rPr>
          <w:b/>
          <w:bCs/>
        </w:rPr>
        <w:t xml:space="preserve"> Information</w:t>
      </w:r>
      <w:r>
        <w:rPr>
          <w:b/>
          <w:bCs/>
        </w:rPr>
        <w:t xml:space="preserve"> </w:t>
      </w:r>
    </w:p>
    <w:p w:rsidRPr="00C2661D" w:rsidR="00E8255F" w:rsidP="00C2661D" w:rsidRDefault="00E8255F" w14:paraId="578B571B" w14:textId="38952772">
      <w:pPr>
        <w:pStyle w:val="ListParagraph"/>
        <w:numPr>
          <w:ilvl w:val="0"/>
          <w:numId w:val="15"/>
        </w:numPr>
        <w:spacing w:after="0" w:line="240" w:lineRule="auto"/>
        <w:rPr>
          <w:rFonts w:ascii="Arial" w:hAnsi="Arial"/>
        </w:rPr>
      </w:pPr>
      <w:r w:rsidRPr="00C2661D">
        <w:rPr>
          <w:rFonts w:ascii="Arial" w:hAnsi="Arial"/>
        </w:rPr>
        <w:t>Approved Program Plan number</w:t>
      </w:r>
      <w:r w:rsidRPr="00C2661D" w:rsidR="009F4F1F">
        <w:rPr>
          <w:rFonts w:ascii="Arial" w:hAnsi="Arial"/>
        </w:rPr>
        <w:t xml:space="preserve"> (as provided by Treasury)</w:t>
      </w:r>
    </w:p>
    <w:p w:rsidRPr="00C2661D" w:rsidR="003C0DF4" w:rsidP="00C2661D" w:rsidRDefault="004B7964" w14:paraId="75459469" w14:textId="00D59B46">
      <w:pPr>
        <w:pStyle w:val="ListParagraph"/>
        <w:numPr>
          <w:ilvl w:val="0"/>
          <w:numId w:val="15"/>
        </w:numPr>
        <w:spacing w:after="0" w:line="240" w:lineRule="auto"/>
        <w:rPr>
          <w:rFonts w:ascii="Arial" w:hAnsi="Arial"/>
        </w:rPr>
      </w:pPr>
      <w:r w:rsidRPr="00C2661D">
        <w:rPr>
          <w:rFonts w:ascii="Arial" w:hAnsi="Arial"/>
        </w:rPr>
        <w:t>P</w:t>
      </w:r>
      <w:r w:rsidRPr="00C2661D" w:rsidR="003C0DF4">
        <w:rPr>
          <w:rFonts w:ascii="Arial" w:hAnsi="Arial"/>
        </w:rPr>
        <w:t xml:space="preserve">rogram start date </w:t>
      </w:r>
    </w:p>
    <w:p w:rsidRPr="00C2661D" w:rsidR="003C0DF4" w:rsidP="00C2661D" w:rsidRDefault="004B7964" w14:paraId="50373E31" w14:textId="1DB2715F">
      <w:pPr>
        <w:pStyle w:val="ListParagraph"/>
        <w:numPr>
          <w:ilvl w:val="0"/>
          <w:numId w:val="15"/>
        </w:numPr>
        <w:spacing w:after="0" w:line="240" w:lineRule="auto"/>
        <w:rPr>
          <w:rFonts w:ascii="Arial" w:hAnsi="Arial"/>
        </w:rPr>
      </w:pPr>
      <w:r w:rsidRPr="00C2661D">
        <w:rPr>
          <w:rFonts w:ascii="Arial" w:hAnsi="Arial"/>
        </w:rPr>
        <w:t>Program</w:t>
      </w:r>
      <w:r w:rsidRPr="00C2661D" w:rsidR="003C0DF4">
        <w:rPr>
          <w:rFonts w:ascii="Arial" w:hAnsi="Arial"/>
        </w:rPr>
        <w:t xml:space="preserve"> end date</w:t>
      </w:r>
    </w:p>
    <w:p w:rsidR="00B76028" w:rsidP="00D310C2" w:rsidRDefault="003C0DF4" w14:paraId="59EAAB79" w14:textId="147DED70">
      <w:pPr>
        <w:pStyle w:val="ListParagraph"/>
        <w:numPr>
          <w:ilvl w:val="0"/>
          <w:numId w:val="15"/>
        </w:numPr>
        <w:spacing w:after="0" w:line="240" w:lineRule="auto"/>
        <w:rPr>
          <w:rFonts w:ascii="Arial" w:hAnsi="Arial"/>
        </w:rPr>
      </w:pPr>
      <w:r w:rsidRPr="00C2661D">
        <w:rPr>
          <w:rFonts w:ascii="Arial" w:hAnsi="Arial"/>
        </w:rPr>
        <w:t xml:space="preserve">Actual CPF funds allocated to this </w:t>
      </w:r>
      <w:r w:rsidR="00A74C62">
        <w:rPr>
          <w:rFonts w:ascii="Arial" w:hAnsi="Arial"/>
        </w:rPr>
        <w:t>P</w:t>
      </w:r>
      <w:r w:rsidRPr="00C2661D">
        <w:rPr>
          <w:rFonts w:ascii="Arial" w:hAnsi="Arial"/>
        </w:rPr>
        <w:t>rogram</w:t>
      </w:r>
    </w:p>
    <w:p w:rsidRPr="00C6727B" w:rsidR="003C0DF4" w:rsidP="008F07E0" w:rsidRDefault="003C0DF4" w14:paraId="7AE4FA3A" w14:textId="77777777">
      <w:pPr>
        <w:pStyle w:val="ListParagraph"/>
        <w:spacing w:after="0" w:line="240" w:lineRule="auto"/>
        <w:ind w:left="1080"/>
      </w:pPr>
    </w:p>
    <w:p w:rsidRPr="003C5176" w:rsidR="00FC70DE" w:rsidP="008F07E0" w:rsidRDefault="00FC70DE" w14:paraId="2EF71A22" w14:textId="4C6E7CDB">
      <w:pPr>
        <w:pStyle w:val="ListParagraph"/>
        <w:numPr>
          <w:ilvl w:val="0"/>
          <w:numId w:val="14"/>
        </w:numPr>
        <w:spacing w:after="0" w:line="240" w:lineRule="auto"/>
        <w:rPr>
          <w:b/>
          <w:bCs/>
        </w:rPr>
      </w:pPr>
      <w:r w:rsidRPr="003C5176">
        <w:rPr>
          <w:b/>
          <w:bCs/>
        </w:rPr>
        <w:t>Executive Summary</w:t>
      </w:r>
    </w:p>
    <w:p w:rsidR="00FC70DE" w:rsidP="008F07E0" w:rsidRDefault="00FC70DE" w14:paraId="58B26217" w14:textId="3E0AAF8A">
      <w:pPr>
        <w:pStyle w:val="ListParagraph"/>
        <w:spacing w:after="0" w:line="240" w:lineRule="auto"/>
        <w:ind w:left="0"/>
      </w:pPr>
      <w:r>
        <w:t xml:space="preserve">Provide a </w:t>
      </w:r>
      <w:r w:rsidRPr="00612EBC">
        <w:t>high-level</w:t>
      </w:r>
      <w:r>
        <w:t xml:space="preserve"> overview of the </w:t>
      </w:r>
      <w:r w:rsidR="003C2181">
        <w:t>Recipient</w:t>
      </w:r>
      <w:r>
        <w:t xml:space="preserve">’s actual uses of funding </w:t>
      </w:r>
      <w:r w:rsidR="004E723E">
        <w:t xml:space="preserve">and progress made </w:t>
      </w:r>
      <w:r w:rsidR="00742A51">
        <w:t xml:space="preserve">during the period covered </w:t>
      </w:r>
      <w:r w:rsidR="004E723E">
        <w:t xml:space="preserve">towards objectives </w:t>
      </w:r>
      <w:r w:rsidR="00742A51">
        <w:t>stated in the corresponding approved Program Plan</w:t>
      </w:r>
      <w:r w:rsidR="004E723E">
        <w:t xml:space="preserve">. </w:t>
      </w:r>
      <w:r w:rsidR="00747E39">
        <w:t xml:space="preserve"> </w:t>
      </w:r>
      <w:r w:rsidR="004E723E">
        <w:t xml:space="preserve">The Executive Summary should </w:t>
      </w:r>
      <w:r w:rsidR="00742A51">
        <w:t>also include</w:t>
      </w:r>
      <w:r w:rsidR="00E55D66">
        <w:t xml:space="preserve"> </w:t>
      </w:r>
      <w:r w:rsidR="000125C2">
        <w:t xml:space="preserve">an overview of </w:t>
      </w:r>
      <w:r w:rsidR="0099246A">
        <w:t xml:space="preserve">key outcomes </w:t>
      </w:r>
      <w:r>
        <w:t xml:space="preserve">and any noteworthy challenges or opportunities identified during the </w:t>
      </w:r>
      <w:r w:rsidRPr="008B70D5">
        <w:t>period</w:t>
      </w:r>
      <w:r w:rsidRPr="008B70D5" w:rsidR="000125C2">
        <w:t xml:space="preserve"> covered</w:t>
      </w:r>
      <w:r w:rsidRPr="008B70D5">
        <w:t>.</w:t>
      </w:r>
      <w:r>
        <w:t xml:space="preserve">  </w:t>
      </w:r>
    </w:p>
    <w:p w:rsidR="00743037" w:rsidP="008F07E0" w:rsidRDefault="00743037" w14:paraId="60D5E011" w14:textId="77777777">
      <w:pPr>
        <w:pStyle w:val="ListParagraph"/>
        <w:spacing w:after="0" w:line="240" w:lineRule="auto"/>
        <w:ind w:left="0"/>
      </w:pPr>
    </w:p>
    <w:p w:rsidR="00FC70DE" w:rsidP="008F07E0" w:rsidRDefault="00FC70DE" w14:paraId="53B8CF68" w14:textId="480EEA4D">
      <w:pPr>
        <w:pStyle w:val="ListParagraph"/>
        <w:numPr>
          <w:ilvl w:val="0"/>
          <w:numId w:val="14"/>
        </w:numPr>
        <w:spacing w:after="0" w:line="240" w:lineRule="auto"/>
        <w:rPr>
          <w:b/>
          <w:bCs/>
        </w:rPr>
      </w:pPr>
      <w:r w:rsidRPr="0022266A">
        <w:rPr>
          <w:b/>
          <w:bCs/>
        </w:rPr>
        <w:t>Uses of Funds</w:t>
      </w:r>
    </w:p>
    <w:p w:rsidR="00873B18" w:rsidP="008F07E0" w:rsidRDefault="00873B18" w14:paraId="7F3F565F" w14:textId="2A6EBDFD">
      <w:pPr>
        <w:spacing w:after="0" w:line="240" w:lineRule="auto"/>
      </w:pPr>
      <w:r>
        <w:t xml:space="preserve">Recipients must provide a short narrative </w:t>
      </w:r>
      <w:r w:rsidR="004D655B">
        <w:t xml:space="preserve">describing the intended </w:t>
      </w:r>
      <w:r w:rsidR="00B976F9">
        <w:t xml:space="preserve">and actual </w:t>
      </w:r>
      <w:r w:rsidR="004D655B">
        <w:t>use of funds</w:t>
      </w:r>
      <w:r w:rsidR="00437F2D">
        <w:t xml:space="preserve"> and</w:t>
      </w:r>
      <w:r w:rsidR="004D655B">
        <w:t xml:space="preserve"> </w:t>
      </w:r>
      <w:r>
        <w:t xml:space="preserve">the performance </w:t>
      </w:r>
      <w:r w:rsidR="004D655B">
        <w:t xml:space="preserve">of </w:t>
      </w:r>
      <w:r w:rsidR="00CB4A60">
        <w:t>the</w:t>
      </w:r>
      <w:r w:rsidR="004D655B">
        <w:t xml:space="preserve"> Program Plan</w:t>
      </w:r>
      <w:r w:rsidR="00437F2D">
        <w:t>.</w:t>
      </w:r>
      <w:r>
        <w:t xml:space="preserve"> </w:t>
      </w:r>
      <w:r w:rsidR="008B70D5">
        <w:t xml:space="preserve"> </w:t>
      </w:r>
      <w:r w:rsidR="00964ADE">
        <w:t xml:space="preserve">Recipients should reference the objectives and activities outlined in </w:t>
      </w:r>
      <w:r w:rsidR="00CB4A60">
        <w:t xml:space="preserve">the </w:t>
      </w:r>
      <w:r w:rsidR="00964ADE">
        <w:t xml:space="preserve">approved Program Plan.  </w:t>
      </w:r>
      <w:r>
        <w:t>The narrative should</w:t>
      </w:r>
      <w:r w:rsidR="00964ADE">
        <w:t xml:space="preserve"> also</w:t>
      </w:r>
      <w:r>
        <w:t xml:space="preserve"> </w:t>
      </w:r>
      <w:r w:rsidR="00964ADE">
        <w:t xml:space="preserve">explain </w:t>
      </w:r>
      <w:r>
        <w:t xml:space="preserve">the </w:t>
      </w:r>
      <w:r w:rsidR="00A61628">
        <w:t>data</w:t>
      </w:r>
      <w:r w:rsidR="000125C2">
        <w:t>, including performance indicators,</w:t>
      </w:r>
      <w:r w:rsidR="00A61628">
        <w:t xml:space="preserve"> submitted via the Project and Expenditure Reports during the </w:t>
      </w:r>
      <w:r w:rsidR="00964ADE">
        <w:t>period covered</w:t>
      </w:r>
      <w:r w:rsidR="00A61628">
        <w:t xml:space="preserve"> </w:t>
      </w:r>
      <w:r>
        <w:t xml:space="preserve">and must </w:t>
      </w:r>
      <w:r w:rsidR="00964ADE">
        <w:t xml:space="preserve">address </w:t>
      </w:r>
      <w:r>
        <w:t>the following topics:</w:t>
      </w:r>
    </w:p>
    <w:p w:rsidR="00873B18" w:rsidP="008F07E0" w:rsidRDefault="00873B18" w14:paraId="37B4497E" w14:textId="0336D3C9">
      <w:pPr>
        <w:pStyle w:val="ListParagraph"/>
        <w:numPr>
          <w:ilvl w:val="0"/>
          <w:numId w:val="15"/>
        </w:numPr>
        <w:spacing w:after="0" w:line="240" w:lineRule="auto"/>
        <w:rPr>
          <w:rFonts w:ascii="Arial" w:hAnsi="Arial"/>
        </w:rPr>
      </w:pPr>
      <w:r w:rsidRPr="00FB5399">
        <w:rPr>
          <w:rFonts w:ascii="Arial" w:hAnsi="Arial"/>
        </w:rPr>
        <w:t xml:space="preserve">Activities implemented over the </w:t>
      </w:r>
      <w:r w:rsidR="00FA1B9B">
        <w:rPr>
          <w:rFonts w:ascii="Arial" w:hAnsi="Arial"/>
        </w:rPr>
        <w:t>period</w:t>
      </w:r>
      <w:r w:rsidR="000125C2">
        <w:rPr>
          <w:rFonts w:ascii="Arial" w:hAnsi="Arial"/>
        </w:rPr>
        <w:t xml:space="preserve"> covered</w:t>
      </w:r>
      <w:r w:rsidR="003A518C">
        <w:rPr>
          <w:rFonts w:ascii="Arial" w:hAnsi="Arial"/>
        </w:rPr>
        <w:t>, including summaries of key milestones achieved, outputs produced, and outcomes achieved</w:t>
      </w:r>
      <w:r w:rsidR="00E55D66">
        <w:rPr>
          <w:rFonts w:ascii="Arial" w:hAnsi="Arial"/>
        </w:rPr>
        <w:t>;</w:t>
      </w:r>
    </w:p>
    <w:p w:rsidRPr="00FB5399" w:rsidR="00873B18" w:rsidP="008F07E0" w:rsidRDefault="00873B18" w14:paraId="1A742A24" w14:textId="3FF1F787">
      <w:pPr>
        <w:pStyle w:val="ListParagraph"/>
        <w:numPr>
          <w:ilvl w:val="0"/>
          <w:numId w:val="15"/>
        </w:numPr>
        <w:spacing w:after="0" w:line="240" w:lineRule="auto"/>
        <w:rPr>
          <w:rFonts w:ascii="Arial" w:hAnsi="Arial"/>
        </w:rPr>
      </w:pPr>
      <w:r w:rsidRPr="00FB5399">
        <w:rPr>
          <w:rFonts w:ascii="Arial" w:hAnsi="Arial"/>
        </w:rPr>
        <w:t xml:space="preserve">Activities planned for the next </w:t>
      </w:r>
      <w:r w:rsidR="00D636D4">
        <w:t>period</w:t>
      </w:r>
      <w:r w:rsidR="000125C2">
        <w:t xml:space="preserve"> covered</w:t>
      </w:r>
      <w:r w:rsidRPr="00FB5399">
        <w:rPr>
          <w:rFonts w:ascii="Arial" w:hAnsi="Arial"/>
        </w:rPr>
        <w:t>;</w:t>
      </w:r>
    </w:p>
    <w:p w:rsidR="003A518C" w:rsidP="008F07E0" w:rsidRDefault="003A518C" w14:paraId="6EEFF3EC" w14:textId="1886510B">
      <w:pPr>
        <w:pStyle w:val="ListParagraph"/>
        <w:numPr>
          <w:ilvl w:val="0"/>
          <w:numId w:val="15"/>
        </w:numPr>
        <w:spacing w:after="0" w:line="240" w:lineRule="auto"/>
        <w:rPr>
          <w:rFonts w:ascii="Arial" w:hAnsi="Arial"/>
        </w:rPr>
      </w:pPr>
      <w:r>
        <w:rPr>
          <w:rFonts w:ascii="Arial" w:hAnsi="Arial"/>
        </w:rPr>
        <w:t>Narrative</w:t>
      </w:r>
      <w:r w:rsidR="001D3A15">
        <w:rPr>
          <w:rFonts w:ascii="Arial" w:hAnsi="Arial"/>
        </w:rPr>
        <w:t xml:space="preserve">s </w:t>
      </w:r>
      <w:r>
        <w:rPr>
          <w:rFonts w:ascii="Arial" w:hAnsi="Arial"/>
        </w:rPr>
        <w:t>about individuals/households benefiting from CPF funds</w:t>
      </w:r>
      <w:r w:rsidR="001D3A15">
        <w:rPr>
          <w:rFonts w:ascii="Arial" w:hAnsi="Arial"/>
        </w:rPr>
        <w:t>, including information about methods used for collecting and measuring success</w:t>
      </w:r>
      <w:r>
        <w:rPr>
          <w:rFonts w:ascii="Arial" w:hAnsi="Arial"/>
        </w:rPr>
        <w:t>;</w:t>
      </w:r>
    </w:p>
    <w:p w:rsidRPr="00FB5399" w:rsidR="00873B18" w:rsidP="008F07E0" w:rsidRDefault="00873B18" w14:paraId="75815681" w14:textId="6FC7876F">
      <w:pPr>
        <w:pStyle w:val="ListParagraph"/>
        <w:numPr>
          <w:ilvl w:val="0"/>
          <w:numId w:val="15"/>
        </w:numPr>
        <w:spacing w:after="0" w:line="240" w:lineRule="auto"/>
        <w:rPr>
          <w:rFonts w:ascii="Arial" w:hAnsi="Arial"/>
        </w:rPr>
      </w:pPr>
      <w:r w:rsidRPr="00FB5399">
        <w:rPr>
          <w:rFonts w:ascii="Arial" w:hAnsi="Arial"/>
        </w:rPr>
        <w:t xml:space="preserve">Notable challenges and </w:t>
      </w:r>
      <w:r w:rsidR="002935D6">
        <w:rPr>
          <w:rFonts w:ascii="Arial" w:hAnsi="Arial"/>
        </w:rPr>
        <w:t xml:space="preserve">the </w:t>
      </w:r>
      <w:r w:rsidRPr="00FB5399">
        <w:rPr>
          <w:rFonts w:ascii="Arial" w:hAnsi="Arial"/>
        </w:rPr>
        <w:t>status of each challenge;</w:t>
      </w:r>
    </w:p>
    <w:p w:rsidRPr="00D80763" w:rsidR="00FA4001" w:rsidP="00FA4001" w:rsidRDefault="00A056F0" w14:paraId="7B0AB8B5" w14:textId="0CDD74CC">
      <w:pPr>
        <w:pStyle w:val="ListParagraph"/>
        <w:numPr>
          <w:ilvl w:val="0"/>
          <w:numId w:val="15"/>
        </w:numPr>
        <w:spacing w:after="0" w:line="240" w:lineRule="auto"/>
        <w:rPr>
          <w:rFonts w:ascii="Arial" w:hAnsi="Arial"/>
        </w:rPr>
      </w:pPr>
      <w:r>
        <w:rPr>
          <w:rFonts w:ascii="Arial" w:hAnsi="Arial"/>
        </w:rPr>
        <w:t xml:space="preserve">Overview and outcomes of </w:t>
      </w:r>
      <w:r w:rsidR="00AC1CD7">
        <w:rPr>
          <w:rFonts w:ascii="Arial" w:hAnsi="Arial"/>
        </w:rPr>
        <w:t xml:space="preserve">ancillary costs </w:t>
      </w:r>
      <w:r>
        <w:rPr>
          <w:rFonts w:ascii="Arial" w:hAnsi="Arial"/>
        </w:rPr>
        <w:t xml:space="preserve">incurred </w:t>
      </w:r>
      <w:r w:rsidR="00AC1CD7">
        <w:t xml:space="preserve">to support bringing the capital asset(s) into full use (e.g., focused advertising to increase broadband subscriptions in </w:t>
      </w:r>
      <w:r w:rsidR="00AC1CD7">
        <w:lastRenderedPageBreak/>
        <w:t>high-need communities, digital literacy training to support device loan programs,</w:t>
      </w:r>
      <w:r w:rsidR="00743037">
        <w:t xml:space="preserve"> community engagement to support successful operations,</w:t>
      </w:r>
      <w:r w:rsidR="00AC1CD7">
        <w:t xml:space="preserve"> etc.)</w:t>
      </w:r>
      <w:r w:rsidR="00437F2D">
        <w:t>.</w:t>
      </w:r>
    </w:p>
    <w:p w:rsidRPr="00FA4001" w:rsidR="00D80763" w:rsidP="00D80763" w:rsidRDefault="00D80763" w14:paraId="53618F20" w14:textId="77777777">
      <w:pPr>
        <w:pStyle w:val="ListParagraph"/>
        <w:spacing w:after="0" w:line="240" w:lineRule="auto"/>
        <w:rPr>
          <w:rFonts w:ascii="Arial" w:hAnsi="Arial"/>
        </w:rPr>
      </w:pPr>
    </w:p>
    <w:p w:rsidRPr="00743037" w:rsidR="006D36D5" w:rsidP="009A35B8" w:rsidRDefault="00FC70DE" w14:paraId="38A5A72E" w14:textId="60CCB3FF">
      <w:pPr>
        <w:pStyle w:val="ListParagraph"/>
        <w:numPr>
          <w:ilvl w:val="0"/>
          <w:numId w:val="14"/>
        </w:numPr>
        <w:spacing w:after="0" w:line="240" w:lineRule="auto"/>
        <w:rPr>
          <w:b/>
          <w:bCs/>
        </w:rPr>
      </w:pPr>
      <w:r w:rsidRPr="00743037">
        <w:rPr>
          <w:b/>
          <w:bCs/>
        </w:rPr>
        <w:t xml:space="preserve">Promoting </w:t>
      </w:r>
      <w:r w:rsidRPr="00743037" w:rsidR="006B1EC4">
        <w:rPr>
          <w:b/>
          <w:bCs/>
        </w:rPr>
        <w:t>E</w:t>
      </w:r>
      <w:r w:rsidRPr="00743037">
        <w:rPr>
          <w:b/>
          <w:bCs/>
        </w:rPr>
        <w:t xml:space="preserve">quitable </w:t>
      </w:r>
      <w:r w:rsidRPr="00743037" w:rsidR="006B1EC4">
        <w:rPr>
          <w:b/>
          <w:bCs/>
        </w:rPr>
        <w:t>O</w:t>
      </w:r>
      <w:r w:rsidRPr="00743037">
        <w:rPr>
          <w:b/>
          <w:bCs/>
        </w:rPr>
        <w:t>utcomes</w:t>
      </w:r>
      <w:r w:rsidRPr="00743037" w:rsidR="004C40C4">
        <w:rPr>
          <w:b/>
          <w:bCs/>
        </w:rPr>
        <w:t xml:space="preserve"> and Addressing Critical Need</w:t>
      </w:r>
      <w:r w:rsidRPr="00743037" w:rsidR="00524E16">
        <w:rPr>
          <w:b/>
          <w:bCs/>
        </w:rPr>
        <w:t>s</w:t>
      </w:r>
    </w:p>
    <w:p w:rsidR="008013BB" w:rsidP="008013BB" w:rsidRDefault="008013BB" w14:paraId="72316251" w14:textId="77C36E28">
      <w:pPr>
        <w:spacing w:after="0" w:line="240" w:lineRule="auto"/>
      </w:pPr>
      <w:r>
        <w:t xml:space="preserve">Treasury encourages uses of funds that promote strong, equitable growth, including racial equity, </w:t>
      </w:r>
      <w:r w:rsidR="000125C2">
        <w:t xml:space="preserve">in </w:t>
      </w:r>
      <w:r w:rsidR="008B70D5">
        <w:t>communities</w:t>
      </w:r>
      <w:r w:rsidR="000125C2">
        <w:t xml:space="preserve"> with a critical need, such as </w:t>
      </w:r>
      <w:r>
        <w:t xml:space="preserve">high-poverty and rural areas.  </w:t>
      </w:r>
      <w:r w:rsidDel="005B6905">
        <w:t xml:space="preserve">For the purposes of </w:t>
      </w:r>
      <w:r>
        <w:t>CPF</w:t>
      </w:r>
      <w:r w:rsidDel="005B6905">
        <w:t xml:space="preserve">, equity </w:t>
      </w:r>
      <w:r>
        <w:t>and underserved communities are</w:t>
      </w:r>
      <w:r w:rsidDel="005B6905">
        <w:t xml:space="preserve"> defined </w:t>
      </w:r>
      <w:r>
        <w:t xml:space="preserve">in the </w:t>
      </w:r>
      <w:hyperlink w:history="1" r:id="rId23">
        <w:r w:rsidRPr="004631E9">
          <w:rPr>
            <w:rStyle w:val="Hyperlink"/>
          </w:rPr>
          <w:t>Executive Order</w:t>
        </w:r>
        <w:r>
          <w:rPr>
            <w:rStyle w:val="Hyperlink"/>
          </w:rPr>
          <w:t xml:space="preserve"> 13985</w:t>
        </w:r>
        <w:r w:rsidRPr="004631E9">
          <w:rPr>
            <w:rStyle w:val="Hyperlink"/>
          </w:rPr>
          <w:t xml:space="preserve"> On Advancing Racial Equity and Support for Underserved Communities Through the Federal Government</w:t>
        </w:r>
      </w:hyperlink>
      <w:r>
        <w:t>, as issued on January 20, 2021</w:t>
      </w:r>
      <w:r w:rsidR="008811DC">
        <w:t xml:space="preserve"> (EO 13985). Treasury additionally supports </w:t>
      </w:r>
      <w:r>
        <w:t xml:space="preserve">“equity for all, including people of color and others who have been historically underserved, marginalized, and adversely affected by persistent poverty and inequality” </w:t>
      </w:r>
      <w:r w:rsidR="008811DC">
        <w:t>EO 13985 at 7009.</w:t>
      </w:r>
    </w:p>
    <w:p w:rsidR="008013BB" w:rsidP="00E55D66" w:rsidRDefault="008013BB" w14:paraId="741DF136" w14:textId="77777777">
      <w:pPr>
        <w:spacing w:after="0" w:line="240" w:lineRule="auto"/>
      </w:pPr>
    </w:p>
    <w:p w:rsidR="00F44A63" w:rsidP="00F44A63" w:rsidRDefault="008C0E6E" w14:paraId="2D36FBF6" w14:textId="04240D5C">
      <w:r>
        <w:rPr>
          <w:rFonts w:ascii="Arial" w:hAnsi="Arial" w:eastAsia="Arial" w:cs="Arial"/>
        </w:rPr>
        <w:t>Performance Report 1</w:t>
      </w:r>
      <w:r w:rsidRPr="00C6727B" w:rsidR="00F44A63">
        <w:rPr>
          <w:rFonts w:ascii="Arial" w:hAnsi="Arial" w:eastAsia="Arial" w:cs="Arial"/>
        </w:rPr>
        <w:t xml:space="preserve"> must describe efforts and outcomes </w:t>
      </w:r>
      <w:r w:rsidR="00692115">
        <w:rPr>
          <w:rFonts w:ascii="Arial" w:hAnsi="Arial" w:eastAsia="Arial" w:cs="Arial"/>
        </w:rPr>
        <w:t xml:space="preserve">during the </w:t>
      </w:r>
      <w:r w:rsidR="00964ADE">
        <w:rPr>
          <w:rFonts w:ascii="Arial" w:hAnsi="Arial" w:eastAsia="Arial" w:cs="Arial"/>
        </w:rPr>
        <w:t xml:space="preserve">period </w:t>
      </w:r>
      <w:r w:rsidR="00692115">
        <w:rPr>
          <w:rFonts w:ascii="Arial" w:hAnsi="Arial" w:eastAsia="Arial" w:cs="Arial"/>
        </w:rPr>
        <w:t xml:space="preserve">covered </w:t>
      </w:r>
      <w:r w:rsidRPr="00C6727B" w:rsidR="00F44A63">
        <w:rPr>
          <w:rFonts w:ascii="Arial" w:hAnsi="Arial" w:eastAsia="Arial" w:cs="Arial"/>
        </w:rPr>
        <w:t>to promote equity</w:t>
      </w:r>
      <w:r w:rsidR="00692115">
        <w:rPr>
          <w:rFonts w:ascii="Arial" w:hAnsi="Arial" w:eastAsia="Arial" w:cs="Arial"/>
        </w:rPr>
        <w:t xml:space="preserve"> and address critical needs</w:t>
      </w:r>
      <w:r w:rsidR="00E150AA">
        <w:rPr>
          <w:rFonts w:ascii="Arial" w:hAnsi="Arial" w:eastAsia="Arial" w:cs="Arial"/>
        </w:rPr>
        <w:t xml:space="preserve"> as </w:t>
      </w:r>
      <w:r w:rsidR="00EF36C1">
        <w:rPr>
          <w:rFonts w:ascii="Arial" w:hAnsi="Arial" w:eastAsia="Arial" w:cs="Arial"/>
        </w:rPr>
        <w:t xml:space="preserve">described </w:t>
      </w:r>
      <w:r w:rsidR="00E150AA">
        <w:rPr>
          <w:rFonts w:ascii="Arial" w:hAnsi="Arial" w:eastAsia="Arial" w:cs="Arial"/>
        </w:rPr>
        <w:t xml:space="preserve">in </w:t>
      </w:r>
      <w:r w:rsidR="0093223E">
        <w:rPr>
          <w:rFonts w:ascii="Arial" w:hAnsi="Arial" w:eastAsia="Arial" w:cs="Arial"/>
        </w:rPr>
        <w:t>each</w:t>
      </w:r>
      <w:r w:rsidR="00E150AA">
        <w:rPr>
          <w:rFonts w:ascii="Arial" w:hAnsi="Arial" w:eastAsia="Arial" w:cs="Arial"/>
        </w:rPr>
        <w:t xml:space="preserve"> approved Program Plan</w:t>
      </w:r>
      <w:r w:rsidRPr="00C6727B" w:rsidR="00F44A63">
        <w:rPr>
          <w:rFonts w:ascii="Arial" w:hAnsi="Arial" w:eastAsia="Arial" w:cs="Arial"/>
        </w:rPr>
        <w:t xml:space="preserve">. </w:t>
      </w:r>
      <w:r w:rsidR="008013BB">
        <w:rPr>
          <w:rFonts w:ascii="Arial" w:hAnsi="Arial" w:eastAsia="Arial" w:cs="Arial"/>
        </w:rPr>
        <w:t xml:space="preserve"> </w:t>
      </w:r>
      <w:r w:rsidRPr="00C6727B" w:rsidR="00F44A63">
        <w:rPr>
          <w:rFonts w:ascii="Arial" w:hAnsi="Arial" w:eastAsia="Arial" w:cs="Arial"/>
        </w:rPr>
        <w:t>Each Performance Report thereafter must provide an update</w:t>
      </w:r>
      <w:r w:rsidR="00F44A63">
        <w:t xml:space="preserve">, using qualitative and quantitative data, on how the Recipient achieved or promoted equitable outcomes or progressed </w:t>
      </w:r>
      <w:r w:rsidR="00EF36C1">
        <w:t xml:space="preserve">toward </w:t>
      </w:r>
      <w:r w:rsidR="00F44A63">
        <w:t xml:space="preserve">equity objectives during the </w:t>
      </w:r>
      <w:r w:rsidR="00DE1A8F">
        <w:t>reporting period</w:t>
      </w:r>
      <w:r w:rsidR="00F44A63">
        <w:t>, and any constraints or challenges related to increasing equity</w:t>
      </w:r>
      <w:r w:rsidRPr="16F4E3C6" w:rsidR="00F44A63">
        <w:t xml:space="preserve">.  </w:t>
      </w:r>
    </w:p>
    <w:p w:rsidR="00FC70DE" w:rsidP="008F07E0" w:rsidRDefault="00FC70DE" w14:paraId="6B5ABCB4" w14:textId="57028D08">
      <w:pPr>
        <w:keepNext/>
        <w:spacing w:after="0" w:line="240" w:lineRule="auto"/>
      </w:pPr>
      <w:r>
        <w:t xml:space="preserve">Please </w:t>
      </w:r>
      <w:r w:rsidR="008013BB">
        <w:t>describe</w:t>
      </w:r>
      <w:r>
        <w:t xml:space="preserve"> how </w:t>
      </w:r>
      <w:r w:rsidR="003A40EF">
        <w:t>the</w:t>
      </w:r>
      <w:r>
        <w:t xml:space="preserve"> </w:t>
      </w:r>
      <w:r w:rsidR="003C2181">
        <w:t>Recipient</w:t>
      </w:r>
      <w:r>
        <w:t xml:space="preserve"> consider</w:t>
      </w:r>
      <w:r w:rsidR="00B25640">
        <w:t>ed</w:t>
      </w:r>
      <w:r>
        <w:t xml:space="preserve"> and measure</w:t>
      </w:r>
      <w:r w:rsidR="00B25640">
        <w:t>d</w:t>
      </w:r>
      <w:r>
        <w:t xml:space="preserve"> equity </w:t>
      </w:r>
      <w:r w:rsidR="004C40C4">
        <w:t>and</w:t>
      </w:r>
      <w:r w:rsidR="000B1896">
        <w:t xml:space="preserve"> addressed</w:t>
      </w:r>
      <w:r w:rsidR="004C40C4">
        <w:t xml:space="preserve"> critical need </w:t>
      </w:r>
      <w:r>
        <w:t xml:space="preserve">at the various stages of the </w:t>
      </w:r>
      <w:r w:rsidR="00A74C62">
        <w:t>Program</w:t>
      </w:r>
      <w:r w:rsidR="005C3613">
        <w:t xml:space="preserve"> during the </w:t>
      </w:r>
      <w:r w:rsidR="00D8475A">
        <w:t>reporting period</w:t>
      </w:r>
      <w:r>
        <w:t xml:space="preserve">, including: </w:t>
      </w:r>
    </w:p>
    <w:p w:rsidR="00FC70DE" w:rsidP="008F07E0" w:rsidRDefault="005C3613" w14:paraId="13062467" w14:textId="3F310766">
      <w:pPr>
        <w:pStyle w:val="ListParagraph"/>
        <w:keepNext/>
        <w:numPr>
          <w:ilvl w:val="0"/>
          <w:numId w:val="5"/>
        </w:numPr>
        <w:spacing w:after="0" w:line="240" w:lineRule="auto"/>
      </w:pPr>
      <w:r>
        <w:rPr>
          <w:u w:val="single"/>
        </w:rPr>
        <w:t>Objectives</w:t>
      </w:r>
      <w:r w:rsidR="00FC70DE">
        <w:t xml:space="preserve">: </w:t>
      </w:r>
      <w:r w:rsidR="008C3157">
        <w:t>Based on your definition of communities with critical need, a</w:t>
      </w:r>
      <w:r w:rsidR="00FC70DE">
        <w:t>re there particular historically underserved, marginalized, or adversely affected groups</w:t>
      </w:r>
      <w:r w:rsidR="000B1896">
        <w:t>, including those living in rural areas and/or high-poverty areas,</w:t>
      </w:r>
      <w:r w:rsidR="00FC70DE">
        <w:t xml:space="preserve"> that </w:t>
      </w:r>
      <w:r w:rsidR="0067732E">
        <w:t xml:space="preserve">the capital assets being funded by CPF are designed to serve? </w:t>
      </w:r>
      <w:r w:rsidR="008013BB">
        <w:t xml:space="preserve"> </w:t>
      </w:r>
      <w:r w:rsidR="00916BF0">
        <w:t>Reiterate the definition of critical need used for each Program Plan.</w:t>
      </w:r>
    </w:p>
    <w:p w:rsidR="00736127" w:rsidRDefault="00FC70DE" w14:paraId="7B3521A1" w14:textId="4EE9B88D">
      <w:pPr>
        <w:pStyle w:val="ListParagraph"/>
        <w:keepNext/>
        <w:numPr>
          <w:ilvl w:val="0"/>
          <w:numId w:val="5"/>
        </w:numPr>
        <w:spacing w:after="0" w:line="240" w:lineRule="auto"/>
      </w:pPr>
      <w:r w:rsidRPr="00440EF3">
        <w:rPr>
          <w:u w:val="single"/>
        </w:rPr>
        <w:t>Awareness</w:t>
      </w:r>
      <w:r>
        <w:t xml:space="preserve">: How equal and practical </w:t>
      </w:r>
      <w:r w:rsidR="00B25640">
        <w:t>was</w:t>
      </w:r>
      <w:r>
        <w:t xml:space="preserve"> the ability for </w:t>
      </w:r>
      <w:r w:rsidR="0067732E">
        <w:t>members of these communities, including households, businesses, and other organizations,</w:t>
      </w:r>
      <w:r>
        <w:t xml:space="preserve"> to become aware of the services funded by </w:t>
      </w:r>
      <w:r w:rsidR="00A70614">
        <w:t>CPF</w:t>
      </w:r>
      <w:r>
        <w:t xml:space="preserve">? </w:t>
      </w:r>
    </w:p>
    <w:p w:rsidRPr="00C23C55" w:rsidR="00C23C55" w:rsidP="00736127" w:rsidRDefault="00FC70DE" w14:paraId="64972AAF" w14:textId="17FC57BB">
      <w:pPr>
        <w:numPr>
          <w:ilvl w:val="0"/>
          <w:numId w:val="5"/>
        </w:numPr>
        <w:spacing w:after="0" w:line="240" w:lineRule="auto"/>
        <w:contextualSpacing/>
        <w:rPr>
          <w:rFonts w:eastAsia="Times New Roman"/>
        </w:rPr>
      </w:pPr>
      <w:r w:rsidRPr="00440EF3">
        <w:rPr>
          <w:u w:val="single"/>
        </w:rPr>
        <w:t>Outcomes</w:t>
      </w:r>
      <w:r>
        <w:t>:</w:t>
      </w:r>
      <w:r w:rsidRPr="001F7CBA">
        <w:t xml:space="preserve"> </w:t>
      </w:r>
      <w:r w:rsidR="00B25640">
        <w:t xml:space="preserve">What progress has the </w:t>
      </w:r>
      <w:r w:rsidR="00A74C62">
        <w:t>Program</w:t>
      </w:r>
      <w:r w:rsidR="007B0C54">
        <w:t xml:space="preserve"> </w:t>
      </w:r>
      <w:r w:rsidR="00B25640">
        <w:t xml:space="preserve">made </w:t>
      </w:r>
      <w:r w:rsidR="003A0211">
        <w:t xml:space="preserve">toward </w:t>
      </w:r>
      <w:r w:rsidR="008C3157">
        <w:t>addressing critical need(s) identified in</w:t>
      </w:r>
      <w:r w:rsidR="003A0211">
        <w:t xml:space="preserve"> targeted</w:t>
      </w:r>
      <w:r w:rsidR="008C3157">
        <w:t xml:space="preserve"> communities, such as </w:t>
      </w:r>
      <w:r>
        <w:t xml:space="preserve">closing </w:t>
      </w:r>
      <w:r w:rsidRPr="001F7CBA">
        <w:t>gaps, reach</w:t>
      </w:r>
      <w:r>
        <w:t>ing</w:t>
      </w:r>
      <w:r w:rsidRPr="001F7CBA">
        <w:t xml:space="preserve"> universal levels</w:t>
      </w:r>
      <w:r>
        <w:t xml:space="preserve"> of service</w:t>
      </w:r>
      <w:r w:rsidRPr="001F7CBA">
        <w:t>, or disaggregat</w:t>
      </w:r>
      <w:r>
        <w:t>ing</w:t>
      </w:r>
      <w:r w:rsidRPr="001F7CBA">
        <w:t xml:space="preserve"> progress by race, ethnicity, and other equity dimension</w:t>
      </w:r>
      <w:r>
        <w:t>s</w:t>
      </w:r>
      <w:r w:rsidRPr="001F7CBA">
        <w:t xml:space="preserve"> </w:t>
      </w:r>
      <w:r w:rsidR="00337D37">
        <w:t xml:space="preserve">that are </w:t>
      </w:r>
      <w:r w:rsidRPr="001F7CBA">
        <w:t xml:space="preserve">relevant </w:t>
      </w:r>
      <w:r w:rsidR="00337D37">
        <w:t>to</w:t>
      </w:r>
      <w:r w:rsidRPr="001F7CBA" w:rsidR="00337D37">
        <w:t xml:space="preserve"> </w:t>
      </w:r>
      <w:r w:rsidRPr="001F7CBA">
        <w:t>the policy objective</w:t>
      </w:r>
      <w:r>
        <w:t>?</w:t>
      </w:r>
      <w:r w:rsidRPr="00193859">
        <w:rPr>
          <w:rFonts w:eastAsia="Times New Roman"/>
        </w:rPr>
        <w:t xml:space="preserve"> </w:t>
      </w:r>
      <w:r w:rsidR="00CF06AC">
        <w:rPr>
          <w:rFonts w:eastAsia="Times New Roman"/>
        </w:rPr>
        <w:t xml:space="preserve"> </w:t>
      </w:r>
      <w:r w:rsidR="00BE7D5F">
        <w:rPr>
          <w:rFonts w:eastAsia="Times New Roman"/>
        </w:rPr>
        <w:t xml:space="preserve">What methods (e.g., surveys, interviews) are being used </w:t>
      </w:r>
      <w:r w:rsidR="007B0C54">
        <w:rPr>
          <w:rFonts w:eastAsia="Times New Roman"/>
        </w:rPr>
        <w:t>(if applicable)</w:t>
      </w:r>
      <w:r w:rsidR="00BE7D5F">
        <w:rPr>
          <w:rFonts w:eastAsia="Times New Roman"/>
        </w:rPr>
        <w:t xml:space="preserve"> to quantify and qualify </w:t>
      </w:r>
      <w:r w:rsidR="00E134E6">
        <w:rPr>
          <w:rFonts w:eastAsia="Times New Roman"/>
        </w:rPr>
        <w:t xml:space="preserve">Project </w:t>
      </w:r>
      <w:r w:rsidR="00FA4001">
        <w:rPr>
          <w:rFonts w:eastAsia="Times New Roman"/>
        </w:rPr>
        <w:t xml:space="preserve">and Program </w:t>
      </w:r>
      <w:r w:rsidR="00BE7D5F">
        <w:rPr>
          <w:rFonts w:eastAsia="Times New Roman"/>
        </w:rPr>
        <w:t>outcomes?</w:t>
      </w:r>
    </w:p>
    <w:p w:rsidR="004C40C4" w:rsidP="008F07E0" w:rsidRDefault="004C40C4" w14:paraId="28EA0EB2" w14:textId="364288B9">
      <w:pPr>
        <w:spacing w:after="0" w:line="240" w:lineRule="auto"/>
      </w:pPr>
    </w:p>
    <w:p w:rsidRPr="003758B9" w:rsidR="0087069C" w:rsidP="0087069C" w:rsidRDefault="00E96C18" w14:paraId="45011A4C" w14:textId="77777777">
      <w:pPr>
        <w:pStyle w:val="ListParagraph"/>
        <w:numPr>
          <w:ilvl w:val="0"/>
          <w:numId w:val="14"/>
        </w:numPr>
        <w:tabs>
          <w:tab w:val="left" w:pos="360"/>
        </w:tabs>
        <w:spacing w:after="0" w:line="240" w:lineRule="auto"/>
        <w:rPr>
          <w:b/>
          <w:bCs/>
        </w:rPr>
      </w:pPr>
      <w:r>
        <w:rPr>
          <w:b/>
          <w:bCs/>
        </w:rPr>
        <w:t>Labor</w:t>
      </w:r>
    </w:p>
    <w:p w:rsidRPr="0087069C" w:rsidR="00E96C18" w:rsidP="003758B9" w:rsidRDefault="00E96C18" w14:paraId="3961F2D3" w14:textId="7759CC17">
      <w:pPr>
        <w:tabs>
          <w:tab w:val="left" w:pos="360"/>
        </w:tabs>
        <w:spacing w:after="0" w:line="240" w:lineRule="auto"/>
        <w:rPr>
          <w:b/>
          <w:bCs/>
        </w:rPr>
      </w:pPr>
      <w:r w:rsidRPr="009E4708">
        <w:t>Describe</w:t>
      </w:r>
      <w:r w:rsidR="003C080F">
        <w:t xml:space="preserve"> </w:t>
      </w:r>
      <w:r w:rsidRPr="009E4708">
        <w:t xml:space="preserve">workforce practices on any </w:t>
      </w:r>
      <w:r>
        <w:t>Broadband I</w:t>
      </w:r>
      <w:r w:rsidRPr="009E4708">
        <w:t xml:space="preserve">nfrastructure </w:t>
      </w:r>
      <w:r>
        <w:t xml:space="preserve">and/or Multi-Purpose Community Facility </w:t>
      </w:r>
      <w:r w:rsidRPr="009E4708">
        <w:t xml:space="preserve">projects being pursued. </w:t>
      </w:r>
      <w:r w:rsidR="008F2BD2">
        <w:t xml:space="preserve"> </w:t>
      </w:r>
      <w:r w:rsidRPr="009E4708">
        <w:t xml:space="preserve">How are projects using strong labor standards to promote effective and efficient delivery of high-quality infrastructure projects while also supporting the economic recovery through employment opportunities for workers? </w:t>
      </w:r>
      <w:r w:rsidR="008F2BD2">
        <w:t xml:space="preserve"> </w:t>
      </w:r>
      <w:r w:rsidRPr="009E4708">
        <w:t>For example, report whether any of the following practices are being utilized: project labor agreements, community benefits agreements, prevailing wage requirements, and local hiring.</w:t>
      </w:r>
    </w:p>
    <w:p w:rsidR="00E96C18" w:rsidP="009E4708" w:rsidRDefault="00E96C18" w14:paraId="06E63BE2" w14:textId="77777777">
      <w:pPr>
        <w:pStyle w:val="ListParagraph"/>
        <w:spacing w:after="0" w:line="240" w:lineRule="auto"/>
        <w:ind w:left="360"/>
        <w:rPr>
          <w:b/>
          <w:bCs/>
        </w:rPr>
      </w:pPr>
    </w:p>
    <w:p w:rsidRPr="00E55D66" w:rsidR="00FC70DE" w:rsidP="00E55D66" w:rsidRDefault="1200F15E" w14:paraId="1F0F312E" w14:textId="1DA40BB5">
      <w:pPr>
        <w:pStyle w:val="ListParagraph"/>
        <w:numPr>
          <w:ilvl w:val="0"/>
          <w:numId w:val="14"/>
        </w:numPr>
        <w:spacing w:after="0" w:line="240" w:lineRule="auto"/>
        <w:rPr>
          <w:b/>
          <w:bCs/>
        </w:rPr>
      </w:pPr>
      <w:r w:rsidRPr="3D02C05D">
        <w:rPr>
          <w:b/>
          <w:bCs/>
        </w:rPr>
        <w:t xml:space="preserve">Community Engagement </w:t>
      </w:r>
    </w:p>
    <w:p w:rsidR="00CD1E6D" w:rsidP="008F07E0" w:rsidRDefault="00FC70DE" w14:paraId="16387092" w14:textId="77777777">
      <w:r>
        <w:t xml:space="preserve">Please describe how </w:t>
      </w:r>
      <w:r w:rsidR="00FD3663">
        <w:t>the</w:t>
      </w:r>
      <w:r>
        <w:t xml:space="preserve"> </w:t>
      </w:r>
      <w:r w:rsidR="003C2181">
        <w:t>Recipient</w:t>
      </w:r>
      <w:r w:rsidR="00B7277E">
        <w:t xml:space="preserve"> incorporated or plans to incorporate</w:t>
      </w:r>
      <w:r>
        <w:t xml:space="preserve"> feedback from</w:t>
      </w:r>
      <w:r w:rsidR="00B7277E">
        <w:t xml:space="preserve"> </w:t>
      </w:r>
      <w:r w:rsidR="00A43EFE">
        <w:t xml:space="preserve">communities, organizations, and </w:t>
      </w:r>
      <w:r>
        <w:t>constituents</w:t>
      </w:r>
      <w:r w:rsidR="00B7277E">
        <w:t xml:space="preserve"> when selecting Capital Projects Fund </w:t>
      </w:r>
      <w:r w:rsidR="00BB06FB">
        <w:t>P</w:t>
      </w:r>
      <w:r w:rsidR="00B7277E">
        <w:t>rojects and how the Recipient plans to address feedback (including grievances) received during project construction</w:t>
      </w:r>
      <w:r w:rsidR="000125C2">
        <w:t xml:space="preserve"> and/or </w:t>
      </w:r>
      <w:r w:rsidR="00B7277E">
        <w:t xml:space="preserve">implementation. </w:t>
      </w:r>
    </w:p>
    <w:p w:rsidR="00CD1E6D" w:rsidP="00CD1E6D" w:rsidRDefault="00CD1E6D" w14:paraId="38796BA7" w14:textId="7D49A692">
      <w:r>
        <w:t>Recipients should report on (and include quantitative information</w:t>
      </w:r>
      <w:r w:rsidR="00481438">
        <w:t>, such as counts,</w:t>
      </w:r>
      <w:r>
        <w:t xml:space="preserve"> about) the following activities related to community engagement in support of the implementation and operations of each Program and related Projects:</w:t>
      </w:r>
    </w:p>
    <w:p w:rsidR="00CD1E6D" w:rsidP="009E4708" w:rsidRDefault="00CD1E6D" w14:paraId="2B58A6C7" w14:textId="518631FE">
      <w:pPr>
        <w:pStyle w:val="ListParagraph"/>
        <w:numPr>
          <w:ilvl w:val="0"/>
          <w:numId w:val="93"/>
        </w:numPr>
      </w:pPr>
      <w:r>
        <w:lastRenderedPageBreak/>
        <w:t xml:space="preserve">Community engagement efforts and activities that occurred with and/or in communities served by the Program; </w:t>
      </w:r>
      <w:r w:rsidR="00421FD0">
        <w:t>Recipients should</w:t>
      </w:r>
      <w:r>
        <w:t xml:space="preserve"> include</w:t>
      </w:r>
      <w:r w:rsidR="00421FD0">
        <w:t xml:space="preserve"> information about the </w:t>
      </w:r>
      <w:r w:rsidR="00A33379">
        <w:t xml:space="preserve">types </w:t>
      </w:r>
      <w:r w:rsidR="00421FD0">
        <w:t xml:space="preserve">of organizations </w:t>
      </w:r>
      <w:r w:rsidR="00A33379">
        <w:t>(such as training providers, community colleges, libraries, churches, and community-based groups) and</w:t>
      </w:r>
      <w:r w:rsidR="00421FD0">
        <w:t>, where possible,</w:t>
      </w:r>
      <w:r>
        <w:t xml:space="preserve"> names of organizations and communities the Recipient and Subrecipient(s) were engaged with to support the implementation and operations of Projects;</w:t>
      </w:r>
    </w:p>
    <w:p w:rsidR="00CD1E6D" w:rsidP="00CD1E6D" w:rsidRDefault="00CD1E6D" w14:paraId="69035E0D" w14:textId="77777777">
      <w:pPr>
        <w:pStyle w:val="ListParagraph"/>
        <w:numPr>
          <w:ilvl w:val="0"/>
          <w:numId w:val="93"/>
        </w:numPr>
      </w:pPr>
      <w:r>
        <w:t>Outreach, advertising, and translation activities and services deployed to reach communities the Program is designed to serve; and</w:t>
      </w:r>
    </w:p>
    <w:p w:rsidR="00CD1E6D" w:rsidP="00CD1E6D" w:rsidRDefault="00CD1E6D" w14:paraId="413BF8DB" w14:textId="15899CAF">
      <w:pPr>
        <w:pStyle w:val="ListParagraph"/>
        <w:numPr>
          <w:ilvl w:val="0"/>
          <w:numId w:val="93"/>
        </w:numPr>
      </w:pPr>
      <w:r>
        <w:t xml:space="preserve">Languages used in community outreach efforts and materials for people with limited English proficiency, and other </w:t>
      </w:r>
      <w:r w:rsidR="00C23C55">
        <w:t xml:space="preserve">approaches taken </w:t>
      </w:r>
      <w:r>
        <w:t>to solicit feedback from underserved communities.</w:t>
      </w:r>
    </w:p>
    <w:p w:rsidR="0093223E" w:rsidP="008F07E0" w:rsidRDefault="00616934" w14:paraId="267AD437" w14:textId="675AEBF9">
      <w:r>
        <w:t>If</w:t>
      </w:r>
      <w:r w:rsidR="00FC70DE">
        <w:t xml:space="preserve"> relevant, </w:t>
      </w:r>
      <w:r w:rsidR="00CD1E6D">
        <w:t>Recipients must report on</w:t>
      </w:r>
      <w:r w:rsidR="00FC70DE">
        <w:t xml:space="preserve"> how funds will build the capacity of community organizations </w:t>
      </w:r>
      <w:r w:rsidRPr="00B6650D" w:rsidR="00FC70DE">
        <w:rPr>
          <w:rFonts w:eastAsia="Times New Roman"/>
        </w:rPr>
        <w:t xml:space="preserve">to </w:t>
      </w:r>
      <w:r w:rsidR="00FC70DE">
        <w:rPr>
          <w:rFonts w:eastAsia="Times New Roman"/>
        </w:rPr>
        <w:t>serve</w:t>
      </w:r>
      <w:r w:rsidRPr="00B6650D" w:rsidR="00FC70DE">
        <w:rPr>
          <w:rFonts w:eastAsia="Times New Roman"/>
        </w:rPr>
        <w:t xml:space="preserve"> people with significant barriers to</w:t>
      </w:r>
      <w:r w:rsidR="00FC70DE">
        <w:rPr>
          <w:rFonts w:eastAsia="Times New Roman"/>
        </w:rPr>
        <w:t xml:space="preserve"> services</w:t>
      </w:r>
      <w:r w:rsidRPr="00B6650D" w:rsidR="00FC70DE">
        <w:rPr>
          <w:rFonts w:eastAsia="Times New Roman"/>
        </w:rPr>
        <w:t>, including people of color</w:t>
      </w:r>
      <w:r w:rsidR="00FC70DE">
        <w:rPr>
          <w:rFonts w:eastAsia="Times New Roman"/>
        </w:rPr>
        <w:t>, people</w:t>
      </w:r>
      <w:r w:rsidRPr="00B6650D" w:rsidR="00FC70DE">
        <w:rPr>
          <w:rFonts w:eastAsia="Times New Roman"/>
        </w:rPr>
        <w:t xml:space="preserve"> with low incomes,</w:t>
      </w:r>
      <w:r w:rsidR="00FC70DE">
        <w:rPr>
          <w:rFonts w:eastAsia="Times New Roman"/>
        </w:rPr>
        <w:t xml:space="preserve"> </w:t>
      </w:r>
      <w:r w:rsidR="000125C2">
        <w:rPr>
          <w:rFonts w:eastAsia="Times New Roman"/>
        </w:rPr>
        <w:t xml:space="preserve">populations with </w:t>
      </w:r>
      <w:r w:rsidR="00FC70DE">
        <w:rPr>
          <w:rFonts w:eastAsia="Times New Roman"/>
        </w:rPr>
        <w:t>limited English proficien</w:t>
      </w:r>
      <w:r w:rsidR="000125C2">
        <w:rPr>
          <w:rFonts w:eastAsia="Times New Roman"/>
        </w:rPr>
        <w:t>cy</w:t>
      </w:r>
      <w:r w:rsidR="00FC70DE">
        <w:rPr>
          <w:rFonts w:eastAsia="Times New Roman"/>
        </w:rPr>
        <w:t>, and other traditionally</w:t>
      </w:r>
      <w:r w:rsidR="000125C2">
        <w:rPr>
          <w:rFonts w:eastAsia="Times New Roman"/>
        </w:rPr>
        <w:t xml:space="preserve"> unserved or</w:t>
      </w:r>
      <w:r w:rsidR="00FC70DE">
        <w:rPr>
          <w:rFonts w:eastAsia="Times New Roman"/>
        </w:rPr>
        <w:t xml:space="preserve"> underserved groups</w:t>
      </w:r>
      <w:r w:rsidR="00FC70DE">
        <w:t xml:space="preserve">. </w:t>
      </w:r>
    </w:p>
    <w:p w:rsidR="00A056F0" w:rsidP="3E998DF5" w:rsidRDefault="002E316B" w14:paraId="3A0B8DF9" w14:textId="2BB08010">
      <w:pPr>
        <w:jc w:val="both"/>
      </w:pPr>
      <w:r>
        <w:t xml:space="preserve">Recipients should also outline </w:t>
      </w:r>
      <w:r w:rsidR="00337D37">
        <w:t xml:space="preserve">any </w:t>
      </w:r>
      <w:r>
        <w:t xml:space="preserve">plans to sustain, improve, </w:t>
      </w:r>
      <w:r w:rsidR="00B7277E">
        <w:t xml:space="preserve">and or </w:t>
      </w:r>
      <w:r>
        <w:t>grow community engagement efforts in the subsequent performance year.</w:t>
      </w:r>
    </w:p>
    <w:p w:rsidR="009473A0" w:rsidP="00FC70DE" w:rsidRDefault="009473A0" w14:paraId="04A2191E" w14:textId="77777777">
      <w:pPr>
        <w:spacing w:after="0" w:line="240" w:lineRule="auto"/>
        <w:jc w:val="both"/>
        <w:rPr>
          <w:rFonts w:ascii="Arial" w:hAnsi="Arial" w:eastAsia="Arial" w:cs="Arial"/>
        </w:rPr>
      </w:pPr>
    </w:p>
    <w:p w:rsidRPr="00CF06AC" w:rsidR="00907A83" w:rsidP="00CF06AC" w:rsidRDefault="2A841A48" w14:paraId="502CB8E4" w14:textId="07BD4374">
      <w:pPr>
        <w:pStyle w:val="ListParagraph"/>
        <w:numPr>
          <w:ilvl w:val="0"/>
          <w:numId w:val="14"/>
        </w:numPr>
        <w:spacing w:after="0" w:line="240" w:lineRule="auto"/>
        <w:jc w:val="both"/>
        <w:rPr>
          <w:b/>
          <w:bCs/>
        </w:rPr>
      </w:pPr>
      <w:r w:rsidRPr="3D02C05D">
        <w:rPr>
          <w:b/>
          <w:bCs/>
        </w:rPr>
        <w:t>Civil Rights Compliance</w:t>
      </w:r>
    </w:p>
    <w:p w:rsidR="00AE42E2" w:rsidP="00317684" w:rsidRDefault="003A6E1A" w14:paraId="2E95C372" w14:textId="68C7AC5B">
      <w:r w:rsidRPr="00612EBC">
        <w:rPr>
          <w:i/>
        </w:rPr>
        <w:t>See</w:t>
      </w:r>
      <w:r>
        <w:t xml:space="preserve"> Part 3 Section B.</w:t>
      </w:r>
      <w:r w:rsidR="00CF4664">
        <w:t>8</w:t>
      </w:r>
      <w:r>
        <w:t>.</w:t>
      </w:r>
      <w:r w:rsidR="00CF4664">
        <w:t>c</w:t>
      </w:r>
      <w:r>
        <w:t xml:space="preserve">. </w:t>
      </w:r>
    </w:p>
    <w:p w:rsidR="009733E6" w:rsidRDefault="009733E6" w14:paraId="37DCE367" w14:textId="2BD9D7A7">
      <w:r>
        <w:br w:type="page"/>
      </w:r>
    </w:p>
    <w:p w:rsidRPr="008B077A" w:rsidR="001A0C90" w:rsidP="008B077A" w:rsidRDefault="00F30A9A" w14:paraId="51E257DA" w14:textId="2E2AF921">
      <w:pPr>
        <w:pStyle w:val="Heading1"/>
        <w:rPr>
          <w:color w:val="002060"/>
        </w:rPr>
      </w:pPr>
      <w:bookmarkStart w:name="_Toc102719956" w:id="12"/>
      <w:r w:rsidRPr="008B077A">
        <w:rPr>
          <w:color w:val="002060"/>
        </w:rPr>
        <w:lastRenderedPageBreak/>
        <w:t xml:space="preserve">Part 3: </w:t>
      </w:r>
      <w:r w:rsidRPr="008B077A" w:rsidR="00FC70DE">
        <w:rPr>
          <w:color w:val="002060"/>
        </w:rPr>
        <w:t>General Guidance</w:t>
      </w:r>
      <w:bookmarkEnd w:id="12"/>
      <w:r w:rsidRPr="008B077A" w:rsidR="0036276B">
        <w:rPr>
          <w:color w:val="002060"/>
        </w:rPr>
        <w:t xml:space="preserve"> </w:t>
      </w:r>
    </w:p>
    <w:p w:rsidRPr="00A541D6" w:rsidR="00042E63" w:rsidP="00A541D6" w:rsidRDefault="00042E63" w14:paraId="6C40FC82" w14:textId="519D0022">
      <w:pPr>
        <w:pStyle w:val="NoSpacing"/>
      </w:pPr>
      <w:r w:rsidRPr="00A541D6">
        <w:t xml:space="preserve">This section provides an </w:t>
      </w:r>
      <w:r w:rsidRPr="00A541D6" w:rsidR="0035188A">
        <w:t>overview of</w:t>
      </w:r>
      <w:r w:rsidRPr="00A541D6">
        <w:t xml:space="preserve"> </w:t>
      </w:r>
      <w:r w:rsidRPr="00A541D6" w:rsidR="003C2181">
        <w:t>Recipient</w:t>
      </w:r>
      <w:r w:rsidRPr="00A541D6">
        <w:t xml:space="preserve">s’ compliance responsibilities </w:t>
      </w:r>
      <w:r w:rsidRPr="00042E63">
        <w:t xml:space="preserve">under the </w:t>
      </w:r>
      <w:r w:rsidR="000376B8">
        <w:t>C</w:t>
      </w:r>
      <w:r w:rsidR="00602654">
        <w:t xml:space="preserve">apital </w:t>
      </w:r>
      <w:r w:rsidR="000376B8">
        <w:t>P</w:t>
      </w:r>
      <w:r w:rsidR="00602654">
        <w:t xml:space="preserve">rojects </w:t>
      </w:r>
      <w:r w:rsidR="000376B8">
        <w:t>F</w:t>
      </w:r>
      <w:r w:rsidR="00602654">
        <w:t>und</w:t>
      </w:r>
      <w:r w:rsidRPr="00042E63">
        <w:t xml:space="preserve"> </w:t>
      </w:r>
      <w:r w:rsidR="00A74C62">
        <w:t>Program</w:t>
      </w:r>
      <w:r w:rsidRPr="00A541D6">
        <w:t>.</w:t>
      </w:r>
    </w:p>
    <w:p w:rsidRPr="00A541D6" w:rsidR="00F00218" w:rsidP="00A541D6" w:rsidRDefault="00F00218" w14:paraId="0A2D87C8" w14:textId="0FBEBDF4">
      <w:pPr>
        <w:pStyle w:val="NoSpacing"/>
      </w:pPr>
    </w:p>
    <w:p w:rsidRPr="00A541D6" w:rsidR="0024319D" w:rsidP="00A541D6" w:rsidRDefault="00F00218" w14:paraId="72807108" w14:textId="77462C9B">
      <w:pPr>
        <w:pStyle w:val="NoSpacing"/>
      </w:pPr>
      <w:r w:rsidRPr="00A541D6">
        <w:t xml:space="preserve">It is the </w:t>
      </w:r>
      <w:r w:rsidR="00BB06FB">
        <w:t>Recipient</w:t>
      </w:r>
      <w:r w:rsidRPr="00A541D6">
        <w:t xml:space="preserve">’s responsibility to ensure </w:t>
      </w:r>
      <w:r w:rsidRPr="00A541D6" w:rsidR="008351C7">
        <w:t>that their</w:t>
      </w:r>
      <w:r w:rsidRPr="00A541D6">
        <w:t xml:space="preserve"> CPF award funds are used in compliance with</w:t>
      </w:r>
      <w:r w:rsidRPr="00A541D6" w:rsidR="00964ADE">
        <w:t xml:space="preserve"> </w:t>
      </w:r>
      <w:r w:rsidRPr="00A541D6" w:rsidR="00BD0F20">
        <w:t xml:space="preserve">all applicable </w:t>
      </w:r>
      <w:r w:rsidRPr="00A541D6" w:rsidR="008351C7">
        <w:t>statutes</w:t>
      </w:r>
      <w:r w:rsidRPr="00A541D6" w:rsidR="0039736C">
        <w:t>,</w:t>
      </w:r>
      <w:r w:rsidRPr="00A541D6" w:rsidR="00964ADE">
        <w:t xml:space="preserve"> </w:t>
      </w:r>
      <w:r w:rsidRPr="00A541D6" w:rsidR="008351C7">
        <w:t xml:space="preserve">regulations, and </w:t>
      </w:r>
      <w:r w:rsidRPr="00A541D6" w:rsidR="0039736C">
        <w:t>guidance published by Treasury,</w:t>
      </w:r>
      <w:r w:rsidRPr="00A541D6" w:rsidR="008351C7">
        <w:t xml:space="preserve"> and the requirements of any</w:t>
      </w:r>
      <w:r w:rsidRPr="00A541D6">
        <w:t xml:space="preserve"> other </w:t>
      </w:r>
      <w:r w:rsidRPr="00A541D6" w:rsidR="008351C7">
        <w:t xml:space="preserve">funding </w:t>
      </w:r>
      <w:r w:rsidRPr="00A541D6">
        <w:t>sources used in conjunction with CPF award funds.</w:t>
      </w:r>
      <w:r w:rsidRPr="00A541D6" w:rsidR="008351C7">
        <w:t xml:space="preserve"> </w:t>
      </w:r>
      <w:r w:rsidRPr="00A541D6">
        <w:t xml:space="preserve"> Recipients </w:t>
      </w:r>
      <w:r w:rsidRPr="00A541D6" w:rsidR="008351C7">
        <w:t>must</w:t>
      </w:r>
      <w:r w:rsidRPr="00A541D6">
        <w:t xml:space="preserve"> maintain proper documentation supporting determinations of </w:t>
      </w:r>
      <w:r w:rsidRPr="00A541D6" w:rsidR="003A16A0">
        <w:t xml:space="preserve">allowable </w:t>
      </w:r>
      <w:r w:rsidRPr="00A541D6">
        <w:t xml:space="preserve">costs and </w:t>
      </w:r>
      <w:r w:rsidR="00B94314">
        <w:t>proper internal controls</w:t>
      </w:r>
      <w:r w:rsidRPr="00A541D6">
        <w:t>.</w:t>
      </w:r>
    </w:p>
    <w:p w:rsidRPr="00A541D6" w:rsidR="00132574" w:rsidP="00A541D6" w:rsidRDefault="00132574" w14:paraId="7ED8E3D1" w14:textId="77777777">
      <w:pPr>
        <w:pStyle w:val="NoSpacing"/>
      </w:pPr>
    </w:p>
    <w:p w:rsidRPr="00A541D6" w:rsidR="0024319D" w:rsidP="00A541D6" w:rsidRDefault="00A43EFE" w14:paraId="12B85371" w14:textId="1BE66251">
      <w:pPr>
        <w:pStyle w:val="NoSpacing"/>
      </w:pPr>
      <w:r w:rsidRPr="00A541D6">
        <w:t xml:space="preserve">It is the </w:t>
      </w:r>
      <w:r w:rsidR="00BB06FB">
        <w:t>Recipient</w:t>
      </w:r>
      <w:r w:rsidRPr="00A541D6">
        <w:t>’</w:t>
      </w:r>
      <w:r w:rsidRPr="00A541D6" w:rsidR="0024319D">
        <w:t>s</w:t>
      </w:r>
      <w:r w:rsidRPr="00A541D6">
        <w:t xml:space="preserve"> responsibility to ensure that </w:t>
      </w:r>
      <w:r w:rsidR="00BB06FB">
        <w:t>Subrecipient</w:t>
      </w:r>
      <w:r w:rsidRPr="00A541D6">
        <w:t xml:space="preserve">s </w:t>
      </w:r>
      <w:r w:rsidRPr="00A541D6" w:rsidR="00144C53">
        <w:t xml:space="preserve">are using the subawards </w:t>
      </w:r>
      <w:r w:rsidR="00144C53">
        <w:t xml:space="preserve">for authorized purposes </w:t>
      </w:r>
      <w:r w:rsidRPr="00A541D6" w:rsidR="0024319D">
        <w:t xml:space="preserve">in accordance with 2 CFR 200.332, including ensuring </w:t>
      </w:r>
      <w:r w:rsidRPr="00A541D6" w:rsidR="008351C7">
        <w:t>that</w:t>
      </w:r>
      <w:r w:rsidRPr="00A541D6" w:rsidR="0024319D">
        <w:t xml:space="preserve"> </w:t>
      </w:r>
      <w:r w:rsidR="00BB06FB">
        <w:t>Subrecipient</w:t>
      </w:r>
      <w:r w:rsidRPr="00A541D6" w:rsidR="0024319D">
        <w:t>s comply with the C</w:t>
      </w:r>
      <w:r w:rsidR="005A3DF5">
        <w:t xml:space="preserve">apital </w:t>
      </w:r>
      <w:r w:rsidRPr="00A541D6" w:rsidR="0024319D">
        <w:t>P</w:t>
      </w:r>
      <w:r w:rsidR="005A3DF5">
        <w:t xml:space="preserve">rojects </w:t>
      </w:r>
      <w:r w:rsidRPr="00A541D6" w:rsidR="0024319D">
        <w:t>F</w:t>
      </w:r>
      <w:r w:rsidR="005A3DF5">
        <w:t>und</w:t>
      </w:r>
      <w:r w:rsidRPr="00A541D6" w:rsidR="0024319D">
        <w:t xml:space="preserve"> </w:t>
      </w:r>
      <w:r w:rsidRPr="00A541D6" w:rsidR="003A16A0">
        <w:t>Statute</w:t>
      </w:r>
      <w:r w:rsidRPr="00A541D6" w:rsidR="0024319D">
        <w:t xml:space="preserve">, </w:t>
      </w:r>
      <w:r w:rsidRPr="00A541D6" w:rsidR="003A16A0">
        <w:t>grant agreement</w:t>
      </w:r>
      <w:r w:rsidRPr="00A541D6" w:rsidR="0024319D">
        <w:t xml:space="preserve">, applicable federal statutes, regulations, </w:t>
      </w:r>
      <w:r w:rsidRPr="00A541D6" w:rsidR="003A16A0">
        <w:t xml:space="preserve">guidance published by Treasury, </w:t>
      </w:r>
      <w:r w:rsidRPr="00A541D6" w:rsidR="0024319D">
        <w:t>and reporting requirements.</w:t>
      </w:r>
    </w:p>
    <w:p w:rsidR="00C5344A" w:rsidP="008F07E0" w:rsidRDefault="00C5344A" w14:paraId="5F0FF51F" w14:textId="77777777">
      <w:pPr>
        <w:pStyle w:val="NoSpacing"/>
      </w:pPr>
    </w:p>
    <w:p w:rsidRPr="005F156D" w:rsidR="0082764E" w:rsidP="008B077A" w:rsidRDefault="00A43EFE" w14:paraId="335A6D09" w14:textId="1DC0D32B">
      <w:pPr>
        <w:pStyle w:val="Subtitle"/>
        <w:numPr>
          <w:ilvl w:val="0"/>
          <w:numId w:val="70"/>
        </w:numPr>
        <w:rPr>
          <w:i w:val="0"/>
          <w:iCs w:val="0"/>
        </w:rPr>
      </w:pPr>
      <w:bookmarkStart w:name="_Toc102719957" w:id="13"/>
      <w:r w:rsidRPr="005F156D">
        <w:rPr>
          <w:i w:val="0"/>
          <w:iCs w:val="0"/>
        </w:rPr>
        <w:t>Compliance Requirements</w:t>
      </w:r>
      <w:bookmarkEnd w:id="13"/>
    </w:p>
    <w:p w:rsidR="0082764E" w:rsidP="008F07E0" w:rsidRDefault="0082764E" w14:paraId="2E523438" w14:textId="5A2A317D">
      <w:pPr>
        <w:pStyle w:val="NoSpacing"/>
      </w:pPr>
      <w:r>
        <w:t xml:space="preserve">All </w:t>
      </w:r>
      <w:r w:rsidR="003C2181">
        <w:t>Recipient</w:t>
      </w:r>
      <w:r>
        <w:t xml:space="preserve">s of federal funds must complete financial, performance, and compliance reporting as required </w:t>
      </w:r>
      <w:r w:rsidR="00E069CC">
        <w:t xml:space="preserve">by the </w:t>
      </w:r>
      <w:r w:rsidR="00132574">
        <w:t>Grant Agreement</w:t>
      </w:r>
      <w:r w:rsidR="00E069CC">
        <w:t xml:space="preserve">, 2 CFR 200.328, 2 CFR 200.329, </w:t>
      </w:r>
      <w:r>
        <w:t>and</w:t>
      </w:r>
      <w:r w:rsidR="00B915D4">
        <w:t xml:space="preserve"> </w:t>
      </w:r>
      <w:r w:rsidR="00E069CC">
        <w:t xml:space="preserve">as </w:t>
      </w:r>
      <w:r>
        <w:t xml:space="preserve">outlined in </w:t>
      </w:r>
      <w:r w:rsidR="0098383D">
        <w:t>Part</w:t>
      </w:r>
      <w:r w:rsidDel="00FB1F79">
        <w:t xml:space="preserve"> 2 </w:t>
      </w:r>
      <w:r>
        <w:t xml:space="preserve">of this guidance.  Expenditures may be reported on a cash or accrual </w:t>
      </w:r>
      <w:r w:rsidR="00702473">
        <w:t xml:space="preserve">basis </w:t>
      </w:r>
      <w:proofErr w:type="gramStart"/>
      <w:r w:rsidR="00042164">
        <w:t>as long as</w:t>
      </w:r>
      <w:proofErr w:type="gramEnd"/>
      <w:r>
        <w:t xml:space="preserve"> the methodology is disclosed and </w:t>
      </w:r>
      <w:r w:rsidR="00042164">
        <w:t xml:space="preserve">is </w:t>
      </w:r>
      <w:r>
        <w:t xml:space="preserve">consistently applied.  </w:t>
      </w:r>
      <w:r w:rsidR="00964ADE">
        <w:t xml:space="preserve">Project and </w:t>
      </w:r>
      <w:r w:rsidR="00042164">
        <w:t xml:space="preserve">Expenditure </w:t>
      </w:r>
      <w:r w:rsidR="00964ADE">
        <w:t>R</w:t>
      </w:r>
      <w:r w:rsidR="00042164">
        <w:t xml:space="preserve">eports </w:t>
      </w:r>
      <w:r>
        <w:t xml:space="preserve">must </w:t>
      </w:r>
      <w:r w:rsidR="00132574">
        <w:t>incorporate</w:t>
      </w:r>
      <w:r>
        <w:t xml:space="preserve"> the definition of expenditures pursuant to 2 CFR 200.1.  </w:t>
      </w:r>
      <w:r w:rsidR="003C2181">
        <w:t>Recipient</w:t>
      </w:r>
      <w:r w:rsidR="005133D2">
        <w:t>s</w:t>
      </w:r>
      <w:r>
        <w:t xml:space="preserve"> </w:t>
      </w:r>
      <w:r w:rsidR="00A43EFE">
        <w:t xml:space="preserve">must </w:t>
      </w:r>
      <w:r>
        <w:t>maintain accounting records for compiling and reporting accurate financial data in accordance with appropriate accounting standards and principles.</w:t>
      </w:r>
    </w:p>
    <w:p w:rsidR="0082764E" w:rsidP="008F07E0" w:rsidRDefault="0082764E" w14:paraId="55B8D1B7" w14:textId="77777777">
      <w:pPr>
        <w:pStyle w:val="NoSpacing"/>
        <w:rPr>
          <w:b/>
          <w:bCs/>
        </w:rPr>
      </w:pPr>
    </w:p>
    <w:p w:rsidRPr="005F156D" w:rsidR="00C5344A" w:rsidP="008B077A" w:rsidRDefault="00C5344A" w14:paraId="023B7FF4" w14:textId="5B568A66">
      <w:pPr>
        <w:pStyle w:val="Subtitle"/>
        <w:numPr>
          <w:ilvl w:val="0"/>
          <w:numId w:val="70"/>
        </w:numPr>
        <w:rPr>
          <w:i w:val="0"/>
          <w:iCs w:val="0"/>
        </w:rPr>
      </w:pPr>
      <w:bookmarkStart w:name="_Toc102719958" w:id="14"/>
      <w:r w:rsidRPr="005F156D">
        <w:rPr>
          <w:i w:val="0"/>
          <w:iCs w:val="0"/>
        </w:rPr>
        <w:t>Uniform Administrative Requirements</w:t>
      </w:r>
      <w:bookmarkEnd w:id="14"/>
    </w:p>
    <w:p w:rsidR="00C5344A" w:rsidP="008F07E0" w:rsidRDefault="00C5344A" w14:paraId="3CF87F82" w14:textId="12570B35">
      <w:pPr>
        <w:pStyle w:val="NoSpacing"/>
      </w:pPr>
      <w:r>
        <w:t xml:space="preserve">The </w:t>
      </w:r>
      <w:r w:rsidR="00602654">
        <w:t>C</w:t>
      </w:r>
      <w:r w:rsidR="003533CC">
        <w:t xml:space="preserve">PF </w:t>
      </w:r>
      <w:r>
        <w:t xml:space="preserve">awards are subject to the requirements set forth in the Uniform Guidance.  </w:t>
      </w:r>
      <w:r w:rsidR="003C2181">
        <w:t>Recipient</w:t>
      </w:r>
      <w:r w:rsidR="00BF3DA2">
        <w:t>s</w:t>
      </w:r>
      <w:r>
        <w:t xml:space="preserve"> should review the Uniform Guidance requirements applicable to </w:t>
      </w:r>
      <w:r w:rsidR="004B7521">
        <w:t>their</w:t>
      </w:r>
      <w:r>
        <w:t xml:space="preserve"> use of </w:t>
      </w:r>
      <w:r w:rsidR="00602654">
        <w:t>Capital Projects Fund</w:t>
      </w:r>
      <w:r w:rsidR="00CD2A6B">
        <w:t xml:space="preserve"> grant fund</w:t>
      </w:r>
      <w:r w:rsidR="00F74F6A">
        <w:t>s</w:t>
      </w:r>
      <w:r>
        <w:t xml:space="preserve">, and </w:t>
      </w:r>
      <w:r w:rsidR="00F74F6A">
        <w:t>Capital Projects Fund</w:t>
      </w:r>
      <w:r w:rsidRPr="00042E63" w:rsidR="00F74F6A">
        <w:t xml:space="preserve"> </w:t>
      </w:r>
      <w:r w:rsidR="00BB06FB">
        <w:t>Project</w:t>
      </w:r>
      <w:r>
        <w:t xml:space="preserve">s.  </w:t>
      </w:r>
    </w:p>
    <w:p w:rsidR="00C5344A" w:rsidP="008F07E0" w:rsidRDefault="00C5344A" w14:paraId="244082B5" w14:textId="39ACFB61">
      <w:pPr>
        <w:pStyle w:val="NoSpacing"/>
      </w:pPr>
    </w:p>
    <w:p w:rsidR="00C5344A" w:rsidP="008F07E0" w:rsidRDefault="00C5344A" w14:paraId="59E3237B" w14:textId="15FF503A">
      <w:pPr>
        <w:pStyle w:val="NoSpacing"/>
      </w:pPr>
      <w:r>
        <w:t xml:space="preserve">The following sections provide a general summary of </w:t>
      </w:r>
      <w:r w:rsidR="003C2181">
        <w:t>Recipient</w:t>
      </w:r>
      <w:r w:rsidR="00C5230C">
        <w:t>s</w:t>
      </w:r>
      <w:r w:rsidR="00DA03B0">
        <w:t>’</w:t>
      </w:r>
      <w:r>
        <w:t xml:space="preserve"> compliance responsibilities under applicable </w:t>
      </w:r>
      <w:r w:rsidR="004B7521">
        <w:t>s</w:t>
      </w:r>
      <w:r>
        <w:t>tatutes and regulations, including the Uniform Guidance.  Note that the descriptions below are only general summaries</w:t>
      </w:r>
      <w:r w:rsidR="00FB2787">
        <w:t>.</w:t>
      </w:r>
      <w:r>
        <w:t xml:space="preserve"> </w:t>
      </w:r>
      <w:r w:rsidR="0066676A">
        <w:t xml:space="preserve"> </w:t>
      </w:r>
      <w:r w:rsidR="00FB2787">
        <w:t>All</w:t>
      </w:r>
      <w:r>
        <w:t xml:space="preserve"> </w:t>
      </w:r>
      <w:r w:rsidR="003C2181">
        <w:t>Recipient</w:t>
      </w:r>
      <w:r>
        <w:t xml:space="preserve">s and </w:t>
      </w:r>
      <w:r w:rsidR="00453943">
        <w:t>S</w:t>
      </w:r>
      <w:r>
        <w:t>ub</w:t>
      </w:r>
      <w:r w:rsidR="00874DFE">
        <w:t>r</w:t>
      </w:r>
      <w:r w:rsidR="003C2181">
        <w:t>ecipient</w:t>
      </w:r>
      <w:r>
        <w:t xml:space="preserve">s are advised to carefully review the Uniform Guidance requirements and </w:t>
      </w:r>
      <w:r w:rsidR="004B7521">
        <w:t>all other</w:t>
      </w:r>
      <w:r>
        <w:t xml:space="preserve"> regulatory and statutory requirements applicable to </w:t>
      </w:r>
      <w:r w:rsidR="00B3519E">
        <w:t>CPF</w:t>
      </w:r>
      <w:r>
        <w:t>.</w:t>
      </w:r>
    </w:p>
    <w:p w:rsidR="00C5344A" w:rsidP="008F07E0" w:rsidRDefault="00C5344A" w14:paraId="79D51BB1" w14:textId="77777777">
      <w:pPr>
        <w:pStyle w:val="NoSpacing"/>
      </w:pPr>
    </w:p>
    <w:p w:rsidRPr="00BB38CB" w:rsidR="00AE3F18" w:rsidP="008F07E0" w:rsidRDefault="0002785C" w14:paraId="63C0ABE4" w14:textId="77E0D6CB">
      <w:pPr>
        <w:pStyle w:val="NoSpacing"/>
        <w:numPr>
          <w:ilvl w:val="1"/>
          <w:numId w:val="31"/>
        </w:numPr>
        <w:ind w:left="270" w:hanging="270"/>
        <w:rPr>
          <w:rStyle w:val="SubtleEmphasis"/>
          <w:i w:val="0"/>
          <w:iCs w:val="0"/>
          <w:color w:val="auto"/>
          <w:u w:val="single"/>
        </w:rPr>
      </w:pPr>
      <w:r w:rsidRPr="00BB38CB">
        <w:rPr>
          <w:rStyle w:val="SubtleEmphasis"/>
          <w:i w:val="0"/>
          <w:iCs w:val="0"/>
          <w:color w:val="auto"/>
          <w:u w:val="single"/>
        </w:rPr>
        <w:t>Internal Controls</w:t>
      </w:r>
    </w:p>
    <w:p w:rsidR="00C5344A" w:rsidP="008F07E0" w:rsidRDefault="0002785C" w14:paraId="7F9458B9" w14:textId="079D32F2">
      <w:pPr>
        <w:pStyle w:val="NoSpacing"/>
      </w:pPr>
      <w:r>
        <w:t xml:space="preserve">Per 2 CFR 200.303, Recipients must </w:t>
      </w:r>
      <w:r w:rsidR="0066676A">
        <w:t>establish and maintain</w:t>
      </w:r>
      <w:r>
        <w:t xml:space="preserve"> effective internal controls to manage their CPF award in compliance with Federal statutes, regulations, and the terms and conditions of the </w:t>
      </w:r>
      <w:r w:rsidR="00CF743A">
        <w:t>CPF</w:t>
      </w:r>
      <w:r>
        <w:t xml:space="preserve"> award.</w:t>
      </w:r>
      <w:r w:rsidR="0066676A">
        <w:t xml:space="preserve"> </w:t>
      </w:r>
      <w:r>
        <w:t xml:space="preserve"> </w:t>
      </w:r>
      <w:r w:rsidR="003C2181">
        <w:t>Recipient</w:t>
      </w:r>
      <w:r w:rsidR="0001072F">
        <w:t>s</w:t>
      </w:r>
      <w:r w:rsidR="00C5344A">
        <w:t xml:space="preserve"> should review program requirements</w:t>
      </w:r>
      <w:r w:rsidR="00984483">
        <w:t xml:space="preserve">, </w:t>
      </w:r>
      <w:r w:rsidR="00C5344A">
        <w:t>the Grant Agreement</w:t>
      </w:r>
      <w:r w:rsidR="00AB699A">
        <w:t>,</w:t>
      </w:r>
      <w:r w:rsidR="00984483">
        <w:t xml:space="preserve"> and the approved </w:t>
      </w:r>
      <w:r w:rsidR="008B63EB">
        <w:t xml:space="preserve">Program </w:t>
      </w:r>
      <w:r w:rsidR="00984483">
        <w:t>Plans</w:t>
      </w:r>
      <w:r w:rsidR="00C5344A">
        <w:t xml:space="preserve"> to determine and record eligible uses of </w:t>
      </w:r>
      <w:r w:rsidR="00F74F6A">
        <w:t>C</w:t>
      </w:r>
      <w:r w:rsidR="003533CC">
        <w:t xml:space="preserve">PF </w:t>
      </w:r>
      <w:r w:rsidR="00CD2A6B">
        <w:t>grant fund</w:t>
      </w:r>
      <w:r w:rsidR="00F74F6A">
        <w:t>s</w:t>
      </w:r>
      <w:r w:rsidR="00D45CD1">
        <w:t xml:space="preserve">.  </w:t>
      </w:r>
    </w:p>
    <w:p w:rsidR="00C5344A" w:rsidP="008F07E0" w:rsidRDefault="00C5344A" w14:paraId="791CA21F" w14:textId="77777777">
      <w:pPr>
        <w:pStyle w:val="NoSpacing"/>
      </w:pPr>
    </w:p>
    <w:p w:rsidRPr="005F156D" w:rsidR="00AE3F18" w:rsidP="00A04748" w:rsidRDefault="00C5344A" w14:paraId="0AAB1392" w14:textId="10812278">
      <w:pPr>
        <w:pStyle w:val="NoSpacing"/>
        <w:keepNext/>
        <w:numPr>
          <w:ilvl w:val="1"/>
          <w:numId w:val="31"/>
        </w:numPr>
        <w:ind w:left="274" w:hanging="274"/>
        <w:rPr>
          <w:rStyle w:val="SubtleEmphasis"/>
          <w:i w:val="0"/>
          <w:iCs w:val="0"/>
          <w:color w:val="auto"/>
          <w:u w:val="single"/>
        </w:rPr>
      </w:pPr>
      <w:r w:rsidRPr="005F156D">
        <w:rPr>
          <w:rStyle w:val="SubtleEmphasis"/>
          <w:i w:val="0"/>
          <w:iCs w:val="0"/>
          <w:color w:val="auto"/>
          <w:u w:val="single"/>
        </w:rPr>
        <w:t>Allowable Costs/Cost Principles</w:t>
      </w:r>
    </w:p>
    <w:p w:rsidRPr="00454AFB" w:rsidR="00A15806" w:rsidP="00010980" w:rsidRDefault="00A15806" w14:paraId="379C01A7" w14:textId="61B4A191">
      <w:pPr>
        <w:pStyle w:val="CommentText"/>
        <w:spacing w:after="0"/>
        <w:rPr>
          <w:sz w:val="22"/>
          <w:szCs w:val="22"/>
        </w:rPr>
      </w:pPr>
      <w:r w:rsidRPr="00454AFB">
        <w:rPr>
          <w:sz w:val="22"/>
          <w:szCs w:val="22"/>
        </w:rPr>
        <w:t xml:space="preserve">As outlined in the Uniform Guidance at 2 CFR Part 200, Subpart E regarding Cost Principles, allowable costs must meet the following criteria: (1) be </w:t>
      </w:r>
      <w:r w:rsidR="00CC7EAD">
        <w:rPr>
          <w:sz w:val="22"/>
          <w:szCs w:val="22"/>
        </w:rPr>
        <w:t xml:space="preserve">allowable, </w:t>
      </w:r>
      <w:r w:rsidRPr="00454AFB">
        <w:rPr>
          <w:sz w:val="22"/>
          <w:szCs w:val="22"/>
        </w:rPr>
        <w:t>necessary, reasonable, and allocable for the performance of the Federal award, (2) be accorded consistent treatment as either a direct cost or indirect cost (and as either a Project cost or administrative cost), and (3) be adequately documented.</w:t>
      </w:r>
      <w:r w:rsidR="00CF06AC">
        <w:rPr>
          <w:sz w:val="22"/>
          <w:szCs w:val="22"/>
        </w:rPr>
        <w:t xml:space="preserve"> </w:t>
      </w:r>
      <w:r w:rsidRPr="00454AFB">
        <w:rPr>
          <w:sz w:val="22"/>
          <w:szCs w:val="22"/>
        </w:rPr>
        <w:t xml:space="preserve"> Recipients are responsible for the effective administration of Federal awards, application of sound management practices, and administration of Federal funds in a manner consistent with the program objectives and terms and conditions of the award.</w:t>
      </w:r>
    </w:p>
    <w:p w:rsidR="00473790" w:rsidP="008F07E0" w:rsidRDefault="00473790" w14:paraId="12E79F1E" w14:textId="77777777">
      <w:pPr>
        <w:pStyle w:val="NoSpacing"/>
      </w:pPr>
    </w:p>
    <w:p w:rsidRPr="005F156D" w:rsidR="00A045C2" w:rsidP="00F21570" w:rsidRDefault="00C5344A" w14:paraId="55BB0743" w14:textId="02DAC8AB">
      <w:pPr>
        <w:pStyle w:val="NoSpacing"/>
        <w:keepNext/>
        <w:numPr>
          <w:ilvl w:val="1"/>
          <w:numId w:val="31"/>
        </w:numPr>
        <w:ind w:left="274" w:hanging="274"/>
        <w:rPr>
          <w:rStyle w:val="SubtleEmphasis"/>
          <w:i w:val="0"/>
          <w:iCs w:val="0"/>
          <w:color w:val="auto"/>
          <w:u w:val="single"/>
        </w:rPr>
      </w:pPr>
      <w:r w:rsidRPr="005F156D">
        <w:rPr>
          <w:rStyle w:val="SubtleEmphasis"/>
          <w:i w:val="0"/>
          <w:iCs w:val="0"/>
          <w:color w:val="auto"/>
          <w:u w:val="single"/>
        </w:rPr>
        <w:lastRenderedPageBreak/>
        <w:t xml:space="preserve">Cash Management </w:t>
      </w:r>
    </w:p>
    <w:p w:rsidR="00C5344A" w:rsidP="008F07E0" w:rsidRDefault="006C772F" w14:paraId="39FFEEAF" w14:textId="511F7F9B">
      <w:pPr>
        <w:pStyle w:val="NoSpacing"/>
      </w:pPr>
      <w:r>
        <w:t xml:space="preserve">Capital Projects Fund payments made to states and territories are subject to the requirements of the Cash Management Improvement Act (P.L. 101-453) and Treasury’s implementing regulations </w:t>
      </w:r>
      <w:r w:rsidRPr="008B70D5">
        <w:t>at</w:t>
      </w:r>
      <w:r>
        <w:t xml:space="preserve"> 31 CFR part 205.</w:t>
      </w:r>
      <w:r w:rsidR="00FA199C">
        <w:t xml:space="preserve"> CPF payments made to freely associated states are subject to the cash management requirements described in the Uniform Guidance </w:t>
      </w:r>
      <w:r w:rsidRPr="008B70D5" w:rsidR="00FA199C">
        <w:t>at</w:t>
      </w:r>
      <w:r w:rsidR="00FA199C">
        <w:t xml:space="preserve"> 2 CFR 200.305(b).</w:t>
      </w:r>
      <w:r w:rsidRPr="006C772F" w:rsidR="00FA199C">
        <w:t xml:space="preserve">  </w:t>
      </w:r>
    </w:p>
    <w:p w:rsidR="00C5344A" w:rsidP="008F07E0" w:rsidRDefault="00C5344A" w14:paraId="2A747EED" w14:textId="77777777">
      <w:pPr>
        <w:pStyle w:val="NoSpacing"/>
      </w:pPr>
    </w:p>
    <w:p w:rsidR="00AE36AC" w:rsidP="008F07E0" w:rsidRDefault="00DA7C5B" w14:paraId="2922C40E" w14:textId="04812B8B">
      <w:pPr>
        <w:pStyle w:val="NoSpacing"/>
      </w:pPr>
      <w:r>
        <w:t xml:space="preserve">Recipients may request </w:t>
      </w:r>
      <w:r w:rsidR="006C772F">
        <w:t xml:space="preserve">drawdowns </w:t>
      </w:r>
      <w:r>
        <w:t xml:space="preserve">of CPF funds from Treasury on a reimbursement basis to cover outlays already incurred, or as advances on anticipated outlays. </w:t>
      </w:r>
      <w:r w:rsidR="00CF06AC">
        <w:t xml:space="preserve"> </w:t>
      </w:r>
      <w:r w:rsidR="001C43F8">
        <w:t xml:space="preserve">Recipients are responsible for requesting drawdowns from Treasury only as needed.  </w:t>
      </w:r>
      <w:r w:rsidR="006C772F">
        <w:t xml:space="preserve">Pursuant to </w:t>
      </w:r>
      <w:r w:rsidR="00265112">
        <w:t>31</w:t>
      </w:r>
      <w:r w:rsidR="006C772F">
        <w:t xml:space="preserve"> CFR 20</w:t>
      </w:r>
      <w:r w:rsidR="00265112">
        <w:t>5</w:t>
      </w:r>
      <w:r w:rsidR="006C772F">
        <w:t>.33,</w:t>
      </w:r>
      <w:r>
        <w:t xml:space="preserve"> </w:t>
      </w:r>
      <w:r w:rsidR="00154602">
        <w:t xml:space="preserve">state </w:t>
      </w:r>
      <w:r w:rsidR="00BB06FB">
        <w:t>Recipient</w:t>
      </w:r>
      <w:r>
        <w:t>s are required to minimize the time elapsing between drawdown</w:t>
      </w:r>
      <w:r w:rsidR="007453F8">
        <w:t>s of award funds</w:t>
      </w:r>
      <w:r>
        <w:t xml:space="preserve"> and outlay</w:t>
      </w:r>
      <w:r w:rsidR="007453F8">
        <w:t>s</w:t>
      </w:r>
      <w:r>
        <w:t xml:space="preserve"> of </w:t>
      </w:r>
      <w:r w:rsidR="00154602">
        <w:t xml:space="preserve">award </w:t>
      </w:r>
      <w:r>
        <w:t>funds</w:t>
      </w:r>
      <w:r w:rsidR="00154602">
        <w:t>.</w:t>
      </w:r>
      <w:r>
        <w:t xml:space="preserve"> </w:t>
      </w:r>
    </w:p>
    <w:p w:rsidR="00DA7C5B" w:rsidP="008F07E0" w:rsidRDefault="00DA7C5B" w14:paraId="56A04D83" w14:textId="5ECA86DC">
      <w:pPr>
        <w:pStyle w:val="NoSpacing"/>
      </w:pPr>
    </w:p>
    <w:p w:rsidRPr="005F156D" w:rsidR="00DA7C5B" w:rsidP="00DA7C5B" w:rsidRDefault="003F1C01" w14:paraId="38A2D584" w14:textId="067A7C37">
      <w:pPr>
        <w:pStyle w:val="NoSpacing"/>
        <w:numPr>
          <w:ilvl w:val="1"/>
          <w:numId w:val="31"/>
        </w:numPr>
        <w:ind w:left="270" w:hanging="270"/>
        <w:rPr>
          <w:rStyle w:val="SubtleEmphasis"/>
          <w:i w:val="0"/>
          <w:iCs w:val="0"/>
          <w:color w:val="auto"/>
          <w:u w:val="single"/>
        </w:rPr>
      </w:pPr>
      <w:r w:rsidRPr="005F156D">
        <w:rPr>
          <w:rStyle w:val="SubtleEmphasis"/>
          <w:i w:val="0"/>
          <w:iCs w:val="0"/>
          <w:color w:val="auto"/>
          <w:u w:val="single"/>
        </w:rPr>
        <w:t xml:space="preserve">Earned </w:t>
      </w:r>
      <w:r w:rsidRPr="005F156D" w:rsidR="00DA7C5B">
        <w:rPr>
          <w:rStyle w:val="SubtleEmphasis"/>
          <w:i w:val="0"/>
          <w:iCs w:val="0"/>
          <w:color w:val="auto"/>
          <w:u w:val="single"/>
        </w:rPr>
        <w:t>Interest</w:t>
      </w:r>
    </w:p>
    <w:p w:rsidR="00113177" w:rsidP="008209C2" w:rsidRDefault="00DA7C5B" w14:paraId="3744198F" w14:textId="68E3A2DB">
      <w:pPr>
        <w:spacing w:after="0" w:line="240" w:lineRule="auto"/>
      </w:pPr>
      <w:r>
        <w:t>R</w:t>
      </w:r>
      <w:r w:rsidRPr="00EA2C46">
        <w:t xml:space="preserve">ecipients are not required to </w:t>
      </w:r>
      <w:r>
        <w:t>deposit</w:t>
      </w:r>
      <w:r w:rsidRPr="00EA2C46">
        <w:t xml:space="preserve"> CPF funds in a </w:t>
      </w:r>
      <w:r>
        <w:t xml:space="preserve">separate </w:t>
      </w:r>
      <w:r w:rsidRPr="00EA2C46">
        <w:t>bank account</w:t>
      </w:r>
      <w:r w:rsidR="00AC4ED7">
        <w:t>;</w:t>
      </w:r>
      <w:r w:rsidRPr="00EA2C46">
        <w:t xml:space="preserve"> </w:t>
      </w:r>
      <w:proofErr w:type="gramStart"/>
      <w:r>
        <w:t>however</w:t>
      </w:r>
      <w:proofErr w:type="gramEnd"/>
      <w:r>
        <w:t xml:space="preserve"> they must track and account for CPF funds appropriately.  </w:t>
      </w:r>
      <w:r w:rsidR="0087292C">
        <w:t>R</w:t>
      </w:r>
      <w:r w:rsidRPr="00F21570" w:rsidR="0087292C">
        <w:t xml:space="preserve">ecipients </w:t>
      </w:r>
      <w:r w:rsidRPr="00EA2C46">
        <w:t xml:space="preserve">are </w:t>
      </w:r>
      <w:r>
        <w:t xml:space="preserve">also required </w:t>
      </w:r>
      <w:r w:rsidRPr="00EA2C46">
        <w:t xml:space="preserve">to track interest earned on CPF funds.  </w:t>
      </w:r>
    </w:p>
    <w:p w:rsidR="00113177" w:rsidP="008209C2" w:rsidRDefault="00113177" w14:paraId="5F4940BA" w14:textId="1844FB83">
      <w:pPr>
        <w:spacing w:after="0" w:line="240" w:lineRule="auto"/>
      </w:pPr>
    </w:p>
    <w:p w:rsidRPr="005F156D" w:rsidR="00113177" w:rsidP="008B70D5" w:rsidRDefault="00113177" w14:paraId="29717F32" w14:textId="092AC146">
      <w:pPr>
        <w:spacing w:after="0" w:line="240" w:lineRule="auto"/>
        <w:ind w:firstLine="720"/>
        <w:rPr>
          <w:b/>
          <w:bCs/>
          <w:i/>
          <w:iCs/>
        </w:rPr>
      </w:pPr>
      <w:r w:rsidRPr="005F156D">
        <w:rPr>
          <w:b/>
          <w:bCs/>
          <w:i/>
          <w:iCs/>
        </w:rPr>
        <w:t>Freely Associated States</w:t>
      </w:r>
    </w:p>
    <w:p w:rsidRPr="00F21570" w:rsidR="00F21570" w:rsidP="008B70D5" w:rsidRDefault="00C85130" w14:paraId="04C1B0B8" w14:textId="7A043BCB">
      <w:pPr>
        <w:spacing w:after="0" w:line="240" w:lineRule="auto"/>
        <w:ind w:left="720"/>
        <w:rPr>
          <w:rFonts w:eastAsia="Times New Roman" w:cs="Arial"/>
        </w:rPr>
      </w:pPr>
      <w:r>
        <w:t>Pursuant to 2 CFR 200.305(b)(9)</w:t>
      </w:r>
      <w:r w:rsidRPr="00EA2C46" w:rsidR="00DA7C5B">
        <w:t xml:space="preserve">, interest earned </w:t>
      </w:r>
      <w:r>
        <w:t xml:space="preserve">up to $500 per year may be retained </w:t>
      </w:r>
      <w:r w:rsidRPr="00EA2C46" w:rsidR="00DA7C5B">
        <w:t xml:space="preserve">by </w:t>
      </w:r>
      <w:r w:rsidRPr="00454AFB" w:rsidR="009D639D">
        <w:t>freely associated stat</w:t>
      </w:r>
      <w:r w:rsidR="009D639D">
        <w:t>e</w:t>
      </w:r>
      <w:r w:rsidRPr="00454AFB" w:rsidR="009D639D">
        <w:t xml:space="preserve"> </w:t>
      </w:r>
      <w:r w:rsidR="00BB06FB">
        <w:t>Recipient</w:t>
      </w:r>
      <w:r w:rsidRPr="00EA2C46" w:rsidR="00DA7C5B">
        <w:t xml:space="preserve">s </w:t>
      </w:r>
      <w:r>
        <w:t>for administrative expenses</w:t>
      </w:r>
      <w:r w:rsidR="009D639D">
        <w:t xml:space="preserve"> on the CPF award</w:t>
      </w:r>
      <w:r>
        <w:t xml:space="preserve">. All additional </w:t>
      </w:r>
      <w:r w:rsidR="009D639D">
        <w:t xml:space="preserve">interest earned by </w:t>
      </w:r>
      <w:r w:rsidRPr="00454AFB" w:rsidR="009D639D">
        <w:t xml:space="preserve">freely associated state </w:t>
      </w:r>
      <w:r w:rsidR="00BB06FB">
        <w:t>Recipient</w:t>
      </w:r>
      <w:r w:rsidR="009D639D">
        <w:t>s</w:t>
      </w:r>
      <w:r w:rsidRPr="00EA2C46" w:rsidR="00DA7C5B">
        <w:t xml:space="preserve"> on advances from CPF funds must be remitted </w:t>
      </w:r>
      <w:r w:rsidR="009D639D">
        <w:t>annually to the Department of Health and Human Services Payment Management System (PMS) through an electronic medium using either Automated Clearing House (ACH) network or a Fedwire Funds Service payment</w:t>
      </w:r>
      <w:r w:rsidRPr="00EA2C46" w:rsidR="00DA7C5B">
        <w:t>.</w:t>
      </w:r>
      <w:r w:rsidR="00454AFB">
        <w:rPr>
          <w:rStyle w:val="FootnoteReference"/>
        </w:rPr>
        <w:footnoteReference w:id="8"/>
      </w:r>
      <w:r w:rsidRPr="00EA2C46" w:rsidR="00DA7C5B">
        <w:t xml:space="preserve"> </w:t>
      </w:r>
    </w:p>
    <w:p w:rsidRPr="000C17BC" w:rsidR="00C5344A" w:rsidP="008F07E0" w:rsidRDefault="00C5344A" w14:paraId="6E5497F0" w14:textId="0435EEF0">
      <w:pPr>
        <w:pStyle w:val="NoSpacing"/>
        <w:rPr>
          <w:b/>
          <w:bCs/>
        </w:rPr>
      </w:pPr>
    </w:p>
    <w:p w:rsidRPr="005F156D" w:rsidR="002725FB" w:rsidP="008F07E0" w:rsidRDefault="00C5344A" w14:paraId="517BAE48" w14:textId="57F0EA05">
      <w:pPr>
        <w:pStyle w:val="NoSpacing"/>
        <w:numPr>
          <w:ilvl w:val="1"/>
          <w:numId w:val="31"/>
        </w:numPr>
        <w:ind w:left="270" w:hanging="270"/>
        <w:rPr>
          <w:rStyle w:val="SubtleEmphasis"/>
          <w:i w:val="0"/>
          <w:iCs w:val="0"/>
          <w:color w:val="auto"/>
          <w:u w:val="single"/>
        </w:rPr>
      </w:pPr>
      <w:r w:rsidRPr="005F156D">
        <w:rPr>
          <w:rStyle w:val="SubtleEmphasis"/>
          <w:i w:val="0"/>
          <w:iCs w:val="0"/>
          <w:color w:val="auto"/>
          <w:u w:val="single"/>
        </w:rPr>
        <w:t>Period of Performance</w:t>
      </w:r>
      <w:r w:rsidRPr="005F156D" w:rsidR="001B1102">
        <w:rPr>
          <w:rStyle w:val="SubtleEmphasis"/>
          <w:i w:val="0"/>
          <w:iCs w:val="0"/>
          <w:color w:val="auto"/>
          <w:u w:val="single"/>
        </w:rPr>
        <w:t xml:space="preserve"> and Pre-Award Costs</w:t>
      </w:r>
    </w:p>
    <w:p w:rsidR="00736390" w:rsidP="008F07E0" w:rsidRDefault="00736390" w14:paraId="6829238D" w14:textId="02FFC49E">
      <w:pPr>
        <w:pStyle w:val="NoSpacing"/>
      </w:pPr>
      <w:r>
        <w:t xml:space="preserve">The period of performance for the CPF grant begins on the date that Treasury countersigns the </w:t>
      </w:r>
      <w:r w:rsidR="009B33C4">
        <w:t>Grant Agreement</w:t>
      </w:r>
      <w:r>
        <w:t xml:space="preserve"> (the “P</w:t>
      </w:r>
      <w:r w:rsidR="00FD614B">
        <w:t>O</w:t>
      </w:r>
      <w:r>
        <w:t>P Start Date”)</w:t>
      </w:r>
      <w:r w:rsidR="00C2661D">
        <w:t xml:space="preserve"> </w:t>
      </w:r>
      <w:r>
        <w:t xml:space="preserve">and ends on December 31, </w:t>
      </w:r>
      <w:proofErr w:type="gramStart"/>
      <w:r>
        <w:t>2026</w:t>
      </w:r>
      <w:proofErr w:type="gramEnd"/>
      <w:r w:rsidR="00406EDD">
        <w:t xml:space="preserve"> unless otherwise indicated</w:t>
      </w:r>
      <w:r>
        <w:t xml:space="preserve">.  Recipients may use CPF funds to </w:t>
      </w:r>
      <w:r w:rsidR="009C65C9">
        <w:t xml:space="preserve">pay for </w:t>
      </w:r>
      <w:r>
        <w:t>certain eligible costs incurred after March 15, 2021</w:t>
      </w:r>
      <w:r w:rsidR="00C2661D">
        <w:t>,</w:t>
      </w:r>
      <w:r>
        <w:t xml:space="preserve"> but before the P</w:t>
      </w:r>
      <w:r w:rsidR="00FD614B">
        <w:t>O</w:t>
      </w:r>
      <w:r>
        <w:t>P Start Date</w:t>
      </w:r>
      <w:r w:rsidR="009C65C9">
        <w:t xml:space="preserve"> (“Pre-Award Costs”)</w:t>
      </w:r>
      <w:r w:rsidR="00E1286E">
        <w:t xml:space="preserve"> subject to certain conditions</w:t>
      </w:r>
      <w:r w:rsidR="009C65C9">
        <w:t xml:space="preserve">. </w:t>
      </w:r>
      <w:r w:rsidR="002C7F68">
        <w:t xml:space="preserve"> Any Pre-Award Costs must be </w:t>
      </w:r>
      <w:r w:rsidR="005F5D04">
        <w:t>disclosed,</w:t>
      </w:r>
      <w:r w:rsidR="002C7F68">
        <w:t xml:space="preserve"> explained</w:t>
      </w:r>
      <w:r w:rsidR="005F5D04">
        <w:t>,</w:t>
      </w:r>
      <w:r w:rsidR="002C7F68">
        <w:t xml:space="preserve"> and submitted along with corresponding Program Plan materials to be reviewed and approved by Treasury. </w:t>
      </w:r>
      <w:r w:rsidR="009C65C9">
        <w:t xml:space="preserve"> </w:t>
      </w:r>
      <w:r w:rsidR="003C2181">
        <w:t>Recipient</w:t>
      </w:r>
      <w:r w:rsidR="00C5344A">
        <w:t xml:space="preserve">s should </w:t>
      </w:r>
      <w:r w:rsidR="009C65C9">
        <w:t xml:space="preserve">refer to Section </w:t>
      </w:r>
      <w:r w:rsidR="00E1286E">
        <w:t xml:space="preserve">10 of the Grant Agreement and </w:t>
      </w:r>
      <w:r w:rsidR="009C65C9">
        <w:t xml:space="preserve">Section </w:t>
      </w:r>
      <w:proofErr w:type="spellStart"/>
      <w:r w:rsidR="009C65C9">
        <w:t>I.D.b</w:t>
      </w:r>
      <w:proofErr w:type="spellEnd"/>
      <w:r w:rsidR="009C65C9">
        <w:t xml:space="preserve"> of the </w:t>
      </w:r>
      <w:r w:rsidR="00CD105B">
        <w:rPr>
          <w:rStyle w:val="Hyperlink"/>
        </w:rPr>
        <w:t>Capital Projects Fund Guidance</w:t>
      </w:r>
      <w:r w:rsidR="00A563CC">
        <w:t xml:space="preserve"> for ad</w:t>
      </w:r>
      <w:r w:rsidR="009C65C9">
        <w:t xml:space="preserve">ditional information </w:t>
      </w:r>
      <w:r w:rsidR="00CD105B">
        <w:t xml:space="preserve">about </w:t>
      </w:r>
      <w:r w:rsidR="009C65C9">
        <w:t>Pre-Award Costs</w:t>
      </w:r>
      <w:r w:rsidR="00CD105B">
        <w:t xml:space="preserve">.  </w:t>
      </w:r>
      <w:r w:rsidR="0098106E">
        <w:t>All funds must be used for costs incurred during the period of performance or for Pre-Award Costs</w:t>
      </w:r>
      <w:r w:rsidR="00740C76">
        <w:t>.</w:t>
      </w:r>
    </w:p>
    <w:p w:rsidR="00C5344A" w:rsidP="008F07E0" w:rsidRDefault="00C5344A" w14:paraId="7DBCF4C3" w14:textId="77777777">
      <w:pPr>
        <w:pStyle w:val="NoSpacing"/>
      </w:pPr>
    </w:p>
    <w:p w:rsidRPr="005F156D" w:rsidR="007B5128" w:rsidP="007B5128" w:rsidRDefault="007B5128" w14:paraId="5364FF92" w14:textId="64EE29F1">
      <w:pPr>
        <w:pStyle w:val="NoSpacing"/>
        <w:numPr>
          <w:ilvl w:val="1"/>
          <w:numId w:val="31"/>
        </w:numPr>
        <w:ind w:left="270" w:hanging="270"/>
        <w:rPr>
          <w:rStyle w:val="SubtleEmphasis"/>
          <w:i w:val="0"/>
          <w:iCs w:val="0"/>
          <w:color w:val="auto"/>
          <w:u w:val="single"/>
        </w:rPr>
      </w:pPr>
      <w:bookmarkStart w:name="_Hlk97235995" w:id="15"/>
      <w:r w:rsidRPr="005F156D">
        <w:rPr>
          <w:rStyle w:val="SubtleEmphasis"/>
          <w:i w:val="0"/>
          <w:iCs w:val="0"/>
          <w:color w:val="auto"/>
          <w:u w:val="single"/>
        </w:rPr>
        <w:t>Program Income</w:t>
      </w:r>
    </w:p>
    <w:p w:rsidR="007B5128" w:rsidP="007B5128" w:rsidRDefault="17943A45" w14:paraId="64AD7721" w14:textId="5302546C">
      <w:pPr>
        <w:pStyle w:val="NoSpacing"/>
      </w:pPr>
      <w:r>
        <w:t>Treasury encourages Recipients to use program income to defray program costs where appropriate.</w:t>
      </w:r>
      <w:r w:rsidR="396ECECF">
        <w:t xml:space="preserve"> </w:t>
      </w:r>
      <w:r>
        <w:t xml:space="preserve"> Program income is defined as the gross income earned by the Recipient </w:t>
      </w:r>
      <w:r w:rsidR="6528C16A">
        <w:t xml:space="preserve">and Subrecipients </w:t>
      </w:r>
      <w:r>
        <w:t xml:space="preserve">that is directly generated by a supported activity or earned </w:t>
      </w:r>
      <w:proofErr w:type="gramStart"/>
      <w:r>
        <w:t>as a result of</w:t>
      </w:r>
      <w:proofErr w:type="gramEnd"/>
      <w:r w:rsidR="1AE0CE3B">
        <w:t xml:space="preserve"> </w:t>
      </w:r>
      <w:r>
        <w:t xml:space="preserve">CPF award </w:t>
      </w:r>
      <w:r w:rsidR="1AE0CE3B">
        <w:t xml:space="preserve">funds </w:t>
      </w:r>
      <w:r>
        <w:t xml:space="preserve">during the period of performance. </w:t>
      </w:r>
      <w:r w:rsidR="396ECECF">
        <w:t xml:space="preserve"> </w:t>
      </w:r>
      <w:r w:rsidR="4A3BCA4A">
        <w:t>P</w:t>
      </w:r>
      <w:r w:rsidR="09F76614">
        <w:t xml:space="preserve">rogram income includes, but is not limited to, income from fees for services performed, </w:t>
      </w:r>
      <w:r w:rsidR="4A3BCA4A">
        <w:t xml:space="preserve">or </w:t>
      </w:r>
      <w:r w:rsidR="09F76614">
        <w:t xml:space="preserve">the use or rental or real or personal property acquired under </w:t>
      </w:r>
      <w:r w:rsidR="6987D4F6">
        <w:t>the CPF award</w:t>
      </w:r>
      <w:r w:rsidR="09F76614">
        <w:t xml:space="preserve">. </w:t>
      </w:r>
      <w:r w:rsidR="396ECECF">
        <w:t xml:space="preserve"> </w:t>
      </w:r>
      <w:r w:rsidR="09F76614">
        <w:t xml:space="preserve">Program income does not include interest earned on advances of Federal funds, rebates, credits, discounts, or interest </w:t>
      </w:r>
      <w:r w:rsidR="0AE53079">
        <w:t>earned on any of them</w:t>
      </w:r>
      <w:r w:rsidR="09F76614">
        <w:t xml:space="preserve">. </w:t>
      </w:r>
      <w:r w:rsidR="396ECECF">
        <w:t xml:space="preserve"> </w:t>
      </w:r>
      <w:r w:rsidR="09F76614">
        <w:t xml:space="preserve">CPF Recipients should calculate, document, and record program income.  </w:t>
      </w:r>
    </w:p>
    <w:bookmarkEnd w:id="15"/>
    <w:p w:rsidR="00F316D9" w:rsidP="008F07E0" w:rsidRDefault="00F316D9" w14:paraId="403AF981" w14:textId="739B9610">
      <w:pPr>
        <w:pStyle w:val="NoSpacing"/>
      </w:pPr>
    </w:p>
    <w:p w:rsidRPr="005F156D" w:rsidR="00F316D9" w:rsidP="00C2661D" w:rsidRDefault="00F316D9" w14:paraId="7084FD0E" w14:textId="38ECFAF2">
      <w:pPr>
        <w:pStyle w:val="NoSpacing"/>
        <w:numPr>
          <w:ilvl w:val="1"/>
          <w:numId w:val="31"/>
        </w:numPr>
        <w:ind w:left="270" w:hanging="270"/>
        <w:rPr>
          <w:rStyle w:val="SubtleEmphasis"/>
          <w:i w:val="0"/>
          <w:iCs w:val="0"/>
          <w:color w:val="auto"/>
          <w:u w:val="single"/>
        </w:rPr>
      </w:pPr>
      <w:r w:rsidRPr="005F156D">
        <w:rPr>
          <w:rStyle w:val="SubtleEmphasis"/>
          <w:i w:val="0"/>
          <w:iCs w:val="0"/>
          <w:color w:val="auto"/>
          <w:u w:val="single"/>
        </w:rPr>
        <w:t xml:space="preserve">Subrecipient Monitoring </w:t>
      </w:r>
    </w:p>
    <w:p w:rsidR="00443299" w:rsidP="00C2661D" w:rsidRDefault="00443299" w14:paraId="32450F24" w14:textId="0C89B5DF">
      <w:pPr>
        <w:pStyle w:val="NoSpacing"/>
      </w:pPr>
      <w:r>
        <w:t xml:space="preserve">CPF </w:t>
      </w:r>
      <w:r w:rsidR="00BB06FB">
        <w:t>Recipient</w:t>
      </w:r>
      <w:r>
        <w:t xml:space="preserve">s that </w:t>
      </w:r>
      <w:r w:rsidR="00C06370">
        <w:t xml:space="preserve">provide a subaward to </w:t>
      </w:r>
      <w:r w:rsidR="00BB06FB">
        <w:t>Subrecipient</w:t>
      </w:r>
      <w:r w:rsidR="00C06370">
        <w:t>s to carry out CPF Projects</w:t>
      </w:r>
      <w:r>
        <w:t xml:space="preserve"> are required to manage and monitor their </w:t>
      </w:r>
      <w:r w:rsidR="00BB06FB">
        <w:t>Subrecipient</w:t>
      </w:r>
      <w:r>
        <w:t xml:space="preserve">s to ensure compliance with requirements </w:t>
      </w:r>
      <w:r>
        <w:lastRenderedPageBreak/>
        <w:t xml:space="preserve">of the CPF award pursuant to 2 CFR 200.332 regarding requirements for pass-through entities. </w:t>
      </w:r>
    </w:p>
    <w:p w:rsidR="00443299" w:rsidP="00C2661D" w:rsidRDefault="00443299" w14:paraId="1E62AA6D" w14:textId="77777777">
      <w:pPr>
        <w:pStyle w:val="NoSpacing"/>
      </w:pPr>
    </w:p>
    <w:p w:rsidR="00443299" w:rsidP="00C2661D" w:rsidRDefault="00396AF7" w14:paraId="4A30E2FA" w14:textId="1A12E82F">
      <w:pPr>
        <w:pStyle w:val="NoSpacing"/>
      </w:pPr>
      <w:r>
        <w:t>Recipients</w:t>
      </w:r>
      <w:r w:rsidR="00443299">
        <w:t xml:space="preserve"> must clearly identify to the </w:t>
      </w:r>
      <w:r w:rsidR="00BB06FB">
        <w:t>Subrecipient</w:t>
      </w:r>
      <w:r w:rsidR="00443299">
        <w:t xml:space="preserve"> that: (1) the award is a subaward of CPF funds; (2) all </w:t>
      </w:r>
      <w:r w:rsidR="00C06370">
        <w:t xml:space="preserve">applicable </w:t>
      </w:r>
      <w:r w:rsidR="00443299">
        <w:t xml:space="preserve">compliance requirements for use of CPF funds; and (3) all </w:t>
      </w:r>
      <w:r w:rsidR="00C06370">
        <w:t xml:space="preserve">applicable </w:t>
      </w:r>
      <w:r w:rsidR="00443299">
        <w:t xml:space="preserve">reporting requirements for expenditures of CPF funds. </w:t>
      </w:r>
    </w:p>
    <w:p w:rsidRPr="00DA7C5B" w:rsidR="00C5344A" w:rsidRDefault="00C5344A" w14:paraId="3E2B6C13" w14:textId="77777777">
      <w:pPr>
        <w:pStyle w:val="NoSpacing"/>
        <w:rPr>
          <w:rStyle w:val="SubtleEmphasis"/>
          <w:color w:val="auto"/>
        </w:rPr>
      </w:pPr>
    </w:p>
    <w:p w:rsidRPr="005F156D" w:rsidR="00C5344A" w:rsidP="008F07E0" w:rsidRDefault="00C5344A" w14:paraId="2C619CE1" w14:textId="41FB429A">
      <w:pPr>
        <w:pStyle w:val="NoSpacing"/>
        <w:numPr>
          <w:ilvl w:val="1"/>
          <w:numId w:val="31"/>
        </w:numPr>
        <w:ind w:left="270" w:hanging="270"/>
        <w:rPr>
          <w:rStyle w:val="SubtleEmphasis"/>
          <w:i w:val="0"/>
          <w:iCs w:val="0"/>
          <w:color w:val="auto"/>
          <w:u w:val="single"/>
        </w:rPr>
      </w:pPr>
      <w:r w:rsidRPr="005F156D">
        <w:rPr>
          <w:rStyle w:val="SubtleEmphasis"/>
          <w:i w:val="0"/>
          <w:iCs w:val="0"/>
          <w:color w:val="auto"/>
          <w:u w:val="single"/>
        </w:rPr>
        <w:t>Other Compliance Obligations</w:t>
      </w:r>
    </w:p>
    <w:p w:rsidR="00C5344A" w:rsidP="008F07E0" w:rsidRDefault="003C2181" w14:paraId="37CC3F01" w14:textId="3A7ACC80">
      <w:pPr>
        <w:pStyle w:val="NoSpacing"/>
      </w:pPr>
      <w:r>
        <w:t>Recipient</w:t>
      </w:r>
      <w:r w:rsidR="00C5344A">
        <w:t xml:space="preserve">s should ensure that they remain in compliance with </w:t>
      </w:r>
      <w:r w:rsidR="00CE2CAD">
        <w:t>the Grant Agreement</w:t>
      </w:r>
      <w:r w:rsidR="00D45CD1">
        <w:t xml:space="preserve">.  </w:t>
      </w:r>
      <w:r w:rsidR="00C5344A">
        <w:t xml:space="preserve">These obligations include the following items in addition to those described above: </w:t>
      </w:r>
    </w:p>
    <w:p w:rsidR="00C5344A" w:rsidP="008F07E0" w:rsidRDefault="00C5344A" w14:paraId="7506422F" w14:textId="77777777">
      <w:pPr>
        <w:pStyle w:val="NoSpacing"/>
      </w:pPr>
      <w:r>
        <w:tab/>
      </w:r>
    </w:p>
    <w:p w:rsidR="00C5344A" w:rsidP="008F07E0" w:rsidRDefault="00C5344A" w14:paraId="0C25F180" w14:textId="0BC7F54B">
      <w:pPr>
        <w:pStyle w:val="NoSpacing"/>
        <w:numPr>
          <w:ilvl w:val="0"/>
          <w:numId w:val="47"/>
        </w:numPr>
      </w:pPr>
      <w:bookmarkStart w:name="_Hlk91760577" w:id="16"/>
      <w:r w:rsidRPr="005F156D">
        <w:rPr>
          <w:b/>
          <w:bCs/>
          <w:i/>
          <w:iCs/>
        </w:rPr>
        <w:t>Recordkeeping Requirements</w:t>
      </w:r>
      <w:r w:rsidR="00D45CD1">
        <w:t xml:space="preserve">.  </w:t>
      </w:r>
      <w:r w:rsidR="003C2181">
        <w:t>Recipient</w:t>
      </w:r>
      <w:r w:rsidR="00DA03B0">
        <w:t>s</w:t>
      </w:r>
      <w:r>
        <w:t xml:space="preserve"> must maintain records and financial documents for five years after all </w:t>
      </w:r>
      <w:r w:rsidR="00CE2CAD">
        <w:t xml:space="preserve">CPF </w:t>
      </w:r>
      <w:r>
        <w:t xml:space="preserve">funds have been expended or returned to Treasury.  Wherever practicable, such records should be collected, transmitted, and stored in open and machine-readable formats. </w:t>
      </w:r>
    </w:p>
    <w:p w:rsidR="00473790" w:rsidP="008F07E0" w:rsidRDefault="00473790" w14:paraId="1F4C8509" w14:textId="77777777">
      <w:pPr>
        <w:pStyle w:val="NoSpacing"/>
      </w:pPr>
    </w:p>
    <w:p w:rsidR="00C5344A" w:rsidP="008F07E0" w:rsidRDefault="003C2181" w14:paraId="26AE68AF" w14:textId="7784B13C">
      <w:pPr>
        <w:pStyle w:val="NoSpacing"/>
        <w:ind w:left="360"/>
      </w:pPr>
      <w:r>
        <w:t>Recipient</w:t>
      </w:r>
      <w:r w:rsidR="00DA03B0">
        <w:t>s</w:t>
      </w:r>
      <w:r w:rsidR="00C5344A">
        <w:t xml:space="preserve"> must agree to provide or make available such records to Treasury upon request, and to any authorized oversight body, including but not limited to the Government Accountability Office (GAO), Treasury’s Office of Inspector General (OIG), and the Pandemic Relief Accountability Committee (PRAC)</w:t>
      </w:r>
      <w:r w:rsidR="00D45CD1">
        <w:t xml:space="preserve">.  </w:t>
      </w:r>
    </w:p>
    <w:bookmarkEnd w:id="16"/>
    <w:p w:rsidR="00C5344A" w:rsidP="008F07E0" w:rsidRDefault="00C5344A" w14:paraId="0BF2C95C" w14:textId="77777777">
      <w:pPr>
        <w:pStyle w:val="NoSpacing"/>
      </w:pPr>
    </w:p>
    <w:p w:rsidR="00EA2F91" w:rsidP="008F07E0" w:rsidRDefault="00C5344A" w14:paraId="6A62DD97" w14:textId="424D85A2">
      <w:pPr>
        <w:pStyle w:val="NoSpacing"/>
        <w:numPr>
          <w:ilvl w:val="0"/>
          <w:numId w:val="47"/>
        </w:numPr>
      </w:pPr>
      <w:r w:rsidRPr="005F156D">
        <w:rPr>
          <w:b/>
          <w:bCs/>
          <w:i/>
          <w:iCs/>
        </w:rPr>
        <w:t>Single Audit Requirements</w:t>
      </w:r>
      <w:r w:rsidR="00D45CD1">
        <w:t xml:space="preserve">.  </w:t>
      </w:r>
      <w:r w:rsidR="003C2181">
        <w:t>Recipient</w:t>
      </w:r>
      <w:r>
        <w:t xml:space="preserve">s and </w:t>
      </w:r>
      <w:r w:rsidR="00453943">
        <w:t>S</w:t>
      </w:r>
      <w:r>
        <w:t>ub</w:t>
      </w:r>
      <w:r w:rsidR="00453943">
        <w:t>r</w:t>
      </w:r>
      <w:r w:rsidR="003C2181">
        <w:t>ecipient</w:t>
      </w:r>
      <w:r>
        <w:t xml:space="preserve">s that expend $750,000 </w:t>
      </w:r>
      <w:r w:rsidR="00F474E1">
        <w:t>or more</w:t>
      </w:r>
      <w:r>
        <w:t xml:space="preserve"> in Federal awards during their fiscal year will be subject to an audit under the Single Audit Act and its implementing regulation at 2 CFR Part 200, Subpart F.</w:t>
      </w:r>
      <w:r w:rsidR="00901C86">
        <w:t xml:space="preserve"> </w:t>
      </w:r>
      <w:r w:rsidR="003C2181">
        <w:t>Recipient</w:t>
      </w:r>
      <w:r>
        <w:t xml:space="preserve">s and </w:t>
      </w:r>
      <w:r w:rsidR="00453943">
        <w:t>S</w:t>
      </w:r>
      <w:r>
        <w:t>ub</w:t>
      </w:r>
      <w:r w:rsidR="00453943">
        <w:t>r</w:t>
      </w:r>
      <w:r w:rsidR="003C2181">
        <w:t>ecipient</w:t>
      </w:r>
      <w:r>
        <w:t xml:space="preserve">s may also refer to the </w:t>
      </w:r>
      <w:hyperlink w:history="1" r:id="rId24">
        <w:r w:rsidRPr="005055AF">
          <w:rPr>
            <w:rStyle w:val="Hyperlink"/>
          </w:rPr>
          <w:t>Office of Management and Budget (OMB) Compliance Supplements</w:t>
        </w:r>
      </w:hyperlink>
      <w:r>
        <w:t xml:space="preserve"> for audits of federal funds and related guidance and the </w:t>
      </w:r>
      <w:hyperlink w:history="1" r:id="rId25">
        <w:r w:rsidRPr="005055AF">
          <w:rPr>
            <w:rStyle w:val="Hyperlink"/>
          </w:rPr>
          <w:t>Federal Audit Clearinghouse</w:t>
        </w:r>
      </w:hyperlink>
      <w:r>
        <w:t xml:space="preserve"> to see examples </w:t>
      </w:r>
      <w:r w:rsidR="008D5B4B">
        <w:t xml:space="preserve">of </w:t>
      </w:r>
      <w:r>
        <w:t xml:space="preserve">single audit submissions. </w:t>
      </w:r>
    </w:p>
    <w:p w:rsidR="00C5344A" w:rsidP="008F07E0" w:rsidRDefault="00C5344A" w14:paraId="02DCD3CF" w14:textId="77777777">
      <w:pPr>
        <w:pStyle w:val="NoSpacing"/>
      </w:pPr>
    </w:p>
    <w:p w:rsidR="00F51EE5" w:rsidP="008F07E0" w:rsidRDefault="00473790" w14:paraId="79B95562" w14:textId="2438CF2B">
      <w:pPr>
        <w:pStyle w:val="NoSpacing"/>
        <w:numPr>
          <w:ilvl w:val="0"/>
          <w:numId w:val="47"/>
        </w:numPr>
      </w:pPr>
      <w:r w:rsidRPr="005F156D">
        <w:rPr>
          <w:b/>
          <w:bCs/>
          <w:i/>
          <w:iCs/>
        </w:rPr>
        <w:t>C</w:t>
      </w:r>
      <w:r w:rsidRPr="005F156D" w:rsidR="00C5344A">
        <w:rPr>
          <w:b/>
          <w:bCs/>
          <w:i/>
          <w:iCs/>
        </w:rPr>
        <w:t>ivil Rights Compliance</w:t>
      </w:r>
      <w:r w:rsidR="00DC28C2">
        <w:t xml:space="preserve">.  </w:t>
      </w:r>
      <w:r w:rsidR="003C2181">
        <w:t>Recipient</w:t>
      </w:r>
      <w:r w:rsidR="00C5344A">
        <w:t xml:space="preserve">s of Federal financial assistance from the Treasury are required to meet legal requirements relating to nondiscrimination and nondiscriminatory use of Federal funds.  Those requirements include ensuring that entities receiving Federal financial assistance from the Treasury do not deny benefits or services, or otherwise discriminate on the basis of race, color, national origin (including limited English proficiency), disability, age, or sex (including sexual orientation and gender identity), in accordance with </w:t>
      </w:r>
      <w:r w:rsidR="00664E33">
        <w:t>the following authorities: Title VI of the Civil Rights Act of 1964 (Title VI), 42 U.S.C. 2000d-1 et seq., and the Department's implementing regulations, 31 C.F.R. part 22; Section 504 of the Rehabilitation Act of 1973 (Section 504), 29 U.S.C. 794; Title IX of the Education Amendments of 1972 (Title IX), 20 U.S.C. 1681 et seq., and the Department's implementing regulations, 31 C.F.R. part 28; Age Discrimination Act of 1975, 42 U.S.C. 6101 et seq., and the Department’s implementing regulations at 31 C.F.R. part 23.</w:t>
      </w:r>
    </w:p>
    <w:p w:rsidR="00F51EE5" w:rsidP="00F51EE5" w:rsidRDefault="00F51EE5" w14:paraId="60598D83" w14:textId="77777777">
      <w:pPr>
        <w:pStyle w:val="NoSpacing"/>
        <w:ind w:left="360"/>
        <w:rPr>
          <w:b/>
          <w:bCs/>
        </w:rPr>
      </w:pPr>
    </w:p>
    <w:p w:rsidRPr="00D15C9F" w:rsidR="00BA3FEB" w:rsidP="00F51EE5" w:rsidRDefault="00C5344A" w14:paraId="7D7FE23A" w14:textId="36F6CA87">
      <w:pPr>
        <w:pStyle w:val="NoSpacing"/>
        <w:ind w:left="360"/>
      </w:pPr>
      <w:proofErr w:type="gramStart"/>
      <w:r>
        <w:t>In order to</w:t>
      </w:r>
      <w:proofErr w:type="gramEnd"/>
      <w:r>
        <w:t xml:space="preserve"> carry out its enforcement responsibilities under Title VI of the Civil Rights Act, Treasury will collect and review information from </w:t>
      </w:r>
      <w:r w:rsidR="003C2181">
        <w:t>Recipient</w:t>
      </w:r>
      <w:r>
        <w:t xml:space="preserve">s to ascertain their compliance with the applicable requirements after providing financial assistance.  Treasury’s implementing regulations, 31 CFR part 22, and the Department of Justice (DOJ) regulations, Coordination of Non-discrimination in Federally Assisted Programs, 28 CFR part 42, provide for the collection of data and information from </w:t>
      </w:r>
      <w:r w:rsidR="003C2181">
        <w:t>Recipient</w:t>
      </w:r>
      <w:r>
        <w:t>s (see 28 CFR 42.406)</w:t>
      </w:r>
      <w:r w:rsidR="00DC28C2">
        <w:t xml:space="preserve">.  </w:t>
      </w:r>
      <w:r>
        <w:t xml:space="preserve">Treasury </w:t>
      </w:r>
      <w:r w:rsidR="00E900DC">
        <w:t xml:space="preserve">will </w:t>
      </w:r>
      <w:r>
        <w:t xml:space="preserve">request that </w:t>
      </w:r>
      <w:r w:rsidR="003C2181">
        <w:t>Recipient</w:t>
      </w:r>
      <w:r>
        <w:t>s submit data for post-award compliance reviews, including information such as a narrative describing their Title VI compliance status</w:t>
      </w:r>
      <w:r w:rsidR="00DC28C2">
        <w:t>.</w:t>
      </w:r>
      <w:r w:rsidR="001D7888">
        <w:t xml:space="preserve"> </w:t>
      </w:r>
      <w:r w:rsidRPr="001D7888" w:rsidR="001D7888">
        <w:t xml:space="preserve">Treasury </w:t>
      </w:r>
      <w:r w:rsidR="00BA65D8">
        <w:t>may</w:t>
      </w:r>
      <w:r w:rsidRPr="001D7888" w:rsidR="00BA65D8">
        <w:t xml:space="preserve"> </w:t>
      </w:r>
      <w:r w:rsidR="001D7888">
        <w:t xml:space="preserve">also </w:t>
      </w:r>
      <w:r w:rsidRPr="001D7888" w:rsidR="001D7888">
        <w:t>request</w:t>
      </w:r>
      <w:r w:rsidR="001D7888">
        <w:t xml:space="preserve"> certain Title VI compliance information on an annual basis</w:t>
      </w:r>
      <w:r w:rsidRPr="001D7888" w:rsidR="001D7888">
        <w:t xml:space="preserve">.  This information may include </w:t>
      </w:r>
      <w:r w:rsidR="001D7888">
        <w:t>questionnaires, narratives, and assurances</w:t>
      </w:r>
      <w:r w:rsidRPr="001D7888" w:rsidR="001D7888">
        <w:t xml:space="preserve"> describing </w:t>
      </w:r>
      <w:r w:rsidR="001D7888">
        <w:t xml:space="preserve">Recipient </w:t>
      </w:r>
      <w:r w:rsidRPr="001D7888" w:rsidR="001D7888">
        <w:t>compliance with Title VI.</w:t>
      </w:r>
    </w:p>
    <w:p w:rsidR="007F700D" w:rsidRDefault="007F700D" w14:paraId="5537A464" w14:textId="30A005E0">
      <w:pPr>
        <w:rPr>
          <w:b/>
          <w:bCs/>
          <w:color w:val="004E7D" w:themeColor="accent6" w:themeShade="BF"/>
          <w:sz w:val="36"/>
          <w:szCs w:val="36"/>
        </w:rPr>
      </w:pPr>
      <w:r>
        <w:rPr>
          <w:b/>
          <w:bCs/>
          <w:color w:val="004E7D" w:themeColor="accent6" w:themeShade="BF"/>
          <w:sz w:val="36"/>
          <w:szCs w:val="36"/>
        </w:rPr>
        <w:br w:type="page"/>
      </w:r>
    </w:p>
    <w:p w:rsidRPr="008B077A" w:rsidR="008D5B4B" w:rsidP="008D5B4B" w:rsidRDefault="008D5B4B" w14:paraId="6182A914" w14:textId="72974869">
      <w:pPr>
        <w:pStyle w:val="Heading1"/>
        <w:rPr>
          <w:color w:val="002060"/>
        </w:rPr>
      </w:pPr>
      <w:bookmarkStart w:name="_Toc102719959" w:id="17"/>
      <w:r w:rsidRPr="008B077A">
        <w:rPr>
          <w:color w:val="002060"/>
        </w:rPr>
        <w:lastRenderedPageBreak/>
        <w:t>Appendix 1: Definitions</w:t>
      </w:r>
      <w:bookmarkEnd w:id="17"/>
      <w:r w:rsidRPr="008B077A">
        <w:rPr>
          <w:color w:val="002060"/>
        </w:rPr>
        <w:t xml:space="preserve"> </w:t>
      </w:r>
    </w:p>
    <w:p w:rsidR="008D5B4B" w:rsidP="00896500" w:rsidRDefault="008D5B4B" w14:paraId="6C9D5089" w14:textId="3C31900F">
      <w:pPr>
        <w:pStyle w:val="BodyText"/>
        <w:spacing w:after="0"/>
      </w:pPr>
      <w:r w:rsidRPr="00552C9B">
        <w:t>Treasury will apply the following definitions for purposes of th</w:t>
      </w:r>
      <w:r>
        <w:t>i</w:t>
      </w:r>
      <w:r w:rsidR="005F156D">
        <w:t>s reporting</w:t>
      </w:r>
      <w:r>
        <w:t xml:space="preserve"> </w:t>
      </w:r>
      <w:r w:rsidRPr="00552C9B">
        <w:t>guid</w:t>
      </w:r>
      <w:r>
        <w:t>ance</w:t>
      </w:r>
      <w:r w:rsidRPr="00552C9B">
        <w:t>.</w:t>
      </w:r>
      <w:r w:rsidR="002916D0">
        <w:t xml:space="preserve">  </w:t>
      </w:r>
      <w:r>
        <w:t>Terms not defined herein shall have the definitions contained in Uniform Guidance</w:t>
      </w:r>
      <w:r w:rsidR="005F156D">
        <w:t>.</w:t>
      </w:r>
    </w:p>
    <w:p w:rsidRPr="00552C9B" w:rsidR="00896500" w:rsidP="00896500" w:rsidRDefault="00896500" w14:paraId="53A0FA39" w14:textId="77777777">
      <w:pPr>
        <w:pStyle w:val="BodyText"/>
        <w:spacing w:after="0"/>
      </w:pPr>
    </w:p>
    <w:p w:rsidR="008D5B4B" w:rsidP="00896500" w:rsidRDefault="008D5B4B" w14:paraId="6A2783AA" w14:textId="00DF1DC4">
      <w:pPr>
        <w:pStyle w:val="BodyText"/>
        <w:widowControl w:val="0"/>
        <w:numPr>
          <w:ilvl w:val="0"/>
          <w:numId w:val="21"/>
        </w:numPr>
        <w:autoSpaceDE w:val="0"/>
        <w:autoSpaceDN w:val="0"/>
        <w:spacing w:after="0" w:line="240" w:lineRule="auto"/>
        <w:ind w:right="464"/>
      </w:pPr>
      <w:r>
        <w:t>“Administrative Expenses”</w:t>
      </w:r>
      <w:r w:rsidR="00A42B0E">
        <w:t xml:space="preserve">, </w:t>
      </w:r>
      <w:r>
        <w:t>“</w:t>
      </w:r>
      <w:r w:rsidR="00D625A4">
        <w:t xml:space="preserve">Program </w:t>
      </w:r>
      <w:r>
        <w:t>Administrative Expenses”</w:t>
      </w:r>
      <w:r w:rsidR="00A42B0E">
        <w:t>,</w:t>
      </w:r>
      <w:r>
        <w:t xml:space="preserve"> or “Administrative Costs” </w:t>
      </w:r>
      <w:r w:rsidRPr="007C6AFE">
        <w:t xml:space="preserve">mean the costs incurred by a Recipient related to the administration of Capital Projects Fund awards, the provision of technical assistants to potential </w:t>
      </w:r>
      <w:r>
        <w:t>Subrecipient</w:t>
      </w:r>
      <w:r w:rsidRPr="007C6AFE">
        <w:t>s, and compliance with grant administration and audit requirements.</w:t>
      </w:r>
    </w:p>
    <w:p w:rsidR="008D5B4B" w:rsidP="00896500" w:rsidRDefault="008D5B4B" w14:paraId="08F3002E" w14:textId="77777777">
      <w:pPr>
        <w:pStyle w:val="BodyText"/>
        <w:widowControl w:val="0"/>
        <w:autoSpaceDE w:val="0"/>
        <w:autoSpaceDN w:val="0"/>
        <w:spacing w:after="0" w:line="240" w:lineRule="auto"/>
        <w:ind w:left="720" w:right="464"/>
      </w:pPr>
    </w:p>
    <w:p w:rsidR="00D625A4" w:rsidP="00896500" w:rsidRDefault="00D625A4" w14:paraId="0C8415E8" w14:textId="6A2433A9">
      <w:pPr>
        <w:pStyle w:val="BodyText"/>
        <w:widowControl w:val="0"/>
        <w:numPr>
          <w:ilvl w:val="0"/>
          <w:numId w:val="21"/>
        </w:numPr>
        <w:autoSpaceDE w:val="0"/>
        <w:autoSpaceDN w:val="0"/>
        <w:spacing w:after="0" w:line="240" w:lineRule="auto"/>
        <w:ind w:right="464"/>
      </w:pPr>
      <w:r>
        <w:t xml:space="preserve">“Ancillary Costs” has the meaning set forth in Section </w:t>
      </w:r>
      <w:proofErr w:type="spellStart"/>
      <w:r w:rsidR="00783388">
        <w:t>I</w:t>
      </w:r>
      <w:r>
        <w:t>.</w:t>
      </w:r>
      <w:r w:rsidR="00783388">
        <w:t>C</w:t>
      </w:r>
      <w:r>
        <w:t>.</w:t>
      </w:r>
      <w:r w:rsidR="00783388">
        <w:t>c</w:t>
      </w:r>
      <w:proofErr w:type="spellEnd"/>
      <w:r>
        <w:t xml:space="preserve"> of the Capital Projects Fund Guidance.</w:t>
      </w:r>
    </w:p>
    <w:p w:rsidR="00BB38CB" w:rsidP="00896500" w:rsidRDefault="00BB38CB" w14:paraId="230AE5BC" w14:textId="77777777">
      <w:pPr>
        <w:pStyle w:val="BodyText"/>
        <w:widowControl w:val="0"/>
        <w:autoSpaceDE w:val="0"/>
        <w:autoSpaceDN w:val="0"/>
        <w:spacing w:after="0" w:line="240" w:lineRule="auto"/>
        <w:ind w:left="720" w:right="464"/>
      </w:pPr>
    </w:p>
    <w:p w:rsidR="008D5B4B" w:rsidP="00896500" w:rsidRDefault="008D5B4B" w14:paraId="08289310" w14:textId="650F9D1A">
      <w:pPr>
        <w:pStyle w:val="BodyText"/>
        <w:widowControl w:val="0"/>
        <w:numPr>
          <w:ilvl w:val="0"/>
          <w:numId w:val="21"/>
        </w:numPr>
        <w:autoSpaceDE w:val="0"/>
        <w:autoSpaceDN w:val="0"/>
        <w:spacing w:after="0" w:line="240" w:lineRule="auto"/>
        <w:ind w:right="464"/>
      </w:pPr>
      <w:r>
        <w:t>“Broadband Infrastructure Project” has the meaning set forth</w:t>
      </w:r>
      <w:r w:rsidRPr="00E30D0C">
        <w:t xml:space="preserve"> in </w:t>
      </w:r>
      <w:r>
        <w:t xml:space="preserve">Section </w:t>
      </w:r>
      <w:proofErr w:type="spellStart"/>
      <w:r>
        <w:t>I.C.a</w:t>
      </w:r>
      <w:proofErr w:type="spellEnd"/>
      <w:r>
        <w:t xml:space="preserve"> of the Capital Projects Fund Guidance.</w:t>
      </w:r>
    </w:p>
    <w:p w:rsidR="008D5B4B" w:rsidP="00896500" w:rsidRDefault="008D5B4B" w14:paraId="179E8EC1" w14:textId="77777777">
      <w:pPr>
        <w:pStyle w:val="ListParagraph"/>
        <w:spacing w:after="0"/>
      </w:pPr>
    </w:p>
    <w:p w:rsidR="008D5B4B" w:rsidP="00896500" w:rsidRDefault="008D5B4B" w14:paraId="38D72F98" w14:textId="77777777">
      <w:pPr>
        <w:pStyle w:val="BodyText"/>
        <w:widowControl w:val="0"/>
        <w:numPr>
          <w:ilvl w:val="0"/>
          <w:numId w:val="21"/>
        </w:numPr>
        <w:autoSpaceDE w:val="0"/>
        <w:autoSpaceDN w:val="0"/>
        <w:spacing w:after="0" w:line="240" w:lineRule="auto"/>
        <w:ind w:right="464"/>
      </w:pPr>
      <w:r>
        <w:t>“Capital Project” or “Project” has the meaning set forth in</w:t>
      </w:r>
      <w:r w:rsidRPr="0027100E">
        <w:t xml:space="preserve"> </w:t>
      </w:r>
      <w:r>
        <w:t xml:space="preserve">Section </w:t>
      </w:r>
      <w:proofErr w:type="spellStart"/>
      <w:r>
        <w:t>I.C.c</w:t>
      </w:r>
      <w:proofErr w:type="spellEnd"/>
      <w:r>
        <w:t xml:space="preserve"> of the Capital Projects Fund Guidance.</w:t>
      </w:r>
    </w:p>
    <w:p w:rsidR="008D5B4B" w:rsidP="00896500" w:rsidRDefault="008D5B4B" w14:paraId="3249BDE0" w14:textId="77777777">
      <w:pPr>
        <w:spacing w:after="0"/>
      </w:pPr>
    </w:p>
    <w:p w:rsidR="008D5B4B" w:rsidP="009A35B8" w:rsidRDefault="008D5B4B" w14:paraId="4BDB2F54" w14:textId="341A47E8">
      <w:pPr>
        <w:pStyle w:val="BodyText"/>
        <w:widowControl w:val="0"/>
        <w:numPr>
          <w:ilvl w:val="0"/>
          <w:numId w:val="21"/>
        </w:numPr>
        <w:autoSpaceDE w:val="0"/>
        <w:autoSpaceDN w:val="0"/>
        <w:spacing w:after="0" w:line="240" w:lineRule="auto"/>
        <w:ind w:right="464"/>
      </w:pPr>
      <w:r>
        <w:t xml:space="preserve">“Capital Projects Fund Program Plan” or “Program Plan” means </w:t>
      </w:r>
      <w:r w:rsidRPr="009665DF">
        <w:t xml:space="preserve">a plan </w:t>
      </w:r>
      <w:r>
        <w:t xml:space="preserve">submitted by a Recipient containing a description of a program for which the Recipient is seeking funding under the Capital Projects Fund. </w:t>
      </w:r>
      <w:r>
        <w:br/>
      </w:r>
    </w:p>
    <w:p w:rsidR="008D5B4B" w:rsidP="00896500" w:rsidRDefault="008D5B4B" w14:paraId="32B38275" w14:textId="77777777">
      <w:pPr>
        <w:pStyle w:val="BodyText"/>
        <w:widowControl w:val="0"/>
        <w:numPr>
          <w:ilvl w:val="0"/>
          <w:numId w:val="21"/>
        </w:numPr>
        <w:autoSpaceDE w:val="0"/>
        <w:autoSpaceDN w:val="0"/>
        <w:spacing w:after="0" w:line="240" w:lineRule="auto"/>
        <w:ind w:right="464"/>
      </w:pPr>
      <w:r>
        <w:t>“</w:t>
      </w:r>
      <w:r w:rsidRPr="00F238E2">
        <w:t xml:space="preserve">Capital Projects Fund Guidance” </w:t>
      </w:r>
      <w:r>
        <w:t xml:space="preserve">refers to the </w:t>
      </w:r>
      <w:r>
        <w:rPr>
          <w:i/>
          <w:iCs/>
        </w:rPr>
        <w:t>Guidance for the Coronavirus Capital Projects Fund for States, Territories, and Freely Associated States</w:t>
      </w:r>
      <w:r w:rsidRPr="00F238E2">
        <w:t xml:space="preserve">.  </w:t>
      </w:r>
    </w:p>
    <w:p w:rsidR="008D5B4B" w:rsidP="00896500" w:rsidRDefault="008D5B4B" w14:paraId="72BB21F1" w14:textId="77777777">
      <w:pPr>
        <w:pStyle w:val="BodyText"/>
        <w:widowControl w:val="0"/>
        <w:autoSpaceDE w:val="0"/>
        <w:autoSpaceDN w:val="0"/>
        <w:spacing w:after="0" w:line="240" w:lineRule="auto"/>
        <w:ind w:right="464"/>
      </w:pPr>
    </w:p>
    <w:p w:rsidR="008D5B4B" w:rsidP="00896500" w:rsidRDefault="008D5B4B" w14:paraId="20124173" w14:textId="2B687431">
      <w:pPr>
        <w:pStyle w:val="BodyText"/>
        <w:widowControl w:val="0"/>
        <w:numPr>
          <w:ilvl w:val="0"/>
          <w:numId w:val="21"/>
        </w:numPr>
        <w:autoSpaceDE w:val="0"/>
        <w:autoSpaceDN w:val="0"/>
        <w:spacing w:after="0" w:line="240" w:lineRule="auto"/>
        <w:ind w:right="569"/>
      </w:pPr>
      <w:r>
        <w:t>“Capital Projects Fund Statute” or “Statute” means Section 604 of the Social Security Act</w:t>
      </w:r>
      <w:r w:rsidR="004C33DC">
        <w:t xml:space="preserve">, </w:t>
      </w:r>
      <w:r w:rsidRPr="004C33DC" w:rsidR="004C33DC">
        <w:t>as added by section 9901 of the American Rescue Plan Act of 2021, Pub. L. No. 117-2 (Mar. 11, 2021), codified as 42 U.S.C. § 804</w:t>
      </w:r>
      <w:r>
        <w:t>.</w:t>
      </w:r>
      <w:r>
        <w:br/>
      </w:r>
    </w:p>
    <w:p w:rsidR="008D5B4B" w:rsidP="00896500" w:rsidRDefault="008D5B4B" w14:paraId="7765AA25" w14:textId="25C09890">
      <w:pPr>
        <w:pStyle w:val="BodyText"/>
        <w:widowControl w:val="0"/>
        <w:numPr>
          <w:ilvl w:val="0"/>
          <w:numId w:val="21"/>
        </w:numPr>
        <w:autoSpaceDE w:val="0"/>
        <w:autoSpaceDN w:val="0"/>
        <w:spacing w:after="0" w:line="240" w:lineRule="auto"/>
        <w:ind w:right="464"/>
      </w:pPr>
      <w:r>
        <w:t>“</w:t>
      </w:r>
      <w:r w:rsidRPr="00653272">
        <w:t xml:space="preserve">Contractor” </w:t>
      </w:r>
      <w:r>
        <w:t>is an</w:t>
      </w:r>
      <w:r w:rsidRPr="00653272">
        <w:t xml:space="preserve"> entit</w:t>
      </w:r>
      <w:r>
        <w:t>y</w:t>
      </w:r>
      <w:r w:rsidRPr="00653272">
        <w:t xml:space="preserve"> that </w:t>
      </w:r>
      <w:r>
        <w:t xml:space="preserve">receives a contract by which a CPF Recipient or Subrecipient purchases property or services needed to carry out a CPF </w:t>
      </w:r>
      <w:r w:rsidR="00BB06FB">
        <w:t>Project</w:t>
      </w:r>
      <w:r>
        <w:t xml:space="preserve"> or </w:t>
      </w:r>
      <w:r w:rsidR="00A74C62">
        <w:t>P</w:t>
      </w:r>
      <w:r>
        <w:t xml:space="preserve">rogram. </w:t>
      </w:r>
    </w:p>
    <w:p w:rsidR="008D5B4B" w:rsidP="00896500" w:rsidRDefault="008D5B4B" w14:paraId="123D57B0" w14:textId="77777777">
      <w:pPr>
        <w:pStyle w:val="BodyText"/>
        <w:spacing w:after="0"/>
        <w:ind w:left="720" w:right="464"/>
      </w:pPr>
    </w:p>
    <w:p w:rsidRPr="00E30D0C" w:rsidR="008D5B4B" w:rsidP="00896500" w:rsidRDefault="008D5B4B" w14:paraId="5659B35C" w14:textId="77777777">
      <w:pPr>
        <w:pStyle w:val="BodyText"/>
        <w:widowControl w:val="0"/>
        <w:numPr>
          <w:ilvl w:val="0"/>
          <w:numId w:val="21"/>
        </w:numPr>
        <w:autoSpaceDE w:val="0"/>
        <w:autoSpaceDN w:val="0"/>
        <w:spacing w:after="0" w:line="240" w:lineRule="auto"/>
        <w:ind w:right="464"/>
      </w:pPr>
      <w:r>
        <w:t>“Digital Connectivity Technology Project</w:t>
      </w:r>
      <w:r w:rsidRPr="00E30D0C">
        <w:t xml:space="preserve">” </w:t>
      </w:r>
      <w:r>
        <w:t>has the meaning set forth</w:t>
      </w:r>
      <w:r w:rsidRPr="00E30D0C">
        <w:t xml:space="preserve"> in </w:t>
      </w:r>
      <w:r>
        <w:t xml:space="preserve">Section </w:t>
      </w:r>
      <w:proofErr w:type="spellStart"/>
      <w:r>
        <w:t>I.C.a</w:t>
      </w:r>
      <w:proofErr w:type="spellEnd"/>
      <w:r>
        <w:t xml:space="preserve"> of the Capital Projects Fund Guidance.</w:t>
      </w:r>
      <w:r w:rsidRPr="00E30D0C">
        <w:t xml:space="preserve"> </w:t>
      </w:r>
    </w:p>
    <w:p w:rsidR="008D5B4B" w:rsidP="00896500" w:rsidRDefault="008D5B4B" w14:paraId="4A42A1A5" w14:textId="77777777">
      <w:pPr>
        <w:spacing w:after="0"/>
      </w:pPr>
    </w:p>
    <w:p w:rsidR="008D5B4B" w:rsidP="00896500" w:rsidRDefault="008D5B4B" w14:paraId="79400CE2" w14:textId="77777777">
      <w:pPr>
        <w:pStyle w:val="BodyText"/>
        <w:widowControl w:val="0"/>
        <w:numPr>
          <w:ilvl w:val="0"/>
          <w:numId w:val="21"/>
        </w:numPr>
        <w:autoSpaceDE w:val="0"/>
        <w:autoSpaceDN w:val="0"/>
        <w:spacing w:after="0" w:line="240" w:lineRule="auto"/>
        <w:ind w:right="464"/>
      </w:pPr>
      <w:r w:rsidRPr="0C22016C">
        <w:t>“</w:t>
      </w:r>
      <w:r w:rsidRPr="009D5A70">
        <w:t>Expenditure” is the amount that has been incurred as a liability of the entity (the service has been rendered or the good has been delivered to the entity</w:t>
      </w:r>
      <w:r>
        <w:t>).</w:t>
      </w:r>
    </w:p>
    <w:p w:rsidR="008D5B4B" w:rsidP="00896500" w:rsidRDefault="008D5B4B" w14:paraId="293B210E" w14:textId="77777777">
      <w:pPr>
        <w:pStyle w:val="ListParagraph"/>
        <w:spacing w:after="0"/>
      </w:pPr>
    </w:p>
    <w:p w:rsidR="008D5B4B" w:rsidP="00896500" w:rsidRDefault="008D5B4B" w14:paraId="5C6FDFBD" w14:textId="77777777">
      <w:pPr>
        <w:pStyle w:val="BodyText"/>
        <w:widowControl w:val="0"/>
        <w:numPr>
          <w:ilvl w:val="0"/>
          <w:numId w:val="21"/>
        </w:numPr>
        <w:autoSpaceDE w:val="0"/>
        <w:autoSpaceDN w:val="0"/>
        <w:spacing w:after="0" w:line="240" w:lineRule="auto"/>
      </w:pPr>
      <w:r>
        <w:t xml:space="preserve">“Grant Agreement” means the standardized agreement executed between the Eligible Recipient’s authorized representative and Treasury that outlines the terms and conditions of the funds, reporting and recordkeeping, and other requirements.  </w:t>
      </w:r>
    </w:p>
    <w:p w:rsidR="008D5B4B" w:rsidP="00896500" w:rsidRDefault="00EE2F17" w14:paraId="4AE744B4" w14:textId="4AC92714">
      <w:pPr>
        <w:pStyle w:val="ListParagraph"/>
        <w:tabs>
          <w:tab w:val="left" w:pos="5328"/>
        </w:tabs>
        <w:spacing w:after="0"/>
      </w:pPr>
      <w:r>
        <w:tab/>
      </w:r>
    </w:p>
    <w:p w:rsidR="008D5B4B" w:rsidP="00896500" w:rsidRDefault="008D5B4B" w14:paraId="25438E93" w14:textId="77777777">
      <w:pPr>
        <w:pStyle w:val="BodyText"/>
        <w:widowControl w:val="0"/>
        <w:numPr>
          <w:ilvl w:val="0"/>
          <w:numId w:val="21"/>
        </w:numPr>
        <w:autoSpaceDE w:val="0"/>
        <w:autoSpaceDN w:val="0"/>
        <w:spacing w:after="0" w:line="240" w:lineRule="auto"/>
      </w:pPr>
      <w:r>
        <w:t>“Logic Model” is a tool used to describe how programs are linked to the results the program is expected to advance or achieve.  Logic models are intended to identify problems (in the problem statement), name desired results (in the goals and objectives</w:t>
      </w:r>
      <w:proofErr w:type="gramStart"/>
      <w:r>
        <w:t>), and</w:t>
      </w:r>
      <w:proofErr w:type="gramEnd"/>
      <w:r>
        <w:t xml:space="preserve"> develop strategies for achieving results.  Logic models also provide a visual representation of the causal relationships between a sequence of related events, connecting the need for a planned program or project with desired results.  Logic models identify strategic elements (e.g., inputs, outputs, activities, and outcomes) and their relationships.  This also includes statements about the assumptions and external risks that may influence success or present challenges.</w:t>
      </w:r>
    </w:p>
    <w:p w:rsidR="008D5B4B" w:rsidP="00896500" w:rsidRDefault="008D5B4B" w14:paraId="2BC1676F" w14:textId="77777777">
      <w:pPr>
        <w:pStyle w:val="ListParagraph"/>
        <w:spacing w:after="0"/>
      </w:pPr>
    </w:p>
    <w:p w:rsidR="008D5B4B" w:rsidP="00896500" w:rsidRDefault="008D5B4B" w14:paraId="35A9D27C" w14:textId="217DEF8E">
      <w:pPr>
        <w:pStyle w:val="BodyText"/>
        <w:widowControl w:val="0"/>
        <w:numPr>
          <w:ilvl w:val="0"/>
          <w:numId w:val="21"/>
        </w:numPr>
        <w:autoSpaceDE w:val="0"/>
        <w:autoSpaceDN w:val="0"/>
        <w:spacing w:after="0" w:line="240" w:lineRule="auto"/>
        <w:ind w:right="464"/>
      </w:pPr>
      <w:r>
        <w:t>“Multi-Purpose Community Facility Project” has the meaning set forth</w:t>
      </w:r>
      <w:r w:rsidRPr="00E30D0C">
        <w:t xml:space="preserve"> in </w:t>
      </w:r>
      <w:r>
        <w:t xml:space="preserve">Section </w:t>
      </w:r>
      <w:proofErr w:type="spellStart"/>
      <w:r>
        <w:lastRenderedPageBreak/>
        <w:t>I.C.a</w:t>
      </w:r>
      <w:proofErr w:type="spellEnd"/>
      <w:r>
        <w:t xml:space="preserve"> of the Capital Projects Fund Guidance.</w:t>
      </w:r>
      <w:r>
        <w:br/>
      </w:r>
    </w:p>
    <w:p w:rsidR="008D5B4B" w:rsidP="00896500" w:rsidRDefault="008D5B4B" w14:paraId="4EFCAB9F" w14:textId="246D3B56">
      <w:pPr>
        <w:pStyle w:val="CommentText"/>
        <w:numPr>
          <w:ilvl w:val="0"/>
          <w:numId w:val="21"/>
        </w:numPr>
        <w:spacing w:after="0"/>
        <w:rPr>
          <w:sz w:val="22"/>
          <w:szCs w:val="22"/>
        </w:rPr>
      </w:pPr>
      <w:r w:rsidRPr="005243C5">
        <w:rPr>
          <w:sz w:val="22"/>
          <w:szCs w:val="22"/>
        </w:rPr>
        <w:t>“Obligation</w:t>
      </w:r>
      <w:r w:rsidRPr="003758B9" w:rsidR="009D5A70">
        <w:rPr>
          <w:sz w:val="22"/>
          <w:szCs w:val="22"/>
        </w:rPr>
        <w:t>s</w:t>
      </w:r>
      <w:r w:rsidRPr="005243C5">
        <w:rPr>
          <w:sz w:val="22"/>
          <w:szCs w:val="22"/>
        </w:rPr>
        <w:t xml:space="preserve">” </w:t>
      </w:r>
      <w:r w:rsidRPr="003758B9" w:rsidR="009D5A70">
        <w:rPr>
          <w:sz w:val="22"/>
          <w:szCs w:val="22"/>
        </w:rPr>
        <w:t>are</w:t>
      </w:r>
      <w:r w:rsidRPr="005243C5" w:rsidR="009D5A70">
        <w:rPr>
          <w:sz w:val="22"/>
          <w:szCs w:val="22"/>
        </w:rPr>
        <w:t xml:space="preserve"> </w:t>
      </w:r>
      <w:r w:rsidRPr="005243C5">
        <w:rPr>
          <w:sz w:val="22"/>
          <w:szCs w:val="22"/>
        </w:rPr>
        <w:t>order</w:t>
      </w:r>
      <w:r w:rsidRPr="003758B9" w:rsidR="009D5A70">
        <w:rPr>
          <w:sz w:val="22"/>
          <w:szCs w:val="22"/>
        </w:rPr>
        <w:t>s</w:t>
      </w:r>
      <w:r w:rsidRPr="005243C5">
        <w:rPr>
          <w:sz w:val="22"/>
          <w:szCs w:val="22"/>
        </w:rPr>
        <w:t xml:space="preserve"> placed</w:t>
      </w:r>
      <w:r w:rsidRPr="009D5A70">
        <w:rPr>
          <w:sz w:val="22"/>
          <w:szCs w:val="22"/>
        </w:rPr>
        <w:t xml:space="preserve"> for property and services, contracts and subawards made, and similar transactions that require payment</w:t>
      </w:r>
      <w:r>
        <w:rPr>
          <w:sz w:val="22"/>
          <w:szCs w:val="22"/>
        </w:rPr>
        <w:t>.</w:t>
      </w:r>
      <w:r>
        <w:rPr>
          <w:sz w:val="22"/>
          <w:szCs w:val="22"/>
        </w:rPr>
        <w:br/>
      </w:r>
    </w:p>
    <w:p w:rsidR="008D5B4B" w:rsidP="00896500" w:rsidRDefault="008D5B4B" w14:paraId="4E50E507" w14:textId="77777777">
      <w:pPr>
        <w:pStyle w:val="CommentText"/>
        <w:numPr>
          <w:ilvl w:val="0"/>
          <w:numId w:val="21"/>
        </w:numPr>
        <w:spacing w:after="0"/>
        <w:rPr>
          <w:sz w:val="22"/>
          <w:szCs w:val="22"/>
        </w:rPr>
      </w:pPr>
      <w:r>
        <w:rPr>
          <w:sz w:val="22"/>
          <w:szCs w:val="22"/>
        </w:rPr>
        <w:t xml:space="preserve">“Outcome” is a desired result of a program. </w:t>
      </w:r>
      <w:r>
        <w:rPr>
          <w:sz w:val="22"/>
          <w:szCs w:val="22"/>
        </w:rPr>
        <w:br/>
      </w:r>
    </w:p>
    <w:p w:rsidR="008D5B4B" w:rsidP="00896500" w:rsidRDefault="008D5B4B" w14:paraId="106F1776" w14:textId="77777777">
      <w:pPr>
        <w:pStyle w:val="CommentText"/>
        <w:numPr>
          <w:ilvl w:val="0"/>
          <w:numId w:val="21"/>
        </w:numPr>
        <w:spacing w:after="0"/>
        <w:rPr>
          <w:sz w:val="22"/>
          <w:szCs w:val="22"/>
        </w:rPr>
      </w:pPr>
      <w:r>
        <w:rPr>
          <w:sz w:val="22"/>
          <w:szCs w:val="22"/>
        </w:rPr>
        <w:t xml:space="preserve">“Output” is a quantity of a product or service delivered by a program. </w:t>
      </w:r>
      <w:r>
        <w:rPr>
          <w:sz w:val="22"/>
          <w:szCs w:val="22"/>
        </w:rPr>
        <w:br/>
      </w:r>
    </w:p>
    <w:p w:rsidR="008D5B4B" w:rsidP="00896500" w:rsidRDefault="008D5B4B" w14:paraId="10E3BC26" w14:textId="77777777">
      <w:pPr>
        <w:pStyle w:val="CommentText"/>
        <w:numPr>
          <w:ilvl w:val="0"/>
          <w:numId w:val="21"/>
        </w:numPr>
        <w:spacing w:after="0"/>
        <w:rPr>
          <w:sz w:val="22"/>
          <w:szCs w:val="22"/>
        </w:rPr>
      </w:pPr>
      <w:r>
        <w:rPr>
          <w:sz w:val="22"/>
          <w:szCs w:val="22"/>
        </w:rPr>
        <w:t xml:space="preserve">“Performance Indicator” or “Indicator” is a measurable value that indicates the state or level of something.  </w:t>
      </w:r>
      <w:r>
        <w:rPr>
          <w:sz w:val="22"/>
          <w:szCs w:val="22"/>
        </w:rPr>
        <w:br/>
      </w:r>
    </w:p>
    <w:p w:rsidRPr="00896500" w:rsidR="008D5B4B" w:rsidP="00896500" w:rsidRDefault="008D5B4B" w14:paraId="0BB5ACB7" w14:textId="3538651C">
      <w:pPr>
        <w:pStyle w:val="CommentText"/>
        <w:numPr>
          <w:ilvl w:val="0"/>
          <w:numId w:val="21"/>
        </w:numPr>
        <w:spacing w:after="0"/>
      </w:pPr>
      <w:r>
        <w:rPr>
          <w:sz w:val="22"/>
          <w:szCs w:val="22"/>
        </w:rPr>
        <w:t xml:space="preserve">“Period Covered” is the set amount of time for which a Project and Expenditure Report or Performance Report requests information.  </w:t>
      </w:r>
    </w:p>
    <w:p w:rsidRPr="00C02912" w:rsidR="00896500" w:rsidP="00896500" w:rsidRDefault="00896500" w14:paraId="4F8BAF4C" w14:textId="77777777">
      <w:pPr>
        <w:pStyle w:val="CommentText"/>
        <w:spacing w:after="0"/>
        <w:ind w:left="720"/>
      </w:pPr>
    </w:p>
    <w:p w:rsidRPr="00EE6C80" w:rsidR="008D5B4B" w:rsidP="00896500" w:rsidRDefault="008D5B4B" w14:paraId="53AF90B7" w14:textId="77777777">
      <w:pPr>
        <w:pStyle w:val="CommentText"/>
        <w:numPr>
          <w:ilvl w:val="0"/>
          <w:numId w:val="21"/>
        </w:numPr>
        <w:spacing w:after="0"/>
        <w:rPr>
          <w:sz w:val="22"/>
          <w:szCs w:val="22"/>
        </w:rPr>
      </w:pPr>
      <w:r w:rsidRPr="00687A88">
        <w:rPr>
          <w:sz w:val="22"/>
          <w:szCs w:val="22"/>
        </w:rPr>
        <w:t xml:space="preserve">“Program” means one or more Capital Projects with common characteristics (e.g., a group of Multi-Purpose Community Facility Projects that directly enable work, education, and health monitoring) for which an Eligible Recipient is seeking funding under the Capital Projects Fund.  </w:t>
      </w:r>
      <w:r>
        <w:rPr>
          <w:sz w:val="22"/>
          <w:szCs w:val="22"/>
        </w:rPr>
        <w:br/>
      </w:r>
    </w:p>
    <w:p w:rsidR="008D5B4B" w:rsidP="00896500" w:rsidRDefault="008D5B4B" w14:paraId="114FAB14" w14:textId="77777777">
      <w:pPr>
        <w:pStyle w:val="BodyText"/>
        <w:widowControl w:val="0"/>
        <w:numPr>
          <w:ilvl w:val="0"/>
          <w:numId w:val="21"/>
        </w:numPr>
        <w:autoSpaceDE w:val="0"/>
        <w:autoSpaceDN w:val="0"/>
        <w:spacing w:after="0" w:line="240" w:lineRule="auto"/>
        <w:ind w:right="569"/>
      </w:pPr>
      <w:r>
        <w:t>“</w:t>
      </w:r>
      <w:proofErr w:type="spellStart"/>
      <w:r>
        <w:t>PoP</w:t>
      </w:r>
      <w:proofErr w:type="spellEnd"/>
      <w:r>
        <w:t xml:space="preserve"> Start Date” has the meaning set forth in Part 3. Section B.5.  </w:t>
      </w:r>
    </w:p>
    <w:p w:rsidR="008D5B4B" w:rsidP="00896500" w:rsidRDefault="008D5B4B" w14:paraId="3862D5A3" w14:textId="77777777">
      <w:pPr>
        <w:pStyle w:val="ListParagraph"/>
        <w:spacing w:after="0"/>
      </w:pPr>
    </w:p>
    <w:p w:rsidR="008D5B4B" w:rsidP="00896500" w:rsidRDefault="008D5B4B" w14:paraId="42AAB0F8" w14:textId="77777777">
      <w:pPr>
        <w:pStyle w:val="BodyText"/>
        <w:widowControl w:val="0"/>
        <w:numPr>
          <w:ilvl w:val="0"/>
          <w:numId w:val="21"/>
        </w:numPr>
        <w:autoSpaceDE w:val="0"/>
        <w:autoSpaceDN w:val="0"/>
        <w:spacing w:after="0" w:line="240" w:lineRule="auto"/>
        <w:ind w:right="569"/>
      </w:pPr>
      <w:r>
        <w:t xml:space="preserve">“Pre-Award Costs” has the meaning set forth in Part 3. Section B.5.  </w:t>
      </w:r>
    </w:p>
    <w:p w:rsidR="008D5B4B" w:rsidP="00896500" w:rsidRDefault="008D5B4B" w14:paraId="2954035F" w14:textId="77777777">
      <w:pPr>
        <w:pStyle w:val="BodyText"/>
        <w:widowControl w:val="0"/>
        <w:autoSpaceDE w:val="0"/>
        <w:autoSpaceDN w:val="0"/>
        <w:spacing w:after="0" w:line="240" w:lineRule="auto"/>
        <w:ind w:left="720" w:right="569"/>
      </w:pPr>
    </w:p>
    <w:p w:rsidR="008D5B4B" w:rsidP="00896500" w:rsidRDefault="008D5B4B" w14:paraId="17120EDC" w14:textId="0B2E1D07">
      <w:pPr>
        <w:pStyle w:val="BodyText"/>
        <w:widowControl w:val="0"/>
        <w:numPr>
          <w:ilvl w:val="0"/>
          <w:numId w:val="21"/>
        </w:numPr>
        <w:autoSpaceDE w:val="0"/>
        <w:autoSpaceDN w:val="0"/>
        <w:spacing w:after="0" w:line="240" w:lineRule="auto"/>
        <w:ind w:right="569"/>
      </w:pPr>
      <w:r w:rsidDel="00631F8D">
        <w:t>“</w:t>
      </w:r>
      <w:r>
        <w:t>Recipient” or “</w:t>
      </w:r>
      <w:r w:rsidDel="00C73EC0">
        <w:t>E</w:t>
      </w:r>
      <w:r>
        <w:t xml:space="preserve">ligible Recipient” is an entity that receives a </w:t>
      </w:r>
      <w:r w:rsidR="003C65BD">
        <w:t>federal</w:t>
      </w:r>
      <w:r>
        <w:t xml:space="preserve"> award directly from a </w:t>
      </w:r>
      <w:r w:rsidR="00EF45D8">
        <w:t>federal</w:t>
      </w:r>
      <w:r>
        <w:t xml:space="preserve"> awarding agency.  The term Recipient does not include Subrecipients or individuals that are beneficiaries of the award.</w:t>
      </w:r>
    </w:p>
    <w:p w:rsidR="008D5B4B" w:rsidP="00896500" w:rsidRDefault="008D5B4B" w14:paraId="2AD0BC01" w14:textId="77777777">
      <w:pPr>
        <w:pStyle w:val="BodyText"/>
        <w:widowControl w:val="0"/>
        <w:autoSpaceDE w:val="0"/>
        <w:autoSpaceDN w:val="0"/>
        <w:spacing w:after="0" w:line="240" w:lineRule="auto"/>
        <w:ind w:left="720" w:right="569"/>
      </w:pPr>
    </w:p>
    <w:p w:rsidR="008D5B4B" w:rsidP="00896500" w:rsidRDefault="008D5B4B" w14:paraId="24C9410A" w14:textId="77777777">
      <w:pPr>
        <w:pStyle w:val="BodyText"/>
        <w:widowControl w:val="0"/>
        <w:numPr>
          <w:ilvl w:val="0"/>
          <w:numId w:val="21"/>
        </w:numPr>
        <w:autoSpaceDE w:val="0"/>
        <w:autoSpaceDN w:val="0"/>
        <w:spacing w:after="0" w:line="240" w:lineRule="auto"/>
        <w:ind w:right="569"/>
      </w:pPr>
      <w:r>
        <w:t xml:space="preserve">“State” has the meaning set forth in Section I.A of the Capital Projects Fund Guidance.  </w:t>
      </w:r>
    </w:p>
    <w:p w:rsidR="008D5B4B" w:rsidP="00896500" w:rsidRDefault="008D5B4B" w14:paraId="57D0EBD5" w14:textId="77777777">
      <w:pPr>
        <w:spacing w:after="0"/>
      </w:pPr>
    </w:p>
    <w:p w:rsidR="008D5B4B" w:rsidP="00896500" w:rsidRDefault="008D5B4B" w14:paraId="2515AA68" w14:textId="051529E8">
      <w:pPr>
        <w:pStyle w:val="BodyText"/>
        <w:widowControl w:val="0"/>
        <w:numPr>
          <w:ilvl w:val="0"/>
          <w:numId w:val="21"/>
        </w:numPr>
        <w:autoSpaceDE w:val="0"/>
        <w:autoSpaceDN w:val="0"/>
        <w:spacing w:after="0" w:line="240" w:lineRule="auto"/>
        <w:ind w:right="569"/>
      </w:pPr>
      <w:r>
        <w:t xml:space="preserve">“Subrecipient” is an entity that receives a subaward from a CPF Recipient to carry out a capital project on behalf of a CPF Recipient.  Subrecipients may include, but are not limited to, other levels or units of government, non-profits, or private entities.  </w:t>
      </w:r>
    </w:p>
    <w:p w:rsidR="00BB38CB" w:rsidP="00896500" w:rsidRDefault="00BB38CB" w14:paraId="17F549E1" w14:textId="77777777">
      <w:pPr>
        <w:pStyle w:val="BodyText"/>
        <w:widowControl w:val="0"/>
        <w:autoSpaceDE w:val="0"/>
        <w:autoSpaceDN w:val="0"/>
        <w:spacing w:after="0" w:line="240" w:lineRule="auto"/>
        <w:ind w:right="569"/>
      </w:pPr>
    </w:p>
    <w:p w:rsidR="00BB38CB" w:rsidP="00896500" w:rsidRDefault="008D5B4B" w14:paraId="3A315476" w14:textId="77777777">
      <w:pPr>
        <w:pStyle w:val="BodyText"/>
        <w:widowControl w:val="0"/>
        <w:numPr>
          <w:ilvl w:val="0"/>
          <w:numId w:val="21"/>
        </w:numPr>
        <w:autoSpaceDE w:val="0"/>
        <w:autoSpaceDN w:val="0"/>
        <w:spacing w:after="0" w:line="240" w:lineRule="auto"/>
      </w:pPr>
      <w:r>
        <w:t xml:space="preserve">“Treasury” means the U.S. Department of the Treasury. </w:t>
      </w:r>
    </w:p>
    <w:p w:rsidR="00BB38CB" w:rsidP="00896500" w:rsidRDefault="00BB38CB" w14:paraId="1182157A" w14:textId="77777777">
      <w:pPr>
        <w:pStyle w:val="ListParagraph"/>
        <w:spacing w:after="0"/>
      </w:pPr>
    </w:p>
    <w:p w:rsidR="008D5B4B" w:rsidP="00896500" w:rsidRDefault="008D5B4B" w14:paraId="0BFF3647" w14:textId="298A5025">
      <w:pPr>
        <w:pStyle w:val="BodyText"/>
        <w:widowControl w:val="0"/>
        <w:numPr>
          <w:ilvl w:val="0"/>
          <w:numId w:val="21"/>
        </w:numPr>
        <w:autoSpaceDE w:val="0"/>
        <w:autoSpaceDN w:val="0"/>
        <w:spacing w:after="0" w:line="240" w:lineRule="auto"/>
      </w:pPr>
      <w:r>
        <w:t>"Treasury Reporting Portal” refers to the online portal that will be used to submit Project and Expenditure Reports and Performance Reports.</w:t>
      </w:r>
    </w:p>
    <w:p w:rsidR="008D5B4B" w:rsidP="00896500" w:rsidRDefault="008D5B4B" w14:paraId="3555E250" w14:textId="77777777">
      <w:pPr>
        <w:pStyle w:val="BodyText"/>
        <w:widowControl w:val="0"/>
        <w:autoSpaceDE w:val="0"/>
        <w:autoSpaceDN w:val="0"/>
        <w:spacing w:after="0" w:line="240" w:lineRule="auto"/>
        <w:ind w:left="540" w:hanging="360"/>
      </w:pPr>
    </w:p>
    <w:p w:rsidR="008D5B4B" w:rsidP="00896500" w:rsidRDefault="008D5B4B" w14:paraId="3AD7D421" w14:textId="77777777">
      <w:pPr>
        <w:pStyle w:val="BodyText"/>
        <w:widowControl w:val="0"/>
        <w:numPr>
          <w:ilvl w:val="0"/>
          <w:numId w:val="21"/>
        </w:numPr>
        <w:autoSpaceDE w:val="0"/>
        <w:autoSpaceDN w:val="0"/>
        <w:spacing w:after="0" w:line="240" w:lineRule="auto"/>
        <w:ind w:hanging="540"/>
      </w:pPr>
      <w:r>
        <w:t xml:space="preserve">“Tribal Government” means the recognized governing body of </w:t>
      </w:r>
      <w:r w:rsidRPr="00B21D12">
        <w:t>any Indian or Alaska Native tribe,</w:t>
      </w:r>
      <w:r>
        <w:t xml:space="preserve"> band</w:t>
      </w:r>
      <w:r w:rsidRPr="00B21D12">
        <w:t>, nation, pueblo, village, community, component band,</w:t>
      </w:r>
      <w:r>
        <w:t xml:space="preserve"> or component reservation</w:t>
      </w:r>
      <w:r w:rsidRPr="00B21D12">
        <w:t>, individually</w:t>
      </w:r>
      <w:r>
        <w:t xml:space="preserve"> identified </w:t>
      </w:r>
      <w:r w:rsidRPr="00B21D12">
        <w:t xml:space="preserve">(including parenthetically) </w:t>
      </w:r>
      <w:r>
        <w:t xml:space="preserve">in the list published </w:t>
      </w:r>
      <w:r w:rsidRPr="00B21D12">
        <w:t>most recently as of the date of enactment of this Act pursuant to section 104 of the Federally Recognized Indian Tribe List Act of 1994 (25 U.S.C. 5131</w:t>
      </w:r>
      <w:r>
        <w:t>) and the State of Hawaii (for exclusive use of the Department of Hawaiian Home Lands and the Native Hawaiian Education Programs to assist Native Hawaiians).</w:t>
      </w:r>
    </w:p>
    <w:p w:rsidR="008D5B4B" w:rsidP="00896500" w:rsidRDefault="008D5B4B" w14:paraId="04F1D141" w14:textId="77777777">
      <w:pPr>
        <w:pStyle w:val="ListParagraph"/>
        <w:spacing w:after="0"/>
      </w:pPr>
    </w:p>
    <w:p w:rsidR="008D5B4B" w:rsidP="009A35B8" w:rsidRDefault="008D5B4B" w14:paraId="4BF5673B" w14:textId="467E9E4B">
      <w:pPr>
        <w:pStyle w:val="BodyText"/>
        <w:widowControl w:val="0"/>
        <w:numPr>
          <w:ilvl w:val="0"/>
          <w:numId w:val="21"/>
        </w:numPr>
        <w:autoSpaceDE w:val="0"/>
        <w:autoSpaceDN w:val="0"/>
        <w:spacing w:after="0" w:line="240" w:lineRule="auto"/>
        <w:ind w:hanging="540"/>
      </w:pPr>
      <w:r>
        <w:t xml:space="preserve">“Uniform Guidance” means the Administrative Requirements, Cost Principles, and Audit Requirements for Federal Awards, </w:t>
      </w:r>
      <w:r w:rsidR="00C03083">
        <w:t xml:space="preserve">located in Title 2 of the Code of Federal Regulations (2 CFR </w:t>
      </w:r>
      <w:r w:rsidR="00FF7E3F">
        <w:t xml:space="preserve">Part </w:t>
      </w:r>
      <w:r w:rsidR="00C03083">
        <w:t>200).</w:t>
      </w:r>
    </w:p>
    <w:sectPr w:rsidR="008D5B4B" w:rsidSect="00FA4001">
      <w:type w:val="continuous"/>
      <w:pgSz w:w="11906" w:h="16838"/>
      <w:pgMar w:top="1170" w:right="1440" w:bottom="1350" w:left="1440" w:header="708"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76210" w14:textId="77777777" w:rsidR="007735CE" w:rsidRDefault="007735CE" w:rsidP="00415FC4">
      <w:pPr>
        <w:spacing w:after="0" w:line="240" w:lineRule="auto"/>
      </w:pPr>
      <w:r>
        <w:separator/>
      </w:r>
    </w:p>
  </w:endnote>
  <w:endnote w:type="continuationSeparator" w:id="0">
    <w:p w14:paraId="4F55733B" w14:textId="77777777" w:rsidR="007735CE" w:rsidRDefault="007735CE" w:rsidP="00415FC4">
      <w:pPr>
        <w:spacing w:after="0" w:line="240" w:lineRule="auto"/>
      </w:pPr>
      <w:r>
        <w:continuationSeparator/>
      </w:r>
    </w:p>
  </w:endnote>
  <w:endnote w:type="continuationNotice" w:id="1">
    <w:p w14:paraId="59E90852" w14:textId="77777777" w:rsidR="007735CE" w:rsidRDefault="00773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664292"/>
      <w:docPartObj>
        <w:docPartGallery w:val="Page Numbers (Bottom of Page)"/>
        <w:docPartUnique/>
      </w:docPartObj>
    </w:sdtPr>
    <w:sdtEndPr>
      <w:rPr>
        <w:noProof/>
      </w:rPr>
    </w:sdtEndPr>
    <w:sdtContent>
      <w:p w14:paraId="24FFC20C" w14:textId="38C95990" w:rsidR="00BE15FF" w:rsidRDefault="00BE15FF">
        <w:pPr>
          <w:pStyle w:val="Footer"/>
          <w:jc w:val="center"/>
        </w:pPr>
        <w:r>
          <w:fldChar w:fldCharType="begin"/>
        </w:r>
        <w:r w:rsidRPr="00025098">
          <w:rPr>
            <w:sz w:val="18"/>
            <w:szCs w:val="18"/>
          </w:rPr>
          <w:instrText xml:space="preserve"> PAGE   \* MERGEFORMAT </w:instrText>
        </w:r>
        <w:r>
          <w:fldChar w:fldCharType="separate"/>
        </w:r>
        <w:r>
          <w:rPr>
            <w:sz w:val="18"/>
            <w:szCs w:val="18"/>
          </w:rPr>
          <w:t>3</w:t>
        </w:r>
        <w:r>
          <w:fldChar w:fldCharType="end"/>
        </w:r>
      </w:p>
    </w:sdtContent>
  </w:sdt>
  <w:p w14:paraId="17D980B0" w14:textId="2936BDCD" w:rsidR="00BE15FF" w:rsidRPr="00440EF3" w:rsidRDefault="00BE15FF" w:rsidP="00F570D3">
    <w:pPr>
      <w:pStyle w:val="Footer"/>
      <w:jc w:val="center"/>
      <w:rPr>
        <w:b/>
        <w:b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E818" w14:textId="7F16554C" w:rsidR="00BE15FF" w:rsidRDefault="00BE15FF">
    <w:pPr>
      <w:pStyle w:val="Footer"/>
      <w:jc w:val="center"/>
    </w:pPr>
    <w:r>
      <w:fldChar w:fldCharType="begin"/>
    </w:r>
    <w:r>
      <w:instrText xml:space="preserve"> PAGE   \* MERGEFORMAT </w:instrText>
    </w:r>
    <w:r>
      <w:fldChar w:fldCharType="separate"/>
    </w:r>
    <w:r>
      <w:rPr>
        <w:noProof/>
      </w:rPr>
      <w:t>2</w:t>
    </w:r>
    <w:r>
      <w:rPr>
        <w:noProof/>
      </w:rPr>
      <w:fldChar w:fldCharType="end"/>
    </w:r>
  </w:p>
  <w:p w14:paraId="326976D8" w14:textId="77777777" w:rsidR="00BE15FF" w:rsidRDefault="00BE1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433D4" w14:textId="77777777" w:rsidR="007735CE" w:rsidRDefault="007735CE" w:rsidP="00415FC4">
      <w:pPr>
        <w:spacing w:after="0" w:line="240" w:lineRule="auto"/>
      </w:pPr>
      <w:r>
        <w:separator/>
      </w:r>
    </w:p>
  </w:footnote>
  <w:footnote w:type="continuationSeparator" w:id="0">
    <w:p w14:paraId="65376EAC" w14:textId="77777777" w:rsidR="007735CE" w:rsidRDefault="007735CE" w:rsidP="00415FC4">
      <w:pPr>
        <w:spacing w:after="0" w:line="240" w:lineRule="auto"/>
      </w:pPr>
      <w:r>
        <w:continuationSeparator/>
      </w:r>
    </w:p>
  </w:footnote>
  <w:footnote w:type="continuationNotice" w:id="1">
    <w:p w14:paraId="2D34C1F4" w14:textId="77777777" w:rsidR="007735CE" w:rsidRDefault="007735CE">
      <w:pPr>
        <w:spacing w:after="0" w:line="240" w:lineRule="auto"/>
      </w:pPr>
    </w:p>
  </w:footnote>
  <w:footnote w:id="2">
    <w:p w14:paraId="29D09557" w14:textId="43B3F0AC" w:rsidR="00BE15FF" w:rsidRDefault="00BE15FF" w:rsidP="008B7FF7">
      <w:pPr>
        <w:pStyle w:val="FootnoteText"/>
      </w:pPr>
      <w:r w:rsidRPr="008B7FF7">
        <w:rPr>
          <w:rStyle w:val="FootnoteReference"/>
        </w:rPr>
        <w:t>†</w:t>
      </w:r>
      <w:r w:rsidRPr="008B7FF7">
        <w:t xml:space="preserve"> </w:t>
      </w:r>
      <w:r w:rsidRPr="00B825C8">
        <w:rPr>
          <w:lang w:val="en-IN"/>
        </w:rPr>
        <w:t xml:space="preserve">Recipients that have not </w:t>
      </w:r>
      <w:r w:rsidRPr="00612EBC">
        <w:rPr>
          <w:lang w:val="en-IN"/>
        </w:rPr>
        <w:t xml:space="preserve">received an initial CPF payment </w:t>
      </w:r>
      <w:r w:rsidR="002A4A1C">
        <w:rPr>
          <w:lang w:val="en-IN"/>
        </w:rPr>
        <w:t xml:space="preserve">(either payments for Administrative Costs or Project Costs) </w:t>
      </w:r>
      <w:r w:rsidRPr="00612EBC">
        <w:rPr>
          <w:lang w:val="en-IN"/>
        </w:rPr>
        <w:t xml:space="preserve">on or before </w:t>
      </w:r>
      <w:r w:rsidR="002A4A1C">
        <w:rPr>
          <w:lang w:val="en-IN"/>
        </w:rPr>
        <w:t>September</w:t>
      </w:r>
      <w:r w:rsidR="002A4A1C" w:rsidRPr="00612EBC" w:rsidDel="00BB18FC">
        <w:rPr>
          <w:lang w:val="en-IN"/>
        </w:rPr>
        <w:t xml:space="preserve"> </w:t>
      </w:r>
      <w:r w:rsidRPr="00612EBC">
        <w:rPr>
          <w:lang w:val="en-IN"/>
        </w:rPr>
        <w:t xml:space="preserve">15, 2022, are exempted from Report 1 and should treat the </w:t>
      </w:r>
      <w:r w:rsidR="002A4A1C">
        <w:rPr>
          <w:lang w:val="en-IN"/>
        </w:rPr>
        <w:t>January</w:t>
      </w:r>
      <w:r w:rsidR="002A4A1C" w:rsidRPr="00612EBC" w:rsidDel="00BB18FC">
        <w:rPr>
          <w:lang w:val="en-IN"/>
        </w:rPr>
        <w:t xml:space="preserve"> </w:t>
      </w:r>
      <w:r w:rsidRPr="00612EBC">
        <w:rPr>
          <w:lang w:val="en-IN"/>
        </w:rPr>
        <w:t xml:space="preserve">31, 2022, report (Report 2) as their initial </w:t>
      </w:r>
      <w:r>
        <w:rPr>
          <w:lang w:val="en-IN"/>
        </w:rPr>
        <w:t xml:space="preserve">P&amp;E </w:t>
      </w:r>
      <w:r w:rsidRPr="00612EBC">
        <w:rPr>
          <w:lang w:val="en-IN"/>
        </w:rPr>
        <w:t xml:space="preserve">Report. </w:t>
      </w:r>
    </w:p>
  </w:footnote>
  <w:footnote w:id="3">
    <w:p w14:paraId="67B303F9" w14:textId="77777777" w:rsidR="00BE15FF" w:rsidRDefault="00BE15FF" w:rsidP="00007CCC">
      <w:pPr>
        <w:pStyle w:val="FootnoteText"/>
      </w:pPr>
      <w:r>
        <w:rPr>
          <w:rStyle w:val="FootnoteReference"/>
        </w:rPr>
        <w:footnoteRef/>
      </w:r>
      <w:r>
        <w:t xml:space="preserve"> For additional information on final reports, </w:t>
      </w:r>
      <w:r>
        <w:rPr>
          <w:i/>
        </w:rPr>
        <w:t xml:space="preserve">see </w:t>
      </w:r>
      <w:r>
        <w:t>2 C.F.R. 200.344(a) and (b).</w:t>
      </w:r>
    </w:p>
  </w:footnote>
  <w:footnote w:id="4">
    <w:p w14:paraId="336376B5" w14:textId="6562197E" w:rsidR="00BE15FF" w:rsidRDefault="00BE15FF">
      <w:pPr>
        <w:pStyle w:val="FootnoteText"/>
      </w:pPr>
      <w:r>
        <w:rPr>
          <w:rStyle w:val="FootnoteReference"/>
        </w:rPr>
        <w:footnoteRef/>
      </w:r>
      <w:r>
        <w:t xml:space="preserve"> Program budget update due dates to be specified in the forthcoming user guide.</w:t>
      </w:r>
    </w:p>
  </w:footnote>
  <w:footnote w:id="5">
    <w:p w14:paraId="0F0D5C01" w14:textId="6446610A" w:rsidR="00BE15FF" w:rsidRDefault="00BE15FF" w:rsidP="00073890">
      <w:pPr>
        <w:pStyle w:val="FootnoteText"/>
        <w:tabs>
          <w:tab w:val="left" w:pos="6390"/>
        </w:tabs>
      </w:pPr>
      <w:r>
        <w:rPr>
          <w:rStyle w:val="FootnoteReference"/>
        </w:rPr>
        <w:footnoteRef/>
      </w:r>
      <w:r>
        <w:t xml:space="preserve"> As determined by the U.S. Secretary of Labor in accordance with subchapter IV of chapter 31 of title 40, United States Code (commonly known as the “Davis-Bacon Act”), for the corresponding classes of laborers and mechanics employed on projects of a character </w:t>
      </w:r>
      <w:proofErr w:type="gramStart"/>
      <w:r>
        <w:t>similar to</w:t>
      </w:r>
      <w:proofErr w:type="gramEnd"/>
      <w:r>
        <w:t xml:space="preserve"> the contract work in the civil subdivision of the State (or the District of Columbia) in which the work is to be performed.</w:t>
      </w:r>
    </w:p>
  </w:footnote>
  <w:footnote w:id="6">
    <w:p w14:paraId="32E28D08" w14:textId="4F93572E" w:rsidR="00BE15FF" w:rsidRPr="00612EBC" w:rsidRDefault="00BE15FF" w:rsidP="3E998DF5">
      <w:pPr>
        <w:pStyle w:val="FootnoteText"/>
        <w:rPr>
          <w:i/>
        </w:rPr>
      </w:pPr>
      <w:r>
        <w:rPr>
          <w:rStyle w:val="FootnoteReference"/>
        </w:rPr>
        <w:footnoteRef/>
      </w:r>
      <w:r>
        <w:t xml:space="preserve"> </w:t>
      </w:r>
      <w:r>
        <w:rPr>
          <w:rFonts w:ascii="Arial" w:eastAsia="Arial" w:hAnsi="Arial" w:cs="Arial"/>
        </w:rPr>
        <w:t xml:space="preserve">A logic model is a tool that depicts the intended links between program investments and outcomes, specifically the relationships among the resources, activities, outputs, outcomes, and impact of a program.  More information about logic models can be found in </w:t>
      </w:r>
      <w:hyperlink r:id="rId1" w:history="1">
        <w:r w:rsidRPr="00964ADE">
          <w:rPr>
            <w:rStyle w:val="Hyperlink"/>
            <w:rFonts w:ascii="Arial" w:eastAsia="Arial" w:hAnsi="Arial" w:cs="Arial"/>
            <w:i/>
            <w:iCs/>
          </w:rPr>
          <w:t>Managing For Results: The Performance Management Playbook for Federal Awarding Agencies</w:t>
        </w:r>
      </w:hyperlink>
      <w:r>
        <w:rPr>
          <w:rFonts w:ascii="Arial" w:eastAsia="Arial" w:hAnsi="Arial" w:cs="Arial"/>
          <w:i/>
          <w:iCs/>
        </w:rPr>
        <w:t>.</w:t>
      </w:r>
    </w:p>
  </w:footnote>
  <w:footnote w:id="7">
    <w:p w14:paraId="7956DF7E" w14:textId="3EB48ADC" w:rsidR="00BE15FF" w:rsidRDefault="00BE15FF">
      <w:pPr>
        <w:pStyle w:val="FootnoteText"/>
      </w:pPr>
      <w:r>
        <w:rPr>
          <w:rStyle w:val="FootnoteReference"/>
        </w:rPr>
        <w:footnoteRef/>
      </w:r>
      <w:r>
        <w:t xml:space="preserve"> For additional information on final reports, </w:t>
      </w:r>
      <w:r>
        <w:rPr>
          <w:i/>
        </w:rPr>
        <w:t xml:space="preserve">see </w:t>
      </w:r>
      <w:r>
        <w:t>2 C.F.R. 200.344(a) and (b).</w:t>
      </w:r>
    </w:p>
  </w:footnote>
  <w:footnote w:id="8">
    <w:p w14:paraId="14E3008E" w14:textId="3A5DA76A" w:rsidR="00BE15FF" w:rsidRPr="00454AFB" w:rsidRDefault="00BE15FF">
      <w:pPr>
        <w:pStyle w:val="FootnoteText"/>
      </w:pPr>
      <w:r w:rsidRPr="00454AFB">
        <w:rPr>
          <w:rStyle w:val="FootnoteReference"/>
        </w:rPr>
        <w:footnoteRef/>
      </w:r>
      <w:r>
        <w:t xml:space="preserve"> See </w:t>
      </w:r>
      <w:r w:rsidRPr="00454AFB">
        <w:t xml:space="preserve">2 CFR 200.305(b)(9) </w:t>
      </w:r>
      <w:r>
        <w:t>for detailed</w:t>
      </w:r>
      <w:r w:rsidRPr="00454AFB">
        <w:t xml:space="preserve"> information on how freely associated state</w:t>
      </w:r>
      <w:r>
        <w:t xml:space="preserve"> </w:t>
      </w:r>
      <w:r w:rsidRPr="00454AFB">
        <w:t xml:space="preserve">recipients may remit interest </w:t>
      </w:r>
      <w:r>
        <w:t xml:space="preserve">earned over $500 annually </w:t>
      </w:r>
      <w:r w:rsidRPr="00454AFB">
        <w:t>to the Department of Health and Human Services Payment Management System (PMS).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116F" w14:textId="067CADD1" w:rsidR="00BE15FF" w:rsidRPr="00060B38" w:rsidRDefault="00BE15FF" w:rsidP="00F570D3">
    <w:pPr>
      <w:pStyle w:val="Footer"/>
      <w:jc w:val="center"/>
      <w:rPr>
        <w:b/>
        <w:bCs/>
        <w:color w:val="FF0000"/>
        <w:sz w:val="20"/>
        <w:szCs w:val="20"/>
      </w:rPr>
    </w:pPr>
    <w:r w:rsidRPr="00060B38">
      <w:rPr>
        <w:b/>
        <w:bCs/>
        <w:color w:val="FF0000"/>
        <w:sz w:val="20"/>
        <w:szCs w:val="20"/>
      </w:rPr>
      <w:t>DRAFT</w:t>
    </w:r>
  </w:p>
  <w:p w14:paraId="20CB7A2A" w14:textId="38F55683" w:rsidR="00BE15FF" w:rsidRDefault="00BE1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0F24" w14:textId="7C324845" w:rsidR="001C1266" w:rsidRPr="00060B38" w:rsidRDefault="001C1266" w:rsidP="001C1266">
    <w:pPr>
      <w:pStyle w:val="Footer"/>
      <w:jc w:val="center"/>
      <w:rPr>
        <w:b/>
        <w:bCs/>
        <w:color w:val="FF0000"/>
        <w:sz w:val="20"/>
        <w:szCs w:val="20"/>
      </w:rPr>
    </w:pPr>
    <w:r w:rsidRPr="00060B38">
      <w:rPr>
        <w:b/>
        <w:bCs/>
        <w:color w:val="FF0000"/>
        <w:sz w:val="20"/>
        <w:szCs w:val="20"/>
      </w:rPr>
      <w:t xml:space="preserve">DRAFT </w:t>
    </w:r>
  </w:p>
  <w:p w14:paraId="7E385624" w14:textId="77777777" w:rsidR="001C1266" w:rsidRDefault="001C1266" w:rsidP="001C126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F86"/>
    <w:multiLevelType w:val="hybridMultilevel"/>
    <w:tmpl w:val="14D6CD46"/>
    <w:lvl w:ilvl="0" w:tplc="348C3194">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412FD"/>
    <w:multiLevelType w:val="hybridMultilevel"/>
    <w:tmpl w:val="56C4360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3451BAA"/>
    <w:multiLevelType w:val="hybridMultilevel"/>
    <w:tmpl w:val="044C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23FD9"/>
    <w:multiLevelType w:val="hybridMultilevel"/>
    <w:tmpl w:val="6456BE88"/>
    <w:lvl w:ilvl="0" w:tplc="285258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6281B"/>
    <w:multiLevelType w:val="hybridMultilevel"/>
    <w:tmpl w:val="C52CBC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9B1A04"/>
    <w:multiLevelType w:val="hybridMultilevel"/>
    <w:tmpl w:val="699AC142"/>
    <w:lvl w:ilvl="0" w:tplc="31980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6B4B54"/>
    <w:multiLevelType w:val="multilevel"/>
    <w:tmpl w:val="C70A85CA"/>
    <w:lvl w:ilvl="0">
      <w:start w:val="1"/>
      <w:numFmt w:val="upperLetter"/>
      <w:lvlText w:val="%1."/>
      <w:lvlJc w:val="left"/>
      <w:pPr>
        <w:tabs>
          <w:tab w:val="num" w:pos="360"/>
        </w:tabs>
        <w:ind w:left="360" w:hanging="360"/>
      </w:pPr>
      <w:rPr>
        <w:rFonts w:hint="default"/>
        <w:sz w:val="20"/>
      </w:rPr>
    </w:lvl>
    <w:lvl w:ilvl="1">
      <w:start w:val="1"/>
      <w:numFmt w:val="upp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7D40397"/>
    <w:multiLevelType w:val="hybridMultilevel"/>
    <w:tmpl w:val="C212B3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7DB15D5"/>
    <w:multiLevelType w:val="hybridMultilevel"/>
    <w:tmpl w:val="669CCF2C"/>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CC0533"/>
    <w:multiLevelType w:val="hybridMultilevel"/>
    <w:tmpl w:val="6374E52E"/>
    <w:lvl w:ilvl="0" w:tplc="4F5C0718">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9DF73AB"/>
    <w:multiLevelType w:val="hybridMultilevel"/>
    <w:tmpl w:val="32B233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C30FE4"/>
    <w:multiLevelType w:val="hybridMultilevel"/>
    <w:tmpl w:val="AEE40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B4935"/>
    <w:multiLevelType w:val="hybridMultilevel"/>
    <w:tmpl w:val="947CC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C0B32CA"/>
    <w:multiLevelType w:val="hybridMultilevel"/>
    <w:tmpl w:val="C52CB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CF11B9"/>
    <w:multiLevelType w:val="hybridMultilevel"/>
    <w:tmpl w:val="1FBA8F90"/>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E94B86"/>
    <w:multiLevelType w:val="hybridMultilevel"/>
    <w:tmpl w:val="250ED030"/>
    <w:lvl w:ilvl="0" w:tplc="BEF44676">
      <w:start w:val="60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492550"/>
    <w:multiLevelType w:val="hybridMultilevel"/>
    <w:tmpl w:val="9D16C5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503297"/>
    <w:multiLevelType w:val="hybridMultilevel"/>
    <w:tmpl w:val="4D066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CC41AF"/>
    <w:multiLevelType w:val="hybridMultilevel"/>
    <w:tmpl w:val="2804A9F4"/>
    <w:lvl w:ilvl="0" w:tplc="5F687F0E">
      <w:start w:val="1"/>
      <w:numFmt w:val="bullet"/>
      <w:lvlText w:val="•"/>
      <w:lvlJc w:val="left"/>
      <w:pPr>
        <w:tabs>
          <w:tab w:val="num" w:pos="720"/>
        </w:tabs>
        <w:ind w:left="720" w:hanging="360"/>
      </w:pPr>
      <w:rPr>
        <w:rFonts w:ascii="Arial" w:hAnsi="Arial" w:hint="default"/>
      </w:rPr>
    </w:lvl>
    <w:lvl w:ilvl="1" w:tplc="DD5CCC12" w:tentative="1">
      <w:start w:val="1"/>
      <w:numFmt w:val="bullet"/>
      <w:lvlText w:val="•"/>
      <w:lvlJc w:val="left"/>
      <w:pPr>
        <w:tabs>
          <w:tab w:val="num" w:pos="1440"/>
        </w:tabs>
        <w:ind w:left="1440" w:hanging="360"/>
      </w:pPr>
      <w:rPr>
        <w:rFonts w:ascii="Arial" w:hAnsi="Arial" w:hint="default"/>
      </w:rPr>
    </w:lvl>
    <w:lvl w:ilvl="2" w:tplc="5718C5CE" w:tentative="1">
      <w:start w:val="1"/>
      <w:numFmt w:val="bullet"/>
      <w:lvlText w:val="•"/>
      <w:lvlJc w:val="left"/>
      <w:pPr>
        <w:tabs>
          <w:tab w:val="num" w:pos="2160"/>
        </w:tabs>
        <w:ind w:left="2160" w:hanging="360"/>
      </w:pPr>
      <w:rPr>
        <w:rFonts w:ascii="Arial" w:hAnsi="Arial" w:hint="default"/>
      </w:rPr>
    </w:lvl>
    <w:lvl w:ilvl="3" w:tplc="23ACF03A" w:tentative="1">
      <w:start w:val="1"/>
      <w:numFmt w:val="bullet"/>
      <w:lvlText w:val="•"/>
      <w:lvlJc w:val="left"/>
      <w:pPr>
        <w:tabs>
          <w:tab w:val="num" w:pos="2880"/>
        </w:tabs>
        <w:ind w:left="2880" w:hanging="360"/>
      </w:pPr>
      <w:rPr>
        <w:rFonts w:ascii="Arial" w:hAnsi="Arial" w:hint="default"/>
      </w:rPr>
    </w:lvl>
    <w:lvl w:ilvl="4" w:tplc="6A06FA36" w:tentative="1">
      <w:start w:val="1"/>
      <w:numFmt w:val="bullet"/>
      <w:lvlText w:val="•"/>
      <w:lvlJc w:val="left"/>
      <w:pPr>
        <w:tabs>
          <w:tab w:val="num" w:pos="3600"/>
        </w:tabs>
        <w:ind w:left="3600" w:hanging="360"/>
      </w:pPr>
      <w:rPr>
        <w:rFonts w:ascii="Arial" w:hAnsi="Arial" w:hint="default"/>
      </w:rPr>
    </w:lvl>
    <w:lvl w:ilvl="5" w:tplc="753C0D4A" w:tentative="1">
      <w:start w:val="1"/>
      <w:numFmt w:val="bullet"/>
      <w:lvlText w:val="•"/>
      <w:lvlJc w:val="left"/>
      <w:pPr>
        <w:tabs>
          <w:tab w:val="num" w:pos="4320"/>
        </w:tabs>
        <w:ind w:left="4320" w:hanging="360"/>
      </w:pPr>
      <w:rPr>
        <w:rFonts w:ascii="Arial" w:hAnsi="Arial" w:hint="default"/>
      </w:rPr>
    </w:lvl>
    <w:lvl w:ilvl="6" w:tplc="3FE215D8" w:tentative="1">
      <w:start w:val="1"/>
      <w:numFmt w:val="bullet"/>
      <w:lvlText w:val="•"/>
      <w:lvlJc w:val="left"/>
      <w:pPr>
        <w:tabs>
          <w:tab w:val="num" w:pos="5040"/>
        </w:tabs>
        <w:ind w:left="5040" w:hanging="360"/>
      </w:pPr>
      <w:rPr>
        <w:rFonts w:ascii="Arial" w:hAnsi="Arial" w:hint="default"/>
      </w:rPr>
    </w:lvl>
    <w:lvl w:ilvl="7" w:tplc="44B416CC" w:tentative="1">
      <w:start w:val="1"/>
      <w:numFmt w:val="bullet"/>
      <w:lvlText w:val="•"/>
      <w:lvlJc w:val="left"/>
      <w:pPr>
        <w:tabs>
          <w:tab w:val="num" w:pos="5760"/>
        </w:tabs>
        <w:ind w:left="5760" w:hanging="360"/>
      </w:pPr>
      <w:rPr>
        <w:rFonts w:ascii="Arial" w:hAnsi="Arial" w:hint="default"/>
      </w:rPr>
    </w:lvl>
    <w:lvl w:ilvl="8" w:tplc="F2C2A59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03F70B6"/>
    <w:multiLevelType w:val="hybridMultilevel"/>
    <w:tmpl w:val="85AE07B6"/>
    <w:lvl w:ilvl="0" w:tplc="0A1ADCB8">
      <w:start w:val="1"/>
      <w:numFmt w:val="upperLetter"/>
      <w:lvlText w:val="%1."/>
      <w:lvlJc w:val="left"/>
      <w:pPr>
        <w:ind w:left="360" w:hanging="360"/>
      </w:pPr>
      <w:rPr>
        <w:rFonts w:hint="default"/>
        <w:b/>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0" w15:restartNumberingAfterBreak="0">
    <w:nsid w:val="12BF6A02"/>
    <w:multiLevelType w:val="hybridMultilevel"/>
    <w:tmpl w:val="450402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0B4A2A"/>
    <w:multiLevelType w:val="hybridMultilevel"/>
    <w:tmpl w:val="D39A5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639342A"/>
    <w:multiLevelType w:val="hybridMultilevel"/>
    <w:tmpl w:val="B6F2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7E73EB"/>
    <w:multiLevelType w:val="hybridMultilevel"/>
    <w:tmpl w:val="ABD48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B63A92"/>
    <w:multiLevelType w:val="hybridMultilevel"/>
    <w:tmpl w:val="6688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96280B"/>
    <w:multiLevelType w:val="hybridMultilevel"/>
    <w:tmpl w:val="E4007C5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AD472F6"/>
    <w:multiLevelType w:val="hybridMultilevel"/>
    <w:tmpl w:val="4A806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742258"/>
    <w:multiLevelType w:val="hybridMultilevel"/>
    <w:tmpl w:val="87623C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1E530BCC"/>
    <w:multiLevelType w:val="hybridMultilevel"/>
    <w:tmpl w:val="B1C209A8"/>
    <w:lvl w:ilvl="0" w:tplc="547EDF8E">
      <w:start w:val="1"/>
      <w:numFmt w:val="lowerLetter"/>
      <w:lvlText w:val="%1."/>
      <w:lvlJc w:val="left"/>
      <w:pPr>
        <w:ind w:left="720" w:hanging="360"/>
      </w:pPr>
      <w:rPr>
        <w:rFont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956EA5"/>
    <w:multiLevelType w:val="hybridMultilevel"/>
    <w:tmpl w:val="04A4829A"/>
    <w:lvl w:ilvl="0" w:tplc="79F658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BE6CCA"/>
    <w:multiLevelType w:val="hybridMultilevel"/>
    <w:tmpl w:val="7122B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0E237D7"/>
    <w:multiLevelType w:val="hybridMultilevel"/>
    <w:tmpl w:val="A6D60F82"/>
    <w:lvl w:ilvl="0" w:tplc="3A7ABBBA">
      <w:start w:val="1"/>
      <w:numFmt w:val="lowerLetter"/>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0F91DD3"/>
    <w:multiLevelType w:val="hybridMultilevel"/>
    <w:tmpl w:val="BFC6C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4F7FBE"/>
    <w:multiLevelType w:val="hybridMultilevel"/>
    <w:tmpl w:val="C5E8D308"/>
    <w:lvl w:ilvl="0" w:tplc="4F5C0718">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5F447EC"/>
    <w:multiLevelType w:val="hybridMultilevel"/>
    <w:tmpl w:val="95706A0E"/>
    <w:lvl w:ilvl="0" w:tplc="80F844B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BB5ADA"/>
    <w:multiLevelType w:val="hybridMultilevel"/>
    <w:tmpl w:val="AAC2519C"/>
    <w:lvl w:ilvl="0" w:tplc="547EDF8E">
      <w:start w:val="1"/>
      <w:numFmt w:val="lowerLetter"/>
      <w:lvlText w:val="%1."/>
      <w:lvlJc w:val="left"/>
      <w:pPr>
        <w:ind w:left="360" w:hanging="360"/>
      </w:pPr>
      <w:rPr>
        <w:rFonts w:hint="default"/>
        <w:b/>
        <w:i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9D87029"/>
    <w:multiLevelType w:val="hybridMultilevel"/>
    <w:tmpl w:val="28E65BE0"/>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A2AC1746">
      <w:start w:val="1"/>
      <w:numFmt w:val="bullet"/>
      <w:lvlText w:val="&gt;"/>
      <w:lvlJc w:val="left"/>
      <w:pPr>
        <w:ind w:left="1980" w:hanging="360"/>
      </w:pPr>
      <w:rPr>
        <w:rFonts w:ascii="Arial" w:hAnsi="Arial"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7" w15:restartNumberingAfterBreak="0">
    <w:nsid w:val="2A390763"/>
    <w:multiLevelType w:val="hybridMultilevel"/>
    <w:tmpl w:val="699AC142"/>
    <w:lvl w:ilvl="0" w:tplc="31980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A6060F7"/>
    <w:multiLevelType w:val="hybridMultilevel"/>
    <w:tmpl w:val="BA1EB98A"/>
    <w:lvl w:ilvl="0" w:tplc="5D6C87F8">
      <w:start w:val="1"/>
      <w:numFmt w:val="lowerLetter"/>
      <w:lvlText w:val="%1."/>
      <w:lvlJc w:val="left"/>
      <w:pPr>
        <w:ind w:left="360" w:hanging="360"/>
      </w:pPr>
      <w:rPr>
        <w:rFonts w:hint="default"/>
        <w:b/>
        <w:i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A69451F"/>
    <w:multiLevelType w:val="hybridMultilevel"/>
    <w:tmpl w:val="E93675B6"/>
    <w:lvl w:ilvl="0" w:tplc="6A6ACBF4">
      <w:start w:val="1"/>
      <w:numFmt w:val="bullet"/>
      <w:lvlText w:val="•"/>
      <w:lvlJc w:val="left"/>
      <w:pPr>
        <w:tabs>
          <w:tab w:val="num" w:pos="720"/>
        </w:tabs>
        <w:ind w:left="720" w:hanging="360"/>
      </w:pPr>
      <w:rPr>
        <w:rFonts w:ascii="Arial" w:hAnsi="Arial" w:hint="default"/>
      </w:rPr>
    </w:lvl>
    <w:lvl w:ilvl="1" w:tplc="D3B41784" w:tentative="1">
      <w:start w:val="1"/>
      <w:numFmt w:val="bullet"/>
      <w:lvlText w:val="•"/>
      <w:lvlJc w:val="left"/>
      <w:pPr>
        <w:tabs>
          <w:tab w:val="num" w:pos="1440"/>
        </w:tabs>
        <w:ind w:left="1440" w:hanging="360"/>
      </w:pPr>
      <w:rPr>
        <w:rFonts w:ascii="Arial" w:hAnsi="Arial" w:hint="default"/>
      </w:rPr>
    </w:lvl>
    <w:lvl w:ilvl="2" w:tplc="A16294B2" w:tentative="1">
      <w:start w:val="1"/>
      <w:numFmt w:val="bullet"/>
      <w:lvlText w:val="•"/>
      <w:lvlJc w:val="left"/>
      <w:pPr>
        <w:tabs>
          <w:tab w:val="num" w:pos="2160"/>
        </w:tabs>
        <w:ind w:left="2160" w:hanging="360"/>
      </w:pPr>
      <w:rPr>
        <w:rFonts w:ascii="Arial" w:hAnsi="Arial" w:hint="default"/>
      </w:rPr>
    </w:lvl>
    <w:lvl w:ilvl="3" w:tplc="17D0D3BC" w:tentative="1">
      <w:start w:val="1"/>
      <w:numFmt w:val="bullet"/>
      <w:lvlText w:val="•"/>
      <w:lvlJc w:val="left"/>
      <w:pPr>
        <w:tabs>
          <w:tab w:val="num" w:pos="2880"/>
        </w:tabs>
        <w:ind w:left="2880" w:hanging="360"/>
      </w:pPr>
      <w:rPr>
        <w:rFonts w:ascii="Arial" w:hAnsi="Arial" w:hint="default"/>
      </w:rPr>
    </w:lvl>
    <w:lvl w:ilvl="4" w:tplc="51A22364" w:tentative="1">
      <w:start w:val="1"/>
      <w:numFmt w:val="bullet"/>
      <w:lvlText w:val="•"/>
      <w:lvlJc w:val="left"/>
      <w:pPr>
        <w:tabs>
          <w:tab w:val="num" w:pos="3600"/>
        </w:tabs>
        <w:ind w:left="3600" w:hanging="360"/>
      </w:pPr>
      <w:rPr>
        <w:rFonts w:ascii="Arial" w:hAnsi="Arial" w:hint="default"/>
      </w:rPr>
    </w:lvl>
    <w:lvl w:ilvl="5" w:tplc="112C274A" w:tentative="1">
      <w:start w:val="1"/>
      <w:numFmt w:val="bullet"/>
      <w:lvlText w:val="•"/>
      <w:lvlJc w:val="left"/>
      <w:pPr>
        <w:tabs>
          <w:tab w:val="num" w:pos="4320"/>
        </w:tabs>
        <w:ind w:left="4320" w:hanging="360"/>
      </w:pPr>
      <w:rPr>
        <w:rFonts w:ascii="Arial" w:hAnsi="Arial" w:hint="default"/>
      </w:rPr>
    </w:lvl>
    <w:lvl w:ilvl="6" w:tplc="C32E5A82" w:tentative="1">
      <w:start w:val="1"/>
      <w:numFmt w:val="bullet"/>
      <w:lvlText w:val="•"/>
      <w:lvlJc w:val="left"/>
      <w:pPr>
        <w:tabs>
          <w:tab w:val="num" w:pos="5040"/>
        </w:tabs>
        <w:ind w:left="5040" w:hanging="360"/>
      </w:pPr>
      <w:rPr>
        <w:rFonts w:ascii="Arial" w:hAnsi="Arial" w:hint="default"/>
      </w:rPr>
    </w:lvl>
    <w:lvl w:ilvl="7" w:tplc="A0E86A1E" w:tentative="1">
      <w:start w:val="1"/>
      <w:numFmt w:val="bullet"/>
      <w:lvlText w:val="•"/>
      <w:lvlJc w:val="left"/>
      <w:pPr>
        <w:tabs>
          <w:tab w:val="num" w:pos="5760"/>
        </w:tabs>
        <w:ind w:left="5760" w:hanging="360"/>
      </w:pPr>
      <w:rPr>
        <w:rFonts w:ascii="Arial" w:hAnsi="Arial" w:hint="default"/>
      </w:rPr>
    </w:lvl>
    <w:lvl w:ilvl="8" w:tplc="5F34C34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2B9C3D5D"/>
    <w:multiLevelType w:val="hybridMultilevel"/>
    <w:tmpl w:val="7236E80A"/>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b/>
        <w:i w:val="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2BF2255D"/>
    <w:multiLevelType w:val="hybridMultilevel"/>
    <w:tmpl w:val="38F2E400"/>
    <w:lvl w:ilvl="0" w:tplc="BB06861A">
      <w:start w:val="1"/>
      <w:numFmt w:val="upperLetter"/>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CAD33CD"/>
    <w:multiLevelType w:val="hybridMultilevel"/>
    <w:tmpl w:val="FD5EA216"/>
    <w:lvl w:ilvl="0" w:tplc="0409000F">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A02097"/>
    <w:multiLevelType w:val="hybridMultilevel"/>
    <w:tmpl w:val="E7DC740A"/>
    <w:lvl w:ilvl="0" w:tplc="348C3194">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0BE26E1"/>
    <w:multiLevelType w:val="hybridMultilevel"/>
    <w:tmpl w:val="642A3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165297E"/>
    <w:multiLevelType w:val="hybridMultilevel"/>
    <w:tmpl w:val="E4427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890AD3"/>
    <w:multiLevelType w:val="hybridMultilevel"/>
    <w:tmpl w:val="C5A6E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5E0FDE"/>
    <w:multiLevelType w:val="hybridMultilevel"/>
    <w:tmpl w:val="EE60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C235AE"/>
    <w:multiLevelType w:val="hybridMultilevel"/>
    <w:tmpl w:val="8774CD20"/>
    <w:lvl w:ilvl="0" w:tplc="67102A1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55A0C84"/>
    <w:multiLevelType w:val="hybridMultilevel"/>
    <w:tmpl w:val="DD9E9C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58906A1"/>
    <w:multiLevelType w:val="hybridMultilevel"/>
    <w:tmpl w:val="D7D4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5BE6FB7"/>
    <w:multiLevelType w:val="hybridMultilevel"/>
    <w:tmpl w:val="A942E848"/>
    <w:lvl w:ilvl="0" w:tplc="D2C2185C">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6477483"/>
    <w:multiLevelType w:val="hybridMultilevel"/>
    <w:tmpl w:val="3AB480D6"/>
    <w:lvl w:ilvl="0" w:tplc="E5D0FD1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6AD3EF0"/>
    <w:multiLevelType w:val="hybridMultilevel"/>
    <w:tmpl w:val="D04EF562"/>
    <w:lvl w:ilvl="0" w:tplc="377E2D8A">
      <w:start w:val="1"/>
      <w:numFmt w:val="lowerLetter"/>
      <w:pStyle w:val="Subtitle"/>
      <w:lvlText w:val="%1."/>
      <w:lvlJc w:val="left"/>
      <w:pPr>
        <w:ind w:left="144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80B37A1"/>
    <w:multiLevelType w:val="hybridMultilevel"/>
    <w:tmpl w:val="27A8E008"/>
    <w:lvl w:ilvl="0" w:tplc="04090019">
      <w:start w:val="1"/>
      <w:numFmt w:val="lowerLetter"/>
      <w:lvlText w:val="%1."/>
      <w:lvlJc w:val="left"/>
      <w:pPr>
        <w:ind w:left="630" w:hanging="360"/>
      </w:pPr>
      <w:rPr>
        <w:rFonts w:hint="default"/>
        <w:b w:val="0"/>
        <w:bCs/>
        <w:i w:val="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5" w15:restartNumberingAfterBreak="0">
    <w:nsid w:val="38445488"/>
    <w:multiLevelType w:val="hybridMultilevel"/>
    <w:tmpl w:val="A356C82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98A7C0C">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8AA0956"/>
    <w:multiLevelType w:val="hybridMultilevel"/>
    <w:tmpl w:val="B956B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919456A"/>
    <w:multiLevelType w:val="hybridMultilevel"/>
    <w:tmpl w:val="6540A940"/>
    <w:lvl w:ilvl="0" w:tplc="4F5C0718">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9AD6A2D"/>
    <w:multiLevelType w:val="hybridMultilevel"/>
    <w:tmpl w:val="C9B26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D0E7564"/>
    <w:multiLevelType w:val="hybridMultilevel"/>
    <w:tmpl w:val="96E2042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F4736B9"/>
    <w:multiLevelType w:val="hybridMultilevel"/>
    <w:tmpl w:val="314E0EC4"/>
    <w:lvl w:ilvl="0" w:tplc="348C3194">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4F7F83"/>
    <w:multiLevelType w:val="hybridMultilevel"/>
    <w:tmpl w:val="2D2C73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F821769"/>
    <w:multiLevelType w:val="hybridMultilevel"/>
    <w:tmpl w:val="AFBC6F6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FA37FA0"/>
    <w:multiLevelType w:val="hybridMultilevel"/>
    <w:tmpl w:val="F2CE8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4D1AE8"/>
    <w:multiLevelType w:val="hybridMultilevel"/>
    <w:tmpl w:val="0EB6AC88"/>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20D35E1"/>
    <w:multiLevelType w:val="hybridMultilevel"/>
    <w:tmpl w:val="6FB2914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0375DA"/>
    <w:multiLevelType w:val="hybridMultilevel"/>
    <w:tmpl w:val="C52CBC02"/>
    <w:lvl w:ilvl="0" w:tplc="0409000F">
      <w:start w:val="1"/>
      <w:numFmt w:val="decimal"/>
      <w:lvlText w:val="%1."/>
      <w:lvlJc w:val="left"/>
      <w:pPr>
        <w:ind w:left="4050" w:hanging="360"/>
      </w:p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67" w15:restartNumberingAfterBreak="0">
    <w:nsid w:val="440B1D4F"/>
    <w:multiLevelType w:val="hybridMultilevel"/>
    <w:tmpl w:val="B6A8E8A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55938A5"/>
    <w:multiLevelType w:val="hybridMultilevel"/>
    <w:tmpl w:val="3410D856"/>
    <w:lvl w:ilvl="0" w:tplc="1E24A2AA">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45726E75"/>
    <w:multiLevelType w:val="hybridMultilevel"/>
    <w:tmpl w:val="D2186510"/>
    <w:lvl w:ilvl="0" w:tplc="2E062534">
      <w:start w:val="1"/>
      <w:numFmt w:val="bullet"/>
      <w:lvlText w:val=""/>
      <w:lvlJc w:val="left"/>
      <w:pPr>
        <w:ind w:left="360" w:hanging="360"/>
      </w:pPr>
      <w:rPr>
        <w:rFonts w:ascii="Symbol" w:hAnsi="Symbol" w:hint="default"/>
      </w:rPr>
    </w:lvl>
    <w:lvl w:ilvl="1" w:tplc="947E1ECE">
      <w:start w:val="1"/>
      <w:numFmt w:val="bullet"/>
      <w:lvlText w:val="o"/>
      <w:lvlJc w:val="left"/>
      <w:pPr>
        <w:ind w:left="1080" w:hanging="360"/>
      </w:pPr>
      <w:rPr>
        <w:rFonts w:ascii="Courier New" w:hAnsi="Courier New" w:hint="default"/>
      </w:rPr>
    </w:lvl>
    <w:lvl w:ilvl="2" w:tplc="204A2070">
      <w:start w:val="1"/>
      <w:numFmt w:val="bullet"/>
      <w:lvlText w:val=""/>
      <w:lvlJc w:val="left"/>
      <w:pPr>
        <w:ind w:left="1800" w:hanging="360"/>
      </w:pPr>
      <w:rPr>
        <w:rFonts w:ascii="Wingdings" w:hAnsi="Wingdings" w:hint="default"/>
      </w:rPr>
    </w:lvl>
    <w:lvl w:ilvl="3" w:tplc="CC9053F6">
      <w:start w:val="1"/>
      <w:numFmt w:val="bullet"/>
      <w:lvlText w:val=""/>
      <w:lvlJc w:val="left"/>
      <w:pPr>
        <w:ind w:left="2520" w:hanging="360"/>
      </w:pPr>
      <w:rPr>
        <w:rFonts w:ascii="Symbol" w:hAnsi="Symbol" w:hint="default"/>
      </w:rPr>
    </w:lvl>
    <w:lvl w:ilvl="4" w:tplc="5A7495F4">
      <w:start w:val="1"/>
      <w:numFmt w:val="bullet"/>
      <w:lvlText w:val="o"/>
      <w:lvlJc w:val="left"/>
      <w:pPr>
        <w:ind w:left="3240" w:hanging="360"/>
      </w:pPr>
      <w:rPr>
        <w:rFonts w:ascii="Courier New" w:hAnsi="Courier New" w:hint="default"/>
      </w:rPr>
    </w:lvl>
    <w:lvl w:ilvl="5" w:tplc="4C3AA820">
      <w:start w:val="1"/>
      <w:numFmt w:val="bullet"/>
      <w:lvlText w:val=""/>
      <w:lvlJc w:val="left"/>
      <w:pPr>
        <w:ind w:left="3960" w:hanging="360"/>
      </w:pPr>
      <w:rPr>
        <w:rFonts w:ascii="Wingdings" w:hAnsi="Wingdings" w:hint="default"/>
      </w:rPr>
    </w:lvl>
    <w:lvl w:ilvl="6" w:tplc="757ED0EE">
      <w:start w:val="1"/>
      <w:numFmt w:val="bullet"/>
      <w:lvlText w:val=""/>
      <w:lvlJc w:val="left"/>
      <w:pPr>
        <w:ind w:left="4680" w:hanging="360"/>
      </w:pPr>
      <w:rPr>
        <w:rFonts w:ascii="Symbol" w:hAnsi="Symbol" w:hint="default"/>
      </w:rPr>
    </w:lvl>
    <w:lvl w:ilvl="7" w:tplc="C4C078EE">
      <w:start w:val="1"/>
      <w:numFmt w:val="bullet"/>
      <w:lvlText w:val="o"/>
      <w:lvlJc w:val="left"/>
      <w:pPr>
        <w:ind w:left="5400" w:hanging="360"/>
      </w:pPr>
      <w:rPr>
        <w:rFonts w:ascii="Courier New" w:hAnsi="Courier New" w:hint="default"/>
      </w:rPr>
    </w:lvl>
    <w:lvl w:ilvl="8" w:tplc="A05426C6">
      <w:start w:val="1"/>
      <w:numFmt w:val="bullet"/>
      <w:lvlText w:val=""/>
      <w:lvlJc w:val="left"/>
      <w:pPr>
        <w:ind w:left="6120" w:hanging="360"/>
      </w:pPr>
      <w:rPr>
        <w:rFonts w:ascii="Wingdings" w:hAnsi="Wingdings" w:hint="default"/>
      </w:rPr>
    </w:lvl>
  </w:abstractNum>
  <w:abstractNum w:abstractNumId="70" w15:restartNumberingAfterBreak="0">
    <w:nsid w:val="458C5D04"/>
    <w:multiLevelType w:val="hybridMultilevel"/>
    <w:tmpl w:val="7766E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86B6421"/>
    <w:multiLevelType w:val="hybridMultilevel"/>
    <w:tmpl w:val="C00AF82C"/>
    <w:lvl w:ilvl="0" w:tplc="BC3CF3F0">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48837E60"/>
    <w:multiLevelType w:val="hybridMultilevel"/>
    <w:tmpl w:val="E2B62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CC14904"/>
    <w:multiLevelType w:val="hybridMultilevel"/>
    <w:tmpl w:val="EAFC4E40"/>
    <w:lvl w:ilvl="0" w:tplc="0409000F">
      <w:start w:val="1"/>
      <w:numFmt w:val="decimal"/>
      <w:lvlText w:val="%1."/>
      <w:lvlJc w:val="left"/>
      <w:pPr>
        <w:ind w:left="360" w:hanging="360"/>
      </w:pPr>
      <w:rPr>
        <w:rFonts w:hint="default"/>
        <w:b/>
        <w:i w:val="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4DB6766F"/>
    <w:multiLevelType w:val="hybridMultilevel"/>
    <w:tmpl w:val="1DC2E5DC"/>
    <w:lvl w:ilvl="0" w:tplc="9E0A6A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0B866B5"/>
    <w:multiLevelType w:val="hybridMultilevel"/>
    <w:tmpl w:val="D53E6682"/>
    <w:lvl w:ilvl="0" w:tplc="F3A6D8A4">
      <w:start w:val="1"/>
      <w:numFmt w:val="lowerLetter"/>
      <w:lvlText w:val="%1."/>
      <w:lvlJc w:val="left"/>
      <w:pPr>
        <w:ind w:left="720" w:hanging="360"/>
      </w:pPr>
    </w:lvl>
    <w:lvl w:ilvl="1" w:tplc="BC6ACE38">
      <w:start w:val="1"/>
      <w:numFmt w:val="bullet"/>
      <w:lvlText w:val="o"/>
      <w:lvlJc w:val="left"/>
      <w:pPr>
        <w:ind w:left="1440" w:hanging="360"/>
      </w:pPr>
      <w:rPr>
        <w:rFonts w:ascii="Courier New" w:hAnsi="Courier New" w:hint="default"/>
      </w:rPr>
    </w:lvl>
    <w:lvl w:ilvl="2" w:tplc="D8140F52">
      <w:start w:val="1"/>
      <w:numFmt w:val="lowerRoman"/>
      <w:lvlText w:val="%3."/>
      <w:lvlJc w:val="right"/>
      <w:pPr>
        <w:ind w:left="2160" w:hanging="180"/>
      </w:pPr>
    </w:lvl>
    <w:lvl w:ilvl="3" w:tplc="2916963E">
      <w:start w:val="1"/>
      <w:numFmt w:val="decimal"/>
      <w:lvlText w:val="%4."/>
      <w:lvlJc w:val="left"/>
      <w:pPr>
        <w:ind w:left="2880" w:hanging="360"/>
      </w:pPr>
    </w:lvl>
    <w:lvl w:ilvl="4" w:tplc="77440C9C">
      <w:start w:val="1"/>
      <w:numFmt w:val="lowerLetter"/>
      <w:lvlText w:val="%5."/>
      <w:lvlJc w:val="left"/>
      <w:pPr>
        <w:ind w:left="3600" w:hanging="360"/>
      </w:pPr>
    </w:lvl>
    <w:lvl w:ilvl="5" w:tplc="10BC575C">
      <w:start w:val="1"/>
      <w:numFmt w:val="lowerRoman"/>
      <w:lvlText w:val="%6."/>
      <w:lvlJc w:val="right"/>
      <w:pPr>
        <w:ind w:left="4320" w:hanging="180"/>
      </w:pPr>
    </w:lvl>
    <w:lvl w:ilvl="6" w:tplc="01440FF6">
      <w:start w:val="1"/>
      <w:numFmt w:val="decimal"/>
      <w:lvlText w:val="%7."/>
      <w:lvlJc w:val="left"/>
      <w:pPr>
        <w:ind w:left="5040" w:hanging="360"/>
      </w:pPr>
    </w:lvl>
    <w:lvl w:ilvl="7" w:tplc="C68A3584">
      <w:start w:val="1"/>
      <w:numFmt w:val="lowerLetter"/>
      <w:lvlText w:val="%8."/>
      <w:lvlJc w:val="left"/>
      <w:pPr>
        <w:ind w:left="5760" w:hanging="360"/>
      </w:pPr>
    </w:lvl>
    <w:lvl w:ilvl="8" w:tplc="7B6AED7E">
      <w:start w:val="1"/>
      <w:numFmt w:val="lowerRoman"/>
      <w:lvlText w:val="%9."/>
      <w:lvlJc w:val="right"/>
      <w:pPr>
        <w:ind w:left="6480" w:hanging="180"/>
      </w:pPr>
    </w:lvl>
  </w:abstractNum>
  <w:abstractNum w:abstractNumId="76" w15:restartNumberingAfterBreak="0">
    <w:nsid w:val="512009B0"/>
    <w:multiLevelType w:val="hybridMultilevel"/>
    <w:tmpl w:val="89BEE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13362B9"/>
    <w:multiLevelType w:val="hybridMultilevel"/>
    <w:tmpl w:val="1FEE6C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54922D91"/>
    <w:multiLevelType w:val="hybridMultilevel"/>
    <w:tmpl w:val="BD642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4B01B96"/>
    <w:multiLevelType w:val="hybridMultilevel"/>
    <w:tmpl w:val="FFDC3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56497002"/>
    <w:multiLevelType w:val="hybridMultilevel"/>
    <w:tmpl w:val="EC8A25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6AD0586"/>
    <w:multiLevelType w:val="hybridMultilevel"/>
    <w:tmpl w:val="4C3873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7CC0257"/>
    <w:multiLevelType w:val="hybridMultilevel"/>
    <w:tmpl w:val="DE18C6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9097F62"/>
    <w:multiLevelType w:val="hybridMultilevel"/>
    <w:tmpl w:val="4522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93101ED"/>
    <w:multiLevelType w:val="hybridMultilevel"/>
    <w:tmpl w:val="16E25DA8"/>
    <w:lvl w:ilvl="0" w:tplc="1E24A2AA">
      <w:start w:val="1"/>
      <w:numFmt w:val="decimal"/>
      <w:lvlText w:val="%1."/>
      <w:lvlJc w:val="left"/>
      <w:pPr>
        <w:ind w:left="360" w:hanging="360"/>
      </w:pPr>
      <w:rPr>
        <w:rFonts w:hint="default"/>
      </w:rPr>
    </w:lvl>
    <w:lvl w:ilvl="1" w:tplc="E8720066">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59EB5926"/>
    <w:multiLevelType w:val="hybridMultilevel"/>
    <w:tmpl w:val="5814764E"/>
    <w:lvl w:ilvl="0" w:tplc="E43C519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A7D38B4"/>
    <w:multiLevelType w:val="hybridMultilevel"/>
    <w:tmpl w:val="210415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D252F66"/>
    <w:multiLevelType w:val="hybridMultilevel"/>
    <w:tmpl w:val="1B3C1B30"/>
    <w:lvl w:ilvl="0" w:tplc="72687AAA">
      <w:start w:val="1"/>
      <w:numFmt w:val="bullet"/>
      <w:lvlText w:val="•"/>
      <w:lvlJc w:val="left"/>
      <w:pPr>
        <w:tabs>
          <w:tab w:val="num" w:pos="720"/>
        </w:tabs>
        <w:ind w:left="720" w:hanging="360"/>
      </w:pPr>
      <w:rPr>
        <w:rFonts w:ascii="Arial" w:hAnsi="Arial" w:hint="default"/>
      </w:rPr>
    </w:lvl>
    <w:lvl w:ilvl="1" w:tplc="59322E80" w:tentative="1">
      <w:start w:val="1"/>
      <w:numFmt w:val="bullet"/>
      <w:lvlText w:val="•"/>
      <w:lvlJc w:val="left"/>
      <w:pPr>
        <w:tabs>
          <w:tab w:val="num" w:pos="1440"/>
        </w:tabs>
        <w:ind w:left="1440" w:hanging="360"/>
      </w:pPr>
      <w:rPr>
        <w:rFonts w:ascii="Arial" w:hAnsi="Arial" w:hint="default"/>
      </w:rPr>
    </w:lvl>
    <w:lvl w:ilvl="2" w:tplc="6734BC3A" w:tentative="1">
      <w:start w:val="1"/>
      <w:numFmt w:val="bullet"/>
      <w:lvlText w:val="•"/>
      <w:lvlJc w:val="left"/>
      <w:pPr>
        <w:tabs>
          <w:tab w:val="num" w:pos="2160"/>
        </w:tabs>
        <w:ind w:left="2160" w:hanging="360"/>
      </w:pPr>
      <w:rPr>
        <w:rFonts w:ascii="Arial" w:hAnsi="Arial" w:hint="default"/>
      </w:rPr>
    </w:lvl>
    <w:lvl w:ilvl="3" w:tplc="96CEFE4E" w:tentative="1">
      <w:start w:val="1"/>
      <w:numFmt w:val="bullet"/>
      <w:lvlText w:val="•"/>
      <w:lvlJc w:val="left"/>
      <w:pPr>
        <w:tabs>
          <w:tab w:val="num" w:pos="2880"/>
        </w:tabs>
        <w:ind w:left="2880" w:hanging="360"/>
      </w:pPr>
      <w:rPr>
        <w:rFonts w:ascii="Arial" w:hAnsi="Arial" w:hint="default"/>
      </w:rPr>
    </w:lvl>
    <w:lvl w:ilvl="4" w:tplc="88D25DD0" w:tentative="1">
      <w:start w:val="1"/>
      <w:numFmt w:val="bullet"/>
      <w:lvlText w:val="•"/>
      <w:lvlJc w:val="left"/>
      <w:pPr>
        <w:tabs>
          <w:tab w:val="num" w:pos="3600"/>
        </w:tabs>
        <w:ind w:left="3600" w:hanging="360"/>
      </w:pPr>
      <w:rPr>
        <w:rFonts w:ascii="Arial" w:hAnsi="Arial" w:hint="default"/>
      </w:rPr>
    </w:lvl>
    <w:lvl w:ilvl="5" w:tplc="4FFC0A8E" w:tentative="1">
      <w:start w:val="1"/>
      <w:numFmt w:val="bullet"/>
      <w:lvlText w:val="•"/>
      <w:lvlJc w:val="left"/>
      <w:pPr>
        <w:tabs>
          <w:tab w:val="num" w:pos="4320"/>
        </w:tabs>
        <w:ind w:left="4320" w:hanging="360"/>
      </w:pPr>
      <w:rPr>
        <w:rFonts w:ascii="Arial" w:hAnsi="Arial" w:hint="default"/>
      </w:rPr>
    </w:lvl>
    <w:lvl w:ilvl="6" w:tplc="498E25C4" w:tentative="1">
      <w:start w:val="1"/>
      <w:numFmt w:val="bullet"/>
      <w:lvlText w:val="•"/>
      <w:lvlJc w:val="left"/>
      <w:pPr>
        <w:tabs>
          <w:tab w:val="num" w:pos="5040"/>
        </w:tabs>
        <w:ind w:left="5040" w:hanging="360"/>
      </w:pPr>
      <w:rPr>
        <w:rFonts w:ascii="Arial" w:hAnsi="Arial" w:hint="default"/>
      </w:rPr>
    </w:lvl>
    <w:lvl w:ilvl="7" w:tplc="59E89D1A" w:tentative="1">
      <w:start w:val="1"/>
      <w:numFmt w:val="bullet"/>
      <w:lvlText w:val="•"/>
      <w:lvlJc w:val="left"/>
      <w:pPr>
        <w:tabs>
          <w:tab w:val="num" w:pos="5760"/>
        </w:tabs>
        <w:ind w:left="5760" w:hanging="360"/>
      </w:pPr>
      <w:rPr>
        <w:rFonts w:ascii="Arial" w:hAnsi="Arial" w:hint="default"/>
      </w:rPr>
    </w:lvl>
    <w:lvl w:ilvl="8" w:tplc="A054563E"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5DC35293"/>
    <w:multiLevelType w:val="hybridMultilevel"/>
    <w:tmpl w:val="40849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FCD77C5"/>
    <w:multiLevelType w:val="hybridMultilevel"/>
    <w:tmpl w:val="66D447B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0A43BC0"/>
    <w:multiLevelType w:val="hybridMultilevel"/>
    <w:tmpl w:val="E0A6ED82"/>
    <w:lvl w:ilvl="0" w:tplc="6220C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22C0DB9"/>
    <w:multiLevelType w:val="hybridMultilevel"/>
    <w:tmpl w:val="8A0EB3AA"/>
    <w:lvl w:ilvl="0" w:tplc="BEF44676">
      <w:start w:val="6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3645202"/>
    <w:multiLevelType w:val="hybridMultilevel"/>
    <w:tmpl w:val="D12E4A2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3" w15:restartNumberingAfterBreak="0">
    <w:nsid w:val="63976C1E"/>
    <w:multiLevelType w:val="hybridMultilevel"/>
    <w:tmpl w:val="F79C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39F082D"/>
    <w:multiLevelType w:val="hybridMultilevel"/>
    <w:tmpl w:val="85AE07B6"/>
    <w:lvl w:ilvl="0" w:tplc="0A1ADCB8">
      <w:start w:val="1"/>
      <w:numFmt w:val="upperLetter"/>
      <w:lvlText w:val="%1."/>
      <w:lvlJc w:val="left"/>
      <w:pPr>
        <w:ind w:left="360" w:hanging="360"/>
      </w:pPr>
      <w:rPr>
        <w:rFonts w:hint="default"/>
        <w:b/>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5" w15:restartNumberingAfterBreak="0">
    <w:nsid w:val="64252F52"/>
    <w:multiLevelType w:val="hybridMultilevel"/>
    <w:tmpl w:val="4CFE3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5B409BA"/>
    <w:multiLevelType w:val="hybridMultilevel"/>
    <w:tmpl w:val="C4E4153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97" w15:restartNumberingAfterBreak="0">
    <w:nsid w:val="67E9139B"/>
    <w:multiLevelType w:val="hybridMultilevel"/>
    <w:tmpl w:val="28D842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81C4FEF"/>
    <w:multiLevelType w:val="hybridMultilevel"/>
    <w:tmpl w:val="A7FE6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94A1C21"/>
    <w:multiLevelType w:val="hybridMultilevel"/>
    <w:tmpl w:val="9FAE7A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C7C1E4E"/>
    <w:multiLevelType w:val="hybridMultilevel"/>
    <w:tmpl w:val="5C163C42"/>
    <w:lvl w:ilvl="0" w:tplc="1A488C72">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C7E787D"/>
    <w:multiLevelType w:val="hybridMultilevel"/>
    <w:tmpl w:val="5D32B36A"/>
    <w:lvl w:ilvl="0" w:tplc="8F761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C925C49"/>
    <w:multiLevelType w:val="hybridMultilevel"/>
    <w:tmpl w:val="6A104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D046FEC"/>
    <w:multiLevelType w:val="multilevel"/>
    <w:tmpl w:val="AFC47412"/>
    <w:lvl w:ilvl="0">
      <w:start w:val="1"/>
      <w:numFmt w:val="upp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E2B3846"/>
    <w:multiLevelType w:val="hybridMultilevel"/>
    <w:tmpl w:val="ABDA4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70A717AB"/>
    <w:multiLevelType w:val="hybridMultilevel"/>
    <w:tmpl w:val="79C04528"/>
    <w:lvl w:ilvl="0" w:tplc="FDF086A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168703E"/>
    <w:multiLevelType w:val="hybridMultilevel"/>
    <w:tmpl w:val="EEA01FE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1BF74B1"/>
    <w:multiLevelType w:val="hybridMultilevel"/>
    <w:tmpl w:val="14CE60AA"/>
    <w:lvl w:ilvl="0" w:tplc="D2C2185C">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15:restartNumberingAfterBreak="0">
    <w:nsid w:val="73A01A15"/>
    <w:multiLevelType w:val="hybridMultilevel"/>
    <w:tmpl w:val="E78ED132"/>
    <w:lvl w:ilvl="0" w:tplc="701AF33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3C35FB2"/>
    <w:multiLevelType w:val="hybridMultilevel"/>
    <w:tmpl w:val="CF8E23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3D207C9"/>
    <w:multiLevelType w:val="hybridMultilevel"/>
    <w:tmpl w:val="93FEEC28"/>
    <w:lvl w:ilvl="0" w:tplc="7D2EB39A">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302765"/>
    <w:multiLevelType w:val="hybridMultilevel"/>
    <w:tmpl w:val="EDAA16A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2" w15:restartNumberingAfterBreak="0">
    <w:nsid w:val="7739206D"/>
    <w:multiLevelType w:val="hybridMultilevel"/>
    <w:tmpl w:val="8D0470D8"/>
    <w:lvl w:ilvl="0" w:tplc="11F8A60C">
      <w:start w:val="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98073E0"/>
    <w:multiLevelType w:val="hybridMultilevel"/>
    <w:tmpl w:val="ABB609F2"/>
    <w:lvl w:ilvl="0" w:tplc="BBEE53C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B484A12"/>
    <w:multiLevelType w:val="hybridMultilevel"/>
    <w:tmpl w:val="911454C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D0870A9"/>
    <w:multiLevelType w:val="hybridMultilevel"/>
    <w:tmpl w:val="4E50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DC71C44"/>
    <w:multiLevelType w:val="hybridMultilevel"/>
    <w:tmpl w:val="1264F2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DDE0DD0"/>
    <w:multiLevelType w:val="hybridMultilevel"/>
    <w:tmpl w:val="086C706A"/>
    <w:lvl w:ilvl="0" w:tplc="76D8AFD4">
      <w:start w:val="1"/>
      <w:numFmt w:val="upperRoman"/>
      <w:lvlText w:val="%1."/>
      <w:lvlJc w:val="left"/>
      <w:pPr>
        <w:ind w:left="720" w:hanging="720"/>
      </w:pPr>
      <w:rPr>
        <w:rFonts w:hint="default"/>
        <w:color w:val="004E7D" w:themeColor="accent6" w:themeShade="BF"/>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7DFD318F"/>
    <w:multiLevelType w:val="hybridMultilevel"/>
    <w:tmpl w:val="084466E2"/>
    <w:lvl w:ilvl="0" w:tplc="1E24A2AA">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9" w15:restartNumberingAfterBreak="0">
    <w:nsid w:val="7EE14BF7"/>
    <w:multiLevelType w:val="hybridMultilevel"/>
    <w:tmpl w:val="04D851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FA23946"/>
    <w:multiLevelType w:val="hybridMultilevel"/>
    <w:tmpl w:val="F7A63738"/>
    <w:lvl w:ilvl="0" w:tplc="E5D0FD1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5"/>
  </w:num>
  <w:num w:numId="2">
    <w:abstractNumId w:val="69"/>
  </w:num>
  <w:num w:numId="3">
    <w:abstractNumId w:val="16"/>
  </w:num>
  <w:num w:numId="4">
    <w:abstractNumId w:val="92"/>
  </w:num>
  <w:num w:numId="5">
    <w:abstractNumId w:val="35"/>
  </w:num>
  <w:num w:numId="6">
    <w:abstractNumId w:val="111"/>
  </w:num>
  <w:num w:numId="7">
    <w:abstractNumId w:val="7"/>
  </w:num>
  <w:num w:numId="8">
    <w:abstractNumId w:val="44"/>
  </w:num>
  <w:num w:numId="9">
    <w:abstractNumId w:val="28"/>
  </w:num>
  <w:num w:numId="10">
    <w:abstractNumId w:val="51"/>
  </w:num>
  <w:num w:numId="11">
    <w:abstractNumId w:val="38"/>
  </w:num>
  <w:num w:numId="12">
    <w:abstractNumId w:val="1"/>
  </w:num>
  <w:num w:numId="13">
    <w:abstractNumId w:val="94"/>
  </w:num>
  <w:num w:numId="14">
    <w:abstractNumId w:val="68"/>
  </w:num>
  <w:num w:numId="15">
    <w:abstractNumId w:val="83"/>
  </w:num>
  <w:num w:numId="16">
    <w:abstractNumId w:val="36"/>
  </w:num>
  <w:num w:numId="17">
    <w:abstractNumId w:val="53"/>
  </w:num>
  <w:num w:numId="18">
    <w:abstractNumId w:val="40"/>
  </w:num>
  <w:num w:numId="19">
    <w:abstractNumId w:val="14"/>
  </w:num>
  <w:num w:numId="20">
    <w:abstractNumId w:val="77"/>
  </w:num>
  <w:num w:numId="21">
    <w:abstractNumId w:val="3"/>
  </w:num>
  <w:num w:numId="22">
    <w:abstractNumId w:val="41"/>
  </w:num>
  <w:num w:numId="23">
    <w:abstractNumId w:val="47"/>
  </w:num>
  <w:num w:numId="24">
    <w:abstractNumId w:val="61"/>
  </w:num>
  <w:num w:numId="25">
    <w:abstractNumId w:val="18"/>
  </w:num>
  <w:num w:numId="26">
    <w:abstractNumId w:val="88"/>
  </w:num>
  <w:num w:numId="27">
    <w:abstractNumId w:val="39"/>
  </w:num>
  <w:num w:numId="28">
    <w:abstractNumId w:val="87"/>
  </w:num>
  <w:num w:numId="29">
    <w:abstractNumId w:val="93"/>
  </w:num>
  <w:num w:numId="30">
    <w:abstractNumId w:val="76"/>
  </w:num>
  <w:num w:numId="31">
    <w:abstractNumId w:val="106"/>
  </w:num>
  <w:num w:numId="32">
    <w:abstractNumId w:val="113"/>
  </w:num>
  <w:num w:numId="33">
    <w:abstractNumId w:val="11"/>
  </w:num>
  <w:num w:numId="34">
    <w:abstractNumId w:val="86"/>
  </w:num>
  <w:num w:numId="35">
    <w:abstractNumId w:val="19"/>
  </w:num>
  <w:num w:numId="36">
    <w:abstractNumId w:val="104"/>
  </w:num>
  <w:num w:numId="37">
    <w:abstractNumId w:val="12"/>
  </w:num>
  <w:num w:numId="38">
    <w:abstractNumId w:val="30"/>
  </w:num>
  <w:num w:numId="39">
    <w:abstractNumId w:val="54"/>
  </w:num>
  <w:num w:numId="40">
    <w:abstractNumId w:val="91"/>
  </w:num>
  <w:num w:numId="41">
    <w:abstractNumId w:val="15"/>
  </w:num>
  <w:num w:numId="42">
    <w:abstractNumId w:val="103"/>
  </w:num>
  <w:num w:numId="43">
    <w:abstractNumId w:val="6"/>
  </w:num>
  <w:num w:numId="44">
    <w:abstractNumId w:val="85"/>
  </w:num>
  <w:num w:numId="45">
    <w:abstractNumId w:val="69"/>
  </w:num>
  <w:num w:numId="46">
    <w:abstractNumId w:val="8"/>
  </w:num>
  <w:num w:numId="47">
    <w:abstractNumId w:val="31"/>
  </w:num>
  <w:num w:numId="48">
    <w:abstractNumId w:val="66"/>
  </w:num>
  <w:num w:numId="49">
    <w:abstractNumId w:val="25"/>
  </w:num>
  <w:num w:numId="50">
    <w:abstractNumId w:val="13"/>
  </w:num>
  <w:num w:numId="51">
    <w:abstractNumId w:val="4"/>
  </w:num>
  <w:num w:numId="52">
    <w:abstractNumId w:val="70"/>
  </w:num>
  <w:num w:numId="53">
    <w:abstractNumId w:val="56"/>
  </w:num>
  <w:num w:numId="54">
    <w:abstractNumId w:val="101"/>
  </w:num>
  <w:num w:numId="55">
    <w:abstractNumId w:val="90"/>
  </w:num>
  <w:num w:numId="56">
    <w:abstractNumId w:val="5"/>
  </w:num>
  <w:num w:numId="57">
    <w:abstractNumId w:val="21"/>
  </w:num>
  <w:num w:numId="58">
    <w:abstractNumId w:val="23"/>
  </w:num>
  <w:num w:numId="59">
    <w:abstractNumId w:val="17"/>
  </w:num>
  <w:num w:numId="60">
    <w:abstractNumId w:val="2"/>
  </w:num>
  <w:num w:numId="61">
    <w:abstractNumId w:val="95"/>
  </w:num>
  <w:num w:numId="62">
    <w:abstractNumId w:val="50"/>
  </w:num>
  <w:num w:numId="63">
    <w:abstractNumId w:val="24"/>
  </w:num>
  <w:num w:numId="64">
    <w:abstractNumId w:val="117"/>
  </w:num>
  <w:num w:numId="65">
    <w:abstractNumId w:val="49"/>
  </w:num>
  <w:num w:numId="66">
    <w:abstractNumId w:val="96"/>
  </w:num>
  <w:num w:numId="67">
    <w:abstractNumId w:val="27"/>
  </w:num>
  <w:num w:numId="68">
    <w:abstractNumId w:val="71"/>
  </w:num>
  <w:num w:numId="69">
    <w:abstractNumId w:val="37"/>
  </w:num>
  <w:num w:numId="70">
    <w:abstractNumId w:val="48"/>
  </w:num>
  <w:num w:numId="71">
    <w:abstractNumId w:val="74"/>
  </w:num>
  <w:num w:numId="72">
    <w:abstractNumId w:val="84"/>
  </w:num>
  <w:num w:numId="73">
    <w:abstractNumId w:val="55"/>
  </w:num>
  <w:num w:numId="74">
    <w:abstractNumId w:val="112"/>
  </w:num>
  <w:num w:numId="75">
    <w:abstractNumId w:val="42"/>
  </w:num>
  <w:num w:numId="76">
    <w:abstractNumId w:val="102"/>
  </w:num>
  <w:num w:numId="77">
    <w:abstractNumId w:val="34"/>
  </w:num>
  <w:num w:numId="78">
    <w:abstractNumId w:val="100"/>
  </w:num>
  <w:num w:numId="79">
    <w:abstractNumId w:val="107"/>
  </w:num>
  <w:num w:numId="80">
    <w:abstractNumId w:val="120"/>
  </w:num>
  <w:num w:numId="81">
    <w:abstractNumId w:val="64"/>
  </w:num>
  <w:num w:numId="82">
    <w:abstractNumId w:val="82"/>
  </w:num>
  <w:num w:numId="83">
    <w:abstractNumId w:val="52"/>
  </w:num>
  <w:num w:numId="84">
    <w:abstractNumId w:val="81"/>
  </w:num>
  <w:num w:numId="85">
    <w:abstractNumId w:val="67"/>
  </w:num>
  <w:num w:numId="86">
    <w:abstractNumId w:val="97"/>
  </w:num>
  <w:num w:numId="87">
    <w:abstractNumId w:val="65"/>
  </w:num>
  <w:num w:numId="88">
    <w:abstractNumId w:val="20"/>
  </w:num>
  <w:num w:numId="89">
    <w:abstractNumId w:val="89"/>
  </w:num>
  <w:num w:numId="90">
    <w:abstractNumId w:val="59"/>
  </w:num>
  <w:num w:numId="91">
    <w:abstractNumId w:val="114"/>
  </w:num>
  <w:num w:numId="92">
    <w:abstractNumId w:val="62"/>
  </w:num>
  <w:num w:numId="93">
    <w:abstractNumId w:val="26"/>
  </w:num>
  <w:num w:numId="94">
    <w:abstractNumId w:val="58"/>
  </w:num>
  <w:num w:numId="95">
    <w:abstractNumId w:val="57"/>
  </w:num>
  <w:num w:numId="96">
    <w:abstractNumId w:val="72"/>
  </w:num>
  <w:num w:numId="97">
    <w:abstractNumId w:val="109"/>
  </w:num>
  <w:num w:numId="98">
    <w:abstractNumId w:val="33"/>
  </w:num>
  <w:num w:numId="99">
    <w:abstractNumId w:val="98"/>
  </w:num>
  <w:num w:numId="100">
    <w:abstractNumId w:val="78"/>
  </w:num>
  <w:num w:numId="101">
    <w:abstractNumId w:val="119"/>
  </w:num>
  <w:num w:numId="102">
    <w:abstractNumId w:val="45"/>
  </w:num>
  <w:num w:numId="103">
    <w:abstractNumId w:val="32"/>
  </w:num>
  <w:num w:numId="104">
    <w:abstractNumId w:val="108"/>
  </w:num>
  <w:num w:numId="105">
    <w:abstractNumId w:val="73"/>
  </w:num>
  <w:num w:numId="106">
    <w:abstractNumId w:val="60"/>
  </w:num>
  <w:num w:numId="107">
    <w:abstractNumId w:val="0"/>
  </w:num>
  <w:num w:numId="108">
    <w:abstractNumId w:val="46"/>
  </w:num>
  <w:num w:numId="109">
    <w:abstractNumId w:val="43"/>
  </w:num>
  <w:num w:numId="110">
    <w:abstractNumId w:val="29"/>
  </w:num>
  <w:num w:numId="111">
    <w:abstractNumId w:val="9"/>
  </w:num>
  <w:num w:numId="112">
    <w:abstractNumId w:val="63"/>
  </w:num>
  <w:num w:numId="113">
    <w:abstractNumId w:val="79"/>
  </w:num>
  <w:num w:numId="114">
    <w:abstractNumId w:val="22"/>
  </w:num>
  <w:num w:numId="115">
    <w:abstractNumId w:val="118"/>
  </w:num>
  <w:num w:numId="116">
    <w:abstractNumId w:val="105"/>
  </w:num>
  <w:num w:numId="117">
    <w:abstractNumId w:val="99"/>
  </w:num>
  <w:num w:numId="118">
    <w:abstractNumId w:val="80"/>
  </w:num>
  <w:num w:numId="119">
    <w:abstractNumId w:val="115"/>
  </w:num>
  <w:num w:numId="120">
    <w:abstractNumId w:val="110"/>
  </w:num>
  <w:num w:numId="121">
    <w:abstractNumId w:val="116"/>
  </w:num>
  <w:num w:numId="122">
    <w:abstractNumId w:val="1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IN" w:vendorID="64" w:dllVersion="4096" w:nlCheck="1" w:checkStyle="0"/>
  <w:activeWritingStyle w:appName="MSWord" w:lang="en-US" w:vendorID="64" w:dllVersion="0" w:nlCheck="1" w:checkStyle="0"/>
  <w:activeWritingStyle w:appName="MSWord" w:lang="en-IN"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E2C"/>
    <w:rsid w:val="000002A1"/>
    <w:rsid w:val="0000035E"/>
    <w:rsid w:val="000007A8"/>
    <w:rsid w:val="00000DF8"/>
    <w:rsid w:val="00000F43"/>
    <w:rsid w:val="0000131C"/>
    <w:rsid w:val="00001321"/>
    <w:rsid w:val="00001B51"/>
    <w:rsid w:val="00001ED5"/>
    <w:rsid w:val="00002865"/>
    <w:rsid w:val="00002B9B"/>
    <w:rsid w:val="0000311F"/>
    <w:rsid w:val="00003569"/>
    <w:rsid w:val="00003638"/>
    <w:rsid w:val="00004422"/>
    <w:rsid w:val="00004CCE"/>
    <w:rsid w:val="00005159"/>
    <w:rsid w:val="000054FA"/>
    <w:rsid w:val="00006BF8"/>
    <w:rsid w:val="00006C2D"/>
    <w:rsid w:val="00007119"/>
    <w:rsid w:val="00007CCC"/>
    <w:rsid w:val="00007F35"/>
    <w:rsid w:val="0001001B"/>
    <w:rsid w:val="0001019E"/>
    <w:rsid w:val="0001072F"/>
    <w:rsid w:val="00010910"/>
    <w:rsid w:val="00010980"/>
    <w:rsid w:val="00010A7D"/>
    <w:rsid w:val="00010BC0"/>
    <w:rsid w:val="00011213"/>
    <w:rsid w:val="00011707"/>
    <w:rsid w:val="00011F21"/>
    <w:rsid w:val="0001246A"/>
    <w:rsid w:val="000125C2"/>
    <w:rsid w:val="000126E1"/>
    <w:rsid w:val="00012C6D"/>
    <w:rsid w:val="000136F5"/>
    <w:rsid w:val="0001448D"/>
    <w:rsid w:val="000146AF"/>
    <w:rsid w:val="00015B10"/>
    <w:rsid w:val="000172CD"/>
    <w:rsid w:val="00017760"/>
    <w:rsid w:val="00020527"/>
    <w:rsid w:val="000207DD"/>
    <w:rsid w:val="00021471"/>
    <w:rsid w:val="000214F6"/>
    <w:rsid w:val="000221AF"/>
    <w:rsid w:val="0002270E"/>
    <w:rsid w:val="00022F8B"/>
    <w:rsid w:val="00023303"/>
    <w:rsid w:val="000238E2"/>
    <w:rsid w:val="00023AC5"/>
    <w:rsid w:val="000244C7"/>
    <w:rsid w:val="000246AE"/>
    <w:rsid w:val="00024FDC"/>
    <w:rsid w:val="00025598"/>
    <w:rsid w:val="00025A7A"/>
    <w:rsid w:val="00025D6A"/>
    <w:rsid w:val="000267A7"/>
    <w:rsid w:val="00026E2E"/>
    <w:rsid w:val="00027193"/>
    <w:rsid w:val="0002785C"/>
    <w:rsid w:val="00027EC8"/>
    <w:rsid w:val="000308FE"/>
    <w:rsid w:val="00030DDE"/>
    <w:rsid w:val="0003117A"/>
    <w:rsid w:val="00031669"/>
    <w:rsid w:val="00031901"/>
    <w:rsid w:val="0003230A"/>
    <w:rsid w:val="000325A1"/>
    <w:rsid w:val="0003379D"/>
    <w:rsid w:val="00033B9C"/>
    <w:rsid w:val="000343E6"/>
    <w:rsid w:val="00034454"/>
    <w:rsid w:val="000353E1"/>
    <w:rsid w:val="00035850"/>
    <w:rsid w:val="00036D40"/>
    <w:rsid w:val="0003743A"/>
    <w:rsid w:val="000374F4"/>
    <w:rsid w:val="000376B8"/>
    <w:rsid w:val="0003784A"/>
    <w:rsid w:val="000379D6"/>
    <w:rsid w:val="00037DC3"/>
    <w:rsid w:val="00040280"/>
    <w:rsid w:val="000403B7"/>
    <w:rsid w:val="00040B20"/>
    <w:rsid w:val="00041570"/>
    <w:rsid w:val="0004183E"/>
    <w:rsid w:val="00042164"/>
    <w:rsid w:val="000421AA"/>
    <w:rsid w:val="00042815"/>
    <w:rsid w:val="00042E63"/>
    <w:rsid w:val="00043163"/>
    <w:rsid w:val="0004335F"/>
    <w:rsid w:val="000434C2"/>
    <w:rsid w:val="000439A9"/>
    <w:rsid w:val="00043D65"/>
    <w:rsid w:val="00044E2C"/>
    <w:rsid w:val="00045158"/>
    <w:rsid w:val="0004532C"/>
    <w:rsid w:val="000458D1"/>
    <w:rsid w:val="0004598B"/>
    <w:rsid w:val="000466CF"/>
    <w:rsid w:val="000467E6"/>
    <w:rsid w:val="000468BF"/>
    <w:rsid w:val="00046D8A"/>
    <w:rsid w:val="00046FE0"/>
    <w:rsid w:val="0004710B"/>
    <w:rsid w:val="00047980"/>
    <w:rsid w:val="0005071C"/>
    <w:rsid w:val="00050723"/>
    <w:rsid w:val="000508E5"/>
    <w:rsid w:val="00050B22"/>
    <w:rsid w:val="00050F1D"/>
    <w:rsid w:val="0005140A"/>
    <w:rsid w:val="00052398"/>
    <w:rsid w:val="0005274A"/>
    <w:rsid w:val="00052AB8"/>
    <w:rsid w:val="0005334C"/>
    <w:rsid w:val="000546CF"/>
    <w:rsid w:val="00054736"/>
    <w:rsid w:val="00054761"/>
    <w:rsid w:val="00055348"/>
    <w:rsid w:val="00055DF3"/>
    <w:rsid w:val="00055F54"/>
    <w:rsid w:val="0005622E"/>
    <w:rsid w:val="00057828"/>
    <w:rsid w:val="00057A3A"/>
    <w:rsid w:val="00057E79"/>
    <w:rsid w:val="00057FDE"/>
    <w:rsid w:val="000606F7"/>
    <w:rsid w:val="00060B38"/>
    <w:rsid w:val="00060C44"/>
    <w:rsid w:val="00061665"/>
    <w:rsid w:val="0006185E"/>
    <w:rsid w:val="00061E04"/>
    <w:rsid w:val="00061E97"/>
    <w:rsid w:val="0006227B"/>
    <w:rsid w:val="000626FD"/>
    <w:rsid w:val="00062E51"/>
    <w:rsid w:val="00062ECE"/>
    <w:rsid w:val="0006382F"/>
    <w:rsid w:val="0006413C"/>
    <w:rsid w:val="0006575C"/>
    <w:rsid w:val="0006699D"/>
    <w:rsid w:val="000670A5"/>
    <w:rsid w:val="00067286"/>
    <w:rsid w:val="00067413"/>
    <w:rsid w:val="000675AB"/>
    <w:rsid w:val="000677EE"/>
    <w:rsid w:val="00067CFE"/>
    <w:rsid w:val="00070294"/>
    <w:rsid w:val="00070307"/>
    <w:rsid w:val="0007095C"/>
    <w:rsid w:val="00070BA2"/>
    <w:rsid w:val="00071673"/>
    <w:rsid w:val="00071EE3"/>
    <w:rsid w:val="0007230B"/>
    <w:rsid w:val="0007326C"/>
    <w:rsid w:val="00073890"/>
    <w:rsid w:val="00073BBE"/>
    <w:rsid w:val="00073E84"/>
    <w:rsid w:val="00073E8A"/>
    <w:rsid w:val="000740B5"/>
    <w:rsid w:val="00074100"/>
    <w:rsid w:val="000747EC"/>
    <w:rsid w:val="00074BA7"/>
    <w:rsid w:val="00074BE5"/>
    <w:rsid w:val="0007522A"/>
    <w:rsid w:val="000755EF"/>
    <w:rsid w:val="00075878"/>
    <w:rsid w:val="000759DC"/>
    <w:rsid w:val="00075B9A"/>
    <w:rsid w:val="0007618D"/>
    <w:rsid w:val="00076281"/>
    <w:rsid w:val="000763F8"/>
    <w:rsid w:val="00076413"/>
    <w:rsid w:val="00076E93"/>
    <w:rsid w:val="000773F9"/>
    <w:rsid w:val="00077CD4"/>
    <w:rsid w:val="00077E39"/>
    <w:rsid w:val="0008085B"/>
    <w:rsid w:val="000816D0"/>
    <w:rsid w:val="000819E5"/>
    <w:rsid w:val="00081DB7"/>
    <w:rsid w:val="00082FDC"/>
    <w:rsid w:val="00083799"/>
    <w:rsid w:val="00083A0B"/>
    <w:rsid w:val="00083EE1"/>
    <w:rsid w:val="00083F7E"/>
    <w:rsid w:val="00084191"/>
    <w:rsid w:val="00084238"/>
    <w:rsid w:val="000845AB"/>
    <w:rsid w:val="00084A31"/>
    <w:rsid w:val="00084FCC"/>
    <w:rsid w:val="000853C7"/>
    <w:rsid w:val="00085415"/>
    <w:rsid w:val="00085554"/>
    <w:rsid w:val="00085C38"/>
    <w:rsid w:val="00086014"/>
    <w:rsid w:val="0008601F"/>
    <w:rsid w:val="0008621E"/>
    <w:rsid w:val="0008691A"/>
    <w:rsid w:val="00086BA7"/>
    <w:rsid w:val="00086D72"/>
    <w:rsid w:val="00086F77"/>
    <w:rsid w:val="00087CD1"/>
    <w:rsid w:val="00090668"/>
    <w:rsid w:val="00090845"/>
    <w:rsid w:val="0009120A"/>
    <w:rsid w:val="0009126D"/>
    <w:rsid w:val="00091A0A"/>
    <w:rsid w:val="000934C6"/>
    <w:rsid w:val="000936D3"/>
    <w:rsid w:val="000945A5"/>
    <w:rsid w:val="00094CF1"/>
    <w:rsid w:val="00094E59"/>
    <w:rsid w:val="00095BE2"/>
    <w:rsid w:val="0009628C"/>
    <w:rsid w:val="00097098"/>
    <w:rsid w:val="0009783D"/>
    <w:rsid w:val="000979A4"/>
    <w:rsid w:val="000A019F"/>
    <w:rsid w:val="000A05E2"/>
    <w:rsid w:val="000A0F52"/>
    <w:rsid w:val="000A12C8"/>
    <w:rsid w:val="000A1FF7"/>
    <w:rsid w:val="000A2C46"/>
    <w:rsid w:val="000A3A83"/>
    <w:rsid w:val="000A4045"/>
    <w:rsid w:val="000A4B99"/>
    <w:rsid w:val="000A5085"/>
    <w:rsid w:val="000A5093"/>
    <w:rsid w:val="000A6B7B"/>
    <w:rsid w:val="000A6FFD"/>
    <w:rsid w:val="000A7206"/>
    <w:rsid w:val="000A7293"/>
    <w:rsid w:val="000A7836"/>
    <w:rsid w:val="000A78B7"/>
    <w:rsid w:val="000A78CD"/>
    <w:rsid w:val="000A7E4E"/>
    <w:rsid w:val="000A7EA1"/>
    <w:rsid w:val="000B0775"/>
    <w:rsid w:val="000B0DB6"/>
    <w:rsid w:val="000B1896"/>
    <w:rsid w:val="000B288F"/>
    <w:rsid w:val="000B28BD"/>
    <w:rsid w:val="000B290D"/>
    <w:rsid w:val="000B384D"/>
    <w:rsid w:val="000B3A95"/>
    <w:rsid w:val="000B3ACB"/>
    <w:rsid w:val="000B3F6B"/>
    <w:rsid w:val="000B40B0"/>
    <w:rsid w:val="000B43A5"/>
    <w:rsid w:val="000B46E8"/>
    <w:rsid w:val="000B4989"/>
    <w:rsid w:val="000B4CDB"/>
    <w:rsid w:val="000B5341"/>
    <w:rsid w:val="000B5EAB"/>
    <w:rsid w:val="000B63FD"/>
    <w:rsid w:val="000B6568"/>
    <w:rsid w:val="000B71AC"/>
    <w:rsid w:val="000B7684"/>
    <w:rsid w:val="000C0685"/>
    <w:rsid w:val="000C103E"/>
    <w:rsid w:val="000C118D"/>
    <w:rsid w:val="000C17BC"/>
    <w:rsid w:val="000C1EB4"/>
    <w:rsid w:val="000C2294"/>
    <w:rsid w:val="000C2602"/>
    <w:rsid w:val="000C31C4"/>
    <w:rsid w:val="000C343A"/>
    <w:rsid w:val="000C362D"/>
    <w:rsid w:val="000C389B"/>
    <w:rsid w:val="000C3E1F"/>
    <w:rsid w:val="000C4175"/>
    <w:rsid w:val="000C4233"/>
    <w:rsid w:val="000C4861"/>
    <w:rsid w:val="000C4CE3"/>
    <w:rsid w:val="000C5540"/>
    <w:rsid w:val="000C56A9"/>
    <w:rsid w:val="000C5B0D"/>
    <w:rsid w:val="000C74B1"/>
    <w:rsid w:val="000C789F"/>
    <w:rsid w:val="000D059A"/>
    <w:rsid w:val="000D065C"/>
    <w:rsid w:val="000D0CE0"/>
    <w:rsid w:val="000D0E0E"/>
    <w:rsid w:val="000D1748"/>
    <w:rsid w:val="000D1C99"/>
    <w:rsid w:val="000D214F"/>
    <w:rsid w:val="000D2636"/>
    <w:rsid w:val="000D3D88"/>
    <w:rsid w:val="000D3E29"/>
    <w:rsid w:val="000D4707"/>
    <w:rsid w:val="000D5547"/>
    <w:rsid w:val="000D5FC7"/>
    <w:rsid w:val="000D7183"/>
    <w:rsid w:val="000D7185"/>
    <w:rsid w:val="000D7875"/>
    <w:rsid w:val="000D7886"/>
    <w:rsid w:val="000D7BF4"/>
    <w:rsid w:val="000E0AB1"/>
    <w:rsid w:val="000E1282"/>
    <w:rsid w:val="000E1525"/>
    <w:rsid w:val="000E1C52"/>
    <w:rsid w:val="000E22DE"/>
    <w:rsid w:val="000E22EB"/>
    <w:rsid w:val="000E40AE"/>
    <w:rsid w:val="000E4CE3"/>
    <w:rsid w:val="000E4EF3"/>
    <w:rsid w:val="000E4F28"/>
    <w:rsid w:val="000E5460"/>
    <w:rsid w:val="000E56DE"/>
    <w:rsid w:val="000E57B0"/>
    <w:rsid w:val="000E606C"/>
    <w:rsid w:val="000E6313"/>
    <w:rsid w:val="000E691E"/>
    <w:rsid w:val="000E6F4D"/>
    <w:rsid w:val="000E702E"/>
    <w:rsid w:val="000E721E"/>
    <w:rsid w:val="000E745D"/>
    <w:rsid w:val="000E7954"/>
    <w:rsid w:val="000F034D"/>
    <w:rsid w:val="000F062C"/>
    <w:rsid w:val="000F08A6"/>
    <w:rsid w:val="000F0B0B"/>
    <w:rsid w:val="000F0D81"/>
    <w:rsid w:val="000F16A8"/>
    <w:rsid w:val="000F1984"/>
    <w:rsid w:val="000F1F65"/>
    <w:rsid w:val="000F2710"/>
    <w:rsid w:val="000F3602"/>
    <w:rsid w:val="000F5597"/>
    <w:rsid w:val="000F5BB1"/>
    <w:rsid w:val="000F6A66"/>
    <w:rsid w:val="000F6B00"/>
    <w:rsid w:val="000F6EF7"/>
    <w:rsid w:val="00100010"/>
    <w:rsid w:val="001003C9"/>
    <w:rsid w:val="001004CF"/>
    <w:rsid w:val="001005CB"/>
    <w:rsid w:val="00100AC9"/>
    <w:rsid w:val="0010181E"/>
    <w:rsid w:val="00102C25"/>
    <w:rsid w:val="00102FEC"/>
    <w:rsid w:val="00103311"/>
    <w:rsid w:val="001038F0"/>
    <w:rsid w:val="00103BA2"/>
    <w:rsid w:val="00103D35"/>
    <w:rsid w:val="00104903"/>
    <w:rsid w:val="00104D07"/>
    <w:rsid w:val="00105007"/>
    <w:rsid w:val="0010529D"/>
    <w:rsid w:val="0010550A"/>
    <w:rsid w:val="001056A8"/>
    <w:rsid w:val="00105703"/>
    <w:rsid w:val="00106B04"/>
    <w:rsid w:val="00106E0E"/>
    <w:rsid w:val="0010751E"/>
    <w:rsid w:val="00107B93"/>
    <w:rsid w:val="00107D66"/>
    <w:rsid w:val="00110893"/>
    <w:rsid w:val="00110A83"/>
    <w:rsid w:val="00111AD7"/>
    <w:rsid w:val="00111B4D"/>
    <w:rsid w:val="0011232D"/>
    <w:rsid w:val="00113177"/>
    <w:rsid w:val="00113605"/>
    <w:rsid w:val="001139AD"/>
    <w:rsid w:val="00113D50"/>
    <w:rsid w:val="00114090"/>
    <w:rsid w:val="0011458D"/>
    <w:rsid w:val="001145FE"/>
    <w:rsid w:val="00114FB7"/>
    <w:rsid w:val="001151D2"/>
    <w:rsid w:val="001157AD"/>
    <w:rsid w:val="00115FFE"/>
    <w:rsid w:val="00116D9F"/>
    <w:rsid w:val="00117590"/>
    <w:rsid w:val="0011E033"/>
    <w:rsid w:val="001213FD"/>
    <w:rsid w:val="0012204C"/>
    <w:rsid w:val="001222CE"/>
    <w:rsid w:val="0012235D"/>
    <w:rsid w:val="00122455"/>
    <w:rsid w:val="0012309C"/>
    <w:rsid w:val="00123336"/>
    <w:rsid w:val="001256B2"/>
    <w:rsid w:val="0012578C"/>
    <w:rsid w:val="0012598D"/>
    <w:rsid w:val="00125B8A"/>
    <w:rsid w:val="00125F2D"/>
    <w:rsid w:val="00126034"/>
    <w:rsid w:val="00126D09"/>
    <w:rsid w:val="00126DAB"/>
    <w:rsid w:val="0013035B"/>
    <w:rsid w:val="00130494"/>
    <w:rsid w:val="00130C77"/>
    <w:rsid w:val="00131835"/>
    <w:rsid w:val="00131847"/>
    <w:rsid w:val="00132574"/>
    <w:rsid w:val="00133292"/>
    <w:rsid w:val="001335EA"/>
    <w:rsid w:val="00134CF0"/>
    <w:rsid w:val="001357E6"/>
    <w:rsid w:val="001370D3"/>
    <w:rsid w:val="001373AB"/>
    <w:rsid w:val="00137461"/>
    <w:rsid w:val="001374E7"/>
    <w:rsid w:val="0013755F"/>
    <w:rsid w:val="001377AA"/>
    <w:rsid w:val="00137E59"/>
    <w:rsid w:val="001400AC"/>
    <w:rsid w:val="00140119"/>
    <w:rsid w:val="0014092F"/>
    <w:rsid w:val="001409AF"/>
    <w:rsid w:val="00140D48"/>
    <w:rsid w:val="00140E66"/>
    <w:rsid w:val="00141038"/>
    <w:rsid w:val="0014119D"/>
    <w:rsid w:val="001416A0"/>
    <w:rsid w:val="00141A9D"/>
    <w:rsid w:val="0014213E"/>
    <w:rsid w:val="00142FA9"/>
    <w:rsid w:val="00143044"/>
    <w:rsid w:val="00143959"/>
    <w:rsid w:val="00143ADE"/>
    <w:rsid w:val="001440D4"/>
    <w:rsid w:val="001448C9"/>
    <w:rsid w:val="00144C53"/>
    <w:rsid w:val="001452C5"/>
    <w:rsid w:val="001453A5"/>
    <w:rsid w:val="0014586E"/>
    <w:rsid w:val="00145F0A"/>
    <w:rsid w:val="00146DC7"/>
    <w:rsid w:val="00146DD1"/>
    <w:rsid w:val="00147B23"/>
    <w:rsid w:val="00147C96"/>
    <w:rsid w:val="00150301"/>
    <w:rsid w:val="00150CFB"/>
    <w:rsid w:val="00151868"/>
    <w:rsid w:val="00152073"/>
    <w:rsid w:val="001527B6"/>
    <w:rsid w:val="00153635"/>
    <w:rsid w:val="00153BF9"/>
    <w:rsid w:val="00154602"/>
    <w:rsid w:val="001546BB"/>
    <w:rsid w:val="00154E2A"/>
    <w:rsid w:val="00155604"/>
    <w:rsid w:val="00155B48"/>
    <w:rsid w:val="00155C20"/>
    <w:rsid w:val="00157670"/>
    <w:rsid w:val="001578C9"/>
    <w:rsid w:val="00157926"/>
    <w:rsid w:val="00157BE1"/>
    <w:rsid w:val="00157D32"/>
    <w:rsid w:val="00157DB0"/>
    <w:rsid w:val="00157F8E"/>
    <w:rsid w:val="00159D44"/>
    <w:rsid w:val="00160421"/>
    <w:rsid w:val="00160AF4"/>
    <w:rsid w:val="00160B4B"/>
    <w:rsid w:val="00160C88"/>
    <w:rsid w:val="00162774"/>
    <w:rsid w:val="00162D94"/>
    <w:rsid w:val="00163460"/>
    <w:rsid w:val="00163A9F"/>
    <w:rsid w:val="00163C38"/>
    <w:rsid w:val="001641A7"/>
    <w:rsid w:val="0016441A"/>
    <w:rsid w:val="0016469F"/>
    <w:rsid w:val="00164EAD"/>
    <w:rsid w:val="00164EF1"/>
    <w:rsid w:val="00164F5A"/>
    <w:rsid w:val="0016505D"/>
    <w:rsid w:val="0016555B"/>
    <w:rsid w:val="0016597F"/>
    <w:rsid w:val="00165AF3"/>
    <w:rsid w:val="0016745B"/>
    <w:rsid w:val="001704E1"/>
    <w:rsid w:val="00170939"/>
    <w:rsid w:val="00170EDD"/>
    <w:rsid w:val="00170FC4"/>
    <w:rsid w:val="001722FB"/>
    <w:rsid w:val="0017259F"/>
    <w:rsid w:val="00173528"/>
    <w:rsid w:val="00174950"/>
    <w:rsid w:val="00174C51"/>
    <w:rsid w:val="00176BA7"/>
    <w:rsid w:val="00177283"/>
    <w:rsid w:val="001775C3"/>
    <w:rsid w:val="00177E3C"/>
    <w:rsid w:val="0018040F"/>
    <w:rsid w:val="001805BB"/>
    <w:rsid w:val="0018067A"/>
    <w:rsid w:val="001808F2"/>
    <w:rsid w:val="00181330"/>
    <w:rsid w:val="00181492"/>
    <w:rsid w:val="00181779"/>
    <w:rsid w:val="00181D1F"/>
    <w:rsid w:val="00181F74"/>
    <w:rsid w:val="00182143"/>
    <w:rsid w:val="00182964"/>
    <w:rsid w:val="00183389"/>
    <w:rsid w:val="001835BA"/>
    <w:rsid w:val="00183BC3"/>
    <w:rsid w:val="00183C84"/>
    <w:rsid w:val="001841CC"/>
    <w:rsid w:val="00184CF5"/>
    <w:rsid w:val="00184FB1"/>
    <w:rsid w:val="00185147"/>
    <w:rsid w:val="00185195"/>
    <w:rsid w:val="00185B40"/>
    <w:rsid w:val="0018693D"/>
    <w:rsid w:val="001869CC"/>
    <w:rsid w:val="00186A71"/>
    <w:rsid w:val="00187317"/>
    <w:rsid w:val="001904F6"/>
    <w:rsid w:val="001905D0"/>
    <w:rsid w:val="00190D61"/>
    <w:rsid w:val="0019179E"/>
    <w:rsid w:val="00191AB9"/>
    <w:rsid w:val="0019286B"/>
    <w:rsid w:val="00192A77"/>
    <w:rsid w:val="00193859"/>
    <w:rsid w:val="00193C4B"/>
    <w:rsid w:val="00195FD7"/>
    <w:rsid w:val="00196494"/>
    <w:rsid w:val="00196617"/>
    <w:rsid w:val="0019669F"/>
    <w:rsid w:val="0019683F"/>
    <w:rsid w:val="001971AF"/>
    <w:rsid w:val="00197A26"/>
    <w:rsid w:val="001A00AF"/>
    <w:rsid w:val="001A044E"/>
    <w:rsid w:val="001A0B82"/>
    <w:rsid w:val="001A0C90"/>
    <w:rsid w:val="001A0D7F"/>
    <w:rsid w:val="001A1126"/>
    <w:rsid w:val="001A28CC"/>
    <w:rsid w:val="001A344B"/>
    <w:rsid w:val="001A37A1"/>
    <w:rsid w:val="001A3CE2"/>
    <w:rsid w:val="001A3EBD"/>
    <w:rsid w:val="001A4F8E"/>
    <w:rsid w:val="001A51A3"/>
    <w:rsid w:val="001A55B6"/>
    <w:rsid w:val="001A6020"/>
    <w:rsid w:val="001A662F"/>
    <w:rsid w:val="001A6779"/>
    <w:rsid w:val="001A6D3D"/>
    <w:rsid w:val="001A7836"/>
    <w:rsid w:val="001AF54F"/>
    <w:rsid w:val="001B0113"/>
    <w:rsid w:val="001B027D"/>
    <w:rsid w:val="001B069F"/>
    <w:rsid w:val="001B0A92"/>
    <w:rsid w:val="001B1102"/>
    <w:rsid w:val="001B196D"/>
    <w:rsid w:val="001B1E24"/>
    <w:rsid w:val="001B381A"/>
    <w:rsid w:val="001B42E6"/>
    <w:rsid w:val="001B499F"/>
    <w:rsid w:val="001B500B"/>
    <w:rsid w:val="001B69CE"/>
    <w:rsid w:val="001C0599"/>
    <w:rsid w:val="001C0757"/>
    <w:rsid w:val="001C08EE"/>
    <w:rsid w:val="001C1266"/>
    <w:rsid w:val="001C1928"/>
    <w:rsid w:val="001C2085"/>
    <w:rsid w:val="001C20E2"/>
    <w:rsid w:val="001C2300"/>
    <w:rsid w:val="001C2F02"/>
    <w:rsid w:val="001C301C"/>
    <w:rsid w:val="001C34C5"/>
    <w:rsid w:val="001C43F8"/>
    <w:rsid w:val="001C46F6"/>
    <w:rsid w:val="001C6881"/>
    <w:rsid w:val="001C6C63"/>
    <w:rsid w:val="001C6CBF"/>
    <w:rsid w:val="001C6DF0"/>
    <w:rsid w:val="001C71D7"/>
    <w:rsid w:val="001C7335"/>
    <w:rsid w:val="001C7B27"/>
    <w:rsid w:val="001C7D23"/>
    <w:rsid w:val="001C7EBF"/>
    <w:rsid w:val="001D0B78"/>
    <w:rsid w:val="001D0DA2"/>
    <w:rsid w:val="001D234C"/>
    <w:rsid w:val="001D2BE0"/>
    <w:rsid w:val="001D32CB"/>
    <w:rsid w:val="001D38A3"/>
    <w:rsid w:val="001D3A15"/>
    <w:rsid w:val="001D3B73"/>
    <w:rsid w:val="001D3BD5"/>
    <w:rsid w:val="001D3CEF"/>
    <w:rsid w:val="001D40FD"/>
    <w:rsid w:val="001D44A5"/>
    <w:rsid w:val="001D44C0"/>
    <w:rsid w:val="001D45A0"/>
    <w:rsid w:val="001D516A"/>
    <w:rsid w:val="001D527E"/>
    <w:rsid w:val="001D573B"/>
    <w:rsid w:val="001D57AD"/>
    <w:rsid w:val="001D5844"/>
    <w:rsid w:val="001D5A82"/>
    <w:rsid w:val="001D62BD"/>
    <w:rsid w:val="001D63D3"/>
    <w:rsid w:val="001D6C1B"/>
    <w:rsid w:val="001D7380"/>
    <w:rsid w:val="001D7888"/>
    <w:rsid w:val="001D7A2D"/>
    <w:rsid w:val="001D7BFB"/>
    <w:rsid w:val="001E03FA"/>
    <w:rsid w:val="001E0885"/>
    <w:rsid w:val="001E0E73"/>
    <w:rsid w:val="001E1595"/>
    <w:rsid w:val="001E1F4D"/>
    <w:rsid w:val="001E3039"/>
    <w:rsid w:val="001E3061"/>
    <w:rsid w:val="001E37B8"/>
    <w:rsid w:val="001E3908"/>
    <w:rsid w:val="001E3DA4"/>
    <w:rsid w:val="001E4A06"/>
    <w:rsid w:val="001E5153"/>
    <w:rsid w:val="001E5596"/>
    <w:rsid w:val="001E604E"/>
    <w:rsid w:val="001E747C"/>
    <w:rsid w:val="001E7810"/>
    <w:rsid w:val="001E784D"/>
    <w:rsid w:val="001E7ECF"/>
    <w:rsid w:val="001F0068"/>
    <w:rsid w:val="001F0D50"/>
    <w:rsid w:val="001F0DAF"/>
    <w:rsid w:val="001F0F21"/>
    <w:rsid w:val="001F10BB"/>
    <w:rsid w:val="001F170D"/>
    <w:rsid w:val="001F1CC9"/>
    <w:rsid w:val="001F1D89"/>
    <w:rsid w:val="001F2CC9"/>
    <w:rsid w:val="001F2D31"/>
    <w:rsid w:val="001F321A"/>
    <w:rsid w:val="001F39D6"/>
    <w:rsid w:val="001F470B"/>
    <w:rsid w:val="001F48FF"/>
    <w:rsid w:val="001F4ACE"/>
    <w:rsid w:val="001F4D9A"/>
    <w:rsid w:val="001F59BF"/>
    <w:rsid w:val="001F5BF2"/>
    <w:rsid w:val="001F5DD6"/>
    <w:rsid w:val="001F5E29"/>
    <w:rsid w:val="001F655E"/>
    <w:rsid w:val="001F66E5"/>
    <w:rsid w:val="001F706B"/>
    <w:rsid w:val="001F737A"/>
    <w:rsid w:val="001F7CBA"/>
    <w:rsid w:val="001F7D11"/>
    <w:rsid w:val="00200680"/>
    <w:rsid w:val="00200A3D"/>
    <w:rsid w:val="0020156E"/>
    <w:rsid w:val="00201982"/>
    <w:rsid w:val="00201A19"/>
    <w:rsid w:val="00201B4F"/>
    <w:rsid w:val="00201BE8"/>
    <w:rsid w:val="002022BB"/>
    <w:rsid w:val="00202CC0"/>
    <w:rsid w:val="00202F1B"/>
    <w:rsid w:val="00203035"/>
    <w:rsid w:val="0020309E"/>
    <w:rsid w:val="00203A4C"/>
    <w:rsid w:val="00204B1E"/>
    <w:rsid w:val="00204C8F"/>
    <w:rsid w:val="002050CE"/>
    <w:rsid w:val="00205317"/>
    <w:rsid w:val="0020553B"/>
    <w:rsid w:val="00205701"/>
    <w:rsid w:val="00205BAB"/>
    <w:rsid w:val="002060DA"/>
    <w:rsid w:val="002062CD"/>
    <w:rsid w:val="002064EB"/>
    <w:rsid w:val="002066D7"/>
    <w:rsid w:val="00206A67"/>
    <w:rsid w:val="00206E78"/>
    <w:rsid w:val="00207021"/>
    <w:rsid w:val="002075B7"/>
    <w:rsid w:val="00207ABE"/>
    <w:rsid w:val="00210228"/>
    <w:rsid w:val="002109F9"/>
    <w:rsid w:val="00211AD5"/>
    <w:rsid w:val="00211B31"/>
    <w:rsid w:val="00211E42"/>
    <w:rsid w:val="002120BA"/>
    <w:rsid w:val="0021288F"/>
    <w:rsid w:val="00213205"/>
    <w:rsid w:val="00213286"/>
    <w:rsid w:val="00213661"/>
    <w:rsid w:val="00213981"/>
    <w:rsid w:val="00213CA8"/>
    <w:rsid w:val="0021407B"/>
    <w:rsid w:val="00214639"/>
    <w:rsid w:val="00214717"/>
    <w:rsid w:val="00214EF2"/>
    <w:rsid w:val="00215C6F"/>
    <w:rsid w:val="00215E3F"/>
    <w:rsid w:val="002165DD"/>
    <w:rsid w:val="002167C1"/>
    <w:rsid w:val="00217310"/>
    <w:rsid w:val="002173B4"/>
    <w:rsid w:val="002175E3"/>
    <w:rsid w:val="002200FB"/>
    <w:rsid w:val="00220271"/>
    <w:rsid w:val="00220469"/>
    <w:rsid w:val="00220987"/>
    <w:rsid w:val="00221202"/>
    <w:rsid w:val="00221BB1"/>
    <w:rsid w:val="00221ED5"/>
    <w:rsid w:val="002220F2"/>
    <w:rsid w:val="00222552"/>
    <w:rsid w:val="0022266A"/>
    <w:rsid w:val="002226BE"/>
    <w:rsid w:val="002229A9"/>
    <w:rsid w:val="00223672"/>
    <w:rsid w:val="00223C63"/>
    <w:rsid w:val="00223D7B"/>
    <w:rsid w:val="002245FA"/>
    <w:rsid w:val="00224900"/>
    <w:rsid w:val="002252C2"/>
    <w:rsid w:val="0022532A"/>
    <w:rsid w:val="00225488"/>
    <w:rsid w:val="0022556B"/>
    <w:rsid w:val="0022609A"/>
    <w:rsid w:val="002260B0"/>
    <w:rsid w:val="0022696C"/>
    <w:rsid w:val="00227587"/>
    <w:rsid w:val="002278E2"/>
    <w:rsid w:val="00227E2B"/>
    <w:rsid w:val="00230824"/>
    <w:rsid w:val="00230F24"/>
    <w:rsid w:val="00232175"/>
    <w:rsid w:val="002321E0"/>
    <w:rsid w:val="0023297B"/>
    <w:rsid w:val="00232B08"/>
    <w:rsid w:val="00232D66"/>
    <w:rsid w:val="00232D7C"/>
    <w:rsid w:val="00233265"/>
    <w:rsid w:val="00233465"/>
    <w:rsid w:val="002337BA"/>
    <w:rsid w:val="0023385C"/>
    <w:rsid w:val="00233F00"/>
    <w:rsid w:val="0023409C"/>
    <w:rsid w:val="00234E23"/>
    <w:rsid w:val="0023566D"/>
    <w:rsid w:val="0023570F"/>
    <w:rsid w:val="00235847"/>
    <w:rsid w:val="00235B12"/>
    <w:rsid w:val="00236AA3"/>
    <w:rsid w:val="00236C25"/>
    <w:rsid w:val="00236D75"/>
    <w:rsid w:val="00237097"/>
    <w:rsid w:val="002371D3"/>
    <w:rsid w:val="00240D20"/>
    <w:rsid w:val="00241CDE"/>
    <w:rsid w:val="0024275E"/>
    <w:rsid w:val="00242925"/>
    <w:rsid w:val="00242DDD"/>
    <w:rsid w:val="0024319D"/>
    <w:rsid w:val="00243904"/>
    <w:rsid w:val="0024484B"/>
    <w:rsid w:val="00244FA0"/>
    <w:rsid w:val="002455BC"/>
    <w:rsid w:val="00245642"/>
    <w:rsid w:val="002465EE"/>
    <w:rsid w:val="0024672A"/>
    <w:rsid w:val="0024677D"/>
    <w:rsid w:val="00246DCC"/>
    <w:rsid w:val="00247102"/>
    <w:rsid w:val="0024758F"/>
    <w:rsid w:val="002475AF"/>
    <w:rsid w:val="00247B52"/>
    <w:rsid w:val="00247D48"/>
    <w:rsid w:val="002486F9"/>
    <w:rsid w:val="002509CC"/>
    <w:rsid w:val="00250A03"/>
    <w:rsid w:val="00252838"/>
    <w:rsid w:val="00253164"/>
    <w:rsid w:val="00253557"/>
    <w:rsid w:val="00253A57"/>
    <w:rsid w:val="00253D33"/>
    <w:rsid w:val="00253EF8"/>
    <w:rsid w:val="00254527"/>
    <w:rsid w:val="00254B36"/>
    <w:rsid w:val="0025537D"/>
    <w:rsid w:val="00255E97"/>
    <w:rsid w:val="002568A7"/>
    <w:rsid w:val="002571AE"/>
    <w:rsid w:val="0025749D"/>
    <w:rsid w:val="00257519"/>
    <w:rsid w:val="00257851"/>
    <w:rsid w:val="00257E85"/>
    <w:rsid w:val="00257FD2"/>
    <w:rsid w:val="002609A3"/>
    <w:rsid w:val="00260FD8"/>
    <w:rsid w:val="0026151E"/>
    <w:rsid w:val="00261817"/>
    <w:rsid w:val="00262D80"/>
    <w:rsid w:val="00263060"/>
    <w:rsid w:val="00263991"/>
    <w:rsid w:val="00263B5B"/>
    <w:rsid w:val="0026404E"/>
    <w:rsid w:val="00264655"/>
    <w:rsid w:val="00264BE9"/>
    <w:rsid w:val="00264C1F"/>
    <w:rsid w:val="00265112"/>
    <w:rsid w:val="00266519"/>
    <w:rsid w:val="002669FE"/>
    <w:rsid w:val="00266AE0"/>
    <w:rsid w:val="00266D7C"/>
    <w:rsid w:val="00266DD7"/>
    <w:rsid w:val="00266E64"/>
    <w:rsid w:val="00266F6F"/>
    <w:rsid w:val="002678B1"/>
    <w:rsid w:val="002702E5"/>
    <w:rsid w:val="00270DB3"/>
    <w:rsid w:val="00270F61"/>
    <w:rsid w:val="00271BC5"/>
    <w:rsid w:val="002725FB"/>
    <w:rsid w:val="0027290C"/>
    <w:rsid w:val="00273B65"/>
    <w:rsid w:val="00273FC5"/>
    <w:rsid w:val="00274077"/>
    <w:rsid w:val="00274575"/>
    <w:rsid w:val="002756BF"/>
    <w:rsid w:val="00275733"/>
    <w:rsid w:val="00275983"/>
    <w:rsid w:val="00275A76"/>
    <w:rsid w:val="00275CFA"/>
    <w:rsid w:val="00276114"/>
    <w:rsid w:val="00276E3C"/>
    <w:rsid w:val="002770A6"/>
    <w:rsid w:val="00277857"/>
    <w:rsid w:val="00280082"/>
    <w:rsid w:val="00280151"/>
    <w:rsid w:val="00280602"/>
    <w:rsid w:val="002807AA"/>
    <w:rsid w:val="002808C3"/>
    <w:rsid w:val="002815AE"/>
    <w:rsid w:val="00282AA7"/>
    <w:rsid w:val="00282BA1"/>
    <w:rsid w:val="00282C0E"/>
    <w:rsid w:val="00282E20"/>
    <w:rsid w:val="00282EEE"/>
    <w:rsid w:val="00283228"/>
    <w:rsid w:val="00283578"/>
    <w:rsid w:val="00283A0C"/>
    <w:rsid w:val="00284A3B"/>
    <w:rsid w:val="00285408"/>
    <w:rsid w:val="002854E7"/>
    <w:rsid w:val="00285AEF"/>
    <w:rsid w:val="00285D37"/>
    <w:rsid w:val="00285FEA"/>
    <w:rsid w:val="002862D4"/>
    <w:rsid w:val="002863C5"/>
    <w:rsid w:val="0028696D"/>
    <w:rsid w:val="00286CA2"/>
    <w:rsid w:val="00287046"/>
    <w:rsid w:val="002876B7"/>
    <w:rsid w:val="00287766"/>
    <w:rsid w:val="00287A69"/>
    <w:rsid w:val="00291268"/>
    <w:rsid w:val="002916D0"/>
    <w:rsid w:val="00291AE2"/>
    <w:rsid w:val="00291EB5"/>
    <w:rsid w:val="002922C3"/>
    <w:rsid w:val="00292445"/>
    <w:rsid w:val="00292A78"/>
    <w:rsid w:val="002935D6"/>
    <w:rsid w:val="00293728"/>
    <w:rsid w:val="002939E0"/>
    <w:rsid w:val="00293BDF"/>
    <w:rsid w:val="00293EE1"/>
    <w:rsid w:val="0029415A"/>
    <w:rsid w:val="0029454A"/>
    <w:rsid w:val="00294781"/>
    <w:rsid w:val="00294AB8"/>
    <w:rsid w:val="00295305"/>
    <w:rsid w:val="002953CE"/>
    <w:rsid w:val="002967C8"/>
    <w:rsid w:val="00296DF8"/>
    <w:rsid w:val="00296F95"/>
    <w:rsid w:val="00297027"/>
    <w:rsid w:val="002A09C5"/>
    <w:rsid w:val="002A20E9"/>
    <w:rsid w:val="002A2961"/>
    <w:rsid w:val="002A3633"/>
    <w:rsid w:val="002A39D0"/>
    <w:rsid w:val="002A3B25"/>
    <w:rsid w:val="002A3CA8"/>
    <w:rsid w:val="002A4A1C"/>
    <w:rsid w:val="002A5A38"/>
    <w:rsid w:val="002A5C80"/>
    <w:rsid w:val="002A5EF6"/>
    <w:rsid w:val="002A6066"/>
    <w:rsid w:val="002A61C6"/>
    <w:rsid w:val="002A693B"/>
    <w:rsid w:val="002A766A"/>
    <w:rsid w:val="002A786B"/>
    <w:rsid w:val="002A7DFE"/>
    <w:rsid w:val="002B02A9"/>
    <w:rsid w:val="002B05B6"/>
    <w:rsid w:val="002B0A50"/>
    <w:rsid w:val="002B0BCA"/>
    <w:rsid w:val="002B0C71"/>
    <w:rsid w:val="002B0F22"/>
    <w:rsid w:val="002B114C"/>
    <w:rsid w:val="002B1B4E"/>
    <w:rsid w:val="002B1F9E"/>
    <w:rsid w:val="002B24FD"/>
    <w:rsid w:val="002B252A"/>
    <w:rsid w:val="002B2865"/>
    <w:rsid w:val="002B2B21"/>
    <w:rsid w:val="002B2B68"/>
    <w:rsid w:val="002B2EC3"/>
    <w:rsid w:val="002B30AA"/>
    <w:rsid w:val="002B3AB8"/>
    <w:rsid w:val="002B5518"/>
    <w:rsid w:val="002B59DA"/>
    <w:rsid w:val="002B644C"/>
    <w:rsid w:val="002B6552"/>
    <w:rsid w:val="002B6694"/>
    <w:rsid w:val="002B715E"/>
    <w:rsid w:val="002B7F5F"/>
    <w:rsid w:val="002C0760"/>
    <w:rsid w:val="002C0C34"/>
    <w:rsid w:val="002C0C66"/>
    <w:rsid w:val="002C0E2E"/>
    <w:rsid w:val="002C1257"/>
    <w:rsid w:val="002C1CD2"/>
    <w:rsid w:val="002C1D7C"/>
    <w:rsid w:val="002C25A8"/>
    <w:rsid w:val="002C282A"/>
    <w:rsid w:val="002C2ACC"/>
    <w:rsid w:val="002C36CA"/>
    <w:rsid w:val="002C5955"/>
    <w:rsid w:val="002C5E31"/>
    <w:rsid w:val="002C6429"/>
    <w:rsid w:val="002C6755"/>
    <w:rsid w:val="002C69AA"/>
    <w:rsid w:val="002C7ACD"/>
    <w:rsid w:val="002C7C47"/>
    <w:rsid w:val="002C7CF8"/>
    <w:rsid w:val="002C7DD3"/>
    <w:rsid w:val="002C7F68"/>
    <w:rsid w:val="002D000B"/>
    <w:rsid w:val="002D0149"/>
    <w:rsid w:val="002D077A"/>
    <w:rsid w:val="002D11D3"/>
    <w:rsid w:val="002D17F2"/>
    <w:rsid w:val="002D1BCA"/>
    <w:rsid w:val="002D236A"/>
    <w:rsid w:val="002D28FA"/>
    <w:rsid w:val="002D318C"/>
    <w:rsid w:val="002D3400"/>
    <w:rsid w:val="002D3FA4"/>
    <w:rsid w:val="002D5072"/>
    <w:rsid w:val="002D55C6"/>
    <w:rsid w:val="002D60FD"/>
    <w:rsid w:val="002D619C"/>
    <w:rsid w:val="002D6445"/>
    <w:rsid w:val="002D6BE4"/>
    <w:rsid w:val="002D6C51"/>
    <w:rsid w:val="002D6DD1"/>
    <w:rsid w:val="002D6DDD"/>
    <w:rsid w:val="002D791B"/>
    <w:rsid w:val="002D7C0B"/>
    <w:rsid w:val="002D7D43"/>
    <w:rsid w:val="002E04D1"/>
    <w:rsid w:val="002E0C20"/>
    <w:rsid w:val="002E1011"/>
    <w:rsid w:val="002E1195"/>
    <w:rsid w:val="002E1479"/>
    <w:rsid w:val="002E1C0D"/>
    <w:rsid w:val="002E1C5C"/>
    <w:rsid w:val="002E1DD3"/>
    <w:rsid w:val="002E1FC2"/>
    <w:rsid w:val="002E26BA"/>
    <w:rsid w:val="002E26E2"/>
    <w:rsid w:val="002E2E2C"/>
    <w:rsid w:val="002E316B"/>
    <w:rsid w:val="002E3544"/>
    <w:rsid w:val="002E3574"/>
    <w:rsid w:val="002E38D0"/>
    <w:rsid w:val="002E3E1B"/>
    <w:rsid w:val="002E52CE"/>
    <w:rsid w:val="002E5421"/>
    <w:rsid w:val="002F07B7"/>
    <w:rsid w:val="002F09BD"/>
    <w:rsid w:val="002F0E72"/>
    <w:rsid w:val="002F10A9"/>
    <w:rsid w:val="002F15A9"/>
    <w:rsid w:val="002F1B64"/>
    <w:rsid w:val="002F1B6A"/>
    <w:rsid w:val="002F1CF5"/>
    <w:rsid w:val="002F2DC3"/>
    <w:rsid w:val="002F2FA9"/>
    <w:rsid w:val="002F32C7"/>
    <w:rsid w:val="002F3853"/>
    <w:rsid w:val="002F3928"/>
    <w:rsid w:val="002F3AB2"/>
    <w:rsid w:val="002F3E16"/>
    <w:rsid w:val="002F405B"/>
    <w:rsid w:val="002F517F"/>
    <w:rsid w:val="002F661B"/>
    <w:rsid w:val="002F6885"/>
    <w:rsid w:val="002F790A"/>
    <w:rsid w:val="0030070F"/>
    <w:rsid w:val="0030083A"/>
    <w:rsid w:val="00300B2B"/>
    <w:rsid w:val="00301563"/>
    <w:rsid w:val="0030161B"/>
    <w:rsid w:val="0030180E"/>
    <w:rsid w:val="00301844"/>
    <w:rsid w:val="00301F64"/>
    <w:rsid w:val="003023E6"/>
    <w:rsid w:val="003024A1"/>
    <w:rsid w:val="00302861"/>
    <w:rsid w:val="00302A02"/>
    <w:rsid w:val="00302FD9"/>
    <w:rsid w:val="0030311C"/>
    <w:rsid w:val="003033BE"/>
    <w:rsid w:val="00303DF2"/>
    <w:rsid w:val="00304A26"/>
    <w:rsid w:val="00304BDA"/>
    <w:rsid w:val="003051BF"/>
    <w:rsid w:val="00305936"/>
    <w:rsid w:val="00305A2D"/>
    <w:rsid w:val="00305F76"/>
    <w:rsid w:val="00306576"/>
    <w:rsid w:val="00306C96"/>
    <w:rsid w:val="00306DCD"/>
    <w:rsid w:val="00306DCE"/>
    <w:rsid w:val="00307FDD"/>
    <w:rsid w:val="00310133"/>
    <w:rsid w:val="00310A0A"/>
    <w:rsid w:val="00310B3F"/>
    <w:rsid w:val="003112F3"/>
    <w:rsid w:val="003128F9"/>
    <w:rsid w:val="00312EDA"/>
    <w:rsid w:val="003134A4"/>
    <w:rsid w:val="00313E93"/>
    <w:rsid w:val="00313F5B"/>
    <w:rsid w:val="003140BA"/>
    <w:rsid w:val="0031431E"/>
    <w:rsid w:val="003144EE"/>
    <w:rsid w:val="00315009"/>
    <w:rsid w:val="003154D0"/>
    <w:rsid w:val="00315969"/>
    <w:rsid w:val="00315F02"/>
    <w:rsid w:val="0031611C"/>
    <w:rsid w:val="003167AB"/>
    <w:rsid w:val="003167E5"/>
    <w:rsid w:val="0031757B"/>
    <w:rsid w:val="00317684"/>
    <w:rsid w:val="0031770C"/>
    <w:rsid w:val="00317B0E"/>
    <w:rsid w:val="00317FD5"/>
    <w:rsid w:val="0032004C"/>
    <w:rsid w:val="003201E9"/>
    <w:rsid w:val="0032131A"/>
    <w:rsid w:val="003218A0"/>
    <w:rsid w:val="00321AC4"/>
    <w:rsid w:val="00321D63"/>
    <w:rsid w:val="00321DAA"/>
    <w:rsid w:val="00321F4E"/>
    <w:rsid w:val="00323140"/>
    <w:rsid w:val="003232EE"/>
    <w:rsid w:val="0032341A"/>
    <w:rsid w:val="003238E0"/>
    <w:rsid w:val="003243E3"/>
    <w:rsid w:val="0032460C"/>
    <w:rsid w:val="003249D2"/>
    <w:rsid w:val="003254C6"/>
    <w:rsid w:val="00325F95"/>
    <w:rsid w:val="0032622C"/>
    <w:rsid w:val="0032662C"/>
    <w:rsid w:val="0032669F"/>
    <w:rsid w:val="003274CF"/>
    <w:rsid w:val="0032764F"/>
    <w:rsid w:val="00330F98"/>
    <w:rsid w:val="00331957"/>
    <w:rsid w:val="003319AC"/>
    <w:rsid w:val="003326B5"/>
    <w:rsid w:val="00332B27"/>
    <w:rsid w:val="003334FF"/>
    <w:rsid w:val="003335AA"/>
    <w:rsid w:val="00333670"/>
    <w:rsid w:val="003338AD"/>
    <w:rsid w:val="00333DE2"/>
    <w:rsid w:val="00334B0B"/>
    <w:rsid w:val="003351A3"/>
    <w:rsid w:val="00335399"/>
    <w:rsid w:val="0033549F"/>
    <w:rsid w:val="003368DF"/>
    <w:rsid w:val="00336E6B"/>
    <w:rsid w:val="00337D37"/>
    <w:rsid w:val="003400AA"/>
    <w:rsid w:val="0034101C"/>
    <w:rsid w:val="00341407"/>
    <w:rsid w:val="00341C7D"/>
    <w:rsid w:val="003429F5"/>
    <w:rsid w:val="00342D22"/>
    <w:rsid w:val="003432A6"/>
    <w:rsid w:val="00343320"/>
    <w:rsid w:val="00343346"/>
    <w:rsid w:val="003436C5"/>
    <w:rsid w:val="0034451E"/>
    <w:rsid w:val="00344DF7"/>
    <w:rsid w:val="0034590A"/>
    <w:rsid w:val="00345CD0"/>
    <w:rsid w:val="003460CF"/>
    <w:rsid w:val="00346A64"/>
    <w:rsid w:val="00346FCB"/>
    <w:rsid w:val="003478B6"/>
    <w:rsid w:val="00347AB6"/>
    <w:rsid w:val="00347BAE"/>
    <w:rsid w:val="00347F2D"/>
    <w:rsid w:val="00350331"/>
    <w:rsid w:val="003503A3"/>
    <w:rsid w:val="00350C1A"/>
    <w:rsid w:val="00350C55"/>
    <w:rsid w:val="00350F14"/>
    <w:rsid w:val="0035119E"/>
    <w:rsid w:val="003515FC"/>
    <w:rsid w:val="0035188A"/>
    <w:rsid w:val="00351C67"/>
    <w:rsid w:val="00352514"/>
    <w:rsid w:val="00352581"/>
    <w:rsid w:val="00352D0F"/>
    <w:rsid w:val="00352DA9"/>
    <w:rsid w:val="003533CC"/>
    <w:rsid w:val="00353822"/>
    <w:rsid w:val="0035429A"/>
    <w:rsid w:val="00355245"/>
    <w:rsid w:val="003564C9"/>
    <w:rsid w:val="0035687A"/>
    <w:rsid w:val="003569B7"/>
    <w:rsid w:val="00356BBA"/>
    <w:rsid w:val="00356C69"/>
    <w:rsid w:val="003573F2"/>
    <w:rsid w:val="003573F9"/>
    <w:rsid w:val="00357D12"/>
    <w:rsid w:val="003604A6"/>
    <w:rsid w:val="0036147F"/>
    <w:rsid w:val="00361E3C"/>
    <w:rsid w:val="00362056"/>
    <w:rsid w:val="00362433"/>
    <w:rsid w:val="00362479"/>
    <w:rsid w:val="0036276B"/>
    <w:rsid w:val="00362F27"/>
    <w:rsid w:val="003638A8"/>
    <w:rsid w:val="00363B17"/>
    <w:rsid w:val="00363CBC"/>
    <w:rsid w:val="003647B4"/>
    <w:rsid w:val="00364C6B"/>
    <w:rsid w:val="00364DEC"/>
    <w:rsid w:val="00365193"/>
    <w:rsid w:val="00365EC0"/>
    <w:rsid w:val="0036774A"/>
    <w:rsid w:val="00367C3A"/>
    <w:rsid w:val="00367F49"/>
    <w:rsid w:val="0037076B"/>
    <w:rsid w:val="003708C2"/>
    <w:rsid w:val="00370D64"/>
    <w:rsid w:val="00370E7F"/>
    <w:rsid w:val="00370F78"/>
    <w:rsid w:val="00371DDB"/>
    <w:rsid w:val="0037244D"/>
    <w:rsid w:val="00372C3B"/>
    <w:rsid w:val="00372CE3"/>
    <w:rsid w:val="00372D94"/>
    <w:rsid w:val="003740FF"/>
    <w:rsid w:val="003754FC"/>
    <w:rsid w:val="003756EB"/>
    <w:rsid w:val="003758B9"/>
    <w:rsid w:val="00375915"/>
    <w:rsid w:val="00375AFD"/>
    <w:rsid w:val="00375CA5"/>
    <w:rsid w:val="00375E94"/>
    <w:rsid w:val="00375FB3"/>
    <w:rsid w:val="00376013"/>
    <w:rsid w:val="003774F9"/>
    <w:rsid w:val="00377A21"/>
    <w:rsid w:val="00377A56"/>
    <w:rsid w:val="003802BC"/>
    <w:rsid w:val="003804D0"/>
    <w:rsid w:val="003808A4"/>
    <w:rsid w:val="00380C06"/>
    <w:rsid w:val="00380D89"/>
    <w:rsid w:val="00380F5C"/>
    <w:rsid w:val="00381031"/>
    <w:rsid w:val="0038137E"/>
    <w:rsid w:val="0038233A"/>
    <w:rsid w:val="003825FA"/>
    <w:rsid w:val="003828A6"/>
    <w:rsid w:val="0038293C"/>
    <w:rsid w:val="00382B39"/>
    <w:rsid w:val="00383A00"/>
    <w:rsid w:val="003840ED"/>
    <w:rsid w:val="0038437C"/>
    <w:rsid w:val="003844A9"/>
    <w:rsid w:val="003866C3"/>
    <w:rsid w:val="00386A3F"/>
    <w:rsid w:val="00387801"/>
    <w:rsid w:val="0038794F"/>
    <w:rsid w:val="003900DF"/>
    <w:rsid w:val="00390836"/>
    <w:rsid w:val="00390A71"/>
    <w:rsid w:val="003911AC"/>
    <w:rsid w:val="003911B7"/>
    <w:rsid w:val="00392551"/>
    <w:rsid w:val="00392AA0"/>
    <w:rsid w:val="00392DB5"/>
    <w:rsid w:val="0039348D"/>
    <w:rsid w:val="00393702"/>
    <w:rsid w:val="00393942"/>
    <w:rsid w:val="00393BAC"/>
    <w:rsid w:val="003944A5"/>
    <w:rsid w:val="003946B6"/>
    <w:rsid w:val="00394A01"/>
    <w:rsid w:val="00394B02"/>
    <w:rsid w:val="003950FA"/>
    <w:rsid w:val="0039585E"/>
    <w:rsid w:val="00396AF7"/>
    <w:rsid w:val="00396D30"/>
    <w:rsid w:val="00396DED"/>
    <w:rsid w:val="00397134"/>
    <w:rsid w:val="0039736C"/>
    <w:rsid w:val="00397A23"/>
    <w:rsid w:val="00397C7F"/>
    <w:rsid w:val="003A0211"/>
    <w:rsid w:val="003A0335"/>
    <w:rsid w:val="003A05D0"/>
    <w:rsid w:val="003A16A0"/>
    <w:rsid w:val="003A19AE"/>
    <w:rsid w:val="003A25D4"/>
    <w:rsid w:val="003A409F"/>
    <w:rsid w:val="003A40EF"/>
    <w:rsid w:val="003A479F"/>
    <w:rsid w:val="003A4F36"/>
    <w:rsid w:val="003A518C"/>
    <w:rsid w:val="003A572C"/>
    <w:rsid w:val="003A6978"/>
    <w:rsid w:val="003A6E1A"/>
    <w:rsid w:val="003A72DD"/>
    <w:rsid w:val="003A75A5"/>
    <w:rsid w:val="003B045B"/>
    <w:rsid w:val="003B04CE"/>
    <w:rsid w:val="003B0853"/>
    <w:rsid w:val="003B12E4"/>
    <w:rsid w:val="003B136C"/>
    <w:rsid w:val="003B16FC"/>
    <w:rsid w:val="003B17DC"/>
    <w:rsid w:val="003B1CF4"/>
    <w:rsid w:val="003B1FAE"/>
    <w:rsid w:val="003B379B"/>
    <w:rsid w:val="003B4005"/>
    <w:rsid w:val="003B47CC"/>
    <w:rsid w:val="003B4AA7"/>
    <w:rsid w:val="003B4F8D"/>
    <w:rsid w:val="003B6388"/>
    <w:rsid w:val="003B6AD9"/>
    <w:rsid w:val="003B7301"/>
    <w:rsid w:val="003B789F"/>
    <w:rsid w:val="003B7976"/>
    <w:rsid w:val="003C059D"/>
    <w:rsid w:val="003C080F"/>
    <w:rsid w:val="003C0B6A"/>
    <w:rsid w:val="003C0BE2"/>
    <w:rsid w:val="003C0CA6"/>
    <w:rsid w:val="003C0DF4"/>
    <w:rsid w:val="003C113A"/>
    <w:rsid w:val="003C18DD"/>
    <w:rsid w:val="003C1D0B"/>
    <w:rsid w:val="003C2181"/>
    <w:rsid w:val="003C2AB2"/>
    <w:rsid w:val="003C30AE"/>
    <w:rsid w:val="003C3D02"/>
    <w:rsid w:val="003C443E"/>
    <w:rsid w:val="003C4BBD"/>
    <w:rsid w:val="003C4E47"/>
    <w:rsid w:val="003C5176"/>
    <w:rsid w:val="003C5226"/>
    <w:rsid w:val="003C5319"/>
    <w:rsid w:val="003C53A4"/>
    <w:rsid w:val="003C619A"/>
    <w:rsid w:val="003C65BD"/>
    <w:rsid w:val="003C6FE8"/>
    <w:rsid w:val="003C7FA8"/>
    <w:rsid w:val="003D08B1"/>
    <w:rsid w:val="003D0BF1"/>
    <w:rsid w:val="003D0C0C"/>
    <w:rsid w:val="003D0DA8"/>
    <w:rsid w:val="003D0EE3"/>
    <w:rsid w:val="003D108C"/>
    <w:rsid w:val="003D11DD"/>
    <w:rsid w:val="003D15B7"/>
    <w:rsid w:val="003D1A71"/>
    <w:rsid w:val="003D1B30"/>
    <w:rsid w:val="003D2262"/>
    <w:rsid w:val="003D35DE"/>
    <w:rsid w:val="003D3AE1"/>
    <w:rsid w:val="003D3E23"/>
    <w:rsid w:val="003D46FB"/>
    <w:rsid w:val="003D55A3"/>
    <w:rsid w:val="003D6369"/>
    <w:rsid w:val="003D64A0"/>
    <w:rsid w:val="003D64C9"/>
    <w:rsid w:val="003D6503"/>
    <w:rsid w:val="003D66FF"/>
    <w:rsid w:val="003D703E"/>
    <w:rsid w:val="003D79AC"/>
    <w:rsid w:val="003D7FE9"/>
    <w:rsid w:val="003E0330"/>
    <w:rsid w:val="003E0478"/>
    <w:rsid w:val="003E14B3"/>
    <w:rsid w:val="003E1EB1"/>
    <w:rsid w:val="003E2A09"/>
    <w:rsid w:val="003E2F7D"/>
    <w:rsid w:val="003E3271"/>
    <w:rsid w:val="003E3B5B"/>
    <w:rsid w:val="003E4CD3"/>
    <w:rsid w:val="003E5376"/>
    <w:rsid w:val="003E53E8"/>
    <w:rsid w:val="003E5642"/>
    <w:rsid w:val="003E586E"/>
    <w:rsid w:val="003E68EF"/>
    <w:rsid w:val="003E7194"/>
    <w:rsid w:val="003E73E3"/>
    <w:rsid w:val="003E76E3"/>
    <w:rsid w:val="003E7EBB"/>
    <w:rsid w:val="003ECC92"/>
    <w:rsid w:val="003F014E"/>
    <w:rsid w:val="003F03E3"/>
    <w:rsid w:val="003F06F5"/>
    <w:rsid w:val="003F0990"/>
    <w:rsid w:val="003F1C01"/>
    <w:rsid w:val="003F1EA0"/>
    <w:rsid w:val="003F21EE"/>
    <w:rsid w:val="003F2DD0"/>
    <w:rsid w:val="003F2ED9"/>
    <w:rsid w:val="003F32A1"/>
    <w:rsid w:val="003F3669"/>
    <w:rsid w:val="003F3BF9"/>
    <w:rsid w:val="003F4296"/>
    <w:rsid w:val="003F49BF"/>
    <w:rsid w:val="003F4F42"/>
    <w:rsid w:val="003F4FC1"/>
    <w:rsid w:val="003F59AC"/>
    <w:rsid w:val="003F6164"/>
    <w:rsid w:val="003F6BD4"/>
    <w:rsid w:val="003F6EBB"/>
    <w:rsid w:val="003F7119"/>
    <w:rsid w:val="003F7CA6"/>
    <w:rsid w:val="00400245"/>
    <w:rsid w:val="004006D9"/>
    <w:rsid w:val="004010C6"/>
    <w:rsid w:val="00401197"/>
    <w:rsid w:val="00401838"/>
    <w:rsid w:val="004018D1"/>
    <w:rsid w:val="0040236F"/>
    <w:rsid w:val="0040260A"/>
    <w:rsid w:val="004026BD"/>
    <w:rsid w:val="004027E0"/>
    <w:rsid w:val="004035FA"/>
    <w:rsid w:val="004042FF"/>
    <w:rsid w:val="00405C3F"/>
    <w:rsid w:val="004063FE"/>
    <w:rsid w:val="00406910"/>
    <w:rsid w:val="00406C13"/>
    <w:rsid w:val="00406D94"/>
    <w:rsid w:val="00406E76"/>
    <w:rsid w:val="00406EDD"/>
    <w:rsid w:val="004072FC"/>
    <w:rsid w:val="004073F0"/>
    <w:rsid w:val="004078BA"/>
    <w:rsid w:val="004078EA"/>
    <w:rsid w:val="0040797F"/>
    <w:rsid w:val="00410125"/>
    <w:rsid w:val="00410560"/>
    <w:rsid w:val="00410641"/>
    <w:rsid w:val="00410D86"/>
    <w:rsid w:val="004111B5"/>
    <w:rsid w:val="00411AB5"/>
    <w:rsid w:val="004120CD"/>
    <w:rsid w:val="00412500"/>
    <w:rsid w:val="004128DC"/>
    <w:rsid w:val="004129AA"/>
    <w:rsid w:val="00412E3A"/>
    <w:rsid w:val="00413A1F"/>
    <w:rsid w:val="00413D61"/>
    <w:rsid w:val="00413DE2"/>
    <w:rsid w:val="00413EAE"/>
    <w:rsid w:val="0041457C"/>
    <w:rsid w:val="00414ACA"/>
    <w:rsid w:val="00414B0B"/>
    <w:rsid w:val="00414B3B"/>
    <w:rsid w:val="00415048"/>
    <w:rsid w:val="0041514C"/>
    <w:rsid w:val="004153BE"/>
    <w:rsid w:val="004156AB"/>
    <w:rsid w:val="00415FC4"/>
    <w:rsid w:val="004165C3"/>
    <w:rsid w:val="00416B97"/>
    <w:rsid w:val="00416DB7"/>
    <w:rsid w:val="00417817"/>
    <w:rsid w:val="0041784C"/>
    <w:rsid w:val="004179E3"/>
    <w:rsid w:val="00420193"/>
    <w:rsid w:val="00420902"/>
    <w:rsid w:val="00421D4D"/>
    <w:rsid w:val="00421D86"/>
    <w:rsid w:val="00421FD0"/>
    <w:rsid w:val="00422229"/>
    <w:rsid w:val="004231CA"/>
    <w:rsid w:val="004232F7"/>
    <w:rsid w:val="00423483"/>
    <w:rsid w:val="0042361D"/>
    <w:rsid w:val="00423777"/>
    <w:rsid w:val="0042392E"/>
    <w:rsid w:val="00423C92"/>
    <w:rsid w:val="00423FC6"/>
    <w:rsid w:val="00424F34"/>
    <w:rsid w:val="0042647C"/>
    <w:rsid w:val="00426EFD"/>
    <w:rsid w:val="00427067"/>
    <w:rsid w:val="004300D1"/>
    <w:rsid w:val="004307E8"/>
    <w:rsid w:val="00430CB6"/>
    <w:rsid w:val="00431A2C"/>
    <w:rsid w:val="00431FCF"/>
    <w:rsid w:val="00432456"/>
    <w:rsid w:val="0043251E"/>
    <w:rsid w:val="00432A30"/>
    <w:rsid w:val="004335A0"/>
    <w:rsid w:val="00433A76"/>
    <w:rsid w:val="00433EC7"/>
    <w:rsid w:val="004341E9"/>
    <w:rsid w:val="00434D4A"/>
    <w:rsid w:val="00435362"/>
    <w:rsid w:val="0043611F"/>
    <w:rsid w:val="00436FD8"/>
    <w:rsid w:val="0043754F"/>
    <w:rsid w:val="004376AC"/>
    <w:rsid w:val="00437767"/>
    <w:rsid w:val="00437962"/>
    <w:rsid w:val="00437F2D"/>
    <w:rsid w:val="00437FF1"/>
    <w:rsid w:val="00440188"/>
    <w:rsid w:val="00440445"/>
    <w:rsid w:val="00440EF3"/>
    <w:rsid w:val="004412C8"/>
    <w:rsid w:val="0044135E"/>
    <w:rsid w:val="00441BAA"/>
    <w:rsid w:val="00442FCE"/>
    <w:rsid w:val="00443299"/>
    <w:rsid w:val="004435B2"/>
    <w:rsid w:val="0044371D"/>
    <w:rsid w:val="00443791"/>
    <w:rsid w:val="004444FC"/>
    <w:rsid w:val="00445867"/>
    <w:rsid w:val="004465AB"/>
    <w:rsid w:val="00446827"/>
    <w:rsid w:val="00446905"/>
    <w:rsid w:val="004476F6"/>
    <w:rsid w:val="0044788C"/>
    <w:rsid w:val="00447B44"/>
    <w:rsid w:val="0045016F"/>
    <w:rsid w:val="00450A4C"/>
    <w:rsid w:val="00450C00"/>
    <w:rsid w:val="00450F0A"/>
    <w:rsid w:val="00451151"/>
    <w:rsid w:val="0045132E"/>
    <w:rsid w:val="0045146B"/>
    <w:rsid w:val="00451B40"/>
    <w:rsid w:val="00451BA0"/>
    <w:rsid w:val="00451BC5"/>
    <w:rsid w:val="00451C46"/>
    <w:rsid w:val="004523AC"/>
    <w:rsid w:val="004527CD"/>
    <w:rsid w:val="00453431"/>
    <w:rsid w:val="00453670"/>
    <w:rsid w:val="00453943"/>
    <w:rsid w:val="00453C20"/>
    <w:rsid w:val="00454AFB"/>
    <w:rsid w:val="00454B9C"/>
    <w:rsid w:val="00454E7F"/>
    <w:rsid w:val="00454FB3"/>
    <w:rsid w:val="00455B2B"/>
    <w:rsid w:val="00455DF8"/>
    <w:rsid w:val="004569CC"/>
    <w:rsid w:val="0045757B"/>
    <w:rsid w:val="00457834"/>
    <w:rsid w:val="00460000"/>
    <w:rsid w:val="00460414"/>
    <w:rsid w:val="004612D8"/>
    <w:rsid w:val="00461E27"/>
    <w:rsid w:val="004628C6"/>
    <w:rsid w:val="00462CA7"/>
    <w:rsid w:val="00462E7A"/>
    <w:rsid w:val="00463068"/>
    <w:rsid w:val="004630BA"/>
    <w:rsid w:val="004631E9"/>
    <w:rsid w:val="0046388D"/>
    <w:rsid w:val="0046394A"/>
    <w:rsid w:val="00463D25"/>
    <w:rsid w:val="00463DB0"/>
    <w:rsid w:val="0046448C"/>
    <w:rsid w:val="00464540"/>
    <w:rsid w:val="00464B30"/>
    <w:rsid w:val="0046533B"/>
    <w:rsid w:val="004654B7"/>
    <w:rsid w:val="00465E29"/>
    <w:rsid w:val="004669B5"/>
    <w:rsid w:val="00466BE1"/>
    <w:rsid w:val="004671FE"/>
    <w:rsid w:val="004672AE"/>
    <w:rsid w:val="00467441"/>
    <w:rsid w:val="00467EDC"/>
    <w:rsid w:val="004700A4"/>
    <w:rsid w:val="00470766"/>
    <w:rsid w:val="00472FEC"/>
    <w:rsid w:val="0047334E"/>
    <w:rsid w:val="00473516"/>
    <w:rsid w:val="00473790"/>
    <w:rsid w:val="0047386C"/>
    <w:rsid w:val="00473B15"/>
    <w:rsid w:val="00473B3E"/>
    <w:rsid w:val="00473C81"/>
    <w:rsid w:val="0047423B"/>
    <w:rsid w:val="004742C8"/>
    <w:rsid w:val="0047433D"/>
    <w:rsid w:val="00474D4F"/>
    <w:rsid w:val="00474DFE"/>
    <w:rsid w:val="00475E67"/>
    <w:rsid w:val="0047631C"/>
    <w:rsid w:val="004764FF"/>
    <w:rsid w:val="004765AB"/>
    <w:rsid w:val="004771E6"/>
    <w:rsid w:val="00480403"/>
    <w:rsid w:val="00480B67"/>
    <w:rsid w:val="00481438"/>
    <w:rsid w:val="00481DAE"/>
    <w:rsid w:val="0048242C"/>
    <w:rsid w:val="00482922"/>
    <w:rsid w:val="00482EF0"/>
    <w:rsid w:val="00483077"/>
    <w:rsid w:val="0048314D"/>
    <w:rsid w:val="00484017"/>
    <w:rsid w:val="0048404F"/>
    <w:rsid w:val="0048442F"/>
    <w:rsid w:val="004860FD"/>
    <w:rsid w:val="0048682B"/>
    <w:rsid w:val="00486A4A"/>
    <w:rsid w:val="0048702D"/>
    <w:rsid w:val="004901CF"/>
    <w:rsid w:val="00490354"/>
    <w:rsid w:val="004906F7"/>
    <w:rsid w:val="00490D4C"/>
    <w:rsid w:val="00491E18"/>
    <w:rsid w:val="004920F7"/>
    <w:rsid w:val="0049232B"/>
    <w:rsid w:val="004923B3"/>
    <w:rsid w:val="00492F0C"/>
    <w:rsid w:val="004930B8"/>
    <w:rsid w:val="00494D89"/>
    <w:rsid w:val="0049571E"/>
    <w:rsid w:val="00495E93"/>
    <w:rsid w:val="00497AD0"/>
    <w:rsid w:val="004A03E1"/>
    <w:rsid w:val="004A0651"/>
    <w:rsid w:val="004A0BE5"/>
    <w:rsid w:val="004A0CF1"/>
    <w:rsid w:val="004A180A"/>
    <w:rsid w:val="004A18D1"/>
    <w:rsid w:val="004A1C60"/>
    <w:rsid w:val="004A27B9"/>
    <w:rsid w:val="004A2C71"/>
    <w:rsid w:val="004A32A7"/>
    <w:rsid w:val="004A406C"/>
    <w:rsid w:val="004A408B"/>
    <w:rsid w:val="004A44E0"/>
    <w:rsid w:val="004A48AB"/>
    <w:rsid w:val="004A4DCC"/>
    <w:rsid w:val="004A5630"/>
    <w:rsid w:val="004A5AA0"/>
    <w:rsid w:val="004A5DF8"/>
    <w:rsid w:val="004A5F94"/>
    <w:rsid w:val="004A63F5"/>
    <w:rsid w:val="004A66BE"/>
    <w:rsid w:val="004A755F"/>
    <w:rsid w:val="004A76F1"/>
    <w:rsid w:val="004A7ED8"/>
    <w:rsid w:val="004B00E0"/>
    <w:rsid w:val="004B075B"/>
    <w:rsid w:val="004B11B9"/>
    <w:rsid w:val="004B1ED9"/>
    <w:rsid w:val="004B20DD"/>
    <w:rsid w:val="004B23EC"/>
    <w:rsid w:val="004B25D6"/>
    <w:rsid w:val="004B2A8C"/>
    <w:rsid w:val="004B38E4"/>
    <w:rsid w:val="004B4477"/>
    <w:rsid w:val="004B4780"/>
    <w:rsid w:val="004B4994"/>
    <w:rsid w:val="004B4CED"/>
    <w:rsid w:val="004B5349"/>
    <w:rsid w:val="004B55E5"/>
    <w:rsid w:val="004B62EC"/>
    <w:rsid w:val="004B6708"/>
    <w:rsid w:val="004B6A96"/>
    <w:rsid w:val="004B7521"/>
    <w:rsid w:val="004B7964"/>
    <w:rsid w:val="004C0197"/>
    <w:rsid w:val="004C0D08"/>
    <w:rsid w:val="004C1D1B"/>
    <w:rsid w:val="004C1E8D"/>
    <w:rsid w:val="004C256B"/>
    <w:rsid w:val="004C296F"/>
    <w:rsid w:val="004C2AE6"/>
    <w:rsid w:val="004C2E39"/>
    <w:rsid w:val="004C3274"/>
    <w:rsid w:val="004C33DC"/>
    <w:rsid w:val="004C3BB1"/>
    <w:rsid w:val="004C406B"/>
    <w:rsid w:val="004C40C4"/>
    <w:rsid w:val="004C45BA"/>
    <w:rsid w:val="004C4825"/>
    <w:rsid w:val="004C4CFB"/>
    <w:rsid w:val="004C5211"/>
    <w:rsid w:val="004C5511"/>
    <w:rsid w:val="004C5A79"/>
    <w:rsid w:val="004C644B"/>
    <w:rsid w:val="004C6C2C"/>
    <w:rsid w:val="004C6ED3"/>
    <w:rsid w:val="004C7505"/>
    <w:rsid w:val="004C76C1"/>
    <w:rsid w:val="004C79EC"/>
    <w:rsid w:val="004D0313"/>
    <w:rsid w:val="004D0B7F"/>
    <w:rsid w:val="004D0E58"/>
    <w:rsid w:val="004D10CD"/>
    <w:rsid w:val="004D17B0"/>
    <w:rsid w:val="004D1A00"/>
    <w:rsid w:val="004D1DC4"/>
    <w:rsid w:val="004D2451"/>
    <w:rsid w:val="004D25EE"/>
    <w:rsid w:val="004D28FC"/>
    <w:rsid w:val="004D3B7E"/>
    <w:rsid w:val="004D4EAC"/>
    <w:rsid w:val="004D5C4B"/>
    <w:rsid w:val="004D5DD7"/>
    <w:rsid w:val="004D655B"/>
    <w:rsid w:val="004D6E9E"/>
    <w:rsid w:val="004D6F38"/>
    <w:rsid w:val="004D76B4"/>
    <w:rsid w:val="004D7A37"/>
    <w:rsid w:val="004D7B6E"/>
    <w:rsid w:val="004D7BBA"/>
    <w:rsid w:val="004D7EAF"/>
    <w:rsid w:val="004E032B"/>
    <w:rsid w:val="004E04A7"/>
    <w:rsid w:val="004E10A1"/>
    <w:rsid w:val="004E13C0"/>
    <w:rsid w:val="004E1416"/>
    <w:rsid w:val="004E144B"/>
    <w:rsid w:val="004E146C"/>
    <w:rsid w:val="004E1900"/>
    <w:rsid w:val="004E1984"/>
    <w:rsid w:val="004E214A"/>
    <w:rsid w:val="004E2A1D"/>
    <w:rsid w:val="004E3104"/>
    <w:rsid w:val="004E3B00"/>
    <w:rsid w:val="004E44EC"/>
    <w:rsid w:val="004E4A61"/>
    <w:rsid w:val="004E507E"/>
    <w:rsid w:val="004E5D54"/>
    <w:rsid w:val="004E6105"/>
    <w:rsid w:val="004E644C"/>
    <w:rsid w:val="004E6794"/>
    <w:rsid w:val="004E6977"/>
    <w:rsid w:val="004E6BD1"/>
    <w:rsid w:val="004E723E"/>
    <w:rsid w:val="004E7A3F"/>
    <w:rsid w:val="004F060E"/>
    <w:rsid w:val="004F1EE3"/>
    <w:rsid w:val="004F1F9A"/>
    <w:rsid w:val="004F1FD4"/>
    <w:rsid w:val="004F24CC"/>
    <w:rsid w:val="004F2600"/>
    <w:rsid w:val="004F364C"/>
    <w:rsid w:val="004F3C9A"/>
    <w:rsid w:val="004F3D3C"/>
    <w:rsid w:val="004F4E4B"/>
    <w:rsid w:val="004F561F"/>
    <w:rsid w:val="004F5815"/>
    <w:rsid w:val="004F601B"/>
    <w:rsid w:val="004F611F"/>
    <w:rsid w:val="004F673D"/>
    <w:rsid w:val="004F6759"/>
    <w:rsid w:val="004F67C1"/>
    <w:rsid w:val="004F67F3"/>
    <w:rsid w:val="004F750F"/>
    <w:rsid w:val="004F796C"/>
    <w:rsid w:val="004F799F"/>
    <w:rsid w:val="004F7AB8"/>
    <w:rsid w:val="004F7EB5"/>
    <w:rsid w:val="00500BED"/>
    <w:rsid w:val="00500F14"/>
    <w:rsid w:val="005010E4"/>
    <w:rsid w:val="005013F1"/>
    <w:rsid w:val="00502A12"/>
    <w:rsid w:val="00502F25"/>
    <w:rsid w:val="0050373F"/>
    <w:rsid w:val="00503ADE"/>
    <w:rsid w:val="00504AC1"/>
    <w:rsid w:val="0050546C"/>
    <w:rsid w:val="005055AF"/>
    <w:rsid w:val="005056CC"/>
    <w:rsid w:val="00505D27"/>
    <w:rsid w:val="00506772"/>
    <w:rsid w:val="00506B0B"/>
    <w:rsid w:val="00506CEE"/>
    <w:rsid w:val="005077E0"/>
    <w:rsid w:val="005101C7"/>
    <w:rsid w:val="0051130A"/>
    <w:rsid w:val="00511A8C"/>
    <w:rsid w:val="00511B4C"/>
    <w:rsid w:val="005133D2"/>
    <w:rsid w:val="00513B17"/>
    <w:rsid w:val="00514066"/>
    <w:rsid w:val="005140F3"/>
    <w:rsid w:val="00514111"/>
    <w:rsid w:val="005145CC"/>
    <w:rsid w:val="00514EEF"/>
    <w:rsid w:val="00514F55"/>
    <w:rsid w:val="00517685"/>
    <w:rsid w:val="00517C00"/>
    <w:rsid w:val="00517F80"/>
    <w:rsid w:val="0052104E"/>
    <w:rsid w:val="00521BD2"/>
    <w:rsid w:val="0052234D"/>
    <w:rsid w:val="00522A38"/>
    <w:rsid w:val="00522CC6"/>
    <w:rsid w:val="00522EE4"/>
    <w:rsid w:val="00523323"/>
    <w:rsid w:val="005243C5"/>
    <w:rsid w:val="005247FA"/>
    <w:rsid w:val="00524D29"/>
    <w:rsid w:val="00524E16"/>
    <w:rsid w:val="0052526E"/>
    <w:rsid w:val="00525B5F"/>
    <w:rsid w:val="00525D63"/>
    <w:rsid w:val="00525F79"/>
    <w:rsid w:val="00526514"/>
    <w:rsid w:val="00526669"/>
    <w:rsid w:val="00527353"/>
    <w:rsid w:val="005277DD"/>
    <w:rsid w:val="005301A4"/>
    <w:rsid w:val="00530571"/>
    <w:rsid w:val="0053061D"/>
    <w:rsid w:val="00531B41"/>
    <w:rsid w:val="00531D6E"/>
    <w:rsid w:val="0053264B"/>
    <w:rsid w:val="00532F31"/>
    <w:rsid w:val="00533B66"/>
    <w:rsid w:val="0053485E"/>
    <w:rsid w:val="00534F43"/>
    <w:rsid w:val="005350AE"/>
    <w:rsid w:val="0053514E"/>
    <w:rsid w:val="005351C1"/>
    <w:rsid w:val="00535AEB"/>
    <w:rsid w:val="00535FE0"/>
    <w:rsid w:val="00536B39"/>
    <w:rsid w:val="005373CD"/>
    <w:rsid w:val="00537658"/>
    <w:rsid w:val="005379B5"/>
    <w:rsid w:val="00537FAC"/>
    <w:rsid w:val="0054016E"/>
    <w:rsid w:val="0054019D"/>
    <w:rsid w:val="0054073E"/>
    <w:rsid w:val="00540CF1"/>
    <w:rsid w:val="0054282B"/>
    <w:rsid w:val="00542B76"/>
    <w:rsid w:val="005430E4"/>
    <w:rsid w:val="00543C2C"/>
    <w:rsid w:val="005451C0"/>
    <w:rsid w:val="005452A3"/>
    <w:rsid w:val="00545347"/>
    <w:rsid w:val="00545401"/>
    <w:rsid w:val="00545404"/>
    <w:rsid w:val="00545611"/>
    <w:rsid w:val="00545DA9"/>
    <w:rsid w:val="005461C8"/>
    <w:rsid w:val="005464E5"/>
    <w:rsid w:val="00546AE5"/>
    <w:rsid w:val="00546B97"/>
    <w:rsid w:val="00546DF9"/>
    <w:rsid w:val="00546F21"/>
    <w:rsid w:val="0054726B"/>
    <w:rsid w:val="00547EDF"/>
    <w:rsid w:val="005504E3"/>
    <w:rsid w:val="005508EF"/>
    <w:rsid w:val="00550952"/>
    <w:rsid w:val="005510D1"/>
    <w:rsid w:val="00551564"/>
    <w:rsid w:val="00551AFB"/>
    <w:rsid w:val="00552896"/>
    <w:rsid w:val="00553B79"/>
    <w:rsid w:val="005541ED"/>
    <w:rsid w:val="0055434B"/>
    <w:rsid w:val="00554CE1"/>
    <w:rsid w:val="00554E6A"/>
    <w:rsid w:val="005556E1"/>
    <w:rsid w:val="00555CF4"/>
    <w:rsid w:val="0055622A"/>
    <w:rsid w:val="005570A4"/>
    <w:rsid w:val="005574BB"/>
    <w:rsid w:val="00557580"/>
    <w:rsid w:val="00557DFC"/>
    <w:rsid w:val="00557F4C"/>
    <w:rsid w:val="00560512"/>
    <w:rsid w:val="00560D34"/>
    <w:rsid w:val="00561179"/>
    <w:rsid w:val="00561632"/>
    <w:rsid w:val="00562769"/>
    <w:rsid w:val="00562C8A"/>
    <w:rsid w:val="00562E27"/>
    <w:rsid w:val="00563279"/>
    <w:rsid w:val="00563936"/>
    <w:rsid w:val="0056468A"/>
    <w:rsid w:val="00564E8C"/>
    <w:rsid w:val="00564F8E"/>
    <w:rsid w:val="005654EF"/>
    <w:rsid w:val="0056568A"/>
    <w:rsid w:val="0056587C"/>
    <w:rsid w:val="00565B01"/>
    <w:rsid w:val="00566251"/>
    <w:rsid w:val="00566790"/>
    <w:rsid w:val="00567255"/>
    <w:rsid w:val="0056742F"/>
    <w:rsid w:val="005676D2"/>
    <w:rsid w:val="00567CC2"/>
    <w:rsid w:val="00570C64"/>
    <w:rsid w:val="0057128E"/>
    <w:rsid w:val="00571C10"/>
    <w:rsid w:val="00572290"/>
    <w:rsid w:val="00572B82"/>
    <w:rsid w:val="00572CC6"/>
    <w:rsid w:val="00572F71"/>
    <w:rsid w:val="00573836"/>
    <w:rsid w:val="00573A09"/>
    <w:rsid w:val="00574C63"/>
    <w:rsid w:val="0057622A"/>
    <w:rsid w:val="005767FA"/>
    <w:rsid w:val="00576FCD"/>
    <w:rsid w:val="0057715C"/>
    <w:rsid w:val="005772DC"/>
    <w:rsid w:val="00577999"/>
    <w:rsid w:val="0058053B"/>
    <w:rsid w:val="0058065D"/>
    <w:rsid w:val="00580CD2"/>
    <w:rsid w:val="00580E53"/>
    <w:rsid w:val="00580EF1"/>
    <w:rsid w:val="005818F3"/>
    <w:rsid w:val="005821DF"/>
    <w:rsid w:val="0058259F"/>
    <w:rsid w:val="00583439"/>
    <w:rsid w:val="00583A4A"/>
    <w:rsid w:val="00583C8C"/>
    <w:rsid w:val="00583D51"/>
    <w:rsid w:val="00583D85"/>
    <w:rsid w:val="005842EB"/>
    <w:rsid w:val="0058447E"/>
    <w:rsid w:val="005844A6"/>
    <w:rsid w:val="00584C03"/>
    <w:rsid w:val="005859AF"/>
    <w:rsid w:val="00585E0F"/>
    <w:rsid w:val="0058689C"/>
    <w:rsid w:val="00586E51"/>
    <w:rsid w:val="0058725B"/>
    <w:rsid w:val="0058736D"/>
    <w:rsid w:val="00587A7F"/>
    <w:rsid w:val="00591BDA"/>
    <w:rsid w:val="00592BB8"/>
    <w:rsid w:val="00592C2D"/>
    <w:rsid w:val="00593543"/>
    <w:rsid w:val="0059399C"/>
    <w:rsid w:val="00593A13"/>
    <w:rsid w:val="00593D51"/>
    <w:rsid w:val="00594294"/>
    <w:rsid w:val="005945A8"/>
    <w:rsid w:val="00594A6F"/>
    <w:rsid w:val="00594FFF"/>
    <w:rsid w:val="00595833"/>
    <w:rsid w:val="0059599C"/>
    <w:rsid w:val="0059612B"/>
    <w:rsid w:val="00596230"/>
    <w:rsid w:val="0059649D"/>
    <w:rsid w:val="00596E49"/>
    <w:rsid w:val="00597514"/>
    <w:rsid w:val="005978B9"/>
    <w:rsid w:val="005979EF"/>
    <w:rsid w:val="00597AAD"/>
    <w:rsid w:val="00597D71"/>
    <w:rsid w:val="005A0053"/>
    <w:rsid w:val="005A0178"/>
    <w:rsid w:val="005A0447"/>
    <w:rsid w:val="005A077B"/>
    <w:rsid w:val="005A11F2"/>
    <w:rsid w:val="005A131F"/>
    <w:rsid w:val="005A1509"/>
    <w:rsid w:val="005A1EA9"/>
    <w:rsid w:val="005A297E"/>
    <w:rsid w:val="005A3067"/>
    <w:rsid w:val="005A3DF5"/>
    <w:rsid w:val="005A4008"/>
    <w:rsid w:val="005A40BB"/>
    <w:rsid w:val="005A43BF"/>
    <w:rsid w:val="005A4BAB"/>
    <w:rsid w:val="005A4C78"/>
    <w:rsid w:val="005A58C5"/>
    <w:rsid w:val="005A5D4A"/>
    <w:rsid w:val="005A5F41"/>
    <w:rsid w:val="005A61B6"/>
    <w:rsid w:val="005A6791"/>
    <w:rsid w:val="005A702F"/>
    <w:rsid w:val="005A7202"/>
    <w:rsid w:val="005A7311"/>
    <w:rsid w:val="005A742A"/>
    <w:rsid w:val="005A795E"/>
    <w:rsid w:val="005B05AB"/>
    <w:rsid w:val="005B066D"/>
    <w:rsid w:val="005B0DB5"/>
    <w:rsid w:val="005B206F"/>
    <w:rsid w:val="005B256E"/>
    <w:rsid w:val="005B30A5"/>
    <w:rsid w:val="005B3104"/>
    <w:rsid w:val="005B33FC"/>
    <w:rsid w:val="005B42B8"/>
    <w:rsid w:val="005B43C4"/>
    <w:rsid w:val="005B43E4"/>
    <w:rsid w:val="005B482B"/>
    <w:rsid w:val="005B4ED0"/>
    <w:rsid w:val="005B52C6"/>
    <w:rsid w:val="005B56CF"/>
    <w:rsid w:val="005B5958"/>
    <w:rsid w:val="005B5AE5"/>
    <w:rsid w:val="005B5F91"/>
    <w:rsid w:val="005B6905"/>
    <w:rsid w:val="005B6C16"/>
    <w:rsid w:val="005B73B7"/>
    <w:rsid w:val="005B75DF"/>
    <w:rsid w:val="005B7F01"/>
    <w:rsid w:val="005C0668"/>
    <w:rsid w:val="005C12F2"/>
    <w:rsid w:val="005C15E7"/>
    <w:rsid w:val="005C2018"/>
    <w:rsid w:val="005C3259"/>
    <w:rsid w:val="005C3613"/>
    <w:rsid w:val="005C3638"/>
    <w:rsid w:val="005C3A62"/>
    <w:rsid w:val="005C3F9D"/>
    <w:rsid w:val="005C4C76"/>
    <w:rsid w:val="005C4E01"/>
    <w:rsid w:val="005C5836"/>
    <w:rsid w:val="005C5DC2"/>
    <w:rsid w:val="005C5EC4"/>
    <w:rsid w:val="005C5EE2"/>
    <w:rsid w:val="005D00D4"/>
    <w:rsid w:val="005D0A11"/>
    <w:rsid w:val="005D124A"/>
    <w:rsid w:val="005D175F"/>
    <w:rsid w:val="005D1E58"/>
    <w:rsid w:val="005D1E78"/>
    <w:rsid w:val="005D20E0"/>
    <w:rsid w:val="005D2D17"/>
    <w:rsid w:val="005D2D7E"/>
    <w:rsid w:val="005D3105"/>
    <w:rsid w:val="005D313F"/>
    <w:rsid w:val="005D3410"/>
    <w:rsid w:val="005D3781"/>
    <w:rsid w:val="005D37E4"/>
    <w:rsid w:val="005D38B2"/>
    <w:rsid w:val="005D43AD"/>
    <w:rsid w:val="005D4AA9"/>
    <w:rsid w:val="005D4C28"/>
    <w:rsid w:val="005D4EAD"/>
    <w:rsid w:val="005D52E5"/>
    <w:rsid w:val="005D54F9"/>
    <w:rsid w:val="005D56E5"/>
    <w:rsid w:val="005D5D69"/>
    <w:rsid w:val="005D6556"/>
    <w:rsid w:val="005D6720"/>
    <w:rsid w:val="005D6BF8"/>
    <w:rsid w:val="005D78F7"/>
    <w:rsid w:val="005D7CA4"/>
    <w:rsid w:val="005E0064"/>
    <w:rsid w:val="005E060A"/>
    <w:rsid w:val="005E0741"/>
    <w:rsid w:val="005E09FA"/>
    <w:rsid w:val="005E0EDC"/>
    <w:rsid w:val="005E1620"/>
    <w:rsid w:val="005E16C5"/>
    <w:rsid w:val="005E175B"/>
    <w:rsid w:val="005E1D2E"/>
    <w:rsid w:val="005E244D"/>
    <w:rsid w:val="005E24CB"/>
    <w:rsid w:val="005E2D97"/>
    <w:rsid w:val="005E3722"/>
    <w:rsid w:val="005E4026"/>
    <w:rsid w:val="005E4BD7"/>
    <w:rsid w:val="005E4D08"/>
    <w:rsid w:val="005E4DBC"/>
    <w:rsid w:val="005E4E6E"/>
    <w:rsid w:val="005E50F9"/>
    <w:rsid w:val="005E5C3E"/>
    <w:rsid w:val="005E60A0"/>
    <w:rsid w:val="005E62E3"/>
    <w:rsid w:val="005E79C2"/>
    <w:rsid w:val="005E7BDC"/>
    <w:rsid w:val="005E7C3A"/>
    <w:rsid w:val="005E7F9D"/>
    <w:rsid w:val="005E7FBF"/>
    <w:rsid w:val="005F06E5"/>
    <w:rsid w:val="005F0728"/>
    <w:rsid w:val="005F0CDE"/>
    <w:rsid w:val="005F124D"/>
    <w:rsid w:val="005F14E9"/>
    <w:rsid w:val="005F156D"/>
    <w:rsid w:val="005F1F32"/>
    <w:rsid w:val="005F2615"/>
    <w:rsid w:val="005F26BD"/>
    <w:rsid w:val="005F2A32"/>
    <w:rsid w:val="005F354D"/>
    <w:rsid w:val="005F3751"/>
    <w:rsid w:val="005F38EC"/>
    <w:rsid w:val="005F39EF"/>
    <w:rsid w:val="005F41A2"/>
    <w:rsid w:val="005F4353"/>
    <w:rsid w:val="005F469F"/>
    <w:rsid w:val="005F46B3"/>
    <w:rsid w:val="005F4830"/>
    <w:rsid w:val="005F4C53"/>
    <w:rsid w:val="005F54F9"/>
    <w:rsid w:val="005F5B33"/>
    <w:rsid w:val="005F5D04"/>
    <w:rsid w:val="005F625A"/>
    <w:rsid w:val="005F7463"/>
    <w:rsid w:val="005F7969"/>
    <w:rsid w:val="005F7AD7"/>
    <w:rsid w:val="005F7B1B"/>
    <w:rsid w:val="005F7D7B"/>
    <w:rsid w:val="00600603"/>
    <w:rsid w:val="006006EE"/>
    <w:rsid w:val="00601032"/>
    <w:rsid w:val="00601106"/>
    <w:rsid w:val="006014DC"/>
    <w:rsid w:val="006014FC"/>
    <w:rsid w:val="006015B7"/>
    <w:rsid w:val="00601843"/>
    <w:rsid w:val="00601927"/>
    <w:rsid w:val="006019D4"/>
    <w:rsid w:val="00602654"/>
    <w:rsid w:val="006035CB"/>
    <w:rsid w:val="00603E76"/>
    <w:rsid w:val="00603F5C"/>
    <w:rsid w:val="00604064"/>
    <w:rsid w:val="00604202"/>
    <w:rsid w:val="0060454A"/>
    <w:rsid w:val="0060515F"/>
    <w:rsid w:val="006056C8"/>
    <w:rsid w:val="006058D7"/>
    <w:rsid w:val="00605A5A"/>
    <w:rsid w:val="00605C84"/>
    <w:rsid w:val="00606CD9"/>
    <w:rsid w:val="006076D7"/>
    <w:rsid w:val="006100CD"/>
    <w:rsid w:val="00610419"/>
    <w:rsid w:val="006108F0"/>
    <w:rsid w:val="00610BCC"/>
    <w:rsid w:val="00611433"/>
    <w:rsid w:val="006114DE"/>
    <w:rsid w:val="00611926"/>
    <w:rsid w:val="00611C3B"/>
    <w:rsid w:val="006120F0"/>
    <w:rsid w:val="00612176"/>
    <w:rsid w:val="00612362"/>
    <w:rsid w:val="00612899"/>
    <w:rsid w:val="00612EBC"/>
    <w:rsid w:val="00613148"/>
    <w:rsid w:val="00613892"/>
    <w:rsid w:val="00613FE2"/>
    <w:rsid w:val="00613FED"/>
    <w:rsid w:val="00614693"/>
    <w:rsid w:val="00615149"/>
    <w:rsid w:val="0061563E"/>
    <w:rsid w:val="00615A65"/>
    <w:rsid w:val="00616934"/>
    <w:rsid w:val="006169AF"/>
    <w:rsid w:val="00616A05"/>
    <w:rsid w:val="00616A42"/>
    <w:rsid w:val="006178D3"/>
    <w:rsid w:val="00617C51"/>
    <w:rsid w:val="00617EFB"/>
    <w:rsid w:val="00621176"/>
    <w:rsid w:val="00621C5B"/>
    <w:rsid w:val="00621FFF"/>
    <w:rsid w:val="006224DA"/>
    <w:rsid w:val="00622B8F"/>
    <w:rsid w:val="00622C11"/>
    <w:rsid w:val="0062339A"/>
    <w:rsid w:val="0062437B"/>
    <w:rsid w:val="006246E4"/>
    <w:rsid w:val="006250B4"/>
    <w:rsid w:val="00625646"/>
    <w:rsid w:val="0062618A"/>
    <w:rsid w:val="00626494"/>
    <w:rsid w:val="006265D5"/>
    <w:rsid w:val="006265F2"/>
    <w:rsid w:val="006267F3"/>
    <w:rsid w:val="006268B2"/>
    <w:rsid w:val="00626BBF"/>
    <w:rsid w:val="00626FBC"/>
    <w:rsid w:val="006278FC"/>
    <w:rsid w:val="0062792E"/>
    <w:rsid w:val="00627E8C"/>
    <w:rsid w:val="00630A1D"/>
    <w:rsid w:val="00630B86"/>
    <w:rsid w:val="00630CE4"/>
    <w:rsid w:val="0063106E"/>
    <w:rsid w:val="006316AE"/>
    <w:rsid w:val="00631CB9"/>
    <w:rsid w:val="00631CF7"/>
    <w:rsid w:val="00632AD1"/>
    <w:rsid w:val="00632EEC"/>
    <w:rsid w:val="0063457B"/>
    <w:rsid w:val="0063539C"/>
    <w:rsid w:val="006356AC"/>
    <w:rsid w:val="0063673C"/>
    <w:rsid w:val="00636910"/>
    <w:rsid w:val="00637379"/>
    <w:rsid w:val="0063740F"/>
    <w:rsid w:val="006374CF"/>
    <w:rsid w:val="006375A8"/>
    <w:rsid w:val="00637B22"/>
    <w:rsid w:val="00640242"/>
    <w:rsid w:val="006402EB"/>
    <w:rsid w:val="00640B8E"/>
    <w:rsid w:val="00640BD9"/>
    <w:rsid w:val="00640F5D"/>
    <w:rsid w:val="006412DE"/>
    <w:rsid w:val="0064139A"/>
    <w:rsid w:val="00641DE3"/>
    <w:rsid w:val="00641EA8"/>
    <w:rsid w:val="006421AE"/>
    <w:rsid w:val="0064256E"/>
    <w:rsid w:val="00643082"/>
    <w:rsid w:val="00643463"/>
    <w:rsid w:val="00643DDB"/>
    <w:rsid w:val="006450AE"/>
    <w:rsid w:val="00645191"/>
    <w:rsid w:val="006454E6"/>
    <w:rsid w:val="006454FA"/>
    <w:rsid w:val="00645623"/>
    <w:rsid w:val="00645DD7"/>
    <w:rsid w:val="006478D5"/>
    <w:rsid w:val="00647D3B"/>
    <w:rsid w:val="00650381"/>
    <w:rsid w:val="006513C0"/>
    <w:rsid w:val="00651995"/>
    <w:rsid w:val="00651F90"/>
    <w:rsid w:val="006520AD"/>
    <w:rsid w:val="006529BF"/>
    <w:rsid w:val="00652EB9"/>
    <w:rsid w:val="00652FC8"/>
    <w:rsid w:val="00653272"/>
    <w:rsid w:val="006537A4"/>
    <w:rsid w:val="006539FB"/>
    <w:rsid w:val="00653E26"/>
    <w:rsid w:val="006540ED"/>
    <w:rsid w:val="00654402"/>
    <w:rsid w:val="0065464C"/>
    <w:rsid w:val="0065542C"/>
    <w:rsid w:val="006568A5"/>
    <w:rsid w:val="00656B17"/>
    <w:rsid w:val="00656CFF"/>
    <w:rsid w:val="006600A6"/>
    <w:rsid w:val="0066027D"/>
    <w:rsid w:val="006603FA"/>
    <w:rsid w:val="00660412"/>
    <w:rsid w:val="00660636"/>
    <w:rsid w:val="00660A27"/>
    <w:rsid w:val="00660B68"/>
    <w:rsid w:val="00660F9D"/>
    <w:rsid w:val="00661561"/>
    <w:rsid w:val="00661569"/>
    <w:rsid w:val="006618A7"/>
    <w:rsid w:val="00661F6E"/>
    <w:rsid w:val="00662C98"/>
    <w:rsid w:val="0066302B"/>
    <w:rsid w:val="0066318A"/>
    <w:rsid w:val="006631D6"/>
    <w:rsid w:val="006634C9"/>
    <w:rsid w:val="006641DD"/>
    <w:rsid w:val="00664336"/>
    <w:rsid w:val="00664830"/>
    <w:rsid w:val="00664A0D"/>
    <w:rsid w:val="00664D88"/>
    <w:rsid w:val="00664E33"/>
    <w:rsid w:val="0066535C"/>
    <w:rsid w:val="0066551A"/>
    <w:rsid w:val="0066569E"/>
    <w:rsid w:val="00665CA7"/>
    <w:rsid w:val="006662BF"/>
    <w:rsid w:val="0066676A"/>
    <w:rsid w:val="00666FD1"/>
    <w:rsid w:val="00667ADB"/>
    <w:rsid w:val="00667C68"/>
    <w:rsid w:val="00667D0C"/>
    <w:rsid w:val="006706BD"/>
    <w:rsid w:val="00670AED"/>
    <w:rsid w:val="00670BB1"/>
    <w:rsid w:val="00670D50"/>
    <w:rsid w:val="00670F31"/>
    <w:rsid w:val="00672F3D"/>
    <w:rsid w:val="0067318D"/>
    <w:rsid w:val="006749FD"/>
    <w:rsid w:val="00674F3E"/>
    <w:rsid w:val="0067643B"/>
    <w:rsid w:val="00676559"/>
    <w:rsid w:val="006765D8"/>
    <w:rsid w:val="006767A8"/>
    <w:rsid w:val="00676CF2"/>
    <w:rsid w:val="0067732E"/>
    <w:rsid w:val="006777CF"/>
    <w:rsid w:val="00677A57"/>
    <w:rsid w:val="00677D35"/>
    <w:rsid w:val="00680213"/>
    <w:rsid w:val="006816BD"/>
    <w:rsid w:val="0068227F"/>
    <w:rsid w:val="00682DB5"/>
    <w:rsid w:val="00682F2A"/>
    <w:rsid w:val="006836D3"/>
    <w:rsid w:val="00683C7A"/>
    <w:rsid w:val="00684002"/>
    <w:rsid w:val="00684300"/>
    <w:rsid w:val="0068430E"/>
    <w:rsid w:val="00684407"/>
    <w:rsid w:val="0068473A"/>
    <w:rsid w:val="006847CA"/>
    <w:rsid w:val="00684A43"/>
    <w:rsid w:val="00684C92"/>
    <w:rsid w:val="00684CF9"/>
    <w:rsid w:val="00684DAF"/>
    <w:rsid w:val="0068549A"/>
    <w:rsid w:val="00685760"/>
    <w:rsid w:val="00685BD2"/>
    <w:rsid w:val="00686327"/>
    <w:rsid w:val="00686447"/>
    <w:rsid w:val="006865F3"/>
    <w:rsid w:val="00686BC7"/>
    <w:rsid w:val="00687161"/>
    <w:rsid w:val="00687657"/>
    <w:rsid w:val="00687F8D"/>
    <w:rsid w:val="006902BC"/>
    <w:rsid w:val="00690DCF"/>
    <w:rsid w:val="00690E68"/>
    <w:rsid w:val="006917BD"/>
    <w:rsid w:val="006917BF"/>
    <w:rsid w:val="00691995"/>
    <w:rsid w:val="00691B16"/>
    <w:rsid w:val="00691D42"/>
    <w:rsid w:val="00692115"/>
    <w:rsid w:val="006925D6"/>
    <w:rsid w:val="00692E47"/>
    <w:rsid w:val="00693E5F"/>
    <w:rsid w:val="00694070"/>
    <w:rsid w:val="0069560B"/>
    <w:rsid w:val="00695A42"/>
    <w:rsid w:val="00697042"/>
    <w:rsid w:val="0069718B"/>
    <w:rsid w:val="0069724C"/>
    <w:rsid w:val="006A0521"/>
    <w:rsid w:val="006A0663"/>
    <w:rsid w:val="006A0DFB"/>
    <w:rsid w:val="006A1831"/>
    <w:rsid w:val="006A35FC"/>
    <w:rsid w:val="006A3D96"/>
    <w:rsid w:val="006A3E25"/>
    <w:rsid w:val="006A42E9"/>
    <w:rsid w:val="006A5370"/>
    <w:rsid w:val="006A5458"/>
    <w:rsid w:val="006A5711"/>
    <w:rsid w:val="006A64D4"/>
    <w:rsid w:val="006A6E71"/>
    <w:rsid w:val="006A74C4"/>
    <w:rsid w:val="006A7B3B"/>
    <w:rsid w:val="006A7D98"/>
    <w:rsid w:val="006B01E9"/>
    <w:rsid w:val="006B0240"/>
    <w:rsid w:val="006B0A55"/>
    <w:rsid w:val="006B1015"/>
    <w:rsid w:val="006B1ACF"/>
    <w:rsid w:val="006B1EC4"/>
    <w:rsid w:val="006B31EC"/>
    <w:rsid w:val="006B3784"/>
    <w:rsid w:val="006B4043"/>
    <w:rsid w:val="006B491C"/>
    <w:rsid w:val="006B4AB3"/>
    <w:rsid w:val="006B5113"/>
    <w:rsid w:val="006B5238"/>
    <w:rsid w:val="006B5561"/>
    <w:rsid w:val="006B55C7"/>
    <w:rsid w:val="006B5F67"/>
    <w:rsid w:val="006B6CC5"/>
    <w:rsid w:val="006C040E"/>
    <w:rsid w:val="006C07C1"/>
    <w:rsid w:val="006C0A8F"/>
    <w:rsid w:val="006C0B4C"/>
    <w:rsid w:val="006C1AE9"/>
    <w:rsid w:val="006C1BA6"/>
    <w:rsid w:val="006C1C2B"/>
    <w:rsid w:val="006C1C41"/>
    <w:rsid w:val="006C2708"/>
    <w:rsid w:val="006C2F04"/>
    <w:rsid w:val="006C3222"/>
    <w:rsid w:val="006C329C"/>
    <w:rsid w:val="006C513D"/>
    <w:rsid w:val="006C51F9"/>
    <w:rsid w:val="006C545F"/>
    <w:rsid w:val="006C673D"/>
    <w:rsid w:val="006C68B3"/>
    <w:rsid w:val="006C6B66"/>
    <w:rsid w:val="006C75A4"/>
    <w:rsid w:val="006C772F"/>
    <w:rsid w:val="006C7782"/>
    <w:rsid w:val="006D00E3"/>
    <w:rsid w:val="006D0E1D"/>
    <w:rsid w:val="006D1F6E"/>
    <w:rsid w:val="006D21FE"/>
    <w:rsid w:val="006D24DB"/>
    <w:rsid w:val="006D2CA2"/>
    <w:rsid w:val="006D36D5"/>
    <w:rsid w:val="006D3981"/>
    <w:rsid w:val="006D460E"/>
    <w:rsid w:val="006D4BEC"/>
    <w:rsid w:val="006D4E25"/>
    <w:rsid w:val="006D4F99"/>
    <w:rsid w:val="006D50D0"/>
    <w:rsid w:val="006D5198"/>
    <w:rsid w:val="006D5517"/>
    <w:rsid w:val="006D61A4"/>
    <w:rsid w:val="006D7A96"/>
    <w:rsid w:val="006E00D6"/>
    <w:rsid w:val="006E0C0A"/>
    <w:rsid w:val="006E1BAA"/>
    <w:rsid w:val="006E3EE8"/>
    <w:rsid w:val="006E41F4"/>
    <w:rsid w:val="006E4338"/>
    <w:rsid w:val="006E45B2"/>
    <w:rsid w:val="006E48F9"/>
    <w:rsid w:val="006E5DDD"/>
    <w:rsid w:val="006E61A9"/>
    <w:rsid w:val="006E65EC"/>
    <w:rsid w:val="006E6616"/>
    <w:rsid w:val="006E6FB9"/>
    <w:rsid w:val="006E72E9"/>
    <w:rsid w:val="006E7DDD"/>
    <w:rsid w:val="006E7DDE"/>
    <w:rsid w:val="006E7E1E"/>
    <w:rsid w:val="006F097A"/>
    <w:rsid w:val="006F09E9"/>
    <w:rsid w:val="006F0CF2"/>
    <w:rsid w:val="006F1077"/>
    <w:rsid w:val="006F138D"/>
    <w:rsid w:val="006F1960"/>
    <w:rsid w:val="006F1AFE"/>
    <w:rsid w:val="006F2207"/>
    <w:rsid w:val="006F2811"/>
    <w:rsid w:val="006F2850"/>
    <w:rsid w:val="006F361F"/>
    <w:rsid w:val="006F398A"/>
    <w:rsid w:val="006F445E"/>
    <w:rsid w:val="006F4849"/>
    <w:rsid w:val="006F51A1"/>
    <w:rsid w:val="006F565A"/>
    <w:rsid w:val="006F7044"/>
    <w:rsid w:val="006F7609"/>
    <w:rsid w:val="00701118"/>
    <w:rsid w:val="007013B7"/>
    <w:rsid w:val="00701A3A"/>
    <w:rsid w:val="00701CE9"/>
    <w:rsid w:val="007020EE"/>
    <w:rsid w:val="00702473"/>
    <w:rsid w:val="00703D53"/>
    <w:rsid w:val="0070408B"/>
    <w:rsid w:val="007041EB"/>
    <w:rsid w:val="007051FF"/>
    <w:rsid w:val="0070529B"/>
    <w:rsid w:val="00706052"/>
    <w:rsid w:val="00706FFC"/>
    <w:rsid w:val="00707EA9"/>
    <w:rsid w:val="00710839"/>
    <w:rsid w:val="00711429"/>
    <w:rsid w:val="007117E2"/>
    <w:rsid w:val="00711A50"/>
    <w:rsid w:val="00711A54"/>
    <w:rsid w:val="00711A99"/>
    <w:rsid w:val="00711ED4"/>
    <w:rsid w:val="0071210F"/>
    <w:rsid w:val="00712739"/>
    <w:rsid w:val="00713254"/>
    <w:rsid w:val="0071331A"/>
    <w:rsid w:val="00713819"/>
    <w:rsid w:val="00713A42"/>
    <w:rsid w:val="00713D2E"/>
    <w:rsid w:val="00713F60"/>
    <w:rsid w:val="007140FF"/>
    <w:rsid w:val="0071479E"/>
    <w:rsid w:val="00714CE0"/>
    <w:rsid w:val="00714DE3"/>
    <w:rsid w:val="0071590E"/>
    <w:rsid w:val="00715AA8"/>
    <w:rsid w:val="00715B74"/>
    <w:rsid w:val="00715D38"/>
    <w:rsid w:val="00715F1E"/>
    <w:rsid w:val="00715FCD"/>
    <w:rsid w:val="0071679C"/>
    <w:rsid w:val="007171B9"/>
    <w:rsid w:val="007202E1"/>
    <w:rsid w:val="00720365"/>
    <w:rsid w:val="0072051A"/>
    <w:rsid w:val="0072087B"/>
    <w:rsid w:val="00721281"/>
    <w:rsid w:val="0072240C"/>
    <w:rsid w:val="00722AAA"/>
    <w:rsid w:val="00723EA4"/>
    <w:rsid w:val="00724B25"/>
    <w:rsid w:val="00724BDA"/>
    <w:rsid w:val="00724ECE"/>
    <w:rsid w:val="007250A4"/>
    <w:rsid w:val="00725B36"/>
    <w:rsid w:val="00725DB1"/>
    <w:rsid w:val="00726202"/>
    <w:rsid w:val="007264C1"/>
    <w:rsid w:val="007267CC"/>
    <w:rsid w:val="00726844"/>
    <w:rsid w:val="00726E1A"/>
    <w:rsid w:val="007274F0"/>
    <w:rsid w:val="00727B35"/>
    <w:rsid w:val="00727E26"/>
    <w:rsid w:val="00730C4D"/>
    <w:rsid w:val="007319AE"/>
    <w:rsid w:val="00732074"/>
    <w:rsid w:val="007323D8"/>
    <w:rsid w:val="00732598"/>
    <w:rsid w:val="00732B56"/>
    <w:rsid w:val="00732C71"/>
    <w:rsid w:val="00732CE3"/>
    <w:rsid w:val="0073314B"/>
    <w:rsid w:val="00734220"/>
    <w:rsid w:val="007342C4"/>
    <w:rsid w:val="007347D8"/>
    <w:rsid w:val="00734C66"/>
    <w:rsid w:val="007354B1"/>
    <w:rsid w:val="00735892"/>
    <w:rsid w:val="00735A43"/>
    <w:rsid w:val="00735B3D"/>
    <w:rsid w:val="00735DC0"/>
    <w:rsid w:val="00736127"/>
    <w:rsid w:val="007361BE"/>
    <w:rsid w:val="00736390"/>
    <w:rsid w:val="00736C9B"/>
    <w:rsid w:val="00736DF0"/>
    <w:rsid w:val="00737029"/>
    <w:rsid w:val="00737534"/>
    <w:rsid w:val="00737DD9"/>
    <w:rsid w:val="00737F25"/>
    <w:rsid w:val="00740044"/>
    <w:rsid w:val="007406F3"/>
    <w:rsid w:val="00740C76"/>
    <w:rsid w:val="00740F4E"/>
    <w:rsid w:val="007410E1"/>
    <w:rsid w:val="00741A2E"/>
    <w:rsid w:val="007420AB"/>
    <w:rsid w:val="007425D4"/>
    <w:rsid w:val="00742A51"/>
    <w:rsid w:val="00743037"/>
    <w:rsid w:val="007431D1"/>
    <w:rsid w:val="00743A62"/>
    <w:rsid w:val="00743B80"/>
    <w:rsid w:val="00743D9A"/>
    <w:rsid w:val="007445CE"/>
    <w:rsid w:val="00744630"/>
    <w:rsid w:val="00744C00"/>
    <w:rsid w:val="007451AE"/>
    <w:rsid w:val="007453A3"/>
    <w:rsid w:val="007453F8"/>
    <w:rsid w:val="00745887"/>
    <w:rsid w:val="0074648D"/>
    <w:rsid w:val="007464B3"/>
    <w:rsid w:val="007467BB"/>
    <w:rsid w:val="00746E09"/>
    <w:rsid w:val="0074706C"/>
    <w:rsid w:val="007470F9"/>
    <w:rsid w:val="00747164"/>
    <w:rsid w:val="0074749F"/>
    <w:rsid w:val="0074775C"/>
    <w:rsid w:val="00747B06"/>
    <w:rsid w:val="00747E39"/>
    <w:rsid w:val="00750151"/>
    <w:rsid w:val="00750C80"/>
    <w:rsid w:val="00751FB6"/>
    <w:rsid w:val="007542F6"/>
    <w:rsid w:val="0075479C"/>
    <w:rsid w:val="00754E66"/>
    <w:rsid w:val="00754E6E"/>
    <w:rsid w:val="007564B3"/>
    <w:rsid w:val="007573E3"/>
    <w:rsid w:val="00757585"/>
    <w:rsid w:val="007612C6"/>
    <w:rsid w:val="00761502"/>
    <w:rsid w:val="00762D98"/>
    <w:rsid w:val="00763781"/>
    <w:rsid w:val="00763918"/>
    <w:rsid w:val="00763ECC"/>
    <w:rsid w:val="00764195"/>
    <w:rsid w:val="00764348"/>
    <w:rsid w:val="00764397"/>
    <w:rsid w:val="007644AE"/>
    <w:rsid w:val="007645C3"/>
    <w:rsid w:val="007646EE"/>
    <w:rsid w:val="00764E40"/>
    <w:rsid w:val="00765009"/>
    <w:rsid w:val="007650E5"/>
    <w:rsid w:val="0076513C"/>
    <w:rsid w:val="0076537F"/>
    <w:rsid w:val="00765974"/>
    <w:rsid w:val="007660A4"/>
    <w:rsid w:val="007704A4"/>
    <w:rsid w:val="007708D8"/>
    <w:rsid w:val="00770B90"/>
    <w:rsid w:val="00770DDB"/>
    <w:rsid w:val="00771F57"/>
    <w:rsid w:val="00772469"/>
    <w:rsid w:val="00772A08"/>
    <w:rsid w:val="00772FE1"/>
    <w:rsid w:val="00773397"/>
    <w:rsid w:val="007735CE"/>
    <w:rsid w:val="00774AA1"/>
    <w:rsid w:val="00774D94"/>
    <w:rsid w:val="00775827"/>
    <w:rsid w:val="00775D41"/>
    <w:rsid w:val="00776C08"/>
    <w:rsid w:val="00776ECA"/>
    <w:rsid w:val="007770FF"/>
    <w:rsid w:val="007776AB"/>
    <w:rsid w:val="00777B2A"/>
    <w:rsid w:val="00777C05"/>
    <w:rsid w:val="00780137"/>
    <w:rsid w:val="0078123B"/>
    <w:rsid w:val="00781526"/>
    <w:rsid w:val="00781557"/>
    <w:rsid w:val="0078158D"/>
    <w:rsid w:val="00781C7F"/>
    <w:rsid w:val="00782173"/>
    <w:rsid w:val="007821AA"/>
    <w:rsid w:val="007827A4"/>
    <w:rsid w:val="0078286F"/>
    <w:rsid w:val="00783388"/>
    <w:rsid w:val="00783B1F"/>
    <w:rsid w:val="00785A02"/>
    <w:rsid w:val="00785B13"/>
    <w:rsid w:val="00786ADC"/>
    <w:rsid w:val="00786F8D"/>
    <w:rsid w:val="00787A29"/>
    <w:rsid w:val="00787D46"/>
    <w:rsid w:val="00787F63"/>
    <w:rsid w:val="007905C6"/>
    <w:rsid w:val="00790FD6"/>
    <w:rsid w:val="00791DDB"/>
    <w:rsid w:val="00791FF7"/>
    <w:rsid w:val="00792262"/>
    <w:rsid w:val="00792557"/>
    <w:rsid w:val="00793B50"/>
    <w:rsid w:val="00793FE8"/>
    <w:rsid w:val="00794171"/>
    <w:rsid w:val="007943E5"/>
    <w:rsid w:val="007947CF"/>
    <w:rsid w:val="0079529B"/>
    <w:rsid w:val="007956B8"/>
    <w:rsid w:val="00795A34"/>
    <w:rsid w:val="00795B28"/>
    <w:rsid w:val="00795BA0"/>
    <w:rsid w:val="0079648F"/>
    <w:rsid w:val="00796609"/>
    <w:rsid w:val="0079700F"/>
    <w:rsid w:val="007A02F2"/>
    <w:rsid w:val="007A059D"/>
    <w:rsid w:val="007A14E4"/>
    <w:rsid w:val="007A1ACB"/>
    <w:rsid w:val="007A213B"/>
    <w:rsid w:val="007A2787"/>
    <w:rsid w:val="007A2CDC"/>
    <w:rsid w:val="007A2EB3"/>
    <w:rsid w:val="007A351B"/>
    <w:rsid w:val="007A3834"/>
    <w:rsid w:val="007A473F"/>
    <w:rsid w:val="007A4B7B"/>
    <w:rsid w:val="007A4D89"/>
    <w:rsid w:val="007A610A"/>
    <w:rsid w:val="007A61BC"/>
    <w:rsid w:val="007A6301"/>
    <w:rsid w:val="007A6C44"/>
    <w:rsid w:val="007A7205"/>
    <w:rsid w:val="007A766C"/>
    <w:rsid w:val="007A7881"/>
    <w:rsid w:val="007A7F4C"/>
    <w:rsid w:val="007B057D"/>
    <w:rsid w:val="007B0C54"/>
    <w:rsid w:val="007B0D02"/>
    <w:rsid w:val="007B0E2D"/>
    <w:rsid w:val="007B16C1"/>
    <w:rsid w:val="007B3426"/>
    <w:rsid w:val="007B372C"/>
    <w:rsid w:val="007B384E"/>
    <w:rsid w:val="007B3C82"/>
    <w:rsid w:val="007B4884"/>
    <w:rsid w:val="007B499D"/>
    <w:rsid w:val="007B4D67"/>
    <w:rsid w:val="007B4E7C"/>
    <w:rsid w:val="007B4F7B"/>
    <w:rsid w:val="007B5128"/>
    <w:rsid w:val="007B6537"/>
    <w:rsid w:val="007B6E49"/>
    <w:rsid w:val="007B6EF9"/>
    <w:rsid w:val="007B77FD"/>
    <w:rsid w:val="007B7BB9"/>
    <w:rsid w:val="007B7E7E"/>
    <w:rsid w:val="007C02FE"/>
    <w:rsid w:val="007C03B1"/>
    <w:rsid w:val="007C05E8"/>
    <w:rsid w:val="007C0748"/>
    <w:rsid w:val="007C0ACA"/>
    <w:rsid w:val="007C1144"/>
    <w:rsid w:val="007C1DCC"/>
    <w:rsid w:val="007C22CA"/>
    <w:rsid w:val="007C2710"/>
    <w:rsid w:val="007C32DF"/>
    <w:rsid w:val="007C4304"/>
    <w:rsid w:val="007C4352"/>
    <w:rsid w:val="007C4C39"/>
    <w:rsid w:val="007C6112"/>
    <w:rsid w:val="007C7371"/>
    <w:rsid w:val="007C7744"/>
    <w:rsid w:val="007C7B62"/>
    <w:rsid w:val="007D00F0"/>
    <w:rsid w:val="007D0445"/>
    <w:rsid w:val="007D1247"/>
    <w:rsid w:val="007D237E"/>
    <w:rsid w:val="007D2769"/>
    <w:rsid w:val="007D2A70"/>
    <w:rsid w:val="007D2FF3"/>
    <w:rsid w:val="007D439E"/>
    <w:rsid w:val="007D4CA1"/>
    <w:rsid w:val="007D4CEC"/>
    <w:rsid w:val="007D4CF9"/>
    <w:rsid w:val="007D4F1F"/>
    <w:rsid w:val="007D515C"/>
    <w:rsid w:val="007D5C22"/>
    <w:rsid w:val="007D5C32"/>
    <w:rsid w:val="007D5EE7"/>
    <w:rsid w:val="007D682C"/>
    <w:rsid w:val="007D7350"/>
    <w:rsid w:val="007D7651"/>
    <w:rsid w:val="007D7C32"/>
    <w:rsid w:val="007D7EBA"/>
    <w:rsid w:val="007E0B6E"/>
    <w:rsid w:val="007E155A"/>
    <w:rsid w:val="007E1B54"/>
    <w:rsid w:val="007E1C1F"/>
    <w:rsid w:val="007E2494"/>
    <w:rsid w:val="007E2CAF"/>
    <w:rsid w:val="007E2FBF"/>
    <w:rsid w:val="007E301B"/>
    <w:rsid w:val="007E3377"/>
    <w:rsid w:val="007E3596"/>
    <w:rsid w:val="007E4E69"/>
    <w:rsid w:val="007E60F4"/>
    <w:rsid w:val="007E68EF"/>
    <w:rsid w:val="007E7207"/>
    <w:rsid w:val="007E73D7"/>
    <w:rsid w:val="007E7640"/>
    <w:rsid w:val="007E7FB0"/>
    <w:rsid w:val="007F00C3"/>
    <w:rsid w:val="007F06AF"/>
    <w:rsid w:val="007F0CAA"/>
    <w:rsid w:val="007F0E01"/>
    <w:rsid w:val="007F0FA7"/>
    <w:rsid w:val="007F11EF"/>
    <w:rsid w:val="007F211D"/>
    <w:rsid w:val="007F24A4"/>
    <w:rsid w:val="007F3285"/>
    <w:rsid w:val="007F333C"/>
    <w:rsid w:val="007F3601"/>
    <w:rsid w:val="007F4777"/>
    <w:rsid w:val="007F54E4"/>
    <w:rsid w:val="007F54FD"/>
    <w:rsid w:val="007F5843"/>
    <w:rsid w:val="007F5AA4"/>
    <w:rsid w:val="007F5B12"/>
    <w:rsid w:val="007F5F9C"/>
    <w:rsid w:val="007F700D"/>
    <w:rsid w:val="007F787F"/>
    <w:rsid w:val="007F7A78"/>
    <w:rsid w:val="00800708"/>
    <w:rsid w:val="00800C03"/>
    <w:rsid w:val="008013BB"/>
    <w:rsid w:val="0080192A"/>
    <w:rsid w:val="00802088"/>
    <w:rsid w:val="0080208E"/>
    <w:rsid w:val="00802C3B"/>
    <w:rsid w:val="00802DC6"/>
    <w:rsid w:val="0080428A"/>
    <w:rsid w:val="008042C5"/>
    <w:rsid w:val="008051FB"/>
    <w:rsid w:val="00805606"/>
    <w:rsid w:val="008065DF"/>
    <w:rsid w:val="0080689A"/>
    <w:rsid w:val="00806D38"/>
    <w:rsid w:val="00806DE7"/>
    <w:rsid w:val="00807155"/>
    <w:rsid w:val="0080722D"/>
    <w:rsid w:val="0080780B"/>
    <w:rsid w:val="0080797B"/>
    <w:rsid w:val="00810512"/>
    <w:rsid w:val="008112E0"/>
    <w:rsid w:val="00811341"/>
    <w:rsid w:val="0081154B"/>
    <w:rsid w:val="008117FA"/>
    <w:rsid w:val="0081212E"/>
    <w:rsid w:val="00812539"/>
    <w:rsid w:val="00812B96"/>
    <w:rsid w:val="008138CD"/>
    <w:rsid w:val="00813A6D"/>
    <w:rsid w:val="008140DD"/>
    <w:rsid w:val="00814517"/>
    <w:rsid w:val="0081470A"/>
    <w:rsid w:val="00814966"/>
    <w:rsid w:val="0081496B"/>
    <w:rsid w:val="00814AE0"/>
    <w:rsid w:val="00814C0C"/>
    <w:rsid w:val="008152B7"/>
    <w:rsid w:val="008158C1"/>
    <w:rsid w:val="0081590E"/>
    <w:rsid w:val="0081642C"/>
    <w:rsid w:val="00816592"/>
    <w:rsid w:val="00817A97"/>
    <w:rsid w:val="00817B64"/>
    <w:rsid w:val="008209C2"/>
    <w:rsid w:val="00820CBD"/>
    <w:rsid w:val="008212FD"/>
    <w:rsid w:val="0082169E"/>
    <w:rsid w:val="008229A6"/>
    <w:rsid w:val="00822FB4"/>
    <w:rsid w:val="0082312F"/>
    <w:rsid w:val="00823959"/>
    <w:rsid w:val="008239F5"/>
    <w:rsid w:val="00823AFF"/>
    <w:rsid w:val="00823DC2"/>
    <w:rsid w:val="00824035"/>
    <w:rsid w:val="008240ED"/>
    <w:rsid w:val="008244C9"/>
    <w:rsid w:val="00824EE9"/>
    <w:rsid w:val="00825558"/>
    <w:rsid w:val="008258CD"/>
    <w:rsid w:val="008259CD"/>
    <w:rsid w:val="00825EBA"/>
    <w:rsid w:val="00825F95"/>
    <w:rsid w:val="008263AA"/>
    <w:rsid w:val="00826691"/>
    <w:rsid w:val="008266BC"/>
    <w:rsid w:val="008267D6"/>
    <w:rsid w:val="0082764E"/>
    <w:rsid w:val="0083050E"/>
    <w:rsid w:val="00830F91"/>
    <w:rsid w:val="0083111C"/>
    <w:rsid w:val="008327FA"/>
    <w:rsid w:val="00833680"/>
    <w:rsid w:val="00833BAA"/>
    <w:rsid w:val="00833D9A"/>
    <w:rsid w:val="008351C7"/>
    <w:rsid w:val="0083536D"/>
    <w:rsid w:val="008354AF"/>
    <w:rsid w:val="0083603A"/>
    <w:rsid w:val="00836BC5"/>
    <w:rsid w:val="008375AF"/>
    <w:rsid w:val="00837DB8"/>
    <w:rsid w:val="0084038E"/>
    <w:rsid w:val="008403B6"/>
    <w:rsid w:val="00840A7A"/>
    <w:rsid w:val="008413F4"/>
    <w:rsid w:val="0084143E"/>
    <w:rsid w:val="0084265A"/>
    <w:rsid w:val="00842B4F"/>
    <w:rsid w:val="00842C39"/>
    <w:rsid w:val="00843AC1"/>
    <w:rsid w:val="00843CE7"/>
    <w:rsid w:val="00843D94"/>
    <w:rsid w:val="008441E7"/>
    <w:rsid w:val="00844256"/>
    <w:rsid w:val="00844BE8"/>
    <w:rsid w:val="00844DFD"/>
    <w:rsid w:val="00845672"/>
    <w:rsid w:val="0084583D"/>
    <w:rsid w:val="00845E70"/>
    <w:rsid w:val="008461AF"/>
    <w:rsid w:val="008464C5"/>
    <w:rsid w:val="00846556"/>
    <w:rsid w:val="008465E0"/>
    <w:rsid w:val="008470AD"/>
    <w:rsid w:val="00847AF4"/>
    <w:rsid w:val="00850649"/>
    <w:rsid w:val="00850A58"/>
    <w:rsid w:val="00850ECD"/>
    <w:rsid w:val="0085271F"/>
    <w:rsid w:val="008528EC"/>
    <w:rsid w:val="00852D6F"/>
    <w:rsid w:val="008532C1"/>
    <w:rsid w:val="008536AA"/>
    <w:rsid w:val="008536B6"/>
    <w:rsid w:val="00854021"/>
    <w:rsid w:val="00854A2A"/>
    <w:rsid w:val="00854FBA"/>
    <w:rsid w:val="00855947"/>
    <w:rsid w:val="00855C26"/>
    <w:rsid w:val="00855DC3"/>
    <w:rsid w:val="008568D9"/>
    <w:rsid w:val="008570C8"/>
    <w:rsid w:val="00857209"/>
    <w:rsid w:val="00857910"/>
    <w:rsid w:val="00857977"/>
    <w:rsid w:val="00857B84"/>
    <w:rsid w:val="00857F5F"/>
    <w:rsid w:val="00861B5B"/>
    <w:rsid w:val="00861BBA"/>
    <w:rsid w:val="008628BC"/>
    <w:rsid w:val="00862A77"/>
    <w:rsid w:val="00862D04"/>
    <w:rsid w:val="00863393"/>
    <w:rsid w:val="0086385D"/>
    <w:rsid w:val="00863BFC"/>
    <w:rsid w:val="008647AC"/>
    <w:rsid w:val="00864F4E"/>
    <w:rsid w:val="00865165"/>
    <w:rsid w:val="008652D4"/>
    <w:rsid w:val="00865398"/>
    <w:rsid w:val="00865DDE"/>
    <w:rsid w:val="008661C2"/>
    <w:rsid w:val="0086624D"/>
    <w:rsid w:val="008663D1"/>
    <w:rsid w:val="008674CF"/>
    <w:rsid w:val="00867738"/>
    <w:rsid w:val="008700C4"/>
    <w:rsid w:val="00870295"/>
    <w:rsid w:val="0087069C"/>
    <w:rsid w:val="00870C29"/>
    <w:rsid w:val="00870CD7"/>
    <w:rsid w:val="00871DC7"/>
    <w:rsid w:val="00872678"/>
    <w:rsid w:val="0087292C"/>
    <w:rsid w:val="00872E04"/>
    <w:rsid w:val="00873190"/>
    <w:rsid w:val="00873B18"/>
    <w:rsid w:val="00874557"/>
    <w:rsid w:val="0087457B"/>
    <w:rsid w:val="0087461A"/>
    <w:rsid w:val="00874A0F"/>
    <w:rsid w:val="00874DFE"/>
    <w:rsid w:val="00875169"/>
    <w:rsid w:val="00875AFB"/>
    <w:rsid w:val="008767C4"/>
    <w:rsid w:val="00876AD0"/>
    <w:rsid w:val="008770B1"/>
    <w:rsid w:val="008775AA"/>
    <w:rsid w:val="008777E1"/>
    <w:rsid w:val="00877E12"/>
    <w:rsid w:val="00877FD1"/>
    <w:rsid w:val="0088007C"/>
    <w:rsid w:val="0088023A"/>
    <w:rsid w:val="0088053E"/>
    <w:rsid w:val="0088082B"/>
    <w:rsid w:val="00880B64"/>
    <w:rsid w:val="00880E95"/>
    <w:rsid w:val="008811DC"/>
    <w:rsid w:val="008812F6"/>
    <w:rsid w:val="00881466"/>
    <w:rsid w:val="00881550"/>
    <w:rsid w:val="0088156E"/>
    <w:rsid w:val="00881C39"/>
    <w:rsid w:val="0088301D"/>
    <w:rsid w:val="0088347F"/>
    <w:rsid w:val="008843BE"/>
    <w:rsid w:val="00884B36"/>
    <w:rsid w:val="00884FF7"/>
    <w:rsid w:val="0088615C"/>
    <w:rsid w:val="00886C54"/>
    <w:rsid w:val="00886CE7"/>
    <w:rsid w:val="00887052"/>
    <w:rsid w:val="008870E6"/>
    <w:rsid w:val="008871AB"/>
    <w:rsid w:val="00887D98"/>
    <w:rsid w:val="008904CE"/>
    <w:rsid w:val="00890B43"/>
    <w:rsid w:val="00890F55"/>
    <w:rsid w:val="008910A5"/>
    <w:rsid w:val="00891159"/>
    <w:rsid w:val="008916E2"/>
    <w:rsid w:val="00891795"/>
    <w:rsid w:val="00891B53"/>
    <w:rsid w:val="00891B75"/>
    <w:rsid w:val="00891BA6"/>
    <w:rsid w:val="00891D27"/>
    <w:rsid w:val="00893C3F"/>
    <w:rsid w:val="00893CAE"/>
    <w:rsid w:val="00894233"/>
    <w:rsid w:val="00894547"/>
    <w:rsid w:val="008947AC"/>
    <w:rsid w:val="00895121"/>
    <w:rsid w:val="008958BB"/>
    <w:rsid w:val="00895BE5"/>
    <w:rsid w:val="00895D50"/>
    <w:rsid w:val="0089604C"/>
    <w:rsid w:val="008964C3"/>
    <w:rsid w:val="00896500"/>
    <w:rsid w:val="008A0CAE"/>
    <w:rsid w:val="008A0F49"/>
    <w:rsid w:val="008A16BC"/>
    <w:rsid w:val="008A19C7"/>
    <w:rsid w:val="008A2050"/>
    <w:rsid w:val="008A23CC"/>
    <w:rsid w:val="008A2E2C"/>
    <w:rsid w:val="008A2E70"/>
    <w:rsid w:val="008A321A"/>
    <w:rsid w:val="008A3654"/>
    <w:rsid w:val="008A3752"/>
    <w:rsid w:val="008A39DC"/>
    <w:rsid w:val="008A43B1"/>
    <w:rsid w:val="008A4631"/>
    <w:rsid w:val="008A4B9E"/>
    <w:rsid w:val="008A4BE0"/>
    <w:rsid w:val="008A4C0E"/>
    <w:rsid w:val="008A4D54"/>
    <w:rsid w:val="008A5ADE"/>
    <w:rsid w:val="008A66F6"/>
    <w:rsid w:val="008A6D0A"/>
    <w:rsid w:val="008A6F1F"/>
    <w:rsid w:val="008A6F84"/>
    <w:rsid w:val="008A700B"/>
    <w:rsid w:val="008B026E"/>
    <w:rsid w:val="008B077A"/>
    <w:rsid w:val="008B0882"/>
    <w:rsid w:val="008B089A"/>
    <w:rsid w:val="008B134A"/>
    <w:rsid w:val="008B2142"/>
    <w:rsid w:val="008B22A3"/>
    <w:rsid w:val="008B32E0"/>
    <w:rsid w:val="008B3381"/>
    <w:rsid w:val="008B3677"/>
    <w:rsid w:val="008B37E0"/>
    <w:rsid w:val="008B397B"/>
    <w:rsid w:val="008B432D"/>
    <w:rsid w:val="008B4F1F"/>
    <w:rsid w:val="008B58E9"/>
    <w:rsid w:val="008B5A65"/>
    <w:rsid w:val="008B5EA7"/>
    <w:rsid w:val="008B63EB"/>
    <w:rsid w:val="008B641D"/>
    <w:rsid w:val="008B6430"/>
    <w:rsid w:val="008B68C4"/>
    <w:rsid w:val="008B6953"/>
    <w:rsid w:val="008B6F12"/>
    <w:rsid w:val="008B70D5"/>
    <w:rsid w:val="008B7991"/>
    <w:rsid w:val="008B7AF1"/>
    <w:rsid w:val="008B7FF7"/>
    <w:rsid w:val="008C031A"/>
    <w:rsid w:val="008C04A4"/>
    <w:rsid w:val="008C0E6E"/>
    <w:rsid w:val="008C15EB"/>
    <w:rsid w:val="008C1A5F"/>
    <w:rsid w:val="008C22EF"/>
    <w:rsid w:val="008C25C6"/>
    <w:rsid w:val="008C2612"/>
    <w:rsid w:val="008C2D07"/>
    <w:rsid w:val="008C2D23"/>
    <w:rsid w:val="008C3135"/>
    <w:rsid w:val="008C3157"/>
    <w:rsid w:val="008C31E7"/>
    <w:rsid w:val="008C4F09"/>
    <w:rsid w:val="008C5204"/>
    <w:rsid w:val="008C5E46"/>
    <w:rsid w:val="008C6217"/>
    <w:rsid w:val="008C6644"/>
    <w:rsid w:val="008C6B7A"/>
    <w:rsid w:val="008C71F7"/>
    <w:rsid w:val="008C75C3"/>
    <w:rsid w:val="008C786D"/>
    <w:rsid w:val="008C7BE7"/>
    <w:rsid w:val="008C7E88"/>
    <w:rsid w:val="008D0321"/>
    <w:rsid w:val="008D0432"/>
    <w:rsid w:val="008D056F"/>
    <w:rsid w:val="008D0DF9"/>
    <w:rsid w:val="008D188C"/>
    <w:rsid w:val="008D1911"/>
    <w:rsid w:val="008D1F4E"/>
    <w:rsid w:val="008D28AC"/>
    <w:rsid w:val="008D2E9C"/>
    <w:rsid w:val="008D2F4D"/>
    <w:rsid w:val="008D3012"/>
    <w:rsid w:val="008D34A6"/>
    <w:rsid w:val="008D3AC2"/>
    <w:rsid w:val="008D3FA2"/>
    <w:rsid w:val="008D45AA"/>
    <w:rsid w:val="008D517B"/>
    <w:rsid w:val="008D5B4B"/>
    <w:rsid w:val="008D6066"/>
    <w:rsid w:val="008D6314"/>
    <w:rsid w:val="008D68AD"/>
    <w:rsid w:val="008D68C8"/>
    <w:rsid w:val="008D697F"/>
    <w:rsid w:val="008D6DC9"/>
    <w:rsid w:val="008D6E21"/>
    <w:rsid w:val="008D7011"/>
    <w:rsid w:val="008D7E16"/>
    <w:rsid w:val="008E19F3"/>
    <w:rsid w:val="008E1A08"/>
    <w:rsid w:val="008E1A76"/>
    <w:rsid w:val="008E1AE4"/>
    <w:rsid w:val="008E1BBD"/>
    <w:rsid w:val="008E1F1E"/>
    <w:rsid w:val="008E28FD"/>
    <w:rsid w:val="008E2C26"/>
    <w:rsid w:val="008E2E63"/>
    <w:rsid w:val="008E3082"/>
    <w:rsid w:val="008E3088"/>
    <w:rsid w:val="008E358D"/>
    <w:rsid w:val="008E35A6"/>
    <w:rsid w:val="008E3BF5"/>
    <w:rsid w:val="008E3DCB"/>
    <w:rsid w:val="008E42ED"/>
    <w:rsid w:val="008E446A"/>
    <w:rsid w:val="008E4568"/>
    <w:rsid w:val="008E47EB"/>
    <w:rsid w:val="008E48BB"/>
    <w:rsid w:val="008E5288"/>
    <w:rsid w:val="008E5496"/>
    <w:rsid w:val="008E606A"/>
    <w:rsid w:val="008E6B02"/>
    <w:rsid w:val="008E6DF6"/>
    <w:rsid w:val="008E71AF"/>
    <w:rsid w:val="008E73DE"/>
    <w:rsid w:val="008E77DF"/>
    <w:rsid w:val="008E796C"/>
    <w:rsid w:val="008E7995"/>
    <w:rsid w:val="008F0538"/>
    <w:rsid w:val="008F06A1"/>
    <w:rsid w:val="008F07E0"/>
    <w:rsid w:val="008F1566"/>
    <w:rsid w:val="008F17A5"/>
    <w:rsid w:val="008F22F4"/>
    <w:rsid w:val="008F24CE"/>
    <w:rsid w:val="008F2BD2"/>
    <w:rsid w:val="008F2C19"/>
    <w:rsid w:val="008F3573"/>
    <w:rsid w:val="008F3CE4"/>
    <w:rsid w:val="008F4048"/>
    <w:rsid w:val="008F4101"/>
    <w:rsid w:val="008F450C"/>
    <w:rsid w:val="008F490A"/>
    <w:rsid w:val="008F4A34"/>
    <w:rsid w:val="008F509A"/>
    <w:rsid w:val="008F50EB"/>
    <w:rsid w:val="008F525B"/>
    <w:rsid w:val="008F5D85"/>
    <w:rsid w:val="008F5DE7"/>
    <w:rsid w:val="008F5FC2"/>
    <w:rsid w:val="008F6A20"/>
    <w:rsid w:val="008F6B1D"/>
    <w:rsid w:val="008F6D21"/>
    <w:rsid w:val="008F71C9"/>
    <w:rsid w:val="00900A33"/>
    <w:rsid w:val="00901017"/>
    <w:rsid w:val="009014B2"/>
    <w:rsid w:val="00901977"/>
    <w:rsid w:val="00901C86"/>
    <w:rsid w:val="00901D4B"/>
    <w:rsid w:val="00901E6E"/>
    <w:rsid w:val="00901F90"/>
    <w:rsid w:val="00902772"/>
    <w:rsid w:val="0090285F"/>
    <w:rsid w:val="00902D21"/>
    <w:rsid w:val="00903AD5"/>
    <w:rsid w:val="009041FA"/>
    <w:rsid w:val="009046A6"/>
    <w:rsid w:val="0090492A"/>
    <w:rsid w:val="009049EE"/>
    <w:rsid w:val="00904DC6"/>
    <w:rsid w:val="00906430"/>
    <w:rsid w:val="00906851"/>
    <w:rsid w:val="00906DFD"/>
    <w:rsid w:val="00906E67"/>
    <w:rsid w:val="00907191"/>
    <w:rsid w:val="0090738E"/>
    <w:rsid w:val="0090756D"/>
    <w:rsid w:val="0090785D"/>
    <w:rsid w:val="00907A83"/>
    <w:rsid w:val="0091041D"/>
    <w:rsid w:val="00910DE6"/>
    <w:rsid w:val="009119A4"/>
    <w:rsid w:val="0091237D"/>
    <w:rsid w:val="00912CAF"/>
    <w:rsid w:val="00912E14"/>
    <w:rsid w:val="0091310B"/>
    <w:rsid w:val="009132CC"/>
    <w:rsid w:val="009139B0"/>
    <w:rsid w:val="00913BAC"/>
    <w:rsid w:val="00913CB6"/>
    <w:rsid w:val="0091431F"/>
    <w:rsid w:val="00914574"/>
    <w:rsid w:val="00914B8A"/>
    <w:rsid w:val="00914EFB"/>
    <w:rsid w:val="009158EE"/>
    <w:rsid w:val="00915CFE"/>
    <w:rsid w:val="009162E5"/>
    <w:rsid w:val="00916726"/>
    <w:rsid w:val="00916ADA"/>
    <w:rsid w:val="00916BF0"/>
    <w:rsid w:val="00917323"/>
    <w:rsid w:val="0091746C"/>
    <w:rsid w:val="0091758E"/>
    <w:rsid w:val="00917AC4"/>
    <w:rsid w:val="00917C76"/>
    <w:rsid w:val="00917F5B"/>
    <w:rsid w:val="00920062"/>
    <w:rsid w:val="009204C3"/>
    <w:rsid w:val="00920A64"/>
    <w:rsid w:val="00920DA2"/>
    <w:rsid w:val="00920E48"/>
    <w:rsid w:val="00920F73"/>
    <w:rsid w:val="009210FD"/>
    <w:rsid w:val="00921B76"/>
    <w:rsid w:val="00921CCF"/>
    <w:rsid w:val="00922AB7"/>
    <w:rsid w:val="009230EF"/>
    <w:rsid w:val="00923770"/>
    <w:rsid w:val="00924523"/>
    <w:rsid w:val="009246A5"/>
    <w:rsid w:val="00924BE2"/>
    <w:rsid w:val="00925259"/>
    <w:rsid w:val="0092547F"/>
    <w:rsid w:val="009260B4"/>
    <w:rsid w:val="0092617B"/>
    <w:rsid w:val="00926452"/>
    <w:rsid w:val="009264F4"/>
    <w:rsid w:val="009269A4"/>
    <w:rsid w:val="00926AB6"/>
    <w:rsid w:val="00927EFE"/>
    <w:rsid w:val="00930604"/>
    <w:rsid w:val="00930CC2"/>
    <w:rsid w:val="00930E64"/>
    <w:rsid w:val="00931147"/>
    <w:rsid w:val="009316AB"/>
    <w:rsid w:val="00931BBE"/>
    <w:rsid w:val="0093223E"/>
    <w:rsid w:val="00932265"/>
    <w:rsid w:val="009325D7"/>
    <w:rsid w:val="00932F85"/>
    <w:rsid w:val="0093321E"/>
    <w:rsid w:val="0093368A"/>
    <w:rsid w:val="00933B3A"/>
    <w:rsid w:val="009340AC"/>
    <w:rsid w:val="0093486E"/>
    <w:rsid w:val="00934A84"/>
    <w:rsid w:val="00934D15"/>
    <w:rsid w:val="0093673B"/>
    <w:rsid w:val="009367BE"/>
    <w:rsid w:val="009369B2"/>
    <w:rsid w:val="00936D9C"/>
    <w:rsid w:val="00936DD4"/>
    <w:rsid w:val="0093727D"/>
    <w:rsid w:val="00937B91"/>
    <w:rsid w:val="009401EE"/>
    <w:rsid w:val="009405B2"/>
    <w:rsid w:val="009421D0"/>
    <w:rsid w:val="0094268C"/>
    <w:rsid w:val="0094293E"/>
    <w:rsid w:val="0094311D"/>
    <w:rsid w:val="00943C02"/>
    <w:rsid w:val="00943CA1"/>
    <w:rsid w:val="00944C27"/>
    <w:rsid w:val="00945229"/>
    <w:rsid w:val="009455FD"/>
    <w:rsid w:val="00945F62"/>
    <w:rsid w:val="00946B71"/>
    <w:rsid w:val="00946CE4"/>
    <w:rsid w:val="00946F99"/>
    <w:rsid w:val="0094703C"/>
    <w:rsid w:val="009472CF"/>
    <w:rsid w:val="009473A0"/>
    <w:rsid w:val="00951317"/>
    <w:rsid w:val="009525DE"/>
    <w:rsid w:val="00952A9A"/>
    <w:rsid w:val="00952B47"/>
    <w:rsid w:val="00952B51"/>
    <w:rsid w:val="00952BE3"/>
    <w:rsid w:val="00952CF5"/>
    <w:rsid w:val="009532EA"/>
    <w:rsid w:val="00953838"/>
    <w:rsid w:val="00953A27"/>
    <w:rsid w:val="00954819"/>
    <w:rsid w:val="00955601"/>
    <w:rsid w:val="00955F54"/>
    <w:rsid w:val="0095653E"/>
    <w:rsid w:val="009566F1"/>
    <w:rsid w:val="00956FFD"/>
    <w:rsid w:val="009576F5"/>
    <w:rsid w:val="0096055B"/>
    <w:rsid w:val="00960A10"/>
    <w:rsid w:val="00960D7B"/>
    <w:rsid w:val="00961FB3"/>
    <w:rsid w:val="00962075"/>
    <w:rsid w:val="009628D2"/>
    <w:rsid w:val="00962A15"/>
    <w:rsid w:val="00963314"/>
    <w:rsid w:val="0096371A"/>
    <w:rsid w:val="00964459"/>
    <w:rsid w:val="00964ADE"/>
    <w:rsid w:val="0096543D"/>
    <w:rsid w:val="009658B3"/>
    <w:rsid w:val="00965988"/>
    <w:rsid w:val="00965F06"/>
    <w:rsid w:val="00965F9E"/>
    <w:rsid w:val="009662E5"/>
    <w:rsid w:val="00966BD9"/>
    <w:rsid w:val="00966E55"/>
    <w:rsid w:val="009672E7"/>
    <w:rsid w:val="009704C8"/>
    <w:rsid w:val="009708C1"/>
    <w:rsid w:val="00970D1C"/>
    <w:rsid w:val="00970DA0"/>
    <w:rsid w:val="0097101D"/>
    <w:rsid w:val="0097114B"/>
    <w:rsid w:val="00971945"/>
    <w:rsid w:val="00972C96"/>
    <w:rsid w:val="00972D6A"/>
    <w:rsid w:val="00972D8B"/>
    <w:rsid w:val="009730AF"/>
    <w:rsid w:val="009733E6"/>
    <w:rsid w:val="0097386E"/>
    <w:rsid w:val="009744E1"/>
    <w:rsid w:val="009745FF"/>
    <w:rsid w:val="00974A26"/>
    <w:rsid w:val="00975202"/>
    <w:rsid w:val="0097582B"/>
    <w:rsid w:val="00975E55"/>
    <w:rsid w:val="00976740"/>
    <w:rsid w:val="00976ECC"/>
    <w:rsid w:val="0097776D"/>
    <w:rsid w:val="00977BDD"/>
    <w:rsid w:val="009801BA"/>
    <w:rsid w:val="0098067F"/>
    <w:rsid w:val="0098069C"/>
    <w:rsid w:val="009806CF"/>
    <w:rsid w:val="0098093A"/>
    <w:rsid w:val="00980F32"/>
    <w:rsid w:val="0098106E"/>
    <w:rsid w:val="009817D9"/>
    <w:rsid w:val="00981EE9"/>
    <w:rsid w:val="0098335A"/>
    <w:rsid w:val="0098383D"/>
    <w:rsid w:val="00984098"/>
    <w:rsid w:val="00984483"/>
    <w:rsid w:val="00984770"/>
    <w:rsid w:val="009847E3"/>
    <w:rsid w:val="00984865"/>
    <w:rsid w:val="00984D35"/>
    <w:rsid w:val="0098507B"/>
    <w:rsid w:val="009860D3"/>
    <w:rsid w:val="009863EC"/>
    <w:rsid w:val="0098653B"/>
    <w:rsid w:val="00986837"/>
    <w:rsid w:val="00986A2E"/>
    <w:rsid w:val="00987E0D"/>
    <w:rsid w:val="00987E33"/>
    <w:rsid w:val="0099089D"/>
    <w:rsid w:val="00991887"/>
    <w:rsid w:val="009918F5"/>
    <w:rsid w:val="00991A86"/>
    <w:rsid w:val="00991CC4"/>
    <w:rsid w:val="00992271"/>
    <w:rsid w:val="0099246A"/>
    <w:rsid w:val="009939BA"/>
    <w:rsid w:val="00994034"/>
    <w:rsid w:val="009942B9"/>
    <w:rsid w:val="0099466D"/>
    <w:rsid w:val="00994790"/>
    <w:rsid w:val="00994D27"/>
    <w:rsid w:val="009957F8"/>
    <w:rsid w:val="00995C44"/>
    <w:rsid w:val="00995E6E"/>
    <w:rsid w:val="009963D8"/>
    <w:rsid w:val="00996543"/>
    <w:rsid w:val="009971DB"/>
    <w:rsid w:val="009A0077"/>
    <w:rsid w:val="009A047F"/>
    <w:rsid w:val="009A0636"/>
    <w:rsid w:val="009A0E3C"/>
    <w:rsid w:val="009A1740"/>
    <w:rsid w:val="009A1F3F"/>
    <w:rsid w:val="009A25E4"/>
    <w:rsid w:val="009A27AB"/>
    <w:rsid w:val="009A2D59"/>
    <w:rsid w:val="009A2DAC"/>
    <w:rsid w:val="009A35B8"/>
    <w:rsid w:val="009A3916"/>
    <w:rsid w:val="009A3BC6"/>
    <w:rsid w:val="009A4421"/>
    <w:rsid w:val="009A4725"/>
    <w:rsid w:val="009A478A"/>
    <w:rsid w:val="009A526D"/>
    <w:rsid w:val="009A5DEE"/>
    <w:rsid w:val="009A6A35"/>
    <w:rsid w:val="009A74A9"/>
    <w:rsid w:val="009B0150"/>
    <w:rsid w:val="009B0B83"/>
    <w:rsid w:val="009B123B"/>
    <w:rsid w:val="009B1DA6"/>
    <w:rsid w:val="009B2071"/>
    <w:rsid w:val="009B3097"/>
    <w:rsid w:val="009B33C4"/>
    <w:rsid w:val="009B3549"/>
    <w:rsid w:val="009B416C"/>
    <w:rsid w:val="009B423A"/>
    <w:rsid w:val="009B4356"/>
    <w:rsid w:val="009B44E6"/>
    <w:rsid w:val="009B45F2"/>
    <w:rsid w:val="009B51CB"/>
    <w:rsid w:val="009B52EC"/>
    <w:rsid w:val="009B554D"/>
    <w:rsid w:val="009B6372"/>
    <w:rsid w:val="009B6702"/>
    <w:rsid w:val="009B67FD"/>
    <w:rsid w:val="009B6DD3"/>
    <w:rsid w:val="009B6F79"/>
    <w:rsid w:val="009B751D"/>
    <w:rsid w:val="009B7A1A"/>
    <w:rsid w:val="009B7D24"/>
    <w:rsid w:val="009C09A4"/>
    <w:rsid w:val="009C0A04"/>
    <w:rsid w:val="009C1832"/>
    <w:rsid w:val="009C2684"/>
    <w:rsid w:val="009C3D3A"/>
    <w:rsid w:val="009C5339"/>
    <w:rsid w:val="009C547A"/>
    <w:rsid w:val="009C65C9"/>
    <w:rsid w:val="009C66E8"/>
    <w:rsid w:val="009C6E54"/>
    <w:rsid w:val="009C6E78"/>
    <w:rsid w:val="009C733E"/>
    <w:rsid w:val="009C7678"/>
    <w:rsid w:val="009C7D43"/>
    <w:rsid w:val="009D0227"/>
    <w:rsid w:val="009D1E88"/>
    <w:rsid w:val="009D200C"/>
    <w:rsid w:val="009D21FD"/>
    <w:rsid w:val="009D256A"/>
    <w:rsid w:val="009D2A84"/>
    <w:rsid w:val="009D2EC3"/>
    <w:rsid w:val="009D3433"/>
    <w:rsid w:val="009D34EF"/>
    <w:rsid w:val="009D35C1"/>
    <w:rsid w:val="009D3665"/>
    <w:rsid w:val="009D43D9"/>
    <w:rsid w:val="009D49AE"/>
    <w:rsid w:val="009D4C92"/>
    <w:rsid w:val="009D4E09"/>
    <w:rsid w:val="009D4EB2"/>
    <w:rsid w:val="009D5145"/>
    <w:rsid w:val="009D5359"/>
    <w:rsid w:val="009D5A70"/>
    <w:rsid w:val="009D5CD4"/>
    <w:rsid w:val="009D5F2C"/>
    <w:rsid w:val="009D639D"/>
    <w:rsid w:val="009D63E9"/>
    <w:rsid w:val="009D7078"/>
    <w:rsid w:val="009D76C5"/>
    <w:rsid w:val="009D78DC"/>
    <w:rsid w:val="009E0992"/>
    <w:rsid w:val="009E1BC2"/>
    <w:rsid w:val="009E2C6A"/>
    <w:rsid w:val="009E401D"/>
    <w:rsid w:val="009E46D0"/>
    <w:rsid w:val="009E4708"/>
    <w:rsid w:val="009E4807"/>
    <w:rsid w:val="009E4A97"/>
    <w:rsid w:val="009E4B56"/>
    <w:rsid w:val="009E4D7C"/>
    <w:rsid w:val="009E55CB"/>
    <w:rsid w:val="009E60C4"/>
    <w:rsid w:val="009E691F"/>
    <w:rsid w:val="009E6E79"/>
    <w:rsid w:val="009E6FA6"/>
    <w:rsid w:val="009E7634"/>
    <w:rsid w:val="009E79BE"/>
    <w:rsid w:val="009E79EE"/>
    <w:rsid w:val="009E7B3B"/>
    <w:rsid w:val="009E7DE5"/>
    <w:rsid w:val="009EE273"/>
    <w:rsid w:val="009F0831"/>
    <w:rsid w:val="009F0DAB"/>
    <w:rsid w:val="009F102D"/>
    <w:rsid w:val="009F1528"/>
    <w:rsid w:val="009F32C7"/>
    <w:rsid w:val="009F40CA"/>
    <w:rsid w:val="009F43B0"/>
    <w:rsid w:val="009F4846"/>
    <w:rsid w:val="009F4BE1"/>
    <w:rsid w:val="009F4F1F"/>
    <w:rsid w:val="009F5830"/>
    <w:rsid w:val="009F5F52"/>
    <w:rsid w:val="009F6C00"/>
    <w:rsid w:val="00A003B1"/>
    <w:rsid w:val="00A01786"/>
    <w:rsid w:val="00A01D22"/>
    <w:rsid w:val="00A01D37"/>
    <w:rsid w:val="00A01FFC"/>
    <w:rsid w:val="00A02309"/>
    <w:rsid w:val="00A02C35"/>
    <w:rsid w:val="00A03504"/>
    <w:rsid w:val="00A03F39"/>
    <w:rsid w:val="00A04025"/>
    <w:rsid w:val="00A045C2"/>
    <w:rsid w:val="00A04748"/>
    <w:rsid w:val="00A04B07"/>
    <w:rsid w:val="00A04DD5"/>
    <w:rsid w:val="00A05149"/>
    <w:rsid w:val="00A056F0"/>
    <w:rsid w:val="00A05AF5"/>
    <w:rsid w:val="00A06284"/>
    <w:rsid w:val="00A06A8C"/>
    <w:rsid w:val="00A1068C"/>
    <w:rsid w:val="00A10EBC"/>
    <w:rsid w:val="00A10FAF"/>
    <w:rsid w:val="00A12190"/>
    <w:rsid w:val="00A12EA9"/>
    <w:rsid w:val="00A132E6"/>
    <w:rsid w:val="00A137C6"/>
    <w:rsid w:val="00A14036"/>
    <w:rsid w:val="00A14725"/>
    <w:rsid w:val="00A14858"/>
    <w:rsid w:val="00A154B2"/>
    <w:rsid w:val="00A15806"/>
    <w:rsid w:val="00A160C8"/>
    <w:rsid w:val="00A1673C"/>
    <w:rsid w:val="00A178E6"/>
    <w:rsid w:val="00A17F0D"/>
    <w:rsid w:val="00A20F9D"/>
    <w:rsid w:val="00A21743"/>
    <w:rsid w:val="00A217C3"/>
    <w:rsid w:val="00A21C81"/>
    <w:rsid w:val="00A21F4D"/>
    <w:rsid w:val="00A22238"/>
    <w:rsid w:val="00A230BD"/>
    <w:rsid w:val="00A23702"/>
    <w:rsid w:val="00A23B33"/>
    <w:rsid w:val="00A254C9"/>
    <w:rsid w:val="00A25F76"/>
    <w:rsid w:val="00A2620B"/>
    <w:rsid w:val="00A262E9"/>
    <w:rsid w:val="00A266A4"/>
    <w:rsid w:val="00A272A6"/>
    <w:rsid w:val="00A30040"/>
    <w:rsid w:val="00A30895"/>
    <w:rsid w:val="00A31E76"/>
    <w:rsid w:val="00A31E9B"/>
    <w:rsid w:val="00A31EFD"/>
    <w:rsid w:val="00A32059"/>
    <w:rsid w:val="00A32DD3"/>
    <w:rsid w:val="00A3321D"/>
    <w:rsid w:val="00A33379"/>
    <w:rsid w:val="00A33CBC"/>
    <w:rsid w:val="00A34237"/>
    <w:rsid w:val="00A34295"/>
    <w:rsid w:val="00A35499"/>
    <w:rsid w:val="00A35C85"/>
    <w:rsid w:val="00A364FD"/>
    <w:rsid w:val="00A3782E"/>
    <w:rsid w:val="00A40464"/>
    <w:rsid w:val="00A404F3"/>
    <w:rsid w:val="00A408EA"/>
    <w:rsid w:val="00A409F7"/>
    <w:rsid w:val="00A40E60"/>
    <w:rsid w:val="00A4129C"/>
    <w:rsid w:val="00A41BE4"/>
    <w:rsid w:val="00A41F3C"/>
    <w:rsid w:val="00A42152"/>
    <w:rsid w:val="00A422D9"/>
    <w:rsid w:val="00A42B0E"/>
    <w:rsid w:val="00A43331"/>
    <w:rsid w:val="00A43441"/>
    <w:rsid w:val="00A43613"/>
    <w:rsid w:val="00A43934"/>
    <w:rsid w:val="00A43EF2"/>
    <w:rsid w:val="00A43EFE"/>
    <w:rsid w:val="00A441AF"/>
    <w:rsid w:val="00A4421F"/>
    <w:rsid w:val="00A4499B"/>
    <w:rsid w:val="00A44D0B"/>
    <w:rsid w:val="00A4522E"/>
    <w:rsid w:val="00A45686"/>
    <w:rsid w:val="00A45A67"/>
    <w:rsid w:val="00A45BCC"/>
    <w:rsid w:val="00A45FD7"/>
    <w:rsid w:val="00A46A15"/>
    <w:rsid w:val="00A46D3C"/>
    <w:rsid w:val="00A474B4"/>
    <w:rsid w:val="00A4791F"/>
    <w:rsid w:val="00A504B2"/>
    <w:rsid w:val="00A513E1"/>
    <w:rsid w:val="00A518C0"/>
    <w:rsid w:val="00A52033"/>
    <w:rsid w:val="00A5222D"/>
    <w:rsid w:val="00A526A6"/>
    <w:rsid w:val="00A528DF"/>
    <w:rsid w:val="00A52AB9"/>
    <w:rsid w:val="00A53B2F"/>
    <w:rsid w:val="00A54182"/>
    <w:rsid w:val="00A541D6"/>
    <w:rsid w:val="00A54D8F"/>
    <w:rsid w:val="00A55554"/>
    <w:rsid w:val="00A55BBD"/>
    <w:rsid w:val="00A5605B"/>
    <w:rsid w:val="00A563CC"/>
    <w:rsid w:val="00A57019"/>
    <w:rsid w:val="00A57049"/>
    <w:rsid w:val="00A57054"/>
    <w:rsid w:val="00A57139"/>
    <w:rsid w:val="00A57CAE"/>
    <w:rsid w:val="00A600E2"/>
    <w:rsid w:val="00A60297"/>
    <w:rsid w:val="00A60B2D"/>
    <w:rsid w:val="00A60F8D"/>
    <w:rsid w:val="00A61221"/>
    <w:rsid w:val="00A61628"/>
    <w:rsid w:val="00A61B01"/>
    <w:rsid w:val="00A62395"/>
    <w:rsid w:val="00A62512"/>
    <w:rsid w:val="00A62650"/>
    <w:rsid w:val="00A627E2"/>
    <w:rsid w:val="00A627FC"/>
    <w:rsid w:val="00A62D35"/>
    <w:rsid w:val="00A63900"/>
    <w:rsid w:val="00A641DA"/>
    <w:rsid w:val="00A64E5E"/>
    <w:rsid w:val="00A64FD1"/>
    <w:rsid w:val="00A65815"/>
    <w:rsid w:val="00A65A10"/>
    <w:rsid w:val="00A65AB9"/>
    <w:rsid w:val="00A65C0D"/>
    <w:rsid w:val="00A666A8"/>
    <w:rsid w:val="00A66865"/>
    <w:rsid w:val="00A668D0"/>
    <w:rsid w:val="00A66E2B"/>
    <w:rsid w:val="00A67A6A"/>
    <w:rsid w:val="00A67BA6"/>
    <w:rsid w:val="00A67D53"/>
    <w:rsid w:val="00A70175"/>
    <w:rsid w:val="00A705AD"/>
    <w:rsid w:val="00A70614"/>
    <w:rsid w:val="00A7073B"/>
    <w:rsid w:val="00A7089F"/>
    <w:rsid w:val="00A70A21"/>
    <w:rsid w:val="00A70A3A"/>
    <w:rsid w:val="00A70F2F"/>
    <w:rsid w:val="00A71126"/>
    <w:rsid w:val="00A71959"/>
    <w:rsid w:val="00A719BA"/>
    <w:rsid w:val="00A72027"/>
    <w:rsid w:val="00A72554"/>
    <w:rsid w:val="00A72665"/>
    <w:rsid w:val="00A74C62"/>
    <w:rsid w:val="00A74CAE"/>
    <w:rsid w:val="00A7552D"/>
    <w:rsid w:val="00A76163"/>
    <w:rsid w:val="00A7617C"/>
    <w:rsid w:val="00A76C52"/>
    <w:rsid w:val="00A76DF1"/>
    <w:rsid w:val="00A7715F"/>
    <w:rsid w:val="00A771EE"/>
    <w:rsid w:val="00A773E0"/>
    <w:rsid w:val="00A775D4"/>
    <w:rsid w:val="00A7779E"/>
    <w:rsid w:val="00A77819"/>
    <w:rsid w:val="00A806F4"/>
    <w:rsid w:val="00A80F45"/>
    <w:rsid w:val="00A814AF"/>
    <w:rsid w:val="00A8198D"/>
    <w:rsid w:val="00A81BB8"/>
    <w:rsid w:val="00A8200E"/>
    <w:rsid w:val="00A82845"/>
    <w:rsid w:val="00A833E4"/>
    <w:rsid w:val="00A83E21"/>
    <w:rsid w:val="00A8482C"/>
    <w:rsid w:val="00A86228"/>
    <w:rsid w:val="00A8664C"/>
    <w:rsid w:val="00A86BCC"/>
    <w:rsid w:val="00A87623"/>
    <w:rsid w:val="00A87FC1"/>
    <w:rsid w:val="00A9030E"/>
    <w:rsid w:val="00A9045F"/>
    <w:rsid w:val="00A90647"/>
    <w:rsid w:val="00A90B6F"/>
    <w:rsid w:val="00A90CC3"/>
    <w:rsid w:val="00A90EB7"/>
    <w:rsid w:val="00A912FD"/>
    <w:rsid w:val="00A9144B"/>
    <w:rsid w:val="00A92153"/>
    <w:rsid w:val="00A921CD"/>
    <w:rsid w:val="00A92642"/>
    <w:rsid w:val="00A92A4D"/>
    <w:rsid w:val="00A92E5D"/>
    <w:rsid w:val="00A93205"/>
    <w:rsid w:val="00A9331C"/>
    <w:rsid w:val="00A93FE0"/>
    <w:rsid w:val="00A94382"/>
    <w:rsid w:val="00A94CA2"/>
    <w:rsid w:val="00A950DB"/>
    <w:rsid w:val="00A95430"/>
    <w:rsid w:val="00A956E1"/>
    <w:rsid w:val="00A96102"/>
    <w:rsid w:val="00A964DC"/>
    <w:rsid w:val="00A967CF"/>
    <w:rsid w:val="00A96D48"/>
    <w:rsid w:val="00A97A20"/>
    <w:rsid w:val="00A97A94"/>
    <w:rsid w:val="00AA068C"/>
    <w:rsid w:val="00AA06EB"/>
    <w:rsid w:val="00AA06F6"/>
    <w:rsid w:val="00AA104F"/>
    <w:rsid w:val="00AA1DF6"/>
    <w:rsid w:val="00AA1E26"/>
    <w:rsid w:val="00AA2EC5"/>
    <w:rsid w:val="00AA3446"/>
    <w:rsid w:val="00AA3E03"/>
    <w:rsid w:val="00AA3FC8"/>
    <w:rsid w:val="00AA4046"/>
    <w:rsid w:val="00AA5258"/>
    <w:rsid w:val="00AA5460"/>
    <w:rsid w:val="00AA61A5"/>
    <w:rsid w:val="00AA623A"/>
    <w:rsid w:val="00AA62E8"/>
    <w:rsid w:val="00AA6EA5"/>
    <w:rsid w:val="00AA7334"/>
    <w:rsid w:val="00AA747F"/>
    <w:rsid w:val="00AA7A02"/>
    <w:rsid w:val="00AB0948"/>
    <w:rsid w:val="00AB0DB5"/>
    <w:rsid w:val="00AB0E5E"/>
    <w:rsid w:val="00AB0FCB"/>
    <w:rsid w:val="00AB1190"/>
    <w:rsid w:val="00AB1279"/>
    <w:rsid w:val="00AB1850"/>
    <w:rsid w:val="00AB197F"/>
    <w:rsid w:val="00AB23AA"/>
    <w:rsid w:val="00AB28AA"/>
    <w:rsid w:val="00AB34F8"/>
    <w:rsid w:val="00AB4318"/>
    <w:rsid w:val="00AB48EE"/>
    <w:rsid w:val="00AB4B09"/>
    <w:rsid w:val="00AB5376"/>
    <w:rsid w:val="00AB5CCD"/>
    <w:rsid w:val="00AB5D71"/>
    <w:rsid w:val="00AB608B"/>
    <w:rsid w:val="00AB6933"/>
    <w:rsid w:val="00AB699A"/>
    <w:rsid w:val="00AB69CE"/>
    <w:rsid w:val="00AB6FB1"/>
    <w:rsid w:val="00AB6FC5"/>
    <w:rsid w:val="00AB7347"/>
    <w:rsid w:val="00AB7620"/>
    <w:rsid w:val="00AB78A2"/>
    <w:rsid w:val="00AB7C11"/>
    <w:rsid w:val="00AB7CD1"/>
    <w:rsid w:val="00AB7D74"/>
    <w:rsid w:val="00AC0074"/>
    <w:rsid w:val="00AC037C"/>
    <w:rsid w:val="00AC0637"/>
    <w:rsid w:val="00AC1712"/>
    <w:rsid w:val="00AC1CD7"/>
    <w:rsid w:val="00AC1EDF"/>
    <w:rsid w:val="00AC226C"/>
    <w:rsid w:val="00AC2979"/>
    <w:rsid w:val="00AC2AE9"/>
    <w:rsid w:val="00AC2C7E"/>
    <w:rsid w:val="00AC2FBB"/>
    <w:rsid w:val="00AC3107"/>
    <w:rsid w:val="00AC3ECB"/>
    <w:rsid w:val="00AC4ED7"/>
    <w:rsid w:val="00AC4F62"/>
    <w:rsid w:val="00AC4F97"/>
    <w:rsid w:val="00AC515A"/>
    <w:rsid w:val="00AC5227"/>
    <w:rsid w:val="00AC5424"/>
    <w:rsid w:val="00AC56A8"/>
    <w:rsid w:val="00AC56E4"/>
    <w:rsid w:val="00AC5713"/>
    <w:rsid w:val="00AC5719"/>
    <w:rsid w:val="00AC6170"/>
    <w:rsid w:val="00AC634C"/>
    <w:rsid w:val="00AC6368"/>
    <w:rsid w:val="00AC69B9"/>
    <w:rsid w:val="00AC6E85"/>
    <w:rsid w:val="00AC7004"/>
    <w:rsid w:val="00AD05BD"/>
    <w:rsid w:val="00AD0E7A"/>
    <w:rsid w:val="00AD167B"/>
    <w:rsid w:val="00AD16DD"/>
    <w:rsid w:val="00AD1A41"/>
    <w:rsid w:val="00AD25FB"/>
    <w:rsid w:val="00AD2A10"/>
    <w:rsid w:val="00AD2B27"/>
    <w:rsid w:val="00AD2DC0"/>
    <w:rsid w:val="00AD32F9"/>
    <w:rsid w:val="00AD38DA"/>
    <w:rsid w:val="00AD3F7E"/>
    <w:rsid w:val="00AD453C"/>
    <w:rsid w:val="00AD4D25"/>
    <w:rsid w:val="00AD5CBD"/>
    <w:rsid w:val="00AD6105"/>
    <w:rsid w:val="00AD64C9"/>
    <w:rsid w:val="00AD6A04"/>
    <w:rsid w:val="00AD6BBD"/>
    <w:rsid w:val="00AD6DB0"/>
    <w:rsid w:val="00AD7ECD"/>
    <w:rsid w:val="00AE030E"/>
    <w:rsid w:val="00AE07E0"/>
    <w:rsid w:val="00AE091D"/>
    <w:rsid w:val="00AE15E2"/>
    <w:rsid w:val="00AE177B"/>
    <w:rsid w:val="00AE1BAB"/>
    <w:rsid w:val="00AE28F9"/>
    <w:rsid w:val="00AE2CBD"/>
    <w:rsid w:val="00AE36AC"/>
    <w:rsid w:val="00AE3F18"/>
    <w:rsid w:val="00AE42E2"/>
    <w:rsid w:val="00AE4375"/>
    <w:rsid w:val="00AE44E0"/>
    <w:rsid w:val="00AE64AE"/>
    <w:rsid w:val="00AE6685"/>
    <w:rsid w:val="00AE68AE"/>
    <w:rsid w:val="00AE6B31"/>
    <w:rsid w:val="00AE6C28"/>
    <w:rsid w:val="00AE725D"/>
    <w:rsid w:val="00AE783B"/>
    <w:rsid w:val="00AE7CD8"/>
    <w:rsid w:val="00AF009C"/>
    <w:rsid w:val="00AF05EE"/>
    <w:rsid w:val="00AF0A7F"/>
    <w:rsid w:val="00AF1356"/>
    <w:rsid w:val="00AF2040"/>
    <w:rsid w:val="00AF24A5"/>
    <w:rsid w:val="00AF27E7"/>
    <w:rsid w:val="00AF28A0"/>
    <w:rsid w:val="00AF294A"/>
    <w:rsid w:val="00AF2B24"/>
    <w:rsid w:val="00AF2DA2"/>
    <w:rsid w:val="00AF31A8"/>
    <w:rsid w:val="00AF3871"/>
    <w:rsid w:val="00AF3FFF"/>
    <w:rsid w:val="00AF4C4B"/>
    <w:rsid w:val="00AF4F5E"/>
    <w:rsid w:val="00AF58EB"/>
    <w:rsid w:val="00AF6A30"/>
    <w:rsid w:val="00AF7C27"/>
    <w:rsid w:val="00B000C2"/>
    <w:rsid w:val="00B00802"/>
    <w:rsid w:val="00B009E9"/>
    <w:rsid w:val="00B00BEF"/>
    <w:rsid w:val="00B015A8"/>
    <w:rsid w:val="00B021E1"/>
    <w:rsid w:val="00B026D9"/>
    <w:rsid w:val="00B02F5F"/>
    <w:rsid w:val="00B02F8B"/>
    <w:rsid w:val="00B0392F"/>
    <w:rsid w:val="00B04367"/>
    <w:rsid w:val="00B0446E"/>
    <w:rsid w:val="00B0478E"/>
    <w:rsid w:val="00B055B1"/>
    <w:rsid w:val="00B05C7C"/>
    <w:rsid w:val="00B0617A"/>
    <w:rsid w:val="00B06187"/>
    <w:rsid w:val="00B063F8"/>
    <w:rsid w:val="00B067E1"/>
    <w:rsid w:val="00B07321"/>
    <w:rsid w:val="00B101EE"/>
    <w:rsid w:val="00B10742"/>
    <w:rsid w:val="00B111E9"/>
    <w:rsid w:val="00B11EA2"/>
    <w:rsid w:val="00B1204D"/>
    <w:rsid w:val="00B120F5"/>
    <w:rsid w:val="00B125B8"/>
    <w:rsid w:val="00B12ECD"/>
    <w:rsid w:val="00B137B8"/>
    <w:rsid w:val="00B13886"/>
    <w:rsid w:val="00B142E4"/>
    <w:rsid w:val="00B1453A"/>
    <w:rsid w:val="00B14572"/>
    <w:rsid w:val="00B1469D"/>
    <w:rsid w:val="00B1488B"/>
    <w:rsid w:val="00B14B49"/>
    <w:rsid w:val="00B1509D"/>
    <w:rsid w:val="00B1574C"/>
    <w:rsid w:val="00B15F59"/>
    <w:rsid w:val="00B16018"/>
    <w:rsid w:val="00B168ED"/>
    <w:rsid w:val="00B16924"/>
    <w:rsid w:val="00B16F05"/>
    <w:rsid w:val="00B1706A"/>
    <w:rsid w:val="00B17777"/>
    <w:rsid w:val="00B17DE2"/>
    <w:rsid w:val="00B17FEB"/>
    <w:rsid w:val="00B2011A"/>
    <w:rsid w:val="00B209C1"/>
    <w:rsid w:val="00B20C3C"/>
    <w:rsid w:val="00B21389"/>
    <w:rsid w:val="00B21913"/>
    <w:rsid w:val="00B219EB"/>
    <w:rsid w:val="00B2200E"/>
    <w:rsid w:val="00B22742"/>
    <w:rsid w:val="00B22B2D"/>
    <w:rsid w:val="00B2351F"/>
    <w:rsid w:val="00B23836"/>
    <w:rsid w:val="00B253A1"/>
    <w:rsid w:val="00B25640"/>
    <w:rsid w:val="00B25A8E"/>
    <w:rsid w:val="00B25B20"/>
    <w:rsid w:val="00B26931"/>
    <w:rsid w:val="00B26E5E"/>
    <w:rsid w:val="00B270AB"/>
    <w:rsid w:val="00B2720D"/>
    <w:rsid w:val="00B27526"/>
    <w:rsid w:val="00B27A61"/>
    <w:rsid w:val="00B27B5B"/>
    <w:rsid w:val="00B3071A"/>
    <w:rsid w:val="00B30BC4"/>
    <w:rsid w:val="00B30BF4"/>
    <w:rsid w:val="00B30F1B"/>
    <w:rsid w:val="00B31F8C"/>
    <w:rsid w:val="00B32366"/>
    <w:rsid w:val="00B327AD"/>
    <w:rsid w:val="00B32AAA"/>
    <w:rsid w:val="00B3320C"/>
    <w:rsid w:val="00B33DFA"/>
    <w:rsid w:val="00B33E05"/>
    <w:rsid w:val="00B34013"/>
    <w:rsid w:val="00B34B00"/>
    <w:rsid w:val="00B34E19"/>
    <w:rsid w:val="00B3500B"/>
    <w:rsid w:val="00B350E8"/>
    <w:rsid w:val="00B3519E"/>
    <w:rsid w:val="00B35992"/>
    <w:rsid w:val="00B35A1C"/>
    <w:rsid w:val="00B36E30"/>
    <w:rsid w:val="00B374AF"/>
    <w:rsid w:val="00B374EC"/>
    <w:rsid w:val="00B378CB"/>
    <w:rsid w:val="00B37CA8"/>
    <w:rsid w:val="00B37E7F"/>
    <w:rsid w:val="00B40160"/>
    <w:rsid w:val="00B40ABA"/>
    <w:rsid w:val="00B40CA9"/>
    <w:rsid w:val="00B41B41"/>
    <w:rsid w:val="00B41C6B"/>
    <w:rsid w:val="00B420DB"/>
    <w:rsid w:val="00B426D4"/>
    <w:rsid w:val="00B42D3D"/>
    <w:rsid w:val="00B430AE"/>
    <w:rsid w:val="00B4310B"/>
    <w:rsid w:val="00B438B7"/>
    <w:rsid w:val="00B4395B"/>
    <w:rsid w:val="00B440FD"/>
    <w:rsid w:val="00B44A0C"/>
    <w:rsid w:val="00B44D88"/>
    <w:rsid w:val="00B4504E"/>
    <w:rsid w:val="00B4557B"/>
    <w:rsid w:val="00B46FA6"/>
    <w:rsid w:val="00B47180"/>
    <w:rsid w:val="00B5000D"/>
    <w:rsid w:val="00B51380"/>
    <w:rsid w:val="00B51A6D"/>
    <w:rsid w:val="00B51E17"/>
    <w:rsid w:val="00B522F4"/>
    <w:rsid w:val="00B5230C"/>
    <w:rsid w:val="00B52566"/>
    <w:rsid w:val="00B5308F"/>
    <w:rsid w:val="00B535EB"/>
    <w:rsid w:val="00B5385D"/>
    <w:rsid w:val="00B5470A"/>
    <w:rsid w:val="00B5478A"/>
    <w:rsid w:val="00B5530D"/>
    <w:rsid w:val="00B559C7"/>
    <w:rsid w:val="00B55B39"/>
    <w:rsid w:val="00B56771"/>
    <w:rsid w:val="00B56842"/>
    <w:rsid w:val="00B576F5"/>
    <w:rsid w:val="00B579E5"/>
    <w:rsid w:val="00B57AC6"/>
    <w:rsid w:val="00B60A0B"/>
    <w:rsid w:val="00B60BCD"/>
    <w:rsid w:val="00B60C22"/>
    <w:rsid w:val="00B61F22"/>
    <w:rsid w:val="00B62CB6"/>
    <w:rsid w:val="00B63607"/>
    <w:rsid w:val="00B636F1"/>
    <w:rsid w:val="00B63D34"/>
    <w:rsid w:val="00B64443"/>
    <w:rsid w:val="00B64764"/>
    <w:rsid w:val="00B64AA0"/>
    <w:rsid w:val="00B64D30"/>
    <w:rsid w:val="00B64D47"/>
    <w:rsid w:val="00B655A6"/>
    <w:rsid w:val="00B65D87"/>
    <w:rsid w:val="00B6650D"/>
    <w:rsid w:val="00B668C2"/>
    <w:rsid w:val="00B66E79"/>
    <w:rsid w:val="00B67970"/>
    <w:rsid w:val="00B70227"/>
    <w:rsid w:val="00B71815"/>
    <w:rsid w:val="00B7277E"/>
    <w:rsid w:val="00B72815"/>
    <w:rsid w:val="00B729E0"/>
    <w:rsid w:val="00B7435B"/>
    <w:rsid w:val="00B74A6E"/>
    <w:rsid w:val="00B74B69"/>
    <w:rsid w:val="00B754E8"/>
    <w:rsid w:val="00B759A6"/>
    <w:rsid w:val="00B75EDD"/>
    <w:rsid w:val="00B76028"/>
    <w:rsid w:val="00B763E9"/>
    <w:rsid w:val="00B76E7D"/>
    <w:rsid w:val="00B7741D"/>
    <w:rsid w:val="00B774D0"/>
    <w:rsid w:val="00B77504"/>
    <w:rsid w:val="00B77CED"/>
    <w:rsid w:val="00B77D53"/>
    <w:rsid w:val="00B800FB"/>
    <w:rsid w:val="00B8063F"/>
    <w:rsid w:val="00B807C4"/>
    <w:rsid w:val="00B80933"/>
    <w:rsid w:val="00B8123C"/>
    <w:rsid w:val="00B817CE"/>
    <w:rsid w:val="00B81B01"/>
    <w:rsid w:val="00B82369"/>
    <w:rsid w:val="00B82377"/>
    <w:rsid w:val="00B825C8"/>
    <w:rsid w:val="00B8308E"/>
    <w:rsid w:val="00B8384A"/>
    <w:rsid w:val="00B838B5"/>
    <w:rsid w:val="00B845D8"/>
    <w:rsid w:val="00B8475A"/>
    <w:rsid w:val="00B85345"/>
    <w:rsid w:val="00B856EF"/>
    <w:rsid w:val="00B85828"/>
    <w:rsid w:val="00B86038"/>
    <w:rsid w:val="00B86328"/>
    <w:rsid w:val="00B86C23"/>
    <w:rsid w:val="00B8772A"/>
    <w:rsid w:val="00B8789F"/>
    <w:rsid w:val="00B9123E"/>
    <w:rsid w:val="00B915D4"/>
    <w:rsid w:val="00B9168E"/>
    <w:rsid w:val="00B917D3"/>
    <w:rsid w:val="00B919D1"/>
    <w:rsid w:val="00B91CAE"/>
    <w:rsid w:val="00B91D38"/>
    <w:rsid w:val="00B91FF7"/>
    <w:rsid w:val="00B9261C"/>
    <w:rsid w:val="00B930F6"/>
    <w:rsid w:val="00B9399E"/>
    <w:rsid w:val="00B93A16"/>
    <w:rsid w:val="00B94314"/>
    <w:rsid w:val="00B94381"/>
    <w:rsid w:val="00B94EDC"/>
    <w:rsid w:val="00B95D06"/>
    <w:rsid w:val="00B96600"/>
    <w:rsid w:val="00B9662B"/>
    <w:rsid w:val="00B96A9E"/>
    <w:rsid w:val="00B96D84"/>
    <w:rsid w:val="00B96DD6"/>
    <w:rsid w:val="00B97151"/>
    <w:rsid w:val="00B976F9"/>
    <w:rsid w:val="00B978DE"/>
    <w:rsid w:val="00B97A5D"/>
    <w:rsid w:val="00B97E3E"/>
    <w:rsid w:val="00BA0184"/>
    <w:rsid w:val="00BA032E"/>
    <w:rsid w:val="00BA0AF0"/>
    <w:rsid w:val="00BA0D6A"/>
    <w:rsid w:val="00BA0DD2"/>
    <w:rsid w:val="00BA1303"/>
    <w:rsid w:val="00BA265F"/>
    <w:rsid w:val="00BA2AD5"/>
    <w:rsid w:val="00BA3187"/>
    <w:rsid w:val="00BA3216"/>
    <w:rsid w:val="00BA3FEB"/>
    <w:rsid w:val="00BA4429"/>
    <w:rsid w:val="00BA44FD"/>
    <w:rsid w:val="00BA5691"/>
    <w:rsid w:val="00BA5FCE"/>
    <w:rsid w:val="00BA5FCF"/>
    <w:rsid w:val="00BA6576"/>
    <w:rsid w:val="00BA65D8"/>
    <w:rsid w:val="00BA68EC"/>
    <w:rsid w:val="00BA6B62"/>
    <w:rsid w:val="00BA713F"/>
    <w:rsid w:val="00BA754F"/>
    <w:rsid w:val="00BA7D13"/>
    <w:rsid w:val="00BB06FB"/>
    <w:rsid w:val="00BB0A3E"/>
    <w:rsid w:val="00BB136D"/>
    <w:rsid w:val="00BB18FC"/>
    <w:rsid w:val="00BB1A94"/>
    <w:rsid w:val="00BB1E99"/>
    <w:rsid w:val="00BB2047"/>
    <w:rsid w:val="00BB2ED5"/>
    <w:rsid w:val="00BB3616"/>
    <w:rsid w:val="00BB38CB"/>
    <w:rsid w:val="00BB3E55"/>
    <w:rsid w:val="00BB46E4"/>
    <w:rsid w:val="00BB4B5C"/>
    <w:rsid w:val="00BB54FE"/>
    <w:rsid w:val="00BB5A34"/>
    <w:rsid w:val="00BB5A4B"/>
    <w:rsid w:val="00BB6594"/>
    <w:rsid w:val="00BB6829"/>
    <w:rsid w:val="00BB6F40"/>
    <w:rsid w:val="00BB7483"/>
    <w:rsid w:val="00BB768D"/>
    <w:rsid w:val="00BB771F"/>
    <w:rsid w:val="00BB7BF3"/>
    <w:rsid w:val="00BC0627"/>
    <w:rsid w:val="00BC0EC2"/>
    <w:rsid w:val="00BC15D2"/>
    <w:rsid w:val="00BC1E86"/>
    <w:rsid w:val="00BC1E89"/>
    <w:rsid w:val="00BC1FB3"/>
    <w:rsid w:val="00BC200B"/>
    <w:rsid w:val="00BC240F"/>
    <w:rsid w:val="00BC2856"/>
    <w:rsid w:val="00BC2E13"/>
    <w:rsid w:val="00BC3E8A"/>
    <w:rsid w:val="00BC3F57"/>
    <w:rsid w:val="00BC3FD8"/>
    <w:rsid w:val="00BC4FC7"/>
    <w:rsid w:val="00BC5E0E"/>
    <w:rsid w:val="00BC5EFD"/>
    <w:rsid w:val="00BC63BD"/>
    <w:rsid w:val="00BC6921"/>
    <w:rsid w:val="00BC6F9C"/>
    <w:rsid w:val="00BC72CC"/>
    <w:rsid w:val="00BC743D"/>
    <w:rsid w:val="00BD0075"/>
    <w:rsid w:val="00BD08B1"/>
    <w:rsid w:val="00BD0F20"/>
    <w:rsid w:val="00BD1724"/>
    <w:rsid w:val="00BD1919"/>
    <w:rsid w:val="00BD1A96"/>
    <w:rsid w:val="00BD1B12"/>
    <w:rsid w:val="00BD25EA"/>
    <w:rsid w:val="00BD29A3"/>
    <w:rsid w:val="00BD3372"/>
    <w:rsid w:val="00BD339F"/>
    <w:rsid w:val="00BD3556"/>
    <w:rsid w:val="00BD391B"/>
    <w:rsid w:val="00BD3B9F"/>
    <w:rsid w:val="00BD4653"/>
    <w:rsid w:val="00BD52EC"/>
    <w:rsid w:val="00BD5468"/>
    <w:rsid w:val="00BD5914"/>
    <w:rsid w:val="00BD5CC8"/>
    <w:rsid w:val="00BD6309"/>
    <w:rsid w:val="00BD6963"/>
    <w:rsid w:val="00BD6A6D"/>
    <w:rsid w:val="00BD6E2A"/>
    <w:rsid w:val="00BD6E45"/>
    <w:rsid w:val="00BD705C"/>
    <w:rsid w:val="00BD7112"/>
    <w:rsid w:val="00BD7361"/>
    <w:rsid w:val="00BD757E"/>
    <w:rsid w:val="00BE0057"/>
    <w:rsid w:val="00BE029F"/>
    <w:rsid w:val="00BE0F4E"/>
    <w:rsid w:val="00BE113C"/>
    <w:rsid w:val="00BE1194"/>
    <w:rsid w:val="00BE15EE"/>
    <w:rsid w:val="00BE15FF"/>
    <w:rsid w:val="00BE164A"/>
    <w:rsid w:val="00BE17A5"/>
    <w:rsid w:val="00BE22B8"/>
    <w:rsid w:val="00BE242B"/>
    <w:rsid w:val="00BE292B"/>
    <w:rsid w:val="00BE2A4F"/>
    <w:rsid w:val="00BE2C48"/>
    <w:rsid w:val="00BE326D"/>
    <w:rsid w:val="00BE39DF"/>
    <w:rsid w:val="00BE5431"/>
    <w:rsid w:val="00BE5830"/>
    <w:rsid w:val="00BE6102"/>
    <w:rsid w:val="00BE69F7"/>
    <w:rsid w:val="00BE6C8B"/>
    <w:rsid w:val="00BE7188"/>
    <w:rsid w:val="00BE7D5F"/>
    <w:rsid w:val="00BE7F1A"/>
    <w:rsid w:val="00BF07A3"/>
    <w:rsid w:val="00BF09CF"/>
    <w:rsid w:val="00BF1F81"/>
    <w:rsid w:val="00BF2337"/>
    <w:rsid w:val="00BF2BFA"/>
    <w:rsid w:val="00BF3DA2"/>
    <w:rsid w:val="00BF471D"/>
    <w:rsid w:val="00BF4E50"/>
    <w:rsid w:val="00BF4FBA"/>
    <w:rsid w:val="00BF5071"/>
    <w:rsid w:val="00BF5946"/>
    <w:rsid w:val="00BF5A6A"/>
    <w:rsid w:val="00BF5CEE"/>
    <w:rsid w:val="00BF5D47"/>
    <w:rsid w:val="00BF6386"/>
    <w:rsid w:val="00BF6734"/>
    <w:rsid w:val="00BF6D2F"/>
    <w:rsid w:val="00BF6DCC"/>
    <w:rsid w:val="00BF7ADA"/>
    <w:rsid w:val="00BF7E33"/>
    <w:rsid w:val="00C001C5"/>
    <w:rsid w:val="00C0028C"/>
    <w:rsid w:val="00C00A2B"/>
    <w:rsid w:val="00C00FB8"/>
    <w:rsid w:val="00C00FF8"/>
    <w:rsid w:val="00C017A6"/>
    <w:rsid w:val="00C01D30"/>
    <w:rsid w:val="00C01DE0"/>
    <w:rsid w:val="00C0218C"/>
    <w:rsid w:val="00C0246D"/>
    <w:rsid w:val="00C02912"/>
    <w:rsid w:val="00C02A4B"/>
    <w:rsid w:val="00C03083"/>
    <w:rsid w:val="00C0320C"/>
    <w:rsid w:val="00C034C0"/>
    <w:rsid w:val="00C03535"/>
    <w:rsid w:val="00C038EA"/>
    <w:rsid w:val="00C040F5"/>
    <w:rsid w:val="00C04299"/>
    <w:rsid w:val="00C04E7D"/>
    <w:rsid w:val="00C0505B"/>
    <w:rsid w:val="00C05744"/>
    <w:rsid w:val="00C0577F"/>
    <w:rsid w:val="00C0584C"/>
    <w:rsid w:val="00C05FC9"/>
    <w:rsid w:val="00C061EE"/>
    <w:rsid w:val="00C061EF"/>
    <w:rsid w:val="00C06370"/>
    <w:rsid w:val="00C065BD"/>
    <w:rsid w:val="00C06888"/>
    <w:rsid w:val="00C0693E"/>
    <w:rsid w:val="00C06D2D"/>
    <w:rsid w:val="00C076FC"/>
    <w:rsid w:val="00C07C7D"/>
    <w:rsid w:val="00C10595"/>
    <w:rsid w:val="00C10AFA"/>
    <w:rsid w:val="00C1118F"/>
    <w:rsid w:val="00C111E9"/>
    <w:rsid w:val="00C1143F"/>
    <w:rsid w:val="00C11976"/>
    <w:rsid w:val="00C11D06"/>
    <w:rsid w:val="00C11FB5"/>
    <w:rsid w:val="00C12115"/>
    <w:rsid w:val="00C12F58"/>
    <w:rsid w:val="00C13332"/>
    <w:rsid w:val="00C135CB"/>
    <w:rsid w:val="00C1378D"/>
    <w:rsid w:val="00C13889"/>
    <w:rsid w:val="00C13F9B"/>
    <w:rsid w:val="00C144BF"/>
    <w:rsid w:val="00C145B2"/>
    <w:rsid w:val="00C14DE9"/>
    <w:rsid w:val="00C14F6E"/>
    <w:rsid w:val="00C1502E"/>
    <w:rsid w:val="00C1547E"/>
    <w:rsid w:val="00C15EC1"/>
    <w:rsid w:val="00C166AB"/>
    <w:rsid w:val="00C16B11"/>
    <w:rsid w:val="00C16BD0"/>
    <w:rsid w:val="00C16EDB"/>
    <w:rsid w:val="00C1797F"/>
    <w:rsid w:val="00C17F01"/>
    <w:rsid w:val="00C17F13"/>
    <w:rsid w:val="00C2032D"/>
    <w:rsid w:val="00C20A2A"/>
    <w:rsid w:val="00C20DFC"/>
    <w:rsid w:val="00C20E81"/>
    <w:rsid w:val="00C22862"/>
    <w:rsid w:val="00C22C5F"/>
    <w:rsid w:val="00C22D1A"/>
    <w:rsid w:val="00C23087"/>
    <w:rsid w:val="00C2351E"/>
    <w:rsid w:val="00C23730"/>
    <w:rsid w:val="00C23C55"/>
    <w:rsid w:val="00C24735"/>
    <w:rsid w:val="00C24F62"/>
    <w:rsid w:val="00C2549F"/>
    <w:rsid w:val="00C25EBB"/>
    <w:rsid w:val="00C25F3A"/>
    <w:rsid w:val="00C2661D"/>
    <w:rsid w:val="00C2716D"/>
    <w:rsid w:val="00C271C2"/>
    <w:rsid w:val="00C274BD"/>
    <w:rsid w:val="00C27720"/>
    <w:rsid w:val="00C27B97"/>
    <w:rsid w:val="00C27E8F"/>
    <w:rsid w:val="00C30215"/>
    <w:rsid w:val="00C30330"/>
    <w:rsid w:val="00C305E7"/>
    <w:rsid w:val="00C30785"/>
    <w:rsid w:val="00C3088E"/>
    <w:rsid w:val="00C30D59"/>
    <w:rsid w:val="00C31534"/>
    <w:rsid w:val="00C3153E"/>
    <w:rsid w:val="00C315EA"/>
    <w:rsid w:val="00C31928"/>
    <w:rsid w:val="00C31CBE"/>
    <w:rsid w:val="00C3226E"/>
    <w:rsid w:val="00C33477"/>
    <w:rsid w:val="00C336BB"/>
    <w:rsid w:val="00C33888"/>
    <w:rsid w:val="00C345A9"/>
    <w:rsid w:val="00C34958"/>
    <w:rsid w:val="00C34F7D"/>
    <w:rsid w:val="00C3541A"/>
    <w:rsid w:val="00C356FF"/>
    <w:rsid w:val="00C35950"/>
    <w:rsid w:val="00C35F08"/>
    <w:rsid w:val="00C362BC"/>
    <w:rsid w:val="00C363B7"/>
    <w:rsid w:val="00C37C19"/>
    <w:rsid w:val="00C4002B"/>
    <w:rsid w:val="00C403DF"/>
    <w:rsid w:val="00C40DD0"/>
    <w:rsid w:val="00C40F23"/>
    <w:rsid w:val="00C41563"/>
    <w:rsid w:val="00C418D6"/>
    <w:rsid w:val="00C41C4B"/>
    <w:rsid w:val="00C41CFE"/>
    <w:rsid w:val="00C4208F"/>
    <w:rsid w:val="00C421C0"/>
    <w:rsid w:val="00C42652"/>
    <w:rsid w:val="00C42A3E"/>
    <w:rsid w:val="00C42BAE"/>
    <w:rsid w:val="00C42E92"/>
    <w:rsid w:val="00C4345C"/>
    <w:rsid w:val="00C438D5"/>
    <w:rsid w:val="00C43B96"/>
    <w:rsid w:val="00C44397"/>
    <w:rsid w:val="00C443CA"/>
    <w:rsid w:val="00C44A52"/>
    <w:rsid w:val="00C44A72"/>
    <w:rsid w:val="00C44DD3"/>
    <w:rsid w:val="00C45A7D"/>
    <w:rsid w:val="00C45BE9"/>
    <w:rsid w:val="00C462A0"/>
    <w:rsid w:val="00C465F6"/>
    <w:rsid w:val="00C46AFC"/>
    <w:rsid w:val="00C46E0B"/>
    <w:rsid w:val="00C4761B"/>
    <w:rsid w:val="00C479C6"/>
    <w:rsid w:val="00C479C7"/>
    <w:rsid w:val="00C51029"/>
    <w:rsid w:val="00C5105A"/>
    <w:rsid w:val="00C5107C"/>
    <w:rsid w:val="00C510B6"/>
    <w:rsid w:val="00C5140A"/>
    <w:rsid w:val="00C5175B"/>
    <w:rsid w:val="00C5230C"/>
    <w:rsid w:val="00C52F3F"/>
    <w:rsid w:val="00C5344A"/>
    <w:rsid w:val="00C534D6"/>
    <w:rsid w:val="00C538E1"/>
    <w:rsid w:val="00C53AD1"/>
    <w:rsid w:val="00C5402D"/>
    <w:rsid w:val="00C543B0"/>
    <w:rsid w:val="00C544BC"/>
    <w:rsid w:val="00C545DC"/>
    <w:rsid w:val="00C55B93"/>
    <w:rsid w:val="00C57958"/>
    <w:rsid w:val="00C57BFE"/>
    <w:rsid w:val="00C60607"/>
    <w:rsid w:val="00C60979"/>
    <w:rsid w:val="00C611FC"/>
    <w:rsid w:val="00C6183B"/>
    <w:rsid w:val="00C61A29"/>
    <w:rsid w:val="00C61CC3"/>
    <w:rsid w:val="00C61EEC"/>
    <w:rsid w:val="00C62285"/>
    <w:rsid w:val="00C62874"/>
    <w:rsid w:val="00C62FEF"/>
    <w:rsid w:val="00C634A8"/>
    <w:rsid w:val="00C63C3D"/>
    <w:rsid w:val="00C63F01"/>
    <w:rsid w:val="00C64193"/>
    <w:rsid w:val="00C65496"/>
    <w:rsid w:val="00C655DC"/>
    <w:rsid w:val="00C65F50"/>
    <w:rsid w:val="00C665F1"/>
    <w:rsid w:val="00C66E1C"/>
    <w:rsid w:val="00C6727B"/>
    <w:rsid w:val="00C67977"/>
    <w:rsid w:val="00C70965"/>
    <w:rsid w:val="00C71666"/>
    <w:rsid w:val="00C722A8"/>
    <w:rsid w:val="00C72452"/>
    <w:rsid w:val="00C725FD"/>
    <w:rsid w:val="00C73152"/>
    <w:rsid w:val="00C734CB"/>
    <w:rsid w:val="00C73652"/>
    <w:rsid w:val="00C738E0"/>
    <w:rsid w:val="00C747CF"/>
    <w:rsid w:val="00C74E72"/>
    <w:rsid w:val="00C76132"/>
    <w:rsid w:val="00C76231"/>
    <w:rsid w:val="00C764C7"/>
    <w:rsid w:val="00C765E2"/>
    <w:rsid w:val="00C769FC"/>
    <w:rsid w:val="00C7744E"/>
    <w:rsid w:val="00C801E2"/>
    <w:rsid w:val="00C8106A"/>
    <w:rsid w:val="00C8161D"/>
    <w:rsid w:val="00C818E8"/>
    <w:rsid w:val="00C81BC7"/>
    <w:rsid w:val="00C8271D"/>
    <w:rsid w:val="00C82945"/>
    <w:rsid w:val="00C83162"/>
    <w:rsid w:val="00C839F4"/>
    <w:rsid w:val="00C841A2"/>
    <w:rsid w:val="00C84898"/>
    <w:rsid w:val="00C850B3"/>
    <w:rsid w:val="00C85130"/>
    <w:rsid w:val="00C85773"/>
    <w:rsid w:val="00C85EE5"/>
    <w:rsid w:val="00C861A2"/>
    <w:rsid w:val="00C875CE"/>
    <w:rsid w:val="00C8770C"/>
    <w:rsid w:val="00C90169"/>
    <w:rsid w:val="00C90174"/>
    <w:rsid w:val="00C905AF"/>
    <w:rsid w:val="00C90DC0"/>
    <w:rsid w:val="00C90E18"/>
    <w:rsid w:val="00C91669"/>
    <w:rsid w:val="00C917A4"/>
    <w:rsid w:val="00C9190E"/>
    <w:rsid w:val="00C91C15"/>
    <w:rsid w:val="00C91DB1"/>
    <w:rsid w:val="00C920ED"/>
    <w:rsid w:val="00C92150"/>
    <w:rsid w:val="00C921A5"/>
    <w:rsid w:val="00C9313C"/>
    <w:rsid w:val="00C93490"/>
    <w:rsid w:val="00C94037"/>
    <w:rsid w:val="00C94302"/>
    <w:rsid w:val="00C94DC5"/>
    <w:rsid w:val="00C955A0"/>
    <w:rsid w:val="00C95BF4"/>
    <w:rsid w:val="00C96513"/>
    <w:rsid w:val="00C968F0"/>
    <w:rsid w:val="00C96DA7"/>
    <w:rsid w:val="00C97275"/>
    <w:rsid w:val="00C978C9"/>
    <w:rsid w:val="00C97A02"/>
    <w:rsid w:val="00C97AC5"/>
    <w:rsid w:val="00CA05C4"/>
    <w:rsid w:val="00CA105E"/>
    <w:rsid w:val="00CA1498"/>
    <w:rsid w:val="00CA1543"/>
    <w:rsid w:val="00CA16CE"/>
    <w:rsid w:val="00CA21DE"/>
    <w:rsid w:val="00CA2776"/>
    <w:rsid w:val="00CA279F"/>
    <w:rsid w:val="00CA2F70"/>
    <w:rsid w:val="00CA37E9"/>
    <w:rsid w:val="00CA408C"/>
    <w:rsid w:val="00CA41CC"/>
    <w:rsid w:val="00CA481E"/>
    <w:rsid w:val="00CA4E74"/>
    <w:rsid w:val="00CA4F07"/>
    <w:rsid w:val="00CA59BF"/>
    <w:rsid w:val="00CA59F9"/>
    <w:rsid w:val="00CA5A23"/>
    <w:rsid w:val="00CA6038"/>
    <w:rsid w:val="00CA62F0"/>
    <w:rsid w:val="00CA6BDE"/>
    <w:rsid w:val="00CA76AF"/>
    <w:rsid w:val="00CB0AAB"/>
    <w:rsid w:val="00CB0D88"/>
    <w:rsid w:val="00CB0F1A"/>
    <w:rsid w:val="00CB0F7A"/>
    <w:rsid w:val="00CB12B7"/>
    <w:rsid w:val="00CB1401"/>
    <w:rsid w:val="00CB165C"/>
    <w:rsid w:val="00CB3D7B"/>
    <w:rsid w:val="00CB47F5"/>
    <w:rsid w:val="00CB49DE"/>
    <w:rsid w:val="00CB4A60"/>
    <w:rsid w:val="00CB560B"/>
    <w:rsid w:val="00CB565C"/>
    <w:rsid w:val="00CB5726"/>
    <w:rsid w:val="00CB5920"/>
    <w:rsid w:val="00CB5B4F"/>
    <w:rsid w:val="00CB5DA6"/>
    <w:rsid w:val="00CB67C3"/>
    <w:rsid w:val="00CB6E19"/>
    <w:rsid w:val="00CB757D"/>
    <w:rsid w:val="00CB7805"/>
    <w:rsid w:val="00CB790E"/>
    <w:rsid w:val="00CB7A7F"/>
    <w:rsid w:val="00CC0844"/>
    <w:rsid w:val="00CC0A18"/>
    <w:rsid w:val="00CC0CB5"/>
    <w:rsid w:val="00CC0D11"/>
    <w:rsid w:val="00CC0DFA"/>
    <w:rsid w:val="00CC39AE"/>
    <w:rsid w:val="00CC43FE"/>
    <w:rsid w:val="00CC4516"/>
    <w:rsid w:val="00CC453D"/>
    <w:rsid w:val="00CC4BAB"/>
    <w:rsid w:val="00CC4C5B"/>
    <w:rsid w:val="00CC4C94"/>
    <w:rsid w:val="00CC4EC9"/>
    <w:rsid w:val="00CC5255"/>
    <w:rsid w:val="00CC653F"/>
    <w:rsid w:val="00CC65BF"/>
    <w:rsid w:val="00CC72D8"/>
    <w:rsid w:val="00CC7EAD"/>
    <w:rsid w:val="00CD0474"/>
    <w:rsid w:val="00CD0A81"/>
    <w:rsid w:val="00CD0CC7"/>
    <w:rsid w:val="00CD105B"/>
    <w:rsid w:val="00CD14C0"/>
    <w:rsid w:val="00CD1E6D"/>
    <w:rsid w:val="00CD2098"/>
    <w:rsid w:val="00CD2593"/>
    <w:rsid w:val="00CD287A"/>
    <w:rsid w:val="00CD2A6B"/>
    <w:rsid w:val="00CD2B05"/>
    <w:rsid w:val="00CD3242"/>
    <w:rsid w:val="00CD3490"/>
    <w:rsid w:val="00CD3742"/>
    <w:rsid w:val="00CD5C3C"/>
    <w:rsid w:val="00CD606D"/>
    <w:rsid w:val="00CD6968"/>
    <w:rsid w:val="00CD6E19"/>
    <w:rsid w:val="00CD7130"/>
    <w:rsid w:val="00CD7B41"/>
    <w:rsid w:val="00CE0889"/>
    <w:rsid w:val="00CE0D88"/>
    <w:rsid w:val="00CE20A4"/>
    <w:rsid w:val="00CE20B0"/>
    <w:rsid w:val="00CE23F8"/>
    <w:rsid w:val="00CE2B55"/>
    <w:rsid w:val="00CE2CAD"/>
    <w:rsid w:val="00CE3BB4"/>
    <w:rsid w:val="00CE3F2A"/>
    <w:rsid w:val="00CE4759"/>
    <w:rsid w:val="00CE5163"/>
    <w:rsid w:val="00CE6967"/>
    <w:rsid w:val="00CE6A75"/>
    <w:rsid w:val="00CE6B11"/>
    <w:rsid w:val="00CE76A8"/>
    <w:rsid w:val="00CE78E4"/>
    <w:rsid w:val="00CF031F"/>
    <w:rsid w:val="00CF06AC"/>
    <w:rsid w:val="00CF07A9"/>
    <w:rsid w:val="00CF097A"/>
    <w:rsid w:val="00CF3F01"/>
    <w:rsid w:val="00CF439C"/>
    <w:rsid w:val="00CF444D"/>
    <w:rsid w:val="00CF4654"/>
    <w:rsid w:val="00CF4664"/>
    <w:rsid w:val="00CF4E5F"/>
    <w:rsid w:val="00CF576B"/>
    <w:rsid w:val="00CF6C46"/>
    <w:rsid w:val="00CF6D89"/>
    <w:rsid w:val="00CF7370"/>
    <w:rsid w:val="00CF743A"/>
    <w:rsid w:val="00CF78CB"/>
    <w:rsid w:val="00CF79BC"/>
    <w:rsid w:val="00CF7B47"/>
    <w:rsid w:val="00D00902"/>
    <w:rsid w:val="00D00CE6"/>
    <w:rsid w:val="00D016EF"/>
    <w:rsid w:val="00D0207E"/>
    <w:rsid w:val="00D0245D"/>
    <w:rsid w:val="00D025A1"/>
    <w:rsid w:val="00D0263F"/>
    <w:rsid w:val="00D03B6F"/>
    <w:rsid w:val="00D03C23"/>
    <w:rsid w:val="00D04973"/>
    <w:rsid w:val="00D04B2A"/>
    <w:rsid w:val="00D04DAF"/>
    <w:rsid w:val="00D06EAB"/>
    <w:rsid w:val="00D10055"/>
    <w:rsid w:val="00D109FF"/>
    <w:rsid w:val="00D10FA1"/>
    <w:rsid w:val="00D11516"/>
    <w:rsid w:val="00D11AC6"/>
    <w:rsid w:val="00D122F0"/>
    <w:rsid w:val="00D12530"/>
    <w:rsid w:val="00D126FB"/>
    <w:rsid w:val="00D12813"/>
    <w:rsid w:val="00D129AD"/>
    <w:rsid w:val="00D12C39"/>
    <w:rsid w:val="00D12EE3"/>
    <w:rsid w:val="00D132C5"/>
    <w:rsid w:val="00D133C1"/>
    <w:rsid w:val="00D14278"/>
    <w:rsid w:val="00D14426"/>
    <w:rsid w:val="00D14A6A"/>
    <w:rsid w:val="00D151E8"/>
    <w:rsid w:val="00D15C9F"/>
    <w:rsid w:val="00D163E8"/>
    <w:rsid w:val="00D17890"/>
    <w:rsid w:val="00D17D4D"/>
    <w:rsid w:val="00D2044D"/>
    <w:rsid w:val="00D20506"/>
    <w:rsid w:val="00D208C6"/>
    <w:rsid w:val="00D20D0A"/>
    <w:rsid w:val="00D20FD7"/>
    <w:rsid w:val="00D21384"/>
    <w:rsid w:val="00D21562"/>
    <w:rsid w:val="00D21BC8"/>
    <w:rsid w:val="00D21BF5"/>
    <w:rsid w:val="00D222A6"/>
    <w:rsid w:val="00D222BD"/>
    <w:rsid w:val="00D2233D"/>
    <w:rsid w:val="00D22699"/>
    <w:rsid w:val="00D22920"/>
    <w:rsid w:val="00D22C1A"/>
    <w:rsid w:val="00D243BD"/>
    <w:rsid w:val="00D24BC8"/>
    <w:rsid w:val="00D250D6"/>
    <w:rsid w:val="00D25A0B"/>
    <w:rsid w:val="00D25CE2"/>
    <w:rsid w:val="00D26069"/>
    <w:rsid w:val="00D2656A"/>
    <w:rsid w:val="00D26896"/>
    <w:rsid w:val="00D26A32"/>
    <w:rsid w:val="00D26CFE"/>
    <w:rsid w:val="00D26FD6"/>
    <w:rsid w:val="00D273B9"/>
    <w:rsid w:val="00D27489"/>
    <w:rsid w:val="00D2E00C"/>
    <w:rsid w:val="00D308E0"/>
    <w:rsid w:val="00D309D1"/>
    <w:rsid w:val="00D30B20"/>
    <w:rsid w:val="00D30B22"/>
    <w:rsid w:val="00D310C2"/>
    <w:rsid w:val="00D314A5"/>
    <w:rsid w:val="00D3158A"/>
    <w:rsid w:val="00D32739"/>
    <w:rsid w:val="00D342DD"/>
    <w:rsid w:val="00D344CB"/>
    <w:rsid w:val="00D34B3C"/>
    <w:rsid w:val="00D34BEC"/>
    <w:rsid w:val="00D3615F"/>
    <w:rsid w:val="00D363D5"/>
    <w:rsid w:val="00D369C7"/>
    <w:rsid w:val="00D37090"/>
    <w:rsid w:val="00D37395"/>
    <w:rsid w:val="00D373C6"/>
    <w:rsid w:val="00D37474"/>
    <w:rsid w:val="00D379D1"/>
    <w:rsid w:val="00D37A8A"/>
    <w:rsid w:val="00D37D43"/>
    <w:rsid w:val="00D40248"/>
    <w:rsid w:val="00D41BBC"/>
    <w:rsid w:val="00D41C67"/>
    <w:rsid w:val="00D42B37"/>
    <w:rsid w:val="00D42FE1"/>
    <w:rsid w:val="00D43179"/>
    <w:rsid w:val="00D43956"/>
    <w:rsid w:val="00D43E9A"/>
    <w:rsid w:val="00D442F9"/>
    <w:rsid w:val="00D44516"/>
    <w:rsid w:val="00D4495F"/>
    <w:rsid w:val="00D449EB"/>
    <w:rsid w:val="00D44DF5"/>
    <w:rsid w:val="00D45442"/>
    <w:rsid w:val="00D45CD1"/>
    <w:rsid w:val="00D45F34"/>
    <w:rsid w:val="00D4610B"/>
    <w:rsid w:val="00D46C15"/>
    <w:rsid w:val="00D46CEB"/>
    <w:rsid w:val="00D470E6"/>
    <w:rsid w:val="00D4737D"/>
    <w:rsid w:val="00D47C67"/>
    <w:rsid w:val="00D50739"/>
    <w:rsid w:val="00D50C4F"/>
    <w:rsid w:val="00D51B15"/>
    <w:rsid w:val="00D5240F"/>
    <w:rsid w:val="00D5303A"/>
    <w:rsid w:val="00D53596"/>
    <w:rsid w:val="00D53FBF"/>
    <w:rsid w:val="00D5417E"/>
    <w:rsid w:val="00D5430B"/>
    <w:rsid w:val="00D544BF"/>
    <w:rsid w:val="00D547F6"/>
    <w:rsid w:val="00D55A67"/>
    <w:rsid w:val="00D55AC1"/>
    <w:rsid w:val="00D55E4B"/>
    <w:rsid w:val="00D56D26"/>
    <w:rsid w:val="00D57201"/>
    <w:rsid w:val="00D57B17"/>
    <w:rsid w:val="00D57F55"/>
    <w:rsid w:val="00D606BA"/>
    <w:rsid w:val="00D61873"/>
    <w:rsid w:val="00D61E86"/>
    <w:rsid w:val="00D625A4"/>
    <w:rsid w:val="00D62FD8"/>
    <w:rsid w:val="00D636D4"/>
    <w:rsid w:val="00D642D2"/>
    <w:rsid w:val="00D64762"/>
    <w:rsid w:val="00D64E73"/>
    <w:rsid w:val="00D66553"/>
    <w:rsid w:val="00D665A3"/>
    <w:rsid w:val="00D667DF"/>
    <w:rsid w:val="00D66972"/>
    <w:rsid w:val="00D67EFB"/>
    <w:rsid w:val="00D70072"/>
    <w:rsid w:val="00D70958"/>
    <w:rsid w:val="00D70CFA"/>
    <w:rsid w:val="00D71AAE"/>
    <w:rsid w:val="00D71D5E"/>
    <w:rsid w:val="00D724FA"/>
    <w:rsid w:val="00D72674"/>
    <w:rsid w:val="00D72769"/>
    <w:rsid w:val="00D72791"/>
    <w:rsid w:val="00D72B86"/>
    <w:rsid w:val="00D72D9D"/>
    <w:rsid w:val="00D72E3C"/>
    <w:rsid w:val="00D735C9"/>
    <w:rsid w:val="00D73737"/>
    <w:rsid w:val="00D737DB"/>
    <w:rsid w:val="00D737FB"/>
    <w:rsid w:val="00D73941"/>
    <w:rsid w:val="00D7398B"/>
    <w:rsid w:val="00D742C1"/>
    <w:rsid w:val="00D747CC"/>
    <w:rsid w:val="00D74F5B"/>
    <w:rsid w:val="00D74FB1"/>
    <w:rsid w:val="00D75B6F"/>
    <w:rsid w:val="00D75BC7"/>
    <w:rsid w:val="00D76E7E"/>
    <w:rsid w:val="00D77043"/>
    <w:rsid w:val="00D772C4"/>
    <w:rsid w:val="00D77316"/>
    <w:rsid w:val="00D77366"/>
    <w:rsid w:val="00D774E4"/>
    <w:rsid w:val="00D778F3"/>
    <w:rsid w:val="00D77CF1"/>
    <w:rsid w:val="00D77D96"/>
    <w:rsid w:val="00D803A1"/>
    <w:rsid w:val="00D80528"/>
    <w:rsid w:val="00D80652"/>
    <w:rsid w:val="00D80763"/>
    <w:rsid w:val="00D810EF"/>
    <w:rsid w:val="00D8177D"/>
    <w:rsid w:val="00D8248C"/>
    <w:rsid w:val="00D82A8A"/>
    <w:rsid w:val="00D83053"/>
    <w:rsid w:val="00D83D4A"/>
    <w:rsid w:val="00D84295"/>
    <w:rsid w:val="00D844F4"/>
    <w:rsid w:val="00D8475A"/>
    <w:rsid w:val="00D84FB8"/>
    <w:rsid w:val="00D8511D"/>
    <w:rsid w:val="00D8520C"/>
    <w:rsid w:val="00D85B1B"/>
    <w:rsid w:val="00D85CA2"/>
    <w:rsid w:val="00D86628"/>
    <w:rsid w:val="00D86671"/>
    <w:rsid w:val="00D86698"/>
    <w:rsid w:val="00D870FB"/>
    <w:rsid w:val="00D875D5"/>
    <w:rsid w:val="00D87717"/>
    <w:rsid w:val="00D87854"/>
    <w:rsid w:val="00D87C60"/>
    <w:rsid w:val="00D87FB3"/>
    <w:rsid w:val="00D90B30"/>
    <w:rsid w:val="00D91452"/>
    <w:rsid w:val="00D91767"/>
    <w:rsid w:val="00D91D4B"/>
    <w:rsid w:val="00D91F96"/>
    <w:rsid w:val="00D92077"/>
    <w:rsid w:val="00D92833"/>
    <w:rsid w:val="00D9286C"/>
    <w:rsid w:val="00D93368"/>
    <w:rsid w:val="00D941D3"/>
    <w:rsid w:val="00D9484F"/>
    <w:rsid w:val="00D94995"/>
    <w:rsid w:val="00D94C4F"/>
    <w:rsid w:val="00D95171"/>
    <w:rsid w:val="00D953B4"/>
    <w:rsid w:val="00D954F5"/>
    <w:rsid w:val="00D9598B"/>
    <w:rsid w:val="00D96102"/>
    <w:rsid w:val="00D962E6"/>
    <w:rsid w:val="00D96428"/>
    <w:rsid w:val="00D967E2"/>
    <w:rsid w:val="00D972DE"/>
    <w:rsid w:val="00D97DE0"/>
    <w:rsid w:val="00DA0233"/>
    <w:rsid w:val="00DA03B0"/>
    <w:rsid w:val="00DA052D"/>
    <w:rsid w:val="00DA08A3"/>
    <w:rsid w:val="00DA0C7F"/>
    <w:rsid w:val="00DA13FB"/>
    <w:rsid w:val="00DA15BE"/>
    <w:rsid w:val="00DA1627"/>
    <w:rsid w:val="00DA1DFA"/>
    <w:rsid w:val="00DA1E01"/>
    <w:rsid w:val="00DA26E1"/>
    <w:rsid w:val="00DA27E1"/>
    <w:rsid w:val="00DA28B1"/>
    <w:rsid w:val="00DA2DD0"/>
    <w:rsid w:val="00DA31CD"/>
    <w:rsid w:val="00DA32CF"/>
    <w:rsid w:val="00DA33D1"/>
    <w:rsid w:val="00DA3F4B"/>
    <w:rsid w:val="00DA468A"/>
    <w:rsid w:val="00DA4A02"/>
    <w:rsid w:val="00DA4A48"/>
    <w:rsid w:val="00DA4E68"/>
    <w:rsid w:val="00DA587C"/>
    <w:rsid w:val="00DA5AD3"/>
    <w:rsid w:val="00DA60FD"/>
    <w:rsid w:val="00DA625F"/>
    <w:rsid w:val="00DA6693"/>
    <w:rsid w:val="00DA69DC"/>
    <w:rsid w:val="00DA6B10"/>
    <w:rsid w:val="00DA6B34"/>
    <w:rsid w:val="00DA6C6F"/>
    <w:rsid w:val="00DA6DCC"/>
    <w:rsid w:val="00DA752B"/>
    <w:rsid w:val="00DA75C0"/>
    <w:rsid w:val="00DA769C"/>
    <w:rsid w:val="00DA7C5B"/>
    <w:rsid w:val="00DB0B3A"/>
    <w:rsid w:val="00DB0BEE"/>
    <w:rsid w:val="00DB0DE8"/>
    <w:rsid w:val="00DB0E4C"/>
    <w:rsid w:val="00DB0F05"/>
    <w:rsid w:val="00DB1108"/>
    <w:rsid w:val="00DB1152"/>
    <w:rsid w:val="00DB1272"/>
    <w:rsid w:val="00DB1FED"/>
    <w:rsid w:val="00DB2325"/>
    <w:rsid w:val="00DB2742"/>
    <w:rsid w:val="00DB2CDF"/>
    <w:rsid w:val="00DB37D1"/>
    <w:rsid w:val="00DB3E9C"/>
    <w:rsid w:val="00DB48ED"/>
    <w:rsid w:val="00DB49B8"/>
    <w:rsid w:val="00DB4D65"/>
    <w:rsid w:val="00DB540B"/>
    <w:rsid w:val="00DB5640"/>
    <w:rsid w:val="00DB5CFE"/>
    <w:rsid w:val="00DB5FBF"/>
    <w:rsid w:val="00DB602A"/>
    <w:rsid w:val="00DB6CE2"/>
    <w:rsid w:val="00DB6F8A"/>
    <w:rsid w:val="00DB7007"/>
    <w:rsid w:val="00DB7544"/>
    <w:rsid w:val="00DB7936"/>
    <w:rsid w:val="00DB7C0D"/>
    <w:rsid w:val="00DB7C43"/>
    <w:rsid w:val="00DC0694"/>
    <w:rsid w:val="00DC0F46"/>
    <w:rsid w:val="00DC1A69"/>
    <w:rsid w:val="00DC221D"/>
    <w:rsid w:val="00DC228D"/>
    <w:rsid w:val="00DC23C7"/>
    <w:rsid w:val="00DC28C2"/>
    <w:rsid w:val="00DC2F34"/>
    <w:rsid w:val="00DC358C"/>
    <w:rsid w:val="00DC3732"/>
    <w:rsid w:val="00DC553D"/>
    <w:rsid w:val="00DC5A61"/>
    <w:rsid w:val="00DC6F2B"/>
    <w:rsid w:val="00DD0049"/>
    <w:rsid w:val="00DD011E"/>
    <w:rsid w:val="00DD01D8"/>
    <w:rsid w:val="00DD021D"/>
    <w:rsid w:val="00DD053F"/>
    <w:rsid w:val="00DD0809"/>
    <w:rsid w:val="00DD149D"/>
    <w:rsid w:val="00DD1B8C"/>
    <w:rsid w:val="00DD32E5"/>
    <w:rsid w:val="00DD33BC"/>
    <w:rsid w:val="00DD3C0E"/>
    <w:rsid w:val="00DD3D7E"/>
    <w:rsid w:val="00DD3E5D"/>
    <w:rsid w:val="00DD470E"/>
    <w:rsid w:val="00DD4AB3"/>
    <w:rsid w:val="00DD4DF4"/>
    <w:rsid w:val="00DD53FE"/>
    <w:rsid w:val="00DD5FC7"/>
    <w:rsid w:val="00DD6106"/>
    <w:rsid w:val="00DD6A1C"/>
    <w:rsid w:val="00DD6C2F"/>
    <w:rsid w:val="00DD6F88"/>
    <w:rsid w:val="00DD70A6"/>
    <w:rsid w:val="00DD7286"/>
    <w:rsid w:val="00DD7322"/>
    <w:rsid w:val="00DD7A79"/>
    <w:rsid w:val="00DD7CA3"/>
    <w:rsid w:val="00DE042F"/>
    <w:rsid w:val="00DE0944"/>
    <w:rsid w:val="00DE0BC3"/>
    <w:rsid w:val="00DE1247"/>
    <w:rsid w:val="00DE16E6"/>
    <w:rsid w:val="00DE1977"/>
    <w:rsid w:val="00DE1A8F"/>
    <w:rsid w:val="00DE1F5C"/>
    <w:rsid w:val="00DE220A"/>
    <w:rsid w:val="00DE2917"/>
    <w:rsid w:val="00DE3892"/>
    <w:rsid w:val="00DE3B4F"/>
    <w:rsid w:val="00DE4D14"/>
    <w:rsid w:val="00DE599B"/>
    <w:rsid w:val="00DE5EA6"/>
    <w:rsid w:val="00DE5F74"/>
    <w:rsid w:val="00DE61A1"/>
    <w:rsid w:val="00DE632F"/>
    <w:rsid w:val="00DE6A94"/>
    <w:rsid w:val="00DF062F"/>
    <w:rsid w:val="00DF0EA2"/>
    <w:rsid w:val="00DF14CE"/>
    <w:rsid w:val="00DF1678"/>
    <w:rsid w:val="00DF1C72"/>
    <w:rsid w:val="00DF1EEE"/>
    <w:rsid w:val="00DF3BE9"/>
    <w:rsid w:val="00DF3F2D"/>
    <w:rsid w:val="00DF412F"/>
    <w:rsid w:val="00DF42D8"/>
    <w:rsid w:val="00DF45E5"/>
    <w:rsid w:val="00DF499B"/>
    <w:rsid w:val="00DF4AF3"/>
    <w:rsid w:val="00DF4E20"/>
    <w:rsid w:val="00DF5170"/>
    <w:rsid w:val="00DF52EE"/>
    <w:rsid w:val="00DF555A"/>
    <w:rsid w:val="00DF5A1D"/>
    <w:rsid w:val="00DF5B90"/>
    <w:rsid w:val="00DF5EC7"/>
    <w:rsid w:val="00DF63C2"/>
    <w:rsid w:val="00DF72C9"/>
    <w:rsid w:val="00DF7B55"/>
    <w:rsid w:val="00DF7D8A"/>
    <w:rsid w:val="00E01215"/>
    <w:rsid w:val="00E02154"/>
    <w:rsid w:val="00E023CC"/>
    <w:rsid w:val="00E024D8"/>
    <w:rsid w:val="00E027AE"/>
    <w:rsid w:val="00E03162"/>
    <w:rsid w:val="00E034A0"/>
    <w:rsid w:val="00E03902"/>
    <w:rsid w:val="00E039B0"/>
    <w:rsid w:val="00E03B46"/>
    <w:rsid w:val="00E0435F"/>
    <w:rsid w:val="00E04517"/>
    <w:rsid w:val="00E04580"/>
    <w:rsid w:val="00E04A2D"/>
    <w:rsid w:val="00E04A3C"/>
    <w:rsid w:val="00E055D1"/>
    <w:rsid w:val="00E058B9"/>
    <w:rsid w:val="00E05AE6"/>
    <w:rsid w:val="00E05EA9"/>
    <w:rsid w:val="00E06270"/>
    <w:rsid w:val="00E069CC"/>
    <w:rsid w:val="00E0754F"/>
    <w:rsid w:val="00E07B2F"/>
    <w:rsid w:val="00E100FB"/>
    <w:rsid w:val="00E10248"/>
    <w:rsid w:val="00E10E39"/>
    <w:rsid w:val="00E10F91"/>
    <w:rsid w:val="00E1135A"/>
    <w:rsid w:val="00E11B41"/>
    <w:rsid w:val="00E11CEE"/>
    <w:rsid w:val="00E11DD5"/>
    <w:rsid w:val="00E126C7"/>
    <w:rsid w:val="00E1286E"/>
    <w:rsid w:val="00E12DC9"/>
    <w:rsid w:val="00E12E5B"/>
    <w:rsid w:val="00E12FC5"/>
    <w:rsid w:val="00E132FF"/>
    <w:rsid w:val="00E134E6"/>
    <w:rsid w:val="00E13F12"/>
    <w:rsid w:val="00E14B7A"/>
    <w:rsid w:val="00E14C11"/>
    <w:rsid w:val="00E14CDD"/>
    <w:rsid w:val="00E14D3C"/>
    <w:rsid w:val="00E150AA"/>
    <w:rsid w:val="00E156CF"/>
    <w:rsid w:val="00E15DAF"/>
    <w:rsid w:val="00E15F1F"/>
    <w:rsid w:val="00E160A0"/>
    <w:rsid w:val="00E1625D"/>
    <w:rsid w:val="00E16396"/>
    <w:rsid w:val="00E16626"/>
    <w:rsid w:val="00E17030"/>
    <w:rsid w:val="00E172DA"/>
    <w:rsid w:val="00E17A28"/>
    <w:rsid w:val="00E17E00"/>
    <w:rsid w:val="00E17EC8"/>
    <w:rsid w:val="00E2019B"/>
    <w:rsid w:val="00E20418"/>
    <w:rsid w:val="00E20CDF"/>
    <w:rsid w:val="00E2108E"/>
    <w:rsid w:val="00E21798"/>
    <w:rsid w:val="00E217EE"/>
    <w:rsid w:val="00E21821"/>
    <w:rsid w:val="00E21D56"/>
    <w:rsid w:val="00E21E33"/>
    <w:rsid w:val="00E2214D"/>
    <w:rsid w:val="00E225DB"/>
    <w:rsid w:val="00E22860"/>
    <w:rsid w:val="00E228B5"/>
    <w:rsid w:val="00E234E8"/>
    <w:rsid w:val="00E23958"/>
    <w:rsid w:val="00E23C52"/>
    <w:rsid w:val="00E24053"/>
    <w:rsid w:val="00E24305"/>
    <w:rsid w:val="00E248AC"/>
    <w:rsid w:val="00E2684E"/>
    <w:rsid w:val="00E26970"/>
    <w:rsid w:val="00E2723F"/>
    <w:rsid w:val="00E27309"/>
    <w:rsid w:val="00E27516"/>
    <w:rsid w:val="00E2A098"/>
    <w:rsid w:val="00E300CD"/>
    <w:rsid w:val="00E30E64"/>
    <w:rsid w:val="00E3173C"/>
    <w:rsid w:val="00E317C7"/>
    <w:rsid w:val="00E31CBC"/>
    <w:rsid w:val="00E31E52"/>
    <w:rsid w:val="00E3201B"/>
    <w:rsid w:val="00E329A3"/>
    <w:rsid w:val="00E3379C"/>
    <w:rsid w:val="00E337C5"/>
    <w:rsid w:val="00E33CE8"/>
    <w:rsid w:val="00E353DE"/>
    <w:rsid w:val="00E36279"/>
    <w:rsid w:val="00E36867"/>
    <w:rsid w:val="00E36FF5"/>
    <w:rsid w:val="00E37798"/>
    <w:rsid w:val="00E3787F"/>
    <w:rsid w:val="00E407D6"/>
    <w:rsid w:val="00E40917"/>
    <w:rsid w:val="00E4119A"/>
    <w:rsid w:val="00E41473"/>
    <w:rsid w:val="00E415C6"/>
    <w:rsid w:val="00E417C9"/>
    <w:rsid w:val="00E41947"/>
    <w:rsid w:val="00E41E7C"/>
    <w:rsid w:val="00E41FBB"/>
    <w:rsid w:val="00E4206F"/>
    <w:rsid w:val="00E42287"/>
    <w:rsid w:val="00E42EA9"/>
    <w:rsid w:val="00E4309A"/>
    <w:rsid w:val="00E437F5"/>
    <w:rsid w:val="00E43E6D"/>
    <w:rsid w:val="00E444CC"/>
    <w:rsid w:val="00E4481D"/>
    <w:rsid w:val="00E448DD"/>
    <w:rsid w:val="00E45798"/>
    <w:rsid w:val="00E45CCF"/>
    <w:rsid w:val="00E461FC"/>
    <w:rsid w:val="00E46342"/>
    <w:rsid w:val="00E46948"/>
    <w:rsid w:val="00E46B13"/>
    <w:rsid w:val="00E46CD2"/>
    <w:rsid w:val="00E46D6D"/>
    <w:rsid w:val="00E4765E"/>
    <w:rsid w:val="00E47B51"/>
    <w:rsid w:val="00E5043E"/>
    <w:rsid w:val="00E517D2"/>
    <w:rsid w:val="00E52518"/>
    <w:rsid w:val="00E5285C"/>
    <w:rsid w:val="00E531A5"/>
    <w:rsid w:val="00E53523"/>
    <w:rsid w:val="00E53B6F"/>
    <w:rsid w:val="00E53E4E"/>
    <w:rsid w:val="00E54112"/>
    <w:rsid w:val="00E542AD"/>
    <w:rsid w:val="00E54384"/>
    <w:rsid w:val="00E54417"/>
    <w:rsid w:val="00E54BF5"/>
    <w:rsid w:val="00E54D03"/>
    <w:rsid w:val="00E54E3B"/>
    <w:rsid w:val="00E55D5F"/>
    <w:rsid w:val="00E55D66"/>
    <w:rsid w:val="00E56643"/>
    <w:rsid w:val="00E56BF7"/>
    <w:rsid w:val="00E57160"/>
    <w:rsid w:val="00E572AA"/>
    <w:rsid w:val="00E5778F"/>
    <w:rsid w:val="00E57C28"/>
    <w:rsid w:val="00E57DC0"/>
    <w:rsid w:val="00E60424"/>
    <w:rsid w:val="00E60747"/>
    <w:rsid w:val="00E617B1"/>
    <w:rsid w:val="00E61885"/>
    <w:rsid w:val="00E62721"/>
    <w:rsid w:val="00E62BED"/>
    <w:rsid w:val="00E62F5A"/>
    <w:rsid w:val="00E63256"/>
    <w:rsid w:val="00E63400"/>
    <w:rsid w:val="00E6353A"/>
    <w:rsid w:val="00E63E94"/>
    <w:rsid w:val="00E6431B"/>
    <w:rsid w:val="00E64600"/>
    <w:rsid w:val="00E64A47"/>
    <w:rsid w:val="00E6504E"/>
    <w:rsid w:val="00E659B5"/>
    <w:rsid w:val="00E65E3A"/>
    <w:rsid w:val="00E666AB"/>
    <w:rsid w:val="00E66B81"/>
    <w:rsid w:val="00E6740A"/>
    <w:rsid w:val="00E67FA2"/>
    <w:rsid w:val="00E7074E"/>
    <w:rsid w:val="00E70EFF"/>
    <w:rsid w:val="00E72290"/>
    <w:rsid w:val="00E72A7A"/>
    <w:rsid w:val="00E72CA1"/>
    <w:rsid w:val="00E733B6"/>
    <w:rsid w:val="00E73891"/>
    <w:rsid w:val="00E745F1"/>
    <w:rsid w:val="00E7469F"/>
    <w:rsid w:val="00E750F2"/>
    <w:rsid w:val="00E752C7"/>
    <w:rsid w:val="00E7579A"/>
    <w:rsid w:val="00E75A3E"/>
    <w:rsid w:val="00E75AF7"/>
    <w:rsid w:val="00E75B2E"/>
    <w:rsid w:val="00E75E40"/>
    <w:rsid w:val="00E7682C"/>
    <w:rsid w:val="00E769EE"/>
    <w:rsid w:val="00E76F1B"/>
    <w:rsid w:val="00E77053"/>
    <w:rsid w:val="00E77939"/>
    <w:rsid w:val="00E80676"/>
    <w:rsid w:val="00E8068F"/>
    <w:rsid w:val="00E80C3F"/>
    <w:rsid w:val="00E8192E"/>
    <w:rsid w:val="00E81C1F"/>
    <w:rsid w:val="00E8255F"/>
    <w:rsid w:val="00E8277C"/>
    <w:rsid w:val="00E8371E"/>
    <w:rsid w:val="00E8386D"/>
    <w:rsid w:val="00E83C36"/>
    <w:rsid w:val="00E83DD6"/>
    <w:rsid w:val="00E84499"/>
    <w:rsid w:val="00E84BFE"/>
    <w:rsid w:val="00E85566"/>
    <w:rsid w:val="00E85D70"/>
    <w:rsid w:val="00E85FC0"/>
    <w:rsid w:val="00E862F4"/>
    <w:rsid w:val="00E86315"/>
    <w:rsid w:val="00E86977"/>
    <w:rsid w:val="00E86A59"/>
    <w:rsid w:val="00E87AF4"/>
    <w:rsid w:val="00E87B00"/>
    <w:rsid w:val="00E900DC"/>
    <w:rsid w:val="00E9036B"/>
    <w:rsid w:val="00E9043D"/>
    <w:rsid w:val="00E91A13"/>
    <w:rsid w:val="00E91AB5"/>
    <w:rsid w:val="00E920C6"/>
    <w:rsid w:val="00E922E5"/>
    <w:rsid w:val="00E92372"/>
    <w:rsid w:val="00E9270C"/>
    <w:rsid w:val="00E930F3"/>
    <w:rsid w:val="00E93751"/>
    <w:rsid w:val="00E93C15"/>
    <w:rsid w:val="00E93FD6"/>
    <w:rsid w:val="00E943A5"/>
    <w:rsid w:val="00E946C5"/>
    <w:rsid w:val="00E9593B"/>
    <w:rsid w:val="00E95C6B"/>
    <w:rsid w:val="00E96C18"/>
    <w:rsid w:val="00E97126"/>
    <w:rsid w:val="00E9792A"/>
    <w:rsid w:val="00EA0535"/>
    <w:rsid w:val="00EA0AB8"/>
    <w:rsid w:val="00EA0DFB"/>
    <w:rsid w:val="00EA1382"/>
    <w:rsid w:val="00EA1C59"/>
    <w:rsid w:val="00EA21D7"/>
    <w:rsid w:val="00EA23BC"/>
    <w:rsid w:val="00EA2EC5"/>
    <w:rsid w:val="00EA2F91"/>
    <w:rsid w:val="00EA362F"/>
    <w:rsid w:val="00EA3AEB"/>
    <w:rsid w:val="00EA3B04"/>
    <w:rsid w:val="00EA4C9E"/>
    <w:rsid w:val="00EA568A"/>
    <w:rsid w:val="00EA5B51"/>
    <w:rsid w:val="00EA64AF"/>
    <w:rsid w:val="00EA6C85"/>
    <w:rsid w:val="00EA71A7"/>
    <w:rsid w:val="00EA75E5"/>
    <w:rsid w:val="00EA776A"/>
    <w:rsid w:val="00EA789D"/>
    <w:rsid w:val="00EA7AB8"/>
    <w:rsid w:val="00EB05B1"/>
    <w:rsid w:val="00EB0C5C"/>
    <w:rsid w:val="00EB1562"/>
    <w:rsid w:val="00EB165F"/>
    <w:rsid w:val="00EB16EC"/>
    <w:rsid w:val="00EB1A55"/>
    <w:rsid w:val="00EB23A9"/>
    <w:rsid w:val="00EB32A9"/>
    <w:rsid w:val="00EB34A2"/>
    <w:rsid w:val="00EB3C87"/>
    <w:rsid w:val="00EB44C9"/>
    <w:rsid w:val="00EB462F"/>
    <w:rsid w:val="00EB48B2"/>
    <w:rsid w:val="00EB5D58"/>
    <w:rsid w:val="00EB6101"/>
    <w:rsid w:val="00EB6114"/>
    <w:rsid w:val="00EB62DF"/>
    <w:rsid w:val="00EB65F4"/>
    <w:rsid w:val="00EB6925"/>
    <w:rsid w:val="00EB6D80"/>
    <w:rsid w:val="00EB7622"/>
    <w:rsid w:val="00EB76DC"/>
    <w:rsid w:val="00EB7E05"/>
    <w:rsid w:val="00EC0081"/>
    <w:rsid w:val="00EC1E31"/>
    <w:rsid w:val="00EC21D7"/>
    <w:rsid w:val="00EC238C"/>
    <w:rsid w:val="00EC2BD1"/>
    <w:rsid w:val="00EC2F82"/>
    <w:rsid w:val="00EC2FDC"/>
    <w:rsid w:val="00EC31CB"/>
    <w:rsid w:val="00EC3E54"/>
    <w:rsid w:val="00EC3FD6"/>
    <w:rsid w:val="00EC4151"/>
    <w:rsid w:val="00EC49E6"/>
    <w:rsid w:val="00EC4AAF"/>
    <w:rsid w:val="00EC50D0"/>
    <w:rsid w:val="00EC5FCD"/>
    <w:rsid w:val="00EC6992"/>
    <w:rsid w:val="00EC6EDF"/>
    <w:rsid w:val="00EC7507"/>
    <w:rsid w:val="00EC7779"/>
    <w:rsid w:val="00EC7A27"/>
    <w:rsid w:val="00ED15F8"/>
    <w:rsid w:val="00ED16F7"/>
    <w:rsid w:val="00ED1FE0"/>
    <w:rsid w:val="00ED25D0"/>
    <w:rsid w:val="00ED30A4"/>
    <w:rsid w:val="00ED3BA8"/>
    <w:rsid w:val="00ED4252"/>
    <w:rsid w:val="00ED49EF"/>
    <w:rsid w:val="00ED5D30"/>
    <w:rsid w:val="00ED6149"/>
    <w:rsid w:val="00ED6225"/>
    <w:rsid w:val="00ED6632"/>
    <w:rsid w:val="00ED6A33"/>
    <w:rsid w:val="00ED7B9C"/>
    <w:rsid w:val="00EE0226"/>
    <w:rsid w:val="00EE04A7"/>
    <w:rsid w:val="00EE13CE"/>
    <w:rsid w:val="00EE1669"/>
    <w:rsid w:val="00EE1678"/>
    <w:rsid w:val="00EE180D"/>
    <w:rsid w:val="00EE1C04"/>
    <w:rsid w:val="00EE26CB"/>
    <w:rsid w:val="00EE2F17"/>
    <w:rsid w:val="00EE3353"/>
    <w:rsid w:val="00EE3616"/>
    <w:rsid w:val="00EE3884"/>
    <w:rsid w:val="00EE3C71"/>
    <w:rsid w:val="00EE413E"/>
    <w:rsid w:val="00EE4763"/>
    <w:rsid w:val="00EE5308"/>
    <w:rsid w:val="00EE5519"/>
    <w:rsid w:val="00EE5ECB"/>
    <w:rsid w:val="00EE60AB"/>
    <w:rsid w:val="00EE6296"/>
    <w:rsid w:val="00EE6391"/>
    <w:rsid w:val="00EE6FB2"/>
    <w:rsid w:val="00EE747D"/>
    <w:rsid w:val="00EF0332"/>
    <w:rsid w:val="00EF03C5"/>
    <w:rsid w:val="00EF04AF"/>
    <w:rsid w:val="00EF08C8"/>
    <w:rsid w:val="00EF133C"/>
    <w:rsid w:val="00EF14B4"/>
    <w:rsid w:val="00EF17F7"/>
    <w:rsid w:val="00EF1BB2"/>
    <w:rsid w:val="00EF1DFA"/>
    <w:rsid w:val="00EF2D6B"/>
    <w:rsid w:val="00EF36C1"/>
    <w:rsid w:val="00EF3C37"/>
    <w:rsid w:val="00EF3E58"/>
    <w:rsid w:val="00EF3E5D"/>
    <w:rsid w:val="00EF45D8"/>
    <w:rsid w:val="00EF4FD9"/>
    <w:rsid w:val="00EF50E8"/>
    <w:rsid w:val="00EF53C2"/>
    <w:rsid w:val="00EF5652"/>
    <w:rsid w:val="00EF5B4A"/>
    <w:rsid w:val="00EF5CED"/>
    <w:rsid w:val="00EF5DE9"/>
    <w:rsid w:val="00EF6CB7"/>
    <w:rsid w:val="00F00022"/>
    <w:rsid w:val="00F00117"/>
    <w:rsid w:val="00F00149"/>
    <w:rsid w:val="00F00218"/>
    <w:rsid w:val="00F0087D"/>
    <w:rsid w:val="00F00BBB"/>
    <w:rsid w:val="00F0109F"/>
    <w:rsid w:val="00F01C45"/>
    <w:rsid w:val="00F0237A"/>
    <w:rsid w:val="00F02E87"/>
    <w:rsid w:val="00F02F4C"/>
    <w:rsid w:val="00F032CC"/>
    <w:rsid w:val="00F0395F"/>
    <w:rsid w:val="00F0413C"/>
    <w:rsid w:val="00F04662"/>
    <w:rsid w:val="00F04B98"/>
    <w:rsid w:val="00F051D4"/>
    <w:rsid w:val="00F05C28"/>
    <w:rsid w:val="00F05E5A"/>
    <w:rsid w:val="00F060E0"/>
    <w:rsid w:val="00F067D0"/>
    <w:rsid w:val="00F06A4B"/>
    <w:rsid w:val="00F06F22"/>
    <w:rsid w:val="00F07073"/>
    <w:rsid w:val="00F07D3E"/>
    <w:rsid w:val="00F10B2E"/>
    <w:rsid w:val="00F10B8D"/>
    <w:rsid w:val="00F10DB0"/>
    <w:rsid w:val="00F11063"/>
    <w:rsid w:val="00F112B5"/>
    <w:rsid w:val="00F1180E"/>
    <w:rsid w:val="00F11894"/>
    <w:rsid w:val="00F12165"/>
    <w:rsid w:val="00F1274D"/>
    <w:rsid w:val="00F12FE9"/>
    <w:rsid w:val="00F13653"/>
    <w:rsid w:val="00F13DF4"/>
    <w:rsid w:val="00F14211"/>
    <w:rsid w:val="00F146DE"/>
    <w:rsid w:val="00F15498"/>
    <w:rsid w:val="00F1570D"/>
    <w:rsid w:val="00F160CE"/>
    <w:rsid w:val="00F162C1"/>
    <w:rsid w:val="00F1694C"/>
    <w:rsid w:val="00F17B68"/>
    <w:rsid w:val="00F17CF3"/>
    <w:rsid w:val="00F202A0"/>
    <w:rsid w:val="00F205C8"/>
    <w:rsid w:val="00F20E49"/>
    <w:rsid w:val="00F21277"/>
    <w:rsid w:val="00F21380"/>
    <w:rsid w:val="00F21430"/>
    <w:rsid w:val="00F2155D"/>
    <w:rsid w:val="00F21570"/>
    <w:rsid w:val="00F23222"/>
    <w:rsid w:val="00F238E2"/>
    <w:rsid w:val="00F2458A"/>
    <w:rsid w:val="00F24652"/>
    <w:rsid w:val="00F2468B"/>
    <w:rsid w:val="00F24CC8"/>
    <w:rsid w:val="00F24D15"/>
    <w:rsid w:val="00F25205"/>
    <w:rsid w:val="00F25735"/>
    <w:rsid w:val="00F25965"/>
    <w:rsid w:val="00F26D40"/>
    <w:rsid w:val="00F271DD"/>
    <w:rsid w:val="00F276E6"/>
    <w:rsid w:val="00F305CF"/>
    <w:rsid w:val="00F30A9A"/>
    <w:rsid w:val="00F316D9"/>
    <w:rsid w:val="00F31D40"/>
    <w:rsid w:val="00F3219B"/>
    <w:rsid w:val="00F33015"/>
    <w:rsid w:val="00F333EA"/>
    <w:rsid w:val="00F333F0"/>
    <w:rsid w:val="00F3366F"/>
    <w:rsid w:val="00F33746"/>
    <w:rsid w:val="00F33AB5"/>
    <w:rsid w:val="00F33B6D"/>
    <w:rsid w:val="00F33C27"/>
    <w:rsid w:val="00F33E51"/>
    <w:rsid w:val="00F34E53"/>
    <w:rsid w:val="00F35A33"/>
    <w:rsid w:val="00F35E3E"/>
    <w:rsid w:val="00F36321"/>
    <w:rsid w:val="00F36B78"/>
    <w:rsid w:val="00F36FE1"/>
    <w:rsid w:val="00F37465"/>
    <w:rsid w:val="00F37C7A"/>
    <w:rsid w:val="00F40D4A"/>
    <w:rsid w:val="00F41408"/>
    <w:rsid w:val="00F424A8"/>
    <w:rsid w:val="00F424B3"/>
    <w:rsid w:val="00F426CA"/>
    <w:rsid w:val="00F42924"/>
    <w:rsid w:val="00F42EDD"/>
    <w:rsid w:val="00F43237"/>
    <w:rsid w:val="00F44867"/>
    <w:rsid w:val="00F44A63"/>
    <w:rsid w:val="00F454C0"/>
    <w:rsid w:val="00F46316"/>
    <w:rsid w:val="00F4662F"/>
    <w:rsid w:val="00F466B8"/>
    <w:rsid w:val="00F469F6"/>
    <w:rsid w:val="00F46A89"/>
    <w:rsid w:val="00F46B9F"/>
    <w:rsid w:val="00F474E1"/>
    <w:rsid w:val="00F477D8"/>
    <w:rsid w:val="00F47C7C"/>
    <w:rsid w:val="00F47E81"/>
    <w:rsid w:val="00F5113A"/>
    <w:rsid w:val="00F512AE"/>
    <w:rsid w:val="00F51BCE"/>
    <w:rsid w:val="00F51BF0"/>
    <w:rsid w:val="00F51EE5"/>
    <w:rsid w:val="00F52545"/>
    <w:rsid w:val="00F527B4"/>
    <w:rsid w:val="00F52865"/>
    <w:rsid w:val="00F52CE7"/>
    <w:rsid w:val="00F531B1"/>
    <w:rsid w:val="00F54CB6"/>
    <w:rsid w:val="00F560AF"/>
    <w:rsid w:val="00F560E2"/>
    <w:rsid w:val="00F5668B"/>
    <w:rsid w:val="00F566B7"/>
    <w:rsid w:val="00F56F14"/>
    <w:rsid w:val="00F570D3"/>
    <w:rsid w:val="00F57907"/>
    <w:rsid w:val="00F60613"/>
    <w:rsid w:val="00F60CC2"/>
    <w:rsid w:val="00F6129D"/>
    <w:rsid w:val="00F61F56"/>
    <w:rsid w:val="00F62361"/>
    <w:rsid w:val="00F62510"/>
    <w:rsid w:val="00F6274B"/>
    <w:rsid w:val="00F62EA8"/>
    <w:rsid w:val="00F632A6"/>
    <w:rsid w:val="00F6343F"/>
    <w:rsid w:val="00F63504"/>
    <w:rsid w:val="00F63688"/>
    <w:rsid w:val="00F63753"/>
    <w:rsid w:val="00F63999"/>
    <w:rsid w:val="00F648A1"/>
    <w:rsid w:val="00F64CA9"/>
    <w:rsid w:val="00F651E6"/>
    <w:rsid w:val="00F6535C"/>
    <w:rsid w:val="00F65D4C"/>
    <w:rsid w:val="00F65DE9"/>
    <w:rsid w:val="00F65E44"/>
    <w:rsid w:val="00F6627F"/>
    <w:rsid w:val="00F6706C"/>
    <w:rsid w:val="00F67070"/>
    <w:rsid w:val="00F70148"/>
    <w:rsid w:val="00F701EF"/>
    <w:rsid w:val="00F70839"/>
    <w:rsid w:val="00F71421"/>
    <w:rsid w:val="00F71684"/>
    <w:rsid w:val="00F71A4E"/>
    <w:rsid w:val="00F71BE3"/>
    <w:rsid w:val="00F71BEF"/>
    <w:rsid w:val="00F71CF3"/>
    <w:rsid w:val="00F724F8"/>
    <w:rsid w:val="00F728F1"/>
    <w:rsid w:val="00F72991"/>
    <w:rsid w:val="00F72C80"/>
    <w:rsid w:val="00F72F23"/>
    <w:rsid w:val="00F7330F"/>
    <w:rsid w:val="00F73753"/>
    <w:rsid w:val="00F74665"/>
    <w:rsid w:val="00F74B79"/>
    <w:rsid w:val="00F74C91"/>
    <w:rsid w:val="00F74E52"/>
    <w:rsid w:val="00F74EE1"/>
    <w:rsid w:val="00F74F6A"/>
    <w:rsid w:val="00F74F88"/>
    <w:rsid w:val="00F754B1"/>
    <w:rsid w:val="00F775AE"/>
    <w:rsid w:val="00F7770C"/>
    <w:rsid w:val="00F77B1F"/>
    <w:rsid w:val="00F77BB7"/>
    <w:rsid w:val="00F77D04"/>
    <w:rsid w:val="00F77DF9"/>
    <w:rsid w:val="00F8001F"/>
    <w:rsid w:val="00F800C8"/>
    <w:rsid w:val="00F8032D"/>
    <w:rsid w:val="00F8035E"/>
    <w:rsid w:val="00F804F8"/>
    <w:rsid w:val="00F81A13"/>
    <w:rsid w:val="00F8238C"/>
    <w:rsid w:val="00F8330F"/>
    <w:rsid w:val="00F839BB"/>
    <w:rsid w:val="00F845E3"/>
    <w:rsid w:val="00F846BB"/>
    <w:rsid w:val="00F84740"/>
    <w:rsid w:val="00F847A1"/>
    <w:rsid w:val="00F8484E"/>
    <w:rsid w:val="00F84A84"/>
    <w:rsid w:val="00F84E0C"/>
    <w:rsid w:val="00F852C8"/>
    <w:rsid w:val="00F85816"/>
    <w:rsid w:val="00F8633A"/>
    <w:rsid w:val="00F86449"/>
    <w:rsid w:val="00F871C2"/>
    <w:rsid w:val="00F87223"/>
    <w:rsid w:val="00F90464"/>
    <w:rsid w:val="00F904B4"/>
    <w:rsid w:val="00F9115B"/>
    <w:rsid w:val="00F91202"/>
    <w:rsid w:val="00F91541"/>
    <w:rsid w:val="00F91D80"/>
    <w:rsid w:val="00F91F46"/>
    <w:rsid w:val="00F9202A"/>
    <w:rsid w:val="00F928D7"/>
    <w:rsid w:val="00F937B6"/>
    <w:rsid w:val="00F95017"/>
    <w:rsid w:val="00F954CD"/>
    <w:rsid w:val="00F955F0"/>
    <w:rsid w:val="00F96314"/>
    <w:rsid w:val="00F968A5"/>
    <w:rsid w:val="00F96BF1"/>
    <w:rsid w:val="00F97393"/>
    <w:rsid w:val="00F974EA"/>
    <w:rsid w:val="00FA011C"/>
    <w:rsid w:val="00FA0AB5"/>
    <w:rsid w:val="00FA11AB"/>
    <w:rsid w:val="00FA123D"/>
    <w:rsid w:val="00FA12BB"/>
    <w:rsid w:val="00FA1578"/>
    <w:rsid w:val="00FA17AC"/>
    <w:rsid w:val="00FA199C"/>
    <w:rsid w:val="00FA1B9B"/>
    <w:rsid w:val="00FA23A1"/>
    <w:rsid w:val="00FA2983"/>
    <w:rsid w:val="00FA2A34"/>
    <w:rsid w:val="00FA2DCC"/>
    <w:rsid w:val="00FA2EB0"/>
    <w:rsid w:val="00FA3452"/>
    <w:rsid w:val="00FA3B2F"/>
    <w:rsid w:val="00FA4001"/>
    <w:rsid w:val="00FA5028"/>
    <w:rsid w:val="00FA504B"/>
    <w:rsid w:val="00FA54F3"/>
    <w:rsid w:val="00FA5621"/>
    <w:rsid w:val="00FA66AB"/>
    <w:rsid w:val="00FA6BDA"/>
    <w:rsid w:val="00FA6C4C"/>
    <w:rsid w:val="00FA6FB0"/>
    <w:rsid w:val="00FA71A2"/>
    <w:rsid w:val="00FA7631"/>
    <w:rsid w:val="00FA7A1D"/>
    <w:rsid w:val="00FB02B4"/>
    <w:rsid w:val="00FB0537"/>
    <w:rsid w:val="00FB12BE"/>
    <w:rsid w:val="00FB1B5C"/>
    <w:rsid w:val="00FB1EDC"/>
    <w:rsid w:val="00FB1F79"/>
    <w:rsid w:val="00FB2746"/>
    <w:rsid w:val="00FB2787"/>
    <w:rsid w:val="00FB27DD"/>
    <w:rsid w:val="00FB2F2E"/>
    <w:rsid w:val="00FB3321"/>
    <w:rsid w:val="00FB3874"/>
    <w:rsid w:val="00FB4606"/>
    <w:rsid w:val="00FB59FD"/>
    <w:rsid w:val="00FB5AE6"/>
    <w:rsid w:val="00FB6179"/>
    <w:rsid w:val="00FB6468"/>
    <w:rsid w:val="00FB6D73"/>
    <w:rsid w:val="00FB6ED1"/>
    <w:rsid w:val="00FB7253"/>
    <w:rsid w:val="00FB74D1"/>
    <w:rsid w:val="00FC022C"/>
    <w:rsid w:val="00FC0709"/>
    <w:rsid w:val="00FC09B8"/>
    <w:rsid w:val="00FC142C"/>
    <w:rsid w:val="00FC16E2"/>
    <w:rsid w:val="00FC1AF4"/>
    <w:rsid w:val="00FC1F2D"/>
    <w:rsid w:val="00FC39AD"/>
    <w:rsid w:val="00FC4469"/>
    <w:rsid w:val="00FC45BB"/>
    <w:rsid w:val="00FC533E"/>
    <w:rsid w:val="00FC5E60"/>
    <w:rsid w:val="00FC642F"/>
    <w:rsid w:val="00FC66A4"/>
    <w:rsid w:val="00FC7080"/>
    <w:rsid w:val="00FC70DE"/>
    <w:rsid w:val="00FC73EB"/>
    <w:rsid w:val="00FC74C7"/>
    <w:rsid w:val="00FC74DF"/>
    <w:rsid w:val="00FC7578"/>
    <w:rsid w:val="00FC7C14"/>
    <w:rsid w:val="00FD046D"/>
    <w:rsid w:val="00FD063E"/>
    <w:rsid w:val="00FD06CC"/>
    <w:rsid w:val="00FD09D3"/>
    <w:rsid w:val="00FD11E1"/>
    <w:rsid w:val="00FD1307"/>
    <w:rsid w:val="00FD1359"/>
    <w:rsid w:val="00FD1516"/>
    <w:rsid w:val="00FD18B1"/>
    <w:rsid w:val="00FD1E82"/>
    <w:rsid w:val="00FD220E"/>
    <w:rsid w:val="00FD2824"/>
    <w:rsid w:val="00FD2A2B"/>
    <w:rsid w:val="00FD2F42"/>
    <w:rsid w:val="00FD31B3"/>
    <w:rsid w:val="00FD3663"/>
    <w:rsid w:val="00FD483C"/>
    <w:rsid w:val="00FD5549"/>
    <w:rsid w:val="00FD5709"/>
    <w:rsid w:val="00FD58A7"/>
    <w:rsid w:val="00FD59E5"/>
    <w:rsid w:val="00FD5DEF"/>
    <w:rsid w:val="00FD5EF7"/>
    <w:rsid w:val="00FD5F4D"/>
    <w:rsid w:val="00FD614B"/>
    <w:rsid w:val="00FD66F6"/>
    <w:rsid w:val="00FD671F"/>
    <w:rsid w:val="00FD6809"/>
    <w:rsid w:val="00FD7DEF"/>
    <w:rsid w:val="00FE173D"/>
    <w:rsid w:val="00FE1CCE"/>
    <w:rsid w:val="00FE21DB"/>
    <w:rsid w:val="00FE21FD"/>
    <w:rsid w:val="00FE2696"/>
    <w:rsid w:val="00FE31A5"/>
    <w:rsid w:val="00FE393D"/>
    <w:rsid w:val="00FE4CF2"/>
    <w:rsid w:val="00FE4D84"/>
    <w:rsid w:val="00FE5057"/>
    <w:rsid w:val="00FE5156"/>
    <w:rsid w:val="00FE5612"/>
    <w:rsid w:val="00FE6A11"/>
    <w:rsid w:val="00FE7384"/>
    <w:rsid w:val="00FE755C"/>
    <w:rsid w:val="00FF0394"/>
    <w:rsid w:val="00FF0939"/>
    <w:rsid w:val="00FF112C"/>
    <w:rsid w:val="00FF1E5D"/>
    <w:rsid w:val="00FF2943"/>
    <w:rsid w:val="00FF2AF7"/>
    <w:rsid w:val="00FF2ED3"/>
    <w:rsid w:val="00FF32C3"/>
    <w:rsid w:val="00FF335F"/>
    <w:rsid w:val="00FF34C8"/>
    <w:rsid w:val="00FF34D2"/>
    <w:rsid w:val="00FF43CE"/>
    <w:rsid w:val="00FF4A6E"/>
    <w:rsid w:val="00FF5B93"/>
    <w:rsid w:val="00FF639E"/>
    <w:rsid w:val="00FF68C3"/>
    <w:rsid w:val="00FF6E65"/>
    <w:rsid w:val="00FF6EBA"/>
    <w:rsid w:val="00FF742D"/>
    <w:rsid w:val="00FF76A4"/>
    <w:rsid w:val="00FF7E3F"/>
    <w:rsid w:val="01063344"/>
    <w:rsid w:val="0136339A"/>
    <w:rsid w:val="0145FB17"/>
    <w:rsid w:val="01463205"/>
    <w:rsid w:val="015D3760"/>
    <w:rsid w:val="01647B1B"/>
    <w:rsid w:val="0172A386"/>
    <w:rsid w:val="01A61227"/>
    <w:rsid w:val="01C5A2A7"/>
    <w:rsid w:val="0238A95F"/>
    <w:rsid w:val="0242B5FB"/>
    <w:rsid w:val="024A5AEE"/>
    <w:rsid w:val="025D2082"/>
    <w:rsid w:val="0270A880"/>
    <w:rsid w:val="02943541"/>
    <w:rsid w:val="02B98BEA"/>
    <w:rsid w:val="02D094BE"/>
    <w:rsid w:val="0307A239"/>
    <w:rsid w:val="0308424D"/>
    <w:rsid w:val="030D07AA"/>
    <w:rsid w:val="0324CE46"/>
    <w:rsid w:val="03351A7A"/>
    <w:rsid w:val="0339B41F"/>
    <w:rsid w:val="033BC129"/>
    <w:rsid w:val="033F10B7"/>
    <w:rsid w:val="03681B73"/>
    <w:rsid w:val="03E93711"/>
    <w:rsid w:val="03FA9686"/>
    <w:rsid w:val="03FF2835"/>
    <w:rsid w:val="03FF5E41"/>
    <w:rsid w:val="04187490"/>
    <w:rsid w:val="041D24C0"/>
    <w:rsid w:val="0435B4AA"/>
    <w:rsid w:val="048391D9"/>
    <w:rsid w:val="04CEE521"/>
    <w:rsid w:val="04D8AAD2"/>
    <w:rsid w:val="04E4691D"/>
    <w:rsid w:val="04E6DE8E"/>
    <w:rsid w:val="04EF8AF7"/>
    <w:rsid w:val="0524EB70"/>
    <w:rsid w:val="0530EE6B"/>
    <w:rsid w:val="05330037"/>
    <w:rsid w:val="057F6162"/>
    <w:rsid w:val="0580D853"/>
    <w:rsid w:val="059727FE"/>
    <w:rsid w:val="060290AA"/>
    <w:rsid w:val="0618F8F8"/>
    <w:rsid w:val="06629F12"/>
    <w:rsid w:val="068B5B58"/>
    <w:rsid w:val="069D1B6C"/>
    <w:rsid w:val="06A69CB3"/>
    <w:rsid w:val="06DA0412"/>
    <w:rsid w:val="06E4DF77"/>
    <w:rsid w:val="070B87FC"/>
    <w:rsid w:val="0715B848"/>
    <w:rsid w:val="0740661B"/>
    <w:rsid w:val="074A1D15"/>
    <w:rsid w:val="0765BA2A"/>
    <w:rsid w:val="0783F9D0"/>
    <w:rsid w:val="07A1A8FC"/>
    <w:rsid w:val="07AF0B2A"/>
    <w:rsid w:val="07F9EFA6"/>
    <w:rsid w:val="0815FA52"/>
    <w:rsid w:val="082C49FD"/>
    <w:rsid w:val="0834EA95"/>
    <w:rsid w:val="0836AC75"/>
    <w:rsid w:val="0859F38D"/>
    <w:rsid w:val="08769EBC"/>
    <w:rsid w:val="08911C20"/>
    <w:rsid w:val="08CE8397"/>
    <w:rsid w:val="08DC5B1C"/>
    <w:rsid w:val="09042D9F"/>
    <w:rsid w:val="090715FE"/>
    <w:rsid w:val="0927348A"/>
    <w:rsid w:val="092FE701"/>
    <w:rsid w:val="093BE5C6"/>
    <w:rsid w:val="0949E344"/>
    <w:rsid w:val="09D3D122"/>
    <w:rsid w:val="09D4BC2E"/>
    <w:rsid w:val="09DFC54F"/>
    <w:rsid w:val="09F76614"/>
    <w:rsid w:val="0A03C3FC"/>
    <w:rsid w:val="0A4D4D77"/>
    <w:rsid w:val="0A4F47B2"/>
    <w:rsid w:val="0A811427"/>
    <w:rsid w:val="0ABA2A8C"/>
    <w:rsid w:val="0AC6C9CC"/>
    <w:rsid w:val="0AE53079"/>
    <w:rsid w:val="0B03ACF2"/>
    <w:rsid w:val="0B10B393"/>
    <w:rsid w:val="0B15BCAA"/>
    <w:rsid w:val="0B2AFE52"/>
    <w:rsid w:val="0B6B0DFC"/>
    <w:rsid w:val="0B708C8F"/>
    <w:rsid w:val="0BCA9A10"/>
    <w:rsid w:val="0BCE3AA6"/>
    <w:rsid w:val="0C22016C"/>
    <w:rsid w:val="0C2BF5E7"/>
    <w:rsid w:val="0C67BAB7"/>
    <w:rsid w:val="0CA20FED"/>
    <w:rsid w:val="0CA2E806"/>
    <w:rsid w:val="0CE28425"/>
    <w:rsid w:val="0D0C5CF0"/>
    <w:rsid w:val="0D1CADE3"/>
    <w:rsid w:val="0D618A0C"/>
    <w:rsid w:val="0D696696"/>
    <w:rsid w:val="0D6F52AC"/>
    <w:rsid w:val="0D732344"/>
    <w:rsid w:val="0D735953"/>
    <w:rsid w:val="0DE9E8B4"/>
    <w:rsid w:val="0DEC1198"/>
    <w:rsid w:val="0E01DD10"/>
    <w:rsid w:val="0E0501E6"/>
    <w:rsid w:val="0E09C743"/>
    <w:rsid w:val="0E404A5B"/>
    <w:rsid w:val="0E66B79F"/>
    <w:rsid w:val="0E76C386"/>
    <w:rsid w:val="0ED8466E"/>
    <w:rsid w:val="0EEDB025"/>
    <w:rsid w:val="0EF22088"/>
    <w:rsid w:val="0F28EA12"/>
    <w:rsid w:val="0F663C18"/>
    <w:rsid w:val="0F6A21D2"/>
    <w:rsid w:val="0FFC4CA8"/>
    <w:rsid w:val="102BD2C0"/>
    <w:rsid w:val="1037B2B3"/>
    <w:rsid w:val="107BEE2A"/>
    <w:rsid w:val="10955E88"/>
    <w:rsid w:val="10FE44FA"/>
    <w:rsid w:val="1117D3E6"/>
    <w:rsid w:val="11231C9B"/>
    <w:rsid w:val="113049D4"/>
    <w:rsid w:val="1139A3A4"/>
    <w:rsid w:val="113B7700"/>
    <w:rsid w:val="11581293"/>
    <w:rsid w:val="116A7C39"/>
    <w:rsid w:val="11791489"/>
    <w:rsid w:val="117BFB37"/>
    <w:rsid w:val="118757A6"/>
    <w:rsid w:val="11A73657"/>
    <w:rsid w:val="11A84BA1"/>
    <w:rsid w:val="11C0650E"/>
    <w:rsid w:val="11DC48B9"/>
    <w:rsid w:val="1200F15E"/>
    <w:rsid w:val="120C857D"/>
    <w:rsid w:val="1246565F"/>
    <w:rsid w:val="126A9652"/>
    <w:rsid w:val="127EB473"/>
    <w:rsid w:val="128406B0"/>
    <w:rsid w:val="1288FEDE"/>
    <w:rsid w:val="12AD431D"/>
    <w:rsid w:val="12AF8D41"/>
    <w:rsid w:val="12D9FB0D"/>
    <w:rsid w:val="1312ECBC"/>
    <w:rsid w:val="134135D4"/>
    <w:rsid w:val="1342ACC5"/>
    <w:rsid w:val="13E9596D"/>
    <w:rsid w:val="13F7BB92"/>
    <w:rsid w:val="140348A1"/>
    <w:rsid w:val="141C48B4"/>
    <w:rsid w:val="143C204B"/>
    <w:rsid w:val="143F80C8"/>
    <w:rsid w:val="144616F8"/>
    <w:rsid w:val="145E1065"/>
    <w:rsid w:val="1462D5C2"/>
    <w:rsid w:val="148165D1"/>
    <w:rsid w:val="148B0DE7"/>
    <w:rsid w:val="149D8246"/>
    <w:rsid w:val="14AC8A38"/>
    <w:rsid w:val="14B7D898"/>
    <w:rsid w:val="14BF934D"/>
    <w:rsid w:val="14CA11EC"/>
    <w:rsid w:val="14CC3505"/>
    <w:rsid w:val="14FEA190"/>
    <w:rsid w:val="151C50D8"/>
    <w:rsid w:val="1529EB1B"/>
    <w:rsid w:val="152A923A"/>
    <w:rsid w:val="154822A3"/>
    <w:rsid w:val="1570A706"/>
    <w:rsid w:val="15B8E5E6"/>
    <w:rsid w:val="15C153BE"/>
    <w:rsid w:val="161F3C3A"/>
    <w:rsid w:val="163C79D5"/>
    <w:rsid w:val="16404ED0"/>
    <w:rsid w:val="1644FDD8"/>
    <w:rsid w:val="16603065"/>
    <w:rsid w:val="166AAD2F"/>
    <w:rsid w:val="1691AF7C"/>
    <w:rsid w:val="16C5344A"/>
    <w:rsid w:val="16D4FCA9"/>
    <w:rsid w:val="16DCB75E"/>
    <w:rsid w:val="16F4E3C6"/>
    <w:rsid w:val="16F627BC"/>
    <w:rsid w:val="1759092D"/>
    <w:rsid w:val="176885E6"/>
    <w:rsid w:val="17943A45"/>
    <w:rsid w:val="179519AF"/>
    <w:rsid w:val="179B55FA"/>
    <w:rsid w:val="17CE3D7A"/>
    <w:rsid w:val="17D8C922"/>
    <w:rsid w:val="17DEA32A"/>
    <w:rsid w:val="180C143A"/>
    <w:rsid w:val="18408BB4"/>
    <w:rsid w:val="1848FEA1"/>
    <w:rsid w:val="184D2CE0"/>
    <w:rsid w:val="18538CF3"/>
    <w:rsid w:val="18C83C72"/>
    <w:rsid w:val="19019BA4"/>
    <w:rsid w:val="191FA485"/>
    <w:rsid w:val="19227884"/>
    <w:rsid w:val="19413879"/>
    <w:rsid w:val="194F80CA"/>
    <w:rsid w:val="196EBDC2"/>
    <w:rsid w:val="1976503E"/>
    <w:rsid w:val="198A344A"/>
    <w:rsid w:val="1996F6DD"/>
    <w:rsid w:val="19B965F4"/>
    <w:rsid w:val="19BB472D"/>
    <w:rsid w:val="19D8E282"/>
    <w:rsid w:val="19E544BF"/>
    <w:rsid w:val="19E83A17"/>
    <w:rsid w:val="19F43144"/>
    <w:rsid w:val="19F8714E"/>
    <w:rsid w:val="1A1AD4B9"/>
    <w:rsid w:val="1A1C8979"/>
    <w:rsid w:val="1A22008B"/>
    <w:rsid w:val="1A24F52E"/>
    <w:rsid w:val="1A2A44CA"/>
    <w:rsid w:val="1A3ECF08"/>
    <w:rsid w:val="1A7613FC"/>
    <w:rsid w:val="1A886D32"/>
    <w:rsid w:val="1AA9C0C0"/>
    <w:rsid w:val="1AD1D35F"/>
    <w:rsid w:val="1AE0CE3B"/>
    <w:rsid w:val="1AE9DEFD"/>
    <w:rsid w:val="1B2D7F82"/>
    <w:rsid w:val="1B329E0F"/>
    <w:rsid w:val="1B65CA78"/>
    <w:rsid w:val="1B7B8D5D"/>
    <w:rsid w:val="1B97164F"/>
    <w:rsid w:val="1BC660C8"/>
    <w:rsid w:val="1BCA8955"/>
    <w:rsid w:val="1BDE86C9"/>
    <w:rsid w:val="1BFC3B34"/>
    <w:rsid w:val="1C1A950E"/>
    <w:rsid w:val="1C2CC9A3"/>
    <w:rsid w:val="1C4E5540"/>
    <w:rsid w:val="1C4FB431"/>
    <w:rsid w:val="1C614AEF"/>
    <w:rsid w:val="1C65C84B"/>
    <w:rsid w:val="1C6828B3"/>
    <w:rsid w:val="1C90EAEF"/>
    <w:rsid w:val="1C997B2E"/>
    <w:rsid w:val="1CD8B9B2"/>
    <w:rsid w:val="1CE56BBE"/>
    <w:rsid w:val="1CF953D0"/>
    <w:rsid w:val="1CFF8F3F"/>
    <w:rsid w:val="1D1A2653"/>
    <w:rsid w:val="1D21A7A0"/>
    <w:rsid w:val="1D40FB38"/>
    <w:rsid w:val="1D9C5180"/>
    <w:rsid w:val="1DA4C4F6"/>
    <w:rsid w:val="1E6C69E0"/>
    <w:rsid w:val="1EAFB70D"/>
    <w:rsid w:val="1EC8F49A"/>
    <w:rsid w:val="1ECAD56C"/>
    <w:rsid w:val="1EE2A776"/>
    <w:rsid w:val="1EF3C808"/>
    <w:rsid w:val="1F03C2D9"/>
    <w:rsid w:val="1F0D2B57"/>
    <w:rsid w:val="1F40F9FE"/>
    <w:rsid w:val="1F531549"/>
    <w:rsid w:val="1F85F0ED"/>
    <w:rsid w:val="1F8623BE"/>
    <w:rsid w:val="1FD156FB"/>
    <w:rsid w:val="1FDCF46A"/>
    <w:rsid w:val="1FED1004"/>
    <w:rsid w:val="1FF93981"/>
    <w:rsid w:val="20486AB5"/>
    <w:rsid w:val="2055F3C8"/>
    <w:rsid w:val="20837CFE"/>
    <w:rsid w:val="20898DF1"/>
    <w:rsid w:val="20C80D94"/>
    <w:rsid w:val="20D4C12E"/>
    <w:rsid w:val="20E39671"/>
    <w:rsid w:val="20EA7F6D"/>
    <w:rsid w:val="20FB4609"/>
    <w:rsid w:val="211B93B5"/>
    <w:rsid w:val="21219C6E"/>
    <w:rsid w:val="21497826"/>
    <w:rsid w:val="2161DDB5"/>
    <w:rsid w:val="217279FF"/>
    <w:rsid w:val="217EED71"/>
    <w:rsid w:val="218661AB"/>
    <w:rsid w:val="218FF051"/>
    <w:rsid w:val="21A1C968"/>
    <w:rsid w:val="21CA9786"/>
    <w:rsid w:val="21CDEB2B"/>
    <w:rsid w:val="21D1D251"/>
    <w:rsid w:val="2226F71D"/>
    <w:rsid w:val="224B3897"/>
    <w:rsid w:val="22588FE8"/>
    <w:rsid w:val="228AAA78"/>
    <w:rsid w:val="228FA35D"/>
    <w:rsid w:val="22969EA5"/>
    <w:rsid w:val="22BCF07E"/>
    <w:rsid w:val="22D244C0"/>
    <w:rsid w:val="22F31721"/>
    <w:rsid w:val="230C4F40"/>
    <w:rsid w:val="2324B0C6"/>
    <w:rsid w:val="2336A95D"/>
    <w:rsid w:val="233885F0"/>
    <w:rsid w:val="23448B30"/>
    <w:rsid w:val="2369F8AC"/>
    <w:rsid w:val="23805326"/>
    <w:rsid w:val="23A4D384"/>
    <w:rsid w:val="23CC9600"/>
    <w:rsid w:val="23E34A52"/>
    <w:rsid w:val="243B8A81"/>
    <w:rsid w:val="24533477"/>
    <w:rsid w:val="248B86F5"/>
    <w:rsid w:val="24C5A871"/>
    <w:rsid w:val="24D7ECBE"/>
    <w:rsid w:val="2514F1BE"/>
    <w:rsid w:val="252879AE"/>
    <w:rsid w:val="25401E12"/>
    <w:rsid w:val="25AA0522"/>
    <w:rsid w:val="25ED5C11"/>
    <w:rsid w:val="2658E163"/>
    <w:rsid w:val="265A2583"/>
    <w:rsid w:val="2677171E"/>
    <w:rsid w:val="268DDD16"/>
    <w:rsid w:val="268E6EA8"/>
    <w:rsid w:val="26B04CB1"/>
    <w:rsid w:val="26B1C3A2"/>
    <w:rsid w:val="277A46CC"/>
    <w:rsid w:val="2790DDF2"/>
    <w:rsid w:val="27B8DB92"/>
    <w:rsid w:val="27BB3EC8"/>
    <w:rsid w:val="27CD1531"/>
    <w:rsid w:val="27CD482F"/>
    <w:rsid w:val="27CF5156"/>
    <w:rsid w:val="27D0100C"/>
    <w:rsid w:val="27E1359B"/>
    <w:rsid w:val="27E1BE71"/>
    <w:rsid w:val="2848CDAB"/>
    <w:rsid w:val="2895B220"/>
    <w:rsid w:val="28ABC974"/>
    <w:rsid w:val="28C0C6CE"/>
    <w:rsid w:val="28C3C1EC"/>
    <w:rsid w:val="28C7815C"/>
    <w:rsid w:val="28D166FD"/>
    <w:rsid w:val="28D4C1B8"/>
    <w:rsid w:val="29027BA3"/>
    <w:rsid w:val="29476E29"/>
    <w:rsid w:val="2951300C"/>
    <w:rsid w:val="29595884"/>
    <w:rsid w:val="295D681D"/>
    <w:rsid w:val="2961BEE3"/>
    <w:rsid w:val="2965181E"/>
    <w:rsid w:val="296BF8E3"/>
    <w:rsid w:val="297F69FA"/>
    <w:rsid w:val="2991619E"/>
    <w:rsid w:val="29ADED97"/>
    <w:rsid w:val="29AE2068"/>
    <w:rsid w:val="2A549A3F"/>
    <w:rsid w:val="2A67D57D"/>
    <w:rsid w:val="2A6C93AC"/>
    <w:rsid w:val="2A8193A3"/>
    <w:rsid w:val="2A841A48"/>
    <w:rsid w:val="2AF466A3"/>
    <w:rsid w:val="2AF4A4F7"/>
    <w:rsid w:val="2B216B96"/>
    <w:rsid w:val="2B3F0BA8"/>
    <w:rsid w:val="2B583743"/>
    <w:rsid w:val="2B599F63"/>
    <w:rsid w:val="2B681059"/>
    <w:rsid w:val="2B97B8D1"/>
    <w:rsid w:val="2B9B5E95"/>
    <w:rsid w:val="2BAFFCA0"/>
    <w:rsid w:val="2BC0FA0E"/>
    <w:rsid w:val="2BC88A02"/>
    <w:rsid w:val="2BCB11A8"/>
    <w:rsid w:val="2BCCBB6A"/>
    <w:rsid w:val="2C114CB7"/>
    <w:rsid w:val="2C11B259"/>
    <w:rsid w:val="2C2391CF"/>
    <w:rsid w:val="2C36F526"/>
    <w:rsid w:val="2C4E1010"/>
    <w:rsid w:val="2C5643A6"/>
    <w:rsid w:val="2C5E465C"/>
    <w:rsid w:val="2C8DFBCD"/>
    <w:rsid w:val="2C960786"/>
    <w:rsid w:val="2CD08AF8"/>
    <w:rsid w:val="2D1D9E18"/>
    <w:rsid w:val="2D55DE4A"/>
    <w:rsid w:val="2DA832DB"/>
    <w:rsid w:val="2DEBFADA"/>
    <w:rsid w:val="2E39CE60"/>
    <w:rsid w:val="2E551E88"/>
    <w:rsid w:val="2E5C01EC"/>
    <w:rsid w:val="2E782D14"/>
    <w:rsid w:val="2EA289F7"/>
    <w:rsid w:val="2ECC9997"/>
    <w:rsid w:val="2F02A2BA"/>
    <w:rsid w:val="2F0B2E5C"/>
    <w:rsid w:val="2F2609EF"/>
    <w:rsid w:val="2F28ABF6"/>
    <w:rsid w:val="2F39790A"/>
    <w:rsid w:val="2F3EA23F"/>
    <w:rsid w:val="2F4888D2"/>
    <w:rsid w:val="2F8DEC4B"/>
    <w:rsid w:val="2FB66DBE"/>
    <w:rsid w:val="2FC00535"/>
    <w:rsid w:val="2FDEC2FC"/>
    <w:rsid w:val="2FF2B6B7"/>
    <w:rsid w:val="300ED295"/>
    <w:rsid w:val="3023EDB1"/>
    <w:rsid w:val="3045D341"/>
    <w:rsid w:val="3052093A"/>
    <w:rsid w:val="30610DF8"/>
    <w:rsid w:val="306B890D"/>
    <w:rsid w:val="30B0DCE2"/>
    <w:rsid w:val="30BE2C39"/>
    <w:rsid w:val="30D1DC46"/>
    <w:rsid w:val="30FE9B03"/>
    <w:rsid w:val="3100BB26"/>
    <w:rsid w:val="31065FA2"/>
    <w:rsid w:val="31080964"/>
    <w:rsid w:val="313F5151"/>
    <w:rsid w:val="314DE647"/>
    <w:rsid w:val="3161D197"/>
    <w:rsid w:val="317FE513"/>
    <w:rsid w:val="31812017"/>
    <w:rsid w:val="31D4AA38"/>
    <w:rsid w:val="31F42D4D"/>
    <w:rsid w:val="3218927F"/>
    <w:rsid w:val="322044DB"/>
    <w:rsid w:val="3233B1EA"/>
    <w:rsid w:val="3251A8AE"/>
    <w:rsid w:val="325BCDAE"/>
    <w:rsid w:val="327EAC25"/>
    <w:rsid w:val="329438E4"/>
    <w:rsid w:val="32E43D2D"/>
    <w:rsid w:val="32E7BF30"/>
    <w:rsid w:val="330C58D6"/>
    <w:rsid w:val="333FCA98"/>
    <w:rsid w:val="33E148F4"/>
    <w:rsid w:val="3439F247"/>
    <w:rsid w:val="343F12AE"/>
    <w:rsid w:val="34492A48"/>
    <w:rsid w:val="3457BF3E"/>
    <w:rsid w:val="3457F20F"/>
    <w:rsid w:val="34660DC8"/>
    <w:rsid w:val="3489BAD1"/>
    <w:rsid w:val="34E78905"/>
    <w:rsid w:val="35040908"/>
    <w:rsid w:val="3512421F"/>
    <w:rsid w:val="35493EBF"/>
    <w:rsid w:val="355D5F18"/>
    <w:rsid w:val="35719489"/>
    <w:rsid w:val="35931ECB"/>
    <w:rsid w:val="35A5F4C9"/>
    <w:rsid w:val="35AE4A34"/>
    <w:rsid w:val="35D61CB7"/>
    <w:rsid w:val="35E7FEB3"/>
    <w:rsid w:val="3603E928"/>
    <w:rsid w:val="36263550"/>
    <w:rsid w:val="3632C2B1"/>
    <w:rsid w:val="364F990C"/>
    <w:rsid w:val="366E951D"/>
    <w:rsid w:val="3680EF0A"/>
    <w:rsid w:val="3694C2CC"/>
    <w:rsid w:val="36A37AE3"/>
    <w:rsid w:val="36CF3214"/>
    <w:rsid w:val="37234336"/>
    <w:rsid w:val="372A8319"/>
    <w:rsid w:val="373992E1"/>
    <w:rsid w:val="379CF25C"/>
    <w:rsid w:val="37EE079A"/>
    <w:rsid w:val="3809EE9F"/>
    <w:rsid w:val="382ED8E2"/>
    <w:rsid w:val="3851724A"/>
    <w:rsid w:val="385E653E"/>
    <w:rsid w:val="38839DC5"/>
    <w:rsid w:val="38912312"/>
    <w:rsid w:val="38C45B3C"/>
    <w:rsid w:val="38CF4FB5"/>
    <w:rsid w:val="38D53586"/>
    <w:rsid w:val="38EF5A19"/>
    <w:rsid w:val="39110CE0"/>
    <w:rsid w:val="39124665"/>
    <w:rsid w:val="391F0992"/>
    <w:rsid w:val="3932B924"/>
    <w:rsid w:val="39549125"/>
    <w:rsid w:val="396ECECF"/>
    <w:rsid w:val="398E8FDC"/>
    <w:rsid w:val="3993B22C"/>
    <w:rsid w:val="399A0B20"/>
    <w:rsid w:val="39B88FCC"/>
    <w:rsid w:val="39D386CB"/>
    <w:rsid w:val="39D5B2D0"/>
    <w:rsid w:val="39E4AD68"/>
    <w:rsid w:val="39F401C4"/>
    <w:rsid w:val="39F4F9DC"/>
    <w:rsid w:val="3A1B4AD9"/>
    <w:rsid w:val="3A4BD1FE"/>
    <w:rsid w:val="3A8F04B7"/>
    <w:rsid w:val="3A90C8A5"/>
    <w:rsid w:val="3A9E3220"/>
    <w:rsid w:val="3AC8DEFD"/>
    <w:rsid w:val="3AD61586"/>
    <w:rsid w:val="3B04AB08"/>
    <w:rsid w:val="3B4DD3FB"/>
    <w:rsid w:val="3B7599F5"/>
    <w:rsid w:val="3BBBF2A5"/>
    <w:rsid w:val="3BCD4590"/>
    <w:rsid w:val="3C80A237"/>
    <w:rsid w:val="3CBB818C"/>
    <w:rsid w:val="3CBC8B27"/>
    <w:rsid w:val="3CCE82CB"/>
    <w:rsid w:val="3CF0308E"/>
    <w:rsid w:val="3D02C05D"/>
    <w:rsid w:val="3D05433E"/>
    <w:rsid w:val="3D60F734"/>
    <w:rsid w:val="3D85B656"/>
    <w:rsid w:val="3DC9362A"/>
    <w:rsid w:val="3DCA11B0"/>
    <w:rsid w:val="3DE8F647"/>
    <w:rsid w:val="3E043CBA"/>
    <w:rsid w:val="3E1E612A"/>
    <w:rsid w:val="3E3DBA51"/>
    <w:rsid w:val="3E6466D6"/>
    <w:rsid w:val="3E6521AF"/>
    <w:rsid w:val="3E7E1226"/>
    <w:rsid w:val="3E8574BD"/>
    <w:rsid w:val="3E8C00EF"/>
    <w:rsid w:val="3E98413A"/>
    <w:rsid w:val="3E998DF5"/>
    <w:rsid w:val="3EA3F001"/>
    <w:rsid w:val="3EB5AC2B"/>
    <w:rsid w:val="3EE73418"/>
    <w:rsid w:val="3EF00697"/>
    <w:rsid w:val="3F231CB9"/>
    <w:rsid w:val="3F25288A"/>
    <w:rsid w:val="3F45FA6E"/>
    <w:rsid w:val="3F6B6E64"/>
    <w:rsid w:val="3F74FC47"/>
    <w:rsid w:val="3F7AAC8B"/>
    <w:rsid w:val="3F85830C"/>
    <w:rsid w:val="3F8A1A5E"/>
    <w:rsid w:val="3F98C902"/>
    <w:rsid w:val="3F9B0540"/>
    <w:rsid w:val="3FB3A4DA"/>
    <w:rsid w:val="3FB4AD72"/>
    <w:rsid w:val="3FC0882D"/>
    <w:rsid w:val="4041668E"/>
    <w:rsid w:val="405202B7"/>
    <w:rsid w:val="40718C39"/>
    <w:rsid w:val="409FCDDB"/>
    <w:rsid w:val="40A2AD05"/>
    <w:rsid w:val="40C511CD"/>
    <w:rsid w:val="40EAD5BD"/>
    <w:rsid w:val="4102EFCA"/>
    <w:rsid w:val="4108AE71"/>
    <w:rsid w:val="4117ADCE"/>
    <w:rsid w:val="41269488"/>
    <w:rsid w:val="413E78C3"/>
    <w:rsid w:val="414F4392"/>
    <w:rsid w:val="417988F8"/>
    <w:rsid w:val="417D8A76"/>
    <w:rsid w:val="4180FA28"/>
    <w:rsid w:val="41BE7FE7"/>
    <w:rsid w:val="42382F0D"/>
    <w:rsid w:val="4238B669"/>
    <w:rsid w:val="4290E5F1"/>
    <w:rsid w:val="42A1574F"/>
    <w:rsid w:val="42B8FEA2"/>
    <w:rsid w:val="42C243CE"/>
    <w:rsid w:val="42C31FB6"/>
    <w:rsid w:val="4309FF5A"/>
    <w:rsid w:val="430F8F9D"/>
    <w:rsid w:val="4336D3F0"/>
    <w:rsid w:val="434A3378"/>
    <w:rsid w:val="43659E2C"/>
    <w:rsid w:val="437610E4"/>
    <w:rsid w:val="43C252E1"/>
    <w:rsid w:val="43DCE818"/>
    <w:rsid w:val="43EF8F48"/>
    <w:rsid w:val="4421BAAD"/>
    <w:rsid w:val="444F4F21"/>
    <w:rsid w:val="445D237F"/>
    <w:rsid w:val="44AD7A2B"/>
    <w:rsid w:val="44C49284"/>
    <w:rsid w:val="44E0851C"/>
    <w:rsid w:val="44F1DBFA"/>
    <w:rsid w:val="44F3DF6F"/>
    <w:rsid w:val="44F599B9"/>
    <w:rsid w:val="4507E88D"/>
    <w:rsid w:val="454E3F69"/>
    <w:rsid w:val="455246BC"/>
    <w:rsid w:val="455B57CC"/>
    <w:rsid w:val="4580C2A5"/>
    <w:rsid w:val="458FF58E"/>
    <w:rsid w:val="45CA4C20"/>
    <w:rsid w:val="45FBB5EB"/>
    <w:rsid w:val="45FC74A1"/>
    <w:rsid w:val="462591AE"/>
    <w:rsid w:val="4669491A"/>
    <w:rsid w:val="46718482"/>
    <w:rsid w:val="4688BF64"/>
    <w:rsid w:val="46955F98"/>
    <w:rsid w:val="46B1CEC8"/>
    <w:rsid w:val="46B381BD"/>
    <w:rsid w:val="46C2ECF9"/>
    <w:rsid w:val="46CB269D"/>
    <w:rsid w:val="46D019EE"/>
    <w:rsid w:val="46D71ACA"/>
    <w:rsid w:val="46DAA8FD"/>
    <w:rsid w:val="46FF80A8"/>
    <w:rsid w:val="47142433"/>
    <w:rsid w:val="471974F4"/>
    <w:rsid w:val="472ACA56"/>
    <w:rsid w:val="47396700"/>
    <w:rsid w:val="47402CF0"/>
    <w:rsid w:val="477D8566"/>
    <w:rsid w:val="47A3F033"/>
    <w:rsid w:val="47B66492"/>
    <w:rsid w:val="47BA9E0A"/>
    <w:rsid w:val="47D264A6"/>
    <w:rsid w:val="47D2F1B3"/>
    <w:rsid w:val="47DA0513"/>
    <w:rsid w:val="4812078E"/>
    <w:rsid w:val="4833F90D"/>
    <w:rsid w:val="486A08F2"/>
    <w:rsid w:val="4879114E"/>
    <w:rsid w:val="487A8FB5"/>
    <w:rsid w:val="488746B2"/>
    <w:rsid w:val="489102FE"/>
    <w:rsid w:val="48AA1C11"/>
    <w:rsid w:val="48D601AA"/>
    <w:rsid w:val="48E5B9C5"/>
    <w:rsid w:val="4906F199"/>
    <w:rsid w:val="494E0C50"/>
    <w:rsid w:val="49810450"/>
    <w:rsid w:val="4983B5B7"/>
    <w:rsid w:val="498B830F"/>
    <w:rsid w:val="49B0090A"/>
    <w:rsid w:val="49BC6BBC"/>
    <w:rsid w:val="49BEE2BA"/>
    <w:rsid w:val="4A0137E5"/>
    <w:rsid w:val="4A3BCA4A"/>
    <w:rsid w:val="4A55B551"/>
    <w:rsid w:val="4A60C156"/>
    <w:rsid w:val="4A6937DD"/>
    <w:rsid w:val="4ADA299C"/>
    <w:rsid w:val="4B10EC1B"/>
    <w:rsid w:val="4BA4894C"/>
    <w:rsid w:val="4BC60463"/>
    <w:rsid w:val="4BC907EA"/>
    <w:rsid w:val="4BEA6E08"/>
    <w:rsid w:val="4C0F93DE"/>
    <w:rsid w:val="4C259046"/>
    <w:rsid w:val="4C2C8E7C"/>
    <w:rsid w:val="4C54640B"/>
    <w:rsid w:val="4C56FA11"/>
    <w:rsid w:val="4C826FB9"/>
    <w:rsid w:val="4CA6DD7B"/>
    <w:rsid w:val="4CAF4B53"/>
    <w:rsid w:val="4CE0B51E"/>
    <w:rsid w:val="4CE344D4"/>
    <w:rsid w:val="4D0D352D"/>
    <w:rsid w:val="4D3BFFD2"/>
    <w:rsid w:val="4D40F3E6"/>
    <w:rsid w:val="4D4F958C"/>
    <w:rsid w:val="4D9A3034"/>
    <w:rsid w:val="4D9D3EA1"/>
    <w:rsid w:val="4D9E0C2D"/>
    <w:rsid w:val="4DBD5E1A"/>
    <w:rsid w:val="4DE522CB"/>
    <w:rsid w:val="4E1D056D"/>
    <w:rsid w:val="4E2D09A0"/>
    <w:rsid w:val="4E45D50A"/>
    <w:rsid w:val="4E4864C0"/>
    <w:rsid w:val="4E78E37F"/>
    <w:rsid w:val="4E9B3FFA"/>
    <w:rsid w:val="4F1ACACA"/>
    <w:rsid w:val="4F4C01C4"/>
    <w:rsid w:val="4F61D686"/>
    <w:rsid w:val="4FCCC752"/>
    <w:rsid w:val="4FED836D"/>
    <w:rsid w:val="4FFEC128"/>
    <w:rsid w:val="502434C3"/>
    <w:rsid w:val="5051FBAD"/>
    <w:rsid w:val="505D2158"/>
    <w:rsid w:val="5060E59A"/>
    <w:rsid w:val="506C6ECE"/>
    <w:rsid w:val="5078FA0D"/>
    <w:rsid w:val="5093FD44"/>
    <w:rsid w:val="50AC8F1F"/>
    <w:rsid w:val="50D24616"/>
    <w:rsid w:val="50F17985"/>
    <w:rsid w:val="5135B1BE"/>
    <w:rsid w:val="51646320"/>
    <w:rsid w:val="51658522"/>
    <w:rsid w:val="51826362"/>
    <w:rsid w:val="51A9780E"/>
    <w:rsid w:val="51B42641"/>
    <w:rsid w:val="51B9E376"/>
    <w:rsid w:val="51F2CD58"/>
    <w:rsid w:val="51FCB5FB"/>
    <w:rsid w:val="5201A133"/>
    <w:rsid w:val="5210E3CC"/>
    <w:rsid w:val="52156D10"/>
    <w:rsid w:val="5228AA68"/>
    <w:rsid w:val="52459C03"/>
    <w:rsid w:val="524A0876"/>
    <w:rsid w:val="5255A7EA"/>
    <w:rsid w:val="52674B74"/>
    <w:rsid w:val="526EFB9F"/>
    <w:rsid w:val="52701D15"/>
    <w:rsid w:val="52932471"/>
    <w:rsid w:val="52A65F15"/>
    <w:rsid w:val="52AF546F"/>
    <w:rsid w:val="52C1F07D"/>
    <w:rsid w:val="52C59707"/>
    <w:rsid w:val="52F1CCBB"/>
    <w:rsid w:val="532984E5"/>
    <w:rsid w:val="5374359C"/>
    <w:rsid w:val="53B21A1E"/>
    <w:rsid w:val="53D95462"/>
    <w:rsid w:val="540DD04C"/>
    <w:rsid w:val="5415287C"/>
    <w:rsid w:val="54160E70"/>
    <w:rsid w:val="54438FE0"/>
    <w:rsid w:val="54465F73"/>
    <w:rsid w:val="54551112"/>
    <w:rsid w:val="549C4D3C"/>
    <w:rsid w:val="549DB211"/>
    <w:rsid w:val="54AC98EA"/>
    <w:rsid w:val="54BF7D9F"/>
    <w:rsid w:val="54CBFDFB"/>
    <w:rsid w:val="54D14A02"/>
    <w:rsid w:val="54DB0B1B"/>
    <w:rsid w:val="5504748E"/>
    <w:rsid w:val="550BB508"/>
    <w:rsid w:val="553456BD"/>
    <w:rsid w:val="554112D2"/>
    <w:rsid w:val="555FB3B2"/>
    <w:rsid w:val="55AC873E"/>
    <w:rsid w:val="55BB2D1D"/>
    <w:rsid w:val="55CC4C44"/>
    <w:rsid w:val="5600F701"/>
    <w:rsid w:val="5629A335"/>
    <w:rsid w:val="56365334"/>
    <w:rsid w:val="5636DF19"/>
    <w:rsid w:val="564D24DF"/>
    <w:rsid w:val="56510755"/>
    <w:rsid w:val="567C43CB"/>
    <w:rsid w:val="56800F80"/>
    <w:rsid w:val="56BADB40"/>
    <w:rsid w:val="56BAF2EB"/>
    <w:rsid w:val="56C02886"/>
    <w:rsid w:val="56CAB6D5"/>
    <w:rsid w:val="56CB9969"/>
    <w:rsid w:val="56CCAC16"/>
    <w:rsid w:val="56DF2372"/>
    <w:rsid w:val="5716BFBD"/>
    <w:rsid w:val="5721B98F"/>
    <w:rsid w:val="573A6553"/>
    <w:rsid w:val="57481B6F"/>
    <w:rsid w:val="575BA2F4"/>
    <w:rsid w:val="577D77C9"/>
    <w:rsid w:val="579116A4"/>
    <w:rsid w:val="57B979A2"/>
    <w:rsid w:val="57BF0662"/>
    <w:rsid w:val="57EECC34"/>
    <w:rsid w:val="5803D58B"/>
    <w:rsid w:val="580B8AFE"/>
    <w:rsid w:val="583E7138"/>
    <w:rsid w:val="58AEE93A"/>
    <w:rsid w:val="58B52585"/>
    <w:rsid w:val="58F133CA"/>
    <w:rsid w:val="5900D80E"/>
    <w:rsid w:val="59106C22"/>
    <w:rsid w:val="5945572A"/>
    <w:rsid w:val="597E271B"/>
    <w:rsid w:val="598F4C19"/>
    <w:rsid w:val="59B5DCE1"/>
    <w:rsid w:val="59DAF75E"/>
    <w:rsid w:val="59E6D8D3"/>
    <w:rsid w:val="59FEB597"/>
    <w:rsid w:val="5A144973"/>
    <w:rsid w:val="5A485BBB"/>
    <w:rsid w:val="5A62B967"/>
    <w:rsid w:val="5A7857B1"/>
    <w:rsid w:val="5A9D3415"/>
    <w:rsid w:val="5AA54C17"/>
    <w:rsid w:val="5AABEE04"/>
    <w:rsid w:val="5AB58FFA"/>
    <w:rsid w:val="5ADC59E2"/>
    <w:rsid w:val="5B023C73"/>
    <w:rsid w:val="5B2D9033"/>
    <w:rsid w:val="5B878B37"/>
    <w:rsid w:val="5B90B4A3"/>
    <w:rsid w:val="5B9F51D3"/>
    <w:rsid w:val="5BF39851"/>
    <w:rsid w:val="5C1A77EA"/>
    <w:rsid w:val="5CA8B7AD"/>
    <w:rsid w:val="5CBF30FC"/>
    <w:rsid w:val="5CC8DF47"/>
    <w:rsid w:val="5D1CBDF0"/>
    <w:rsid w:val="5D4FEED7"/>
    <w:rsid w:val="5D7F6505"/>
    <w:rsid w:val="5DAC8916"/>
    <w:rsid w:val="5DAF8AB0"/>
    <w:rsid w:val="5DE11ABE"/>
    <w:rsid w:val="5E016BA5"/>
    <w:rsid w:val="5E78DD60"/>
    <w:rsid w:val="5EA11083"/>
    <w:rsid w:val="5EAEBB6B"/>
    <w:rsid w:val="5F1B6F48"/>
    <w:rsid w:val="5F251B02"/>
    <w:rsid w:val="5F34FD48"/>
    <w:rsid w:val="5F3810D6"/>
    <w:rsid w:val="5F6E9492"/>
    <w:rsid w:val="5F8533AC"/>
    <w:rsid w:val="5FB5F974"/>
    <w:rsid w:val="5FBAF1A2"/>
    <w:rsid w:val="5FD2B83E"/>
    <w:rsid w:val="5FDBF208"/>
    <w:rsid w:val="5FFEBF10"/>
    <w:rsid w:val="6006C2E6"/>
    <w:rsid w:val="601A7C4C"/>
    <w:rsid w:val="60589F75"/>
    <w:rsid w:val="607A7D33"/>
    <w:rsid w:val="609EF4AB"/>
    <w:rsid w:val="60A8C964"/>
    <w:rsid w:val="610EAF76"/>
    <w:rsid w:val="610EFEEB"/>
    <w:rsid w:val="612FA2A3"/>
    <w:rsid w:val="614AD969"/>
    <w:rsid w:val="615E7851"/>
    <w:rsid w:val="61764C53"/>
    <w:rsid w:val="6188A188"/>
    <w:rsid w:val="61BC80AC"/>
    <w:rsid w:val="61D6CA1D"/>
    <w:rsid w:val="61EC4DAC"/>
    <w:rsid w:val="61ED1A34"/>
    <w:rsid w:val="61F18611"/>
    <w:rsid w:val="620A136B"/>
    <w:rsid w:val="62108969"/>
    <w:rsid w:val="621E8393"/>
    <w:rsid w:val="621EC3E0"/>
    <w:rsid w:val="623B425D"/>
    <w:rsid w:val="6247CDE5"/>
    <w:rsid w:val="62503589"/>
    <w:rsid w:val="6257F3B5"/>
    <w:rsid w:val="626347B1"/>
    <w:rsid w:val="62AD03FD"/>
    <w:rsid w:val="62B83958"/>
    <w:rsid w:val="62BCF883"/>
    <w:rsid w:val="62D661C6"/>
    <w:rsid w:val="632706E1"/>
    <w:rsid w:val="63598C30"/>
    <w:rsid w:val="635B8813"/>
    <w:rsid w:val="6366B1E4"/>
    <w:rsid w:val="637EAB51"/>
    <w:rsid w:val="63884F8A"/>
    <w:rsid w:val="63A9FF11"/>
    <w:rsid w:val="63C42E25"/>
    <w:rsid w:val="63D46CDD"/>
    <w:rsid w:val="640BA6C7"/>
    <w:rsid w:val="6438ACA4"/>
    <w:rsid w:val="64637A27"/>
    <w:rsid w:val="649489E3"/>
    <w:rsid w:val="64D2DEE2"/>
    <w:rsid w:val="64F0F5EF"/>
    <w:rsid w:val="6528C16A"/>
    <w:rsid w:val="6562735F"/>
    <w:rsid w:val="65A23E81"/>
    <w:rsid w:val="6608547C"/>
    <w:rsid w:val="660A1223"/>
    <w:rsid w:val="660DC6C8"/>
    <w:rsid w:val="660E785E"/>
    <w:rsid w:val="662BF98E"/>
    <w:rsid w:val="664523D4"/>
    <w:rsid w:val="6692BAAE"/>
    <w:rsid w:val="66BC0342"/>
    <w:rsid w:val="66BD6F50"/>
    <w:rsid w:val="66FE14B6"/>
    <w:rsid w:val="672DB9FF"/>
    <w:rsid w:val="673F3D9E"/>
    <w:rsid w:val="6760F3CF"/>
    <w:rsid w:val="676F73AB"/>
    <w:rsid w:val="678C214C"/>
    <w:rsid w:val="67AAB116"/>
    <w:rsid w:val="67ADD29F"/>
    <w:rsid w:val="67B12805"/>
    <w:rsid w:val="6809E82C"/>
    <w:rsid w:val="6818F7F4"/>
    <w:rsid w:val="681F6713"/>
    <w:rsid w:val="68376080"/>
    <w:rsid w:val="686C8AC6"/>
    <w:rsid w:val="68738F29"/>
    <w:rsid w:val="688A0671"/>
    <w:rsid w:val="689F5CC5"/>
    <w:rsid w:val="68D50E53"/>
    <w:rsid w:val="691E0BE9"/>
    <w:rsid w:val="691EE220"/>
    <w:rsid w:val="69588BA7"/>
    <w:rsid w:val="69615916"/>
    <w:rsid w:val="6987D4F6"/>
    <w:rsid w:val="699ED854"/>
    <w:rsid w:val="69A08713"/>
    <w:rsid w:val="69D09709"/>
    <w:rsid w:val="69D0C52B"/>
    <w:rsid w:val="69F2CED8"/>
    <w:rsid w:val="69F4789A"/>
    <w:rsid w:val="69FE124E"/>
    <w:rsid w:val="6A0C3F36"/>
    <w:rsid w:val="6A246247"/>
    <w:rsid w:val="6A393CB8"/>
    <w:rsid w:val="6A3C3CA8"/>
    <w:rsid w:val="6A4BB157"/>
    <w:rsid w:val="6AA31EC3"/>
    <w:rsid w:val="6AA671E5"/>
    <w:rsid w:val="6AB7B13B"/>
    <w:rsid w:val="6AC180D4"/>
    <w:rsid w:val="6AC32A96"/>
    <w:rsid w:val="6AE46772"/>
    <w:rsid w:val="6AFEBFFF"/>
    <w:rsid w:val="6B6858D7"/>
    <w:rsid w:val="6B77202E"/>
    <w:rsid w:val="6B7B703E"/>
    <w:rsid w:val="6B7C18CC"/>
    <w:rsid w:val="6B87AECD"/>
    <w:rsid w:val="6B8C4FD0"/>
    <w:rsid w:val="6BAC8495"/>
    <w:rsid w:val="6BC720AE"/>
    <w:rsid w:val="6C101E44"/>
    <w:rsid w:val="6C19A754"/>
    <w:rsid w:val="6C40111E"/>
    <w:rsid w:val="6C43B738"/>
    <w:rsid w:val="6C53F676"/>
    <w:rsid w:val="6C599F18"/>
    <w:rsid w:val="6C7CF6DA"/>
    <w:rsid w:val="6C89CD6A"/>
    <w:rsid w:val="6CAAD6BF"/>
    <w:rsid w:val="6CD827D5"/>
    <w:rsid w:val="6CDE308E"/>
    <w:rsid w:val="6D0349BF"/>
    <w:rsid w:val="6D5EB019"/>
    <w:rsid w:val="6D6270BD"/>
    <w:rsid w:val="6D71DB91"/>
    <w:rsid w:val="6D781E53"/>
    <w:rsid w:val="6D9B0C61"/>
    <w:rsid w:val="6DA8E55A"/>
    <w:rsid w:val="6DF815C7"/>
    <w:rsid w:val="6E0C70CB"/>
    <w:rsid w:val="6E1548E8"/>
    <w:rsid w:val="6E19E54F"/>
    <w:rsid w:val="6E2052E8"/>
    <w:rsid w:val="6E806D90"/>
    <w:rsid w:val="6E8D27ED"/>
    <w:rsid w:val="6EED5F5B"/>
    <w:rsid w:val="6EF9F15F"/>
    <w:rsid w:val="6F1A951D"/>
    <w:rsid w:val="6F36E8D6"/>
    <w:rsid w:val="6F59172B"/>
    <w:rsid w:val="6F753DD5"/>
    <w:rsid w:val="6F7570A6"/>
    <w:rsid w:val="6F913FDA"/>
    <w:rsid w:val="6FAC1916"/>
    <w:rsid w:val="6FB913C5"/>
    <w:rsid w:val="6FF096BD"/>
    <w:rsid w:val="70030B1C"/>
    <w:rsid w:val="704531DE"/>
    <w:rsid w:val="704F1839"/>
    <w:rsid w:val="70524C76"/>
    <w:rsid w:val="70805608"/>
    <w:rsid w:val="70AD603F"/>
    <w:rsid w:val="70B5CC04"/>
    <w:rsid w:val="70F8C64D"/>
    <w:rsid w:val="71063195"/>
    <w:rsid w:val="7116E6D8"/>
    <w:rsid w:val="71501B3C"/>
    <w:rsid w:val="7156E913"/>
    <w:rsid w:val="7182B42B"/>
    <w:rsid w:val="719AAD98"/>
    <w:rsid w:val="71B27434"/>
    <w:rsid w:val="71DB75C9"/>
    <w:rsid w:val="71F3CD3D"/>
    <w:rsid w:val="71FC3080"/>
    <w:rsid w:val="721429ED"/>
    <w:rsid w:val="722ED205"/>
    <w:rsid w:val="7256ED1E"/>
    <w:rsid w:val="72AAACA0"/>
    <w:rsid w:val="72AC79F0"/>
    <w:rsid w:val="72BAEDF5"/>
    <w:rsid w:val="72C40838"/>
    <w:rsid w:val="72FAA285"/>
    <w:rsid w:val="733DB328"/>
    <w:rsid w:val="73677EDA"/>
    <w:rsid w:val="7368413D"/>
    <w:rsid w:val="737451AB"/>
    <w:rsid w:val="7388E7E4"/>
    <w:rsid w:val="738F0A43"/>
    <w:rsid w:val="73B4FE39"/>
    <w:rsid w:val="73B8E2F8"/>
    <w:rsid w:val="73D60764"/>
    <w:rsid w:val="73FB903B"/>
    <w:rsid w:val="7405A4FA"/>
    <w:rsid w:val="740A4DE5"/>
    <w:rsid w:val="7425D431"/>
    <w:rsid w:val="74801159"/>
    <w:rsid w:val="74879006"/>
    <w:rsid w:val="748C8D22"/>
    <w:rsid w:val="7497BE7C"/>
    <w:rsid w:val="74B6D5D0"/>
    <w:rsid w:val="74CFDA4F"/>
    <w:rsid w:val="74F69085"/>
    <w:rsid w:val="74F765CF"/>
    <w:rsid w:val="752B0958"/>
    <w:rsid w:val="7537A77B"/>
    <w:rsid w:val="754C832F"/>
    <w:rsid w:val="755A804A"/>
    <w:rsid w:val="7562F9D3"/>
    <w:rsid w:val="757A0913"/>
    <w:rsid w:val="757E328C"/>
    <w:rsid w:val="75A0360D"/>
    <w:rsid w:val="75AD724D"/>
    <w:rsid w:val="75B432D0"/>
    <w:rsid w:val="75BD27A8"/>
    <w:rsid w:val="75CFEBAB"/>
    <w:rsid w:val="75EC310F"/>
    <w:rsid w:val="76183B71"/>
    <w:rsid w:val="761D6670"/>
    <w:rsid w:val="7654336F"/>
    <w:rsid w:val="76625D5F"/>
    <w:rsid w:val="766BEA77"/>
    <w:rsid w:val="76776DB7"/>
    <w:rsid w:val="76950FBA"/>
    <w:rsid w:val="7696E2C5"/>
    <w:rsid w:val="76BA3D27"/>
    <w:rsid w:val="76EFEC42"/>
    <w:rsid w:val="772C04DD"/>
    <w:rsid w:val="7735A1E7"/>
    <w:rsid w:val="7751A1FB"/>
    <w:rsid w:val="7762563B"/>
    <w:rsid w:val="777D8E2E"/>
    <w:rsid w:val="778191C7"/>
    <w:rsid w:val="77B0E83C"/>
    <w:rsid w:val="77CB458B"/>
    <w:rsid w:val="77D24F28"/>
    <w:rsid w:val="77D3D002"/>
    <w:rsid w:val="77F2D525"/>
    <w:rsid w:val="780CBE99"/>
    <w:rsid w:val="78192C86"/>
    <w:rsid w:val="785D20CE"/>
    <w:rsid w:val="786D059B"/>
    <w:rsid w:val="7871CAF8"/>
    <w:rsid w:val="7886F743"/>
    <w:rsid w:val="78C95FD0"/>
    <w:rsid w:val="78C9D94E"/>
    <w:rsid w:val="78DE7968"/>
    <w:rsid w:val="78E167F6"/>
    <w:rsid w:val="790F78CB"/>
    <w:rsid w:val="792D34B9"/>
    <w:rsid w:val="793449B4"/>
    <w:rsid w:val="793CA880"/>
    <w:rsid w:val="794AA57F"/>
    <w:rsid w:val="798DE3AB"/>
    <w:rsid w:val="79C41F5A"/>
    <w:rsid w:val="79D58972"/>
    <w:rsid w:val="79D848AC"/>
    <w:rsid w:val="7A2E8B61"/>
    <w:rsid w:val="7A4C49E1"/>
    <w:rsid w:val="7A4CD826"/>
    <w:rsid w:val="7A53B8FE"/>
    <w:rsid w:val="7A5950DE"/>
    <w:rsid w:val="7A8BD36E"/>
    <w:rsid w:val="7AD27839"/>
    <w:rsid w:val="7B3227F0"/>
    <w:rsid w:val="7B6A6A96"/>
    <w:rsid w:val="7B73D333"/>
    <w:rsid w:val="7B8EDB18"/>
    <w:rsid w:val="7BD8F9ED"/>
    <w:rsid w:val="7BE6F5A4"/>
    <w:rsid w:val="7BF585E6"/>
    <w:rsid w:val="7C203C34"/>
    <w:rsid w:val="7C293F76"/>
    <w:rsid w:val="7C3551D6"/>
    <w:rsid w:val="7C6A4D81"/>
    <w:rsid w:val="7D12280A"/>
    <w:rsid w:val="7D35B818"/>
    <w:rsid w:val="7D45FBC9"/>
    <w:rsid w:val="7D4DF2EF"/>
    <w:rsid w:val="7D7DB2F8"/>
    <w:rsid w:val="7D92E9DE"/>
    <w:rsid w:val="7DA958D0"/>
    <w:rsid w:val="7DCD648C"/>
    <w:rsid w:val="7DDB620A"/>
    <w:rsid w:val="7E1763B0"/>
    <w:rsid w:val="7E18278B"/>
    <w:rsid w:val="7E2924FD"/>
    <w:rsid w:val="7E3C590D"/>
    <w:rsid w:val="7E411E6A"/>
    <w:rsid w:val="7E8FB346"/>
    <w:rsid w:val="7EAC70EB"/>
    <w:rsid w:val="7EAE1AAD"/>
    <w:rsid w:val="7ED1A218"/>
    <w:rsid w:val="7EE305B5"/>
    <w:rsid w:val="7EFACC51"/>
    <w:rsid w:val="7F568CA2"/>
    <w:rsid w:val="7F8ECD29"/>
    <w:rsid w:val="7FC7FA63"/>
    <w:rsid w:val="7FD13902"/>
    <w:rsid w:val="7FE6E527"/>
    <w:rsid w:val="7FFB90CD"/>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C9A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16B"/>
    <w:rPr>
      <w:lang w:val="en-US"/>
    </w:rPr>
  </w:style>
  <w:style w:type="paragraph" w:styleId="Heading1">
    <w:name w:val="heading 1"/>
    <w:basedOn w:val="Normal"/>
    <w:next w:val="Normal"/>
    <w:link w:val="Heading1Char"/>
    <w:uiPriority w:val="9"/>
    <w:qFormat/>
    <w:rsid w:val="00155C20"/>
    <w:pPr>
      <w:keepNext/>
      <w:keepLines/>
      <w:spacing w:before="240" w:after="0"/>
      <w:outlineLvl w:val="0"/>
    </w:pPr>
    <w:rPr>
      <w:rFonts w:asciiTheme="majorHAnsi" w:eastAsiaTheme="majorEastAsia" w:hAnsiTheme="majorHAnsi" w:cstheme="majorBidi"/>
      <w:color w:val="6D9F00" w:themeColor="accent1" w:themeShade="BF"/>
      <w:sz w:val="32"/>
      <w:szCs w:val="32"/>
    </w:rPr>
  </w:style>
  <w:style w:type="paragraph" w:styleId="Heading2">
    <w:name w:val="heading 2"/>
    <w:basedOn w:val="BodyText"/>
    <w:next w:val="Normal"/>
    <w:link w:val="Heading2Char"/>
    <w:uiPriority w:val="9"/>
    <w:unhideWhenUsed/>
    <w:qFormat/>
    <w:rsid w:val="00DC553D"/>
    <w:pPr>
      <w:widowControl w:val="0"/>
      <w:spacing w:before="120" w:after="0" w:line="240" w:lineRule="auto"/>
      <w:ind w:left="1080"/>
      <w:jc w:val="both"/>
      <w:outlineLvl w:val="1"/>
    </w:pPr>
    <w:rPr>
      <w:rFonts w:ascii="Century Schoolbook" w:eastAsia="Arial" w:hAnsi="Century Schoolbook" w:cs="Times New Roman"/>
      <w:bCs/>
      <w:spacing w:val="-1"/>
      <w:sz w:val="20"/>
      <w:szCs w:val="20"/>
      <w:u w:color="000000"/>
    </w:rPr>
  </w:style>
  <w:style w:type="paragraph" w:styleId="Heading3">
    <w:name w:val="heading 3"/>
    <w:basedOn w:val="Normal"/>
    <w:next w:val="Normal"/>
    <w:link w:val="Heading3Char"/>
    <w:uiPriority w:val="9"/>
    <w:unhideWhenUsed/>
    <w:qFormat/>
    <w:rsid w:val="00D26FD6"/>
    <w:pPr>
      <w:keepNext/>
      <w:keepLines/>
      <w:spacing w:before="40" w:after="0"/>
      <w:outlineLvl w:val="2"/>
    </w:pPr>
    <w:rPr>
      <w:rFonts w:asciiTheme="majorHAnsi" w:eastAsiaTheme="majorEastAsia" w:hAnsiTheme="majorHAnsi" w:cstheme="majorBidi"/>
      <w:color w:val="486A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4E2C"/>
    <w:pPr>
      <w:ind w:left="720"/>
      <w:contextualSpacing/>
    </w:pPr>
  </w:style>
  <w:style w:type="character" w:styleId="CommentReference">
    <w:name w:val="annotation reference"/>
    <w:basedOn w:val="DefaultParagraphFont"/>
    <w:uiPriority w:val="99"/>
    <w:unhideWhenUsed/>
    <w:rsid w:val="00044E2C"/>
    <w:rPr>
      <w:sz w:val="16"/>
      <w:szCs w:val="16"/>
    </w:rPr>
  </w:style>
  <w:style w:type="paragraph" w:styleId="CommentText">
    <w:name w:val="annotation text"/>
    <w:basedOn w:val="Normal"/>
    <w:link w:val="CommentTextChar"/>
    <w:uiPriority w:val="99"/>
    <w:unhideWhenUsed/>
    <w:rsid w:val="00044E2C"/>
    <w:pPr>
      <w:spacing w:line="240" w:lineRule="auto"/>
    </w:pPr>
    <w:rPr>
      <w:sz w:val="20"/>
      <w:szCs w:val="20"/>
    </w:rPr>
  </w:style>
  <w:style w:type="character" w:customStyle="1" w:styleId="CommentTextChar">
    <w:name w:val="Comment Text Char"/>
    <w:basedOn w:val="DefaultParagraphFont"/>
    <w:link w:val="CommentText"/>
    <w:uiPriority w:val="99"/>
    <w:rsid w:val="00044E2C"/>
    <w:rPr>
      <w:sz w:val="20"/>
      <w:szCs w:val="20"/>
      <w:lang w:val="en-US"/>
    </w:rPr>
  </w:style>
  <w:style w:type="table" w:styleId="TableGrid">
    <w:name w:val="Table Grid"/>
    <w:basedOn w:val="TableNormal"/>
    <w:uiPriority w:val="39"/>
    <w:rsid w:val="00044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4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E2C"/>
    <w:rPr>
      <w:lang w:val="en-US"/>
    </w:rPr>
  </w:style>
  <w:style w:type="paragraph" w:styleId="Footer">
    <w:name w:val="footer"/>
    <w:basedOn w:val="Normal"/>
    <w:link w:val="FooterChar"/>
    <w:uiPriority w:val="99"/>
    <w:unhideWhenUsed/>
    <w:rsid w:val="00044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E2C"/>
    <w:rPr>
      <w:lang w:val="en-US"/>
    </w:rPr>
  </w:style>
  <w:style w:type="paragraph" w:styleId="BalloonText">
    <w:name w:val="Balloon Text"/>
    <w:basedOn w:val="Normal"/>
    <w:link w:val="BalloonTextChar"/>
    <w:uiPriority w:val="99"/>
    <w:semiHidden/>
    <w:unhideWhenUsed/>
    <w:rsid w:val="00044E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E2C"/>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044E2C"/>
    <w:rPr>
      <w:b/>
      <w:bCs/>
    </w:rPr>
  </w:style>
  <w:style w:type="character" w:customStyle="1" w:styleId="CommentSubjectChar">
    <w:name w:val="Comment Subject Char"/>
    <w:basedOn w:val="CommentTextChar"/>
    <w:link w:val="CommentSubject"/>
    <w:uiPriority w:val="99"/>
    <w:semiHidden/>
    <w:rsid w:val="00044E2C"/>
    <w:rPr>
      <w:b/>
      <w:bCs/>
      <w:sz w:val="20"/>
      <w:szCs w:val="20"/>
      <w:lang w:val="en-US"/>
    </w:rPr>
  </w:style>
  <w:style w:type="paragraph" w:styleId="FootnoteText">
    <w:name w:val="footnote text"/>
    <w:basedOn w:val="Normal"/>
    <w:link w:val="FootnoteTextChar"/>
    <w:uiPriority w:val="99"/>
    <w:unhideWhenUsed/>
    <w:rsid w:val="00415FC4"/>
    <w:pPr>
      <w:spacing w:after="0" w:line="240" w:lineRule="auto"/>
    </w:pPr>
    <w:rPr>
      <w:sz w:val="20"/>
      <w:szCs w:val="20"/>
    </w:rPr>
  </w:style>
  <w:style w:type="character" w:customStyle="1" w:styleId="FootnoteTextChar">
    <w:name w:val="Footnote Text Char"/>
    <w:basedOn w:val="DefaultParagraphFont"/>
    <w:link w:val="FootnoteText"/>
    <w:uiPriority w:val="99"/>
    <w:rsid w:val="00415FC4"/>
    <w:rPr>
      <w:sz w:val="20"/>
      <w:szCs w:val="20"/>
      <w:lang w:val="en-US"/>
    </w:rPr>
  </w:style>
  <w:style w:type="character" w:styleId="FootnoteReference">
    <w:name w:val="footnote reference"/>
    <w:aliases w:val="Style 12,(NECG) Footnote Reference,Style 13,Appel note de bas de p,Style 124,fr,o,Style 3,FR,Style 17,Footnote Reference/,Style 6,Style 7"/>
    <w:basedOn w:val="DefaultParagraphFont"/>
    <w:unhideWhenUsed/>
    <w:rsid w:val="00415FC4"/>
    <w:rPr>
      <w:vertAlign w:val="superscript"/>
    </w:rPr>
  </w:style>
  <w:style w:type="paragraph" w:styleId="NoSpacing">
    <w:name w:val="No Spacing"/>
    <w:link w:val="NoSpacingChar"/>
    <w:uiPriority w:val="1"/>
    <w:qFormat/>
    <w:rsid w:val="00C90DC0"/>
    <w:pPr>
      <w:spacing w:after="0" w:line="240" w:lineRule="auto"/>
    </w:pPr>
    <w:rPr>
      <w:lang w:val="en-US"/>
    </w:rPr>
  </w:style>
  <w:style w:type="paragraph" w:styleId="Revision">
    <w:name w:val="Revision"/>
    <w:hidden/>
    <w:uiPriority w:val="99"/>
    <w:semiHidden/>
    <w:rsid w:val="002D11D3"/>
    <w:pPr>
      <w:spacing w:after="0" w:line="240" w:lineRule="auto"/>
    </w:pPr>
    <w:rPr>
      <w:lang w:val="en-US"/>
    </w:rPr>
  </w:style>
  <w:style w:type="character" w:styleId="Hyperlink">
    <w:name w:val="Hyperlink"/>
    <w:basedOn w:val="DefaultParagraphFont"/>
    <w:uiPriority w:val="99"/>
    <w:unhideWhenUsed/>
    <w:rsid w:val="001C0599"/>
    <w:rPr>
      <w:color w:val="638C1C" w:themeColor="hyperlink"/>
      <w:u w:val="single"/>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D9FF88" w:themeColor="accent1" w:themeTint="66"/>
        <w:left w:val="single" w:sz="4" w:space="0" w:color="D9FF88" w:themeColor="accent1" w:themeTint="66"/>
        <w:bottom w:val="single" w:sz="4" w:space="0" w:color="D9FF88" w:themeColor="accent1" w:themeTint="66"/>
        <w:right w:val="single" w:sz="4" w:space="0" w:color="D9FF88" w:themeColor="accent1" w:themeTint="66"/>
        <w:insideH w:val="single" w:sz="4" w:space="0" w:color="D9FF88" w:themeColor="accent1" w:themeTint="66"/>
        <w:insideV w:val="single" w:sz="4" w:space="0" w:color="D9FF88" w:themeColor="accent1" w:themeTint="66"/>
      </w:tblBorders>
    </w:tblPr>
    <w:tblStylePr w:type="firstRow">
      <w:rPr>
        <w:b/>
        <w:bCs/>
      </w:rPr>
      <w:tblPr/>
      <w:tcPr>
        <w:tcBorders>
          <w:bottom w:val="single" w:sz="12" w:space="0" w:color="C7FF4C" w:themeColor="accent1" w:themeTint="99"/>
        </w:tcBorders>
      </w:tcPr>
    </w:tblStylePr>
    <w:tblStylePr w:type="lastRow">
      <w:rPr>
        <w:b/>
        <w:bCs/>
      </w:rPr>
      <w:tblPr/>
      <w:tcPr>
        <w:tcBorders>
          <w:top w:val="double" w:sz="2" w:space="0" w:color="C7FF4C"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B8BBBE" w:themeColor="text1" w:themeTint="66"/>
        <w:left w:val="single" w:sz="4" w:space="0" w:color="B8BBBE" w:themeColor="text1" w:themeTint="66"/>
        <w:bottom w:val="single" w:sz="4" w:space="0" w:color="B8BBBE" w:themeColor="text1" w:themeTint="66"/>
        <w:right w:val="single" w:sz="4" w:space="0" w:color="B8BBBE" w:themeColor="text1" w:themeTint="66"/>
        <w:insideH w:val="single" w:sz="4" w:space="0" w:color="B8BBBE" w:themeColor="text1" w:themeTint="66"/>
        <w:insideV w:val="single" w:sz="4" w:space="0" w:color="B8BBBE" w:themeColor="text1" w:themeTint="66"/>
      </w:tblBorders>
    </w:tblPr>
    <w:tblStylePr w:type="firstRow">
      <w:rPr>
        <w:b/>
        <w:bCs/>
      </w:rPr>
      <w:tblPr/>
      <w:tcPr>
        <w:tcBorders>
          <w:bottom w:val="single" w:sz="12" w:space="0" w:color="959A9E" w:themeColor="text1" w:themeTint="99"/>
        </w:tcBorders>
      </w:tcPr>
    </w:tblStylePr>
    <w:tblStylePr w:type="lastRow">
      <w:rPr>
        <w:b/>
        <w:bCs/>
      </w:rPr>
      <w:tblPr/>
      <w:tcPr>
        <w:tcBorders>
          <w:top w:val="double" w:sz="2" w:space="0" w:color="959A9E"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DC553D"/>
    <w:rPr>
      <w:rFonts w:ascii="Century Schoolbook" w:eastAsia="Arial" w:hAnsi="Century Schoolbook" w:cs="Times New Roman"/>
      <w:bCs/>
      <w:spacing w:val="-1"/>
      <w:sz w:val="20"/>
      <w:szCs w:val="20"/>
      <w:u w:color="000000"/>
      <w:lang w:val="en-US"/>
    </w:rPr>
  </w:style>
  <w:style w:type="paragraph" w:customStyle="1" w:styleId="Default">
    <w:name w:val="Default"/>
    <w:rsid w:val="00DC553D"/>
    <w:pPr>
      <w:autoSpaceDE w:val="0"/>
      <w:autoSpaceDN w:val="0"/>
      <w:adjustRightInd w:val="0"/>
      <w:spacing w:after="0" w:line="240" w:lineRule="auto"/>
    </w:pPr>
    <w:rPr>
      <w:rFonts w:ascii="Adobe Garamond Pro" w:hAnsi="Adobe Garamond Pro" w:cs="Adobe Garamond Pro"/>
      <w:color w:val="000000"/>
      <w:sz w:val="24"/>
      <w:szCs w:val="24"/>
      <w:lang w:val="en-US"/>
    </w:rPr>
  </w:style>
  <w:style w:type="paragraph" w:styleId="BodyText">
    <w:name w:val="Body Text"/>
    <w:basedOn w:val="Normal"/>
    <w:link w:val="BodyTextChar"/>
    <w:uiPriority w:val="99"/>
    <w:unhideWhenUsed/>
    <w:rsid w:val="00DC553D"/>
    <w:pPr>
      <w:spacing w:after="120"/>
    </w:pPr>
  </w:style>
  <w:style w:type="character" w:customStyle="1" w:styleId="BodyTextChar">
    <w:name w:val="Body Text Char"/>
    <w:basedOn w:val="DefaultParagraphFont"/>
    <w:link w:val="BodyText"/>
    <w:uiPriority w:val="99"/>
    <w:rsid w:val="00DC553D"/>
    <w:rPr>
      <w:lang w:val="en-US"/>
    </w:rPr>
  </w:style>
  <w:style w:type="paragraph" w:styleId="NormalWeb">
    <w:name w:val="Normal (Web)"/>
    <w:basedOn w:val="Normal"/>
    <w:uiPriority w:val="99"/>
    <w:unhideWhenUsed/>
    <w:rsid w:val="00DC553D"/>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E2CAF"/>
    <w:rPr>
      <w:color w:val="638C1C" w:themeColor="followedHyperlink"/>
      <w:u w:val="single"/>
    </w:rPr>
  </w:style>
  <w:style w:type="paragraph" w:customStyle="1" w:styleId="DeliverableTitle">
    <w:name w:val="Deliverable Title"/>
    <w:basedOn w:val="Normal"/>
    <w:rsid w:val="001E3908"/>
    <w:pPr>
      <w:framePr w:hSpace="187" w:wrap="around" w:hAnchor="margin" w:y="-2001"/>
      <w:spacing w:after="0" w:line="240" w:lineRule="auto"/>
    </w:pPr>
    <w:rPr>
      <w:rFonts w:ascii="Arial" w:eastAsia="Times New Roman" w:hAnsi="Arial" w:cs="Times New Roman"/>
      <w:b/>
      <w:color w:val="3A4972"/>
      <w:sz w:val="36"/>
      <w:szCs w:val="24"/>
    </w:rPr>
  </w:style>
  <w:style w:type="paragraph" w:customStyle="1" w:styleId="DeliverableSub-Title">
    <w:name w:val="Deliverable Sub-Title"/>
    <w:basedOn w:val="Normal"/>
    <w:rsid w:val="001E3908"/>
    <w:pPr>
      <w:spacing w:after="0" w:line="240" w:lineRule="auto"/>
    </w:pPr>
    <w:rPr>
      <w:rFonts w:ascii="Arial" w:eastAsia="Times New Roman" w:hAnsi="Arial" w:cs="Times New Roman"/>
      <w:color w:val="3A4972"/>
      <w:sz w:val="32"/>
      <w:szCs w:val="24"/>
    </w:rPr>
  </w:style>
  <w:style w:type="paragraph" w:customStyle="1" w:styleId="DeliverableDate">
    <w:name w:val="Deliverable Date"/>
    <w:basedOn w:val="Normal"/>
    <w:rsid w:val="001E3908"/>
    <w:pPr>
      <w:framePr w:hSpace="187" w:wrap="around" w:hAnchor="margin" w:y="-2001"/>
      <w:spacing w:after="0" w:line="240" w:lineRule="auto"/>
    </w:pPr>
    <w:rPr>
      <w:rFonts w:ascii="Arial" w:eastAsia="Times New Roman" w:hAnsi="Arial" w:cs="Times New Roman"/>
      <w:color w:val="3A4972"/>
      <w:szCs w:val="24"/>
    </w:rPr>
  </w:style>
  <w:style w:type="character" w:styleId="Emphasis">
    <w:name w:val="Emphasis"/>
    <w:basedOn w:val="DefaultParagraphFont"/>
    <w:uiPriority w:val="20"/>
    <w:qFormat/>
    <w:rsid w:val="00A12EA9"/>
    <w:rPr>
      <w:i/>
      <w:iCs/>
    </w:rPr>
  </w:style>
  <w:style w:type="character" w:customStyle="1" w:styleId="Heading3Char">
    <w:name w:val="Heading 3 Char"/>
    <w:basedOn w:val="DefaultParagraphFont"/>
    <w:link w:val="Heading3"/>
    <w:uiPriority w:val="9"/>
    <w:rsid w:val="00D26FD6"/>
    <w:rPr>
      <w:rFonts w:asciiTheme="majorHAnsi" w:eastAsiaTheme="majorEastAsia" w:hAnsiTheme="majorHAnsi" w:cstheme="majorBidi"/>
      <w:color w:val="486A00" w:themeColor="accent1" w:themeShade="7F"/>
      <w:sz w:val="24"/>
      <w:szCs w:val="24"/>
      <w:lang w:val="en-US"/>
    </w:rPr>
  </w:style>
  <w:style w:type="character" w:customStyle="1" w:styleId="field">
    <w:name w:val="field"/>
    <w:basedOn w:val="DefaultParagraphFont"/>
    <w:rsid w:val="008C5E46"/>
  </w:style>
  <w:style w:type="paragraph" w:customStyle="1" w:styleId="field1">
    <w:name w:val="field1"/>
    <w:basedOn w:val="Normal"/>
    <w:rsid w:val="008C5E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E46"/>
    <w:rPr>
      <w:b/>
      <w:bCs/>
    </w:rPr>
  </w:style>
  <w:style w:type="paragraph" w:styleId="Subtitle">
    <w:name w:val="Subtitle"/>
    <w:basedOn w:val="Heading3"/>
    <w:next w:val="Normal"/>
    <w:link w:val="SubtitleChar"/>
    <w:uiPriority w:val="11"/>
    <w:qFormat/>
    <w:rsid w:val="00D61873"/>
    <w:pPr>
      <w:keepLines w:val="0"/>
      <w:numPr>
        <w:numId w:val="17"/>
      </w:numPr>
      <w:spacing w:before="120" w:after="160" w:line="300" w:lineRule="atLeast"/>
    </w:pPr>
    <w:rPr>
      <w:rFonts w:eastAsiaTheme="minorHAnsi" w:cstheme="majorHAnsi"/>
      <w:b/>
      <w:bCs/>
      <w:i/>
      <w:iCs/>
      <w:color w:val="auto"/>
    </w:rPr>
  </w:style>
  <w:style w:type="character" w:customStyle="1" w:styleId="SubtitleChar">
    <w:name w:val="Subtitle Char"/>
    <w:basedOn w:val="DefaultParagraphFont"/>
    <w:link w:val="Subtitle"/>
    <w:uiPriority w:val="11"/>
    <w:rsid w:val="00D61873"/>
    <w:rPr>
      <w:rFonts w:asciiTheme="majorHAnsi" w:hAnsiTheme="majorHAnsi" w:cstheme="majorHAnsi"/>
      <w:b/>
      <w:bCs/>
      <w:i/>
      <w:iCs/>
      <w:sz w:val="24"/>
      <w:szCs w:val="24"/>
      <w:lang w:val="en-US"/>
    </w:rPr>
  </w:style>
  <w:style w:type="character" w:customStyle="1" w:styleId="Heading1Char">
    <w:name w:val="Heading 1 Char"/>
    <w:basedOn w:val="DefaultParagraphFont"/>
    <w:link w:val="Heading1"/>
    <w:uiPriority w:val="9"/>
    <w:rsid w:val="00155C20"/>
    <w:rPr>
      <w:rFonts w:asciiTheme="majorHAnsi" w:eastAsiaTheme="majorEastAsia" w:hAnsiTheme="majorHAnsi" w:cstheme="majorBidi"/>
      <w:color w:val="6D9F00" w:themeColor="accent1" w:themeShade="BF"/>
      <w:sz w:val="32"/>
      <w:szCs w:val="32"/>
      <w:lang w:val="en-US"/>
    </w:rPr>
  </w:style>
  <w:style w:type="paragraph" w:styleId="TOCHeading">
    <w:name w:val="TOC Heading"/>
    <w:basedOn w:val="Heading1"/>
    <w:next w:val="Normal"/>
    <w:uiPriority w:val="39"/>
    <w:unhideWhenUsed/>
    <w:qFormat/>
    <w:rsid w:val="000C56A9"/>
    <w:pPr>
      <w:outlineLvl w:val="9"/>
    </w:pPr>
  </w:style>
  <w:style w:type="paragraph" w:styleId="TOC3">
    <w:name w:val="toc 3"/>
    <w:basedOn w:val="Normal"/>
    <w:next w:val="Normal"/>
    <w:autoRedefine/>
    <w:uiPriority w:val="39"/>
    <w:unhideWhenUsed/>
    <w:rsid w:val="00567255"/>
    <w:pPr>
      <w:tabs>
        <w:tab w:val="left" w:pos="880"/>
        <w:tab w:val="right" w:leader="dot" w:pos="9016"/>
      </w:tabs>
      <w:spacing w:after="100"/>
      <w:ind w:left="440"/>
    </w:pPr>
  </w:style>
  <w:style w:type="paragraph" w:styleId="Caption">
    <w:name w:val="caption"/>
    <w:basedOn w:val="Normal"/>
    <w:next w:val="Normal"/>
    <w:uiPriority w:val="35"/>
    <w:unhideWhenUsed/>
    <w:qFormat/>
    <w:rsid w:val="00355245"/>
    <w:pPr>
      <w:spacing w:after="200" w:line="240" w:lineRule="auto"/>
    </w:pPr>
    <w:rPr>
      <w:i/>
      <w:iCs/>
      <w:color w:val="53575A" w:themeColor="text2"/>
      <w:sz w:val="18"/>
      <w:szCs w:val="18"/>
    </w:rPr>
  </w:style>
  <w:style w:type="paragraph" w:styleId="TOC2">
    <w:name w:val="toc 2"/>
    <w:basedOn w:val="Normal"/>
    <w:next w:val="Normal"/>
    <w:autoRedefine/>
    <w:uiPriority w:val="39"/>
    <w:unhideWhenUsed/>
    <w:rsid w:val="00F30A9A"/>
    <w:pPr>
      <w:spacing w:after="100"/>
      <w:ind w:left="220"/>
    </w:pPr>
    <w:rPr>
      <w:rFonts w:eastAsiaTheme="minorEastAsia" w:cs="Times New Roman"/>
    </w:rPr>
  </w:style>
  <w:style w:type="paragraph" w:styleId="TOC1">
    <w:name w:val="toc 1"/>
    <w:basedOn w:val="Normal"/>
    <w:next w:val="Normal"/>
    <w:autoRedefine/>
    <w:uiPriority w:val="39"/>
    <w:unhideWhenUsed/>
    <w:rsid w:val="001374E7"/>
    <w:pPr>
      <w:tabs>
        <w:tab w:val="right" w:leader="dot" w:pos="9016"/>
      </w:tabs>
      <w:spacing w:after="100"/>
    </w:pPr>
    <w:rPr>
      <w:rFonts w:eastAsiaTheme="minorEastAsia" w:cs="Times New Roman"/>
    </w:rPr>
  </w:style>
  <w:style w:type="character" w:styleId="SubtleEmphasis">
    <w:name w:val="Subtle Emphasis"/>
    <w:basedOn w:val="DefaultParagraphFont"/>
    <w:uiPriority w:val="19"/>
    <w:qFormat/>
    <w:rsid w:val="00F71BE3"/>
    <w:rPr>
      <w:i/>
      <w:iCs/>
      <w:color w:val="7B8185" w:themeColor="text1" w:themeTint="BF"/>
    </w:rPr>
  </w:style>
  <w:style w:type="paragraph" w:customStyle="1" w:styleId="xmsonormal">
    <w:name w:val="x_msonormal"/>
    <w:basedOn w:val="Normal"/>
    <w:rsid w:val="00012C6D"/>
    <w:pPr>
      <w:spacing w:after="0" w:line="240" w:lineRule="auto"/>
    </w:pPr>
    <w:rPr>
      <w:rFonts w:ascii="Calibri" w:eastAsia="Times New Roman" w:hAnsi="Calibri" w:cs="Calibri"/>
    </w:rPr>
  </w:style>
  <w:style w:type="character" w:customStyle="1" w:styleId="NoSpacingChar">
    <w:name w:val="No Spacing Char"/>
    <w:basedOn w:val="DefaultParagraphFont"/>
    <w:link w:val="NoSpacing"/>
    <w:uiPriority w:val="1"/>
    <w:rsid w:val="00012C6D"/>
    <w:rPr>
      <w:lang w:val="en-US"/>
    </w:rPr>
  </w:style>
  <w:style w:type="character" w:customStyle="1" w:styleId="ListParagraphChar">
    <w:name w:val="List Paragraph Char"/>
    <w:basedOn w:val="DefaultParagraphFont"/>
    <w:link w:val="ListParagraph"/>
    <w:uiPriority w:val="34"/>
    <w:rsid w:val="00012C6D"/>
    <w:rPr>
      <w:lang w:val="en-US"/>
    </w:rPr>
  </w:style>
  <w:style w:type="character" w:customStyle="1" w:styleId="UnresolvedMention1">
    <w:name w:val="Unresolved Mention1"/>
    <w:basedOn w:val="DefaultParagraphFont"/>
    <w:uiPriority w:val="99"/>
    <w:semiHidden/>
    <w:unhideWhenUsed/>
    <w:rsid w:val="007D7C32"/>
    <w:rPr>
      <w:color w:val="605E5C"/>
      <w:shd w:val="clear" w:color="auto" w:fill="E1DFDD"/>
    </w:rPr>
  </w:style>
  <w:style w:type="character" w:customStyle="1" w:styleId="Mention1">
    <w:name w:val="Mention1"/>
    <w:basedOn w:val="DefaultParagraphFont"/>
    <w:uiPriority w:val="99"/>
    <w:unhideWhenUsed/>
    <w:rsid w:val="00E17A28"/>
    <w:rPr>
      <w:color w:val="2B579A"/>
      <w:shd w:val="clear" w:color="auto" w:fill="E1DFDD"/>
    </w:rPr>
  </w:style>
  <w:style w:type="paragraph" w:customStyle="1" w:styleId="indent-1">
    <w:name w:val="indent-1"/>
    <w:basedOn w:val="Normal"/>
    <w:rsid w:val="00FC02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FC022C"/>
  </w:style>
  <w:style w:type="character" w:customStyle="1" w:styleId="paren">
    <w:name w:val="paren"/>
    <w:basedOn w:val="DefaultParagraphFont"/>
    <w:rsid w:val="00FC022C"/>
  </w:style>
  <w:style w:type="character" w:customStyle="1" w:styleId="UnresolvedMention2">
    <w:name w:val="Unresolved Mention2"/>
    <w:basedOn w:val="DefaultParagraphFont"/>
    <w:uiPriority w:val="99"/>
    <w:semiHidden/>
    <w:unhideWhenUsed/>
    <w:rsid w:val="00CF4654"/>
    <w:rPr>
      <w:color w:val="605E5C"/>
      <w:shd w:val="clear" w:color="auto" w:fill="E1DFDD"/>
    </w:rPr>
  </w:style>
  <w:style w:type="character" w:customStyle="1" w:styleId="UnresolvedMention3">
    <w:name w:val="Unresolved Mention3"/>
    <w:basedOn w:val="DefaultParagraphFont"/>
    <w:uiPriority w:val="99"/>
    <w:semiHidden/>
    <w:unhideWhenUsed/>
    <w:rsid w:val="00CB565C"/>
    <w:rPr>
      <w:color w:val="605E5C"/>
      <w:shd w:val="clear" w:color="auto" w:fill="E1DFDD"/>
    </w:rPr>
  </w:style>
  <w:style w:type="character" w:styleId="UnresolvedMention">
    <w:name w:val="Unresolved Mention"/>
    <w:basedOn w:val="DefaultParagraphFont"/>
    <w:uiPriority w:val="99"/>
    <w:semiHidden/>
    <w:unhideWhenUsed/>
    <w:rsid w:val="00481438"/>
    <w:rPr>
      <w:color w:val="605E5C"/>
      <w:shd w:val="clear" w:color="auto" w:fill="E1DFDD"/>
    </w:rPr>
  </w:style>
  <w:style w:type="paragraph" w:customStyle="1" w:styleId="default0">
    <w:name w:val="default"/>
    <w:basedOn w:val="Normal"/>
    <w:rsid w:val="00736127"/>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2972">
      <w:bodyDiv w:val="1"/>
      <w:marLeft w:val="0"/>
      <w:marRight w:val="0"/>
      <w:marTop w:val="0"/>
      <w:marBottom w:val="0"/>
      <w:divBdr>
        <w:top w:val="none" w:sz="0" w:space="0" w:color="auto"/>
        <w:left w:val="none" w:sz="0" w:space="0" w:color="auto"/>
        <w:bottom w:val="none" w:sz="0" w:space="0" w:color="auto"/>
        <w:right w:val="none" w:sz="0" w:space="0" w:color="auto"/>
      </w:divBdr>
    </w:div>
    <w:div w:id="118959913">
      <w:bodyDiv w:val="1"/>
      <w:marLeft w:val="0"/>
      <w:marRight w:val="0"/>
      <w:marTop w:val="0"/>
      <w:marBottom w:val="0"/>
      <w:divBdr>
        <w:top w:val="none" w:sz="0" w:space="0" w:color="auto"/>
        <w:left w:val="none" w:sz="0" w:space="0" w:color="auto"/>
        <w:bottom w:val="none" w:sz="0" w:space="0" w:color="auto"/>
        <w:right w:val="none" w:sz="0" w:space="0" w:color="auto"/>
      </w:divBdr>
    </w:div>
    <w:div w:id="144972540">
      <w:bodyDiv w:val="1"/>
      <w:marLeft w:val="0"/>
      <w:marRight w:val="0"/>
      <w:marTop w:val="0"/>
      <w:marBottom w:val="0"/>
      <w:divBdr>
        <w:top w:val="none" w:sz="0" w:space="0" w:color="auto"/>
        <w:left w:val="none" w:sz="0" w:space="0" w:color="auto"/>
        <w:bottom w:val="none" w:sz="0" w:space="0" w:color="auto"/>
        <w:right w:val="none" w:sz="0" w:space="0" w:color="auto"/>
      </w:divBdr>
    </w:div>
    <w:div w:id="177235998">
      <w:bodyDiv w:val="1"/>
      <w:marLeft w:val="0"/>
      <w:marRight w:val="0"/>
      <w:marTop w:val="30"/>
      <w:marBottom w:val="750"/>
      <w:divBdr>
        <w:top w:val="none" w:sz="0" w:space="0" w:color="auto"/>
        <w:left w:val="none" w:sz="0" w:space="0" w:color="auto"/>
        <w:bottom w:val="none" w:sz="0" w:space="0" w:color="auto"/>
        <w:right w:val="none" w:sz="0" w:space="0" w:color="auto"/>
      </w:divBdr>
      <w:divsChild>
        <w:div w:id="1072124744">
          <w:marLeft w:val="0"/>
          <w:marRight w:val="0"/>
          <w:marTop w:val="0"/>
          <w:marBottom w:val="0"/>
          <w:divBdr>
            <w:top w:val="single" w:sz="36" w:space="0" w:color="FFFFFF"/>
            <w:left w:val="none" w:sz="0" w:space="0" w:color="auto"/>
            <w:bottom w:val="none" w:sz="0" w:space="0" w:color="auto"/>
            <w:right w:val="none" w:sz="0" w:space="0" w:color="auto"/>
          </w:divBdr>
          <w:divsChild>
            <w:div w:id="616328775">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206770197">
      <w:bodyDiv w:val="1"/>
      <w:marLeft w:val="0"/>
      <w:marRight w:val="0"/>
      <w:marTop w:val="0"/>
      <w:marBottom w:val="0"/>
      <w:divBdr>
        <w:top w:val="none" w:sz="0" w:space="0" w:color="auto"/>
        <w:left w:val="none" w:sz="0" w:space="0" w:color="auto"/>
        <w:bottom w:val="none" w:sz="0" w:space="0" w:color="auto"/>
        <w:right w:val="none" w:sz="0" w:space="0" w:color="auto"/>
      </w:divBdr>
    </w:div>
    <w:div w:id="220940989">
      <w:bodyDiv w:val="1"/>
      <w:marLeft w:val="0"/>
      <w:marRight w:val="0"/>
      <w:marTop w:val="0"/>
      <w:marBottom w:val="0"/>
      <w:divBdr>
        <w:top w:val="none" w:sz="0" w:space="0" w:color="auto"/>
        <w:left w:val="none" w:sz="0" w:space="0" w:color="auto"/>
        <w:bottom w:val="none" w:sz="0" w:space="0" w:color="auto"/>
        <w:right w:val="none" w:sz="0" w:space="0" w:color="auto"/>
      </w:divBdr>
    </w:div>
    <w:div w:id="252861059">
      <w:bodyDiv w:val="1"/>
      <w:marLeft w:val="0"/>
      <w:marRight w:val="0"/>
      <w:marTop w:val="0"/>
      <w:marBottom w:val="0"/>
      <w:divBdr>
        <w:top w:val="none" w:sz="0" w:space="0" w:color="auto"/>
        <w:left w:val="none" w:sz="0" w:space="0" w:color="auto"/>
        <w:bottom w:val="none" w:sz="0" w:space="0" w:color="auto"/>
        <w:right w:val="none" w:sz="0" w:space="0" w:color="auto"/>
      </w:divBdr>
    </w:div>
    <w:div w:id="264583095">
      <w:bodyDiv w:val="1"/>
      <w:marLeft w:val="0"/>
      <w:marRight w:val="0"/>
      <w:marTop w:val="0"/>
      <w:marBottom w:val="0"/>
      <w:divBdr>
        <w:top w:val="none" w:sz="0" w:space="0" w:color="auto"/>
        <w:left w:val="none" w:sz="0" w:space="0" w:color="auto"/>
        <w:bottom w:val="none" w:sz="0" w:space="0" w:color="auto"/>
        <w:right w:val="none" w:sz="0" w:space="0" w:color="auto"/>
      </w:divBdr>
    </w:div>
    <w:div w:id="304244580">
      <w:bodyDiv w:val="1"/>
      <w:marLeft w:val="0"/>
      <w:marRight w:val="0"/>
      <w:marTop w:val="0"/>
      <w:marBottom w:val="0"/>
      <w:divBdr>
        <w:top w:val="none" w:sz="0" w:space="0" w:color="auto"/>
        <w:left w:val="none" w:sz="0" w:space="0" w:color="auto"/>
        <w:bottom w:val="none" w:sz="0" w:space="0" w:color="auto"/>
        <w:right w:val="none" w:sz="0" w:space="0" w:color="auto"/>
      </w:divBdr>
    </w:div>
    <w:div w:id="424543744">
      <w:bodyDiv w:val="1"/>
      <w:marLeft w:val="0"/>
      <w:marRight w:val="0"/>
      <w:marTop w:val="0"/>
      <w:marBottom w:val="0"/>
      <w:divBdr>
        <w:top w:val="none" w:sz="0" w:space="0" w:color="auto"/>
        <w:left w:val="none" w:sz="0" w:space="0" w:color="auto"/>
        <w:bottom w:val="none" w:sz="0" w:space="0" w:color="auto"/>
        <w:right w:val="none" w:sz="0" w:space="0" w:color="auto"/>
      </w:divBdr>
    </w:div>
    <w:div w:id="502934062">
      <w:bodyDiv w:val="1"/>
      <w:marLeft w:val="0"/>
      <w:marRight w:val="0"/>
      <w:marTop w:val="0"/>
      <w:marBottom w:val="0"/>
      <w:divBdr>
        <w:top w:val="none" w:sz="0" w:space="0" w:color="auto"/>
        <w:left w:val="none" w:sz="0" w:space="0" w:color="auto"/>
        <w:bottom w:val="none" w:sz="0" w:space="0" w:color="auto"/>
        <w:right w:val="none" w:sz="0" w:space="0" w:color="auto"/>
      </w:divBdr>
      <w:divsChild>
        <w:div w:id="110903194">
          <w:marLeft w:val="0"/>
          <w:marRight w:val="0"/>
          <w:marTop w:val="0"/>
          <w:marBottom w:val="0"/>
          <w:divBdr>
            <w:top w:val="none" w:sz="0" w:space="0" w:color="auto"/>
            <w:left w:val="none" w:sz="0" w:space="0" w:color="auto"/>
            <w:bottom w:val="none" w:sz="0" w:space="0" w:color="auto"/>
            <w:right w:val="none" w:sz="0" w:space="0" w:color="auto"/>
          </w:divBdr>
        </w:div>
      </w:divsChild>
    </w:div>
    <w:div w:id="511723832">
      <w:bodyDiv w:val="1"/>
      <w:marLeft w:val="0"/>
      <w:marRight w:val="0"/>
      <w:marTop w:val="0"/>
      <w:marBottom w:val="0"/>
      <w:divBdr>
        <w:top w:val="none" w:sz="0" w:space="0" w:color="auto"/>
        <w:left w:val="none" w:sz="0" w:space="0" w:color="auto"/>
        <w:bottom w:val="none" w:sz="0" w:space="0" w:color="auto"/>
        <w:right w:val="none" w:sz="0" w:space="0" w:color="auto"/>
      </w:divBdr>
    </w:div>
    <w:div w:id="549342337">
      <w:bodyDiv w:val="1"/>
      <w:marLeft w:val="0"/>
      <w:marRight w:val="0"/>
      <w:marTop w:val="30"/>
      <w:marBottom w:val="750"/>
      <w:divBdr>
        <w:top w:val="none" w:sz="0" w:space="0" w:color="auto"/>
        <w:left w:val="none" w:sz="0" w:space="0" w:color="auto"/>
        <w:bottom w:val="none" w:sz="0" w:space="0" w:color="auto"/>
        <w:right w:val="none" w:sz="0" w:space="0" w:color="auto"/>
      </w:divBdr>
      <w:divsChild>
        <w:div w:id="1102803410">
          <w:marLeft w:val="0"/>
          <w:marRight w:val="0"/>
          <w:marTop w:val="0"/>
          <w:marBottom w:val="0"/>
          <w:divBdr>
            <w:top w:val="single" w:sz="36" w:space="0" w:color="FFFFFF"/>
            <w:left w:val="none" w:sz="0" w:space="0" w:color="auto"/>
            <w:bottom w:val="none" w:sz="0" w:space="0" w:color="auto"/>
            <w:right w:val="none" w:sz="0" w:space="0" w:color="auto"/>
          </w:divBdr>
          <w:divsChild>
            <w:div w:id="136813885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569654968">
      <w:bodyDiv w:val="1"/>
      <w:marLeft w:val="0"/>
      <w:marRight w:val="0"/>
      <w:marTop w:val="0"/>
      <w:marBottom w:val="0"/>
      <w:divBdr>
        <w:top w:val="none" w:sz="0" w:space="0" w:color="auto"/>
        <w:left w:val="none" w:sz="0" w:space="0" w:color="auto"/>
        <w:bottom w:val="none" w:sz="0" w:space="0" w:color="auto"/>
        <w:right w:val="none" w:sz="0" w:space="0" w:color="auto"/>
      </w:divBdr>
    </w:div>
    <w:div w:id="595947072">
      <w:bodyDiv w:val="1"/>
      <w:marLeft w:val="0"/>
      <w:marRight w:val="0"/>
      <w:marTop w:val="0"/>
      <w:marBottom w:val="0"/>
      <w:divBdr>
        <w:top w:val="none" w:sz="0" w:space="0" w:color="auto"/>
        <w:left w:val="none" w:sz="0" w:space="0" w:color="auto"/>
        <w:bottom w:val="none" w:sz="0" w:space="0" w:color="auto"/>
        <w:right w:val="none" w:sz="0" w:space="0" w:color="auto"/>
      </w:divBdr>
    </w:div>
    <w:div w:id="621958881">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sChild>
        <w:div w:id="120540143">
          <w:marLeft w:val="274"/>
          <w:marRight w:val="0"/>
          <w:marTop w:val="0"/>
          <w:marBottom w:val="0"/>
          <w:divBdr>
            <w:top w:val="none" w:sz="0" w:space="0" w:color="auto"/>
            <w:left w:val="none" w:sz="0" w:space="0" w:color="auto"/>
            <w:bottom w:val="none" w:sz="0" w:space="0" w:color="auto"/>
            <w:right w:val="none" w:sz="0" w:space="0" w:color="auto"/>
          </w:divBdr>
        </w:div>
        <w:div w:id="275723378">
          <w:marLeft w:val="274"/>
          <w:marRight w:val="0"/>
          <w:marTop w:val="0"/>
          <w:marBottom w:val="0"/>
          <w:divBdr>
            <w:top w:val="none" w:sz="0" w:space="0" w:color="auto"/>
            <w:left w:val="none" w:sz="0" w:space="0" w:color="auto"/>
            <w:bottom w:val="none" w:sz="0" w:space="0" w:color="auto"/>
            <w:right w:val="none" w:sz="0" w:space="0" w:color="auto"/>
          </w:divBdr>
        </w:div>
        <w:div w:id="670332486">
          <w:marLeft w:val="274"/>
          <w:marRight w:val="0"/>
          <w:marTop w:val="0"/>
          <w:marBottom w:val="0"/>
          <w:divBdr>
            <w:top w:val="none" w:sz="0" w:space="0" w:color="auto"/>
            <w:left w:val="none" w:sz="0" w:space="0" w:color="auto"/>
            <w:bottom w:val="none" w:sz="0" w:space="0" w:color="auto"/>
            <w:right w:val="none" w:sz="0" w:space="0" w:color="auto"/>
          </w:divBdr>
        </w:div>
        <w:div w:id="899050517">
          <w:marLeft w:val="274"/>
          <w:marRight w:val="0"/>
          <w:marTop w:val="0"/>
          <w:marBottom w:val="0"/>
          <w:divBdr>
            <w:top w:val="none" w:sz="0" w:space="0" w:color="auto"/>
            <w:left w:val="none" w:sz="0" w:space="0" w:color="auto"/>
            <w:bottom w:val="none" w:sz="0" w:space="0" w:color="auto"/>
            <w:right w:val="none" w:sz="0" w:space="0" w:color="auto"/>
          </w:divBdr>
        </w:div>
        <w:div w:id="980116368">
          <w:marLeft w:val="274"/>
          <w:marRight w:val="0"/>
          <w:marTop w:val="0"/>
          <w:marBottom w:val="0"/>
          <w:divBdr>
            <w:top w:val="none" w:sz="0" w:space="0" w:color="auto"/>
            <w:left w:val="none" w:sz="0" w:space="0" w:color="auto"/>
            <w:bottom w:val="none" w:sz="0" w:space="0" w:color="auto"/>
            <w:right w:val="none" w:sz="0" w:space="0" w:color="auto"/>
          </w:divBdr>
        </w:div>
        <w:div w:id="1014647573">
          <w:marLeft w:val="274"/>
          <w:marRight w:val="0"/>
          <w:marTop w:val="0"/>
          <w:marBottom w:val="0"/>
          <w:divBdr>
            <w:top w:val="none" w:sz="0" w:space="0" w:color="auto"/>
            <w:left w:val="none" w:sz="0" w:space="0" w:color="auto"/>
            <w:bottom w:val="none" w:sz="0" w:space="0" w:color="auto"/>
            <w:right w:val="none" w:sz="0" w:space="0" w:color="auto"/>
          </w:divBdr>
        </w:div>
        <w:div w:id="1291787718">
          <w:marLeft w:val="274"/>
          <w:marRight w:val="0"/>
          <w:marTop w:val="0"/>
          <w:marBottom w:val="0"/>
          <w:divBdr>
            <w:top w:val="none" w:sz="0" w:space="0" w:color="auto"/>
            <w:left w:val="none" w:sz="0" w:space="0" w:color="auto"/>
            <w:bottom w:val="none" w:sz="0" w:space="0" w:color="auto"/>
            <w:right w:val="none" w:sz="0" w:space="0" w:color="auto"/>
          </w:divBdr>
        </w:div>
        <w:div w:id="1380324562">
          <w:marLeft w:val="274"/>
          <w:marRight w:val="0"/>
          <w:marTop w:val="0"/>
          <w:marBottom w:val="0"/>
          <w:divBdr>
            <w:top w:val="none" w:sz="0" w:space="0" w:color="auto"/>
            <w:left w:val="none" w:sz="0" w:space="0" w:color="auto"/>
            <w:bottom w:val="none" w:sz="0" w:space="0" w:color="auto"/>
            <w:right w:val="none" w:sz="0" w:space="0" w:color="auto"/>
          </w:divBdr>
        </w:div>
        <w:div w:id="1821968713">
          <w:marLeft w:val="274"/>
          <w:marRight w:val="0"/>
          <w:marTop w:val="0"/>
          <w:marBottom w:val="0"/>
          <w:divBdr>
            <w:top w:val="none" w:sz="0" w:space="0" w:color="auto"/>
            <w:left w:val="none" w:sz="0" w:space="0" w:color="auto"/>
            <w:bottom w:val="none" w:sz="0" w:space="0" w:color="auto"/>
            <w:right w:val="none" w:sz="0" w:space="0" w:color="auto"/>
          </w:divBdr>
        </w:div>
        <w:div w:id="1893275223">
          <w:marLeft w:val="274"/>
          <w:marRight w:val="0"/>
          <w:marTop w:val="0"/>
          <w:marBottom w:val="0"/>
          <w:divBdr>
            <w:top w:val="none" w:sz="0" w:space="0" w:color="auto"/>
            <w:left w:val="none" w:sz="0" w:space="0" w:color="auto"/>
            <w:bottom w:val="none" w:sz="0" w:space="0" w:color="auto"/>
            <w:right w:val="none" w:sz="0" w:space="0" w:color="auto"/>
          </w:divBdr>
        </w:div>
        <w:div w:id="2072342239">
          <w:marLeft w:val="274"/>
          <w:marRight w:val="0"/>
          <w:marTop w:val="0"/>
          <w:marBottom w:val="0"/>
          <w:divBdr>
            <w:top w:val="none" w:sz="0" w:space="0" w:color="auto"/>
            <w:left w:val="none" w:sz="0" w:space="0" w:color="auto"/>
            <w:bottom w:val="none" w:sz="0" w:space="0" w:color="auto"/>
            <w:right w:val="none" w:sz="0" w:space="0" w:color="auto"/>
          </w:divBdr>
        </w:div>
      </w:divsChild>
    </w:div>
    <w:div w:id="682317575">
      <w:bodyDiv w:val="1"/>
      <w:marLeft w:val="0"/>
      <w:marRight w:val="0"/>
      <w:marTop w:val="0"/>
      <w:marBottom w:val="0"/>
      <w:divBdr>
        <w:top w:val="none" w:sz="0" w:space="0" w:color="auto"/>
        <w:left w:val="none" w:sz="0" w:space="0" w:color="auto"/>
        <w:bottom w:val="none" w:sz="0" w:space="0" w:color="auto"/>
        <w:right w:val="none" w:sz="0" w:space="0" w:color="auto"/>
      </w:divBdr>
    </w:div>
    <w:div w:id="761338250">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99566777">
      <w:bodyDiv w:val="1"/>
      <w:marLeft w:val="0"/>
      <w:marRight w:val="0"/>
      <w:marTop w:val="0"/>
      <w:marBottom w:val="0"/>
      <w:divBdr>
        <w:top w:val="none" w:sz="0" w:space="0" w:color="auto"/>
        <w:left w:val="none" w:sz="0" w:space="0" w:color="auto"/>
        <w:bottom w:val="none" w:sz="0" w:space="0" w:color="auto"/>
        <w:right w:val="none" w:sz="0" w:space="0" w:color="auto"/>
      </w:divBdr>
    </w:div>
    <w:div w:id="853109357">
      <w:bodyDiv w:val="1"/>
      <w:marLeft w:val="0"/>
      <w:marRight w:val="0"/>
      <w:marTop w:val="0"/>
      <w:marBottom w:val="0"/>
      <w:divBdr>
        <w:top w:val="none" w:sz="0" w:space="0" w:color="auto"/>
        <w:left w:val="none" w:sz="0" w:space="0" w:color="auto"/>
        <w:bottom w:val="none" w:sz="0" w:space="0" w:color="auto"/>
        <w:right w:val="none" w:sz="0" w:space="0" w:color="auto"/>
      </w:divBdr>
    </w:div>
    <w:div w:id="974676515">
      <w:bodyDiv w:val="1"/>
      <w:marLeft w:val="0"/>
      <w:marRight w:val="0"/>
      <w:marTop w:val="0"/>
      <w:marBottom w:val="0"/>
      <w:divBdr>
        <w:top w:val="none" w:sz="0" w:space="0" w:color="auto"/>
        <w:left w:val="none" w:sz="0" w:space="0" w:color="auto"/>
        <w:bottom w:val="none" w:sz="0" w:space="0" w:color="auto"/>
        <w:right w:val="none" w:sz="0" w:space="0" w:color="auto"/>
      </w:divBdr>
    </w:div>
    <w:div w:id="982393171">
      <w:bodyDiv w:val="1"/>
      <w:marLeft w:val="0"/>
      <w:marRight w:val="0"/>
      <w:marTop w:val="0"/>
      <w:marBottom w:val="0"/>
      <w:divBdr>
        <w:top w:val="none" w:sz="0" w:space="0" w:color="auto"/>
        <w:left w:val="none" w:sz="0" w:space="0" w:color="auto"/>
        <w:bottom w:val="none" w:sz="0" w:space="0" w:color="auto"/>
        <w:right w:val="none" w:sz="0" w:space="0" w:color="auto"/>
      </w:divBdr>
    </w:div>
    <w:div w:id="991710816">
      <w:bodyDiv w:val="1"/>
      <w:marLeft w:val="0"/>
      <w:marRight w:val="0"/>
      <w:marTop w:val="0"/>
      <w:marBottom w:val="0"/>
      <w:divBdr>
        <w:top w:val="none" w:sz="0" w:space="0" w:color="auto"/>
        <w:left w:val="none" w:sz="0" w:space="0" w:color="auto"/>
        <w:bottom w:val="none" w:sz="0" w:space="0" w:color="auto"/>
        <w:right w:val="none" w:sz="0" w:space="0" w:color="auto"/>
      </w:divBdr>
      <w:divsChild>
        <w:div w:id="125971357">
          <w:marLeft w:val="274"/>
          <w:marRight w:val="0"/>
          <w:marTop w:val="0"/>
          <w:marBottom w:val="0"/>
          <w:divBdr>
            <w:top w:val="none" w:sz="0" w:space="0" w:color="auto"/>
            <w:left w:val="none" w:sz="0" w:space="0" w:color="auto"/>
            <w:bottom w:val="none" w:sz="0" w:space="0" w:color="auto"/>
            <w:right w:val="none" w:sz="0" w:space="0" w:color="auto"/>
          </w:divBdr>
        </w:div>
        <w:div w:id="1422872809">
          <w:marLeft w:val="274"/>
          <w:marRight w:val="0"/>
          <w:marTop w:val="0"/>
          <w:marBottom w:val="0"/>
          <w:divBdr>
            <w:top w:val="none" w:sz="0" w:space="0" w:color="auto"/>
            <w:left w:val="none" w:sz="0" w:space="0" w:color="auto"/>
            <w:bottom w:val="none" w:sz="0" w:space="0" w:color="auto"/>
            <w:right w:val="none" w:sz="0" w:space="0" w:color="auto"/>
          </w:divBdr>
        </w:div>
        <w:div w:id="1573005426">
          <w:marLeft w:val="274"/>
          <w:marRight w:val="0"/>
          <w:marTop w:val="0"/>
          <w:marBottom w:val="0"/>
          <w:divBdr>
            <w:top w:val="none" w:sz="0" w:space="0" w:color="auto"/>
            <w:left w:val="none" w:sz="0" w:space="0" w:color="auto"/>
            <w:bottom w:val="none" w:sz="0" w:space="0" w:color="auto"/>
            <w:right w:val="none" w:sz="0" w:space="0" w:color="auto"/>
          </w:divBdr>
        </w:div>
        <w:div w:id="1754888767">
          <w:marLeft w:val="274"/>
          <w:marRight w:val="0"/>
          <w:marTop w:val="0"/>
          <w:marBottom w:val="0"/>
          <w:divBdr>
            <w:top w:val="none" w:sz="0" w:space="0" w:color="auto"/>
            <w:left w:val="none" w:sz="0" w:space="0" w:color="auto"/>
            <w:bottom w:val="none" w:sz="0" w:space="0" w:color="auto"/>
            <w:right w:val="none" w:sz="0" w:space="0" w:color="auto"/>
          </w:divBdr>
        </w:div>
        <w:div w:id="1823231096">
          <w:marLeft w:val="274"/>
          <w:marRight w:val="0"/>
          <w:marTop w:val="0"/>
          <w:marBottom w:val="0"/>
          <w:divBdr>
            <w:top w:val="none" w:sz="0" w:space="0" w:color="auto"/>
            <w:left w:val="none" w:sz="0" w:space="0" w:color="auto"/>
            <w:bottom w:val="none" w:sz="0" w:space="0" w:color="auto"/>
            <w:right w:val="none" w:sz="0" w:space="0" w:color="auto"/>
          </w:divBdr>
        </w:div>
        <w:div w:id="1870295417">
          <w:marLeft w:val="274"/>
          <w:marRight w:val="0"/>
          <w:marTop w:val="0"/>
          <w:marBottom w:val="0"/>
          <w:divBdr>
            <w:top w:val="none" w:sz="0" w:space="0" w:color="auto"/>
            <w:left w:val="none" w:sz="0" w:space="0" w:color="auto"/>
            <w:bottom w:val="none" w:sz="0" w:space="0" w:color="auto"/>
            <w:right w:val="none" w:sz="0" w:space="0" w:color="auto"/>
          </w:divBdr>
        </w:div>
      </w:divsChild>
    </w:div>
    <w:div w:id="1043017683">
      <w:bodyDiv w:val="1"/>
      <w:marLeft w:val="0"/>
      <w:marRight w:val="0"/>
      <w:marTop w:val="0"/>
      <w:marBottom w:val="0"/>
      <w:divBdr>
        <w:top w:val="none" w:sz="0" w:space="0" w:color="auto"/>
        <w:left w:val="none" w:sz="0" w:space="0" w:color="auto"/>
        <w:bottom w:val="none" w:sz="0" w:space="0" w:color="auto"/>
        <w:right w:val="none" w:sz="0" w:space="0" w:color="auto"/>
      </w:divBdr>
    </w:div>
    <w:div w:id="1059936589">
      <w:bodyDiv w:val="1"/>
      <w:marLeft w:val="0"/>
      <w:marRight w:val="0"/>
      <w:marTop w:val="0"/>
      <w:marBottom w:val="0"/>
      <w:divBdr>
        <w:top w:val="none" w:sz="0" w:space="0" w:color="auto"/>
        <w:left w:val="none" w:sz="0" w:space="0" w:color="auto"/>
        <w:bottom w:val="none" w:sz="0" w:space="0" w:color="auto"/>
        <w:right w:val="none" w:sz="0" w:space="0" w:color="auto"/>
      </w:divBdr>
    </w:div>
    <w:div w:id="1094203459">
      <w:bodyDiv w:val="1"/>
      <w:marLeft w:val="0"/>
      <w:marRight w:val="0"/>
      <w:marTop w:val="0"/>
      <w:marBottom w:val="0"/>
      <w:divBdr>
        <w:top w:val="none" w:sz="0" w:space="0" w:color="auto"/>
        <w:left w:val="none" w:sz="0" w:space="0" w:color="auto"/>
        <w:bottom w:val="none" w:sz="0" w:space="0" w:color="auto"/>
        <w:right w:val="none" w:sz="0" w:space="0" w:color="auto"/>
      </w:divBdr>
    </w:div>
    <w:div w:id="1159927429">
      <w:bodyDiv w:val="1"/>
      <w:marLeft w:val="0"/>
      <w:marRight w:val="0"/>
      <w:marTop w:val="0"/>
      <w:marBottom w:val="0"/>
      <w:divBdr>
        <w:top w:val="none" w:sz="0" w:space="0" w:color="auto"/>
        <w:left w:val="none" w:sz="0" w:space="0" w:color="auto"/>
        <w:bottom w:val="none" w:sz="0" w:space="0" w:color="auto"/>
        <w:right w:val="none" w:sz="0" w:space="0" w:color="auto"/>
      </w:divBdr>
    </w:div>
    <w:div w:id="1172837456">
      <w:bodyDiv w:val="1"/>
      <w:marLeft w:val="0"/>
      <w:marRight w:val="0"/>
      <w:marTop w:val="0"/>
      <w:marBottom w:val="0"/>
      <w:divBdr>
        <w:top w:val="none" w:sz="0" w:space="0" w:color="auto"/>
        <w:left w:val="none" w:sz="0" w:space="0" w:color="auto"/>
        <w:bottom w:val="none" w:sz="0" w:space="0" w:color="auto"/>
        <w:right w:val="none" w:sz="0" w:space="0" w:color="auto"/>
      </w:divBdr>
    </w:div>
    <w:div w:id="1191531495">
      <w:bodyDiv w:val="1"/>
      <w:marLeft w:val="0"/>
      <w:marRight w:val="0"/>
      <w:marTop w:val="0"/>
      <w:marBottom w:val="0"/>
      <w:divBdr>
        <w:top w:val="none" w:sz="0" w:space="0" w:color="auto"/>
        <w:left w:val="none" w:sz="0" w:space="0" w:color="auto"/>
        <w:bottom w:val="none" w:sz="0" w:space="0" w:color="auto"/>
        <w:right w:val="none" w:sz="0" w:space="0" w:color="auto"/>
      </w:divBdr>
    </w:div>
    <w:div w:id="1194687853">
      <w:bodyDiv w:val="1"/>
      <w:marLeft w:val="0"/>
      <w:marRight w:val="0"/>
      <w:marTop w:val="0"/>
      <w:marBottom w:val="0"/>
      <w:divBdr>
        <w:top w:val="none" w:sz="0" w:space="0" w:color="auto"/>
        <w:left w:val="none" w:sz="0" w:space="0" w:color="auto"/>
        <w:bottom w:val="none" w:sz="0" w:space="0" w:color="auto"/>
        <w:right w:val="none" w:sz="0" w:space="0" w:color="auto"/>
      </w:divBdr>
    </w:div>
    <w:div w:id="1294599808">
      <w:bodyDiv w:val="1"/>
      <w:marLeft w:val="0"/>
      <w:marRight w:val="0"/>
      <w:marTop w:val="0"/>
      <w:marBottom w:val="0"/>
      <w:divBdr>
        <w:top w:val="none" w:sz="0" w:space="0" w:color="auto"/>
        <w:left w:val="none" w:sz="0" w:space="0" w:color="auto"/>
        <w:bottom w:val="none" w:sz="0" w:space="0" w:color="auto"/>
        <w:right w:val="none" w:sz="0" w:space="0" w:color="auto"/>
      </w:divBdr>
    </w:div>
    <w:div w:id="1328247964">
      <w:bodyDiv w:val="1"/>
      <w:marLeft w:val="0"/>
      <w:marRight w:val="0"/>
      <w:marTop w:val="0"/>
      <w:marBottom w:val="0"/>
      <w:divBdr>
        <w:top w:val="none" w:sz="0" w:space="0" w:color="auto"/>
        <w:left w:val="none" w:sz="0" w:space="0" w:color="auto"/>
        <w:bottom w:val="none" w:sz="0" w:space="0" w:color="auto"/>
        <w:right w:val="none" w:sz="0" w:space="0" w:color="auto"/>
      </w:divBdr>
    </w:div>
    <w:div w:id="1379818459">
      <w:bodyDiv w:val="1"/>
      <w:marLeft w:val="0"/>
      <w:marRight w:val="0"/>
      <w:marTop w:val="0"/>
      <w:marBottom w:val="0"/>
      <w:divBdr>
        <w:top w:val="none" w:sz="0" w:space="0" w:color="auto"/>
        <w:left w:val="none" w:sz="0" w:space="0" w:color="auto"/>
        <w:bottom w:val="none" w:sz="0" w:space="0" w:color="auto"/>
        <w:right w:val="none" w:sz="0" w:space="0" w:color="auto"/>
      </w:divBdr>
    </w:div>
    <w:div w:id="1419139183">
      <w:bodyDiv w:val="1"/>
      <w:marLeft w:val="0"/>
      <w:marRight w:val="0"/>
      <w:marTop w:val="0"/>
      <w:marBottom w:val="0"/>
      <w:divBdr>
        <w:top w:val="none" w:sz="0" w:space="0" w:color="auto"/>
        <w:left w:val="none" w:sz="0" w:space="0" w:color="auto"/>
        <w:bottom w:val="none" w:sz="0" w:space="0" w:color="auto"/>
        <w:right w:val="none" w:sz="0" w:space="0" w:color="auto"/>
      </w:divBdr>
    </w:div>
    <w:div w:id="1488476278">
      <w:bodyDiv w:val="1"/>
      <w:marLeft w:val="0"/>
      <w:marRight w:val="0"/>
      <w:marTop w:val="0"/>
      <w:marBottom w:val="0"/>
      <w:divBdr>
        <w:top w:val="none" w:sz="0" w:space="0" w:color="auto"/>
        <w:left w:val="none" w:sz="0" w:space="0" w:color="auto"/>
        <w:bottom w:val="none" w:sz="0" w:space="0" w:color="auto"/>
        <w:right w:val="none" w:sz="0" w:space="0" w:color="auto"/>
      </w:divBdr>
    </w:div>
    <w:div w:id="1492483016">
      <w:bodyDiv w:val="1"/>
      <w:marLeft w:val="0"/>
      <w:marRight w:val="0"/>
      <w:marTop w:val="0"/>
      <w:marBottom w:val="0"/>
      <w:divBdr>
        <w:top w:val="none" w:sz="0" w:space="0" w:color="auto"/>
        <w:left w:val="none" w:sz="0" w:space="0" w:color="auto"/>
        <w:bottom w:val="none" w:sz="0" w:space="0" w:color="auto"/>
        <w:right w:val="none" w:sz="0" w:space="0" w:color="auto"/>
      </w:divBdr>
    </w:div>
    <w:div w:id="1529561369">
      <w:bodyDiv w:val="1"/>
      <w:marLeft w:val="0"/>
      <w:marRight w:val="0"/>
      <w:marTop w:val="0"/>
      <w:marBottom w:val="0"/>
      <w:divBdr>
        <w:top w:val="none" w:sz="0" w:space="0" w:color="auto"/>
        <w:left w:val="none" w:sz="0" w:space="0" w:color="auto"/>
        <w:bottom w:val="none" w:sz="0" w:space="0" w:color="auto"/>
        <w:right w:val="none" w:sz="0" w:space="0" w:color="auto"/>
      </w:divBdr>
    </w:div>
    <w:div w:id="1582908798">
      <w:bodyDiv w:val="1"/>
      <w:marLeft w:val="0"/>
      <w:marRight w:val="0"/>
      <w:marTop w:val="0"/>
      <w:marBottom w:val="0"/>
      <w:divBdr>
        <w:top w:val="none" w:sz="0" w:space="0" w:color="auto"/>
        <w:left w:val="none" w:sz="0" w:space="0" w:color="auto"/>
        <w:bottom w:val="none" w:sz="0" w:space="0" w:color="auto"/>
        <w:right w:val="none" w:sz="0" w:space="0" w:color="auto"/>
      </w:divBdr>
    </w:div>
    <w:div w:id="1586456560">
      <w:bodyDiv w:val="1"/>
      <w:marLeft w:val="0"/>
      <w:marRight w:val="0"/>
      <w:marTop w:val="0"/>
      <w:marBottom w:val="0"/>
      <w:divBdr>
        <w:top w:val="none" w:sz="0" w:space="0" w:color="auto"/>
        <w:left w:val="none" w:sz="0" w:space="0" w:color="auto"/>
        <w:bottom w:val="none" w:sz="0" w:space="0" w:color="auto"/>
        <w:right w:val="none" w:sz="0" w:space="0" w:color="auto"/>
      </w:divBdr>
    </w:div>
    <w:div w:id="1605573447">
      <w:bodyDiv w:val="1"/>
      <w:marLeft w:val="0"/>
      <w:marRight w:val="0"/>
      <w:marTop w:val="0"/>
      <w:marBottom w:val="0"/>
      <w:divBdr>
        <w:top w:val="none" w:sz="0" w:space="0" w:color="auto"/>
        <w:left w:val="none" w:sz="0" w:space="0" w:color="auto"/>
        <w:bottom w:val="none" w:sz="0" w:space="0" w:color="auto"/>
        <w:right w:val="none" w:sz="0" w:space="0" w:color="auto"/>
      </w:divBdr>
    </w:div>
    <w:div w:id="1637905197">
      <w:bodyDiv w:val="1"/>
      <w:marLeft w:val="0"/>
      <w:marRight w:val="0"/>
      <w:marTop w:val="0"/>
      <w:marBottom w:val="0"/>
      <w:divBdr>
        <w:top w:val="none" w:sz="0" w:space="0" w:color="auto"/>
        <w:left w:val="none" w:sz="0" w:space="0" w:color="auto"/>
        <w:bottom w:val="none" w:sz="0" w:space="0" w:color="auto"/>
        <w:right w:val="none" w:sz="0" w:space="0" w:color="auto"/>
      </w:divBdr>
    </w:div>
    <w:div w:id="1638031541">
      <w:bodyDiv w:val="1"/>
      <w:marLeft w:val="0"/>
      <w:marRight w:val="0"/>
      <w:marTop w:val="0"/>
      <w:marBottom w:val="0"/>
      <w:divBdr>
        <w:top w:val="none" w:sz="0" w:space="0" w:color="auto"/>
        <w:left w:val="none" w:sz="0" w:space="0" w:color="auto"/>
        <w:bottom w:val="none" w:sz="0" w:space="0" w:color="auto"/>
        <w:right w:val="none" w:sz="0" w:space="0" w:color="auto"/>
      </w:divBdr>
    </w:div>
    <w:div w:id="1642033199">
      <w:bodyDiv w:val="1"/>
      <w:marLeft w:val="0"/>
      <w:marRight w:val="0"/>
      <w:marTop w:val="0"/>
      <w:marBottom w:val="0"/>
      <w:divBdr>
        <w:top w:val="none" w:sz="0" w:space="0" w:color="auto"/>
        <w:left w:val="none" w:sz="0" w:space="0" w:color="auto"/>
        <w:bottom w:val="none" w:sz="0" w:space="0" w:color="auto"/>
        <w:right w:val="none" w:sz="0" w:space="0" w:color="auto"/>
      </w:divBdr>
    </w:div>
    <w:div w:id="1642156672">
      <w:bodyDiv w:val="1"/>
      <w:marLeft w:val="0"/>
      <w:marRight w:val="0"/>
      <w:marTop w:val="0"/>
      <w:marBottom w:val="0"/>
      <w:divBdr>
        <w:top w:val="none" w:sz="0" w:space="0" w:color="auto"/>
        <w:left w:val="none" w:sz="0" w:space="0" w:color="auto"/>
        <w:bottom w:val="none" w:sz="0" w:space="0" w:color="auto"/>
        <w:right w:val="none" w:sz="0" w:space="0" w:color="auto"/>
      </w:divBdr>
    </w:div>
    <w:div w:id="1649048224">
      <w:bodyDiv w:val="1"/>
      <w:marLeft w:val="0"/>
      <w:marRight w:val="0"/>
      <w:marTop w:val="0"/>
      <w:marBottom w:val="0"/>
      <w:divBdr>
        <w:top w:val="none" w:sz="0" w:space="0" w:color="auto"/>
        <w:left w:val="none" w:sz="0" w:space="0" w:color="auto"/>
        <w:bottom w:val="none" w:sz="0" w:space="0" w:color="auto"/>
        <w:right w:val="none" w:sz="0" w:space="0" w:color="auto"/>
      </w:divBdr>
      <w:divsChild>
        <w:div w:id="135416599">
          <w:marLeft w:val="274"/>
          <w:marRight w:val="0"/>
          <w:marTop w:val="0"/>
          <w:marBottom w:val="0"/>
          <w:divBdr>
            <w:top w:val="none" w:sz="0" w:space="0" w:color="auto"/>
            <w:left w:val="none" w:sz="0" w:space="0" w:color="auto"/>
            <w:bottom w:val="none" w:sz="0" w:space="0" w:color="auto"/>
            <w:right w:val="none" w:sz="0" w:space="0" w:color="auto"/>
          </w:divBdr>
        </w:div>
        <w:div w:id="508328769">
          <w:marLeft w:val="274"/>
          <w:marRight w:val="0"/>
          <w:marTop w:val="0"/>
          <w:marBottom w:val="0"/>
          <w:divBdr>
            <w:top w:val="none" w:sz="0" w:space="0" w:color="auto"/>
            <w:left w:val="none" w:sz="0" w:space="0" w:color="auto"/>
            <w:bottom w:val="none" w:sz="0" w:space="0" w:color="auto"/>
            <w:right w:val="none" w:sz="0" w:space="0" w:color="auto"/>
          </w:divBdr>
        </w:div>
        <w:div w:id="516890245">
          <w:marLeft w:val="274"/>
          <w:marRight w:val="0"/>
          <w:marTop w:val="0"/>
          <w:marBottom w:val="0"/>
          <w:divBdr>
            <w:top w:val="none" w:sz="0" w:space="0" w:color="auto"/>
            <w:left w:val="none" w:sz="0" w:space="0" w:color="auto"/>
            <w:bottom w:val="none" w:sz="0" w:space="0" w:color="auto"/>
            <w:right w:val="none" w:sz="0" w:space="0" w:color="auto"/>
          </w:divBdr>
        </w:div>
        <w:div w:id="1206716397">
          <w:marLeft w:val="274"/>
          <w:marRight w:val="0"/>
          <w:marTop w:val="0"/>
          <w:marBottom w:val="0"/>
          <w:divBdr>
            <w:top w:val="none" w:sz="0" w:space="0" w:color="auto"/>
            <w:left w:val="none" w:sz="0" w:space="0" w:color="auto"/>
            <w:bottom w:val="none" w:sz="0" w:space="0" w:color="auto"/>
            <w:right w:val="none" w:sz="0" w:space="0" w:color="auto"/>
          </w:divBdr>
        </w:div>
        <w:div w:id="1984584126">
          <w:marLeft w:val="274"/>
          <w:marRight w:val="0"/>
          <w:marTop w:val="0"/>
          <w:marBottom w:val="0"/>
          <w:divBdr>
            <w:top w:val="none" w:sz="0" w:space="0" w:color="auto"/>
            <w:left w:val="none" w:sz="0" w:space="0" w:color="auto"/>
            <w:bottom w:val="none" w:sz="0" w:space="0" w:color="auto"/>
            <w:right w:val="none" w:sz="0" w:space="0" w:color="auto"/>
          </w:divBdr>
        </w:div>
        <w:div w:id="2098793474">
          <w:marLeft w:val="274"/>
          <w:marRight w:val="0"/>
          <w:marTop w:val="0"/>
          <w:marBottom w:val="0"/>
          <w:divBdr>
            <w:top w:val="none" w:sz="0" w:space="0" w:color="auto"/>
            <w:left w:val="none" w:sz="0" w:space="0" w:color="auto"/>
            <w:bottom w:val="none" w:sz="0" w:space="0" w:color="auto"/>
            <w:right w:val="none" w:sz="0" w:space="0" w:color="auto"/>
          </w:divBdr>
        </w:div>
        <w:div w:id="2105490023">
          <w:marLeft w:val="274"/>
          <w:marRight w:val="0"/>
          <w:marTop w:val="0"/>
          <w:marBottom w:val="0"/>
          <w:divBdr>
            <w:top w:val="none" w:sz="0" w:space="0" w:color="auto"/>
            <w:left w:val="none" w:sz="0" w:space="0" w:color="auto"/>
            <w:bottom w:val="none" w:sz="0" w:space="0" w:color="auto"/>
            <w:right w:val="none" w:sz="0" w:space="0" w:color="auto"/>
          </w:divBdr>
        </w:div>
      </w:divsChild>
    </w:div>
    <w:div w:id="1679187509">
      <w:bodyDiv w:val="1"/>
      <w:marLeft w:val="0"/>
      <w:marRight w:val="0"/>
      <w:marTop w:val="0"/>
      <w:marBottom w:val="0"/>
      <w:divBdr>
        <w:top w:val="none" w:sz="0" w:space="0" w:color="auto"/>
        <w:left w:val="none" w:sz="0" w:space="0" w:color="auto"/>
        <w:bottom w:val="none" w:sz="0" w:space="0" w:color="auto"/>
        <w:right w:val="none" w:sz="0" w:space="0" w:color="auto"/>
      </w:divBdr>
    </w:div>
    <w:div w:id="1704936971">
      <w:bodyDiv w:val="1"/>
      <w:marLeft w:val="0"/>
      <w:marRight w:val="0"/>
      <w:marTop w:val="0"/>
      <w:marBottom w:val="0"/>
      <w:divBdr>
        <w:top w:val="none" w:sz="0" w:space="0" w:color="auto"/>
        <w:left w:val="none" w:sz="0" w:space="0" w:color="auto"/>
        <w:bottom w:val="none" w:sz="0" w:space="0" w:color="auto"/>
        <w:right w:val="none" w:sz="0" w:space="0" w:color="auto"/>
      </w:divBdr>
    </w:div>
    <w:div w:id="1771118586">
      <w:bodyDiv w:val="1"/>
      <w:marLeft w:val="0"/>
      <w:marRight w:val="0"/>
      <w:marTop w:val="0"/>
      <w:marBottom w:val="0"/>
      <w:divBdr>
        <w:top w:val="none" w:sz="0" w:space="0" w:color="auto"/>
        <w:left w:val="none" w:sz="0" w:space="0" w:color="auto"/>
        <w:bottom w:val="none" w:sz="0" w:space="0" w:color="auto"/>
        <w:right w:val="none" w:sz="0" w:space="0" w:color="auto"/>
      </w:divBdr>
      <w:divsChild>
        <w:div w:id="51468057">
          <w:marLeft w:val="0"/>
          <w:marRight w:val="0"/>
          <w:marTop w:val="0"/>
          <w:marBottom w:val="0"/>
          <w:divBdr>
            <w:top w:val="none" w:sz="0" w:space="0" w:color="auto"/>
            <w:left w:val="none" w:sz="0" w:space="0" w:color="auto"/>
            <w:bottom w:val="none" w:sz="0" w:space="0" w:color="auto"/>
            <w:right w:val="none" w:sz="0" w:space="0" w:color="auto"/>
          </w:divBdr>
        </w:div>
      </w:divsChild>
    </w:div>
    <w:div w:id="1833136757">
      <w:bodyDiv w:val="1"/>
      <w:marLeft w:val="0"/>
      <w:marRight w:val="0"/>
      <w:marTop w:val="0"/>
      <w:marBottom w:val="0"/>
      <w:divBdr>
        <w:top w:val="none" w:sz="0" w:space="0" w:color="auto"/>
        <w:left w:val="none" w:sz="0" w:space="0" w:color="auto"/>
        <w:bottom w:val="none" w:sz="0" w:space="0" w:color="auto"/>
        <w:right w:val="none" w:sz="0" w:space="0" w:color="auto"/>
      </w:divBdr>
    </w:div>
    <w:div w:id="1928877115">
      <w:bodyDiv w:val="1"/>
      <w:marLeft w:val="0"/>
      <w:marRight w:val="0"/>
      <w:marTop w:val="0"/>
      <w:marBottom w:val="0"/>
      <w:divBdr>
        <w:top w:val="none" w:sz="0" w:space="0" w:color="auto"/>
        <w:left w:val="none" w:sz="0" w:space="0" w:color="auto"/>
        <w:bottom w:val="none" w:sz="0" w:space="0" w:color="auto"/>
        <w:right w:val="none" w:sz="0" w:space="0" w:color="auto"/>
      </w:divBdr>
    </w:div>
    <w:div w:id="2035687608">
      <w:bodyDiv w:val="1"/>
      <w:marLeft w:val="0"/>
      <w:marRight w:val="0"/>
      <w:marTop w:val="0"/>
      <w:marBottom w:val="0"/>
      <w:divBdr>
        <w:top w:val="none" w:sz="0" w:space="0" w:color="auto"/>
        <w:left w:val="none" w:sz="0" w:space="0" w:color="auto"/>
        <w:bottom w:val="none" w:sz="0" w:space="0" w:color="auto"/>
        <w:right w:val="none" w:sz="0" w:space="0" w:color="auto"/>
      </w:divBdr>
    </w:div>
    <w:div w:id="2064283386">
      <w:bodyDiv w:val="1"/>
      <w:marLeft w:val="0"/>
      <w:marRight w:val="0"/>
      <w:marTop w:val="0"/>
      <w:marBottom w:val="0"/>
      <w:divBdr>
        <w:top w:val="none" w:sz="0" w:space="0" w:color="auto"/>
        <w:left w:val="none" w:sz="0" w:space="0" w:color="auto"/>
        <w:bottom w:val="none" w:sz="0" w:space="0" w:color="auto"/>
        <w:right w:val="none" w:sz="0" w:space="0" w:color="auto"/>
      </w:divBdr>
      <w:divsChild>
        <w:div w:id="96297019">
          <w:marLeft w:val="274"/>
          <w:marRight w:val="0"/>
          <w:marTop w:val="0"/>
          <w:marBottom w:val="0"/>
          <w:divBdr>
            <w:top w:val="none" w:sz="0" w:space="0" w:color="auto"/>
            <w:left w:val="none" w:sz="0" w:space="0" w:color="auto"/>
            <w:bottom w:val="none" w:sz="0" w:space="0" w:color="auto"/>
            <w:right w:val="none" w:sz="0" w:space="0" w:color="auto"/>
          </w:divBdr>
        </w:div>
        <w:div w:id="117338722">
          <w:marLeft w:val="274"/>
          <w:marRight w:val="0"/>
          <w:marTop w:val="0"/>
          <w:marBottom w:val="0"/>
          <w:divBdr>
            <w:top w:val="none" w:sz="0" w:space="0" w:color="auto"/>
            <w:left w:val="none" w:sz="0" w:space="0" w:color="auto"/>
            <w:bottom w:val="none" w:sz="0" w:space="0" w:color="auto"/>
            <w:right w:val="none" w:sz="0" w:space="0" w:color="auto"/>
          </w:divBdr>
        </w:div>
        <w:div w:id="124740143">
          <w:marLeft w:val="274"/>
          <w:marRight w:val="0"/>
          <w:marTop w:val="0"/>
          <w:marBottom w:val="0"/>
          <w:divBdr>
            <w:top w:val="none" w:sz="0" w:space="0" w:color="auto"/>
            <w:left w:val="none" w:sz="0" w:space="0" w:color="auto"/>
            <w:bottom w:val="none" w:sz="0" w:space="0" w:color="auto"/>
            <w:right w:val="none" w:sz="0" w:space="0" w:color="auto"/>
          </w:divBdr>
        </w:div>
        <w:div w:id="210653459">
          <w:marLeft w:val="274"/>
          <w:marRight w:val="0"/>
          <w:marTop w:val="0"/>
          <w:marBottom w:val="0"/>
          <w:divBdr>
            <w:top w:val="none" w:sz="0" w:space="0" w:color="auto"/>
            <w:left w:val="none" w:sz="0" w:space="0" w:color="auto"/>
            <w:bottom w:val="none" w:sz="0" w:space="0" w:color="auto"/>
            <w:right w:val="none" w:sz="0" w:space="0" w:color="auto"/>
          </w:divBdr>
        </w:div>
        <w:div w:id="224266801">
          <w:marLeft w:val="274"/>
          <w:marRight w:val="0"/>
          <w:marTop w:val="0"/>
          <w:marBottom w:val="0"/>
          <w:divBdr>
            <w:top w:val="none" w:sz="0" w:space="0" w:color="auto"/>
            <w:left w:val="none" w:sz="0" w:space="0" w:color="auto"/>
            <w:bottom w:val="none" w:sz="0" w:space="0" w:color="auto"/>
            <w:right w:val="none" w:sz="0" w:space="0" w:color="auto"/>
          </w:divBdr>
        </w:div>
        <w:div w:id="230510730">
          <w:marLeft w:val="274"/>
          <w:marRight w:val="0"/>
          <w:marTop w:val="0"/>
          <w:marBottom w:val="0"/>
          <w:divBdr>
            <w:top w:val="none" w:sz="0" w:space="0" w:color="auto"/>
            <w:left w:val="none" w:sz="0" w:space="0" w:color="auto"/>
            <w:bottom w:val="none" w:sz="0" w:space="0" w:color="auto"/>
            <w:right w:val="none" w:sz="0" w:space="0" w:color="auto"/>
          </w:divBdr>
        </w:div>
        <w:div w:id="237329248">
          <w:marLeft w:val="274"/>
          <w:marRight w:val="0"/>
          <w:marTop w:val="0"/>
          <w:marBottom w:val="0"/>
          <w:divBdr>
            <w:top w:val="none" w:sz="0" w:space="0" w:color="auto"/>
            <w:left w:val="none" w:sz="0" w:space="0" w:color="auto"/>
            <w:bottom w:val="none" w:sz="0" w:space="0" w:color="auto"/>
            <w:right w:val="none" w:sz="0" w:space="0" w:color="auto"/>
          </w:divBdr>
        </w:div>
        <w:div w:id="317266115">
          <w:marLeft w:val="274"/>
          <w:marRight w:val="0"/>
          <w:marTop w:val="0"/>
          <w:marBottom w:val="0"/>
          <w:divBdr>
            <w:top w:val="none" w:sz="0" w:space="0" w:color="auto"/>
            <w:left w:val="none" w:sz="0" w:space="0" w:color="auto"/>
            <w:bottom w:val="none" w:sz="0" w:space="0" w:color="auto"/>
            <w:right w:val="none" w:sz="0" w:space="0" w:color="auto"/>
          </w:divBdr>
        </w:div>
        <w:div w:id="416757450">
          <w:marLeft w:val="274"/>
          <w:marRight w:val="0"/>
          <w:marTop w:val="0"/>
          <w:marBottom w:val="0"/>
          <w:divBdr>
            <w:top w:val="none" w:sz="0" w:space="0" w:color="auto"/>
            <w:left w:val="none" w:sz="0" w:space="0" w:color="auto"/>
            <w:bottom w:val="none" w:sz="0" w:space="0" w:color="auto"/>
            <w:right w:val="none" w:sz="0" w:space="0" w:color="auto"/>
          </w:divBdr>
        </w:div>
        <w:div w:id="453253029">
          <w:marLeft w:val="274"/>
          <w:marRight w:val="0"/>
          <w:marTop w:val="0"/>
          <w:marBottom w:val="0"/>
          <w:divBdr>
            <w:top w:val="none" w:sz="0" w:space="0" w:color="auto"/>
            <w:left w:val="none" w:sz="0" w:space="0" w:color="auto"/>
            <w:bottom w:val="none" w:sz="0" w:space="0" w:color="auto"/>
            <w:right w:val="none" w:sz="0" w:space="0" w:color="auto"/>
          </w:divBdr>
        </w:div>
        <w:div w:id="499123300">
          <w:marLeft w:val="274"/>
          <w:marRight w:val="0"/>
          <w:marTop w:val="0"/>
          <w:marBottom w:val="0"/>
          <w:divBdr>
            <w:top w:val="none" w:sz="0" w:space="0" w:color="auto"/>
            <w:left w:val="none" w:sz="0" w:space="0" w:color="auto"/>
            <w:bottom w:val="none" w:sz="0" w:space="0" w:color="auto"/>
            <w:right w:val="none" w:sz="0" w:space="0" w:color="auto"/>
          </w:divBdr>
        </w:div>
        <w:div w:id="573006931">
          <w:marLeft w:val="274"/>
          <w:marRight w:val="0"/>
          <w:marTop w:val="0"/>
          <w:marBottom w:val="0"/>
          <w:divBdr>
            <w:top w:val="none" w:sz="0" w:space="0" w:color="auto"/>
            <w:left w:val="none" w:sz="0" w:space="0" w:color="auto"/>
            <w:bottom w:val="none" w:sz="0" w:space="0" w:color="auto"/>
            <w:right w:val="none" w:sz="0" w:space="0" w:color="auto"/>
          </w:divBdr>
        </w:div>
        <w:div w:id="660741784">
          <w:marLeft w:val="274"/>
          <w:marRight w:val="0"/>
          <w:marTop w:val="0"/>
          <w:marBottom w:val="0"/>
          <w:divBdr>
            <w:top w:val="none" w:sz="0" w:space="0" w:color="auto"/>
            <w:left w:val="none" w:sz="0" w:space="0" w:color="auto"/>
            <w:bottom w:val="none" w:sz="0" w:space="0" w:color="auto"/>
            <w:right w:val="none" w:sz="0" w:space="0" w:color="auto"/>
          </w:divBdr>
        </w:div>
        <w:div w:id="724373355">
          <w:marLeft w:val="274"/>
          <w:marRight w:val="0"/>
          <w:marTop w:val="0"/>
          <w:marBottom w:val="0"/>
          <w:divBdr>
            <w:top w:val="none" w:sz="0" w:space="0" w:color="auto"/>
            <w:left w:val="none" w:sz="0" w:space="0" w:color="auto"/>
            <w:bottom w:val="none" w:sz="0" w:space="0" w:color="auto"/>
            <w:right w:val="none" w:sz="0" w:space="0" w:color="auto"/>
          </w:divBdr>
        </w:div>
        <w:div w:id="748386597">
          <w:marLeft w:val="274"/>
          <w:marRight w:val="0"/>
          <w:marTop w:val="0"/>
          <w:marBottom w:val="0"/>
          <w:divBdr>
            <w:top w:val="none" w:sz="0" w:space="0" w:color="auto"/>
            <w:left w:val="none" w:sz="0" w:space="0" w:color="auto"/>
            <w:bottom w:val="none" w:sz="0" w:space="0" w:color="auto"/>
            <w:right w:val="none" w:sz="0" w:space="0" w:color="auto"/>
          </w:divBdr>
        </w:div>
        <w:div w:id="765074758">
          <w:marLeft w:val="274"/>
          <w:marRight w:val="0"/>
          <w:marTop w:val="0"/>
          <w:marBottom w:val="0"/>
          <w:divBdr>
            <w:top w:val="none" w:sz="0" w:space="0" w:color="auto"/>
            <w:left w:val="none" w:sz="0" w:space="0" w:color="auto"/>
            <w:bottom w:val="none" w:sz="0" w:space="0" w:color="auto"/>
            <w:right w:val="none" w:sz="0" w:space="0" w:color="auto"/>
          </w:divBdr>
        </w:div>
        <w:div w:id="765810508">
          <w:marLeft w:val="274"/>
          <w:marRight w:val="0"/>
          <w:marTop w:val="0"/>
          <w:marBottom w:val="0"/>
          <w:divBdr>
            <w:top w:val="none" w:sz="0" w:space="0" w:color="auto"/>
            <w:left w:val="none" w:sz="0" w:space="0" w:color="auto"/>
            <w:bottom w:val="none" w:sz="0" w:space="0" w:color="auto"/>
            <w:right w:val="none" w:sz="0" w:space="0" w:color="auto"/>
          </w:divBdr>
        </w:div>
        <w:div w:id="807935923">
          <w:marLeft w:val="274"/>
          <w:marRight w:val="0"/>
          <w:marTop w:val="0"/>
          <w:marBottom w:val="0"/>
          <w:divBdr>
            <w:top w:val="none" w:sz="0" w:space="0" w:color="auto"/>
            <w:left w:val="none" w:sz="0" w:space="0" w:color="auto"/>
            <w:bottom w:val="none" w:sz="0" w:space="0" w:color="auto"/>
            <w:right w:val="none" w:sz="0" w:space="0" w:color="auto"/>
          </w:divBdr>
        </w:div>
        <w:div w:id="889995812">
          <w:marLeft w:val="274"/>
          <w:marRight w:val="0"/>
          <w:marTop w:val="0"/>
          <w:marBottom w:val="0"/>
          <w:divBdr>
            <w:top w:val="none" w:sz="0" w:space="0" w:color="auto"/>
            <w:left w:val="none" w:sz="0" w:space="0" w:color="auto"/>
            <w:bottom w:val="none" w:sz="0" w:space="0" w:color="auto"/>
            <w:right w:val="none" w:sz="0" w:space="0" w:color="auto"/>
          </w:divBdr>
        </w:div>
        <w:div w:id="914625080">
          <w:marLeft w:val="274"/>
          <w:marRight w:val="0"/>
          <w:marTop w:val="0"/>
          <w:marBottom w:val="0"/>
          <w:divBdr>
            <w:top w:val="none" w:sz="0" w:space="0" w:color="auto"/>
            <w:left w:val="none" w:sz="0" w:space="0" w:color="auto"/>
            <w:bottom w:val="none" w:sz="0" w:space="0" w:color="auto"/>
            <w:right w:val="none" w:sz="0" w:space="0" w:color="auto"/>
          </w:divBdr>
        </w:div>
        <w:div w:id="943657893">
          <w:marLeft w:val="274"/>
          <w:marRight w:val="0"/>
          <w:marTop w:val="0"/>
          <w:marBottom w:val="0"/>
          <w:divBdr>
            <w:top w:val="none" w:sz="0" w:space="0" w:color="auto"/>
            <w:left w:val="none" w:sz="0" w:space="0" w:color="auto"/>
            <w:bottom w:val="none" w:sz="0" w:space="0" w:color="auto"/>
            <w:right w:val="none" w:sz="0" w:space="0" w:color="auto"/>
          </w:divBdr>
        </w:div>
        <w:div w:id="944843730">
          <w:marLeft w:val="274"/>
          <w:marRight w:val="0"/>
          <w:marTop w:val="0"/>
          <w:marBottom w:val="0"/>
          <w:divBdr>
            <w:top w:val="none" w:sz="0" w:space="0" w:color="auto"/>
            <w:left w:val="none" w:sz="0" w:space="0" w:color="auto"/>
            <w:bottom w:val="none" w:sz="0" w:space="0" w:color="auto"/>
            <w:right w:val="none" w:sz="0" w:space="0" w:color="auto"/>
          </w:divBdr>
        </w:div>
        <w:div w:id="1020008082">
          <w:marLeft w:val="274"/>
          <w:marRight w:val="0"/>
          <w:marTop w:val="0"/>
          <w:marBottom w:val="0"/>
          <w:divBdr>
            <w:top w:val="none" w:sz="0" w:space="0" w:color="auto"/>
            <w:left w:val="none" w:sz="0" w:space="0" w:color="auto"/>
            <w:bottom w:val="none" w:sz="0" w:space="0" w:color="auto"/>
            <w:right w:val="none" w:sz="0" w:space="0" w:color="auto"/>
          </w:divBdr>
        </w:div>
        <w:div w:id="1052314323">
          <w:marLeft w:val="274"/>
          <w:marRight w:val="0"/>
          <w:marTop w:val="0"/>
          <w:marBottom w:val="0"/>
          <w:divBdr>
            <w:top w:val="none" w:sz="0" w:space="0" w:color="auto"/>
            <w:left w:val="none" w:sz="0" w:space="0" w:color="auto"/>
            <w:bottom w:val="none" w:sz="0" w:space="0" w:color="auto"/>
            <w:right w:val="none" w:sz="0" w:space="0" w:color="auto"/>
          </w:divBdr>
        </w:div>
        <w:div w:id="1088498011">
          <w:marLeft w:val="274"/>
          <w:marRight w:val="0"/>
          <w:marTop w:val="0"/>
          <w:marBottom w:val="0"/>
          <w:divBdr>
            <w:top w:val="none" w:sz="0" w:space="0" w:color="auto"/>
            <w:left w:val="none" w:sz="0" w:space="0" w:color="auto"/>
            <w:bottom w:val="none" w:sz="0" w:space="0" w:color="auto"/>
            <w:right w:val="none" w:sz="0" w:space="0" w:color="auto"/>
          </w:divBdr>
        </w:div>
        <w:div w:id="1096948133">
          <w:marLeft w:val="274"/>
          <w:marRight w:val="0"/>
          <w:marTop w:val="0"/>
          <w:marBottom w:val="0"/>
          <w:divBdr>
            <w:top w:val="none" w:sz="0" w:space="0" w:color="auto"/>
            <w:left w:val="none" w:sz="0" w:space="0" w:color="auto"/>
            <w:bottom w:val="none" w:sz="0" w:space="0" w:color="auto"/>
            <w:right w:val="none" w:sz="0" w:space="0" w:color="auto"/>
          </w:divBdr>
        </w:div>
        <w:div w:id="1178495476">
          <w:marLeft w:val="274"/>
          <w:marRight w:val="0"/>
          <w:marTop w:val="0"/>
          <w:marBottom w:val="0"/>
          <w:divBdr>
            <w:top w:val="none" w:sz="0" w:space="0" w:color="auto"/>
            <w:left w:val="none" w:sz="0" w:space="0" w:color="auto"/>
            <w:bottom w:val="none" w:sz="0" w:space="0" w:color="auto"/>
            <w:right w:val="none" w:sz="0" w:space="0" w:color="auto"/>
          </w:divBdr>
        </w:div>
        <w:div w:id="1296719311">
          <w:marLeft w:val="274"/>
          <w:marRight w:val="0"/>
          <w:marTop w:val="0"/>
          <w:marBottom w:val="0"/>
          <w:divBdr>
            <w:top w:val="none" w:sz="0" w:space="0" w:color="auto"/>
            <w:left w:val="none" w:sz="0" w:space="0" w:color="auto"/>
            <w:bottom w:val="none" w:sz="0" w:space="0" w:color="auto"/>
            <w:right w:val="none" w:sz="0" w:space="0" w:color="auto"/>
          </w:divBdr>
        </w:div>
        <w:div w:id="1438401453">
          <w:marLeft w:val="274"/>
          <w:marRight w:val="0"/>
          <w:marTop w:val="0"/>
          <w:marBottom w:val="0"/>
          <w:divBdr>
            <w:top w:val="none" w:sz="0" w:space="0" w:color="auto"/>
            <w:left w:val="none" w:sz="0" w:space="0" w:color="auto"/>
            <w:bottom w:val="none" w:sz="0" w:space="0" w:color="auto"/>
            <w:right w:val="none" w:sz="0" w:space="0" w:color="auto"/>
          </w:divBdr>
        </w:div>
        <w:div w:id="1446539999">
          <w:marLeft w:val="274"/>
          <w:marRight w:val="0"/>
          <w:marTop w:val="0"/>
          <w:marBottom w:val="0"/>
          <w:divBdr>
            <w:top w:val="none" w:sz="0" w:space="0" w:color="auto"/>
            <w:left w:val="none" w:sz="0" w:space="0" w:color="auto"/>
            <w:bottom w:val="none" w:sz="0" w:space="0" w:color="auto"/>
            <w:right w:val="none" w:sz="0" w:space="0" w:color="auto"/>
          </w:divBdr>
        </w:div>
        <w:div w:id="1449085600">
          <w:marLeft w:val="274"/>
          <w:marRight w:val="0"/>
          <w:marTop w:val="0"/>
          <w:marBottom w:val="0"/>
          <w:divBdr>
            <w:top w:val="none" w:sz="0" w:space="0" w:color="auto"/>
            <w:left w:val="none" w:sz="0" w:space="0" w:color="auto"/>
            <w:bottom w:val="none" w:sz="0" w:space="0" w:color="auto"/>
            <w:right w:val="none" w:sz="0" w:space="0" w:color="auto"/>
          </w:divBdr>
        </w:div>
        <w:div w:id="1467430193">
          <w:marLeft w:val="274"/>
          <w:marRight w:val="0"/>
          <w:marTop w:val="0"/>
          <w:marBottom w:val="0"/>
          <w:divBdr>
            <w:top w:val="none" w:sz="0" w:space="0" w:color="auto"/>
            <w:left w:val="none" w:sz="0" w:space="0" w:color="auto"/>
            <w:bottom w:val="none" w:sz="0" w:space="0" w:color="auto"/>
            <w:right w:val="none" w:sz="0" w:space="0" w:color="auto"/>
          </w:divBdr>
        </w:div>
        <w:div w:id="1488940169">
          <w:marLeft w:val="274"/>
          <w:marRight w:val="0"/>
          <w:marTop w:val="0"/>
          <w:marBottom w:val="0"/>
          <w:divBdr>
            <w:top w:val="none" w:sz="0" w:space="0" w:color="auto"/>
            <w:left w:val="none" w:sz="0" w:space="0" w:color="auto"/>
            <w:bottom w:val="none" w:sz="0" w:space="0" w:color="auto"/>
            <w:right w:val="none" w:sz="0" w:space="0" w:color="auto"/>
          </w:divBdr>
        </w:div>
        <w:div w:id="1516503296">
          <w:marLeft w:val="274"/>
          <w:marRight w:val="0"/>
          <w:marTop w:val="0"/>
          <w:marBottom w:val="0"/>
          <w:divBdr>
            <w:top w:val="none" w:sz="0" w:space="0" w:color="auto"/>
            <w:left w:val="none" w:sz="0" w:space="0" w:color="auto"/>
            <w:bottom w:val="none" w:sz="0" w:space="0" w:color="auto"/>
            <w:right w:val="none" w:sz="0" w:space="0" w:color="auto"/>
          </w:divBdr>
        </w:div>
        <w:div w:id="1582567200">
          <w:marLeft w:val="274"/>
          <w:marRight w:val="0"/>
          <w:marTop w:val="0"/>
          <w:marBottom w:val="0"/>
          <w:divBdr>
            <w:top w:val="none" w:sz="0" w:space="0" w:color="auto"/>
            <w:left w:val="none" w:sz="0" w:space="0" w:color="auto"/>
            <w:bottom w:val="none" w:sz="0" w:space="0" w:color="auto"/>
            <w:right w:val="none" w:sz="0" w:space="0" w:color="auto"/>
          </w:divBdr>
        </w:div>
        <w:div w:id="1607225477">
          <w:marLeft w:val="274"/>
          <w:marRight w:val="0"/>
          <w:marTop w:val="0"/>
          <w:marBottom w:val="0"/>
          <w:divBdr>
            <w:top w:val="none" w:sz="0" w:space="0" w:color="auto"/>
            <w:left w:val="none" w:sz="0" w:space="0" w:color="auto"/>
            <w:bottom w:val="none" w:sz="0" w:space="0" w:color="auto"/>
            <w:right w:val="none" w:sz="0" w:space="0" w:color="auto"/>
          </w:divBdr>
        </w:div>
        <w:div w:id="1608544624">
          <w:marLeft w:val="274"/>
          <w:marRight w:val="0"/>
          <w:marTop w:val="0"/>
          <w:marBottom w:val="0"/>
          <w:divBdr>
            <w:top w:val="none" w:sz="0" w:space="0" w:color="auto"/>
            <w:left w:val="none" w:sz="0" w:space="0" w:color="auto"/>
            <w:bottom w:val="none" w:sz="0" w:space="0" w:color="auto"/>
            <w:right w:val="none" w:sz="0" w:space="0" w:color="auto"/>
          </w:divBdr>
        </w:div>
        <w:div w:id="1610115444">
          <w:marLeft w:val="274"/>
          <w:marRight w:val="0"/>
          <w:marTop w:val="0"/>
          <w:marBottom w:val="0"/>
          <w:divBdr>
            <w:top w:val="none" w:sz="0" w:space="0" w:color="auto"/>
            <w:left w:val="none" w:sz="0" w:space="0" w:color="auto"/>
            <w:bottom w:val="none" w:sz="0" w:space="0" w:color="auto"/>
            <w:right w:val="none" w:sz="0" w:space="0" w:color="auto"/>
          </w:divBdr>
        </w:div>
        <w:div w:id="1625886201">
          <w:marLeft w:val="274"/>
          <w:marRight w:val="0"/>
          <w:marTop w:val="0"/>
          <w:marBottom w:val="0"/>
          <w:divBdr>
            <w:top w:val="none" w:sz="0" w:space="0" w:color="auto"/>
            <w:left w:val="none" w:sz="0" w:space="0" w:color="auto"/>
            <w:bottom w:val="none" w:sz="0" w:space="0" w:color="auto"/>
            <w:right w:val="none" w:sz="0" w:space="0" w:color="auto"/>
          </w:divBdr>
        </w:div>
        <w:div w:id="1836843938">
          <w:marLeft w:val="274"/>
          <w:marRight w:val="0"/>
          <w:marTop w:val="0"/>
          <w:marBottom w:val="0"/>
          <w:divBdr>
            <w:top w:val="none" w:sz="0" w:space="0" w:color="auto"/>
            <w:left w:val="none" w:sz="0" w:space="0" w:color="auto"/>
            <w:bottom w:val="none" w:sz="0" w:space="0" w:color="auto"/>
            <w:right w:val="none" w:sz="0" w:space="0" w:color="auto"/>
          </w:divBdr>
        </w:div>
        <w:div w:id="1876918256">
          <w:marLeft w:val="274"/>
          <w:marRight w:val="0"/>
          <w:marTop w:val="0"/>
          <w:marBottom w:val="0"/>
          <w:divBdr>
            <w:top w:val="none" w:sz="0" w:space="0" w:color="auto"/>
            <w:left w:val="none" w:sz="0" w:space="0" w:color="auto"/>
            <w:bottom w:val="none" w:sz="0" w:space="0" w:color="auto"/>
            <w:right w:val="none" w:sz="0" w:space="0" w:color="auto"/>
          </w:divBdr>
        </w:div>
        <w:div w:id="1891267252">
          <w:marLeft w:val="274"/>
          <w:marRight w:val="0"/>
          <w:marTop w:val="0"/>
          <w:marBottom w:val="0"/>
          <w:divBdr>
            <w:top w:val="none" w:sz="0" w:space="0" w:color="auto"/>
            <w:left w:val="none" w:sz="0" w:space="0" w:color="auto"/>
            <w:bottom w:val="none" w:sz="0" w:space="0" w:color="auto"/>
            <w:right w:val="none" w:sz="0" w:space="0" w:color="auto"/>
          </w:divBdr>
        </w:div>
        <w:div w:id="2013946859">
          <w:marLeft w:val="274"/>
          <w:marRight w:val="0"/>
          <w:marTop w:val="0"/>
          <w:marBottom w:val="0"/>
          <w:divBdr>
            <w:top w:val="none" w:sz="0" w:space="0" w:color="auto"/>
            <w:left w:val="none" w:sz="0" w:space="0" w:color="auto"/>
            <w:bottom w:val="none" w:sz="0" w:space="0" w:color="auto"/>
            <w:right w:val="none" w:sz="0" w:space="0" w:color="auto"/>
          </w:divBdr>
        </w:div>
        <w:div w:id="204455178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sam.gov/fal/3958733695d14864bb5a6619e2844604/view"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srs.gov/"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home.treasury.gov/system/files/136/Coronavirus-Capital-Projects-Fund-FAQs_FINAL.pdf" TargetMode="External"/><Relationship Id="rId25" Type="http://schemas.openxmlformats.org/officeDocument/2006/relationships/hyperlink" Target="https://facweb.census.gov/uploadpdf.aspx" TargetMode="External"/><Relationship Id="rId2" Type="http://schemas.openxmlformats.org/officeDocument/2006/relationships/customXml" Target="../customXml/item2.xml"/><Relationship Id="rId16" Type="http://schemas.openxmlformats.org/officeDocument/2006/relationships/hyperlink" Target="https://home.treasury.gov/system/files/136/Capital-Projects-Fund-Guidance-States-Territories-and-Freely-Associated-States.pdf" TargetMode="External"/><Relationship Id="rId20" Type="http://schemas.openxmlformats.org/officeDocument/2006/relationships/hyperlink" Target="https://home.treasury.gov/policy-issues/coronavirus/assistance-for-state-local-and-tribal-governments/capital-projects-fund/cpf-fund-for-tribal-governm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hitehouse.gov/omb/office-federal-financial-management/"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whitehouse.gov/briefing-room/presidential-actions/2021/01/20/executive-order-advancing-racial-equity-and-support-for-underserved-communities-through-the-federal-government/" TargetMode="External"/><Relationship Id="rId10" Type="http://schemas.openxmlformats.org/officeDocument/2006/relationships/footnotes" Target="footnotes.xml"/><Relationship Id="rId19" Type="http://schemas.openxmlformats.org/officeDocument/2006/relationships/hyperlink" Target="https://ecfr.federalregister.gov/current/title-2/subtitle-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home.treasury.gov/policy-issues/coronavirus/assistance-for-state-local-and-tribal-governments/capital-projects-fund"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fo.gov/wp-content/uploads/2021/Managing-for-Results-Performance-Management-Playbook-for-Federal-Awarding-Agencies.pdf" TargetMode="External"/></Relationships>
</file>

<file path=word/theme/theme1.xml><?xml version="1.0" encoding="utf-8"?>
<a:theme xmlns:a="http://schemas.openxmlformats.org/drawingml/2006/main" name="Navigant Color Palette_Word">
  <a:themeElements>
    <a:clrScheme name="Custom 2">
      <a:dk1>
        <a:srgbClr val="53575A"/>
      </a:dk1>
      <a:lt1>
        <a:srgbClr val="FFFFFF"/>
      </a:lt1>
      <a:dk2>
        <a:srgbClr val="53575A"/>
      </a:dk2>
      <a:lt2>
        <a:srgbClr val="FFFFFF"/>
      </a:lt2>
      <a:accent1>
        <a:srgbClr val="93D500"/>
      </a:accent1>
      <a:accent2>
        <a:srgbClr val="638C1C"/>
      </a:accent2>
      <a:accent3>
        <a:srgbClr val="53575A"/>
      </a:accent3>
      <a:accent4>
        <a:srgbClr val="095540"/>
      </a:accent4>
      <a:accent5>
        <a:srgbClr val="863399"/>
      </a:accent5>
      <a:accent6>
        <a:srgbClr val="0069A7"/>
      </a:accent6>
      <a:hlink>
        <a:srgbClr val="638C1C"/>
      </a:hlink>
      <a:folHlink>
        <a:srgbClr val="638C1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RP_x0020_Program xmlns="f70e41de-0fe8-47d8-bae5-96f488b1d7a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ABDE3DC6264F44AA46F7BE7EF7E247" ma:contentTypeVersion="2" ma:contentTypeDescription="Create a new document." ma:contentTypeScope="" ma:versionID="6f8c2724a342bd3a5a5d18cdffc7d83f">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b5e13e19a0681f100fbf734119b36e61"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nillable="true"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A25CE-E861-44D8-AAF3-A484AE7E8E71}">
  <ds:schemaRefs>
    <ds:schemaRef ds:uri="http://purl.org/dc/elements/1.1/"/>
    <ds:schemaRef ds:uri="http://purl.org/dc/dcmitype/"/>
    <ds:schemaRef ds:uri="http://purl.org/dc/terms/"/>
    <ds:schemaRef ds:uri="http://schemas.microsoft.com/office/2006/metadata/properties"/>
    <ds:schemaRef ds:uri="http://schemas.microsoft.com/office/2006/documentManagement/types"/>
    <ds:schemaRef ds:uri="354ab5d5-3917-4d2c-a72e-c43f200ca589"/>
    <ds:schemaRef ds:uri="http://schemas.microsoft.com/office/infopath/2007/PartnerControls"/>
    <ds:schemaRef ds:uri="http://schemas.openxmlformats.org/package/2006/metadata/core-properties"/>
    <ds:schemaRef ds:uri="f70e41de-0fe8-47d8-bae5-96f488b1d7ac"/>
    <ds:schemaRef ds:uri="http://www.w3.org/XML/1998/namespace"/>
  </ds:schemaRefs>
</ds:datastoreItem>
</file>

<file path=customXml/itemProps2.xml><?xml version="1.0" encoding="utf-8"?>
<ds:datastoreItem xmlns:ds="http://schemas.openxmlformats.org/officeDocument/2006/customXml" ds:itemID="{F38E13B6-BFA0-47A5-B7FD-01DF34946615}">
  <ds:schemaRefs>
    <ds:schemaRef ds:uri="http://schemas.openxmlformats.org/officeDocument/2006/bibliography"/>
  </ds:schemaRefs>
</ds:datastoreItem>
</file>

<file path=customXml/itemProps3.xml><?xml version="1.0" encoding="utf-8"?>
<ds:datastoreItem xmlns:ds="http://schemas.openxmlformats.org/officeDocument/2006/customXml" ds:itemID="{E39490B5-DC3B-4B93-A00D-F1668F262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b5d5-3917-4d2c-a72e-c43f200ca589"/>
    <ds:schemaRef ds:uri="f70e41de-0fe8-47d8-bae5-96f488b1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5790B2-90B7-4B93-871D-E7DE4AA4FA44}">
  <ds:schemaRefs>
    <ds:schemaRef ds:uri="http://schemas.microsoft.com/sharepoint/events"/>
  </ds:schemaRefs>
</ds:datastoreItem>
</file>

<file path=customXml/itemProps5.xml><?xml version="1.0" encoding="utf-8"?>
<ds:datastoreItem xmlns:ds="http://schemas.openxmlformats.org/officeDocument/2006/customXml" ds:itemID="{F1D0F7F4-FA9D-4EA5-AA93-99EE13A3B2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6793</Words>
  <Characters>38724</Characters>
  <Application>Microsoft Office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2022-08-01T13:28:00Z</dcterms:created>
  <dcterms:modified xsi:type="dcterms:W3CDTF">2022-08-01T13:28:00Z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0x010100F2ABDE3DC6264F44AA46F7BE7EF7E247</vt:lpwstr>
  </property>
</Properties>
</file>