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955" w:rsidRDefault="00465955" w14:paraId="2D52C473" w14:textId="77777777">
      <w:pPr>
        <w:pStyle w:val="BodyText"/>
        <w:rPr>
          <w:sz w:val="20"/>
        </w:rPr>
      </w:pPr>
    </w:p>
    <w:p w:rsidR="00465955" w:rsidRDefault="00465955" w14:paraId="2D52C474" w14:textId="77777777">
      <w:pPr>
        <w:pStyle w:val="BodyText"/>
        <w:spacing w:before="10"/>
        <w:rPr>
          <w:sz w:val="21"/>
        </w:rPr>
      </w:pPr>
    </w:p>
    <w:p w:rsidR="00465955" w:rsidRDefault="00886105" w14:paraId="2D52C475" w14:textId="77A64512">
      <w:pPr>
        <w:ind w:right="109"/>
        <w:jc w:val="right"/>
        <w:rPr>
          <w:b/>
          <w:sz w:val="24"/>
        </w:rPr>
      </w:pPr>
      <w:r>
        <w:rPr>
          <w:b/>
          <w:sz w:val="24"/>
        </w:rPr>
        <w:t>August 3</w:t>
      </w:r>
      <w:r w:rsidR="00155172">
        <w:rPr>
          <w:b/>
          <w:sz w:val="24"/>
        </w:rPr>
        <w:t>,</w:t>
      </w:r>
      <w:r w:rsidR="00155172">
        <w:rPr>
          <w:b/>
          <w:spacing w:val="-3"/>
          <w:sz w:val="24"/>
        </w:rPr>
        <w:t xml:space="preserve"> </w:t>
      </w:r>
      <w:r w:rsidR="00155172">
        <w:rPr>
          <w:b/>
          <w:spacing w:val="-4"/>
          <w:sz w:val="24"/>
        </w:rPr>
        <w:t>202</w:t>
      </w:r>
      <w:r w:rsidR="00802E15">
        <w:rPr>
          <w:b/>
          <w:spacing w:val="-4"/>
          <w:sz w:val="24"/>
        </w:rPr>
        <w:t>2</w:t>
      </w:r>
    </w:p>
    <w:p w:rsidR="00465955" w:rsidRDefault="00465955" w14:paraId="2D52C476" w14:textId="77777777">
      <w:pPr>
        <w:pStyle w:val="BodyText"/>
        <w:spacing w:before="4"/>
        <w:rPr>
          <w:b/>
          <w:sz w:val="26"/>
        </w:rPr>
      </w:pPr>
    </w:p>
    <w:p w:rsidR="00B61D8F" w:rsidRDefault="00155172" w14:paraId="3778D7D8" w14:textId="66ED31A7">
      <w:pPr>
        <w:pStyle w:val="BodyText"/>
        <w:spacing w:line="216" w:lineRule="auto"/>
        <w:ind w:left="120" w:right="8575"/>
      </w:pPr>
      <w:r>
        <w:t>Dominic</w:t>
      </w:r>
      <w:r w:rsidR="00B61D8F">
        <w:t xml:space="preserve"> M</w:t>
      </w:r>
      <w:r>
        <w:t>ancini</w:t>
      </w:r>
    </w:p>
    <w:p w:rsidR="00465955" w:rsidRDefault="00155172" w14:paraId="2D52C477" w14:textId="31FD5C13">
      <w:pPr>
        <w:pStyle w:val="BodyText"/>
        <w:spacing w:line="216" w:lineRule="auto"/>
        <w:ind w:left="120" w:right="8575"/>
      </w:pPr>
      <w:r>
        <w:t>Deputy Director</w:t>
      </w:r>
    </w:p>
    <w:p w:rsidR="00465955" w:rsidRDefault="00155172" w14:paraId="2D52C478" w14:textId="77777777">
      <w:pPr>
        <w:pStyle w:val="BodyText"/>
        <w:spacing w:line="216" w:lineRule="auto"/>
        <w:ind w:left="120" w:right="5734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Affairs Office of Management and Budget Washington, DC</w:t>
      </w:r>
    </w:p>
    <w:p w:rsidR="00465955" w:rsidRDefault="00155172" w14:paraId="2D52C479" w14:textId="3AFD1467">
      <w:pPr>
        <w:pStyle w:val="BodyText"/>
        <w:spacing w:before="227" w:line="432" w:lineRule="auto"/>
        <w:ind w:left="120" w:right="4494"/>
      </w:pPr>
      <w:r>
        <w:t>Subject:</w:t>
      </w:r>
      <w:r>
        <w:rPr>
          <w:spacing w:val="40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Clearance Dear </w:t>
      </w:r>
      <w:r w:rsidR="00B61D8F">
        <w:t>D</w:t>
      </w:r>
      <w:r>
        <w:t>r. Mancini:</w:t>
      </w:r>
    </w:p>
    <w:p w:rsidR="00465955" w:rsidRDefault="00155172" w14:paraId="2D52C47A" w14:textId="146F4053">
      <w:pPr>
        <w:pStyle w:val="BodyText"/>
        <w:spacing w:before="22" w:line="216" w:lineRule="auto"/>
        <w:ind w:left="120" w:right="181"/>
      </w:pPr>
      <w:r>
        <w:t xml:space="preserve">Pursuant to Office of Management and Budget (OMB) procedures established at 5 CFR Part 1320, </w:t>
      </w:r>
      <w:r>
        <w:rPr>
          <w:i/>
        </w:rPr>
        <w:t>Controlling</w:t>
      </w:r>
      <w:r>
        <w:rPr>
          <w:i/>
          <w:spacing w:val="-3"/>
        </w:rPr>
        <w:t xml:space="preserve"> </w:t>
      </w:r>
      <w:r>
        <w:rPr>
          <w:i/>
        </w:rPr>
        <w:t>Paperwork</w:t>
      </w:r>
      <w:r>
        <w:rPr>
          <w:i/>
          <w:spacing w:val="-4"/>
        </w:rPr>
        <w:t xml:space="preserve"> </w:t>
      </w:r>
      <w:r>
        <w:rPr>
          <w:i/>
        </w:rPr>
        <w:t>Burdens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</w:t>
      </w:r>
      <w:r>
        <w:t>,</w:t>
      </w:r>
      <w:r>
        <w:rPr>
          <w:spacing w:val="-1"/>
        </w:rPr>
        <w:t xml:space="preserve"> </w:t>
      </w:r>
      <w:r w:rsidR="00E16EF1">
        <w:t>CDC</w:t>
      </w:r>
      <w:r>
        <w:rPr>
          <w:spacing w:val="-7"/>
        </w:rPr>
        <w:t xml:space="preserve"> </w:t>
      </w:r>
      <w:r>
        <w:t>request</w:t>
      </w:r>
      <w:r w:rsidR="00E16EF1">
        <w:t>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 xml:space="preserve">project, </w:t>
      </w:r>
      <w:r w:rsidR="0070776E">
        <w:t xml:space="preserve">Centralized Institutional Review for the </w:t>
      </w:r>
      <w:r w:rsidR="000F4999">
        <w:t>CDC Expanded Access Investigational New Device (EA-IND)</w:t>
      </w:r>
      <w:r w:rsidR="00D86C34">
        <w:t xml:space="preserve"> for </w:t>
      </w:r>
      <w:r w:rsidRPr="00D06407" w:rsidR="00D06407">
        <w:t>"Use of Tecovirimat (TPOXX®) for Treatment of Human Non-Variola Orthopoxvirus Infections in Adults and Children” (IND 116039/CDC #6402)</w:t>
      </w:r>
      <w:r>
        <w:t xml:space="preserve"> be processed in accordance with section 1320.13, </w:t>
      </w:r>
      <w:r>
        <w:rPr>
          <w:u w:val="single"/>
        </w:rPr>
        <w:t>Emergency</w:t>
      </w:r>
      <w:r>
        <w:t xml:space="preserve"> </w:t>
      </w:r>
      <w:r>
        <w:rPr>
          <w:spacing w:val="-2"/>
          <w:u w:val="single"/>
        </w:rPr>
        <w:t>Processing</w:t>
      </w:r>
      <w:r>
        <w:rPr>
          <w:spacing w:val="-2"/>
        </w:rPr>
        <w:t>.</w:t>
      </w:r>
    </w:p>
    <w:p w:rsidR="00465955" w:rsidRDefault="00465955" w14:paraId="2D52C47B" w14:textId="77777777">
      <w:pPr>
        <w:pStyle w:val="BodyText"/>
        <w:spacing w:before="7"/>
        <w:rPr>
          <w:sz w:val="21"/>
        </w:rPr>
      </w:pPr>
    </w:p>
    <w:p w:rsidR="00A9673F" w:rsidP="0025304D" w:rsidRDefault="00B61D8F" w14:paraId="3194B645" w14:textId="1C26D9D2">
      <w:pPr>
        <w:pStyle w:val="BodyText"/>
        <w:ind w:left="120" w:right="181"/>
      </w:pPr>
      <w:r>
        <w:t>We</w:t>
      </w:r>
      <w:r w:rsidR="00155172">
        <w:t xml:space="preserve"> have determined that this information must be </w:t>
      </w:r>
      <w:r w:rsidR="00A94290">
        <w:t>collected,</w:t>
      </w:r>
      <w:r w:rsidR="00155172">
        <w:t xml:space="preserve"> </w:t>
      </w:r>
      <w:r w:rsidR="00E16EF1">
        <w:t>it</w:t>
      </w:r>
      <w:r w:rsidR="00155172">
        <w:t xml:space="preserve"> is essential to CDC’s </w:t>
      </w:r>
      <w:r w:rsidR="005D407D">
        <w:t>Monkeypox</w:t>
      </w:r>
      <w:r w:rsidR="00155172">
        <w:t xml:space="preserve"> emergency response</w:t>
      </w:r>
      <w:r w:rsidR="00E16EF1">
        <w:t>, and it is</w:t>
      </w:r>
      <w:r w:rsidR="00A94290">
        <w:t xml:space="preserve"> consistent with </w:t>
      </w:r>
      <w:r w:rsidR="0025304D">
        <w:t>requirements set forth by the Food and Drug Administration (FDA)</w:t>
      </w:r>
      <w:r w:rsidR="00155172">
        <w:t>.</w:t>
      </w:r>
      <w:r w:rsidR="00155172">
        <w:rPr>
          <w:spacing w:val="-3"/>
        </w:rPr>
        <w:t xml:space="preserve"> </w:t>
      </w:r>
      <w:r w:rsidR="00A9673F">
        <w:t xml:space="preserve">CDC, in partnership with FDA, has made it easier for healthcare providers to provide tecovirimat (TPOXX) treatment to patients with </w:t>
      </w:r>
      <w:r w:rsidR="004A5246">
        <w:t>m</w:t>
      </w:r>
      <w:r w:rsidR="00A9673F">
        <w:t xml:space="preserve">onkeypox under the expanded access investigational new drug (EA-IND).  </w:t>
      </w:r>
      <w:r w:rsidRPr="000C0A2E" w:rsidR="000C0A2E">
        <w:t>CDC holds an intermediate-size patient population EA-IND</w:t>
      </w:r>
      <w:r w:rsidR="009F6E16">
        <w:t xml:space="preserve"> </w:t>
      </w:r>
      <w:r w:rsidRPr="000C0A2E" w:rsidR="000C0A2E">
        <w:t xml:space="preserve">(IND 116,039/Protocol 6402) to allow access to and use of TPOXX for treatment of orthopoxvirus infections, including </w:t>
      </w:r>
      <w:r w:rsidR="00E102D1">
        <w:t>m</w:t>
      </w:r>
      <w:r w:rsidRPr="000C0A2E" w:rsidR="000C0A2E">
        <w:t>onkeypox. The EA-IND provides an umbrella regulatory coverage so that clinicians and facilities do not need to request and obtain their own INDs.</w:t>
      </w:r>
      <w:r w:rsidR="009F6E16">
        <w:t xml:space="preserve">  </w:t>
      </w:r>
    </w:p>
    <w:p w:rsidR="00AD2EC3" w:rsidP="00A9673F" w:rsidRDefault="00AD2EC3" w14:paraId="4CAB36A8" w14:textId="5F5CAE76">
      <w:pPr>
        <w:pStyle w:val="BodyText"/>
        <w:ind w:left="120" w:right="181"/>
      </w:pPr>
    </w:p>
    <w:p w:rsidR="00DB0592" w:rsidP="00A9673F" w:rsidRDefault="001A0A99" w14:paraId="7BB2B0FB" w14:textId="1AFF3DDD">
      <w:pPr>
        <w:pStyle w:val="BodyText"/>
        <w:ind w:left="120" w:right="181"/>
      </w:pPr>
      <w:r>
        <w:t xml:space="preserve">FDA regulations require that an </w:t>
      </w:r>
      <w:r w:rsidR="004C2A73">
        <w:t>I</w:t>
      </w:r>
      <w:r w:rsidR="00AD2EC3">
        <w:t xml:space="preserve">nstitutional </w:t>
      </w:r>
      <w:r w:rsidRPr="00AD2EC3" w:rsidR="00AD2EC3">
        <w:t>R</w:t>
      </w:r>
      <w:r w:rsidR="00AD2EC3">
        <w:t xml:space="preserve">eview </w:t>
      </w:r>
      <w:r w:rsidRPr="00AD2EC3" w:rsidR="00AD2EC3">
        <w:t>B</w:t>
      </w:r>
      <w:r w:rsidR="00AD2EC3">
        <w:t>oard (IRB)</w:t>
      </w:r>
      <w:r w:rsidR="00F57461">
        <w:t xml:space="preserve"> review</w:t>
      </w:r>
      <w:r w:rsidR="00F04AEF">
        <w:t>, approve</w:t>
      </w:r>
      <w:r w:rsidR="00E102D1">
        <w:t>,</w:t>
      </w:r>
      <w:r w:rsidR="00F04AEF">
        <w:t xml:space="preserve"> and maintain oversight of the activities under the EA-IND</w:t>
      </w:r>
      <w:r w:rsidR="00BA7B53">
        <w:t xml:space="preserve"> as set forth in </w:t>
      </w:r>
      <w:r w:rsidRPr="00AD2EC3" w:rsidR="00BA7B53">
        <w:t>21 CFR Parts 50, 56, and 312</w:t>
      </w:r>
      <w:r w:rsidR="004C2A73">
        <w:t>. The CDC IRB is positioned to</w:t>
      </w:r>
      <w:r w:rsidRPr="00AD2EC3" w:rsidR="00AD2EC3">
        <w:t xml:space="preserve"> serve as the central IRB for review and approval of the </w:t>
      </w:r>
      <w:r w:rsidR="00AD2EC3">
        <w:t>EA-IND</w:t>
      </w:r>
      <w:r w:rsidR="008F5204">
        <w:t xml:space="preserve"> consistent 21 CFR 56.114</w:t>
      </w:r>
      <w:r w:rsidRPr="00AD2EC3" w:rsidR="00AD2EC3">
        <w:t xml:space="preserve">. </w:t>
      </w:r>
      <w:r w:rsidR="00410857">
        <w:t xml:space="preserve">This </w:t>
      </w:r>
      <w:r w:rsidR="00413BC6">
        <w:t xml:space="preserve">arrangement </w:t>
      </w:r>
      <w:r w:rsidR="00410857">
        <w:t xml:space="preserve">allows facilities </w:t>
      </w:r>
      <w:r w:rsidR="006F1E45">
        <w:t>to</w:t>
      </w:r>
      <w:r w:rsidR="00413BC6">
        <w:t xml:space="preserve"> use or rely on</w:t>
      </w:r>
      <w:r w:rsidRPr="00AD2EC3" w:rsidR="00AD2EC3">
        <w:t xml:space="preserve"> the CDC IRB for centralized review and approval for this protocol in place of review by the site-specific IRB</w:t>
      </w:r>
      <w:r w:rsidR="006F1E45">
        <w:t xml:space="preserve"> </w:t>
      </w:r>
      <w:r w:rsidRPr="00AD2EC3" w:rsidR="006F1E45">
        <w:t>to help reduce duplication of effort, delays, and increased expenses</w:t>
      </w:r>
      <w:r w:rsidR="006F1E45">
        <w:t xml:space="preserve">. </w:t>
      </w:r>
      <w:r w:rsidRPr="00AD2EC3" w:rsidR="00AD2EC3">
        <w:t xml:space="preserve"> Any </w:t>
      </w:r>
      <w:r w:rsidR="00DF7AA7">
        <w:t xml:space="preserve">facility </w:t>
      </w:r>
      <w:r w:rsidRPr="00AD2EC3" w:rsidR="00AD2EC3">
        <w:t xml:space="preserve">that receives tecovirimat for treatment of orthopoxvirus infection under </w:t>
      </w:r>
      <w:r w:rsidR="00DF7AA7">
        <w:t>the EA-</w:t>
      </w:r>
      <w:r w:rsidRPr="00AD2EC3" w:rsidR="00AD2EC3">
        <w:t>IND may elect to rely on the CDC IRB to meet FDA’s regulatory</w:t>
      </w:r>
      <w:r w:rsidR="001A0084">
        <w:t xml:space="preserve"> requirements</w:t>
      </w:r>
      <w:r w:rsidRPr="00AD2EC3" w:rsidR="00AD2EC3">
        <w:t>.</w:t>
      </w:r>
      <w:r w:rsidR="001A0084">
        <w:t xml:space="preserve">  </w:t>
      </w:r>
    </w:p>
    <w:p w:rsidR="00DB0592" w:rsidP="00A9673F" w:rsidRDefault="00DB0592" w14:paraId="590C17AD" w14:textId="77777777">
      <w:pPr>
        <w:pStyle w:val="BodyText"/>
        <w:ind w:left="120" w:right="181"/>
      </w:pPr>
    </w:p>
    <w:p w:rsidR="00AD2EC3" w:rsidP="00A9673F" w:rsidRDefault="00E07E0A" w14:paraId="019DC022" w14:textId="031D5EF9">
      <w:pPr>
        <w:pStyle w:val="BodyText"/>
        <w:ind w:left="120" w:right="181"/>
      </w:pPr>
      <w:r>
        <w:t xml:space="preserve">However, </w:t>
      </w:r>
      <w:r w:rsidR="00C63CA2">
        <w:t xml:space="preserve">FDA </w:t>
      </w:r>
      <w:r w:rsidR="00961856">
        <w:t xml:space="preserve">also requires that </w:t>
      </w:r>
      <w:r w:rsidRPr="00961856" w:rsidR="00961856">
        <w:t xml:space="preserve">IRBs and institutions prepare and maintain adequate documentation of IRB activities (21 CFR 56.115(a)). </w:t>
      </w:r>
      <w:r w:rsidR="00632BB1">
        <w:t xml:space="preserve">FDA recommends </w:t>
      </w:r>
      <w:r w:rsidR="004943C2">
        <w:t xml:space="preserve">ways to fulfill the </w:t>
      </w:r>
      <w:r w:rsidR="00C87371">
        <w:t xml:space="preserve">recordkeeping </w:t>
      </w:r>
      <w:r w:rsidR="004943C2">
        <w:t xml:space="preserve">requirements </w:t>
      </w:r>
      <w:r w:rsidR="00ED2B21">
        <w:t xml:space="preserve">in their </w:t>
      </w:r>
      <w:r w:rsidR="00084A2C">
        <w:t>2006 guidance “</w:t>
      </w:r>
      <w:r w:rsidRPr="00084A2C" w:rsidR="00084A2C">
        <w:t>Using a Centralized IRB Review Process in Multicenter Clinical Trials</w:t>
      </w:r>
      <w:r w:rsidR="00084A2C">
        <w:t>.”</w:t>
      </w:r>
      <w:r w:rsidR="00ED2B21">
        <w:t xml:space="preserve">  </w:t>
      </w:r>
      <w:r w:rsidR="00C5326D">
        <w:t>FDA indicates that i</w:t>
      </w:r>
      <w:r w:rsidRPr="00ED2B21" w:rsidR="00ED2B21">
        <w:t xml:space="preserve">f an institution, its IRB, and a central IRB agree (under 21 CFR 56.114) to participate in a centralized IRB review process, they should document that action in an agreement signed by the parties. </w:t>
      </w:r>
      <w:r w:rsidR="008441E8">
        <w:t xml:space="preserve">This requires CDC to collect a minimal amount of information from facilities </w:t>
      </w:r>
      <w:r w:rsidR="009E2941">
        <w:t>that elect to rely on the CDC IRB to establish such an agreement</w:t>
      </w:r>
      <w:r w:rsidR="00D277FA">
        <w:t xml:space="preserve">.  </w:t>
      </w:r>
    </w:p>
    <w:p w:rsidR="00F14D7E" w:rsidP="00A9673F" w:rsidRDefault="00F14D7E" w14:paraId="66A902DC" w14:textId="7CDFA921">
      <w:pPr>
        <w:pStyle w:val="BodyText"/>
        <w:ind w:left="120" w:right="181"/>
      </w:pPr>
    </w:p>
    <w:p w:rsidR="008C6786" w:rsidRDefault="008C6786" w14:paraId="1DC13612" w14:textId="77777777">
      <w:pPr>
        <w:rPr>
          <w:sz w:val="24"/>
          <w:szCs w:val="24"/>
        </w:rPr>
      </w:pPr>
      <w:r>
        <w:br w:type="page"/>
      </w:r>
    </w:p>
    <w:p w:rsidR="0019518A" w:rsidP="00762A3E" w:rsidRDefault="0019518A" w14:paraId="605F449D" w14:textId="77777777">
      <w:pPr>
        <w:pStyle w:val="BodyText"/>
        <w:ind w:left="120" w:right="103"/>
      </w:pPr>
    </w:p>
    <w:p w:rsidR="00D277FA" w:rsidP="00762A3E" w:rsidRDefault="008631DD" w14:paraId="06B7CAE0" w14:textId="76B6DD93">
      <w:pPr>
        <w:pStyle w:val="BodyText"/>
        <w:ind w:left="120" w:right="103"/>
      </w:pPr>
      <w:r>
        <w:t>Similar arrangements exist within the federal government</w:t>
      </w:r>
      <w:r w:rsidR="00CA6E4D">
        <w:t>.</w:t>
      </w:r>
      <w:r w:rsidRPr="00D277FA" w:rsidR="00D277FA">
        <w:t xml:space="preserve"> For example, the </w:t>
      </w:r>
      <w:r w:rsidR="00CA6E4D">
        <w:t xml:space="preserve">National Institutes of Health, </w:t>
      </w:r>
      <w:r w:rsidRPr="00D277FA" w:rsidR="00D277FA">
        <w:t>National Cancer Institute (NCI) has created a freestanding central IRB (</w:t>
      </w:r>
      <w:r w:rsidR="0041033B">
        <w:t>CIRB</w:t>
      </w:r>
      <w:r w:rsidRPr="00D277FA" w:rsidR="00D277FA">
        <w:t xml:space="preserve">) to provide the option for centralized IRB review for the many multicenter cancer trials conducted by NCI. This NCI central IRB is a standing body with subject matter expertise that reviews all NCI-sponsored phase 3 trials in adults with cancer. The IRBs affiliated with the study sites have the option of accepting the review of the NCI central </w:t>
      </w:r>
      <w:r w:rsidRPr="00D277FA" w:rsidR="00580CFB">
        <w:t>IRB or</w:t>
      </w:r>
      <w:r w:rsidRPr="00D277FA" w:rsidR="00D277FA">
        <w:t xml:space="preserve"> doing their own complete review of the protocol and informed consent.</w:t>
      </w:r>
      <w:r w:rsidR="00FC1D03">
        <w:t xml:space="preserve">  For those sites </w:t>
      </w:r>
      <w:r w:rsidR="008D5A4D">
        <w:t>electing to rely on the</w:t>
      </w:r>
      <w:r w:rsidR="0041033B">
        <w:t xml:space="preserve"> CIRB</w:t>
      </w:r>
      <w:r w:rsidR="008D5A4D">
        <w:t xml:space="preserve"> for review, NCI </w:t>
      </w:r>
      <w:r w:rsidR="004E5E5C">
        <w:t xml:space="preserve">collects standard information to </w:t>
      </w:r>
      <w:r w:rsidR="00762A3E">
        <w:t>establish and execute such</w:t>
      </w:r>
      <w:r w:rsidR="004E5E5C">
        <w:t xml:space="preserve"> agreements consistent with </w:t>
      </w:r>
      <w:r w:rsidR="00762A3E">
        <w:t xml:space="preserve">regulatory requirements </w:t>
      </w:r>
      <w:r w:rsidR="00114A79">
        <w:t>(</w:t>
      </w:r>
      <w:r w:rsidR="00903B87">
        <w:t>O</w:t>
      </w:r>
      <w:r w:rsidRPr="00903B87" w:rsidR="00903B87">
        <w:t>MB#:0925-0753</w:t>
      </w:r>
      <w:r w:rsidR="00903B87">
        <w:t>)</w:t>
      </w:r>
      <w:r w:rsidR="00762A3E">
        <w:t xml:space="preserve">. </w:t>
      </w:r>
    </w:p>
    <w:p w:rsidR="00221BEF" w:rsidP="00762A3E" w:rsidRDefault="00221BEF" w14:paraId="33331439" w14:textId="5EB18C2C">
      <w:pPr>
        <w:pStyle w:val="BodyText"/>
        <w:ind w:left="120" w:right="103"/>
      </w:pPr>
    </w:p>
    <w:p w:rsidR="00221BEF" w:rsidP="00762A3E" w:rsidRDefault="00221BEF" w14:paraId="5C5B6294" w14:textId="63FAFB2B">
      <w:pPr>
        <w:pStyle w:val="BodyText"/>
        <w:ind w:left="120" w:right="103"/>
      </w:pPr>
      <w:r>
        <w:t xml:space="preserve">Additionally, because </w:t>
      </w:r>
      <w:r w:rsidR="00A2283F">
        <w:t xml:space="preserve">IRB review is required by FDA under the CDC’s approved EA-IND, </w:t>
      </w:r>
      <w:r w:rsidR="00D12BA0">
        <w:t xml:space="preserve">CDC must </w:t>
      </w:r>
      <w:r w:rsidR="00FC2BB6">
        <w:t>maintain records of</w:t>
      </w:r>
      <w:r w:rsidR="00D12BA0">
        <w:t xml:space="preserve"> which facilities </w:t>
      </w:r>
      <w:r w:rsidR="00FC2BB6">
        <w:t xml:space="preserve">have </w:t>
      </w:r>
      <w:r w:rsidR="00D12BA0">
        <w:t xml:space="preserve">elected to </w:t>
      </w:r>
      <w:r w:rsidR="000234BA">
        <w:t xml:space="preserve">rely on the CDC IRB for centralized review </w:t>
      </w:r>
      <w:r w:rsidR="00FC2BB6">
        <w:t xml:space="preserve">and which facilities elect to obtain IRB review </w:t>
      </w:r>
      <w:r w:rsidR="00F15690">
        <w:t xml:space="preserve">on their own.  </w:t>
      </w:r>
    </w:p>
    <w:p w:rsidR="00B61D8F" w:rsidP="00762A3E" w:rsidRDefault="00B61D8F" w14:paraId="2E828421" w14:textId="6013A1DB">
      <w:pPr>
        <w:pStyle w:val="BodyText"/>
        <w:ind w:left="120" w:right="103"/>
      </w:pPr>
    </w:p>
    <w:p w:rsidR="00B61D8F" w:rsidP="00762A3E" w:rsidRDefault="00B61D8F" w14:paraId="6C352D6A" w14:textId="3B04D194">
      <w:pPr>
        <w:pStyle w:val="BodyText"/>
        <w:ind w:left="120" w:right="103"/>
      </w:pPr>
      <w:r>
        <w:t xml:space="preserve">As illustrated in our </w:t>
      </w:r>
      <w:r w:rsidR="00886974">
        <w:t xml:space="preserve">attached </w:t>
      </w:r>
      <w:r>
        <w:t xml:space="preserve">submitted package on the CDC IRB Authorization Agreement form, the specific data elements that CDC would collect from institutions that </w:t>
      </w:r>
      <w:r w:rsidR="006362E0">
        <w:t xml:space="preserve">are relying on CDC’s IRB so they can provide tecovirimat treatment to patients with </w:t>
      </w:r>
      <w:r w:rsidR="000E3B7B">
        <w:t>m</w:t>
      </w:r>
      <w:r w:rsidR="006362E0">
        <w:t xml:space="preserve">onkeypox </w:t>
      </w:r>
      <w:r>
        <w:t>are:</w:t>
      </w:r>
    </w:p>
    <w:p w:rsidR="006362E0" w:rsidP="00762A3E" w:rsidRDefault="006362E0" w14:paraId="7EC2C1B0" w14:textId="77777777">
      <w:pPr>
        <w:pStyle w:val="BodyText"/>
        <w:ind w:left="120" w:right="103"/>
      </w:pPr>
    </w:p>
    <w:p w:rsidR="006362E0" w:rsidP="006362E0" w:rsidRDefault="00B61D8F" w14:paraId="100EA8A7" w14:textId="42E8F44E">
      <w:pPr>
        <w:pStyle w:val="BodyText"/>
        <w:numPr>
          <w:ilvl w:val="0"/>
          <w:numId w:val="1"/>
        </w:numPr>
        <w:ind w:right="103"/>
      </w:pPr>
      <w:r>
        <w:t>Name of the</w:t>
      </w:r>
      <w:r w:rsidR="006362E0">
        <w:t xml:space="preserve"> requesting</w:t>
      </w:r>
      <w:r>
        <w:t xml:space="preserve"> </w:t>
      </w:r>
      <w:r w:rsidR="000E3B7B">
        <w:t>i</w:t>
      </w:r>
      <w:r>
        <w:t>nstitu</w:t>
      </w:r>
      <w:r w:rsidR="006362E0">
        <w:t>t</w:t>
      </w:r>
      <w:r>
        <w:t>ion</w:t>
      </w:r>
    </w:p>
    <w:p w:rsidR="00B61D8F" w:rsidP="006362E0" w:rsidRDefault="006362E0" w14:paraId="5D5CC2D7" w14:textId="28DE6203">
      <w:pPr>
        <w:pStyle w:val="BodyText"/>
        <w:numPr>
          <w:ilvl w:val="0"/>
          <w:numId w:val="1"/>
        </w:numPr>
        <w:ind w:right="103"/>
      </w:pPr>
      <w:r>
        <w:t xml:space="preserve">Name, phone and email of the </w:t>
      </w:r>
      <w:r w:rsidR="000E3B7B">
        <w:t>s</w:t>
      </w:r>
      <w:r>
        <w:t xml:space="preserve">ite </w:t>
      </w:r>
      <w:r w:rsidR="000E3B7B">
        <w:t>i</w:t>
      </w:r>
      <w:r>
        <w:t>nvestigator, IRB Contact, and agreement signatory</w:t>
      </w:r>
    </w:p>
    <w:p w:rsidR="00D277FA" w:rsidRDefault="00D277FA" w14:paraId="06CE5C00" w14:textId="77777777">
      <w:pPr>
        <w:pStyle w:val="BodyText"/>
        <w:ind w:left="120" w:right="103"/>
      </w:pPr>
    </w:p>
    <w:p w:rsidR="00AC7E58" w:rsidP="00AC7E58" w:rsidRDefault="00AC7E58" w14:paraId="1AF3478A" w14:textId="77777777">
      <w:r>
        <w:t>FDA Approved CDC’s Application for an EA</w:t>
      </w:r>
      <w:r>
        <w:rPr>
          <w:color w:val="002060"/>
        </w:rPr>
        <w:t>-</w:t>
      </w:r>
      <w:r>
        <w:t>IND for TPOXX to expand access to treatment for monkeypox</w:t>
      </w:r>
      <w:r>
        <w:rPr>
          <w:color w:val="002060"/>
        </w:rPr>
        <w:t xml:space="preserve">. </w:t>
      </w:r>
      <w:r>
        <w:t>Under the EA</w:t>
      </w:r>
      <w:r>
        <w:rPr>
          <w:color w:val="002060"/>
        </w:rPr>
        <w:t>-</w:t>
      </w:r>
      <w:r>
        <w:t>IND, FDA requires that any treating physician/facility accessing TPOXX through CDC’s EA</w:t>
      </w:r>
      <w:r>
        <w:rPr>
          <w:color w:val="002060"/>
        </w:rPr>
        <w:t>-</w:t>
      </w:r>
      <w:r>
        <w:t>IND have/obtain IRB approval for its use at that facility/institution</w:t>
      </w:r>
      <w:r>
        <w:rPr>
          <w:color w:val="002060"/>
        </w:rPr>
        <w:t xml:space="preserve">. </w:t>
      </w:r>
      <w:r>
        <w:t>CDC’s EA</w:t>
      </w:r>
      <w:r>
        <w:rPr>
          <w:color w:val="002060"/>
        </w:rPr>
        <w:t>-</w:t>
      </w:r>
      <w:r>
        <w:t>IND is intended to provide access to use TPOXX in a facility/institution that is not currently licensed for this indication to treat monkeypox and this is not designed to be a clinical trial or will not be used in support of any application th</w:t>
      </w:r>
      <w:r>
        <w:rPr>
          <w:color w:val="002060"/>
        </w:rPr>
        <w:t>at</w:t>
      </w:r>
      <w:r>
        <w:t xml:space="preserve"> manufacturer may or may not submitted to FDA. FDA allows for facilities/institutions/providers to use a central IRB/reliance to fulfill the requirements for IRB approval as option to obtaining IRB approval at their own institution or elsewhere</w:t>
      </w:r>
      <w:r>
        <w:rPr>
          <w:color w:val="002060"/>
        </w:rPr>
        <w:t xml:space="preserve">. </w:t>
      </w:r>
      <w:r>
        <w:t>Central IRB/reliance arrangement is intended to streamline the process and reduce burden for providers/facilities/institutions to meet the FDA requirement for IRB approval</w:t>
      </w:r>
      <w:r>
        <w:rPr>
          <w:color w:val="002060"/>
        </w:rPr>
        <w:t xml:space="preserve">. </w:t>
      </w:r>
      <w:r>
        <w:t>This is especially helpful for smaller facilities or individual providers because it provides access to an IRB to fulfill the FDA requirement when access TPOXX for treatment purposes</w:t>
      </w:r>
      <w:r>
        <w:rPr>
          <w:color w:val="002060"/>
        </w:rPr>
        <w:t xml:space="preserve">. </w:t>
      </w:r>
      <w:r>
        <w:t>If the facility/provider elects to use CDC IRB for centralized IRB review/reliance, then FDA requires a written agreement to document the responsibilities of each institution related to the IRB review requirements for the EA IND</w:t>
      </w:r>
      <w:r>
        <w:rPr>
          <w:color w:val="002060"/>
        </w:rPr>
        <w:t xml:space="preserve">. </w:t>
      </w:r>
      <w:r>
        <w:t xml:space="preserve">The reliance agreement specifies the reporting requirements of the CDC IRB and the relying institution/facility as required by FDA. These reporting requirements are limited to specific events that meet the criteria for reporting to FDA as described at 21 CFR 56.108. Without a reliance agreement, the provider/facility will have to meet the FDA requirements for IRB review through some other mechanism other than the existing CDC IRB approval. </w:t>
      </w:r>
    </w:p>
    <w:p w:rsidR="00AC7E58" w:rsidP="00287FF1" w:rsidRDefault="00AC7E58" w14:paraId="61B14779" w14:textId="77777777">
      <w:pPr>
        <w:pStyle w:val="BodyText"/>
        <w:ind w:left="120" w:right="103"/>
      </w:pPr>
    </w:p>
    <w:p w:rsidR="006362E0" w:rsidP="00287FF1" w:rsidRDefault="006362E0" w14:paraId="151A5C48" w14:textId="2638D579">
      <w:pPr>
        <w:pStyle w:val="BodyText"/>
        <w:ind w:left="120" w:right="103"/>
      </w:pPr>
      <w:r>
        <w:t>Given the urgent need to provide treatment to the increasing number of p</w:t>
      </w:r>
      <w:r w:rsidR="00722B7B">
        <w:t xml:space="preserve">ersons infected with </w:t>
      </w:r>
      <w:r w:rsidR="000E3B7B">
        <w:t>m</w:t>
      </w:r>
      <w:r w:rsidR="00722B7B">
        <w:t>onkeypox</w:t>
      </w:r>
      <w:r>
        <w:t xml:space="preserve"> and</w:t>
      </w:r>
      <w:r w:rsidRPr="006362E0">
        <w:t xml:space="preserve"> </w:t>
      </w:r>
      <w:r>
        <w:t xml:space="preserve">the exponential increase in demand for access to tecovirimat under CDC’s EA-IND, </w:t>
      </w:r>
      <w:r w:rsidR="00155172">
        <w:t xml:space="preserve">CDC </w:t>
      </w:r>
      <w:r w:rsidR="00722B7B">
        <w:t>is not able to</w:t>
      </w:r>
      <w:r w:rsidR="00155172">
        <w:t xml:space="preserve"> reasonably comply with the </w:t>
      </w:r>
      <w:r w:rsidR="00722B7B">
        <w:t>standard</w:t>
      </w:r>
      <w:r w:rsidR="00155172">
        <w:t xml:space="preserve"> </w:t>
      </w:r>
      <w:r>
        <w:t>PRA approval process and timeline</w:t>
      </w:r>
      <w:r w:rsidR="00722B7B">
        <w:t xml:space="preserve"> wh</w:t>
      </w:r>
      <w:r w:rsidR="00D03CD9">
        <w:t xml:space="preserve">ich </w:t>
      </w:r>
      <w:r w:rsidR="0019518A">
        <w:t>normally takes six months or longer.</w:t>
      </w:r>
      <w:r>
        <w:t xml:space="preserve"> </w:t>
      </w:r>
      <w:r w:rsidR="00155172">
        <w:t xml:space="preserve">In the United States, as of </w:t>
      </w:r>
      <w:r w:rsidR="009F283F">
        <w:t>July 2</w:t>
      </w:r>
      <w:r w:rsidR="00B23B2F">
        <w:t>7</w:t>
      </w:r>
      <w:r w:rsidR="00155172">
        <w:t>, 202</w:t>
      </w:r>
      <w:r w:rsidR="009F283F">
        <w:t>2</w:t>
      </w:r>
      <w:r w:rsidR="00155172">
        <w:t xml:space="preserve">, there </w:t>
      </w:r>
      <w:r>
        <w:t>were</w:t>
      </w:r>
      <w:r w:rsidR="00155172">
        <w:t xml:space="preserve"> over 4</w:t>
      </w:r>
      <w:r w:rsidR="00B23B2F">
        <w:t xml:space="preserve">,600 </w:t>
      </w:r>
      <w:r w:rsidR="00155172">
        <w:t xml:space="preserve">cases </w:t>
      </w:r>
      <w:r w:rsidR="00B23B2F">
        <w:t xml:space="preserve">in 47 states and Puerto Rico, </w:t>
      </w:r>
      <w:r w:rsidR="00155172">
        <w:t xml:space="preserve">and </w:t>
      </w:r>
      <w:r>
        <w:t xml:space="preserve">to date </w:t>
      </w:r>
      <w:r w:rsidR="00155172">
        <w:t xml:space="preserve">more than </w:t>
      </w:r>
      <w:r w:rsidR="00B23B2F">
        <w:t>9</w:t>
      </w:r>
      <w:r w:rsidR="00C2711F">
        <w:t>0 facilities have</w:t>
      </w:r>
      <w:r>
        <w:t xml:space="preserve"> already</w:t>
      </w:r>
      <w:r w:rsidR="00C2711F">
        <w:t xml:space="preserve"> </w:t>
      </w:r>
      <w:r>
        <w:t>requested</w:t>
      </w:r>
      <w:r w:rsidR="00C2711F">
        <w:t xml:space="preserve"> to rely on the CDC IRB</w:t>
      </w:r>
      <w:r w:rsidR="00155172">
        <w:t xml:space="preserve">. </w:t>
      </w:r>
    </w:p>
    <w:p w:rsidR="006362E0" w:rsidP="00287FF1" w:rsidRDefault="006362E0" w14:paraId="1C04B013" w14:textId="77777777">
      <w:pPr>
        <w:pStyle w:val="BodyText"/>
        <w:ind w:left="120" w:right="103"/>
      </w:pPr>
    </w:p>
    <w:p w:rsidR="00465955" w:rsidP="00287FF1" w:rsidRDefault="00F82036" w14:paraId="2D52C48A" w14:textId="60B09F48">
      <w:pPr>
        <w:pStyle w:val="BodyText"/>
        <w:ind w:left="120" w:right="103"/>
      </w:pPr>
      <w:proofErr w:type="gramStart"/>
      <w:r>
        <w:t xml:space="preserve">In order </w:t>
      </w:r>
      <w:r w:rsidR="008F27C5">
        <w:t>to</w:t>
      </w:r>
      <w:proofErr w:type="gramEnd"/>
      <w:r w:rsidR="008F27C5">
        <w:t xml:space="preserve"> </w:t>
      </w:r>
      <w:r w:rsidR="00F346CB">
        <w:t xml:space="preserve">facilitate </w:t>
      </w:r>
      <w:r w:rsidR="006071B9">
        <w:t>access to tecovir</w:t>
      </w:r>
      <w:r w:rsidR="006362E0">
        <w:t>i</w:t>
      </w:r>
      <w:r w:rsidR="006071B9">
        <w:t>mat</w:t>
      </w:r>
      <w:r w:rsidR="007C7A6B">
        <w:t>,</w:t>
      </w:r>
      <w:r w:rsidR="006071B9">
        <w:t xml:space="preserve"> ease the suffering of </w:t>
      </w:r>
      <w:r w:rsidR="000E3B7B">
        <w:t>persons</w:t>
      </w:r>
      <w:r w:rsidR="007C7A6B">
        <w:t xml:space="preserve"> </w:t>
      </w:r>
      <w:r w:rsidR="006071B9">
        <w:t xml:space="preserve">with </w:t>
      </w:r>
      <w:r w:rsidR="000E3B7B">
        <w:t>m</w:t>
      </w:r>
      <w:r w:rsidR="006071B9">
        <w:t>onkeypox</w:t>
      </w:r>
      <w:r w:rsidR="007C7A6B">
        <w:t>,</w:t>
      </w:r>
      <w:r w:rsidR="00C85FEA">
        <w:t xml:space="preserve"> and </w:t>
      </w:r>
      <w:r w:rsidR="009108D5">
        <w:t>ensure CDC</w:t>
      </w:r>
      <w:r w:rsidR="009B2C00">
        <w:t>’s</w:t>
      </w:r>
      <w:r w:rsidR="009108D5">
        <w:t xml:space="preserve"> ability to </w:t>
      </w:r>
      <w:r w:rsidR="00CE61ED">
        <w:t>adhere to human subject protection requirements</w:t>
      </w:r>
      <w:r w:rsidR="006071B9">
        <w:t xml:space="preserve">, </w:t>
      </w:r>
      <w:r>
        <w:t xml:space="preserve">CDC </w:t>
      </w:r>
      <w:r w:rsidR="00287FF1">
        <w:t xml:space="preserve">requests </w:t>
      </w:r>
      <w:r w:rsidR="00155172">
        <w:t>an</w:t>
      </w:r>
      <w:r w:rsidR="008F27C5">
        <w:rPr>
          <w:spacing w:val="-2"/>
        </w:rPr>
        <w:t xml:space="preserve"> </w:t>
      </w:r>
      <w:r w:rsidR="00155172">
        <w:t>approval</w:t>
      </w:r>
      <w:r w:rsidR="00155172">
        <w:rPr>
          <w:spacing w:val="-4"/>
        </w:rPr>
        <w:t xml:space="preserve"> </w:t>
      </w:r>
      <w:r w:rsidR="00155172">
        <w:t>of</w:t>
      </w:r>
      <w:r w:rsidR="00155172">
        <w:rPr>
          <w:spacing w:val="-5"/>
        </w:rPr>
        <w:t xml:space="preserve"> </w:t>
      </w:r>
      <w:r w:rsidR="00155172">
        <w:t>this</w:t>
      </w:r>
      <w:r w:rsidR="00155172">
        <w:rPr>
          <w:spacing w:val="-4"/>
        </w:rPr>
        <w:t xml:space="preserve"> </w:t>
      </w:r>
      <w:r w:rsidR="00155172">
        <w:t>request</w:t>
      </w:r>
      <w:r w:rsidR="00155172">
        <w:rPr>
          <w:spacing w:val="-4"/>
        </w:rPr>
        <w:t xml:space="preserve"> </w:t>
      </w:r>
      <w:r w:rsidR="00155172">
        <w:t>to</w:t>
      </w:r>
      <w:r w:rsidR="00155172">
        <w:rPr>
          <w:spacing w:val="-4"/>
        </w:rPr>
        <w:t xml:space="preserve"> </w:t>
      </w:r>
      <w:r w:rsidR="00155172">
        <w:t>collect</w:t>
      </w:r>
      <w:r w:rsidR="00155172">
        <w:rPr>
          <w:spacing w:val="-4"/>
        </w:rPr>
        <w:t xml:space="preserve"> </w:t>
      </w:r>
      <w:r w:rsidR="00155172">
        <w:t>information</w:t>
      </w:r>
      <w:r w:rsidR="00155172">
        <w:rPr>
          <w:spacing w:val="-4"/>
        </w:rPr>
        <w:t xml:space="preserve"> </w:t>
      </w:r>
      <w:r w:rsidR="00155172">
        <w:t>under</w:t>
      </w:r>
      <w:r w:rsidR="00155172">
        <w:rPr>
          <w:spacing w:val="-3"/>
        </w:rPr>
        <w:t xml:space="preserve"> </w:t>
      </w:r>
      <w:r w:rsidR="00155172">
        <w:t xml:space="preserve">an emergency clearance </w:t>
      </w:r>
      <w:r w:rsidR="006362E0">
        <w:t>as soon as possible.</w:t>
      </w:r>
    </w:p>
    <w:p w:rsidR="00465955" w:rsidRDefault="00465955" w14:paraId="2D52C48B" w14:textId="77777777">
      <w:pPr>
        <w:pStyle w:val="BodyText"/>
        <w:rPr>
          <w:sz w:val="26"/>
        </w:rPr>
      </w:pPr>
    </w:p>
    <w:p w:rsidR="00465955" w:rsidRDefault="00465955" w14:paraId="2D52C48C" w14:textId="77777777">
      <w:pPr>
        <w:pStyle w:val="BodyText"/>
        <w:rPr>
          <w:sz w:val="26"/>
        </w:rPr>
      </w:pPr>
    </w:p>
    <w:p w:rsidR="00465955" w:rsidRDefault="00465955" w14:paraId="2D52C48D" w14:textId="77777777">
      <w:pPr>
        <w:pStyle w:val="BodyText"/>
        <w:spacing w:before="5"/>
        <w:rPr>
          <w:sz w:val="32"/>
        </w:rPr>
      </w:pPr>
    </w:p>
    <w:p w:rsidRPr="006F47D1" w:rsidR="000565BA" w:rsidP="006F47D1" w:rsidRDefault="00155172" w14:paraId="7F31CCD5" w14:textId="40B4B1D5">
      <w:pPr>
        <w:pStyle w:val="BodyText"/>
        <w:ind w:left="4433" w:right="4679"/>
        <w:jc w:val="center"/>
      </w:pPr>
      <w:r>
        <w:rPr>
          <w:spacing w:val="-2"/>
        </w:rPr>
        <w:lastRenderedPageBreak/>
        <w:t>Respectfully,</w:t>
      </w:r>
    </w:p>
    <w:p w:rsidR="00465955" w:rsidRDefault="00535CF3" w14:paraId="2D52C493" w14:textId="163C23F7">
      <w:pPr>
        <w:pStyle w:val="BodyText"/>
        <w:rPr>
          <w:rFonts w:ascii="Gill Sans M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editId="556B7389" wp14:anchorId="2D52C499">
                <wp:simplePos x="0" y="0"/>
                <wp:positionH relativeFrom="page">
                  <wp:posOffset>3429000</wp:posOffset>
                </wp:positionH>
                <wp:positionV relativeFrom="paragraph">
                  <wp:posOffset>154940</wp:posOffset>
                </wp:positionV>
                <wp:extent cx="304800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4800"/>
                            <a:gd name="T2" fmla="+- 0 10200 540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style="position:absolute;margin-left:270pt;margin-top:12.2pt;width:24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spid="_x0000_s1026" filled="f" strokeweight=".48pt" path="m,l4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" w14:anchorId="083A78DC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465955" w:rsidRDefault="00D32DB5" w14:paraId="2D52C494" w14:textId="0E8AF591">
      <w:pPr>
        <w:pStyle w:val="BodyText"/>
        <w:spacing w:line="234" w:lineRule="exact"/>
        <w:ind w:left="4440"/>
      </w:pPr>
      <w:r>
        <w:t>Rebecca Bunnell</w:t>
      </w:r>
      <w:r w:rsidR="00155172">
        <w:t>,</w:t>
      </w:r>
      <w:r w:rsidR="00155172">
        <w:rPr>
          <w:spacing w:val="-3"/>
        </w:rPr>
        <w:t xml:space="preserve"> </w:t>
      </w:r>
      <w:r w:rsidR="00155172">
        <w:rPr>
          <w:spacing w:val="-5"/>
        </w:rPr>
        <w:t>PhD</w:t>
      </w:r>
      <w:r>
        <w:rPr>
          <w:spacing w:val="-5"/>
        </w:rPr>
        <w:t xml:space="preserve">, </w:t>
      </w:r>
      <w:r w:rsidR="00B33774">
        <w:rPr>
          <w:spacing w:val="-5"/>
        </w:rPr>
        <w:t>MEd</w:t>
      </w:r>
    </w:p>
    <w:p w:rsidR="00D32DB5" w:rsidRDefault="00D32DB5" w14:paraId="429B2796" w14:textId="21CFB21F">
      <w:pPr>
        <w:pStyle w:val="BodyText"/>
        <w:spacing w:before="9" w:line="216" w:lineRule="auto"/>
        <w:ind w:left="4440" w:right="103"/>
      </w:pPr>
      <w:r>
        <w:t>CDC Chief Science Officer</w:t>
      </w:r>
    </w:p>
    <w:p w:rsidR="00D4022A" w:rsidRDefault="00D4022A" w14:paraId="37F1013E" w14:textId="54ACC0D3">
      <w:pPr>
        <w:pStyle w:val="BodyText"/>
        <w:spacing w:before="9" w:line="216" w:lineRule="auto"/>
        <w:ind w:left="4440" w:right="103"/>
      </w:pPr>
      <w:r>
        <w:t xml:space="preserve">CDC Institutional Official for </w:t>
      </w:r>
      <w:r w:rsidR="00155172">
        <w:t>Human Research Subjects</w:t>
      </w:r>
    </w:p>
    <w:p w:rsidR="00D4022A" w:rsidRDefault="00155172" w14:paraId="450E6A35" w14:textId="70036C39">
      <w:pPr>
        <w:pStyle w:val="BodyText"/>
        <w:spacing w:before="9" w:line="216" w:lineRule="auto"/>
        <w:ind w:left="4440" w:right="103"/>
      </w:pPr>
      <w:r>
        <w:t>Director,</w:t>
      </w:r>
      <w:r>
        <w:rPr>
          <w:spacing w:val="-4"/>
        </w:rPr>
        <w:t xml:space="preserve"> </w:t>
      </w:r>
      <w:r w:rsidR="00D4022A">
        <w:t>Office of Science</w:t>
      </w:r>
    </w:p>
    <w:p w:rsidR="00465955" w:rsidRDefault="00155172" w14:paraId="2D52C495" w14:textId="66D16D62">
      <w:pPr>
        <w:pStyle w:val="BodyText"/>
        <w:spacing w:before="9" w:line="216" w:lineRule="auto"/>
        <w:ind w:left="4440" w:right="103"/>
      </w:pPr>
      <w:r>
        <w:t>Centers for Disease Control and Prevention</w:t>
      </w:r>
    </w:p>
    <w:sectPr w:rsidR="00465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80" w:right="880" w:bottom="280" w:left="960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8A14" w14:textId="77777777" w:rsidR="004437A4" w:rsidRDefault="004437A4">
      <w:r>
        <w:separator/>
      </w:r>
    </w:p>
  </w:endnote>
  <w:endnote w:type="continuationSeparator" w:id="0">
    <w:p w14:paraId="7354F4A0" w14:textId="77777777" w:rsidR="004437A4" w:rsidRDefault="004437A4">
      <w:r>
        <w:continuationSeparator/>
      </w:r>
    </w:p>
  </w:endnote>
  <w:endnote w:type="continuationNotice" w:id="1">
    <w:p w14:paraId="45147E81" w14:textId="77777777" w:rsidR="004437A4" w:rsidRDefault="00443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0A62" w14:textId="77777777" w:rsidR="00B23B2F" w:rsidRDefault="00B23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27DC" w14:textId="77777777" w:rsidR="00B23B2F" w:rsidRDefault="00B23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B09B" w14:textId="77777777" w:rsidR="00B23B2F" w:rsidRDefault="00B2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D94D" w14:textId="77777777" w:rsidR="004437A4" w:rsidRDefault="004437A4">
      <w:r>
        <w:separator/>
      </w:r>
    </w:p>
  </w:footnote>
  <w:footnote w:type="continuationSeparator" w:id="0">
    <w:p w14:paraId="6CCCD8E9" w14:textId="77777777" w:rsidR="004437A4" w:rsidRDefault="004437A4">
      <w:r>
        <w:continuationSeparator/>
      </w:r>
    </w:p>
  </w:footnote>
  <w:footnote w:type="continuationNotice" w:id="1">
    <w:p w14:paraId="65887411" w14:textId="77777777" w:rsidR="004437A4" w:rsidRDefault="00443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93A" w14:textId="77777777" w:rsidR="00B23B2F" w:rsidRDefault="00B23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C49A" w14:textId="49F28181" w:rsidR="00465955" w:rsidRDefault="001551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D52C49B" wp14:editId="2D52C49C">
          <wp:simplePos x="0" y="0"/>
          <wp:positionH relativeFrom="page">
            <wp:posOffset>114300</wp:posOffset>
          </wp:positionH>
          <wp:positionV relativeFrom="page">
            <wp:posOffset>133350</wp:posOffset>
          </wp:positionV>
          <wp:extent cx="777239" cy="7772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" cy="777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CF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D52C49D" wp14:editId="16E42880">
              <wp:simplePos x="0" y="0"/>
              <wp:positionH relativeFrom="page">
                <wp:posOffset>990600</wp:posOffset>
              </wp:positionH>
              <wp:positionV relativeFrom="page">
                <wp:posOffset>741680</wp:posOffset>
              </wp:positionV>
              <wp:extent cx="614299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line">
                        <a:avLst/>
                      </a:prstGeom>
                      <a:noFill/>
                      <a:ln w="11258">
                        <a:solidFill>
                          <a:srgbClr val="0000F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82EC1" id="Line 4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pt,58.4pt" to="561.7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" strokecolor="#0000fe" strokeweight=".31272mm">
              <w10:wrap anchorx="page" anchory="page"/>
            </v:line>
          </w:pict>
        </mc:Fallback>
      </mc:AlternateContent>
    </w:r>
    <w:r w:rsidR="00535CF3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52C49E" wp14:editId="65DE6B97">
              <wp:simplePos x="0" y="0"/>
              <wp:positionH relativeFrom="page">
                <wp:posOffset>977900</wp:posOffset>
              </wp:positionH>
              <wp:positionV relativeFrom="page">
                <wp:posOffset>448945</wp:posOffset>
              </wp:positionV>
              <wp:extent cx="298132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2C4A2" w14:textId="77777777" w:rsidR="00465955" w:rsidRDefault="0015517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2C4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7pt;margin-top:35.35pt;width:234.75pt;height:13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" filled="f" stroked="f">
              <v:textbox inset="0,0,0,0">
                <w:txbxContent>
                  <w:p w14:paraId="2D52C4A2" w14:textId="77777777" w:rsidR="00465955" w:rsidRDefault="0015517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HUMAN</w:t>
                    </w:r>
                    <w:r>
                      <w:rPr>
                        <w:rFonts w:ascii="Arial"/>
                        <w:b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CF3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D52C49F" wp14:editId="4FADBD7E">
              <wp:simplePos x="0" y="0"/>
              <wp:positionH relativeFrom="page">
                <wp:posOffset>5808980</wp:posOffset>
              </wp:positionH>
              <wp:positionV relativeFrom="page">
                <wp:posOffset>448945</wp:posOffset>
              </wp:positionV>
              <wp:extent cx="1316990" cy="16700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2C4A3" w14:textId="77777777" w:rsidR="00465955" w:rsidRDefault="0015517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2C49F" id="docshape2" o:spid="_x0000_s1027" type="#_x0000_t202" style="position:absolute;margin-left:457.4pt;margin-top:35.35pt;width:103.7pt;height:13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" filled="f" stroked="f">
              <v:textbox inset="0,0,0,0">
                <w:txbxContent>
                  <w:p w14:paraId="2D52C4A3" w14:textId="77777777" w:rsidR="00465955" w:rsidRDefault="0015517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Public</w:t>
                    </w:r>
                    <w:r>
                      <w:rPr>
                        <w:rFonts w:ascii="Arial"/>
                        <w:b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CF3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D52C4A0" wp14:editId="7F55D1A7">
              <wp:simplePos x="0" y="0"/>
              <wp:positionH relativeFrom="page">
                <wp:posOffset>5565140</wp:posOffset>
              </wp:positionH>
              <wp:positionV relativeFrom="page">
                <wp:posOffset>739775</wp:posOffset>
              </wp:positionV>
              <wp:extent cx="1592580" cy="45974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2C4A4" w14:textId="77777777" w:rsidR="00465955" w:rsidRDefault="00155172">
                          <w:pPr>
                            <w:spacing w:before="12"/>
                            <w:ind w:left="396" w:right="18" w:hanging="377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Centers</w:t>
                          </w:r>
                          <w:r>
                            <w:rPr>
                              <w:rFonts w:ascii="Arial"/>
                              <w:color w:val="0000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Disease</w:t>
                          </w:r>
                          <w:r>
                            <w:rPr>
                              <w:rFonts w:ascii="Arial"/>
                              <w:color w:val="0000F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Control and Prevention (CDC) Atlanta</w:t>
                          </w:r>
                          <w:r>
                            <w:rPr>
                              <w:rFonts w:ascii="Arial"/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GA</w:t>
                          </w:r>
                          <w:r>
                            <w:rPr>
                              <w:rFonts w:ascii="Arial"/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>30341-</w:t>
                          </w:r>
                          <w:r>
                            <w:rPr>
                              <w:rFonts w:ascii="Arial"/>
                              <w:color w:val="0000FF"/>
                              <w:spacing w:val="-4"/>
                              <w:sz w:val="20"/>
                            </w:rPr>
                            <w:t>3724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2C4A0" id="docshape3" o:spid="_x0000_s1028" type="#_x0000_t202" style="position:absolute;margin-left:438.2pt;margin-top:58.25pt;width:125.4pt;height:36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" filled="f" stroked="f">
              <v:textbox inset="0,0,0,0">
                <w:txbxContent>
                  <w:p w14:paraId="2D52C4A4" w14:textId="77777777" w:rsidR="00465955" w:rsidRDefault="00155172">
                    <w:pPr>
                      <w:spacing w:before="12"/>
                      <w:ind w:left="396" w:right="18" w:hanging="377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00FF"/>
                        <w:sz w:val="20"/>
                      </w:rPr>
                      <w:t>Centers</w:t>
                    </w:r>
                    <w:r>
                      <w:rPr>
                        <w:rFonts w:ascii="Arial"/>
                        <w:color w:val="0000F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0"/>
                      </w:rPr>
                      <w:t>for</w:t>
                    </w:r>
                    <w:r>
                      <w:rPr>
                        <w:rFonts w:ascii="Arial"/>
                        <w:color w:val="0000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0"/>
                      </w:rPr>
                      <w:t>Disease</w:t>
                    </w:r>
                    <w:r>
                      <w:rPr>
                        <w:rFonts w:ascii="Arial"/>
                        <w:color w:val="0000F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0"/>
                      </w:rPr>
                      <w:t>Control and Prevention (CDC) Atlanta</w:t>
                    </w:r>
                    <w:r>
                      <w:rPr>
                        <w:rFonts w:ascii="Arial"/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0"/>
                      </w:rPr>
                      <w:t>GA</w:t>
                    </w:r>
                    <w:r>
                      <w:rPr>
                        <w:rFonts w:ascii="Arial"/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0"/>
                      </w:rPr>
                      <w:t>30341-</w:t>
                    </w:r>
                    <w:r>
                      <w:rPr>
                        <w:rFonts w:ascii="Arial"/>
                        <w:color w:val="0000FF"/>
                        <w:spacing w:val="-4"/>
                        <w:sz w:val="20"/>
                      </w:rPr>
                      <w:t>3724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7425" w14:textId="77777777" w:rsidR="00B23B2F" w:rsidRDefault="00B2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6643"/>
    <w:multiLevelType w:val="hybridMultilevel"/>
    <w:tmpl w:val="A7F02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NDAxMTc1sLA0MjJT0lEKTi0uzszPAykwrAUAycHgOywAAAA="/>
  </w:docVars>
  <w:rsids>
    <w:rsidRoot w:val="00465955"/>
    <w:rsid w:val="000234BA"/>
    <w:rsid w:val="000565BA"/>
    <w:rsid w:val="00076C1C"/>
    <w:rsid w:val="00084A2C"/>
    <w:rsid w:val="000B3A8D"/>
    <w:rsid w:val="000C0A2E"/>
    <w:rsid w:val="000C5DD9"/>
    <w:rsid w:val="000E2779"/>
    <w:rsid w:val="000E3B7B"/>
    <w:rsid w:val="000F4999"/>
    <w:rsid w:val="00114A79"/>
    <w:rsid w:val="001205DB"/>
    <w:rsid w:val="00146095"/>
    <w:rsid w:val="00155172"/>
    <w:rsid w:val="001828B1"/>
    <w:rsid w:val="001868DF"/>
    <w:rsid w:val="0019518A"/>
    <w:rsid w:val="001A0084"/>
    <w:rsid w:val="001A0A99"/>
    <w:rsid w:val="001D383B"/>
    <w:rsid w:val="001D769A"/>
    <w:rsid w:val="00221BEF"/>
    <w:rsid w:val="0025304D"/>
    <w:rsid w:val="0027583D"/>
    <w:rsid w:val="00287FF1"/>
    <w:rsid w:val="00292A18"/>
    <w:rsid w:val="002A44A5"/>
    <w:rsid w:val="002E5F5D"/>
    <w:rsid w:val="00307E1C"/>
    <w:rsid w:val="0035117F"/>
    <w:rsid w:val="00376F3A"/>
    <w:rsid w:val="003D39A6"/>
    <w:rsid w:val="003E4D94"/>
    <w:rsid w:val="0041033B"/>
    <w:rsid w:val="00410857"/>
    <w:rsid w:val="00413BC6"/>
    <w:rsid w:val="004300BA"/>
    <w:rsid w:val="00432B0C"/>
    <w:rsid w:val="004437A4"/>
    <w:rsid w:val="00465955"/>
    <w:rsid w:val="004943C2"/>
    <w:rsid w:val="004A5246"/>
    <w:rsid w:val="004C2A73"/>
    <w:rsid w:val="004D2194"/>
    <w:rsid w:val="004E5E5C"/>
    <w:rsid w:val="005114C8"/>
    <w:rsid w:val="005129DC"/>
    <w:rsid w:val="0052182E"/>
    <w:rsid w:val="00535CF3"/>
    <w:rsid w:val="005622A3"/>
    <w:rsid w:val="00580CFB"/>
    <w:rsid w:val="005925A6"/>
    <w:rsid w:val="00595F05"/>
    <w:rsid w:val="005D407D"/>
    <w:rsid w:val="005F1CEA"/>
    <w:rsid w:val="006071B9"/>
    <w:rsid w:val="00632BB1"/>
    <w:rsid w:val="006362E0"/>
    <w:rsid w:val="00641787"/>
    <w:rsid w:val="006F1660"/>
    <w:rsid w:val="006F1E45"/>
    <w:rsid w:val="006F47D1"/>
    <w:rsid w:val="0070776E"/>
    <w:rsid w:val="00722B7B"/>
    <w:rsid w:val="0075104B"/>
    <w:rsid w:val="00762A3E"/>
    <w:rsid w:val="007C7A6B"/>
    <w:rsid w:val="00802E15"/>
    <w:rsid w:val="008042A4"/>
    <w:rsid w:val="00823425"/>
    <w:rsid w:val="008441E8"/>
    <w:rsid w:val="0085000C"/>
    <w:rsid w:val="00852385"/>
    <w:rsid w:val="008631DD"/>
    <w:rsid w:val="00886105"/>
    <w:rsid w:val="00886974"/>
    <w:rsid w:val="008C6786"/>
    <w:rsid w:val="008D5A4D"/>
    <w:rsid w:val="008F27C5"/>
    <w:rsid w:val="008F5204"/>
    <w:rsid w:val="00903B87"/>
    <w:rsid w:val="009108D5"/>
    <w:rsid w:val="00961856"/>
    <w:rsid w:val="009B2C00"/>
    <w:rsid w:val="009E2941"/>
    <w:rsid w:val="009F283F"/>
    <w:rsid w:val="009F6E16"/>
    <w:rsid w:val="00A2283F"/>
    <w:rsid w:val="00A679A0"/>
    <w:rsid w:val="00A94290"/>
    <w:rsid w:val="00A9673F"/>
    <w:rsid w:val="00AC2A4E"/>
    <w:rsid w:val="00AC7824"/>
    <w:rsid w:val="00AC7E58"/>
    <w:rsid w:val="00AD2EC3"/>
    <w:rsid w:val="00AE4A94"/>
    <w:rsid w:val="00B23B2F"/>
    <w:rsid w:val="00B33774"/>
    <w:rsid w:val="00B5026B"/>
    <w:rsid w:val="00B61D8F"/>
    <w:rsid w:val="00BA7B53"/>
    <w:rsid w:val="00C2711F"/>
    <w:rsid w:val="00C5326D"/>
    <w:rsid w:val="00C54C7B"/>
    <w:rsid w:val="00C63CA2"/>
    <w:rsid w:val="00C71206"/>
    <w:rsid w:val="00C85FEA"/>
    <w:rsid w:val="00C87371"/>
    <w:rsid w:val="00CA20BE"/>
    <w:rsid w:val="00CA6E4D"/>
    <w:rsid w:val="00CE61ED"/>
    <w:rsid w:val="00CF120A"/>
    <w:rsid w:val="00D03CD9"/>
    <w:rsid w:val="00D06407"/>
    <w:rsid w:val="00D11160"/>
    <w:rsid w:val="00D12BA0"/>
    <w:rsid w:val="00D240BD"/>
    <w:rsid w:val="00D277FA"/>
    <w:rsid w:val="00D32DB5"/>
    <w:rsid w:val="00D4022A"/>
    <w:rsid w:val="00D85112"/>
    <w:rsid w:val="00D86C34"/>
    <w:rsid w:val="00DB0592"/>
    <w:rsid w:val="00DD433A"/>
    <w:rsid w:val="00DF7AA7"/>
    <w:rsid w:val="00E07E0A"/>
    <w:rsid w:val="00E102D1"/>
    <w:rsid w:val="00E16EF1"/>
    <w:rsid w:val="00ED2B21"/>
    <w:rsid w:val="00F04AEF"/>
    <w:rsid w:val="00F14D7E"/>
    <w:rsid w:val="00F15690"/>
    <w:rsid w:val="00F206B2"/>
    <w:rsid w:val="00F346CB"/>
    <w:rsid w:val="00F57461"/>
    <w:rsid w:val="00F82036"/>
    <w:rsid w:val="00FB02CB"/>
    <w:rsid w:val="00FC1D03"/>
    <w:rsid w:val="00FC2BB6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2C473"/>
  <w15:docId w15:val="{5F651220-4956-41C1-BA0C-6564E8C3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0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B2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Samuel, Lee (CDC/OID/NCEZID)</dc:creator>
  <dc:description/>
  <cp:lastModifiedBy>Zirger, Jeffrey (CDC/DDPHSS/OS/OSI)</cp:lastModifiedBy>
  <cp:revision>2</cp:revision>
  <dcterms:created xsi:type="dcterms:W3CDTF">2022-08-03T18:45:00Z</dcterms:created>
  <dcterms:modified xsi:type="dcterms:W3CDTF">2022-08-03T18:45:00Z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Created">
    <vt:filetime>2021-10-27T00:00:00Z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2022-07-27T00:00:00Z</vt:filetime>
  </property>
  <property fmtid="{D5CDD505-2E9C-101B-9397-08002B2CF9AE}" pid="6" name="MSIP_Label_7b94a7b8-f06c-4dfe-bdcc-9b548fd58c31_ActionId">
    <vt:lpwstr>0641ce77-7ebc-4661-b451-f18d5896cd5c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2020-11-09T16:29:23Z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Producer">
    <vt:lpwstr>Adobe PDF Library 15.0</vt:lpwstr>
  </property>
  <property fmtid="{D5CDD505-2E9C-101B-9397-08002B2CF9AE}" pid="14" name="SourceModified">
    <vt:lpwstr/>
  </property>
  <property fmtid="{D5CDD505-2E9C-101B-9397-08002B2CF9AE}" pid="15" name="_dlc_DocIdItemGuid">
    <vt:lpwstr>74d3e8a9-0177-4214-8dfd-7cfdcf50eaf7</vt:lpwstr>
  </property>
</Properties>
</file>