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22028" w:rsidR="00080FA3" w:rsidP="00080FA3" w:rsidRDefault="00080FA3" w14:paraId="26757460" w14:textId="477325EA">
      <w:pPr>
        <w:pStyle w:val="Default"/>
      </w:pPr>
      <w:r>
        <w:t xml:space="preserve">Mr. </w:t>
      </w:r>
      <w:r w:rsidRPr="00B675AC" w:rsidR="00B675AC">
        <w:t xml:space="preserve">Tyler </w:t>
      </w:r>
      <w:proofErr w:type="spellStart"/>
      <w:r w:rsidRPr="00B675AC" w:rsidR="00B675AC">
        <w:t>Glotfelty</w:t>
      </w:r>
      <w:proofErr w:type="spellEnd"/>
    </w:p>
    <w:p w:rsidRPr="00622028" w:rsidR="00080FA3" w:rsidP="00080FA3" w:rsidRDefault="00080FA3" w14:paraId="02FE4F09" w14:textId="77777777">
      <w:pPr>
        <w:pStyle w:val="Default"/>
      </w:pPr>
      <w:r>
        <w:t>Policy Analyst</w:t>
      </w:r>
    </w:p>
    <w:p w:rsidRPr="00622028" w:rsidR="00080FA3" w:rsidP="00080FA3" w:rsidRDefault="00080FA3" w14:paraId="712ABCAC" w14:textId="77777777">
      <w:pPr>
        <w:pStyle w:val="Default"/>
      </w:pPr>
      <w:r>
        <w:t>Office of Information and Regulatory Affairs</w:t>
      </w:r>
    </w:p>
    <w:p w:rsidRPr="00622028" w:rsidR="00080FA3" w:rsidP="00080FA3" w:rsidRDefault="00080FA3" w14:paraId="0F94F95E" w14:textId="77777777">
      <w:pPr>
        <w:pStyle w:val="Default"/>
      </w:pPr>
      <w:r>
        <w:t>Office of Management and Budget</w:t>
      </w:r>
    </w:p>
    <w:p w:rsidRPr="00622028" w:rsidR="00080FA3" w:rsidP="00080FA3" w:rsidRDefault="00080FA3" w14:paraId="612F3E53" w14:textId="77777777">
      <w:pPr>
        <w:pStyle w:val="Default"/>
      </w:pPr>
      <w:r>
        <w:t>Executive Office of the President</w:t>
      </w:r>
    </w:p>
    <w:p w:rsidRPr="00622028" w:rsidR="00080FA3" w:rsidP="00080FA3" w:rsidRDefault="00080FA3" w14:paraId="6C76D250" w14:textId="77777777">
      <w:pPr>
        <w:pStyle w:val="Default"/>
      </w:pPr>
    </w:p>
    <w:p w:rsidR="00080FA3" w:rsidP="00080FA3" w:rsidRDefault="00080FA3" w14:paraId="256F30F0" w14:textId="4126A95A">
      <w:pPr>
        <w:pStyle w:val="Default"/>
      </w:pPr>
      <w:r>
        <w:t xml:space="preserve">Dear Mr. </w:t>
      </w:r>
      <w:proofErr w:type="spellStart"/>
      <w:r w:rsidR="00B675AC">
        <w:t>Glotfelty</w:t>
      </w:r>
      <w:proofErr w:type="spellEnd"/>
      <w:r>
        <w:t>:</w:t>
      </w:r>
    </w:p>
    <w:p w:rsidRPr="00622028" w:rsidR="00080FA3" w:rsidP="00080FA3" w:rsidRDefault="00080FA3" w14:paraId="35B533FD" w14:textId="77777777">
      <w:pPr>
        <w:pStyle w:val="Default"/>
      </w:pPr>
    </w:p>
    <w:p w:rsidR="00080FA3" w:rsidP="00080FA3" w:rsidRDefault="00080FA3" w14:paraId="0583CD66" w14:textId="7CD576DD">
      <w:pPr>
        <w:pStyle w:val="Default"/>
        <w:rPr>
          <w:rFonts w:cstheme="minorHAnsi"/>
        </w:rPr>
      </w:pPr>
      <w:r>
        <w:t>This is a request for Office of Management and Budget (OMB) emergency clearance for a new information collection request (ICR) to enable the Department of Transportation</w:t>
      </w:r>
      <w:r w:rsidR="00D27E57">
        <w:t xml:space="preserve"> (DOT)</w:t>
      </w:r>
      <w:r>
        <w:t xml:space="preserve"> Federal Highway Administration (FHWA) to implement </w:t>
      </w:r>
      <w:r w:rsidRPr="1D6E8FDC">
        <w:rPr>
          <w:rFonts w:eastAsia="Times New Roman"/>
        </w:rPr>
        <w:t xml:space="preserve">the </w:t>
      </w:r>
      <w:r>
        <w:rPr>
          <w:rFonts w:eastAsia="Times New Roman"/>
        </w:rPr>
        <w:t xml:space="preserve">Bridge Investment Program (BIP). </w:t>
      </w:r>
      <w:r>
        <w:t xml:space="preserve">The BIP was authorized in the </w:t>
      </w:r>
      <w:r w:rsidRPr="00C56316" w:rsidR="002B6C2D">
        <w:t xml:space="preserve">Bipartisan Infrastructure Law (BIL), enacted </w:t>
      </w:r>
      <w:r w:rsidR="002B6C2D">
        <w:t xml:space="preserve">as the </w:t>
      </w:r>
      <w:r w:rsidRPr="1D6E8FDC">
        <w:rPr>
          <w:rFonts w:eastAsia="Times New Roman"/>
        </w:rPr>
        <w:t xml:space="preserve">Infrastructure Investment and Jobs Act (Act) (Pub. L. 117-58) on November 15, 2021.  </w:t>
      </w:r>
      <w:r w:rsidRPr="00607281">
        <w:rPr>
          <w:rFonts w:eastAsia="Times New Roman"/>
        </w:rPr>
        <w:t xml:space="preserve">This historic Act </w:t>
      </w:r>
      <w:bookmarkStart w:name="_Hlk100824525" w:id="0"/>
      <w:r w:rsidRPr="00607281">
        <w:rPr>
          <w:rFonts w:eastAsia="Times New Roman"/>
        </w:rPr>
        <w:t xml:space="preserve">is a </w:t>
      </w:r>
      <w:r w:rsidRPr="00607281">
        <w:t>once-in-a-generation opportunity to support transformational investments in our Nation’s transportation infrastructure that will create good jobs, modernize our infrastructure, improve safety, tackle the climate crisis, and invest in communities that have too often been left behind.</w:t>
      </w:r>
      <w:r w:rsidRPr="1D6E8FDC">
        <w:rPr>
          <w:rFonts w:eastAsia="Times New Roman"/>
        </w:rPr>
        <w:t xml:space="preserve"> </w:t>
      </w:r>
      <w:bookmarkEnd w:id="0"/>
      <w:r w:rsidRPr="1D6E8FDC">
        <w:rPr>
          <w:rFonts w:eastAsia="Times New Roman"/>
        </w:rPr>
        <w:t xml:space="preserve">The Act </w:t>
      </w:r>
      <w:r>
        <w:rPr>
          <w:rFonts w:eastAsia="Times New Roman"/>
        </w:rPr>
        <w:t xml:space="preserve">includes the BIP to </w:t>
      </w:r>
      <w:r w:rsidRPr="00052F01">
        <w:rPr>
          <w:rFonts w:cstheme="minorHAnsi"/>
        </w:rPr>
        <w:t xml:space="preserve">improve the safety, efficiency, and reliability of the movement of people and freight by replacing, rehabilitating, preserving, and protecting bridges in the National Bridge Inventory (NBI).  </w:t>
      </w:r>
    </w:p>
    <w:p w:rsidRPr="00622028" w:rsidR="00A00B79" w:rsidP="00080FA3" w:rsidRDefault="00A00B79" w14:paraId="196A7524" w14:textId="77777777">
      <w:pPr>
        <w:pStyle w:val="Default"/>
      </w:pPr>
    </w:p>
    <w:p w:rsidRPr="00622028" w:rsidR="00080FA3" w:rsidP="00080FA3" w:rsidRDefault="00080FA3" w14:paraId="2C6B7575" w14:textId="77777777">
      <w:pPr>
        <w:pStyle w:val="Default"/>
        <w:rPr>
          <w:b/>
          <w:bCs/>
        </w:rPr>
      </w:pPr>
      <w:r w:rsidRPr="780D5139">
        <w:rPr>
          <w:b/>
          <w:bCs/>
        </w:rPr>
        <w:t xml:space="preserve">Critical </w:t>
      </w:r>
      <w:r>
        <w:rPr>
          <w:b/>
          <w:bCs/>
        </w:rPr>
        <w:t>N</w:t>
      </w:r>
      <w:r w:rsidRPr="780D5139">
        <w:rPr>
          <w:b/>
          <w:bCs/>
        </w:rPr>
        <w:t xml:space="preserve">ature of the Information Collection Request </w:t>
      </w:r>
    </w:p>
    <w:p w:rsidRPr="00622028" w:rsidR="00080FA3" w:rsidP="00080FA3" w:rsidRDefault="00080FA3" w14:paraId="3185D435" w14:textId="77777777">
      <w:pPr>
        <w:pStyle w:val="Default"/>
      </w:pPr>
    </w:p>
    <w:p w:rsidR="00A00B79" w:rsidP="00A00B79" w:rsidRDefault="00080FA3" w14:paraId="241CB4FB" w14:textId="3DBA2A3E">
      <w:pPr>
        <w:pStyle w:val="Default"/>
        <w:rPr>
          <w:rFonts w:cstheme="minorHAnsi"/>
        </w:rPr>
      </w:pPr>
      <w:r>
        <w:t xml:space="preserve">The BIP is critical to enabling </w:t>
      </w:r>
      <w:r w:rsidR="00A00B79">
        <w:t xml:space="preserve">States, metropolitan planning organizations, political subdivisions of a State, local units of government, special purpose districts, public authorities with transportation functions, </w:t>
      </w:r>
      <w:proofErr w:type="gramStart"/>
      <w:r w:rsidR="00A00B79">
        <w:t>Federally</w:t>
      </w:r>
      <w:proofErr w:type="gramEnd"/>
      <w:r w:rsidR="00A00B79">
        <w:t xml:space="preserve"> recognized Tribal governments, </w:t>
      </w:r>
      <w:r w:rsidR="002B6C2D">
        <w:t xml:space="preserve">and </w:t>
      </w:r>
      <w:r w:rsidR="00A00B79">
        <w:t xml:space="preserve">Federal land management agencies </w:t>
      </w:r>
      <w:r w:rsidR="00A00B79">
        <w:rPr>
          <w:lang w:val="en"/>
        </w:rPr>
        <w:t>to improve the</w:t>
      </w:r>
      <w:r w:rsidRPr="00052F01" w:rsidR="00A00B79">
        <w:rPr>
          <w:rFonts w:cstheme="minorHAnsi"/>
        </w:rPr>
        <w:t xml:space="preserve"> condition of bridges in poor condition and supporting activities to prevent bridges in fair condition from dropping to poor condition.</w:t>
      </w:r>
    </w:p>
    <w:p w:rsidR="00A00B79" w:rsidP="00080FA3" w:rsidRDefault="00A00B79" w14:paraId="1989D285" w14:textId="77777777">
      <w:pPr>
        <w:pStyle w:val="Default"/>
      </w:pPr>
    </w:p>
    <w:p w:rsidR="002B6C2D" w:rsidP="00080FA3" w:rsidRDefault="00080FA3" w14:paraId="7D9FAB35" w14:textId="49BC5739">
      <w:pPr>
        <w:pStyle w:val="Default"/>
      </w:pPr>
      <w:r>
        <w:t xml:space="preserve">The statutory requirements of the </w:t>
      </w:r>
      <w:r w:rsidR="002B6C2D">
        <w:t>BIP</w:t>
      </w:r>
      <w:r>
        <w:t xml:space="preserve"> are found under </w:t>
      </w:r>
      <w:r w:rsidR="002B6C2D">
        <w:t>s</w:t>
      </w:r>
      <w:r w:rsidRPr="00C56316" w:rsidR="002B6C2D">
        <w:t>ection</w:t>
      </w:r>
      <w:r w:rsidR="002B6C2D">
        <w:t xml:space="preserve"> 1118 </w:t>
      </w:r>
      <w:r w:rsidRPr="00C56316" w:rsidR="002B6C2D">
        <w:t xml:space="preserve">of </w:t>
      </w:r>
      <w:bookmarkStart w:name="_Hlk103604205" w:id="1"/>
      <w:r w:rsidRPr="00C56316" w:rsidR="002B6C2D">
        <w:t xml:space="preserve">the </w:t>
      </w:r>
      <w:r w:rsidR="002B6C2D">
        <w:t>BIL</w:t>
      </w:r>
      <w:bookmarkEnd w:id="1"/>
      <w:r w:rsidR="002B6C2D">
        <w:t xml:space="preserve"> and codified at 23 U.S.C. § 124. </w:t>
      </w:r>
      <w:r w:rsidR="00F777FA">
        <w:t>In BIL, Congress authorized $12.6 billion for Fisca</w:t>
      </w:r>
      <w:r w:rsidR="00F777FA">
        <w:rPr>
          <w:rFonts w:eastAsia="Times New Roman"/>
        </w:rPr>
        <w:t xml:space="preserve">l Years (FY) 2022 through 2026 to provide financial assistance to BIP eligible projects. For FY 2022, a </w:t>
      </w:r>
      <w:r w:rsidR="002B6C2D">
        <w:t>total of $2.36 billion is available for awards</w:t>
      </w:r>
      <w:r w:rsidR="00F777FA">
        <w:t xml:space="preserve"> under three funding categories: Planning; Bridge Projects; and Large Bridge Projects. </w:t>
      </w:r>
      <w:r w:rsidR="002B6C2D">
        <w:t>Of th</w:t>
      </w:r>
      <w:r w:rsidR="00F777FA">
        <w:t xml:space="preserve">e $2.36 billion, </w:t>
      </w:r>
      <w:r w:rsidR="002B6C2D">
        <w:t>$20 million is available for Planning projects, and $2.34 is available for Large Bridge Projects and Bridge Project</w:t>
      </w:r>
      <w:r w:rsidR="00F777FA">
        <w:t xml:space="preserve">s. Considerations to make funds available under the BIP include but are </w:t>
      </w:r>
      <w:proofErr w:type="spellStart"/>
      <w:r w:rsidR="00F777FA">
        <w:t>no</w:t>
      </w:r>
      <w:proofErr w:type="spellEnd"/>
      <w:r w:rsidR="00F777FA">
        <w:t xml:space="preserve"> limited to: (1) the extent to which a bridge without BIP assistance would fall into or remain in poor condition; (2) does not meet current geometric design standards; and (3) does not meet current seismic design standards.</w:t>
      </w:r>
      <w:r w:rsidR="00AE0E8F">
        <w:t xml:space="preserve"> In addition, the BIL requires the Secretary to provide an application template for Bridge Projects. </w:t>
      </w:r>
      <w:r w:rsidR="00D27E57">
        <w:t xml:space="preserve">Due to the Administration’s tight deadline to issue the NOFO and begin making awards in FY 2022, </w:t>
      </w:r>
      <w:r w:rsidR="00E44E6F">
        <w:t xml:space="preserve">DOT </w:t>
      </w:r>
      <w:r w:rsidR="00D27E57">
        <w:t xml:space="preserve">also developed </w:t>
      </w:r>
      <w:r w:rsidR="00E44E6F">
        <w:t>application templates for Planning</w:t>
      </w:r>
      <w:r w:rsidR="00D27E57">
        <w:t xml:space="preserve"> grants and Large Bridge Project grants. The templates are designed to help streamline the application process and submission of the information requested in the NOFO.</w:t>
      </w:r>
    </w:p>
    <w:p w:rsidR="002B6C2D" w:rsidP="00080FA3" w:rsidRDefault="002B6C2D" w14:paraId="27277E26" w14:textId="77777777">
      <w:pPr>
        <w:pStyle w:val="Default"/>
      </w:pPr>
    </w:p>
    <w:p w:rsidRPr="00622028" w:rsidR="00080FA3" w:rsidP="00080FA3" w:rsidRDefault="00080FA3" w14:paraId="6C426CD7" w14:textId="77777777">
      <w:pPr>
        <w:rPr>
          <w:rFonts w:ascii="Times New Roman" w:hAnsi="Times New Roman"/>
          <w:b/>
          <w:bCs/>
          <w:szCs w:val="24"/>
        </w:rPr>
      </w:pPr>
      <w:r w:rsidRPr="780D5139">
        <w:rPr>
          <w:rFonts w:ascii="Times New Roman" w:hAnsi="Times New Roman"/>
          <w:b/>
          <w:bCs/>
          <w:szCs w:val="24"/>
        </w:rPr>
        <w:t>Need for Emergency Approval</w:t>
      </w:r>
    </w:p>
    <w:p w:rsidR="00080FA3" w:rsidP="00080FA3" w:rsidRDefault="00080FA3" w14:paraId="4B566087" w14:textId="77777777">
      <w:pPr>
        <w:pStyle w:val="Default"/>
        <w:rPr>
          <w:color w:val="auto"/>
        </w:rPr>
      </w:pPr>
    </w:p>
    <w:p w:rsidR="007C4EA5" w:rsidP="00080FA3" w:rsidRDefault="007C4EA5" w14:paraId="39E6FB7F" w14:textId="4377520B">
      <w:pPr>
        <w:pStyle w:val="Default"/>
        <w:rPr>
          <w:color w:val="auto"/>
        </w:rPr>
      </w:pPr>
      <w:r>
        <w:rPr>
          <w:color w:val="auto"/>
        </w:rPr>
        <w:t xml:space="preserve">The issuance of the FY 2022 BIP NOFO is a high priority for the Administration so work can begin </w:t>
      </w:r>
      <w:r w:rsidR="00AE0E8F">
        <w:rPr>
          <w:color w:val="auto"/>
        </w:rPr>
        <w:t xml:space="preserve">as soon as possible </w:t>
      </w:r>
      <w:r>
        <w:rPr>
          <w:color w:val="auto"/>
        </w:rPr>
        <w:t>to modernize bridges</w:t>
      </w:r>
      <w:r w:rsidR="003D354B">
        <w:rPr>
          <w:color w:val="auto"/>
        </w:rPr>
        <w:t xml:space="preserve"> our Nation’s ageing bridge infrastructure</w:t>
      </w:r>
      <w:r>
        <w:rPr>
          <w:color w:val="auto"/>
        </w:rPr>
        <w:t xml:space="preserve"> to meet current geometric design standards and the truck load requirements of the national and regional transportation networks they serv</w:t>
      </w:r>
      <w:r w:rsidR="003D354B">
        <w:rPr>
          <w:color w:val="auto"/>
        </w:rPr>
        <w:t>e</w:t>
      </w:r>
      <w:r w:rsidR="00AE0E8F">
        <w:rPr>
          <w:color w:val="auto"/>
        </w:rPr>
        <w:t>. BIP awards will</w:t>
      </w:r>
      <w:r w:rsidR="003D354B">
        <w:rPr>
          <w:color w:val="auto"/>
        </w:rPr>
        <w:t xml:space="preserve"> </w:t>
      </w:r>
      <w:r w:rsidRPr="00471CCD" w:rsidR="003D354B">
        <w:t xml:space="preserve">deliver equitable transportation options and access, </w:t>
      </w:r>
      <w:r w:rsidR="003D354B">
        <w:t xml:space="preserve">promote competitiveness of the U.S. economy, and improve job opportunities. </w:t>
      </w:r>
      <w:r w:rsidR="00AE0E8F">
        <w:t xml:space="preserve">The Administration set an FY 2022 NOFO issuance date of early June, and the </w:t>
      </w:r>
      <w:r w:rsidR="003D354B">
        <w:t>FHWA has worked in d</w:t>
      </w:r>
      <w:r w:rsidR="00AE0E8F">
        <w:t xml:space="preserve">iligently since the enactment of </w:t>
      </w:r>
      <w:r w:rsidR="00AE0E8F">
        <w:lastRenderedPageBreak/>
        <w:t>BIL to develop the NOFO and a</w:t>
      </w:r>
      <w:r w:rsidR="003D354B">
        <w:t xml:space="preserve">pplication templates </w:t>
      </w:r>
      <w:r w:rsidR="00AE0E8F">
        <w:t>to</w:t>
      </w:r>
      <w:r w:rsidR="003D354B">
        <w:t xml:space="preserve"> implement the BIP as quickly as possible. </w:t>
      </w:r>
      <w:r w:rsidR="00D27E57">
        <w:t xml:space="preserve">The DOT is now ready to issue the NOFO on June 10. </w:t>
      </w:r>
      <w:r>
        <w:rPr>
          <w:color w:val="auto"/>
        </w:rPr>
        <w:t xml:space="preserve"> </w:t>
      </w:r>
    </w:p>
    <w:p w:rsidR="007C4EA5" w:rsidP="00080FA3" w:rsidRDefault="007C4EA5" w14:paraId="39618DC0" w14:textId="77777777">
      <w:pPr>
        <w:pStyle w:val="Default"/>
        <w:rPr>
          <w:color w:val="auto"/>
        </w:rPr>
      </w:pPr>
    </w:p>
    <w:p w:rsidRPr="00622028" w:rsidR="00080FA3" w:rsidP="00080FA3" w:rsidRDefault="00080FA3" w14:paraId="4BC1EE96" w14:textId="69F43E6F">
      <w:pPr>
        <w:pStyle w:val="Default"/>
        <w:rPr>
          <w:color w:val="auto"/>
        </w:rPr>
      </w:pPr>
      <w:r w:rsidRPr="1D6E8FDC">
        <w:rPr>
          <w:color w:val="auto"/>
        </w:rPr>
        <w:t xml:space="preserve">The use of normal clearance procedures for ICR approval will prevent </w:t>
      </w:r>
      <w:r>
        <w:rPr>
          <w:color w:val="auto"/>
        </w:rPr>
        <w:t>the Department</w:t>
      </w:r>
      <w:r w:rsidRPr="1D6E8FDC">
        <w:rPr>
          <w:color w:val="auto"/>
        </w:rPr>
        <w:t xml:space="preserve"> from meeting the </w:t>
      </w:r>
      <w:r w:rsidR="00607281">
        <w:rPr>
          <w:color w:val="auto"/>
        </w:rPr>
        <w:t xml:space="preserve">Administration’s </w:t>
      </w:r>
      <w:r w:rsidRPr="1D6E8FDC">
        <w:rPr>
          <w:color w:val="auto"/>
        </w:rPr>
        <w:t xml:space="preserve">deadline. </w:t>
      </w:r>
      <w:r>
        <w:t xml:space="preserve">If the Department does not receive emergency approval for this ICR, implementation of the </w:t>
      </w:r>
      <w:r w:rsidR="00607281">
        <w:t xml:space="preserve">BIP </w:t>
      </w:r>
      <w:r>
        <w:t xml:space="preserve">will be delayed.  </w:t>
      </w:r>
    </w:p>
    <w:p w:rsidRPr="00A2512B" w:rsidR="00080FA3" w:rsidP="00080FA3" w:rsidRDefault="00080FA3" w14:paraId="69EADEA2" w14:textId="77777777">
      <w:pPr>
        <w:pStyle w:val="Default"/>
      </w:pPr>
    </w:p>
    <w:p w:rsidRPr="00622028" w:rsidR="00080FA3" w:rsidP="00080FA3" w:rsidRDefault="00080FA3" w14:paraId="726BED80" w14:textId="7AE7BEBC">
      <w:pPr>
        <w:pStyle w:val="Default"/>
      </w:pPr>
      <w:r>
        <w:t>Due to the urgency of executing the newly enacted Act, the Department respectfully ask OMB for emergency approval of the ICR within 30 days of receipt of this letter.</w:t>
      </w:r>
    </w:p>
    <w:p w:rsidRPr="00622028" w:rsidR="00080FA3" w:rsidP="00080FA3" w:rsidRDefault="00080FA3" w14:paraId="318342FC" w14:textId="77777777">
      <w:pPr>
        <w:rPr>
          <w:rFonts w:ascii="Times New Roman" w:hAnsi="Times New Roman"/>
          <w:szCs w:val="24"/>
        </w:rPr>
      </w:pPr>
    </w:p>
    <w:p w:rsidR="00080FA3" w:rsidP="00080FA3" w:rsidRDefault="00080FA3" w14:paraId="13AD7E37" w14:textId="7B62CCEB">
      <w:pPr>
        <w:rPr>
          <w:rFonts w:ascii="Times New Roman" w:hAnsi="Times New Roman"/>
          <w:szCs w:val="24"/>
        </w:rPr>
      </w:pPr>
      <w:r w:rsidRPr="0036ABB7">
        <w:rPr>
          <w:rFonts w:ascii="Times New Roman" w:hAnsi="Times New Roman"/>
          <w:szCs w:val="24"/>
        </w:rPr>
        <w:t xml:space="preserve">If you have any questions regarding this request, please contact </w:t>
      </w:r>
      <w:r w:rsidR="00B03681">
        <w:rPr>
          <w:rFonts w:ascii="Times New Roman" w:hAnsi="Times New Roman"/>
          <w:szCs w:val="24"/>
        </w:rPr>
        <w:t xml:space="preserve">Douglas Blades, Senior Bridge Programs Engineer, </w:t>
      </w:r>
      <w:hyperlink w:history="1" r:id="rId8">
        <w:r w:rsidRPr="00EC7B59" w:rsidR="00B03681">
          <w:rPr>
            <w:rStyle w:val="Hyperlink"/>
            <w:rFonts w:ascii="Times New Roman" w:hAnsi="Times New Roman"/>
            <w:szCs w:val="24"/>
          </w:rPr>
          <w:t>douglas.blades@dot.gov</w:t>
        </w:r>
      </w:hyperlink>
      <w:r>
        <w:rPr>
          <w:rFonts w:ascii="Times New Roman" w:hAnsi="Times New Roman"/>
          <w:szCs w:val="24"/>
        </w:rPr>
        <w:t>.</w:t>
      </w:r>
    </w:p>
    <w:p w:rsidR="00080FA3" w:rsidP="00080FA3" w:rsidRDefault="00080FA3" w14:paraId="01CFAE18" w14:textId="77777777">
      <w:pPr>
        <w:rPr>
          <w:rFonts w:ascii="Times New Roman" w:hAnsi="Times New Roman"/>
          <w:szCs w:val="24"/>
        </w:rPr>
      </w:pPr>
    </w:p>
    <w:p w:rsidR="00080FA3" w:rsidP="00080FA3" w:rsidRDefault="00080FA3" w14:paraId="17568558" w14:textId="77777777">
      <w:pPr>
        <w:rPr>
          <w:rFonts w:ascii="Times New Roman" w:hAnsi="Times New Roman"/>
          <w:szCs w:val="24"/>
        </w:rPr>
      </w:pPr>
      <w:r w:rsidRPr="780D5139">
        <w:rPr>
          <w:rFonts w:ascii="Times New Roman" w:hAnsi="Times New Roman"/>
          <w:szCs w:val="24"/>
        </w:rPr>
        <w:t xml:space="preserve">Sincerely, </w:t>
      </w:r>
    </w:p>
    <w:p w:rsidR="00080FA3" w:rsidP="00080FA3" w:rsidRDefault="00080FA3" w14:paraId="6D464467" w14:textId="77777777">
      <w:pPr>
        <w:rPr>
          <w:rFonts w:ascii="Times New Roman" w:hAnsi="Times New Roman"/>
          <w:szCs w:val="24"/>
        </w:rPr>
      </w:pPr>
    </w:p>
    <w:p w:rsidR="00080FA3" w:rsidP="00080FA3" w:rsidRDefault="00B03681" w14:paraId="3BBB268B" w14:textId="625885D3">
      <w:pPr>
        <w:rPr>
          <w:rFonts w:ascii="Times New Roman" w:hAnsi="Times New Roman"/>
          <w:szCs w:val="24"/>
        </w:rPr>
      </w:pPr>
      <w:r>
        <w:rPr>
          <w:rFonts w:ascii="Times New Roman" w:hAnsi="Times New Roman"/>
          <w:szCs w:val="24"/>
        </w:rPr>
        <w:t>Hari Kalla</w:t>
      </w:r>
    </w:p>
    <w:p w:rsidR="00B03681" w:rsidP="00080FA3" w:rsidRDefault="00B03681" w14:paraId="7912C8D0" w14:textId="0C3960E5">
      <w:pPr>
        <w:rPr>
          <w:rFonts w:ascii="Times New Roman" w:hAnsi="Times New Roman"/>
          <w:szCs w:val="24"/>
        </w:rPr>
      </w:pPr>
      <w:r>
        <w:rPr>
          <w:rFonts w:ascii="Times New Roman" w:hAnsi="Times New Roman"/>
          <w:szCs w:val="24"/>
        </w:rPr>
        <w:t>Associate Administrator for Infrastructure</w:t>
      </w:r>
    </w:p>
    <w:p w:rsidR="00B03681" w:rsidP="00080FA3" w:rsidRDefault="00B03681" w14:paraId="1046F814" w14:textId="4BDD1A72">
      <w:pPr>
        <w:rPr>
          <w:rFonts w:ascii="Times New Roman" w:hAnsi="Times New Roman"/>
          <w:szCs w:val="24"/>
        </w:rPr>
      </w:pPr>
      <w:r>
        <w:rPr>
          <w:rFonts w:ascii="Times New Roman" w:hAnsi="Times New Roman"/>
          <w:szCs w:val="24"/>
        </w:rPr>
        <w:t>Federal Highway Administration</w:t>
      </w:r>
    </w:p>
    <w:p w:rsidR="00080FA3" w:rsidP="00080FA3" w:rsidRDefault="00080FA3" w14:paraId="15C2778B" w14:textId="77777777">
      <w:pPr>
        <w:rPr>
          <w:rFonts w:ascii="Times New Roman" w:hAnsi="Times New Roman"/>
          <w:szCs w:val="24"/>
        </w:rPr>
      </w:pPr>
    </w:p>
    <w:p w:rsidR="00080FA3" w:rsidP="00080FA3" w:rsidRDefault="00080FA3" w14:paraId="41AC934B" w14:textId="77777777"/>
    <w:p w:rsidRPr="00585740" w:rsidR="00080FA3" w:rsidP="00080FA3" w:rsidRDefault="00080FA3" w14:paraId="149B7E9D" w14:textId="77777777">
      <w:pPr>
        <w:tabs>
          <w:tab w:val="left" w:pos="90"/>
          <w:tab w:val="left" w:pos="1440"/>
          <w:tab w:val="left" w:pos="2880"/>
          <w:tab w:val="left" w:pos="4320"/>
          <w:tab w:val="left" w:pos="5760"/>
          <w:tab w:val="left" w:pos="7290"/>
        </w:tabs>
        <w:ind w:left="-187" w:right="-907"/>
      </w:pPr>
    </w:p>
    <w:p w:rsidR="006C42F0" w:rsidRDefault="006C42F0" w14:paraId="63E208BE" w14:textId="77777777"/>
    <w:sectPr w:rsidR="006C42F0" w:rsidSect="0067749A">
      <w:headerReference w:type="default" r:id="rId9"/>
      <w:footnotePr>
        <w:numFmt w:val="lowerRoman"/>
      </w:footnotePr>
      <w:endnotePr>
        <w:numFmt w:val="decimal"/>
      </w:endnotePr>
      <w:pgSz w:w="12240" w:h="15840"/>
      <w:pgMar w:top="720" w:right="720" w:bottom="1440" w:left="1440" w:header="1080" w:footer="1080" w:gutter="0"/>
      <w:paperSrc w:first="15" w:other="15"/>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FF6ED" w14:textId="77777777" w:rsidR="00791C8D" w:rsidRDefault="00791C8D" w:rsidP="002B6C2D">
      <w:r>
        <w:separator/>
      </w:r>
    </w:p>
  </w:endnote>
  <w:endnote w:type="continuationSeparator" w:id="0">
    <w:p w14:paraId="25A86910" w14:textId="77777777" w:rsidR="00791C8D" w:rsidRDefault="00791C8D" w:rsidP="002B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panose1 w:val="02020603050405020304"/>
    <w:charset w:val="00"/>
    <w:family w:val="roman"/>
    <w:pitch w:val="variable"/>
    <w:sig w:usb0="00000007" w:usb1="00000000" w:usb2="00000000" w:usb3="00000000" w:csb0="00000013"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DE35A" w14:textId="77777777" w:rsidR="00791C8D" w:rsidRDefault="00791C8D" w:rsidP="002B6C2D">
      <w:r>
        <w:separator/>
      </w:r>
    </w:p>
  </w:footnote>
  <w:footnote w:type="continuationSeparator" w:id="0">
    <w:p w14:paraId="7829444D" w14:textId="77777777" w:rsidR="00791C8D" w:rsidRDefault="00791C8D" w:rsidP="002B6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502C3" w14:textId="77777777" w:rsidR="000E441E" w:rsidRDefault="00607281">
    <w:pPr>
      <w:pStyle w:val="Header"/>
      <w:jc w:val="right"/>
    </w:pPr>
    <w:r>
      <w:fldChar w:fldCharType="begin"/>
    </w:r>
    <w:r>
      <w:instrText>PAGE</w:instrText>
    </w:r>
    <w:r>
      <w:fldChar w:fldCharType="separate"/>
    </w:r>
    <w:r>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C651A9"/>
    <w:multiLevelType w:val="hybridMultilevel"/>
    <w:tmpl w:val="27FA21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FA3"/>
    <w:rsid w:val="00080FA3"/>
    <w:rsid w:val="002B6C2D"/>
    <w:rsid w:val="003D354B"/>
    <w:rsid w:val="00573249"/>
    <w:rsid w:val="00607281"/>
    <w:rsid w:val="006C42F0"/>
    <w:rsid w:val="00791C8D"/>
    <w:rsid w:val="007C4EA5"/>
    <w:rsid w:val="00A00B79"/>
    <w:rsid w:val="00AE0E8F"/>
    <w:rsid w:val="00B03681"/>
    <w:rsid w:val="00B675AC"/>
    <w:rsid w:val="00D27E57"/>
    <w:rsid w:val="00E44E6F"/>
    <w:rsid w:val="00E903AD"/>
    <w:rsid w:val="00F77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B761D"/>
  <w15:chartTrackingRefBased/>
  <w15:docId w15:val="{3FA70C0D-02D8-4F2D-BEE1-4BE4AA58F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FA3"/>
    <w:pPr>
      <w:spacing w:after="0" w:line="240" w:lineRule="auto"/>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80FA3"/>
    <w:pPr>
      <w:tabs>
        <w:tab w:val="center" w:pos="4320"/>
        <w:tab w:val="right" w:pos="8640"/>
      </w:tabs>
    </w:pPr>
  </w:style>
  <w:style w:type="character" w:customStyle="1" w:styleId="HeaderChar">
    <w:name w:val="Header Char"/>
    <w:basedOn w:val="DefaultParagraphFont"/>
    <w:link w:val="Header"/>
    <w:rsid w:val="00080FA3"/>
    <w:rPr>
      <w:rFonts w:ascii="CG Times" w:eastAsia="Times New Roman" w:hAnsi="CG Times" w:cs="Times New Roman"/>
      <w:sz w:val="24"/>
      <w:szCs w:val="20"/>
    </w:rPr>
  </w:style>
  <w:style w:type="paragraph" w:customStyle="1" w:styleId="Default">
    <w:name w:val="Default"/>
    <w:rsid w:val="00080FA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00B79"/>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locked/>
    <w:rsid w:val="00A00B79"/>
  </w:style>
  <w:style w:type="character" w:styleId="CommentReference">
    <w:name w:val="annotation reference"/>
    <w:basedOn w:val="DefaultParagraphFont"/>
    <w:uiPriority w:val="99"/>
    <w:rsid w:val="002B6C2D"/>
    <w:rPr>
      <w:sz w:val="16"/>
      <w:szCs w:val="16"/>
    </w:rPr>
  </w:style>
  <w:style w:type="paragraph" w:styleId="CommentText">
    <w:name w:val="annotation text"/>
    <w:basedOn w:val="Normal"/>
    <w:link w:val="CommentTextChar"/>
    <w:uiPriority w:val="99"/>
    <w:rsid w:val="002B6C2D"/>
    <w:rPr>
      <w:rFonts w:ascii="Times New Roman" w:hAnsi="Times New Roman"/>
      <w:sz w:val="20"/>
    </w:rPr>
  </w:style>
  <w:style w:type="character" w:customStyle="1" w:styleId="CommentTextChar">
    <w:name w:val="Comment Text Char"/>
    <w:basedOn w:val="DefaultParagraphFont"/>
    <w:link w:val="CommentText"/>
    <w:uiPriority w:val="99"/>
    <w:rsid w:val="002B6C2D"/>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2B6C2D"/>
    <w:rPr>
      <w:rFonts w:ascii="Times New Roman" w:hAnsi="Times New Roman"/>
      <w:sz w:val="20"/>
    </w:rPr>
  </w:style>
  <w:style w:type="character" w:customStyle="1" w:styleId="FootnoteTextChar">
    <w:name w:val="Footnote Text Char"/>
    <w:basedOn w:val="DefaultParagraphFont"/>
    <w:link w:val="FootnoteText"/>
    <w:uiPriority w:val="99"/>
    <w:rsid w:val="002B6C2D"/>
    <w:rPr>
      <w:rFonts w:ascii="Times New Roman" w:eastAsia="Times New Roman" w:hAnsi="Times New Roman" w:cs="Times New Roman"/>
      <w:sz w:val="20"/>
      <w:szCs w:val="20"/>
    </w:rPr>
  </w:style>
  <w:style w:type="character" w:styleId="FootnoteReference">
    <w:name w:val="footnote reference"/>
    <w:basedOn w:val="DefaultParagraphFont"/>
    <w:rsid w:val="002B6C2D"/>
    <w:rPr>
      <w:vertAlign w:val="superscript"/>
    </w:rPr>
  </w:style>
  <w:style w:type="paragraph" w:styleId="CommentSubject">
    <w:name w:val="annotation subject"/>
    <w:basedOn w:val="CommentText"/>
    <w:next w:val="CommentText"/>
    <w:link w:val="CommentSubjectChar"/>
    <w:uiPriority w:val="99"/>
    <w:semiHidden/>
    <w:unhideWhenUsed/>
    <w:rsid w:val="00607281"/>
    <w:rPr>
      <w:rFonts w:ascii="CG Times" w:hAnsi="CG Times"/>
      <w:b/>
      <w:bCs/>
    </w:rPr>
  </w:style>
  <w:style w:type="character" w:customStyle="1" w:styleId="CommentSubjectChar">
    <w:name w:val="Comment Subject Char"/>
    <w:basedOn w:val="CommentTextChar"/>
    <w:link w:val="CommentSubject"/>
    <w:uiPriority w:val="99"/>
    <w:semiHidden/>
    <w:rsid w:val="00607281"/>
    <w:rPr>
      <w:rFonts w:ascii="CG Times" w:eastAsia="Times New Roman" w:hAnsi="CG Times" w:cs="Times New Roman"/>
      <w:b/>
      <w:bCs/>
      <w:sz w:val="20"/>
      <w:szCs w:val="20"/>
    </w:rPr>
  </w:style>
  <w:style w:type="character" w:styleId="Hyperlink">
    <w:name w:val="Hyperlink"/>
    <w:basedOn w:val="DefaultParagraphFont"/>
    <w:uiPriority w:val="99"/>
    <w:unhideWhenUsed/>
    <w:rsid w:val="00B03681"/>
    <w:rPr>
      <w:color w:val="0563C1" w:themeColor="hyperlink"/>
      <w:u w:val="single"/>
    </w:rPr>
  </w:style>
  <w:style w:type="character" w:styleId="UnresolvedMention">
    <w:name w:val="Unresolved Mention"/>
    <w:basedOn w:val="DefaultParagraphFont"/>
    <w:uiPriority w:val="99"/>
    <w:semiHidden/>
    <w:unhideWhenUsed/>
    <w:rsid w:val="00B03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uglas.blades@dot.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84CB6-9EC2-49EF-8A3A-B478DB750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649</Words>
  <Characters>3702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 Shaw</dc:creator>
  <cp:keywords/>
  <dc:description/>
  <cp:lastModifiedBy>Howell, Michael (FHWA)</cp:lastModifiedBy>
  <cp:revision>2</cp:revision>
  <dcterms:created xsi:type="dcterms:W3CDTF">2022-06-10T15:03:00Z</dcterms:created>
  <dcterms:modified xsi:type="dcterms:W3CDTF">2022-06-10T15:03:00Z</dcterms:modified>
</cp:coreProperties>
</file>