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7E8" w:rsidP="002957E8" w:rsidRDefault="005E3C83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:rsidRDefault="00E201C6" w14:paraId="22129EE4" w14:textId="55739E89">
      <w:pPr>
        <w:jc w:val="center"/>
        <w:rPr>
          <w:b/>
        </w:rPr>
      </w:pPr>
    </w:p>
    <w:p w:rsidR="00E201C6" w:rsidP="00E201C6" w:rsidRDefault="00E201C6" w14:paraId="3F664401" w14:textId="010514A8">
      <w:pPr>
        <w:autoSpaceDE w:val="0"/>
        <w:autoSpaceDN w:val="0"/>
        <w:adjustRightInd w:val="0"/>
        <w:jc w:val="center"/>
        <w:rPr>
          <w:b/>
          <w:caps/>
        </w:rPr>
      </w:pPr>
      <w:bookmarkStart w:name="_Hlk59516661" w:id="0"/>
      <w:r w:rsidRPr="00896E33">
        <w:rPr>
          <w:b/>
          <w:bCs/>
        </w:rPr>
        <w:t>REQUIREMENT FOR NEGATIVE PRE-DEPARTURE COVID-19 TEST</w:t>
      </w:r>
      <w:r>
        <w:rPr>
          <w:b/>
          <w:bCs/>
        </w:rPr>
        <w:t xml:space="preserve"> </w:t>
      </w:r>
      <w:r w:rsidRPr="00896E33">
        <w:rPr>
          <w:b/>
          <w:bCs/>
        </w:rPr>
        <w:t>RESULT</w:t>
      </w:r>
      <w:r>
        <w:rPr>
          <w:b/>
          <w:bCs/>
        </w:rPr>
        <w:t xml:space="preserve"> OR DOCUMENTATION OF RECOVERY FROM COVID-19 </w:t>
      </w:r>
      <w:r w:rsidRPr="00896E33">
        <w:rPr>
          <w:b/>
          <w:bCs/>
        </w:rPr>
        <w:t xml:space="preserve">FOR ALL AIRLINE OR OTHER AIRCRAFT PASSENGERS ARRIVING </w:t>
      </w:r>
      <w:proofErr w:type="gramStart"/>
      <w:r w:rsidRPr="00896E33">
        <w:rPr>
          <w:b/>
          <w:bCs/>
        </w:rPr>
        <w:t>INTO</w:t>
      </w:r>
      <w:proofErr w:type="gramEnd"/>
      <w:r w:rsidRPr="00896E33">
        <w:rPr>
          <w:b/>
          <w:bCs/>
        </w:rPr>
        <w:t xml:space="preserve"> THE UNITED STATES </w:t>
      </w:r>
      <w:r w:rsidRPr="00896E33">
        <w:rPr>
          <w:b/>
          <w:caps/>
        </w:rPr>
        <w:t>from any foreign country</w:t>
      </w:r>
      <w:r>
        <w:rPr>
          <w:b/>
          <w:caps/>
        </w:rPr>
        <w:t xml:space="preserve"> </w:t>
      </w:r>
    </w:p>
    <w:p w:rsidR="00462EB1" w:rsidP="00E201C6" w:rsidRDefault="00462EB1" w14:paraId="3AF61CCA" w14:textId="77777777">
      <w:pPr>
        <w:autoSpaceDE w:val="0"/>
        <w:autoSpaceDN w:val="0"/>
        <w:adjustRightInd w:val="0"/>
        <w:jc w:val="center"/>
        <w:rPr>
          <w:b/>
          <w:caps/>
        </w:rPr>
      </w:pPr>
    </w:p>
    <w:p w:rsidR="00E201C6" w:rsidP="00E201C6" w:rsidRDefault="00E201C6" w14:paraId="514BB686" w14:textId="77777777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AND </w:t>
      </w:r>
    </w:p>
    <w:p w:rsidRPr="00B90C2F" w:rsidR="00E201C6" w:rsidP="00E201C6" w:rsidRDefault="00E201C6" w14:paraId="60A61C8D" w14:textId="77777777">
      <w:pPr>
        <w:pStyle w:val="Heading1"/>
        <w:tabs>
          <w:tab w:val="left" w:pos="8010"/>
        </w:tabs>
        <w:jc w:val="center"/>
        <w:rPr>
          <w:kern w:val="0"/>
          <w:szCs w:val="24"/>
        </w:rPr>
      </w:pPr>
      <w:bookmarkStart w:name="_Hlk86677824" w:id="1"/>
      <w:r w:rsidRPr="00B90C2F">
        <w:rPr>
          <w:kern w:val="0"/>
          <w:szCs w:val="24"/>
        </w:rPr>
        <w:t xml:space="preserve">REQUIREMENT FOR PROOF OF COVID-19 VACCINATION FOR </w:t>
      </w:r>
      <w:r>
        <w:rPr>
          <w:kern w:val="0"/>
          <w:szCs w:val="24"/>
        </w:rPr>
        <w:t>NON</w:t>
      </w:r>
      <w:r w:rsidRPr="00B90C2F">
        <w:rPr>
          <w:kern w:val="0"/>
          <w:szCs w:val="24"/>
        </w:rPr>
        <w:t xml:space="preserve">CITIZEN, NONIMMIGRANT AIR PASSENGERS ARRIVING </w:t>
      </w:r>
      <w:proofErr w:type="gramStart"/>
      <w:r w:rsidRPr="00B90C2F">
        <w:rPr>
          <w:kern w:val="0"/>
          <w:szCs w:val="24"/>
        </w:rPr>
        <w:t>INTO</w:t>
      </w:r>
      <w:proofErr w:type="gramEnd"/>
      <w:r w:rsidRPr="00B90C2F">
        <w:rPr>
          <w:kern w:val="0"/>
          <w:szCs w:val="24"/>
        </w:rPr>
        <w:t xml:space="preserve"> THE UNITED STATES FROM A FOREIGN COUNTRY</w:t>
      </w:r>
    </w:p>
    <w:bookmarkEnd w:id="0"/>
    <w:bookmarkEnd w:id="1"/>
    <w:p w:rsidRPr="00C61FA5" w:rsidR="005E3C83" w:rsidP="002957E8" w:rsidRDefault="005E3C83" w14:paraId="73AB4509" w14:textId="178893A6">
      <w:pPr>
        <w:jc w:val="center"/>
        <w:rPr>
          <w:b/>
        </w:rPr>
      </w:pPr>
    </w:p>
    <w:p w:rsidRPr="00C61FA5" w:rsidR="002957E8" w:rsidP="002957E8" w:rsidRDefault="002957E8" w14:paraId="72679E7C" w14:textId="0A98D779">
      <w:pPr>
        <w:jc w:val="center"/>
        <w:rPr>
          <w:b/>
        </w:rPr>
      </w:pPr>
      <w:r w:rsidRPr="00C61FA5">
        <w:rPr>
          <w:b/>
        </w:rPr>
        <w:t>(OMB Control No. 0920-</w:t>
      </w:r>
      <w:r w:rsidR="00E201C6">
        <w:rPr>
          <w:b/>
        </w:rPr>
        <w:t>1318</w:t>
      </w:r>
      <w:r w:rsidRPr="00C61FA5">
        <w:rPr>
          <w:b/>
        </w:rPr>
        <w:t>)</w:t>
      </w:r>
    </w:p>
    <w:p w:rsidRPr="00285FD5" w:rsidR="000C6D41" w:rsidP="000C6D41" w:rsidRDefault="000C6D41" w14:paraId="158EEA6C" w14:textId="1A79BCD7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B7522E">
        <w:rPr>
          <w:b/>
        </w:rPr>
        <w:t>06/30/2022</w:t>
      </w:r>
    </w:p>
    <w:p w:rsidR="00021450" w:rsidP="00021450" w:rsidRDefault="00021450" w14:paraId="2A58DA3B" w14:textId="77777777">
      <w:pPr>
        <w:rPr>
          <w:rFonts w:eastAsiaTheme="minorEastAsia"/>
          <w:b/>
        </w:rPr>
      </w:pPr>
    </w:p>
    <w:p w:rsidR="00021450" w:rsidP="00021450" w:rsidRDefault="00021450" w14:paraId="2DB8D69C" w14:textId="77777777">
      <w:pPr>
        <w:rPr>
          <w:b/>
        </w:rPr>
      </w:pPr>
    </w:p>
    <w:p w:rsidR="00987051" w:rsidP="00782E0A" w:rsidRDefault="00987051" w14:paraId="6346D96D" w14:textId="0AA9703C">
      <w:pPr>
        <w:rPr>
          <w:b/>
        </w:rPr>
      </w:pPr>
    </w:p>
    <w:p w:rsidR="00B03C41" w:rsidP="00782E0A" w:rsidRDefault="00B03C41" w14:paraId="21435D3B" w14:textId="305C5316">
      <w:pPr>
        <w:rPr>
          <w:b/>
        </w:rPr>
      </w:pPr>
    </w:p>
    <w:p w:rsidR="00B03C41" w:rsidP="00782E0A" w:rsidRDefault="00B03C41" w14:paraId="60EC44BD" w14:textId="6315E704">
      <w:pPr>
        <w:rPr>
          <w:b/>
        </w:rPr>
      </w:pPr>
    </w:p>
    <w:p w:rsidR="00B03C41" w:rsidP="00782E0A" w:rsidRDefault="00B03C41" w14:paraId="5A4C74EB" w14:textId="422E4DDD">
      <w:pPr>
        <w:rPr>
          <w:b/>
        </w:rPr>
      </w:pPr>
    </w:p>
    <w:p w:rsidR="00B03C41" w:rsidP="00782E0A" w:rsidRDefault="00B03C41" w14:paraId="056DDFBF" w14:textId="632D484C">
      <w:pPr>
        <w:rPr>
          <w:b/>
        </w:rPr>
      </w:pPr>
    </w:p>
    <w:p w:rsidR="00B03C41" w:rsidP="00782E0A" w:rsidRDefault="00B03C41" w14:paraId="5B3B885D" w14:textId="15EB4230">
      <w:pPr>
        <w:rPr>
          <w:b/>
        </w:rPr>
      </w:pPr>
    </w:p>
    <w:p w:rsidR="00B03C41" w:rsidP="00782E0A" w:rsidRDefault="00B03C41" w14:paraId="7D56DC36" w14:textId="084B0D57">
      <w:pPr>
        <w:rPr>
          <w:b/>
        </w:rPr>
      </w:pPr>
    </w:p>
    <w:p w:rsidR="00B03C41" w:rsidP="00782E0A" w:rsidRDefault="00B03C41" w14:paraId="424B70B0" w14:textId="7FDF3E61">
      <w:pPr>
        <w:rPr>
          <w:b/>
        </w:rPr>
      </w:pPr>
    </w:p>
    <w:p w:rsidR="00B03C41" w:rsidP="00782E0A" w:rsidRDefault="00B03C41" w14:paraId="3268F943" w14:textId="002F5A15">
      <w:pPr>
        <w:rPr>
          <w:b/>
        </w:rPr>
      </w:pPr>
    </w:p>
    <w:p w:rsidR="00B03C41" w:rsidP="00782E0A" w:rsidRDefault="00B03C41" w14:paraId="339F89D5" w14:textId="0A777EAF">
      <w:pPr>
        <w:rPr>
          <w:b/>
        </w:rPr>
      </w:pPr>
    </w:p>
    <w:p w:rsidR="00B03C41" w:rsidP="00782E0A" w:rsidRDefault="00B03C41" w14:paraId="2543BA52" w14:textId="324F9EDA">
      <w:pPr>
        <w:rPr>
          <w:b/>
        </w:rPr>
      </w:pPr>
    </w:p>
    <w:p w:rsidR="00B03C41" w:rsidP="00782E0A" w:rsidRDefault="00B03C41" w14:paraId="338DDA7A" w14:textId="77777777">
      <w:pPr>
        <w:rPr>
          <w:b/>
        </w:rPr>
      </w:pPr>
    </w:p>
    <w:p w:rsidR="00B03C41" w:rsidP="00782E0A" w:rsidRDefault="00B03C41" w14:paraId="181EFC3D" w14:textId="77BF6368">
      <w:pPr>
        <w:rPr>
          <w:b/>
        </w:rPr>
      </w:pPr>
    </w:p>
    <w:p w:rsidR="00B03C41" w:rsidP="00782E0A" w:rsidRDefault="00B03C41" w14:paraId="04559647" w14:textId="6272E141">
      <w:pPr>
        <w:rPr>
          <w:b/>
        </w:rPr>
      </w:pPr>
    </w:p>
    <w:p w:rsidR="00B03C41" w:rsidP="00782E0A" w:rsidRDefault="00B03C41" w14:paraId="6C38750B" w14:textId="4CEF1F8E">
      <w:pPr>
        <w:rPr>
          <w:b/>
        </w:rPr>
      </w:pPr>
    </w:p>
    <w:p w:rsidR="00B03C41" w:rsidP="00782E0A" w:rsidRDefault="00B03C41" w14:paraId="0C9A6E78" w14:textId="1B8CA9F1">
      <w:pPr>
        <w:rPr>
          <w:b/>
        </w:rPr>
      </w:pPr>
    </w:p>
    <w:p w:rsidR="00B03C41" w:rsidP="00782E0A" w:rsidRDefault="00B03C41" w14:paraId="7E604CCD" w14:textId="4F6F54E6">
      <w:pPr>
        <w:rPr>
          <w:b/>
        </w:rPr>
      </w:pPr>
    </w:p>
    <w:p w:rsidR="00B03C41" w:rsidP="00782E0A" w:rsidRDefault="00B03C41" w14:paraId="7D18E247" w14:textId="04831AB3">
      <w:pPr>
        <w:rPr>
          <w:b/>
        </w:rPr>
      </w:pPr>
    </w:p>
    <w:p w:rsidR="00B03C41" w:rsidP="00782E0A" w:rsidRDefault="00B03C41" w14:paraId="34A3EEB1" w14:textId="1008BD23">
      <w:pPr>
        <w:rPr>
          <w:b/>
        </w:rPr>
      </w:pPr>
    </w:p>
    <w:p w:rsidR="00B03C41" w:rsidP="00782E0A" w:rsidRDefault="00B03C41" w14:paraId="3A4C97E5" w14:textId="276BFE2A">
      <w:pPr>
        <w:rPr>
          <w:b/>
        </w:rPr>
      </w:pPr>
    </w:p>
    <w:p w:rsidRPr="000C5EF1" w:rsidR="00B03C41" w:rsidP="00782E0A" w:rsidRDefault="00B03C41" w14:paraId="6733B067" w14:textId="77777777">
      <w:pPr>
        <w:rPr>
          <w:b/>
        </w:rPr>
      </w:pPr>
    </w:p>
    <w:p w:rsidRPr="000C5EF1" w:rsidR="00782E0A" w:rsidP="00782E0A" w:rsidRDefault="00782E0A" w14:paraId="30102841" w14:textId="77777777">
      <w:pPr>
        <w:rPr>
          <w:b/>
        </w:rPr>
      </w:pPr>
    </w:p>
    <w:p w:rsidRPr="00C61FA5" w:rsidR="00E201C6" w:rsidP="00E201C6" w:rsidRDefault="00E201C6" w14:paraId="6EAD21FA" w14:textId="77777777">
      <w:pPr>
        <w:outlineLvl w:val="0"/>
        <w:rPr>
          <w:b/>
        </w:rPr>
      </w:pPr>
      <w:bookmarkStart w:name="_Toc334782571" w:id="2"/>
      <w:bookmarkStart w:name="_Toc428877068" w:id="3"/>
      <w:bookmarkStart w:name="_Toc59888394" w:id="4"/>
      <w:r w:rsidRPr="00C61FA5">
        <w:rPr>
          <w:b/>
        </w:rPr>
        <w:t>Contact:</w:t>
      </w:r>
      <w:bookmarkEnd w:id="2"/>
      <w:bookmarkEnd w:id="3"/>
      <w:bookmarkEnd w:id="4"/>
    </w:p>
    <w:p w:rsidR="00E201C6" w:rsidP="00E201C6" w:rsidRDefault="00DD4600" w14:paraId="02FD70CE" w14:textId="1C0F8771">
      <w:pPr>
        <w:pStyle w:val="NoSpacing"/>
      </w:pPr>
      <w:r>
        <w:t>Amber Stolp</w:t>
      </w:r>
    </w:p>
    <w:p w:rsidR="00E201C6" w:rsidP="00E201C6" w:rsidRDefault="00E201C6" w14:paraId="4FDD4169" w14:textId="77777777">
      <w:pPr>
        <w:pStyle w:val="NoSpacing"/>
      </w:pPr>
      <w:r>
        <w:t xml:space="preserve">National Center for Emerging and Zoonotic Infectious Diseases </w:t>
      </w:r>
    </w:p>
    <w:p w:rsidR="00E201C6" w:rsidP="00E201C6" w:rsidRDefault="00E201C6" w14:paraId="76234A49" w14:textId="77777777">
      <w:pPr>
        <w:pStyle w:val="NoSpacing"/>
      </w:pPr>
      <w:r>
        <w:t xml:space="preserve">Centers for Disease Control and Prevention </w:t>
      </w:r>
    </w:p>
    <w:p w:rsidR="00E201C6" w:rsidP="00E201C6" w:rsidRDefault="00E201C6" w14:paraId="42E5CE00" w14:textId="77777777">
      <w:pPr>
        <w:pStyle w:val="NoSpacing"/>
      </w:pPr>
      <w:r>
        <w:t xml:space="preserve">1600 Clifton Road, NE </w:t>
      </w:r>
    </w:p>
    <w:p w:rsidR="00E201C6" w:rsidP="00E201C6" w:rsidRDefault="00E201C6" w14:paraId="051CBD08" w14:textId="77777777">
      <w:pPr>
        <w:pStyle w:val="NoSpacing"/>
      </w:pPr>
      <w:r>
        <w:t xml:space="preserve">Atlanta, Georgia 30333 </w:t>
      </w:r>
    </w:p>
    <w:p w:rsidRPr="00C61FA5" w:rsidR="00E201C6" w:rsidP="00E201C6" w:rsidRDefault="00E201C6" w14:paraId="3BFE2471" w14:textId="1A90B204">
      <w:pPr>
        <w:pStyle w:val="NoSpacing"/>
      </w:pPr>
      <w:r>
        <w:t xml:space="preserve">Email: </w:t>
      </w:r>
      <w:r w:rsidR="00DD4600">
        <w:t>wmg9</w:t>
      </w:r>
      <w:r w:rsidRPr="00CA2110">
        <w:t>@cdc.gov</w:t>
      </w:r>
    </w:p>
    <w:p w:rsidRPr="000C5EF1" w:rsidR="00782E0A" w:rsidP="00782E0A" w:rsidRDefault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782E0A" w:rsidP="00782E0A" w:rsidRDefault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782E0A" w:rsidP="00782E0A" w:rsidRDefault="00782E0A" w14:paraId="150D0B7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782E0A" w:rsidP="00782E0A" w:rsidRDefault="00782E0A" w14:paraId="307E3A30" w14:textId="699AC92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283CEB">
        <w:t xml:space="preserve">June </w:t>
      </w:r>
      <w:r w:rsidR="009A025D">
        <w:t>9</w:t>
      </w:r>
      <w:r w:rsidR="00B7522E">
        <w:t>, 2022</w:t>
      </w:r>
    </w:p>
    <w:p w:rsidRPr="000C5EF1" w:rsidR="00782E0A" w:rsidRDefault="00782E0A" w14:paraId="390D587A" w14:textId="77777777"/>
    <w:p w:rsidRPr="000C5EF1" w:rsidR="00782E0A" w:rsidP="00782E0A" w:rsidRDefault="00782E0A" w14:paraId="3B6EF1E2" w14:textId="735A65D1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D0120F">
        <w:rPr>
          <w:b/>
          <w:color w:val="000000"/>
          <w:u w:val="single"/>
        </w:rPr>
        <w:t>1318</w:t>
      </w:r>
    </w:p>
    <w:p w:rsidRPr="000C5EF1" w:rsidR="00782E0A" w:rsidRDefault="00782E0A" w14:paraId="2A42307D" w14:textId="77777777"/>
    <w:p w:rsidRPr="00232CE6" w:rsidR="00177C07" w:rsidP="00E201C6" w:rsidRDefault="00396256" w14:paraId="682C2EF4" w14:textId="646724BC">
      <w:r>
        <w:t>The Centers for Disease Control and Prevention (CDC), Division of Global Migration and Quarantine (</w:t>
      </w:r>
      <w:r w:rsidRPr="00F869A7">
        <w:t xml:space="preserve">DGMQ) requests </w:t>
      </w:r>
      <w:r w:rsidRPr="00F869A7" w:rsidR="003F17AA">
        <w:rPr>
          <w:bCs/>
        </w:rPr>
        <w:t>nonmaterial/non-substantive</w:t>
      </w:r>
      <w:r w:rsidRPr="00F869A7">
        <w:t xml:space="preserve"> </w:t>
      </w:r>
      <w:r w:rsidR="008E758A">
        <w:t xml:space="preserve">changes to </w:t>
      </w:r>
      <w:r w:rsidRPr="00F869A7">
        <w:t>the currently approved Information Collection Request:</w:t>
      </w:r>
      <w:r w:rsidRPr="00F869A7" w:rsidR="00E201C6">
        <w:t xml:space="preserve"> </w:t>
      </w:r>
      <w:r w:rsidRPr="008E758A" w:rsidR="00E201C6">
        <w:rPr>
          <w:i/>
          <w:iCs/>
        </w:rPr>
        <w:t>Requirement for Negative Pre-Departure Covid-19 Test Result Or Documentation Of Recovery From Covid-19 For All Airline Or Other Aircraft Passengers Arriving Into The United States From Any Foreign Country</w:t>
      </w:r>
      <w:r w:rsidRPr="00F869A7" w:rsidR="00E201C6">
        <w:t xml:space="preserve"> </w:t>
      </w:r>
      <w:r w:rsidR="00DD4600">
        <w:t>a</w:t>
      </w:r>
      <w:r w:rsidRPr="00F869A7" w:rsidR="00E201C6">
        <w:t xml:space="preserve">nd </w:t>
      </w:r>
      <w:r w:rsidRPr="008E758A" w:rsidR="00E201C6">
        <w:rPr>
          <w:i/>
          <w:iCs/>
        </w:rPr>
        <w:t>Requirement For Proof Of Covid-19 Vaccination For Noncitizen, Nonimmigrant Air Passengers Arriving Into The United States From A Foreign Country</w:t>
      </w:r>
      <w:r w:rsidRPr="00F869A7" w:rsidR="002C0A03">
        <w:t xml:space="preserve"> (OMB </w:t>
      </w:r>
      <w:r w:rsidRPr="00232CE6" w:rsidR="002C0A03">
        <w:t>Control 0920-1318)</w:t>
      </w:r>
      <w:r w:rsidRPr="00232CE6" w:rsidR="00177C07">
        <w:t>.</w:t>
      </w:r>
    </w:p>
    <w:p w:rsidRPr="00232CE6" w:rsidR="002C0A03" w:rsidP="002C0A03" w:rsidRDefault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Pr="00815FD5" w:rsidR="002C0A03" w:rsidP="003B1386" w:rsidRDefault="00084E56" w14:paraId="21CCA31A" w14:textId="6B014D9F">
      <w:pPr>
        <w:pStyle w:val="paragraph"/>
        <w:textAlignment w:val="baseline"/>
      </w:pPr>
      <w:r>
        <w:rPr>
          <w:rStyle w:val="normaltextrun"/>
        </w:rPr>
        <w:t xml:space="preserve">CDC is rescinding the Amended Order: </w:t>
      </w:r>
      <w:r w:rsidRPr="00084E56">
        <w:rPr>
          <w:rStyle w:val="normaltextrun"/>
          <w:i/>
          <w:iCs/>
        </w:rPr>
        <w:t xml:space="preserve">Requirement for Negative Pre-Departure Covid-19 Test Result </w:t>
      </w:r>
      <w:proofErr w:type="gramStart"/>
      <w:r w:rsidRPr="00084E56">
        <w:rPr>
          <w:rStyle w:val="normaltextrun"/>
          <w:i/>
          <w:iCs/>
        </w:rPr>
        <w:t>Or</w:t>
      </w:r>
      <w:proofErr w:type="gramEnd"/>
      <w:r w:rsidRPr="00084E56">
        <w:rPr>
          <w:rStyle w:val="normaltextrun"/>
          <w:i/>
          <w:iCs/>
        </w:rPr>
        <w:t xml:space="preserve"> Documentation Of Recovery From Covid-19 For All Airline Or Other Aircraft Passengers Arriving Into The United States From Any Foreign Country</w:t>
      </w:r>
      <w:r>
        <w:rPr>
          <w:rStyle w:val="normaltextrun"/>
          <w:i/>
          <w:iCs/>
        </w:rPr>
        <w:t xml:space="preserve"> (“Amended Testing Order”)</w:t>
      </w:r>
      <w:r w:rsidRPr="00084E56">
        <w:rPr>
          <w:rStyle w:val="normaltextrun"/>
        </w:rPr>
        <w:t>.</w:t>
      </w:r>
      <w:r>
        <w:rPr>
          <w:rStyle w:val="normaltextrun"/>
          <w:i/>
          <w:iCs/>
        </w:rPr>
        <w:t xml:space="preserve"> </w:t>
      </w:r>
      <w:r>
        <w:rPr>
          <w:rStyle w:val="normaltextrun"/>
        </w:rPr>
        <w:t xml:space="preserve">To align with this rescission </w:t>
      </w:r>
      <w:r w:rsidR="00B7522E">
        <w:rPr>
          <w:rStyle w:val="normaltextrun"/>
        </w:rPr>
        <w:t xml:space="preserve">CDC is requesting </w:t>
      </w:r>
      <w:r>
        <w:rPr>
          <w:rStyle w:val="normaltextrun"/>
        </w:rPr>
        <w:t xml:space="preserve">a </w:t>
      </w:r>
      <w:r w:rsidR="00B7522E">
        <w:rPr>
          <w:rStyle w:val="normaltextrun"/>
        </w:rPr>
        <w:t xml:space="preserve">non-substantive change to </w:t>
      </w:r>
      <w:r>
        <w:rPr>
          <w:rStyle w:val="normaltextrun"/>
        </w:rPr>
        <w:t xml:space="preserve">remove any references and information collections related to the Amended Testing Order in </w:t>
      </w:r>
      <w:r w:rsidR="00B7522E">
        <w:rPr>
          <w:rStyle w:val="normaltextrun"/>
        </w:rPr>
        <w:t xml:space="preserve">the </w:t>
      </w:r>
      <w:r w:rsidRPr="00B7522E" w:rsidR="00B7522E">
        <w:rPr>
          <w:rStyle w:val="normaltextrun"/>
        </w:rPr>
        <w:t xml:space="preserve">Combined </w:t>
      </w:r>
      <w:r w:rsidRPr="00815FD5" w:rsidR="00B7522E">
        <w:rPr>
          <w:rStyle w:val="normaltextrun"/>
        </w:rPr>
        <w:t>Passenger Disclosure and Attestation to the United States of America</w:t>
      </w:r>
      <w:r w:rsidRPr="00815FD5">
        <w:rPr>
          <w:rStyle w:val="normaltextrun"/>
        </w:rPr>
        <w:t xml:space="preserve">. These changes include: </w:t>
      </w:r>
    </w:p>
    <w:p w:rsidRPr="00815FD5" w:rsidR="00C467B5" w:rsidP="00815FD5" w:rsidRDefault="00084E56" w14:paraId="5BC7E86D" w14:textId="109212CF">
      <w:pPr>
        <w:pStyle w:val="paragraph"/>
        <w:numPr>
          <w:ilvl w:val="0"/>
          <w:numId w:val="27"/>
        </w:numPr>
        <w:spacing w:after="240" w:afterAutospacing="0"/>
        <w:textAlignment w:val="baseline"/>
      </w:pPr>
      <w:r w:rsidRPr="00815FD5">
        <w:t xml:space="preserve">Changing the title of the attestation </w:t>
      </w:r>
      <w:r w:rsidRPr="00815FD5" w:rsidR="00C467B5">
        <w:t xml:space="preserve">to </w:t>
      </w:r>
      <w:r w:rsidRPr="00815FD5">
        <w:t>“</w:t>
      </w:r>
      <w:r w:rsidRPr="00815FD5">
        <w:rPr>
          <w:i/>
          <w:iCs/>
        </w:rPr>
        <w:t xml:space="preserve">Proof of COVID-19 Vaccination </w:t>
      </w:r>
      <w:proofErr w:type="gramStart"/>
      <w:r w:rsidRPr="00815FD5">
        <w:rPr>
          <w:i/>
          <w:iCs/>
        </w:rPr>
        <w:t>For</w:t>
      </w:r>
      <w:proofErr w:type="gramEnd"/>
      <w:r w:rsidRPr="00815FD5">
        <w:rPr>
          <w:i/>
          <w:iCs/>
        </w:rPr>
        <w:t xml:space="preserve"> Noncitizen Nonimmigrants Passenger Disclosure </w:t>
      </w:r>
      <w:r w:rsidRPr="00815FD5" w:rsidR="00C467B5">
        <w:rPr>
          <w:i/>
          <w:iCs/>
        </w:rPr>
        <w:t>a</w:t>
      </w:r>
      <w:r w:rsidRPr="00815FD5">
        <w:rPr>
          <w:i/>
          <w:iCs/>
        </w:rPr>
        <w:t xml:space="preserve">nd Attestation </w:t>
      </w:r>
      <w:r w:rsidRPr="00815FD5" w:rsidR="00C467B5">
        <w:rPr>
          <w:i/>
          <w:iCs/>
        </w:rPr>
        <w:t>t</w:t>
      </w:r>
      <w:r w:rsidRPr="00815FD5">
        <w:rPr>
          <w:i/>
          <w:iCs/>
        </w:rPr>
        <w:t xml:space="preserve">o </w:t>
      </w:r>
      <w:r w:rsidRPr="00815FD5" w:rsidR="00C467B5">
        <w:rPr>
          <w:i/>
          <w:iCs/>
        </w:rPr>
        <w:t>t</w:t>
      </w:r>
      <w:r w:rsidRPr="00815FD5">
        <w:rPr>
          <w:i/>
          <w:iCs/>
        </w:rPr>
        <w:t>he United States Of America</w:t>
      </w:r>
      <w:r w:rsidRPr="00815FD5">
        <w:t>”</w:t>
      </w:r>
    </w:p>
    <w:p w:rsidR="008E758A" w:rsidP="008E758A" w:rsidRDefault="00084E56" w14:paraId="6D4920B6" w14:textId="5BCADD21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</w:rPr>
      </w:pPr>
      <w:r w:rsidRPr="00815FD5">
        <w:t xml:space="preserve">Remove </w:t>
      </w:r>
      <w:r w:rsidRPr="00815FD5" w:rsidR="00C467B5">
        <w:t xml:space="preserve">Section </w:t>
      </w:r>
      <w:r w:rsidR="0063211B">
        <w:t>1</w:t>
      </w:r>
      <w:r w:rsidRPr="00815FD5" w:rsidR="00C467B5">
        <w:t xml:space="preserve"> and </w:t>
      </w:r>
      <w:r w:rsidRPr="00815FD5">
        <w:t xml:space="preserve">any references related to the </w:t>
      </w:r>
      <w:r w:rsidR="008E758A">
        <w:t>testing or documentation of recovery requirement</w:t>
      </w:r>
      <w:r w:rsidRPr="00815FD5">
        <w:t xml:space="preserve"> from the attestation</w:t>
      </w:r>
    </w:p>
    <w:p w:rsidR="00142D6F" w:rsidP="00C467B5" w:rsidRDefault="00C7450B" w14:paraId="1A2A04CD" w14:textId="53F847F7">
      <w:pPr>
        <w:pStyle w:val="CommentText"/>
        <w:rPr>
          <w:sz w:val="24"/>
          <w:szCs w:val="24"/>
        </w:rPr>
      </w:pPr>
      <w:r w:rsidRPr="00C7450B">
        <w:rPr>
          <w:sz w:val="24"/>
          <w:szCs w:val="24"/>
        </w:rPr>
        <w:t>CDC does not consider t</w:t>
      </w:r>
      <w:r w:rsidR="00815FD5">
        <w:rPr>
          <w:sz w:val="24"/>
          <w:szCs w:val="24"/>
        </w:rPr>
        <w:t>hese</w:t>
      </w:r>
      <w:r w:rsidR="00C467B5">
        <w:rPr>
          <w:sz w:val="24"/>
          <w:szCs w:val="24"/>
        </w:rPr>
        <w:t xml:space="preserve"> change</w:t>
      </w:r>
      <w:r w:rsidR="00815FD5">
        <w:rPr>
          <w:sz w:val="24"/>
          <w:szCs w:val="24"/>
        </w:rPr>
        <w:t>s</w:t>
      </w:r>
      <w:r w:rsidR="00C467B5">
        <w:rPr>
          <w:sz w:val="24"/>
          <w:szCs w:val="24"/>
        </w:rPr>
        <w:t xml:space="preserve"> substantive since it is removing the need to collect certain information</w:t>
      </w:r>
      <w:r w:rsidR="00963E9A">
        <w:rPr>
          <w:sz w:val="24"/>
          <w:szCs w:val="24"/>
        </w:rPr>
        <w:t xml:space="preserve"> to comply with a revised Order</w:t>
      </w:r>
      <w:r w:rsidR="00C467B5">
        <w:rPr>
          <w:sz w:val="24"/>
          <w:szCs w:val="24"/>
        </w:rPr>
        <w:t>. Th</w:t>
      </w:r>
      <w:r w:rsidR="008E758A">
        <w:rPr>
          <w:sz w:val="24"/>
          <w:szCs w:val="24"/>
        </w:rPr>
        <w:t>ese</w:t>
      </w:r>
      <w:r w:rsidR="00C467B5">
        <w:rPr>
          <w:sz w:val="24"/>
          <w:szCs w:val="24"/>
        </w:rPr>
        <w:t xml:space="preserve"> change</w:t>
      </w:r>
      <w:r w:rsidR="008E758A">
        <w:rPr>
          <w:sz w:val="24"/>
          <w:szCs w:val="24"/>
        </w:rPr>
        <w:t>s</w:t>
      </w:r>
      <w:r w:rsidR="00C467B5">
        <w:rPr>
          <w:sz w:val="24"/>
          <w:szCs w:val="24"/>
        </w:rPr>
        <w:t xml:space="preserve"> will significantly reduce the burden for the public and airlines. </w:t>
      </w:r>
      <w:r w:rsidRPr="00C7450B">
        <w:rPr>
          <w:sz w:val="24"/>
          <w:szCs w:val="24"/>
        </w:rPr>
        <w:t xml:space="preserve"> </w:t>
      </w:r>
    </w:p>
    <w:p w:rsidR="00963E9A" w:rsidP="00C467B5" w:rsidRDefault="00963E9A" w14:paraId="76EDC0C5" w14:textId="1A0930F1">
      <w:pPr>
        <w:pStyle w:val="CommentText"/>
        <w:rPr>
          <w:sz w:val="24"/>
          <w:szCs w:val="24"/>
        </w:rPr>
      </w:pPr>
    </w:p>
    <w:p w:rsidRPr="00C7450B" w:rsidR="00963E9A" w:rsidP="00C467B5" w:rsidRDefault="00963E9A" w14:paraId="6DA74C43" w14:textId="60F7D172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The title of this collection will also be modified to </w:t>
      </w:r>
      <w:r w:rsidRPr="00963E9A">
        <w:rPr>
          <w:sz w:val="24"/>
          <w:szCs w:val="24"/>
        </w:rPr>
        <w:t xml:space="preserve">REQUIREMENT FOR PROOF OF COVID-19 VACCINATION FOR NONCITIZEN, NONIMMIGRANT AIR PASSENGERS ARRIVING </w:t>
      </w:r>
      <w:proofErr w:type="gramStart"/>
      <w:r w:rsidRPr="00963E9A">
        <w:rPr>
          <w:sz w:val="24"/>
          <w:szCs w:val="24"/>
        </w:rPr>
        <w:t>INTO</w:t>
      </w:r>
      <w:proofErr w:type="gramEnd"/>
      <w:r w:rsidRPr="00963E9A">
        <w:rPr>
          <w:sz w:val="24"/>
          <w:szCs w:val="24"/>
        </w:rPr>
        <w:t xml:space="preserve"> THE UNITED STATES FROM A FOREIGN COUNTRY</w:t>
      </w:r>
      <w:r>
        <w:rPr>
          <w:sz w:val="24"/>
          <w:szCs w:val="24"/>
        </w:rPr>
        <w:t xml:space="preserve"> so that it more accurately reflects the information that is being collected.</w:t>
      </w:r>
    </w:p>
    <w:p w:rsidR="000712AF" w:rsidP="00782E0A" w:rsidRDefault="000712AF" w14:paraId="1092482A" w14:textId="77777777">
      <w:pPr>
        <w:rPr>
          <w:u w:val="single"/>
        </w:rPr>
      </w:pPr>
    </w:p>
    <w:p w:rsidR="003B1386" w:rsidP="00782E0A" w:rsidRDefault="003B1386" w14:paraId="450EC380" w14:textId="77777777">
      <w:pPr>
        <w:rPr>
          <w:b/>
          <w:bCs/>
        </w:rPr>
      </w:pPr>
    </w:p>
    <w:p w:rsidRPr="00352892" w:rsidR="00E747C2" w:rsidP="00782E0A" w:rsidRDefault="00E747C2" w14:paraId="76088E00" w14:textId="1D78F9AA">
      <w:pPr>
        <w:rPr>
          <w:b/>
          <w:bCs/>
        </w:rPr>
      </w:pPr>
      <w:r w:rsidRPr="00352892">
        <w:rPr>
          <w:b/>
          <w:bCs/>
        </w:rPr>
        <w:t>Annualized Total Burden Hours:</w:t>
      </w:r>
    </w:p>
    <w:p w:rsidR="00E747C2" w:rsidP="00782E0A" w:rsidRDefault="00E747C2" w14:paraId="3DC81378" w14:textId="3F9FB192">
      <w:pPr>
        <w:rPr>
          <w:u w:val="single"/>
        </w:rPr>
      </w:pPr>
    </w:p>
    <w:p w:rsidR="0008408C" w:rsidP="00283CEB" w:rsidRDefault="00E747C2" w14:paraId="6A455C35" w14:textId="4F357C9C">
      <w:r>
        <w:t xml:space="preserve">The </w:t>
      </w:r>
      <w:r w:rsidR="00995243">
        <w:t xml:space="preserve">previous </w:t>
      </w:r>
      <w:r w:rsidR="00D04802">
        <w:t xml:space="preserve">annual </w:t>
      </w:r>
      <w:r>
        <w:t xml:space="preserve">burden </w:t>
      </w:r>
      <w:r w:rsidR="00D04802">
        <w:t xml:space="preserve">hours </w:t>
      </w:r>
      <w:r w:rsidR="00283CEB">
        <w:t>for respondents in this information</w:t>
      </w:r>
      <w:r w:rsidR="00711D41">
        <w:t xml:space="preserve"> collection </w:t>
      </w:r>
      <w:r w:rsidR="00283CEB">
        <w:t xml:space="preserve">was calculated to be </w:t>
      </w:r>
      <w:r w:rsidR="00270FBC">
        <w:t xml:space="preserve">352,538,030 </w:t>
      </w:r>
      <w:r w:rsidRPr="00E62047" w:rsidR="00636687">
        <w:t>hours.</w:t>
      </w:r>
      <w:r w:rsidR="00636687">
        <w:t xml:space="preserve"> </w:t>
      </w:r>
      <w:r w:rsidR="00DD4600">
        <w:t xml:space="preserve">Based on previous estimates, </w:t>
      </w:r>
      <w:r w:rsidR="0008408C">
        <w:t xml:space="preserve">CDC anticipates </w:t>
      </w:r>
      <w:r w:rsidR="00283CEB">
        <w:t xml:space="preserve">removing </w:t>
      </w:r>
      <w:r w:rsidR="0008408C">
        <w:t xml:space="preserve">the </w:t>
      </w:r>
      <w:r w:rsidR="00D04802">
        <w:t>testing Order will subtract approximately 25</w:t>
      </w:r>
      <w:r w:rsidR="00283CEB">
        <w:t>0</w:t>
      </w:r>
      <w:r w:rsidR="00D04802">
        <w:t>,000,000 annual burden hours from this total</w:t>
      </w:r>
      <w:r w:rsidR="00283CEB">
        <w:t xml:space="preserve">, resulting in a new estimate of </w:t>
      </w:r>
      <w:r w:rsidRPr="00283CEB" w:rsidR="00283CEB">
        <w:t>102,137,231</w:t>
      </w:r>
      <w:r w:rsidR="00283CEB">
        <w:t xml:space="preserve"> annual burden hours to respondents for this collection. </w:t>
      </w:r>
    </w:p>
    <w:p w:rsidR="00E747C2" w:rsidP="00782E0A" w:rsidRDefault="00E747C2" w14:paraId="09A84708" w14:textId="17B9C0D2"/>
    <w:p w:rsidR="00352892" w:rsidP="00D0120F" w:rsidRDefault="00E747C2" w14:paraId="33E2F966" w14:textId="34894146">
      <w:r w:rsidRPr="00352892">
        <w:rPr>
          <w:b/>
          <w:bCs/>
        </w:rPr>
        <w:t>Attachments</w:t>
      </w:r>
    </w:p>
    <w:p w:rsidR="00C467B5" w:rsidP="00C467B5" w:rsidRDefault="00FD2369" w14:paraId="36641256" w14:textId="2137416F">
      <w:pPr>
        <w:spacing w:before="240"/>
      </w:pPr>
      <w:r w:rsidRPr="00FD2369">
        <w:t xml:space="preserve">Attachment A - </w:t>
      </w:r>
      <w:r w:rsidR="00C467B5">
        <w:t>Proof of COVID-19 Vaccination Passenger Disclosure and Attestation</w:t>
      </w:r>
    </w:p>
    <w:p w:rsidR="00B4671E" w:rsidP="00FD2369" w:rsidRDefault="00B4671E" w14:paraId="26217643" w14:textId="626EF00C">
      <w:bookmarkStart w:name="_Hlk86678009" w:id="5"/>
    </w:p>
    <w:p w:rsidR="003B1386" w:rsidP="00FD2369" w:rsidRDefault="003B1386" w14:paraId="54FBE170" w14:textId="5E0460CC"/>
    <w:p w:rsidR="003B1386" w:rsidP="00FD2369" w:rsidRDefault="003B1386" w14:paraId="69026D84" w14:textId="77777777"/>
    <w:p w:rsidRPr="00C61FA5" w:rsidR="00B4671E" w:rsidP="00FD2369" w:rsidRDefault="00B4671E" w14:paraId="71D9059F" w14:textId="77777777"/>
    <w:tbl>
      <w:tblPr>
        <w:tblW w:w="54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94"/>
        <w:gridCol w:w="3106"/>
        <w:gridCol w:w="1379"/>
        <w:gridCol w:w="1270"/>
        <w:gridCol w:w="1447"/>
        <w:gridCol w:w="1649"/>
      </w:tblGrid>
      <w:tr w:rsidRPr="00C61FA5" w:rsidR="00FD2369" w:rsidTr="008E758A" w14:paraId="1966EDE0" w14:textId="77777777">
        <w:trPr>
          <w:cantSplit/>
          <w:trHeight w:val="1192"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61FA5" w:rsidR="00FD2369" w:rsidDel="007614F1" w:rsidP="00634CD6" w:rsidRDefault="00FD2369" w14:paraId="7B98D78E" w14:textId="77777777">
            <w:bookmarkStart w:name="_Hlk59890864" w:id="6"/>
            <w:r w:rsidRPr="00C61FA5">
              <w:t>Type of Respondent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Pr="00C61FA5" w:rsidR="00FD2369" w:rsidP="00634CD6" w:rsidRDefault="00FD2369" w14:paraId="31925E85" w14:textId="77777777">
            <w:r w:rsidRPr="00C61FA5">
              <w:t>Form Name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Pr="00C61FA5" w:rsidR="00FD2369" w:rsidP="00634CD6" w:rsidRDefault="00FD2369" w14:paraId="5740D893" w14:textId="77777777">
            <w:r w:rsidRPr="00C61FA5">
              <w:t>Number of respondents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Pr="00C61FA5" w:rsidR="00FD2369" w:rsidP="00634CD6" w:rsidRDefault="00FD2369" w14:paraId="6DC16B72" w14:textId="77777777">
            <w:r w:rsidRPr="00C61FA5">
              <w:t>Number of responses per respondent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Pr="00C61FA5" w:rsidR="00FD2369" w:rsidP="00634CD6" w:rsidRDefault="00FD2369" w14:paraId="3043F1C5" w14:textId="77777777">
            <w:r w:rsidRPr="00C61FA5">
              <w:t>Average burden per response</w:t>
            </w:r>
          </w:p>
          <w:p w:rsidRPr="00C61FA5" w:rsidR="00FD2369" w:rsidP="00634CD6" w:rsidRDefault="00FD2369" w14:paraId="399EE80F" w14:textId="77777777">
            <w:r w:rsidRPr="00C61FA5">
              <w:t>(</w:t>
            </w:r>
            <w:proofErr w:type="gramStart"/>
            <w:r w:rsidRPr="00C61FA5">
              <w:t>in</w:t>
            </w:r>
            <w:proofErr w:type="gramEnd"/>
            <w:r w:rsidRPr="00C61FA5">
              <w:t xml:space="preserve"> hours)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20396AF5" w14:textId="77777777">
            <w:r w:rsidRPr="00C61FA5">
              <w:t>Total burden</w:t>
            </w:r>
          </w:p>
          <w:p w:rsidRPr="00C61FA5" w:rsidR="00FD2369" w:rsidP="00634CD6" w:rsidRDefault="00FD2369" w14:paraId="55C8F4DF" w14:textId="77777777">
            <w:r w:rsidRPr="00C61FA5">
              <w:t>(</w:t>
            </w:r>
            <w:proofErr w:type="gramStart"/>
            <w:r w:rsidRPr="00C61FA5">
              <w:t>in</w:t>
            </w:r>
            <w:proofErr w:type="gramEnd"/>
            <w:r w:rsidRPr="00C61FA5">
              <w:t xml:space="preserve"> hours)</w:t>
            </w:r>
          </w:p>
        </w:tc>
      </w:tr>
      <w:tr w:rsidRPr="00C61FA5" w:rsidR="00283CEB" w:rsidTr="008E758A" w14:paraId="649BB3DE" w14:textId="77777777">
        <w:trPr>
          <w:cantSplit/>
          <w:trHeight w:val="1192"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61FA5" w:rsidR="00283CEB" w:rsidP="00634CD6" w:rsidRDefault="00283CEB" w14:paraId="1CC05C34" w14:textId="0B986D5F">
            <w:r>
              <w:t xml:space="preserve">Noncitizen Nonimmigrant Air Passenger </w:t>
            </w:r>
          </w:p>
        </w:tc>
        <w:tc>
          <w:tcPr>
            <w:tcW w:w="1407" w:type="pct"/>
            <w:shd w:val="clear" w:color="auto" w:fill="auto"/>
          </w:tcPr>
          <w:p w:rsidRPr="002F581E" w:rsidR="00283CEB" w:rsidP="00634CD6" w:rsidRDefault="00283CEB" w14:paraId="3BC11572" w14:textId="7FA9DC69">
            <w:pPr>
              <w:rPr>
                <w:rFonts w:eastAsia="Calibri"/>
              </w:rPr>
            </w:pPr>
            <w:r w:rsidRPr="00283CEB">
              <w:t xml:space="preserve">Noncitizen Nonimmigrants Passenger Disclosure and Attestation to the United States </w:t>
            </w:r>
            <w:proofErr w:type="gramStart"/>
            <w:r w:rsidRPr="00283CEB">
              <w:t>Of</w:t>
            </w:r>
            <w:proofErr w:type="gramEnd"/>
            <w:r w:rsidRPr="00283CEB">
              <w:t xml:space="preserve"> America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Pr="00C61FA5" w:rsidR="00283CEB" w:rsidP="00634CD6" w:rsidRDefault="00283CEB" w14:paraId="79607C65" w14:textId="550C1556">
            <w:pPr>
              <w:jc w:val="center"/>
            </w:pPr>
            <w:r>
              <w:t>90,000,000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Pr="00C61FA5" w:rsidR="00283CEB" w:rsidP="00634CD6" w:rsidRDefault="00283CEB" w14:paraId="0591218F" w14:textId="25691B4A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Pr="00C61FA5" w:rsidR="00283CEB" w:rsidP="00634CD6" w:rsidRDefault="00283CEB" w14:paraId="2BC12FF6" w14:textId="1C6BDF57">
            <w:pPr>
              <w:jc w:val="center"/>
            </w:pPr>
            <w: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283CEB" w:rsidP="00634CD6" w:rsidRDefault="00283CEB" w14:paraId="2D59AF02" w14:textId="1D9E36D8">
            <w:pPr>
              <w:jc w:val="center"/>
            </w:pPr>
            <w:r>
              <w:t>90,000,000</w:t>
            </w:r>
          </w:p>
        </w:tc>
      </w:tr>
      <w:tr w:rsidRPr="00C61FA5" w:rsidR="00283CEB" w:rsidTr="008E758A" w14:paraId="6F6197FA" w14:textId="77777777">
        <w:trPr>
          <w:cantSplit/>
          <w:trHeight w:val="119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Del="00E61E75" w:rsidP="00634CD6" w:rsidRDefault="00283CEB" w14:paraId="44504B2D" w14:textId="0454E6C8">
            <w:r>
              <w:t>Airline Desk Agent</w:t>
            </w:r>
          </w:p>
        </w:tc>
        <w:tc>
          <w:tcPr>
            <w:tcW w:w="1407" w:type="pct"/>
            <w:shd w:val="clear" w:color="auto" w:fill="auto"/>
          </w:tcPr>
          <w:p w:rsidR="00283CEB" w:rsidP="00634CD6" w:rsidRDefault="00283CEB" w14:paraId="3A0C5406" w14:textId="6C76EB08">
            <w:r w:rsidRPr="00283CEB">
              <w:t xml:space="preserve">Noncitizen Nonimmigrants Passenger Disclosure and Attestation to the United States </w:t>
            </w:r>
            <w:proofErr w:type="gramStart"/>
            <w:r w:rsidRPr="00283CEB">
              <w:t>Of</w:t>
            </w:r>
            <w:proofErr w:type="gramEnd"/>
            <w:r w:rsidRPr="00283CEB">
              <w:t xml:space="preserve"> America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06003509" w14:textId="575F302D">
            <w:pPr>
              <w:jc w:val="center"/>
            </w:pPr>
            <w:r>
              <w:t>90,000,000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50FF5F5A" w14:textId="285A7CFE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6FF9EBAA" w14:textId="0B8D4C17">
            <w:pPr>
              <w:jc w:val="center"/>
            </w:pPr>
            <w:r>
              <w:t>8/60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61D2CF25" w14:textId="77773644">
            <w:pPr>
              <w:jc w:val="center"/>
            </w:pPr>
            <w:r>
              <w:t>12,000,000</w:t>
            </w:r>
          </w:p>
        </w:tc>
      </w:tr>
      <w:tr w:rsidRPr="00C61FA5" w:rsidR="00283CEB" w:rsidTr="008E758A" w14:paraId="1418AB33" w14:textId="77777777">
        <w:trPr>
          <w:cantSplit/>
          <w:trHeight w:val="119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777229BA" w14:textId="77777777">
            <w:r>
              <w:t xml:space="preserve">Noncitizen Nonimmigrant Air Passenger </w:t>
            </w:r>
          </w:p>
          <w:p w:rsidRPr="00C61FA5" w:rsidR="00283CEB" w:rsidP="00634CD6" w:rsidRDefault="00283CEB" w14:paraId="0E105459" w14:textId="71B7CA04">
            <w:r>
              <w:tab/>
            </w:r>
          </w:p>
        </w:tc>
        <w:tc>
          <w:tcPr>
            <w:tcW w:w="1407" w:type="pct"/>
            <w:shd w:val="clear" w:color="auto" w:fill="auto"/>
          </w:tcPr>
          <w:p w:rsidRPr="00C61FA5" w:rsidR="00283CEB" w:rsidP="00634CD6" w:rsidRDefault="00283CEB" w14:paraId="1839F3F0" w14:textId="20620EA1">
            <w:r w:rsidRPr="005303C2">
              <w:t xml:space="preserve">Request Humanitarian </w:t>
            </w:r>
            <w:r>
              <w:t xml:space="preserve">or Emergency </w:t>
            </w:r>
            <w:r w:rsidRPr="005303C2">
              <w:t>Ex</w:t>
            </w:r>
            <w:r>
              <w:t>c</w:t>
            </w:r>
            <w:r w:rsidRPr="005303C2">
              <w:t xml:space="preserve">eption to </w:t>
            </w:r>
            <w:r>
              <w:t xml:space="preserve">Proof of Vaccination Requirement </w:t>
            </w:r>
            <w:r w:rsidRPr="005303C2">
              <w:t>– (No form)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Pr="00C61FA5" w:rsidR="00283CEB" w:rsidP="00634CD6" w:rsidRDefault="00283CEB" w14:paraId="02500FCA" w14:textId="34D53C45">
            <w:pPr>
              <w:jc w:val="center"/>
            </w:pPr>
            <w:r>
              <w:t>600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Pr="00C61FA5" w:rsidR="00283CEB" w:rsidP="00634CD6" w:rsidRDefault="00283CEB" w14:paraId="547A6471" w14:textId="103AA48B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Pr="00C61FA5" w:rsidR="00283CEB" w:rsidP="00634CD6" w:rsidRDefault="00283CEB" w14:paraId="766C1565" w14:textId="5657E7D1">
            <w:pPr>
              <w:jc w:val="center"/>
            </w:pPr>
            <w: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283CEB" w:rsidP="00634CD6" w:rsidRDefault="00283CEB" w14:paraId="2B7DCC70" w14:textId="66652B60">
            <w:pPr>
              <w:jc w:val="center"/>
            </w:pPr>
            <w:r>
              <w:t>1,</w:t>
            </w:r>
            <w:r w:rsidR="00583530">
              <w:t>2</w:t>
            </w:r>
            <w:r>
              <w:t>00</w:t>
            </w:r>
          </w:p>
        </w:tc>
      </w:tr>
      <w:tr w:rsidRPr="00C61FA5" w:rsidR="00283CEB" w:rsidTr="008E758A" w14:paraId="5F773165" w14:textId="77777777">
        <w:trPr>
          <w:cantSplit/>
          <w:trHeight w:val="119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0B3C87CB" w14:textId="77777777">
            <w:r>
              <w:t>Air Passenger</w:t>
            </w:r>
          </w:p>
          <w:p w:rsidR="00283CEB" w:rsidP="00634CD6" w:rsidRDefault="00283CEB" w14:paraId="116C7416" w14:textId="2C321EAF">
            <w:r w:rsidRPr="00033151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033151">
              <w:rPr>
                <w:i/>
                <w:iCs/>
                <w:sz w:val="20"/>
                <w:szCs w:val="20"/>
              </w:rPr>
              <w:t>undergoing</w:t>
            </w:r>
            <w:proofErr w:type="gramEnd"/>
            <w:r w:rsidRPr="00033151">
              <w:rPr>
                <w:i/>
                <w:iCs/>
                <w:sz w:val="20"/>
                <w:szCs w:val="20"/>
              </w:rPr>
              <w:t xml:space="preserve"> compliance check)</w:t>
            </w:r>
          </w:p>
        </w:tc>
        <w:tc>
          <w:tcPr>
            <w:tcW w:w="1407" w:type="pct"/>
            <w:shd w:val="clear" w:color="auto" w:fill="auto"/>
          </w:tcPr>
          <w:p w:rsidR="00283CEB" w:rsidP="00634CD6" w:rsidRDefault="00283CEB" w14:paraId="08AE1815" w14:textId="598F1577">
            <w:r w:rsidRPr="004F54C2">
              <w:t>Questions Asked to Air Passengers Going Through Compliance Checks</w:t>
            </w:r>
            <w:r>
              <w:t xml:space="preserve"> (No form)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19DE97ED" w14:textId="23242769">
            <w:pPr>
              <w:jc w:val="center"/>
            </w:pPr>
            <w:r>
              <w:t>1,230,000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0B771EB7" w14:textId="1028E007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73E20E1F" w14:textId="7A262D67">
            <w:pPr>
              <w:jc w:val="center"/>
            </w:pPr>
            <w:r>
              <w:t>5/60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4244AB94" w14:textId="573F2C45">
            <w:pPr>
              <w:jc w:val="center"/>
            </w:pPr>
            <w:r>
              <w:t>102,500</w:t>
            </w:r>
          </w:p>
        </w:tc>
      </w:tr>
      <w:tr w:rsidRPr="00C61FA5" w:rsidR="00283CEB" w:rsidTr="008E758A" w14:paraId="2E1D1971" w14:textId="77777777">
        <w:trPr>
          <w:cantSplit/>
          <w:trHeight w:val="119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5BF13087" w14:textId="77777777">
            <w:r>
              <w:t xml:space="preserve">Air Passenger </w:t>
            </w:r>
          </w:p>
          <w:p w:rsidR="00283CEB" w:rsidDel="00E61E75" w:rsidP="00634CD6" w:rsidRDefault="00283CEB" w14:paraId="1E22DBD5" w14:textId="4EDFA3D4">
            <w:r w:rsidRPr="00033151">
              <w:rPr>
                <w:sz w:val="20"/>
                <w:szCs w:val="20"/>
              </w:rPr>
              <w:t>(</w:t>
            </w:r>
            <w:proofErr w:type="gramStart"/>
            <w:r w:rsidRPr="00033151">
              <w:rPr>
                <w:i/>
                <w:iCs/>
                <w:sz w:val="20"/>
                <w:szCs w:val="20"/>
              </w:rPr>
              <w:t>undergoing</w:t>
            </w:r>
            <w:proofErr w:type="gramEnd"/>
            <w:r w:rsidRPr="00033151">
              <w:rPr>
                <w:i/>
                <w:iCs/>
                <w:sz w:val="20"/>
                <w:szCs w:val="20"/>
              </w:rPr>
              <w:t xml:space="preserve"> compliance check with non-compliant documentation</w:t>
            </w:r>
            <w:r w:rsidRPr="00033151">
              <w:rPr>
                <w:sz w:val="20"/>
                <w:szCs w:val="20"/>
              </w:rPr>
              <w:t>)</w:t>
            </w:r>
          </w:p>
        </w:tc>
        <w:tc>
          <w:tcPr>
            <w:tcW w:w="1407" w:type="pct"/>
            <w:shd w:val="clear" w:color="auto" w:fill="auto"/>
          </w:tcPr>
          <w:p w:rsidR="00283CEB" w:rsidP="00634CD6" w:rsidRDefault="00283CEB" w14:paraId="3A5831E7" w14:textId="3EA5912A">
            <w:r>
              <w:t>Air Travel Illness or Death Investigation or Traveler Follow-up Form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647F353F" w14:textId="6207EC57">
            <w:pPr>
              <w:jc w:val="center"/>
            </w:pPr>
            <w:r>
              <w:t>7,380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7F2A92EA" w14:textId="34210241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1F5323D4" w14:textId="1691E748">
            <w:pPr>
              <w:jc w:val="center"/>
            </w:pPr>
            <w:r>
              <w:t>10/60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53924991" w14:textId="3A65C8BA">
            <w:pPr>
              <w:jc w:val="center"/>
            </w:pPr>
            <w:r>
              <w:t>1,230</w:t>
            </w:r>
          </w:p>
        </w:tc>
      </w:tr>
      <w:tr w:rsidRPr="00C61FA5" w:rsidR="00283CEB" w:rsidTr="008E758A" w14:paraId="3E665907" w14:textId="77777777">
        <w:trPr>
          <w:cantSplit/>
          <w:trHeight w:val="1684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35B99FA0" w14:textId="3C3D3BD1">
            <w:r w:rsidRPr="00244CFD">
              <w:t xml:space="preserve">Noncitizen Nonimmigrant Air Passenger </w:t>
            </w:r>
            <w:r w:rsidRPr="00075829">
              <w:rPr>
                <w:i/>
                <w:iCs/>
                <w:sz w:val="20"/>
                <w:szCs w:val="20"/>
              </w:rPr>
              <w:t>(undergoing compliance check and using humanitarian or emergency exception)</w:t>
            </w:r>
            <w:r>
              <w:t xml:space="preserve"> </w:t>
            </w:r>
          </w:p>
        </w:tc>
        <w:tc>
          <w:tcPr>
            <w:tcW w:w="1407" w:type="pct"/>
            <w:shd w:val="clear" w:color="auto" w:fill="auto"/>
          </w:tcPr>
          <w:p w:rsidRPr="00CF4A9F" w:rsidR="00283CEB" w:rsidP="00634CD6" w:rsidRDefault="00283CEB" w14:paraId="2D2D8AFA" w14:textId="0B8841EB">
            <w:r w:rsidRPr="00A24217">
              <w:t>Air Travel Illness or Death Investigation or Traveler Follow-up Form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47396818" w14:textId="3BF630C4">
            <w:pPr>
              <w:jc w:val="center"/>
            </w:pPr>
            <w:r>
              <w:t>190,000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005B414E" w14:textId="61A872E9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47E505FB" w14:textId="2CAEFDAF">
            <w:pPr>
              <w:jc w:val="center"/>
            </w:pPr>
            <w:r>
              <w:t>10/60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38235450" w14:textId="49BF34B0">
            <w:pPr>
              <w:jc w:val="center"/>
            </w:pPr>
            <w:r w:rsidRPr="000F718F">
              <w:t>31,667</w:t>
            </w:r>
          </w:p>
        </w:tc>
      </w:tr>
      <w:tr w:rsidRPr="00C61FA5" w:rsidR="00283CEB" w:rsidTr="008E758A" w14:paraId="45468E54" w14:textId="77777777">
        <w:trPr>
          <w:cantSplit/>
          <w:trHeight w:val="798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2519C759" w14:textId="77777777">
            <w:r>
              <w:t xml:space="preserve">Air Traveler </w:t>
            </w:r>
          </w:p>
          <w:p w:rsidRPr="00C61FA5" w:rsidR="00283CEB" w:rsidP="00634CD6" w:rsidRDefault="00283CEB" w14:paraId="75C71FFA" w14:textId="6901776C">
            <w:pPr>
              <w:rPr>
                <w:b/>
              </w:rPr>
            </w:pPr>
            <w:r w:rsidRPr="00A949BF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A949BF">
              <w:rPr>
                <w:i/>
                <w:iCs/>
                <w:sz w:val="20"/>
                <w:szCs w:val="20"/>
              </w:rPr>
              <w:t>for</w:t>
            </w:r>
            <w:proofErr w:type="gramEnd"/>
            <w:r w:rsidRPr="00A949BF">
              <w:rPr>
                <w:i/>
                <w:iCs/>
                <w:sz w:val="20"/>
                <w:szCs w:val="20"/>
              </w:rPr>
              <w:t xml:space="preserve"> illness or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949BF">
              <w:rPr>
                <w:i/>
                <w:iCs/>
                <w:sz w:val="20"/>
                <w:szCs w:val="20"/>
              </w:rPr>
              <w:t>death investigation)</w:t>
            </w:r>
          </w:p>
        </w:tc>
        <w:tc>
          <w:tcPr>
            <w:tcW w:w="1407" w:type="pct"/>
            <w:shd w:val="clear" w:color="auto" w:fill="auto"/>
          </w:tcPr>
          <w:p w:rsidRPr="00C61FA5" w:rsidR="00283CEB" w:rsidP="00634CD6" w:rsidRDefault="00283CEB" w14:paraId="7322A50A" w14:textId="18010FE4">
            <w:r w:rsidRPr="00095BB0">
              <w:t>Air Travel Illness or Death Investigation or Traveler Follow-up Form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Pr="00C61FA5" w:rsidR="00283CEB" w:rsidP="00634CD6" w:rsidRDefault="00283CEB" w14:paraId="13226E24" w14:textId="4331610A">
            <w:pPr>
              <w:jc w:val="center"/>
            </w:pPr>
            <w:r>
              <w:t>1,700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Pr="00C61FA5" w:rsidR="00283CEB" w:rsidP="00634CD6" w:rsidRDefault="00283CEB" w14:paraId="2AE81825" w14:textId="282C57C4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Pr="00C61FA5" w:rsidR="00283CEB" w:rsidP="00634CD6" w:rsidRDefault="00283CEB" w14:paraId="24F31EB5" w14:textId="6B0C5C84">
            <w:pPr>
              <w:jc w:val="center"/>
            </w:pPr>
            <w:r>
              <w:t>15/60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261E76" w:rsidR="00283CEB" w:rsidP="00634CD6" w:rsidRDefault="00283CEB" w14:paraId="1DEDC260" w14:textId="201E6464">
            <w:pPr>
              <w:jc w:val="center"/>
            </w:pPr>
            <w:r>
              <w:t>425</w:t>
            </w:r>
          </w:p>
        </w:tc>
      </w:tr>
      <w:tr w:rsidRPr="00C61FA5" w:rsidR="00283CEB" w:rsidTr="008E758A" w14:paraId="7B9E8DDD" w14:textId="77777777">
        <w:trPr>
          <w:cantSplit/>
          <w:trHeight w:val="798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3ECF01DC" w14:textId="54A55ED8">
            <w:r>
              <w:t xml:space="preserve">Returned Inadmissible Passenger  </w:t>
            </w:r>
          </w:p>
        </w:tc>
        <w:tc>
          <w:tcPr>
            <w:tcW w:w="1407" w:type="pct"/>
            <w:shd w:val="clear" w:color="auto" w:fill="auto"/>
          </w:tcPr>
          <w:p w:rsidRPr="00CF4A9F" w:rsidR="00283CEB" w:rsidP="00634CD6" w:rsidRDefault="00283CEB" w14:paraId="26872A7E" w14:textId="5DDF3C35">
            <w:r w:rsidRPr="00CF4A9F">
              <w:t>Contact information collection for public health follow up</w:t>
            </w:r>
            <w:r>
              <w:t xml:space="preserve"> – (No form)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2A75E7E3" w14:textId="52184572">
            <w:pPr>
              <w:jc w:val="center"/>
            </w:pPr>
            <w:r>
              <w:t>835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084DA737" w14:textId="440D5127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2614A1DA" w14:textId="6949041D">
            <w:pPr>
              <w:jc w:val="center"/>
            </w:pPr>
            <w:r>
              <w:t>5/60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0091FCDE" w14:textId="0D75D262">
            <w:pPr>
              <w:jc w:val="center"/>
            </w:pPr>
            <w:r>
              <w:t>70</w:t>
            </w:r>
          </w:p>
        </w:tc>
      </w:tr>
      <w:tr w:rsidRPr="00C61FA5" w:rsidR="00283CEB" w:rsidTr="008E758A" w14:paraId="24FF260E" w14:textId="77777777">
        <w:trPr>
          <w:cantSplit/>
          <w:trHeight w:val="784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283CEB" w:rsidP="00634CD6" w:rsidRDefault="00283CEB" w14:paraId="2077BB54" w14:textId="4379A4D2">
            <w:r>
              <w:t>Airline Representative</w:t>
            </w:r>
          </w:p>
        </w:tc>
        <w:tc>
          <w:tcPr>
            <w:tcW w:w="1407" w:type="pct"/>
            <w:shd w:val="clear" w:color="auto" w:fill="auto"/>
          </w:tcPr>
          <w:p w:rsidRPr="00CF4A9F" w:rsidR="00283CEB" w:rsidP="00634CD6" w:rsidRDefault="00283CEB" w14:paraId="2C5A36AC" w14:textId="33D9070E">
            <w:r w:rsidRPr="00CF4A9F">
              <w:t>Contact information collection for public health follow up</w:t>
            </w:r>
            <w:r>
              <w:t xml:space="preserve"> – (No form)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1BF01DF5" w14:textId="512432DF">
            <w:pPr>
              <w:jc w:val="center"/>
            </w:pPr>
            <w:r>
              <w:t>835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65B9FFB1" w14:textId="1604ABE3">
            <w:pPr>
              <w:jc w:val="center"/>
            </w:pPr>
            <w: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2B931247" w14:textId="3C50A0CF">
            <w:pPr>
              <w:jc w:val="center"/>
            </w:pPr>
            <w:r>
              <w:t>10/60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4430F3A0" w14:textId="3CA8C9C6">
            <w:pPr>
              <w:jc w:val="center"/>
            </w:pPr>
            <w:r>
              <w:t>139</w:t>
            </w:r>
          </w:p>
        </w:tc>
      </w:tr>
      <w:tr w:rsidRPr="00C61FA5" w:rsidR="00283CEB" w:rsidTr="008E758A" w14:paraId="15ACBCDD" w14:textId="77777777">
        <w:trPr>
          <w:cantSplit/>
          <w:trHeight w:val="146"/>
          <w:jc w:val="center"/>
        </w:trPr>
        <w:tc>
          <w:tcPr>
            <w:tcW w:w="994" w:type="pct"/>
            <w:shd w:val="clear" w:color="auto" w:fill="auto"/>
          </w:tcPr>
          <w:p w:rsidRPr="00CF4A9F" w:rsidR="00283CEB" w:rsidP="00634CD6" w:rsidRDefault="00283CEB" w14:paraId="6B63B442" w14:textId="7C3D0522">
            <w:r w:rsidRPr="00C61FA5">
              <w:rPr>
                <w:b/>
              </w:rPr>
              <w:t>Total</w:t>
            </w:r>
          </w:p>
        </w:tc>
        <w:tc>
          <w:tcPr>
            <w:tcW w:w="1407" w:type="pct"/>
            <w:shd w:val="clear" w:color="auto" w:fill="auto"/>
          </w:tcPr>
          <w:p w:rsidRPr="00CF4A9F" w:rsidR="00283CEB" w:rsidP="00634CD6" w:rsidRDefault="00283CEB" w14:paraId="6B074BA0" w14:textId="4BFAE49C"/>
        </w:tc>
        <w:tc>
          <w:tcPr>
            <w:tcW w:w="625" w:type="pct"/>
            <w:shd w:val="clear" w:color="auto" w:fill="auto"/>
            <w:vAlign w:val="center"/>
          </w:tcPr>
          <w:p w:rsidR="00283CEB" w:rsidP="00634CD6" w:rsidRDefault="00283CEB" w14:paraId="11ED1883" w14:textId="732106DE"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283CEB" w:rsidP="00634CD6" w:rsidRDefault="00283CEB" w14:paraId="4FD215E8" w14:textId="55115674"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83CEB" w:rsidP="00634CD6" w:rsidRDefault="00283CEB" w14:paraId="499F4796" w14:textId="152E77E2">
            <w:pPr>
              <w:jc w:val="center"/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283CEB" w:rsidP="00634CD6" w:rsidRDefault="00283CEB" w14:paraId="7E8A2B51" w14:textId="087CF95C">
            <w:pPr>
              <w:jc w:val="center"/>
            </w:pPr>
            <w:r w:rsidRPr="00283CEB">
              <w:t>102,137,231</w:t>
            </w:r>
          </w:p>
        </w:tc>
      </w:tr>
      <w:bookmarkEnd w:id="5"/>
      <w:bookmarkEnd w:id="6"/>
    </w:tbl>
    <w:p w:rsidR="00711D41" w:rsidP="008E758A" w:rsidRDefault="00711D41" w14:paraId="593A9317" w14:textId="3E5BCFC1">
      <w:pPr>
        <w:spacing w:before="240"/>
      </w:pPr>
    </w:p>
    <w:sectPr w:rsidR="00711D41" w:rsidSect="00D55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0ABD" w14:textId="77777777" w:rsidR="00711D41" w:rsidRDefault="00711D41" w:rsidP="00620223">
      <w:r>
        <w:separator/>
      </w:r>
    </w:p>
  </w:endnote>
  <w:endnote w:type="continuationSeparator" w:id="0">
    <w:p w14:paraId="7B70ADA6" w14:textId="77777777" w:rsidR="00711D41" w:rsidRDefault="00711D41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1A67" w14:textId="77777777" w:rsidR="00AA3E6A" w:rsidRDefault="00AA3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006438D7" w:rsidR="00711D41" w:rsidRDefault="00711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39CC8F" w14:textId="77777777" w:rsidR="00711D41" w:rsidRDefault="00711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CEBC" w14:textId="77777777" w:rsidR="00AA3E6A" w:rsidRDefault="00AA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E4E0" w14:textId="77777777" w:rsidR="00711D41" w:rsidRDefault="00711D41" w:rsidP="00620223">
      <w:r>
        <w:separator/>
      </w:r>
    </w:p>
  </w:footnote>
  <w:footnote w:type="continuationSeparator" w:id="0">
    <w:p w14:paraId="6F9BDFF8" w14:textId="77777777" w:rsidR="00711D41" w:rsidRDefault="00711D41" w:rsidP="0062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FDDF" w14:textId="77777777" w:rsidR="00AA3E6A" w:rsidRDefault="00AA3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8E4F" w14:textId="77777777" w:rsidR="00AA3E6A" w:rsidRDefault="00AA3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6AB6" w14:textId="77777777" w:rsidR="00AA3E6A" w:rsidRDefault="00AA3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211"/>
    <w:multiLevelType w:val="hybridMultilevel"/>
    <w:tmpl w:val="CB10B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E6A"/>
    <w:multiLevelType w:val="hybridMultilevel"/>
    <w:tmpl w:val="0EB0B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D2791"/>
    <w:multiLevelType w:val="hybridMultilevel"/>
    <w:tmpl w:val="F0A21F0C"/>
    <w:lvl w:ilvl="0" w:tplc="34FAA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C5EA6"/>
    <w:multiLevelType w:val="hybridMultilevel"/>
    <w:tmpl w:val="9B2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380F"/>
    <w:multiLevelType w:val="hybridMultilevel"/>
    <w:tmpl w:val="9272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36CF"/>
    <w:multiLevelType w:val="hybridMultilevel"/>
    <w:tmpl w:val="C2A60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338AC"/>
    <w:multiLevelType w:val="hybridMultilevel"/>
    <w:tmpl w:val="8E200B7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D60279"/>
    <w:multiLevelType w:val="hybridMultilevel"/>
    <w:tmpl w:val="F14A2F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73336"/>
    <w:multiLevelType w:val="hybridMultilevel"/>
    <w:tmpl w:val="C54CB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D64AE7"/>
    <w:multiLevelType w:val="hybridMultilevel"/>
    <w:tmpl w:val="A85A2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84F14"/>
    <w:multiLevelType w:val="hybridMultilevel"/>
    <w:tmpl w:val="B852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A67DB"/>
    <w:multiLevelType w:val="hybridMultilevel"/>
    <w:tmpl w:val="E6863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373A3"/>
    <w:multiLevelType w:val="hybridMultilevel"/>
    <w:tmpl w:val="8F98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14C8"/>
    <w:multiLevelType w:val="hybridMultilevel"/>
    <w:tmpl w:val="CC5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8773B"/>
    <w:multiLevelType w:val="hybridMultilevel"/>
    <w:tmpl w:val="B57E1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D5EA5"/>
    <w:multiLevelType w:val="hybridMultilevel"/>
    <w:tmpl w:val="77184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B07365"/>
    <w:multiLevelType w:val="hybridMultilevel"/>
    <w:tmpl w:val="655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24"/>
  </w:num>
  <w:num w:numId="5">
    <w:abstractNumId w:val="10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22"/>
  </w:num>
  <w:num w:numId="11">
    <w:abstractNumId w:val="21"/>
  </w:num>
  <w:num w:numId="12">
    <w:abstractNumId w:val="1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6"/>
  </w:num>
  <w:num w:numId="17">
    <w:abstractNumId w:val="6"/>
  </w:num>
  <w:num w:numId="18">
    <w:abstractNumId w:val="18"/>
  </w:num>
  <w:num w:numId="19">
    <w:abstractNumId w:val="0"/>
  </w:num>
  <w:num w:numId="20">
    <w:abstractNumId w:val="2"/>
  </w:num>
  <w:num w:numId="21">
    <w:abstractNumId w:val="7"/>
  </w:num>
  <w:num w:numId="22">
    <w:abstractNumId w:val="1"/>
  </w:num>
  <w:num w:numId="23">
    <w:abstractNumId w:val="8"/>
  </w:num>
  <w:num w:numId="24">
    <w:abstractNumId w:val="25"/>
  </w:num>
  <w:num w:numId="25">
    <w:abstractNumId w:val="9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21450"/>
    <w:rsid w:val="000229CC"/>
    <w:rsid w:val="00024E00"/>
    <w:rsid w:val="00036085"/>
    <w:rsid w:val="00054BA0"/>
    <w:rsid w:val="00055662"/>
    <w:rsid w:val="000712AF"/>
    <w:rsid w:val="0008299E"/>
    <w:rsid w:val="00082F67"/>
    <w:rsid w:val="00083D63"/>
    <w:rsid w:val="0008408C"/>
    <w:rsid w:val="00084E56"/>
    <w:rsid w:val="00092AE7"/>
    <w:rsid w:val="000C030C"/>
    <w:rsid w:val="000C10FC"/>
    <w:rsid w:val="000C2875"/>
    <w:rsid w:val="000C5EF1"/>
    <w:rsid w:val="000C6D41"/>
    <w:rsid w:val="000E792D"/>
    <w:rsid w:val="00132D2C"/>
    <w:rsid w:val="00142D6F"/>
    <w:rsid w:val="0015353D"/>
    <w:rsid w:val="00170D8D"/>
    <w:rsid w:val="0017686F"/>
    <w:rsid w:val="00177C07"/>
    <w:rsid w:val="00181D6C"/>
    <w:rsid w:val="001A033F"/>
    <w:rsid w:val="001B4FDB"/>
    <w:rsid w:val="001D3846"/>
    <w:rsid w:val="001D5256"/>
    <w:rsid w:val="001D633A"/>
    <w:rsid w:val="001E4702"/>
    <w:rsid w:val="001E4973"/>
    <w:rsid w:val="001F5E5D"/>
    <w:rsid w:val="00206F3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C5B"/>
    <w:rsid w:val="00244AC4"/>
    <w:rsid w:val="0025246A"/>
    <w:rsid w:val="002603A3"/>
    <w:rsid w:val="002640C7"/>
    <w:rsid w:val="00270FBC"/>
    <w:rsid w:val="00277D67"/>
    <w:rsid w:val="00283CEB"/>
    <w:rsid w:val="002957E8"/>
    <w:rsid w:val="00297A53"/>
    <w:rsid w:val="002A17BA"/>
    <w:rsid w:val="002B6BC3"/>
    <w:rsid w:val="002C0A03"/>
    <w:rsid w:val="002C1F01"/>
    <w:rsid w:val="002D3B18"/>
    <w:rsid w:val="002F4297"/>
    <w:rsid w:val="00302038"/>
    <w:rsid w:val="00307350"/>
    <w:rsid w:val="00307ADB"/>
    <w:rsid w:val="00322EFE"/>
    <w:rsid w:val="00332A11"/>
    <w:rsid w:val="00352892"/>
    <w:rsid w:val="0036553A"/>
    <w:rsid w:val="00384696"/>
    <w:rsid w:val="00390E3F"/>
    <w:rsid w:val="00394D6D"/>
    <w:rsid w:val="00396256"/>
    <w:rsid w:val="003A21A6"/>
    <w:rsid w:val="003A22DF"/>
    <w:rsid w:val="003A52C8"/>
    <w:rsid w:val="003B1386"/>
    <w:rsid w:val="003B1674"/>
    <w:rsid w:val="003B35B6"/>
    <w:rsid w:val="003E76A1"/>
    <w:rsid w:val="003F17AA"/>
    <w:rsid w:val="003F2449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B3B16"/>
    <w:rsid w:val="004D24C3"/>
    <w:rsid w:val="004E6B21"/>
    <w:rsid w:val="004E7F4C"/>
    <w:rsid w:val="004F38B0"/>
    <w:rsid w:val="005029F7"/>
    <w:rsid w:val="005033B2"/>
    <w:rsid w:val="005132E1"/>
    <w:rsid w:val="00520A02"/>
    <w:rsid w:val="00523FC1"/>
    <w:rsid w:val="005515E8"/>
    <w:rsid w:val="00551BA2"/>
    <w:rsid w:val="005617E2"/>
    <w:rsid w:val="005707CF"/>
    <w:rsid w:val="00582BB5"/>
    <w:rsid w:val="00583530"/>
    <w:rsid w:val="00584F91"/>
    <w:rsid w:val="00596F69"/>
    <w:rsid w:val="005A3A7E"/>
    <w:rsid w:val="005B59CF"/>
    <w:rsid w:val="005B7D8B"/>
    <w:rsid w:val="005C2F64"/>
    <w:rsid w:val="005D45EF"/>
    <w:rsid w:val="005D628C"/>
    <w:rsid w:val="005E193F"/>
    <w:rsid w:val="005E23B1"/>
    <w:rsid w:val="005E3C83"/>
    <w:rsid w:val="005E5104"/>
    <w:rsid w:val="005F3248"/>
    <w:rsid w:val="00620223"/>
    <w:rsid w:val="0063211B"/>
    <w:rsid w:val="00636687"/>
    <w:rsid w:val="00641974"/>
    <w:rsid w:val="00653102"/>
    <w:rsid w:val="00655ED6"/>
    <w:rsid w:val="00694C0B"/>
    <w:rsid w:val="006A0D58"/>
    <w:rsid w:val="006B10E6"/>
    <w:rsid w:val="006B64E9"/>
    <w:rsid w:val="006D27D3"/>
    <w:rsid w:val="006D542F"/>
    <w:rsid w:val="006F0D92"/>
    <w:rsid w:val="006F133B"/>
    <w:rsid w:val="006F539D"/>
    <w:rsid w:val="006F7F74"/>
    <w:rsid w:val="00704748"/>
    <w:rsid w:val="00711D41"/>
    <w:rsid w:val="007151A3"/>
    <w:rsid w:val="00735EC5"/>
    <w:rsid w:val="00737E98"/>
    <w:rsid w:val="007429C7"/>
    <w:rsid w:val="007529D7"/>
    <w:rsid w:val="00782E0A"/>
    <w:rsid w:val="007A0147"/>
    <w:rsid w:val="007A095A"/>
    <w:rsid w:val="007B21D6"/>
    <w:rsid w:val="007E5291"/>
    <w:rsid w:val="007F327B"/>
    <w:rsid w:val="00811963"/>
    <w:rsid w:val="008132B5"/>
    <w:rsid w:val="00815FD5"/>
    <w:rsid w:val="0082019D"/>
    <w:rsid w:val="00860912"/>
    <w:rsid w:val="0086301C"/>
    <w:rsid w:val="00864E81"/>
    <w:rsid w:val="008845B9"/>
    <w:rsid w:val="008A52F0"/>
    <w:rsid w:val="008B4306"/>
    <w:rsid w:val="008C086A"/>
    <w:rsid w:val="008C4184"/>
    <w:rsid w:val="008C6E29"/>
    <w:rsid w:val="008D66A0"/>
    <w:rsid w:val="008E758A"/>
    <w:rsid w:val="008F5EEF"/>
    <w:rsid w:val="008F6F55"/>
    <w:rsid w:val="009176B7"/>
    <w:rsid w:val="009239A9"/>
    <w:rsid w:val="00925CF3"/>
    <w:rsid w:val="00932450"/>
    <w:rsid w:val="0093748C"/>
    <w:rsid w:val="00946340"/>
    <w:rsid w:val="0095101E"/>
    <w:rsid w:val="009517D9"/>
    <w:rsid w:val="00952F0D"/>
    <w:rsid w:val="00963E9A"/>
    <w:rsid w:val="009657DA"/>
    <w:rsid w:val="009805BD"/>
    <w:rsid w:val="00987051"/>
    <w:rsid w:val="00995243"/>
    <w:rsid w:val="009A025D"/>
    <w:rsid w:val="009B565A"/>
    <w:rsid w:val="009C5D92"/>
    <w:rsid w:val="009D105B"/>
    <w:rsid w:val="009E15F3"/>
    <w:rsid w:val="009F3CD5"/>
    <w:rsid w:val="00A00742"/>
    <w:rsid w:val="00A01572"/>
    <w:rsid w:val="00A07898"/>
    <w:rsid w:val="00A1450F"/>
    <w:rsid w:val="00A14D84"/>
    <w:rsid w:val="00A2181A"/>
    <w:rsid w:val="00A347EF"/>
    <w:rsid w:val="00A67575"/>
    <w:rsid w:val="00A7139F"/>
    <w:rsid w:val="00A74867"/>
    <w:rsid w:val="00A90260"/>
    <w:rsid w:val="00A92426"/>
    <w:rsid w:val="00A93B41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4109B"/>
    <w:rsid w:val="00B4671E"/>
    <w:rsid w:val="00B55735"/>
    <w:rsid w:val="00B7522E"/>
    <w:rsid w:val="00B825CD"/>
    <w:rsid w:val="00BB45A1"/>
    <w:rsid w:val="00C02377"/>
    <w:rsid w:val="00C07819"/>
    <w:rsid w:val="00C101F7"/>
    <w:rsid w:val="00C132E6"/>
    <w:rsid w:val="00C146ED"/>
    <w:rsid w:val="00C467B5"/>
    <w:rsid w:val="00C7450B"/>
    <w:rsid w:val="00C75591"/>
    <w:rsid w:val="00C82867"/>
    <w:rsid w:val="00CA1322"/>
    <w:rsid w:val="00CB3C63"/>
    <w:rsid w:val="00CF26F4"/>
    <w:rsid w:val="00CF6021"/>
    <w:rsid w:val="00D0120F"/>
    <w:rsid w:val="00D04802"/>
    <w:rsid w:val="00D117E5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909A3"/>
    <w:rsid w:val="00DA1DE5"/>
    <w:rsid w:val="00DA42CF"/>
    <w:rsid w:val="00DB7589"/>
    <w:rsid w:val="00DC3E30"/>
    <w:rsid w:val="00DC57CC"/>
    <w:rsid w:val="00DD06CA"/>
    <w:rsid w:val="00DD4600"/>
    <w:rsid w:val="00DE00FC"/>
    <w:rsid w:val="00DE2C89"/>
    <w:rsid w:val="00E00873"/>
    <w:rsid w:val="00E06889"/>
    <w:rsid w:val="00E201C6"/>
    <w:rsid w:val="00E30037"/>
    <w:rsid w:val="00E34CF3"/>
    <w:rsid w:val="00E361CC"/>
    <w:rsid w:val="00E44857"/>
    <w:rsid w:val="00E54461"/>
    <w:rsid w:val="00E6785E"/>
    <w:rsid w:val="00E7368E"/>
    <w:rsid w:val="00E736A3"/>
    <w:rsid w:val="00E747C2"/>
    <w:rsid w:val="00E932C9"/>
    <w:rsid w:val="00E93F63"/>
    <w:rsid w:val="00E95DBD"/>
    <w:rsid w:val="00EA14C4"/>
    <w:rsid w:val="00EB1547"/>
    <w:rsid w:val="00EC1019"/>
    <w:rsid w:val="00EE39E4"/>
    <w:rsid w:val="00EE4E1D"/>
    <w:rsid w:val="00F33021"/>
    <w:rsid w:val="00F45499"/>
    <w:rsid w:val="00F606FE"/>
    <w:rsid w:val="00F64EB0"/>
    <w:rsid w:val="00F801C2"/>
    <w:rsid w:val="00F869A7"/>
    <w:rsid w:val="00F92A71"/>
    <w:rsid w:val="00F92D5A"/>
    <w:rsid w:val="00F9732D"/>
    <w:rsid w:val="00FD2369"/>
    <w:rsid w:val="00FE323E"/>
    <w:rsid w:val="00FE68F5"/>
    <w:rsid w:val="00FF0FB9"/>
    <w:rsid w:val="00FF16C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DD8B8F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Zirger, Jeffrey (CDC/DDPHSS/OS/OSI)</cp:lastModifiedBy>
  <cp:revision>3</cp:revision>
  <dcterms:created xsi:type="dcterms:W3CDTF">2022-06-09T23:29:00Z</dcterms:created>
  <dcterms:modified xsi:type="dcterms:W3CDTF">2022-06-10T12:51:00Z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2021-12-02T15:04:26Z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3e3902b5-cec9-46e1-866b-67ccdd10c2c8</vt:lpwstr>
  </property>
  <property fmtid="{D5CDD505-2E9C-101B-9397-08002B2CF9AE}" pid="8" name="MSIP_Label_7b94a7b8-f06c-4dfe-bdcc-9b548fd58c31_ContentBits">
    <vt:lpwstr>0</vt:lpwstr>
  </property>
</Properties>
</file>